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EED9" w14:textId="37C917FD" w:rsidR="008F214B" w:rsidRDefault="008F214B" w:rsidP="00C943EE">
      <w:pPr>
        <w:pStyle w:val="Heading3"/>
      </w:pPr>
      <w:bookmarkStart w:id="0" w:name="_Hlk201757570"/>
      <w:bookmarkStart w:id="1" w:name="_Toc178171992"/>
      <w:bookmarkStart w:id="2" w:name="_Toc178172496"/>
      <w:bookmarkStart w:id="3" w:name="_Toc178230634"/>
      <w:bookmarkStart w:id="4" w:name="_Toc178237996"/>
      <w:bookmarkEnd w:id="0"/>
      <w:r>
        <w:rPr>
          <w:noProof/>
        </w:rPr>
        <w:drawing>
          <wp:anchor distT="0" distB="360045" distL="114300" distR="114300" simplePos="0" relativeHeight="251658240" behindDoc="1" locked="0" layoutInCell="1" allowOverlap="1" wp14:anchorId="1A2F8131" wp14:editId="72122EDE">
            <wp:simplePos x="0" y="0"/>
            <wp:positionH relativeFrom="page">
              <wp:posOffset>0</wp:posOffset>
            </wp:positionH>
            <wp:positionV relativeFrom="page">
              <wp:posOffset>-64052</wp:posOffset>
            </wp:positionV>
            <wp:extent cx="7549276" cy="312656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b="70722"/>
                    <a:stretch/>
                  </pic:blipFill>
                  <pic:spPr bwMode="auto">
                    <a:xfrm>
                      <a:off x="0" y="0"/>
                      <a:ext cx="7549276" cy="31265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FFFEA1F" wp14:editId="071B7275">
            <wp:extent cx="5361940" cy="412115"/>
            <wp:effectExtent l="0" t="0" r="0" b="6985"/>
            <wp:docPr id="1113245485" name="Picture 1" descr="Report Heading: &quot;National Child Safety Revie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45485" name="Picture 1" descr="Report Heading: &quot;National Child Safety Review&quo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1940" cy="412115"/>
                    </a:xfrm>
                    <a:prstGeom prst="rect">
                      <a:avLst/>
                    </a:prstGeom>
                  </pic:spPr>
                </pic:pic>
              </a:graphicData>
            </a:graphic>
          </wp:inline>
        </w:drawing>
      </w:r>
      <w:bookmarkEnd w:id="1"/>
      <w:bookmarkEnd w:id="2"/>
      <w:bookmarkEnd w:id="3"/>
      <w:bookmarkEnd w:id="4"/>
      <w:r w:rsidR="00801FBF">
        <w:t xml:space="preserve"> </w:t>
      </w:r>
    </w:p>
    <w:p w14:paraId="0007E22A" w14:textId="77777777" w:rsidR="008F214B" w:rsidRDefault="008F214B" w:rsidP="008F214B"/>
    <w:p w14:paraId="497C04E1" w14:textId="77777777" w:rsidR="008F214B" w:rsidRDefault="008F214B" w:rsidP="008F214B"/>
    <w:p w14:paraId="35D3F83E" w14:textId="77777777" w:rsidR="008F214B" w:rsidRDefault="008F214B" w:rsidP="008F214B"/>
    <w:p w14:paraId="1FE73519" w14:textId="77777777" w:rsidR="008F214B" w:rsidRDefault="008F214B" w:rsidP="008F214B"/>
    <w:p w14:paraId="03ECBA01" w14:textId="77777777" w:rsidR="008F214B" w:rsidRDefault="008F214B" w:rsidP="008F214B"/>
    <w:p w14:paraId="2BA87B80" w14:textId="77777777" w:rsidR="008F214B" w:rsidRDefault="008F214B" w:rsidP="008F214B"/>
    <w:p w14:paraId="7996ADBF" w14:textId="77777777" w:rsidR="008F214B" w:rsidRDefault="008F214B" w:rsidP="008F214B"/>
    <w:p w14:paraId="249466D5" w14:textId="14F5D964" w:rsidR="008F214B" w:rsidRDefault="002B5984" w:rsidP="008F214B">
      <w:pPr>
        <w:pStyle w:val="Title1"/>
        <w:spacing w:after="240"/>
      </w:pPr>
      <w:r>
        <w:t>Decision</w:t>
      </w:r>
      <w:r w:rsidR="008F214B">
        <w:t xml:space="preserve"> Regulation Impact Statement</w:t>
      </w:r>
    </w:p>
    <w:p w14:paraId="6C39C953" w14:textId="1DBB8A34" w:rsidR="008F214B" w:rsidRPr="00090DB2" w:rsidRDefault="008F214B" w:rsidP="002D0D25">
      <w:r w:rsidRPr="00090DB2">
        <w:softHyphen/>
      </w:r>
    </w:p>
    <w:p w14:paraId="7FED6E15" w14:textId="7565CCBF" w:rsidR="008F214B" w:rsidRDefault="008F214B" w:rsidP="008F214B"/>
    <w:p w14:paraId="71839C0B" w14:textId="77777777" w:rsidR="008F214B" w:rsidRDefault="008F214B" w:rsidP="008F214B">
      <w:pPr>
        <w:spacing w:after="0" w:line="240" w:lineRule="auto"/>
      </w:pPr>
    </w:p>
    <w:p w14:paraId="2E827CB3" w14:textId="465AA987" w:rsidR="00F83CEA" w:rsidRPr="00F83CEA" w:rsidRDefault="00F83CEA" w:rsidP="00F83CEA"/>
    <w:p w14:paraId="39C01297" w14:textId="48CFDF22" w:rsidR="00F83CEA" w:rsidRPr="00F83CEA" w:rsidRDefault="00F83CEA" w:rsidP="00F83CEA"/>
    <w:p w14:paraId="4B8FF13F" w14:textId="77777777" w:rsidR="00F83CEA" w:rsidRPr="00F83CEA" w:rsidRDefault="00F83CEA" w:rsidP="00F83CEA"/>
    <w:p w14:paraId="273D829E" w14:textId="77777777" w:rsidR="00F83CEA" w:rsidRPr="00F83CEA" w:rsidRDefault="00F83CEA" w:rsidP="00F83CEA"/>
    <w:p w14:paraId="17376F07" w14:textId="77777777" w:rsidR="00F83CEA" w:rsidRPr="00F83CEA" w:rsidRDefault="00F83CEA" w:rsidP="00F83CEA"/>
    <w:p w14:paraId="745B5D96" w14:textId="77777777" w:rsidR="00F83CEA" w:rsidRPr="00F83CEA" w:rsidRDefault="00F83CEA" w:rsidP="00F83CEA"/>
    <w:p w14:paraId="6B80ACF2" w14:textId="7BD981BE" w:rsidR="00F83CEA" w:rsidRPr="00F83CEA" w:rsidRDefault="00F83CEA" w:rsidP="00672EBB">
      <w:pPr>
        <w:jc w:val="right"/>
      </w:pPr>
    </w:p>
    <w:p w14:paraId="328A19D0" w14:textId="6B1AB690" w:rsidR="0030049C" w:rsidRDefault="00F83CEA" w:rsidP="0030049C">
      <w:pPr>
        <w:tabs>
          <w:tab w:val="left" w:pos="6637"/>
        </w:tabs>
      </w:pPr>
      <w:r>
        <w:tab/>
      </w:r>
    </w:p>
    <w:p w14:paraId="74A2D5BE" w14:textId="7D41926E" w:rsidR="008F214B" w:rsidRPr="00DF469F" w:rsidRDefault="00672EBB" w:rsidP="00A23182">
      <w:pPr>
        <w:tabs>
          <w:tab w:val="left" w:pos="6637"/>
        </w:tabs>
      </w:pPr>
      <w:r>
        <w:rPr>
          <w:noProof/>
        </w:rPr>
        <mc:AlternateContent>
          <mc:Choice Requires="wps">
            <w:drawing>
              <wp:inline distT="0" distB="0" distL="0" distR="0" wp14:anchorId="579B766D" wp14:editId="3D58608C">
                <wp:extent cx="2360930" cy="1404620"/>
                <wp:effectExtent l="0" t="0" r="0" b="19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FCA1030" w14:textId="7FC706B1" w:rsidR="00672EBB" w:rsidRDefault="00700869">
                            <w:r>
                              <w:t>29</w:t>
                            </w:r>
                            <w:r w:rsidR="00F95056">
                              <w:t xml:space="preserve"> August</w:t>
                            </w:r>
                            <w:r w:rsidR="00672EBB">
                              <w:t xml:space="preserve"> 2025</w:t>
                            </w:r>
                          </w:p>
                        </w:txbxContent>
                      </wps:txbx>
                      <wps:bodyPr rot="0" vert="horz" wrap="square" lIns="91440" tIns="45720" rIns="91440" bIns="45720" anchor="t" anchorCtr="0">
                        <a:spAutoFit/>
                      </wps:bodyPr>
                    </wps:wsp>
                  </a:graphicData>
                </a:graphic>
              </wp:inline>
            </w:drawing>
          </mc:Choice>
          <mc:Fallback>
            <w:pict>
              <v:shapetype w14:anchorId="579B766D" id="_x0000_t202" coordsize="21600,21600" o:spt="202" path="m,l,21600r21600,l21600,xe">
                <v:stroke joinstyle="miter"/>
                <v:path gradientshapeok="t" o:connecttype="rect"/>
              </v:shapetype>
              <v:shape id="Text Box 2" o:spid="_x0000_s1026"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" filled="f" stroked="f">
                <v:textbox style="mso-fit-shape-to-text:t">
                  <w:txbxContent>
                    <w:p w14:paraId="1FCA1030" w14:textId="7FC706B1" w:rsidR="00672EBB" w:rsidRDefault="00700869">
                      <w:r>
                        <w:t>29</w:t>
                      </w:r>
                      <w:r w:rsidR="00F95056">
                        <w:t xml:space="preserve"> August</w:t>
                      </w:r>
                      <w:r w:rsidR="00672EBB">
                        <w:t xml:space="preserve"> 2025</w:t>
                      </w:r>
                    </w:p>
                  </w:txbxContent>
                </v:textbox>
                <w10:anchorlock/>
              </v:shape>
            </w:pict>
          </mc:Fallback>
        </mc:AlternateContent>
      </w:r>
    </w:p>
    <w:p w14:paraId="25EEC240" w14:textId="75BDB71E" w:rsidR="008F214B" w:rsidRPr="00DF469F" w:rsidRDefault="008F214B" w:rsidP="008F214B"/>
    <w:p w14:paraId="573D53DA" w14:textId="3717461B" w:rsidR="002B5984" w:rsidRDefault="002B5984" w:rsidP="008F214B">
      <w:pPr>
        <w:pStyle w:val="Footer"/>
        <w:jc w:val="right"/>
      </w:pPr>
    </w:p>
    <w:p w14:paraId="225657A3" w14:textId="5EF5BFCB" w:rsidR="006A6519" w:rsidRPr="006A6519" w:rsidRDefault="006A6519" w:rsidP="006A6519">
      <w:pPr>
        <w:pStyle w:val="Footer"/>
        <w:jc w:val="right"/>
        <w:rPr>
          <w:i/>
          <w:iCs/>
        </w:rPr>
      </w:pPr>
      <w:r w:rsidRPr="006A6519">
        <w:rPr>
          <w:i/>
          <w:iCs/>
        </w:rPr>
        <w:t xml:space="preserve">This Decision Regulation Impact Statement (DRIS) has been prepared on behalf of all Australian Education Ministers with the assistance of Deloitte Access Economics. It includes data, consultation information and cost modelling analysis undertaken by Deloitte Access Economics in consultation with the Australian Government and all state and territory governments. </w:t>
      </w:r>
    </w:p>
    <w:p w14:paraId="7046B57B" w14:textId="77777777" w:rsidR="002B5984" w:rsidRDefault="002B5984" w:rsidP="008F214B">
      <w:pPr>
        <w:pStyle w:val="Footer"/>
        <w:jc w:val="right"/>
      </w:pPr>
    </w:p>
    <w:p w14:paraId="031EEB27" w14:textId="2AD3A6FB" w:rsidR="002B5984" w:rsidRDefault="002B5984" w:rsidP="008F214B">
      <w:pPr>
        <w:pStyle w:val="Footer"/>
        <w:jc w:val="right"/>
      </w:pPr>
    </w:p>
    <w:p w14:paraId="4CA09E21" w14:textId="77777777" w:rsidR="00E92376" w:rsidRDefault="00E92376" w:rsidP="00B37AA2">
      <w:pPr>
        <w:pStyle w:val="Footer"/>
      </w:pPr>
    </w:p>
    <w:p w14:paraId="46E84489" w14:textId="704A106E" w:rsidR="00E92376" w:rsidRDefault="00E92376" w:rsidP="00B37AA2">
      <w:pPr>
        <w:pStyle w:val="Footer"/>
      </w:pPr>
    </w:p>
    <w:p w14:paraId="7E47DC15" w14:textId="77777777" w:rsidR="00E92376" w:rsidRDefault="00E92376" w:rsidP="00B37AA2">
      <w:pPr>
        <w:pStyle w:val="Footer"/>
      </w:pPr>
    </w:p>
    <w:p w14:paraId="2DF8A2B4" w14:textId="0C07170C" w:rsidR="000360FB" w:rsidRDefault="000360FB" w:rsidP="00B37AA2"/>
    <w:p w14:paraId="66EFEAC5" w14:textId="77777777" w:rsidR="000360FB" w:rsidRDefault="000360FB" w:rsidP="00B37AA2"/>
    <w:p w14:paraId="4CCCB82B" w14:textId="77777777" w:rsidR="000360FB" w:rsidRDefault="000360FB" w:rsidP="00B37AA2"/>
    <w:p w14:paraId="059825E6" w14:textId="77777777" w:rsidR="000360FB" w:rsidRDefault="000360FB" w:rsidP="00B37AA2"/>
    <w:p w14:paraId="4DD75666" w14:textId="77777777" w:rsidR="000360FB" w:rsidRDefault="000360FB" w:rsidP="00B37AA2"/>
    <w:p w14:paraId="1C0285A0" w14:textId="00080711" w:rsidR="000360FB" w:rsidRDefault="000360FB" w:rsidP="00B37AA2"/>
    <w:p w14:paraId="7E3C0C85" w14:textId="77777777" w:rsidR="000360FB" w:rsidRDefault="000360FB" w:rsidP="00B37AA2"/>
    <w:p w14:paraId="3DEE5357" w14:textId="77777777" w:rsidR="000360FB" w:rsidRDefault="000360FB" w:rsidP="00B37AA2"/>
    <w:p w14:paraId="63CA05CB" w14:textId="77777777" w:rsidR="000360FB" w:rsidRPr="000360FB" w:rsidRDefault="000360FB" w:rsidP="000360FB">
      <w:r w:rsidRPr="000360FB">
        <w:rPr>
          <w:b/>
          <w:bCs/>
        </w:rPr>
        <w:t>Copyright and Terms of Use</w:t>
      </w:r>
    </w:p>
    <w:p w14:paraId="584D2E30" w14:textId="62BD3DB4" w:rsidR="000360FB" w:rsidRPr="000360FB" w:rsidRDefault="000360FB" w:rsidP="000360FB">
      <w:r w:rsidRPr="000360FB">
        <w:t>© Education Services Australia, as the legal entity for the Education Ministers Meeting, 2025.</w:t>
      </w:r>
    </w:p>
    <w:p w14:paraId="23F1C16E" w14:textId="6864C069" w:rsidR="000360FB" w:rsidRPr="000360FB" w:rsidRDefault="000360FB" w:rsidP="000360FB">
      <w:r w:rsidRPr="000360FB">
        <w:rPr>
          <w:noProof/>
        </w:rPr>
        <w:drawing>
          <wp:inline distT="0" distB="0" distL="0" distR="0" wp14:anchorId="66E7C052" wp14:editId="3716875A">
            <wp:extent cx="922020" cy="312420"/>
            <wp:effectExtent l="0" t="0" r="11430" b="11430"/>
            <wp:docPr id="377373503" name="Picture 2" descr="Picture outlines creative commons license that enables reusers to distribute, remix, adapt, and build upon the material in any medium or format for noncommercial purposes only, and only so long as attribution is given to the cre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73503" name="Picture 2" descr="Picture outlines creative commons license that enables reusers to distribute, remix, adapt, and build upon the material in any medium or format for noncommercial purposes only, and only so long as attribution is given to the creator. "/>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922020" cy="312420"/>
                    </a:xfrm>
                    <a:prstGeom prst="rect">
                      <a:avLst/>
                    </a:prstGeom>
                    <a:noFill/>
                    <a:ln>
                      <a:noFill/>
                    </a:ln>
                  </pic:spPr>
                </pic:pic>
              </a:graphicData>
            </a:graphic>
          </wp:inline>
        </w:drawing>
      </w:r>
    </w:p>
    <w:p w14:paraId="0C965236" w14:textId="0A474ABF" w:rsidR="000360FB" w:rsidRPr="000360FB" w:rsidRDefault="000360FB" w:rsidP="000360FB">
      <w:r w:rsidRPr="000360FB">
        <w:rPr>
          <w:i/>
          <w:iCs/>
        </w:rPr>
        <w:t>National</w:t>
      </w:r>
      <w:r w:rsidRPr="000360FB">
        <w:t xml:space="preserve"> </w:t>
      </w:r>
      <w:r w:rsidRPr="000360FB">
        <w:rPr>
          <w:i/>
          <w:iCs/>
        </w:rPr>
        <w:t>Child Safety Review Decision Regulation Impact Statement</w:t>
      </w:r>
      <w:r w:rsidRPr="000360FB">
        <w:t> is licensed by the Education Ministers Meeting under a Creative Commons Attribution, Non Commercial 4.0 International License.</w:t>
      </w:r>
    </w:p>
    <w:p w14:paraId="10BF3946" w14:textId="64652F04" w:rsidR="008F214B" w:rsidRPr="00DF469F" w:rsidRDefault="0081654F" w:rsidP="000360FB">
      <w:pPr>
        <w:sectPr w:rsidR="008F214B" w:rsidRPr="00DF469F" w:rsidSect="008F214B">
          <w:headerReference w:type="default" r:id="rId15"/>
          <w:footerReference w:type="default" r:id="rId16"/>
          <w:headerReference w:type="first" r:id="rId17"/>
          <w:footerReference w:type="first" r:id="rId18"/>
          <w:pgSz w:w="11900" w:h="16840"/>
          <w:pgMar w:top="2098" w:right="2098" w:bottom="1418" w:left="1985" w:header="709" w:footer="709" w:gutter="0"/>
          <w:cols w:space="708"/>
          <w:titlePg/>
          <w:docGrid w:linePitch="360"/>
        </w:sectPr>
      </w:pPr>
      <w:r>
        <w:rPr>
          <w:noProof/>
        </w:rPr>
        <mc:AlternateContent>
          <mc:Choice Requires="wps">
            <w:drawing>
              <wp:anchor distT="45720" distB="45720" distL="114300" distR="114300" simplePos="0" relativeHeight="251660288" behindDoc="0" locked="0" layoutInCell="1" allowOverlap="1" wp14:anchorId="456A3DCE" wp14:editId="18C98B64">
                <wp:simplePos x="0" y="0"/>
                <wp:positionH relativeFrom="margin">
                  <wp:align>center</wp:align>
                </wp:positionH>
                <wp:positionV relativeFrom="paragraph">
                  <wp:posOffset>572135</wp:posOffset>
                </wp:positionV>
                <wp:extent cx="2360930" cy="1404620"/>
                <wp:effectExtent l="0" t="0" r="0" b="1905"/>
                <wp:wrapNone/>
                <wp:docPr id="1389292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661684A" w14:textId="7ABA55F0" w:rsidR="0081654F" w:rsidRDefault="0081654F" w:rsidP="0081654F">
                            <w:pPr>
                              <w:jc w:val="center"/>
                            </w:pPr>
                            <w:r>
                              <w:t>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6A3DCE" id="_x0000_s1027" type="#_x0000_t202" style="position:absolute;margin-left:0;margin-top:45.05pt;width:185.9pt;height:110.6pt;z-index:25166028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" filled="f" stroked="f">
                <v:textbox style="mso-fit-shape-to-text:t">
                  <w:txbxContent>
                    <w:p w14:paraId="3661684A" w14:textId="7ABA55F0" w:rsidR="0081654F" w:rsidRDefault="0081654F" w:rsidP="0081654F">
                      <w:pPr>
                        <w:jc w:val="center"/>
                      </w:pPr>
                      <w:r>
                        <w:t>2</w:t>
                      </w:r>
                    </w:p>
                  </w:txbxContent>
                </v:textbox>
                <w10:wrap anchorx="margin"/>
              </v:shape>
            </w:pict>
          </mc:Fallback>
        </mc:AlternateContent>
      </w:r>
      <w:r w:rsidR="000360FB" w:rsidRPr="000360FB">
        <w:t xml:space="preserve">Intergovernmental Support Team: </w:t>
      </w:r>
      <w:hyperlink r:id="rId19" w:history="1">
        <w:r w:rsidR="000360FB" w:rsidRPr="000360FB">
          <w:rPr>
            <w:rStyle w:val="Hyperlink"/>
          </w:rPr>
          <w:t>Emmsupport@education.gov.au</w:t>
        </w:r>
      </w:hyperlink>
      <w:r w:rsidR="008F214B">
        <w:tab/>
      </w:r>
    </w:p>
    <w:bookmarkStart w:id="5" w:name="_Toc205884861" w:displacedByCustomXml="next"/>
    <w:bookmarkStart w:id="6" w:name="_Toc194664603" w:displacedByCustomXml="next"/>
    <w:sdt>
      <w:sdtPr>
        <w:rPr>
          <w:rFonts w:asciiTheme="majorHAnsi" w:eastAsiaTheme="minorEastAsia" w:hAnsiTheme="majorHAnsi" w:cstheme="majorBidi"/>
          <w:color w:val="004F59" w:themeColor="accent1" w:themeShade="BF"/>
          <w:sz w:val="32"/>
          <w:szCs w:val="32"/>
          <w:lang w:val="en-US"/>
        </w:rPr>
        <w:id w:val="-1563246581"/>
        <w:docPartObj>
          <w:docPartGallery w:val="Table of Contents"/>
          <w:docPartUnique/>
        </w:docPartObj>
      </w:sdtPr>
      <w:sdtEndPr>
        <w:rPr>
          <w:rFonts w:eastAsiaTheme="majorEastAsia"/>
          <w:b/>
          <w:bCs/>
          <w:noProof/>
        </w:rPr>
      </w:sdtEndPr>
      <w:sdtContent>
        <w:p w14:paraId="739049D2" w14:textId="332F1F44" w:rsidR="005003D3" w:rsidRPr="00565720" w:rsidRDefault="008F214B" w:rsidP="005003D3">
          <w:pPr>
            <w:pStyle w:val="Heading1"/>
          </w:pPr>
          <w:r w:rsidRPr="00565720">
            <w:t>Contents</w:t>
          </w:r>
          <w:bookmarkEnd w:id="6"/>
          <w:bookmarkEnd w:id="5"/>
        </w:p>
        <w:p w14:paraId="10F37042" w14:textId="483C62E9" w:rsidR="00BC5276" w:rsidRDefault="008F214B">
          <w:pPr>
            <w:pStyle w:val="TOC1"/>
            <w:tabs>
              <w:tab w:val="right" w:leader="dot" w:pos="9010"/>
            </w:tabs>
            <w:rPr>
              <w:rFonts w:asciiTheme="minorHAnsi" w:eastAsiaTheme="minorEastAsia" w:hAnsiTheme="minorHAnsi"/>
              <w:noProof/>
              <w:kern w:val="2"/>
              <w:sz w:val="24"/>
              <w:lang w:eastAsia="en-AU"/>
              <w14:ligatures w14:val="standardContextual"/>
            </w:rPr>
          </w:pPr>
          <w:r>
            <w:fldChar w:fldCharType="begin"/>
          </w:r>
          <w:r>
            <w:instrText xml:space="preserve"> TOC \h \z \t "Heading 1,1,Heading 2,2" </w:instrText>
          </w:r>
          <w:r>
            <w:fldChar w:fldCharType="separate"/>
          </w:r>
          <w:hyperlink w:anchor="_Toc205884861" w:history="1">
            <w:r w:rsidR="00BC5276" w:rsidRPr="00AC001E">
              <w:rPr>
                <w:rStyle w:val="Hyperlink"/>
                <w:noProof/>
              </w:rPr>
              <w:t>Contents</w:t>
            </w:r>
            <w:r w:rsidR="00BC5276">
              <w:rPr>
                <w:noProof/>
                <w:webHidden/>
              </w:rPr>
              <w:tab/>
            </w:r>
            <w:r w:rsidR="00BC5276">
              <w:rPr>
                <w:noProof/>
                <w:webHidden/>
              </w:rPr>
              <w:fldChar w:fldCharType="begin"/>
            </w:r>
            <w:r w:rsidR="00BC5276">
              <w:rPr>
                <w:noProof/>
                <w:webHidden/>
              </w:rPr>
              <w:instrText xml:space="preserve"> PAGEREF _Toc205884861 \h </w:instrText>
            </w:r>
            <w:r w:rsidR="00BC5276">
              <w:rPr>
                <w:noProof/>
                <w:webHidden/>
              </w:rPr>
            </w:r>
            <w:r w:rsidR="00BC5276">
              <w:rPr>
                <w:noProof/>
                <w:webHidden/>
              </w:rPr>
              <w:fldChar w:fldCharType="separate"/>
            </w:r>
            <w:r w:rsidR="00533FCD">
              <w:rPr>
                <w:noProof/>
                <w:webHidden/>
              </w:rPr>
              <w:t>4</w:t>
            </w:r>
            <w:r w:rsidR="00BC5276">
              <w:rPr>
                <w:noProof/>
                <w:webHidden/>
              </w:rPr>
              <w:fldChar w:fldCharType="end"/>
            </w:r>
          </w:hyperlink>
        </w:p>
        <w:p w14:paraId="662658FC" w14:textId="6144F492"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62" w:history="1">
            <w:r w:rsidRPr="00AC001E">
              <w:rPr>
                <w:rStyle w:val="Hyperlink"/>
                <w:noProof/>
              </w:rPr>
              <w:t>Acronyms</w:t>
            </w:r>
            <w:r>
              <w:rPr>
                <w:noProof/>
                <w:webHidden/>
              </w:rPr>
              <w:tab/>
            </w:r>
            <w:r>
              <w:rPr>
                <w:noProof/>
                <w:webHidden/>
              </w:rPr>
              <w:fldChar w:fldCharType="begin"/>
            </w:r>
            <w:r>
              <w:rPr>
                <w:noProof/>
                <w:webHidden/>
              </w:rPr>
              <w:instrText xml:space="preserve"> PAGEREF _Toc205884862 \h </w:instrText>
            </w:r>
            <w:r>
              <w:rPr>
                <w:noProof/>
                <w:webHidden/>
              </w:rPr>
            </w:r>
            <w:r>
              <w:rPr>
                <w:noProof/>
                <w:webHidden/>
              </w:rPr>
              <w:fldChar w:fldCharType="separate"/>
            </w:r>
            <w:r w:rsidR="00533FCD">
              <w:rPr>
                <w:noProof/>
                <w:webHidden/>
              </w:rPr>
              <w:t>12</w:t>
            </w:r>
            <w:r>
              <w:rPr>
                <w:noProof/>
                <w:webHidden/>
              </w:rPr>
              <w:fldChar w:fldCharType="end"/>
            </w:r>
          </w:hyperlink>
        </w:p>
        <w:p w14:paraId="6830A08C" w14:textId="74534805"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63" w:history="1">
            <w:r w:rsidRPr="00AC001E">
              <w:rPr>
                <w:rStyle w:val="Hyperlink"/>
                <w:noProof/>
              </w:rPr>
              <w:t>Glossary</w:t>
            </w:r>
            <w:r>
              <w:rPr>
                <w:noProof/>
                <w:webHidden/>
              </w:rPr>
              <w:tab/>
            </w:r>
            <w:r>
              <w:rPr>
                <w:noProof/>
                <w:webHidden/>
              </w:rPr>
              <w:fldChar w:fldCharType="begin"/>
            </w:r>
            <w:r>
              <w:rPr>
                <w:noProof/>
                <w:webHidden/>
              </w:rPr>
              <w:instrText xml:space="preserve"> PAGEREF _Toc205884863 \h </w:instrText>
            </w:r>
            <w:r>
              <w:rPr>
                <w:noProof/>
                <w:webHidden/>
              </w:rPr>
            </w:r>
            <w:r>
              <w:rPr>
                <w:noProof/>
                <w:webHidden/>
              </w:rPr>
              <w:fldChar w:fldCharType="separate"/>
            </w:r>
            <w:r w:rsidR="00533FCD">
              <w:rPr>
                <w:noProof/>
                <w:webHidden/>
              </w:rPr>
              <w:t>14</w:t>
            </w:r>
            <w:r>
              <w:rPr>
                <w:noProof/>
                <w:webHidden/>
              </w:rPr>
              <w:fldChar w:fldCharType="end"/>
            </w:r>
          </w:hyperlink>
        </w:p>
        <w:p w14:paraId="2C8C155E" w14:textId="00437A28"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64" w:history="1">
            <w:r w:rsidRPr="00AC001E">
              <w:rPr>
                <w:rStyle w:val="Hyperlink"/>
                <w:noProof/>
              </w:rPr>
              <w:t>Executive Summary</w:t>
            </w:r>
            <w:r>
              <w:rPr>
                <w:noProof/>
                <w:webHidden/>
              </w:rPr>
              <w:tab/>
            </w:r>
            <w:r>
              <w:rPr>
                <w:noProof/>
                <w:webHidden/>
              </w:rPr>
              <w:fldChar w:fldCharType="begin"/>
            </w:r>
            <w:r>
              <w:rPr>
                <w:noProof/>
                <w:webHidden/>
              </w:rPr>
              <w:instrText xml:space="preserve"> PAGEREF _Toc205884864 \h </w:instrText>
            </w:r>
            <w:r>
              <w:rPr>
                <w:noProof/>
                <w:webHidden/>
              </w:rPr>
            </w:r>
            <w:r>
              <w:rPr>
                <w:noProof/>
                <w:webHidden/>
              </w:rPr>
              <w:fldChar w:fldCharType="separate"/>
            </w:r>
            <w:r w:rsidR="00533FCD">
              <w:rPr>
                <w:noProof/>
                <w:webHidden/>
              </w:rPr>
              <w:t>16</w:t>
            </w:r>
            <w:r>
              <w:rPr>
                <w:noProof/>
                <w:webHidden/>
              </w:rPr>
              <w:fldChar w:fldCharType="end"/>
            </w:r>
          </w:hyperlink>
        </w:p>
        <w:p w14:paraId="151C9051" w14:textId="44B2227E"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65" w:history="1">
            <w:r w:rsidRPr="00AC001E">
              <w:rPr>
                <w:rStyle w:val="Hyperlink"/>
                <w:noProof/>
                <w:lang w:val="en-GB"/>
              </w:rPr>
              <w:t>Management of Digital Devices</w:t>
            </w:r>
            <w:r>
              <w:rPr>
                <w:noProof/>
                <w:webHidden/>
              </w:rPr>
              <w:tab/>
            </w:r>
            <w:r>
              <w:rPr>
                <w:noProof/>
                <w:webHidden/>
              </w:rPr>
              <w:fldChar w:fldCharType="begin"/>
            </w:r>
            <w:r>
              <w:rPr>
                <w:noProof/>
                <w:webHidden/>
              </w:rPr>
              <w:instrText xml:space="preserve"> PAGEREF _Toc205884865 \h </w:instrText>
            </w:r>
            <w:r>
              <w:rPr>
                <w:noProof/>
                <w:webHidden/>
              </w:rPr>
            </w:r>
            <w:r>
              <w:rPr>
                <w:noProof/>
                <w:webHidden/>
              </w:rPr>
              <w:fldChar w:fldCharType="separate"/>
            </w:r>
            <w:r w:rsidR="00533FCD">
              <w:rPr>
                <w:noProof/>
                <w:webHidden/>
              </w:rPr>
              <w:t>19</w:t>
            </w:r>
            <w:r>
              <w:rPr>
                <w:noProof/>
                <w:webHidden/>
              </w:rPr>
              <w:fldChar w:fldCharType="end"/>
            </w:r>
          </w:hyperlink>
        </w:p>
        <w:p w14:paraId="03D92CC0" w14:textId="7D414FBF"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66" w:history="1">
            <w:r w:rsidRPr="00AC001E">
              <w:rPr>
                <w:rStyle w:val="Hyperlink"/>
                <w:noProof/>
                <w:lang w:val="en-GB"/>
              </w:rPr>
              <w:t>Child Safety Training</w:t>
            </w:r>
            <w:r>
              <w:rPr>
                <w:noProof/>
                <w:webHidden/>
              </w:rPr>
              <w:tab/>
            </w:r>
            <w:r>
              <w:rPr>
                <w:noProof/>
                <w:webHidden/>
              </w:rPr>
              <w:fldChar w:fldCharType="begin"/>
            </w:r>
            <w:r>
              <w:rPr>
                <w:noProof/>
                <w:webHidden/>
              </w:rPr>
              <w:instrText xml:space="preserve"> PAGEREF _Toc205884866 \h </w:instrText>
            </w:r>
            <w:r>
              <w:rPr>
                <w:noProof/>
                <w:webHidden/>
              </w:rPr>
            </w:r>
            <w:r>
              <w:rPr>
                <w:noProof/>
                <w:webHidden/>
              </w:rPr>
              <w:fldChar w:fldCharType="separate"/>
            </w:r>
            <w:r w:rsidR="00533FCD">
              <w:rPr>
                <w:noProof/>
                <w:webHidden/>
              </w:rPr>
              <w:t>20</w:t>
            </w:r>
            <w:r>
              <w:rPr>
                <w:noProof/>
                <w:webHidden/>
              </w:rPr>
              <w:fldChar w:fldCharType="end"/>
            </w:r>
          </w:hyperlink>
        </w:p>
        <w:p w14:paraId="3D967381" w14:textId="25D57AD2"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67" w:history="1">
            <w:r w:rsidRPr="00AC001E">
              <w:rPr>
                <w:rStyle w:val="Hyperlink"/>
                <w:noProof/>
                <w:lang w:val="en-GB"/>
              </w:rPr>
              <w:t>Responding to educator and staff member conduct</w:t>
            </w:r>
            <w:r>
              <w:rPr>
                <w:noProof/>
                <w:webHidden/>
              </w:rPr>
              <w:tab/>
            </w:r>
            <w:r>
              <w:rPr>
                <w:noProof/>
                <w:webHidden/>
              </w:rPr>
              <w:fldChar w:fldCharType="begin"/>
            </w:r>
            <w:r>
              <w:rPr>
                <w:noProof/>
                <w:webHidden/>
              </w:rPr>
              <w:instrText xml:space="preserve"> PAGEREF _Toc205884867 \h </w:instrText>
            </w:r>
            <w:r>
              <w:rPr>
                <w:noProof/>
                <w:webHidden/>
              </w:rPr>
            </w:r>
            <w:r>
              <w:rPr>
                <w:noProof/>
                <w:webHidden/>
              </w:rPr>
              <w:fldChar w:fldCharType="separate"/>
            </w:r>
            <w:r w:rsidR="00533FCD">
              <w:rPr>
                <w:noProof/>
                <w:webHidden/>
              </w:rPr>
              <w:t>22</w:t>
            </w:r>
            <w:r>
              <w:rPr>
                <w:noProof/>
                <w:webHidden/>
              </w:rPr>
              <w:fldChar w:fldCharType="end"/>
            </w:r>
          </w:hyperlink>
        </w:p>
        <w:p w14:paraId="4FD9E6B7" w14:textId="615D164F"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68" w:history="1">
            <w:r w:rsidRPr="00AC001E">
              <w:rPr>
                <w:rStyle w:val="Hyperlink"/>
                <w:noProof/>
                <w:lang w:val="en-GB"/>
              </w:rPr>
              <w:t>Working with Children Checks</w:t>
            </w:r>
            <w:r>
              <w:rPr>
                <w:noProof/>
                <w:webHidden/>
              </w:rPr>
              <w:tab/>
            </w:r>
            <w:r>
              <w:rPr>
                <w:noProof/>
                <w:webHidden/>
              </w:rPr>
              <w:fldChar w:fldCharType="begin"/>
            </w:r>
            <w:r>
              <w:rPr>
                <w:noProof/>
                <w:webHidden/>
              </w:rPr>
              <w:instrText xml:space="preserve"> PAGEREF _Toc205884868 \h </w:instrText>
            </w:r>
            <w:r>
              <w:rPr>
                <w:noProof/>
                <w:webHidden/>
              </w:rPr>
            </w:r>
            <w:r>
              <w:rPr>
                <w:noProof/>
                <w:webHidden/>
              </w:rPr>
              <w:fldChar w:fldCharType="separate"/>
            </w:r>
            <w:r w:rsidR="00533FCD">
              <w:rPr>
                <w:noProof/>
                <w:webHidden/>
              </w:rPr>
              <w:t>26</w:t>
            </w:r>
            <w:r>
              <w:rPr>
                <w:noProof/>
                <w:webHidden/>
              </w:rPr>
              <w:fldChar w:fldCharType="end"/>
            </w:r>
          </w:hyperlink>
        </w:p>
        <w:p w14:paraId="7574E5ED" w14:textId="351FF831"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69" w:history="1">
            <w:r w:rsidRPr="00AC001E">
              <w:rPr>
                <w:rStyle w:val="Hyperlink"/>
                <w:noProof/>
                <w:lang w:val="en-GB"/>
              </w:rPr>
              <w:t>Improving the safety of the physical service environment</w:t>
            </w:r>
            <w:r>
              <w:rPr>
                <w:noProof/>
                <w:webHidden/>
              </w:rPr>
              <w:tab/>
            </w:r>
            <w:r>
              <w:rPr>
                <w:noProof/>
                <w:webHidden/>
              </w:rPr>
              <w:fldChar w:fldCharType="begin"/>
            </w:r>
            <w:r>
              <w:rPr>
                <w:noProof/>
                <w:webHidden/>
              </w:rPr>
              <w:instrText xml:space="preserve"> PAGEREF _Toc205884869 \h </w:instrText>
            </w:r>
            <w:r>
              <w:rPr>
                <w:noProof/>
                <w:webHidden/>
              </w:rPr>
            </w:r>
            <w:r>
              <w:rPr>
                <w:noProof/>
                <w:webHidden/>
              </w:rPr>
              <w:fldChar w:fldCharType="separate"/>
            </w:r>
            <w:r w:rsidR="00533FCD">
              <w:rPr>
                <w:noProof/>
                <w:webHidden/>
              </w:rPr>
              <w:t>28</w:t>
            </w:r>
            <w:r>
              <w:rPr>
                <w:noProof/>
                <w:webHidden/>
              </w:rPr>
              <w:fldChar w:fldCharType="end"/>
            </w:r>
          </w:hyperlink>
        </w:p>
        <w:p w14:paraId="20A5A112" w14:textId="456F32BB"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70" w:history="1">
            <w:r w:rsidRPr="00AC001E">
              <w:rPr>
                <w:rStyle w:val="Hyperlink"/>
                <w:noProof/>
              </w:rPr>
              <w:t>Guide to the Child Safety Review Decision Regulation Impact Statement</w:t>
            </w:r>
            <w:r>
              <w:rPr>
                <w:noProof/>
                <w:webHidden/>
              </w:rPr>
              <w:tab/>
            </w:r>
            <w:r>
              <w:rPr>
                <w:noProof/>
                <w:webHidden/>
              </w:rPr>
              <w:fldChar w:fldCharType="begin"/>
            </w:r>
            <w:r>
              <w:rPr>
                <w:noProof/>
                <w:webHidden/>
              </w:rPr>
              <w:instrText xml:space="preserve"> PAGEREF _Toc205884870 \h </w:instrText>
            </w:r>
            <w:r>
              <w:rPr>
                <w:noProof/>
                <w:webHidden/>
              </w:rPr>
            </w:r>
            <w:r>
              <w:rPr>
                <w:noProof/>
                <w:webHidden/>
              </w:rPr>
              <w:fldChar w:fldCharType="separate"/>
            </w:r>
            <w:r w:rsidR="00533FCD">
              <w:rPr>
                <w:noProof/>
                <w:webHidden/>
              </w:rPr>
              <w:t>35</w:t>
            </w:r>
            <w:r>
              <w:rPr>
                <w:noProof/>
                <w:webHidden/>
              </w:rPr>
              <w:fldChar w:fldCharType="end"/>
            </w:r>
          </w:hyperlink>
        </w:p>
        <w:p w14:paraId="0D20FFA4" w14:textId="7219BC56"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71" w:history="1">
            <w:r w:rsidRPr="00AC001E">
              <w:rPr>
                <w:rStyle w:val="Hyperlink"/>
                <w:noProof/>
                <w:lang w:val="en-GB"/>
              </w:rPr>
              <w:t>What is a regulation impact statement?</w:t>
            </w:r>
            <w:r>
              <w:rPr>
                <w:noProof/>
                <w:webHidden/>
              </w:rPr>
              <w:tab/>
            </w:r>
            <w:r>
              <w:rPr>
                <w:noProof/>
                <w:webHidden/>
              </w:rPr>
              <w:fldChar w:fldCharType="begin"/>
            </w:r>
            <w:r>
              <w:rPr>
                <w:noProof/>
                <w:webHidden/>
              </w:rPr>
              <w:instrText xml:space="preserve"> PAGEREF _Toc205884871 \h </w:instrText>
            </w:r>
            <w:r>
              <w:rPr>
                <w:noProof/>
                <w:webHidden/>
              </w:rPr>
            </w:r>
            <w:r>
              <w:rPr>
                <w:noProof/>
                <w:webHidden/>
              </w:rPr>
              <w:fldChar w:fldCharType="separate"/>
            </w:r>
            <w:r w:rsidR="00533FCD">
              <w:rPr>
                <w:noProof/>
                <w:webHidden/>
              </w:rPr>
              <w:t>35</w:t>
            </w:r>
            <w:r>
              <w:rPr>
                <w:noProof/>
                <w:webHidden/>
              </w:rPr>
              <w:fldChar w:fldCharType="end"/>
            </w:r>
          </w:hyperlink>
        </w:p>
        <w:p w14:paraId="45FBF0B9" w14:textId="2191C445"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72" w:history="1">
            <w:r w:rsidRPr="00AC001E">
              <w:rPr>
                <w:rStyle w:val="Hyperlink"/>
                <w:noProof/>
                <w:lang w:val="en-GB"/>
              </w:rPr>
              <w:t>Guide to the DRIS</w:t>
            </w:r>
            <w:r>
              <w:rPr>
                <w:noProof/>
                <w:webHidden/>
              </w:rPr>
              <w:tab/>
            </w:r>
            <w:r>
              <w:rPr>
                <w:noProof/>
                <w:webHidden/>
              </w:rPr>
              <w:fldChar w:fldCharType="begin"/>
            </w:r>
            <w:r>
              <w:rPr>
                <w:noProof/>
                <w:webHidden/>
              </w:rPr>
              <w:instrText xml:space="preserve"> PAGEREF _Toc205884872 \h </w:instrText>
            </w:r>
            <w:r>
              <w:rPr>
                <w:noProof/>
                <w:webHidden/>
              </w:rPr>
            </w:r>
            <w:r>
              <w:rPr>
                <w:noProof/>
                <w:webHidden/>
              </w:rPr>
              <w:fldChar w:fldCharType="separate"/>
            </w:r>
            <w:r w:rsidR="00533FCD">
              <w:rPr>
                <w:noProof/>
                <w:webHidden/>
              </w:rPr>
              <w:t>36</w:t>
            </w:r>
            <w:r>
              <w:rPr>
                <w:noProof/>
                <w:webHidden/>
              </w:rPr>
              <w:fldChar w:fldCharType="end"/>
            </w:r>
          </w:hyperlink>
        </w:p>
        <w:p w14:paraId="6D4EC13F" w14:textId="14A73AB6"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73" w:history="1">
            <w:r w:rsidRPr="00AC001E">
              <w:rPr>
                <w:rStyle w:val="Hyperlink"/>
                <w:noProof/>
              </w:rPr>
              <w:t>1. Introduction</w:t>
            </w:r>
            <w:r>
              <w:rPr>
                <w:noProof/>
                <w:webHidden/>
              </w:rPr>
              <w:tab/>
            </w:r>
            <w:r>
              <w:rPr>
                <w:noProof/>
                <w:webHidden/>
              </w:rPr>
              <w:fldChar w:fldCharType="begin"/>
            </w:r>
            <w:r>
              <w:rPr>
                <w:noProof/>
                <w:webHidden/>
              </w:rPr>
              <w:instrText xml:space="preserve"> PAGEREF _Toc205884873 \h </w:instrText>
            </w:r>
            <w:r>
              <w:rPr>
                <w:noProof/>
                <w:webHidden/>
              </w:rPr>
            </w:r>
            <w:r>
              <w:rPr>
                <w:noProof/>
                <w:webHidden/>
              </w:rPr>
              <w:fldChar w:fldCharType="separate"/>
            </w:r>
            <w:r w:rsidR="00533FCD">
              <w:rPr>
                <w:noProof/>
                <w:webHidden/>
              </w:rPr>
              <w:t>39</w:t>
            </w:r>
            <w:r>
              <w:rPr>
                <w:noProof/>
                <w:webHidden/>
              </w:rPr>
              <w:fldChar w:fldCharType="end"/>
            </w:r>
          </w:hyperlink>
        </w:p>
        <w:p w14:paraId="01587824" w14:textId="5D8C378F"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74" w:history="1">
            <w:r w:rsidRPr="00AC001E">
              <w:rPr>
                <w:rStyle w:val="Hyperlink"/>
                <w:noProof/>
              </w:rPr>
              <w:t>1.1 The National Quality Framework</w:t>
            </w:r>
            <w:r>
              <w:rPr>
                <w:noProof/>
                <w:webHidden/>
              </w:rPr>
              <w:tab/>
            </w:r>
            <w:r>
              <w:rPr>
                <w:noProof/>
                <w:webHidden/>
              </w:rPr>
              <w:fldChar w:fldCharType="begin"/>
            </w:r>
            <w:r>
              <w:rPr>
                <w:noProof/>
                <w:webHidden/>
              </w:rPr>
              <w:instrText xml:space="preserve"> PAGEREF _Toc205884874 \h </w:instrText>
            </w:r>
            <w:r>
              <w:rPr>
                <w:noProof/>
                <w:webHidden/>
              </w:rPr>
            </w:r>
            <w:r>
              <w:rPr>
                <w:noProof/>
                <w:webHidden/>
              </w:rPr>
              <w:fldChar w:fldCharType="separate"/>
            </w:r>
            <w:r w:rsidR="00533FCD">
              <w:rPr>
                <w:noProof/>
                <w:webHidden/>
              </w:rPr>
              <w:t>40</w:t>
            </w:r>
            <w:r>
              <w:rPr>
                <w:noProof/>
                <w:webHidden/>
              </w:rPr>
              <w:fldChar w:fldCharType="end"/>
            </w:r>
          </w:hyperlink>
        </w:p>
        <w:p w14:paraId="3A05A012" w14:textId="0E9E8844"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75" w:history="1">
            <w:r w:rsidRPr="00AC001E">
              <w:rPr>
                <w:rStyle w:val="Hyperlink"/>
                <w:noProof/>
              </w:rPr>
              <w:t>1.2 The education and care sector</w:t>
            </w:r>
            <w:r>
              <w:rPr>
                <w:noProof/>
                <w:webHidden/>
              </w:rPr>
              <w:tab/>
            </w:r>
            <w:r>
              <w:rPr>
                <w:noProof/>
                <w:webHidden/>
              </w:rPr>
              <w:fldChar w:fldCharType="begin"/>
            </w:r>
            <w:r>
              <w:rPr>
                <w:noProof/>
                <w:webHidden/>
              </w:rPr>
              <w:instrText xml:space="preserve"> PAGEREF _Toc205884875 \h </w:instrText>
            </w:r>
            <w:r>
              <w:rPr>
                <w:noProof/>
                <w:webHidden/>
              </w:rPr>
            </w:r>
            <w:r>
              <w:rPr>
                <w:noProof/>
                <w:webHidden/>
              </w:rPr>
              <w:fldChar w:fldCharType="separate"/>
            </w:r>
            <w:r w:rsidR="00533FCD">
              <w:rPr>
                <w:noProof/>
                <w:webHidden/>
              </w:rPr>
              <w:t>44</w:t>
            </w:r>
            <w:r>
              <w:rPr>
                <w:noProof/>
                <w:webHidden/>
              </w:rPr>
              <w:fldChar w:fldCharType="end"/>
            </w:r>
          </w:hyperlink>
        </w:p>
        <w:p w14:paraId="04DAA5B7" w14:textId="534BA755"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76" w:history="1">
            <w:r w:rsidRPr="00AC001E">
              <w:rPr>
                <w:rStyle w:val="Hyperlink"/>
                <w:noProof/>
              </w:rPr>
              <w:t>1.3 What is the case for change?</w:t>
            </w:r>
            <w:r>
              <w:rPr>
                <w:noProof/>
                <w:webHidden/>
              </w:rPr>
              <w:tab/>
            </w:r>
            <w:r>
              <w:rPr>
                <w:noProof/>
                <w:webHidden/>
              </w:rPr>
              <w:fldChar w:fldCharType="begin"/>
            </w:r>
            <w:r>
              <w:rPr>
                <w:noProof/>
                <w:webHidden/>
              </w:rPr>
              <w:instrText xml:space="preserve"> PAGEREF _Toc205884876 \h </w:instrText>
            </w:r>
            <w:r>
              <w:rPr>
                <w:noProof/>
                <w:webHidden/>
              </w:rPr>
            </w:r>
            <w:r>
              <w:rPr>
                <w:noProof/>
                <w:webHidden/>
              </w:rPr>
              <w:fldChar w:fldCharType="separate"/>
            </w:r>
            <w:r w:rsidR="00533FCD">
              <w:rPr>
                <w:noProof/>
                <w:webHidden/>
              </w:rPr>
              <w:t>46</w:t>
            </w:r>
            <w:r>
              <w:rPr>
                <w:noProof/>
                <w:webHidden/>
              </w:rPr>
              <w:fldChar w:fldCharType="end"/>
            </w:r>
          </w:hyperlink>
        </w:p>
        <w:p w14:paraId="53140DE2" w14:textId="1BA7E7A7"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77" w:history="1">
            <w:r w:rsidRPr="00AC001E">
              <w:rPr>
                <w:rStyle w:val="Hyperlink"/>
                <w:noProof/>
              </w:rPr>
              <w:t>2. The case for government intervention</w:t>
            </w:r>
            <w:r>
              <w:rPr>
                <w:noProof/>
                <w:webHidden/>
              </w:rPr>
              <w:tab/>
            </w:r>
            <w:r>
              <w:rPr>
                <w:noProof/>
                <w:webHidden/>
              </w:rPr>
              <w:fldChar w:fldCharType="begin"/>
            </w:r>
            <w:r>
              <w:rPr>
                <w:noProof/>
                <w:webHidden/>
              </w:rPr>
              <w:instrText xml:space="preserve"> PAGEREF _Toc205884877 \h </w:instrText>
            </w:r>
            <w:r>
              <w:rPr>
                <w:noProof/>
                <w:webHidden/>
              </w:rPr>
            </w:r>
            <w:r>
              <w:rPr>
                <w:noProof/>
                <w:webHidden/>
              </w:rPr>
              <w:fldChar w:fldCharType="separate"/>
            </w:r>
            <w:r w:rsidR="00533FCD">
              <w:rPr>
                <w:noProof/>
                <w:webHidden/>
              </w:rPr>
              <w:t>52</w:t>
            </w:r>
            <w:r>
              <w:rPr>
                <w:noProof/>
                <w:webHidden/>
              </w:rPr>
              <w:fldChar w:fldCharType="end"/>
            </w:r>
          </w:hyperlink>
        </w:p>
        <w:p w14:paraId="43657DFA" w14:textId="19A7ECC0"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78" w:history="1">
            <w:r w:rsidRPr="00AC001E">
              <w:rPr>
                <w:rStyle w:val="Hyperlink"/>
                <w:noProof/>
              </w:rPr>
              <w:t>3. Summary of public consultation process</w:t>
            </w:r>
            <w:r>
              <w:rPr>
                <w:noProof/>
                <w:webHidden/>
              </w:rPr>
              <w:tab/>
            </w:r>
            <w:r>
              <w:rPr>
                <w:noProof/>
                <w:webHidden/>
              </w:rPr>
              <w:fldChar w:fldCharType="begin"/>
            </w:r>
            <w:r>
              <w:rPr>
                <w:noProof/>
                <w:webHidden/>
              </w:rPr>
              <w:instrText xml:space="preserve"> PAGEREF _Toc205884878 \h </w:instrText>
            </w:r>
            <w:r>
              <w:rPr>
                <w:noProof/>
                <w:webHidden/>
              </w:rPr>
            </w:r>
            <w:r>
              <w:rPr>
                <w:noProof/>
                <w:webHidden/>
              </w:rPr>
              <w:fldChar w:fldCharType="separate"/>
            </w:r>
            <w:r w:rsidR="00533FCD">
              <w:rPr>
                <w:noProof/>
                <w:webHidden/>
              </w:rPr>
              <w:t>56</w:t>
            </w:r>
            <w:r>
              <w:rPr>
                <w:noProof/>
                <w:webHidden/>
              </w:rPr>
              <w:fldChar w:fldCharType="end"/>
            </w:r>
          </w:hyperlink>
        </w:p>
        <w:p w14:paraId="279EC8B9" w14:textId="54C331A3"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79" w:history="1">
            <w:r w:rsidRPr="00AC001E">
              <w:rPr>
                <w:rStyle w:val="Hyperlink"/>
                <w:noProof/>
              </w:rPr>
              <w:t>3.1 Pre-CRIS consultations</w:t>
            </w:r>
            <w:r>
              <w:rPr>
                <w:noProof/>
                <w:webHidden/>
              </w:rPr>
              <w:tab/>
            </w:r>
            <w:r>
              <w:rPr>
                <w:noProof/>
                <w:webHidden/>
              </w:rPr>
              <w:fldChar w:fldCharType="begin"/>
            </w:r>
            <w:r>
              <w:rPr>
                <w:noProof/>
                <w:webHidden/>
              </w:rPr>
              <w:instrText xml:space="preserve"> PAGEREF _Toc205884879 \h </w:instrText>
            </w:r>
            <w:r>
              <w:rPr>
                <w:noProof/>
                <w:webHidden/>
              </w:rPr>
            </w:r>
            <w:r>
              <w:rPr>
                <w:noProof/>
                <w:webHidden/>
              </w:rPr>
              <w:fldChar w:fldCharType="separate"/>
            </w:r>
            <w:r w:rsidR="00533FCD">
              <w:rPr>
                <w:noProof/>
                <w:webHidden/>
              </w:rPr>
              <w:t>57</w:t>
            </w:r>
            <w:r>
              <w:rPr>
                <w:noProof/>
                <w:webHidden/>
              </w:rPr>
              <w:fldChar w:fldCharType="end"/>
            </w:r>
          </w:hyperlink>
        </w:p>
        <w:p w14:paraId="11872013" w14:textId="3747721F"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80" w:history="1">
            <w:r w:rsidRPr="00AC001E">
              <w:rPr>
                <w:rStyle w:val="Hyperlink"/>
                <w:noProof/>
              </w:rPr>
              <w:t>3.2 Public consultation</w:t>
            </w:r>
            <w:r>
              <w:rPr>
                <w:noProof/>
                <w:webHidden/>
              </w:rPr>
              <w:tab/>
            </w:r>
            <w:r>
              <w:rPr>
                <w:noProof/>
                <w:webHidden/>
              </w:rPr>
              <w:fldChar w:fldCharType="begin"/>
            </w:r>
            <w:r>
              <w:rPr>
                <w:noProof/>
                <w:webHidden/>
              </w:rPr>
              <w:instrText xml:space="preserve"> PAGEREF _Toc205884880 \h </w:instrText>
            </w:r>
            <w:r>
              <w:rPr>
                <w:noProof/>
                <w:webHidden/>
              </w:rPr>
            </w:r>
            <w:r>
              <w:rPr>
                <w:noProof/>
                <w:webHidden/>
              </w:rPr>
              <w:fldChar w:fldCharType="separate"/>
            </w:r>
            <w:r w:rsidR="00533FCD">
              <w:rPr>
                <w:noProof/>
                <w:webHidden/>
              </w:rPr>
              <w:t>58</w:t>
            </w:r>
            <w:r>
              <w:rPr>
                <w:noProof/>
                <w:webHidden/>
              </w:rPr>
              <w:fldChar w:fldCharType="end"/>
            </w:r>
          </w:hyperlink>
        </w:p>
        <w:p w14:paraId="07E63B98" w14:textId="3C466A9A"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81" w:history="1">
            <w:r w:rsidRPr="00AC001E">
              <w:rPr>
                <w:rStyle w:val="Hyperlink"/>
                <w:noProof/>
              </w:rPr>
              <w:t>3.3 Evaluating the public consultation evidence base</w:t>
            </w:r>
            <w:r>
              <w:rPr>
                <w:noProof/>
                <w:webHidden/>
              </w:rPr>
              <w:tab/>
            </w:r>
            <w:r>
              <w:rPr>
                <w:noProof/>
                <w:webHidden/>
              </w:rPr>
              <w:fldChar w:fldCharType="begin"/>
            </w:r>
            <w:r>
              <w:rPr>
                <w:noProof/>
                <w:webHidden/>
              </w:rPr>
              <w:instrText xml:space="preserve"> PAGEREF _Toc205884881 \h </w:instrText>
            </w:r>
            <w:r>
              <w:rPr>
                <w:noProof/>
                <w:webHidden/>
              </w:rPr>
            </w:r>
            <w:r>
              <w:rPr>
                <w:noProof/>
                <w:webHidden/>
              </w:rPr>
              <w:fldChar w:fldCharType="separate"/>
            </w:r>
            <w:r w:rsidR="00533FCD">
              <w:rPr>
                <w:noProof/>
                <w:webHidden/>
              </w:rPr>
              <w:t>62</w:t>
            </w:r>
            <w:r>
              <w:rPr>
                <w:noProof/>
                <w:webHidden/>
              </w:rPr>
              <w:fldChar w:fldCharType="end"/>
            </w:r>
          </w:hyperlink>
        </w:p>
        <w:p w14:paraId="2688DCA9" w14:textId="320E0266"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82" w:history="1">
            <w:r w:rsidRPr="00AC001E">
              <w:rPr>
                <w:rStyle w:val="Hyperlink"/>
                <w:noProof/>
              </w:rPr>
              <w:t>3.4 General insights from public consultation</w:t>
            </w:r>
            <w:r>
              <w:rPr>
                <w:noProof/>
                <w:webHidden/>
              </w:rPr>
              <w:tab/>
            </w:r>
            <w:r>
              <w:rPr>
                <w:noProof/>
                <w:webHidden/>
              </w:rPr>
              <w:fldChar w:fldCharType="begin"/>
            </w:r>
            <w:r>
              <w:rPr>
                <w:noProof/>
                <w:webHidden/>
              </w:rPr>
              <w:instrText xml:space="preserve"> PAGEREF _Toc205884882 \h </w:instrText>
            </w:r>
            <w:r>
              <w:rPr>
                <w:noProof/>
                <w:webHidden/>
              </w:rPr>
            </w:r>
            <w:r>
              <w:rPr>
                <w:noProof/>
                <w:webHidden/>
              </w:rPr>
              <w:fldChar w:fldCharType="separate"/>
            </w:r>
            <w:r w:rsidR="00533FCD">
              <w:rPr>
                <w:noProof/>
                <w:webHidden/>
              </w:rPr>
              <w:t>64</w:t>
            </w:r>
            <w:r>
              <w:rPr>
                <w:noProof/>
                <w:webHidden/>
              </w:rPr>
              <w:fldChar w:fldCharType="end"/>
            </w:r>
          </w:hyperlink>
        </w:p>
        <w:p w14:paraId="6B85F9D6" w14:textId="436E948E"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83" w:history="1">
            <w:r w:rsidRPr="00AC001E">
              <w:rPr>
                <w:rStyle w:val="Hyperlink"/>
                <w:noProof/>
              </w:rPr>
              <w:t>4. Approach to impact analysis</w:t>
            </w:r>
            <w:r>
              <w:rPr>
                <w:noProof/>
                <w:webHidden/>
              </w:rPr>
              <w:tab/>
            </w:r>
            <w:r>
              <w:rPr>
                <w:noProof/>
                <w:webHidden/>
              </w:rPr>
              <w:fldChar w:fldCharType="begin"/>
            </w:r>
            <w:r>
              <w:rPr>
                <w:noProof/>
                <w:webHidden/>
              </w:rPr>
              <w:instrText xml:space="preserve"> PAGEREF _Toc205884883 \h </w:instrText>
            </w:r>
            <w:r>
              <w:rPr>
                <w:noProof/>
                <w:webHidden/>
              </w:rPr>
            </w:r>
            <w:r>
              <w:rPr>
                <w:noProof/>
                <w:webHidden/>
              </w:rPr>
              <w:fldChar w:fldCharType="separate"/>
            </w:r>
            <w:r w:rsidR="00533FCD">
              <w:rPr>
                <w:noProof/>
                <w:webHidden/>
              </w:rPr>
              <w:t>66</w:t>
            </w:r>
            <w:r>
              <w:rPr>
                <w:noProof/>
                <w:webHidden/>
              </w:rPr>
              <w:fldChar w:fldCharType="end"/>
            </w:r>
          </w:hyperlink>
        </w:p>
        <w:p w14:paraId="0DCE7AA9" w14:textId="06DBAB28"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84" w:history="1">
            <w:r w:rsidRPr="00AC001E">
              <w:rPr>
                <w:rStyle w:val="Hyperlink"/>
                <w:noProof/>
              </w:rPr>
              <w:t>Multi-criteria analysis approach</w:t>
            </w:r>
            <w:r>
              <w:rPr>
                <w:noProof/>
                <w:webHidden/>
              </w:rPr>
              <w:tab/>
            </w:r>
            <w:r>
              <w:rPr>
                <w:noProof/>
                <w:webHidden/>
              </w:rPr>
              <w:fldChar w:fldCharType="begin"/>
            </w:r>
            <w:r>
              <w:rPr>
                <w:noProof/>
                <w:webHidden/>
              </w:rPr>
              <w:instrText xml:space="preserve"> PAGEREF _Toc205884884 \h </w:instrText>
            </w:r>
            <w:r>
              <w:rPr>
                <w:noProof/>
                <w:webHidden/>
              </w:rPr>
            </w:r>
            <w:r>
              <w:rPr>
                <w:noProof/>
                <w:webHidden/>
              </w:rPr>
              <w:fldChar w:fldCharType="separate"/>
            </w:r>
            <w:r w:rsidR="00533FCD">
              <w:rPr>
                <w:noProof/>
                <w:webHidden/>
              </w:rPr>
              <w:t>66</w:t>
            </w:r>
            <w:r>
              <w:rPr>
                <w:noProof/>
                <w:webHidden/>
              </w:rPr>
              <w:fldChar w:fldCharType="end"/>
            </w:r>
          </w:hyperlink>
        </w:p>
        <w:p w14:paraId="454458DF" w14:textId="5A192120"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85" w:history="1">
            <w:r w:rsidRPr="00AC001E">
              <w:rPr>
                <w:rStyle w:val="Hyperlink"/>
                <w:noProof/>
              </w:rPr>
              <w:t>Break-even analysis approach</w:t>
            </w:r>
            <w:r>
              <w:rPr>
                <w:noProof/>
                <w:webHidden/>
              </w:rPr>
              <w:tab/>
            </w:r>
            <w:r>
              <w:rPr>
                <w:noProof/>
                <w:webHidden/>
              </w:rPr>
              <w:fldChar w:fldCharType="begin"/>
            </w:r>
            <w:r>
              <w:rPr>
                <w:noProof/>
                <w:webHidden/>
              </w:rPr>
              <w:instrText xml:space="preserve"> PAGEREF _Toc205884885 \h </w:instrText>
            </w:r>
            <w:r>
              <w:rPr>
                <w:noProof/>
                <w:webHidden/>
              </w:rPr>
            </w:r>
            <w:r>
              <w:rPr>
                <w:noProof/>
                <w:webHidden/>
              </w:rPr>
              <w:fldChar w:fldCharType="separate"/>
            </w:r>
            <w:r w:rsidR="00533FCD">
              <w:rPr>
                <w:noProof/>
                <w:webHidden/>
              </w:rPr>
              <w:t>70</w:t>
            </w:r>
            <w:r>
              <w:rPr>
                <w:noProof/>
                <w:webHidden/>
              </w:rPr>
              <w:fldChar w:fldCharType="end"/>
            </w:r>
          </w:hyperlink>
        </w:p>
        <w:p w14:paraId="6A1234AE" w14:textId="79513E92" w:rsidR="00BC5276" w:rsidRDefault="0081654F">
          <w:pPr>
            <w:pStyle w:val="TOC1"/>
            <w:tabs>
              <w:tab w:val="right" w:leader="dot" w:pos="9010"/>
            </w:tabs>
            <w:rPr>
              <w:rFonts w:asciiTheme="minorHAnsi" w:eastAsiaTheme="minorEastAsia" w:hAnsiTheme="minorHAnsi"/>
              <w:noProof/>
              <w:kern w:val="2"/>
              <w:sz w:val="24"/>
              <w:lang w:eastAsia="en-AU"/>
              <w14:ligatures w14:val="standardContextual"/>
            </w:rPr>
          </w:pPr>
          <w:r>
            <w:rPr>
              <w:noProof/>
            </w:rPr>
            <mc:AlternateContent>
              <mc:Choice Requires="wps">
                <w:drawing>
                  <wp:anchor distT="45720" distB="45720" distL="114300" distR="114300" simplePos="0" relativeHeight="251662336" behindDoc="0" locked="0" layoutInCell="1" allowOverlap="1" wp14:anchorId="2E01B28F" wp14:editId="6A945310">
                    <wp:simplePos x="0" y="0"/>
                    <wp:positionH relativeFrom="margin">
                      <wp:align>center</wp:align>
                    </wp:positionH>
                    <wp:positionV relativeFrom="paragraph">
                      <wp:posOffset>416560</wp:posOffset>
                    </wp:positionV>
                    <wp:extent cx="2360930" cy="1404620"/>
                    <wp:effectExtent l="0" t="0" r="0" b="1905"/>
                    <wp:wrapNone/>
                    <wp:docPr id="797415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EE8F000" w14:textId="5177F2D0" w:rsidR="0081654F" w:rsidRDefault="0081654F" w:rsidP="0081654F">
                                <w:pPr>
                                  <w:jc w:val="center"/>
                                </w:pPr>
                                <w:r>
                                  <w:t>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01B28F" id="_x0000_s1028" type="#_x0000_t202" style="position:absolute;margin-left:0;margin-top:32.8pt;width:185.9pt;height:110.6pt;z-index:25166233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" filled="f" stroked="f">
                    <v:textbox style="mso-fit-shape-to-text:t">
                      <w:txbxContent>
                        <w:p w14:paraId="4EE8F000" w14:textId="5177F2D0" w:rsidR="0081654F" w:rsidRDefault="0081654F" w:rsidP="0081654F">
                          <w:pPr>
                            <w:jc w:val="center"/>
                          </w:pPr>
                          <w:r>
                            <w:t>3</w:t>
                          </w:r>
                        </w:p>
                      </w:txbxContent>
                    </v:textbox>
                    <w10:wrap anchorx="margin"/>
                  </v:shape>
                </w:pict>
              </mc:Fallback>
            </mc:AlternateContent>
          </w:r>
          <w:hyperlink w:anchor="_Toc205884886" w:history="1">
            <w:r w:rsidR="00BC5276" w:rsidRPr="00AC001E">
              <w:rPr>
                <w:rStyle w:val="Hyperlink"/>
                <w:noProof/>
              </w:rPr>
              <w:t>Analysis by area of reform</w:t>
            </w:r>
            <w:r w:rsidR="00BC5276">
              <w:rPr>
                <w:noProof/>
                <w:webHidden/>
              </w:rPr>
              <w:tab/>
            </w:r>
            <w:r w:rsidR="00BC5276">
              <w:rPr>
                <w:noProof/>
                <w:webHidden/>
              </w:rPr>
              <w:fldChar w:fldCharType="begin"/>
            </w:r>
            <w:r w:rsidR="00BC5276">
              <w:rPr>
                <w:noProof/>
                <w:webHidden/>
              </w:rPr>
              <w:instrText xml:space="preserve"> PAGEREF _Toc205884886 \h </w:instrText>
            </w:r>
            <w:r w:rsidR="00BC5276">
              <w:rPr>
                <w:noProof/>
                <w:webHidden/>
              </w:rPr>
            </w:r>
            <w:r w:rsidR="00BC5276">
              <w:rPr>
                <w:noProof/>
                <w:webHidden/>
              </w:rPr>
              <w:fldChar w:fldCharType="separate"/>
            </w:r>
            <w:r w:rsidR="00533FCD">
              <w:rPr>
                <w:noProof/>
                <w:webHidden/>
              </w:rPr>
              <w:t>75</w:t>
            </w:r>
            <w:r w:rsidR="00BC5276">
              <w:rPr>
                <w:noProof/>
                <w:webHidden/>
              </w:rPr>
              <w:fldChar w:fldCharType="end"/>
            </w:r>
          </w:hyperlink>
        </w:p>
        <w:p w14:paraId="577BF6F6" w14:textId="220803A7"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87" w:history="1">
            <w:r w:rsidRPr="00AC001E">
              <w:rPr>
                <w:rStyle w:val="Hyperlink"/>
                <w:noProof/>
              </w:rPr>
              <w:t>5. Management of digital devices</w:t>
            </w:r>
            <w:r>
              <w:rPr>
                <w:noProof/>
                <w:webHidden/>
              </w:rPr>
              <w:tab/>
            </w:r>
            <w:r>
              <w:rPr>
                <w:noProof/>
                <w:webHidden/>
              </w:rPr>
              <w:fldChar w:fldCharType="begin"/>
            </w:r>
            <w:r>
              <w:rPr>
                <w:noProof/>
                <w:webHidden/>
              </w:rPr>
              <w:instrText xml:space="preserve"> PAGEREF _Toc205884887 \h </w:instrText>
            </w:r>
            <w:r>
              <w:rPr>
                <w:noProof/>
                <w:webHidden/>
              </w:rPr>
            </w:r>
            <w:r>
              <w:rPr>
                <w:noProof/>
                <w:webHidden/>
              </w:rPr>
              <w:fldChar w:fldCharType="separate"/>
            </w:r>
            <w:r w:rsidR="00533FCD">
              <w:rPr>
                <w:noProof/>
                <w:webHidden/>
              </w:rPr>
              <w:t>76</w:t>
            </w:r>
            <w:r>
              <w:rPr>
                <w:noProof/>
                <w:webHidden/>
              </w:rPr>
              <w:fldChar w:fldCharType="end"/>
            </w:r>
          </w:hyperlink>
        </w:p>
        <w:p w14:paraId="49BE2FF5" w14:textId="71D2DF60"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88" w:history="1">
            <w:r w:rsidRPr="00AC001E">
              <w:rPr>
                <w:rStyle w:val="Hyperlink"/>
                <w:noProof/>
              </w:rPr>
              <w:t>5.1 Managing the use of digital devices</w:t>
            </w:r>
            <w:r>
              <w:rPr>
                <w:noProof/>
                <w:webHidden/>
              </w:rPr>
              <w:tab/>
            </w:r>
            <w:r>
              <w:rPr>
                <w:noProof/>
                <w:webHidden/>
              </w:rPr>
              <w:fldChar w:fldCharType="begin"/>
            </w:r>
            <w:r>
              <w:rPr>
                <w:noProof/>
                <w:webHidden/>
              </w:rPr>
              <w:instrText xml:space="preserve"> PAGEREF _Toc205884888 \h </w:instrText>
            </w:r>
            <w:r>
              <w:rPr>
                <w:noProof/>
                <w:webHidden/>
              </w:rPr>
            </w:r>
            <w:r>
              <w:rPr>
                <w:noProof/>
                <w:webHidden/>
              </w:rPr>
              <w:fldChar w:fldCharType="separate"/>
            </w:r>
            <w:r w:rsidR="00533FCD">
              <w:rPr>
                <w:noProof/>
                <w:webHidden/>
              </w:rPr>
              <w:t>77</w:t>
            </w:r>
            <w:r>
              <w:rPr>
                <w:noProof/>
                <w:webHidden/>
              </w:rPr>
              <w:fldChar w:fldCharType="end"/>
            </w:r>
          </w:hyperlink>
        </w:p>
        <w:p w14:paraId="204295C2" w14:textId="73533A26"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89" w:history="1">
            <w:r w:rsidRPr="00AC001E">
              <w:rPr>
                <w:rStyle w:val="Hyperlink"/>
                <w:noProof/>
              </w:rPr>
              <w:t>6. Child safety training</w:t>
            </w:r>
            <w:r>
              <w:rPr>
                <w:noProof/>
                <w:webHidden/>
              </w:rPr>
              <w:tab/>
            </w:r>
            <w:r>
              <w:rPr>
                <w:noProof/>
                <w:webHidden/>
              </w:rPr>
              <w:fldChar w:fldCharType="begin"/>
            </w:r>
            <w:r>
              <w:rPr>
                <w:noProof/>
                <w:webHidden/>
              </w:rPr>
              <w:instrText xml:space="preserve"> PAGEREF _Toc205884889 \h </w:instrText>
            </w:r>
            <w:r>
              <w:rPr>
                <w:noProof/>
                <w:webHidden/>
              </w:rPr>
            </w:r>
            <w:r>
              <w:rPr>
                <w:noProof/>
                <w:webHidden/>
              </w:rPr>
              <w:fldChar w:fldCharType="separate"/>
            </w:r>
            <w:r w:rsidR="00533FCD">
              <w:rPr>
                <w:noProof/>
                <w:webHidden/>
              </w:rPr>
              <w:t>102</w:t>
            </w:r>
            <w:r>
              <w:rPr>
                <w:noProof/>
                <w:webHidden/>
              </w:rPr>
              <w:fldChar w:fldCharType="end"/>
            </w:r>
          </w:hyperlink>
        </w:p>
        <w:p w14:paraId="3577FF74" w14:textId="7B8271A4"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90" w:history="1">
            <w:r w:rsidRPr="00AC001E">
              <w:rPr>
                <w:rStyle w:val="Hyperlink"/>
                <w:noProof/>
              </w:rPr>
              <w:t>6.1 Introducing mandatory child safety training</w:t>
            </w:r>
            <w:r>
              <w:rPr>
                <w:noProof/>
                <w:webHidden/>
              </w:rPr>
              <w:tab/>
            </w:r>
            <w:r>
              <w:rPr>
                <w:noProof/>
                <w:webHidden/>
              </w:rPr>
              <w:fldChar w:fldCharType="begin"/>
            </w:r>
            <w:r>
              <w:rPr>
                <w:noProof/>
                <w:webHidden/>
              </w:rPr>
              <w:instrText xml:space="preserve"> PAGEREF _Toc205884890 \h </w:instrText>
            </w:r>
            <w:r>
              <w:rPr>
                <w:noProof/>
                <w:webHidden/>
              </w:rPr>
            </w:r>
            <w:r>
              <w:rPr>
                <w:noProof/>
                <w:webHidden/>
              </w:rPr>
              <w:fldChar w:fldCharType="separate"/>
            </w:r>
            <w:r w:rsidR="00533FCD">
              <w:rPr>
                <w:noProof/>
                <w:webHidden/>
              </w:rPr>
              <w:t>102</w:t>
            </w:r>
            <w:r>
              <w:rPr>
                <w:noProof/>
                <w:webHidden/>
              </w:rPr>
              <w:fldChar w:fldCharType="end"/>
            </w:r>
          </w:hyperlink>
        </w:p>
        <w:p w14:paraId="578FE606" w14:textId="1F2DA4FE"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91" w:history="1">
            <w:r w:rsidRPr="00AC001E">
              <w:rPr>
                <w:rStyle w:val="Hyperlink"/>
                <w:noProof/>
              </w:rPr>
              <w:t>7. Responding to educator and staff member conduct</w:t>
            </w:r>
            <w:r>
              <w:rPr>
                <w:noProof/>
                <w:webHidden/>
              </w:rPr>
              <w:tab/>
            </w:r>
            <w:r>
              <w:rPr>
                <w:noProof/>
                <w:webHidden/>
              </w:rPr>
              <w:fldChar w:fldCharType="begin"/>
            </w:r>
            <w:r>
              <w:rPr>
                <w:noProof/>
                <w:webHidden/>
              </w:rPr>
              <w:instrText xml:space="preserve"> PAGEREF _Toc205884891 \h </w:instrText>
            </w:r>
            <w:r>
              <w:rPr>
                <w:noProof/>
                <w:webHidden/>
              </w:rPr>
            </w:r>
            <w:r>
              <w:rPr>
                <w:noProof/>
                <w:webHidden/>
              </w:rPr>
              <w:fldChar w:fldCharType="separate"/>
            </w:r>
            <w:r w:rsidR="00533FCD">
              <w:rPr>
                <w:noProof/>
                <w:webHidden/>
              </w:rPr>
              <w:t>132</w:t>
            </w:r>
            <w:r>
              <w:rPr>
                <w:noProof/>
                <w:webHidden/>
              </w:rPr>
              <w:fldChar w:fldCharType="end"/>
            </w:r>
          </w:hyperlink>
        </w:p>
        <w:p w14:paraId="467848B3" w14:textId="109B39B9"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92" w:history="1">
            <w:r w:rsidRPr="00AC001E">
              <w:rPr>
                <w:rStyle w:val="Hyperlink"/>
                <w:noProof/>
              </w:rPr>
              <w:t>7.1 Making inappropriate conduct an offence</w:t>
            </w:r>
            <w:r>
              <w:rPr>
                <w:noProof/>
                <w:webHidden/>
              </w:rPr>
              <w:tab/>
            </w:r>
            <w:r>
              <w:rPr>
                <w:noProof/>
                <w:webHidden/>
              </w:rPr>
              <w:fldChar w:fldCharType="begin"/>
            </w:r>
            <w:r>
              <w:rPr>
                <w:noProof/>
                <w:webHidden/>
              </w:rPr>
              <w:instrText xml:space="preserve"> PAGEREF _Toc205884892 \h </w:instrText>
            </w:r>
            <w:r>
              <w:rPr>
                <w:noProof/>
                <w:webHidden/>
              </w:rPr>
            </w:r>
            <w:r>
              <w:rPr>
                <w:noProof/>
                <w:webHidden/>
              </w:rPr>
              <w:fldChar w:fldCharType="separate"/>
            </w:r>
            <w:r w:rsidR="00533FCD">
              <w:rPr>
                <w:noProof/>
                <w:webHidden/>
              </w:rPr>
              <w:t>134</w:t>
            </w:r>
            <w:r>
              <w:rPr>
                <w:noProof/>
                <w:webHidden/>
              </w:rPr>
              <w:fldChar w:fldCharType="end"/>
            </w:r>
          </w:hyperlink>
        </w:p>
        <w:p w14:paraId="0F89D0AC" w14:textId="2587C915"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93" w:history="1">
            <w:r w:rsidRPr="00AC001E">
              <w:rPr>
                <w:rStyle w:val="Hyperlink"/>
                <w:noProof/>
              </w:rPr>
              <w:t>7.2 Enhancing Regulatory Authorities’ ability to share information with approved providers</w:t>
            </w:r>
            <w:r>
              <w:rPr>
                <w:noProof/>
                <w:webHidden/>
              </w:rPr>
              <w:tab/>
            </w:r>
            <w:r>
              <w:rPr>
                <w:noProof/>
                <w:webHidden/>
              </w:rPr>
              <w:fldChar w:fldCharType="begin"/>
            </w:r>
            <w:r>
              <w:rPr>
                <w:noProof/>
                <w:webHidden/>
              </w:rPr>
              <w:instrText xml:space="preserve"> PAGEREF _Toc205884893 \h </w:instrText>
            </w:r>
            <w:r>
              <w:rPr>
                <w:noProof/>
                <w:webHidden/>
              </w:rPr>
            </w:r>
            <w:r>
              <w:rPr>
                <w:noProof/>
                <w:webHidden/>
              </w:rPr>
              <w:fldChar w:fldCharType="separate"/>
            </w:r>
            <w:r w:rsidR="00533FCD">
              <w:rPr>
                <w:noProof/>
                <w:webHidden/>
              </w:rPr>
              <w:t>152</w:t>
            </w:r>
            <w:r>
              <w:rPr>
                <w:noProof/>
                <w:webHidden/>
              </w:rPr>
              <w:fldChar w:fldCharType="end"/>
            </w:r>
          </w:hyperlink>
        </w:p>
        <w:p w14:paraId="35172190" w14:textId="789D1CE2"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94" w:history="1">
            <w:r w:rsidRPr="00AC001E">
              <w:rPr>
                <w:rStyle w:val="Hyperlink"/>
                <w:noProof/>
              </w:rPr>
              <w:t>7.3 Expansion of regulatory responses to educator and staff member conduct</w:t>
            </w:r>
            <w:r>
              <w:rPr>
                <w:noProof/>
                <w:webHidden/>
              </w:rPr>
              <w:tab/>
            </w:r>
            <w:r>
              <w:rPr>
                <w:noProof/>
                <w:webHidden/>
              </w:rPr>
              <w:fldChar w:fldCharType="begin"/>
            </w:r>
            <w:r>
              <w:rPr>
                <w:noProof/>
                <w:webHidden/>
              </w:rPr>
              <w:instrText xml:space="preserve"> PAGEREF _Toc205884894 \h </w:instrText>
            </w:r>
            <w:r>
              <w:rPr>
                <w:noProof/>
                <w:webHidden/>
              </w:rPr>
            </w:r>
            <w:r>
              <w:rPr>
                <w:noProof/>
                <w:webHidden/>
              </w:rPr>
              <w:fldChar w:fldCharType="separate"/>
            </w:r>
            <w:r w:rsidR="00533FCD">
              <w:rPr>
                <w:noProof/>
                <w:webHidden/>
              </w:rPr>
              <w:t>161</w:t>
            </w:r>
            <w:r>
              <w:rPr>
                <w:noProof/>
                <w:webHidden/>
              </w:rPr>
              <w:fldChar w:fldCharType="end"/>
            </w:r>
          </w:hyperlink>
        </w:p>
        <w:p w14:paraId="536F6B4D" w14:textId="0248A479"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95" w:history="1">
            <w:r w:rsidRPr="00AC001E">
              <w:rPr>
                <w:rStyle w:val="Hyperlink"/>
                <w:noProof/>
              </w:rPr>
              <w:t>8. Working with Children Checks</w:t>
            </w:r>
            <w:r>
              <w:rPr>
                <w:noProof/>
                <w:webHidden/>
              </w:rPr>
              <w:tab/>
            </w:r>
            <w:r>
              <w:rPr>
                <w:noProof/>
                <w:webHidden/>
              </w:rPr>
              <w:fldChar w:fldCharType="begin"/>
            </w:r>
            <w:r>
              <w:rPr>
                <w:noProof/>
                <w:webHidden/>
              </w:rPr>
              <w:instrText xml:space="preserve"> PAGEREF _Toc205884895 \h </w:instrText>
            </w:r>
            <w:r>
              <w:rPr>
                <w:noProof/>
                <w:webHidden/>
              </w:rPr>
            </w:r>
            <w:r>
              <w:rPr>
                <w:noProof/>
                <w:webHidden/>
              </w:rPr>
              <w:fldChar w:fldCharType="separate"/>
            </w:r>
            <w:r w:rsidR="00533FCD">
              <w:rPr>
                <w:noProof/>
                <w:webHidden/>
              </w:rPr>
              <w:t>176</w:t>
            </w:r>
            <w:r>
              <w:rPr>
                <w:noProof/>
                <w:webHidden/>
              </w:rPr>
              <w:fldChar w:fldCharType="end"/>
            </w:r>
          </w:hyperlink>
        </w:p>
        <w:p w14:paraId="74744894" w14:textId="50C3BC3B"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96" w:history="1">
            <w:r w:rsidRPr="00AC001E">
              <w:rPr>
                <w:rStyle w:val="Hyperlink"/>
                <w:noProof/>
              </w:rPr>
              <w:t>8.1 Requiring an approved WWCC prior to commencing paid or volunteer work at an education and care service</w:t>
            </w:r>
            <w:r>
              <w:rPr>
                <w:noProof/>
                <w:webHidden/>
              </w:rPr>
              <w:tab/>
            </w:r>
            <w:r>
              <w:rPr>
                <w:noProof/>
                <w:webHidden/>
              </w:rPr>
              <w:fldChar w:fldCharType="begin"/>
            </w:r>
            <w:r>
              <w:rPr>
                <w:noProof/>
                <w:webHidden/>
              </w:rPr>
              <w:instrText xml:space="preserve"> PAGEREF _Toc205884896 \h </w:instrText>
            </w:r>
            <w:r>
              <w:rPr>
                <w:noProof/>
                <w:webHidden/>
              </w:rPr>
            </w:r>
            <w:r>
              <w:rPr>
                <w:noProof/>
                <w:webHidden/>
              </w:rPr>
              <w:fldChar w:fldCharType="separate"/>
            </w:r>
            <w:r w:rsidR="00533FCD">
              <w:rPr>
                <w:noProof/>
                <w:webHidden/>
              </w:rPr>
              <w:t>176</w:t>
            </w:r>
            <w:r>
              <w:rPr>
                <w:noProof/>
                <w:webHidden/>
              </w:rPr>
              <w:fldChar w:fldCharType="end"/>
            </w:r>
          </w:hyperlink>
        </w:p>
        <w:p w14:paraId="2C114D47" w14:textId="5B4BA5FF"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97" w:history="1">
            <w:r w:rsidRPr="00AC001E">
              <w:rPr>
                <w:rStyle w:val="Hyperlink"/>
                <w:noProof/>
              </w:rPr>
              <w:t>8.2 Requiring approved providers and Regulatory Authorities to be notified about changes in WWCC status</w:t>
            </w:r>
            <w:r>
              <w:rPr>
                <w:noProof/>
                <w:webHidden/>
              </w:rPr>
              <w:tab/>
            </w:r>
            <w:r>
              <w:rPr>
                <w:noProof/>
                <w:webHidden/>
              </w:rPr>
              <w:fldChar w:fldCharType="begin"/>
            </w:r>
            <w:r>
              <w:rPr>
                <w:noProof/>
                <w:webHidden/>
              </w:rPr>
              <w:instrText xml:space="preserve"> PAGEREF _Toc205884897 \h </w:instrText>
            </w:r>
            <w:r>
              <w:rPr>
                <w:noProof/>
                <w:webHidden/>
              </w:rPr>
            </w:r>
            <w:r>
              <w:rPr>
                <w:noProof/>
                <w:webHidden/>
              </w:rPr>
              <w:fldChar w:fldCharType="separate"/>
            </w:r>
            <w:r w:rsidR="00533FCD">
              <w:rPr>
                <w:noProof/>
                <w:webHidden/>
              </w:rPr>
              <w:t>191</w:t>
            </w:r>
            <w:r>
              <w:rPr>
                <w:noProof/>
                <w:webHidden/>
              </w:rPr>
              <w:fldChar w:fldCharType="end"/>
            </w:r>
          </w:hyperlink>
        </w:p>
        <w:p w14:paraId="2ECE6BD8" w14:textId="32F6C7FE"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898" w:history="1">
            <w:r w:rsidRPr="00AC001E">
              <w:rPr>
                <w:rStyle w:val="Hyperlink"/>
                <w:noProof/>
              </w:rPr>
              <w:t>9. Improving the safety of the physical service environment</w:t>
            </w:r>
            <w:r>
              <w:rPr>
                <w:noProof/>
                <w:webHidden/>
              </w:rPr>
              <w:tab/>
            </w:r>
            <w:r>
              <w:rPr>
                <w:noProof/>
                <w:webHidden/>
              </w:rPr>
              <w:fldChar w:fldCharType="begin"/>
            </w:r>
            <w:r>
              <w:rPr>
                <w:noProof/>
                <w:webHidden/>
              </w:rPr>
              <w:instrText xml:space="preserve"> PAGEREF _Toc205884898 \h </w:instrText>
            </w:r>
            <w:r>
              <w:rPr>
                <w:noProof/>
                <w:webHidden/>
              </w:rPr>
            </w:r>
            <w:r>
              <w:rPr>
                <w:noProof/>
                <w:webHidden/>
              </w:rPr>
              <w:fldChar w:fldCharType="separate"/>
            </w:r>
            <w:r w:rsidR="00533FCD">
              <w:rPr>
                <w:noProof/>
                <w:webHidden/>
              </w:rPr>
              <w:t>203</w:t>
            </w:r>
            <w:r>
              <w:rPr>
                <w:noProof/>
                <w:webHidden/>
              </w:rPr>
              <w:fldChar w:fldCharType="end"/>
            </w:r>
          </w:hyperlink>
        </w:p>
        <w:p w14:paraId="400C0926" w14:textId="380DC433"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899" w:history="1">
            <w:r w:rsidRPr="00AC001E">
              <w:rPr>
                <w:rStyle w:val="Hyperlink"/>
                <w:noProof/>
              </w:rPr>
              <w:t>9.1 Service and temporary waivers for the design of premises (to facilitate supervision of children)</w:t>
            </w:r>
            <w:r>
              <w:rPr>
                <w:noProof/>
                <w:webHidden/>
              </w:rPr>
              <w:tab/>
            </w:r>
            <w:r>
              <w:rPr>
                <w:noProof/>
                <w:webHidden/>
              </w:rPr>
              <w:fldChar w:fldCharType="begin"/>
            </w:r>
            <w:r>
              <w:rPr>
                <w:noProof/>
                <w:webHidden/>
              </w:rPr>
              <w:instrText xml:space="preserve"> PAGEREF _Toc205884899 \h </w:instrText>
            </w:r>
            <w:r>
              <w:rPr>
                <w:noProof/>
                <w:webHidden/>
              </w:rPr>
            </w:r>
            <w:r>
              <w:rPr>
                <w:noProof/>
                <w:webHidden/>
              </w:rPr>
              <w:fldChar w:fldCharType="separate"/>
            </w:r>
            <w:r w:rsidR="00533FCD">
              <w:rPr>
                <w:noProof/>
                <w:webHidden/>
              </w:rPr>
              <w:t>204</w:t>
            </w:r>
            <w:r>
              <w:rPr>
                <w:noProof/>
                <w:webHidden/>
              </w:rPr>
              <w:fldChar w:fldCharType="end"/>
            </w:r>
          </w:hyperlink>
        </w:p>
        <w:p w14:paraId="28C7BBD1" w14:textId="62E0A78C"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0" w:history="1">
            <w:r w:rsidRPr="00AC001E">
              <w:rPr>
                <w:rStyle w:val="Hyperlink"/>
                <w:noProof/>
              </w:rPr>
              <w:t>9.2 Requiring approved providers to assess not just the FDC residence, but areas near the residence</w:t>
            </w:r>
            <w:r>
              <w:rPr>
                <w:noProof/>
                <w:webHidden/>
              </w:rPr>
              <w:tab/>
            </w:r>
            <w:r>
              <w:rPr>
                <w:noProof/>
                <w:webHidden/>
              </w:rPr>
              <w:fldChar w:fldCharType="begin"/>
            </w:r>
            <w:r>
              <w:rPr>
                <w:noProof/>
                <w:webHidden/>
              </w:rPr>
              <w:instrText xml:space="preserve"> PAGEREF _Toc205884900 \h </w:instrText>
            </w:r>
            <w:r>
              <w:rPr>
                <w:noProof/>
                <w:webHidden/>
              </w:rPr>
            </w:r>
            <w:r>
              <w:rPr>
                <w:noProof/>
                <w:webHidden/>
              </w:rPr>
              <w:fldChar w:fldCharType="separate"/>
            </w:r>
            <w:r w:rsidR="00533FCD">
              <w:rPr>
                <w:noProof/>
                <w:webHidden/>
              </w:rPr>
              <w:t>217</w:t>
            </w:r>
            <w:r>
              <w:rPr>
                <w:noProof/>
                <w:webHidden/>
              </w:rPr>
              <w:fldChar w:fldCharType="end"/>
            </w:r>
          </w:hyperlink>
        </w:p>
        <w:p w14:paraId="117CFF92" w14:textId="12CB9C61"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1" w:history="1">
            <w:r w:rsidRPr="00AC001E">
              <w:rPr>
                <w:rStyle w:val="Hyperlink"/>
                <w:noProof/>
              </w:rPr>
              <w:t>9.3 Enabling authorised officers to access areas of a FDC residence or property, beyond the service premises, in specific instances or for specific purposes</w:t>
            </w:r>
            <w:r>
              <w:rPr>
                <w:noProof/>
                <w:webHidden/>
              </w:rPr>
              <w:tab/>
            </w:r>
            <w:r>
              <w:rPr>
                <w:noProof/>
                <w:webHidden/>
              </w:rPr>
              <w:fldChar w:fldCharType="begin"/>
            </w:r>
            <w:r>
              <w:rPr>
                <w:noProof/>
                <w:webHidden/>
              </w:rPr>
              <w:instrText xml:space="preserve"> PAGEREF _Toc205884901 \h </w:instrText>
            </w:r>
            <w:r>
              <w:rPr>
                <w:noProof/>
                <w:webHidden/>
              </w:rPr>
            </w:r>
            <w:r>
              <w:rPr>
                <w:noProof/>
                <w:webHidden/>
              </w:rPr>
              <w:fldChar w:fldCharType="separate"/>
            </w:r>
            <w:r w:rsidR="00533FCD">
              <w:rPr>
                <w:noProof/>
                <w:webHidden/>
              </w:rPr>
              <w:t>233</w:t>
            </w:r>
            <w:r>
              <w:rPr>
                <w:noProof/>
                <w:webHidden/>
              </w:rPr>
              <w:fldChar w:fldCharType="end"/>
            </w:r>
          </w:hyperlink>
        </w:p>
        <w:p w14:paraId="036531D3" w14:textId="75F3322D"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02" w:history="1">
            <w:r w:rsidRPr="00AC001E">
              <w:rPr>
                <w:rStyle w:val="Hyperlink"/>
                <w:noProof/>
              </w:rPr>
              <w:t>10. Additional recommendations</w:t>
            </w:r>
            <w:r>
              <w:rPr>
                <w:noProof/>
                <w:webHidden/>
              </w:rPr>
              <w:tab/>
            </w:r>
            <w:r>
              <w:rPr>
                <w:noProof/>
                <w:webHidden/>
              </w:rPr>
              <w:fldChar w:fldCharType="begin"/>
            </w:r>
            <w:r>
              <w:rPr>
                <w:noProof/>
                <w:webHidden/>
              </w:rPr>
              <w:instrText xml:space="preserve"> PAGEREF _Toc205884902 \h </w:instrText>
            </w:r>
            <w:r>
              <w:rPr>
                <w:noProof/>
                <w:webHidden/>
              </w:rPr>
            </w:r>
            <w:r>
              <w:rPr>
                <w:noProof/>
                <w:webHidden/>
              </w:rPr>
              <w:fldChar w:fldCharType="separate"/>
            </w:r>
            <w:r w:rsidR="00533FCD">
              <w:rPr>
                <w:noProof/>
                <w:webHidden/>
              </w:rPr>
              <w:t>248</w:t>
            </w:r>
            <w:r>
              <w:rPr>
                <w:noProof/>
                <w:webHidden/>
              </w:rPr>
              <w:fldChar w:fldCharType="end"/>
            </w:r>
          </w:hyperlink>
        </w:p>
        <w:p w14:paraId="5C351E74" w14:textId="553E9C51"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3" w:history="1">
            <w:r w:rsidRPr="00AC001E">
              <w:rPr>
                <w:rStyle w:val="Hyperlink"/>
                <w:noProof/>
              </w:rPr>
              <w:t>10.1 Effective identification, monitoring and regulation of ‘related providers’</w:t>
            </w:r>
            <w:r>
              <w:rPr>
                <w:noProof/>
                <w:webHidden/>
              </w:rPr>
              <w:tab/>
            </w:r>
            <w:r>
              <w:rPr>
                <w:noProof/>
                <w:webHidden/>
              </w:rPr>
              <w:fldChar w:fldCharType="begin"/>
            </w:r>
            <w:r>
              <w:rPr>
                <w:noProof/>
                <w:webHidden/>
              </w:rPr>
              <w:instrText xml:space="preserve"> PAGEREF _Toc205884903 \h </w:instrText>
            </w:r>
            <w:r>
              <w:rPr>
                <w:noProof/>
                <w:webHidden/>
              </w:rPr>
            </w:r>
            <w:r>
              <w:rPr>
                <w:noProof/>
                <w:webHidden/>
              </w:rPr>
              <w:fldChar w:fldCharType="separate"/>
            </w:r>
            <w:r w:rsidR="00533FCD">
              <w:rPr>
                <w:noProof/>
                <w:webHidden/>
              </w:rPr>
              <w:t>248</w:t>
            </w:r>
            <w:r>
              <w:rPr>
                <w:noProof/>
                <w:webHidden/>
              </w:rPr>
              <w:fldChar w:fldCharType="end"/>
            </w:r>
          </w:hyperlink>
        </w:p>
        <w:p w14:paraId="7CDE27D2" w14:textId="35077C20"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4" w:history="1">
            <w:r w:rsidRPr="00AC001E">
              <w:rPr>
                <w:rStyle w:val="Hyperlink"/>
                <w:noProof/>
              </w:rPr>
              <w:t>10.2 Extending the limitation period for commencing proceedings under the National Law</w:t>
            </w:r>
            <w:r>
              <w:rPr>
                <w:noProof/>
                <w:webHidden/>
              </w:rPr>
              <w:tab/>
            </w:r>
            <w:r>
              <w:rPr>
                <w:noProof/>
                <w:webHidden/>
              </w:rPr>
              <w:fldChar w:fldCharType="begin"/>
            </w:r>
            <w:r>
              <w:rPr>
                <w:noProof/>
                <w:webHidden/>
              </w:rPr>
              <w:instrText xml:space="preserve"> PAGEREF _Toc205884904 \h </w:instrText>
            </w:r>
            <w:r>
              <w:rPr>
                <w:noProof/>
                <w:webHidden/>
              </w:rPr>
            </w:r>
            <w:r>
              <w:rPr>
                <w:noProof/>
                <w:webHidden/>
              </w:rPr>
              <w:fldChar w:fldCharType="separate"/>
            </w:r>
            <w:r w:rsidR="00533FCD">
              <w:rPr>
                <w:noProof/>
                <w:webHidden/>
              </w:rPr>
              <w:t>256</w:t>
            </w:r>
            <w:r>
              <w:rPr>
                <w:noProof/>
                <w:webHidden/>
              </w:rPr>
              <w:fldChar w:fldCharType="end"/>
            </w:r>
          </w:hyperlink>
        </w:p>
        <w:p w14:paraId="71AAA1C4" w14:textId="3A63EB92"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5" w:history="1">
            <w:r w:rsidRPr="00AC001E">
              <w:rPr>
                <w:rStyle w:val="Hyperlink"/>
                <w:noProof/>
              </w:rPr>
              <w:t>10.3 Information sharing provisions for recruitment agencies</w:t>
            </w:r>
            <w:r>
              <w:rPr>
                <w:noProof/>
                <w:webHidden/>
              </w:rPr>
              <w:tab/>
            </w:r>
            <w:r>
              <w:rPr>
                <w:noProof/>
                <w:webHidden/>
              </w:rPr>
              <w:fldChar w:fldCharType="begin"/>
            </w:r>
            <w:r>
              <w:rPr>
                <w:noProof/>
                <w:webHidden/>
              </w:rPr>
              <w:instrText xml:space="preserve"> PAGEREF _Toc205884905 \h </w:instrText>
            </w:r>
            <w:r>
              <w:rPr>
                <w:noProof/>
                <w:webHidden/>
              </w:rPr>
            </w:r>
            <w:r>
              <w:rPr>
                <w:noProof/>
                <w:webHidden/>
              </w:rPr>
              <w:fldChar w:fldCharType="separate"/>
            </w:r>
            <w:r w:rsidR="00533FCD">
              <w:rPr>
                <w:noProof/>
                <w:webHidden/>
              </w:rPr>
              <w:t>260</w:t>
            </w:r>
            <w:r>
              <w:rPr>
                <w:noProof/>
                <w:webHidden/>
              </w:rPr>
              <w:fldChar w:fldCharType="end"/>
            </w:r>
          </w:hyperlink>
        </w:p>
        <w:p w14:paraId="3A0CCD6C" w14:textId="0E5535B1" w:rsidR="00BC5276" w:rsidRDefault="00BC5276">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06" w:history="1">
            <w:r w:rsidRPr="00AC001E">
              <w:rPr>
                <w:rStyle w:val="Hyperlink"/>
                <w:noProof/>
              </w:rPr>
              <w:t>11. Implementing and evaluating the recommended options</w:t>
            </w:r>
            <w:r>
              <w:rPr>
                <w:noProof/>
                <w:webHidden/>
              </w:rPr>
              <w:tab/>
            </w:r>
            <w:r>
              <w:rPr>
                <w:noProof/>
                <w:webHidden/>
              </w:rPr>
              <w:fldChar w:fldCharType="begin"/>
            </w:r>
            <w:r>
              <w:rPr>
                <w:noProof/>
                <w:webHidden/>
              </w:rPr>
              <w:instrText xml:space="preserve"> PAGEREF _Toc205884906 \h </w:instrText>
            </w:r>
            <w:r>
              <w:rPr>
                <w:noProof/>
                <w:webHidden/>
              </w:rPr>
            </w:r>
            <w:r>
              <w:rPr>
                <w:noProof/>
                <w:webHidden/>
              </w:rPr>
              <w:fldChar w:fldCharType="separate"/>
            </w:r>
            <w:r w:rsidR="00533FCD">
              <w:rPr>
                <w:noProof/>
                <w:webHidden/>
              </w:rPr>
              <w:t>269</w:t>
            </w:r>
            <w:r>
              <w:rPr>
                <w:noProof/>
                <w:webHidden/>
              </w:rPr>
              <w:fldChar w:fldCharType="end"/>
            </w:r>
          </w:hyperlink>
        </w:p>
        <w:p w14:paraId="18316D65" w14:textId="00C52080"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7" w:history="1">
            <w:r w:rsidRPr="00AC001E">
              <w:rPr>
                <w:rStyle w:val="Hyperlink"/>
                <w:noProof/>
              </w:rPr>
              <w:t>Combined impact of the recommended options</w:t>
            </w:r>
            <w:r>
              <w:rPr>
                <w:noProof/>
                <w:webHidden/>
              </w:rPr>
              <w:tab/>
            </w:r>
            <w:r>
              <w:rPr>
                <w:noProof/>
                <w:webHidden/>
              </w:rPr>
              <w:fldChar w:fldCharType="begin"/>
            </w:r>
            <w:r>
              <w:rPr>
                <w:noProof/>
                <w:webHidden/>
              </w:rPr>
              <w:instrText xml:space="preserve"> PAGEREF _Toc205884907 \h </w:instrText>
            </w:r>
            <w:r>
              <w:rPr>
                <w:noProof/>
                <w:webHidden/>
              </w:rPr>
            </w:r>
            <w:r>
              <w:rPr>
                <w:noProof/>
                <w:webHidden/>
              </w:rPr>
              <w:fldChar w:fldCharType="separate"/>
            </w:r>
            <w:r w:rsidR="00533FCD">
              <w:rPr>
                <w:noProof/>
                <w:webHidden/>
              </w:rPr>
              <w:t>269</w:t>
            </w:r>
            <w:r>
              <w:rPr>
                <w:noProof/>
                <w:webHidden/>
              </w:rPr>
              <w:fldChar w:fldCharType="end"/>
            </w:r>
          </w:hyperlink>
        </w:p>
        <w:p w14:paraId="3B3E8845" w14:textId="35791B26"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8" w:history="1">
            <w:r w:rsidRPr="00AC001E">
              <w:rPr>
                <w:rStyle w:val="Hyperlink"/>
                <w:noProof/>
              </w:rPr>
              <w:t>Implementing the recommended options</w:t>
            </w:r>
            <w:r>
              <w:rPr>
                <w:noProof/>
                <w:webHidden/>
              </w:rPr>
              <w:tab/>
            </w:r>
            <w:r>
              <w:rPr>
                <w:noProof/>
                <w:webHidden/>
              </w:rPr>
              <w:fldChar w:fldCharType="begin"/>
            </w:r>
            <w:r>
              <w:rPr>
                <w:noProof/>
                <w:webHidden/>
              </w:rPr>
              <w:instrText xml:space="preserve"> PAGEREF _Toc205884908 \h </w:instrText>
            </w:r>
            <w:r>
              <w:rPr>
                <w:noProof/>
                <w:webHidden/>
              </w:rPr>
            </w:r>
            <w:r>
              <w:rPr>
                <w:noProof/>
                <w:webHidden/>
              </w:rPr>
              <w:fldChar w:fldCharType="separate"/>
            </w:r>
            <w:r w:rsidR="00533FCD">
              <w:rPr>
                <w:noProof/>
                <w:webHidden/>
              </w:rPr>
              <w:t>274</w:t>
            </w:r>
            <w:r>
              <w:rPr>
                <w:noProof/>
                <w:webHidden/>
              </w:rPr>
              <w:fldChar w:fldCharType="end"/>
            </w:r>
          </w:hyperlink>
        </w:p>
        <w:p w14:paraId="68FE8AF7" w14:textId="39C761E4"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09" w:history="1">
            <w:r w:rsidRPr="00AC001E">
              <w:rPr>
                <w:rStyle w:val="Hyperlink"/>
                <w:noProof/>
              </w:rPr>
              <w:t>Evaluating the recommended options</w:t>
            </w:r>
            <w:r>
              <w:rPr>
                <w:noProof/>
                <w:webHidden/>
              </w:rPr>
              <w:tab/>
            </w:r>
            <w:r>
              <w:rPr>
                <w:noProof/>
                <w:webHidden/>
              </w:rPr>
              <w:fldChar w:fldCharType="begin"/>
            </w:r>
            <w:r>
              <w:rPr>
                <w:noProof/>
                <w:webHidden/>
              </w:rPr>
              <w:instrText xml:space="preserve"> PAGEREF _Toc205884909 \h </w:instrText>
            </w:r>
            <w:r>
              <w:rPr>
                <w:noProof/>
                <w:webHidden/>
              </w:rPr>
            </w:r>
            <w:r>
              <w:rPr>
                <w:noProof/>
                <w:webHidden/>
              </w:rPr>
              <w:fldChar w:fldCharType="separate"/>
            </w:r>
            <w:r w:rsidR="00533FCD">
              <w:rPr>
                <w:noProof/>
                <w:webHidden/>
              </w:rPr>
              <w:t>274</w:t>
            </w:r>
            <w:r>
              <w:rPr>
                <w:noProof/>
                <w:webHidden/>
              </w:rPr>
              <w:fldChar w:fldCharType="end"/>
            </w:r>
          </w:hyperlink>
        </w:p>
        <w:p w14:paraId="08262603" w14:textId="645A2D09"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0" w:history="1">
            <w:r w:rsidRPr="00AC001E">
              <w:rPr>
                <w:rStyle w:val="Hyperlink"/>
                <w:noProof/>
                <w:lang w:val="en-GB"/>
              </w:rPr>
              <w:t>Next steps</w:t>
            </w:r>
            <w:r>
              <w:rPr>
                <w:noProof/>
                <w:webHidden/>
              </w:rPr>
              <w:tab/>
            </w:r>
            <w:r>
              <w:rPr>
                <w:noProof/>
                <w:webHidden/>
              </w:rPr>
              <w:fldChar w:fldCharType="begin"/>
            </w:r>
            <w:r>
              <w:rPr>
                <w:noProof/>
                <w:webHidden/>
              </w:rPr>
              <w:instrText xml:space="preserve"> PAGEREF _Toc205884910 \h </w:instrText>
            </w:r>
            <w:r>
              <w:rPr>
                <w:noProof/>
                <w:webHidden/>
              </w:rPr>
            </w:r>
            <w:r>
              <w:rPr>
                <w:noProof/>
                <w:webHidden/>
              </w:rPr>
              <w:fldChar w:fldCharType="separate"/>
            </w:r>
            <w:r w:rsidR="00533FCD">
              <w:rPr>
                <w:noProof/>
                <w:webHidden/>
              </w:rPr>
              <w:t>296</w:t>
            </w:r>
            <w:r>
              <w:rPr>
                <w:noProof/>
                <w:webHidden/>
              </w:rPr>
              <w:fldChar w:fldCharType="end"/>
            </w:r>
          </w:hyperlink>
        </w:p>
        <w:p w14:paraId="3A8CF35E" w14:textId="003B8D06"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1" w:history="1">
            <w:r w:rsidRPr="00AC001E">
              <w:rPr>
                <w:rStyle w:val="Hyperlink"/>
                <w:noProof/>
                <w:lang w:val="en-GB"/>
              </w:rPr>
              <w:t>12.1 List of recommended options</w:t>
            </w:r>
            <w:r>
              <w:rPr>
                <w:noProof/>
                <w:webHidden/>
              </w:rPr>
              <w:tab/>
            </w:r>
            <w:r>
              <w:rPr>
                <w:noProof/>
                <w:webHidden/>
              </w:rPr>
              <w:fldChar w:fldCharType="begin"/>
            </w:r>
            <w:r>
              <w:rPr>
                <w:noProof/>
                <w:webHidden/>
              </w:rPr>
              <w:instrText xml:space="preserve"> PAGEREF _Toc205884911 \h </w:instrText>
            </w:r>
            <w:r>
              <w:rPr>
                <w:noProof/>
                <w:webHidden/>
              </w:rPr>
            </w:r>
            <w:r>
              <w:rPr>
                <w:noProof/>
                <w:webHidden/>
              </w:rPr>
              <w:fldChar w:fldCharType="separate"/>
            </w:r>
            <w:r w:rsidR="00533FCD">
              <w:rPr>
                <w:noProof/>
                <w:webHidden/>
              </w:rPr>
              <w:t>298</w:t>
            </w:r>
            <w:r>
              <w:rPr>
                <w:noProof/>
                <w:webHidden/>
              </w:rPr>
              <w:fldChar w:fldCharType="end"/>
            </w:r>
          </w:hyperlink>
        </w:p>
        <w:p w14:paraId="4C61326B" w14:textId="4B59D7B5"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2" w:history="1">
            <w:r w:rsidRPr="00AC001E">
              <w:rPr>
                <w:rStyle w:val="Hyperlink"/>
                <w:noProof/>
                <w:lang w:val="en-GB"/>
              </w:rPr>
              <w:t>12.2 Evolution of CSR recommendations to the proposed options</w:t>
            </w:r>
            <w:r>
              <w:rPr>
                <w:noProof/>
                <w:webHidden/>
              </w:rPr>
              <w:tab/>
            </w:r>
            <w:r>
              <w:rPr>
                <w:noProof/>
                <w:webHidden/>
              </w:rPr>
              <w:fldChar w:fldCharType="begin"/>
            </w:r>
            <w:r>
              <w:rPr>
                <w:noProof/>
                <w:webHidden/>
              </w:rPr>
              <w:instrText xml:space="preserve"> PAGEREF _Toc205884912 \h </w:instrText>
            </w:r>
            <w:r>
              <w:rPr>
                <w:noProof/>
                <w:webHidden/>
              </w:rPr>
            </w:r>
            <w:r>
              <w:rPr>
                <w:noProof/>
                <w:webHidden/>
              </w:rPr>
              <w:fldChar w:fldCharType="separate"/>
            </w:r>
            <w:r w:rsidR="00533FCD">
              <w:rPr>
                <w:noProof/>
                <w:webHidden/>
              </w:rPr>
              <w:t>314</w:t>
            </w:r>
            <w:r>
              <w:rPr>
                <w:noProof/>
                <w:webHidden/>
              </w:rPr>
              <w:fldChar w:fldCharType="end"/>
            </w:r>
          </w:hyperlink>
        </w:p>
        <w:p w14:paraId="47D80179" w14:textId="4CE0CC84"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3" w:history="1">
            <w:r w:rsidRPr="00AC001E">
              <w:rPr>
                <w:rStyle w:val="Hyperlink"/>
                <w:noProof/>
              </w:rPr>
              <w:t>12.3 Survey findings</w:t>
            </w:r>
            <w:r>
              <w:rPr>
                <w:noProof/>
                <w:webHidden/>
              </w:rPr>
              <w:tab/>
            </w:r>
            <w:r>
              <w:rPr>
                <w:noProof/>
                <w:webHidden/>
              </w:rPr>
              <w:fldChar w:fldCharType="begin"/>
            </w:r>
            <w:r>
              <w:rPr>
                <w:noProof/>
                <w:webHidden/>
              </w:rPr>
              <w:instrText xml:space="preserve"> PAGEREF _Toc205884913 \h </w:instrText>
            </w:r>
            <w:r>
              <w:rPr>
                <w:noProof/>
                <w:webHidden/>
              </w:rPr>
            </w:r>
            <w:r>
              <w:rPr>
                <w:noProof/>
                <w:webHidden/>
              </w:rPr>
              <w:fldChar w:fldCharType="separate"/>
            </w:r>
            <w:r w:rsidR="00533FCD">
              <w:rPr>
                <w:noProof/>
                <w:webHidden/>
              </w:rPr>
              <w:t>320</w:t>
            </w:r>
            <w:r>
              <w:rPr>
                <w:noProof/>
                <w:webHidden/>
              </w:rPr>
              <w:fldChar w:fldCharType="end"/>
            </w:r>
          </w:hyperlink>
        </w:p>
        <w:p w14:paraId="44BD4730" w14:textId="587D3E96"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4" w:history="1">
            <w:r w:rsidRPr="00AC001E">
              <w:rPr>
                <w:rStyle w:val="Hyperlink"/>
                <w:noProof/>
              </w:rPr>
              <w:t>12.4 The National Model Code and Guidelines</w:t>
            </w:r>
            <w:r>
              <w:rPr>
                <w:noProof/>
                <w:webHidden/>
              </w:rPr>
              <w:tab/>
            </w:r>
            <w:r>
              <w:rPr>
                <w:noProof/>
                <w:webHidden/>
              </w:rPr>
              <w:fldChar w:fldCharType="begin"/>
            </w:r>
            <w:r>
              <w:rPr>
                <w:noProof/>
                <w:webHidden/>
              </w:rPr>
              <w:instrText xml:space="preserve"> PAGEREF _Toc205884914 \h </w:instrText>
            </w:r>
            <w:r>
              <w:rPr>
                <w:noProof/>
                <w:webHidden/>
              </w:rPr>
            </w:r>
            <w:r>
              <w:rPr>
                <w:noProof/>
                <w:webHidden/>
              </w:rPr>
              <w:fldChar w:fldCharType="separate"/>
            </w:r>
            <w:r w:rsidR="00533FCD">
              <w:rPr>
                <w:noProof/>
                <w:webHidden/>
              </w:rPr>
              <w:t>365</w:t>
            </w:r>
            <w:r>
              <w:rPr>
                <w:noProof/>
                <w:webHidden/>
              </w:rPr>
              <w:fldChar w:fldCharType="end"/>
            </w:r>
          </w:hyperlink>
        </w:p>
        <w:p w14:paraId="2C60DA2D" w14:textId="67F30704"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5" w:history="1">
            <w:r w:rsidRPr="00AC001E">
              <w:rPr>
                <w:rStyle w:val="Hyperlink"/>
                <w:noProof/>
              </w:rPr>
              <w:t>12.5 Child protection training and Child Safe Standards</w:t>
            </w:r>
            <w:r>
              <w:rPr>
                <w:noProof/>
                <w:webHidden/>
              </w:rPr>
              <w:tab/>
            </w:r>
            <w:r>
              <w:rPr>
                <w:noProof/>
                <w:webHidden/>
              </w:rPr>
              <w:fldChar w:fldCharType="begin"/>
            </w:r>
            <w:r>
              <w:rPr>
                <w:noProof/>
                <w:webHidden/>
              </w:rPr>
              <w:instrText xml:space="preserve"> PAGEREF _Toc205884915 \h </w:instrText>
            </w:r>
            <w:r>
              <w:rPr>
                <w:noProof/>
                <w:webHidden/>
              </w:rPr>
            </w:r>
            <w:r>
              <w:rPr>
                <w:noProof/>
                <w:webHidden/>
              </w:rPr>
              <w:fldChar w:fldCharType="separate"/>
            </w:r>
            <w:r w:rsidR="00533FCD">
              <w:rPr>
                <w:noProof/>
                <w:webHidden/>
              </w:rPr>
              <w:t>367</w:t>
            </w:r>
            <w:r>
              <w:rPr>
                <w:noProof/>
                <w:webHidden/>
              </w:rPr>
              <w:fldChar w:fldCharType="end"/>
            </w:r>
          </w:hyperlink>
        </w:p>
        <w:p w14:paraId="1A9EACBE" w14:textId="33193D20"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6" w:history="1">
            <w:r w:rsidRPr="00AC001E">
              <w:rPr>
                <w:rStyle w:val="Hyperlink"/>
                <w:noProof/>
                <w:lang w:val="en-GB"/>
              </w:rPr>
              <w:t>12.6 Overview of jurisdictional WWCCs</w:t>
            </w:r>
            <w:r>
              <w:rPr>
                <w:noProof/>
                <w:webHidden/>
              </w:rPr>
              <w:tab/>
            </w:r>
            <w:r>
              <w:rPr>
                <w:noProof/>
                <w:webHidden/>
              </w:rPr>
              <w:fldChar w:fldCharType="begin"/>
            </w:r>
            <w:r>
              <w:rPr>
                <w:noProof/>
                <w:webHidden/>
              </w:rPr>
              <w:instrText xml:space="preserve"> PAGEREF _Toc205884916 \h </w:instrText>
            </w:r>
            <w:r>
              <w:rPr>
                <w:noProof/>
                <w:webHidden/>
              </w:rPr>
            </w:r>
            <w:r>
              <w:rPr>
                <w:noProof/>
                <w:webHidden/>
              </w:rPr>
              <w:fldChar w:fldCharType="separate"/>
            </w:r>
            <w:r w:rsidR="00533FCD">
              <w:rPr>
                <w:noProof/>
                <w:webHidden/>
              </w:rPr>
              <w:t>370</w:t>
            </w:r>
            <w:r>
              <w:rPr>
                <w:noProof/>
                <w:webHidden/>
              </w:rPr>
              <w:fldChar w:fldCharType="end"/>
            </w:r>
          </w:hyperlink>
        </w:p>
        <w:p w14:paraId="5455B7EF" w14:textId="4E6D301D"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7" w:history="1">
            <w:r w:rsidRPr="00AC001E">
              <w:rPr>
                <w:rStyle w:val="Hyperlink"/>
                <w:noProof/>
                <w:lang w:val="en-GB"/>
              </w:rPr>
              <w:t>12.7 Summary of relevant WWCC legislation and requirements</w:t>
            </w:r>
            <w:r>
              <w:rPr>
                <w:noProof/>
                <w:webHidden/>
              </w:rPr>
              <w:tab/>
            </w:r>
            <w:r>
              <w:rPr>
                <w:noProof/>
                <w:webHidden/>
              </w:rPr>
              <w:fldChar w:fldCharType="begin"/>
            </w:r>
            <w:r>
              <w:rPr>
                <w:noProof/>
                <w:webHidden/>
              </w:rPr>
              <w:instrText xml:space="preserve"> PAGEREF _Toc205884917 \h </w:instrText>
            </w:r>
            <w:r>
              <w:rPr>
                <w:noProof/>
                <w:webHidden/>
              </w:rPr>
            </w:r>
            <w:r>
              <w:rPr>
                <w:noProof/>
                <w:webHidden/>
              </w:rPr>
              <w:fldChar w:fldCharType="separate"/>
            </w:r>
            <w:r w:rsidR="00533FCD">
              <w:rPr>
                <w:noProof/>
                <w:webHidden/>
              </w:rPr>
              <w:t>372</w:t>
            </w:r>
            <w:r>
              <w:rPr>
                <w:noProof/>
                <w:webHidden/>
              </w:rPr>
              <w:fldChar w:fldCharType="end"/>
            </w:r>
          </w:hyperlink>
        </w:p>
        <w:p w14:paraId="777E2D87" w14:textId="00F92BA2" w:rsidR="00BC5276" w:rsidRDefault="00BC5276">
          <w:pPr>
            <w:pStyle w:val="TOC2"/>
            <w:tabs>
              <w:tab w:val="right" w:leader="dot" w:pos="9010"/>
            </w:tabs>
            <w:rPr>
              <w:rFonts w:asciiTheme="minorHAnsi" w:eastAsiaTheme="minorEastAsia" w:hAnsiTheme="minorHAnsi"/>
              <w:noProof/>
              <w:kern w:val="2"/>
              <w:sz w:val="24"/>
              <w:lang w:eastAsia="en-AU"/>
              <w14:ligatures w14:val="standardContextual"/>
            </w:rPr>
          </w:pPr>
          <w:hyperlink w:anchor="_Toc205884918" w:history="1">
            <w:r w:rsidRPr="00AC001E">
              <w:rPr>
                <w:rStyle w:val="Hyperlink"/>
                <w:noProof/>
              </w:rPr>
              <w:t>12.8 Family Assistance Law (FAL)</w:t>
            </w:r>
            <w:r>
              <w:rPr>
                <w:noProof/>
                <w:webHidden/>
              </w:rPr>
              <w:tab/>
            </w:r>
            <w:r>
              <w:rPr>
                <w:noProof/>
                <w:webHidden/>
              </w:rPr>
              <w:fldChar w:fldCharType="begin"/>
            </w:r>
            <w:r>
              <w:rPr>
                <w:noProof/>
                <w:webHidden/>
              </w:rPr>
              <w:instrText xml:space="preserve"> PAGEREF _Toc205884918 \h </w:instrText>
            </w:r>
            <w:r>
              <w:rPr>
                <w:noProof/>
                <w:webHidden/>
              </w:rPr>
            </w:r>
            <w:r>
              <w:rPr>
                <w:noProof/>
                <w:webHidden/>
              </w:rPr>
              <w:fldChar w:fldCharType="separate"/>
            </w:r>
            <w:r w:rsidR="00533FCD">
              <w:rPr>
                <w:noProof/>
                <w:webHidden/>
              </w:rPr>
              <w:t>378</w:t>
            </w:r>
            <w:r>
              <w:rPr>
                <w:noProof/>
                <w:webHidden/>
              </w:rPr>
              <w:fldChar w:fldCharType="end"/>
            </w:r>
          </w:hyperlink>
        </w:p>
        <w:p w14:paraId="596A9366" w14:textId="65DF6B53" w:rsidR="008F214B" w:rsidRDefault="008F214B" w:rsidP="008F214B">
          <w:pPr>
            <w:pStyle w:val="TOCHeading"/>
          </w:pPr>
          <w:r>
            <w:fldChar w:fldCharType="end"/>
          </w:r>
        </w:p>
      </w:sdtContent>
    </w:sdt>
    <w:p w14:paraId="29E7705B" w14:textId="289BB2F2" w:rsidR="00775998" w:rsidRDefault="00775998">
      <w:pPr>
        <w:spacing w:after="160" w:line="259" w:lineRule="auto"/>
      </w:pPr>
      <w:r>
        <w:br w:type="page"/>
      </w:r>
    </w:p>
    <w:p w14:paraId="6A474303" w14:textId="45BAEB24" w:rsidR="00775998" w:rsidRDefault="00A237FD" w:rsidP="002317DC">
      <w:pPr>
        <w:pStyle w:val="TOCHeading"/>
      </w:pPr>
      <w:r>
        <w:lastRenderedPageBreak/>
        <w:t>Figures</w:t>
      </w:r>
      <w:r w:rsidR="00A50879">
        <w:t>, Charts</w:t>
      </w:r>
      <w:r w:rsidR="005003D3">
        <w:t xml:space="preserve"> and Tables</w:t>
      </w:r>
    </w:p>
    <w:p w14:paraId="54959E34" w14:textId="327D7BCF" w:rsidR="00081AC3" w:rsidRDefault="00C96B75">
      <w:pPr>
        <w:pStyle w:val="TOC1"/>
        <w:tabs>
          <w:tab w:val="right" w:leader="dot" w:pos="9010"/>
        </w:tabs>
        <w:rPr>
          <w:rFonts w:asciiTheme="minorHAnsi" w:eastAsiaTheme="minorEastAsia" w:hAnsiTheme="minorHAnsi"/>
          <w:noProof/>
          <w:kern w:val="2"/>
          <w:sz w:val="24"/>
          <w:lang w:eastAsia="en-AU"/>
          <w14:ligatures w14:val="standardContextual"/>
        </w:rPr>
      </w:pPr>
      <w:r>
        <w:fldChar w:fldCharType="begin"/>
      </w:r>
      <w:r>
        <w:instrText xml:space="preserve"> TOC \h \z \t "Caption,1" </w:instrText>
      </w:r>
      <w:r>
        <w:fldChar w:fldCharType="separate"/>
      </w:r>
      <w:hyperlink w:anchor="_Toc205884919" w:history="1">
        <w:r w:rsidR="00081AC3" w:rsidRPr="00B740E5">
          <w:rPr>
            <w:rStyle w:val="Hyperlink"/>
            <w:noProof/>
            <w:lang w:val="en-GB"/>
          </w:rPr>
          <w:t>Figure I: Phases of the Child Safety Review RIS</w:t>
        </w:r>
        <w:r w:rsidR="00081AC3">
          <w:rPr>
            <w:noProof/>
            <w:webHidden/>
          </w:rPr>
          <w:tab/>
        </w:r>
        <w:r w:rsidR="00081AC3">
          <w:rPr>
            <w:noProof/>
            <w:webHidden/>
          </w:rPr>
          <w:fldChar w:fldCharType="begin"/>
        </w:r>
        <w:r w:rsidR="00081AC3">
          <w:rPr>
            <w:noProof/>
            <w:webHidden/>
          </w:rPr>
          <w:instrText xml:space="preserve"> PAGEREF _Toc205884919 \h </w:instrText>
        </w:r>
        <w:r w:rsidR="00081AC3">
          <w:rPr>
            <w:noProof/>
            <w:webHidden/>
          </w:rPr>
        </w:r>
        <w:r w:rsidR="00081AC3">
          <w:rPr>
            <w:noProof/>
            <w:webHidden/>
          </w:rPr>
          <w:fldChar w:fldCharType="separate"/>
        </w:r>
        <w:r w:rsidR="00533FCD">
          <w:rPr>
            <w:noProof/>
            <w:webHidden/>
          </w:rPr>
          <w:t>36</w:t>
        </w:r>
        <w:r w:rsidR="00081AC3">
          <w:rPr>
            <w:noProof/>
            <w:webHidden/>
          </w:rPr>
          <w:fldChar w:fldCharType="end"/>
        </w:r>
      </w:hyperlink>
    </w:p>
    <w:p w14:paraId="0AE3203D" w14:textId="06A432E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0" w:history="1">
        <w:r w:rsidRPr="00B740E5">
          <w:rPr>
            <w:rStyle w:val="Hyperlink"/>
            <w:noProof/>
          </w:rPr>
          <w:t>Table I: Guide to the document</w:t>
        </w:r>
        <w:r>
          <w:rPr>
            <w:noProof/>
            <w:webHidden/>
          </w:rPr>
          <w:tab/>
        </w:r>
        <w:r>
          <w:rPr>
            <w:noProof/>
            <w:webHidden/>
          </w:rPr>
          <w:fldChar w:fldCharType="begin"/>
        </w:r>
        <w:r>
          <w:rPr>
            <w:noProof/>
            <w:webHidden/>
          </w:rPr>
          <w:instrText xml:space="preserve"> PAGEREF _Toc205884920 \h </w:instrText>
        </w:r>
        <w:r>
          <w:rPr>
            <w:noProof/>
            <w:webHidden/>
          </w:rPr>
        </w:r>
        <w:r>
          <w:rPr>
            <w:noProof/>
            <w:webHidden/>
          </w:rPr>
          <w:fldChar w:fldCharType="separate"/>
        </w:r>
        <w:r w:rsidR="00533FCD">
          <w:rPr>
            <w:noProof/>
            <w:webHidden/>
          </w:rPr>
          <w:t>36</w:t>
        </w:r>
        <w:r>
          <w:rPr>
            <w:noProof/>
            <w:webHidden/>
          </w:rPr>
          <w:fldChar w:fldCharType="end"/>
        </w:r>
      </w:hyperlink>
    </w:p>
    <w:p w14:paraId="4658747D" w14:textId="2EFF3D77"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1" w:history="1">
        <w:r w:rsidRPr="00B740E5">
          <w:rPr>
            <w:rStyle w:val="Hyperlink"/>
            <w:noProof/>
          </w:rPr>
          <w:t>Figure 1.1: The National Quality Framework structure</w:t>
        </w:r>
        <w:r>
          <w:rPr>
            <w:noProof/>
            <w:webHidden/>
          </w:rPr>
          <w:tab/>
        </w:r>
        <w:r>
          <w:rPr>
            <w:noProof/>
            <w:webHidden/>
          </w:rPr>
          <w:fldChar w:fldCharType="begin"/>
        </w:r>
        <w:r>
          <w:rPr>
            <w:noProof/>
            <w:webHidden/>
          </w:rPr>
          <w:instrText xml:space="preserve"> PAGEREF _Toc205884921 \h </w:instrText>
        </w:r>
        <w:r>
          <w:rPr>
            <w:noProof/>
            <w:webHidden/>
          </w:rPr>
        </w:r>
        <w:r>
          <w:rPr>
            <w:noProof/>
            <w:webHidden/>
          </w:rPr>
          <w:fldChar w:fldCharType="separate"/>
        </w:r>
        <w:r w:rsidR="00533FCD">
          <w:rPr>
            <w:noProof/>
            <w:webHidden/>
          </w:rPr>
          <w:t>41</w:t>
        </w:r>
        <w:r>
          <w:rPr>
            <w:noProof/>
            <w:webHidden/>
          </w:rPr>
          <w:fldChar w:fldCharType="end"/>
        </w:r>
      </w:hyperlink>
    </w:p>
    <w:p w14:paraId="4A79BF51" w14:textId="5A23B8C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2" w:history="1">
        <w:r w:rsidRPr="00B740E5">
          <w:rPr>
            <w:rStyle w:val="Hyperlink"/>
            <w:noProof/>
          </w:rPr>
          <w:t>Table 1.1: Different service types and attendance, 2023-24</w:t>
        </w:r>
        <w:r>
          <w:rPr>
            <w:noProof/>
            <w:webHidden/>
          </w:rPr>
          <w:tab/>
        </w:r>
        <w:r>
          <w:rPr>
            <w:noProof/>
            <w:webHidden/>
          </w:rPr>
          <w:fldChar w:fldCharType="begin"/>
        </w:r>
        <w:r>
          <w:rPr>
            <w:noProof/>
            <w:webHidden/>
          </w:rPr>
          <w:instrText xml:space="preserve"> PAGEREF _Toc205884922 \h </w:instrText>
        </w:r>
        <w:r>
          <w:rPr>
            <w:noProof/>
            <w:webHidden/>
          </w:rPr>
        </w:r>
        <w:r>
          <w:rPr>
            <w:noProof/>
            <w:webHidden/>
          </w:rPr>
          <w:fldChar w:fldCharType="separate"/>
        </w:r>
        <w:r w:rsidR="00533FCD">
          <w:rPr>
            <w:noProof/>
            <w:webHidden/>
          </w:rPr>
          <w:t>44</w:t>
        </w:r>
        <w:r>
          <w:rPr>
            <w:noProof/>
            <w:webHidden/>
          </w:rPr>
          <w:fldChar w:fldCharType="end"/>
        </w:r>
      </w:hyperlink>
    </w:p>
    <w:p w14:paraId="3BAD7372" w14:textId="516D472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3" w:history="1">
        <w:r w:rsidRPr="00B740E5">
          <w:rPr>
            <w:rStyle w:val="Hyperlink"/>
            <w:noProof/>
          </w:rPr>
          <w:t>Figure 1.2: Number and proportion of services by provider management type, 1 April 2025</w:t>
        </w:r>
        <w:r>
          <w:rPr>
            <w:noProof/>
            <w:webHidden/>
          </w:rPr>
          <w:tab/>
        </w:r>
        <w:r>
          <w:rPr>
            <w:noProof/>
            <w:webHidden/>
          </w:rPr>
          <w:fldChar w:fldCharType="begin"/>
        </w:r>
        <w:r>
          <w:rPr>
            <w:noProof/>
            <w:webHidden/>
          </w:rPr>
          <w:instrText xml:space="preserve"> PAGEREF _Toc205884923 \h </w:instrText>
        </w:r>
        <w:r>
          <w:rPr>
            <w:noProof/>
            <w:webHidden/>
          </w:rPr>
        </w:r>
        <w:r>
          <w:rPr>
            <w:noProof/>
            <w:webHidden/>
          </w:rPr>
          <w:fldChar w:fldCharType="separate"/>
        </w:r>
        <w:r w:rsidR="00533FCD">
          <w:rPr>
            <w:noProof/>
            <w:webHidden/>
          </w:rPr>
          <w:t>46</w:t>
        </w:r>
        <w:r>
          <w:rPr>
            <w:noProof/>
            <w:webHidden/>
          </w:rPr>
          <w:fldChar w:fldCharType="end"/>
        </w:r>
      </w:hyperlink>
    </w:p>
    <w:p w14:paraId="0832C145" w14:textId="3AC67359"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4" w:history="1">
        <w:r w:rsidRPr="00B740E5">
          <w:rPr>
            <w:rStyle w:val="Hyperlink"/>
            <w:noProof/>
          </w:rPr>
          <w:t>Table 3.1: Overview of consultation and engagement</w:t>
        </w:r>
        <w:r>
          <w:rPr>
            <w:noProof/>
            <w:webHidden/>
          </w:rPr>
          <w:tab/>
        </w:r>
        <w:r>
          <w:rPr>
            <w:noProof/>
            <w:webHidden/>
          </w:rPr>
          <w:fldChar w:fldCharType="begin"/>
        </w:r>
        <w:r>
          <w:rPr>
            <w:noProof/>
            <w:webHidden/>
          </w:rPr>
          <w:instrText xml:space="preserve"> PAGEREF _Toc205884924 \h </w:instrText>
        </w:r>
        <w:r>
          <w:rPr>
            <w:noProof/>
            <w:webHidden/>
          </w:rPr>
        </w:r>
        <w:r>
          <w:rPr>
            <w:noProof/>
            <w:webHidden/>
          </w:rPr>
          <w:fldChar w:fldCharType="separate"/>
        </w:r>
        <w:r w:rsidR="00533FCD">
          <w:rPr>
            <w:noProof/>
            <w:webHidden/>
          </w:rPr>
          <w:t>58</w:t>
        </w:r>
        <w:r>
          <w:rPr>
            <w:noProof/>
            <w:webHidden/>
          </w:rPr>
          <w:fldChar w:fldCharType="end"/>
        </w:r>
      </w:hyperlink>
    </w:p>
    <w:p w14:paraId="1E2D3A47" w14:textId="48F02CE0"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5" w:history="1">
        <w:r w:rsidRPr="00B740E5">
          <w:rPr>
            <w:rStyle w:val="Hyperlink"/>
            <w:noProof/>
          </w:rPr>
          <w:t>Table 3.2: Submissions by stakeholder group</w:t>
        </w:r>
        <w:r>
          <w:rPr>
            <w:noProof/>
            <w:webHidden/>
          </w:rPr>
          <w:tab/>
        </w:r>
        <w:r>
          <w:rPr>
            <w:noProof/>
            <w:webHidden/>
          </w:rPr>
          <w:fldChar w:fldCharType="begin"/>
        </w:r>
        <w:r>
          <w:rPr>
            <w:noProof/>
            <w:webHidden/>
          </w:rPr>
          <w:instrText xml:space="preserve"> PAGEREF _Toc205884925 \h </w:instrText>
        </w:r>
        <w:r>
          <w:rPr>
            <w:noProof/>
            <w:webHidden/>
          </w:rPr>
        </w:r>
        <w:r>
          <w:rPr>
            <w:noProof/>
            <w:webHidden/>
          </w:rPr>
          <w:fldChar w:fldCharType="separate"/>
        </w:r>
        <w:r w:rsidR="00533FCD">
          <w:rPr>
            <w:noProof/>
            <w:webHidden/>
          </w:rPr>
          <w:t>60</w:t>
        </w:r>
        <w:r>
          <w:rPr>
            <w:noProof/>
            <w:webHidden/>
          </w:rPr>
          <w:fldChar w:fldCharType="end"/>
        </w:r>
      </w:hyperlink>
    </w:p>
    <w:p w14:paraId="482170D6" w14:textId="4A2A0066"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6" w:history="1">
        <w:r w:rsidRPr="00B740E5">
          <w:rPr>
            <w:rStyle w:val="Hyperlink"/>
            <w:noProof/>
          </w:rPr>
          <w:t>Chart 3.1: Proportion of survey responses by jurisdiction compared to proportion of education and care services across Australia</w:t>
        </w:r>
        <w:r>
          <w:rPr>
            <w:noProof/>
            <w:webHidden/>
          </w:rPr>
          <w:tab/>
        </w:r>
        <w:r>
          <w:rPr>
            <w:noProof/>
            <w:webHidden/>
          </w:rPr>
          <w:fldChar w:fldCharType="begin"/>
        </w:r>
        <w:r>
          <w:rPr>
            <w:noProof/>
            <w:webHidden/>
          </w:rPr>
          <w:instrText xml:space="preserve"> PAGEREF _Toc205884926 \h </w:instrText>
        </w:r>
        <w:r>
          <w:rPr>
            <w:noProof/>
            <w:webHidden/>
          </w:rPr>
        </w:r>
        <w:r>
          <w:rPr>
            <w:noProof/>
            <w:webHidden/>
          </w:rPr>
          <w:fldChar w:fldCharType="separate"/>
        </w:r>
        <w:r w:rsidR="00533FCD">
          <w:rPr>
            <w:noProof/>
            <w:webHidden/>
          </w:rPr>
          <w:t>63</w:t>
        </w:r>
        <w:r>
          <w:rPr>
            <w:noProof/>
            <w:webHidden/>
          </w:rPr>
          <w:fldChar w:fldCharType="end"/>
        </w:r>
      </w:hyperlink>
    </w:p>
    <w:p w14:paraId="45F2A0AD" w14:textId="5F78D0D6"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7" w:history="1">
        <w:r w:rsidRPr="00B740E5">
          <w:rPr>
            <w:rStyle w:val="Hyperlink"/>
            <w:noProof/>
          </w:rPr>
          <w:t>Table 4.1: Approach to MCA</w:t>
        </w:r>
        <w:r>
          <w:rPr>
            <w:noProof/>
            <w:webHidden/>
          </w:rPr>
          <w:tab/>
        </w:r>
        <w:r>
          <w:rPr>
            <w:noProof/>
            <w:webHidden/>
          </w:rPr>
          <w:fldChar w:fldCharType="begin"/>
        </w:r>
        <w:r>
          <w:rPr>
            <w:noProof/>
            <w:webHidden/>
          </w:rPr>
          <w:instrText xml:space="preserve"> PAGEREF _Toc205884927 \h </w:instrText>
        </w:r>
        <w:r>
          <w:rPr>
            <w:noProof/>
            <w:webHidden/>
          </w:rPr>
        </w:r>
        <w:r>
          <w:rPr>
            <w:noProof/>
            <w:webHidden/>
          </w:rPr>
          <w:fldChar w:fldCharType="separate"/>
        </w:r>
        <w:r w:rsidR="00533FCD">
          <w:rPr>
            <w:noProof/>
            <w:webHidden/>
          </w:rPr>
          <w:t>68</w:t>
        </w:r>
        <w:r>
          <w:rPr>
            <w:noProof/>
            <w:webHidden/>
          </w:rPr>
          <w:fldChar w:fldCharType="end"/>
        </w:r>
      </w:hyperlink>
    </w:p>
    <w:p w14:paraId="080AEC03" w14:textId="7CBEF4ED"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8" w:history="1">
        <w:r w:rsidRPr="00B740E5">
          <w:rPr>
            <w:rStyle w:val="Hyperlink"/>
            <w:noProof/>
          </w:rPr>
          <w:t>Table 4.2: Approach to measuring impact for each reform area</w:t>
        </w:r>
        <w:r>
          <w:rPr>
            <w:noProof/>
            <w:webHidden/>
          </w:rPr>
          <w:tab/>
        </w:r>
        <w:r>
          <w:rPr>
            <w:noProof/>
            <w:webHidden/>
          </w:rPr>
          <w:fldChar w:fldCharType="begin"/>
        </w:r>
        <w:r>
          <w:rPr>
            <w:noProof/>
            <w:webHidden/>
          </w:rPr>
          <w:instrText xml:space="preserve"> PAGEREF _Toc205884928 \h </w:instrText>
        </w:r>
        <w:r>
          <w:rPr>
            <w:noProof/>
            <w:webHidden/>
          </w:rPr>
        </w:r>
        <w:r>
          <w:rPr>
            <w:noProof/>
            <w:webHidden/>
          </w:rPr>
          <w:fldChar w:fldCharType="separate"/>
        </w:r>
        <w:r w:rsidR="00533FCD">
          <w:rPr>
            <w:noProof/>
            <w:webHidden/>
          </w:rPr>
          <w:t>72</w:t>
        </w:r>
        <w:r>
          <w:rPr>
            <w:noProof/>
            <w:webHidden/>
          </w:rPr>
          <w:fldChar w:fldCharType="end"/>
        </w:r>
      </w:hyperlink>
    </w:p>
    <w:p w14:paraId="260CD66E" w14:textId="27EEBD4F"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29" w:history="1">
        <w:r w:rsidRPr="00B740E5">
          <w:rPr>
            <w:rStyle w:val="Hyperlink"/>
            <w:noProof/>
          </w:rPr>
          <w:t>Table 5.1: Uptake of the National Model Code and Guidelines by service type</w:t>
        </w:r>
        <w:r>
          <w:rPr>
            <w:noProof/>
            <w:webHidden/>
          </w:rPr>
          <w:tab/>
        </w:r>
        <w:r>
          <w:rPr>
            <w:noProof/>
            <w:webHidden/>
          </w:rPr>
          <w:fldChar w:fldCharType="begin"/>
        </w:r>
        <w:r>
          <w:rPr>
            <w:noProof/>
            <w:webHidden/>
          </w:rPr>
          <w:instrText xml:space="preserve"> PAGEREF _Toc205884929 \h </w:instrText>
        </w:r>
        <w:r>
          <w:rPr>
            <w:noProof/>
            <w:webHidden/>
          </w:rPr>
        </w:r>
        <w:r>
          <w:rPr>
            <w:noProof/>
            <w:webHidden/>
          </w:rPr>
          <w:fldChar w:fldCharType="separate"/>
        </w:r>
        <w:r w:rsidR="00533FCD">
          <w:rPr>
            <w:noProof/>
            <w:webHidden/>
          </w:rPr>
          <w:t>80</w:t>
        </w:r>
        <w:r>
          <w:rPr>
            <w:noProof/>
            <w:webHidden/>
          </w:rPr>
          <w:fldChar w:fldCharType="end"/>
        </w:r>
      </w:hyperlink>
    </w:p>
    <w:p w14:paraId="558AFB4C" w14:textId="3A9F870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0" w:history="1">
        <w:r w:rsidRPr="00B740E5">
          <w:rPr>
            <w:rStyle w:val="Hyperlink"/>
            <w:noProof/>
          </w:rPr>
          <w:t>Table 5.2: Policy options under consideration – Managing the use of digital devices</w:t>
        </w:r>
        <w:r>
          <w:rPr>
            <w:noProof/>
            <w:webHidden/>
          </w:rPr>
          <w:tab/>
        </w:r>
        <w:r>
          <w:rPr>
            <w:noProof/>
            <w:webHidden/>
          </w:rPr>
          <w:fldChar w:fldCharType="begin"/>
        </w:r>
        <w:r>
          <w:rPr>
            <w:noProof/>
            <w:webHidden/>
          </w:rPr>
          <w:instrText xml:space="preserve"> PAGEREF _Toc205884930 \h </w:instrText>
        </w:r>
        <w:r>
          <w:rPr>
            <w:noProof/>
            <w:webHidden/>
          </w:rPr>
        </w:r>
        <w:r>
          <w:rPr>
            <w:noProof/>
            <w:webHidden/>
          </w:rPr>
          <w:fldChar w:fldCharType="separate"/>
        </w:r>
        <w:r w:rsidR="00533FCD">
          <w:rPr>
            <w:noProof/>
            <w:webHidden/>
          </w:rPr>
          <w:t>81</w:t>
        </w:r>
        <w:r>
          <w:rPr>
            <w:noProof/>
            <w:webHidden/>
          </w:rPr>
          <w:fldChar w:fldCharType="end"/>
        </w:r>
      </w:hyperlink>
    </w:p>
    <w:p w14:paraId="4FD77B6F" w14:textId="183D9EB5"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1" w:history="1">
        <w:r w:rsidRPr="00B740E5">
          <w:rPr>
            <w:rStyle w:val="Hyperlink"/>
            <w:noProof/>
          </w:rPr>
          <w:t>Table 5.3: MCA outcomes – Managing the use of digital devices</w:t>
        </w:r>
        <w:r>
          <w:rPr>
            <w:noProof/>
            <w:webHidden/>
          </w:rPr>
          <w:tab/>
        </w:r>
        <w:r>
          <w:rPr>
            <w:noProof/>
            <w:webHidden/>
          </w:rPr>
          <w:fldChar w:fldCharType="begin"/>
        </w:r>
        <w:r>
          <w:rPr>
            <w:noProof/>
            <w:webHidden/>
          </w:rPr>
          <w:instrText xml:space="preserve"> PAGEREF _Toc205884931 \h </w:instrText>
        </w:r>
        <w:r>
          <w:rPr>
            <w:noProof/>
            <w:webHidden/>
          </w:rPr>
        </w:r>
        <w:r>
          <w:rPr>
            <w:noProof/>
            <w:webHidden/>
          </w:rPr>
          <w:fldChar w:fldCharType="separate"/>
        </w:r>
        <w:r w:rsidR="00533FCD">
          <w:rPr>
            <w:noProof/>
            <w:webHidden/>
          </w:rPr>
          <w:t>82</w:t>
        </w:r>
        <w:r>
          <w:rPr>
            <w:noProof/>
            <w:webHidden/>
          </w:rPr>
          <w:fldChar w:fldCharType="end"/>
        </w:r>
      </w:hyperlink>
    </w:p>
    <w:p w14:paraId="18A72F96" w14:textId="4D3657F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2" w:history="1">
        <w:r w:rsidRPr="00B740E5">
          <w:rPr>
            <w:rStyle w:val="Hyperlink"/>
            <w:noProof/>
          </w:rPr>
          <w:t>Chart 5.1: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_Toc205884932 \h </w:instrText>
        </w:r>
        <w:r>
          <w:rPr>
            <w:noProof/>
            <w:webHidden/>
          </w:rPr>
        </w:r>
        <w:r>
          <w:rPr>
            <w:noProof/>
            <w:webHidden/>
          </w:rPr>
          <w:fldChar w:fldCharType="separate"/>
        </w:r>
        <w:r w:rsidR="00533FCD">
          <w:rPr>
            <w:noProof/>
            <w:webHidden/>
          </w:rPr>
          <w:t>84</w:t>
        </w:r>
        <w:r>
          <w:rPr>
            <w:noProof/>
            <w:webHidden/>
          </w:rPr>
          <w:fldChar w:fldCharType="end"/>
        </w:r>
      </w:hyperlink>
    </w:p>
    <w:p w14:paraId="60D9544C" w14:textId="7A6BDD91"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3" w:history="1">
        <w:r w:rsidRPr="00B740E5">
          <w:rPr>
            <w:rStyle w:val="Hyperlink"/>
            <w:noProof/>
          </w:rPr>
          <w:t>Chart 5.2: Workforce responses to “How much do you think each option will reduce the risk of harm to children?”</w:t>
        </w:r>
        <w:r>
          <w:rPr>
            <w:noProof/>
            <w:webHidden/>
          </w:rPr>
          <w:tab/>
        </w:r>
        <w:r>
          <w:rPr>
            <w:noProof/>
            <w:webHidden/>
          </w:rPr>
          <w:fldChar w:fldCharType="begin"/>
        </w:r>
        <w:r>
          <w:rPr>
            <w:noProof/>
            <w:webHidden/>
          </w:rPr>
          <w:instrText xml:space="preserve"> PAGEREF _Toc205884933 \h </w:instrText>
        </w:r>
        <w:r>
          <w:rPr>
            <w:noProof/>
            <w:webHidden/>
          </w:rPr>
        </w:r>
        <w:r>
          <w:rPr>
            <w:noProof/>
            <w:webHidden/>
          </w:rPr>
          <w:fldChar w:fldCharType="separate"/>
        </w:r>
        <w:r w:rsidR="00533FCD">
          <w:rPr>
            <w:noProof/>
            <w:webHidden/>
          </w:rPr>
          <w:t>85</w:t>
        </w:r>
        <w:r>
          <w:rPr>
            <w:noProof/>
            <w:webHidden/>
          </w:rPr>
          <w:fldChar w:fldCharType="end"/>
        </w:r>
      </w:hyperlink>
    </w:p>
    <w:p w14:paraId="0C83DA67" w14:textId="3FAF5E2D"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4" w:history="1">
        <w:r w:rsidRPr="00B740E5">
          <w:rPr>
            <w:rStyle w:val="Hyperlink"/>
            <w:noProof/>
          </w:rPr>
          <w:t>Table 4.4: Summary of assumptions involved in estimating the cost of options 2 and 3</w:t>
        </w:r>
        <w:r>
          <w:rPr>
            <w:noProof/>
            <w:webHidden/>
          </w:rPr>
          <w:tab/>
        </w:r>
        <w:r>
          <w:rPr>
            <w:noProof/>
            <w:webHidden/>
          </w:rPr>
          <w:fldChar w:fldCharType="begin"/>
        </w:r>
        <w:r>
          <w:rPr>
            <w:noProof/>
            <w:webHidden/>
          </w:rPr>
          <w:instrText xml:space="preserve"> PAGEREF _Toc205884934 \h </w:instrText>
        </w:r>
        <w:r>
          <w:rPr>
            <w:noProof/>
            <w:webHidden/>
          </w:rPr>
        </w:r>
        <w:r>
          <w:rPr>
            <w:noProof/>
            <w:webHidden/>
          </w:rPr>
          <w:fldChar w:fldCharType="separate"/>
        </w:r>
        <w:r w:rsidR="00533FCD">
          <w:rPr>
            <w:noProof/>
            <w:webHidden/>
          </w:rPr>
          <w:t>89</w:t>
        </w:r>
        <w:r>
          <w:rPr>
            <w:noProof/>
            <w:webHidden/>
          </w:rPr>
          <w:fldChar w:fldCharType="end"/>
        </w:r>
      </w:hyperlink>
    </w:p>
    <w:p w14:paraId="395E5F62" w14:textId="74912C57"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5" w:history="1">
        <w:r w:rsidRPr="00B740E5">
          <w:rPr>
            <w:rStyle w:val="Hyperlink"/>
            <w:noProof/>
          </w:rPr>
          <w:t>Table 4.5: Cost of options 2 and 3 by jurisdiction, present value, 2025 to 2034</w:t>
        </w:r>
        <w:r>
          <w:rPr>
            <w:noProof/>
            <w:webHidden/>
          </w:rPr>
          <w:tab/>
        </w:r>
        <w:r>
          <w:rPr>
            <w:noProof/>
            <w:webHidden/>
          </w:rPr>
          <w:fldChar w:fldCharType="begin"/>
        </w:r>
        <w:r>
          <w:rPr>
            <w:noProof/>
            <w:webHidden/>
          </w:rPr>
          <w:instrText xml:space="preserve"> PAGEREF _Toc205884935 \h </w:instrText>
        </w:r>
        <w:r>
          <w:rPr>
            <w:noProof/>
            <w:webHidden/>
          </w:rPr>
        </w:r>
        <w:r>
          <w:rPr>
            <w:noProof/>
            <w:webHidden/>
          </w:rPr>
          <w:fldChar w:fldCharType="separate"/>
        </w:r>
        <w:r w:rsidR="00533FCD">
          <w:rPr>
            <w:noProof/>
            <w:webHidden/>
          </w:rPr>
          <w:t>90</w:t>
        </w:r>
        <w:r>
          <w:rPr>
            <w:noProof/>
            <w:webHidden/>
          </w:rPr>
          <w:fldChar w:fldCharType="end"/>
        </w:r>
      </w:hyperlink>
    </w:p>
    <w:p w14:paraId="747E14C1" w14:textId="568E9D78"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6" w:history="1">
        <w:r w:rsidRPr="00B740E5">
          <w:rPr>
            <w:rStyle w:val="Hyperlink"/>
            <w:noProof/>
          </w:rPr>
          <w:t>Table 5.6: BEA – Managing the use of digital devices</w:t>
        </w:r>
        <w:r>
          <w:rPr>
            <w:noProof/>
            <w:webHidden/>
          </w:rPr>
          <w:tab/>
        </w:r>
        <w:r>
          <w:rPr>
            <w:noProof/>
            <w:webHidden/>
          </w:rPr>
          <w:fldChar w:fldCharType="begin"/>
        </w:r>
        <w:r>
          <w:rPr>
            <w:noProof/>
            <w:webHidden/>
          </w:rPr>
          <w:instrText xml:space="preserve"> PAGEREF _Toc205884936 \h </w:instrText>
        </w:r>
        <w:r>
          <w:rPr>
            <w:noProof/>
            <w:webHidden/>
          </w:rPr>
        </w:r>
        <w:r>
          <w:rPr>
            <w:noProof/>
            <w:webHidden/>
          </w:rPr>
          <w:fldChar w:fldCharType="separate"/>
        </w:r>
        <w:r w:rsidR="00533FCD">
          <w:rPr>
            <w:noProof/>
            <w:webHidden/>
          </w:rPr>
          <w:t>97</w:t>
        </w:r>
        <w:r>
          <w:rPr>
            <w:noProof/>
            <w:webHidden/>
          </w:rPr>
          <w:fldChar w:fldCharType="end"/>
        </w:r>
      </w:hyperlink>
    </w:p>
    <w:p w14:paraId="23EF2E5F" w14:textId="6B66CD2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7" w:history="1">
        <w:r w:rsidRPr="00B740E5">
          <w:rPr>
            <w:rStyle w:val="Hyperlink"/>
            <w:noProof/>
          </w:rPr>
          <w:t>Table 5.7: Regulatory burden estimate – Managing the use of digital devices, NPV 2025 to 2034, 7% discount rate</w:t>
        </w:r>
        <w:r>
          <w:rPr>
            <w:noProof/>
            <w:webHidden/>
          </w:rPr>
          <w:tab/>
        </w:r>
        <w:r>
          <w:rPr>
            <w:noProof/>
            <w:webHidden/>
          </w:rPr>
          <w:fldChar w:fldCharType="begin"/>
        </w:r>
        <w:r>
          <w:rPr>
            <w:noProof/>
            <w:webHidden/>
          </w:rPr>
          <w:instrText xml:space="preserve"> PAGEREF _Toc205884937 \h </w:instrText>
        </w:r>
        <w:r>
          <w:rPr>
            <w:noProof/>
            <w:webHidden/>
          </w:rPr>
        </w:r>
        <w:r>
          <w:rPr>
            <w:noProof/>
            <w:webHidden/>
          </w:rPr>
          <w:fldChar w:fldCharType="separate"/>
        </w:r>
        <w:r w:rsidR="00533FCD">
          <w:rPr>
            <w:noProof/>
            <w:webHidden/>
          </w:rPr>
          <w:t>98</w:t>
        </w:r>
        <w:r>
          <w:rPr>
            <w:noProof/>
            <w:webHidden/>
          </w:rPr>
          <w:fldChar w:fldCharType="end"/>
        </w:r>
      </w:hyperlink>
    </w:p>
    <w:p w14:paraId="29D2A889" w14:textId="79641F45"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8" w:history="1">
        <w:r w:rsidRPr="00B740E5">
          <w:rPr>
            <w:rStyle w:val="Hyperlink"/>
            <w:noProof/>
          </w:rPr>
          <w:t>Chart 5.3: Approved provider responses to “What is your preferred option or combination of options?”, by service type</w:t>
        </w:r>
        <w:r>
          <w:rPr>
            <w:noProof/>
            <w:webHidden/>
          </w:rPr>
          <w:tab/>
        </w:r>
        <w:r>
          <w:rPr>
            <w:noProof/>
            <w:webHidden/>
          </w:rPr>
          <w:fldChar w:fldCharType="begin"/>
        </w:r>
        <w:r>
          <w:rPr>
            <w:noProof/>
            <w:webHidden/>
          </w:rPr>
          <w:instrText xml:space="preserve"> PAGEREF _Toc205884938 \h </w:instrText>
        </w:r>
        <w:r>
          <w:rPr>
            <w:noProof/>
            <w:webHidden/>
          </w:rPr>
        </w:r>
        <w:r>
          <w:rPr>
            <w:noProof/>
            <w:webHidden/>
          </w:rPr>
          <w:fldChar w:fldCharType="separate"/>
        </w:r>
        <w:r w:rsidR="00533FCD">
          <w:rPr>
            <w:noProof/>
            <w:webHidden/>
          </w:rPr>
          <w:t>99</w:t>
        </w:r>
        <w:r>
          <w:rPr>
            <w:noProof/>
            <w:webHidden/>
          </w:rPr>
          <w:fldChar w:fldCharType="end"/>
        </w:r>
      </w:hyperlink>
    </w:p>
    <w:p w14:paraId="11986830" w14:textId="446E413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39" w:history="1">
        <w:r w:rsidRPr="00B740E5">
          <w:rPr>
            <w:rStyle w:val="Hyperlink"/>
            <w:noProof/>
          </w:rPr>
          <w:t>Chart 5.4: Workforce responses to “What is your preferred option or combination of options?”, by service type</w:t>
        </w:r>
        <w:r>
          <w:rPr>
            <w:noProof/>
            <w:webHidden/>
          </w:rPr>
          <w:tab/>
        </w:r>
        <w:r>
          <w:rPr>
            <w:noProof/>
            <w:webHidden/>
          </w:rPr>
          <w:fldChar w:fldCharType="begin"/>
        </w:r>
        <w:r>
          <w:rPr>
            <w:noProof/>
            <w:webHidden/>
          </w:rPr>
          <w:instrText xml:space="preserve"> PAGEREF _Toc205884939 \h </w:instrText>
        </w:r>
        <w:r>
          <w:rPr>
            <w:noProof/>
            <w:webHidden/>
          </w:rPr>
        </w:r>
        <w:r>
          <w:rPr>
            <w:noProof/>
            <w:webHidden/>
          </w:rPr>
          <w:fldChar w:fldCharType="separate"/>
        </w:r>
        <w:r w:rsidR="00533FCD">
          <w:rPr>
            <w:noProof/>
            <w:webHidden/>
          </w:rPr>
          <w:t>100</w:t>
        </w:r>
        <w:r>
          <w:rPr>
            <w:noProof/>
            <w:webHidden/>
          </w:rPr>
          <w:fldChar w:fldCharType="end"/>
        </w:r>
      </w:hyperlink>
    </w:p>
    <w:p w14:paraId="1EE1B9CE" w14:textId="41D6A0CB"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0" w:history="1">
        <w:r w:rsidRPr="00B740E5">
          <w:rPr>
            <w:rStyle w:val="Hyperlink"/>
            <w:noProof/>
          </w:rPr>
          <w:t>Table 6.1: Policy options under consideration – Child safety training</w:t>
        </w:r>
        <w:r>
          <w:rPr>
            <w:noProof/>
            <w:webHidden/>
          </w:rPr>
          <w:tab/>
        </w:r>
        <w:r>
          <w:rPr>
            <w:noProof/>
            <w:webHidden/>
          </w:rPr>
          <w:fldChar w:fldCharType="begin"/>
        </w:r>
        <w:r>
          <w:rPr>
            <w:noProof/>
            <w:webHidden/>
          </w:rPr>
          <w:instrText xml:space="preserve"> PAGEREF _Toc205884940 \h </w:instrText>
        </w:r>
        <w:r>
          <w:rPr>
            <w:noProof/>
            <w:webHidden/>
          </w:rPr>
        </w:r>
        <w:r>
          <w:rPr>
            <w:noProof/>
            <w:webHidden/>
          </w:rPr>
          <w:fldChar w:fldCharType="separate"/>
        </w:r>
        <w:r w:rsidR="00533FCD">
          <w:rPr>
            <w:noProof/>
            <w:webHidden/>
          </w:rPr>
          <w:t>107</w:t>
        </w:r>
        <w:r>
          <w:rPr>
            <w:noProof/>
            <w:webHidden/>
          </w:rPr>
          <w:fldChar w:fldCharType="end"/>
        </w:r>
      </w:hyperlink>
    </w:p>
    <w:p w14:paraId="54A1C86F" w14:textId="6C9A533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1" w:history="1">
        <w:r w:rsidRPr="00B740E5">
          <w:rPr>
            <w:rStyle w:val="Hyperlink"/>
            <w:noProof/>
          </w:rPr>
          <w:t>Table 6.2: MCA outcomes – Child safety training</w:t>
        </w:r>
        <w:r>
          <w:rPr>
            <w:noProof/>
            <w:webHidden/>
          </w:rPr>
          <w:tab/>
        </w:r>
        <w:r>
          <w:rPr>
            <w:noProof/>
            <w:webHidden/>
          </w:rPr>
          <w:fldChar w:fldCharType="begin"/>
        </w:r>
        <w:r>
          <w:rPr>
            <w:noProof/>
            <w:webHidden/>
          </w:rPr>
          <w:instrText xml:space="preserve"> PAGEREF _Toc205884941 \h </w:instrText>
        </w:r>
        <w:r>
          <w:rPr>
            <w:noProof/>
            <w:webHidden/>
          </w:rPr>
        </w:r>
        <w:r>
          <w:rPr>
            <w:noProof/>
            <w:webHidden/>
          </w:rPr>
          <w:fldChar w:fldCharType="separate"/>
        </w:r>
        <w:r w:rsidR="00533FCD">
          <w:rPr>
            <w:noProof/>
            <w:webHidden/>
          </w:rPr>
          <w:t>109</w:t>
        </w:r>
        <w:r>
          <w:rPr>
            <w:noProof/>
            <w:webHidden/>
          </w:rPr>
          <w:fldChar w:fldCharType="end"/>
        </w:r>
      </w:hyperlink>
    </w:p>
    <w:p w14:paraId="5D9337CB" w14:textId="2791874B"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2" w:history="1">
        <w:r w:rsidRPr="00B740E5">
          <w:rPr>
            <w:rStyle w:val="Hyperlink"/>
            <w:noProof/>
          </w:rPr>
          <w:t>Chart 6.1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_Toc205884942 \h </w:instrText>
        </w:r>
        <w:r>
          <w:rPr>
            <w:noProof/>
            <w:webHidden/>
          </w:rPr>
        </w:r>
        <w:r>
          <w:rPr>
            <w:noProof/>
            <w:webHidden/>
          </w:rPr>
          <w:fldChar w:fldCharType="separate"/>
        </w:r>
        <w:r w:rsidR="00533FCD">
          <w:rPr>
            <w:noProof/>
            <w:webHidden/>
          </w:rPr>
          <w:t>111</w:t>
        </w:r>
        <w:r>
          <w:rPr>
            <w:noProof/>
            <w:webHidden/>
          </w:rPr>
          <w:fldChar w:fldCharType="end"/>
        </w:r>
      </w:hyperlink>
    </w:p>
    <w:p w14:paraId="73D04F0B" w14:textId="40C0FC52"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3" w:history="1">
        <w:r w:rsidRPr="00B740E5">
          <w:rPr>
            <w:rStyle w:val="Hyperlink"/>
            <w:noProof/>
          </w:rPr>
          <w:t>Table 6.3: Costing estimates for option 3 to 5 for Child Safety Training reform area</w:t>
        </w:r>
        <w:r>
          <w:rPr>
            <w:noProof/>
            <w:webHidden/>
          </w:rPr>
          <w:tab/>
        </w:r>
        <w:r>
          <w:rPr>
            <w:noProof/>
            <w:webHidden/>
          </w:rPr>
          <w:fldChar w:fldCharType="begin"/>
        </w:r>
        <w:r>
          <w:rPr>
            <w:noProof/>
            <w:webHidden/>
          </w:rPr>
          <w:instrText xml:space="preserve"> PAGEREF _Toc205884943 \h </w:instrText>
        </w:r>
        <w:r>
          <w:rPr>
            <w:noProof/>
            <w:webHidden/>
          </w:rPr>
        </w:r>
        <w:r>
          <w:rPr>
            <w:noProof/>
            <w:webHidden/>
          </w:rPr>
          <w:fldChar w:fldCharType="separate"/>
        </w:r>
        <w:r w:rsidR="00533FCD">
          <w:rPr>
            <w:noProof/>
            <w:webHidden/>
          </w:rPr>
          <w:t>117</w:t>
        </w:r>
        <w:r>
          <w:rPr>
            <w:noProof/>
            <w:webHidden/>
          </w:rPr>
          <w:fldChar w:fldCharType="end"/>
        </w:r>
      </w:hyperlink>
    </w:p>
    <w:p w14:paraId="19755335" w14:textId="0335CEBC"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4" w:history="1">
        <w:r w:rsidRPr="00B740E5">
          <w:rPr>
            <w:rStyle w:val="Hyperlink"/>
            <w:noProof/>
          </w:rPr>
          <w:t>Table 6.4: Monetised cost of options 3, 4, and 5, by jurisdiction</w:t>
        </w:r>
        <w:r>
          <w:rPr>
            <w:noProof/>
            <w:webHidden/>
          </w:rPr>
          <w:tab/>
        </w:r>
        <w:r>
          <w:rPr>
            <w:noProof/>
            <w:webHidden/>
          </w:rPr>
          <w:fldChar w:fldCharType="begin"/>
        </w:r>
        <w:r>
          <w:rPr>
            <w:noProof/>
            <w:webHidden/>
          </w:rPr>
          <w:instrText xml:space="preserve"> PAGEREF _Toc205884944 \h </w:instrText>
        </w:r>
        <w:r>
          <w:rPr>
            <w:noProof/>
            <w:webHidden/>
          </w:rPr>
        </w:r>
        <w:r>
          <w:rPr>
            <w:noProof/>
            <w:webHidden/>
          </w:rPr>
          <w:fldChar w:fldCharType="separate"/>
        </w:r>
        <w:r w:rsidR="00533FCD">
          <w:rPr>
            <w:noProof/>
            <w:webHidden/>
          </w:rPr>
          <w:t>121</w:t>
        </w:r>
        <w:r>
          <w:rPr>
            <w:noProof/>
            <w:webHidden/>
          </w:rPr>
          <w:fldChar w:fldCharType="end"/>
        </w:r>
      </w:hyperlink>
    </w:p>
    <w:p w14:paraId="4505D59F" w14:textId="7A1642BD"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5" w:history="1">
        <w:r w:rsidRPr="00B740E5">
          <w:rPr>
            <w:rStyle w:val="Hyperlink"/>
            <w:noProof/>
          </w:rPr>
          <w:t>Table 6.5: BEA – Child safety training</w:t>
        </w:r>
        <w:r>
          <w:rPr>
            <w:noProof/>
            <w:webHidden/>
          </w:rPr>
          <w:tab/>
        </w:r>
        <w:r>
          <w:rPr>
            <w:noProof/>
            <w:webHidden/>
          </w:rPr>
          <w:fldChar w:fldCharType="begin"/>
        </w:r>
        <w:r>
          <w:rPr>
            <w:noProof/>
            <w:webHidden/>
          </w:rPr>
          <w:instrText xml:space="preserve"> PAGEREF _Toc205884945 \h </w:instrText>
        </w:r>
        <w:r>
          <w:rPr>
            <w:noProof/>
            <w:webHidden/>
          </w:rPr>
        </w:r>
        <w:r>
          <w:rPr>
            <w:noProof/>
            <w:webHidden/>
          </w:rPr>
          <w:fldChar w:fldCharType="separate"/>
        </w:r>
        <w:r w:rsidR="00533FCD">
          <w:rPr>
            <w:noProof/>
            <w:webHidden/>
          </w:rPr>
          <w:t>128</w:t>
        </w:r>
        <w:r>
          <w:rPr>
            <w:noProof/>
            <w:webHidden/>
          </w:rPr>
          <w:fldChar w:fldCharType="end"/>
        </w:r>
      </w:hyperlink>
    </w:p>
    <w:p w14:paraId="0BE1058A" w14:textId="23B5EA47"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6" w:history="1">
        <w:r w:rsidRPr="00B740E5">
          <w:rPr>
            <w:rStyle w:val="Hyperlink"/>
            <w:noProof/>
          </w:rPr>
          <w:t>Table 6.6: Regulatory burden estimate – Child safety training, NPV 2025 to 2034, 7% discount rate</w:t>
        </w:r>
        <w:r>
          <w:rPr>
            <w:noProof/>
            <w:webHidden/>
          </w:rPr>
          <w:tab/>
        </w:r>
        <w:r>
          <w:rPr>
            <w:noProof/>
            <w:webHidden/>
          </w:rPr>
          <w:fldChar w:fldCharType="begin"/>
        </w:r>
        <w:r>
          <w:rPr>
            <w:noProof/>
            <w:webHidden/>
          </w:rPr>
          <w:instrText xml:space="preserve"> PAGEREF _Toc205884946 \h </w:instrText>
        </w:r>
        <w:r>
          <w:rPr>
            <w:noProof/>
            <w:webHidden/>
          </w:rPr>
        </w:r>
        <w:r>
          <w:rPr>
            <w:noProof/>
            <w:webHidden/>
          </w:rPr>
          <w:fldChar w:fldCharType="separate"/>
        </w:r>
        <w:r w:rsidR="00533FCD">
          <w:rPr>
            <w:noProof/>
            <w:webHidden/>
          </w:rPr>
          <w:t>129</w:t>
        </w:r>
        <w:r>
          <w:rPr>
            <w:noProof/>
            <w:webHidden/>
          </w:rPr>
          <w:fldChar w:fldCharType="end"/>
        </w:r>
      </w:hyperlink>
    </w:p>
    <w:p w14:paraId="529E2B44" w14:textId="5A79768D"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7" w:history="1">
        <w:r w:rsidRPr="00B740E5">
          <w:rPr>
            <w:rStyle w:val="Hyperlink"/>
            <w:noProof/>
          </w:rPr>
          <w:t>Chart 6.2: Support for options in written responses</w:t>
        </w:r>
        <w:r>
          <w:rPr>
            <w:noProof/>
            <w:webHidden/>
          </w:rPr>
          <w:tab/>
        </w:r>
        <w:r>
          <w:rPr>
            <w:noProof/>
            <w:webHidden/>
          </w:rPr>
          <w:fldChar w:fldCharType="begin"/>
        </w:r>
        <w:r>
          <w:rPr>
            <w:noProof/>
            <w:webHidden/>
          </w:rPr>
          <w:instrText xml:space="preserve"> PAGEREF _Toc205884947 \h </w:instrText>
        </w:r>
        <w:r>
          <w:rPr>
            <w:noProof/>
            <w:webHidden/>
          </w:rPr>
        </w:r>
        <w:r>
          <w:rPr>
            <w:noProof/>
            <w:webHidden/>
          </w:rPr>
          <w:fldChar w:fldCharType="separate"/>
        </w:r>
        <w:r w:rsidR="00533FCD">
          <w:rPr>
            <w:noProof/>
            <w:webHidden/>
          </w:rPr>
          <w:t>130</w:t>
        </w:r>
        <w:r>
          <w:rPr>
            <w:noProof/>
            <w:webHidden/>
          </w:rPr>
          <w:fldChar w:fldCharType="end"/>
        </w:r>
      </w:hyperlink>
    </w:p>
    <w:p w14:paraId="18EEA905" w14:textId="43ABCF63"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8" w:history="1">
        <w:r w:rsidRPr="00B740E5">
          <w:rPr>
            <w:rStyle w:val="Hyperlink"/>
            <w:noProof/>
          </w:rPr>
          <w:t>Chart 7.1: Approved provider responses to “How often do you hear about reports of inappropriate conduct?”</w:t>
        </w:r>
        <w:r>
          <w:rPr>
            <w:noProof/>
            <w:webHidden/>
          </w:rPr>
          <w:tab/>
        </w:r>
        <w:r>
          <w:rPr>
            <w:noProof/>
            <w:webHidden/>
          </w:rPr>
          <w:fldChar w:fldCharType="begin"/>
        </w:r>
        <w:r>
          <w:rPr>
            <w:noProof/>
            <w:webHidden/>
          </w:rPr>
          <w:instrText xml:space="preserve"> PAGEREF _Toc205884948 \h </w:instrText>
        </w:r>
        <w:r>
          <w:rPr>
            <w:noProof/>
            <w:webHidden/>
          </w:rPr>
        </w:r>
        <w:r>
          <w:rPr>
            <w:noProof/>
            <w:webHidden/>
          </w:rPr>
          <w:fldChar w:fldCharType="separate"/>
        </w:r>
        <w:r w:rsidR="00533FCD">
          <w:rPr>
            <w:noProof/>
            <w:webHidden/>
          </w:rPr>
          <w:t>137</w:t>
        </w:r>
        <w:r>
          <w:rPr>
            <w:noProof/>
            <w:webHidden/>
          </w:rPr>
          <w:fldChar w:fldCharType="end"/>
        </w:r>
      </w:hyperlink>
    </w:p>
    <w:p w14:paraId="16D6EC13" w14:textId="79E181FF"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49" w:history="1">
        <w:r w:rsidRPr="00B740E5">
          <w:rPr>
            <w:rStyle w:val="Hyperlink"/>
            <w:noProof/>
          </w:rPr>
          <w:t>Chart 7.2: Approved provider responses to “How often do you hear about reports of inappropriate conduct that haven't resulted in a prohibition?”</w:t>
        </w:r>
        <w:r>
          <w:rPr>
            <w:noProof/>
            <w:webHidden/>
          </w:rPr>
          <w:tab/>
        </w:r>
        <w:r>
          <w:rPr>
            <w:noProof/>
            <w:webHidden/>
          </w:rPr>
          <w:fldChar w:fldCharType="begin"/>
        </w:r>
        <w:r>
          <w:rPr>
            <w:noProof/>
            <w:webHidden/>
          </w:rPr>
          <w:instrText xml:space="preserve"> PAGEREF _Toc205884949 \h </w:instrText>
        </w:r>
        <w:r>
          <w:rPr>
            <w:noProof/>
            <w:webHidden/>
          </w:rPr>
        </w:r>
        <w:r>
          <w:rPr>
            <w:noProof/>
            <w:webHidden/>
          </w:rPr>
          <w:fldChar w:fldCharType="separate"/>
        </w:r>
        <w:r w:rsidR="00533FCD">
          <w:rPr>
            <w:noProof/>
            <w:webHidden/>
          </w:rPr>
          <w:t>138</w:t>
        </w:r>
        <w:r>
          <w:rPr>
            <w:noProof/>
            <w:webHidden/>
          </w:rPr>
          <w:fldChar w:fldCharType="end"/>
        </w:r>
      </w:hyperlink>
    </w:p>
    <w:p w14:paraId="4E2B64C6" w14:textId="02C3C01E"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0" w:history="1">
        <w:r w:rsidRPr="00B740E5">
          <w:rPr>
            <w:rStyle w:val="Hyperlink"/>
            <w:noProof/>
          </w:rPr>
          <w:t>Table 7.1: Policy options under consideration – Making inappropriate conduct an offence</w:t>
        </w:r>
        <w:r>
          <w:rPr>
            <w:noProof/>
            <w:webHidden/>
          </w:rPr>
          <w:tab/>
        </w:r>
        <w:r>
          <w:rPr>
            <w:noProof/>
            <w:webHidden/>
          </w:rPr>
          <w:fldChar w:fldCharType="begin"/>
        </w:r>
        <w:r>
          <w:rPr>
            <w:noProof/>
            <w:webHidden/>
          </w:rPr>
          <w:instrText xml:space="preserve"> PAGEREF _Toc205884950 \h </w:instrText>
        </w:r>
        <w:r>
          <w:rPr>
            <w:noProof/>
            <w:webHidden/>
          </w:rPr>
        </w:r>
        <w:r>
          <w:rPr>
            <w:noProof/>
            <w:webHidden/>
          </w:rPr>
          <w:fldChar w:fldCharType="separate"/>
        </w:r>
        <w:r w:rsidR="00533FCD">
          <w:rPr>
            <w:noProof/>
            <w:webHidden/>
          </w:rPr>
          <w:t>139</w:t>
        </w:r>
        <w:r>
          <w:rPr>
            <w:noProof/>
            <w:webHidden/>
          </w:rPr>
          <w:fldChar w:fldCharType="end"/>
        </w:r>
      </w:hyperlink>
    </w:p>
    <w:p w14:paraId="71C5F1E5" w14:textId="6D5508C3"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1" w:history="1">
        <w:r w:rsidRPr="00B740E5">
          <w:rPr>
            <w:rStyle w:val="Hyperlink"/>
            <w:noProof/>
          </w:rPr>
          <w:t>Table 7.2: MCA outcomes – Making inappropriate conduct an offence</w:t>
        </w:r>
        <w:r>
          <w:rPr>
            <w:noProof/>
            <w:webHidden/>
          </w:rPr>
          <w:tab/>
        </w:r>
        <w:r>
          <w:rPr>
            <w:noProof/>
            <w:webHidden/>
          </w:rPr>
          <w:fldChar w:fldCharType="begin"/>
        </w:r>
        <w:r>
          <w:rPr>
            <w:noProof/>
            <w:webHidden/>
          </w:rPr>
          <w:instrText xml:space="preserve"> PAGEREF _Toc205884951 \h </w:instrText>
        </w:r>
        <w:r>
          <w:rPr>
            <w:noProof/>
            <w:webHidden/>
          </w:rPr>
        </w:r>
        <w:r>
          <w:rPr>
            <w:noProof/>
            <w:webHidden/>
          </w:rPr>
          <w:fldChar w:fldCharType="separate"/>
        </w:r>
        <w:r w:rsidR="00533FCD">
          <w:rPr>
            <w:noProof/>
            <w:webHidden/>
          </w:rPr>
          <w:t>141</w:t>
        </w:r>
        <w:r>
          <w:rPr>
            <w:noProof/>
            <w:webHidden/>
          </w:rPr>
          <w:fldChar w:fldCharType="end"/>
        </w:r>
      </w:hyperlink>
    </w:p>
    <w:p w14:paraId="51DDC298" w14:textId="54F3AFD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2" w:history="1">
        <w:r w:rsidRPr="00B740E5">
          <w:rPr>
            <w:rStyle w:val="Hyperlink"/>
            <w:noProof/>
          </w:rPr>
          <w:t>Chart 7.3: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_Toc205884952 \h </w:instrText>
        </w:r>
        <w:r>
          <w:rPr>
            <w:noProof/>
            <w:webHidden/>
          </w:rPr>
        </w:r>
        <w:r>
          <w:rPr>
            <w:noProof/>
            <w:webHidden/>
          </w:rPr>
          <w:fldChar w:fldCharType="separate"/>
        </w:r>
        <w:r w:rsidR="00533FCD">
          <w:rPr>
            <w:noProof/>
            <w:webHidden/>
          </w:rPr>
          <w:t>143</w:t>
        </w:r>
        <w:r>
          <w:rPr>
            <w:noProof/>
            <w:webHidden/>
          </w:rPr>
          <w:fldChar w:fldCharType="end"/>
        </w:r>
      </w:hyperlink>
    </w:p>
    <w:p w14:paraId="437F2A58" w14:textId="46E2AA48"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3" w:history="1">
        <w:r w:rsidRPr="00B740E5">
          <w:rPr>
            <w:rStyle w:val="Hyperlink"/>
            <w:noProof/>
          </w:rPr>
          <w:t>Table 7.3: Policy options under consideration – Enhancing Regulatory Authorities’ ability to share information with approved providers</w:t>
        </w:r>
        <w:r>
          <w:rPr>
            <w:noProof/>
            <w:webHidden/>
          </w:rPr>
          <w:tab/>
        </w:r>
        <w:r>
          <w:rPr>
            <w:noProof/>
            <w:webHidden/>
          </w:rPr>
          <w:fldChar w:fldCharType="begin"/>
        </w:r>
        <w:r>
          <w:rPr>
            <w:noProof/>
            <w:webHidden/>
          </w:rPr>
          <w:instrText xml:space="preserve"> PAGEREF _Toc205884953 \h </w:instrText>
        </w:r>
        <w:r>
          <w:rPr>
            <w:noProof/>
            <w:webHidden/>
          </w:rPr>
        </w:r>
        <w:r>
          <w:rPr>
            <w:noProof/>
            <w:webHidden/>
          </w:rPr>
          <w:fldChar w:fldCharType="separate"/>
        </w:r>
        <w:r w:rsidR="00533FCD">
          <w:rPr>
            <w:noProof/>
            <w:webHidden/>
          </w:rPr>
          <w:t>155</w:t>
        </w:r>
        <w:r>
          <w:rPr>
            <w:noProof/>
            <w:webHidden/>
          </w:rPr>
          <w:fldChar w:fldCharType="end"/>
        </w:r>
      </w:hyperlink>
    </w:p>
    <w:p w14:paraId="008845BE" w14:textId="4AB9B63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4" w:history="1">
        <w:r w:rsidRPr="00B740E5">
          <w:rPr>
            <w:rStyle w:val="Hyperlink"/>
            <w:noProof/>
          </w:rPr>
          <w:t>Chart 7.4: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_Toc205884954 \h </w:instrText>
        </w:r>
        <w:r>
          <w:rPr>
            <w:noProof/>
            <w:webHidden/>
          </w:rPr>
        </w:r>
        <w:r>
          <w:rPr>
            <w:noProof/>
            <w:webHidden/>
          </w:rPr>
          <w:fldChar w:fldCharType="separate"/>
        </w:r>
        <w:r w:rsidR="00533FCD">
          <w:rPr>
            <w:noProof/>
            <w:webHidden/>
          </w:rPr>
          <w:t>157</w:t>
        </w:r>
        <w:r>
          <w:rPr>
            <w:noProof/>
            <w:webHidden/>
          </w:rPr>
          <w:fldChar w:fldCharType="end"/>
        </w:r>
      </w:hyperlink>
    </w:p>
    <w:p w14:paraId="06E8405A" w14:textId="158A01E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5" w:history="1">
        <w:r w:rsidRPr="00B740E5">
          <w:rPr>
            <w:rStyle w:val="Hyperlink"/>
            <w:noProof/>
          </w:rPr>
          <w:t>Table 7.4: Policy options under consideration – Expansion of regulatory responses to educator and staff member conduct</w:t>
        </w:r>
        <w:r>
          <w:rPr>
            <w:noProof/>
            <w:webHidden/>
          </w:rPr>
          <w:tab/>
        </w:r>
        <w:r>
          <w:rPr>
            <w:noProof/>
            <w:webHidden/>
          </w:rPr>
          <w:fldChar w:fldCharType="begin"/>
        </w:r>
        <w:r>
          <w:rPr>
            <w:noProof/>
            <w:webHidden/>
          </w:rPr>
          <w:instrText xml:space="preserve"> PAGEREF _Toc205884955 \h </w:instrText>
        </w:r>
        <w:r>
          <w:rPr>
            <w:noProof/>
            <w:webHidden/>
          </w:rPr>
        </w:r>
        <w:r>
          <w:rPr>
            <w:noProof/>
            <w:webHidden/>
          </w:rPr>
          <w:fldChar w:fldCharType="separate"/>
        </w:r>
        <w:r w:rsidR="00533FCD">
          <w:rPr>
            <w:noProof/>
            <w:webHidden/>
          </w:rPr>
          <w:t>164</w:t>
        </w:r>
        <w:r>
          <w:rPr>
            <w:noProof/>
            <w:webHidden/>
          </w:rPr>
          <w:fldChar w:fldCharType="end"/>
        </w:r>
      </w:hyperlink>
    </w:p>
    <w:p w14:paraId="16F96443" w14:textId="1EEE351B"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6" w:history="1">
        <w:r w:rsidRPr="00B740E5">
          <w:rPr>
            <w:rStyle w:val="Hyperlink"/>
            <w:noProof/>
          </w:rPr>
          <w:t>Table 7.5: MCA outcomes – Expansion of regulatory responses to educator and staff member conduct</w:t>
        </w:r>
        <w:r>
          <w:rPr>
            <w:noProof/>
            <w:webHidden/>
          </w:rPr>
          <w:tab/>
        </w:r>
        <w:r>
          <w:rPr>
            <w:noProof/>
            <w:webHidden/>
          </w:rPr>
          <w:fldChar w:fldCharType="begin"/>
        </w:r>
        <w:r>
          <w:rPr>
            <w:noProof/>
            <w:webHidden/>
          </w:rPr>
          <w:instrText xml:space="preserve"> PAGEREF _Toc205884956 \h </w:instrText>
        </w:r>
        <w:r>
          <w:rPr>
            <w:noProof/>
            <w:webHidden/>
          </w:rPr>
        </w:r>
        <w:r>
          <w:rPr>
            <w:noProof/>
            <w:webHidden/>
          </w:rPr>
          <w:fldChar w:fldCharType="separate"/>
        </w:r>
        <w:r w:rsidR="00533FCD">
          <w:rPr>
            <w:noProof/>
            <w:webHidden/>
          </w:rPr>
          <w:t>166</w:t>
        </w:r>
        <w:r>
          <w:rPr>
            <w:noProof/>
            <w:webHidden/>
          </w:rPr>
          <w:fldChar w:fldCharType="end"/>
        </w:r>
      </w:hyperlink>
    </w:p>
    <w:p w14:paraId="788819B8" w14:textId="229229F0"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7" w:history="1">
        <w:r w:rsidRPr="00B740E5">
          <w:rPr>
            <w:rStyle w:val="Hyperlink"/>
            <w:noProof/>
          </w:rPr>
          <w:t>Chart 7.5: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_Toc205884957 \h </w:instrText>
        </w:r>
        <w:r>
          <w:rPr>
            <w:noProof/>
            <w:webHidden/>
          </w:rPr>
        </w:r>
        <w:r>
          <w:rPr>
            <w:noProof/>
            <w:webHidden/>
          </w:rPr>
          <w:fldChar w:fldCharType="separate"/>
        </w:r>
        <w:r w:rsidR="00533FCD">
          <w:rPr>
            <w:noProof/>
            <w:webHidden/>
          </w:rPr>
          <w:t>167</w:t>
        </w:r>
        <w:r>
          <w:rPr>
            <w:noProof/>
            <w:webHidden/>
          </w:rPr>
          <w:fldChar w:fldCharType="end"/>
        </w:r>
      </w:hyperlink>
    </w:p>
    <w:p w14:paraId="184F92F5" w14:textId="5A958D3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8" w:history="1">
        <w:r w:rsidRPr="00B740E5">
          <w:rPr>
            <w:rStyle w:val="Hyperlink"/>
            <w:noProof/>
          </w:rPr>
          <w:t>Table 8.1: Overview of WWCC legislation, regulation, and standards</w:t>
        </w:r>
        <w:r>
          <w:rPr>
            <w:noProof/>
            <w:webHidden/>
          </w:rPr>
          <w:tab/>
        </w:r>
        <w:r>
          <w:rPr>
            <w:noProof/>
            <w:webHidden/>
          </w:rPr>
          <w:fldChar w:fldCharType="begin"/>
        </w:r>
        <w:r>
          <w:rPr>
            <w:noProof/>
            <w:webHidden/>
          </w:rPr>
          <w:instrText xml:space="preserve"> PAGEREF _Toc205884958 \h </w:instrText>
        </w:r>
        <w:r>
          <w:rPr>
            <w:noProof/>
            <w:webHidden/>
          </w:rPr>
        </w:r>
        <w:r>
          <w:rPr>
            <w:noProof/>
            <w:webHidden/>
          </w:rPr>
          <w:fldChar w:fldCharType="separate"/>
        </w:r>
        <w:r w:rsidR="00533FCD">
          <w:rPr>
            <w:noProof/>
            <w:webHidden/>
          </w:rPr>
          <w:t>178</w:t>
        </w:r>
        <w:r>
          <w:rPr>
            <w:noProof/>
            <w:webHidden/>
          </w:rPr>
          <w:fldChar w:fldCharType="end"/>
        </w:r>
      </w:hyperlink>
    </w:p>
    <w:p w14:paraId="3FC57A79" w14:textId="640B84E3"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59" w:history="1">
        <w:r w:rsidRPr="00B740E5">
          <w:rPr>
            <w:rStyle w:val="Hyperlink"/>
            <w:noProof/>
          </w:rPr>
          <w:t>Table 8.2: High-level overview of key differences in jurisdictional legislation for commencing roles with WWCCs</w:t>
        </w:r>
        <w:r>
          <w:rPr>
            <w:noProof/>
            <w:webHidden/>
          </w:rPr>
          <w:tab/>
        </w:r>
        <w:r>
          <w:rPr>
            <w:noProof/>
            <w:webHidden/>
          </w:rPr>
          <w:fldChar w:fldCharType="begin"/>
        </w:r>
        <w:r>
          <w:rPr>
            <w:noProof/>
            <w:webHidden/>
          </w:rPr>
          <w:instrText xml:space="preserve"> PAGEREF _Toc205884959 \h </w:instrText>
        </w:r>
        <w:r>
          <w:rPr>
            <w:noProof/>
            <w:webHidden/>
          </w:rPr>
        </w:r>
        <w:r>
          <w:rPr>
            <w:noProof/>
            <w:webHidden/>
          </w:rPr>
          <w:fldChar w:fldCharType="separate"/>
        </w:r>
        <w:r w:rsidR="00533FCD">
          <w:rPr>
            <w:noProof/>
            <w:webHidden/>
          </w:rPr>
          <w:t>179</w:t>
        </w:r>
        <w:r>
          <w:rPr>
            <w:noProof/>
            <w:webHidden/>
          </w:rPr>
          <w:fldChar w:fldCharType="end"/>
        </w:r>
      </w:hyperlink>
    </w:p>
    <w:p w14:paraId="15F85A03" w14:textId="7C018FF1"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0" w:history="1">
        <w:r w:rsidRPr="00B740E5">
          <w:rPr>
            <w:rStyle w:val="Hyperlink"/>
            <w:noProof/>
          </w:rPr>
          <w:t>Table 8.3: Policy options under consideration – Requiring an approved WWCC prior to commencing paid or volunteer work at an education and care service</w:t>
        </w:r>
        <w:r>
          <w:rPr>
            <w:noProof/>
            <w:webHidden/>
          </w:rPr>
          <w:tab/>
        </w:r>
        <w:r>
          <w:rPr>
            <w:noProof/>
            <w:webHidden/>
          </w:rPr>
          <w:fldChar w:fldCharType="begin"/>
        </w:r>
        <w:r>
          <w:rPr>
            <w:noProof/>
            <w:webHidden/>
          </w:rPr>
          <w:instrText xml:space="preserve"> PAGEREF _Toc205884960 \h </w:instrText>
        </w:r>
        <w:r>
          <w:rPr>
            <w:noProof/>
            <w:webHidden/>
          </w:rPr>
        </w:r>
        <w:r>
          <w:rPr>
            <w:noProof/>
            <w:webHidden/>
          </w:rPr>
          <w:fldChar w:fldCharType="separate"/>
        </w:r>
        <w:r w:rsidR="00533FCD">
          <w:rPr>
            <w:noProof/>
            <w:webHidden/>
          </w:rPr>
          <w:t>181</w:t>
        </w:r>
        <w:r>
          <w:rPr>
            <w:noProof/>
            <w:webHidden/>
          </w:rPr>
          <w:fldChar w:fldCharType="end"/>
        </w:r>
      </w:hyperlink>
    </w:p>
    <w:p w14:paraId="73A1E7B3" w14:textId="79414345"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1" w:history="1">
        <w:r w:rsidRPr="00B740E5">
          <w:rPr>
            <w:rStyle w:val="Hyperlink"/>
            <w:noProof/>
          </w:rPr>
          <w:t>Table 8.4: MCA outcomes – Requiring an approved WWCC prior to commencing paid or volunteer work at an education and care service</w:t>
        </w:r>
        <w:r>
          <w:rPr>
            <w:noProof/>
            <w:webHidden/>
          </w:rPr>
          <w:tab/>
        </w:r>
        <w:r>
          <w:rPr>
            <w:noProof/>
            <w:webHidden/>
          </w:rPr>
          <w:fldChar w:fldCharType="begin"/>
        </w:r>
        <w:r>
          <w:rPr>
            <w:noProof/>
            <w:webHidden/>
          </w:rPr>
          <w:instrText xml:space="preserve"> PAGEREF _Toc205884961 \h </w:instrText>
        </w:r>
        <w:r>
          <w:rPr>
            <w:noProof/>
            <w:webHidden/>
          </w:rPr>
        </w:r>
        <w:r>
          <w:rPr>
            <w:noProof/>
            <w:webHidden/>
          </w:rPr>
          <w:fldChar w:fldCharType="separate"/>
        </w:r>
        <w:r w:rsidR="00533FCD">
          <w:rPr>
            <w:noProof/>
            <w:webHidden/>
          </w:rPr>
          <w:t>183</w:t>
        </w:r>
        <w:r>
          <w:rPr>
            <w:noProof/>
            <w:webHidden/>
          </w:rPr>
          <w:fldChar w:fldCharType="end"/>
        </w:r>
      </w:hyperlink>
    </w:p>
    <w:p w14:paraId="2542AA3A" w14:textId="49A079D8"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2" w:history="1">
        <w:r w:rsidRPr="00B740E5">
          <w:rPr>
            <w:rStyle w:val="Hyperlink"/>
            <w:noProof/>
          </w:rPr>
          <w:t>Chart 8.1: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_Toc205884962 \h </w:instrText>
        </w:r>
        <w:r>
          <w:rPr>
            <w:noProof/>
            <w:webHidden/>
          </w:rPr>
        </w:r>
        <w:r>
          <w:rPr>
            <w:noProof/>
            <w:webHidden/>
          </w:rPr>
          <w:fldChar w:fldCharType="separate"/>
        </w:r>
        <w:r w:rsidR="00533FCD">
          <w:rPr>
            <w:noProof/>
            <w:webHidden/>
          </w:rPr>
          <w:t>184</w:t>
        </w:r>
        <w:r>
          <w:rPr>
            <w:noProof/>
            <w:webHidden/>
          </w:rPr>
          <w:fldChar w:fldCharType="end"/>
        </w:r>
      </w:hyperlink>
    </w:p>
    <w:p w14:paraId="098931A4" w14:textId="411896A3"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3" w:history="1">
        <w:r w:rsidRPr="00B740E5">
          <w:rPr>
            <w:rStyle w:val="Hyperlink"/>
            <w:noProof/>
          </w:rPr>
          <w:t>Chart 8.2: Approved provider responses to “What is your preferred option or combination of options?”, by jurisdiction</w:t>
        </w:r>
        <w:r>
          <w:rPr>
            <w:noProof/>
            <w:webHidden/>
          </w:rPr>
          <w:tab/>
        </w:r>
        <w:r>
          <w:rPr>
            <w:noProof/>
            <w:webHidden/>
          </w:rPr>
          <w:fldChar w:fldCharType="begin"/>
        </w:r>
        <w:r>
          <w:rPr>
            <w:noProof/>
            <w:webHidden/>
          </w:rPr>
          <w:instrText xml:space="preserve"> PAGEREF _Toc205884963 \h </w:instrText>
        </w:r>
        <w:r>
          <w:rPr>
            <w:noProof/>
            <w:webHidden/>
          </w:rPr>
        </w:r>
        <w:r>
          <w:rPr>
            <w:noProof/>
            <w:webHidden/>
          </w:rPr>
          <w:fldChar w:fldCharType="separate"/>
        </w:r>
        <w:r w:rsidR="00533FCD">
          <w:rPr>
            <w:noProof/>
            <w:webHidden/>
          </w:rPr>
          <w:t>190</w:t>
        </w:r>
        <w:r>
          <w:rPr>
            <w:noProof/>
            <w:webHidden/>
          </w:rPr>
          <w:fldChar w:fldCharType="end"/>
        </w:r>
      </w:hyperlink>
    </w:p>
    <w:p w14:paraId="6F420763" w14:textId="2D99D6F9"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4" w:history="1">
        <w:r w:rsidRPr="00B740E5">
          <w:rPr>
            <w:rStyle w:val="Hyperlink"/>
            <w:noProof/>
          </w:rPr>
          <w:t>Table 8.5: High-level overview of key differences in jurisdictional notification requirements</w:t>
        </w:r>
        <w:r>
          <w:rPr>
            <w:noProof/>
            <w:webHidden/>
          </w:rPr>
          <w:tab/>
        </w:r>
        <w:r>
          <w:rPr>
            <w:noProof/>
            <w:webHidden/>
          </w:rPr>
          <w:fldChar w:fldCharType="begin"/>
        </w:r>
        <w:r>
          <w:rPr>
            <w:noProof/>
            <w:webHidden/>
          </w:rPr>
          <w:instrText xml:space="preserve"> PAGEREF _Toc205884964 \h </w:instrText>
        </w:r>
        <w:r>
          <w:rPr>
            <w:noProof/>
            <w:webHidden/>
          </w:rPr>
        </w:r>
        <w:r>
          <w:rPr>
            <w:noProof/>
            <w:webHidden/>
          </w:rPr>
          <w:fldChar w:fldCharType="separate"/>
        </w:r>
        <w:r w:rsidR="00533FCD">
          <w:rPr>
            <w:noProof/>
            <w:webHidden/>
          </w:rPr>
          <w:t>194</w:t>
        </w:r>
        <w:r>
          <w:rPr>
            <w:noProof/>
            <w:webHidden/>
          </w:rPr>
          <w:fldChar w:fldCharType="end"/>
        </w:r>
      </w:hyperlink>
    </w:p>
    <w:p w14:paraId="5322649D" w14:textId="79689C5F"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5" w:history="1">
        <w:r w:rsidRPr="00B740E5">
          <w:rPr>
            <w:rStyle w:val="Hyperlink"/>
            <w:noProof/>
          </w:rPr>
          <w:t>Table 8.6: Policy options under consideration – Requiring approved providers and Regulatory Authorities to be notified about changes in WWCC status</w:t>
        </w:r>
        <w:r>
          <w:rPr>
            <w:noProof/>
            <w:webHidden/>
          </w:rPr>
          <w:tab/>
        </w:r>
        <w:r>
          <w:rPr>
            <w:noProof/>
            <w:webHidden/>
          </w:rPr>
          <w:fldChar w:fldCharType="begin"/>
        </w:r>
        <w:r>
          <w:rPr>
            <w:noProof/>
            <w:webHidden/>
          </w:rPr>
          <w:instrText xml:space="preserve"> PAGEREF _Toc205884965 \h </w:instrText>
        </w:r>
        <w:r>
          <w:rPr>
            <w:noProof/>
            <w:webHidden/>
          </w:rPr>
        </w:r>
        <w:r>
          <w:rPr>
            <w:noProof/>
            <w:webHidden/>
          </w:rPr>
          <w:fldChar w:fldCharType="separate"/>
        </w:r>
        <w:r w:rsidR="00533FCD">
          <w:rPr>
            <w:noProof/>
            <w:webHidden/>
          </w:rPr>
          <w:t>195</w:t>
        </w:r>
        <w:r>
          <w:rPr>
            <w:noProof/>
            <w:webHidden/>
          </w:rPr>
          <w:fldChar w:fldCharType="end"/>
        </w:r>
      </w:hyperlink>
    </w:p>
    <w:p w14:paraId="697ABA6B" w14:textId="729F6D9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6" w:history="1">
        <w:r w:rsidRPr="00B740E5">
          <w:rPr>
            <w:rStyle w:val="Hyperlink"/>
            <w:noProof/>
          </w:rPr>
          <w:t>Table 8.7: MCA outcomes – Requiring approved providers and Regulatory Authorities to be notified about changes in WWCC status</w:t>
        </w:r>
        <w:r>
          <w:rPr>
            <w:noProof/>
            <w:webHidden/>
          </w:rPr>
          <w:tab/>
        </w:r>
        <w:r>
          <w:rPr>
            <w:noProof/>
            <w:webHidden/>
          </w:rPr>
          <w:fldChar w:fldCharType="begin"/>
        </w:r>
        <w:r>
          <w:rPr>
            <w:noProof/>
            <w:webHidden/>
          </w:rPr>
          <w:instrText xml:space="preserve"> PAGEREF _Toc205884966 \h </w:instrText>
        </w:r>
        <w:r>
          <w:rPr>
            <w:noProof/>
            <w:webHidden/>
          </w:rPr>
        </w:r>
        <w:r>
          <w:rPr>
            <w:noProof/>
            <w:webHidden/>
          </w:rPr>
          <w:fldChar w:fldCharType="separate"/>
        </w:r>
        <w:r w:rsidR="00533FCD">
          <w:rPr>
            <w:noProof/>
            <w:webHidden/>
          </w:rPr>
          <w:t>196</w:t>
        </w:r>
        <w:r>
          <w:rPr>
            <w:noProof/>
            <w:webHidden/>
          </w:rPr>
          <w:fldChar w:fldCharType="end"/>
        </w:r>
      </w:hyperlink>
    </w:p>
    <w:p w14:paraId="244E7D7B" w14:textId="34EE0E2F"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7" w:history="1">
        <w:r w:rsidRPr="00B740E5">
          <w:rPr>
            <w:rStyle w:val="Hyperlink"/>
            <w:noProof/>
          </w:rPr>
          <w:t>Chart 8.3: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_Toc205884967 \h </w:instrText>
        </w:r>
        <w:r>
          <w:rPr>
            <w:noProof/>
            <w:webHidden/>
          </w:rPr>
        </w:r>
        <w:r>
          <w:rPr>
            <w:noProof/>
            <w:webHidden/>
          </w:rPr>
          <w:fldChar w:fldCharType="separate"/>
        </w:r>
        <w:r w:rsidR="00533FCD">
          <w:rPr>
            <w:noProof/>
            <w:webHidden/>
          </w:rPr>
          <w:t>198</w:t>
        </w:r>
        <w:r>
          <w:rPr>
            <w:noProof/>
            <w:webHidden/>
          </w:rPr>
          <w:fldChar w:fldCharType="end"/>
        </w:r>
      </w:hyperlink>
    </w:p>
    <w:p w14:paraId="72308CA8" w14:textId="25E85B89"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8" w:history="1">
        <w:r w:rsidRPr="00B740E5">
          <w:rPr>
            <w:rStyle w:val="Hyperlink"/>
            <w:noProof/>
          </w:rPr>
          <w:t>Chart 8.4: Approved provider responses to “What is your preferred option or combination of options?”, by jurisdiction</w:t>
        </w:r>
        <w:r>
          <w:rPr>
            <w:noProof/>
            <w:webHidden/>
          </w:rPr>
          <w:tab/>
        </w:r>
        <w:r>
          <w:rPr>
            <w:noProof/>
            <w:webHidden/>
          </w:rPr>
          <w:fldChar w:fldCharType="begin"/>
        </w:r>
        <w:r>
          <w:rPr>
            <w:noProof/>
            <w:webHidden/>
          </w:rPr>
          <w:instrText xml:space="preserve"> PAGEREF _Toc205884968 \h </w:instrText>
        </w:r>
        <w:r>
          <w:rPr>
            <w:noProof/>
            <w:webHidden/>
          </w:rPr>
        </w:r>
        <w:r>
          <w:rPr>
            <w:noProof/>
            <w:webHidden/>
          </w:rPr>
          <w:fldChar w:fldCharType="separate"/>
        </w:r>
        <w:r w:rsidR="00533FCD">
          <w:rPr>
            <w:noProof/>
            <w:webHidden/>
          </w:rPr>
          <w:t>201</w:t>
        </w:r>
        <w:r>
          <w:rPr>
            <w:noProof/>
            <w:webHidden/>
          </w:rPr>
          <w:fldChar w:fldCharType="end"/>
        </w:r>
      </w:hyperlink>
    </w:p>
    <w:p w14:paraId="4B90F2FB" w14:textId="1C74576D"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69" w:history="1">
        <w:r w:rsidRPr="00B740E5">
          <w:rPr>
            <w:rStyle w:val="Hyperlink"/>
            <w:noProof/>
          </w:rPr>
          <w:t>Table 9.1: Quantity of all waivers of regulation 115 by status and waiver type, 2009-2024</w:t>
        </w:r>
        <w:r>
          <w:rPr>
            <w:noProof/>
            <w:webHidden/>
          </w:rPr>
          <w:tab/>
        </w:r>
        <w:r>
          <w:rPr>
            <w:noProof/>
            <w:webHidden/>
          </w:rPr>
          <w:fldChar w:fldCharType="begin"/>
        </w:r>
        <w:r>
          <w:rPr>
            <w:noProof/>
            <w:webHidden/>
          </w:rPr>
          <w:instrText xml:space="preserve"> PAGEREF _Toc205884969 \h </w:instrText>
        </w:r>
        <w:r>
          <w:rPr>
            <w:noProof/>
            <w:webHidden/>
          </w:rPr>
        </w:r>
        <w:r>
          <w:rPr>
            <w:noProof/>
            <w:webHidden/>
          </w:rPr>
          <w:fldChar w:fldCharType="separate"/>
        </w:r>
        <w:r w:rsidR="00533FCD">
          <w:rPr>
            <w:noProof/>
            <w:webHidden/>
          </w:rPr>
          <w:t>207</w:t>
        </w:r>
        <w:r>
          <w:rPr>
            <w:noProof/>
            <w:webHidden/>
          </w:rPr>
          <w:fldChar w:fldCharType="end"/>
        </w:r>
      </w:hyperlink>
    </w:p>
    <w:p w14:paraId="12C65B08" w14:textId="6B623D98"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0" w:history="1">
        <w:r w:rsidRPr="00B740E5">
          <w:rPr>
            <w:rStyle w:val="Hyperlink"/>
            <w:noProof/>
          </w:rPr>
          <w:t>Table 9.2: Quantity of all waivers of regulation 115 by service and waiver type, 2009-2024</w:t>
        </w:r>
        <w:r>
          <w:rPr>
            <w:noProof/>
            <w:webHidden/>
          </w:rPr>
          <w:tab/>
        </w:r>
        <w:r>
          <w:rPr>
            <w:noProof/>
            <w:webHidden/>
          </w:rPr>
          <w:fldChar w:fldCharType="begin"/>
        </w:r>
        <w:r>
          <w:rPr>
            <w:noProof/>
            <w:webHidden/>
          </w:rPr>
          <w:instrText xml:space="preserve"> PAGEREF _Toc205884970 \h </w:instrText>
        </w:r>
        <w:r>
          <w:rPr>
            <w:noProof/>
            <w:webHidden/>
          </w:rPr>
        </w:r>
        <w:r>
          <w:rPr>
            <w:noProof/>
            <w:webHidden/>
          </w:rPr>
          <w:fldChar w:fldCharType="separate"/>
        </w:r>
        <w:r w:rsidR="00533FCD">
          <w:rPr>
            <w:noProof/>
            <w:webHidden/>
          </w:rPr>
          <w:t>208</w:t>
        </w:r>
        <w:r>
          <w:rPr>
            <w:noProof/>
            <w:webHidden/>
          </w:rPr>
          <w:fldChar w:fldCharType="end"/>
        </w:r>
      </w:hyperlink>
    </w:p>
    <w:p w14:paraId="5E9EFF32" w14:textId="1E7E2BAE"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1" w:history="1">
        <w:r w:rsidRPr="00B740E5">
          <w:rPr>
            <w:rStyle w:val="Hyperlink"/>
            <w:noProof/>
          </w:rPr>
          <w:t>Table 9.3: Policy options under consideration – Service and temporary waivers for the design of premises (to facilitate supervision of children)</w:t>
        </w:r>
        <w:r>
          <w:rPr>
            <w:noProof/>
            <w:webHidden/>
          </w:rPr>
          <w:tab/>
        </w:r>
        <w:r>
          <w:rPr>
            <w:noProof/>
            <w:webHidden/>
          </w:rPr>
          <w:fldChar w:fldCharType="begin"/>
        </w:r>
        <w:r>
          <w:rPr>
            <w:noProof/>
            <w:webHidden/>
          </w:rPr>
          <w:instrText xml:space="preserve"> PAGEREF _Toc205884971 \h </w:instrText>
        </w:r>
        <w:r>
          <w:rPr>
            <w:noProof/>
            <w:webHidden/>
          </w:rPr>
        </w:r>
        <w:r>
          <w:rPr>
            <w:noProof/>
            <w:webHidden/>
          </w:rPr>
          <w:fldChar w:fldCharType="separate"/>
        </w:r>
        <w:r w:rsidR="00533FCD">
          <w:rPr>
            <w:noProof/>
            <w:webHidden/>
          </w:rPr>
          <w:t>209</w:t>
        </w:r>
        <w:r>
          <w:rPr>
            <w:noProof/>
            <w:webHidden/>
          </w:rPr>
          <w:fldChar w:fldCharType="end"/>
        </w:r>
      </w:hyperlink>
    </w:p>
    <w:p w14:paraId="14B11156" w14:textId="66BA73BC"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2" w:history="1">
        <w:r w:rsidRPr="00B740E5">
          <w:rPr>
            <w:rStyle w:val="Hyperlink"/>
            <w:noProof/>
          </w:rPr>
          <w:t>Table 9.4: MCA outcomes – Service and temporary waivers for the design of premises (to facilitate supervision of children)</w:t>
        </w:r>
        <w:r>
          <w:rPr>
            <w:noProof/>
            <w:webHidden/>
          </w:rPr>
          <w:tab/>
        </w:r>
        <w:r>
          <w:rPr>
            <w:noProof/>
            <w:webHidden/>
          </w:rPr>
          <w:fldChar w:fldCharType="begin"/>
        </w:r>
        <w:r>
          <w:rPr>
            <w:noProof/>
            <w:webHidden/>
          </w:rPr>
          <w:instrText xml:space="preserve"> PAGEREF _Toc205884972 \h </w:instrText>
        </w:r>
        <w:r>
          <w:rPr>
            <w:noProof/>
            <w:webHidden/>
          </w:rPr>
        </w:r>
        <w:r>
          <w:rPr>
            <w:noProof/>
            <w:webHidden/>
          </w:rPr>
          <w:fldChar w:fldCharType="separate"/>
        </w:r>
        <w:r w:rsidR="00533FCD">
          <w:rPr>
            <w:noProof/>
            <w:webHidden/>
          </w:rPr>
          <w:t>210</w:t>
        </w:r>
        <w:r>
          <w:rPr>
            <w:noProof/>
            <w:webHidden/>
          </w:rPr>
          <w:fldChar w:fldCharType="end"/>
        </w:r>
      </w:hyperlink>
    </w:p>
    <w:p w14:paraId="67F2C07E" w14:textId="2FCEBF5B"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3" w:history="1">
        <w:r w:rsidRPr="00B740E5">
          <w:rPr>
            <w:rStyle w:val="Hyperlink"/>
            <w:noProof/>
          </w:rPr>
          <w:t>Chart 9.1: Family, carers, and parent responses to “How much do you think each option will reduce the risk of harm to children?”</w:t>
        </w:r>
        <w:r>
          <w:rPr>
            <w:noProof/>
            <w:webHidden/>
          </w:rPr>
          <w:tab/>
        </w:r>
        <w:r>
          <w:rPr>
            <w:noProof/>
            <w:webHidden/>
          </w:rPr>
          <w:fldChar w:fldCharType="begin"/>
        </w:r>
        <w:r>
          <w:rPr>
            <w:noProof/>
            <w:webHidden/>
          </w:rPr>
          <w:instrText xml:space="preserve"> PAGEREF _Toc205884973 \h </w:instrText>
        </w:r>
        <w:r>
          <w:rPr>
            <w:noProof/>
            <w:webHidden/>
          </w:rPr>
        </w:r>
        <w:r>
          <w:rPr>
            <w:noProof/>
            <w:webHidden/>
          </w:rPr>
          <w:fldChar w:fldCharType="separate"/>
        </w:r>
        <w:r w:rsidR="00533FCD">
          <w:rPr>
            <w:noProof/>
            <w:webHidden/>
          </w:rPr>
          <w:t>212</w:t>
        </w:r>
        <w:r>
          <w:rPr>
            <w:noProof/>
            <w:webHidden/>
          </w:rPr>
          <w:fldChar w:fldCharType="end"/>
        </w:r>
      </w:hyperlink>
    </w:p>
    <w:p w14:paraId="66CFA113" w14:textId="0FFD6730"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4" w:history="1">
        <w:r w:rsidRPr="00B740E5">
          <w:rPr>
            <w:rStyle w:val="Hyperlink"/>
            <w:noProof/>
          </w:rPr>
          <w:t>Chart 9.2: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_Toc205884974 \h </w:instrText>
        </w:r>
        <w:r>
          <w:rPr>
            <w:noProof/>
            <w:webHidden/>
          </w:rPr>
        </w:r>
        <w:r>
          <w:rPr>
            <w:noProof/>
            <w:webHidden/>
          </w:rPr>
          <w:fldChar w:fldCharType="separate"/>
        </w:r>
        <w:r w:rsidR="00533FCD">
          <w:rPr>
            <w:noProof/>
            <w:webHidden/>
          </w:rPr>
          <w:t>212</w:t>
        </w:r>
        <w:r>
          <w:rPr>
            <w:noProof/>
            <w:webHidden/>
          </w:rPr>
          <w:fldChar w:fldCharType="end"/>
        </w:r>
      </w:hyperlink>
    </w:p>
    <w:p w14:paraId="4663470B" w14:textId="601A8300"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5" w:history="1">
        <w:r w:rsidRPr="00B740E5">
          <w:rPr>
            <w:rStyle w:val="Hyperlink"/>
            <w:noProof/>
          </w:rPr>
          <w:t>Chart 9.3: Approved provider responses to “What is your preferred option or combination of options?”</w:t>
        </w:r>
        <w:r>
          <w:rPr>
            <w:noProof/>
            <w:webHidden/>
          </w:rPr>
          <w:tab/>
        </w:r>
        <w:r>
          <w:rPr>
            <w:noProof/>
            <w:webHidden/>
          </w:rPr>
          <w:fldChar w:fldCharType="begin"/>
        </w:r>
        <w:r>
          <w:rPr>
            <w:noProof/>
            <w:webHidden/>
          </w:rPr>
          <w:instrText xml:space="preserve"> PAGEREF _Toc205884975 \h </w:instrText>
        </w:r>
        <w:r>
          <w:rPr>
            <w:noProof/>
            <w:webHidden/>
          </w:rPr>
        </w:r>
        <w:r>
          <w:rPr>
            <w:noProof/>
            <w:webHidden/>
          </w:rPr>
          <w:fldChar w:fldCharType="separate"/>
        </w:r>
        <w:r w:rsidR="00533FCD">
          <w:rPr>
            <w:noProof/>
            <w:webHidden/>
          </w:rPr>
          <w:t>216</w:t>
        </w:r>
        <w:r>
          <w:rPr>
            <w:noProof/>
            <w:webHidden/>
          </w:rPr>
          <w:fldChar w:fldCharType="end"/>
        </w:r>
      </w:hyperlink>
    </w:p>
    <w:p w14:paraId="69A95579" w14:textId="1BE3564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6" w:history="1">
        <w:r w:rsidRPr="00B740E5">
          <w:rPr>
            <w:rStyle w:val="Hyperlink"/>
            <w:noProof/>
          </w:rPr>
          <w:t>Chart 9.4: Family, carer, and parent responses to “What is your preferred option or combination of options?”</w:t>
        </w:r>
        <w:r>
          <w:rPr>
            <w:noProof/>
            <w:webHidden/>
          </w:rPr>
          <w:tab/>
        </w:r>
        <w:r>
          <w:rPr>
            <w:noProof/>
            <w:webHidden/>
          </w:rPr>
          <w:fldChar w:fldCharType="begin"/>
        </w:r>
        <w:r>
          <w:rPr>
            <w:noProof/>
            <w:webHidden/>
          </w:rPr>
          <w:instrText xml:space="preserve"> PAGEREF _Toc205884976 \h </w:instrText>
        </w:r>
        <w:r>
          <w:rPr>
            <w:noProof/>
            <w:webHidden/>
          </w:rPr>
        </w:r>
        <w:r>
          <w:rPr>
            <w:noProof/>
            <w:webHidden/>
          </w:rPr>
          <w:fldChar w:fldCharType="separate"/>
        </w:r>
        <w:r w:rsidR="00533FCD">
          <w:rPr>
            <w:noProof/>
            <w:webHidden/>
          </w:rPr>
          <w:t>217</w:t>
        </w:r>
        <w:r>
          <w:rPr>
            <w:noProof/>
            <w:webHidden/>
          </w:rPr>
          <w:fldChar w:fldCharType="end"/>
        </w:r>
      </w:hyperlink>
    </w:p>
    <w:p w14:paraId="2040F30D" w14:textId="613BBD25"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7" w:history="1">
        <w:r w:rsidRPr="00B740E5">
          <w:rPr>
            <w:rStyle w:val="Hyperlink"/>
            <w:noProof/>
          </w:rPr>
          <w:t>Figure 9.1: Diagram example of the boundaries of an FDC service premises and FDC residence relative to property boundary</w:t>
        </w:r>
        <w:r>
          <w:rPr>
            <w:noProof/>
            <w:webHidden/>
          </w:rPr>
          <w:tab/>
        </w:r>
        <w:r>
          <w:rPr>
            <w:noProof/>
            <w:webHidden/>
          </w:rPr>
          <w:fldChar w:fldCharType="begin"/>
        </w:r>
        <w:r>
          <w:rPr>
            <w:noProof/>
            <w:webHidden/>
          </w:rPr>
          <w:instrText xml:space="preserve"> PAGEREF _Toc205884977 \h </w:instrText>
        </w:r>
        <w:r>
          <w:rPr>
            <w:noProof/>
            <w:webHidden/>
          </w:rPr>
        </w:r>
        <w:r>
          <w:rPr>
            <w:noProof/>
            <w:webHidden/>
          </w:rPr>
          <w:fldChar w:fldCharType="separate"/>
        </w:r>
        <w:r w:rsidR="00533FCD">
          <w:rPr>
            <w:noProof/>
            <w:webHidden/>
          </w:rPr>
          <w:t>219</w:t>
        </w:r>
        <w:r>
          <w:rPr>
            <w:noProof/>
            <w:webHidden/>
          </w:rPr>
          <w:fldChar w:fldCharType="end"/>
        </w:r>
      </w:hyperlink>
    </w:p>
    <w:p w14:paraId="76B9095E" w14:textId="2179AEB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8" w:history="1">
        <w:r w:rsidRPr="00B740E5">
          <w:rPr>
            <w:rStyle w:val="Hyperlink"/>
            <w:noProof/>
          </w:rPr>
          <w:t>Table 9.5: Policy options under consideration – Requiring approved providers to assess not just the FDC residence, but areas near the residence</w:t>
        </w:r>
        <w:r>
          <w:rPr>
            <w:noProof/>
            <w:webHidden/>
          </w:rPr>
          <w:tab/>
        </w:r>
        <w:r>
          <w:rPr>
            <w:noProof/>
            <w:webHidden/>
          </w:rPr>
          <w:fldChar w:fldCharType="begin"/>
        </w:r>
        <w:r>
          <w:rPr>
            <w:noProof/>
            <w:webHidden/>
          </w:rPr>
          <w:instrText xml:space="preserve"> PAGEREF _Toc205884978 \h </w:instrText>
        </w:r>
        <w:r>
          <w:rPr>
            <w:noProof/>
            <w:webHidden/>
          </w:rPr>
        </w:r>
        <w:r>
          <w:rPr>
            <w:noProof/>
            <w:webHidden/>
          </w:rPr>
          <w:fldChar w:fldCharType="separate"/>
        </w:r>
        <w:r w:rsidR="00533FCD">
          <w:rPr>
            <w:noProof/>
            <w:webHidden/>
          </w:rPr>
          <w:t>221</w:t>
        </w:r>
        <w:r>
          <w:rPr>
            <w:noProof/>
            <w:webHidden/>
          </w:rPr>
          <w:fldChar w:fldCharType="end"/>
        </w:r>
      </w:hyperlink>
    </w:p>
    <w:p w14:paraId="33A95E93" w14:textId="70F947DF"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79" w:history="1">
        <w:r w:rsidRPr="00B740E5">
          <w:rPr>
            <w:rStyle w:val="Hyperlink"/>
            <w:noProof/>
          </w:rPr>
          <w:t>Table 9.6: MCA outcomes – Requiring approved providers to assess not just the FDC residence, but areas near the residence</w:t>
        </w:r>
        <w:r>
          <w:rPr>
            <w:noProof/>
            <w:webHidden/>
          </w:rPr>
          <w:tab/>
        </w:r>
        <w:r>
          <w:rPr>
            <w:noProof/>
            <w:webHidden/>
          </w:rPr>
          <w:fldChar w:fldCharType="begin"/>
        </w:r>
        <w:r>
          <w:rPr>
            <w:noProof/>
            <w:webHidden/>
          </w:rPr>
          <w:instrText xml:space="preserve"> PAGEREF _Toc205884979 \h </w:instrText>
        </w:r>
        <w:r>
          <w:rPr>
            <w:noProof/>
            <w:webHidden/>
          </w:rPr>
        </w:r>
        <w:r>
          <w:rPr>
            <w:noProof/>
            <w:webHidden/>
          </w:rPr>
          <w:fldChar w:fldCharType="separate"/>
        </w:r>
        <w:r w:rsidR="00533FCD">
          <w:rPr>
            <w:noProof/>
            <w:webHidden/>
          </w:rPr>
          <w:t>222</w:t>
        </w:r>
        <w:r>
          <w:rPr>
            <w:noProof/>
            <w:webHidden/>
          </w:rPr>
          <w:fldChar w:fldCharType="end"/>
        </w:r>
      </w:hyperlink>
    </w:p>
    <w:p w14:paraId="039DF7F6" w14:textId="11B0537E"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0" w:history="1">
        <w:r w:rsidRPr="00B740E5">
          <w:rPr>
            <w:rStyle w:val="Hyperlink"/>
            <w:noProof/>
          </w:rPr>
          <w:t>Chart 9.5: Approved provider responses by service type to “How much do you think each option will reduce the risk of harm to children?”</w:t>
        </w:r>
        <w:r>
          <w:rPr>
            <w:noProof/>
            <w:webHidden/>
          </w:rPr>
          <w:tab/>
        </w:r>
        <w:r>
          <w:rPr>
            <w:noProof/>
            <w:webHidden/>
          </w:rPr>
          <w:fldChar w:fldCharType="begin"/>
        </w:r>
        <w:r>
          <w:rPr>
            <w:noProof/>
            <w:webHidden/>
          </w:rPr>
          <w:instrText xml:space="preserve"> PAGEREF _Toc205884980 \h </w:instrText>
        </w:r>
        <w:r>
          <w:rPr>
            <w:noProof/>
            <w:webHidden/>
          </w:rPr>
        </w:r>
        <w:r>
          <w:rPr>
            <w:noProof/>
            <w:webHidden/>
          </w:rPr>
          <w:fldChar w:fldCharType="separate"/>
        </w:r>
        <w:r w:rsidR="00533FCD">
          <w:rPr>
            <w:noProof/>
            <w:webHidden/>
          </w:rPr>
          <w:t>223</w:t>
        </w:r>
        <w:r>
          <w:rPr>
            <w:noProof/>
            <w:webHidden/>
          </w:rPr>
          <w:fldChar w:fldCharType="end"/>
        </w:r>
      </w:hyperlink>
    </w:p>
    <w:p w14:paraId="5E3E4194" w14:textId="267C315C"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1" w:history="1">
        <w:r w:rsidRPr="00B740E5">
          <w:rPr>
            <w:rStyle w:val="Hyperlink"/>
            <w:noProof/>
          </w:rPr>
          <w:t>Chart 9.6: Approved provider responses by service type to “Are areas broader than the FDC residence ever assessed at your service?”</w:t>
        </w:r>
        <w:r>
          <w:rPr>
            <w:noProof/>
            <w:webHidden/>
          </w:rPr>
          <w:tab/>
        </w:r>
        <w:r>
          <w:rPr>
            <w:noProof/>
            <w:webHidden/>
          </w:rPr>
          <w:fldChar w:fldCharType="begin"/>
        </w:r>
        <w:r>
          <w:rPr>
            <w:noProof/>
            <w:webHidden/>
          </w:rPr>
          <w:instrText xml:space="preserve"> PAGEREF _Toc205884981 \h </w:instrText>
        </w:r>
        <w:r>
          <w:rPr>
            <w:noProof/>
            <w:webHidden/>
          </w:rPr>
        </w:r>
        <w:r>
          <w:rPr>
            <w:noProof/>
            <w:webHidden/>
          </w:rPr>
          <w:fldChar w:fldCharType="separate"/>
        </w:r>
        <w:r w:rsidR="00533FCD">
          <w:rPr>
            <w:noProof/>
            <w:webHidden/>
          </w:rPr>
          <w:t>224</w:t>
        </w:r>
        <w:r>
          <w:rPr>
            <w:noProof/>
            <w:webHidden/>
          </w:rPr>
          <w:fldChar w:fldCharType="end"/>
        </w:r>
      </w:hyperlink>
    </w:p>
    <w:p w14:paraId="1566A0DC" w14:textId="5B78109C"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2" w:history="1">
        <w:r w:rsidRPr="00B740E5">
          <w:rPr>
            <w:rStyle w:val="Hyperlink"/>
            <w:noProof/>
          </w:rPr>
          <w:t>Table 9.7: Cost of option 3 and option 4, by jurisdiction</w:t>
        </w:r>
        <w:r>
          <w:rPr>
            <w:noProof/>
            <w:webHidden/>
          </w:rPr>
          <w:tab/>
        </w:r>
        <w:r>
          <w:rPr>
            <w:noProof/>
            <w:webHidden/>
          </w:rPr>
          <w:fldChar w:fldCharType="begin"/>
        </w:r>
        <w:r>
          <w:rPr>
            <w:noProof/>
            <w:webHidden/>
          </w:rPr>
          <w:instrText xml:space="preserve"> PAGEREF _Toc205884982 \h </w:instrText>
        </w:r>
        <w:r>
          <w:rPr>
            <w:noProof/>
            <w:webHidden/>
          </w:rPr>
        </w:r>
        <w:r>
          <w:rPr>
            <w:noProof/>
            <w:webHidden/>
          </w:rPr>
          <w:fldChar w:fldCharType="separate"/>
        </w:r>
        <w:r w:rsidR="00533FCD">
          <w:rPr>
            <w:noProof/>
            <w:webHidden/>
          </w:rPr>
          <w:t>227</w:t>
        </w:r>
        <w:r>
          <w:rPr>
            <w:noProof/>
            <w:webHidden/>
          </w:rPr>
          <w:fldChar w:fldCharType="end"/>
        </w:r>
      </w:hyperlink>
    </w:p>
    <w:p w14:paraId="1D35E673" w14:textId="3F361B87"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3" w:history="1">
        <w:r w:rsidRPr="00B740E5">
          <w:rPr>
            <w:rStyle w:val="Hyperlink"/>
            <w:noProof/>
          </w:rPr>
          <w:t>Table 9.8: BEA – Requiring approved providers to assess not just the FDC residence, but areas near the residence</w:t>
        </w:r>
        <w:r>
          <w:rPr>
            <w:noProof/>
            <w:webHidden/>
          </w:rPr>
          <w:tab/>
        </w:r>
        <w:r>
          <w:rPr>
            <w:noProof/>
            <w:webHidden/>
          </w:rPr>
          <w:fldChar w:fldCharType="begin"/>
        </w:r>
        <w:r>
          <w:rPr>
            <w:noProof/>
            <w:webHidden/>
          </w:rPr>
          <w:instrText xml:space="preserve"> PAGEREF _Toc205884983 \h </w:instrText>
        </w:r>
        <w:r>
          <w:rPr>
            <w:noProof/>
            <w:webHidden/>
          </w:rPr>
        </w:r>
        <w:r>
          <w:rPr>
            <w:noProof/>
            <w:webHidden/>
          </w:rPr>
          <w:fldChar w:fldCharType="separate"/>
        </w:r>
        <w:r w:rsidR="00533FCD">
          <w:rPr>
            <w:noProof/>
            <w:webHidden/>
          </w:rPr>
          <w:t>231</w:t>
        </w:r>
        <w:r>
          <w:rPr>
            <w:noProof/>
            <w:webHidden/>
          </w:rPr>
          <w:fldChar w:fldCharType="end"/>
        </w:r>
      </w:hyperlink>
    </w:p>
    <w:p w14:paraId="37D68B0A" w14:textId="15592083"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4" w:history="1">
        <w:r w:rsidRPr="00B740E5">
          <w:rPr>
            <w:rStyle w:val="Hyperlink"/>
            <w:noProof/>
          </w:rPr>
          <w:t>Table 9.9: Regulatory burden estimate – Requiring approved providers to assess not just the FDC residence, but areas near the residence, NPV 2025 to 2034, 7% discount rate</w:t>
        </w:r>
        <w:r>
          <w:rPr>
            <w:noProof/>
            <w:webHidden/>
          </w:rPr>
          <w:tab/>
        </w:r>
        <w:r>
          <w:rPr>
            <w:noProof/>
            <w:webHidden/>
          </w:rPr>
          <w:fldChar w:fldCharType="begin"/>
        </w:r>
        <w:r>
          <w:rPr>
            <w:noProof/>
            <w:webHidden/>
          </w:rPr>
          <w:instrText xml:space="preserve"> PAGEREF _Toc205884984 \h </w:instrText>
        </w:r>
        <w:r>
          <w:rPr>
            <w:noProof/>
            <w:webHidden/>
          </w:rPr>
        </w:r>
        <w:r>
          <w:rPr>
            <w:noProof/>
            <w:webHidden/>
          </w:rPr>
          <w:fldChar w:fldCharType="separate"/>
        </w:r>
        <w:r w:rsidR="00533FCD">
          <w:rPr>
            <w:noProof/>
            <w:webHidden/>
          </w:rPr>
          <w:t>232</w:t>
        </w:r>
        <w:r>
          <w:rPr>
            <w:noProof/>
            <w:webHidden/>
          </w:rPr>
          <w:fldChar w:fldCharType="end"/>
        </w:r>
      </w:hyperlink>
    </w:p>
    <w:p w14:paraId="3CA0E07D" w14:textId="341FE6A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5" w:history="1">
        <w:r w:rsidRPr="00B740E5">
          <w:rPr>
            <w:rStyle w:val="Hyperlink"/>
            <w:noProof/>
          </w:rPr>
          <w:t>Chart 9.7: Approved provider responses to “What is your preferred option or combination of options?” – FDCs only</w:t>
        </w:r>
        <w:r>
          <w:rPr>
            <w:noProof/>
            <w:webHidden/>
          </w:rPr>
          <w:tab/>
        </w:r>
        <w:r>
          <w:rPr>
            <w:noProof/>
            <w:webHidden/>
          </w:rPr>
          <w:fldChar w:fldCharType="begin"/>
        </w:r>
        <w:r>
          <w:rPr>
            <w:noProof/>
            <w:webHidden/>
          </w:rPr>
          <w:instrText xml:space="preserve"> PAGEREF _Toc205884985 \h </w:instrText>
        </w:r>
        <w:r>
          <w:rPr>
            <w:noProof/>
            <w:webHidden/>
          </w:rPr>
        </w:r>
        <w:r>
          <w:rPr>
            <w:noProof/>
            <w:webHidden/>
          </w:rPr>
          <w:fldChar w:fldCharType="separate"/>
        </w:r>
        <w:r w:rsidR="00533FCD">
          <w:rPr>
            <w:noProof/>
            <w:webHidden/>
          </w:rPr>
          <w:t>233</w:t>
        </w:r>
        <w:r>
          <w:rPr>
            <w:noProof/>
            <w:webHidden/>
          </w:rPr>
          <w:fldChar w:fldCharType="end"/>
        </w:r>
      </w:hyperlink>
    </w:p>
    <w:p w14:paraId="02D0FDCC" w14:textId="3BA8E2DA"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6" w:history="1">
        <w:r w:rsidRPr="00B740E5">
          <w:rPr>
            <w:rStyle w:val="Hyperlink"/>
            <w:noProof/>
          </w:rPr>
          <w:t>Table 9.10: Policy options under consideration – Enabling authorised officers to access areas of a FDC residence or property, beyond the service premises, in specific instances or for specific purposes</w:t>
        </w:r>
        <w:r>
          <w:rPr>
            <w:noProof/>
            <w:webHidden/>
          </w:rPr>
          <w:tab/>
        </w:r>
        <w:r>
          <w:rPr>
            <w:noProof/>
            <w:webHidden/>
          </w:rPr>
          <w:fldChar w:fldCharType="begin"/>
        </w:r>
        <w:r>
          <w:rPr>
            <w:noProof/>
            <w:webHidden/>
          </w:rPr>
          <w:instrText xml:space="preserve"> PAGEREF _Toc205884986 \h </w:instrText>
        </w:r>
        <w:r>
          <w:rPr>
            <w:noProof/>
            <w:webHidden/>
          </w:rPr>
        </w:r>
        <w:r>
          <w:rPr>
            <w:noProof/>
            <w:webHidden/>
          </w:rPr>
          <w:fldChar w:fldCharType="separate"/>
        </w:r>
        <w:r w:rsidR="00533FCD">
          <w:rPr>
            <w:noProof/>
            <w:webHidden/>
          </w:rPr>
          <w:t>237</w:t>
        </w:r>
        <w:r>
          <w:rPr>
            <w:noProof/>
            <w:webHidden/>
          </w:rPr>
          <w:fldChar w:fldCharType="end"/>
        </w:r>
      </w:hyperlink>
    </w:p>
    <w:p w14:paraId="26A51B2E" w14:textId="5DB8313F"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7" w:history="1">
        <w:r w:rsidRPr="00B740E5">
          <w:rPr>
            <w:rStyle w:val="Hyperlink"/>
            <w:noProof/>
          </w:rPr>
          <w:t>Table 9.11: MCA outcomes – Enabling authorised officers to access areas of a FDC residence or property, beyond the service premises, in specific instances or for specific purposes</w:t>
        </w:r>
        <w:r>
          <w:rPr>
            <w:noProof/>
            <w:webHidden/>
          </w:rPr>
          <w:tab/>
        </w:r>
        <w:r>
          <w:rPr>
            <w:noProof/>
            <w:webHidden/>
          </w:rPr>
          <w:fldChar w:fldCharType="begin"/>
        </w:r>
        <w:r>
          <w:rPr>
            <w:noProof/>
            <w:webHidden/>
          </w:rPr>
          <w:instrText xml:space="preserve"> PAGEREF _Toc205884987 \h </w:instrText>
        </w:r>
        <w:r>
          <w:rPr>
            <w:noProof/>
            <w:webHidden/>
          </w:rPr>
        </w:r>
        <w:r>
          <w:rPr>
            <w:noProof/>
            <w:webHidden/>
          </w:rPr>
          <w:fldChar w:fldCharType="separate"/>
        </w:r>
        <w:r w:rsidR="00533FCD">
          <w:rPr>
            <w:noProof/>
            <w:webHidden/>
          </w:rPr>
          <w:t>238</w:t>
        </w:r>
        <w:r>
          <w:rPr>
            <w:noProof/>
            <w:webHidden/>
          </w:rPr>
          <w:fldChar w:fldCharType="end"/>
        </w:r>
      </w:hyperlink>
    </w:p>
    <w:p w14:paraId="271083AA" w14:textId="63D7D76B"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8" w:history="1">
        <w:r w:rsidRPr="00B740E5">
          <w:rPr>
            <w:rStyle w:val="Hyperlink"/>
            <w:noProof/>
          </w:rPr>
          <w:t>Table 9.12: Approved provider responses by service type to “How much do you think each option will reduce the risk of harm to children?”</w:t>
        </w:r>
        <w:r>
          <w:rPr>
            <w:noProof/>
            <w:webHidden/>
          </w:rPr>
          <w:tab/>
        </w:r>
        <w:r>
          <w:rPr>
            <w:noProof/>
            <w:webHidden/>
          </w:rPr>
          <w:fldChar w:fldCharType="begin"/>
        </w:r>
        <w:r>
          <w:rPr>
            <w:noProof/>
            <w:webHidden/>
          </w:rPr>
          <w:instrText xml:space="preserve"> PAGEREF _Toc205884988 \h </w:instrText>
        </w:r>
        <w:r>
          <w:rPr>
            <w:noProof/>
            <w:webHidden/>
          </w:rPr>
        </w:r>
        <w:r>
          <w:rPr>
            <w:noProof/>
            <w:webHidden/>
          </w:rPr>
          <w:fldChar w:fldCharType="separate"/>
        </w:r>
        <w:r w:rsidR="00533FCD">
          <w:rPr>
            <w:noProof/>
            <w:webHidden/>
          </w:rPr>
          <w:t>239</w:t>
        </w:r>
        <w:r>
          <w:rPr>
            <w:noProof/>
            <w:webHidden/>
          </w:rPr>
          <w:fldChar w:fldCharType="end"/>
        </w:r>
      </w:hyperlink>
    </w:p>
    <w:p w14:paraId="3F97D3F8" w14:textId="696452BF"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89" w:history="1">
        <w:r w:rsidRPr="00B740E5">
          <w:rPr>
            <w:rStyle w:val="Hyperlink"/>
            <w:noProof/>
          </w:rPr>
          <w:t>Chart 9.8: Approved provider responses by service type to “To what extent are you concerned that the expansion of the powers of entry granted to authorised officers would impact your right to privacy or the privacy of those living in the FDC residence?”</w:t>
        </w:r>
        <w:r>
          <w:rPr>
            <w:noProof/>
            <w:webHidden/>
          </w:rPr>
          <w:tab/>
        </w:r>
        <w:r>
          <w:rPr>
            <w:noProof/>
            <w:webHidden/>
          </w:rPr>
          <w:fldChar w:fldCharType="begin"/>
        </w:r>
        <w:r>
          <w:rPr>
            <w:noProof/>
            <w:webHidden/>
          </w:rPr>
          <w:instrText xml:space="preserve"> PAGEREF _Toc205884989 \h </w:instrText>
        </w:r>
        <w:r>
          <w:rPr>
            <w:noProof/>
            <w:webHidden/>
          </w:rPr>
        </w:r>
        <w:r>
          <w:rPr>
            <w:noProof/>
            <w:webHidden/>
          </w:rPr>
          <w:fldChar w:fldCharType="separate"/>
        </w:r>
        <w:r w:rsidR="00533FCD">
          <w:rPr>
            <w:noProof/>
            <w:webHidden/>
          </w:rPr>
          <w:t>242</w:t>
        </w:r>
        <w:r>
          <w:rPr>
            <w:noProof/>
            <w:webHidden/>
          </w:rPr>
          <w:fldChar w:fldCharType="end"/>
        </w:r>
      </w:hyperlink>
    </w:p>
    <w:p w14:paraId="3EABA850" w14:textId="23B4E857"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0" w:history="1">
        <w:r w:rsidRPr="00B740E5">
          <w:rPr>
            <w:rStyle w:val="Hyperlink"/>
            <w:noProof/>
            <w:shd w:val="clear" w:color="auto" w:fill="FFFFFF"/>
          </w:rPr>
          <w:t>Chart 9.9: Approved provider responses to “What is your preferred option or combination of options?” - FDCs</w:t>
        </w:r>
        <w:r>
          <w:rPr>
            <w:noProof/>
            <w:webHidden/>
          </w:rPr>
          <w:tab/>
        </w:r>
        <w:r>
          <w:rPr>
            <w:noProof/>
            <w:webHidden/>
          </w:rPr>
          <w:fldChar w:fldCharType="begin"/>
        </w:r>
        <w:r>
          <w:rPr>
            <w:noProof/>
            <w:webHidden/>
          </w:rPr>
          <w:instrText xml:space="preserve"> PAGEREF _Toc205884990 \h </w:instrText>
        </w:r>
        <w:r>
          <w:rPr>
            <w:noProof/>
            <w:webHidden/>
          </w:rPr>
        </w:r>
        <w:r>
          <w:rPr>
            <w:noProof/>
            <w:webHidden/>
          </w:rPr>
          <w:fldChar w:fldCharType="separate"/>
        </w:r>
        <w:r w:rsidR="00533FCD">
          <w:rPr>
            <w:noProof/>
            <w:webHidden/>
          </w:rPr>
          <w:t>245</w:t>
        </w:r>
        <w:r>
          <w:rPr>
            <w:noProof/>
            <w:webHidden/>
          </w:rPr>
          <w:fldChar w:fldCharType="end"/>
        </w:r>
      </w:hyperlink>
    </w:p>
    <w:p w14:paraId="5A64C905" w14:textId="7B448930"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1" w:history="1">
        <w:r w:rsidRPr="00B740E5">
          <w:rPr>
            <w:rStyle w:val="Hyperlink"/>
            <w:noProof/>
            <w:shd w:val="clear" w:color="auto" w:fill="FFFFFF"/>
          </w:rPr>
          <w:t>Chart 9.10: Approved provider responses to “What is your preferred option or combination of options?” – all approved providers</w:t>
        </w:r>
        <w:r>
          <w:rPr>
            <w:noProof/>
            <w:webHidden/>
          </w:rPr>
          <w:tab/>
        </w:r>
        <w:r>
          <w:rPr>
            <w:noProof/>
            <w:webHidden/>
          </w:rPr>
          <w:fldChar w:fldCharType="begin"/>
        </w:r>
        <w:r>
          <w:rPr>
            <w:noProof/>
            <w:webHidden/>
          </w:rPr>
          <w:instrText xml:space="preserve"> PAGEREF _Toc205884991 \h </w:instrText>
        </w:r>
        <w:r>
          <w:rPr>
            <w:noProof/>
            <w:webHidden/>
          </w:rPr>
        </w:r>
        <w:r>
          <w:rPr>
            <w:noProof/>
            <w:webHidden/>
          </w:rPr>
          <w:fldChar w:fldCharType="separate"/>
        </w:r>
        <w:r w:rsidR="00533FCD">
          <w:rPr>
            <w:noProof/>
            <w:webHidden/>
          </w:rPr>
          <w:t>245</w:t>
        </w:r>
        <w:r>
          <w:rPr>
            <w:noProof/>
            <w:webHidden/>
          </w:rPr>
          <w:fldChar w:fldCharType="end"/>
        </w:r>
      </w:hyperlink>
    </w:p>
    <w:p w14:paraId="6780BB5A" w14:textId="073D5FC8"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2" w:history="1">
        <w:r w:rsidRPr="00B740E5">
          <w:rPr>
            <w:rStyle w:val="Hyperlink"/>
            <w:noProof/>
          </w:rPr>
          <w:t>Chart 9.11: Workforce responses to “What is your preferred option or combination of options?”</w:t>
        </w:r>
        <w:r>
          <w:rPr>
            <w:noProof/>
            <w:webHidden/>
          </w:rPr>
          <w:tab/>
        </w:r>
        <w:r>
          <w:rPr>
            <w:noProof/>
            <w:webHidden/>
          </w:rPr>
          <w:fldChar w:fldCharType="begin"/>
        </w:r>
        <w:r>
          <w:rPr>
            <w:noProof/>
            <w:webHidden/>
          </w:rPr>
          <w:instrText xml:space="preserve"> PAGEREF _Toc205884992 \h </w:instrText>
        </w:r>
        <w:r>
          <w:rPr>
            <w:noProof/>
            <w:webHidden/>
          </w:rPr>
        </w:r>
        <w:r>
          <w:rPr>
            <w:noProof/>
            <w:webHidden/>
          </w:rPr>
          <w:fldChar w:fldCharType="separate"/>
        </w:r>
        <w:r w:rsidR="00533FCD">
          <w:rPr>
            <w:noProof/>
            <w:webHidden/>
          </w:rPr>
          <w:t>246</w:t>
        </w:r>
        <w:r>
          <w:rPr>
            <w:noProof/>
            <w:webHidden/>
          </w:rPr>
          <w:fldChar w:fldCharType="end"/>
        </w:r>
      </w:hyperlink>
    </w:p>
    <w:p w14:paraId="50A0532C" w14:textId="2D4AAA16"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3" w:history="1">
        <w:r w:rsidRPr="00B740E5">
          <w:rPr>
            <w:rStyle w:val="Hyperlink"/>
            <w:noProof/>
          </w:rPr>
          <w:t>Chart 9.12: Family, carer, and parent responses to “What is your preferred option or combination of options?”</w:t>
        </w:r>
        <w:r>
          <w:rPr>
            <w:noProof/>
            <w:webHidden/>
          </w:rPr>
          <w:tab/>
        </w:r>
        <w:r>
          <w:rPr>
            <w:noProof/>
            <w:webHidden/>
          </w:rPr>
          <w:fldChar w:fldCharType="begin"/>
        </w:r>
        <w:r>
          <w:rPr>
            <w:noProof/>
            <w:webHidden/>
          </w:rPr>
          <w:instrText xml:space="preserve"> PAGEREF _Toc205884993 \h </w:instrText>
        </w:r>
        <w:r>
          <w:rPr>
            <w:noProof/>
            <w:webHidden/>
          </w:rPr>
        </w:r>
        <w:r>
          <w:rPr>
            <w:noProof/>
            <w:webHidden/>
          </w:rPr>
          <w:fldChar w:fldCharType="separate"/>
        </w:r>
        <w:r w:rsidR="00533FCD">
          <w:rPr>
            <w:noProof/>
            <w:webHidden/>
          </w:rPr>
          <w:t>246</w:t>
        </w:r>
        <w:r>
          <w:rPr>
            <w:noProof/>
            <w:webHidden/>
          </w:rPr>
          <w:fldChar w:fldCharType="end"/>
        </w:r>
      </w:hyperlink>
    </w:p>
    <w:p w14:paraId="31A392E8" w14:textId="59BB12C9"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4" w:history="1">
        <w:r w:rsidRPr="00B740E5">
          <w:rPr>
            <w:rStyle w:val="Hyperlink"/>
            <w:noProof/>
          </w:rPr>
          <w:t>Table 10.1: Policy options under consideration – Effective identification, monitoring and regulation of ‘related providers’</w:t>
        </w:r>
        <w:r>
          <w:rPr>
            <w:noProof/>
            <w:webHidden/>
          </w:rPr>
          <w:tab/>
        </w:r>
        <w:r>
          <w:rPr>
            <w:noProof/>
            <w:webHidden/>
          </w:rPr>
          <w:fldChar w:fldCharType="begin"/>
        </w:r>
        <w:r>
          <w:rPr>
            <w:noProof/>
            <w:webHidden/>
          </w:rPr>
          <w:instrText xml:space="preserve"> PAGEREF _Toc205884994 \h </w:instrText>
        </w:r>
        <w:r>
          <w:rPr>
            <w:noProof/>
            <w:webHidden/>
          </w:rPr>
        </w:r>
        <w:r>
          <w:rPr>
            <w:noProof/>
            <w:webHidden/>
          </w:rPr>
          <w:fldChar w:fldCharType="separate"/>
        </w:r>
        <w:r w:rsidR="00533FCD">
          <w:rPr>
            <w:noProof/>
            <w:webHidden/>
          </w:rPr>
          <w:t>251</w:t>
        </w:r>
        <w:r>
          <w:rPr>
            <w:noProof/>
            <w:webHidden/>
          </w:rPr>
          <w:fldChar w:fldCharType="end"/>
        </w:r>
      </w:hyperlink>
    </w:p>
    <w:p w14:paraId="6B47928A" w14:textId="583829EE"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5" w:history="1">
        <w:r w:rsidRPr="00B740E5">
          <w:rPr>
            <w:rStyle w:val="Hyperlink"/>
            <w:noProof/>
          </w:rPr>
          <w:t>Chart 10.1: Approved provider responses to “What is your preferred option or combination of options?”</w:t>
        </w:r>
        <w:r>
          <w:rPr>
            <w:noProof/>
            <w:webHidden/>
          </w:rPr>
          <w:tab/>
        </w:r>
        <w:r>
          <w:rPr>
            <w:noProof/>
            <w:webHidden/>
          </w:rPr>
          <w:fldChar w:fldCharType="begin"/>
        </w:r>
        <w:r>
          <w:rPr>
            <w:noProof/>
            <w:webHidden/>
          </w:rPr>
          <w:instrText xml:space="preserve"> PAGEREF _Toc205884995 \h </w:instrText>
        </w:r>
        <w:r>
          <w:rPr>
            <w:noProof/>
            <w:webHidden/>
          </w:rPr>
        </w:r>
        <w:r>
          <w:rPr>
            <w:noProof/>
            <w:webHidden/>
          </w:rPr>
          <w:fldChar w:fldCharType="separate"/>
        </w:r>
        <w:r w:rsidR="00533FCD">
          <w:rPr>
            <w:noProof/>
            <w:webHidden/>
          </w:rPr>
          <w:t>253</w:t>
        </w:r>
        <w:r>
          <w:rPr>
            <w:noProof/>
            <w:webHidden/>
          </w:rPr>
          <w:fldChar w:fldCharType="end"/>
        </w:r>
      </w:hyperlink>
    </w:p>
    <w:p w14:paraId="33CDA42E" w14:textId="02232FD6"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6" w:history="1">
        <w:r w:rsidRPr="00B740E5">
          <w:rPr>
            <w:rStyle w:val="Hyperlink"/>
            <w:noProof/>
          </w:rPr>
          <w:t>Table 10.2: Policy options under consideration – Extending the limitation period for commencing proceedings under the National Law</w:t>
        </w:r>
        <w:r>
          <w:rPr>
            <w:noProof/>
            <w:webHidden/>
          </w:rPr>
          <w:tab/>
        </w:r>
        <w:r>
          <w:rPr>
            <w:noProof/>
            <w:webHidden/>
          </w:rPr>
          <w:fldChar w:fldCharType="begin"/>
        </w:r>
        <w:r>
          <w:rPr>
            <w:noProof/>
            <w:webHidden/>
          </w:rPr>
          <w:instrText xml:space="preserve"> PAGEREF _Toc205884996 \h </w:instrText>
        </w:r>
        <w:r>
          <w:rPr>
            <w:noProof/>
            <w:webHidden/>
          </w:rPr>
        </w:r>
        <w:r>
          <w:rPr>
            <w:noProof/>
            <w:webHidden/>
          </w:rPr>
          <w:fldChar w:fldCharType="separate"/>
        </w:r>
        <w:r w:rsidR="00533FCD">
          <w:rPr>
            <w:noProof/>
            <w:webHidden/>
          </w:rPr>
          <w:t>258</w:t>
        </w:r>
        <w:r>
          <w:rPr>
            <w:noProof/>
            <w:webHidden/>
          </w:rPr>
          <w:fldChar w:fldCharType="end"/>
        </w:r>
      </w:hyperlink>
    </w:p>
    <w:p w14:paraId="73204FDA" w14:textId="580C2C77"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7" w:history="1">
        <w:r w:rsidRPr="00B740E5">
          <w:rPr>
            <w:rStyle w:val="Hyperlink"/>
            <w:noProof/>
            <w:shd w:val="clear" w:color="auto" w:fill="FFFFFF"/>
          </w:rPr>
          <w:t>Chart 10.2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_Toc205884997 \h </w:instrText>
        </w:r>
        <w:r>
          <w:rPr>
            <w:noProof/>
            <w:webHidden/>
          </w:rPr>
        </w:r>
        <w:r>
          <w:rPr>
            <w:noProof/>
            <w:webHidden/>
          </w:rPr>
          <w:fldChar w:fldCharType="separate"/>
        </w:r>
        <w:r w:rsidR="00533FCD">
          <w:rPr>
            <w:noProof/>
            <w:webHidden/>
          </w:rPr>
          <w:t>259</w:t>
        </w:r>
        <w:r>
          <w:rPr>
            <w:noProof/>
            <w:webHidden/>
          </w:rPr>
          <w:fldChar w:fldCharType="end"/>
        </w:r>
      </w:hyperlink>
    </w:p>
    <w:p w14:paraId="39A4418D" w14:textId="76F16F6C"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8" w:history="1">
        <w:r w:rsidRPr="00B740E5">
          <w:rPr>
            <w:rStyle w:val="Hyperlink"/>
            <w:noProof/>
          </w:rPr>
          <w:t>Table 10.3: Policy options under consideration – Information sharing provisions for recruitment agencies</w:t>
        </w:r>
        <w:r>
          <w:rPr>
            <w:noProof/>
            <w:webHidden/>
          </w:rPr>
          <w:tab/>
        </w:r>
        <w:r>
          <w:rPr>
            <w:noProof/>
            <w:webHidden/>
          </w:rPr>
          <w:fldChar w:fldCharType="begin"/>
        </w:r>
        <w:r>
          <w:rPr>
            <w:noProof/>
            <w:webHidden/>
          </w:rPr>
          <w:instrText xml:space="preserve"> PAGEREF _Toc205884998 \h </w:instrText>
        </w:r>
        <w:r>
          <w:rPr>
            <w:noProof/>
            <w:webHidden/>
          </w:rPr>
        </w:r>
        <w:r>
          <w:rPr>
            <w:noProof/>
            <w:webHidden/>
          </w:rPr>
          <w:fldChar w:fldCharType="separate"/>
        </w:r>
        <w:r w:rsidR="00533FCD">
          <w:rPr>
            <w:noProof/>
            <w:webHidden/>
          </w:rPr>
          <w:t>263</w:t>
        </w:r>
        <w:r>
          <w:rPr>
            <w:noProof/>
            <w:webHidden/>
          </w:rPr>
          <w:fldChar w:fldCharType="end"/>
        </w:r>
      </w:hyperlink>
    </w:p>
    <w:p w14:paraId="6D7392AA" w14:textId="3AA29220"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4999" w:history="1">
        <w:r w:rsidRPr="00B740E5">
          <w:rPr>
            <w:rStyle w:val="Hyperlink"/>
            <w:noProof/>
            <w:shd w:val="clear" w:color="auto" w:fill="FFFFFF"/>
          </w:rPr>
          <w:t>Chart 10.3: Approved provider responses to “How much do you think each option will reduce the risk of harm to children?”</w:t>
        </w:r>
        <w:r>
          <w:rPr>
            <w:noProof/>
            <w:webHidden/>
          </w:rPr>
          <w:tab/>
        </w:r>
        <w:r>
          <w:rPr>
            <w:noProof/>
            <w:webHidden/>
          </w:rPr>
          <w:fldChar w:fldCharType="begin"/>
        </w:r>
        <w:r>
          <w:rPr>
            <w:noProof/>
            <w:webHidden/>
          </w:rPr>
          <w:instrText xml:space="preserve"> PAGEREF _Toc205884999 \h </w:instrText>
        </w:r>
        <w:r>
          <w:rPr>
            <w:noProof/>
            <w:webHidden/>
          </w:rPr>
        </w:r>
        <w:r>
          <w:rPr>
            <w:noProof/>
            <w:webHidden/>
          </w:rPr>
          <w:fldChar w:fldCharType="separate"/>
        </w:r>
        <w:r w:rsidR="00533FCD">
          <w:rPr>
            <w:noProof/>
            <w:webHidden/>
          </w:rPr>
          <w:t>265</w:t>
        </w:r>
        <w:r>
          <w:rPr>
            <w:noProof/>
            <w:webHidden/>
          </w:rPr>
          <w:fldChar w:fldCharType="end"/>
        </w:r>
      </w:hyperlink>
    </w:p>
    <w:p w14:paraId="05CE78CD" w14:textId="0C2C5D24"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5000" w:history="1">
        <w:r w:rsidRPr="00B740E5">
          <w:rPr>
            <w:rStyle w:val="Hyperlink"/>
            <w:noProof/>
          </w:rPr>
          <w:t>Table 11.1: Regulatory burden estimate – all monetised recommended options, NPV 2025 to 2034, 7% discount rate</w:t>
        </w:r>
        <w:r>
          <w:rPr>
            <w:noProof/>
            <w:webHidden/>
          </w:rPr>
          <w:tab/>
        </w:r>
        <w:r>
          <w:rPr>
            <w:noProof/>
            <w:webHidden/>
          </w:rPr>
          <w:fldChar w:fldCharType="begin"/>
        </w:r>
        <w:r>
          <w:rPr>
            <w:noProof/>
            <w:webHidden/>
          </w:rPr>
          <w:instrText xml:space="preserve"> PAGEREF _Toc205885000 \h </w:instrText>
        </w:r>
        <w:r>
          <w:rPr>
            <w:noProof/>
            <w:webHidden/>
          </w:rPr>
        </w:r>
        <w:r>
          <w:rPr>
            <w:noProof/>
            <w:webHidden/>
          </w:rPr>
          <w:fldChar w:fldCharType="separate"/>
        </w:r>
        <w:r w:rsidR="00533FCD">
          <w:rPr>
            <w:noProof/>
            <w:webHidden/>
          </w:rPr>
          <w:t>273</w:t>
        </w:r>
        <w:r>
          <w:rPr>
            <w:noProof/>
            <w:webHidden/>
          </w:rPr>
          <w:fldChar w:fldCharType="end"/>
        </w:r>
      </w:hyperlink>
    </w:p>
    <w:p w14:paraId="5CFCF975" w14:textId="50E2CBDB"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5001" w:history="1">
        <w:r w:rsidRPr="00B740E5">
          <w:rPr>
            <w:rStyle w:val="Hyperlink"/>
            <w:noProof/>
          </w:rPr>
          <w:t>Table 11.2: Cost by jurisdiction – all monetised recommended options, NPV 2025 to 2034, 7% discount rate</w:t>
        </w:r>
        <w:r>
          <w:rPr>
            <w:noProof/>
            <w:webHidden/>
          </w:rPr>
          <w:tab/>
        </w:r>
        <w:r>
          <w:rPr>
            <w:noProof/>
            <w:webHidden/>
          </w:rPr>
          <w:fldChar w:fldCharType="begin"/>
        </w:r>
        <w:r>
          <w:rPr>
            <w:noProof/>
            <w:webHidden/>
          </w:rPr>
          <w:instrText xml:space="preserve"> PAGEREF _Toc205885001 \h </w:instrText>
        </w:r>
        <w:r>
          <w:rPr>
            <w:noProof/>
            <w:webHidden/>
          </w:rPr>
        </w:r>
        <w:r>
          <w:rPr>
            <w:noProof/>
            <w:webHidden/>
          </w:rPr>
          <w:fldChar w:fldCharType="separate"/>
        </w:r>
        <w:r w:rsidR="00533FCD">
          <w:rPr>
            <w:noProof/>
            <w:webHidden/>
          </w:rPr>
          <w:t>273</w:t>
        </w:r>
        <w:r>
          <w:rPr>
            <w:noProof/>
            <w:webHidden/>
          </w:rPr>
          <w:fldChar w:fldCharType="end"/>
        </w:r>
      </w:hyperlink>
    </w:p>
    <w:p w14:paraId="6FFAE50D" w14:textId="289B4183" w:rsidR="00081AC3" w:rsidRDefault="00081AC3">
      <w:pPr>
        <w:pStyle w:val="TOC1"/>
        <w:tabs>
          <w:tab w:val="right" w:leader="dot" w:pos="9010"/>
        </w:tabs>
        <w:rPr>
          <w:rFonts w:asciiTheme="minorHAnsi" w:eastAsiaTheme="minorEastAsia" w:hAnsiTheme="minorHAnsi"/>
          <w:noProof/>
          <w:kern w:val="2"/>
          <w:sz w:val="24"/>
          <w:lang w:eastAsia="en-AU"/>
          <w14:ligatures w14:val="standardContextual"/>
        </w:rPr>
      </w:pPr>
      <w:hyperlink w:anchor="_Toc205885002" w:history="1">
        <w:r w:rsidRPr="00B740E5">
          <w:rPr>
            <w:rStyle w:val="Hyperlink"/>
            <w:noProof/>
            <w:lang w:val="en-GB"/>
          </w:rPr>
          <w:t>Table 11.5: Status of the impact analysis at each major decision point</w:t>
        </w:r>
        <w:r>
          <w:rPr>
            <w:noProof/>
            <w:webHidden/>
          </w:rPr>
          <w:tab/>
        </w:r>
        <w:r>
          <w:rPr>
            <w:noProof/>
            <w:webHidden/>
          </w:rPr>
          <w:fldChar w:fldCharType="begin"/>
        </w:r>
        <w:r>
          <w:rPr>
            <w:noProof/>
            <w:webHidden/>
          </w:rPr>
          <w:instrText xml:space="preserve"> PAGEREF _Toc205885002 \h </w:instrText>
        </w:r>
        <w:r>
          <w:rPr>
            <w:noProof/>
            <w:webHidden/>
          </w:rPr>
        </w:r>
        <w:r>
          <w:rPr>
            <w:noProof/>
            <w:webHidden/>
          </w:rPr>
          <w:fldChar w:fldCharType="separate"/>
        </w:r>
        <w:r w:rsidR="00533FCD">
          <w:rPr>
            <w:noProof/>
            <w:webHidden/>
          </w:rPr>
          <w:t>296</w:t>
        </w:r>
        <w:r>
          <w:rPr>
            <w:noProof/>
            <w:webHidden/>
          </w:rPr>
          <w:fldChar w:fldCharType="end"/>
        </w:r>
      </w:hyperlink>
    </w:p>
    <w:p w14:paraId="067D348C" w14:textId="6BC4CE9E" w:rsidR="00775998" w:rsidRDefault="00C96B75" w:rsidP="008F214B">
      <w:pPr>
        <w:spacing w:after="0" w:line="240" w:lineRule="auto"/>
      </w:pPr>
      <w:r>
        <w:fldChar w:fldCharType="end"/>
      </w:r>
    </w:p>
    <w:p w14:paraId="1E53EEFE" w14:textId="77777777" w:rsidR="00694952" w:rsidRDefault="00694952" w:rsidP="008F214B">
      <w:pPr>
        <w:spacing w:after="0" w:line="240" w:lineRule="auto"/>
      </w:pPr>
    </w:p>
    <w:p w14:paraId="6238915F" w14:textId="77777777" w:rsidR="00775998" w:rsidRDefault="00775998" w:rsidP="008F214B">
      <w:pPr>
        <w:spacing w:after="0" w:line="240" w:lineRule="auto"/>
      </w:pPr>
    </w:p>
    <w:p w14:paraId="36066B05" w14:textId="77777777" w:rsidR="00775998" w:rsidRDefault="00775998" w:rsidP="008F214B">
      <w:pPr>
        <w:spacing w:after="0" w:line="240" w:lineRule="auto"/>
      </w:pPr>
    </w:p>
    <w:p w14:paraId="2A7CEA42" w14:textId="41434DEB" w:rsidR="008F214B" w:rsidRDefault="008F214B" w:rsidP="008F214B">
      <w:pPr>
        <w:spacing w:after="0" w:line="240" w:lineRule="auto"/>
        <w:sectPr w:rsidR="008F214B" w:rsidSect="008F214B">
          <w:footerReference w:type="default" r:id="rId20"/>
          <w:headerReference w:type="first" r:id="rId21"/>
          <w:pgSz w:w="11900" w:h="16840"/>
          <w:pgMar w:top="1440" w:right="1440" w:bottom="1440" w:left="1440" w:header="709" w:footer="709" w:gutter="0"/>
          <w:cols w:space="708"/>
          <w:titlePg/>
          <w:docGrid w:linePitch="360"/>
        </w:sectPr>
      </w:pPr>
    </w:p>
    <w:p w14:paraId="7817F8CB" w14:textId="1CEDF87C" w:rsidR="008F214B" w:rsidRDefault="008F214B" w:rsidP="00E7312D">
      <w:pPr>
        <w:pStyle w:val="Heading1"/>
      </w:pPr>
      <w:bookmarkStart w:id="7" w:name="_Toc205884862"/>
      <w:r w:rsidRPr="001D0298">
        <w:lastRenderedPageBreak/>
        <w:t>Acronyms</w:t>
      </w:r>
      <w:bookmarkEnd w:id="7"/>
    </w:p>
    <w:tbl>
      <w:tblPr>
        <w:tblW w:w="871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Acronymns"/>
        <w:tblDescription w:val="This is a table of acronyms used in the report."/>
      </w:tblPr>
      <w:tblGrid>
        <w:gridCol w:w="2258"/>
        <w:gridCol w:w="6456"/>
      </w:tblGrid>
      <w:tr w:rsidR="008F214B" w:rsidRPr="007E6849" w14:paraId="42641C20" w14:textId="77777777" w:rsidTr="001D4EF4">
        <w:trPr>
          <w:tblHeader/>
        </w:trPr>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B07736" w14:textId="3EF0DC91" w:rsidR="008F214B" w:rsidRPr="007E6849" w:rsidRDefault="008F214B">
            <w:pPr>
              <w:spacing w:after="0" w:line="240" w:lineRule="auto"/>
              <w:rPr>
                <w:rFonts w:eastAsia="Times New Roman" w:cs="Arial"/>
              </w:rPr>
            </w:pPr>
            <w:r w:rsidRPr="007E6849">
              <w:rPr>
                <w:rFonts w:eastAsia="Times New Roman" w:cs="Arial"/>
                <w:b/>
                <w:bCs/>
              </w:rPr>
              <w:t>Acronym</w:t>
            </w:r>
            <w:r w:rsidR="008C5FB4">
              <w:rPr>
                <w:rFonts w:eastAsia="Times New Roman" w:cs="Arial"/>
                <w:b/>
                <w:bCs/>
              </w:rPr>
              <w:t>/</w:t>
            </w:r>
            <w:r>
              <w:rPr>
                <w:rFonts w:eastAsia="Times New Roman" w:cs="Arial"/>
                <w:b/>
                <w:bCs/>
              </w:rPr>
              <w:t>term</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DA2902" w14:textId="77777777" w:rsidR="008F214B" w:rsidRPr="007E6849" w:rsidRDefault="008F214B">
            <w:pPr>
              <w:spacing w:after="0" w:line="240" w:lineRule="auto"/>
              <w:rPr>
                <w:rFonts w:eastAsia="Times New Roman" w:cs="Arial"/>
              </w:rPr>
            </w:pPr>
            <w:r w:rsidRPr="007E6849">
              <w:rPr>
                <w:rFonts w:eastAsia="Times New Roman" w:cs="Arial"/>
                <w:b/>
                <w:bCs/>
              </w:rPr>
              <w:t>Name</w:t>
            </w:r>
          </w:p>
        </w:tc>
      </w:tr>
      <w:tr w:rsidR="008F214B" w:rsidRPr="007E6849" w14:paraId="3897B1F8"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51E166" w14:textId="77777777" w:rsidR="008F214B" w:rsidRPr="007E6849" w:rsidRDefault="008F214B">
            <w:pPr>
              <w:spacing w:after="0" w:line="240" w:lineRule="auto"/>
              <w:rPr>
                <w:rFonts w:eastAsia="Times New Roman" w:cs="Arial"/>
              </w:rPr>
            </w:pPr>
            <w:r w:rsidRPr="007E6849">
              <w:rPr>
                <w:rFonts w:eastAsia="Times New Roman" w:cs="Arial"/>
              </w:rPr>
              <w:t>ACECQA</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40EB82" w14:textId="77777777" w:rsidR="008F214B" w:rsidRPr="007E6849" w:rsidRDefault="008F214B">
            <w:pPr>
              <w:spacing w:after="0" w:line="240" w:lineRule="auto"/>
              <w:rPr>
                <w:rFonts w:eastAsia="Times New Roman" w:cs="Arial"/>
              </w:rPr>
            </w:pPr>
            <w:r w:rsidRPr="007E6849">
              <w:rPr>
                <w:rFonts w:eastAsia="Times New Roman" w:cs="Arial"/>
              </w:rPr>
              <w:t>Australian Children's Education and Care Quality Authority</w:t>
            </w:r>
          </w:p>
        </w:tc>
      </w:tr>
      <w:tr w:rsidR="001873CD" w:rsidRPr="007E6849" w14:paraId="4C72D4F0"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24DF99" w14:textId="0808293A" w:rsidR="001873CD" w:rsidRPr="007E6849" w:rsidRDefault="001873CD">
            <w:pPr>
              <w:spacing w:after="0" w:line="240" w:lineRule="auto"/>
              <w:rPr>
                <w:rFonts w:eastAsia="Times New Roman" w:cs="Arial"/>
              </w:rPr>
            </w:pPr>
            <w:r>
              <w:rPr>
                <w:rFonts w:eastAsia="Times New Roman" w:cs="Arial"/>
              </w:rPr>
              <w:t>ACT</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A2D283" w14:textId="1B3A0161" w:rsidR="001873CD" w:rsidRPr="007E6849" w:rsidRDefault="001873CD">
            <w:pPr>
              <w:spacing w:after="0" w:line="240" w:lineRule="auto"/>
              <w:rPr>
                <w:rFonts w:eastAsia="Times New Roman" w:cs="Arial"/>
              </w:rPr>
            </w:pPr>
            <w:r>
              <w:rPr>
                <w:rFonts w:eastAsia="Times New Roman" w:cs="Arial"/>
              </w:rPr>
              <w:t>Australian Capital Territory</w:t>
            </w:r>
          </w:p>
        </w:tc>
      </w:tr>
      <w:tr w:rsidR="009C3170" w:rsidRPr="007E6849" w14:paraId="18A26BD0"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7C09AE" w14:textId="1EA79115" w:rsidR="009C3170" w:rsidRDefault="009C3170">
            <w:pPr>
              <w:spacing w:after="0" w:line="240" w:lineRule="auto"/>
              <w:rPr>
                <w:rFonts w:eastAsia="Times New Roman" w:cs="Arial"/>
              </w:rPr>
            </w:pPr>
            <w:r>
              <w:rPr>
                <w:rFonts w:eastAsia="Times New Roman" w:cs="Arial"/>
              </w:rPr>
              <w:t>BEA</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8C338D" w14:textId="4C442E72" w:rsidR="009C3170" w:rsidRDefault="009C3170">
            <w:pPr>
              <w:spacing w:after="0" w:line="240" w:lineRule="auto"/>
              <w:rPr>
                <w:rFonts w:eastAsia="Times New Roman" w:cs="Arial"/>
              </w:rPr>
            </w:pPr>
            <w:r>
              <w:rPr>
                <w:rFonts w:eastAsia="Times New Roman" w:cs="Arial"/>
              </w:rPr>
              <w:t>Break-even analysis</w:t>
            </w:r>
          </w:p>
        </w:tc>
      </w:tr>
      <w:tr w:rsidR="00394319" w:rsidRPr="007E6849" w14:paraId="7BB93520"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1E3AA2" w14:textId="7FF5CF4B" w:rsidR="00394319" w:rsidRDefault="00394319">
            <w:pPr>
              <w:spacing w:after="0" w:line="240" w:lineRule="auto"/>
              <w:rPr>
                <w:rFonts w:eastAsia="Times New Roman" w:cs="Arial"/>
              </w:rPr>
            </w:pPr>
            <w:r>
              <w:rPr>
                <w:rFonts w:eastAsia="Times New Roman" w:cs="Arial"/>
              </w:rPr>
              <w:t>CBA</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BC0283" w14:textId="61C5323B" w:rsidR="00394319" w:rsidRDefault="00394319">
            <w:pPr>
              <w:spacing w:after="0" w:line="240" w:lineRule="auto"/>
              <w:rPr>
                <w:rFonts w:eastAsia="Times New Roman" w:cs="Arial"/>
              </w:rPr>
            </w:pPr>
            <w:r>
              <w:rPr>
                <w:rFonts w:eastAsia="Times New Roman" w:cs="Arial"/>
              </w:rPr>
              <w:t>Cost-benefit analysis</w:t>
            </w:r>
          </w:p>
        </w:tc>
      </w:tr>
      <w:tr w:rsidR="00D51FF7" w:rsidRPr="007E6849" w14:paraId="00EDF4AC"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EB4B35" w14:textId="05BC22B8" w:rsidR="00D51FF7" w:rsidRPr="007E6849" w:rsidRDefault="00D51FF7">
            <w:pPr>
              <w:spacing w:after="0" w:line="240" w:lineRule="auto"/>
              <w:rPr>
                <w:rFonts w:eastAsia="Times New Roman" w:cs="Arial"/>
              </w:rPr>
            </w:pPr>
            <w:r>
              <w:rPr>
                <w:rFonts w:eastAsia="Times New Roman" w:cs="Arial"/>
              </w:rPr>
              <w:t>CCTV</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B117E2" w14:textId="00BBC213" w:rsidR="00D51FF7" w:rsidRPr="007E6849" w:rsidRDefault="00D51FF7">
            <w:pPr>
              <w:spacing w:after="0" w:line="240" w:lineRule="auto"/>
              <w:rPr>
                <w:rFonts w:eastAsia="Times New Roman" w:cs="Arial"/>
              </w:rPr>
            </w:pPr>
            <w:r>
              <w:rPr>
                <w:rFonts w:eastAsia="Times New Roman" w:cs="Arial"/>
              </w:rPr>
              <w:t xml:space="preserve">Closed-circuit </w:t>
            </w:r>
            <w:r w:rsidR="00C471A2">
              <w:rPr>
                <w:rFonts w:eastAsia="Times New Roman" w:cs="Arial"/>
              </w:rPr>
              <w:t>television</w:t>
            </w:r>
          </w:p>
        </w:tc>
      </w:tr>
      <w:tr w:rsidR="008F214B" w:rsidRPr="007E6849" w14:paraId="7299FA4D"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EC56D7" w14:textId="77777777" w:rsidR="008F214B" w:rsidRPr="007E6849" w:rsidRDefault="008F214B">
            <w:pPr>
              <w:spacing w:after="0" w:line="240" w:lineRule="auto"/>
              <w:rPr>
                <w:rFonts w:eastAsia="Times New Roman" w:cs="Arial"/>
              </w:rPr>
            </w:pPr>
            <w:r>
              <w:rPr>
                <w:rFonts w:eastAsia="Times New Roman" w:cs="Arial"/>
              </w:rPr>
              <w:t>CRIS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CC45AD" w14:textId="6E2F49A8" w:rsidR="008F214B" w:rsidRDefault="008F214B">
            <w:pPr>
              <w:spacing w:after="0" w:line="240" w:lineRule="auto"/>
              <w:rPr>
                <w:rFonts w:eastAsia="Times New Roman" w:cs="Arial"/>
              </w:rPr>
            </w:pPr>
            <w:r w:rsidRPr="004E4BC2">
              <w:rPr>
                <w:rFonts w:eastAsia="Times New Roman" w:cs="Arial"/>
              </w:rPr>
              <w:t xml:space="preserve">Consultation </w:t>
            </w:r>
            <w:r w:rsidR="003A092C">
              <w:rPr>
                <w:rFonts w:eastAsia="Times New Roman" w:cs="Arial"/>
              </w:rPr>
              <w:t>Regulation</w:t>
            </w:r>
            <w:r w:rsidR="003A092C" w:rsidRPr="004E4BC2">
              <w:rPr>
                <w:rFonts w:eastAsia="Times New Roman" w:cs="Arial"/>
              </w:rPr>
              <w:t xml:space="preserve"> </w:t>
            </w:r>
            <w:r w:rsidRPr="004E4BC2">
              <w:rPr>
                <w:rFonts w:eastAsia="Times New Roman" w:cs="Arial"/>
              </w:rPr>
              <w:t>Impact Statement</w:t>
            </w:r>
          </w:p>
        </w:tc>
      </w:tr>
      <w:tr w:rsidR="008F214B" w:rsidRPr="007E6849" w14:paraId="1901FA12"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8C9BF4" w14:textId="77777777" w:rsidR="008F214B" w:rsidRPr="007E6849" w:rsidRDefault="008F214B">
            <w:pPr>
              <w:spacing w:after="0" w:line="240" w:lineRule="auto"/>
              <w:rPr>
                <w:rFonts w:eastAsia="Times New Roman" w:cs="Arial"/>
              </w:rPr>
            </w:pPr>
            <w:r>
              <w:rPr>
                <w:rFonts w:eastAsia="Times New Roman" w:cs="Arial"/>
              </w:rPr>
              <w:t>CSR</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47C94A" w14:textId="4D895CBD" w:rsidR="008F214B" w:rsidRPr="007E6849" w:rsidRDefault="00BD0372">
            <w:pPr>
              <w:spacing w:after="0" w:line="240" w:lineRule="auto"/>
              <w:rPr>
                <w:rFonts w:eastAsia="Times New Roman" w:cs="Arial"/>
              </w:rPr>
            </w:pPr>
            <w:r>
              <w:rPr>
                <w:rFonts w:eastAsia="Times New Roman" w:cs="Arial"/>
              </w:rPr>
              <w:t>Review of Child Safety Arrangements under the National Quality Framework</w:t>
            </w:r>
          </w:p>
        </w:tc>
      </w:tr>
      <w:tr w:rsidR="008F214B" w:rsidRPr="007E6849" w14:paraId="4BA1C40F"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4EEF63" w14:textId="77777777" w:rsidR="008F214B" w:rsidRPr="007E6849" w:rsidRDefault="008F214B">
            <w:pPr>
              <w:spacing w:after="0" w:line="240" w:lineRule="auto"/>
              <w:rPr>
                <w:rFonts w:eastAsia="Times New Roman" w:cs="Arial"/>
              </w:rPr>
            </w:pPr>
            <w:r>
              <w:rPr>
                <w:rFonts w:eastAsia="Times New Roman" w:cs="Arial"/>
              </w:rPr>
              <w:t>DRIS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426176" w14:textId="2729AC2B" w:rsidR="008F214B" w:rsidRPr="007E6849" w:rsidRDefault="008F214B">
            <w:pPr>
              <w:spacing w:after="0" w:line="240" w:lineRule="auto"/>
              <w:rPr>
                <w:rFonts w:eastAsia="Times New Roman" w:cs="Arial"/>
              </w:rPr>
            </w:pPr>
            <w:r w:rsidRPr="007D4293">
              <w:rPr>
                <w:rFonts w:eastAsia="Times New Roman" w:cs="Arial"/>
              </w:rPr>
              <w:t xml:space="preserve">Decision </w:t>
            </w:r>
            <w:r w:rsidR="00F85ECC">
              <w:rPr>
                <w:rFonts w:eastAsia="Times New Roman" w:cs="Arial"/>
              </w:rPr>
              <w:t>Regulation</w:t>
            </w:r>
            <w:r w:rsidR="00F85ECC" w:rsidRPr="007D4293">
              <w:rPr>
                <w:rFonts w:eastAsia="Times New Roman" w:cs="Arial"/>
              </w:rPr>
              <w:t xml:space="preserve"> </w:t>
            </w:r>
            <w:r w:rsidRPr="007D4293">
              <w:rPr>
                <w:rFonts w:eastAsia="Times New Roman" w:cs="Arial"/>
              </w:rPr>
              <w:t>Impact Statement</w:t>
            </w:r>
          </w:p>
        </w:tc>
      </w:tr>
      <w:tr w:rsidR="001C29F5" w:rsidRPr="007E6849" w14:paraId="3B11D0B2"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4E08DD" w14:textId="7D3D8668" w:rsidR="001C29F5" w:rsidRPr="007E6849" w:rsidRDefault="001C29F5" w:rsidP="001C29F5">
            <w:pPr>
              <w:spacing w:after="0" w:line="240" w:lineRule="auto"/>
              <w:rPr>
                <w:rFonts w:eastAsia="Times New Roman" w:cs="Arial"/>
              </w:rPr>
            </w:pPr>
            <w:r>
              <w:rPr>
                <w:rFonts w:eastAsia="Times New Roman" w:cs="Arial"/>
              </w:rPr>
              <w:t>FAL</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B6D4E4" w14:textId="3C5A487B" w:rsidR="001C29F5" w:rsidRDefault="001C29F5" w:rsidP="001C29F5">
            <w:pPr>
              <w:spacing w:after="0" w:line="240" w:lineRule="auto"/>
              <w:rPr>
                <w:rFonts w:eastAsia="Times New Roman" w:cs="Arial"/>
              </w:rPr>
            </w:pPr>
            <w:r>
              <w:rPr>
                <w:rFonts w:eastAsia="Times New Roman" w:cs="Arial"/>
              </w:rPr>
              <w:t>Family Assistance Law</w:t>
            </w:r>
          </w:p>
        </w:tc>
      </w:tr>
      <w:tr w:rsidR="008F214B" w:rsidRPr="007E6849" w14:paraId="2D8F7622"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4025E9" w14:textId="77777777" w:rsidR="008F214B" w:rsidRPr="007E6849" w:rsidRDefault="008F214B">
            <w:pPr>
              <w:spacing w:after="0" w:line="240" w:lineRule="auto"/>
              <w:rPr>
                <w:rFonts w:eastAsia="Times New Roman" w:cs="Arial"/>
              </w:rPr>
            </w:pPr>
            <w:r w:rsidRPr="007E6849">
              <w:rPr>
                <w:rFonts w:eastAsia="Times New Roman" w:cs="Arial"/>
              </w:rPr>
              <w:t>FDC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FB5241" w14:textId="225EF4ED" w:rsidR="008F214B" w:rsidRPr="007E6849" w:rsidRDefault="00E81C31">
            <w:pPr>
              <w:spacing w:after="0" w:line="240" w:lineRule="auto"/>
              <w:rPr>
                <w:rFonts w:eastAsia="Times New Roman" w:cs="Arial"/>
              </w:rPr>
            </w:pPr>
            <w:r>
              <w:rPr>
                <w:rFonts w:eastAsia="Times New Roman" w:cs="Arial"/>
              </w:rPr>
              <w:t>F</w:t>
            </w:r>
            <w:r w:rsidRPr="007E6849">
              <w:rPr>
                <w:rFonts w:eastAsia="Times New Roman" w:cs="Arial"/>
              </w:rPr>
              <w:t>amily day care</w:t>
            </w:r>
          </w:p>
        </w:tc>
      </w:tr>
      <w:tr w:rsidR="008F214B" w:rsidRPr="007E6849" w14:paraId="30A99A55"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D2CC2F" w14:textId="77777777" w:rsidR="008F214B" w:rsidRPr="007E6849" w:rsidRDefault="008F214B">
            <w:pPr>
              <w:spacing w:after="0" w:line="240" w:lineRule="auto"/>
              <w:rPr>
                <w:rFonts w:eastAsia="Times New Roman" w:cs="Arial"/>
              </w:rPr>
            </w:pPr>
            <w:r w:rsidRPr="007E6849">
              <w:rPr>
                <w:rFonts w:eastAsia="Times New Roman" w:cs="Arial"/>
              </w:rPr>
              <w:t>LDC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F02ADF" w14:textId="2FE6E983" w:rsidR="008F214B" w:rsidRPr="007E6849" w:rsidRDefault="00E81C31">
            <w:pPr>
              <w:spacing w:after="0" w:line="240" w:lineRule="auto"/>
              <w:rPr>
                <w:rFonts w:eastAsia="Times New Roman" w:cs="Arial"/>
              </w:rPr>
            </w:pPr>
            <w:r>
              <w:rPr>
                <w:rFonts w:eastAsia="Times New Roman" w:cs="Arial"/>
              </w:rPr>
              <w:t>L</w:t>
            </w:r>
            <w:r w:rsidRPr="007E6849">
              <w:rPr>
                <w:rFonts w:eastAsia="Times New Roman" w:cs="Arial"/>
              </w:rPr>
              <w:t>ong day care</w:t>
            </w:r>
          </w:p>
        </w:tc>
      </w:tr>
      <w:tr w:rsidR="00DE2148" w:rsidRPr="007E6849" w14:paraId="4ADF23D5"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E1895F" w14:textId="51CF7AC6" w:rsidR="00DE2148" w:rsidRPr="007E6849" w:rsidRDefault="00DE2148" w:rsidP="00DE2148">
            <w:pPr>
              <w:spacing w:after="0" w:line="240" w:lineRule="auto"/>
              <w:rPr>
                <w:rFonts w:eastAsia="Times New Roman" w:cs="Arial"/>
              </w:rPr>
            </w:pPr>
            <w:r>
              <w:rPr>
                <w:rFonts w:eastAsia="Times New Roman" w:cs="Arial"/>
              </w:rPr>
              <w:t>MCA</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5FD79A" w14:textId="1FA5CFD4" w:rsidR="00DE2148" w:rsidRDefault="00DE2148" w:rsidP="00DE2148">
            <w:pPr>
              <w:spacing w:after="0" w:line="240" w:lineRule="auto"/>
              <w:rPr>
                <w:rFonts w:eastAsia="Times New Roman" w:cs="Arial"/>
              </w:rPr>
            </w:pPr>
            <w:r>
              <w:rPr>
                <w:rFonts w:eastAsia="Times New Roman" w:cs="Arial"/>
              </w:rPr>
              <w:t>Multi-criteria analysis</w:t>
            </w:r>
          </w:p>
        </w:tc>
      </w:tr>
      <w:tr w:rsidR="008F214B" w:rsidRPr="00CA1660" w14:paraId="0B96AED7"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B79230" w14:textId="77777777" w:rsidR="008F214B" w:rsidRPr="00CA1660" w:rsidRDefault="008F214B">
            <w:pPr>
              <w:spacing w:after="0" w:line="240" w:lineRule="auto"/>
              <w:rPr>
                <w:rFonts w:eastAsia="Times New Roman" w:cs="Arial"/>
              </w:rPr>
            </w:pPr>
            <w:r w:rsidRPr="00CA1660">
              <w:rPr>
                <w:rFonts w:eastAsia="Times New Roman" w:cs="Arial"/>
              </w:rPr>
              <w:t>National Law</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7019B2" w14:textId="77777777" w:rsidR="008F214B" w:rsidRPr="00CA1660" w:rsidRDefault="008F214B">
            <w:pPr>
              <w:spacing w:after="0" w:line="240" w:lineRule="auto"/>
              <w:rPr>
                <w:rFonts w:eastAsia="Times New Roman" w:cs="Arial"/>
              </w:rPr>
            </w:pPr>
            <w:r w:rsidRPr="00CA1660">
              <w:rPr>
                <w:rFonts w:eastAsia="Times New Roman" w:cs="Arial"/>
              </w:rPr>
              <w:t>Education and Care Services National Law</w:t>
            </w:r>
          </w:p>
        </w:tc>
      </w:tr>
      <w:tr w:rsidR="00F84FD8" w14:paraId="321D4B53"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BE143F" w14:textId="7E0CE111" w:rsidR="00F84FD8" w:rsidRPr="00CA1660" w:rsidRDefault="00F84FD8" w:rsidP="00F84FD8">
            <w:pPr>
              <w:spacing w:after="0" w:line="240" w:lineRule="auto"/>
              <w:rPr>
                <w:rFonts w:eastAsia="Times New Roman" w:cs="Arial"/>
              </w:rPr>
            </w:pPr>
            <w:r>
              <w:rPr>
                <w:rFonts w:eastAsia="Times New Roman" w:cs="Arial"/>
              </w:rPr>
              <w:t>National Principles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1B79D2" w14:textId="1472E610" w:rsidR="00F84FD8" w:rsidRPr="00CA1660" w:rsidRDefault="00F84FD8" w:rsidP="00F84FD8">
            <w:pPr>
              <w:spacing w:after="0" w:line="240" w:lineRule="auto"/>
              <w:rPr>
                <w:rFonts w:eastAsia="Times New Roman" w:cs="Arial"/>
              </w:rPr>
            </w:pPr>
            <w:r>
              <w:t>National Principles for Child Safe Organisations</w:t>
            </w:r>
          </w:p>
        </w:tc>
      </w:tr>
      <w:tr w:rsidR="00E549FF" w14:paraId="2B8E4A7B"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3929B5" w14:textId="425A2480" w:rsidR="00E549FF" w:rsidRPr="00CA1660" w:rsidRDefault="00E549FF" w:rsidP="00E549FF">
            <w:pPr>
              <w:spacing w:after="0" w:line="240" w:lineRule="auto"/>
              <w:rPr>
                <w:rFonts w:eastAsia="Times New Roman" w:cs="Arial"/>
              </w:rPr>
            </w:pPr>
            <w:r w:rsidRPr="00CA1660">
              <w:rPr>
                <w:rFonts w:eastAsia="Times New Roman" w:cs="Arial"/>
              </w:rPr>
              <w:t>National Regulations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01EA81" w14:textId="17371573" w:rsidR="00E549FF" w:rsidRPr="00CA1660" w:rsidRDefault="00E549FF" w:rsidP="00E549FF">
            <w:pPr>
              <w:spacing w:after="0" w:line="240" w:lineRule="auto"/>
              <w:rPr>
                <w:rFonts w:eastAsia="Times New Roman" w:cs="Arial"/>
              </w:rPr>
            </w:pPr>
            <w:r w:rsidRPr="00CA1660">
              <w:rPr>
                <w:rFonts w:eastAsia="Times New Roman" w:cs="Arial"/>
              </w:rPr>
              <w:t>Education and Care Services National Regulations</w:t>
            </w:r>
          </w:p>
        </w:tc>
      </w:tr>
      <w:tr w:rsidR="00E549FF" w:rsidRPr="007E6849" w14:paraId="17DB9421"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65E37" w14:textId="77777777" w:rsidR="00E549FF" w:rsidRPr="007E6849" w:rsidRDefault="00E549FF" w:rsidP="00E549FF">
            <w:pPr>
              <w:spacing w:after="0" w:line="240" w:lineRule="auto"/>
              <w:rPr>
                <w:rFonts w:eastAsia="Times New Roman" w:cs="Arial"/>
              </w:rPr>
            </w:pPr>
            <w:r w:rsidRPr="007E6849">
              <w:rPr>
                <w:rFonts w:eastAsia="Times New Roman" w:cs="Arial"/>
              </w:rPr>
              <w:t>NQF</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E93D26" w14:textId="77777777" w:rsidR="00E549FF" w:rsidRPr="007E6849" w:rsidRDefault="00E549FF" w:rsidP="00E549FF">
            <w:pPr>
              <w:spacing w:after="0" w:line="240" w:lineRule="auto"/>
              <w:rPr>
                <w:rFonts w:eastAsia="Times New Roman" w:cs="Arial"/>
              </w:rPr>
            </w:pPr>
            <w:r w:rsidRPr="007E6849">
              <w:rPr>
                <w:rFonts w:eastAsia="Times New Roman" w:cs="Arial"/>
              </w:rPr>
              <w:t>National Quality Framework</w:t>
            </w:r>
          </w:p>
        </w:tc>
      </w:tr>
      <w:tr w:rsidR="00E549FF" w:rsidRPr="007E6849" w14:paraId="7B37B2D2"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CE67BD" w14:textId="77777777" w:rsidR="00E549FF" w:rsidRPr="007E6849" w:rsidRDefault="00E549FF" w:rsidP="00E549FF">
            <w:pPr>
              <w:spacing w:after="0" w:line="240" w:lineRule="auto"/>
              <w:rPr>
                <w:rFonts w:eastAsia="Times New Roman" w:cs="Arial"/>
              </w:rPr>
            </w:pPr>
            <w:r w:rsidRPr="007E6849">
              <w:rPr>
                <w:rFonts w:eastAsia="Times New Roman" w:cs="Arial"/>
              </w:rPr>
              <w:t>NQS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6EAEE0" w14:textId="77777777" w:rsidR="00E549FF" w:rsidRPr="007E6849" w:rsidRDefault="00E549FF" w:rsidP="00E549FF">
            <w:pPr>
              <w:spacing w:after="0" w:line="240" w:lineRule="auto"/>
              <w:rPr>
                <w:rFonts w:eastAsia="Times New Roman" w:cs="Arial"/>
              </w:rPr>
            </w:pPr>
            <w:r w:rsidRPr="007E6849">
              <w:rPr>
                <w:rFonts w:eastAsia="Times New Roman" w:cs="Arial"/>
              </w:rPr>
              <w:t>National Quality Standard</w:t>
            </w:r>
          </w:p>
        </w:tc>
      </w:tr>
      <w:tr w:rsidR="00E549FF" w:rsidRPr="007E6849" w14:paraId="6725E2D2"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9511CB" w14:textId="1DAA721D" w:rsidR="00E549FF" w:rsidRPr="007E6849" w:rsidRDefault="00E549FF" w:rsidP="00E549FF">
            <w:pPr>
              <w:spacing w:after="0" w:line="240" w:lineRule="auto"/>
              <w:rPr>
                <w:rFonts w:eastAsia="Times New Roman" w:cs="Arial"/>
              </w:rPr>
            </w:pPr>
            <w:r>
              <w:rPr>
                <w:rFonts w:eastAsia="Times New Roman" w:cs="Arial"/>
              </w:rPr>
              <w:t>NSW</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D89055" w14:textId="766A8AE2" w:rsidR="00E549FF" w:rsidRPr="007E6849" w:rsidRDefault="00E549FF" w:rsidP="00E549FF">
            <w:pPr>
              <w:spacing w:after="0" w:line="240" w:lineRule="auto"/>
              <w:rPr>
                <w:rFonts w:eastAsia="Times New Roman" w:cs="Arial"/>
              </w:rPr>
            </w:pPr>
            <w:r>
              <w:rPr>
                <w:rFonts w:eastAsia="Times New Roman" w:cs="Arial"/>
              </w:rPr>
              <w:t>New South Wales</w:t>
            </w:r>
          </w:p>
        </w:tc>
      </w:tr>
      <w:tr w:rsidR="00E549FF" w:rsidRPr="007E6849" w14:paraId="32FE2DA5"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017FFD" w14:textId="1A89118E" w:rsidR="00E549FF" w:rsidRPr="007E6849" w:rsidRDefault="00E549FF" w:rsidP="00E549FF">
            <w:pPr>
              <w:spacing w:after="0" w:line="240" w:lineRule="auto"/>
              <w:rPr>
                <w:rFonts w:eastAsia="Times New Roman" w:cs="Arial"/>
              </w:rPr>
            </w:pPr>
            <w:r>
              <w:rPr>
                <w:rFonts w:eastAsia="Times New Roman" w:cs="Arial"/>
              </w:rPr>
              <w:t>NT</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97CF72" w14:textId="00E6643A" w:rsidR="00E549FF" w:rsidRPr="007E6849" w:rsidRDefault="00E549FF" w:rsidP="00E549FF">
            <w:pPr>
              <w:spacing w:after="0" w:line="240" w:lineRule="auto"/>
              <w:rPr>
                <w:rFonts w:eastAsia="Times New Roman" w:cs="Arial"/>
              </w:rPr>
            </w:pPr>
            <w:r>
              <w:rPr>
                <w:rFonts w:eastAsia="Times New Roman" w:cs="Arial"/>
              </w:rPr>
              <w:t>Northern Territory</w:t>
            </w:r>
          </w:p>
        </w:tc>
      </w:tr>
      <w:tr w:rsidR="00E549FF" w:rsidRPr="007E6849" w14:paraId="2B72152D"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8A5FC1" w14:textId="77777777" w:rsidR="00E549FF" w:rsidRPr="007E6849" w:rsidRDefault="00E549FF" w:rsidP="00E549FF">
            <w:pPr>
              <w:spacing w:after="0" w:line="240" w:lineRule="auto"/>
              <w:rPr>
                <w:rFonts w:eastAsia="Times New Roman" w:cs="Arial"/>
              </w:rPr>
            </w:pPr>
            <w:r w:rsidRPr="007E6849">
              <w:rPr>
                <w:rFonts w:eastAsia="Times New Roman" w:cs="Arial"/>
              </w:rPr>
              <w:t>OSHC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8842A8" w14:textId="48991005" w:rsidR="00E549FF" w:rsidRPr="007E6849" w:rsidRDefault="00E549FF" w:rsidP="00E549FF">
            <w:pPr>
              <w:spacing w:after="0" w:line="240" w:lineRule="auto"/>
              <w:rPr>
                <w:rFonts w:eastAsia="Times New Roman" w:cs="Arial"/>
              </w:rPr>
            </w:pPr>
            <w:r w:rsidRPr="007E6849">
              <w:rPr>
                <w:rFonts w:eastAsia="Times New Roman" w:cs="Arial"/>
              </w:rPr>
              <w:t xml:space="preserve">Outside </w:t>
            </w:r>
            <w:r>
              <w:rPr>
                <w:rFonts w:eastAsia="Times New Roman" w:cs="Arial"/>
              </w:rPr>
              <w:t>school hours</w:t>
            </w:r>
            <w:r w:rsidRPr="007E6849">
              <w:rPr>
                <w:rFonts w:eastAsia="Times New Roman" w:cs="Arial"/>
              </w:rPr>
              <w:t xml:space="preserve"> care </w:t>
            </w:r>
          </w:p>
        </w:tc>
      </w:tr>
      <w:tr w:rsidR="00BD1F04" w:rsidRPr="007E6849" w14:paraId="2B23745A"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DAD287" w14:textId="7F838AC5" w:rsidR="00BD1F04" w:rsidRPr="007E6849" w:rsidRDefault="00BD1F04" w:rsidP="00E549FF">
            <w:pPr>
              <w:spacing w:after="0" w:line="240" w:lineRule="auto"/>
              <w:rPr>
                <w:rFonts w:eastAsia="Times New Roman" w:cs="Arial"/>
              </w:rPr>
            </w:pPr>
            <w:r>
              <w:rPr>
                <w:rFonts w:eastAsia="Times New Roman" w:cs="Arial"/>
              </w:rPr>
              <w:t>PCRG</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CB5FB6" w14:textId="42E1EE3C" w:rsidR="00BD1F04" w:rsidRPr="007E6849" w:rsidRDefault="00BD1F04" w:rsidP="00E549FF">
            <w:pPr>
              <w:spacing w:after="0" w:line="240" w:lineRule="auto"/>
              <w:rPr>
                <w:rFonts w:eastAsia="Times New Roman" w:cs="Arial"/>
              </w:rPr>
            </w:pPr>
            <w:r>
              <w:rPr>
                <w:rFonts w:eastAsia="Times New Roman" w:cs="Arial"/>
              </w:rPr>
              <w:t>Parents and carers reference group</w:t>
            </w:r>
          </w:p>
        </w:tc>
      </w:tr>
      <w:tr w:rsidR="00372E85" w:rsidRPr="007E6849" w14:paraId="7D8790CA"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A647D6" w14:textId="482787BA" w:rsidR="00372E85" w:rsidRDefault="00372E85" w:rsidP="00E549FF">
            <w:pPr>
              <w:spacing w:after="0" w:line="240" w:lineRule="auto"/>
              <w:rPr>
                <w:rFonts w:eastAsia="Times New Roman" w:cs="Arial"/>
              </w:rPr>
            </w:pPr>
            <w:r>
              <w:rPr>
                <w:rFonts w:eastAsia="Times New Roman" w:cs="Arial"/>
              </w:rPr>
              <w:t>PMC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1EE6C3" w14:textId="68A97A3A" w:rsidR="00372E85" w:rsidRDefault="00372E85" w:rsidP="00E549FF">
            <w:pPr>
              <w:spacing w:after="0" w:line="240" w:lineRule="auto"/>
              <w:rPr>
                <w:rFonts w:eastAsia="Times New Roman" w:cs="Arial"/>
              </w:rPr>
            </w:pPr>
            <w:r>
              <w:rPr>
                <w:rFonts w:eastAsia="Times New Roman" w:cs="Arial"/>
              </w:rPr>
              <w:t>Person with Management or Control</w:t>
            </w:r>
          </w:p>
        </w:tc>
      </w:tr>
      <w:tr w:rsidR="00E549FF" w:rsidRPr="007E6849" w14:paraId="5C79B439"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DB468E" w14:textId="1C0BD6D1" w:rsidR="00E549FF" w:rsidRPr="007E6849" w:rsidRDefault="00E549FF" w:rsidP="00E549FF">
            <w:pPr>
              <w:spacing w:after="0" w:line="240" w:lineRule="auto"/>
              <w:rPr>
                <w:rFonts w:eastAsia="Times New Roman" w:cs="Arial"/>
              </w:rPr>
            </w:pPr>
            <w:r>
              <w:rPr>
                <w:rFonts w:eastAsia="Times New Roman" w:cs="Arial"/>
              </w:rPr>
              <w:t>QLD</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2E9792" w14:textId="170FAB34" w:rsidR="00E549FF" w:rsidRPr="007E6849" w:rsidRDefault="00E549FF" w:rsidP="00E549FF">
            <w:pPr>
              <w:spacing w:after="0" w:line="240" w:lineRule="auto"/>
              <w:rPr>
                <w:rFonts w:eastAsia="Times New Roman" w:cs="Arial"/>
              </w:rPr>
            </w:pPr>
            <w:r>
              <w:rPr>
                <w:rFonts w:eastAsia="Times New Roman" w:cs="Arial"/>
              </w:rPr>
              <w:t>Queensland</w:t>
            </w:r>
          </w:p>
        </w:tc>
      </w:tr>
      <w:tr w:rsidR="00E549FF" w:rsidRPr="007E6849" w14:paraId="1BA586A5"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5F1642" w14:textId="6B5062BB" w:rsidR="00E549FF" w:rsidRPr="007E6849" w:rsidRDefault="00E549FF" w:rsidP="00E549FF">
            <w:pPr>
              <w:spacing w:after="0" w:line="240" w:lineRule="auto"/>
              <w:rPr>
                <w:rFonts w:eastAsia="Times New Roman" w:cs="Arial"/>
              </w:rPr>
            </w:pPr>
            <w:r w:rsidRPr="007E6849">
              <w:rPr>
                <w:rFonts w:eastAsia="Times New Roman" w:cs="Arial"/>
              </w:rPr>
              <w:t>RI</w:t>
            </w:r>
            <w:r>
              <w:rPr>
                <w:rFonts w:eastAsia="Times New Roman" w:cs="Arial"/>
              </w:rPr>
              <w:t>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E5B034" w14:textId="330869F5" w:rsidR="00E549FF" w:rsidRPr="007E6849" w:rsidRDefault="00E549FF" w:rsidP="00E549FF">
            <w:pPr>
              <w:spacing w:after="0" w:line="240" w:lineRule="auto"/>
              <w:rPr>
                <w:rFonts w:eastAsia="Times New Roman" w:cs="Arial"/>
              </w:rPr>
            </w:pPr>
            <w:r>
              <w:rPr>
                <w:rFonts w:eastAsia="Times New Roman" w:cs="Arial"/>
              </w:rPr>
              <w:t>Regulation</w:t>
            </w:r>
            <w:r w:rsidRPr="007E6849">
              <w:rPr>
                <w:rFonts w:eastAsia="Times New Roman" w:cs="Arial"/>
              </w:rPr>
              <w:t xml:space="preserve"> Impact </w:t>
            </w:r>
            <w:r>
              <w:rPr>
                <w:rFonts w:eastAsia="Times New Roman" w:cs="Arial"/>
              </w:rPr>
              <w:t>Statement</w:t>
            </w:r>
            <w:r w:rsidRPr="007E6849">
              <w:rPr>
                <w:rFonts w:eastAsia="Times New Roman" w:cs="Arial"/>
              </w:rPr>
              <w:t xml:space="preserve"> </w:t>
            </w:r>
          </w:p>
        </w:tc>
      </w:tr>
      <w:tr w:rsidR="00BD1F04" w:rsidRPr="007E6849" w14:paraId="1C5F1055"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0A12D4" w14:textId="5B607434" w:rsidR="00BD1F04" w:rsidRPr="007E6849" w:rsidRDefault="00BD1F04" w:rsidP="00E549FF">
            <w:pPr>
              <w:spacing w:after="0" w:line="240" w:lineRule="auto"/>
              <w:rPr>
                <w:rFonts w:eastAsia="Times New Roman" w:cs="Arial"/>
              </w:rPr>
            </w:pPr>
            <w:r>
              <w:rPr>
                <w:rFonts w:eastAsia="Times New Roman" w:cs="Arial"/>
              </w:rPr>
              <w:t>RPC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813870" w14:textId="4DF71A17" w:rsidR="00BD1F04" w:rsidRDefault="00BD1F04" w:rsidP="00E549FF">
            <w:pPr>
              <w:spacing w:after="0" w:line="240" w:lineRule="auto"/>
              <w:rPr>
                <w:rFonts w:eastAsia="Times New Roman" w:cs="Arial"/>
              </w:rPr>
            </w:pPr>
            <w:r>
              <w:rPr>
                <w:rFonts w:eastAsia="Times New Roman" w:cs="Arial"/>
              </w:rPr>
              <w:t>Regulatory Practice Committee</w:t>
            </w:r>
          </w:p>
        </w:tc>
      </w:tr>
      <w:tr w:rsidR="00E549FF" w:rsidRPr="007E6849" w14:paraId="7CC2E3D3"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8A0362" w14:textId="3A628A2B" w:rsidR="00E549FF" w:rsidRPr="007E6849" w:rsidRDefault="00E549FF" w:rsidP="00E549FF">
            <w:pPr>
              <w:spacing w:after="0" w:line="240" w:lineRule="auto"/>
              <w:rPr>
                <w:rFonts w:eastAsia="Times New Roman" w:cs="Arial"/>
              </w:rPr>
            </w:pPr>
            <w:r>
              <w:rPr>
                <w:rFonts w:eastAsia="Times New Roman" w:cs="Arial"/>
              </w:rPr>
              <w:t>SA</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B09EA4" w14:textId="1DACD28D" w:rsidR="00E549FF" w:rsidRDefault="00E549FF" w:rsidP="00E549FF">
            <w:pPr>
              <w:spacing w:after="0" w:line="240" w:lineRule="auto"/>
              <w:rPr>
                <w:rFonts w:eastAsia="Times New Roman" w:cs="Arial"/>
              </w:rPr>
            </w:pPr>
            <w:r>
              <w:rPr>
                <w:rFonts w:eastAsia="Times New Roman" w:cs="Arial"/>
              </w:rPr>
              <w:t>South Australia</w:t>
            </w:r>
          </w:p>
        </w:tc>
      </w:tr>
      <w:tr w:rsidR="00E549FF" w:rsidRPr="007E6849" w14:paraId="2F026CC7"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9B6E53" w14:textId="77777777" w:rsidR="00E549FF" w:rsidRPr="007E6849" w:rsidRDefault="00E549FF" w:rsidP="00E549FF">
            <w:pPr>
              <w:spacing w:after="0" w:line="240" w:lineRule="auto"/>
              <w:rPr>
                <w:rFonts w:eastAsia="Times New Roman" w:cs="Arial"/>
              </w:rPr>
            </w:pPr>
            <w:r w:rsidRPr="007E6849">
              <w:rPr>
                <w:rFonts w:eastAsia="Times New Roman" w:cs="Arial"/>
              </w:rPr>
              <w:t>SNAICC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E428EA" w14:textId="4538FD23" w:rsidR="00E549FF" w:rsidRPr="007E6849" w:rsidRDefault="00BC36C5" w:rsidP="00E549FF">
            <w:pPr>
              <w:spacing w:after="0" w:line="240" w:lineRule="auto"/>
              <w:rPr>
                <w:rFonts w:eastAsia="Times New Roman" w:cs="Arial"/>
              </w:rPr>
            </w:pPr>
            <w:r w:rsidRPr="00BC36C5">
              <w:t xml:space="preserve">The National Voice for Aboriginal and Torres Strait Islander Children </w:t>
            </w:r>
          </w:p>
        </w:tc>
      </w:tr>
      <w:tr w:rsidR="00E549FF" w:rsidRPr="007E6849" w14:paraId="280C2006"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F2799E" w14:textId="334C2FF1" w:rsidR="00E549FF" w:rsidRPr="007E6849" w:rsidRDefault="00E549FF" w:rsidP="00E549FF">
            <w:pPr>
              <w:spacing w:after="0" w:line="240" w:lineRule="auto"/>
              <w:rPr>
                <w:rFonts w:eastAsia="Times New Roman" w:cs="Arial"/>
              </w:rPr>
            </w:pPr>
            <w:r>
              <w:rPr>
                <w:rFonts w:eastAsia="Times New Roman" w:cs="Arial"/>
              </w:rPr>
              <w:lastRenderedPageBreak/>
              <w:t>TAS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308FDD" w14:textId="4DD9AA33" w:rsidR="00E549FF" w:rsidRDefault="00E549FF" w:rsidP="00E549FF">
            <w:pPr>
              <w:spacing w:after="0" w:line="240" w:lineRule="auto"/>
            </w:pPr>
            <w:r>
              <w:t>Tasmania</w:t>
            </w:r>
          </w:p>
        </w:tc>
      </w:tr>
      <w:tr w:rsidR="00E549FF" w:rsidRPr="007E6849" w14:paraId="0FD507CD"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744D70" w14:textId="085B3B36" w:rsidR="00E549FF" w:rsidRDefault="00E549FF" w:rsidP="00E549FF">
            <w:pPr>
              <w:spacing w:after="0" w:line="240" w:lineRule="auto"/>
              <w:rPr>
                <w:rFonts w:eastAsia="Times New Roman" w:cs="Arial"/>
              </w:rPr>
            </w:pPr>
            <w:r>
              <w:rPr>
                <w:rFonts w:eastAsia="Times New Roman" w:cs="Arial"/>
              </w:rPr>
              <w:t>VET</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CBA711" w14:textId="0482284A" w:rsidR="00E549FF" w:rsidRDefault="00E549FF" w:rsidP="00E549FF">
            <w:pPr>
              <w:spacing w:after="0" w:line="240" w:lineRule="auto"/>
            </w:pPr>
            <w:r>
              <w:t>Vocational education and training</w:t>
            </w:r>
          </w:p>
        </w:tc>
      </w:tr>
      <w:tr w:rsidR="00E549FF" w:rsidRPr="007E6849" w14:paraId="3619CB36"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25E41D" w14:textId="77366D6E" w:rsidR="00E549FF" w:rsidRPr="007E6849" w:rsidRDefault="00E549FF" w:rsidP="00E549FF">
            <w:pPr>
              <w:spacing w:after="0" w:line="240" w:lineRule="auto"/>
              <w:rPr>
                <w:rFonts w:eastAsia="Times New Roman" w:cs="Arial"/>
              </w:rPr>
            </w:pPr>
            <w:r>
              <w:rPr>
                <w:rFonts w:eastAsia="Times New Roman" w:cs="Arial"/>
              </w:rPr>
              <w:t>VIC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AD015C" w14:textId="6137C582" w:rsidR="00E549FF" w:rsidRDefault="00E549FF" w:rsidP="00E549FF">
            <w:pPr>
              <w:spacing w:after="0" w:line="240" w:lineRule="auto"/>
            </w:pPr>
            <w:r>
              <w:t>Victoria</w:t>
            </w:r>
          </w:p>
        </w:tc>
      </w:tr>
      <w:tr w:rsidR="00851CA1" w:rsidRPr="007E6849" w14:paraId="6D99636C"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7456AF" w14:textId="2A13E531" w:rsidR="00851CA1" w:rsidRDefault="00851CA1" w:rsidP="00E549FF">
            <w:pPr>
              <w:spacing w:after="0" w:line="240" w:lineRule="auto"/>
              <w:rPr>
                <w:rFonts w:eastAsia="Times New Roman" w:cs="Arial"/>
              </w:rPr>
            </w:pPr>
            <w:r>
              <w:rPr>
                <w:rFonts w:eastAsia="Times New Roman" w:cs="Arial"/>
              </w:rPr>
              <w:t>VPN</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2E344E" w14:textId="3BE60EFF" w:rsidR="00851CA1" w:rsidRDefault="00851CA1" w:rsidP="00E549FF">
            <w:pPr>
              <w:spacing w:after="0" w:line="240" w:lineRule="auto"/>
            </w:pPr>
            <w:r>
              <w:t>Virtual private network</w:t>
            </w:r>
          </w:p>
        </w:tc>
      </w:tr>
      <w:tr w:rsidR="00E549FF" w:rsidRPr="007E6849" w14:paraId="5481A209"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F9CF2E" w14:textId="63A41C50" w:rsidR="00E549FF" w:rsidRDefault="00E549FF" w:rsidP="00E549FF">
            <w:pPr>
              <w:spacing w:after="0" w:line="240" w:lineRule="auto"/>
              <w:rPr>
                <w:rFonts w:eastAsia="Times New Roman" w:cs="Arial"/>
              </w:rPr>
            </w:pPr>
            <w:r>
              <w:rPr>
                <w:rFonts w:eastAsia="Times New Roman" w:cs="Arial"/>
              </w:rPr>
              <w:t>WA</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8DDDC4" w14:textId="764A6F8B" w:rsidR="00E549FF" w:rsidRDefault="00E549FF" w:rsidP="00E549FF">
            <w:pPr>
              <w:spacing w:after="0" w:line="240" w:lineRule="auto"/>
            </w:pPr>
            <w:r>
              <w:t>Western Australia</w:t>
            </w:r>
          </w:p>
        </w:tc>
      </w:tr>
      <w:tr w:rsidR="00E549FF" w:rsidRPr="007E6849" w14:paraId="3887380E"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A65D8F" w14:textId="77777777" w:rsidR="00E549FF" w:rsidRPr="007E6849" w:rsidRDefault="00E549FF" w:rsidP="00E549FF">
            <w:pPr>
              <w:spacing w:after="0" w:line="240" w:lineRule="auto"/>
              <w:rPr>
                <w:rFonts w:eastAsia="Times New Roman" w:cs="Arial"/>
              </w:rPr>
            </w:pPr>
            <w:r w:rsidRPr="007E6849">
              <w:rPr>
                <w:rFonts w:eastAsia="Times New Roman" w:cs="Arial"/>
              </w:rPr>
              <w:t>WWCC</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602C10" w14:textId="33CCD067" w:rsidR="00E549FF" w:rsidRPr="007E6849" w:rsidRDefault="00E549FF" w:rsidP="00E549FF">
            <w:pPr>
              <w:spacing w:after="0" w:line="240" w:lineRule="auto"/>
              <w:rPr>
                <w:rFonts w:eastAsia="Times New Roman" w:cs="Arial"/>
              </w:rPr>
            </w:pPr>
            <w:r w:rsidRPr="007E6849">
              <w:rPr>
                <w:rFonts w:eastAsia="Times New Roman" w:cs="Arial"/>
              </w:rPr>
              <w:t>Working with Children Check</w:t>
            </w:r>
            <w:r w:rsidR="003C093B">
              <w:rPr>
                <w:rFonts w:eastAsia="Times New Roman" w:cs="Arial"/>
              </w:rPr>
              <w:t xml:space="preserve"> or </w:t>
            </w:r>
            <w:r w:rsidR="002464BF">
              <w:rPr>
                <w:rFonts w:eastAsia="Times New Roman" w:cs="Arial"/>
              </w:rPr>
              <w:t>Clearance</w:t>
            </w:r>
          </w:p>
        </w:tc>
      </w:tr>
      <w:tr w:rsidR="00E549FF" w:rsidRPr="007E6849" w14:paraId="46FCF64F" w14:textId="77777777" w:rsidTr="008B634E">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D84730" w14:textId="1867353C" w:rsidR="00E549FF" w:rsidRPr="007E6849" w:rsidRDefault="00E549FF" w:rsidP="00E549FF">
            <w:pPr>
              <w:spacing w:after="0" w:line="240" w:lineRule="auto"/>
              <w:rPr>
                <w:rFonts w:eastAsia="Times New Roman" w:cs="Arial"/>
              </w:rPr>
            </w:pPr>
            <w:r>
              <w:rPr>
                <w:rFonts w:eastAsia="Times New Roman" w:cs="Arial"/>
              </w:rPr>
              <w:t>WWVPR</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FD4A0" w14:textId="1EB83721" w:rsidR="00E549FF" w:rsidRPr="007E6849" w:rsidRDefault="00E549FF" w:rsidP="00E549FF">
            <w:pPr>
              <w:spacing w:after="0" w:line="240" w:lineRule="auto"/>
              <w:rPr>
                <w:rFonts w:eastAsia="Times New Roman" w:cs="Arial"/>
              </w:rPr>
            </w:pPr>
            <w:r>
              <w:rPr>
                <w:rFonts w:eastAsia="Times New Roman" w:cs="Arial"/>
              </w:rPr>
              <w:t>Working with Vulnerable Persons Registration</w:t>
            </w:r>
          </w:p>
        </w:tc>
      </w:tr>
    </w:tbl>
    <w:p w14:paraId="367E4D8C" w14:textId="77777777" w:rsidR="008F214B" w:rsidRDefault="008F214B" w:rsidP="008F214B"/>
    <w:p w14:paraId="66FB82AB" w14:textId="77777777" w:rsidR="00EA485F" w:rsidRDefault="00EA485F">
      <w:pPr>
        <w:spacing w:after="160" w:line="259" w:lineRule="auto"/>
        <w:rPr>
          <w:rFonts w:cs="Arial"/>
          <w:bCs/>
          <w:color w:val="006B77"/>
          <w:sz w:val="28"/>
          <w:szCs w:val="28"/>
        </w:rPr>
      </w:pPr>
      <w:r>
        <w:rPr>
          <w:rFonts w:cs="Arial"/>
          <w:bCs/>
          <w:color w:val="006B77"/>
          <w:sz w:val="28"/>
          <w:szCs w:val="28"/>
        </w:rPr>
        <w:br w:type="page"/>
      </w:r>
    </w:p>
    <w:p w14:paraId="6CB2D1DE" w14:textId="77777777" w:rsidR="00EA485F" w:rsidRDefault="00EA485F" w:rsidP="00EA485F">
      <w:pPr>
        <w:pStyle w:val="Heading1"/>
      </w:pPr>
      <w:bookmarkStart w:id="8" w:name="_Toc205884863"/>
      <w:r>
        <w:lastRenderedPageBreak/>
        <w:t>Glossary</w:t>
      </w:r>
      <w:bookmarkEnd w:id="8"/>
    </w:p>
    <w:p w14:paraId="4F95BC00" w14:textId="64FEE186" w:rsidR="005C573E" w:rsidRDefault="005C573E" w:rsidP="00EA485F"/>
    <w:tbl>
      <w:tblPr>
        <w:tblW w:w="871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Glossary"/>
        <w:tblDescription w:val="This is a glossary of terms used in the report."/>
      </w:tblPr>
      <w:tblGrid>
        <w:gridCol w:w="2258"/>
        <w:gridCol w:w="6456"/>
      </w:tblGrid>
      <w:tr w:rsidR="0074522A" w:rsidRPr="007E6849" w14:paraId="2D3D4B7A" w14:textId="77777777" w:rsidTr="001D4EF4">
        <w:trPr>
          <w:tblHeader/>
        </w:trPr>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5D19AE" w14:textId="5EFE7F98" w:rsidR="0074522A" w:rsidRPr="007E6849" w:rsidRDefault="0074522A">
            <w:pPr>
              <w:spacing w:after="0" w:line="240" w:lineRule="auto"/>
              <w:rPr>
                <w:rFonts w:eastAsia="Times New Roman" w:cs="Arial"/>
              </w:rPr>
            </w:pPr>
            <w:r>
              <w:rPr>
                <w:rFonts w:eastAsia="Times New Roman" w:cs="Arial"/>
                <w:b/>
                <w:bCs/>
              </w:rPr>
              <w:t>Term</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AED564" w14:textId="29C48D36" w:rsidR="0074522A" w:rsidRPr="007E6849" w:rsidRDefault="0074522A">
            <w:pPr>
              <w:spacing w:after="0" w:line="240" w:lineRule="auto"/>
              <w:rPr>
                <w:rFonts w:eastAsia="Times New Roman" w:cs="Arial"/>
              </w:rPr>
            </w:pPr>
            <w:r>
              <w:rPr>
                <w:rFonts w:eastAsia="Times New Roman" w:cs="Arial"/>
                <w:b/>
                <w:bCs/>
              </w:rPr>
              <w:t>Description</w:t>
            </w:r>
          </w:p>
        </w:tc>
      </w:tr>
      <w:tr w:rsidR="0074522A" w:rsidRPr="007E6849" w14:paraId="5C0E818D"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8546C9" w14:textId="3C48EFD5" w:rsidR="0074522A" w:rsidRPr="007E6849" w:rsidRDefault="0074522A" w:rsidP="0074522A">
            <w:pPr>
              <w:spacing w:after="0" w:line="240" w:lineRule="auto"/>
              <w:rPr>
                <w:rFonts w:eastAsia="Times New Roman" w:cs="Arial"/>
              </w:rPr>
            </w:pPr>
            <w:r w:rsidRPr="00377C36">
              <w:t xml:space="preserve">Administrative costs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F96117" w14:textId="203BD7C6" w:rsidR="0074522A" w:rsidRPr="007E6849" w:rsidRDefault="0074522A" w:rsidP="0074522A">
            <w:pPr>
              <w:spacing w:after="0" w:line="240" w:lineRule="auto"/>
              <w:rPr>
                <w:rFonts w:eastAsia="Times New Roman" w:cs="Arial"/>
              </w:rPr>
            </w:pPr>
            <w:r w:rsidRPr="00377C36">
              <w:t xml:space="preserve">Costs incurred in complying with a regulation that relate to record keeping, reporting or other administrative processes or systems. </w:t>
            </w:r>
          </w:p>
        </w:tc>
      </w:tr>
      <w:tr w:rsidR="0074522A" w:rsidRPr="007E6849" w14:paraId="197304E6"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8CE207" w14:textId="2C42D792" w:rsidR="0074522A" w:rsidRPr="007E6849" w:rsidRDefault="0074522A" w:rsidP="0074522A">
            <w:pPr>
              <w:spacing w:after="0" w:line="240" w:lineRule="auto"/>
              <w:rPr>
                <w:rFonts w:eastAsia="Times New Roman" w:cs="Arial"/>
              </w:rPr>
            </w:pPr>
            <w:r w:rsidRPr="00377C36">
              <w:t xml:space="preserve">Business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C7FE49" w14:textId="1FB7F4C2" w:rsidR="0074522A" w:rsidRPr="007E6849" w:rsidRDefault="0074522A" w:rsidP="0074522A">
            <w:pPr>
              <w:spacing w:after="0" w:line="240" w:lineRule="auto"/>
              <w:rPr>
                <w:rFonts w:eastAsia="Times New Roman" w:cs="Arial"/>
              </w:rPr>
            </w:pPr>
            <w:r w:rsidRPr="00377C36">
              <w:t xml:space="preserve">Any organisation engaged in commercial, industrial or professional activities operating under Australian law for the purpose of making a profit. </w:t>
            </w:r>
          </w:p>
        </w:tc>
      </w:tr>
      <w:tr w:rsidR="0074522A" w:rsidRPr="007E6849" w14:paraId="0D6C7E61"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8F9EE1" w14:textId="728720C5" w:rsidR="0074522A" w:rsidRDefault="0074522A" w:rsidP="0074522A">
            <w:pPr>
              <w:spacing w:after="0" w:line="240" w:lineRule="auto"/>
              <w:rPr>
                <w:rFonts w:eastAsia="Times New Roman" w:cs="Arial"/>
              </w:rPr>
            </w:pPr>
            <w:r w:rsidRPr="00377C36">
              <w:t xml:space="preserve">Burden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CF07D6" w14:textId="57F049DD" w:rsidR="0074522A" w:rsidRDefault="0074522A" w:rsidP="0074522A">
            <w:pPr>
              <w:spacing w:after="0" w:line="240" w:lineRule="auto"/>
              <w:rPr>
                <w:rFonts w:eastAsia="Times New Roman" w:cs="Arial"/>
              </w:rPr>
            </w:pPr>
            <w:r w:rsidRPr="00377C36">
              <w:t xml:space="preserve">The cumulative effect of government regulation on business, community organisations or individuals. </w:t>
            </w:r>
          </w:p>
        </w:tc>
      </w:tr>
      <w:tr w:rsidR="0074522A" w:rsidRPr="007E6849" w14:paraId="65BF8999"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38F65B" w14:textId="38C687E8" w:rsidR="0074522A" w:rsidRDefault="0074522A" w:rsidP="0074522A">
            <w:pPr>
              <w:spacing w:after="0" w:line="240" w:lineRule="auto"/>
              <w:rPr>
                <w:rFonts w:eastAsia="Times New Roman" w:cs="Arial"/>
              </w:rPr>
            </w:pPr>
            <w:r w:rsidRPr="00377C36">
              <w:t xml:space="preserve">Business-as-usual costs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4FAD7E" w14:textId="69E44CDF" w:rsidR="0074522A" w:rsidRDefault="0074522A" w:rsidP="0074522A">
            <w:pPr>
              <w:spacing w:after="0" w:line="240" w:lineRule="auto"/>
              <w:rPr>
                <w:rFonts w:eastAsia="Times New Roman" w:cs="Arial"/>
              </w:rPr>
            </w:pPr>
            <w:r w:rsidRPr="00377C36">
              <w:t xml:space="preserve">Costs incurred as part of normal business practices that would be undertaken regardless of regulatory change. </w:t>
            </w:r>
          </w:p>
        </w:tc>
      </w:tr>
      <w:tr w:rsidR="00DA0BF1" w:rsidRPr="007E6849" w14:paraId="7A9D7794"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0CA125" w14:textId="09179C92" w:rsidR="00DA0BF1" w:rsidRPr="00377C36" w:rsidRDefault="00DA0BF1" w:rsidP="0074522A">
            <w:pPr>
              <w:spacing w:after="0" w:line="240" w:lineRule="auto"/>
            </w:pPr>
            <w:r>
              <w:t>Centre-based services</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8ECEB9" w14:textId="333B4798" w:rsidR="00DA0BF1" w:rsidRPr="00377C36" w:rsidRDefault="00EC45ED" w:rsidP="0074522A">
            <w:pPr>
              <w:spacing w:after="0" w:line="240" w:lineRule="auto"/>
            </w:pPr>
            <w:r>
              <w:t>Centre-based services refers to</w:t>
            </w:r>
            <w:r w:rsidRPr="00EC45ED">
              <w:t xml:space="preserve"> preschool/kindergarten</w:t>
            </w:r>
            <w:r w:rsidR="00BB53B2">
              <w:t>s</w:t>
            </w:r>
            <w:r w:rsidRPr="00EC45ED">
              <w:t xml:space="preserve">, </w:t>
            </w:r>
            <w:r w:rsidR="00BB53B2">
              <w:t>long day cares</w:t>
            </w:r>
            <w:r w:rsidRPr="00EC45ED">
              <w:t xml:space="preserve">, and </w:t>
            </w:r>
            <w:r w:rsidR="00BB53B2">
              <w:t xml:space="preserve">outside of school hours care </w:t>
            </w:r>
            <w:r w:rsidRPr="00EC45ED">
              <w:t>services.</w:t>
            </w:r>
          </w:p>
        </w:tc>
      </w:tr>
      <w:tr w:rsidR="0074522A" w:rsidRPr="007E6849" w14:paraId="739ABCDC"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0E8FB9" w14:textId="4388B6A5" w:rsidR="0074522A" w:rsidRPr="007E6849" w:rsidRDefault="0074522A" w:rsidP="0074522A">
            <w:pPr>
              <w:spacing w:after="0" w:line="240" w:lineRule="auto"/>
              <w:rPr>
                <w:rFonts w:eastAsia="Times New Roman" w:cs="Arial"/>
              </w:rPr>
            </w:pPr>
            <w:r w:rsidRPr="00377C36">
              <w:t xml:space="preserve">Community organisation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AC5737" w14:textId="3CA7D1EE" w:rsidR="0074522A" w:rsidRPr="007E6849" w:rsidRDefault="0074522A" w:rsidP="0074522A">
            <w:pPr>
              <w:spacing w:after="0" w:line="240" w:lineRule="auto"/>
              <w:rPr>
                <w:rFonts w:eastAsia="Times New Roman" w:cs="Arial"/>
              </w:rPr>
            </w:pPr>
            <w:r w:rsidRPr="00377C36">
              <w:t xml:space="preserve">Any organisation engaged in charitable or other community-based activity operating under Australian law and not established for the purpose of making a profit. In the 2019 NQF Review DRIS, community organisations are assumed to be not-for-profit, community and government providers of education and care services. </w:t>
            </w:r>
          </w:p>
        </w:tc>
      </w:tr>
      <w:tr w:rsidR="0074522A" w:rsidRPr="007E6849" w14:paraId="4F03CCB7"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4C3045" w14:textId="235D88C7" w:rsidR="0074522A" w:rsidRPr="007E6849" w:rsidRDefault="0074522A" w:rsidP="0074522A">
            <w:pPr>
              <w:spacing w:after="0" w:line="240" w:lineRule="auto"/>
              <w:rPr>
                <w:rFonts w:eastAsia="Times New Roman" w:cs="Arial"/>
              </w:rPr>
            </w:pPr>
            <w:r w:rsidRPr="00377C36">
              <w:t xml:space="preserve">Compliance costs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E493B9" w14:textId="1F3DE89D" w:rsidR="0074522A" w:rsidRDefault="0074522A" w:rsidP="0074522A">
            <w:pPr>
              <w:spacing w:after="0" w:line="240" w:lineRule="auto"/>
              <w:rPr>
                <w:rFonts w:eastAsia="Times New Roman" w:cs="Arial"/>
              </w:rPr>
            </w:pPr>
            <w:r w:rsidRPr="00377C36">
              <w:t xml:space="preserve">The direct costs incurred by a regulated entity to comply with regulation. Compliance costs can be further categorised into </w:t>
            </w:r>
            <w:r w:rsidRPr="00377C36">
              <w:rPr>
                <w:i/>
                <w:iCs/>
              </w:rPr>
              <w:t xml:space="preserve">administrative, substantive, </w:t>
            </w:r>
            <w:r w:rsidRPr="00377C36">
              <w:t xml:space="preserve">or </w:t>
            </w:r>
            <w:r w:rsidRPr="00377C36">
              <w:rPr>
                <w:i/>
                <w:iCs/>
              </w:rPr>
              <w:t xml:space="preserve">financial </w:t>
            </w:r>
            <w:r w:rsidRPr="00377C36">
              <w:t xml:space="preserve">compliance costs. </w:t>
            </w:r>
          </w:p>
        </w:tc>
      </w:tr>
      <w:tr w:rsidR="0074522A" w:rsidRPr="007E6849" w14:paraId="5924F329"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D15E46" w14:textId="2DA0180E" w:rsidR="0074522A" w:rsidRPr="007E6849" w:rsidRDefault="0074522A" w:rsidP="0074522A">
            <w:pPr>
              <w:spacing w:after="0" w:line="240" w:lineRule="auto"/>
              <w:rPr>
                <w:rFonts w:eastAsia="Times New Roman" w:cs="Arial"/>
              </w:rPr>
            </w:pPr>
            <w:r w:rsidRPr="00377C36">
              <w:t xml:space="preserve">Consultation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1A7C71" w14:textId="1057816A" w:rsidR="0074522A" w:rsidRPr="007E6849" w:rsidRDefault="0074522A" w:rsidP="0074522A">
            <w:pPr>
              <w:spacing w:after="0" w:line="240" w:lineRule="auto"/>
              <w:rPr>
                <w:rFonts w:eastAsia="Times New Roman" w:cs="Arial"/>
              </w:rPr>
            </w:pPr>
            <w:r w:rsidRPr="00377C36">
              <w:t xml:space="preserve">The practice of advising stakeholders of an intention to regulate which involves information sharing, dialogue and genuine consideration of feedback received. </w:t>
            </w:r>
          </w:p>
        </w:tc>
      </w:tr>
      <w:tr w:rsidR="004158A9" w:rsidRPr="007E6849" w14:paraId="1F407E02"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D3766F" w14:textId="6BFB518E" w:rsidR="004158A9" w:rsidRPr="00377C36" w:rsidRDefault="004158A9" w:rsidP="0074522A">
            <w:pPr>
              <w:spacing w:after="0" w:line="240" w:lineRule="auto"/>
            </w:pPr>
            <w:r>
              <w:t>Education and care</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733EE4" w14:textId="250A8881" w:rsidR="004158A9" w:rsidRPr="00377C36" w:rsidRDefault="004158A9" w:rsidP="0074522A">
            <w:pPr>
              <w:spacing w:after="0" w:line="240" w:lineRule="auto"/>
            </w:pPr>
            <w:r>
              <w:t>Refers to the services provided by preschools/kindergartens, long day cares, famil</w:t>
            </w:r>
            <w:r w:rsidR="00BB53B2">
              <w:t>y</w:t>
            </w:r>
            <w:r>
              <w:t xml:space="preserve"> day cares, and </w:t>
            </w:r>
            <w:r w:rsidR="00BB53B2">
              <w:t>outside of school hours care services.</w:t>
            </w:r>
          </w:p>
        </w:tc>
      </w:tr>
      <w:tr w:rsidR="0074522A" w:rsidRPr="007E6849" w14:paraId="24D88003"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914C53" w14:textId="63F6D8F0" w:rsidR="0074522A" w:rsidRDefault="0074522A" w:rsidP="0074522A">
            <w:pPr>
              <w:spacing w:after="0" w:line="240" w:lineRule="auto"/>
              <w:rPr>
                <w:rFonts w:eastAsia="Times New Roman" w:cs="Arial"/>
              </w:rPr>
            </w:pPr>
            <w:r w:rsidRPr="00377C36">
              <w:t xml:space="preserve">Financial costs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2A0396" w14:textId="5C3A97A7" w:rsidR="0074522A" w:rsidRDefault="0074522A" w:rsidP="0074522A">
            <w:pPr>
              <w:spacing w:after="0" w:line="240" w:lineRule="auto"/>
              <w:rPr>
                <w:rFonts w:eastAsia="Times New Roman" w:cs="Arial"/>
              </w:rPr>
            </w:pPr>
            <w:r w:rsidRPr="00377C36">
              <w:t xml:space="preserve">The fees and charges attached to a regulation that are payable to government. </w:t>
            </w:r>
          </w:p>
        </w:tc>
      </w:tr>
      <w:tr w:rsidR="0074522A" w:rsidRPr="007E6849" w14:paraId="4DB2BE53"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BB53EF" w14:textId="3463E953" w:rsidR="0074522A" w:rsidRPr="007E6849" w:rsidRDefault="0074522A" w:rsidP="0074522A">
            <w:pPr>
              <w:spacing w:after="0" w:line="240" w:lineRule="auto"/>
              <w:rPr>
                <w:rFonts w:eastAsia="Times New Roman" w:cs="Arial"/>
              </w:rPr>
            </w:pPr>
            <w:r w:rsidRPr="00377C36">
              <w:t xml:space="preserve">Impact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8FE0DF" w14:textId="04BBB613" w:rsidR="0074522A" w:rsidRPr="007E6849" w:rsidRDefault="0074522A" w:rsidP="0074522A">
            <w:pPr>
              <w:spacing w:after="0" w:line="240" w:lineRule="auto"/>
              <w:rPr>
                <w:rFonts w:eastAsia="Times New Roman" w:cs="Arial"/>
              </w:rPr>
            </w:pPr>
            <w:r w:rsidRPr="00377C36">
              <w:t xml:space="preserve">A positive or negative effect caused by regulation. </w:t>
            </w:r>
          </w:p>
        </w:tc>
      </w:tr>
      <w:tr w:rsidR="0074522A" w:rsidRPr="007E6849" w14:paraId="52C3B2B0"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3C64F8" w14:textId="551B1EFA" w:rsidR="0074522A" w:rsidRPr="007E6849" w:rsidRDefault="0074522A" w:rsidP="0074522A">
            <w:pPr>
              <w:spacing w:after="0" w:line="240" w:lineRule="auto"/>
              <w:rPr>
                <w:rFonts w:eastAsia="Times New Roman" w:cs="Arial"/>
              </w:rPr>
            </w:pPr>
            <w:r w:rsidRPr="00377C36">
              <w:t xml:space="preserve">Individual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FA70BB" w14:textId="7CC2122D" w:rsidR="0074522A" w:rsidRDefault="0074522A" w:rsidP="0074522A">
            <w:pPr>
              <w:spacing w:after="0" w:line="240" w:lineRule="auto"/>
              <w:rPr>
                <w:rFonts w:eastAsia="Times New Roman" w:cs="Arial"/>
              </w:rPr>
            </w:pPr>
            <w:r w:rsidRPr="00377C36">
              <w:t xml:space="preserve">Any person subject to Australian law who interacts with government or is impacted by regulation, and whose activities have an impact in Australia. </w:t>
            </w:r>
          </w:p>
        </w:tc>
      </w:tr>
      <w:tr w:rsidR="0074522A" w:rsidRPr="007E6849" w14:paraId="73B422D8"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AAF469" w14:textId="6296BE4D" w:rsidR="0074522A" w:rsidRPr="007E6849" w:rsidRDefault="0074522A" w:rsidP="0074522A">
            <w:pPr>
              <w:spacing w:after="0" w:line="240" w:lineRule="auto"/>
              <w:rPr>
                <w:rFonts w:eastAsia="Times New Roman" w:cs="Arial"/>
              </w:rPr>
            </w:pPr>
            <w:r w:rsidRPr="007A1FE2">
              <w:t xml:space="preserve">Legislative change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6F3E42" w14:textId="2DE666AA" w:rsidR="0074522A" w:rsidRPr="007E6849" w:rsidRDefault="0074522A" w:rsidP="0074522A">
            <w:pPr>
              <w:spacing w:after="0" w:line="240" w:lineRule="auto"/>
              <w:rPr>
                <w:rFonts w:eastAsia="Times New Roman" w:cs="Arial"/>
              </w:rPr>
            </w:pPr>
            <w:r w:rsidRPr="007A1FE2">
              <w:t xml:space="preserve">A change that involves formal amendments to existing legislation and regulations. </w:t>
            </w:r>
          </w:p>
        </w:tc>
      </w:tr>
      <w:tr w:rsidR="0074522A" w:rsidRPr="007E6849" w14:paraId="73CCBD34"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A9B380" w14:textId="63E9AF86" w:rsidR="0074522A" w:rsidRPr="007E6849" w:rsidRDefault="0074522A" w:rsidP="0074522A">
            <w:pPr>
              <w:spacing w:after="0" w:line="240" w:lineRule="auto"/>
              <w:rPr>
                <w:rFonts w:eastAsia="Times New Roman" w:cs="Arial"/>
              </w:rPr>
            </w:pPr>
            <w:r w:rsidRPr="007A1FE2">
              <w:lastRenderedPageBreak/>
              <w:t xml:space="preserve">Minor change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58193A" w14:textId="65BE9B84" w:rsidR="0074522A" w:rsidRPr="007E6849" w:rsidRDefault="0074522A" w:rsidP="0074522A">
            <w:pPr>
              <w:spacing w:after="0" w:line="240" w:lineRule="auto"/>
              <w:rPr>
                <w:rFonts w:eastAsia="Times New Roman" w:cs="Arial"/>
              </w:rPr>
            </w:pPr>
            <w:r w:rsidRPr="007A1FE2">
              <w:t xml:space="preserve">Changes that do not substantially alter the existing regulatory arrangements. </w:t>
            </w:r>
          </w:p>
        </w:tc>
      </w:tr>
      <w:tr w:rsidR="0074522A" w14:paraId="4927A189"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A4CAC6" w14:textId="6D644135" w:rsidR="0074522A" w:rsidRPr="00CA1660" w:rsidRDefault="0074522A" w:rsidP="0074522A">
            <w:pPr>
              <w:spacing w:after="0" w:line="240" w:lineRule="auto"/>
              <w:rPr>
                <w:rFonts w:eastAsia="Times New Roman" w:cs="Arial"/>
              </w:rPr>
            </w:pPr>
            <w:r w:rsidRPr="007A1FE2">
              <w:t>Non-</w:t>
            </w:r>
            <w:r w:rsidR="00B11B40">
              <w:t>regulatory</w:t>
            </w:r>
            <w:r w:rsidRPr="007A1FE2">
              <w:t xml:space="preserve"> change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03D5A3" w14:textId="23A9D920" w:rsidR="0074522A" w:rsidRPr="00CA1660" w:rsidRDefault="0074522A" w:rsidP="0074522A">
            <w:pPr>
              <w:spacing w:after="0" w:line="240" w:lineRule="auto"/>
              <w:rPr>
                <w:rFonts w:eastAsia="Times New Roman" w:cs="Arial"/>
              </w:rPr>
            </w:pPr>
            <w:r w:rsidRPr="007A1FE2">
              <w:t xml:space="preserve">A change that does not involve formal amendments to existing legislation and regulations but is nonetheless intended to regulate the sector. An example is the development of communications and guidance to improve stakeholder awareness and knowledge of legislative and regulatory requirements and to enable compliance. </w:t>
            </w:r>
          </w:p>
        </w:tc>
      </w:tr>
      <w:tr w:rsidR="0074522A" w:rsidRPr="007E6849" w14:paraId="23AB3627"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B9843E" w14:textId="0C15A9FF" w:rsidR="0074522A" w:rsidRPr="007E6849" w:rsidRDefault="0074522A" w:rsidP="0074522A">
            <w:pPr>
              <w:spacing w:after="0" w:line="240" w:lineRule="auto"/>
              <w:rPr>
                <w:rFonts w:eastAsia="Times New Roman" w:cs="Arial"/>
              </w:rPr>
            </w:pPr>
            <w:r w:rsidRPr="007A1FE2">
              <w:t xml:space="preserve">Regulation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132CD2" w14:textId="1C04A95E" w:rsidR="0074522A" w:rsidRPr="007E6849" w:rsidRDefault="0074522A" w:rsidP="0074522A">
            <w:pPr>
              <w:spacing w:after="0" w:line="240" w:lineRule="auto"/>
              <w:rPr>
                <w:rFonts w:eastAsia="Times New Roman" w:cs="Arial"/>
              </w:rPr>
            </w:pPr>
            <w:r w:rsidRPr="007A1FE2">
              <w:t>Any rule endorsed by government where there is an expectation of compliance. This includes legislation, regulations, quasi-regulations and any other aspect of regulator behaviour which can influence or compel specific behaviour by business, community organisations or individuals. This includes red tape burden imposed by the Commonwealth’s procurement, grants and cost recovery frameworks.</w:t>
            </w:r>
          </w:p>
        </w:tc>
      </w:tr>
      <w:tr w:rsidR="0074522A" w:rsidRPr="007E6849" w14:paraId="2F5E4970"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49430B" w14:textId="75A1FC1B" w:rsidR="0074522A" w:rsidRPr="007E6849" w:rsidRDefault="0074522A" w:rsidP="0074522A">
            <w:pPr>
              <w:spacing w:after="0" w:line="240" w:lineRule="auto"/>
              <w:rPr>
                <w:rFonts w:eastAsia="Times New Roman" w:cs="Arial"/>
              </w:rPr>
            </w:pPr>
            <w:r w:rsidRPr="007A1FE2">
              <w:t xml:space="preserve">Regulation Impact Statement (RIS)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9DE4C5" w14:textId="75E3BA84" w:rsidR="0074522A" w:rsidRPr="007E6849" w:rsidRDefault="0074522A" w:rsidP="0074522A">
            <w:pPr>
              <w:spacing w:after="0" w:line="240" w:lineRule="auto"/>
              <w:rPr>
                <w:rFonts w:eastAsia="Times New Roman" w:cs="Arial"/>
              </w:rPr>
            </w:pPr>
            <w:r w:rsidRPr="007A1FE2">
              <w:t xml:space="preserve">A statement </w:t>
            </w:r>
            <w:r w:rsidR="00350AC9">
              <w:t>government</w:t>
            </w:r>
            <w:r w:rsidR="00350AC9" w:rsidRPr="007A1FE2">
              <w:t xml:space="preserve"> </w:t>
            </w:r>
            <w:r w:rsidRPr="007A1FE2">
              <w:t xml:space="preserve">agencies must produce as part of the policy-making process when a decision is likely to have a regulatory impact on business, community organisations or individuals. </w:t>
            </w:r>
          </w:p>
        </w:tc>
      </w:tr>
      <w:tr w:rsidR="0074522A" w:rsidRPr="007E6849" w14:paraId="44A73AD0" w14:textId="77777777">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A27517" w14:textId="3B4D495D" w:rsidR="0074522A" w:rsidRPr="007E6849" w:rsidRDefault="0074522A" w:rsidP="0074522A">
            <w:pPr>
              <w:spacing w:after="0" w:line="240" w:lineRule="auto"/>
              <w:rPr>
                <w:rFonts w:eastAsia="Times New Roman" w:cs="Arial"/>
              </w:rPr>
            </w:pPr>
            <w:r w:rsidRPr="007A1FE2">
              <w:t xml:space="preserve">Status quo option </w:t>
            </w:r>
          </w:p>
        </w:tc>
        <w:tc>
          <w:tcPr>
            <w:tcW w:w="64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72C2C7" w14:textId="368627DE" w:rsidR="0074522A" w:rsidRPr="007E6849" w:rsidRDefault="0074522A" w:rsidP="0074522A">
            <w:pPr>
              <w:spacing w:after="0" w:line="240" w:lineRule="auto"/>
              <w:rPr>
                <w:rFonts w:eastAsia="Times New Roman" w:cs="Arial"/>
              </w:rPr>
            </w:pPr>
            <w:r w:rsidRPr="007A1FE2">
              <w:t>A policy option in which all current policy settings remain as they are</w:t>
            </w:r>
            <w:r w:rsidR="0036193D">
              <w:t xml:space="preserve">, also in the absence of non-regulatory intervention. </w:t>
            </w:r>
            <w:r w:rsidRPr="007A1FE2">
              <w:t xml:space="preserve">A RIS must analyse the net benefit of </w:t>
            </w:r>
            <w:r w:rsidR="00CC6D56">
              <w:t>the s</w:t>
            </w:r>
            <w:r w:rsidRPr="007A1FE2">
              <w:t xml:space="preserve">tatus quo option as a benchmark against which other options can be assessed. </w:t>
            </w:r>
          </w:p>
        </w:tc>
      </w:tr>
    </w:tbl>
    <w:p w14:paraId="2671D33F" w14:textId="1B07E76A" w:rsidR="008F214B" w:rsidRDefault="00377C36" w:rsidP="00EA485F">
      <w:r w:rsidRPr="00377C36">
        <w:t xml:space="preserve"> </w:t>
      </w:r>
      <w:r w:rsidR="008F214B">
        <w:br w:type="page"/>
      </w:r>
    </w:p>
    <w:p w14:paraId="2BA30AAC" w14:textId="4466D479" w:rsidR="00A30786" w:rsidRDefault="00A30786" w:rsidP="00A30786">
      <w:pPr>
        <w:pStyle w:val="Heading1"/>
      </w:pPr>
      <w:bookmarkStart w:id="9" w:name="_Toc205884864"/>
      <w:r>
        <w:lastRenderedPageBreak/>
        <w:t>Executive Summary</w:t>
      </w:r>
      <w:bookmarkEnd w:id="9"/>
    </w:p>
    <w:p w14:paraId="0DF5C285" w14:textId="77777777" w:rsidR="00414BBE" w:rsidRDefault="00414BBE" w:rsidP="00414BBE">
      <w:r>
        <w:t>The National Quality Framework (NQF) is Australia’s system for regulating education and care services and for improving outcomes for children. The first and foremost objective of the NQF is to ensure the safety, health and wellbeing of all children attending an education and care service.</w:t>
      </w:r>
    </w:p>
    <w:p w14:paraId="28342695" w14:textId="2E03E0DA" w:rsidR="00414BBE" w:rsidRDefault="00414BBE" w:rsidP="00414BBE">
      <w:r>
        <w:t xml:space="preserve">The safety and protection of children is also the highest priority for all Australian governments who agreed in 2023 to undertake the Child Safety Review. The Final Report of the Child Safety Review, the </w:t>
      </w:r>
      <w:hyperlink r:id="rId22" w:history="1">
        <w:r w:rsidRPr="00960EA0">
          <w:rPr>
            <w:rStyle w:val="Hyperlink"/>
          </w:rPr>
          <w:t>Review of Child Safety Arrangements under the National Quality Framework</w:t>
        </w:r>
      </w:hyperlink>
      <w:r w:rsidR="00BB438D">
        <w:t xml:space="preserve"> (CSR)</w:t>
      </w:r>
      <w:r w:rsidRPr="00960EA0">
        <w:rPr>
          <w:vertAlign w:val="superscript"/>
        </w:rPr>
        <w:footnoteReference w:id="2"/>
      </w:r>
      <w:r>
        <w:t>, was published in December 2023.</w:t>
      </w:r>
    </w:p>
    <w:p w14:paraId="1A53CE85" w14:textId="024CC471" w:rsidR="00414BBE" w:rsidRPr="00960EA0" w:rsidRDefault="00414BBE" w:rsidP="00414BBE">
      <w:r>
        <w:t>The CSR</w:t>
      </w:r>
      <w:r w:rsidRPr="00960EA0">
        <w:t xml:space="preserve"> examined new or refined systemic safeguards to better support services to protect children who attend an education and care service. </w:t>
      </w:r>
      <w:r w:rsidRPr="2EC61166">
        <w:t>The CSR made 16 recommendations</w:t>
      </w:r>
      <w:r>
        <w:t xml:space="preserve"> to</w:t>
      </w:r>
      <w:r w:rsidRPr="2EC61166">
        <w:t xml:space="preserve"> address emerging issues, clos</w:t>
      </w:r>
      <w:r>
        <w:t>e</w:t>
      </w:r>
      <w:r w:rsidRPr="2EC61166">
        <w:t xml:space="preserve"> loopholes, strengthen policies and practices, child safe cultures, recruitment processes and information handling, supporting staff capabilities, and improving protections around the use of new, online technologies.</w:t>
      </w:r>
      <w:r w:rsidRPr="2EC61166">
        <w:rPr>
          <w:rStyle w:val="FootnoteReference"/>
        </w:rPr>
        <w:footnoteReference w:id="3"/>
      </w:r>
      <w:r>
        <w:rPr>
          <w:bCs/>
        </w:rPr>
        <w:t xml:space="preserve"> </w:t>
      </w:r>
    </w:p>
    <w:p w14:paraId="1C267BD7" w14:textId="3369EF99" w:rsidR="00414BBE" w:rsidRDefault="00414BBE" w:rsidP="00414BBE">
      <w:pPr>
        <w:rPr>
          <w:bCs/>
        </w:rPr>
      </w:pPr>
      <w:r>
        <w:rPr>
          <w:bCs/>
        </w:rPr>
        <w:t>Based on the findings and recommendations of the CSR and the culmination of work by a</w:t>
      </w:r>
      <w:r w:rsidR="00677CDA">
        <w:rPr>
          <w:bCs/>
        </w:rPr>
        <w:t>ll</w:t>
      </w:r>
      <w:r>
        <w:rPr>
          <w:bCs/>
        </w:rPr>
        <w:t xml:space="preserve"> governments to develop appropriate policy responses, this Decision Regulation Impact Statement (DRIS) analyses the potential impacts for all the options proposed to improve child safety in education and care services operating under the NQF and provides an agreed set of reforms to implement, </w:t>
      </w:r>
      <w:r>
        <w:t xml:space="preserve">based on the sum of the regulatory impact analysis activities undertaken. </w:t>
      </w:r>
    </w:p>
    <w:p w14:paraId="0B69B170" w14:textId="32A5FE24" w:rsidR="00414BBE" w:rsidRPr="00960EA0" w:rsidRDefault="00414BBE" w:rsidP="00414BBE">
      <w:pPr>
        <w:rPr>
          <w:bCs/>
        </w:rPr>
      </w:pPr>
      <w:r w:rsidRPr="00960EA0">
        <w:rPr>
          <w:bCs/>
        </w:rPr>
        <w:t>Th</w:t>
      </w:r>
      <w:r>
        <w:rPr>
          <w:bCs/>
        </w:rPr>
        <w:t>e</w:t>
      </w:r>
      <w:r w:rsidRPr="00960EA0">
        <w:rPr>
          <w:bCs/>
        </w:rPr>
        <w:t xml:space="preserve"> DRIS has been informed by comprehensive consultation with the sector and the community, including public consultation undertaken following the publication of a </w:t>
      </w:r>
      <w:r>
        <w:rPr>
          <w:bCs/>
        </w:rPr>
        <w:t>Consultation Regulation Impact Statement (</w:t>
      </w:r>
      <w:r w:rsidRPr="00960EA0">
        <w:rPr>
          <w:bCs/>
        </w:rPr>
        <w:t>CRIS</w:t>
      </w:r>
      <w:r>
        <w:rPr>
          <w:bCs/>
        </w:rPr>
        <w:t xml:space="preserve">). </w:t>
      </w:r>
      <w:r w:rsidRPr="006A10B3">
        <w:rPr>
          <w:bCs/>
        </w:rPr>
        <w:t xml:space="preserve">Public consultation on the CRIS </w:t>
      </w:r>
      <w:r>
        <w:rPr>
          <w:bCs/>
        </w:rPr>
        <w:t xml:space="preserve">was undertaken by Deloitte Access Economics and SNAICC - the National Voice for Aboriginal and Torres Strait Islander Children </w:t>
      </w:r>
      <w:r w:rsidRPr="006A10B3">
        <w:rPr>
          <w:bCs/>
        </w:rPr>
        <w:t>over a six-week period from 28 April to 11 June</w:t>
      </w:r>
      <w:r>
        <w:rPr>
          <w:bCs/>
        </w:rPr>
        <w:t xml:space="preserve"> 2025</w:t>
      </w:r>
      <w:r w:rsidRPr="006A10B3">
        <w:rPr>
          <w:bCs/>
        </w:rPr>
        <w:t>.</w:t>
      </w:r>
      <w:r w:rsidRPr="006A10B3">
        <w:rPr>
          <w:bCs/>
          <w:vertAlign w:val="superscript"/>
        </w:rPr>
        <w:footnoteReference w:id="4"/>
      </w:r>
      <w:r>
        <w:rPr>
          <w:bCs/>
        </w:rPr>
        <w:t xml:space="preserve"> </w:t>
      </w:r>
      <w:r w:rsidR="00E949EB" w:rsidRPr="00BC03C0">
        <w:t xml:space="preserve">Further information on public consultation is provided in </w:t>
      </w:r>
      <w:hyperlink w:anchor="_3._Summary_of" w:history="1">
        <w:r w:rsidR="00E949EB" w:rsidRPr="00BF15C8">
          <w:rPr>
            <w:rStyle w:val="Hyperlink"/>
          </w:rPr>
          <w:t>Chapter 3</w:t>
        </w:r>
      </w:hyperlink>
      <w:r w:rsidR="00E949EB" w:rsidRPr="00BC03C0">
        <w:t>.</w:t>
      </w:r>
    </w:p>
    <w:p w14:paraId="70DA0A93" w14:textId="279673A3" w:rsidR="0052367D" w:rsidRPr="0052367D" w:rsidRDefault="008F03F5" w:rsidP="0052367D">
      <w:r>
        <w:rPr>
          <w:bCs/>
        </w:rPr>
        <w:lastRenderedPageBreak/>
        <w:t xml:space="preserve">Public engagement with the CRIS was high, with </w:t>
      </w:r>
      <w:r w:rsidR="79E61706">
        <w:t xml:space="preserve">over </w:t>
      </w:r>
      <w:r w:rsidR="004B4C7C">
        <w:t xml:space="preserve">1500 individuals and organisations providing their views, including over 500 </w:t>
      </w:r>
      <w:r w:rsidR="00005889">
        <w:t xml:space="preserve">members </w:t>
      </w:r>
      <w:r w:rsidR="004B4C7C">
        <w:t xml:space="preserve">of the </w:t>
      </w:r>
      <w:r w:rsidR="00005889">
        <w:t xml:space="preserve">education and care </w:t>
      </w:r>
      <w:r w:rsidR="004B4C7C">
        <w:t xml:space="preserve">workforce, </w:t>
      </w:r>
      <w:r w:rsidR="00E702A5">
        <w:t>over 200 family members, parents and carers</w:t>
      </w:r>
      <w:r>
        <w:rPr>
          <w:bCs/>
        </w:rPr>
        <w:t xml:space="preserve">, </w:t>
      </w:r>
      <w:r w:rsidR="00E702A5">
        <w:rPr>
          <w:bCs/>
        </w:rPr>
        <w:t xml:space="preserve">and over 300 </w:t>
      </w:r>
      <w:r w:rsidR="00005889">
        <w:rPr>
          <w:bCs/>
        </w:rPr>
        <w:t xml:space="preserve">approved provider </w:t>
      </w:r>
      <w:r w:rsidR="00E702A5">
        <w:rPr>
          <w:bCs/>
        </w:rPr>
        <w:t xml:space="preserve">representatives. </w:t>
      </w:r>
      <w:r w:rsidR="002E22A8">
        <w:t>Public</w:t>
      </w:r>
      <w:r w:rsidR="002E22A8" w:rsidRPr="0052367D">
        <w:t xml:space="preserve"> </w:t>
      </w:r>
      <w:r w:rsidR="00C91B56" w:rsidRPr="00C91B56">
        <w:t>consultation was representative of a range of service types, including long day care</w:t>
      </w:r>
      <w:r w:rsidR="00005889">
        <w:t xml:space="preserve"> (LDC)</w:t>
      </w:r>
      <w:r w:rsidR="00C91B56" w:rsidRPr="00C91B56">
        <w:t>, preschool/kindergarten, family day care</w:t>
      </w:r>
      <w:r w:rsidR="00005889">
        <w:t xml:space="preserve"> (FDC)</w:t>
      </w:r>
      <w:r w:rsidR="00C91B56" w:rsidRPr="00C91B56">
        <w:t xml:space="preserve"> and Outside School Hours Care (OSHC), as well as </w:t>
      </w:r>
      <w:r w:rsidR="002E22A8" w:rsidRPr="0052367D">
        <w:t>provider types and sizes, stakeholder demographics, jurisdictions, and remoteness.</w:t>
      </w:r>
      <w:r w:rsidR="002E22A8" w:rsidRPr="002E22A8">
        <w:t xml:space="preserve"> </w:t>
      </w:r>
      <w:r w:rsidR="00C06097">
        <w:t xml:space="preserve">Governments </w:t>
      </w:r>
      <w:r w:rsidR="00F53A01">
        <w:t>are</w:t>
      </w:r>
      <w:r w:rsidR="0052367D" w:rsidRPr="0052367D">
        <w:t xml:space="preserve"> grateful to all stakeholders who provided input </w:t>
      </w:r>
      <w:r w:rsidR="00621FC9">
        <w:t xml:space="preserve">during the </w:t>
      </w:r>
      <w:r w:rsidR="0052367D" w:rsidRPr="0052367D">
        <w:t xml:space="preserve">public consultation. </w:t>
      </w:r>
    </w:p>
    <w:p w14:paraId="526792D0" w14:textId="3C684F27" w:rsidR="00142F14" w:rsidRPr="00142F14" w:rsidRDefault="00034B7B" w:rsidP="00142F14">
      <w:r>
        <w:t>A range of regulatory</w:t>
      </w:r>
      <w:r w:rsidR="00DE6B0C">
        <w:t xml:space="preserve"> options (e.g., legislative changes)</w:t>
      </w:r>
      <w:r>
        <w:t xml:space="preserve"> and non-regulatory options </w:t>
      </w:r>
      <w:r w:rsidR="00DE6B0C">
        <w:t xml:space="preserve">(e.g., the provision of guidance materials) </w:t>
      </w:r>
      <w:r>
        <w:t xml:space="preserve">aimed at improving child safety </w:t>
      </w:r>
      <w:r w:rsidR="00DE6B0C">
        <w:t xml:space="preserve">are considered throughout this DRIS. </w:t>
      </w:r>
      <w:r w:rsidR="00511DA9">
        <w:t xml:space="preserve">The impact of proposed policy options </w:t>
      </w:r>
      <w:r w:rsidR="00BD2E09">
        <w:t>is</w:t>
      </w:r>
      <w:r w:rsidR="00511DA9">
        <w:t xml:space="preserve"> assessed through</w:t>
      </w:r>
      <w:r w:rsidR="00456DD2">
        <w:t xml:space="preserve"> </w:t>
      </w:r>
      <w:r w:rsidR="00621FC9">
        <w:t xml:space="preserve">a multi-criteria analysis </w:t>
      </w:r>
      <w:r w:rsidR="0002787D">
        <w:t xml:space="preserve">(MCA) </w:t>
      </w:r>
      <w:r w:rsidR="00456DD2">
        <w:t>framework</w:t>
      </w:r>
      <w:r w:rsidR="00142F14">
        <w:t xml:space="preserve">, which evaluates each policy option against </w:t>
      </w:r>
      <w:r w:rsidR="00142F14" w:rsidRPr="00142F14">
        <w:t>four criteria</w:t>
      </w:r>
      <w:r w:rsidR="00E65210">
        <w:t xml:space="preserve">. </w:t>
      </w:r>
      <w:r w:rsidR="00E65210" w:rsidRPr="00E65210">
        <w:t xml:space="preserve">These criteria are weighted, which means that </w:t>
      </w:r>
      <w:r w:rsidR="00E65210">
        <w:t>some of the criteria count for more in the overall score. In</w:t>
      </w:r>
      <w:r w:rsidR="0002787D">
        <w:t xml:space="preserve"> line with government and stakeholder priorities, the MCA places higher weights on </w:t>
      </w:r>
      <w:r w:rsidR="006007E7">
        <w:t>benefits (</w:t>
      </w:r>
      <w:r w:rsidR="0002787D" w:rsidRPr="006007E7">
        <w:rPr>
          <w:i/>
        </w:rPr>
        <w:t>improvement to child safety outcomes</w:t>
      </w:r>
      <w:r w:rsidR="006007E7">
        <w:t xml:space="preserve">) compared to cost-related </w:t>
      </w:r>
      <w:r w:rsidR="00892341">
        <w:t>criteria</w:t>
      </w:r>
      <w:r w:rsidR="006007E7">
        <w:t xml:space="preserve"> (</w:t>
      </w:r>
      <w:r w:rsidR="006007E7" w:rsidRPr="006007E7">
        <w:rPr>
          <w:i/>
          <w:iCs/>
        </w:rPr>
        <w:t>net cost, implementation consideration and distributional impacts</w:t>
      </w:r>
      <w:r w:rsidR="006007E7">
        <w:t>)</w:t>
      </w:r>
      <w:r w:rsidR="0002787D">
        <w:t>. The four criteria and their weightings are:</w:t>
      </w:r>
    </w:p>
    <w:p w14:paraId="6A7816AB" w14:textId="628A3373" w:rsidR="00142F14" w:rsidRPr="00142F14" w:rsidRDefault="00142F14" w:rsidP="00EC53AB">
      <w:pPr>
        <w:numPr>
          <w:ilvl w:val="0"/>
          <w:numId w:val="72"/>
        </w:numPr>
      </w:pPr>
      <w:r w:rsidRPr="00142F14">
        <w:t>the improvement in child safety outcomes</w:t>
      </w:r>
      <w:r w:rsidR="00E65210">
        <w:t xml:space="preserve"> </w:t>
      </w:r>
      <w:r w:rsidR="0002787D">
        <w:t>(50% weighting)</w:t>
      </w:r>
    </w:p>
    <w:p w14:paraId="1C0A878C" w14:textId="7B1942FB" w:rsidR="00142F14" w:rsidRPr="00142F14" w:rsidRDefault="00142F14" w:rsidP="00EC53AB">
      <w:pPr>
        <w:numPr>
          <w:ilvl w:val="0"/>
          <w:numId w:val="72"/>
        </w:numPr>
      </w:pPr>
      <w:r w:rsidRPr="00142F14">
        <w:t>the net cost of the policy option</w:t>
      </w:r>
      <w:r w:rsidR="0002787D">
        <w:t xml:space="preserve"> (30% weighting)</w:t>
      </w:r>
    </w:p>
    <w:p w14:paraId="5AFECF23" w14:textId="71216F36" w:rsidR="00142F14" w:rsidRPr="00142F14" w:rsidRDefault="00142F14" w:rsidP="00EC53AB">
      <w:pPr>
        <w:numPr>
          <w:ilvl w:val="0"/>
          <w:numId w:val="72"/>
        </w:numPr>
      </w:pPr>
      <w:r w:rsidRPr="00142F14">
        <w:t>the implementation considerations</w:t>
      </w:r>
      <w:r w:rsidR="0002787D">
        <w:t xml:space="preserve"> (10% weighting)</w:t>
      </w:r>
    </w:p>
    <w:p w14:paraId="0B0AA35F" w14:textId="2FD1A873" w:rsidR="00E56665" w:rsidRPr="00142F14" w:rsidRDefault="00142F14" w:rsidP="00E56665">
      <w:pPr>
        <w:ind w:left="360"/>
      </w:pPr>
      <w:r w:rsidRPr="00142F14">
        <w:t>the distributional impact of the option on stakeholders</w:t>
      </w:r>
      <w:r w:rsidR="0002787D">
        <w:t xml:space="preserve"> (10% weighting)</w:t>
      </w:r>
      <w:r w:rsidRPr="00142F14">
        <w:t>.</w:t>
      </w:r>
    </w:p>
    <w:p w14:paraId="789CDABC" w14:textId="789C2EF8" w:rsidR="00927EB9" w:rsidRDefault="00B07D0C" w:rsidP="00E56665">
      <w:r>
        <w:t>The o</w:t>
      </w:r>
      <w:r w:rsidR="00E56665">
        <w:t xml:space="preserve">ptions </w:t>
      </w:r>
      <w:r>
        <w:t xml:space="preserve">that are recommended </w:t>
      </w:r>
      <w:r w:rsidR="00E56665">
        <w:t xml:space="preserve">to be implemented are those that </w:t>
      </w:r>
      <w:r>
        <w:t>are</w:t>
      </w:r>
      <w:r w:rsidR="00E56665" w:rsidRPr="00311E84">
        <w:t xml:space="preserve"> </w:t>
      </w:r>
      <w:r w:rsidR="00E56665">
        <w:t>consider</w:t>
      </w:r>
      <w:r>
        <w:t xml:space="preserve">ed </w:t>
      </w:r>
      <w:r w:rsidR="00E56665" w:rsidRPr="00311E84">
        <w:t xml:space="preserve">likely to </w:t>
      </w:r>
      <w:r w:rsidR="00E56665">
        <w:t xml:space="preserve">provide </w:t>
      </w:r>
      <w:r w:rsidR="00E56665" w:rsidRPr="00311E84">
        <w:t xml:space="preserve">the </w:t>
      </w:r>
      <w:r w:rsidR="00E56665">
        <w:t xml:space="preserve">greatest improvement to </w:t>
      </w:r>
      <w:r w:rsidR="00E56665" w:rsidRPr="00311E84">
        <w:t>child safety</w:t>
      </w:r>
      <w:r w:rsidR="00E56665">
        <w:t>.</w:t>
      </w:r>
      <w:r w:rsidR="00E56665" w:rsidRPr="00311E84">
        <w:t xml:space="preserve"> </w:t>
      </w:r>
      <w:r w:rsidR="0061214B" w:rsidRPr="0061214B">
        <w:t>Education Ministers met on 22 August 2025 for a special purpose Education Ministers Meeting and agreed to the reforms outlined in the DRIS, noting the Minister decision taken for Additional Recommendation - Extending the limitation period for commencing proceedings under the National Law, was different to the recommended option in this DRIS.</w:t>
      </w:r>
    </w:p>
    <w:p w14:paraId="7CAA0BF0" w14:textId="47A18CB1" w:rsidR="00E56665" w:rsidRDefault="00927EB9" w:rsidP="00E56665">
      <w:r>
        <w:t xml:space="preserve">A summary of all </w:t>
      </w:r>
      <w:r w:rsidR="00F53443">
        <w:t xml:space="preserve">agreed </w:t>
      </w:r>
      <w:r w:rsidR="0055743E">
        <w:t xml:space="preserve">policy options, </w:t>
      </w:r>
      <w:r w:rsidR="00850FB5">
        <w:t>as well as the options that are not recommended for implementation</w:t>
      </w:r>
      <w:r w:rsidR="0055743E">
        <w:t>,</w:t>
      </w:r>
      <w:r>
        <w:t xml:space="preserve"> can be found in Appendix 12.1.</w:t>
      </w:r>
      <w:r w:rsidR="00E92376">
        <w:rPr>
          <w:rStyle w:val="FootnoteReference"/>
        </w:rPr>
        <w:footnoteReference w:id="5"/>
      </w:r>
      <w:r w:rsidR="0055743E">
        <w:t xml:space="preserve"> </w:t>
      </w:r>
      <w:r w:rsidR="00850FB5">
        <w:t>The following sections outline the recommended options for implementation, by reform area.</w:t>
      </w:r>
    </w:p>
    <w:p w14:paraId="49FC0943" w14:textId="77777777" w:rsidR="008B695D" w:rsidRDefault="008B695D">
      <w:pPr>
        <w:spacing w:after="160" w:line="259" w:lineRule="auto"/>
        <w:rPr>
          <w:rFonts w:cs="Arial"/>
          <w:bCs/>
          <w:color w:val="006B77"/>
          <w:sz w:val="32"/>
          <w:szCs w:val="40"/>
          <w:lang w:val="en-GB"/>
        </w:rPr>
      </w:pPr>
      <w:bookmarkStart w:id="10" w:name="_Toc203576926"/>
      <w:r>
        <w:rPr>
          <w:lang w:val="en-GB"/>
        </w:rPr>
        <w:lastRenderedPageBreak/>
        <w:br w:type="page"/>
      </w:r>
    </w:p>
    <w:p w14:paraId="6420FD73" w14:textId="296605DF" w:rsidR="00390CE2" w:rsidRDefault="00390CE2" w:rsidP="00390CE2">
      <w:pPr>
        <w:pStyle w:val="Heading2"/>
        <w:rPr>
          <w:lang w:val="en-GB"/>
        </w:rPr>
      </w:pPr>
      <w:bookmarkStart w:id="11" w:name="_Toc205884865"/>
      <w:r>
        <w:rPr>
          <w:lang w:val="en-GB"/>
        </w:rPr>
        <w:lastRenderedPageBreak/>
        <w:t>Management of Digital Devices</w:t>
      </w:r>
      <w:bookmarkEnd w:id="10"/>
      <w:bookmarkEnd w:id="11"/>
    </w:p>
    <w:p w14:paraId="60A80A01" w14:textId="3D5DA3DB" w:rsidR="00390CE2" w:rsidRPr="00D942EF" w:rsidRDefault="00390CE2" w:rsidP="00390CE2">
      <w:pPr>
        <w:rPr>
          <w:lang w:val="en-GB"/>
        </w:rPr>
      </w:pPr>
      <w:r w:rsidRPr="00D942EF">
        <w:rPr>
          <w:lang w:val="en-GB"/>
        </w:rPr>
        <w:t xml:space="preserve">Management of digital devices is discussed in further detail in </w:t>
      </w:r>
      <w:hyperlink w:anchor="_5._Management_of" w:history="1">
        <w:r w:rsidRPr="008D1C61">
          <w:rPr>
            <w:rStyle w:val="Hyperlink"/>
            <w:lang w:val="en-GB"/>
          </w:rPr>
          <w:t>Chapter 5</w:t>
        </w:r>
      </w:hyperlink>
      <w:r w:rsidRPr="00D942EF">
        <w:rPr>
          <w:lang w:val="en-GB"/>
        </w:rPr>
        <w:t xml:space="preserve">. </w:t>
      </w:r>
    </w:p>
    <w:p w14:paraId="2994B16A" w14:textId="77777777" w:rsidR="00390CE2" w:rsidRPr="00D942EF" w:rsidRDefault="00390CE2" w:rsidP="00390CE2">
      <w:pPr>
        <w:pStyle w:val="Heading4"/>
        <w:rPr>
          <w:lang w:val="en-GB"/>
        </w:rPr>
      </w:pPr>
      <w:r>
        <w:rPr>
          <w:lang w:val="en-GB"/>
        </w:rPr>
        <w:t>Managing the use of digital devices</w:t>
      </w:r>
    </w:p>
    <w:tbl>
      <w:tblPr>
        <w:tblStyle w:val="Box1"/>
        <w:tblW w:w="5000" w:type="pct"/>
        <w:tblCellMar>
          <w:top w:w="28" w:type="dxa"/>
          <w:bottom w:w="28" w:type="dxa"/>
        </w:tblCellMar>
        <w:tblLook w:val="04A0" w:firstRow="1" w:lastRow="0" w:firstColumn="1" w:lastColumn="0" w:noHBand="0" w:noVBand="1"/>
        <w:tblCaption w:val="Summary of recommended policy options to be provided to Education Ministers for consideration"/>
        <w:tblDescription w:val="This table describes the recommended options for managing the use of digital devices."/>
      </w:tblPr>
      <w:tblGrid>
        <w:gridCol w:w="6381"/>
        <w:gridCol w:w="2639"/>
      </w:tblGrid>
      <w:tr w:rsidR="00390CE2" w14:paraId="032C9FC8" w14:textId="77777777">
        <w:trPr>
          <w:cnfStyle w:val="100000000000" w:firstRow="1" w:lastRow="0" w:firstColumn="0" w:lastColumn="0" w:oddVBand="0" w:evenVBand="0" w:oddHBand="0" w:evenHBand="0" w:firstRowFirstColumn="0" w:firstRowLastColumn="0" w:lastRowFirstColumn="0" w:lastRowLastColumn="0"/>
        </w:trPr>
        <w:tc>
          <w:tcPr>
            <w:tcW w:w="3537" w:type="pct"/>
          </w:tcPr>
          <w:p w14:paraId="4866FC4F" w14:textId="25F6A2BF" w:rsidR="00390CE2" w:rsidRPr="00FF2AD4" w:rsidRDefault="00D64F62">
            <w:pPr>
              <w:spacing w:after="0" w:line="240" w:lineRule="auto"/>
              <w:rPr>
                <w:b/>
                <w:sz w:val="20"/>
                <w:szCs w:val="20"/>
              </w:rPr>
            </w:pPr>
            <w:r w:rsidRPr="00D64F62">
              <w:rPr>
                <w:b/>
                <w:sz w:val="20"/>
                <w:szCs w:val="20"/>
              </w:rPr>
              <w:t>Summary of recommended policy options to be provided to Education Ministers for consideration</w:t>
            </w:r>
          </w:p>
        </w:tc>
        <w:tc>
          <w:tcPr>
            <w:tcW w:w="1463" w:type="pct"/>
          </w:tcPr>
          <w:p w14:paraId="31EA4382" w14:textId="01CE388E" w:rsidR="00390CE2" w:rsidRPr="00FF2AD4" w:rsidRDefault="00D64F62">
            <w:pPr>
              <w:spacing w:after="0" w:line="240" w:lineRule="auto"/>
              <w:rPr>
                <w:b/>
                <w:sz w:val="20"/>
                <w:szCs w:val="20"/>
              </w:rPr>
            </w:pPr>
            <w:r>
              <w:rPr>
                <w:b/>
                <w:sz w:val="20"/>
                <w:szCs w:val="20"/>
              </w:rPr>
              <w:t>Implementation approach</w:t>
            </w:r>
          </w:p>
        </w:tc>
      </w:tr>
      <w:tr w:rsidR="006178E3" w14:paraId="4D9995AE" w14:textId="77777777" w:rsidTr="006464CA">
        <w:tc>
          <w:tcPr>
            <w:tcW w:w="0" w:type="pct"/>
            <w:vAlign w:val="center"/>
          </w:tcPr>
          <w:p w14:paraId="3E5A78D4" w14:textId="08D5A165" w:rsidR="006178E3" w:rsidRPr="00FF2AD4" w:rsidRDefault="008B695D" w:rsidP="006178E3">
            <w:pPr>
              <w:spacing w:line="240" w:lineRule="auto"/>
              <w:rPr>
                <w:sz w:val="20"/>
                <w:szCs w:val="22"/>
              </w:rPr>
            </w:pPr>
            <w:r>
              <w:rPr>
                <w:b/>
                <w:sz w:val="20"/>
                <w:szCs w:val="20"/>
              </w:rPr>
              <w:t>Option 2 (</w:t>
            </w:r>
            <w:r w:rsidRPr="00FF2AD4">
              <w:rPr>
                <w:b/>
                <w:sz w:val="20"/>
                <w:szCs w:val="20"/>
              </w:rPr>
              <w:t>Regulatory</w:t>
            </w:r>
            <w:r>
              <w:rPr>
                <w:b/>
                <w:sz w:val="20"/>
                <w:szCs w:val="20"/>
              </w:rPr>
              <w:t xml:space="preserve">): </w:t>
            </w:r>
            <w:r w:rsidR="006178E3" w:rsidRPr="00FF2AD4">
              <w:rPr>
                <w:sz w:val="20"/>
                <w:szCs w:val="22"/>
              </w:rPr>
              <w:t>Amend the National Law and National Regulations to enact standalone provisions to mandate that:</w:t>
            </w:r>
          </w:p>
          <w:p w14:paraId="2FDA374E" w14:textId="77777777" w:rsidR="006178E3" w:rsidRPr="00FF2AD4" w:rsidRDefault="006178E3" w:rsidP="006178E3">
            <w:pPr>
              <w:pStyle w:val="ListParagraph"/>
              <w:spacing w:line="240" w:lineRule="auto"/>
              <w:rPr>
                <w:sz w:val="20"/>
                <w:szCs w:val="22"/>
              </w:rPr>
            </w:pPr>
            <w:r w:rsidRPr="00FF2AD4">
              <w:rPr>
                <w:sz w:val="20"/>
                <w:szCs w:val="22"/>
              </w:rPr>
              <w:t>Only service-issued digital devices can be used when taking images or videos of children while providing education and care.</w:t>
            </w:r>
          </w:p>
          <w:p w14:paraId="7F8A8961" w14:textId="414D84B9" w:rsidR="00A62AB2" w:rsidRPr="00A62AB2" w:rsidRDefault="00A62AB2" w:rsidP="00A62AB2">
            <w:pPr>
              <w:spacing w:line="240" w:lineRule="auto"/>
              <w:rPr>
                <w:sz w:val="20"/>
                <w:szCs w:val="22"/>
              </w:rPr>
            </w:pPr>
            <w:r w:rsidRPr="00A62AB2">
              <w:rPr>
                <w:sz w:val="20"/>
                <w:szCs w:val="22"/>
              </w:rPr>
              <w:t xml:space="preserve">This amendment would be an offence provision with a penalty attached. </w:t>
            </w:r>
          </w:p>
          <w:p w14:paraId="61FA6F0E" w14:textId="4510FFCA" w:rsidR="006178E3" w:rsidRPr="00FF2AD4" w:rsidRDefault="00A62AB2" w:rsidP="00A62AB2">
            <w:pPr>
              <w:spacing w:line="240" w:lineRule="auto"/>
              <w:rPr>
                <w:sz w:val="20"/>
                <w:szCs w:val="22"/>
              </w:rPr>
            </w:pPr>
            <w:r w:rsidRPr="00A62AB2">
              <w:rPr>
                <w:sz w:val="20"/>
                <w:szCs w:val="22"/>
              </w:rPr>
              <w:t>This will apply to approved providers, nominated supervisors, family day care educators and educators.</w:t>
            </w:r>
          </w:p>
        </w:tc>
        <w:tc>
          <w:tcPr>
            <w:tcW w:w="0" w:type="pct"/>
            <w:vAlign w:val="center"/>
          </w:tcPr>
          <w:p w14:paraId="5F835D27" w14:textId="4E964718" w:rsidR="006178E3" w:rsidRPr="00FF2AD4" w:rsidRDefault="006178E3" w:rsidP="006178E3">
            <w:pPr>
              <w:spacing w:after="0" w:line="240" w:lineRule="auto"/>
              <w:rPr>
                <w:sz w:val="20"/>
                <w:szCs w:val="22"/>
              </w:rPr>
            </w:pPr>
            <w:r w:rsidRPr="00FF2AD4">
              <w:rPr>
                <w:sz w:val="20"/>
                <w:szCs w:val="22"/>
              </w:rPr>
              <w:t>To be implemented in full</w:t>
            </w:r>
          </w:p>
        </w:tc>
      </w:tr>
      <w:tr w:rsidR="006178E3" w14:paraId="530BBAD3" w14:textId="77777777" w:rsidTr="006464CA">
        <w:tc>
          <w:tcPr>
            <w:tcW w:w="0" w:type="pct"/>
            <w:vAlign w:val="center"/>
          </w:tcPr>
          <w:p w14:paraId="1A9CF552" w14:textId="5F5C57C8" w:rsidR="00311E0A" w:rsidRPr="00311E0A" w:rsidRDefault="008B695D" w:rsidP="00311E0A">
            <w:pPr>
              <w:spacing w:line="240" w:lineRule="auto"/>
              <w:rPr>
                <w:sz w:val="20"/>
                <w:szCs w:val="22"/>
              </w:rPr>
            </w:pPr>
            <w:r>
              <w:rPr>
                <w:b/>
                <w:sz w:val="20"/>
                <w:szCs w:val="20"/>
              </w:rPr>
              <w:t>Option 3 (</w:t>
            </w:r>
            <w:r w:rsidRPr="00FF2AD4">
              <w:rPr>
                <w:b/>
                <w:sz w:val="20"/>
                <w:szCs w:val="20"/>
              </w:rPr>
              <w:t>Regulatory</w:t>
            </w:r>
            <w:r>
              <w:rPr>
                <w:b/>
                <w:sz w:val="20"/>
                <w:szCs w:val="20"/>
              </w:rPr>
              <w:t xml:space="preserve">): </w:t>
            </w:r>
            <w:r w:rsidR="00311E0A" w:rsidRPr="00311E0A">
              <w:rPr>
                <w:sz w:val="20"/>
                <w:szCs w:val="22"/>
              </w:rPr>
              <w:t xml:space="preserve">Amend the National Law and National Regulations to enact standalone provisions for </w:t>
            </w:r>
            <w:r w:rsidR="008855E7">
              <w:rPr>
                <w:sz w:val="20"/>
                <w:szCs w:val="22"/>
              </w:rPr>
              <w:t>centre-based</w:t>
            </w:r>
            <w:r w:rsidR="00311E0A" w:rsidRPr="00311E0A">
              <w:rPr>
                <w:sz w:val="20"/>
                <w:szCs w:val="22"/>
              </w:rPr>
              <w:t xml:space="preserve"> services to mandate that other than in the case of defined exempt circumstances:</w:t>
            </w:r>
          </w:p>
          <w:p w14:paraId="127C0F94" w14:textId="74A07656" w:rsidR="00311E0A" w:rsidRPr="00311E0A" w:rsidRDefault="00311E0A" w:rsidP="00311E0A">
            <w:pPr>
              <w:pStyle w:val="ListParagraph"/>
              <w:numPr>
                <w:ilvl w:val="0"/>
                <w:numId w:val="142"/>
              </w:numPr>
              <w:spacing w:line="240" w:lineRule="auto"/>
              <w:rPr>
                <w:sz w:val="20"/>
                <w:szCs w:val="22"/>
              </w:rPr>
            </w:pPr>
            <w:r w:rsidRPr="00311E0A">
              <w:rPr>
                <w:sz w:val="20"/>
                <w:szCs w:val="22"/>
              </w:rPr>
              <w:t xml:space="preserve">personal devices that can take images or videos (such as tablets, phones, digital cameras, and smart watches) and personal storage and file transfer media (such as SD cards, USB drives, hard drives, and cloud storage) cannot be in the possession of any person while providing education and care and working directly with children. </w:t>
            </w:r>
          </w:p>
          <w:p w14:paraId="3DF45332" w14:textId="05CD6572" w:rsidR="00232366" w:rsidRDefault="00311E0A" w:rsidP="006178E3">
            <w:pPr>
              <w:spacing w:after="0" w:line="240" w:lineRule="auto"/>
              <w:rPr>
                <w:sz w:val="20"/>
                <w:szCs w:val="22"/>
              </w:rPr>
            </w:pPr>
            <w:r w:rsidRPr="00311E0A">
              <w:rPr>
                <w:sz w:val="20"/>
                <w:szCs w:val="22"/>
              </w:rPr>
              <w:t>This amendment would be an offence provision with a penalty attached.</w:t>
            </w:r>
          </w:p>
          <w:p w14:paraId="43C060D9" w14:textId="77777777" w:rsidR="00232366" w:rsidRDefault="00232366" w:rsidP="006178E3">
            <w:pPr>
              <w:spacing w:after="0" w:line="240" w:lineRule="auto"/>
              <w:rPr>
                <w:sz w:val="20"/>
                <w:szCs w:val="22"/>
              </w:rPr>
            </w:pPr>
          </w:p>
          <w:p w14:paraId="18101F5C" w14:textId="30D5CD59" w:rsidR="006178E3" w:rsidRPr="00FF2AD4" w:rsidRDefault="00232366" w:rsidP="006178E3">
            <w:pPr>
              <w:spacing w:after="0" w:line="240" w:lineRule="auto"/>
              <w:rPr>
                <w:sz w:val="20"/>
                <w:szCs w:val="22"/>
              </w:rPr>
            </w:pPr>
            <w:r w:rsidRPr="00232366">
              <w:rPr>
                <w:sz w:val="20"/>
                <w:szCs w:val="22"/>
              </w:rPr>
              <w:t>This will apply to centre</w:t>
            </w:r>
            <w:r w:rsidR="004803B8">
              <w:rPr>
                <w:sz w:val="20"/>
                <w:szCs w:val="22"/>
              </w:rPr>
              <w:t>-</w:t>
            </w:r>
            <w:r w:rsidRPr="00232366">
              <w:rPr>
                <w:sz w:val="20"/>
                <w:szCs w:val="22"/>
              </w:rPr>
              <w:t>based, approved providers, nominated supervisors, and educators.</w:t>
            </w:r>
          </w:p>
        </w:tc>
        <w:tc>
          <w:tcPr>
            <w:tcW w:w="0" w:type="pct"/>
            <w:vAlign w:val="center"/>
          </w:tcPr>
          <w:p w14:paraId="3D8FDC85" w14:textId="1533AABF" w:rsidR="006178E3" w:rsidRPr="00FF2AD4" w:rsidRDefault="000E1333" w:rsidP="006178E3">
            <w:pPr>
              <w:spacing w:after="0" w:line="240" w:lineRule="auto"/>
              <w:rPr>
                <w:sz w:val="20"/>
                <w:szCs w:val="22"/>
              </w:rPr>
            </w:pPr>
            <w:r w:rsidRPr="000E1333">
              <w:rPr>
                <w:sz w:val="20"/>
                <w:szCs w:val="22"/>
              </w:rPr>
              <w:t>To be implemented in centre-based settings only, with excursions to be included as an exempt circumstance</w:t>
            </w:r>
            <w:r w:rsidR="00CD3EFA" w:rsidRPr="00CD3EFA">
              <w:rPr>
                <w:sz w:val="20"/>
                <w:szCs w:val="22"/>
              </w:rPr>
              <w:t>, and other potential exemptions to be considered.</w:t>
            </w:r>
          </w:p>
        </w:tc>
      </w:tr>
    </w:tbl>
    <w:p w14:paraId="040B08B2" w14:textId="77777777" w:rsidR="00390CE2" w:rsidRDefault="00390CE2" w:rsidP="00390CE2">
      <w:pPr>
        <w:rPr>
          <w:lang w:val="en-GB"/>
        </w:rPr>
      </w:pPr>
    </w:p>
    <w:p w14:paraId="3659588D" w14:textId="79FFA7C9" w:rsidR="00390CE2" w:rsidRDefault="00D500D9" w:rsidP="00390CE2">
      <w:pPr>
        <w:rPr>
          <w:lang w:val="en-GB"/>
        </w:rPr>
      </w:pPr>
      <w:r w:rsidRPr="00D500D9">
        <w:t xml:space="preserve">Based on analysis included in this DRIS, the options with the highest net benefit to be provided to Education Ministers for consideration are Options 2 and 3, with further clarity and definition regarding the scope of option 3. </w:t>
      </w:r>
      <w:r w:rsidR="00390CE2">
        <w:rPr>
          <w:lang w:val="en-GB"/>
        </w:rPr>
        <w:t xml:space="preserve">These options are selected on the basis that they would generate the largest net benefits to child safety outcomes, even after accounting for implementation costs.  </w:t>
      </w:r>
    </w:p>
    <w:p w14:paraId="1CA6E26E" w14:textId="77777777" w:rsidR="00390CE2" w:rsidRDefault="00390CE2" w:rsidP="00390CE2">
      <w:pPr>
        <w:spacing w:after="160" w:line="259" w:lineRule="auto"/>
        <w:rPr>
          <w:rFonts w:eastAsiaTheme="majorEastAsia" w:cstheme="majorBidi"/>
          <w:bCs/>
          <w:color w:val="006B77" w:themeColor="background2"/>
          <w:sz w:val="32"/>
          <w:szCs w:val="18"/>
          <w:lang w:val="en-GB"/>
        </w:rPr>
      </w:pPr>
      <w:r>
        <w:rPr>
          <w:lang w:val="en-GB"/>
        </w:rPr>
        <w:br w:type="page"/>
      </w:r>
    </w:p>
    <w:p w14:paraId="49495B32" w14:textId="77777777" w:rsidR="00390CE2" w:rsidRDefault="00390CE2" w:rsidP="00390CE2">
      <w:pPr>
        <w:pStyle w:val="Heading2"/>
        <w:rPr>
          <w:lang w:val="en-GB"/>
        </w:rPr>
      </w:pPr>
      <w:bookmarkStart w:id="12" w:name="_Toc203576927"/>
      <w:bookmarkStart w:id="13" w:name="_Toc205884866"/>
      <w:r>
        <w:rPr>
          <w:lang w:val="en-GB"/>
        </w:rPr>
        <w:lastRenderedPageBreak/>
        <w:t>Child Safety Training</w:t>
      </w:r>
      <w:bookmarkEnd w:id="12"/>
      <w:bookmarkEnd w:id="13"/>
    </w:p>
    <w:p w14:paraId="1E3C60B6" w14:textId="16E21FD8" w:rsidR="00390CE2" w:rsidRPr="00D942EF" w:rsidRDefault="00390CE2" w:rsidP="00390CE2">
      <w:pPr>
        <w:rPr>
          <w:lang w:val="en-GB"/>
        </w:rPr>
      </w:pPr>
      <w:r w:rsidRPr="00D942EF">
        <w:rPr>
          <w:lang w:val="en-GB"/>
        </w:rPr>
        <w:t xml:space="preserve">Child </w:t>
      </w:r>
      <w:r w:rsidR="004F5CEE">
        <w:rPr>
          <w:lang w:val="en-GB"/>
        </w:rPr>
        <w:t>s</w:t>
      </w:r>
      <w:r w:rsidRPr="00D942EF">
        <w:rPr>
          <w:lang w:val="en-GB"/>
        </w:rPr>
        <w:t xml:space="preserve">afety </w:t>
      </w:r>
      <w:r w:rsidR="004F5CEE">
        <w:rPr>
          <w:lang w:val="en-GB"/>
        </w:rPr>
        <w:t>t</w:t>
      </w:r>
      <w:r w:rsidRPr="00D942EF">
        <w:rPr>
          <w:lang w:val="en-GB"/>
        </w:rPr>
        <w:t xml:space="preserve">raining is discussed in further detail in </w:t>
      </w:r>
      <w:hyperlink w:anchor="_6._Child_safety" w:history="1">
        <w:r w:rsidR="004F5CEE" w:rsidRPr="008D1C61">
          <w:rPr>
            <w:rStyle w:val="Hyperlink"/>
            <w:lang w:val="en-GB"/>
          </w:rPr>
          <w:t>Chapter 6</w:t>
        </w:r>
      </w:hyperlink>
      <w:r w:rsidRPr="00D942EF">
        <w:rPr>
          <w:lang w:val="en-GB"/>
        </w:rPr>
        <w:t xml:space="preserve">. </w:t>
      </w:r>
    </w:p>
    <w:p w14:paraId="0D56EDE7" w14:textId="77777777" w:rsidR="00390CE2" w:rsidRPr="00D942EF" w:rsidRDefault="00390CE2" w:rsidP="00390CE2">
      <w:pPr>
        <w:pStyle w:val="Heading4un-numbered"/>
        <w:rPr>
          <w:lang w:val="en-GB"/>
        </w:rPr>
      </w:pPr>
      <w:r>
        <w:rPr>
          <w:lang w:val="en-GB"/>
        </w:rPr>
        <w:t xml:space="preserve">Introducing mandatory child safety training </w:t>
      </w:r>
    </w:p>
    <w:tbl>
      <w:tblPr>
        <w:tblStyle w:val="Box1"/>
        <w:tblW w:w="5000" w:type="pct"/>
        <w:tblCellMar>
          <w:top w:w="28" w:type="dxa"/>
          <w:bottom w:w="28" w:type="dxa"/>
        </w:tblCellMar>
        <w:tblLook w:val="04A0" w:firstRow="1" w:lastRow="0" w:firstColumn="1" w:lastColumn="0" w:noHBand="0" w:noVBand="1"/>
        <w:tblCaption w:val="Summary of recommended policy options to be provided to Education Ministers for consideration"/>
        <w:tblDescription w:val="Tis table describes the recommended options for introducing mandatory child safety training."/>
      </w:tblPr>
      <w:tblGrid>
        <w:gridCol w:w="6521"/>
        <w:gridCol w:w="2499"/>
      </w:tblGrid>
      <w:tr w:rsidR="0024160F" w14:paraId="68EF2284" w14:textId="77777777" w:rsidTr="00FF2AD4">
        <w:trPr>
          <w:cnfStyle w:val="100000000000" w:firstRow="1" w:lastRow="0" w:firstColumn="0" w:lastColumn="0" w:oddVBand="0" w:evenVBand="0" w:oddHBand="0" w:evenHBand="0" w:firstRowFirstColumn="0" w:firstRowLastColumn="0" w:lastRowFirstColumn="0" w:lastRowLastColumn="0"/>
        </w:trPr>
        <w:tc>
          <w:tcPr>
            <w:tcW w:w="3615" w:type="pct"/>
          </w:tcPr>
          <w:p w14:paraId="5AF16AD8" w14:textId="4AE8BA8D" w:rsidR="0024160F" w:rsidRPr="00FF2AD4" w:rsidRDefault="0024160F" w:rsidP="0024160F">
            <w:pPr>
              <w:spacing w:after="0" w:line="240" w:lineRule="auto"/>
              <w:rPr>
                <w:b/>
                <w:sz w:val="20"/>
                <w:szCs w:val="20"/>
              </w:rPr>
            </w:pPr>
            <w:r w:rsidRPr="00D64F62">
              <w:rPr>
                <w:b/>
                <w:sz w:val="20"/>
                <w:szCs w:val="20"/>
              </w:rPr>
              <w:t>Summary of recommended policy options to be provided to Education Ministers for consideration</w:t>
            </w:r>
          </w:p>
        </w:tc>
        <w:tc>
          <w:tcPr>
            <w:tcW w:w="1385" w:type="pct"/>
          </w:tcPr>
          <w:p w14:paraId="7A9CB596" w14:textId="5D49900F" w:rsidR="0024160F" w:rsidRPr="00FF2AD4" w:rsidRDefault="0024160F" w:rsidP="0024160F">
            <w:pPr>
              <w:spacing w:after="0" w:line="240" w:lineRule="auto"/>
              <w:rPr>
                <w:b/>
                <w:sz w:val="20"/>
                <w:szCs w:val="20"/>
              </w:rPr>
            </w:pPr>
            <w:r>
              <w:rPr>
                <w:b/>
                <w:sz w:val="20"/>
                <w:szCs w:val="20"/>
              </w:rPr>
              <w:t>Implementation approach</w:t>
            </w:r>
          </w:p>
        </w:tc>
      </w:tr>
      <w:tr w:rsidR="00FF2AD4" w14:paraId="7811F798" w14:textId="77777777" w:rsidTr="006464CA">
        <w:tc>
          <w:tcPr>
            <w:tcW w:w="3615" w:type="pct"/>
            <w:vAlign w:val="center"/>
          </w:tcPr>
          <w:p w14:paraId="447AB40B" w14:textId="3219B5E0" w:rsidR="00FF2AD4" w:rsidRPr="00FF2AD4" w:rsidRDefault="00FF2AD4" w:rsidP="00FF2AD4">
            <w:pPr>
              <w:spacing w:line="240" w:lineRule="auto"/>
              <w:rPr>
                <w:sz w:val="20"/>
                <w:szCs w:val="20"/>
              </w:rPr>
            </w:pPr>
            <w:r>
              <w:rPr>
                <w:b/>
                <w:sz w:val="20"/>
                <w:szCs w:val="20"/>
              </w:rPr>
              <w:t xml:space="preserve">Option 4 </w:t>
            </w:r>
            <w:r w:rsidR="008B695D">
              <w:rPr>
                <w:b/>
                <w:sz w:val="20"/>
                <w:szCs w:val="20"/>
              </w:rPr>
              <w:t>(</w:t>
            </w:r>
            <w:r w:rsidRPr="00FF2AD4">
              <w:rPr>
                <w:b/>
                <w:sz w:val="20"/>
                <w:szCs w:val="20"/>
              </w:rPr>
              <w:t>Regulatory</w:t>
            </w:r>
            <w:r w:rsidR="008B695D">
              <w:rPr>
                <w:b/>
                <w:sz w:val="20"/>
                <w:szCs w:val="20"/>
              </w:rPr>
              <w:t xml:space="preserve">): </w:t>
            </w:r>
            <w:r w:rsidRPr="00FF2AD4">
              <w:rPr>
                <w:sz w:val="20"/>
                <w:szCs w:val="20"/>
              </w:rPr>
              <w:t>Amend section 162A of the National Law to require staff who work with children, including FDC educators, volunteers and students, in addition to nominated supervisors, persons in day-to-day charge and FDC coordinators, to complete child protection training, removing the dependency on other jurisdictional law or government protocol.</w:t>
            </w:r>
          </w:p>
          <w:p w14:paraId="6F4F9BD6" w14:textId="3259D35A" w:rsidR="00FF2AD4" w:rsidRPr="00FF2AD4" w:rsidRDefault="00FF2AD4" w:rsidP="00FF2AD4">
            <w:pPr>
              <w:spacing w:after="0" w:line="240" w:lineRule="auto"/>
              <w:rPr>
                <w:sz w:val="20"/>
                <w:szCs w:val="20"/>
              </w:rPr>
            </w:pPr>
            <w:r w:rsidRPr="00FF2AD4">
              <w:rPr>
                <w:sz w:val="20"/>
                <w:szCs w:val="20"/>
              </w:rPr>
              <w:t>This would be supported by publication of an approved list of child protection training for the purposes of compliance with this section, as for first aid training (made up of national or state accredited units of competency or short courses) through amendment to regulation 137.</w:t>
            </w:r>
          </w:p>
        </w:tc>
        <w:tc>
          <w:tcPr>
            <w:tcW w:w="1385" w:type="pct"/>
            <w:vAlign w:val="center"/>
          </w:tcPr>
          <w:p w14:paraId="5C1A4D3D" w14:textId="07BAF22D" w:rsidR="00FF2AD4" w:rsidRPr="00FF2AD4" w:rsidRDefault="00FF2AD4" w:rsidP="00FF2AD4">
            <w:pPr>
              <w:spacing w:after="0" w:line="240" w:lineRule="auto"/>
              <w:rPr>
                <w:sz w:val="20"/>
                <w:szCs w:val="20"/>
              </w:rPr>
            </w:pPr>
            <w:r w:rsidRPr="00FF2AD4">
              <w:rPr>
                <w:sz w:val="20"/>
                <w:szCs w:val="20"/>
              </w:rPr>
              <w:t>To be implemented in full</w:t>
            </w:r>
          </w:p>
        </w:tc>
      </w:tr>
      <w:tr w:rsidR="00FF2AD4" w14:paraId="66E74FF6" w14:textId="77777777" w:rsidTr="006464CA">
        <w:tc>
          <w:tcPr>
            <w:tcW w:w="3615" w:type="pct"/>
            <w:vAlign w:val="center"/>
          </w:tcPr>
          <w:p w14:paraId="6B01B276" w14:textId="1094807C" w:rsidR="00FF2AD4" w:rsidRPr="00FF2AD4" w:rsidRDefault="008B695D" w:rsidP="00FF2AD4">
            <w:pPr>
              <w:spacing w:line="240" w:lineRule="auto"/>
              <w:rPr>
                <w:sz w:val="20"/>
                <w:szCs w:val="20"/>
              </w:rPr>
            </w:pPr>
            <w:r>
              <w:rPr>
                <w:b/>
                <w:sz w:val="20"/>
                <w:szCs w:val="20"/>
              </w:rPr>
              <w:t>Option 5 (</w:t>
            </w:r>
            <w:r w:rsidRPr="00FF2AD4">
              <w:rPr>
                <w:b/>
                <w:sz w:val="20"/>
                <w:szCs w:val="20"/>
              </w:rPr>
              <w:t>Regulatory</w:t>
            </w:r>
            <w:r>
              <w:rPr>
                <w:b/>
                <w:sz w:val="20"/>
                <w:szCs w:val="20"/>
              </w:rPr>
              <w:t xml:space="preserve">): </w:t>
            </w:r>
            <w:r w:rsidR="0009758D">
              <w:rPr>
                <w:sz w:val="20"/>
                <w:szCs w:val="20"/>
              </w:rPr>
              <w:t>To expand the requirement in</w:t>
            </w:r>
            <w:r w:rsidR="0009758D" w:rsidRPr="00FF2AD4">
              <w:rPr>
                <w:sz w:val="20"/>
                <w:szCs w:val="20"/>
              </w:rPr>
              <w:t xml:space="preserve"> </w:t>
            </w:r>
            <w:r w:rsidR="00FF2AD4" w:rsidRPr="00FF2AD4">
              <w:rPr>
                <w:sz w:val="20"/>
                <w:szCs w:val="20"/>
              </w:rPr>
              <w:t>regulation 84 so that all staff and volunteers, whether or not they work with children, must be made aware of:</w:t>
            </w:r>
          </w:p>
          <w:p w14:paraId="3B2838DA" w14:textId="77777777" w:rsidR="00FF2AD4" w:rsidRPr="00FF2AD4" w:rsidRDefault="00FF2AD4" w:rsidP="00EC53AB">
            <w:pPr>
              <w:pStyle w:val="ListParagraph"/>
              <w:numPr>
                <w:ilvl w:val="0"/>
                <w:numId w:val="2"/>
              </w:numPr>
              <w:spacing w:line="240" w:lineRule="auto"/>
              <w:rPr>
                <w:sz w:val="20"/>
                <w:szCs w:val="20"/>
              </w:rPr>
            </w:pPr>
            <w:r w:rsidRPr="00FF2AD4">
              <w:rPr>
                <w:sz w:val="20"/>
                <w:szCs w:val="20"/>
              </w:rPr>
              <w:t>existence and application of the current child protection law</w:t>
            </w:r>
          </w:p>
          <w:p w14:paraId="1119D0E6" w14:textId="77777777" w:rsidR="00FF2AD4" w:rsidRPr="00FF2AD4" w:rsidRDefault="00FF2AD4" w:rsidP="00EC53AB">
            <w:pPr>
              <w:pStyle w:val="ListParagraph"/>
              <w:numPr>
                <w:ilvl w:val="0"/>
                <w:numId w:val="2"/>
              </w:numPr>
              <w:spacing w:line="240" w:lineRule="auto"/>
              <w:rPr>
                <w:sz w:val="20"/>
                <w:szCs w:val="20"/>
              </w:rPr>
            </w:pPr>
            <w:r w:rsidRPr="00FF2AD4">
              <w:rPr>
                <w:sz w:val="20"/>
                <w:szCs w:val="20"/>
              </w:rPr>
              <w:t>any obligations that the person may have under that law.</w:t>
            </w:r>
          </w:p>
          <w:p w14:paraId="64548BA3" w14:textId="266FC8E5" w:rsidR="00FF2AD4" w:rsidRPr="00FF2AD4" w:rsidRDefault="00FF2AD4" w:rsidP="00FF2AD4">
            <w:pPr>
              <w:spacing w:after="0" w:line="240" w:lineRule="auto"/>
              <w:rPr>
                <w:sz w:val="20"/>
                <w:szCs w:val="20"/>
              </w:rPr>
            </w:pPr>
            <w:r w:rsidRPr="00FF2AD4">
              <w:rPr>
                <w:sz w:val="20"/>
                <w:szCs w:val="20"/>
              </w:rPr>
              <w:t>(i.e. remove the limitation to staff who work with children)</w:t>
            </w:r>
          </w:p>
        </w:tc>
        <w:tc>
          <w:tcPr>
            <w:tcW w:w="1385" w:type="pct"/>
            <w:vAlign w:val="center"/>
          </w:tcPr>
          <w:p w14:paraId="1A7DCB27" w14:textId="647DD3ED" w:rsidR="00FF2AD4" w:rsidRPr="00FF2AD4" w:rsidRDefault="00FF2AD4" w:rsidP="00FF2AD4">
            <w:pPr>
              <w:spacing w:after="0" w:line="240" w:lineRule="auto"/>
              <w:rPr>
                <w:sz w:val="20"/>
                <w:szCs w:val="20"/>
              </w:rPr>
            </w:pPr>
            <w:r w:rsidRPr="00FF2AD4">
              <w:rPr>
                <w:sz w:val="20"/>
                <w:szCs w:val="20"/>
              </w:rPr>
              <w:t>To be implemented in full</w:t>
            </w:r>
          </w:p>
        </w:tc>
      </w:tr>
      <w:tr w:rsidR="00FF2AD4" w14:paraId="372BD738" w14:textId="77777777" w:rsidTr="006464CA">
        <w:tc>
          <w:tcPr>
            <w:tcW w:w="3615" w:type="pct"/>
            <w:vAlign w:val="center"/>
          </w:tcPr>
          <w:p w14:paraId="0625F3FD" w14:textId="37037DDC" w:rsidR="00FF2AD4" w:rsidRPr="00FF2AD4" w:rsidRDefault="008B695D" w:rsidP="00FF2AD4">
            <w:pPr>
              <w:spacing w:line="240" w:lineRule="auto"/>
              <w:rPr>
                <w:sz w:val="20"/>
                <w:szCs w:val="20"/>
              </w:rPr>
            </w:pPr>
            <w:r>
              <w:rPr>
                <w:b/>
                <w:sz w:val="20"/>
                <w:szCs w:val="20"/>
              </w:rPr>
              <w:t>Option 6 (</w:t>
            </w:r>
            <w:r w:rsidRPr="00FF2AD4">
              <w:rPr>
                <w:b/>
                <w:sz w:val="20"/>
                <w:szCs w:val="20"/>
              </w:rPr>
              <w:t>Regulatory</w:t>
            </w:r>
            <w:r>
              <w:rPr>
                <w:b/>
                <w:sz w:val="20"/>
                <w:szCs w:val="20"/>
              </w:rPr>
              <w:t xml:space="preserve">): </w:t>
            </w:r>
            <w:r w:rsidR="00FF2AD4" w:rsidRPr="00FF2AD4">
              <w:rPr>
                <w:sz w:val="20"/>
                <w:szCs w:val="20"/>
              </w:rPr>
              <w:t>Legislative change to require:</w:t>
            </w:r>
          </w:p>
          <w:p w14:paraId="790DF4CB" w14:textId="77777777" w:rsidR="00FF2AD4" w:rsidRPr="00FF2AD4" w:rsidRDefault="00FF2AD4" w:rsidP="00EC53AB">
            <w:pPr>
              <w:pStyle w:val="ListParagraph"/>
              <w:numPr>
                <w:ilvl w:val="0"/>
                <w:numId w:val="13"/>
              </w:numPr>
              <w:spacing w:line="240" w:lineRule="auto"/>
              <w:rPr>
                <w:sz w:val="20"/>
                <w:szCs w:val="20"/>
              </w:rPr>
            </w:pPr>
            <w:r w:rsidRPr="00FF2AD4">
              <w:rPr>
                <w:sz w:val="20"/>
                <w:szCs w:val="20"/>
              </w:rPr>
              <w:t>Mandatory child safety training.</w:t>
            </w:r>
          </w:p>
          <w:p w14:paraId="2774FF51" w14:textId="7528D0D2" w:rsidR="00FF2AD4" w:rsidRPr="00FF2AD4" w:rsidRDefault="00FF2AD4" w:rsidP="00FF2AD4">
            <w:pPr>
              <w:spacing w:line="240" w:lineRule="auto"/>
              <w:rPr>
                <w:sz w:val="20"/>
                <w:szCs w:val="20"/>
              </w:rPr>
            </w:pPr>
            <w:r w:rsidRPr="00FF2AD4">
              <w:rPr>
                <w:sz w:val="20"/>
                <w:szCs w:val="20"/>
              </w:rPr>
              <w:t xml:space="preserve">Which is nationally consistent, </w:t>
            </w:r>
            <w:r w:rsidR="0009758D">
              <w:rPr>
                <w:sz w:val="20"/>
                <w:szCs w:val="20"/>
              </w:rPr>
              <w:t xml:space="preserve">approved, </w:t>
            </w:r>
            <w:r w:rsidRPr="00FF2AD4">
              <w:rPr>
                <w:sz w:val="20"/>
                <w:szCs w:val="20"/>
              </w:rPr>
              <w:t>of a high quality, and tailored for all people involved in the provision of education and care services (including people who do not directly work with children), with a requirement to complete refresher training every two years.</w:t>
            </w:r>
          </w:p>
          <w:p w14:paraId="4E738BBC" w14:textId="77777777" w:rsidR="00FF2AD4" w:rsidRPr="00FF2AD4" w:rsidRDefault="00FF2AD4" w:rsidP="00FF2AD4">
            <w:pPr>
              <w:spacing w:line="240" w:lineRule="auto"/>
              <w:rPr>
                <w:sz w:val="20"/>
                <w:szCs w:val="20"/>
              </w:rPr>
            </w:pPr>
            <w:r w:rsidRPr="00FF2AD4">
              <w:rPr>
                <w:sz w:val="20"/>
                <w:szCs w:val="20"/>
              </w:rPr>
              <w:t>This change should be subject to governments undertaking further research, costing and impact analysis of any proposed training and the implementation approach.</w:t>
            </w:r>
          </w:p>
          <w:p w14:paraId="41C485CF" w14:textId="77777777" w:rsidR="00FF2AD4" w:rsidRPr="00FF2AD4" w:rsidRDefault="00FF2AD4" w:rsidP="00FF2AD4">
            <w:pPr>
              <w:spacing w:line="240" w:lineRule="auto"/>
              <w:rPr>
                <w:sz w:val="20"/>
                <w:szCs w:val="20"/>
              </w:rPr>
            </w:pPr>
            <w:r w:rsidRPr="00FF2AD4">
              <w:rPr>
                <w:sz w:val="20"/>
                <w:szCs w:val="20"/>
              </w:rPr>
              <w:t>Mandatory child safety training may feature matters including, but not limited to:</w:t>
            </w:r>
          </w:p>
          <w:p w14:paraId="2B4E4039" w14:textId="77777777" w:rsidR="00FF2AD4" w:rsidRPr="00FF2AD4" w:rsidRDefault="00FF2AD4" w:rsidP="00EC53AB">
            <w:pPr>
              <w:pStyle w:val="ListParagraph"/>
              <w:numPr>
                <w:ilvl w:val="0"/>
                <w:numId w:val="2"/>
              </w:numPr>
              <w:spacing w:line="240" w:lineRule="auto"/>
              <w:rPr>
                <w:sz w:val="20"/>
                <w:szCs w:val="20"/>
              </w:rPr>
            </w:pPr>
            <w:r w:rsidRPr="00FF2AD4">
              <w:rPr>
                <w:sz w:val="20"/>
                <w:szCs w:val="20"/>
              </w:rPr>
              <w:t>creating a child safe culture in education and care services</w:t>
            </w:r>
          </w:p>
          <w:p w14:paraId="7402A55E" w14:textId="77777777" w:rsidR="00FF2AD4" w:rsidRPr="00FF2AD4" w:rsidRDefault="00FF2AD4" w:rsidP="00EC53AB">
            <w:pPr>
              <w:pStyle w:val="ListParagraph"/>
              <w:numPr>
                <w:ilvl w:val="0"/>
                <w:numId w:val="2"/>
              </w:numPr>
              <w:spacing w:line="240" w:lineRule="auto"/>
              <w:rPr>
                <w:sz w:val="20"/>
                <w:szCs w:val="20"/>
              </w:rPr>
            </w:pPr>
            <w:r w:rsidRPr="00FF2AD4">
              <w:rPr>
                <w:sz w:val="20"/>
                <w:szCs w:val="20"/>
              </w:rPr>
              <w:t>identifying, reporting, and responding to child maltreatment through trauma informed practice</w:t>
            </w:r>
          </w:p>
          <w:p w14:paraId="248EFF1C" w14:textId="77777777" w:rsidR="00FF2AD4" w:rsidRPr="00FF2AD4" w:rsidRDefault="00FF2AD4" w:rsidP="00EC53AB">
            <w:pPr>
              <w:pStyle w:val="ListParagraph"/>
              <w:numPr>
                <w:ilvl w:val="0"/>
                <w:numId w:val="2"/>
              </w:numPr>
              <w:spacing w:line="240" w:lineRule="auto"/>
              <w:rPr>
                <w:sz w:val="20"/>
                <w:szCs w:val="20"/>
              </w:rPr>
            </w:pPr>
            <w:r w:rsidRPr="00FF2AD4">
              <w:rPr>
                <w:sz w:val="20"/>
                <w:szCs w:val="20"/>
              </w:rPr>
              <w:t>differences in behaviour and responding appropriately, along with identifying grooming behaviour in children and adults around them</w:t>
            </w:r>
          </w:p>
          <w:p w14:paraId="7BAE9897" w14:textId="77777777" w:rsidR="00E51CDB" w:rsidRDefault="00FF2AD4" w:rsidP="00EC53AB">
            <w:pPr>
              <w:pStyle w:val="ListParagraph"/>
              <w:numPr>
                <w:ilvl w:val="0"/>
                <w:numId w:val="2"/>
              </w:numPr>
              <w:spacing w:line="240" w:lineRule="auto"/>
              <w:rPr>
                <w:sz w:val="20"/>
                <w:szCs w:val="20"/>
              </w:rPr>
            </w:pPr>
            <w:r w:rsidRPr="00FF2AD4">
              <w:rPr>
                <w:sz w:val="20"/>
                <w:szCs w:val="20"/>
              </w:rPr>
              <w:t>understanding the difference between developmentally expected sexual behaviour and concerning or harmful behaviour by children or between children</w:t>
            </w:r>
          </w:p>
          <w:p w14:paraId="52F3846E" w14:textId="324E2A04" w:rsidR="00FF2AD4" w:rsidRPr="00E51CDB" w:rsidRDefault="00FF2AD4" w:rsidP="00EC53AB">
            <w:pPr>
              <w:pStyle w:val="ListParagraph"/>
              <w:numPr>
                <w:ilvl w:val="0"/>
                <w:numId w:val="2"/>
              </w:numPr>
              <w:spacing w:line="240" w:lineRule="auto"/>
              <w:rPr>
                <w:sz w:val="20"/>
                <w:szCs w:val="20"/>
              </w:rPr>
            </w:pPr>
            <w:r w:rsidRPr="00E51CDB">
              <w:rPr>
                <w:sz w:val="20"/>
                <w:szCs w:val="20"/>
              </w:rPr>
              <w:t>effective supervision and behaviour guidance, including the offence of using inappropriate discipline, and potentially inappropriate conduct (refer to Chapter 7.1).</w:t>
            </w:r>
          </w:p>
        </w:tc>
        <w:tc>
          <w:tcPr>
            <w:tcW w:w="1385" w:type="pct"/>
            <w:vAlign w:val="center"/>
          </w:tcPr>
          <w:p w14:paraId="632C57A9" w14:textId="030AD2DC" w:rsidR="00FF2AD4" w:rsidRPr="00FF2AD4" w:rsidRDefault="00FF2AD4" w:rsidP="00FF2AD4">
            <w:pPr>
              <w:spacing w:after="0" w:line="240" w:lineRule="auto"/>
              <w:rPr>
                <w:sz w:val="20"/>
                <w:szCs w:val="20"/>
                <w:lang w:bidi="th-TH"/>
              </w:rPr>
            </w:pPr>
            <w:r w:rsidRPr="00FF2AD4">
              <w:rPr>
                <w:sz w:val="20"/>
                <w:szCs w:val="20"/>
              </w:rPr>
              <w:t>To be implemented in full</w:t>
            </w:r>
          </w:p>
        </w:tc>
      </w:tr>
    </w:tbl>
    <w:p w14:paraId="27EC5D9B" w14:textId="77777777" w:rsidR="00390CE2" w:rsidRPr="00DA5C60" w:rsidRDefault="00390CE2" w:rsidP="00390CE2">
      <w:pPr>
        <w:rPr>
          <w:lang w:val="en-GB"/>
        </w:rPr>
      </w:pPr>
    </w:p>
    <w:p w14:paraId="0B89AD54" w14:textId="6C998C5D" w:rsidR="00390CE2" w:rsidRPr="009E7F1C" w:rsidRDefault="0053569E" w:rsidP="009E7F1C">
      <w:pPr>
        <w:spacing w:after="160"/>
      </w:pPr>
      <w:r w:rsidRPr="0053569E">
        <w:lastRenderedPageBreak/>
        <w:t>Based on analysis included in this DRIS, the options with the highest net benefit to be provided to Education Ministers for consideration are the regulatory options 4, 5, and 6. These options introduce the highest standards of child protection knowledge and training and child safety training and will provide a nationally consistent approach and expectation across the whole education and care sector.</w:t>
      </w:r>
      <w:r>
        <w:t xml:space="preserve"> </w:t>
      </w:r>
      <w:r w:rsidR="00390CE2">
        <w:t xml:space="preserve">While there is strong in-principle support for regulatory options, stakeholder feedback highlighted a range of considerations that would need to be taken into account in implementing these options. </w:t>
      </w:r>
      <w:r w:rsidR="00390CE2" w:rsidRPr="005C692E">
        <w:t xml:space="preserve">If these options are implemented, </w:t>
      </w:r>
      <w:r w:rsidR="009E7F1C">
        <w:t>state and territory governments would need to</w:t>
      </w:r>
      <w:r w:rsidR="00390CE2" w:rsidRPr="005C692E">
        <w:t xml:space="preserve"> undertake additional work to provide greater clarity on the scope, scale</w:t>
      </w:r>
      <w:r w:rsidR="00390CE2">
        <w:t>, content</w:t>
      </w:r>
      <w:r w:rsidR="00390CE2" w:rsidRPr="005C692E">
        <w:t xml:space="preserve"> and </w:t>
      </w:r>
      <w:r w:rsidR="00390CE2">
        <w:t>format</w:t>
      </w:r>
      <w:r w:rsidR="00390CE2" w:rsidRPr="005C692E">
        <w:t xml:space="preserve"> of child safety and child protection training.</w:t>
      </w:r>
      <w:r w:rsidR="00390CE2">
        <w:rPr>
          <w:lang w:val="en-GB"/>
        </w:rPr>
        <w:br w:type="page"/>
      </w:r>
    </w:p>
    <w:p w14:paraId="3BCB2D7B" w14:textId="77777777" w:rsidR="00390CE2" w:rsidRDefault="00390CE2" w:rsidP="00390CE2">
      <w:pPr>
        <w:pStyle w:val="Heading2"/>
        <w:rPr>
          <w:lang w:val="en-GB"/>
        </w:rPr>
      </w:pPr>
      <w:bookmarkStart w:id="14" w:name="_Toc203576928"/>
      <w:bookmarkStart w:id="15" w:name="_Toc205884867"/>
      <w:r>
        <w:rPr>
          <w:lang w:val="en-GB"/>
        </w:rPr>
        <w:lastRenderedPageBreak/>
        <w:t>Responding to educator and staff member conduct</w:t>
      </w:r>
      <w:bookmarkEnd w:id="14"/>
      <w:bookmarkEnd w:id="15"/>
    </w:p>
    <w:p w14:paraId="7C9CA9D6" w14:textId="6CBF1483" w:rsidR="00390CE2" w:rsidRDefault="00390CE2" w:rsidP="00390CE2">
      <w:pPr>
        <w:rPr>
          <w:lang w:val="en-GB"/>
        </w:rPr>
      </w:pPr>
      <w:r w:rsidRPr="00D942EF">
        <w:rPr>
          <w:lang w:val="en-GB"/>
        </w:rPr>
        <w:t>Responding to educator and staff member conduct</w:t>
      </w:r>
      <w:r>
        <w:rPr>
          <w:lang w:val="en-GB"/>
        </w:rPr>
        <w:t xml:space="preserve"> </w:t>
      </w:r>
      <w:r w:rsidRPr="00D942EF">
        <w:rPr>
          <w:lang w:val="en-GB"/>
        </w:rPr>
        <w:t xml:space="preserve">is discussed in further detail in </w:t>
      </w:r>
      <w:hyperlink w:anchor="_7._Responding_to" w:history="1">
        <w:r w:rsidR="000D66B2" w:rsidRPr="008D1C61">
          <w:rPr>
            <w:rStyle w:val="Hyperlink"/>
            <w:lang w:val="en-GB"/>
          </w:rPr>
          <w:t>Chapter 7</w:t>
        </w:r>
      </w:hyperlink>
      <w:r w:rsidR="000D66B2">
        <w:rPr>
          <w:lang w:val="en-GB"/>
        </w:rPr>
        <w:t>.</w:t>
      </w:r>
      <w:r w:rsidRPr="00D942EF">
        <w:rPr>
          <w:lang w:val="en-GB"/>
        </w:rPr>
        <w:t xml:space="preserve"> </w:t>
      </w:r>
    </w:p>
    <w:p w14:paraId="212C7500" w14:textId="77777777" w:rsidR="00390CE2" w:rsidRDefault="00390CE2" w:rsidP="00390CE2">
      <w:pPr>
        <w:pStyle w:val="Heading4"/>
        <w:rPr>
          <w:lang w:val="en-GB"/>
        </w:rPr>
      </w:pPr>
      <w:r>
        <w:rPr>
          <w:lang w:val="en-GB"/>
        </w:rPr>
        <w:t>Making inappropriate conduct an offence</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making inappropriate conduct an offence."/>
      </w:tblPr>
      <w:tblGrid>
        <w:gridCol w:w="6386"/>
        <w:gridCol w:w="2641"/>
      </w:tblGrid>
      <w:tr w:rsidR="0024160F" w14:paraId="32F4E2F2" w14:textId="77777777">
        <w:trPr>
          <w:cnfStyle w:val="100000000000" w:firstRow="1" w:lastRow="0" w:firstColumn="0" w:lastColumn="0" w:oddVBand="0" w:evenVBand="0" w:oddHBand="0" w:evenHBand="0" w:firstRowFirstColumn="0" w:firstRowLastColumn="0" w:lastRowFirstColumn="0" w:lastRowLastColumn="0"/>
        </w:trPr>
        <w:tc>
          <w:tcPr>
            <w:tcW w:w="3537" w:type="pct"/>
          </w:tcPr>
          <w:p w14:paraId="41913706" w14:textId="6A286B4F" w:rsidR="0024160F" w:rsidRPr="008B695D"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463" w:type="pct"/>
          </w:tcPr>
          <w:p w14:paraId="7AF8B998" w14:textId="2BA9AA10" w:rsidR="0024160F" w:rsidRPr="008B695D" w:rsidRDefault="0024160F" w:rsidP="0024160F">
            <w:pPr>
              <w:spacing w:line="240" w:lineRule="auto"/>
              <w:rPr>
                <w:sz w:val="20"/>
                <w:szCs w:val="20"/>
              </w:rPr>
            </w:pPr>
            <w:r>
              <w:rPr>
                <w:b/>
                <w:sz w:val="20"/>
                <w:szCs w:val="20"/>
              </w:rPr>
              <w:t>Implementation approach</w:t>
            </w:r>
          </w:p>
        </w:tc>
      </w:tr>
      <w:tr w:rsidR="00390CE2" w14:paraId="641A6ECF" w14:textId="77777777">
        <w:trPr>
          <w:trHeight w:val="1160"/>
        </w:trPr>
        <w:tc>
          <w:tcPr>
            <w:tcW w:w="3537" w:type="pct"/>
          </w:tcPr>
          <w:p w14:paraId="77B338F3" w14:textId="1DEC0967" w:rsidR="00390CE2" w:rsidRPr="008B695D" w:rsidRDefault="00390CE2">
            <w:pPr>
              <w:spacing w:after="0" w:line="240" w:lineRule="auto"/>
              <w:textAlignment w:val="center"/>
              <w:rPr>
                <w:rFonts w:ascii="Times New Roman" w:eastAsia="Times New Roman" w:hAnsi="Times New Roman" w:cs="Times New Roman"/>
                <w:sz w:val="20"/>
                <w:szCs w:val="20"/>
                <w:lang w:eastAsia="en-GB"/>
              </w:rPr>
            </w:pPr>
            <w:r w:rsidRPr="008B695D">
              <w:rPr>
                <w:rFonts w:eastAsia="+mn-ea" w:cs="+mn-cs"/>
                <w:b/>
                <w:color w:val="181717"/>
                <w:kern w:val="24"/>
                <w:sz w:val="20"/>
                <w:szCs w:val="20"/>
                <w:lang w:eastAsia="en-GB"/>
              </w:rPr>
              <w:t>Option 2 (Non-regulatory)</w:t>
            </w:r>
            <w:r w:rsidR="008B695D">
              <w:rPr>
                <w:rFonts w:eastAsia="+mn-ea" w:cs="+mn-cs"/>
                <w:b/>
                <w:color w:val="181717"/>
                <w:kern w:val="24"/>
                <w:sz w:val="20"/>
                <w:szCs w:val="20"/>
                <w:lang w:eastAsia="en-GB"/>
              </w:rPr>
              <w:t xml:space="preserve">: </w:t>
            </w:r>
            <w:r w:rsidRPr="008B695D">
              <w:rPr>
                <w:rFonts w:eastAsia="+mn-ea" w:cs="+mn-cs"/>
                <w:color w:val="181717"/>
                <w:kern w:val="24"/>
                <w:sz w:val="20"/>
                <w:szCs w:val="20"/>
                <w:lang w:eastAsia="en-GB"/>
              </w:rPr>
              <w:t>Develop more communications and resources on encouraging approved providers to address appropriate and inappropriate conduct within their contracts of employment, Code of Conduct and policies and procedures required under regulation 168(2) of the National Regulations.</w:t>
            </w:r>
          </w:p>
        </w:tc>
        <w:tc>
          <w:tcPr>
            <w:tcW w:w="1463" w:type="pct"/>
          </w:tcPr>
          <w:p w14:paraId="319CB6B8" w14:textId="77777777" w:rsidR="00390CE2" w:rsidRPr="008B695D" w:rsidRDefault="00390CE2">
            <w:pPr>
              <w:rPr>
                <w:sz w:val="20"/>
                <w:szCs w:val="20"/>
              </w:rPr>
            </w:pPr>
            <w:r w:rsidRPr="008B695D">
              <w:rPr>
                <w:sz w:val="20"/>
                <w:szCs w:val="20"/>
              </w:rPr>
              <w:t>To be implemented in full</w:t>
            </w:r>
          </w:p>
        </w:tc>
      </w:tr>
      <w:tr w:rsidR="00390CE2" w14:paraId="29DC8A07" w14:textId="77777777">
        <w:trPr>
          <w:trHeight w:val="2651"/>
        </w:trPr>
        <w:tc>
          <w:tcPr>
            <w:tcW w:w="3537" w:type="pct"/>
          </w:tcPr>
          <w:p w14:paraId="6519DD5A" w14:textId="5550E665" w:rsidR="00390CE2" w:rsidRPr="008B695D" w:rsidRDefault="00390CE2">
            <w:pPr>
              <w:spacing w:after="0" w:line="240" w:lineRule="auto"/>
              <w:rPr>
                <w:sz w:val="20"/>
                <w:szCs w:val="20"/>
              </w:rPr>
            </w:pPr>
            <w:r w:rsidRPr="008B695D">
              <w:rPr>
                <w:b/>
                <w:sz w:val="20"/>
                <w:szCs w:val="20"/>
                <w:lang w:bidi="th-TH"/>
              </w:rPr>
              <w:t>Option 3 (Regulatory)</w:t>
            </w:r>
            <w:r w:rsidR="008B695D">
              <w:rPr>
                <w:b/>
                <w:sz w:val="20"/>
                <w:szCs w:val="20"/>
                <w:lang w:bidi="th-TH"/>
              </w:rPr>
              <w:t>:</w:t>
            </w:r>
            <w:r w:rsidRPr="008B695D">
              <w:rPr>
                <w:sz w:val="20"/>
                <w:szCs w:val="20"/>
              </w:rPr>
              <w:t xml:space="preserve"> Amend the National Law to introduce ‘inappropriate conduct’ as an offence applicable to approved providers, nominated supervisors, educators, other staff members, volunteers and FDC educators as follows: </w:t>
            </w:r>
          </w:p>
          <w:p w14:paraId="2C4DC3F3" w14:textId="77777777" w:rsidR="00390CE2" w:rsidRPr="008B695D" w:rsidRDefault="00390CE2" w:rsidP="00EC53AB">
            <w:pPr>
              <w:pStyle w:val="ListParagraph"/>
              <w:numPr>
                <w:ilvl w:val="0"/>
                <w:numId w:val="101"/>
              </w:numPr>
              <w:spacing w:after="0" w:line="240" w:lineRule="auto"/>
              <w:rPr>
                <w:sz w:val="20"/>
                <w:szCs w:val="20"/>
              </w:rPr>
            </w:pPr>
            <w:r w:rsidRPr="008B695D">
              <w:rPr>
                <w:sz w:val="20"/>
                <w:szCs w:val="20"/>
              </w:rPr>
              <w:t>The approved provider and a nominated supervisor must ensure that no child being educated and cared for by the service is subjected to any form of inappropriate conduct</w:t>
            </w:r>
          </w:p>
          <w:p w14:paraId="3E631D97" w14:textId="77777777" w:rsidR="00390CE2" w:rsidRPr="008B695D" w:rsidRDefault="00390CE2">
            <w:pPr>
              <w:spacing w:after="0" w:line="240" w:lineRule="auto"/>
              <w:rPr>
                <w:sz w:val="20"/>
                <w:szCs w:val="20"/>
              </w:rPr>
            </w:pPr>
            <w:r w:rsidRPr="008B695D">
              <w:rPr>
                <w:sz w:val="20"/>
                <w:szCs w:val="20"/>
              </w:rPr>
              <w:t xml:space="preserve">and </w:t>
            </w:r>
          </w:p>
          <w:p w14:paraId="7B72FB4D" w14:textId="77777777" w:rsidR="00390CE2" w:rsidRPr="008B695D" w:rsidRDefault="00390CE2" w:rsidP="00EC53AB">
            <w:pPr>
              <w:pStyle w:val="ListParagraph"/>
              <w:numPr>
                <w:ilvl w:val="0"/>
                <w:numId w:val="101"/>
              </w:numPr>
              <w:spacing w:after="0" w:line="240" w:lineRule="auto"/>
              <w:rPr>
                <w:sz w:val="20"/>
                <w:szCs w:val="20"/>
              </w:rPr>
            </w:pPr>
            <w:r w:rsidRPr="008B695D">
              <w:rPr>
                <w:sz w:val="20"/>
                <w:szCs w:val="20"/>
              </w:rPr>
              <w:t>A staff member of, or volunteer at an education and care service, or FDC educator must not subject any child being educated and cared for by the service to any form of inappropriate conduct.</w:t>
            </w:r>
          </w:p>
        </w:tc>
        <w:tc>
          <w:tcPr>
            <w:tcW w:w="1463" w:type="pct"/>
          </w:tcPr>
          <w:p w14:paraId="051FA3D3" w14:textId="2C11BD49" w:rsidR="00390CE2" w:rsidRPr="008B695D" w:rsidRDefault="00087763" w:rsidP="00680113">
            <w:pPr>
              <w:spacing w:line="240" w:lineRule="auto"/>
              <w:rPr>
                <w:sz w:val="20"/>
                <w:szCs w:val="20"/>
              </w:rPr>
            </w:pPr>
            <w:r w:rsidRPr="00087763">
              <w:rPr>
                <w:sz w:val="20"/>
                <w:szCs w:val="20"/>
              </w:rPr>
              <w:t xml:space="preserve">To be implemented in full, with definition of inappropriate conduct to be </w:t>
            </w:r>
            <w:r w:rsidR="0009758D">
              <w:rPr>
                <w:sz w:val="20"/>
                <w:szCs w:val="20"/>
              </w:rPr>
              <w:t>determined</w:t>
            </w:r>
          </w:p>
        </w:tc>
      </w:tr>
    </w:tbl>
    <w:p w14:paraId="0CA8071D" w14:textId="77777777" w:rsidR="00390CE2" w:rsidRPr="002A010D" w:rsidRDefault="00390CE2" w:rsidP="00390CE2">
      <w:pPr>
        <w:rPr>
          <w:lang w:val="en-GB"/>
        </w:rPr>
      </w:pPr>
    </w:p>
    <w:p w14:paraId="25258B79" w14:textId="7A2A2BF0" w:rsidR="00390CE2" w:rsidRDefault="009E7F1C" w:rsidP="00390CE2">
      <w:r w:rsidRPr="009E7F1C">
        <w:t>Based on analysis included in this DRIS, the options with the highest net benefit to be provided to Education Ministers for consideration are options 2 and 3. This is on the basis that these options would most improve child safety by strengthening the responses available for inappropriate conduct.</w:t>
      </w:r>
      <w:r>
        <w:t xml:space="preserve"> S</w:t>
      </w:r>
      <w:r w:rsidRPr="009E7F1C">
        <w:t>tate and territory governments would need to</w:t>
      </w:r>
      <w:r w:rsidR="00390CE2" w:rsidRPr="001E09E2">
        <w:t xml:space="preserve"> </w:t>
      </w:r>
      <w:r>
        <w:t>undertake further policy work to</w:t>
      </w:r>
      <w:r w:rsidR="00390CE2" w:rsidRPr="001E09E2">
        <w:t xml:space="preserve"> </w:t>
      </w:r>
      <w:r w:rsidR="004803B8">
        <w:t>determine</w:t>
      </w:r>
      <w:r w:rsidR="004803B8" w:rsidRPr="001E09E2">
        <w:t xml:space="preserve"> </w:t>
      </w:r>
      <w:r w:rsidR="00390CE2" w:rsidRPr="001E09E2">
        <w:t>the specific definitions and design of any legislative instrument to prescribe inappropriate conduct as an offence</w:t>
      </w:r>
      <w:r w:rsidR="00390CE2">
        <w:t xml:space="preserve">. </w:t>
      </w:r>
    </w:p>
    <w:p w14:paraId="2C6473AE" w14:textId="77777777" w:rsidR="00390CE2" w:rsidRDefault="00390CE2" w:rsidP="00390CE2"/>
    <w:p w14:paraId="24B6A212" w14:textId="77777777" w:rsidR="00390CE2" w:rsidRDefault="00390CE2" w:rsidP="00390CE2"/>
    <w:p w14:paraId="0D744770" w14:textId="77777777" w:rsidR="00390CE2" w:rsidRDefault="00390CE2" w:rsidP="00390CE2"/>
    <w:p w14:paraId="1087F343" w14:textId="77777777" w:rsidR="00E51CDB" w:rsidRDefault="00E51CDB">
      <w:pPr>
        <w:spacing w:after="160" w:line="259" w:lineRule="auto"/>
        <w:rPr>
          <w:rFonts w:cs="Arial"/>
          <w:b/>
          <w:bCs/>
          <w:i/>
          <w:iCs/>
          <w:color w:val="006B77"/>
          <w:szCs w:val="20"/>
          <w:lang w:val="en-GB"/>
        </w:rPr>
      </w:pPr>
      <w:r>
        <w:rPr>
          <w:lang w:val="en-GB"/>
        </w:rPr>
        <w:br w:type="page"/>
      </w:r>
    </w:p>
    <w:p w14:paraId="40E53E52" w14:textId="458EC0D1" w:rsidR="00390CE2" w:rsidRPr="002D044B" w:rsidRDefault="00390CE2" w:rsidP="00390CE2">
      <w:pPr>
        <w:pStyle w:val="Heading4"/>
        <w:rPr>
          <w:lang w:val="en-GB"/>
        </w:rPr>
      </w:pPr>
      <w:r w:rsidRPr="002D044B">
        <w:rPr>
          <w:lang w:val="en-GB"/>
        </w:rPr>
        <w:lastRenderedPageBreak/>
        <w:t xml:space="preserve">Enhancing Regulatory Authorities’ ability to share information with approved providers </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enhancing Regulatory Authorities’ ability to share information with approved providers."/>
      </w:tblPr>
      <w:tblGrid>
        <w:gridCol w:w="6386"/>
        <w:gridCol w:w="2641"/>
      </w:tblGrid>
      <w:tr w:rsidR="0024160F" w14:paraId="54B1777E" w14:textId="77777777">
        <w:trPr>
          <w:cnfStyle w:val="100000000000" w:firstRow="1" w:lastRow="0" w:firstColumn="0" w:lastColumn="0" w:oddVBand="0" w:evenVBand="0" w:oddHBand="0" w:evenHBand="0" w:firstRowFirstColumn="0" w:firstRowLastColumn="0" w:lastRowFirstColumn="0" w:lastRowLastColumn="0"/>
          <w:trHeight w:val="383"/>
        </w:trPr>
        <w:tc>
          <w:tcPr>
            <w:tcW w:w="3537" w:type="pct"/>
          </w:tcPr>
          <w:p w14:paraId="3594B731" w14:textId="26EE0506" w:rsidR="0024160F" w:rsidRPr="00987AA7" w:rsidRDefault="0024160F" w:rsidP="0024160F">
            <w:pPr>
              <w:spacing w:after="0" w:line="240" w:lineRule="auto"/>
              <w:rPr>
                <w:sz w:val="20"/>
                <w:szCs w:val="20"/>
              </w:rPr>
            </w:pPr>
            <w:bookmarkStart w:id="16" w:name="_Hlk203422648"/>
            <w:r w:rsidRPr="00D64F62">
              <w:rPr>
                <w:b/>
                <w:sz w:val="20"/>
                <w:szCs w:val="20"/>
              </w:rPr>
              <w:t>Summary of recommended policy options to be provided to Education Ministers for consideration</w:t>
            </w:r>
          </w:p>
        </w:tc>
        <w:tc>
          <w:tcPr>
            <w:tcW w:w="1463" w:type="pct"/>
          </w:tcPr>
          <w:p w14:paraId="25449FC1" w14:textId="14438F86" w:rsidR="0024160F" w:rsidRPr="00987AA7" w:rsidRDefault="0024160F" w:rsidP="0024160F">
            <w:pPr>
              <w:spacing w:line="240" w:lineRule="auto"/>
              <w:rPr>
                <w:sz w:val="20"/>
                <w:szCs w:val="20"/>
              </w:rPr>
            </w:pPr>
            <w:r>
              <w:rPr>
                <w:b/>
                <w:sz w:val="20"/>
                <w:szCs w:val="20"/>
              </w:rPr>
              <w:t>Implementation approach</w:t>
            </w:r>
          </w:p>
        </w:tc>
      </w:tr>
      <w:tr w:rsidR="00390CE2" w14:paraId="014A8920" w14:textId="77777777">
        <w:trPr>
          <w:trHeight w:val="1155"/>
        </w:trPr>
        <w:tc>
          <w:tcPr>
            <w:tcW w:w="3537" w:type="pct"/>
          </w:tcPr>
          <w:p w14:paraId="37420872" w14:textId="109F7D64" w:rsidR="00390CE2" w:rsidRPr="00987AA7" w:rsidRDefault="00390CE2">
            <w:pPr>
              <w:spacing w:after="0" w:line="240" w:lineRule="auto"/>
              <w:rPr>
                <w:b/>
                <w:sz w:val="20"/>
                <w:szCs w:val="20"/>
                <w:lang w:bidi="th-TH"/>
              </w:rPr>
            </w:pPr>
            <w:r w:rsidRPr="00987AA7">
              <w:rPr>
                <w:b/>
                <w:sz w:val="20"/>
                <w:szCs w:val="20"/>
                <w:lang w:bidi="th-TH"/>
              </w:rPr>
              <w:t>Option 3 (Regulatory)</w:t>
            </w:r>
            <w:r w:rsidR="00E51CDB">
              <w:rPr>
                <w:b/>
                <w:sz w:val="20"/>
                <w:szCs w:val="20"/>
                <w:lang w:bidi="th-TH"/>
              </w:rPr>
              <w:t>:</w:t>
            </w:r>
            <w:r w:rsidRPr="00987AA7">
              <w:rPr>
                <w:b/>
                <w:sz w:val="20"/>
                <w:szCs w:val="20"/>
                <w:lang w:bidi="th-TH"/>
              </w:rPr>
              <w:t xml:space="preserve"> </w:t>
            </w:r>
            <w:r w:rsidRPr="00987AA7">
              <w:rPr>
                <w:bCs/>
                <w:sz w:val="20"/>
                <w:szCs w:val="20"/>
                <w:lang w:bidi="th-TH"/>
              </w:rPr>
              <w:t>Amend section 272 of the National Law to allow the Regulatory Authority to share information about a prohibited person or suspended FDC educator with that person’s current approved provider, without a request from the approved provider.</w:t>
            </w:r>
          </w:p>
        </w:tc>
        <w:tc>
          <w:tcPr>
            <w:tcW w:w="1463" w:type="pct"/>
          </w:tcPr>
          <w:p w14:paraId="7B4AD7ED" w14:textId="77777777" w:rsidR="00390CE2" w:rsidRPr="00987AA7" w:rsidRDefault="00390CE2">
            <w:pPr>
              <w:rPr>
                <w:sz w:val="20"/>
                <w:szCs w:val="20"/>
              </w:rPr>
            </w:pPr>
            <w:r w:rsidRPr="00987AA7">
              <w:rPr>
                <w:sz w:val="20"/>
                <w:szCs w:val="20"/>
              </w:rPr>
              <w:t>To be implemented in full</w:t>
            </w:r>
          </w:p>
        </w:tc>
      </w:tr>
      <w:tr w:rsidR="00390CE2" w14:paraId="2F97397B" w14:textId="77777777">
        <w:trPr>
          <w:trHeight w:val="1155"/>
        </w:trPr>
        <w:tc>
          <w:tcPr>
            <w:tcW w:w="3537" w:type="pct"/>
          </w:tcPr>
          <w:p w14:paraId="237B4500" w14:textId="49D25276" w:rsidR="00390CE2" w:rsidRPr="00987AA7" w:rsidRDefault="00390CE2">
            <w:pPr>
              <w:spacing w:after="0" w:line="240" w:lineRule="auto"/>
              <w:rPr>
                <w:bCs/>
                <w:sz w:val="20"/>
                <w:szCs w:val="20"/>
                <w:lang w:bidi="th-TH"/>
              </w:rPr>
            </w:pPr>
            <w:r w:rsidRPr="00987AA7">
              <w:rPr>
                <w:b/>
                <w:sz w:val="20"/>
                <w:szCs w:val="20"/>
                <w:lang w:bidi="th-TH"/>
              </w:rPr>
              <w:t>Option 4 (Regulatory)</w:t>
            </w:r>
            <w:r w:rsidR="00E51CDB">
              <w:rPr>
                <w:b/>
                <w:sz w:val="20"/>
                <w:szCs w:val="20"/>
                <w:lang w:bidi="th-TH"/>
              </w:rPr>
              <w:t>:</w:t>
            </w:r>
            <w:r w:rsidRPr="00987AA7">
              <w:rPr>
                <w:b/>
                <w:sz w:val="20"/>
                <w:szCs w:val="20"/>
                <w:lang w:bidi="th-TH"/>
              </w:rPr>
              <w:t xml:space="preserve"> </w:t>
            </w:r>
            <w:r w:rsidRPr="00987AA7">
              <w:rPr>
                <w:bCs/>
                <w:sz w:val="20"/>
                <w:szCs w:val="20"/>
                <w:lang w:bidi="th-TH"/>
              </w:rPr>
              <w:t>Amend the National Law to allow a Regulatory Authority to share information about a person’s current enforceable undertaking with that person’s current approved provider, without a request.</w:t>
            </w:r>
          </w:p>
        </w:tc>
        <w:tc>
          <w:tcPr>
            <w:tcW w:w="1463" w:type="pct"/>
          </w:tcPr>
          <w:p w14:paraId="4B12E991" w14:textId="77777777" w:rsidR="00390CE2" w:rsidRPr="00987AA7" w:rsidRDefault="00390CE2">
            <w:pPr>
              <w:rPr>
                <w:sz w:val="20"/>
                <w:szCs w:val="20"/>
              </w:rPr>
            </w:pPr>
            <w:r w:rsidRPr="00987AA7">
              <w:rPr>
                <w:sz w:val="20"/>
                <w:szCs w:val="20"/>
              </w:rPr>
              <w:t>To be implemented in full</w:t>
            </w:r>
          </w:p>
        </w:tc>
      </w:tr>
      <w:bookmarkEnd w:id="16"/>
    </w:tbl>
    <w:p w14:paraId="5784DEBA" w14:textId="77777777" w:rsidR="00390CE2" w:rsidRDefault="00390CE2" w:rsidP="00390CE2">
      <w:pPr>
        <w:spacing w:after="160"/>
      </w:pPr>
    </w:p>
    <w:p w14:paraId="1F616482" w14:textId="1DEE825D" w:rsidR="00390CE2" w:rsidRDefault="00AD19A1" w:rsidP="00390CE2">
      <w:pPr>
        <w:spacing w:after="160"/>
        <w:rPr>
          <w:rFonts w:cs="Arial"/>
          <w:b/>
          <w:bCs/>
          <w:i/>
          <w:iCs/>
          <w:color w:val="006B77"/>
          <w:szCs w:val="20"/>
          <w:lang w:val="en-GB"/>
        </w:rPr>
      </w:pPr>
      <w:r w:rsidRPr="00AD19A1">
        <w:t>Based on analysis included in this DRIS, the options with the highest net benefit to be provided to Education Ministers for consideration are the regulatory options (options 3 and 4). This combination of options is on the basis they would improve providers’ awareness of prohibitions, suspensions or enforceable undertakings which are important to preserve child safety.</w:t>
      </w:r>
      <w:r w:rsidR="00390CE2">
        <w:t xml:space="preserve"> In implementing the </w:t>
      </w:r>
      <w:r>
        <w:t>recommended</w:t>
      </w:r>
      <w:r w:rsidR="00390CE2">
        <w:t xml:space="preserve"> options,</w:t>
      </w:r>
      <w:r>
        <w:t xml:space="preserve"> s</w:t>
      </w:r>
      <w:r w:rsidRPr="00AD19A1">
        <w:t>tate and territory governments would need t</w:t>
      </w:r>
      <w:r>
        <w:t xml:space="preserve">o </w:t>
      </w:r>
      <w:r w:rsidR="00390CE2">
        <w:t xml:space="preserve">consider mechanisms to account for procedural fairness and any required additional guidance to support consistent sector understanding of the scope of regulatory changes. </w:t>
      </w:r>
      <w:r w:rsidR="00390CE2">
        <w:rPr>
          <w:lang w:val="en-GB"/>
        </w:rPr>
        <w:br w:type="page"/>
      </w:r>
    </w:p>
    <w:p w14:paraId="76598805" w14:textId="77777777" w:rsidR="00390CE2" w:rsidRDefault="00390CE2" w:rsidP="00390CE2">
      <w:pPr>
        <w:pStyle w:val="Heading4"/>
        <w:rPr>
          <w:lang w:val="en-GB"/>
        </w:rPr>
      </w:pPr>
      <w:r w:rsidRPr="00955D39">
        <w:rPr>
          <w:lang w:val="en-GB"/>
        </w:rPr>
        <w:lastRenderedPageBreak/>
        <w:t xml:space="preserve">Expansion of regulatory responses to educator and staff member conduct </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expansion of regulatory responses to educator and staff member conduct."/>
      </w:tblPr>
      <w:tblGrid>
        <w:gridCol w:w="4961"/>
        <w:gridCol w:w="4066"/>
      </w:tblGrid>
      <w:tr w:rsidR="0024160F" w14:paraId="28928762" w14:textId="77777777" w:rsidTr="007E486F">
        <w:trPr>
          <w:cnfStyle w:val="100000000000" w:firstRow="1" w:lastRow="0" w:firstColumn="0" w:lastColumn="0" w:oddVBand="0" w:evenVBand="0" w:oddHBand="0" w:evenHBand="0" w:firstRowFirstColumn="0" w:firstRowLastColumn="0" w:lastRowFirstColumn="0" w:lastRowLastColumn="0"/>
          <w:trHeight w:val="383"/>
        </w:trPr>
        <w:tc>
          <w:tcPr>
            <w:tcW w:w="2748" w:type="pct"/>
          </w:tcPr>
          <w:p w14:paraId="63C41BE1" w14:textId="3A7684D7" w:rsidR="0024160F" w:rsidRPr="00E51CDB"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2252" w:type="pct"/>
          </w:tcPr>
          <w:p w14:paraId="756E6E83" w14:textId="6FD2F396" w:rsidR="0024160F" w:rsidRPr="00E51CDB" w:rsidRDefault="0024160F" w:rsidP="0024160F">
            <w:pPr>
              <w:spacing w:line="240" w:lineRule="auto"/>
              <w:rPr>
                <w:sz w:val="20"/>
                <w:szCs w:val="20"/>
              </w:rPr>
            </w:pPr>
            <w:r>
              <w:rPr>
                <w:b/>
                <w:sz w:val="20"/>
                <w:szCs w:val="20"/>
              </w:rPr>
              <w:t>Implementation approach</w:t>
            </w:r>
          </w:p>
        </w:tc>
      </w:tr>
      <w:tr w:rsidR="00987AA7" w14:paraId="765CAA9E" w14:textId="77777777" w:rsidTr="007E486F">
        <w:trPr>
          <w:trHeight w:val="1155"/>
        </w:trPr>
        <w:tc>
          <w:tcPr>
            <w:tcW w:w="2748" w:type="pct"/>
          </w:tcPr>
          <w:p w14:paraId="23A84907" w14:textId="2B2DD579" w:rsidR="00987AA7" w:rsidRPr="00E51CDB" w:rsidRDefault="00987AA7" w:rsidP="00987AA7">
            <w:pPr>
              <w:spacing w:line="240" w:lineRule="auto"/>
              <w:rPr>
                <w:sz w:val="20"/>
                <w:szCs w:val="20"/>
              </w:rPr>
            </w:pPr>
            <w:r w:rsidRPr="00E51CDB">
              <w:rPr>
                <w:b/>
                <w:sz w:val="20"/>
                <w:szCs w:val="20"/>
              </w:rPr>
              <w:t xml:space="preserve">Option 3 (Regulatory): </w:t>
            </w:r>
            <w:r w:rsidRPr="00E51CDB">
              <w:rPr>
                <w:sz w:val="20"/>
                <w:szCs w:val="20"/>
              </w:rPr>
              <w:t xml:space="preserve">Amend the National Law to enable the Regulatory Authority to impose: </w:t>
            </w:r>
          </w:p>
          <w:p w14:paraId="0A06640B" w14:textId="17201ED9" w:rsidR="00987AA7" w:rsidRPr="00E51CDB" w:rsidRDefault="00987AA7" w:rsidP="00987AA7">
            <w:pPr>
              <w:spacing w:line="240" w:lineRule="auto"/>
              <w:rPr>
                <w:i/>
                <w:sz w:val="20"/>
                <w:szCs w:val="20"/>
              </w:rPr>
            </w:pPr>
            <w:r w:rsidRPr="00E51CDB">
              <w:rPr>
                <w:i/>
                <w:sz w:val="20"/>
                <w:szCs w:val="20"/>
              </w:rPr>
              <w:t xml:space="preserve">a suspension notice/order </w:t>
            </w:r>
            <w:r w:rsidR="00680113">
              <w:rPr>
                <w:i/>
                <w:sz w:val="20"/>
                <w:szCs w:val="20"/>
              </w:rPr>
              <w:t xml:space="preserve">on approved providers </w:t>
            </w:r>
            <w:r w:rsidRPr="00E51CDB">
              <w:rPr>
                <w:i/>
                <w:sz w:val="20"/>
                <w:szCs w:val="20"/>
              </w:rPr>
              <w:t xml:space="preserve">from providing education and care to children for a specified period of time, applicable to educators, other staff members and volunteers, where a certain threshold of risk has been met </w:t>
            </w:r>
          </w:p>
          <w:p w14:paraId="3238ACF3" w14:textId="77777777" w:rsidR="00987AA7" w:rsidRPr="00E51CDB" w:rsidRDefault="00987AA7" w:rsidP="00987AA7">
            <w:pPr>
              <w:spacing w:line="240" w:lineRule="auto"/>
              <w:rPr>
                <w:sz w:val="20"/>
                <w:szCs w:val="20"/>
              </w:rPr>
            </w:pPr>
            <w:r w:rsidRPr="00E51CDB">
              <w:rPr>
                <w:sz w:val="20"/>
                <w:szCs w:val="20"/>
              </w:rPr>
              <w:t xml:space="preserve">to address an alleged contravention or contravention of the National Law, where the person does not pose an unacceptable risk of harm to children. </w:t>
            </w:r>
          </w:p>
          <w:p w14:paraId="4C370434" w14:textId="3F9761C0" w:rsidR="00987AA7" w:rsidRPr="00E51CDB" w:rsidRDefault="00987AA7" w:rsidP="00987AA7">
            <w:pPr>
              <w:spacing w:after="0" w:line="240" w:lineRule="auto"/>
              <w:rPr>
                <w:b/>
                <w:i/>
                <w:iCs/>
                <w:sz w:val="20"/>
                <w:szCs w:val="20"/>
                <w:lang w:bidi="th-TH"/>
              </w:rPr>
            </w:pPr>
            <w:r w:rsidRPr="00E51CDB">
              <w:rPr>
                <w:sz w:val="20"/>
                <w:szCs w:val="20"/>
              </w:rPr>
              <w:t xml:space="preserve">A show cause process </w:t>
            </w:r>
            <w:r w:rsidR="0009758D">
              <w:rPr>
                <w:sz w:val="20"/>
                <w:szCs w:val="20"/>
              </w:rPr>
              <w:t>may</w:t>
            </w:r>
            <w:r w:rsidR="0009758D" w:rsidRPr="00E51CDB">
              <w:rPr>
                <w:sz w:val="20"/>
                <w:szCs w:val="20"/>
              </w:rPr>
              <w:t xml:space="preserve"> </w:t>
            </w:r>
            <w:r w:rsidRPr="00E51CDB">
              <w:rPr>
                <w:sz w:val="20"/>
                <w:szCs w:val="20"/>
              </w:rPr>
              <w:t>apply and the action would be internally and externally reviewable.</w:t>
            </w:r>
          </w:p>
        </w:tc>
        <w:tc>
          <w:tcPr>
            <w:tcW w:w="2252" w:type="pct"/>
            <w:vAlign w:val="center"/>
          </w:tcPr>
          <w:p w14:paraId="70A61540" w14:textId="09848DA0" w:rsidR="007E486F" w:rsidRPr="007E486F" w:rsidRDefault="007E486F" w:rsidP="007E486F">
            <w:pPr>
              <w:spacing w:line="240" w:lineRule="auto"/>
              <w:rPr>
                <w:sz w:val="20"/>
                <w:szCs w:val="20"/>
              </w:rPr>
            </w:pPr>
            <w:r w:rsidRPr="007E486F">
              <w:rPr>
                <w:sz w:val="20"/>
                <w:szCs w:val="20"/>
              </w:rPr>
              <w:t>To be implemented with the suspension order being imposed on approved providers in relation to a named educator/s.</w:t>
            </w:r>
          </w:p>
          <w:p w14:paraId="0893213B" w14:textId="77777777" w:rsidR="007E486F" w:rsidRPr="007E486F" w:rsidRDefault="007E486F" w:rsidP="007E486F">
            <w:pPr>
              <w:spacing w:line="240" w:lineRule="auto"/>
              <w:rPr>
                <w:sz w:val="20"/>
                <w:szCs w:val="20"/>
              </w:rPr>
            </w:pPr>
            <w:r w:rsidRPr="007E486F">
              <w:rPr>
                <w:sz w:val="20"/>
                <w:szCs w:val="20"/>
              </w:rPr>
              <w:t>Suspension without show cause will be available in situations involving immediate risk to children.</w:t>
            </w:r>
          </w:p>
          <w:p w14:paraId="0F6E989F" w14:textId="3DA86DB9" w:rsidR="007E486F" w:rsidRPr="007E486F" w:rsidRDefault="007E486F" w:rsidP="007E486F">
            <w:pPr>
              <w:spacing w:line="240" w:lineRule="auto"/>
              <w:rPr>
                <w:sz w:val="20"/>
                <w:szCs w:val="20"/>
              </w:rPr>
            </w:pPr>
            <w:r w:rsidRPr="007E486F">
              <w:rPr>
                <w:sz w:val="20"/>
                <w:szCs w:val="20"/>
              </w:rPr>
              <w:t xml:space="preserve">The threshold for imposing a suspension order will be consistent with the existing threshold for suspension of </w:t>
            </w:r>
            <w:r w:rsidR="007F674C">
              <w:rPr>
                <w:sz w:val="20"/>
                <w:szCs w:val="20"/>
              </w:rPr>
              <w:t>FDC</w:t>
            </w:r>
            <w:r w:rsidRPr="007E486F">
              <w:rPr>
                <w:sz w:val="20"/>
                <w:szCs w:val="20"/>
              </w:rPr>
              <w:t xml:space="preserve"> educators</w:t>
            </w:r>
            <w:r w:rsidR="002B380F">
              <w:rPr>
                <w:sz w:val="20"/>
                <w:szCs w:val="20"/>
              </w:rPr>
              <w:t>:</w:t>
            </w:r>
            <w:r w:rsidRPr="007E486F">
              <w:rPr>
                <w:sz w:val="20"/>
                <w:szCs w:val="20"/>
              </w:rPr>
              <w:t xml:space="preserve"> </w:t>
            </w:r>
          </w:p>
          <w:p w14:paraId="75A92E28" w14:textId="505A981E" w:rsidR="00987AA7" w:rsidRPr="00E51CDB" w:rsidRDefault="00BC1AA4" w:rsidP="007E486F">
            <w:pPr>
              <w:spacing w:line="240" w:lineRule="auto"/>
              <w:rPr>
                <w:sz w:val="20"/>
                <w:szCs w:val="20"/>
              </w:rPr>
            </w:pPr>
            <w:r>
              <w:rPr>
                <w:sz w:val="20"/>
                <w:szCs w:val="20"/>
              </w:rPr>
              <w:t>I</w:t>
            </w:r>
            <w:r w:rsidR="007E486F" w:rsidRPr="007E486F">
              <w:rPr>
                <w:sz w:val="20"/>
                <w:szCs w:val="20"/>
              </w:rPr>
              <w:t>f the Regulatory Authority is satisfied that because of the conduct of, or the inadequacy of the service provided by, a</w:t>
            </w:r>
            <w:r w:rsidR="00514349">
              <w:rPr>
                <w:sz w:val="20"/>
                <w:szCs w:val="20"/>
              </w:rPr>
              <w:t>n</w:t>
            </w:r>
            <w:r w:rsidR="007E486F" w:rsidRPr="007E486F">
              <w:rPr>
                <w:sz w:val="20"/>
                <w:szCs w:val="20"/>
              </w:rPr>
              <w:t xml:space="preserve"> educator (a) the approved provider or a nominated supervisor of </w:t>
            </w:r>
            <w:r w:rsidR="00511F18">
              <w:rPr>
                <w:sz w:val="20"/>
                <w:szCs w:val="20"/>
              </w:rPr>
              <w:t>the</w:t>
            </w:r>
            <w:r w:rsidR="007E486F" w:rsidRPr="007E486F">
              <w:rPr>
                <w:sz w:val="20"/>
                <w:szCs w:val="20"/>
              </w:rPr>
              <w:t xml:space="preserve"> service is not complying with any provision of this Law; or (b) there is a risk to the safety, health or wellbeing of children being educated and cared for by the educator.</w:t>
            </w:r>
          </w:p>
        </w:tc>
      </w:tr>
      <w:tr w:rsidR="00987AA7" w14:paraId="13B05743" w14:textId="77777777" w:rsidTr="007E486F">
        <w:trPr>
          <w:trHeight w:val="1155"/>
        </w:trPr>
        <w:tc>
          <w:tcPr>
            <w:tcW w:w="2748" w:type="pct"/>
          </w:tcPr>
          <w:p w14:paraId="3273A0B4" w14:textId="73F26D2D" w:rsidR="00987AA7" w:rsidRPr="00E51CDB" w:rsidRDefault="00987AA7" w:rsidP="00987AA7">
            <w:pPr>
              <w:spacing w:line="240" w:lineRule="auto"/>
              <w:rPr>
                <w:sz w:val="20"/>
                <w:szCs w:val="20"/>
              </w:rPr>
            </w:pPr>
            <w:bookmarkStart w:id="17" w:name="_Hlk203423152"/>
            <w:r w:rsidRPr="00E51CDB">
              <w:rPr>
                <w:b/>
                <w:sz w:val="20"/>
                <w:szCs w:val="20"/>
              </w:rPr>
              <w:t xml:space="preserve">Option 4 (Regulatory): </w:t>
            </w:r>
            <w:r w:rsidRPr="00E51CDB">
              <w:rPr>
                <w:sz w:val="20"/>
                <w:szCs w:val="20"/>
              </w:rPr>
              <w:t xml:space="preserve">Amend the National Law to enable the Regulatory Authority to impose: </w:t>
            </w:r>
          </w:p>
          <w:p w14:paraId="18E8DCFB" w14:textId="77777777" w:rsidR="00987AA7" w:rsidRPr="00E51CDB" w:rsidRDefault="00987AA7" w:rsidP="00987AA7">
            <w:pPr>
              <w:spacing w:line="240" w:lineRule="auto"/>
              <w:rPr>
                <w:i/>
                <w:sz w:val="20"/>
                <w:szCs w:val="20"/>
              </w:rPr>
            </w:pPr>
            <w:r w:rsidRPr="00E51CDB">
              <w:rPr>
                <w:i/>
                <w:sz w:val="20"/>
                <w:szCs w:val="20"/>
              </w:rPr>
              <w:t xml:space="preserve">a supervision order on approved providers, applicable where a staff member or volunteer has contravened the National Law and where that contravention also sits with the approved provider (for example, section 166 – Offence to use inappropriate discipline and any new offence provision under Chapter 7.1). </w:t>
            </w:r>
          </w:p>
          <w:p w14:paraId="38723684" w14:textId="77777777" w:rsidR="00987AA7" w:rsidRPr="00E51CDB" w:rsidRDefault="00987AA7" w:rsidP="00987AA7">
            <w:pPr>
              <w:spacing w:line="240" w:lineRule="auto"/>
              <w:rPr>
                <w:sz w:val="20"/>
                <w:szCs w:val="20"/>
              </w:rPr>
            </w:pPr>
            <w:r w:rsidRPr="00E51CDB">
              <w:rPr>
                <w:sz w:val="20"/>
                <w:szCs w:val="20"/>
              </w:rPr>
              <w:t>This is to keep approved providers accountable in addressing conduct that contravenes the National Law but the person does not pose an unacceptable risk of harm to children.</w:t>
            </w:r>
          </w:p>
          <w:p w14:paraId="132F6952" w14:textId="36E9D7CE" w:rsidR="00987AA7" w:rsidRPr="00E51CDB" w:rsidRDefault="00987AA7" w:rsidP="00987AA7">
            <w:pPr>
              <w:spacing w:after="0" w:line="240" w:lineRule="auto"/>
              <w:rPr>
                <w:bCs/>
                <w:i/>
                <w:iCs/>
                <w:sz w:val="20"/>
                <w:szCs w:val="20"/>
                <w:lang w:bidi="th-TH"/>
              </w:rPr>
            </w:pPr>
            <w:r w:rsidRPr="00E51CDB">
              <w:rPr>
                <w:sz w:val="20"/>
                <w:szCs w:val="20"/>
              </w:rPr>
              <w:t xml:space="preserve">A show cause process </w:t>
            </w:r>
            <w:r w:rsidR="00AF40DB">
              <w:rPr>
                <w:sz w:val="20"/>
                <w:szCs w:val="20"/>
              </w:rPr>
              <w:t>may</w:t>
            </w:r>
            <w:r w:rsidR="00AF40DB" w:rsidRPr="00E51CDB">
              <w:rPr>
                <w:sz w:val="20"/>
                <w:szCs w:val="20"/>
              </w:rPr>
              <w:t xml:space="preserve"> </w:t>
            </w:r>
            <w:r w:rsidRPr="00E51CDB">
              <w:rPr>
                <w:sz w:val="20"/>
                <w:szCs w:val="20"/>
              </w:rPr>
              <w:t>apply and the action would be internally and externally reviewable.</w:t>
            </w:r>
          </w:p>
        </w:tc>
        <w:tc>
          <w:tcPr>
            <w:tcW w:w="2252" w:type="pct"/>
            <w:vAlign w:val="center"/>
          </w:tcPr>
          <w:p w14:paraId="4FC49249" w14:textId="023C511F" w:rsidR="007B2301" w:rsidRPr="007B2301" w:rsidRDefault="00987AA7" w:rsidP="007B2301">
            <w:pPr>
              <w:spacing w:line="240" w:lineRule="auto"/>
              <w:rPr>
                <w:sz w:val="20"/>
                <w:szCs w:val="20"/>
              </w:rPr>
            </w:pPr>
            <w:r w:rsidRPr="00E51CDB">
              <w:rPr>
                <w:sz w:val="20"/>
                <w:szCs w:val="20"/>
              </w:rPr>
              <w:t>To be implemented in full</w:t>
            </w:r>
            <w:r w:rsidR="007B2301">
              <w:rPr>
                <w:sz w:val="20"/>
                <w:szCs w:val="20"/>
              </w:rPr>
              <w:t xml:space="preserve">. </w:t>
            </w:r>
            <w:r w:rsidR="007B2301" w:rsidRPr="007B2301">
              <w:rPr>
                <w:sz w:val="20"/>
                <w:szCs w:val="20"/>
              </w:rPr>
              <w:t>As with suspension orders, the supervision order will be imposed on approved providers in relation to a named educator/s.</w:t>
            </w:r>
          </w:p>
          <w:p w14:paraId="1CE837C6" w14:textId="432CE9DD" w:rsidR="00987AA7" w:rsidRPr="00E51CDB" w:rsidRDefault="007B2301" w:rsidP="007B2301">
            <w:pPr>
              <w:spacing w:line="240" w:lineRule="auto"/>
              <w:rPr>
                <w:sz w:val="20"/>
                <w:szCs w:val="20"/>
              </w:rPr>
            </w:pPr>
            <w:r w:rsidRPr="007B2301">
              <w:rPr>
                <w:sz w:val="20"/>
                <w:szCs w:val="20"/>
              </w:rPr>
              <w:t>Suspension without show cause will be available in situations involving immediate risk to children.</w:t>
            </w:r>
          </w:p>
        </w:tc>
      </w:tr>
      <w:tr w:rsidR="00987AA7" w14:paraId="0233771C" w14:textId="77777777" w:rsidTr="007E486F">
        <w:trPr>
          <w:trHeight w:val="1155"/>
        </w:trPr>
        <w:tc>
          <w:tcPr>
            <w:tcW w:w="2748" w:type="pct"/>
          </w:tcPr>
          <w:p w14:paraId="1113C729" w14:textId="1317D58E" w:rsidR="00987AA7" w:rsidRPr="00E51CDB" w:rsidRDefault="00987AA7" w:rsidP="00987AA7">
            <w:pPr>
              <w:spacing w:line="240" w:lineRule="auto"/>
              <w:rPr>
                <w:sz w:val="20"/>
                <w:szCs w:val="20"/>
              </w:rPr>
            </w:pPr>
            <w:r w:rsidRPr="00E51CDB">
              <w:rPr>
                <w:b/>
                <w:sz w:val="20"/>
                <w:szCs w:val="20"/>
              </w:rPr>
              <w:t xml:space="preserve">Option 5 (Regulatory): </w:t>
            </w:r>
            <w:r w:rsidRPr="00E51CDB">
              <w:rPr>
                <w:sz w:val="20"/>
                <w:szCs w:val="20"/>
              </w:rPr>
              <w:t xml:space="preserve">Amend the National Law to enable the Regulatory Authority to impose: </w:t>
            </w:r>
          </w:p>
          <w:p w14:paraId="3ECC361A" w14:textId="77777777" w:rsidR="00987AA7" w:rsidRPr="00E51CDB" w:rsidRDefault="00987AA7" w:rsidP="00987AA7">
            <w:pPr>
              <w:spacing w:line="240" w:lineRule="auto"/>
              <w:rPr>
                <w:i/>
                <w:sz w:val="20"/>
                <w:szCs w:val="20"/>
              </w:rPr>
            </w:pPr>
            <w:r w:rsidRPr="00E51CDB">
              <w:rPr>
                <w:i/>
                <w:sz w:val="20"/>
                <w:szCs w:val="20"/>
              </w:rPr>
              <w:t xml:space="preserve">mandatory training/re-training for staff members (with the staff member paying for the cost of any training/re-training). </w:t>
            </w:r>
          </w:p>
          <w:p w14:paraId="3B4464DA" w14:textId="4408BCBF" w:rsidR="00987AA7" w:rsidRPr="00E51CDB" w:rsidRDefault="00987AA7" w:rsidP="00987AA7">
            <w:pPr>
              <w:spacing w:line="240" w:lineRule="auto"/>
              <w:rPr>
                <w:sz w:val="20"/>
                <w:szCs w:val="20"/>
              </w:rPr>
            </w:pPr>
            <w:r w:rsidRPr="00E51CDB">
              <w:rPr>
                <w:sz w:val="20"/>
                <w:szCs w:val="20"/>
              </w:rPr>
              <w:t>to address staff member conduct that contravenes the National Law but the staff member does not pose an unacceptable risk of harm to children</w:t>
            </w:r>
            <w:r w:rsidR="007B2301">
              <w:rPr>
                <w:sz w:val="20"/>
                <w:szCs w:val="20"/>
              </w:rPr>
              <w:t>. The individual educator will be subject to the mandatory training order.</w:t>
            </w:r>
          </w:p>
          <w:p w14:paraId="58731730" w14:textId="49DDDE21" w:rsidR="00987AA7" w:rsidRPr="00E51CDB" w:rsidRDefault="00987AA7" w:rsidP="00987AA7">
            <w:pPr>
              <w:spacing w:after="0" w:line="240" w:lineRule="auto"/>
              <w:rPr>
                <w:b/>
                <w:sz w:val="20"/>
                <w:szCs w:val="20"/>
                <w:lang w:bidi="th-TH"/>
              </w:rPr>
            </w:pPr>
            <w:r w:rsidRPr="00E51CDB">
              <w:rPr>
                <w:sz w:val="20"/>
                <w:szCs w:val="20"/>
              </w:rPr>
              <w:t>A show cause process would apply and the action would be internally and externally reviewable.</w:t>
            </w:r>
          </w:p>
        </w:tc>
        <w:tc>
          <w:tcPr>
            <w:tcW w:w="2252" w:type="pct"/>
            <w:vAlign w:val="center"/>
          </w:tcPr>
          <w:p w14:paraId="524D7FFA" w14:textId="03AABA82" w:rsidR="00987AA7" w:rsidRPr="00E51CDB" w:rsidRDefault="00987AA7" w:rsidP="00987AA7">
            <w:pPr>
              <w:spacing w:after="0" w:line="240" w:lineRule="auto"/>
              <w:rPr>
                <w:sz w:val="20"/>
                <w:szCs w:val="20"/>
              </w:rPr>
            </w:pPr>
            <w:r w:rsidRPr="00E51CDB">
              <w:rPr>
                <w:sz w:val="20"/>
                <w:szCs w:val="20"/>
              </w:rPr>
              <w:t>To be implemented in full</w:t>
            </w:r>
          </w:p>
        </w:tc>
      </w:tr>
      <w:bookmarkEnd w:id="17"/>
    </w:tbl>
    <w:p w14:paraId="0B6D261F" w14:textId="77777777" w:rsidR="00390CE2" w:rsidRDefault="00390CE2" w:rsidP="00390CE2">
      <w:pPr>
        <w:rPr>
          <w:lang w:val="en-GB"/>
        </w:rPr>
      </w:pPr>
    </w:p>
    <w:p w14:paraId="755C2889" w14:textId="5F58DA69" w:rsidR="00390CE2" w:rsidRDefault="00AD19A1" w:rsidP="00390CE2">
      <w:pPr>
        <w:spacing w:after="160"/>
        <w:rPr>
          <w:rFonts w:cs="Arial"/>
          <w:bCs/>
          <w:color w:val="006B77"/>
          <w:sz w:val="28"/>
          <w:szCs w:val="28"/>
          <w:lang w:val="en-GB"/>
        </w:rPr>
      </w:pPr>
      <w:r w:rsidRPr="00AD19A1">
        <w:rPr>
          <w:lang w:val="en-GB"/>
        </w:rPr>
        <w:lastRenderedPageBreak/>
        <w:t>Based on analysis included in this DRIS, the options with the highest net benefit to be provided to Education Ministers for consideration are the regulatory options 3, 4 and 5. These three options would generate the most significant improvements to child safety.</w:t>
      </w:r>
      <w:r>
        <w:rPr>
          <w:lang w:val="en-GB"/>
        </w:rPr>
        <w:t xml:space="preserve"> </w:t>
      </w:r>
      <w:r w:rsidR="00390CE2" w:rsidRPr="00EF261A">
        <w:rPr>
          <w:lang w:val="en-GB"/>
        </w:rPr>
        <w:t>I</w:t>
      </w:r>
      <w:r w:rsidR="002E59FA">
        <w:rPr>
          <w:lang w:val="en-GB"/>
        </w:rPr>
        <w:t>f</w:t>
      </w:r>
      <w:r w:rsidR="00390CE2" w:rsidRPr="00EF261A">
        <w:rPr>
          <w:lang w:val="en-GB"/>
        </w:rPr>
        <w:t xml:space="preserve"> proceeding to implement th</w:t>
      </w:r>
      <w:r w:rsidR="00C6210D">
        <w:rPr>
          <w:lang w:val="en-GB"/>
        </w:rPr>
        <w:t>ese</w:t>
      </w:r>
      <w:r w:rsidR="00390CE2" w:rsidRPr="00EF261A">
        <w:rPr>
          <w:lang w:val="en-GB"/>
        </w:rPr>
        <w:t xml:space="preserve"> option</w:t>
      </w:r>
      <w:r w:rsidR="00C6210D">
        <w:rPr>
          <w:lang w:val="en-GB"/>
        </w:rPr>
        <w:t>s</w:t>
      </w:r>
      <w:r w:rsidR="00390CE2" w:rsidRPr="00EF261A">
        <w:rPr>
          <w:lang w:val="en-GB"/>
        </w:rPr>
        <w:t xml:space="preserve">, </w:t>
      </w:r>
      <w:r w:rsidR="00C6210D">
        <w:rPr>
          <w:lang w:val="en-GB"/>
        </w:rPr>
        <w:t>state and territor</w:t>
      </w:r>
      <w:r w:rsidR="002E59FA">
        <w:rPr>
          <w:lang w:val="en-GB"/>
        </w:rPr>
        <w:t>y</w:t>
      </w:r>
      <w:r w:rsidR="00C6210D">
        <w:rPr>
          <w:lang w:val="en-GB"/>
        </w:rPr>
        <w:t xml:space="preserve"> governments would develop a detailed implementation plan that specifies the threshold at which the </w:t>
      </w:r>
      <w:r w:rsidR="000D66B2">
        <w:rPr>
          <w:lang w:val="en-GB"/>
        </w:rPr>
        <w:t>regulatory responses can be exercised.</w:t>
      </w:r>
      <w:r w:rsidR="00390CE2">
        <w:rPr>
          <w:lang w:val="en-GB"/>
        </w:rPr>
        <w:t xml:space="preserve"> </w:t>
      </w:r>
      <w:bookmarkStart w:id="18" w:name="_Hlk203424078"/>
      <w:r w:rsidR="00390CE2">
        <w:rPr>
          <w:lang w:val="en-GB"/>
        </w:rPr>
        <w:br w:type="page"/>
      </w:r>
    </w:p>
    <w:p w14:paraId="6B8C0638" w14:textId="77777777" w:rsidR="00390CE2" w:rsidRDefault="00390CE2" w:rsidP="00390CE2">
      <w:pPr>
        <w:pStyle w:val="Heading2"/>
        <w:rPr>
          <w:lang w:val="en-GB"/>
        </w:rPr>
      </w:pPr>
      <w:bookmarkStart w:id="19" w:name="_Toc203576929"/>
      <w:bookmarkStart w:id="20" w:name="_Toc205884868"/>
      <w:r>
        <w:rPr>
          <w:lang w:val="en-GB"/>
        </w:rPr>
        <w:lastRenderedPageBreak/>
        <w:t>Working with Children Checks</w:t>
      </w:r>
      <w:bookmarkEnd w:id="19"/>
      <w:bookmarkEnd w:id="20"/>
    </w:p>
    <w:p w14:paraId="75D78A00" w14:textId="584DF48D" w:rsidR="00390CE2" w:rsidRDefault="00390CE2" w:rsidP="00390CE2">
      <w:pPr>
        <w:rPr>
          <w:lang w:val="en-GB"/>
        </w:rPr>
      </w:pPr>
      <w:r w:rsidRPr="007C680B">
        <w:rPr>
          <w:lang w:val="en-GB"/>
        </w:rPr>
        <w:t xml:space="preserve">Working with </w:t>
      </w:r>
      <w:r>
        <w:rPr>
          <w:lang w:val="en-GB"/>
        </w:rPr>
        <w:t>C</w:t>
      </w:r>
      <w:r w:rsidRPr="007C680B">
        <w:rPr>
          <w:lang w:val="en-GB"/>
        </w:rPr>
        <w:t xml:space="preserve">hildren </w:t>
      </w:r>
      <w:r>
        <w:rPr>
          <w:lang w:val="en-GB"/>
        </w:rPr>
        <w:t>C</w:t>
      </w:r>
      <w:r w:rsidRPr="007C680B">
        <w:rPr>
          <w:lang w:val="en-GB"/>
        </w:rPr>
        <w:t>hecks</w:t>
      </w:r>
      <w:r w:rsidR="000D66B2">
        <w:rPr>
          <w:lang w:val="en-GB"/>
        </w:rPr>
        <w:t xml:space="preserve"> (WWCCs)</w:t>
      </w:r>
      <w:r>
        <w:rPr>
          <w:lang w:val="en-GB"/>
        </w:rPr>
        <w:t xml:space="preserve"> </w:t>
      </w:r>
      <w:r w:rsidRPr="007C680B">
        <w:rPr>
          <w:lang w:val="en-GB"/>
        </w:rPr>
        <w:t xml:space="preserve">is discussed in further detail in </w:t>
      </w:r>
      <w:hyperlink w:anchor="_8._Working_with" w:history="1">
        <w:r w:rsidR="000D66B2" w:rsidRPr="008D1C61">
          <w:rPr>
            <w:rStyle w:val="Hyperlink"/>
            <w:lang w:val="en-GB"/>
          </w:rPr>
          <w:t>Chapter 8</w:t>
        </w:r>
      </w:hyperlink>
      <w:r w:rsidR="000D66B2">
        <w:rPr>
          <w:lang w:val="en-GB"/>
        </w:rPr>
        <w:t>.</w:t>
      </w:r>
      <w:r>
        <w:rPr>
          <w:lang w:val="en-GB"/>
        </w:rPr>
        <w:t xml:space="preserve"> </w:t>
      </w:r>
    </w:p>
    <w:bookmarkEnd w:id="18"/>
    <w:p w14:paraId="68D62559" w14:textId="77777777" w:rsidR="00390CE2" w:rsidRDefault="00390CE2" w:rsidP="00390CE2">
      <w:pPr>
        <w:pStyle w:val="Heading4"/>
      </w:pPr>
      <w:r w:rsidRPr="007C680B">
        <w:t>Requiring an approved WWCC prior to commencing paid or volunteer work at an education and care service</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requiring an approved WWCC prior to commencing paid or volunteer work at an education and care service."/>
      </w:tblPr>
      <w:tblGrid>
        <w:gridCol w:w="6386"/>
        <w:gridCol w:w="2641"/>
      </w:tblGrid>
      <w:tr w:rsidR="0024160F" w14:paraId="46BC1906" w14:textId="77777777">
        <w:trPr>
          <w:cnfStyle w:val="100000000000" w:firstRow="1" w:lastRow="0" w:firstColumn="0" w:lastColumn="0" w:oddVBand="0" w:evenVBand="0" w:oddHBand="0" w:evenHBand="0" w:firstRowFirstColumn="0" w:firstRowLastColumn="0" w:lastRowFirstColumn="0" w:lastRowLastColumn="0"/>
          <w:trHeight w:val="383"/>
        </w:trPr>
        <w:tc>
          <w:tcPr>
            <w:tcW w:w="3537" w:type="pct"/>
          </w:tcPr>
          <w:p w14:paraId="7A63B134" w14:textId="663E248D" w:rsidR="0024160F" w:rsidRPr="00E51CDB"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463" w:type="pct"/>
          </w:tcPr>
          <w:p w14:paraId="5D920AFB" w14:textId="0A1AF008" w:rsidR="0024160F" w:rsidRPr="00E51CDB" w:rsidRDefault="0024160F" w:rsidP="0024160F">
            <w:pPr>
              <w:spacing w:line="240" w:lineRule="auto"/>
              <w:rPr>
                <w:sz w:val="20"/>
                <w:szCs w:val="20"/>
              </w:rPr>
            </w:pPr>
            <w:r>
              <w:rPr>
                <w:b/>
                <w:sz w:val="20"/>
                <w:szCs w:val="20"/>
              </w:rPr>
              <w:t>Implementation approach</w:t>
            </w:r>
          </w:p>
        </w:tc>
      </w:tr>
      <w:tr w:rsidR="00390CE2" w14:paraId="135868B8" w14:textId="77777777">
        <w:trPr>
          <w:trHeight w:val="1155"/>
        </w:trPr>
        <w:tc>
          <w:tcPr>
            <w:tcW w:w="3537" w:type="pct"/>
          </w:tcPr>
          <w:p w14:paraId="229F1CF8" w14:textId="5F0DBC61" w:rsidR="00E51CDB" w:rsidRPr="00E51CDB" w:rsidRDefault="00390CE2" w:rsidP="00E51CDB">
            <w:pPr>
              <w:spacing w:after="0" w:line="240" w:lineRule="auto"/>
              <w:rPr>
                <w:bCs/>
                <w:sz w:val="20"/>
                <w:szCs w:val="20"/>
                <w:lang w:bidi="th-TH"/>
              </w:rPr>
            </w:pPr>
            <w:r w:rsidRPr="00E51CDB">
              <w:rPr>
                <w:b/>
                <w:sz w:val="20"/>
                <w:szCs w:val="20"/>
                <w:lang w:bidi="th-TH"/>
              </w:rPr>
              <w:t>Option 2 (Non-regulatory)</w:t>
            </w:r>
            <w:r w:rsidR="00E51CDB">
              <w:rPr>
                <w:b/>
                <w:sz w:val="20"/>
                <w:szCs w:val="20"/>
                <w:lang w:bidi="th-TH"/>
              </w:rPr>
              <w:t>:</w:t>
            </w:r>
            <w:r w:rsidRPr="00E51CDB">
              <w:rPr>
                <w:b/>
                <w:sz w:val="20"/>
                <w:szCs w:val="20"/>
                <w:lang w:bidi="th-TH"/>
              </w:rPr>
              <w:t xml:space="preserve"> </w:t>
            </w:r>
            <w:r w:rsidR="00E51CDB" w:rsidRPr="00E51CDB">
              <w:rPr>
                <w:bCs/>
                <w:sz w:val="20"/>
                <w:szCs w:val="20"/>
                <w:lang w:bidi="th-TH"/>
              </w:rPr>
              <w:t>Additional guidance about WWCC and teacher registration/accreditation requirements and the importance of WWCCs in conjunction with the implementation of child safety training (refer to Chapter 6). The guidance should include recommended ‘best practice’ approaches.</w:t>
            </w:r>
          </w:p>
          <w:p w14:paraId="4D272DAF" w14:textId="77777777" w:rsidR="00E51CDB" w:rsidRPr="00E51CDB" w:rsidRDefault="00E51CDB" w:rsidP="00E51CDB">
            <w:pPr>
              <w:spacing w:after="0" w:line="240" w:lineRule="auto"/>
              <w:rPr>
                <w:bCs/>
                <w:sz w:val="20"/>
                <w:szCs w:val="20"/>
                <w:lang w:bidi="th-TH"/>
              </w:rPr>
            </w:pPr>
            <w:r w:rsidRPr="00E51CDB">
              <w:rPr>
                <w:bCs/>
                <w:sz w:val="20"/>
                <w:szCs w:val="20"/>
                <w:lang w:bidi="th-TH"/>
              </w:rPr>
              <w:t>Guidance to include the following recommended best practice approaches:</w:t>
            </w:r>
          </w:p>
          <w:p w14:paraId="10D59B67" w14:textId="77777777" w:rsidR="00E51CDB" w:rsidRPr="00E51CDB" w:rsidRDefault="00E51CDB" w:rsidP="00EC53AB">
            <w:pPr>
              <w:pStyle w:val="ListParagraph"/>
              <w:numPr>
                <w:ilvl w:val="0"/>
                <w:numId w:val="117"/>
              </w:numPr>
              <w:spacing w:after="0" w:line="240" w:lineRule="auto"/>
              <w:rPr>
                <w:bCs/>
                <w:sz w:val="20"/>
                <w:szCs w:val="20"/>
                <w:lang w:bidi="th-TH"/>
              </w:rPr>
            </w:pPr>
            <w:r w:rsidRPr="00E51CDB">
              <w:rPr>
                <w:bCs/>
                <w:sz w:val="20"/>
                <w:szCs w:val="20"/>
                <w:lang w:bidi="th-TH"/>
              </w:rPr>
              <w:t>confirmation of a WWCC record in staff file prior to working in a service (all staff and volunteers)</w:t>
            </w:r>
          </w:p>
          <w:p w14:paraId="3918CCDA" w14:textId="0D4E5312" w:rsidR="00390CE2" w:rsidRPr="00E51CDB" w:rsidRDefault="00E51CDB" w:rsidP="00EC53AB">
            <w:pPr>
              <w:pStyle w:val="ListParagraph"/>
              <w:numPr>
                <w:ilvl w:val="0"/>
                <w:numId w:val="117"/>
              </w:numPr>
              <w:spacing w:after="0" w:line="240" w:lineRule="auto"/>
              <w:rPr>
                <w:bCs/>
                <w:sz w:val="20"/>
                <w:szCs w:val="20"/>
                <w:lang w:bidi="th-TH"/>
              </w:rPr>
            </w:pPr>
            <w:r w:rsidRPr="00E51CDB">
              <w:rPr>
                <w:bCs/>
                <w:sz w:val="20"/>
                <w:szCs w:val="20"/>
                <w:lang w:bidi="th-TH"/>
              </w:rPr>
              <w:t>check WWCC status every 6 months (in jurisdictions where approved providers are not already notified by the relevant WWCC agency).</w:t>
            </w:r>
          </w:p>
        </w:tc>
        <w:tc>
          <w:tcPr>
            <w:tcW w:w="1463" w:type="pct"/>
          </w:tcPr>
          <w:p w14:paraId="0777A097" w14:textId="4677272A" w:rsidR="00390CE2" w:rsidRPr="00E51CDB" w:rsidRDefault="00AA3CAD">
            <w:pPr>
              <w:rPr>
                <w:sz w:val="20"/>
                <w:szCs w:val="20"/>
              </w:rPr>
            </w:pPr>
            <w:r>
              <w:rPr>
                <w:sz w:val="20"/>
                <w:szCs w:val="20"/>
              </w:rPr>
              <w:t>To be i</w:t>
            </w:r>
            <w:r w:rsidR="00390CE2" w:rsidRPr="00E51CDB">
              <w:rPr>
                <w:sz w:val="20"/>
                <w:szCs w:val="20"/>
              </w:rPr>
              <w:t>mplemented in full</w:t>
            </w:r>
          </w:p>
        </w:tc>
      </w:tr>
      <w:tr w:rsidR="00390CE2" w14:paraId="30A459D5" w14:textId="77777777">
        <w:trPr>
          <w:trHeight w:val="1155"/>
        </w:trPr>
        <w:tc>
          <w:tcPr>
            <w:tcW w:w="3537" w:type="pct"/>
          </w:tcPr>
          <w:p w14:paraId="41B62699" w14:textId="3EE48C20" w:rsidR="00390CE2" w:rsidRPr="00E51CDB" w:rsidRDefault="00390CE2">
            <w:pPr>
              <w:spacing w:after="0" w:line="240" w:lineRule="auto"/>
              <w:rPr>
                <w:b/>
                <w:sz w:val="20"/>
                <w:szCs w:val="20"/>
                <w:lang w:bidi="th-TH"/>
              </w:rPr>
            </w:pPr>
            <w:r w:rsidRPr="00E51CDB">
              <w:rPr>
                <w:b/>
                <w:sz w:val="20"/>
                <w:szCs w:val="20"/>
                <w:lang w:bidi="th-TH"/>
              </w:rPr>
              <w:t>Option 3 (Regulatory)</w:t>
            </w:r>
            <w:r w:rsidR="00E51CDB">
              <w:rPr>
                <w:b/>
                <w:sz w:val="20"/>
                <w:szCs w:val="20"/>
                <w:lang w:bidi="th-TH"/>
              </w:rPr>
              <w:t>:</w:t>
            </w:r>
            <w:r w:rsidRPr="00E51CDB">
              <w:rPr>
                <w:b/>
                <w:sz w:val="20"/>
                <w:szCs w:val="20"/>
                <w:lang w:bidi="th-TH"/>
              </w:rPr>
              <w:t xml:space="preserve"> </w:t>
            </w:r>
            <w:r w:rsidRPr="00E51CDB">
              <w:rPr>
                <w:bCs/>
                <w:sz w:val="20"/>
                <w:szCs w:val="20"/>
                <w:lang w:bidi="th-TH"/>
              </w:rPr>
              <w:t xml:space="preserve">Jurisdiction specific National Regulation amendment in WA, ACT and </w:t>
            </w:r>
            <w:r w:rsidR="0072613D">
              <w:rPr>
                <w:bCs/>
                <w:sz w:val="20"/>
                <w:szCs w:val="20"/>
                <w:lang w:bidi="th-TH"/>
              </w:rPr>
              <w:t xml:space="preserve">the </w:t>
            </w:r>
            <w:r w:rsidRPr="00E51CDB">
              <w:rPr>
                <w:bCs/>
                <w:sz w:val="20"/>
                <w:szCs w:val="20"/>
                <w:lang w:bidi="th-TH"/>
              </w:rPr>
              <w:t xml:space="preserve">NT to require that an approved provider of an education and care service must ensure that staff, students, and volunteers of that service hold a valid WWCC before they can </w:t>
            </w:r>
            <w:r w:rsidR="0072613D">
              <w:rPr>
                <w:bCs/>
                <w:sz w:val="20"/>
                <w:szCs w:val="20"/>
                <w:lang w:bidi="th-TH"/>
              </w:rPr>
              <w:t>be engaged/</w:t>
            </w:r>
            <w:r w:rsidRPr="00E51CDB">
              <w:rPr>
                <w:bCs/>
                <w:sz w:val="20"/>
                <w:szCs w:val="20"/>
                <w:lang w:bidi="th-TH"/>
              </w:rPr>
              <w:t xml:space="preserve">commence their roles. </w:t>
            </w:r>
            <w:r w:rsidR="0072613D">
              <w:rPr>
                <w:bCs/>
                <w:sz w:val="20"/>
                <w:szCs w:val="20"/>
                <w:lang w:bidi="th-TH"/>
              </w:rPr>
              <w:t>In addition, a</w:t>
            </w:r>
            <w:r w:rsidR="0072613D" w:rsidRPr="00E51CDB">
              <w:rPr>
                <w:bCs/>
                <w:sz w:val="20"/>
                <w:szCs w:val="20"/>
                <w:lang w:bidi="th-TH"/>
              </w:rPr>
              <w:t xml:space="preserve"> </w:t>
            </w:r>
            <w:r w:rsidRPr="00E51CDB">
              <w:rPr>
                <w:bCs/>
                <w:sz w:val="20"/>
                <w:szCs w:val="20"/>
                <w:lang w:bidi="th-TH"/>
              </w:rPr>
              <w:t>jurisdiction specific amendment in NSW will clarify this same requirement beyond doubt.</w:t>
            </w:r>
          </w:p>
        </w:tc>
        <w:tc>
          <w:tcPr>
            <w:tcW w:w="1463" w:type="pct"/>
          </w:tcPr>
          <w:p w14:paraId="03F38790" w14:textId="6426624D" w:rsidR="00390CE2" w:rsidRPr="00E51CDB" w:rsidRDefault="00AA3CAD">
            <w:pPr>
              <w:rPr>
                <w:sz w:val="20"/>
                <w:szCs w:val="20"/>
              </w:rPr>
            </w:pPr>
            <w:r>
              <w:rPr>
                <w:sz w:val="20"/>
                <w:szCs w:val="20"/>
              </w:rPr>
              <w:t>To be i</w:t>
            </w:r>
            <w:r w:rsidRPr="00E51CDB">
              <w:rPr>
                <w:sz w:val="20"/>
                <w:szCs w:val="20"/>
              </w:rPr>
              <w:t>mplemented in full</w:t>
            </w:r>
          </w:p>
        </w:tc>
      </w:tr>
    </w:tbl>
    <w:p w14:paraId="2C1714E6" w14:textId="77777777" w:rsidR="00390CE2" w:rsidRDefault="00390CE2" w:rsidP="00390CE2">
      <w:pPr>
        <w:spacing w:after="160" w:line="259" w:lineRule="auto"/>
        <w:rPr>
          <w:bCs/>
        </w:rPr>
      </w:pPr>
    </w:p>
    <w:p w14:paraId="14941C9C" w14:textId="44A452F2" w:rsidR="00390CE2" w:rsidRDefault="00E57128" w:rsidP="00E57128">
      <w:pPr>
        <w:rPr>
          <w:rFonts w:cs="Arial"/>
          <w:b/>
          <w:bCs/>
          <w:i/>
          <w:iCs/>
          <w:color w:val="006B77"/>
          <w:szCs w:val="20"/>
        </w:rPr>
      </w:pPr>
      <w:r w:rsidRPr="00E57128">
        <w:t>Based on analysis included in this DRIS, the options with the highest net benefit to be provided to Education Ministers for consideration are Options 2 and 3 (for NSW). Due to the commitment to improve child safety across all jurisdictions, option 3 (for WA, NT, and ACT) is also recommended to be provided to Education Ministers for consideration.</w:t>
      </w:r>
      <w:r w:rsidR="00390CE2">
        <w:br w:type="page"/>
      </w:r>
    </w:p>
    <w:p w14:paraId="111A404D" w14:textId="77777777" w:rsidR="00390CE2" w:rsidRDefault="00390CE2" w:rsidP="00390CE2">
      <w:pPr>
        <w:pStyle w:val="Heading4"/>
      </w:pPr>
      <w:r w:rsidRPr="00AC416F">
        <w:lastRenderedPageBreak/>
        <w:t>Requiring approved providers and Regulatory Authorities to be notified about changes in WWCC status</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requiring approved providers and Regulatory Authorities to be notified about changes in WWCC status."/>
      </w:tblPr>
      <w:tblGrid>
        <w:gridCol w:w="6386"/>
        <w:gridCol w:w="2641"/>
      </w:tblGrid>
      <w:tr w:rsidR="0024160F" w14:paraId="5BB8CCBF" w14:textId="77777777">
        <w:trPr>
          <w:cnfStyle w:val="100000000000" w:firstRow="1" w:lastRow="0" w:firstColumn="0" w:lastColumn="0" w:oddVBand="0" w:evenVBand="0" w:oddHBand="0" w:evenHBand="0" w:firstRowFirstColumn="0" w:firstRowLastColumn="0" w:lastRowFirstColumn="0" w:lastRowLastColumn="0"/>
          <w:trHeight w:val="383"/>
        </w:trPr>
        <w:tc>
          <w:tcPr>
            <w:tcW w:w="3537" w:type="pct"/>
          </w:tcPr>
          <w:p w14:paraId="37218338" w14:textId="2D8968EF" w:rsidR="0024160F" w:rsidRPr="00AB044E"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463" w:type="pct"/>
          </w:tcPr>
          <w:p w14:paraId="1BB3CC7E" w14:textId="0B8B755D" w:rsidR="0024160F" w:rsidRPr="00AB044E" w:rsidRDefault="0024160F" w:rsidP="0024160F">
            <w:pPr>
              <w:spacing w:line="240" w:lineRule="auto"/>
              <w:rPr>
                <w:sz w:val="20"/>
                <w:szCs w:val="20"/>
              </w:rPr>
            </w:pPr>
            <w:r>
              <w:rPr>
                <w:b/>
                <w:sz w:val="20"/>
                <w:szCs w:val="20"/>
              </w:rPr>
              <w:t>Implementation approach</w:t>
            </w:r>
          </w:p>
        </w:tc>
      </w:tr>
      <w:tr w:rsidR="00390CE2" w14:paraId="3D69AC44" w14:textId="77777777" w:rsidTr="00AB044E">
        <w:trPr>
          <w:trHeight w:val="2719"/>
        </w:trPr>
        <w:tc>
          <w:tcPr>
            <w:tcW w:w="3537" w:type="pct"/>
          </w:tcPr>
          <w:p w14:paraId="51CF6438" w14:textId="60E07DDE" w:rsidR="00AB044E" w:rsidRPr="00AB044E" w:rsidRDefault="00AB044E" w:rsidP="00AB044E">
            <w:pPr>
              <w:spacing w:after="0" w:line="240" w:lineRule="auto"/>
              <w:rPr>
                <w:bCs/>
                <w:sz w:val="20"/>
                <w:szCs w:val="20"/>
                <w:lang w:bidi="th-TH"/>
              </w:rPr>
            </w:pPr>
            <w:r w:rsidRPr="00AB044E">
              <w:rPr>
                <w:b/>
                <w:sz w:val="20"/>
                <w:szCs w:val="20"/>
                <w:lang w:bidi="th-TH"/>
              </w:rPr>
              <w:t xml:space="preserve">Option 2 (Non-regulatory): </w:t>
            </w:r>
            <w:r w:rsidRPr="00AB044E">
              <w:rPr>
                <w:bCs/>
                <w:sz w:val="20"/>
                <w:szCs w:val="20"/>
                <w:lang w:bidi="th-TH"/>
              </w:rPr>
              <w:t xml:space="preserve">Additional guidance about current WWCC and teacher registration/accreditation requirements and the importance of WWCCs in conjunction with the implementation of child safety training (refer to Chapter 6). </w:t>
            </w:r>
          </w:p>
          <w:p w14:paraId="1C449602" w14:textId="1F498A1D" w:rsidR="00AB044E" w:rsidRPr="00AB044E" w:rsidRDefault="00AB044E" w:rsidP="00AB044E">
            <w:pPr>
              <w:spacing w:after="0" w:line="240" w:lineRule="auto"/>
              <w:rPr>
                <w:bCs/>
                <w:sz w:val="20"/>
                <w:szCs w:val="20"/>
                <w:lang w:bidi="th-TH"/>
              </w:rPr>
            </w:pPr>
            <w:r w:rsidRPr="00AB044E">
              <w:rPr>
                <w:bCs/>
                <w:sz w:val="20"/>
                <w:szCs w:val="20"/>
                <w:lang w:bidi="th-TH"/>
              </w:rPr>
              <w:t xml:space="preserve">Guidance to include the following recommended </w:t>
            </w:r>
            <w:r w:rsidR="0072613D">
              <w:rPr>
                <w:bCs/>
                <w:sz w:val="20"/>
                <w:szCs w:val="20"/>
                <w:lang w:bidi="th-TH"/>
              </w:rPr>
              <w:t>‘</w:t>
            </w:r>
            <w:r w:rsidRPr="00AB044E">
              <w:rPr>
                <w:bCs/>
                <w:sz w:val="20"/>
                <w:szCs w:val="20"/>
                <w:lang w:bidi="th-TH"/>
              </w:rPr>
              <w:t>best practice</w:t>
            </w:r>
            <w:r w:rsidR="0072613D">
              <w:rPr>
                <w:bCs/>
                <w:sz w:val="20"/>
                <w:szCs w:val="20"/>
                <w:lang w:bidi="th-TH"/>
              </w:rPr>
              <w:t>’</w:t>
            </w:r>
            <w:r w:rsidR="00C759D3">
              <w:rPr>
                <w:bCs/>
                <w:sz w:val="20"/>
                <w:szCs w:val="20"/>
                <w:lang w:bidi="th-TH"/>
              </w:rPr>
              <w:t xml:space="preserve"> </w:t>
            </w:r>
            <w:r w:rsidRPr="00AB044E">
              <w:rPr>
                <w:bCs/>
                <w:sz w:val="20"/>
                <w:szCs w:val="20"/>
                <w:lang w:bidi="th-TH"/>
              </w:rPr>
              <w:t>approaches:</w:t>
            </w:r>
          </w:p>
          <w:p w14:paraId="5B15FEB7" w14:textId="77777777" w:rsidR="00AB044E" w:rsidRPr="00AB044E" w:rsidRDefault="00AB044E" w:rsidP="00EC53AB">
            <w:pPr>
              <w:pStyle w:val="ListParagraph"/>
              <w:numPr>
                <w:ilvl w:val="0"/>
                <w:numId w:val="117"/>
              </w:numPr>
              <w:spacing w:after="0" w:line="240" w:lineRule="auto"/>
              <w:rPr>
                <w:bCs/>
                <w:sz w:val="20"/>
                <w:szCs w:val="20"/>
                <w:lang w:bidi="th-TH"/>
              </w:rPr>
            </w:pPr>
            <w:r w:rsidRPr="00AB044E">
              <w:rPr>
                <w:bCs/>
                <w:sz w:val="20"/>
                <w:szCs w:val="20"/>
                <w:lang w:bidi="th-TH"/>
              </w:rPr>
              <w:t>confirmation of a WWCC record in staff file prior to working in a service (all staff and volunteers)</w:t>
            </w:r>
          </w:p>
          <w:p w14:paraId="5B93A675" w14:textId="441B0184" w:rsidR="00390CE2" w:rsidRPr="00AB044E" w:rsidRDefault="00AB044E" w:rsidP="00EC53AB">
            <w:pPr>
              <w:pStyle w:val="ListParagraph"/>
              <w:numPr>
                <w:ilvl w:val="0"/>
                <w:numId w:val="117"/>
              </w:numPr>
              <w:spacing w:after="0" w:line="240" w:lineRule="auto"/>
              <w:rPr>
                <w:bCs/>
                <w:sz w:val="20"/>
                <w:szCs w:val="20"/>
                <w:lang w:bidi="th-TH"/>
              </w:rPr>
            </w:pPr>
            <w:r w:rsidRPr="00AB044E">
              <w:rPr>
                <w:bCs/>
                <w:sz w:val="20"/>
                <w:szCs w:val="20"/>
                <w:lang w:bidi="th-TH"/>
              </w:rPr>
              <w:t>check WWCC status every 6 months (in jurisdictions where approved providers are not already notified by the relevant WWCC agency).</w:t>
            </w:r>
          </w:p>
        </w:tc>
        <w:tc>
          <w:tcPr>
            <w:tcW w:w="1463" w:type="pct"/>
          </w:tcPr>
          <w:p w14:paraId="4A65C5FF" w14:textId="77777777" w:rsidR="00390CE2" w:rsidRPr="00AB044E" w:rsidRDefault="00390CE2">
            <w:pPr>
              <w:rPr>
                <w:sz w:val="20"/>
                <w:szCs w:val="20"/>
              </w:rPr>
            </w:pPr>
            <w:r w:rsidRPr="00AB044E">
              <w:rPr>
                <w:sz w:val="20"/>
                <w:szCs w:val="20"/>
              </w:rPr>
              <w:t>To be implemented in full</w:t>
            </w:r>
          </w:p>
        </w:tc>
      </w:tr>
      <w:tr w:rsidR="00390CE2" w14:paraId="5A425E6F" w14:textId="77777777">
        <w:trPr>
          <w:trHeight w:val="1155"/>
        </w:trPr>
        <w:tc>
          <w:tcPr>
            <w:tcW w:w="3537" w:type="pct"/>
          </w:tcPr>
          <w:p w14:paraId="1A02845F" w14:textId="077F43A7" w:rsidR="00390CE2" w:rsidRPr="00AB044E" w:rsidRDefault="00390CE2">
            <w:pPr>
              <w:spacing w:after="0" w:line="240" w:lineRule="auto"/>
              <w:rPr>
                <w:sz w:val="20"/>
                <w:szCs w:val="20"/>
                <w:lang w:bidi="th-TH"/>
              </w:rPr>
            </w:pPr>
            <w:r w:rsidRPr="00AB044E">
              <w:rPr>
                <w:b/>
                <w:sz w:val="20"/>
                <w:szCs w:val="20"/>
                <w:lang w:bidi="th-TH"/>
              </w:rPr>
              <w:t>Option 3 (Regulatory)</w:t>
            </w:r>
            <w:r w:rsidR="00785F88">
              <w:rPr>
                <w:b/>
                <w:sz w:val="20"/>
                <w:szCs w:val="20"/>
                <w:lang w:bidi="th-TH"/>
              </w:rPr>
              <w:t>:</w:t>
            </w:r>
            <w:r w:rsidRPr="00AB044E">
              <w:rPr>
                <w:b/>
                <w:sz w:val="20"/>
                <w:szCs w:val="20"/>
                <w:lang w:bidi="th-TH"/>
              </w:rPr>
              <w:t xml:space="preserve"> </w:t>
            </w:r>
            <w:r w:rsidRPr="00AB044E">
              <w:rPr>
                <w:sz w:val="20"/>
                <w:szCs w:val="20"/>
                <w:lang w:bidi="th-TH"/>
              </w:rPr>
              <w:t xml:space="preserve">Amend the National Regulations and National Law </w:t>
            </w:r>
            <w:r w:rsidR="00785F88">
              <w:rPr>
                <w:sz w:val="20"/>
                <w:szCs w:val="20"/>
                <w:lang w:bidi="th-TH"/>
              </w:rPr>
              <w:t>:</w:t>
            </w:r>
          </w:p>
          <w:p w14:paraId="6D9CF7EA" w14:textId="77777777" w:rsidR="00390CE2" w:rsidRPr="00AB044E" w:rsidRDefault="00390CE2" w:rsidP="00EC53AB">
            <w:pPr>
              <w:pStyle w:val="ListParagraph"/>
              <w:numPr>
                <w:ilvl w:val="0"/>
                <w:numId w:val="102"/>
              </w:numPr>
              <w:spacing w:after="0" w:line="240" w:lineRule="auto"/>
              <w:rPr>
                <w:b/>
                <w:sz w:val="20"/>
                <w:szCs w:val="20"/>
                <w:lang w:bidi="th-TH"/>
              </w:rPr>
            </w:pPr>
            <w:r w:rsidRPr="00AB044E">
              <w:rPr>
                <w:sz w:val="20"/>
                <w:szCs w:val="20"/>
                <w:lang w:bidi="th-TH"/>
              </w:rPr>
              <w:t xml:space="preserve">New requirement for all centre-based staff and FDC educators to notify their approved provider of a change in WWCC or teacher registration/ accreditation status (in NSW, TAS, ACT and NT only). </w:t>
            </w:r>
            <w:r w:rsidRPr="00AB044E">
              <w:rPr>
                <w:sz w:val="20"/>
                <w:szCs w:val="20"/>
                <w:lang w:bidi="th-TH"/>
              </w:rPr>
              <w:br/>
            </w:r>
            <w:r w:rsidRPr="00AB044E">
              <w:rPr>
                <w:b/>
                <w:sz w:val="20"/>
                <w:szCs w:val="20"/>
                <w:lang w:bidi="th-TH"/>
              </w:rPr>
              <w:t>AND</w:t>
            </w:r>
          </w:p>
        </w:tc>
        <w:tc>
          <w:tcPr>
            <w:tcW w:w="1463" w:type="pct"/>
          </w:tcPr>
          <w:p w14:paraId="39DFD02F" w14:textId="16BA670D" w:rsidR="00390CE2" w:rsidRPr="00AB044E" w:rsidRDefault="00390CE2">
            <w:pPr>
              <w:rPr>
                <w:sz w:val="20"/>
                <w:szCs w:val="20"/>
              </w:rPr>
            </w:pPr>
            <w:r w:rsidRPr="00AB044E">
              <w:rPr>
                <w:sz w:val="20"/>
                <w:szCs w:val="20"/>
              </w:rPr>
              <w:t>To be implemented in full</w:t>
            </w:r>
            <w:r w:rsidRPr="00AB044E" w:rsidDel="00F92707">
              <w:rPr>
                <w:sz w:val="20"/>
                <w:szCs w:val="20"/>
              </w:rPr>
              <w:t xml:space="preserve"> </w:t>
            </w:r>
          </w:p>
        </w:tc>
      </w:tr>
      <w:tr w:rsidR="00390CE2" w14:paraId="7C405756" w14:textId="77777777">
        <w:trPr>
          <w:trHeight w:val="1155"/>
        </w:trPr>
        <w:tc>
          <w:tcPr>
            <w:tcW w:w="3537" w:type="pct"/>
          </w:tcPr>
          <w:p w14:paraId="3F2DAD7A" w14:textId="25E7E57C" w:rsidR="00390CE2" w:rsidRPr="00AB044E" w:rsidRDefault="00390CE2" w:rsidP="00EC53AB">
            <w:pPr>
              <w:pStyle w:val="ListParagraph"/>
              <w:numPr>
                <w:ilvl w:val="0"/>
                <w:numId w:val="102"/>
              </w:numPr>
              <w:spacing w:after="0" w:line="240" w:lineRule="auto"/>
              <w:rPr>
                <w:sz w:val="20"/>
                <w:szCs w:val="20"/>
                <w:lang w:bidi="th-TH"/>
              </w:rPr>
            </w:pPr>
            <w:r w:rsidRPr="00AB044E">
              <w:rPr>
                <w:sz w:val="20"/>
                <w:szCs w:val="20"/>
                <w:lang w:bidi="th-TH"/>
              </w:rPr>
              <w:t>New requirement for approved providers to notify the Regulatory Authority of a change in WWCC or teacher registration/accreditation status for all staff with penalties/offences for non-compliance, (in all jurisdictions except QLD and WA. Also, an exemption in SA in instances where changes to WWCC status is directly communicated to the Regulatory Authority).</w:t>
            </w:r>
          </w:p>
        </w:tc>
        <w:tc>
          <w:tcPr>
            <w:tcW w:w="1463" w:type="pct"/>
          </w:tcPr>
          <w:p w14:paraId="56650367" w14:textId="77777777" w:rsidR="00390CE2" w:rsidRPr="00AB044E" w:rsidRDefault="00390CE2">
            <w:pPr>
              <w:rPr>
                <w:sz w:val="20"/>
                <w:szCs w:val="20"/>
              </w:rPr>
            </w:pPr>
            <w:r w:rsidRPr="00AB044E">
              <w:rPr>
                <w:sz w:val="20"/>
                <w:szCs w:val="20"/>
              </w:rPr>
              <w:t>To be implemented in full</w:t>
            </w:r>
          </w:p>
        </w:tc>
      </w:tr>
    </w:tbl>
    <w:p w14:paraId="4B63850A" w14:textId="77777777" w:rsidR="00390CE2" w:rsidRDefault="00390CE2" w:rsidP="00390CE2">
      <w:pPr>
        <w:rPr>
          <w:lang w:val="en-GB"/>
        </w:rPr>
      </w:pPr>
    </w:p>
    <w:p w14:paraId="749244A1" w14:textId="1B3C8EF1" w:rsidR="00390CE2" w:rsidRDefault="00E57128" w:rsidP="00E57128">
      <w:pPr>
        <w:rPr>
          <w:rFonts w:cs="Arial"/>
          <w:bCs/>
          <w:color w:val="006B77"/>
          <w:sz w:val="28"/>
          <w:szCs w:val="28"/>
          <w:lang w:val="en-GB"/>
        </w:rPr>
      </w:pPr>
      <w:bookmarkStart w:id="21" w:name="_Hlk203425924"/>
      <w:r w:rsidRPr="00E57128">
        <w:t xml:space="preserve">Based on analysis included in this DRIS, the options with the highest net benefit to be provided to Education Ministers for consideration are options 2, 3A and 3B. The MCA analysis indicates that these options in tandem would generate the most significant improvements to child safety and provide a nationally consistent approach in education and care services under the NQF. </w:t>
      </w:r>
      <w:r w:rsidR="002E59FA">
        <w:t>If implementing these options, i</w:t>
      </w:r>
      <w:r w:rsidRPr="00E57128">
        <w:t xml:space="preserve">ndividual states and territories </w:t>
      </w:r>
      <w:r w:rsidR="002E59FA">
        <w:t>would</w:t>
      </w:r>
      <w:r w:rsidRPr="00E57128">
        <w:t xml:space="preserve"> undertake additional work to support implementation of regulatory options, given jurisdictional variances in WWCC processes.</w:t>
      </w:r>
      <w:r w:rsidR="00390CE2">
        <w:rPr>
          <w:lang w:val="en-GB"/>
        </w:rPr>
        <w:br w:type="page"/>
      </w:r>
    </w:p>
    <w:p w14:paraId="2A5FBF90" w14:textId="77777777" w:rsidR="00390CE2" w:rsidRDefault="00390CE2" w:rsidP="00390CE2">
      <w:pPr>
        <w:pStyle w:val="Heading2"/>
        <w:rPr>
          <w:sz w:val="28"/>
          <w:szCs w:val="28"/>
          <w:lang w:val="en-GB"/>
        </w:rPr>
      </w:pPr>
      <w:bookmarkStart w:id="22" w:name="_Toc203576930"/>
      <w:bookmarkStart w:id="23" w:name="_Toc205884869"/>
      <w:r w:rsidRPr="00535266">
        <w:rPr>
          <w:lang w:val="en-GB"/>
        </w:rPr>
        <w:lastRenderedPageBreak/>
        <w:t>Improving the safety of the physical service environment</w:t>
      </w:r>
      <w:bookmarkEnd w:id="22"/>
      <w:bookmarkEnd w:id="23"/>
    </w:p>
    <w:p w14:paraId="3644C085" w14:textId="1E9814C6" w:rsidR="00390CE2" w:rsidRDefault="00390CE2" w:rsidP="00390CE2">
      <w:pPr>
        <w:rPr>
          <w:lang w:val="en-GB"/>
        </w:rPr>
      </w:pPr>
      <w:r w:rsidRPr="00535266">
        <w:rPr>
          <w:lang w:val="en-GB"/>
        </w:rPr>
        <w:t>Improving the safety of the physical service environment</w:t>
      </w:r>
      <w:r>
        <w:rPr>
          <w:lang w:val="en-GB"/>
        </w:rPr>
        <w:t xml:space="preserve"> </w:t>
      </w:r>
      <w:r w:rsidRPr="007C680B">
        <w:rPr>
          <w:lang w:val="en-GB"/>
        </w:rPr>
        <w:t xml:space="preserve">is discussed in further detail in </w:t>
      </w:r>
      <w:hyperlink w:anchor="_9._Improving_the" w:history="1">
        <w:r w:rsidR="00DA38F1" w:rsidRPr="006178E3">
          <w:rPr>
            <w:rStyle w:val="Hyperlink"/>
            <w:lang w:val="en-GB"/>
          </w:rPr>
          <w:t>Chapter 9</w:t>
        </w:r>
      </w:hyperlink>
      <w:r w:rsidR="00DA38F1">
        <w:rPr>
          <w:lang w:val="en-GB"/>
        </w:rPr>
        <w:t>.</w:t>
      </w:r>
    </w:p>
    <w:bookmarkEnd w:id="21"/>
    <w:p w14:paraId="069A738E" w14:textId="77777777" w:rsidR="00390CE2" w:rsidRDefault="00390CE2" w:rsidP="00390CE2">
      <w:pPr>
        <w:pStyle w:val="Heading4"/>
        <w:rPr>
          <w:lang w:val="en-GB"/>
        </w:rPr>
      </w:pPr>
      <w:r w:rsidRPr="004C01B6">
        <w:rPr>
          <w:lang w:val="en-GB"/>
        </w:rPr>
        <w:t>Service and temporary waivers for the design of premises (to facilitate supervision of children)</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service and temporary waivers for the design of premises (to facilitate supervision of children)."/>
      </w:tblPr>
      <w:tblGrid>
        <w:gridCol w:w="6386"/>
        <w:gridCol w:w="2641"/>
      </w:tblGrid>
      <w:tr w:rsidR="0024160F" w14:paraId="3F8EFCC5" w14:textId="77777777">
        <w:trPr>
          <w:cnfStyle w:val="100000000000" w:firstRow="1" w:lastRow="0" w:firstColumn="0" w:lastColumn="0" w:oddVBand="0" w:evenVBand="0" w:oddHBand="0" w:evenHBand="0" w:firstRowFirstColumn="0" w:firstRowLastColumn="0" w:lastRowFirstColumn="0" w:lastRowLastColumn="0"/>
          <w:trHeight w:val="383"/>
        </w:trPr>
        <w:tc>
          <w:tcPr>
            <w:tcW w:w="3537" w:type="pct"/>
          </w:tcPr>
          <w:p w14:paraId="6E4FBBC4" w14:textId="72549038" w:rsidR="0024160F" w:rsidRPr="00785F88"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463" w:type="pct"/>
          </w:tcPr>
          <w:p w14:paraId="03E33C5A" w14:textId="312DA928" w:rsidR="0024160F" w:rsidRPr="00785F88" w:rsidRDefault="0024160F" w:rsidP="0024160F">
            <w:pPr>
              <w:spacing w:line="240" w:lineRule="auto"/>
              <w:rPr>
                <w:sz w:val="20"/>
                <w:szCs w:val="20"/>
              </w:rPr>
            </w:pPr>
            <w:r>
              <w:rPr>
                <w:b/>
                <w:sz w:val="20"/>
                <w:szCs w:val="20"/>
              </w:rPr>
              <w:t>Implementation approach</w:t>
            </w:r>
          </w:p>
        </w:tc>
      </w:tr>
      <w:tr w:rsidR="00390CE2" w14:paraId="4BA10A28" w14:textId="77777777" w:rsidTr="00785F88">
        <w:trPr>
          <w:trHeight w:val="885"/>
        </w:trPr>
        <w:tc>
          <w:tcPr>
            <w:tcW w:w="3537" w:type="pct"/>
          </w:tcPr>
          <w:p w14:paraId="6B83F49F" w14:textId="35A3B7D1" w:rsidR="00390CE2" w:rsidRPr="00785F88" w:rsidRDefault="00390CE2">
            <w:pPr>
              <w:spacing w:after="0" w:line="240" w:lineRule="auto"/>
              <w:rPr>
                <w:bCs/>
                <w:i/>
                <w:iCs/>
                <w:sz w:val="20"/>
                <w:szCs w:val="20"/>
                <w:lang w:bidi="th-TH"/>
              </w:rPr>
            </w:pPr>
            <w:r w:rsidRPr="00785F88">
              <w:rPr>
                <w:b/>
                <w:sz w:val="20"/>
                <w:szCs w:val="20"/>
                <w:lang w:bidi="th-TH"/>
              </w:rPr>
              <w:t>Option 2 (Non-regulatory)</w:t>
            </w:r>
            <w:r w:rsidR="00785F88" w:rsidRPr="00785F88">
              <w:rPr>
                <w:b/>
                <w:sz w:val="20"/>
                <w:szCs w:val="20"/>
                <w:lang w:bidi="th-TH"/>
              </w:rPr>
              <w:t>:</w:t>
            </w:r>
            <w:r w:rsidRPr="00785F88">
              <w:rPr>
                <w:bCs/>
                <w:sz w:val="20"/>
                <w:szCs w:val="20"/>
                <w:lang w:bidi="th-TH"/>
              </w:rPr>
              <w:t xml:space="preserve"> Providing guidance to promote the importance of designing and maintaining premises in a way that facilitates supervision of children at all times.</w:t>
            </w:r>
          </w:p>
        </w:tc>
        <w:tc>
          <w:tcPr>
            <w:tcW w:w="1463" w:type="pct"/>
          </w:tcPr>
          <w:p w14:paraId="404C568C" w14:textId="77777777" w:rsidR="00390CE2" w:rsidRPr="00785F88" w:rsidRDefault="00390CE2">
            <w:pPr>
              <w:rPr>
                <w:sz w:val="20"/>
                <w:szCs w:val="20"/>
              </w:rPr>
            </w:pPr>
            <w:r w:rsidRPr="00785F88">
              <w:rPr>
                <w:sz w:val="20"/>
                <w:szCs w:val="20"/>
              </w:rPr>
              <w:t>To be implemented in full</w:t>
            </w:r>
          </w:p>
        </w:tc>
      </w:tr>
      <w:tr w:rsidR="00390CE2" w14:paraId="319D8FB7" w14:textId="77777777">
        <w:trPr>
          <w:trHeight w:val="1155"/>
        </w:trPr>
        <w:tc>
          <w:tcPr>
            <w:tcW w:w="3537" w:type="pct"/>
          </w:tcPr>
          <w:p w14:paraId="7C0F7D70" w14:textId="3817FAEC" w:rsidR="00390CE2" w:rsidRDefault="00390CE2">
            <w:pPr>
              <w:spacing w:after="0" w:line="240" w:lineRule="auto"/>
              <w:rPr>
                <w:sz w:val="20"/>
                <w:szCs w:val="20"/>
                <w:lang w:bidi="th-TH"/>
              </w:rPr>
            </w:pPr>
            <w:r w:rsidRPr="00785F88">
              <w:rPr>
                <w:b/>
                <w:sz w:val="20"/>
                <w:szCs w:val="20"/>
                <w:lang w:bidi="th-TH"/>
              </w:rPr>
              <w:t>Option 3 (Regulatory)</w:t>
            </w:r>
            <w:r w:rsidR="00785F88" w:rsidRPr="00785F88">
              <w:rPr>
                <w:b/>
                <w:sz w:val="20"/>
                <w:szCs w:val="20"/>
                <w:lang w:bidi="th-TH"/>
              </w:rPr>
              <w:t>:</w:t>
            </w:r>
            <w:r w:rsidRPr="00785F88">
              <w:rPr>
                <w:sz w:val="20"/>
                <w:szCs w:val="20"/>
                <w:lang w:bidi="th-TH"/>
              </w:rPr>
              <w:t xml:space="preserve"> Amend the National Regulations to remove the ability to apply for service waivers of regulation 115. This option means the ability to apply for a temporary waiver of regulation 115 remains in place for short-term emergent circumstances, with suitable risk mitigation required.</w:t>
            </w:r>
          </w:p>
          <w:p w14:paraId="2F706A43" w14:textId="77777777" w:rsidR="00CD5A03" w:rsidRPr="00785F88" w:rsidRDefault="00CD5A03">
            <w:pPr>
              <w:spacing w:after="0" w:line="240" w:lineRule="auto"/>
              <w:rPr>
                <w:sz w:val="20"/>
                <w:szCs w:val="20"/>
                <w:lang w:bidi="th-TH"/>
              </w:rPr>
            </w:pPr>
          </w:p>
          <w:p w14:paraId="794C3AE1" w14:textId="77777777" w:rsidR="00390CE2" w:rsidRPr="00785F88" w:rsidRDefault="00390CE2">
            <w:pPr>
              <w:spacing w:after="0" w:line="240" w:lineRule="auto"/>
              <w:rPr>
                <w:sz w:val="20"/>
                <w:szCs w:val="20"/>
                <w:lang w:bidi="th-TH"/>
              </w:rPr>
            </w:pPr>
            <w:r w:rsidRPr="00785F88">
              <w:rPr>
                <w:sz w:val="20"/>
                <w:szCs w:val="20"/>
                <w:lang w:bidi="th-TH"/>
              </w:rPr>
              <w:t>This amendment will have no impact on existing regulation 115 waivers.</w:t>
            </w:r>
          </w:p>
        </w:tc>
        <w:tc>
          <w:tcPr>
            <w:tcW w:w="1463" w:type="pct"/>
          </w:tcPr>
          <w:p w14:paraId="7C7BBA0D" w14:textId="77777777" w:rsidR="00390CE2" w:rsidRPr="00785F88" w:rsidRDefault="00390CE2">
            <w:pPr>
              <w:rPr>
                <w:sz w:val="20"/>
                <w:szCs w:val="20"/>
              </w:rPr>
            </w:pPr>
            <w:r w:rsidRPr="00785F88">
              <w:rPr>
                <w:sz w:val="20"/>
                <w:szCs w:val="20"/>
              </w:rPr>
              <w:t>To be implemented in full</w:t>
            </w:r>
          </w:p>
        </w:tc>
      </w:tr>
    </w:tbl>
    <w:p w14:paraId="049F373A" w14:textId="77777777" w:rsidR="00390CE2" w:rsidRDefault="00390CE2" w:rsidP="00390CE2">
      <w:pPr>
        <w:rPr>
          <w:lang w:val="en-GB"/>
        </w:rPr>
      </w:pPr>
    </w:p>
    <w:p w14:paraId="6B165414" w14:textId="6FE782F3" w:rsidR="00390CE2" w:rsidRDefault="00E57128" w:rsidP="00390CE2">
      <w:pPr>
        <w:spacing w:after="160"/>
        <w:rPr>
          <w:rFonts w:cs="Arial"/>
          <w:b/>
          <w:bCs/>
          <w:i/>
          <w:iCs/>
          <w:color w:val="006B77"/>
          <w:szCs w:val="20"/>
          <w:lang w:val="en-GB"/>
        </w:rPr>
      </w:pPr>
      <w:r w:rsidRPr="00E57128">
        <w:rPr>
          <w:lang w:val="en-GB"/>
        </w:rPr>
        <w:t xml:space="preserve">Based on analysis included in this DRIS, the options with the highest net benefit to be provided to Education Ministers for consideration are options 2 and 3. This preference is on the basis that these options that would generate most significant improvements to child safety even after accounting for potential implementation costs. </w:t>
      </w:r>
      <w:r w:rsidR="00390CE2" w:rsidRPr="008140E4">
        <w:rPr>
          <w:lang w:val="en-GB"/>
        </w:rPr>
        <w:t>I</w:t>
      </w:r>
      <w:r w:rsidR="002E59FA">
        <w:rPr>
          <w:lang w:val="en-GB"/>
        </w:rPr>
        <w:t>f</w:t>
      </w:r>
      <w:r w:rsidR="00390CE2" w:rsidRPr="008140E4">
        <w:rPr>
          <w:lang w:val="en-GB"/>
        </w:rPr>
        <w:t xml:space="preserve"> proceeding to implement this option, </w:t>
      </w:r>
      <w:r w:rsidR="002E59FA">
        <w:rPr>
          <w:lang w:val="en-GB"/>
        </w:rPr>
        <w:t>state and territory governments</w:t>
      </w:r>
      <w:r w:rsidR="00390CE2" w:rsidRPr="008140E4">
        <w:rPr>
          <w:lang w:val="en-GB"/>
        </w:rPr>
        <w:t xml:space="preserve"> </w:t>
      </w:r>
      <w:r w:rsidR="002E59FA">
        <w:rPr>
          <w:lang w:val="en-GB"/>
        </w:rPr>
        <w:t>would</w:t>
      </w:r>
      <w:r w:rsidR="00390CE2" w:rsidRPr="008140E4">
        <w:rPr>
          <w:lang w:val="en-GB"/>
        </w:rPr>
        <w:t xml:space="preserve"> develop communication to confirm that option 3 removes the ability to apply for a service waiver but will not impact any an existing waiver of regulation 115. This limits the impact of proposed reforms on education and care services with an existing waiver in place.</w:t>
      </w:r>
    </w:p>
    <w:p w14:paraId="52A48351" w14:textId="77777777" w:rsidR="00390CE2" w:rsidRDefault="00390CE2" w:rsidP="00390CE2">
      <w:pPr>
        <w:spacing w:after="160" w:line="259" w:lineRule="auto"/>
        <w:rPr>
          <w:rFonts w:cs="Arial"/>
          <w:b/>
          <w:bCs/>
          <w:i/>
          <w:iCs/>
          <w:color w:val="006B77"/>
          <w:szCs w:val="20"/>
          <w:lang w:val="en-GB"/>
        </w:rPr>
      </w:pPr>
      <w:r>
        <w:rPr>
          <w:lang w:val="en-GB"/>
        </w:rPr>
        <w:br w:type="page"/>
      </w:r>
    </w:p>
    <w:p w14:paraId="0C4EA49A" w14:textId="77777777" w:rsidR="00390CE2" w:rsidRDefault="00390CE2" w:rsidP="00390CE2">
      <w:pPr>
        <w:pStyle w:val="Heading4"/>
        <w:rPr>
          <w:lang w:val="en-GB"/>
        </w:rPr>
      </w:pPr>
      <w:r w:rsidRPr="00C6196D">
        <w:rPr>
          <w:lang w:val="en-GB"/>
        </w:rPr>
        <w:lastRenderedPageBreak/>
        <w:t xml:space="preserve">Requiring approved providers to assess not just the FDC residence, but areas near the residence </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requiring approved providers to assess not just the FDC residence, but areas near the residence."/>
      </w:tblPr>
      <w:tblGrid>
        <w:gridCol w:w="6386"/>
        <w:gridCol w:w="2641"/>
      </w:tblGrid>
      <w:tr w:rsidR="0024160F" w14:paraId="2A938D22" w14:textId="77777777">
        <w:trPr>
          <w:cnfStyle w:val="100000000000" w:firstRow="1" w:lastRow="0" w:firstColumn="0" w:lastColumn="0" w:oddVBand="0" w:evenVBand="0" w:oddHBand="0" w:evenHBand="0" w:firstRowFirstColumn="0" w:firstRowLastColumn="0" w:lastRowFirstColumn="0" w:lastRowLastColumn="0"/>
          <w:trHeight w:val="383"/>
        </w:trPr>
        <w:tc>
          <w:tcPr>
            <w:tcW w:w="3537" w:type="pct"/>
          </w:tcPr>
          <w:p w14:paraId="400D6A2F" w14:textId="3FBF4444" w:rsidR="0024160F" w:rsidRPr="00B82088"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463" w:type="pct"/>
          </w:tcPr>
          <w:p w14:paraId="5DAF566D" w14:textId="27AAAB4A" w:rsidR="0024160F" w:rsidRPr="00B82088" w:rsidRDefault="0024160F" w:rsidP="0024160F">
            <w:pPr>
              <w:spacing w:line="240" w:lineRule="auto"/>
              <w:rPr>
                <w:sz w:val="20"/>
                <w:szCs w:val="20"/>
              </w:rPr>
            </w:pPr>
            <w:r>
              <w:rPr>
                <w:b/>
                <w:sz w:val="20"/>
                <w:szCs w:val="20"/>
              </w:rPr>
              <w:t>Implementation approach</w:t>
            </w:r>
          </w:p>
        </w:tc>
      </w:tr>
      <w:tr w:rsidR="00390CE2" w14:paraId="3EF6648F" w14:textId="77777777">
        <w:trPr>
          <w:trHeight w:val="1155"/>
        </w:trPr>
        <w:tc>
          <w:tcPr>
            <w:tcW w:w="3537" w:type="pct"/>
          </w:tcPr>
          <w:p w14:paraId="799A1CA7" w14:textId="3B19E034" w:rsidR="00390CE2" w:rsidRPr="00B82088" w:rsidRDefault="00390CE2">
            <w:pPr>
              <w:spacing w:after="0" w:line="240" w:lineRule="auto"/>
              <w:rPr>
                <w:bCs/>
                <w:sz w:val="20"/>
                <w:szCs w:val="20"/>
                <w:lang w:bidi="th-TH"/>
              </w:rPr>
            </w:pPr>
            <w:r w:rsidRPr="00B82088">
              <w:rPr>
                <w:b/>
                <w:sz w:val="20"/>
                <w:szCs w:val="20"/>
                <w:lang w:bidi="th-TH"/>
              </w:rPr>
              <w:t>Option 3 (Regulatory)</w:t>
            </w:r>
            <w:r w:rsidR="00CD5A03" w:rsidRPr="00B82088">
              <w:rPr>
                <w:b/>
                <w:sz w:val="20"/>
                <w:szCs w:val="20"/>
                <w:lang w:bidi="th-TH"/>
              </w:rPr>
              <w:t>:</w:t>
            </w:r>
            <w:r w:rsidRPr="00B82088">
              <w:rPr>
                <w:b/>
                <w:sz w:val="20"/>
                <w:szCs w:val="20"/>
                <w:lang w:bidi="th-TH"/>
              </w:rPr>
              <w:t xml:space="preserve"> </w:t>
            </w:r>
            <w:r w:rsidRPr="00B82088">
              <w:rPr>
                <w:bCs/>
                <w:sz w:val="20"/>
                <w:szCs w:val="20"/>
                <w:lang w:bidi="th-TH"/>
              </w:rPr>
              <w:t>Amend the National Regulations (regulation 116) to explicitly require assessment of not just the FDC residence but areas near the residence that may be accessible to children. Changes to apply to new assessments and each annual reassessment (not retrospectively), both of which are undertaken by approved providers.</w:t>
            </w:r>
          </w:p>
        </w:tc>
        <w:tc>
          <w:tcPr>
            <w:tcW w:w="1463" w:type="pct"/>
          </w:tcPr>
          <w:p w14:paraId="284A2190" w14:textId="77777777" w:rsidR="00390CE2" w:rsidRPr="00B82088" w:rsidRDefault="00390CE2">
            <w:pPr>
              <w:spacing w:after="0" w:line="240" w:lineRule="auto"/>
              <w:rPr>
                <w:sz w:val="20"/>
                <w:szCs w:val="20"/>
              </w:rPr>
            </w:pPr>
            <w:r w:rsidRPr="00B82088">
              <w:rPr>
                <w:sz w:val="20"/>
                <w:szCs w:val="20"/>
              </w:rPr>
              <w:t>To be implemented in full</w:t>
            </w:r>
          </w:p>
        </w:tc>
      </w:tr>
      <w:tr w:rsidR="00390CE2" w14:paraId="179D3985" w14:textId="77777777">
        <w:trPr>
          <w:trHeight w:val="1155"/>
        </w:trPr>
        <w:tc>
          <w:tcPr>
            <w:tcW w:w="3537" w:type="pct"/>
          </w:tcPr>
          <w:p w14:paraId="0D7C9439" w14:textId="02114D75" w:rsidR="00390CE2" w:rsidRPr="00B82088" w:rsidRDefault="00390CE2">
            <w:pPr>
              <w:spacing w:after="0" w:line="240" w:lineRule="auto"/>
              <w:rPr>
                <w:b/>
                <w:sz w:val="20"/>
                <w:szCs w:val="20"/>
                <w:lang w:bidi="th-TH"/>
              </w:rPr>
            </w:pPr>
            <w:r w:rsidRPr="00B82088">
              <w:rPr>
                <w:b/>
                <w:sz w:val="20"/>
                <w:szCs w:val="20"/>
                <w:lang w:bidi="th-TH"/>
              </w:rPr>
              <w:t>Option 4 (Regulatory)</w:t>
            </w:r>
            <w:r w:rsidR="00CD5A03" w:rsidRPr="00B82088">
              <w:rPr>
                <w:b/>
                <w:sz w:val="20"/>
                <w:szCs w:val="20"/>
                <w:lang w:bidi="th-TH"/>
              </w:rPr>
              <w:t>:</w:t>
            </w:r>
            <w:r w:rsidRPr="00B82088">
              <w:rPr>
                <w:b/>
                <w:sz w:val="20"/>
                <w:szCs w:val="20"/>
                <w:lang w:bidi="th-TH"/>
              </w:rPr>
              <w:t xml:space="preserve"> </w:t>
            </w:r>
            <w:r w:rsidRPr="00B82088">
              <w:rPr>
                <w:bCs/>
                <w:sz w:val="20"/>
                <w:szCs w:val="20"/>
                <w:lang w:bidi="th-TH"/>
              </w:rPr>
              <w:t>Amend the National Regulations (e.g. regulation 116) to formalise an approval process for the FDC service premises, as part of the FDC residence i.e. explicit requirement for approval from the approved provider to confirm areas that are used as the FDC service premises. This approval would apply to new FDC service premises. For existing premises, the approval should be confirmed or amended at each annual assessment undertaken by approved providers.</w:t>
            </w:r>
          </w:p>
        </w:tc>
        <w:tc>
          <w:tcPr>
            <w:tcW w:w="1463" w:type="pct"/>
          </w:tcPr>
          <w:p w14:paraId="7F4F131D" w14:textId="77777777" w:rsidR="00390CE2" w:rsidRPr="00B82088" w:rsidRDefault="00390CE2">
            <w:pPr>
              <w:rPr>
                <w:sz w:val="20"/>
                <w:szCs w:val="20"/>
              </w:rPr>
            </w:pPr>
            <w:r w:rsidRPr="00B82088">
              <w:rPr>
                <w:sz w:val="20"/>
                <w:szCs w:val="20"/>
              </w:rPr>
              <w:t>To be implemented in full</w:t>
            </w:r>
          </w:p>
        </w:tc>
      </w:tr>
    </w:tbl>
    <w:p w14:paraId="05B47212" w14:textId="77777777" w:rsidR="00390CE2" w:rsidRDefault="00390CE2" w:rsidP="00390CE2">
      <w:pPr>
        <w:rPr>
          <w:lang w:val="en-GB"/>
        </w:rPr>
      </w:pPr>
    </w:p>
    <w:p w14:paraId="7688CC57" w14:textId="5ADD232F" w:rsidR="00390CE2" w:rsidRDefault="00FF5FC5" w:rsidP="00390CE2">
      <w:pPr>
        <w:rPr>
          <w:lang w:val="en-GB"/>
        </w:rPr>
      </w:pPr>
      <w:r w:rsidRPr="00FF5FC5">
        <w:rPr>
          <w:lang w:val="en-GB"/>
        </w:rPr>
        <w:t xml:space="preserve">Based on analysis included in this DRIS, the options to be provided to Education Ministers for consideration are options 3 and 4. In terms of benefits, these options are expected to improve the consistency of FDC assessments and provide greater clarity to FDC educators on where education and care services are to take place and which in which areas all risks to child safety need to be mitigated. </w:t>
      </w:r>
      <w:r w:rsidR="00642800">
        <w:rPr>
          <w:lang w:val="en-GB"/>
        </w:rPr>
        <w:t xml:space="preserve">If proceeding to implementation, state and territory governments would </w:t>
      </w:r>
      <w:r w:rsidR="00390CE2" w:rsidRPr="00CD63BE">
        <w:rPr>
          <w:lang w:val="en-GB"/>
        </w:rPr>
        <w:t xml:space="preserve">work closely with the FDC sector to address a range of identified implementation considerations. This includes the provision of more prescriptive guidance </w:t>
      </w:r>
      <w:r w:rsidR="00390CE2">
        <w:rPr>
          <w:lang w:val="en-GB"/>
        </w:rPr>
        <w:t xml:space="preserve">alongside regulatory changes. </w:t>
      </w:r>
    </w:p>
    <w:p w14:paraId="79142175" w14:textId="77777777" w:rsidR="00390CE2" w:rsidRDefault="00390CE2" w:rsidP="00390CE2">
      <w:pPr>
        <w:spacing w:after="160" w:line="259" w:lineRule="auto"/>
        <w:rPr>
          <w:rFonts w:cs="Arial"/>
          <w:b/>
          <w:bCs/>
          <w:i/>
          <w:iCs/>
          <w:color w:val="006B77"/>
          <w:szCs w:val="20"/>
          <w:lang w:val="en-GB"/>
        </w:rPr>
      </w:pPr>
      <w:r>
        <w:rPr>
          <w:lang w:val="en-GB"/>
        </w:rPr>
        <w:br w:type="page"/>
      </w:r>
    </w:p>
    <w:p w14:paraId="14548F73" w14:textId="77777777" w:rsidR="00390CE2" w:rsidRDefault="00390CE2" w:rsidP="00390CE2">
      <w:pPr>
        <w:pStyle w:val="Heading4"/>
        <w:rPr>
          <w:lang w:val="en-GB"/>
        </w:rPr>
      </w:pPr>
      <w:r w:rsidRPr="00E539D2">
        <w:rPr>
          <w:lang w:val="en-GB"/>
        </w:rPr>
        <w:lastRenderedPageBreak/>
        <w:t>Enabling authorised officers to access areas of a FDC residence or property, beyond the service premises, in specific instances or for specific purposes</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enabling authorised officers to access areas of a FDC residence or property, beyond the service premises, in specific instances or for specific purposes."/>
      </w:tblPr>
      <w:tblGrid>
        <w:gridCol w:w="6386"/>
        <w:gridCol w:w="2641"/>
      </w:tblGrid>
      <w:tr w:rsidR="0024160F" w14:paraId="0F7F6464" w14:textId="77777777">
        <w:trPr>
          <w:cnfStyle w:val="100000000000" w:firstRow="1" w:lastRow="0" w:firstColumn="0" w:lastColumn="0" w:oddVBand="0" w:evenVBand="0" w:oddHBand="0" w:evenHBand="0" w:firstRowFirstColumn="0" w:firstRowLastColumn="0" w:lastRowFirstColumn="0" w:lastRowLastColumn="0"/>
          <w:trHeight w:val="383"/>
        </w:trPr>
        <w:tc>
          <w:tcPr>
            <w:tcW w:w="3537" w:type="pct"/>
          </w:tcPr>
          <w:p w14:paraId="0B0FF1B1" w14:textId="17015E56" w:rsidR="0024160F" w:rsidRPr="00B82088"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463" w:type="pct"/>
          </w:tcPr>
          <w:p w14:paraId="7DB7CEA4" w14:textId="2A8CD8F8" w:rsidR="0024160F" w:rsidRPr="00B82088" w:rsidRDefault="0024160F" w:rsidP="0024160F">
            <w:pPr>
              <w:spacing w:line="240" w:lineRule="auto"/>
              <w:rPr>
                <w:sz w:val="20"/>
                <w:szCs w:val="20"/>
              </w:rPr>
            </w:pPr>
            <w:r>
              <w:rPr>
                <w:b/>
                <w:sz w:val="20"/>
                <w:szCs w:val="20"/>
              </w:rPr>
              <w:t>Implementation approach</w:t>
            </w:r>
          </w:p>
        </w:tc>
      </w:tr>
      <w:tr w:rsidR="00390CE2" w14:paraId="3EF667CC" w14:textId="77777777">
        <w:trPr>
          <w:trHeight w:val="1155"/>
        </w:trPr>
        <w:tc>
          <w:tcPr>
            <w:tcW w:w="3537" w:type="pct"/>
          </w:tcPr>
          <w:p w14:paraId="525F0A8E" w14:textId="27A2F693" w:rsidR="00B82088" w:rsidRPr="00B82088" w:rsidRDefault="00390CE2" w:rsidP="00B82088">
            <w:pPr>
              <w:spacing w:after="0" w:line="240" w:lineRule="auto"/>
              <w:rPr>
                <w:bCs/>
                <w:sz w:val="20"/>
                <w:szCs w:val="20"/>
                <w:lang w:bidi="th-TH"/>
              </w:rPr>
            </w:pPr>
            <w:r w:rsidRPr="00B82088">
              <w:rPr>
                <w:b/>
                <w:sz w:val="20"/>
                <w:szCs w:val="20"/>
                <w:lang w:bidi="th-TH"/>
              </w:rPr>
              <w:t>Option 3 (Regulatory)</w:t>
            </w:r>
            <w:r w:rsidR="00B82088">
              <w:rPr>
                <w:b/>
                <w:sz w:val="20"/>
                <w:szCs w:val="20"/>
                <w:lang w:bidi="th-TH"/>
              </w:rPr>
              <w:t>:</w:t>
            </w:r>
            <w:r w:rsidRPr="00B82088">
              <w:rPr>
                <w:b/>
                <w:sz w:val="20"/>
                <w:szCs w:val="20"/>
                <w:lang w:bidi="th-TH"/>
              </w:rPr>
              <w:t xml:space="preserve"> </w:t>
            </w:r>
            <w:r w:rsidR="00B82088" w:rsidRPr="00B82088">
              <w:rPr>
                <w:bCs/>
                <w:sz w:val="20"/>
                <w:szCs w:val="20"/>
                <w:lang w:bidi="th-TH"/>
              </w:rPr>
              <w:t xml:space="preserve">Amend the National Law to enable authorised officers’ access to areas of a FDC residence or property, beyond the service premises, in specific instances or for specific purposes. </w:t>
            </w:r>
            <w:r w:rsidR="0083299E" w:rsidRPr="0083299E">
              <w:rPr>
                <w:bCs/>
                <w:sz w:val="20"/>
                <w:szCs w:val="20"/>
                <w:lang w:bidi="th-TH"/>
              </w:rPr>
              <w:t>The specific instances or purposes are:</w:t>
            </w:r>
          </w:p>
          <w:p w14:paraId="71643AF9" w14:textId="77777777" w:rsidR="00B82088" w:rsidRDefault="00B82088" w:rsidP="00EC53AB">
            <w:pPr>
              <w:pStyle w:val="ListParagraph"/>
              <w:numPr>
                <w:ilvl w:val="0"/>
                <w:numId w:val="118"/>
              </w:numPr>
              <w:spacing w:after="0" w:line="240" w:lineRule="auto"/>
              <w:rPr>
                <w:bCs/>
                <w:sz w:val="20"/>
                <w:szCs w:val="20"/>
                <w:lang w:bidi="th-TH"/>
              </w:rPr>
            </w:pPr>
            <w:r w:rsidRPr="00B82088">
              <w:rPr>
                <w:bCs/>
                <w:sz w:val="20"/>
                <w:szCs w:val="20"/>
                <w:lang w:bidi="th-TH"/>
              </w:rPr>
              <w:t xml:space="preserve">a serious incident has occurred, or the authorised officer reasonably suspects that a serious incident has occurred; </w:t>
            </w:r>
          </w:p>
          <w:p w14:paraId="4423F241" w14:textId="77777777" w:rsidR="00B82088" w:rsidRDefault="00B82088" w:rsidP="00EC53AB">
            <w:pPr>
              <w:pStyle w:val="ListParagraph"/>
              <w:numPr>
                <w:ilvl w:val="0"/>
                <w:numId w:val="118"/>
              </w:numPr>
              <w:spacing w:after="0" w:line="240" w:lineRule="auto"/>
              <w:rPr>
                <w:bCs/>
                <w:sz w:val="20"/>
                <w:szCs w:val="20"/>
                <w:lang w:bidi="th-TH"/>
              </w:rPr>
            </w:pPr>
            <w:r w:rsidRPr="00B82088">
              <w:rPr>
                <w:bCs/>
                <w:sz w:val="20"/>
                <w:szCs w:val="20"/>
                <w:lang w:bidi="th-TH"/>
              </w:rPr>
              <w:t>to assess or monitor compliance with regulation 116;</w:t>
            </w:r>
          </w:p>
          <w:p w14:paraId="253AF8B7" w14:textId="0AF3C046" w:rsidR="00390CE2" w:rsidRPr="00B82088" w:rsidRDefault="00B82088" w:rsidP="00EC53AB">
            <w:pPr>
              <w:pStyle w:val="ListParagraph"/>
              <w:numPr>
                <w:ilvl w:val="0"/>
                <w:numId w:val="118"/>
              </w:numPr>
              <w:spacing w:after="0" w:line="240" w:lineRule="auto"/>
              <w:rPr>
                <w:bCs/>
                <w:sz w:val="20"/>
                <w:szCs w:val="20"/>
                <w:lang w:bidi="th-TH"/>
              </w:rPr>
            </w:pPr>
            <w:r w:rsidRPr="00B82088">
              <w:rPr>
                <w:bCs/>
                <w:sz w:val="20"/>
                <w:szCs w:val="20"/>
                <w:lang w:bidi="th-TH"/>
              </w:rPr>
              <w:t>to assess or monitor compliance with regulation 97.</w:t>
            </w:r>
          </w:p>
        </w:tc>
        <w:tc>
          <w:tcPr>
            <w:tcW w:w="1463" w:type="pct"/>
          </w:tcPr>
          <w:p w14:paraId="62645AA5" w14:textId="77777777" w:rsidR="00390CE2" w:rsidRPr="00B82088" w:rsidRDefault="00390CE2">
            <w:pPr>
              <w:spacing w:after="0" w:line="240" w:lineRule="auto"/>
              <w:rPr>
                <w:sz w:val="20"/>
                <w:szCs w:val="20"/>
              </w:rPr>
            </w:pPr>
            <w:r w:rsidRPr="00B82088">
              <w:rPr>
                <w:sz w:val="20"/>
                <w:szCs w:val="20"/>
              </w:rPr>
              <w:t>To be implemented in full</w:t>
            </w:r>
          </w:p>
        </w:tc>
      </w:tr>
    </w:tbl>
    <w:p w14:paraId="0DF8E09E" w14:textId="77777777" w:rsidR="00390CE2" w:rsidRDefault="00390CE2" w:rsidP="00390CE2">
      <w:pPr>
        <w:pStyle w:val="NoSpacing"/>
        <w:rPr>
          <w:lang w:val="en-GB"/>
        </w:rPr>
      </w:pPr>
    </w:p>
    <w:p w14:paraId="1FCDC945" w14:textId="495AF276" w:rsidR="00390CE2" w:rsidRDefault="00FF5FC5" w:rsidP="00390CE2">
      <w:pPr>
        <w:rPr>
          <w:lang w:val="en-GB"/>
        </w:rPr>
      </w:pPr>
      <w:r w:rsidRPr="00FF5FC5">
        <w:t xml:space="preserve">Based on analysis included in this DRIS, the option with the highest net benefit to be provided to Education Ministers for consideration is option 3. </w:t>
      </w:r>
      <w:r w:rsidR="00390CE2">
        <w:t>This option was viewed to fill a critical gap in Regulatory Authorities’ current powers to undertake quality and compliance checks in FDC services and to be able to investigate potential incidents pertaining to alleged or suspected breaches of the National Law or National Regulations. I</w:t>
      </w:r>
      <w:r w:rsidR="00642800">
        <w:t>f</w:t>
      </w:r>
      <w:r w:rsidR="00390CE2">
        <w:t xml:space="preserve"> proceeding to implement this option, </w:t>
      </w:r>
      <w:r w:rsidR="00F457AA">
        <w:t>only specified entry powers will enable an authorised officer to enter beyond the FDC service premises.</w:t>
      </w:r>
    </w:p>
    <w:p w14:paraId="34AF1490" w14:textId="77777777" w:rsidR="00390CE2" w:rsidRDefault="00390CE2" w:rsidP="00390CE2">
      <w:pPr>
        <w:spacing w:after="160" w:line="259" w:lineRule="auto"/>
        <w:rPr>
          <w:rFonts w:cs="Arial"/>
          <w:bCs/>
          <w:color w:val="006B77"/>
          <w:sz w:val="36"/>
          <w:szCs w:val="40"/>
          <w:lang w:val="en-GB"/>
        </w:rPr>
      </w:pPr>
      <w:r>
        <w:rPr>
          <w:lang w:val="en-GB"/>
        </w:rPr>
        <w:br w:type="page"/>
      </w:r>
    </w:p>
    <w:p w14:paraId="3BB4B081" w14:textId="77777777" w:rsidR="00390CE2" w:rsidRDefault="00390CE2" w:rsidP="00390CE2">
      <w:pPr>
        <w:pStyle w:val="Title2"/>
        <w:rPr>
          <w:bCs w:val="0"/>
          <w:sz w:val="28"/>
          <w:szCs w:val="28"/>
          <w:lang w:val="en-GB"/>
        </w:rPr>
      </w:pPr>
      <w:r w:rsidRPr="0052487F">
        <w:rPr>
          <w:lang w:val="en-GB"/>
        </w:rPr>
        <w:lastRenderedPageBreak/>
        <w:t>Additional recommendations</w:t>
      </w:r>
    </w:p>
    <w:p w14:paraId="1DE416B0" w14:textId="2F12F38C" w:rsidR="00390CE2" w:rsidRDefault="00390CE2" w:rsidP="00390CE2">
      <w:pPr>
        <w:rPr>
          <w:lang w:val="en-GB"/>
        </w:rPr>
      </w:pPr>
      <w:r w:rsidRPr="0052487F">
        <w:rPr>
          <w:lang w:val="en-GB"/>
        </w:rPr>
        <w:t>Additional recommendations</w:t>
      </w:r>
      <w:r>
        <w:rPr>
          <w:lang w:val="en-GB"/>
        </w:rPr>
        <w:t xml:space="preserve"> are</w:t>
      </w:r>
      <w:r w:rsidRPr="007C680B">
        <w:rPr>
          <w:lang w:val="en-GB"/>
        </w:rPr>
        <w:t xml:space="preserve"> discussed in further detail in </w:t>
      </w:r>
      <w:hyperlink w:anchor="_10._Additional_recommendations" w:history="1">
        <w:r w:rsidR="002142F8" w:rsidRPr="006178E3">
          <w:rPr>
            <w:rStyle w:val="Hyperlink"/>
            <w:lang w:val="en-GB"/>
          </w:rPr>
          <w:t>Chapter 10</w:t>
        </w:r>
      </w:hyperlink>
      <w:r w:rsidR="002142F8">
        <w:rPr>
          <w:lang w:val="en-GB"/>
        </w:rPr>
        <w:t>.</w:t>
      </w:r>
      <w:r>
        <w:rPr>
          <w:lang w:val="en-GB"/>
        </w:rPr>
        <w:t xml:space="preserve"> </w:t>
      </w:r>
    </w:p>
    <w:p w14:paraId="52471EE6" w14:textId="77777777" w:rsidR="00390CE2" w:rsidRDefault="00390CE2" w:rsidP="00390CE2">
      <w:pPr>
        <w:pStyle w:val="Heading4"/>
        <w:rPr>
          <w:lang w:val="en-GB"/>
        </w:rPr>
      </w:pPr>
      <w:r w:rsidRPr="0052487F">
        <w:rPr>
          <w:lang w:val="en-GB"/>
        </w:rPr>
        <w:t>Effective identification, monitoring and regulation of ‘related providers’</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effective identification, monitoring and regulation of ‘related providers’."/>
      </w:tblPr>
      <w:tblGrid>
        <w:gridCol w:w="6386"/>
        <w:gridCol w:w="2641"/>
      </w:tblGrid>
      <w:tr w:rsidR="0024160F" w14:paraId="1B31C72C" w14:textId="77777777">
        <w:trPr>
          <w:cnfStyle w:val="100000000000" w:firstRow="1" w:lastRow="0" w:firstColumn="0" w:lastColumn="0" w:oddVBand="0" w:evenVBand="0" w:oddHBand="0" w:evenHBand="0" w:firstRowFirstColumn="0" w:firstRowLastColumn="0" w:lastRowFirstColumn="0" w:lastRowLastColumn="0"/>
          <w:trHeight w:val="383"/>
        </w:trPr>
        <w:tc>
          <w:tcPr>
            <w:tcW w:w="3537" w:type="pct"/>
          </w:tcPr>
          <w:p w14:paraId="0D7949E8" w14:textId="70A2821F" w:rsidR="0024160F" w:rsidRPr="00897EAD"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463" w:type="pct"/>
          </w:tcPr>
          <w:p w14:paraId="0114EF6D" w14:textId="2566C7CA" w:rsidR="0024160F" w:rsidRPr="00897EAD" w:rsidRDefault="0024160F" w:rsidP="0024160F">
            <w:pPr>
              <w:spacing w:after="0" w:line="240" w:lineRule="auto"/>
              <w:rPr>
                <w:sz w:val="20"/>
                <w:szCs w:val="20"/>
              </w:rPr>
            </w:pPr>
            <w:r>
              <w:rPr>
                <w:b/>
                <w:sz w:val="20"/>
                <w:szCs w:val="20"/>
              </w:rPr>
              <w:t>Implementation approach</w:t>
            </w:r>
          </w:p>
        </w:tc>
      </w:tr>
      <w:tr w:rsidR="00390CE2" w14:paraId="034C3384" w14:textId="77777777" w:rsidTr="00897EAD">
        <w:trPr>
          <w:trHeight w:val="679"/>
        </w:trPr>
        <w:tc>
          <w:tcPr>
            <w:tcW w:w="3537" w:type="pct"/>
          </w:tcPr>
          <w:p w14:paraId="5FB29AA8" w14:textId="42364F30" w:rsidR="00390CE2" w:rsidRPr="00897EAD" w:rsidRDefault="00390CE2">
            <w:pPr>
              <w:spacing w:after="0" w:line="240" w:lineRule="auto"/>
              <w:rPr>
                <w:b/>
                <w:sz w:val="20"/>
                <w:szCs w:val="20"/>
                <w:lang w:bidi="th-TH"/>
              </w:rPr>
            </w:pPr>
            <w:r w:rsidRPr="00897EAD">
              <w:rPr>
                <w:b/>
                <w:sz w:val="20"/>
                <w:szCs w:val="20"/>
                <w:lang w:bidi="th-TH"/>
              </w:rPr>
              <w:t>Option 2 (Non-regulatory)</w:t>
            </w:r>
            <w:r w:rsidR="00897EAD" w:rsidRPr="00897EAD">
              <w:rPr>
                <w:b/>
                <w:sz w:val="20"/>
                <w:szCs w:val="20"/>
                <w:lang w:bidi="th-TH"/>
              </w:rPr>
              <w:t>:</w:t>
            </w:r>
            <w:r w:rsidRPr="00897EAD">
              <w:rPr>
                <w:b/>
                <w:sz w:val="20"/>
                <w:szCs w:val="20"/>
                <w:lang w:bidi="th-TH"/>
              </w:rPr>
              <w:t xml:space="preserve"> </w:t>
            </w:r>
            <w:r w:rsidRPr="00897EAD">
              <w:rPr>
                <w:bCs/>
                <w:sz w:val="20"/>
                <w:szCs w:val="20"/>
                <w:lang w:bidi="th-TH"/>
              </w:rPr>
              <w:t xml:space="preserve">Guidance for the sector and families to improve awareness of an increase in the number of services </w:t>
            </w:r>
            <w:r w:rsidR="003B3EEA" w:rsidRPr="003B3EEA">
              <w:rPr>
                <w:bCs/>
                <w:sz w:val="20"/>
                <w:szCs w:val="20"/>
                <w:lang w:bidi="th-TH"/>
              </w:rPr>
              <w:t>delivered by approved providers that are operated by a single controlling entity and/or have PMCs in common.</w:t>
            </w:r>
          </w:p>
        </w:tc>
        <w:tc>
          <w:tcPr>
            <w:tcW w:w="1463" w:type="pct"/>
          </w:tcPr>
          <w:p w14:paraId="61E402CC" w14:textId="77777777" w:rsidR="00390CE2" w:rsidRPr="00897EAD" w:rsidRDefault="00390CE2">
            <w:pPr>
              <w:spacing w:after="0" w:line="240" w:lineRule="auto"/>
              <w:contextualSpacing/>
              <w:rPr>
                <w:sz w:val="20"/>
                <w:szCs w:val="20"/>
              </w:rPr>
            </w:pPr>
            <w:r w:rsidRPr="00897EAD">
              <w:rPr>
                <w:sz w:val="20"/>
                <w:szCs w:val="20"/>
              </w:rPr>
              <w:t>To be implemented in full</w:t>
            </w:r>
          </w:p>
        </w:tc>
      </w:tr>
      <w:tr w:rsidR="00390CE2" w14:paraId="648D9D0C" w14:textId="77777777">
        <w:trPr>
          <w:trHeight w:val="1155"/>
        </w:trPr>
        <w:tc>
          <w:tcPr>
            <w:tcW w:w="3537" w:type="pct"/>
          </w:tcPr>
          <w:p w14:paraId="1D60F58B" w14:textId="1AE3C5E9" w:rsidR="00390CE2" w:rsidRPr="00897EAD" w:rsidRDefault="00390CE2">
            <w:pPr>
              <w:spacing w:after="0" w:line="240" w:lineRule="auto"/>
              <w:rPr>
                <w:bCs/>
                <w:i/>
                <w:iCs/>
                <w:sz w:val="20"/>
                <w:szCs w:val="20"/>
                <w:lang w:bidi="th-TH"/>
              </w:rPr>
            </w:pPr>
            <w:r w:rsidRPr="00897EAD">
              <w:rPr>
                <w:b/>
                <w:sz w:val="20"/>
                <w:szCs w:val="20"/>
                <w:lang w:bidi="th-TH"/>
              </w:rPr>
              <w:t>Option 3A (Regulatory)</w:t>
            </w:r>
            <w:r w:rsidR="00897EAD" w:rsidRPr="00897EAD">
              <w:rPr>
                <w:b/>
                <w:sz w:val="20"/>
                <w:szCs w:val="20"/>
                <w:lang w:bidi="th-TH"/>
              </w:rPr>
              <w:t>:</w:t>
            </w:r>
            <w:r w:rsidRPr="00897EAD">
              <w:rPr>
                <w:bCs/>
                <w:sz w:val="20"/>
                <w:szCs w:val="20"/>
                <w:lang w:bidi="th-TH"/>
              </w:rPr>
              <w:t xml:space="preserve"> Legislative amendment to add a definition of related providers that is designed to help Regulatory Authorities efficiently and effectively identify and monitor related providers. Powers for Regulatory Authorities to take compliance and enforcement action at the related provider level would be needed, as well as requirements for providers to disclose they are related.</w:t>
            </w:r>
          </w:p>
        </w:tc>
        <w:tc>
          <w:tcPr>
            <w:tcW w:w="1463" w:type="pct"/>
          </w:tcPr>
          <w:p w14:paraId="2BB89DE1" w14:textId="77777777" w:rsidR="00390CE2" w:rsidRPr="00897EAD" w:rsidRDefault="00390CE2">
            <w:pPr>
              <w:spacing w:after="0" w:line="240" w:lineRule="auto"/>
              <w:contextualSpacing/>
              <w:rPr>
                <w:sz w:val="20"/>
                <w:szCs w:val="20"/>
              </w:rPr>
            </w:pPr>
            <w:r w:rsidRPr="00897EAD">
              <w:rPr>
                <w:sz w:val="20"/>
                <w:szCs w:val="20"/>
              </w:rPr>
              <w:t>To be implemented in full</w:t>
            </w:r>
          </w:p>
        </w:tc>
      </w:tr>
      <w:tr w:rsidR="00390CE2" w14:paraId="3287372F" w14:textId="77777777" w:rsidTr="00897EAD">
        <w:trPr>
          <w:trHeight w:val="464"/>
        </w:trPr>
        <w:tc>
          <w:tcPr>
            <w:tcW w:w="3537" w:type="pct"/>
          </w:tcPr>
          <w:p w14:paraId="27CECD2C" w14:textId="6F4900DD" w:rsidR="00390CE2" w:rsidRPr="00897EAD" w:rsidRDefault="00390CE2">
            <w:pPr>
              <w:spacing w:after="0" w:line="240" w:lineRule="auto"/>
              <w:rPr>
                <w:bCs/>
                <w:sz w:val="20"/>
                <w:szCs w:val="20"/>
                <w:lang w:bidi="th-TH"/>
              </w:rPr>
            </w:pPr>
            <w:r w:rsidRPr="00897EAD">
              <w:rPr>
                <w:b/>
                <w:sz w:val="20"/>
                <w:szCs w:val="20"/>
                <w:lang w:bidi="th-TH"/>
              </w:rPr>
              <w:t>Option 3B (Regulatory)</w:t>
            </w:r>
            <w:r w:rsidR="00897EAD" w:rsidRPr="00897EAD">
              <w:rPr>
                <w:b/>
                <w:sz w:val="20"/>
                <w:szCs w:val="20"/>
                <w:lang w:bidi="th-TH"/>
              </w:rPr>
              <w:t>:</w:t>
            </w:r>
            <w:r w:rsidRPr="00897EAD">
              <w:rPr>
                <w:bCs/>
                <w:sz w:val="20"/>
                <w:szCs w:val="20"/>
                <w:lang w:bidi="th-TH"/>
              </w:rPr>
              <w:t xml:space="preserve"> Legislative amendment to require notice of acquisition to the Regulatory Authority when ownership of an approved provider is transferred to another entity. </w:t>
            </w:r>
          </w:p>
        </w:tc>
        <w:tc>
          <w:tcPr>
            <w:tcW w:w="1463" w:type="pct"/>
          </w:tcPr>
          <w:p w14:paraId="43A1D578" w14:textId="77777777" w:rsidR="00390CE2" w:rsidRPr="00897EAD" w:rsidRDefault="00390CE2">
            <w:pPr>
              <w:spacing w:after="0" w:line="240" w:lineRule="auto"/>
              <w:rPr>
                <w:sz w:val="20"/>
                <w:szCs w:val="20"/>
              </w:rPr>
            </w:pPr>
            <w:r w:rsidRPr="00897EAD">
              <w:rPr>
                <w:sz w:val="20"/>
                <w:szCs w:val="20"/>
              </w:rPr>
              <w:t>To be implemented in full</w:t>
            </w:r>
          </w:p>
        </w:tc>
      </w:tr>
    </w:tbl>
    <w:p w14:paraId="085CD0B5" w14:textId="77777777" w:rsidR="00390CE2" w:rsidRDefault="00390CE2" w:rsidP="00390CE2"/>
    <w:p w14:paraId="60E54E17" w14:textId="7564022C" w:rsidR="00897EAD" w:rsidRPr="00897EAD" w:rsidRDefault="002142F8" w:rsidP="00897EAD">
      <w:pPr>
        <w:rPr>
          <w:b/>
          <w:bCs/>
          <w:i/>
          <w:iCs/>
        </w:rPr>
      </w:pPr>
      <w:r w:rsidRPr="002142F8">
        <w:t>Based on analysis included in this DRIS, the options with the highest net benefit to be provided to Education Ministers for consideration are options 2, 3A and 3B. I</w:t>
      </w:r>
      <w:r>
        <w:t>f</w:t>
      </w:r>
      <w:r w:rsidRPr="002142F8">
        <w:t xml:space="preserve"> implementing the recommended option</w:t>
      </w:r>
      <w:r>
        <w:t>s</w:t>
      </w:r>
      <w:r w:rsidRPr="002142F8">
        <w:t xml:space="preserve">, </w:t>
      </w:r>
      <w:r>
        <w:t>state and territory governments would</w:t>
      </w:r>
      <w:r w:rsidRPr="002142F8">
        <w:t xml:space="preserve"> develop a more explicit definition of related providers for inclusion in the National Law. Governments will also establish protocols by which related provider relationships need to be reported to Regulatory Authorities, both at the onset of the legislative change and for any mergers or acquisitions that subsequently occur.</w:t>
      </w:r>
    </w:p>
    <w:p w14:paraId="1D5CEFC1" w14:textId="77777777" w:rsidR="00897EAD" w:rsidRDefault="00897EAD">
      <w:pPr>
        <w:spacing w:after="160" w:line="259" w:lineRule="auto"/>
        <w:rPr>
          <w:rFonts w:cs="Arial"/>
          <w:b/>
          <w:bCs/>
          <w:i/>
          <w:iCs/>
          <w:color w:val="006B77"/>
          <w:szCs w:val="20"/>
          <w:lang w:val="en-GB"/>
        </w:rPr>
      </w:pPr>
      <w:r>
        <w:rPr>
          <w:lang w:val="en-GB"/>
        </w:rPr>
        <w:br w:type="page"/>
      </w:r>
    </w:p>
    <w:p w14:paraId="27D025CC" w14:textId="37283A9A" w:rsidR="00390CE2" w:rsidRDefault="00390CE2" w:rsidP="00390CE2">
      <w:pPr>
        <w:pStyle w:val="Heading4"/>
        <w:rPr>
          <w:lang w:val="en-GB"/>
        </w:rPr>
      </w:pPr>
      <w:r w:rsidRPr="000027ED">
        <w:rPr>
          <w:lang w:val="en-GB"/>
        </w:rPr>
        <w:lastRenderedPageBreak/>
        <w:t>Extending the limitation period for commencing proceedings under the National Law</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extending the limitation period for commencing proceedings under the National Law."/>
      </w:tblPr>
      <w:tblGrid>
        <w:gridCol w:w="6238"/>
        <w:gridCol w:w="2789"/>
      </w:tblGrid>
      <w:tr w:rsidR="0024160F" w14:paraId="5E48DE8F" w14:textId="77777777" w:rsidTr="00897EAD">
        <w:trPr>
          <w:cnfStyle w:val="100000000000" w:firstRow="1" w:lastRow="0" w:firstColumn="0" w:lastColumn="0" w:oddVBand="0" w:evenVBand="0" w:oddHBand="0" w:evenHBand="0" w:firstRowFirstColumn="0" w:firstRowLastColumn="0" w:lastRowFirstColumn="0" w:lastRowLastColumn="0"/>
          <w:trHeight w:val="383"/>
        </w:trPr>
        <w:tc>
          <w:tcPr>
            <w:tcW w:w="3455" w:type="pct"/>
          </w:tcPr>
          <w:p w14:paraId="7746D228" w14:textId="730B52D7" w:rsidR="0024160F" w:rsidRPr="00897EAD"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545" w:type="pct"/>
          </w:tcPr>
          <w:p w14:paraId="72F93A92" w14:textId="147606BB" w:rsidR="0024160F" w:rsidRPr="00897EAD" w:rsidRDefault="0024160F" w:rsidP="0024160F">
            <w:pPr>
              <w:spacing w:line="240" w:lineRule="auto"/>
              <w:rPr>
                <w:sz w:val="20"/>
                <w:szCs w:val="20"/>
              </w:rPr>
            </w:pPr>
            <w:r>
              <w:rPr>
                <w:b/>
                <w:sz w:val="20"/>
                <w:szCs w:val="20"/>
              </w:rPr>
              <w:t>Implementation approach</w:t>
            </w:r>
          </w:p>
        </w:tc>
      </w:tr>
      <w:tr w:rsidR="00897EAD" w14:paraId="6FBC5DBC" w14:textId="77777777" w:rsidTr="00897EAD">
        <w:trPr>
          <w:trHeight w:val="705"/>
        </w:trPr>
        <w:tc>
          <w:tcPr>
            <w:tcW w:w="3455" w:type="pct"/>
          </w:tcPr>
          <w:p w14:paraId="2C8F06F7" w14:textId="1B9F3852" w:rsidR="00897EAD" w:rsidRPr="00897EAD" w:rsidRDefault="00897EAD" w:rsidP="00897EAD">
            <w:pPr>
              <w:spacing w:after="0" w:line="240" w:lineRule="auto"/>
              <w:rPr>
                <w:bCs/>
                <w:i/>
                <w:iCs/>
                <w:sz w:val="20"/>
                <w:szCs w:val="20"/>
                <w:lang w:bidi="th-TH"/>
              </w:rPr>
            </w:pPr>
            <w:r w:rsidRPr="00897EAD">
              <w:rPr>
                <w:b/>
                <w:sz w:val="20"/>
                <w:szCs w:val="20"/>
                <w:lang w:bidi="th-TH"/>
              </w:rPr>
              <w:t xml:space="preserve">Option 2 (Regulatory): </w:t>
            </w:r>
            <w:r w:rsidR="004B2C71" w:rsidRPr="004B2C71">
              <w:rPr>
                <w:bCs/>
                <w:sz w:val="20"/>
                <w:szCs w:val="20"/>
                <w:lang w:bidi="th-TH"/>
              </w:rPr>
              <w:t xml:space="preserve">Amend section 284 of the National Law so that the limitation period </w:t>
            </w:r>
            <w:r w:rsidR="0061214B">
              <w:rPr>
                <w:bCs/>
                <w:sz w:val="20"/>
                <w:szCs w:val="20"/>
                <w:lang w:bidi="th-TH"/>
              </w:rPr>
              <w:t>ends</w:t>
            </w:r>
            <w:r w:rsidR="0061214B" w:rsidRPr="004B2C71">
              <w:rPr>
                <w:bCs/>
                <w:sz w:val="20"/>
                <w:szCs w:val="20"/>
                <w:lang w:bidi="th-TH"/>
              </w:rPr>
              <w:t xml:space="preserve"> </w:t>
            </w:r>
            <w:r w:rsidR="004B2C71" w:rsidRPr="004B2C71">
              <w:rPr>
                <w:bCs/>
                <w:sz w:val="20"/>
                <w:szCs w:val="20"/>
                <w:lang w:bidi="th-TH"/>
              </w:rPr>
              <w:t>two years from the date that the alleged offence comes to the notice of the Regulatory Authority in the jurisdiction in which the offence is committed.</w:t>
            </w:r>
          </w:p>
        </w:tc>
        <w:tc>
          <w:tcPr>
            <w:tcW w:w="1545" w:type="pct"/>
          </w:tcPr>
          <w:p w14:paraId="060B049B" w14:textId="46406958" w:rsidR="00897EAD" w:rsidRPr="00897EAD" w:rsidRDefault="00897EAD" w:rsidP="00897EAD">
            <w:pPr>
              <w:spacing w:after="0" w:line="240" w:lineRule="auto"/>
              <w:contextualSpacing/>
              <w:rPr>
                <w:sz w:val="20"/>
                <w:szCs w:val="20"/>
              </w:rPr>
            </w:pPr>
            <w:r w:rsidRPr="00897EAD">
              <w:rPr>
                <w:sz w:val="20"/>
                <w:szCs w:val="20"/>
              </w:rPr>
              <w:t>To be implemented in full</w:t>
            </w:r>
            <w:r w:rsidR="002A50ED" w:rsidRPr="002A50ED">
              <w:rPr>
                <w:sz w:val="20"/>
                <w:szCs w:val="20"/>
              </w:rPr>
              <w:t>, noting that the change in legislation will apply retrospectively, subject to legal advice on jurisdiction-specific implications.</w:t>
            </w:r>
          </w:p>
        </w:tc>
      </w:tr>
    </w:tbl>
    <w:p w14:paraId="2864F4AD" w14:textId="77777777" w:rsidR="00390CE2" w:rsidRDefault="00390CE2" w:rsidP="00390CE2">
      <w:pPr>
        <w:spacing w:after="160"/>
        <w:rPr>
          <w:lang w:val="en-GB"/>
        </w:rPr>
      </w:pPr>
    </w:p>
    <w:p w14:paraId="4A1964C9" w14:textId="62FBFC45" w:rsidR="002142F8" w:rsidRDefault="002142F8" w:rsidP="002142F8">
      <w:pPr>
        <w:rPr>
          <w:b/>
          <w:bCs/>
          <w:i/>
          <w:iCs/>
          <w:lang w:val="en-GB"/>
        </w:rPr>
      </w:pPr>
      <w:r w:rsidRPr="002142F8">
        <w:rPr>
          <w:lang w:val="en-GB"/>
        </w:rPr>
        <w:t>Based on analysis included in this DRIS, the option with the highest net benefit to be provided to Education Ministers for consideration is option 2</w:t>
      </w:r>
      <w:r w:rsidR="00315D16">
        <w:rPr>
          <w:lang w:val="en-GB"/>
        </w:rPr>
        <w:t xml:space="preserve">, </w:t>
      </w:r>
      <w:r w:rsidR="00315D16" w:rsidRPr="00315D16">
        <w:t>noting Education Ministers</w:t>
      </w:r>
      <w:r w:rsidR="00D13311">
        <w:t>’</w:t>
      </w:r>
      <w:r w:rsidR="00315D16" w:rsidRPr="00315D16">
        <w:t xml:space="preserve"> decision to apply this change retrospectively was different to the recommended option outlined in this DRIS.</w:t>
      </w:r>
      <w:r w:rsidRPr="002142F8">
        <w:rPr>
          <w:lang w:val="en-GB"/>
        </w:rPr>
        <w:t xml:space="preserve"> This preference is based on the expected benefits to child safety outcomes and limited evidence of potential costs. </w:t>
      </w:r>
    </w:p>
    <w:p w14:paraId="4F159D65" w14:textId="77777777" w:rsidR="00897EAD" w:rsidRDefault="00897EAD">
      <w:pPr>
        <w:spacing w:after="160" w:line="259" w:lineRule="auto"/>
        <w:rPr>
          <w:rFonts w:cs="Arial"/>
          <w:b/>
          <w:bCs/>
          <w:i/>
          <w:iCs/>
          <w:color w:val="006B77"/>
          <w:szCs w:val="20"/>
          <w:lang w:val="en-GB"/>
        </w:rPr>
      </w:pPr>
      <w:r>
        <w:rPr>
          <w:lang w:val="en-GB"/>
        </w:rPr>
        <w:br w:type="page"/>
      </w:r>
    </w:p>
    <w:p w14:paraId="03D24195" w14:textId="7504AAB3" w:rsidR="00390CE2" w:rsidRDefault="00390CE2" w:rsidP="00390CE2">
      <w:pPr>
        <w:pStyle w:val="Heading4"/>
        <w:rPr>
          <w:lang w:val="en-GB"/>
        </w:rPr>
      </w:pPr>
      <w:r w:rsidRPr="000027ED">
        <w:rPr>
          <w:lang w:val="en-GB"/>
        </w:rPr>
        <w:lastRenderedPageBreak/>
        <w:t>Information sharing provisions for recruitment agencies</w:t>
      </w:r>
    </w:p>
    <w:tbl>
      <w:tblPr>
        <w:tblStyle w:val="Box1"/>
        <w:tblW w:w="5004" w:type="pct"/>
        <w:tblLook w:val="04A0" w:firstRow="1" w:lastRow="0" w:firstColumn="1" w:lastColumn="0" w:noHBand="0" w:noVBand="1"/>
        <w:tblCaption w:val="Summary of recommended policy options to be provided to Education Ministers for consideration"/>
        <w:tblDescription w:val="This table provides the recommended options for information sharing provisions for recruitment agencies."/>
      </w:tblPr>
      <w:tblGrid>
        <w:gridCol w:w="6238"/>
        <w:gridCol w:w="2789"/>
      </w:tblGrid>
      <w:tr w:rsidR="0024160F" w14:paraId="27B85C89" w14:textId="77777777">
        <w:trPr>
          <w:cnfStyle w:val="100000000000" w:firstRow="1" w:lastRow="0" w:firstColumn="0" w:lastColumn="0" w:oddVBand="0" w:evenVBand="0" w:oddHBand="0" w:evenHBand="0" w:firstRowFirstColumn="0" w:firstRowLastColumn="0" w:lastRowFirstColumn="0" w:lastRowLastColumn="0"/>
          <w:trHeight w:val="383"/>
        </w:trPr>
        <w:tc>
          <w:tcPr>
            <w:tcW w:w="3455" w:type="pct"/>
          </w:tcPr>
          <w:p w14:paraId="342A94DF" w14:textId="70343006" w:rsidR="0024160F" w:rsidRPr="00897EAD" w:rsidRDefault="0024160F" w:rsidP="0024160F">
            <w:pPr>
              <w:spacing w:after="0" w:line="240" w:lineRule="auto"/>
              <w:rPr>
                <w:sz w:val="20"/>
                <w:szCs w:val="20"/>
              </w:rPr>
            </w:pPr>
            <w:r w:rsidRPr="00D64F62">
              <w:rPr>
                <w:b/>
                <w:sz w:val="20"/>
                <w:szCs w:val="20"/>
              </w:rPr>
              <w:t>Summary of recommended policy options to be provided to Education Ministers for consideration</w:t>
            </w:r>
          </w:p>
        </w:tc>
        <w:tc>
          <w:tcPr>
            <w:tcW w:w="1545" w:type="pct"/>
          </w:tcPr>
          <w:p w14:paraId="609DFB23" w14:textId="1D2348E6" w:rsidR="0024160F" w:rsidRPr="00897EAD" w:rsidRDefault="0024160F" w:rsidP="0024160F">
            <w:pPr>
              <w:spacing w:after="0" w:line="240" w:lineRule="auto"/>
              <w:rPr>
                <w:sz w:val="20"/>
                <w:szCs w:val="20"/>
              </w:rPr>
            </w:pPr>
            <w:r>
              <w:rPr>
                <w:b/>
                <w:sz w:val="20"/>
                <w:szCs w:val="20"/>
              </w:rPr>
              <w:t>Implementation approach</w:t>
            </w:r>
          </w:p>
        </w:tc>
      </w:tr>
      <w:tr w:rsidR="00390CE2" w14:paraId="522F4A26" w14:textId="77777777" w:rsidTr="00617D80">
        <w:trPr>
          <w:trHeight w:val="728"/>
        </w:trPr>
        <w:tc>
          <w:tcPr>
            <w:tcW w:w="3455" w:type="pct"/>
          </w:tcPr>
          <w:p w14:paraId="66C2C00B" w14:textId="5097107F" w:rsidR="00390CE2" w:rsidRPr="00897EAD" w:rsidRDefault="00390CE2">
            <w:pPr>
              <w:spacing w:after="0" w:line="240" w:lineRule="auto"/>
              <w:rPr>
                <w:bCs/>
                <w:i/>
                <w:iCs/>
                <w:sz w:val="20"/>
                <w:szCs w:val="20"/>
                <w:lang w:bidi="th-TH"/>
              </w:rPr>
            </w:pPr>
            <w:r w:rsidRPr="00897EAD">
              <w:rPr>
                <w:b/>
                <w:sz w:val="20"/>
                <w:szCs w:val="20"/>
                <w:lang w:bidi="th-TH"/>
              </w:rPr>
              <w:t>Option 2 (Non-regulatory)</w:t>
            </w:r>
            <w:r w:rsidR="00897EAD" w:rsidRPr="00897EAD">
              <w:rPr>
                <w:b/>
                <w:sz w:val="20"/>
                <w:szCs w:val="20"/>
                <w:lang w:bidi="th-TH"/>
              </w:rPr>
              <w:t>:</w:t>
            </w:r>
            <w:r w:rsidRPr="00897EAD">
              <w:rPr>
                <w:b/>
                <w:sz w:val="20"/>
                <w:szCs w:val="20"/>
                <w:lang w:bidi="th-TH"/>
              </w:rPr>
              <w:t xml:space="preserve"> </w:t>
            </w:r>
            <w:r w:rsidRPr="00897EAD">
              <w:rPr>
                <w:bCs/>
                <w:sz w:val="20"/>
                <w:szCs w:val="20"/>
                <w:lang w:bidi="th-TH"/>
              </w:rPr>
              <w:t>Guidance/messaging for approved providers regarding the requirement to keep staff records for agency educators</w:t>
            </w:r>
            <w:r w:rsidR="00502544">
              <w:rPr>
                <w:bCs/>
                <w:sz w:val="20"/>
                <w:szCs w:val="20"/>
                <w:lang w:bidi="th-TH"/>
              </w:rPr>
              <w:t>.</w:t>
            </w:r>
          </w:p>
        </w:tc>
        <w:tc>
          <w:tcPr>
            <w:tcW w:w="1545" w:type="pct"/>
          </w:tcPr>
          <w:p w14:paraId="584E62C0" w14:textId="77777777" w:rsidR="00390CE2" w:rsidRPr="00897EAD" w:rsidRDefault="00390CE2">
            <w:pPr>
              <w:spacing w:after="0" w:line="240" w:lineRule="auto"/>
              <w:contextualSpacing/>
              <w:rPr>
                <w:sz w:val="20"/>
                <w:szCs w:val="20"/>
              </w:rPr>
            </w:pPr>
            <w:r w:rsidRPr="00897EAD">
              <w:rPr>
                <w:sz w:val="20"/>
                <w:szCs w:val="20"/>
              </w:rPr>
              <w:t>To be implemented in full</w:t>
            </w:r>
          </w:p>
        </w:tc>
      </w:tr>
      <w:tr w:rsidR="00390CE2" w14:paraId="3A6D9083" w14:textId="77777777" w:rsidTr="0036247C">
        <w:trPr>
          <w:trHeight w:val="649"/>
        </w:trPr>
        <w:tc>
          <w:tcPr>
            <w:tcW w:w="3455" w:type="pct"/>
          </w:tcPr>
          <w:p w14:paraId="7B3C6AF1" w14:textId="3888BCEE" w:rsidR="00390CE2" w:rsidRPr="00897EAD" w:rsidRDefault="00390CE2">
            <w:pPr>
              <w:spacing w:after="0" w:line="240" w:lineRule="auto"/>
              <w:rPr>
                <w:bCs/>
                <w:sz w:val="20"/>
                <w:szCs w:val="20"/>
                <w:lang w:bidi="th-TH"/>
              </w:rPr>
            </w:pPr>
            <w:r w:rsidRPr="00897EAD">
              <w:rPr>
                <w:b/>
                <w:sz w:val="20"/>
                <w:szCs w:val="20"/>
                <w:lang w:bidi="th-TH"/>
              </w:rPr>
              <w:t>Option 3 (Regulatory)</w:t>
            </w:r>
            <w:r w:rsidR="00897EAD" w:rsidRPr="00897EAD">
              <w:rPr>
                <w:b/>
                <w:sz w:val="20"/>
                <w:szCs w:val="20"/>
                <w:lang w:bidi="th-TH"/>
              </w:rPr>
              <w:t>:</w:t>
            </w:r>
            <w:r w:rsidRPr="00897EAD">
              <w:rPr>
                <w:b/>
                <w:sz w:val="20"/>
                <w:szCs w:val="20"/>
                <w:lang w:bidi="th-TH"/>
              </w:rPr>
              <w:t xml:space="preserve"> </w:t>
            </w:r>
            <w:r w:rsidR="0045461C" w:rsidRPr="0045461C">
              <w:rPr>
                <w:bCs/>
                <w:sz w:val="20"/>
                <w:szCs w:val="20"/>
                <w:lang w:bidi="th-TH"/>
              </w:rPr>
              <w:t>Amend section 206(4) of the National Law to include recruitment agencies supplying educators to education and care services. Recruitment agencies would be added to the list of specified persons under the National Law that can be required by written notice to provide information specified in that notice.</w:t>
            </w:r>
          </w:p>
        </w:tc>
        <w:tc>
          <w:tcPr>
            <w:tcW w:w="1545" w:type="pct"/>
          </w:tcPr>
          <w:p w14:paraId="270B506A" w14:textId="43595BDA" w:rsidR="0036247C" w:rsidRDefault="00390CE2" w:rsidP="0036247C">
            <w:pPr>
              <w:spacing w:line="240" w:lineRule="auto"/>
              <w:rPr>
                <w:sz w:val="20"/>
                <w:szCs w:val="20"/>
              </w:rPr>
            </w:pPr>
            <w:r w:rsidRPr="00897EAD">
              <w:rPr>
                <w:sz w:val="20"/>
                <w:szCs w:val="20"/>
              </w:rPr>
              <w:t>To be implemented in full</w:t>
            </w:r>
          </w:p>
          <w:p w14:paraId="57DFA945" w14:textId="1D54CF43" w:rsidR="0036247C" w:rsidRPr="00897EAD" w:rsidRDefault="0036247C">
            <w:pPr>
              <w:spacing w:after="0" w:line="240" w:lineRule="auto"/>
              <w:rPr>
                <w:sz w:val="20"/>
                <w:szCs w:val="20"/>
              </w:rPr>
            </w:pPr>
          </w:p>
        </w:tc>
      </w:tr>
      <w:tr w:rsidR="00390CE2" w14:paraId="182FDA89" w14:textId="77777777">
        <w:trPr>
          <w:trHeight w:val="1155"/>
        </w:trPr>
        <w:tc>
          <w:tcPr>
            <w:tcW w:w="3455" w:type="pct"/>
          </w:tcPr>
          <w:p w14:paraId="184DC044" w14:textId="1F3D00B6" w:rsidR="00390CE2" w:rsidRPr="00897EAD" w:rsidRDefault="00390CE2">
            <w:pPr>
              <w:spacing w:after="0" w:line="240" w:lineRule="auto"/>
              <w:rPr>
                <w:b/>
                <w:sz w:val="20"/>
                <w:szCs w:val="20"/>
                <w:lang w:bidi="th-TH"/>
              </w:rPr>
            </w:pPr>
            <w:r w:rsidRPr="00897EAD">
              <w:rPr>
                <w:b/>
                <w:sz w:val="20"/>
                <w:szCs w:val="20"/>
                <w:lang w:bidi="th-TH"/>
              </w:rPr>
              <w:t>Option 4 (Regulatory)</w:t>
            </w:r>
            <w:r w:rsidR="00897EAD" w:rsidRPr="00897EAD">
              <w:rPr>
                <w:b/>
                <w:sz w:val="20"/>
                <w:szCs w:val="20"/>
                <w:lang w:bidi="th-TH"/>
              </w:rPr>
              <w:t>:</w:t>
            </w:r>
            <w:r w:rsidRPr="00897EAD">
              <w:rPr>
                <w:b/>
                <w:sz w:val="20"/>
                <w:szCs w:val="20"/>
                <w:lang w:bidi="th-TH"/>
              </w:rPr>
              <w:t xml:space="preserve"> </w:t>
            </w:r>
            <w:r w:rsidRPr="00897EAD">
              <w:rPr>
                <w:bCs/>
                <w:sz w:val="20"/>
                <w:szCs w:val="20"/>
                <w:lang w:bidi="th-TH"/>
              </w:rPr>
              <w:t>Amend section 272 of the National Law to allow a Regulatory Authority to share information about an agency educator with that person’s recruitment agency (including mirroring any amendments to section 272 regarding proactive sharing with providers) and consider whether recruitment agencies may have access to the prohibited persons register.</w:t>
            </w:r>
          </w:p>
        </w:tc>
        <w:tc>
          <w:tcPr>
            <w:tcW w:w="1545" w:type="pct"/>
          </w:tcPr>
          <w:p w14:paraId="79D5BFE6" w14:textId="77777777" w:rsidR="00390CE2" w:rsidRPr="00897EAD" w:rsidRDefault="00390CE2">
            <w:pPr>
              <w:spacing w:after="0" w:line="240" w:lineRule="auto"/>
              <w:rPr>
                <w:sz w:val="20"/>
                <w:szCs w:val="20"/>
              </w:rPr>
            </w:pPr>
            <w:r w:rsidRPr="00897EAD">
              <w:rPr>
                <w:sz w:val="20"/>
                <w:szCs w:val="20"/>
              </w:rPr>
              <w:t>To be implemented in full</w:t>
            </w:r>
          </w:p>
        </w:tc>
      </w:tr>
      <w:tr w:rsidR="00390CE2" w14:paraId="0E0520EF" w14:textId="77777777">
        <w:trPr>
          <w:trHeight w:val="657"/>
        </w:trPr>
        <w:tc>
          <w:tcPr>
            <w:tcW w:w="3455" w:type="pct"/>
          </w:tcPr>
          <w:p w14:paraId="7EDF7688" w14:textId="70C4BDCA" w:rsidR="00390CE2" w:rsidRPr="00897EAD" w:rsidRDefault="00390CE2">
            <w:pPr>
              <w:spacing w:after="0" w:line="240" w:lineRule="auto"/>
              <w:rPr>
                <w:b/>
                <w:sz w:val="20"/>
                <w:szCs w:val="20"/>
                <w:lang w:bidi="th-TH"/>
              </w:rPr>
            </w:pPr>
            <w:r w:rsidRPr="00897EAD">
              <w:rPr>
                <w:b/>
                <w:sz w:val="20"/>
                <w:szCs w:val="20"/>
                <w:lang w:bidi="th-TH"/>
              </w:rPr>
              <w:t>Option 5 (Regulatory)</w:t>
            </w:r>
            <w:r w:rsidR="00897EAD" w:rsidRPr="00897EAD">
              <w:rPr>
                <w:b/>
                <w:sz w:val="20"/>
                <w:szCs w:val="20"/>
                <w:lang w:bidi="th-TH"/>
              </w:rPr>
              <w:t>:</w:t>
            </w:r>
            <w:r w:rsidRPr="00897EAD">
              <w:rPr>
                <w:b/>
                <w:sz w:val="20"/>
                <w:szCs w:val="20"/>
                <w:lang w:bidi="th-TH"/>
              </w:rPr>
              <w:t xml:space="preserve"> </w:t>
            </w:r>
            <w:r w:rsidRPr="00897EAD">
              <w:rPr>
                <w:bCs/>
                <w:sz w:val="20"/>
                <w:szCs w:val="20"/>
                <w:lang w:bidi="th-TH"/>
              </w:rPr>
              <w:t xml:space="preserve">Amend section 188A of the National Law to </w:t>
            </w:r>
            <w:r w:rsidR="00867869">
              <w:rPr>
                <w:bCs/>
                <w:sz w:val="20"/>
                <w:szCs w:val="20"/>
                <w:lang w:bidi="th-TH"/>
              </w:rPr>
              <w:t>m</w:t>
            </w:r>
            <w:r w:rsidR="00867869" w:rsidRPr="00867869">
              <w:rPr>
                <w:bCs/>
                <w:sz w:val="20"/>
                <w:szCs w:val="20"/>
                <w:lang w:bidi="th-TH"/>
              </w:rPr>
              <w:t>ake it an offence for anyone subject to a prohibition notice to give a recruitment agency false or misleading information about the content or existence of the prohibition notice.</w:t>
            </w:r>
          </w:p>
        </w:tc>
        <w:tc>
          <w:tcPr>
            <w:tcW w:w="1545" w:type="pct"/>
          </w:tcPr>
          <w:p w14:paraId="3286176C" w14:textId="77777777" w:rsidR="00390CE2" w:rsidRDefault="00390CE2">
            <w:pPr>
              <w:spacing w:after="0" w:line="240" w:lineRule="auto"/>
              <w:rPr>
                <w:sz w:val="20"/>
                <w:szCs w:val="20"/>
              </w:rPr>
            </w:pPr>
            <w:r w:rsidRPr="00897EAD">
              <w:rPr>
                <w:sz w:val="20"/>
                <w:szCs w:val="20"/>
              </w:rPr>
              <w:t>To be implemented in full</w:t>
            </w:r>
          </w:p>
          <w:p w14:paraId="5DD34B85" w14:textId="2D7E0BCB" w:rsidR="00867869" w:rsidRPr="00897EAD" w:rsidRDefault="00867869" w:rsidP="00867869">
            <w:pPr>
              <w:spacing w:after="0" w:line="240" w:lineRule="auto"/>
              <w:rPr>
                <w:sz w:val="20"/>
                <w:szCs w:val="20"/>
              </w:rPr>
            </w:pPr>
          </w:p>
        </w:tc>
      </w:tr>
    </w:tbl>
    <w:p w14:paraId="16257E03" w14:textId="77777777" w:rsidR="00390CE2" w:rsidRDefault="00390CE2" w:rsidP="00390CE2">
      <w:pPr>
        <w:rPr>
          <w:lang w:val="en-GB"/>
        </w:rPr>
      </w:pPr>
    </w:p>
    <w:p w14:paraId="5709A4BC" w14:textId="0CD20804" w:rsidR="008D1C61" w:rsidRDefault="008D1C61" w:rsidP="008D1C61">
      <w:pPr>
        <w:rPr>
          <w:lang w:val="en-GB"/>
        </w:rPr>
      </w:pPr>
      <w:r w:rsidRPr="008D1C61">
        <w:rPr>
          <w:lang w:val="en-GB"/>
        </w:rPr>
        <w:t>Based on analysis included in this DRIS, the options with the highest net benefit to be provided to Education Ministers for consideration are options 2, 3, 4 and 5. This recommendation is due to the expectation that these options will reduce the risk of harm to children and incur limited implementation costs.</w:t>
      </w:r>
    </w:p>
    <w:p w14:paraId="6D768730" w14:textId="77777777" w:rsidR="009E0216" w:rsidRDefault="009E0216">
      <w:pPr>
        <w:spacing w:after="160" w:line="259" w:lineRule="auto"/>
        <w:rPr>
          <w:rFonts w:cs="Arial"/>
          <w:bCs/>
          <w:color w:val="006B77"/>
          <w:sz w:val="36"/>
          <w:szCs w:val="40"/>
          <w:lang w:val="en-GB"/>
        </w:rPr>
      </w:pPr>
      <w:r>
        <w:rPr>
          <w:lang w:val="en-GB"/>
        </w:rPr>
        <w:br w:type="page"/>
      </w:r>
    </w:p>
    <w:p w14:paraId="79B8BA84" w14:textId="44578AD9" w:rsidR="00850FB5" w:rsidRPr="00390CE2" w:rsidRDefault="00390CE2" w:rsidP="009E0216">
      <w:pPr>
        <w:pStyle w:val="Title2"/>
      </w:pPr>
      <w:r w:rsidRPr="00B52117">
        <w:rPr>
          <w:lang w:val="en-GB"/>
        </w:rPr>
        <w:lastRenderedPageBreak/>
        <w:t xml:space="preserve">Total costs associated </w:t>
      </w:r>
      <w:r>
        <w:rPr>
          <w:lang w:val="en-GB"/>
        </w:rPr>
        <w:t>with regulatory burden</w:t>
      </w:r>
    </w:p>
    <w:p w14:paraId="1A5EEBDC" w14:textId="513FA332" w:rsidR="00BC03C0" w:rsidRPr="00BC03C0" w:rsidRDefault="00BC03C0" w:rsidP="00BC03C0">
      <w:r w:rsidRPr="00BC03C0">
        <w:t xml:space="preserve">Public consultation found that the majority of the proposed options were supported by stakeholders as being timely and appropriate. While some regulatory options </w:t>
      </w:r>
      <w:r w:rsidR="009E0216">
        <w:t xml:space="preserve">would </w:t>
      </w:r>
      <w:r w:rsidRPr="00BC03C0">
        <w:t xml:space="preserve">lead to increased cost and administrative or regulatory burden, it was broadly acknowledged that these options would enhance child safety. In some instances, stakeholders felt unable to provide definitive responses, both in terms of identifying a </w:t>
      </w:r>
      <w:r w:rsidR="00370AB1">
        <w:t xml:space="preserve">preferred option or combination </w:t>
      </w:r>
      <w:r w:rsidRPr="00BC03C0">
        <w:t xml:space="preserve">of </w:t>
      </w:r>
      <w:r w:rsidR="00CC6D56" w:rsidRPr="00BC03C0">
        <w:t>options or</w:t>
      </w:r>
      <w:r w:rsidRPr="00BC03C0">
        <w:t xml:space="preserve"> providing cost estimates. This was often in relation to areas of uncertainty about the nature of the problem and current levels of risk or harm, or in relation to specific aspects of proposed policy options and their implementation. </w:t>
      </w:r>
    </w:p>
    <w:p w14:paraId="5638CE97" w14:textId="07B8130B" w:rsidR="004539A8" w:rsidRDefault="00E7433B" w:rsidP="00E7433B">
      <w:r>
        <w:t>The final chapter of the DRIS</w:t>
      </w:r>
      <w:r w:rsidR="00E76DB6">
        <w:t xml:space="preserve">, </w:t>
      </w:r>
      <w:hyperlink w:anchor="_11._Implementing_and" w:history="1">
        <w:r w:rsidR="006540CB" w:rsidRPr="006540CB">
          <w:rPr>
            <w:rStyle w:val="Hyperlink"/>
          </w:rPr>
          <w:t>Chapter 11</w:t>
        </w:r>
      </w:hyperlink>
      <w:r w:rsidR="0065656A">
        <w:t xml:space="preserve">, provides insights on the impact of the </w:t>
      </w:r>
      <w:r w:rsidR="005866F1">
        <w:t xml:space="preserve">full suite of preferred policy reforms, implementation considerations and evaluation approaches. </w:t>
      </w:r>
      <w:r w:rsidR="004F6462">
        <w:t xml:space="preserve">Chapter 11 also provides a combined regulatory burden estimate for monetised costs of recommended options, which was estimated to be $54.7 million – </w:t>
      </w:r>
      <w:r w:rsidR="005C780B">
        <w:t>though</w:t>
      </w:r>
      <w:r w:rsidR="004F6462">
        <w:t xml:space="preserve"> only a small number of costs were able to be monetised. </w:t>
      </w:r>
    </w:p>
    <w:p w14:paraId="1A9C8A49" w14:textId="77777777" w:rsidR="00C7111D" w:rsidRDefault="00C7111D">
      <w:pPr>
        <w:spacing w:after="160" w:line="259" w:lineRule="auto"/>
      </w:pPr>
      <w:r>
        <w:br w:type="page"/>
      </w:r>
    </w:p>
    <w:p w14:paraId="1A193D8F" w14:textId="77777777" w:rsidR="00C7111D" w:rsidRDefault="00C7111D" w:rsidP="00C7111D">
      <w:pPr>
        <w:pStyle w:val="Heading1"/>
      </w:pPr>
      <w:bookmarkStart w:id="24" w:name="_Toc205884870"/>
      <w:r>
        <w:lastRenderedPageBreak/>
        <w:t>Guide to the Child Safety Review Decision Regulation Impact Statement</w:t>
      </w:r>
      <w:bookmarkEnd w:id="24"/>
    </w:p>
    <w:p w14:paraId="555B50B8" w14:textId="77777777" w:rsidR="00C7111D" w:rsidRDefault="00C7111D" w:rsidP="00C7111D">
      <w:pPr>
        <w:pStyle w:val="Heading2"/>
        <w:rPr>
          <w:lang w:val="en-GB"/>
        </w:rPr>
      </w:pPr>
      <w:bookmarkStart w:id="25" w:name="_Toc205884871"/>
      <w:r>
        <w:rPr>
          <w:lang w:val="en-GB"/>
        </w:rPr>
        <w:t>What is a regulation impact statement?</w:t>
      </w:r>
      <w:bookmarkEnd w:id="25"/>
    </w:p>
    <w:p w14:paraId="2B347E68" w14:textId="3ADE8E60" w:rsidR="00C7111D" w:rsidRDefault="00C7111D" w:rsidP="00C7111D">
      <w:pPr>
        <w:rPr>
          <w:lang w:val="en-GB"/>
        </w:rPr>
      </w:pPr>
      <w:r w:rsidRPr="00B2025D">
        <w:rPr>
          <w:lang w:val="en-GB"/>
        </w:rPr>
        <w:t xml:space="preserve">A </w:t>
      </w:r>
      <w:r>
        <w:rPr>
          <w:lang w:val="en-GB"/>
        </w:rPr>
        <w:t>r</w:t>
      </w:r>
      <w:r w:rsidRPr="00B2025D">
        <w:rPr>
          <w:lang w:val="en-GB"/>
        </w:rPr>
        <w:t xml:space="preserve">egulation </w:t>
      </w:r>
      <w:r>
        <w:rPr>
          <w:lang w:val="en-GB"/>
        </w:rPr>
        <w:t>i</w:t>
      </w:r>
      <w:r w:rsidRPr="00B2025D">
        <w:rPr>
          <w:lang w:val="en-GB"/>
        </w:rPr>
        <w:t>mpact</w:t>
      </w:r>
      <w:r w:rsidRPr="00B2025D" w:rsidDel="00B512A6">
        <w:rPr>
          <w:lang w:val="en-GB"/>
        </w:rPr>
        <w:t xml:space="preserve"> </w:t>
      </w:r>
      <w:r>
        <w:rPr>
          <w:lang w:val="en-GB"/>
        </w:rPr>
        <w:t>s</w:t>
      </w:r>
      <w:r w:rsidRPr="00B2025D">
        <w:rPr>
          <w:lang w:val="en-GB"/>
        </w:rPr>
        <w:t>tatement (RIS) assesses the impact of potential changes in</w:t>
      </w:r>
      <w:r>
        <w:rPr>
          <w:lang w:val="en-GB"/>
        </w:rPr>
        <w:t xml:space="preserve"> r</w:t>
      </w:r>
      <w:r w:rsidRPr="00B2025D">
        <w:rPr>
          <w:lang w:val="en-GB"/>
        </w:rPr>
        <w:t>egulation</w:t>
      </w:r>
      <w:r>
        <w:rPr>
          <w:lang w:val="en-GB"/>
        </w:rPr>
        <w:t xml:space="preserve"> for Australia</w:t>
      </w:r>
      <w:r w:rsidRPr="00B2025D">
        <w:rPr>
          <w:lang w:val="en-GB"/>
        </w:rPr>
        <w:t>. Regulation is any rule endorsed by government where there is an expectation</w:t>
      </w:r>
      <w:r>
        <w:rPr>
          <w:lang w:val="en-GB"/>
        </w:rPr>
        <w:t xml:space="preserve"> </w:t>
      </w:r>
      <w:r w:rsidRPr="00B2025D">
        <w:rPr>
          <w:lang w:val="en-GB"/>
        </w:rPr>
        <w:t>of compliance.</w:t>
      </w:r>
      <w:r>
        <w:rPr>
          <w:rStyle w:val="FootnoteReference"/>
          <w:lang w:val="en-GB"/>
        </w:rPr>
        <w:footnoteReference w:id="6"/>
      </w:r>
      <w:r w:rsidRPr="00B2025D">
        <w:rPr>
          <w:lang w:val="en-GB"/>
        </w:rPr>
        <w:t xml:space="preserve"> </w:t>
      </w:r>
      <w:r w:rsidRPr="003F04C2">
        <w:rPr>
          <w:lang w:val="en-GB"/>
        </w:rPr>
        <w:t>A RIS</w:t>
      </w:r>
      <w:r w:rsidR="001902F7">
        <w:rPr>
          <w:lang w:val="en-GB"/>
        </w:rPr>
        <w:t xml:space="preserve"> </w:t>
      </w:r>
      <w:r w:rsidRPr="003F04C2">
        <w:rPr>
          <w:lang w:val="en-GB"/>
        </w:rPr>
        <w:t>is required for any policy proposal or action of government, with an expectation of compliance, that would result in more than minor change in behaviour or impact for people, businesses or community organisations</w:t>
      </w:r>
      <w:r>
        <w:rPr>
          <w:lang w:val="en-GB"/>
        </w:rPr>
        <w:t>.</w:t>
      </w:r>
      <w:r>
        <w:rPr>
          <w:rStyle w:val="FootnoteReference"/>
          <w:lang w:val="en-GB"/>
        </w:rPr>
        <w:footnoteReference w:id="7"/>
      </w:r>
      <w:r>
        <w:rPr>
          <w:lang w:val="en-GB"/>
        </w:rPr>
        <w:t xml:space="preserve"> </w:t>
      </w:r>
      <w:r w:rsidRPr="003F04C2">
        <w:rPr>
          <w:lang w:val="en-GB"/>
        </w:rPr>
        <w:t xml:space="preserve">The policy proposals included within this RIS, propose changes to the </w:t>
      </w:r>
      <w:r>
        <w:rPr>
          <w:lang w:val="en-GB"/>
        </w:rPr>
        <w:t xml:space="preserve">Education and Care Services </w:t>
      </w:r>
      <w:r w:rsidRPr="003F04C2">
        <w:rPr>
          <w:lang w:val="en-GB"/>
        </w:rPr>
        <w:t xml:space="preserve">National Law </w:t>
      </w:r>
      <w:r>
        <w:rPr>
          <w:lang w:val="en-GB"/>
        </w:rPr>
        <w:t xml:space="preserve">(National Law) </w:t>
      </w:r>
      <w:r w:rsidRPr="003F04C2">
        <w:rPr>
          <w:lang w:val="en-GB"/>
        </w:rPr>
        <w:t>and</w:t>
      </w:r>
      <w:r>
        <w:rPr>
          <w:lang w:val="en-GB"/>
        </w:rPr>
        <w:t xml:space="preserve"> Education and Care Services National</w:t>
      </w:r>
      <w:r w:rsidRPr="003F04C2">
        <w:rPr>
          <w:lang w:val="en-GB"/>
        </w:rPr>
        <w:t xml:space="preserve"> Regulations</w:t>
      </w:r>
      <w:r>
        <w:rPr>
          <w:lang w:val="en-GB"/>
        </w:rPr>
        <w:t xml:space="preserve"> (National Regulations)</w:t>
      </w:r>
      <w:r>
        <w:rPr>
          <w:rStyle w:val="FootnoteReference"/>
          <w:lang w:val="en-GB"/>
        </w:rPr>
        <w:footnoteReference w:id="8"/>
      </w:r>
      <w:r>
        <w:rPr>
          <w:lang w:val="en-GB"/>
        </w:rPr>
        <w:t xml:space="preserve">, and </w:t>
      </w:r>
      <w:r w:rsidRPr="003F04C2">
        <w:rPr>
          <w:lang w:val="en-GB"/>
        </w:rPr>
        <w:t>would require more than a minor change in behaviour or impact for people, businesses and community organisations in the education and care sector.</w:t>
      </w:r>
    </w:p>
    <w:p w14:paraId="17E23446" w14:textId="35BAD143" w:rsidR="00C7111D" w:rsidRDefault="00C73656" w:rsidP="00C7111D">
      <w:pPr>
        <w:rPr>
          <w:lang w:val="en-GB"/>
        </w:rPr>
      </w:pPr>
      <w:r w:rsidRPr="00C73656">
        <w:rPr>
          <w:lang w:val="en-GB"/>
        </w:rPr>
        <w:t xml:space="preserve">A RIS is guided by advice from the Office of Impact Analysis (OIA), within the Department of Prime Minister and Cabinet. OIA recommends best practice </w:t>
      </w:r>
      <w:r w:rsidR="00747AAB">
        <w:rPr>
          <w:lang w:val="en-GB"/>
        </w:rPr>
        <w:t>RIS development</w:t>
      </w:r>
      <w:r w:rsidRPr="00C73656" w:rsidDel="00C73656">
        <w:rPr>
          <w:lang w:val="en-GB"/>
        </w:rPr>
        <w:t xml:space="preserve"> </w:t>
      </w:r>
      <w:r w:rsidR="00C7111D" w:rsidRPr="009C4EE3">
        <w:rPr>
          <w:lang w:val="en-GB"/>
        </w:rPr>
        <w:t>must consider seven key questions</w:t>
      </w:r>
      <w:r w:rsidR="00C7111D">
        <w:rPr>
          <w:lang w:val="en-GB"/>
        </w:rPr>
        <w:t xml:space="preserve"> to</w:t>
      </w:r>
      <w:r w:rsidR="00C7111D" w:rsidRPr="009C4EE3">
        <w:rPr>
          <w:lang w:val="en-GB"/>
        </w:rPr>
        <w:t xml:space="preserve"> enable decision-makers to understand the potential impact of major decisions and the total effect of the proposal/s on the community. </w:t>
      </w:r>
      <w:r w:rsidR="00C7111D">
        <w:rPr>
          <w:lang w:val="en-GB"/>
        </w:rPr>
        <w:t>The seven RIS questions</w:t>
      </w:r>
      <w:r w:rsidR="00C7111D" w:rsidRPr="00B2025D">
        <w:rPr>
          <w:lang w:val="en-GB"/>
        </w:rPr>
        <w:t xml:space="preserve"> </w:t>
      </w:r>
      <w:r w:rsidR="00C7111D">
        <w:rPr>
          <w:lang w:val="en-GB"/>
        </w:rPr>
        <w:t>include:</w:t>
      </w:r>
      <w:r w:rsidR="00C7111D">
        <w:rPr>
          <w:rStyle w:val="FootnoteReference"/>
          <w:lang w:val="en-GB"/>
        </w:rPr>
        <w:footnoteReference w:id="9"/>
      </w:r>
    </w:p>
    <w:p w14:paraId="5BFC28C3" w14:textId="77777777" w:rsidR="00C7111D" w:rsidRDefault="00C7111D" w:rsidP="00EC53AB">
      <w:pPr>
        <w:pStyle w:val="ListParagraph"/>
        <w:numPr>
          <w:ilvl w:val="0"/>
          <w:numId w:val="64"/>
        </w:numPr>
        <w:rPr>
          <w:lang w:val="en-GB"/>
        </w:rPr>
      </w:pPr>
      <w:r>
        <w:rPr>
          <w:lang w:val="en-GB"/>
        </w:rPr>
        <w:t xml:space="preserve">What is </w:t>
      </w:r>
      <w:r w:rsidRPr="005476E7">
        <w:rPr>
          <w:lang w:val="en-GB"/>
        </w:rPr>
        <w:t>the policy problem?</w:t>
      </w:r>
    </w:p>
    <w:p w14:paraId="73B497AE" w14:textId="77777777" w:rsidR="00C7111D" w:rsidRDefault="00C7111D" w:rsidP="00EC53AB">
      <w:pPr>
        <w:pStyle w:val="ListParagraph"/>
        <w:numPr>
          <w:ilvl w:val="0"/>
          <w:numId w:val="64"/>
        </w:numPr>
        <w:rPr>
          <w:lang w:val="en-GB"/>
        </w:rPr>
      </w:pPr>
      <w:r>
        <w:rPr>
          <w:lang w:val="en-GB"/>
        </w:rPr>
        <w:t xml:space="preserve">Why </w:t>
      </w:r>
      <w:r w:rsidRPr="005476E7">
        <w:rPr>
          <w:lang w:val="en-GB"/>
        </w:rPr>
        <w:t>is government action needed?</w:t>
      </w:r>
    </w:p>
    <w:p w14:paraId="722BDC0E" w14:textId="77777777" w:rsidR="00C7111D" w:rsidRDefault="00C7111D" w:rsidP="00EC53AB">
      <w:pPr>
        <w:pStyle w:val="ListParagraph"/>
        <w:numPr>
          <w:ilvl w:val="0"/>
          <w:numId w:val="64"/>
        </w:numPr>
        <w:rPr>
          <w:lang w:val="en-GB"/>
        </w:rPr>
      </w:pPr>
      <w:r w:rsidRPr="003E62D3">
        <w:rPr>
          <w:lang w:val="en-GB"/>
        </w:rPr>
        <w:t xml:space="preserve">What policy options </w:t>
      </w:r>
      <w:r>
        <w:rPr>
          <w:lang w:val="en-GB"/>
        </w:rPr>
        <w:t>are to be considered</w:t>
      </w:r>
      <w:r w:rsidRPr="003E62D3">
        <w:rPr>
          <w:lang w:val="en-GB"/>
        </w:rPr>
        <w:t>?</w:t>
      </w:r>
    </w:p>
    <w:p w14:paraId="17A5EA04" w14:textId="77777777" w:rsidR="00C7111D" w:rsidRDefault="00C7111D" w:rsidP="00EC53AB">
      <w:pPr>
        <w:pStyle w:val="ListParagraph"/>
        <w:numPr>
          <w:ilvl w:val="0"/>
          <w:numId w:val="64"/>
        </w:numPr>
        <w:rPr>
          <w:lang w:val="en-GB"/>
        </w:rPr>
      </w:pPr>
      <w:r w:rsidRPr="003E62D3">
        <w:rPr>
          <w:lang w:val="en-GB"/>
        </w:rPr>
        <w:t xml:space="preserve">What is the likely </w:t>
      </w:r>
      <w:r>
        <w:rPr>
          <w:lang w:val="en-GB"/>
        </w:rPr>
        <w:t xml:space="preserve">net </w:t>
      </w:r>
      <w:r w:rsidRPr="003E62D3">
        <w:rPr>
          <w:lang w:val="en-GB"/>
        </w:rPr>
        <w:t>benefit of each option?</w:t>
      </w:r>
    </w:p>
    <w:p w14:paraId="530F68B4" w14:textId="77777777" w:rsidR="00C7111D" w:rsidRDefault="00C7111D" w:rsidP="00EC53AB">
      <w:pPr>
        <w:pStyle w:val="ListParagraph"/>
        <w:numPr>
          <w:ilvl w:val="0"/>
          <w:numId w:val="64"/>
        </w:numPr>
        <w:rPr>
          <w:lang w:val="en-GB"/>
        </w:rPr>
      </w:pPr>
      <w:r w:rsidRPr="003E62D3">
        <w:rPr>
          <w:lang w:val="en-GB"/>
        </w:rPr>
        <w:t xml:space="preserve">Who </w:t>
      </w:r>
      <w:r>
        <w:rPr>
          <w:lang w:val="en-GB"/>
        </w:rPr>
        <w:t>was consulted</w:t>
      </w:r>
      <w:r w:rsidRPr="003E62D3">
        <w:rPr>
          <w:lang w:val="en-GB"/>
        </w:rPr>
        <w:t xml:space="preserve"> and how </w:t>
      </w:r>
      <w:r>
        <w:rPr>
          <w:lang w:val="en-GB"/>
        </w:rPr>
        <w:t>was</w:t>
      </w:r>
      <w:r w:rsidRPr="003E62D3">
        <w:rPr>
          <w:lang w:val="en-GB"/>
        </w:rPr>
        <w:t xml:space="preserve"> </w:t>
      </w:r>
      <w:r>
        <w:rPr>
          <w:lang w:val="en-GB"/>
        </w:rPr>
        <w:t>their feedback incorporated</w:t>
      </w:r>
      <w:r w:rsidRPr="003E62D3">
        <w:rPr>
          <w:lang w:val="en-GB"/>
        </w:rPr>
        <w:t>?</w:t>
      </w:r>
    </w:p>
    <w:p w14:paraId="1130A5A6" w14:textId="77777777" w:rsidR="00C7111D" w:rsidRDefault="00C7111D" w:rsidP="00EC53AB">
      <w:pPr>
        <w:pStyle w:val="ListParagraph"/>
        <w:numPr>
          <w:ilvl w:val="0"/>
          <w:numId w:val="64"/>
        </w:numPr>
        <w:rPr>
          <w:lang w:val="en-GB"/>
        </w:rPr>
      </w:pPr>
      <w:r w:rsidRPr="003E62D3">
        <w:rPr>
          <w:lang w:val="en-GB"/>
        </w:rPr>
        <w:t>What is the best option from those considered</w:t>
      </w:r>
      <w:r>
        <w:rPr>
          <w:lang w:val="en-GB"/>
        </w:rPr>
        <w:t xml:space="preserve"> and how will it be implemented?</w:t>
      </w:r>
    </w:p>
    <w:p w14:paraId="124F8622" w14:textId="77777777" w:rsidR="00C7111D" w:rsidRPr="005476E7" w:rsidRDefault="00C7111D" w:rsidP="00EC53AB">
      <w:pPr>
        <w:pStyle w:val="ListParagraph"/>
        <w:numPr>
          <w:ilvl w:val="0"/>
          <w:numId w:val="64"/>
        </w:numPr>
        <w:rPr>
          <w:lang w:val="en-GB"/>
        </w:rPr>
      </w:pPr>
      <w:r w:rsidRPr="003E62D3">
        <w:rPr>
          <w:lang w:val="en-GB"/>
        </w:rPr>
        <w:lastRenderedPageBreak/>
        <w:t xml:space="preserve">How will </w:t>
      </w:r>
      <w:r>
        <w:rPr>
          <w:lang w:val="en-GB"/>
        </w:rPr>
        <w:t>the chosen option be evaluated</w:t>
      </w:r>
      <w:r w:rsidRPr="003E62D3">
        <w:rPr>
          <w:lang w:val="en-GB"/>
        </w:rPr>
        <w:t>?</w:t>
      </w:r>
    </w:p>
    <w:p w14:paraId="0FD97C01" w14:textId="5AFAB4A1" w:rsidR="00C7111D" w:rsidRDefault="00C7111D" w:rsidP="00C7111D">
      <w:pPr>
        <w:rPr>
          <w:lang w:val="en-GB"/>
        </w:rPr>
      </w:pPr>
      <w:r w:rsidRPr="009C4EE3">
        <w:rPr>
          <w:lang w:val="en-GB"/>
        </w:rPr>
        <w:t xml:space="preserve">To support the successful delivery of a comprehensive and robust analysis </w:t>
      </w:r>
      <w:r>
        <w:rPr>
          <w:lang w:val="en-GB"/>
        </w:rPr>
        <w:t>of</w:t>
      </w:r>
      <w:r w:rsidRPr="009C4EE3">
        <w:rPr>
          <w:lang w:val="en-GB"/>
        </w:rPr>
        <w:t xml:space="preserve"> these questions, </w:t>
      </w:r>
      <w:r w:rsidR="00482C4D">
        <w:rPr>
          <w:lang w:val="en-GB"/>
        </w:rPr>
        <w:t xml:space="preserve">a </w:t>
      </w:r>
      <w:r w:rsidRPr="009C4EE3">
        <w:rPr>
          <w:lang w:val="en-GB"/>
        </w:rPr>
        <w:t xml:space="preserve">RIS </w:t>
      </w:r>
      <w:r>
        <w:rPr>
          <w:lang w:val="en-GB"/>
        </w:rPr>
        <w:t>is</w:t>
      </w:r>
      <w:r w:rsidRPr="009C4EE3">
        <w:rPr>
          <w:lang w:val="en-GB"/>
        </w:rPr>
        <w:t xml:space="preserve"> comprise</w:t>
      </w:r>
      <w:r>
        <w:rPr>
          <w:lang w:val="en-GB"/>
        </w:rPr>
        <w:t>d</w:t>
      </w:r>
      <w:r w:rsidRPr="009C4EE3">
        <w:rPr>
          <w:lang w:val="en-GB"/>
        </w:rPr>
        <w:t xml:space="preserve"> of two key elements, namely a:</w:t>
      </w:r>
    </w:p>
    <w:p w14:paraId="2576E7F0" w14:textId="75BC37F0" w:rsidR="00C7111D" w:rsidRDefault="00C7111D" w:rsidP="00EC53AB">
      <w:pPr>
        <w:pStyle w:val="ListParagraph"/>
        <w:numPr>
          <w:ilvl w:val="0"/>
          <w:numId w:val="19"/>
        </w:numPr>
        <w:ind w:left="426" w:hanging="426"/>
        <w:rPr>
          <w:lang w:val="en-GB"/>
        </w:rPr>
      </w:pPr>
      <w:r>
        <w:rPr>
          <w:lang w:val="en-GB"/>
        </w:rPr>
        <w:t xml:space="preserve">A </w:t>
      </w:r>
      <w:r w:rsidR="00D76872">
        <w:rPr>
          <w:lang w:val="en-GB"/>
        </w:rPr>
        <w:t>CRIS</w:t>
      </w:r>
      <w:r>
        <w:rPr>
          <w:lang w:val="en-GB"/>
        </w:rPr>
        <w:t xml:space="preserve">, which </w:t>
      </w:r>
      <w:r w:rsidRPr="00064E04">
        <w:rPr>
          <w:lang w:val="en-GB"/>
        </w:rPr>
        <w:t xml:space="preserve">is primarily intended to provide background information on proposed reforms which largely stem </w:t>
      </w:r>
      <w:r>
        <w:rPr>
          <w:lang w:val="en-GB"/>
        </w:rPr>
        <w:t>from recommendations from</w:t>
      </w:r>
      <w:r w:rsidRPr="00064E04">
        <w:rPr>
          <w:lang w:val="en-GB"/>
        </w:rPr>
        <w:t xml:space="preserve"> </w:t>
      </w:r>
      <w:r>
        <w:rPr>
          <w:lang w:val="en-GB"/>
        </w:rPr>
        <w:t xml:space="preserve">the </w:t>
      </w:r>
      <w:r>
        <w:rPr>
          <w:rFonts w:eastAsia="Times New Roman" w:cs="Arial"/>
        </w:rPr>
        <w:t>Review</w:t>
      </w:r>
      <w:r w:rsidRPr="009E2288">
        <w:t xml:space="preserve"> of Child Safety Arrangements under the National Quality Framework</w:t>
      </w:r>
      <w:r w:rsidRPr="00064E04">
        <w:rPr>
          <w:lang w:val="en-GB"/>
        </w:rPr>
        <w:t xml:space="preserve"> and inform public consultation responses and data collection</w:t>
      </w:r>
      <w:r>
        <w:rPr>
          <w:lang w:val="en-GB"/>
        </w:rPr>
        <w:t>.</w:t>
      </w:r>
    </w:p>
    <w:p w14:paraId="5DACB728" w14:textId="1A88C0F7" w:rsidR="00C7111D" w:rsidRDefault="00C7111D" w:rsidP="00EC53AB">
      <w:pPr>
        <w:pStyle w:val="ListParagraph"/>
        <w:numPr>
          <w:ilvl w:val="0"/>
          <w:numId w:val="19"/>
        </w:numPr>
        <w:ind w:left="426" w:hanging="426"/>
        <w:rPr>
          <w:lang w:val="en-GB"/>
        </w:rPr>
      </w:pPr>
      <w:r>
        <w:rPr>
          <w:lang w:val="en-GB"/>
        </w:rPr>
        <w:t>A final RIS to inform the decision-making body (referred to as a ‘</w:t>
      </w:r>
      <w:r w:rsidRPr="009C4EE3">
        <w:rPr>
          <w:lang w:val="en-GB"/>
        </w:rPr>
        <w:t>decision RIS</w:t>
      </w:r>
      <w:r>
        <w:rPr>
          <w:lang w:val="en-GB"/>
        </w:rPr>
        <w:t xml:space="preserve">’ or </w:t>
      </w:r>
      <w:r w:rsidRPr="009C4EE3">
        <w:rPr>
          <w:lang w:val="en-GB"/>
        </w:rPr>
        <w:t>DRIS)</w:t>
      </w:r>
      <w:r>
        <w:rPr>
          <w:lang w:val="en-GB"/>
        </w:rPr>
        <w:t xml:space="preserve">, </w:t>
      </w:r>
      <w:r w:rsidRPr="00335154">
        <w:rPr>
          <w:lang w:val="en-GB"/>
        </w:rPr>
        <w:t>follow</w:t>
      </w:r>
      <w:r w:rsidR="004F3837">
        <w:rPr>
          <w:lang w:val="en-GB"/>
        </w:rPr>
        <w:t>s</w:t>
      </w:r>
      <w:r w:rsidRPr="00335154">
        <w:rPr>
          <w:lang w:val="en-GB"/>
        </w:rPr>
        <w:t xml:space="preserve"> the public consultation period</w:t>
      </w:r>
      <w:r>
        <w:rPr>
          <w:lang w:val="en-GB"/>
        </w:rPr>
        <w:t xml:space="preserve">, </w:t>
      </w:r>
      <w:r w:rsidR="00B4513D">
        <w:rPr>
          <w:lang w:val="en-GB"/>
        </w:rPr>
        <w:t xml:space="preserve">and </w:t>
      </w:r>
      <w:r>
        <w:rPr>
          <w:lang w:val="en-GB"/>
        </w:rPr>
        <w:t xml:space="preserve">includes a cost-benefit analysis (CBA) to evaluate the impacts of each regulatory proposal. The DRIS is treated as the final RIS document, </w:t>
      </w:r>
      <w:r w:rsidR="003612B4">
        <w:rPr>
          <w:lang w:val="en-GB"/>
        </w:rPr>
        <w:t xml:space="preserve">which provides recommended options for </w:t>
      </w:r>
      <w:r w:rsidR="00242B5D">
        <w:rPr>
          <w:lang w:val="en-GB"/>
        </w:rPr>
        <w:t xml:space="preserve">the </w:t>
      </w:r>
      <w:r w:rsidR="003612B4">
        <w:rPr>
          <w:lang w:val="en-GB"/>
        </w:rPr>
        <w:t>consideration of</w:t>
      </w:r>
      <w:r w:rsidR="00242B5D">
        <w:rPr>
          <w:lang w:val="en-GB"/>
        </w:rPr>
        <w:t xml:space="preserve"> Education Ministers.</w:t>
      </w:r>
    </w:p>
    <w:p w14:paraId="45FB529F" w14:textId="0B5F866C" w:rsidR="00C7111D" w:rsidRDefault="00C7111D" w:rsidP="00C7111D">
      <w:pPr>
        <w:rPr>
          <w:lang w:val="en-GB"/>
        </w:rPr>
      </w:pPr>
      <w:r>
        <w:rPr>
          <w:lang w:val="en-GB"/>
        </w:rPr>
        <w:t>The CRIS was published in April 2025 and subject to a six-week public consultation period which occurred between 28 April and 11 June 2025.</w:t>
      </w:r>
      <w:r>
        <w:rPr>
          <w:rStyle w:val="FootnoteReference"/>
          <w:lang w:val="en-GB"/>
        </w:rPr>
        <w:footnoteReference w:id="10"/>
      </w:r>
      <w:r>
        <w:rPr>
          <w:lang w:val="en-GB"/>
        </w:rPr>
        <w:t xml:space="preserve"> Following the public consultation, stakeholder views and data were incorporated into the analysis underpinning this DRIS. </w:t>
      </w:r>
      <w:r w:rsidRPr="450F858A">
        <w:rPr>
          <w:lang w:val="en-GB"/>
        </w:rPr>
        <w:t xml:space="preserve">Chapter 3 </w:t>
      </w:r>
      <w:r>
        <w:rPr>
          <w:lang w:val="en-GB"/>
        </w:rPr>
        <w:t>provides</w:t>
      </w:r>
      <w:r w:rsidRPr="450F858A">
        <w:rPr>
          <w:lang w:val="en-GB"/>
        </w:rPr>
        <w:t xml:space="preserve"> a summary of the consultation process undertaken on the </w:t>
      </w:r>
      <w:r w:rsidR="00FF0286">
        <w:rPr>
          <w:lang w:val="en-GB"/>
        </w:rPr>
        <w:t>CRIS.</w:t>
      </w:r>
    </w:p>
    <w:p w14:paraId="559D767A" w14:textId="77777777" w:rsidR="00C7111D" w:rsidRDefault="00C7111D" w:rsidP="00C7111D">
      <w:pPr>
        <w:pStyle w:val="Caption"/>
        <w:rPr>
          <w:lang w:val="en-GB"/>
        </w:rPr>
      </w:pPr>
      <w:bookmarkStart w:id="26" w:name="_Toc205884919"/>
      <w:r>
        <w:rPr>
          <w:lang w:val="en-GB"/>
        </w:rPr>
        <w:t>Figure I: Phases of the Child Safety Review RIS</w:t>
      </w:r>
      <w:bookmarkEnd w:id="26"/>
    </w:p>
    <w:p w14:paraId="14D7028F" w14:textId="489A9015" w:rsidR="00C7111D" w:rsidRPr="009863B7" w:rsidRDefault="00D20840" w:rsidP="00C7111D">
      <w:pPr>
        <w:rPr>
          <w:lang w:val="en-GB"/>
        </w:rPr>
      </w:pPr>
      <w:r>
        <w:rPr>
          <w:noProof/>
          <w:lang w:val="en-GB"/>
        </w:rPr>
        <w:drawing>
          <wp:inline distT="0" distB="0" distL="0" distR="0" wp14:anchorId="763C8332" wp14:editId="61B2508D">
            <wp:extent cx="6257290" cy="910224"/>
            <wp:effectExtent l="0" t="0" r="0" b="4445"/>
            <wp:docPr id="1975900279" name="Picture 1" descr="figure outlining the phases of the Child Safety Review 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00279" name="Picture 1" descr="figure outlining the phases of the Child Safety Review R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6912" cy="915988"/>
                    </a:xfrm>
                    <a:prstGeom prst="rect">
                      <a:avLst/>
                    </a:prstGeom>
                    <a:noFill/>
                  </pic:spPr>
                </pic:pic>
              </a:graphicData>
            </a:graphic>
          </wp:inline>
        </w:drawing>
      </w:r>
    </w:p>
    <w:p w14:paraId="3D3F468B" w14:textId="14EE8364" w:rsidR="00C66DA1" w:rsidRPr="00C66DA1" w:rsidRDefault="00C7111D" w:rsidP="00B76780">
      <w:pPr>
        <w:pStyle w:val="Heading2"/>
        <w:rPr>
          <w:lang w:val="en-GB"/>
        </w:rPr>
      </w:pPr>
      <w:bookmarkStart w:id="27" w:name="_Toc205884872"/>
      <w:r>
        <w:rPr>
          <w:lang w:val="en-GB"/>
        </w:rPr>
        <w:t xml:space="preserve">Guide to the </w:t>
      </w:r>
      <w:r w:rsidR="000B75E3">
        <w:rPr>
          <w:lang w:val="en-GB"/>
        </w:rPr>
        <w:t>DRIS</w:t>
      </w:r>
      <w:bookmarkEnd w:id="27"/>
    </w:p>
    <w:p w14:paraId="22262E92" w14:textId="6344338E" w:rsidR="00C7111D" w:rsidRPr="00743FAD" w:rsidRDefault="00C7111D" w:rsidP="00C7111D">
      <w:pPr>
        <w:pStyle w:val="Caption"/>
      </w:pPr>
      <w:bookmarkStart w:id="28" w:name="_Toc205884920"/>
      <w:r>
        <w:t xml:space="preserve">Table </w:t>
      </w:r>
      <w:r w:rsidR="00A50879">
        <w:t>I</w:t>
      </w:r>
      <w:r>
        <w:t>: Guide to the document</w:t>
      </w:r>
      <w:bookmarkEnd w:id="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I: Guide to the document"/>
        <w:tblDescription w:val="This table describes what is contained in each chapter of the document."/>
      </w:tblPr>
      <w:tblGrid>
        <w:gridCol w:w="4505"/>
        <w:gridCol w:w="4505"/>
      </w:tblGrid>
      <w:tr w:rsidR="00C7111D" w:rsidRPr="00B33183" w14:paraId="1E2B93F8" w14:textId="77777777" w:rsidTr="002E1A93">
        <w:trPr>
          <w:tblHeader/>
        </w:trPr>
        <w:tc>
          <w:tcPr>
            <w:tcW w:w="4505" w:type="dxa"/>
            <w:shd w:val="clear" w:color="auto" w:fill="14233C" w:themeFill="text2"/>
          </w:tcPr>
          <w:p w14:paraId="2DD54AE4" w14:textId="77777777" w:rsidR="00C7111D" w:rsidRPr="00033703" w:rsidRDefault="00C7111D">
            <w:pPr>
              <w:rPr>
                <w:b/>
                <w:color w:val="FFFFFF" w:themeColor="background1"/>
                <w:szCs w:val="20"/>
                <w:lang w:val="en-GB"/>
              </w:rPr>
            </w:pPr>
            <w:r w:rsidRPr="00033703">
              <w:rPr>
                <w:b/>
                <w:color w:val="FFFFFF" w:themeColor="background1"/>
                <w:szCs w:val="20"/>
                <w:lang w:val="en-GB"/>
              </w:rPr>
              <w:t>Chapter</w:t>
            </w:r>
          </w:p>
        </w:tc>
        <w:tc>
          <w:tcPr>
            <w:tcW w:w="4505" w:type="dxa"/>
            <w:shd w:val="clear" w:color="auto" w:fill="14233C" w:themeFill="text2"/>
          </w:tcPr>
          <w:p w14:paraId="6AA6DAFA" w14:textId="77777777" w:rsidR="00C7111D" w:rsidRPr="00033703" w:rsidRDefault="00C7111D">
            <w:pPr>
              <w:rPr>
                <w:b/>
                <w:color w:val="FFFFFF" w:themeColor="background1"/>
                <w:szCs w:val="20"/>
                <w:lang w:val="en-GB"/>
              </w:rPr>
            </w:pPr>
            <w:r w:rsidRPr="00033703">
              <w:rPr>
                <w:b/>
                <w:color w:val="FFFFFF" w:themeColor="background1"/>
                <w:szCs w:val="20"/>
                <w:lang w:val="en-GB"/>
              </w:rPr>
              <w:t>Content and alignment to the CSR</w:t>
            </w:r>
            <w:r w:rsidRPr="00033703">
              <w:rPr>
                <w:rStyle w:val="FootnoteReference"/>
                <w:b/>
                <w:color w:val="FFFFFF" w:themeColor="background1"/>
                <w:szCs w:val="20"/>
                <w:lang w:val="en-GB"/>
              </w:rPr>
              <w:footnoteReference w:id="11"/>
            </w:r>
          </w:p>
        </w:tc>
      </w:tr>
      <w:tr w:rsidR="00C7111D" w:rsidRPr="00B33183" w14:paraId="02422FBE" w14:textId="77777777" w:rsidTr="002E1A93">
        <w:tc>
          <w:tcPr>
            <w:tcW w:w="4505" w:type="dxa"/>
          </w:tcPr>
          <w:p w14:paraId="08D86132" w14:textId="3D161E04" w:rsidR="00C7111D" w:rsidRPr="00033703" w:rsidRDefault="00C7111D">
            <w:pPr>
              <w:rPr>
                <w:szCs w:val="20"/>
                <w:lang w:val="en-GB"/>
              </w:rPr>
            </w:pPr>
            <w:hyperlink w:anchor="_1._Introduction" w:history="1">
              <w:r w:rsidRPr="002237AC">
                <w:rPr>
                  <w:rStyle w:val="Hyperlink"/>
                  <w:szCs w:val="20"/>
                  <w:lang w:val="en-GB"/>
                </w:rPr>
                <w:t>Chapter 1: Introduction</w:t>
              </w:r>
            </w:hyperlink>
          </w:p>
        </w:tc>
        <w:tc>
          <w:tcPr>
            <w:tcW w:w="4505" w:type="dxa"/>
          </w:tcPr>
          <w:p w14:paraId="7015754E" w14:textId="77777777" w:rsidR="00C7111D" w:rsidRPr="00033703" w:rsidRDefault="00C7111D">
            <w:pPr>
              <w:rPr>
                <w:szCs w:val="20"/>
                <w:lang w:val="en-GB"/>
              </w:rPr>
            </w:pPr>
            <w:r w:rsidRPr="00033703">
              <w:rPr>
                <w:szCs w:val="20"/>
                <w:lang w:val="en-GB"/>
              </w:rPr>
              <w:t>Provides background on the National Quality Framework (NQF), the education and care sector, the CSR, and the case for change identified through the CSR.</w:t>
            </w:r>
          </w:p>
        </w:tc>
      </w:tr>
      <w:tr w:rsidR="00C7111D" w:rsidRPr="00B33183" w14:paraId="0408FF54" w14:textId="77777777" w:rsidTr="002E1A93">
        <w:tc>
          <w:tcPr>
            <w:tcW w:w="4505" w:type="dxa"/>
          </w:tcPr>
          <w:p w14:paraId="402E4FFC" w14:textId="3BAE5AAB" w:rsidR="00C7111D" w:rsidRPr="00033703" w:rsidRDefault="00C7111D">
            <w:pPr>
              <w:rPr>
                <w:szCs w:val="20"/>
                <w:lang w:val="en-GB"/>
              </w:rPr>
            </w:pPr>
            <w:hyperlink w:anchor="_2._The_case" w:history="1">
              <w:r w:rsidRPr="00FB19E3">
                <w:rPr>
                  <w:rStyle w:val="Hyperlink"/>
                  <w:szCs w:val="20"/>
                  <w:lang w:val="en-GB"/>
                </w:rPr>
                <w:t>Chapter 2: The case for government intervention</w:t>
              </w:r>
            </w:hyperlink>
          </w:p>
        </w:tc>
        <w:tc>
          <w:tcPr>
            <w:tcW w:w="4505" w:type="dxa"/>
          </w:tcPr>
          <w:p w14:paraId="4BBF46B9" w14:textId="77777777" w:rsidR="00C7111D" w:rsidRPr="00033703" w:rsidRDefault="00C7111D">
            <w:pPr>
              <w:rPr>
                <w:szCs w:val="20"/>
                <w:lang w:val="en-GB"/>
              </w:rPr>
            </w:pPr>
            <w:r w:rsidRPr="00033703">
              <w:rPr>
                <w:szCs w:val="20"/>
                <w:lang w:val="en-GB"/>
              </w:rPr>
              <w:t>Outlines the need for government intervention as a means to fulfil the CSR recommendations.</w:t>
            </w:r>
          </w:p>
        </w:tc>
      </w:tr>
      <w:tr w:rsidR="00C7111D" w:rsidRPr="00B33183" w14:paraId="14346C2D" w14:textId="77777777" w:rsidTr="002E1A93">
        <w:tc>
          <w:tcPr>
            <w:tcW w:w="4505" w:type="dxa"/>
          </w:tcPr>
          <w:p w14:paraId="6837DE01" w14:textId="25BABBD6" w:rsidR="00C7111D" w:rsidRPr="00033703" w:rsidRDefault="00C7111D">
            <w:pPr>
              <w:rPr>
                <w:szCs w:val="20"/>
                <w:lang w:val="en-GB"/>
              </w:rPr>
            </w:pPr>
            <w:hyperlink w:anchor="_3._Summary_of" w:history="1">
              <w:r w:rsidRPr="00FB19E3">
                <w:rPr>
                  <w:rStyle w:val="Hyperlink"/>
                  <w:szCs w:val="20"/>
                  <w:lang w:val="en-GB"/>
                </w:rPr>
                <w:t>Chapter 3: Summary of public consultation process</w:t>
              </w:r>
            </w:hyperlink>
          </w:p>
        </w:tc>
        <w:tc>
          <w:tcPr>
            <w:tcW w:w="4505" w:type="dxa"/>
          </w:tcPr>
          <w:p w14:paraId="424CB7D0" w14:textId="52024C16" w:rsidR="00C7111D" w:rsidRPr="00033703" w:rsidRDefault="00C7111D">
            <w:pPr>
              <w:rPr>
                <w:szCs w:val="20"/>
                <w:lang w:val="en-GB"/>
              </w:rPr>
            </w:pPr>
            <w:r w:rsidRPr="00033703">
              <w:rPr>
                <w:szCs w:val="20"/>
                <w:lang w:val="en-GB"/>
              </w:rPr>
              <w:t>Provides an overview of the consultat</w:t>
            </w:r>
            <w:r w:rsidR="00FB19E3">
              <w:rPr>
                <w:szCs w:val="20"/>
                <w:lang w:val="en-GB"/>
              </w:rPr>
              <w:t>ion</w:t>
            </w:r>
            <w:r w:rsidRPr="00033703">
              <w:rPr>
                <w:szCs w:val="20"/>
                <w:lang w:val="en-GB"/>
              </w:rPr>
              <w:t xml:space="preserve"> activities undertaken </w:t>
            </w:r>
            <w:r w:rsidR="00FB19E3">
              <w:rPr>
                <w:szCs w:val="20"/>
                <w:lang w:val="en-GB"/>
              </w:rPr>
              <w:t>and key views and perspectives.</w:t>
            </w:r>
          </w:p>
        </w:tc>
      </w:tr>
      <w:tr w:rsidR="00C7111D" w:rsidRPr="00B33183" w14:paraId="6DEC9EDD" w14:textId="77777777" w:rsidTr="002E1A93">
        <w:tc>
          <w:tcPr>
            <w:tcW w:w="4505" w:type="dxa"/>
          </w:tcPr>
          <w:p w14:paraId="3A26A402" w14:textId="49DB6FC1" w:rsidR="00C7111D" w:rsidRPr="00033703" w:rsidRDefault="00C7111D">
            <w:pPr>
              <w:rPr>
                <w:szCs w:val="20"/>
                <w:lang w:val="en-GB"/>
              </w:rPr>
            </w:pPr>
            <w:hyperlink w:anchor="_4._Approach_to" w:history="1">
              <w:r w:rsidRPr="00FB19E3">
                <w:rPr>
                  <w:rStyle w:val="Hyperlink"/>
                  <w:szCs w:val="20"/>
                  <w:lang w:val="en-GB"/>
                </w:rPr>
                <w:t>Chapter 4: Approach to impact analysis</w:t>
              </w:r>
            </w:hyperlink>
          </w:p>
        </w:tc>
        <w:tc>
          <w:tcPr>
            <w:tcW w:w="4505" w:type="dxa"/>
          </w:tcPr>
          <w:p w14:paraId="776EBA43" w14:textId="20FBA856" w:rsidR="00C7111D" w:rsidRPr="00033703" w:rsidRDefault="00C7111D">
            <w:pPr>
              <w:rPr>
                <w:szCs w:val="20"/>
                <w:lang w:val="en-GB"/>
              </w:rPr>
            </w:pPr>
            <w:r w:rsidRPr="00033703">
              <w:rPr>
                <w:szCs w:val="20"/>
                <w:lang w:val="en-GB"/>
              </w:rPr>
              <w:t xml:space="preserve">Outlines the approach </w:t>
            </w:r>
            <w:r w:rsidR="00FB19E3">
              <w:rPr>
                <w:szCs w:val="20"/>
                <w:lang w:val="en-GB"/>
              </w:rPr>
              <w:t>to measure the</w:t>
            </w:r>
            <w:r w:rsidRPr="00033703">
              <w:rPr>
                <w:szCs w:val="20"/>
                <w:lang w:val="en-GB"/>
              </w:rPr>
              <w:t xml:space="preserve"> impact of each option.</w:t>
            </w:r>
          </w:p>
        </w:tc>
      </w:tr>
      <w:tr w:rsidR="00C7111D" w:rsidRPr="00B33183" w14:paraId="23774C41" w14:textId="77777777" w:rsidTr="002E1A93">
        <w:tc>
          <w:tcPr>
            <w:tcW w:w="4505" w:type="dxa"/>
          </w:tcPr>
          <w:p w14:paraId="29976E4F" w14:textId="7EDF0AAA" w:rsidR="00C7111D" w:rsidRPr="00033703" w:rsidRDefault="00C7111D">
            <w:pPr>
              <w:rPr>
                <w:szCs w:val="20"/>
                <w:lang w:val="en-GB"/>
              </w:rPr>
            </w:pPr>
            <w:hyperlink w:anchor="_5._Management_of" w:history="1">
              <w:r w:rsidRPr="00FB19E3">
                <w:rPr>
                  <w:rStyle w:val="Hyperlink"/>
                  <w:szCs w:val="20"/>
                  <w:lang w:val="en-GB"/>
                </w:rPr>
                <w:t>Chapter 5: Management of digital devices</w:t>
              </w:r>
            </w:hyperlink>
          </w:p>
        </w:tc>
        <w:tc>
          <w:tcPr>
            <w:tcW w:w="4505" w:type="dxa"/>
          </w:tcPr>
          <w:p w14:paraId="316FA770" w14:textId="77777777" w:rsidR="00C7111D" w:rsidRPr="00033703" w:rsidRDefault="00C7111D">
            <w:pPr>
              <w:rPr>
                <w:szCs w:val="20"/>
                <w:lang w:val="en-GB"/>
              </w:rPr>
            </w:pPr>
            <w:r w:rsidRPr="00033703">
              <w:rPr>
                <w:szCs w:val="20"/>
                <w:lang w:val="en-GB"/>
              </w:rPr>
              <w:t>Provides the impact assessment for policy options stemming from CSR recommendations 2.3 and 2.4.</w:t>
            </w:r>
          </w:p>
        </w:tc>
      </w:tr>
      <w:tr w:rsidR="00C7111D" w:rsidRPr="00B33183" w14:paraId="3E46E3CA" w14:textId="77777777" w:rsidTr="002E1A93">
        <w:tc>
          <w:tcPr>
            <w:tcW w:w="4505" w:type="dxa"/>
          </w:tcPr>
          <w:p w14:paraId="32B527EA" w14:textId="1057B1FA" w:rsidR="00C7111D" w:rsidRPr="00033703" w:rsidRDefault="00C7111D">
            <w:pPr>
              <w:rPr>
                <w:szCs w:val="20"/>
                <w:lang w:val="en-GB"/>
              </w:rPr>
            </w:pPr>
            <w:hyperlink w:anchor="_6._Child_safety" w:history="1">
              <w:r w:rsidRPr="00FB19E3">
                <w:rPr>
                  <w:rStyle w:val="Hyperlink"/>
                  <w:szCs w:val="20"/>
                  <w:lang w:val="en-GB"/>
                </w:rPr>
                <w:t>Chapter 6: Child safety training</w:t>
              </w:r>
            </w:hyperlink>
          </w:p>
        </w:tc>
        <w:tc>
          <w:tcPr>
            <w:tcW w:w="4505" w:type="dxa"/>
          </w:tcPr>
          <w:p w14:paraId="6AC90EBA" w14:textId="77777777" w:rsidR="00C7111D" w:rsidRPr="00033703" w:rsidRDefault="00C7111D">
            <w:pPr>
              <w:rPr>
                <w:szCs w:val="20"/>
                <w:lang w:val="en-GB"/>
              </w:rPr>
            </w:pPr>
            <w:r w:rsidRPr="00033703">
              <w:rPr>
                <w:szCs w:val="20"/>
                <w:lang w:val="en-GB"/>
              </w:rPr>
              <w:t>Provides the impact assessment for policy options stemming from CSR recommendation 12.</w:t>
            </w:r>
          </w:p>
        </w:tc>
      </w:tr>
      <w:tr w:rsidR="00C7111D" w:rsidRPr="00B33183" w14:paraId="2E7FF1B2" w14:textId="77777777" w:rsidTr="002E1A93">
        <w:tc>
          <w:tcPr>
            <w:tcW w:w="4505" w:type="dxa"/>
          </w:tcPr>
          <w:p w14:paraId="409D9DB7" w14:textId="5C4BA65A" w:rsidR="00C7111D" w:rsidRPr="00033703" w:rsidRDefault="00C7111D">
            <w:pPr>
              <w:rPr>
                <w:szCs w:val="20"/>
                <w:lang w:val="en-GB"/>
              </w:rPr>
            </w:pPr>
            <w:hyperlink w:anchor="_7._Responding_to" w:history="1">
              <w:r w:rsidRPr="00FB19E3">
                <w:rPr>
                  <w:rStyle w:val="Hyperlink"/>
                  <w:szCs w:val="20"/>
                  <w:lang w:val="en-GB"/>
                </w:rPr>
                <w:t>Chapter 7: Responding to educator and staff member conduct</w:t>
              </w:r>
            </w:hyperlink>
          </w:p>
        </w:tc>
        <w:tc>
          <w:tcPr>
            <w:tcW w:w="4505" w:type="dxa"/>
          </w:tcPr>
          <w:p w14:paraId="79B84D71" w14:textId="77777777" w:rsidR="00C7111D" w:rsidRPr="00033703" w:rsidRDefault="00C7111D">
            <w:pPr>
              <w:rPr>
                <w:szCs w:val="20"/>
                <w:lang w:val="en-GB"/>
              </w:rPr>
            </w:pPr>
            <w:r w:rsidRPr="00033703">
              <w:rPr>
                <w:szCs w:val="20"/>
                <w:lang w:val="en-GB"/>
              </w:rPr>
              <w:t>Provides the impact assessment for policy options stemming from CSR recommendations 10 and 11.</w:t>
            </w:r>
          </w:p>
        </w:tc>
      </w:tr>
      <w:tr w:rsidR="00C7111D" w:rsidRPr="00B33183" w14:paraId="3388704F" w14:textId="77777777" w:rsidTr="002E1A93">
        <w:tc>
          <w:tcPr>
            <w:tcW w:w="4505" w:type="dxa"/>
          </w:tcPr>
          <w:p w14:paraId="7D680710" w14:textId="49E6588A" w:rsidR="00C7111D" w:rsidRPr="00033703" w:rsidRDefault="00C7111D">
            <w:pPr>
              <w:rPr>
                <w:szCs w:val="20"/>
                <w:lang w:val="en-GB"/>
              </w:rPr>
            </w:pPr>
            <w:hyperlink w:anchor="_8._Working_with" w:history="1">
              <w:r w:rsidRPr="00FB19E3">
                <w:rPr>
                  <w:rStyle w:val="Hyperlink"/>
                  <w:szCs w:val="20"/>
                  <w:lang w:val="en-GB"/>
                </w:rPr>
                <w:t>Chapter 8: Working with children checks</w:t>
              </w:r>
            </w:hyperlink>
            <w:r w:rsidRPr="00033703">
              <w:rPr>
                <w:rStyle w:val="FootnoteReference"/>
                <w:szCs w:val="20"/>
                <w:lang w:val="en-GB"/>
              </w:rPr>
              <w:footnoteReference w:id="12"/>
            </w:r>
          </w:p>
        </w:tc>
        <w:tc>
          <w:tcPr>
            <w:tcW w:w="4505" w:type="dxa"/>
          </w:tcPr>
          <w:p w14:paraId="1AE3E301" w14:textId="77777777" w:rsidR="00C7111D" w:rsidRPr="00033703" w:rsidRDefault="00C7111D">
            <w:pPr>
              <w:rPr>
                <w:szCs w:val="20"/>
                <w:lang w:val="en-GB"/>
              </w:rPr>
            </w:pPr>
            <w:r w:rsidRPr="00033703">
              <w:rPr>
                <w:szCs w:val="20"/>
                <w:lang w:val="en-GB"/>
              </w:rPr>
              <w:t>Provides the impact assessment for policy options stemming from CSR recommendations 9.1 and 9.2.</w:t>
            </w:r>
          </w:p>
        </w:tc>
      </w:tr>
      <w:tr w:rsidR="00C7111D" w:rsidRPr="00B33183" w14:paraId="75675CF5" w14:textId="77777777" w:rsidTr="002E1A93">
        <w:tc>
          <w:tcPr>
            <w:tcW w:w="4505" w:type="dxa"/>
          </w:tcPr>
          <w:p w14:paraId="14496377" w14:textId="150B9B1A" w:rsidR="00C7111D" w:rsidRPr="00033703" w:rsidRDefault="00C7111D">
            <w:pPr>
              <w:rPr>
                <w:szCs w:val="20"/>
                <w:lang w:val="en-GB"/>
              </w:rPr>
            </w:pPr>
            <w:hyperlink w:anchor="_9._Improving_the" w:history="1">
              <w:r w:rsidRPr="00FB19E3">
                <w:rPr>
                  <w:rStyle w:val="Hyperlink"/>
                  <w:szCs w:val="20"/>
                  <w:lang w:val="en-GB"/>
                </w:rPr>
                <w:t>Chapter 9: Improving the safety of the physical service environment</w:t>
              </w:r>
            </w:hyperlink>
          </w:p>
        </w:tc>
        <w:tc>
          <w:tcPr>
            <w:tcW w:w="4505" w:type="dxa"/>
          </w:tcPr>
          <w:p w14:paraId="5E797AC2" w14:textId="77777777" w:rsidR="00C7111D" w:rsidRPr="00033703" w:rsidRDefault="00C7111D">
            <w:pPr>
              <w:rPr>
                <w:szCs w:val="20"/>
                <w:lang w:val="en-GB"/>
              </w:rPr>
            </w:pPr>
            <w:r w:rsidRPr="00033703">
              <w:rPr>
                <w:szCs w:val="20"/>
                <w:lang w:val="en-GB"/>
              </w:rPr>
              <w:t>Provides the impact assessment for policy options stemming from CSR recommendations 2.1, 4.2, and 5.</w:t>
            </w:r>
          </w:p>
        </w:tc>
      </w:tr>
      <w:tr w:rsidR="00C7111D" w:rsidRPr="00B33183" w14:paraId="138F45CA" w14:textId="77777777" w:rsidTr="002E1A93">
        <w:tc>
          <w:tcPr>
            <w:tcW w:w="4505" w:type="dxa"/>
          </w:tcPr>
          <w:p w14:paraId="19662635" w14:textId="6002B943" w:rsidR="00C7111D" w:rsidRPr="00033703" w:rsidRDefault="00C7111D">
            <w:pPr>
              <w:rPr>
                <w:szCs w:val="20"/>
                <w:lang w:val="en-GB"/>
              </w:rPr>
            </w:pPr>
            <w:hyperlink w:anchor="_10._Additional_recommendations" w:history="1">
              <w:r w:rsidRPr="00FB19E3">
                <w:rPr>
                  <w:rStyle w:val="Hyperlink"/>
                  <w:szCs w:val="20"/>
                  <w:lang w:val="en-GB"/>
                </w:rPr>
                <w:t>Chapter 10: Additional recommendations</w:t>
              </w:r>
            </w:hyperlink>
          </w:p>
          <w:p w14:paraId="7ED474D3" w14:textId="77777777" w:rsidR="00C7111D" w:rsidRPr="00033703" w:rsidRDefault="00C7111D">
            <w:pPr>
              <w:rPr>
                <w:szCs w:val="20"/>
                <w:lang w:val="en-GB"/>
              </w:rPr>
            </w:pPr>
          </w:p>
        </w:tc>
        <w:tc>
          <w:tcPr>
            <w:tcW w:w="4505" w:type="dxa"/>
          </w:tcPr>
          <w:p w14:paraId="3792BDFC" w14:textId="77777777" w:rsidR="00C7111D" w:rsidRPr="00033703" w:rsidRDefault="00C7111D">
            <w:pPr>
              <w:rPr>
                <w:szCs w:val="20"/>
                <w:lang w:val="en-GB"/>
              </w:rPr>
            </w:pPr>
            <w:r w:rsidRPr="00033703">
              <w:rPr>
                <w:szCs w:val="20"/>
                <w:lang w:val="en-GB"/>
              </w:rPr>
              <w:t>Provides the impact assessment for additional recommendations 1, 2, and 3 that arose subsequent to the CSR.</w:t>
            </w:r>
          </w:p>
        </w:tc>
      </w:tr>
      <w:tr w:rsidR="00C7111D" w:rsidRPr="00B33183" w14:paraId="342D71FD" w14:textId="77777777" w:rsidTr="002E1A93">
        <w:tc>
          <w:tcPr>
            <w:tcW w:w="4505" w:type="dxa"/>
          </w:tcPr>
          <w:p w14:paraId="7A7516AB" w14:textId="38FAB3D6" w:rsidR="00C7111D" w:rsidRPr="00033703" w:rsidRDefault="00C7111D">
            <w:pPr>
              <w:rPr>
                <w:szCs w:val="20"/>
                <w:lang w:val="en-GB"/>
              </w:rPr>
            </w:pPr>
            <w:hyperlink w:anchor="_11._Implementing_and" w:history="1">
              <w:r w:rsidRPr="00FB19E3">
                <w:rPr>
                  <w:rStyle w:val="Hyperlink"/>
                  <w:szCs w:val="20"/>
                  <w:lang w:val="en-GB"/>
                </w:rPr>
                <w:t>Chapter 11: Evaluating the implemented options</w:t>
              </w:r>
            </w:hyperlink>
          </w:p>
        </w:tc>
        <w:tc>
          <w:tcPr>
            <w:tcW w:w="4505" w:type="dxa"/>
          </w:tcPr>
          <w:p w14:paraId="78F3987A" w14:textId="41C2350E" w:rsidR="00C7111D" w:rsidRPr="00033703" w:rsidRDefault="00C7111D">
            <w:pPr>
              <w:rPr>
                <w:szCs w:val="20"/>
                <w:lang w:val="en-GB"/>
              </w:rPr>
            </w:pPr>
            <w:r w:rsidRPr="00033703">
              <w:rPr>
                <w:szCs w:val="20"/>
                <w:lang w:val="en-GB"/>
              </w:rPr>
              <w:t xml:space="preserve">Outlines the </w:t>
            </w:r>
            <w:r>
              <w:rPr>
                <w:szCs w:val="20"/>
                <w:lang w:val="en-GB"/>
              </w:rPr>
              <w:t xml:space="preserve">combined impact and implementation of the </w:t>
            </w:r>
            <w:r w:rsidR="004C5562">
              <w:rPr>
                <w:szCs w:val="20"/>
                <w:lang w:val="en-GB"/>
              </w:rPr>
              <w:t xml:space="preserve">recommended </w:t>
            </w:r>
            <w:r w:rsidR="004C5562">
              <w:rPr>
                <w:szCs w:val="20"/>
                <w:lang w:val="en-GB"/>
              </w:rPr>
              <w:lastRenderedPageBreak/>
              <w:t>option</w:t>
            </w:r>
            <w:r>
              <w:rPr>
                <w:szCs w:val="20"/>
                <w:lang w:val="en-GB"/>
              </w:rPr>
              <w:t xml:space="preserve">s and </w:t>
            </w:r>
            <w:r w:rsidR="009A54F7">
              <w:rPr>
                <w:szCs w:val="20"/>
                <w:lang w:val="en-GB"/>
              </w:rPr>
              <w:t xml:space="preserve">describes </w:t>
            </w:r>
            <w:r>
              <w:rPr>
                <w:szCs w:val="20"/>
                <w:lang w:val="en-GB"/>
              </w:rPr>
              <w:t xml:space="preserve">how </w:t>
            </w:r>
            <w:r w:rsidR="009A54F7">
              <w:rPr>
                <w:szCs w:val="20"/>
                <w:lang w:val="en-GB"/>
              </w:rPr>
              <w:t>to monitor and evaluate these reforms in the future</w:t>
            </w:r>
            <w:r w:rsidR="00F758BC">
              <w:rPr>
                <w:szCs w:val="20"/>
                <w:lang w:val="en-GB"/>
              </w:rPr>
              <w:t>.</w:t>
            </w:r>
          </w:p>
        </w:tc>
      </w:tr>
      <w:tr w:rsidR="00C7111D" w:rsidRPr="00B33183" w14:paraId="0C5D10C6" w14:textId="77777777" w:rsidTr="002E1A93">
        <w:tc>
          <w:tcPr>
            <w:tcW w:w="4505" w:type="dxa"/>
          </w:tcPr>
          <w:p w14:paraId="4E7ABF84" w14:textId="01616919" w:rsidR="00C7111D" w:rsidRPr="00033703" w:rsidRDefault="00C7111D">
            <w:pPr>
              <w:rPr>
                <w:szCs w:val="20"/>
                <w:lang w:val="en-GB"/>
              </w:rPr>
            </w:pPr>
            <w:hyperlink w:anchor="_12._Appendix" w:history="1">
              <w:r w:rsidRPr="00FB19E3">
                <w:rPr>
                  <w:rStyle w:val="Hyperlink"/>
                  <w:szCs w:val="20"/>
                  <w:lang w:val="en-GB"/>
                </w:rPr>
                <w:t>Chapter 12: Appendix</w:t>
              </w:r>
            </w:hyperlink>
          </w:p>
        </w:tc>
        <w:tc>
          <w:tcPr>
            <w:tcW w:w="4505" w:type="dxa"/>
          </w:tcPr>
          <w:p w14:paraId="5612052A" w14:textId="02709F87" w:rsidR="00C7111D" w:rsidRPr="00033703" w:rsidRDefault="00C7111D">
            <w:pPr>
              <w:rPr>
                <w:szCs w:val="20"/>
                <w:lang w:val="en-GB"/>
              </w:rPr>
            </w:pPr>
            <w:r w:rsidRPr="00033703">
              <w:rPr>
                <w:szCs w:val="20"/>
                <w:lang w:val="en-GB"/>
              </w:rPr>
              <w:t xml:space="preserve">Provides </w:t>
            </w:r>
            <w:r w:rsidR="00F758BC">
              <w:rPr>
                <w:szCs w:val="20"/>
                <w:lang w:val="en-GB"/>
              </w:rPr>
              <w:t>supplementary information including a full list of recommended options, additional background information and further details about some reform areas.</w:t>
            </w:r>
          </w:p>
        </w:tc>
      </w:tr>
    </w:tbl>
    <w:p w14:paraId="695940B6" w14:textId="77777777" w:rsidR="00C7111D" w:rsidRPr="004C4F10" w:rsidRDefault="00C7111D" w:rsidP="00C7111D">
      <w:pPr>
        <w:rPr>
          <w:lang w:val="en-GB"/>
        </w:rPr>
      </w:pPr>
    </w:p>
    <w:p w14:paraId="2CB238AA" w14:textId="77777777" w:rsidR="004539A8" w:rsidRDefault="004539A8" w:rsidP="00A12567">
      <w:pPr>
        <w:jc w:val="center"/>
      </w:pPr>
    </w:p>
    <w:p w14:paraId="1D167066" w14:textId="3FEAB945" w:rsidR="0013369E" w:rsidRDefault="00A30786" w:rsidP="00E7433B">
      <w:r>
        <w:br w:type="page"/>
      </w:r>
    </w:p>
    <w:p w14:paraId="36599451" w14:textId="786C9FF8" w:rsidR="008F214B" w:rsidRDefault="008F214B" w:rsidP="008F214B">
      <w:pPr>
        <w:pStyle w:val="Heading1"/>
      </w:pPr>
      <w:bookmarkStart w:id="29" w:name="_Ref203392509"/>
      <w:bookmarkStart w:id="30" w:name="_Toc205884873"/>
      <w:r>
        <w:lastRenderedPageBreak/>
        <w:t>1. Introduction</w:t>
      </w:r>
      <w:bookmarkEnd w:id="29"/>
      <w:bookmarkEnd w:id="30"/>
    </w:p>
    <w:p w14:paraId="4215257F" w14:textId="35A4A827" w:rsidR="006A198B" w:rsidRDefault="006A198B" w:rsidP="006B00AB">
      <w:r>
        <w:t xml:space="preserve">The education and care sector aims to provide all children who attend an education and care service with high-quality, accessible, equitable, and affordable education and care, to support education and development outcomes and support </w:t>
      </w:r>
      <w:r w:rsidR="009658E8">
        <w:t>parents</w:t>
      </w:r>
      <w:r>
        <w:t>’ and carers’ workforce participation. As of March 2024, over 1.4 million Australian children aged 12 and under attended some form of approved education and care service, of which over half a million children aged 3-6 were enrolled in a preschool program.</w:t>
      </w:r>
      <w:r>
        <w:rPr>
          <w:rStyle w:val="FootnoteReference"/>
        </w:rPr>
        <w:footnoteReference w:id="13"/>
      </w:r>
    </w:p>
    <w:p w14:paraId="4A280D02" w14:textId="3E0C81F8" w:rsidR="00FA3F36" w:rsidRDefault="00DD4EAF" w:rsidP="00FA3F36">
      <w:r w:rsidRPr="009E2288">
        <w:t xml:space="preserve">In </w:t>
      </w:r>
      <w:r w:rsidR="00D86132">
        <w:t xml:space="preserve">December </w:t>
      </w:r>
      <w:r w:rsidRPr="009E2288">
        <w:t xml:space="preserve">2023, </w:t>
      </w:r>
      <w:r>
        <w:t xml:space="preserve">the Australian </w:t>
      </w:r>
      <w:r w:rsidRPr="007E6849">
        <w:rPr>
          <w:rFonts w:eastAsia="Times New Roman" w:cs="Arial"/>
        </w:rPr>
        <w:t>Children's Education and Care Quality Authority</w:t>
      </w:r>
      <w:r w:rsidRPr="009E2288">
        <w:t xml:space="preserve"> </w:t>
      </w:r>
      <w:r>
        <w:t>(</w:t>
      </w:r>
      <w:r w:rsidRPr="009E2288">
        <w:t>ACECQA</w:t>
      </w:r>
      <w:r>
        <w:t>)</w:t>
      </w:r>
      <w:r w:rsidRPr="009E2288">
        <w:t xml:space="preserve"> </w:t>
      </w:r>
      <w:r w:rsidR="00D85C89">
        <w:t>published</w:t>
      </w:r>
      <w:r w:rsidR="00D85C89" w:rsidRPr="009E2288">
        <w:t xml:space="preserve"> </w:t>
      </w:r>
      <w:r w:rsidRPr="009E2288">
        <w:t xml:space="preserve">the </w:t>
      </w:r>
      <w:hyperlink r:id="rId24" w:history="1">
        <w:r w:rsidR="00FA3F36" w:rsidRPr="002E65AE">
          <w:rPr>
            <w:rStyle w:val="Hyperlink"/>
          </w:rPr>
          <w:t>Review of Child Safety Arrangements under the National Quality Framework</w:t>
        </w:r>
      </w:hyperlink>
      <w:r w:rsidR="00FA3F36">
        <w:rPr>
          <w:rStyle w:val="FootnoteReference"/>
        </w:rPr>
        <w:footnoteReference w:id="14"/>
      </w:r>
      <w:r w:rsidR="00FA3F36" w:rsidRPr="009E2288">
        <w:t xml:space="preserve"> </w:t>
      </w:r>
      <w:r w:rsidR="00FA3F36">
        <w:t xml:space="preserve">which </w:t>
      </w:r>
      <w:r w:rsidR="00FA3F36" w:rsidRPr="009E2288">
        <w:t>examine</w:t>
      </w:r>
      <w:r w:rsidR="00FA3F36">
        <w:t>d</w:t>
      </w:r>
      <w:r w:rsidR="00FA3F36" w:rsidRPr="009E2288">
        <w:t xml:space="preserve"> new </w:t>
      </w:r>
      <w:r w:rsidR="00FA3F36">
        <w:t>or refined systemic</w:t>
      </w:r>
      <w:r w:rsidR="00FA3F36" w:rsidRPr="009E2288">
        <w:t xml:space="preserve"> safeguards to </w:t>
      </w:r>
      <w:r w:rsidR="00FA3F36">
        <w:t xml:space="preserve">better </w:t>
      </w:r>
      <w:r w:rsidR="00FA3F36" w:rsidRPr="009E2288">
        <w:t xml:space="preserve">support </w:t>
      </w:r>
      <w:r w:rsidR="00FA3F36">
        <w:t>services to protect</w:t>
      </w:r>
      <w:r w:rsidR="00FA3F36" w:rsidRPr="009E2288">
        <w:t xml:space="preserve"> children </w:t>
      </w:r>
      <w:r w:rsidR="00FA3F36">
        <w:t>who attend an education and care service</w:t>
      </w:r>
      <w:r w:rsidR="00FA3F36" w:rsidRPr="009E2288">
        <w:t>.</w:t>
      </w:r>
      <w:r w:rsidR="00FA3F36">
        <w:t xml:space="preserve"> </w:t>
      </w:r>
    </w:p>
    <w:p w14:paraId="0BC75BAE" w14:textId="012D7C15" w:rsidR="00E864BA" w:rsidRPr="00E864BA" w:rsidRDefault="00E864BA" w:rsidP="00E864BA">
      <w:pPr>
        <w:rPr>
          <w:bCs/>
        </w:rPr>
      </w:pPr>
      <w:r w:rsidRPr="00E864BA">
        <w:rPr>
          <w:bCs/>
        </w:rPr>
        <w:t xml:space="preserve">While the CSR confirmed the </w:t>
      </w:r>
      <w:r w:rsidR="00C70956">
        <w:rPr>
          <w:bCs/>
        </w:rPr>
        <w:t>NQF</w:t>
      </w:r>
      <w:r w:rsidRPr="00E864BA">
        <w:rPr>
          <w:bCs/>
        </w:rPr>
        <w:t xml:space="preserve"> </w:t>
      </w:r>
      <w:r w:rsidR="00553EB9">
        <w:rPr>
          <w:bCs/>
        </w:rPr>
        <w:t>remains</w:t>
      </w:r>
      <w:r w:rsidR="00553EB9" w:rsidRPr="00E864BA">
        <w:rPr>
          <w:bCs/>
        </w:rPr>
        <w:t xml:space="preserve"> </w:t>
      </w:r>
      <w:r w:rsidRPr="00E864BA">
        <w:rPr>
          <w:bCs/>
        </w:rPr>
        <w:t>a robust regulatory scheme</w:t>
      </w:r>
      <w:r w:rsidR="00606392">
        <w:rPr>
          <w:bCs/>
        </w:rPr>
        <w:t xml:space="preserve"> for the education and care sector</w:t>
      </w:r>
      <w:r w:rsidRPr="00E864BA">
        <w:rPr>
          <w:bCs/>
        </w:rPr>
        <w:t xml:space="preserve">, with a strong focus on continuous quality improvement, </w:t>
      </w:r>
      <w:r w:rsidR="00A20A54">
        <w:rPr>
          <w:bCs/>
        </w:rPr>
        <w:t xml:space="preserve">it noted </w:t>
      </w:r>
      <w:r w:rsidRPr="00E864BA">
        <w:rPr>
          <w:bCs/>
        </w:rPr>
        <w:t xml:space="preserve">more can be done to </w:t>
      </w:r>
      <w:r w:rsidR="006106D5">
        <w:rPr>
          <w:bCs/>
        </w:rPr>
        <w:t>strengthen and refine</w:t>
      </w:r>
      <w:r w:rsidRPr="00E864BA">
        <w:rPr>
          <w:bCs/>
        </w:rPr>
        <w:t xml:space="preserve"> the NQF and the National Quality Standard (NQS)</w:t>
      </w:r>
      <w:r w:rsidR="00232CB3">
        <w:rPr>
          <w:bCs/>
        </w:rPr>
        <w:t xml:space="preserve"> </w:t>
      </w:r>
      <w:r w:rsidR="00CF35DE">
        <w:rPr>
          <w:bCs/>
        </w:rPr>
        <w:t>with respect to</w:t>
      </w:r>
      <w:r w:rsidR="00232CB3">
        <w:rPr>
          <w:bCs/>
        </w:rPr>
        <w:t xml:space="preserve"> child safety</w:t>
      </w:r>
      <w:r w:rsidRPr="00E864BA">
        <w:rPr>
          <w:bCs/>
        </w:rPr>
        <w:t xml:space="preserve">. </w:t>
      </w:r>
    </w:p>
    <w:p w14:paraId="2785270D" w14:textId="13C3238A" w:rsidR="00E864BA" w:rsidRDefault="00E864BA" w:rsidP="00E864BA">
      <w:pPr>
        <w:rPr>
          <w:bCs/>
        </w:rPr>
      </w:pPr>
      <w:r w:rsidRPr="00E864BA">
        <w:rPr>
          <w:bCs/>
        </w:rPr>
        <w:t xml:space="preserve">The CSR identified </w:t>
      </w:r>
      <w:r w:rsidR="00232CB3">
        <w:rPr>
          <w:bCs/>
        </w:rPr>
        <w:t>16 recommendations which seek to strengthen n</w:t>
      </w:r>
      <w:r w:rsidRPr="00E864BA">
        <w:rPr>
          <w:bCs/>
        </w:rPr>
        <w:t>ational approaches for</w:t>
      </w:r>
      <w:r w:rsidR="00232CB3">
        <w:rPr>
          <w:bCs/>
        </w:rPr>
        <w:t xml:space="preserve"> improving</w:t>
      </w:r>
      <w:r w:rsidRPr="00E864BA">
        <w:rPr>
          <w:bCs/>
        </w:rPr>
        <w:t xml:space="preserve"> child safe cultures, safer online environments, more effective information sharing systems across jurisdictions, and building workforce knowledge and capabilities</w:t>
      </w:r>
      <w:r w:rsidR="00232CB3">
        <w:rPr>
          <w:bCs/>
        </w:rPr>
        <w:t xml:space="preserve"> in the education and care sector</w:t>
      </w:r>
      <w:r w:rsidRPr="00E864BA">
        <w:rPr>
          <w:bCs/>
        </w:rPr>
        <w:t>.</w:t>
      </w:r>
    </w:p>
    <w:p w14:paraId="537C9E49" w14:textId="6BBA70DA" w:rsidR="00232CB3" w:rsidRDefault="00635509" w:rsidP="00E864BA">
      <w:pPr>
        <w:rPr>
          <w:bCs/>
        </w:rPr>
      </w:pPr>
      <w:r>
        <w:t xml:space="preserve">In February 2024, Education Ministers agreed to the implementation of recommendations from the CSR, subject to expert advice, broad consultation, and regulatory impact analysis. </w:t>
      </w:r>
      <w:r w:rsidR="00232CB3">
        <w:rPr>
          <w:bCs/>
        </w:rPr>
        <w:t xml:space="preserve">The CSR recommendations are to be achieved through multiple and complementary avenues, including regulatory changes, alignment of current complex child safety mechanisms, and provision </w:t>
      </w:r>
      <w:r w:rsidR="00980711">
        <w:rPr>
          <w:bCs/>
        </w:rPr>
        <w:t>of high-quality professional guidance and sector resources.</w:t>
      </w:r>
      <w:r w:rsidR="00D072E8">
        <w:rPr>
          <w:bCs/>
        </w:rPr>
        <w:t xml:space="preserve"> </w:t>
      </w:r>
      <w:r w:rsidR="00553EB9">
        <w:rPr>
          <w:bCs/>
        </w:rPr>
        <w:t>The CSR</w:t>
      </w:r>
      <w:r w:rsidR="00D072E8">
        <w:rPr>
          <w:bCs/>
        </w:rPr>
        <w:t xml:space="preserve"> identifies opportunities to refresh and bolster the intent of the NQF and other child safety mechanisms by addressing emerging issues, closing loopholes, strengthening policies and practices, </w:t>
      </w:r>
      <w:r w:rsidR="00055CED">
        <w:rPr>
          <w:bCs/>
        </w:rPr>
        <w:t xml:space="preserve">child safe cultures, </w:t>
      </w:r>
      <w:r w:rsidR="00D072E8">
        <w:rPr>
          <w:bCs/>
        </w:rPr>
        <w:t xml:space="preserve">recruitment processes and information handling, </w:t>
      </w:r>
      <w:r w:rsidR="00D072E8">
        <w:rPr>
          <w:bCs/>
        </w:rPr>
        <w:lastRenderedPageBreak/>
        <w:t>supporting staff capabilities, and improving protections around the use of new, online technologies.</w:t>
      </w:r>
    </w:p>
    <w:p w14:paraId="03FF02EF" w14:textId="5C8A5D25" w:rsidR="00235DC7" w:rsidRDefault="00D072E8" w:rsidP="00E864BA">
      <w:pPr>
        <w:rPr>
          <w:bCs/>
        </w:rPr>
      </w:pPr>
      <w:r>
        <w:rPr>
          <w:bCs/>
        </w:rPr>
        <w:t xml:space="preserve">This </w:t>
      </w:r>
      <w:r w:rsidR="00693B2A">
        <w:rPr>
          <w:bCs/>
        </w:rPr>
        <w:t>D</w:t>
      </w:r>
      <w:r>
        <w:rPr>
          <w:bCs/>
        </w:rPr>
        <w:t xml:space="preserve">RIS considers the potential impact of </w:t>
      </w:r>
      <w:r w:rsidR="007B23C0">
        <w:rPr>
          <w:bCs/>
        </w:rPr>
        <w:t>several</w:t>
      </w:r>
      <w:r>
        <w:rPr>
          <w:bCs/>
        </w:rPr>
        <w:t xml:space="preserve"> recommendations arising from the CSR, including regulatory and non-regulatory options to achieving each recommendation’s intended outcome. </w:t>
      </w:r>
      <w:r w:rsidR="004B1F0A">
        <w:rPr>
          <w:bCs/>
        </w:rPr>
        <w:t>Additional</w:t>
      </w:r>
      <w:r>
        <w:rPr>
          <w:bCs/>
        </w:rPr>
        <w:t xml:space="preserve"> recommendations explored through this </w:t>
      </w:r>
      <w:r w:rsidR="00693B2A">
        <w:rPr>
          <w:bCs/>
        </w:rPr>
        <w:t>D</w:t>
      </w:r>
      <w:r>
        <w:rPr>
          <w:bCs/>
        </w:rPr>
        <w:t xml:space="preserve">RIS have arisen </w:t>
      </w:r>
      <w:r w:rsidR="004B1F0A">
        <w:rPr>
          <w:bCs/>
        </w:rPr>
        <w:t xml:space="preserve">from further analysis or </w:t>
      </w:r>
      <w:r>
        <w:rPr>
          <w:bCs/>
        </w:rPr>
        <w:t xml:space="preserve">as supplementary findings to reviews of critical incidents which have occurred over the past 12 months, in accordance with </w:t>
      </w:r>
      <w:r w:rsidR="007B23C0">
        <w:rPr>
          <w:bCs/>
        </w:rPr>
        <w:t>CSR r</w:t>
      </w:r>
      <w:r>
        <w:rPr>
          <w:bCs/>
        </w:rPr>
        <w:t xml:space="preserve">ecommendation 16 (see Chapter </w:t>
      </w:r>
      <w:r w:rsidR="00E67F1B">
        <w:rPr>
          <w:bCs/>
        </w:rPr>
        <w:t>10</w:t>
      </w:r>
      <w:r>
        <w:rPr>
          <w:bCs/>
        </w:rPr>
        <w:t>).</w:t>
      </w:r>
    </w:p>
    <w:p w14:paraId="16CD79FE" w14:textId="6660B115" w:rsidR="00C834E8" w:rsidRDefault="00C834E8" w:rsidP="00E864BA">
      <w:pPr>
        <w:rPr>
          <w:bCs/>
        </w:rPr>
      </w:pPr>
      <w:r>
        <w:rPr>
          <w:bCs/>
        </w:rPr>
        <w:t>This DRIS has been informed by comprehensive consultation with the sector and the community, including public consultation undertaken following the publication of a CRIS</w:t>
      </w:r>
      <w:r w:rsidR="00960EA0">
        <w:rPr>
          <w:bCs/>
        </w:rPr>
        <w:t>.</w:t>
      </w:r>
    </w:p>
    <w:p w14:paraId="0D36CA0A" w14:textId="5361E92A" w:rsidR="00325BDB" w:rsidRDefault="00325BDB" w:rsidP="00325BDB">
      <w:pPr>
        <w:pStyle w:val="Heading2"/>
      </w:pPr>
      <w:bookmarkStart w:id="31" w:name="_Toc205884874"/>
      <w:r>
        <w:t>1.1 The National Quality Framework</w:t>
      </w:r>
      <w:bookmarkEnd w:id="31"/>
    </w:p>
    <w:p w14:paraId="09F19F3A" w14:textId="31BD1C4F" w:rsidR="00325BDB" w:rsidRDefault="00325BDB" w:rsidP="00325BDB">
      <w:r>
        <w:t>The NQF</w:t>
      </w:r>
      <w:r w:rsidRPr="006A0C56" w:rsidDel="0039445D">
        <w:t xml:space="preserve"> </w:t>
      </w:r>
      <w:r>
        <w:t>is</w:t>
      </w:r>
      <w:r w:rsidRPr="006A0C56">
        <w:t xml:space="preserve"> </w:t>
      </w:r>
      <w:r w:rsidR="00E17EFE">
        <w:t xml:space="preserve">the </w:t>
      </w:r>
      <w:r w:rsidRPr="006A0C56">
        <w:t>national</w:t>
      </w:r>
      <w:r>
        <w:rPr>
          <w:bCs/>
        </w:rPr>
        <w:t xml:space="preserve"> </w:t>
      </w:r>
      <w:r w:rsidRPr="006A0C56">
        <w:t xml:space="preserve">system </w:t>
      </w:r>
      <w:r>
        <w:t xml:space="preserve">for </w:t>
      </w:r>
      <w:r w:rsidR="007B2F1F">
        <w:t>regulating education and care</w:t>
      </w:r>
      <w:r>
        <w:t xml:space="preserve"> services</w:t>
      </w:r>
      <w:r w:rsidRPr="006A0C56">
        <w:t>.</w:t>
      </w:r>
      <w:r>
        <w:t xml:space="preserve"> Its objectives are to: </w:t>
      </w:r>
    </w:p>
    <w:p w14:paraId="15763363" w14:textId="506ED15B" w:rsidR="00325BDB" w:rsidRDefault="00325BDB" w:rsidP="003C0756">
      <w:pPr>
        <w:pStyle w:val="ListParagraph"/>
        <w:ind w:left="426"/>
      </w:pPr>
      <w:r w:rsidRPr="006A0C56">
        <w:t>ensure the safety, health</w:t>
      </w:r>
      <w:r w:rsidR="0077367A">
        <w:t>,</w:t>
      </w:r>
      <w:r w:rsidRPr="006A0C56">
        <w:t xml:space="preserve"> and wellbeing of</w:t>
      </w:r>
      <w:r>
        <w:rPr>
          <w:bCs/>
        </w:rPr>
        <w:t xml:space="preserve"> </w:t>
      </w:r>
      <w:r w:rsidRPr="006A0C56">
        <w:t>all children attending education and care service</w:t>
      </w:r>
      <w:r w:rsidR="0007725D">
        <w:t>s</w:t>
      </w:r>
      <w:r w:rsidR="003C0756">
        <w:t>,</w:t>
      </w:r>
    </w:p>
    <w:p w14:paraId="729E2318" w14:textId="72BE35D0" w:rsidR="00325BDB" w:rsidRDefault="00325BDB" w:rsidP="003C0756">
      <w:pPr>
        <w:pStyle w:val="ListParagraph"/>
        <w:ind w:left="426"/>
      </w:pPr>
      <w:r>
        <w:t>improve the educational and developmental outcomes for children attending education and care services</w:t>
      </w:r>
      <w:r w:rsidR="003C0756">
        <w:t>,</w:t>
      </w:r>
    </w:p>
    <w:p w14:paraId="37B55085" w14:textId="2A4D3832" w:rsidR="00325BDB" w:rsidRDefault="00325BDB" w:rsidP="003C0756">
      <w:pPr>
        <w:pStyle w:val="ListParagraph"/>
        <w:ind w:left="426"/>
      </w:pPr>
      <w:r>
        <w:t>promote continuous improvement in the provision of quality education and care services</w:t>
      </w:r>
      <w:r w:rsidR="003C0756">
        <w:t>,</w:t>
      </w:r>
    </w:p>
    <w:p w14:paraId="41DEE172" w14:textId="69108B9B" w:rsidR="00325BDB" w:rsidRDefault="00325BDB" w:rsidP="003C0756">
      <w:pPr>
        <w:pStyle w:val="ListParagraph"/>
        <w:ind w:left="426"/>
      </w:pPr>
      <w:r>
        <w:t>establish a system of national integration and shared responsibility between participating jurisdictions and the Australian Government in the administration of the NQF</w:t>
      </w:r>
      <w:r w:rsidR="003C0756">
        <w:t>,</w:t>
      </w:r>
    </w:p>
    <w:p w14:paraId="1E7BB82B" w14:textId="09666A61" w:rsidR="00325BDB" w:rsidRDefault="00325BDB" w:rsidP="003C0756">
      <w:pPr>
        <w:pStyle w:val="ListParagraph"/>
        <w:ind w:left="426"/>
      </w:pPr>
      <w:r>
        <w:t>improve public knowledge, and access to information, about the quality of education and care services</w:t>
      </w:r>
      <w:r w:rsidR="003C0756">
        <w:t>,</w:t>
      </w:r>
    </w:p>
    <w:p w14:paraId="0B5516BA" w14:textId="77777777" w:rsidR="00325BDB" w:rsidRDefault="00325BDB" w:rsidP="003C0756">
      <w:pPr>
        <w:pStyle w:val="ListParagraph"/>
        <w:ind w:left="426"/>
      </w:pPr>
      <w:r>
        <w:t>reduce the regulatory and administrative burden for education and care services by enabling information to be shared between participating jurisdictions and the Australian Government.</w:t>
      </w:r>
    </w:p>
    <w:p w14:paraId="5A558D86" w14:textId="3EF3DBF0" w:rsidR="00325BDB" w:rsidRDefault="00325BDB" w:rsidP="00325BDB">
      <w:r>
        <w:t xml:space="preserve">The NQF is jointly governed by the Australian Government and all state and territory governments. </w:t>
      </w:r>
      <w:r w:rsidR="0007725D">
        <w:t>The</w:t>
      </w:r>
      <w:r>
        <w:t xml:space="preserve"> </w:t>
      </w:r>
      <w:r w:rsidR="00A74114">
        <w:t>Regulatory Authority</w:t>
      </w:r>
      <w:r>
        <w:t xml:space="preserve"> in each state and territory is responsible for approving, monitoring and quality assessing </w:t>
      </w:r>
      <w:r w:rsidR="00396A59">
        <w:t>education and care</w:t>
      </w:r>
      <w:r>
        <w:t xml:space="preserve"> services </w:t>
      </w:r>
      <w:r w:rsidR="003E36CD">
        <w:t xml:space="preserve">as well as enforcing compliance with the National Law and National Regulations </w:t>
      </w:r>
      <w:r>
        <w:t xml:space="preserve">in their jurisdiction. </w:t>
      </w:r>
      <w:r>
        <w:lastRenderedPageBreak/>
        <w:t xml:space="preserve">Governments and </w:t>
      </w:r>
      <w:r w:rsidR="00A74114">
        <w:t>Regulatory Authorities</w:t>
      </w:r>
      <w:r>
        <w:t xml:space="preserve"> are supported by ACECQA, the independent national body that guides the implementation of the NQF and works with </w:t>
      </w:r>
      <w:r w:rsidR="00A74114">
        <w:t>Regulatory Authorities</w:t>
      </w:r>
      <w:r>
        <w:t>.</w:t>
      </w:r>
    </w:p>
    <w:p w14:paraId="1F23311D" w14:textId="2C496CD7" w:rsidR="00325BDB" w:rsidRDefault="00325BDB" w:rsidP="00325BDB">
      <w:r>
        <w:t xml:space="preserve">The NQF is a </w:t>
      </w:r>
      <w:r w:rsidR="00007A09">
        <w:t xml:space="preserve">regulatory </w:t>
      </w:r>
      <w:r>
        <w:t>framework that encompasses:</w:t>
      </w:r>
    </w:p>
    <w:p w14:paraId="241FDA70" w14:textId="75388E9C" w:rsidR="00325BDB" w:rsidRDefault="00325BDB" w:rsidP="00EC53AB">
      <w:pPr>
        <w:pStyle w:val="ListParagraph"/>
        <w:numPr>
          <w:ilvl w:val="0"/>
          <w:numId w:val="3"/>
        </w:numPr>
        <w:ind w:left="426" w:hanging="357"/>
      </w:pPr>
      <w:r>
        <w:t xml:space="preserve">the </w:t>
      </w:r>
      <w:r w:rsidR="001628C1">
        <w:t>National Law and National Regulations</w:t>
      </w:r>
      <w:r w:rsidR="003C0756">
        <w:t>,</w:t>
      </w:r>
    </w:p>
    <w:p w14:paraId="750BB74D" w14:textId="21558A1F" w:rsidR="00325BDB" w:rsidRDefault="00325BDB" w:rsidP="00EC53AB">
      <w:pPr>
        <w:pStyle w:val="ListParagraph"/>
        <w:numPr>
          <w:ilvl w:val="0"/>
          <w:numId w:val="3"/>
        </w:numPr>
        <w:ind w:left="426" w:hanging="357"/>
      </w:pPr>
      <w:r>
        <w:t xml:space="preserve">the </w:t>
      </w:r>
      <w:r w:rsidR="00AB6082">
        <w:t>NQS</w:t>
      </w:r>
      <w:r w:rsidR="003C0756">
        <w:t>,</w:t>
      </w:r>
    </w:p>
    <w:p w14:paraId="5D840327" w14:textId="33CD2390" w:rsidR="00325BDB" w:rsidRDefault="00325BDB" w:rsidP="00EC53AB">
      <w:pPr>
        <w:pStyle w:val="ListParagraph"/>
        <w:numPr>
          <w:ilvl w:val="0"/>
          <w:numId w:val="3"/>
        </w:numPr>
        <w:ind w:left="426" w:hanging="357"/>
      </w:pPr>
      <w:r>
        <w:t>an assessment and quality rating process, based on the NQS</w:t>
      </w:r>
      <w:r w:rsidR="003C0756">
        <w:t>,</w:t>
      </w:r>
    </w:p>
    <w:p w14:paraId="7A368A60" w14:textId="190BCBE0" w:rsidR="00235DC7" w:rsidRDefault="00325BDB" w:rsidP="00EC53AB">
      <w:pPr>
        <w:pStyle w:val="ListParagraph"/>
        <w:numPr>
          <w:ilvl w:val="0"/>
          <w:numId w:val="3"/>
        </w:numPr>
        <w:ind w:left="426" w:hanging="357"/>
      </w:pPr>
      <w:r>
        <w:t>approved learning frameworks.</w:t>
      </w:r>
    </w:p>
    <w:p w14:paraId="5674AB28" w14:textId="19D31768" w:rsidR="00325BDB" w:rsidRDefault="00325BDB" w:rsidP="00325BDB">
      <w:pPr>
        <w:pStyle w:val="Caption"/>
      </w:pPr>
      <w:bookmarkStart w:id="32" w:name="_Toc205884921"/>
      <w:r>
        <w:t>Figure 1.</w:t>
      </w:r>
      <w:r w:rsidR="00F009E3">
        <w:t>1</w:t>
      </w:r>
      <w:r>
        <w:t>: The National Quality Framework structure</w:t>
      </w:r>
      <w:bookmarkEnd w:id="32"/>
    </w:p>
    <w:p w14:paraId="54D70801" w14:textId="6156C6C2" w:rsidR="00325BDB" w:rsidRDefault="00447110" w:rsidP="00325BDB">
      <w:r w:rsidRPr="00447110">
        <w:rPr>
          <w:noProof/>
        </w:rPr>
        <w:drawing>
          <wp:inline distT="0" distB="0" distL="0" distR="0" wp14:anchorId="6A1A9A35" wp14:editId="5BE5B520">
            <wp:extent cx="5727700" cy="2516505"/>
            <wp:effectExtent l="0" t="0" r="6350" b="0"/>
            <wp:docPr id="1736974315" name="Picture 1" descr="Figure outlining the National Quality Framework stur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74315" name="Picture 1" descr="Figure outlining the National Quality Framework sturcture"/>
                    <pic:cNvPicPr/>
                  </pic:nvPicPr>
                  <pic:blipFill>
                    <a:blip r:embed="rId25"/>
                    <a:stretch>
                      <a:fillRect/>
                    </a:stretch>
                  </pic:blipFill>
                  <pic:spPr>
                    <a:xfrm>
                      <a:off x="0" y="0"/>
                      <a:ext cx="5727700" cy="2516505"/>
                    </a:xfrm>
                    <a:prstGeom prst="rect">
                      <a:avLst/>
                    </a:prstGeom>
                  </pic:spPr>
                </pic:pic>
              </a:graphicData>
            </a:graphic>
          </wp:inline>
        </w:drawing>
      </w:r>
    </w:p>
    <w:p w14:paraId="585AEC79" w14:textId="5913DA9D" w:rsidR="00325BDB" w:rsidRDefault="00325BDB" w:rsidP="00325BDB">
      <w:pPr>
        <w:rPr>
          <w:color w:val="14233C" w:themeColor="text2"/>
          <w:sz w:val="18"/>
          <w:szCs w:val="20"/>
        </w:rPr>
      </w:pPr>
      <w:r>
        <w:rPr>
          <w:color w:val="14233C" w:themeColor="text2"/>
          <w:sz w:val="18"/>
          <w:szCs w:val="20"/>
        </w:rPr>
        <w:t>Source: ACECQA (2025).</w:t>
      </w:r>
    </w:p>
    <w:p w14:paraId="0EEE41DE" w14:textId="77777777" w:rsidR="00975117" w:rsidRDefault="00975117" w:rsidP="00975117">
      <w:pPr>
        <w:pStyle w:val="Heading4"/>
      </w:pPr>
      <w:r>
        <w:t>Child safety arrangements under the NQF</w:t>
      </w:r>
    </w:p>
    <w:p w14:paraId="65618A2F" w14:textId="0933FA35" w:rsidR="00975117" w:rsidRDefault="00975117" w:rsidP="00975117">
      <w:r>
        <w:t xml:space="preserve">All components of the NQF consider and prioritise children’s safety. First and foremost, child safety is addressed throughout the National Law, which </w:t>
      </w:r>
      <w:r w:rsidR="00591B79">
        <w:t>obliges</w:t>
      </w:r>
      <w:r>
        <w:t xml:space="preserve"> approved providers to ensure that a service is operating in a way that ensures the safety, health</w:t>
      </w:r>
      <w:r w:rsidR="0077367A">
        <w:t>,</w:t>
      </w:r>
      <w:r>
        <w:t xml:space="preserve"> and wellbeing of children being educated and cared for by the service.</w:t>
      </w:r>
      <w:r w:rsidR="00591B79">
        <w:t xml:space="preserve"> It is up to each approved provider to determine how they meet their obligations under the National Law.</w:t>
      </w:r>
    </w:p>
    <w:p w14:paraId="69FF112D" w14:textId="7CFF7B73" w:rsidR="00975117" w:rsidRDefault="00975117" w:rsidP="00975117">
      <w:r>
        <w:t xml:space="preserve">Furthermore, it is an offence for an approved provider, nominated supervisor, </w:t>
      </w:r>
      <w:r w:rsidR="00591B79">
        <w:t xml:space="preserve">or </w:t>
      </w:r>
      <w:r w:rsidR="00FD6F5D">
        <w:t>FDC</w:t>
      </w:r>
      <w:r w:rsidR="00F7057E">
        <w:t xml:space="preserve"> </w:t>
      </w:r>
      <w:r>
        <w:t xml:space="preserve">educator to fail to </w:t>
      </w:r>
      <w:r w:rsidR="00591B79">
        <w:t xml:space="preserve">take reasonable precautions to </w:t>
      </w:r>
      <w:r>
        <w:t xml:space="preserve">protect children from harm and any hazard likely to cause injury. The National Regulations operationalise the National Law </w:t>
      </w:r>
      <w:r w:rsidR="00591B79">
        <w:t xml:space="preserve">by </w:t>
      </w:r>
      <w:r>
        <w:t xml:space="preserve">prescribing specific requirements for the </w:t>
      </w:r>
      <w:r w:rsidR="0077367A">
        <w:t xml:space="preserve">safety, </w:t>
      </w:r>
      <w:r>
        <w:t xml:space="preserve">health, and wellbeing of children related to the physical service premises and environment, and operational matters such as educator </w:t>
      </w:r>
      <w:r>
        <w:lastRenderedPageBreak/>
        <w:t>qualifications and training, knowledge</w:t>
      </w:r>
      <w:r w:rsidR="00010C46">
        <w:t>,</w:t>
      </w:r>
      <w:r>
        <w:t xml:space="preserve"> and awareness of child protection law, </w:t>
      </w:r>
      <w:r w:rsidR="00591B79">
        <w:t>t</w:t>
      </w:r>
      <w:r>
        <w:t>he supervision of children and relationships between educators and children.</w:t>
      </w:r>
    </w:p>
    <w:p w14:paraId="7942DEF5" w14:textId="2D4C92D6" w:rsidR="00975117" w:rsidRDefault="00975117" w:rsidP="00975117">
      <w:r>
        <w:t xml:space="preserve">The NQS sets the benchmark for the quality of education and care services. All quality areas are inter-related and important for children’s safety, </w:t>
      </w:r>
      <w:r w:rsidR="00367BB0">
        <w:t>as</w:t>
      </w:r>
      <w:r>
        <w:t xml:space="preserve"> highlighted below:</w:t>
      </w:r>
    </w:p>
    <w:p w14:paraId="2AE3C960" w14:textId="25502EF0" w:rsidR="00367BB0" w:rsidRPr="00367BB0" w:rsidRDefault="00367BB0" w:rsidP="00EC53AB">
      <w:pPr>
        <w:pStyle w:val="ListParagraph"/>
        <w:numPr>
          <w:ilvl w:val="0"/>
          <w:numId w:val="3"/>
        </w:numPr>
        <w:ind w:left="426" w:hanging="357"/>
      </w:pPr>
      <w:r>
        <w:rPr>
          <w:i/>
          <w:iCs/>
        </w:rPr>
        <w:t xml:space="preserve">Quality Area 1 – Educational program and practices </w:t>
      </w:r>
      <w:r>
        <w:t>ensures that the educational program and practice is stimulating and engaging, and enhances children’s learning and development.</w:t>
      </w:r>
    </w:p>
    <w:p w14:paraId="157067A0" w14:textId="0788EC74" w:rsidR="00975117" w:rsidRDefault="00975117" w:rsidP="00EC53AB">
      <w:pPr>
        <w:pStyle w:val="ListParagraph"/>
        <w:numPr>
          <w:ilvl w:val="0"/>
          <w:numId w:val="3"/>
        </w:numPr>
        <w:ind w:left="426" w:hanging="357"/>
      </w:pPr>
      <w:r w:rsidRPr="00591B79">
        <w:rPr>
          <w:i/>
        </w:rPr>
        <w:t>Quality Area 2 – Children’s Health and Safety</w:t>
      </w:r>
      <w:r>
        <w:t xml:space="preserve"> safeguards and promotes children’s health and safety, minimises risks and protects children from harm and hazard by maintaining adequate supervision of children; configuring groupings of children to minimise the risk of overcrowding, injury and illness; monitoring and minimising hazards and safety risks in the environment; effectively managing illness and injuries; and understanding obligations under state and territory child protection legislation. </w:t>
      </w:r>
    </w:p>
    <w:p w14:paraId="14441A1A" w14:textId="77777777" w:rsidR="00975117" w:rsidRDefault="00975117" w:rsidP="00EC53AB">
      <w:pPr>
        <w:pStyle w:val="ListParagraph"/>
        <w:numPr>
          <w:ilvl w:val="0"/>
          <w:numId w:val="3"/>
        </w:numPr>
        <w:ind w:left="426" w:hanging="357"/>
      </w:pPr>
      <w:r w:rsidRPr="00591B79">
        <w:rPr>
          <w:i/>
        </w:rPr>
        <w:t>Quality Area 3 – Physical Environment</w:t>
      </w:r>
      <w:r>
        <w:t xml:space="preserve"> reflects the principle that the physical environment is safe, suitable and provides a rich and diverse range of experiences that promote children’s learning and development. </w:t>
      </w:r>
    </w:p>
    <w:p w14:paraId="13AA1B09" w14:textId="77777777" w:rsidR="00975117" w:rsidRDefault="00975117" w:rsidP="00EC53AB">
      <w:pPr>
        <w:pStyle w:val="ListParagraph"/>
        <w:numPr>
          <w:ilvl w:val="0"/>
          <w:numId w:val="3"/>
        </w:numPr>
        <w:ind w:left="426" w:hanging="357"/>
      </w:pPr>
      <w:r w:rsidRPr="00591B79">
        <w:rPr>
          <w:i/>
        </w:rPr>
        <w:t>Quality Area 4 – Staffing Arrangements</w:t>
      </w:r>
      <w:r>
        <w:t xml:space="preserve"> contributes to child safe environments through qualified, skilled and experienced professionals developing warm, respectful relationships with children to create safe and predictable environments. </w:t>
      </w:r>
    </w:p>
    <w:p w14:paraId="7FDBD599" w14:textId="77777777" w:rsidR="00975117" w:rsidRDefault="00975117" w:rsidP="00EC53AB">
      <w:pPr>
        <w:pStyle w:val="ListParagraph"/>
        <w:numPr>
          <w:ilvl w:val="0"/>
          <w:numId w:val="3"/>
        </w:numPr>
        <w:ind w:left="426" w:hanging="357"/>
      </w:pPr>
      <w:r w:rsidRPr="00591B79">
        <w:rPr>
          <w:i/>
        </w:rPr>
        <w:t>Quality Area 5 – Relationships with Children</w:t>
      </w:r>
      <w:r>
        <w:t xml:space="preserve"> reflects the importance of relationships with children that are responsive, consistent, respectful and promote children’s sense of security and belonging and maintain their dignity and rights. </w:t>
      </w:r>
      <w:r w:rsidRPr="003514F5">
        <w:t xml:space="preserve">It also focuses on relationships between children and how </w:t>
      </w:r>
      <w:r>
        <w:t xml:space="preserve">educators </w:t>
      </w:r>
      <w:r w:rsidRPr="003514F5">
        <w:t>can build children’s capacity to form and maintain these relationships.</w:t>
      </w:r>
    </w:p>
    <w:p w14:paraId="48D2482D" w14:textId="20BAF34E" w:rsidR="001873CD" w:rsidRDefault="001873CD" w:rsidP="00EC53AB">
      <w:pPr>
        <w:pStyle w:val="ListParagraph"/>
        <w:numPr>
          <w:ilvl w:val="0"/>
          <w:numId w:val="3"/>
        </w:numPr>
        <w:ind w:left="426" w:hanging="357"/>
      </w:pPr>
      <w:r>
        <w:rPr>
          <w:i/>
        </w:rPr>
        <w:t xml:space="preserve">Quality Area 6 – Collaborative partnerships with families and communities </w:t>
      </w:r>
      <w:r>
        <w:rPr>
          <w:iCs/>
        </w:rPr>
        <w:t>recognises that collaborative relationships with families are fundamental to achieving quality outcomes for children and that community partnerships that are based on active communication, consultation and collaboration are also essential.</w:t>
      </w:r>
    </w:p>
    <w:p w14:paraId="2F9E4AAA" w14:textId="7867B484" w:rsidR="00975117" w:rsidRDefault="00975117" w:rsidP="00EC53AB">
      <w:pPr>
        <w:pStyle w:val="ListParagraph"/>
        <w:numPr>
          <w:ilvl w:val="0"/>
          <w:numId w:val="3"/>
        </w:numPr>
        <w:ind w:left="426" w:hanging="357"/>
      </w:pPr>
      <w:r w:rsidRPr="00591B79">
        <w:rPr>
          <w:i/>
        </w:rPr>
        <w:lastRenderedPageBreak/>
        <w:t>Quality Area 7 – Governance and Leadership</w:t>
      </w:r>
      <w:r>
        <w:t xml:space="preserve"> is important to creating a child safe culture through effective leadership and governance of the service that contributes to quality environments.</w:t>
      </w:r>
      <w:r w:rsidR="001D32F3">
        <w:rPr>
          <w:rStyle w:val="FootnoteReference"/>
        </w:rPr>
        <w:footnoteReference w:id="15"/>
      </w:r>
      <w:r>
        <w:t xml:space="preserve"> </w:t>
      </w:r>
    </w:p>
    <w:p w14:paraId="691366D7" w14:textId="44358987" w:rsidR="001112F2" w:rsidRDefault="001112F2" w:rsidP="00975117">
      <w:r>
        <w:t xml:space="preserve">The National Law requires approved providers to </w:t>
      </w:r>
      <w:r w:rsidR="007E37A3">
        <w:t xml:space="preserve">align their learning program to </w:t>
      </w:r>
      <w:r w:rsidR="003A7D10">
        <w:t>approved learning frameworks</w:t>
      </w:r>
      <w:r w:rsidR="00450BE3">
        <w:t>.</w:t>
      </w:r>
    </w:p>
    <w:p w14:paraId="66A32DCD" w14:textId="2C679001" w:rsidR="00975117" w:rsidRDefault="00975117" w:rsidP="00975117">
      <w:r>
        <w:t xml:space="preserve">The two </w:t>
      </w:r>
      <w:r w:rsidR="00AD196F">
        <w:t>national</w:t>
      </w:r>
      <w:r>
        <w:t xml:space="preserve"> </w:t>
      </w:r>
      <w:r w:rsidR="00CB1296">
        <w:t>approved learning frameworks</w:t>
      </w:r>
      <w:r>
        <w:t xml:space="preserve"> – </w:t>
      </w:r>
      <w:r w:rsidRPr="00AB32F9">
        <w:rPr>
          <w:i/>
        </w:rPr>
        <w:t>Belonging, Being</w:t>
      </w:r>
      <w:r>
        <w:rPr>
          <w:i/>
          <w:iCs/>
        </w:rPr>
        <w:t xml:space="preserve"> &amp;</w:t>
      </w:r>
      <w:r w:rsidRPr="00AB32F9">
        <w:rPr>
          <w:i/>
        </w:rPr>
        <w:t xml:space="preserve"> Becoming</w:t>
      </w:r>
      <w:r w:rsidRPr="00AB32F9">
        <w:rPr>
          <w:i/>
          <w:iCs/>
        </w:rPr>
        <w:t xml:space="preserve">: The Early Years Learning Framework for Australia </w:t>
      </w:r>
      <w:r>
        <w:t xml:space="preserve">and </w:t>
      </w:r>
      <w:r w:rsidRPr="00AB32F9">
        <w:rPr>
          <w:i/>
        </w:rPr>
        <w:t xml:space="preserve">My </w:t>
      </w:r>
      <w:r>
        <w:rPr>
          <w:i/>
          <w:iCs/>
        </w:rPr>
        <w:t>T</w:t>
      </w:r>
      <w:r w:rsidRPr="00AB32F9">
        <w:rPr>
          <w:i/>
          <w:iCs/>
        </w:rPr>
        <w:t>ime</w:t>
      </w:r>
      <w:r w:rsidRPr="00AB32F9">
        <w:rPr>
          <w:i/>
        </w:rPr>
        <w:t xml:space="preserve">, </w:t>
      </w:r>
      <w:r w:rsidRPr="00AB32F9">
        <w:rPr>
          <w:i/>
          <w:iCs/>
        </w:rPr>
        <w:t>Our</w:t>
      </w:r>
      <w:r w:rsidRPr="00AB32F9">
        <w:rPr>
          <w:i/>
        </w:rPr>
        <w:t xml:space="preserve"> </w:t>
      </w:r>
      <w:r>
        <w:rPr>
          <w:i/>
          <w:iCs/>
        </w:rPr>
        <w:t>P</w:t>
      </w:r>
      <w:r w:rsidRPr="00AB32F9">
        <w:rPr>
          <w:i/>
          <w:iCs/>
        </w:rPr>
        <w:t>lace</w:t>
      </w:r>
      <w:r>
        <w:rPr>
          <w:i/>
          <w:iCs/>
        </w:rPr>
        <w:t>:</w:t>
      </w:r>
      <w:r w:rsidRPr="00AB32F9">
        <w:rPr>
          <w:i/>
        </w:rPr>
        <w:t xml:space="preserve"> </w:t>
      </w:r>
      <w:r w:rsidRPr="00AB32F9">
        <w:rPr>
          <w:i/>
          <w:iCs/>
        </w:rPr>
        <w:t>Framework for School Age C</w:t>
      </w:r>
      <w:r>
        <w:rPr>
          <w:i/>
          <w:iCs/>
        </w:rPr>
        <w:t>are</w:t>
      </w:r>
      <w:r w:rsidRPr="00AB32F9">
        <w:rPr>
          <w:i/>
          <w:iCs/>
        </w:rPr>
        <w:t xml:space="preserve"> in Australia</w:t>
      </w:r>
      <w:r w:rsidR="001C26F8">
        <w:rPr>
          <w:i/>
          <w:iCs/>
        </w:rPr>
        <w:t xml:space="preserve"> </w:t>
      </w:r>
      <w:r>
        <w:t xml:space="preserve">– guide the learning programs of education and care services. The principles, practices and learning outcomes for the approved learning frameworks emphasise a strong focus on environments that promote child safety, recognising the </w:t>
      </w:r>
      <w:r w:rsidRPr="00510FB9">
        <w:t xml:space="preserve">importance of children’s safety in supporting and promoting educational experiences. </w:t>
      </w:r>
    </w:p>
    <w:p w14:paraId="1D210DB5" w14:textId="18846715" w:rsidR="00975117" w:rsidRDefault="00975117" w:rsidP="00975117">
      <w:r w:rsidRPr="00510FB9">
        <w:t xml:space="preserve">The two </w:t>
      </w:r>
      <w:r w:rsidR="00CB1296">
        <w:t>approved learning frameworks</w:t>
      </w:r>
      <w:r w:rsidRPr="00510FB9">
        <w:t xml:space="preserve"> were refreshed and released by ACECQA in early 2023</w:t>
      </w:r>
      <w:r>
        <w:t xml:space="preserve">, following the 2019 NQF review, </w:t>
      </w:r>
      <w:r w:rsidRPr="00510FB9">
        <w:t xml:space="preserve">with a stronger emphasis on child safety, among other refinements. Updates include the expansion of the </w:t>
      </w:r>
      <w:r w:rsidR="00634551">
        <w:t xml:space="preserve">approved learning frameworks </w:t>
      </w:r>
      <w:r w:rsidRPr="00510FB9">
        <w:t xml:space="preserve">to cover teaching and learning about personal </w:t>
      </w:r>
      <w:r w:rsidR="00AD196F">
        <w:t>and cultural</w:t>
      </w:r>
      <w:r w:rsidRPr="00510FB9">
        <w:t xml:space="preserve"> safety, assisting children and families with e-safety, and engaging other professionals to enhance the learning of children affected by trauma.</w:t>
      </w:r>
    </w:p>
    <w:p w14:paraId="3991D2DA" w14:textId="6DA9D450" w:rsidR="00235DC7" w:rsidRPr="00975117" w:rsidRDefault="00B34765" w:rsidP="00325BDB">
      <w:r>
        <w:t xml:space="preserve">The state of </w:t>
      </w:r>
      <w:r w:rsidR="007550F7">
        <w:t xml:space="preserve">Victoria (VIC) </w:t>
      </w:r>
      <w:r w:rsidR="00975117">
        <w:t xml:space="preserve">has a third, jurisdiction specific </w:t>
      </w:r>
      <w:r w:rsidR="00CB1296">
        <w:t>approved learning framework</w:t>
      </w:r>
      <w:r w:rsidR="00975117">
        <w:t xml:space="preserve">: </w:t>
      </w:r>
      <w:r w:rsidR="00975117">
        <w:rPr>
          <w:i/>
          <w:iCs/>
        </w:rPr>
        <w:t>Victorian Early Years Learning and Development Framework</w:t>
      </w:r>
      <w:r w:rsidR="00975117">
        <w:t>. This framework provides outcomes and practices to guide early childhood professionals in their work with families and children from birth to eight years old.</w:t>
      </w:r>
    </w:p>
    <w:p w14:paraId="4BDB53D2" w14:textId="478A5214" w:rsidR="00017CDA" w:rsidRPr="00017CDA" w:rsidRDefault="0008617C" w:rsidP="00017CDA">
      <w:pPr>
        <w:pStyle w:val="Heading4"/>
      </w:pPr>
      <w:r>
        <w:t xml:space="preserve">2019 </w:t>
      </w:r>
      <w:r w:rsidR="00AD196F">
        <w:t>NQF</w:t>
      </w:r>
      <w:r>
        <w:t xml:space="preserve"> Review</w:t>
      </w:r>
    </w:p>
    <w:p w14:paraId="3AD8252E" w14:textId="69B6A694" w:rsidR="00160BD5" w:rsidRDefault="006F4CC4" w:rsidP="00017CDA">
      <w:r>
        <w:t xml:space="preserve">The 2019 NQF Review identified </w:t>
      </w:r>
      <w:r w:rsidR="00005DA4">
        <w:t xml:space="preserve">several opportunities to embed a greater culture of child safety into the education and care sector. A key outcome of the 2019 NQF Review </w:t>
      </w:r>
      <w:r w:rsidR="00147D0B">
        <w:t xml:space="preserve">was to </w:t>
      </w:r>
      <w:r w:rsidR="009929A1">
        <w:t>embed the National Principles for Child Safe Organisations</w:t>
      </w:r>
      <w:r w:rsidR="00160BD5">
        <w:t xml:space="preserve"> (National Principles)</w:t>
      </w:r>
      <w:r w:rsidR="00490ACD">
        <w:t xml:space="preserve"> into the NQF. </w:t>
      </w:r>
      <w:r w:rsidR="00017CDA">
        <w:t xml:space="preserve">The National Principles reflect 10 child safe standards that were recommended by the Royal Commission into Institutional Responses to Child Abuse. </w:t>
      </w:r>
    </w:p>
    <w:p w14:paraId="04978431" w14:textId="20490C32" w:rsidR="00C95707" w:rsidRDefault="00017CDA" w:rsidP="00017CDA">
      <w:r>
        <w:t xml:space="preserve">In 2019, the National Principles were endorsed by all state and territory governments and the Australian Government, with the aim </w:t>
      </w:r>
      <w:r w:rsidR="00AD196F">
        <w:t xml:space="preserve">of </w:t>
      </w:r>
      <w:r>
        <w:t>provid</w:t>
      </w:r>
      <w:r w:rsidR="00AD196F">
        <w:t>ing</w:t>
      </w:r>
      <w:r>
        <w:t xml:space="preserve"> a nationally consistent approach to supporting organisational cultures that foster child safety</w:t>
      </w:r>
      <w:r w:rsidR="0077367A">
        <w:t>, health,</w:t>
      </w:r>
      <w:r>
        <w:t xml:space="preserve"> and wellbeing. </w:t>
      </w:r>
      <w:r w:rsidR="00863A4D">
        <w:t xml:space="preserve">Since 1 </w:t>
      </w:r>
      <w:r w:rsidR="00863A4D">
        <w:lastRenderedPageBreak/>
        <w:t xml:space="preserve">October 2023, </w:t>
      </w:r>
      <w:r w:rsidR="00AD196F">
        <w:t>t</w:t>
      </w:r>
      <w:r w:rsidR="00863A4D">
        <w:t>he National Principles were</w:t>
      </w:r>
      <w:r>
        <w:t xml:space="preserve"> embedded through changes to the Education and Care Services National Law and National Regulations.</w:t>
      </w:r>
    </w:p>
    <w:p w14:paraId="4EFCA6B1" w14:textId="5C751650" w:rsidR="00024745" w:rsidRDefault="00C95707" w:rsidP="00017CDA">
      <w:r>
        <w:t>In addition to introducing the National Principles, the 2019 NQF Review also recommended a suite of regulatory changes</w:t>
      </w:r>
      <w:r w:rsidR="008345AF">
        <w:t xml:space="preserve">, many of which </w:t>
      </w:r>
      <w:r w:rsidR="00AD196F">
        <w:t xml:space="preserve">have </w:t>
      </w:r>
      <w:r w:rsidR="008345AF">
        <w:t>a strong focus on child safety. Reforms span</w:t>
      </w:r>
      <w:r w:rsidR="000874BC">
        <w:t xml:space="preserve"> areas such as </w:t>
      </w:r>
      <w:r w:rsidR="00AD196F">
        <w:t>safe</w:t>
      </w:r>
      <w:r w:rsidR="000874BC">
        <w:t xml:space="preserve"> arrival of children at services, sleep and rest </w:t>
      </w:r>
      <w:r w:rsidR="009D3919">
        <w:t xml:space="preserve">safety, transportation of </w:t>
      </w:r>
      <w:r w:rsidR="003267D3">
        <w:t xml:space="preserve">children, services operating in multi-storey buildings, record keeping requirements, </w:t>
      </w:r>
      <w:r w:rsidR="000B6480">
        <w:t>family day care (</w:t>
      </w:r>
      <w:r w:rsidR="003267D3">
        <w:t>FDC</w:t>
      </w:r>
      <w:r w:rsidR="000B6480">
        <w:t>)</w:t>
      </w:r>
      <w:r w:rsidR="003267D3">
        <w:t xml:space="preserve"> registers, water hazards </w:t>
      </w:r>
      <w:r w:rsidR="00852358">
        <w:t xml:space="preserve">(and safety glass requirements) </w:t>
      </w:r>
      <w:r w:rsidR="003267D3">
        <w:t xml:space="preserve">near FDCs, </w:t>
      </w:r>
      <w:r w:rsidR="0036586F">
        <w:t xml:space="preserve">assessment and rating of </w:t>
      </w:r>
      <w:r w:rsidR="000B6480">
        <w:t>outside of school hours care (OSHC)</w:t>
      </w:r>
      <w:r w:rsidR="00A20A54">
        <w:t xml:space="preserve"> services</w:t>
      </w:r>
      <w:r w:rsidR="0036586F">
        <w:t xml:space="preserve">, </w:t>
      </w:r>
      <w:r w:rsidR="00CA7337">
        <w:t xml:space="preserve">workforce qualification requirements, </w:t>
      </w:r>
      <w:r w:rsidR="005B615B">
        <w:t>fees to Regulatory Authorities, oversight of services and personnel, and additional technical amendments. Several of the proposed reforms are still in the process of being implemented.</w:t>
      </w:r>
      <w:r w:rsidR="00E81701">
        <w:t xml:space="preserve"> </w:t>
      </w:r>
    </w:p>
    <w:p w14:paraId="6EC4970A" w14:textId="5536E98F" w:rsidR="00AE2483" w:rsidRDefault="00AF502B" w:rsidP="00AE2483">
      <w:pPr>
        <w:pStyle w:val="Heading2"/>
      </w:pPr>
      <w:bookmarkStart w:id="33" w:name="_Toc205884875"/>
      <w:r>
        <w:t>1.</w:t>
      </w:r>
      <w:r w:rsidR="008F626B">
        <w:t xml:space="preserve">2 </w:t>
      </w:r>
      <w:r w:rsidR="00AE2483">
        <w:t xml:space="preserve">The </w:t>
      </w:r>
      <w:r w:rsidR="00396A59">
        <w:t>education and care</w:t>
      </w:r>
      <w:r w:rsidR="00AE2483">
        <w:t xml:space="preserve"> </w:t>
      </w:r>
      <w:r w:rsidR="00A80950">
        <w:t>s</w:t>
      </w:r>
      <w:r w:rsidR="00AE2483">
        <w:t>ector</w:t>
      </w:r>
      <w:bookmarkEnd w:id="33"/>
    </w:p>
    <w:p w14:paraId="15501F10" w14:textId="4E051F99" w:rsidR="00086F21" w:rsidRDefault="00396A59" w:rsidP="00AE2483">
      <w:r>
        <w:t>Education and care</w:t>
      </w:r>
      <w:r w:rsidR="00AE2483">
        <w:t xml:space="preserve"> services are provided through a variety of different service</w:t>
      </w:r>
      <w:r w:rsidR="00314241">
        <w:t xml:space="preserve"> type</w:t>
      </w:r>
      <w:r w:rsidR="00AE2483">
        <w:t xml:space="preserve">s and organisational structures. As </w:t>
      </w:r>
      <w:r w:rsidR="00024745">
        <w:t xml:space="preserve">of </w:t>
      </w:r>
      <w:r w:rsidR="00502FA1">
        <w:t xml:space="preserve">1 </w:t>
      </w:r>
      <w:r w:rsidR="00FC202A">
        <w:t>April</w:t>
      </w:r>
      <w:r w:rsidR="00502FA1">
        <w:t xml:space="preserve"> 2025</w:t>
      </w:r>
      <w:r w:rsidR="00AE2483">
        <w:t xml:space="preserve">, </w:t>
      </w:r>
      <w:r w:rsidR="005A0203">
        <w:t>approximately 7,200 approved providers</w:t>
      </w:r>
      <w:r w:rsidR="00103FDA">
        <w:rPr>
          <w:rStyle w:val="FootnoteReference"/>
        </w:rPr>
        <w:footnoteReference w:id="16"/>
      </w:r>
      <w:r w:rsidR="005A0203">
        <w:t xml:space="preserve"> operated</w:t>
      </w:r>
      <w:r w:rsidR="00AE2483">
        <w:t xml:space="preserve"> </w:t>
      </w:r>
      <w:r w:rsidR="00F56D5F">
        <w:t>18,013</w:t>
      </w:r>
      <w:r w:rsidR="00AE2483">
        <w:t xml:space="preserve"> </w:t>
      </w:r>
      <w:r w:rsidR="005F6553">
        <w:t>NQF</w:t>
      </w:r>
      <w:r w:rsidR="00AE2483">
        <w:t xml:space="preserve">-approved </w:t>
      </w:r>
      <w:r>
        <w:t>education and care</w:t>
      </w:r>
      <w:r w:rsidR="00AE2483">
        <w:t xml:space="preserve"> services across Australia</w:t>
      </w:r>
      <w:r w:rsidR="005D64D1">
        <w:t>.</w:t>
      </w:r>
      <w:r w:rsidR="006D1CE4">
        <w:rPr>
          <w:rStyle w:val="FootnoteReference"/>
        </w:rPr>
        <w:footnoteReference w:id="17"/>
      </w:r>
      <w:r w:rsidR="00FB36AC">
        <w:t xml:space="preserve"> 79% of approved providers </w:t>
      </w:r>
      <w:r w:rsidR="00D6707D">
        <w:t xml:space="preserve">operate a single </w:t>
      </w:r>
      <w:r>
        <w:t>education and care</w:t>
      </w:r>
      <w:r w:rsidR="00D6707D">
        <w:t xml:space="preserve"> service</w:t>
      </w:r>
      <w:r w:rsidR="00C12395">
        <w:t xml:space="preserve"> (designated </w:t>
      </w:r>
      <w:r w:rsidR="00A539CD">
        <w:t xml:space="preserve">as a ‘small’ </w:t>
      </w:r>
      <w:r w:rsidR="00BF6175">
        <w:t>provider</w:t>
      </w:r>
      <w:r w:rsidR="00A539CD">
        <w:t>)</w:t>
      </w:r>
      <w:r w:rsidR="003677F0">
        <w:t xml:space="preserve">, while </w:t>
      </w:r>
      <w:r w:rsidR="00322259">
        <w:t xml:space="preserve">only 1% of providers operate </w:t>
      </w:r>
      <w:r w:rsidR="00A539CD">
        <w:t>more than 25 services (</w:t>
      </w:r>
      <w:r w:rsidR="00966511">
        <w:t xml:space="preserve">designated a </w:t>
      </w:r>
      <w:r w:rsidR="009F70F7">
        <w:t>‘large’</w:t>
      </w:r>
      <w:r w:rsidR="00BF6175">
        <w:t xml:space="preserve"> provider). </w:t>
      </w:r>
    </w:p>
    <w:p w14:paraId="71116D9A" w14:textId="28EA3BB2" w:rsidR="0022198C" w:rsidRDefault="001D4602" w:rsidP="00AE2483">
      <w:r>
        <w:t>The</w:t>
      </w:r>
      <w:r w:rsidR="0039568A">
        <w:t xml:space="preserve">re are </w:t>
      </w:r>
      <w:r w:rsidR="006F2148">
        <w:t xml:space="preserve">four main service types </w:t>
      </w:r>
      <w:r w:rsidR="00626049">
        <w:t xml:space="preserve">regulated under the </w:t>
      </w:r>
      <w:r w:rsidR="005F6553">
        <w:t>NQF</w:t>
      </w:r>
      <w:r w:rsidR="009946FE">
        <w:t xml:space="preserve"> (Table 1.1).</w:t>
      </w:r>
      <w:r>
        <w:t xml:space="preserve"> </w:t>
      </w:r>
    </w:p>
    <w:p w14:paraId="70FA6350" w14:textId="2939639F" w:rsidR="007E78EA" w:rsidRPr="009E6183" w:rsidRDefault="007E78EA" w:rsidP="007E78EA">
      <w:pPr>
        <w:pStyle w:val="Caption"/>
        <w:rPr>
          <w:vertAlign w:val="superscript"/>
        </w:rPr>
      </w:pPr>
      <w:bookmarkStart w:id="34" w:name="_Toc205884922"/>
      <w:r>
        <w:t>Table 1.</w:t>
      </w:r>
      <w:r w:rsidR="007664F8">
        <w:fldChar w:fldCharType="begin"/>
      </w:r>
      <w:r w:rsidR="007664F8">
        <w:instrText xml:space="preserve"> SEQ Table_1. \* ARABIC </w:instrText>
      </w:r>
      <w:r w:rsidR="007664F8">
        <w:fldChar w:fldCharType="separate"/>
      </w:r>
      <w:r w:rsidR="00533FCD">
        <w:rPr>
          <w:noProof/>
        </w:rPr>
        <w:t>1</w:t>
      </w:r>
      <w:r w:rsidR="007664F8">
        <w:rPr>
          <w:noProof/>
        </w:rPr>
        <w:fldChar w:fldCharType="end"/>
      </w:r>
      <w:r>
        <w:t xml:space="preserve">: </w:t>
      </w:r>
      <w:r w:rsidR="00BB1E25">
        <w:t>Different service types and attendance</w:t>
      </w:r>
      <w:r>
        <w:t>, 2023-2</w:t>
      </w:r>
      <w:r w:rsidR="004E6031">
        <w:t>4</w:t>
      </w:r>
      <w:r w:rsidR="007D60BC">
        <w:rPr>
          <w:rStyle w:val="FootnoteReference"/>
        </w:rPr>
        <w:footnoteReference w:id="18"/>
      </w:r>
      <w:bookmarkEnd w:id="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1.1: Different service types and attendance, 2023-24"/>
        <w:tblDescription w:val="This figure describes the types of education and care services and the children that attended each service type in 2023-24."/>
      </w:tblPr>
      <w:tblGrid>
        <w:gridCol w:w="1555"/>
        <w:gridCol w:w="4536"/>
        <w:gridCol w:w="1701"/>
        <w:gridCol w:w="1217"/>
      </w:tblGrid>
      <w:tr w:rsidR="004325CC" w:rsidRPr="00C02005" w14:paraId="4C1D3E9E" w14:textId="44A0BCCD" w:rsidTr="002E1A93">
        <w:trPr>
          <w:tblHeader/>
        </w:trPr>
        <w:tc>
          <w:tcPr>
            <w:tcW w:w="1555" w:type="dxa"/>
            <w:shd w:val="clear" w:color="auto" w:fill="14233C" w:themeFill="text2"/>
            <w:vAlign w:val="center"/>
          </w:tcPr>
          <w:p w14:paraId="50C0E3EE" w14:textId="77777777" w:rsidR="007769D8" w:rsidRPr="00C02005" w:rsidRDefault="007769D8" w:rsidP="004325CC">
            <w:pPr>
              <w:rPr>
                <w:b/>
                <w:bCs/>
                <w:color w:val="FFFFFF" w:themeColor="background1"/>
                <w:sz w:val="20"/>
                <w:szCs w:val="20"/>
              </w:rPr>
            </w:pPr>
            <w:r w:rsidRPr="00C02005">
              <w:rPr>
                <w:b/>
                <w:bCs/>
                <w:color w:val="FFFFFF" w:themeColor="background1"/>
                <w:sz w:val="20"/>
                <w:szCs w:val="20"/>
              </w:rPr>
              <w:t>Service type</w:t>
            </w:r>
          </w:p>
        </w:tc>
        <w:tc>
          <w:tcPr>
            <w:tcW w:w="4536" w:type="dxa"/>
            <w:shd w:val="clear" w:color="auto" w:fill="14233C" w:themeFill="text2"/>
            <w:vAlign w:val="center"/>
          </w:tcPr>
          <w:p w14:paraId="12F502A5" w14:textId="79BCD393" w:rsidR="007769D8" w:rsidRDefault="007769D8" w:rsidP="004325CC">
            <w:pPr>
              <w:jc w:val="center"/>
              <w:rPr>
                <w:b/>
                <w:bCs/>
                <w:color w:val="FFFFFF" w:themeColor="background1"/>
                <w:sz w:val="20"/>
                <w:szCs w:val="20"/>
              </w:rPr>
            </w:pPr>
            <w:r>
              <w:rPr>
                <w:b/>
                <w:bCs/>
                <w:color w:val="FFFFFF" w:themeColor="background1"/>
                <w:sz w:val="20"/>
                <w:szCs w:val="20"/>
              </w:rPr>
              <w:t>Definition</w:t>
            </w:r>
          </w:p>
        </w:tc>
        <w:tc>
          <w:tcPr>
            <w:tcW w:w="1701" w:type="dxa"/>
            <w:shd w:val="clear" w:color="auto" w:fill="14233C" w:themeFill="text2"/>
            <w:vAlign w:val="center"/>
          </w:tcPr>
          <w:p w14:paraId="5C733DF8" w14:textId="4271A47B" w:rsidR="007769D8" w:rsidRPr="001C4DC7" w:rsidRDefault="007769D8" w:rsidP="004325CC">
            <w:pPr>
              <w:jc w:val="center"/>
              <w:rPr>
                <w:b/>
                <w:bCs/>
                <w:color w:val="FFFFFF" w:themeColor="background1"/>
                <w:sz w:val="20"/>
                <w:szCs w:val="20"/>
                <w:vertAlign w:val="superscript"/>
              </w:rPr>
            </w:pPr>
            <w:r>
              <w:rPr>
                <w:b/>
                <w:bCs/>
                <w:color w:val="FFFFFF" w:themeColor="background1"/>
                <w:sz w:val="20"/>
                <w:szCs w:val="20"/>
              </w:rPr>
              <w:t>No. of children attending (%)</w:t>
            </w:r>
            <w:r w:rsidR="002C2A72">
              <w:rPr>
                <w:rStyle w:val="FootnoteReference"/>
                <w:b/>
                <w:bCs/>
                <w:color w:val="FFFFFF" w:themeColor="background1"/>
                <w:sz w:val="20"/>
                <w:szCs w:val="20"/>
              </w:rPr>
              <w:footnoteReference w:id="19"/>
            </w:r>
          </w:p>
        </w:tc>
        <w:tc>
          <w:tcPr>
            <w:tcW w:w="1217" w:type="dxa"/>
            <w:shd w:val="clear" w:color="auto" w:fill="14233C" w:themeFill="text2"/>
            <w:vAlign w:val="center"/>
          </w:tcPr>
          <w:p w14:paraId="6577CF53" w14:textId="657CF9A6" w:rsidR="007769D8" w:rsidRDefault="007769D8" w:rsidP="004325CC">
            <w:pPr>
              <w:jc w:val="center"/>
              <w:rPr>
                <w:b/>
                <w:bCs/>
                <w:color w:val="FFFFFF" w:themeColor="background1"/>
                <w:sz w:val="20"/>
                <w:szCs w:val="20"/>
              </w:rPr>
            </w:pPr>
            <w:r>
              <w:rPr>
                <w:b/>
                <w:bCs/>
                <w:color w:val="FFFFFF" w:themeColor="background1"/>
                <w:sz w:val="20"/>
                <w:szCs w:val="20"/>
              </w:rPr>
              <w:t>Share of services by type</w:t>
            </w:r>
          </w:p>
        </w:tc>
      </w:tr>
      <w:tr w:rsidR="007769D8" w:rsidRPr="00BB1B3E" w14:paraId="1AE0B1E8" w14:textId="5F846A9C" w:rsidTr="002E1A93">
        <w:tc>
          <w:tcPr>
            <w:tcW w:w="1555" w:type="dxa"/>
            <w:vAlign w:val="center"/>
          </w:tcPr>
          <w:p w14:paraId="18F7FFFA" w14:textId="7787DA7C" w:rsidR="007769D8" w:rsidRPr="00BB1B3E" w:rsidRDefault="000B6480" w:rsidP="004325CC">
            <w:pPr>
              <w:rPr>
                <w:sz w:val="20"/>
                <w:szCs w:val="20"/>
              </w:rPr>
            </w:pPr>
            <w:r>
              <w:rPr>
                <w:sz w:val="20"/>
                <w:szCs w:val="20"/>
              </w:rPr>
              <w:t>Long day are (</w:t>
            </w:r>
            <w:r w:rsidR="00123937">
              <w:rPr>
                <w:sz w:val="20"/>
                <w:szCs w:val="20"/>
              </w:rPr>
              <w:t>LDC</w:t>
            </w:r>
            <w:r>
              <w:rPr>
                <w:sz w:val="20"/>
                <w:szCs w:val="20"/>
              </w:rPr>
              <w:t>)</w:t>
            </w:r>
            <w:r w:rsidR="007769D8">
              <w:rPr>
                <w:sz w:val="20"/>
                <w:szCs w:val="20"/>
              </w:rPr>
              <w:t xml:space="preserve"> </w:t>
            </w:r>
          </w:p>
        </w:tc>
        <w:tc>
          <w:tcPr>
            <w:tcW w:w="4536" w:type="dxa"/>
          </w:tcPr>
          <w:p w14:paraId="7D23E5B8" w14:textId="557E623E" w:rsidR="007769D8" w:rsidRDefault="007769D8">
            <w:pPr>
              <w:rPr>
                <w:sz w:val="20"/>
                <w:szCs w:val="20"/>
              </w:rPr>
            </w:pPr>
            <w:r>
              <w:rPr>
                <w:sz w:val="20"/>
                <w:szCs w:val="20"/>
              </w:rPr>
              <w:t>A</w:t>
            </w:r>
            <w:r w:rsidRPr="007E78EA">
              <w:rPr>
                <w:sz w:val="20"/>
                <w:szCs w:val="20"/>
              </w:rPr>
              <w:t xml:space="preserve"> centre-based service aimed primarily at children aged 0–5 years, with children usually grouped with others of their own age. LDC </w:t>
            </w:r>
            <w:r w:rsidRPr="007E78EA">
              <w:rPr>
                <w:sz w:val="20"/>
                <w:szCs w:val="20"/>
              </w:rPr>
              <w:lastRenderedPageBreak/>
              <w:t>services provide extended operating hours, typically from 7am to 6pm each weekday, and operate at least 48 weeks per year.</w:t>
            </w:r>
          </w:p>
        </w:tc>
        <w:tc>
          <w:tcPr>
            <w:tcW w:w="1701" w:type="dxa"/>
            <w:vAlign w:val="center"/>
          </w:tcPr>
          <w:p w14:paraId="6530C41E" w14:textId="7A9D1E1D" w:rsidR="007769D8" w:rsidRPr="00BB1B3E" w:rsidRDefault="007769D8" w:rsidP="004325CC">
            <w:pPr>
              <w:jc w:val="center"/>
              <w:rPr>
                <w:sz w:val="20"/>
                <w:szCs w:val="20"/>
              </w:rPr>
            </w:pPr>
            <w:r>
              <w:rPr>
                <w:sz w:val="20"/>
                <w:szCs w:val="20"/>
              </w:rPr>
              <w:lastRenderedPageBreak/>
              <w:t>851,161 (</w:t>
            </w:r>
            <w:r w:rsidR="00116B5A">
              <w:rPr>
                <w:sz w:val="20"/>
                <w:szCs w:val="20"/>
              </w:rPr>
              <w:t>42.6</w:t>
            </w:r>
            <w:r>
              <w:rPr>
                <w:sz w:val="20"/>
                <w:szCs w:val="20"/>
              </w:rPr>
              <w:t>%)</w:t>
            </w:r>
          </w:p>
        </w:tc>
        <w:tc>
          <w:tcPr>
            <w:tcW w:w="1217" w:type="dxa"/>
            <w:vAlign w:val="center"/>
          </w:tcPr>
          <w:p w14:paraId="75FABC35" w14:textId="17E3BF37" w:rsidR="007769D8" w:rsidRDefault="001E3FB8" w:rsidP="004325CC">
            <w:pPr>
              <w:jc w:val="center"/>
              <w:rPr>
                <w:sz w:val="20"/>
                <w:szCs w:val="20"/>
              </w:rPr>
            </w:pPr>
            <w:r>
              <w:rPr>
                <w:sz w:val="20"/>
                <w:szCs w:val="20"/>
              </w:rPr>
              <w:t>9,</w:t>
            </w:r>
            <w:r w:rsidR="00046C1B">
              <w:rPr>
                <w:sz w:val="20"/>
                <w:szCs w:val="20"/>
              </w:rPr>
              <w:t xml:space="preserve">421 </w:t>
            </w:r>
            <w:r w:rsidR="00EC151B">
              <w:rPr>
                <w:sz w:val="20"/>
                <w:szCs w:val="20"/>
              </w:rPr>
              <w:t>(52.3%)</w:t>
            </w:r>
          </w:p>
        </w:tc>
      </w:tr>
      <w:tr w:rsidR="007769D8" w:rsidRPr="00BB1B3E" w14:paraId="70088705" w14:textId="7E26C116" w:rsidTr="002E1A93">
        <w:tc>
          <w:tcPr>
            <w:tcW w:w="1555" w:type="dxa"/>
            <w:vAlign w:val="center"/>
          </w:tcPr>
          <w:p w14:paraId="3915C030" w14:textId="77777777" w:rsidR="007769D8" w:rsidRPr="00BB1B3E" w:rsidRDefault="007769D8" w:rsidP="004325CC">
            <w:pPr>
              <w:rPr>
                <w:sz w:val="20"/>
                <w:szCs w:val="20"/>
              </w:rPr>
            </w:pPr>
            <w:r w:rsidRPr="00BB1B3E">
              <w:rPr>
                <w:sz w:val="20"/>
                <w:szCs w:val="20"/>
              </w:rPr>
              <w:t>OSHC</w:t>
            </w:r>
          </w:p>
        </w:tc>
        <w:tc>
          <w:tcPr>
            <w:tcW w:w="4536" w:type="dxa"/>
          </w:tcPr>
          <w:p w14:paraId="127AC00A" w14:textId="2ED1CDB3" w:rsidR="007769D8" w:rsidRDefault="007769D8">
            <w:pPr>
              <w:rPr>
                <w:sz w:val="20"/>
                <w:szCs w:val="20"/>
              </w:rPr>
            </w:pPr>
            <w:r>
              <w:rPr>
                <w:sz w:val="20"/>
                <w:szCs w:val="20"/>
              </w:rPr>
              <w:t xml:space="preserve">A </w:t>
            </w:r>
            <w:r w:rsidRPr="007E78EA">
              <w:rPr>
                <w:sz w:val="20"/>
                <w:szCs w:val="20"/>
              </w:rPr>
              <w:t>centre-based service that provides care for school aged children before school, after school, during school holidays, and on pupil free days. OSHC may use stand</w:t>
            </w:r>
            <w:r w:rsidRPr="007E78EA">
              <w:rPr>
                <w:sz w:val="20"/>
                <w:szCs w:val="20"/>
              </w:rPr>
              <w:noBreakHyphen/>
              <w:t>alone facilities, share school buildings and grounds and/or share facilities such as community halls.</w:t>
            </w:r>
          </w:p>
        </w:tc>
        <w:tc>
          <w:tcPr>
            <w:tcW w:w="1701" w:type="dxa"/>
            <w:vAlign w:val="center"/>
          </w:tcPr>
          <w:p w14:paraId="0A2607DE" w14:textId="172B5A14" w:rsidR="007769D8" w:rsidRPr="00BB1B3E" w:rsidRDefault="007769D8" w:rsidP="004325CC">
            <w:pPr>
              <w:jc w:val="center"/>
              <w:rPr>
                <w:sz w:val="20"/>
                <w:szCs w:val="20"/>
              </w:rPr>
            </w:pPr>
            <w:r>
              <w:rPr>
                <w:sz w:val="20"/>
                <w:szCs w:val="20"/>
              </w:rPr>
              <w:t>564,755 (</w:t>
            </w:r>
            <w:r w:rsidR="00116B5A">
              <w:rPr>
                <w:sz w:val="20"/>
                <w:szCs w:val="20"/>
              </w:rPr>
              <w:t>28.3</w:t>
            </w:r>
            <w:r>
              <w:rPr>
                <w:sz w:val="20"/>
                <w:szCs w:val="20"/>
              </w:rPr>
              <w:t>%)</w:t>
            </w:r>
          </w:p>
        </w:tc>
        <w:tc>
          <w:tcPr>
            <w:tcW w:w="1217" w:type="dxa"/>
            <w:vAlign w:val="center"/>
          </w:tcPr>
          <w:p w14:paraId="2FCA60F4" w14:textId="74FAAB4D" w:rsidR="007769D8" w:rsidRDefault="00D51A66" w:rsidP="004325CC">
            <w:pPr>
              <w:jc w:val="center"/>
              <w:rPr>
                <w:sz w:val="20"/>
                <w:szCs w:val="20"/>
              </w:rPr>
            </w:pPr>
            <w:r>
              <w:rPr>
                <w:sz w:val="20"/>
                <w:szCs w:val="20"/>
              </w:rPr>
              <w:t>5.094</w:t>
            </w:r>
            <w:r w:rsidR="00EC151B">
              <w:rPr>
                <w:sz w:val="20"/>
                <w:szCs w:val="20"/>
              </w:rPr>
              <w:t xml:space="preserve"> (</w:t>
            </w:r>
            <w:r w:rsidR="001E3FB8">
              <w:rPr>
                <w:sz w:val="20"/>
                <w:szCs w:val="20"/>
              </w:rPr>
              <w:t>28.3</w:t>
            </w:r>
            <w:r w:rsidR="00EC151B">
              <w:rPr>
                <w:sz w:val="20"/>
                <w:szCs w:val="20"/>
              </w:rPr>
              <w:t>%)</w:t>
            </w:r>
          </w:p>
        </w:tc>
      </w:tr>
      <w:tr w:rsidR="007769D8" w:rsidRPr="00BB1B3E" w14:paraId="2D41CEF1" w14:textId="77024D2A" w:rsidTr="002E1A93">
        <w:tc>
          <w:tcPr>
            <w:tcW w:w="1555" w:type="dxa"/>
            <w:vAlign w:val="center"/>
          </w:tcPr>
          <w:p w14:paraId="1230AD93" w14:textId="1CBFDE19" w:rsidR="007769D8" w:rsidRPr="00BB1B3E" w:rsidRDefault="007769D8" w:rsidP="004325CC">
            <w:pPr>
              <w:rPr>
                <w:sz w:val="20"/>
                <w:szCs w:val="20"/>
              </w:rPr>
            </w:pPr>
            <w:r w:rsidRPr="00BB1B3E">
              <w:rPr>
                <w:sz w:val="20"/>
                <w:szCs w:val="20"/>
              </w:rPr>
              <w:t>Preschool</w:t>
            </w:r>
            <w:r>
              <w:rPr>
                <w:sz w:val="20"/>
                <w:szCs w:val="20"/>
              </w:rPr>
              <w:t>/</w:t>
            </w:r>
            <w:r w:rsidR="00924DA5">
              <w:rPr>
                <w:sz w:val="20"/>
                <w:szCs w:val="20"/>
              </w:rPr>
              <w:t xml:space="preserve"> </w:t>
            </w:r>
            <w:r>
              <w:rPr>
                <w:sz w:val="20"/>
                <w:szCs w:val="20"/>
              </w:rPr>
              <w:t>kindergarten</w:t>
            </w:r>
            <w:r>
              <w:rPr>
                <w:rStyle w:val="FootnoteReference"/>
                <w:sz w:val="20"/>
                <w:szCs w:val="20"/>
              </w:rPr>
              <w:footnoteReference w:id="20"/>
            </w:r>
            <w:r>
              <w:rPr>
                <w:sz w:val="20"/>
                <w:szCs w:val="20"/>
                <w:vertAlign w:val="superscript"/>
              </w:rPr>
              <w:t>,</w:t>
            </w:r>
            <w:r w:rsidRPr="003130C7">
              <w:rPr>
                <w:rStyle w:val="FootnoteReference"/>
                <w:sz w:val="20"/>
                <w:szCs w:val="20"/>
              </w:rPr>
              <w:footnoteReference w:id="21"/>
            </w:r>
            <w:r w:rsidR="002C2A72" w:rsidRPr="00E3621F">
              <w:rPr>
                <w:rStyle w:val="FootnoteReference"/>
                <w:sz w:val="20"/>
                <w:szCs w:val="20"/>
              </w:rPr>
              <w:t>,</w:t>
            </w:r>
            <w:r w:rsidR="002C2A72" w:rsidRPr="00E3621F">
              <w:rPr>
                <w:rStyle w:val="FootnoteReference"/>
                <w:sz w:val="20"/>
                <w:szCs w:val="20"/>
              </w:rPr>
              <w:footnoteReference w:id="22"/>
            </w:r>
          </w:p>
        </w:tc>
        <w:tc>
          <w:tcPr>
            <w:tcW w:w="4536" w:type="dxa"/>
          </w:tcPr>
          <w:p w14:paraId="707FA376" w14:textId="56D8C5E8" w:rsidR="007769D8" w:rsidRDefault="007769D8">
            <w:pPr>
              <w:rPr>
                <w:sz w:val="20"/>
                <w:szCs w:val="20"/>
              </w:rPr>
            </w:pPr>
            <w:r>
              <w:rPr>
                <w:sz w:val="20"/>
                <w:szCs w:val="20"/>
              </w:rPr>
              <w:t xml:space="preserve">A </w:t>
            </w:r>
            <w:r w:rsidRPr="007E78EA">
              <w:rPr>
                <w:sz w:val="20"/>
                <w:szCs w:val="20"/>
              </w:rPr>
              <w:t xml:space="preserve">centre-based service </w:t>
            </w:r>
            <w:r w:rsidR="00840FA0">
              <w:rPr>
                <w:sz w:val="20"/>
                <w:szCs w:val="20"/>
              </w:rPr>
              <w:t>with</w:t>
            </w:r>
            <w:r w:rsidRPr="007E78EA">
              <w:rPr>
                <w:sz w:val="20"/>
                <w:szCs w:val="20"/>
              </w:rPr>
              <w:t xml:space="preserve"> a</w:t>
            </w:r>
            <w:r w:rsidR="00B0122E">
              <w:rPr>
                <w:sz w:val="20"/>
                <w:szCs w:val="20"/>
              </w:rPr>
              <w:t xml:space="preserve"> preschool program delivered by a</w:t>
            </w:r>
            <w:r w:rsidRPr="007E78EA">
              <w:rPr>
                <w:sz w:val="20"/>
                <w:szCs w:val="20"/>
              </w:rPr>
              <w:t xml:space="preserve"> degree qualified early childhood teacher, aimed primarily at children in the year or two before they commence full-time schooling. A preschool program can be delivered in a variety of settings such as stand-alone preschools, preschools co-located with a school (both government and non-government), and LDC services.</w:t>
            </w:r>
          </w:p>
        </w:tc>
        <w:tc>
          <w:tcPr>
            <w:tcW w:w="1701" w:type="dxa"/>
            <w:vAlign w:val="center"/>
          </w:tcPr>
          <w:p w14:paraId="6BAED582" w14:textId="14A5DF3D" w:rsidR="007769D8" w:rsidRPr="00BB1B3E" w:rsidRDefault="00656F78" w:rsidP="004325CC">
            <w:pPr>
              <w:jc w:val="center"/>
              <w:rPr>
                <w:sz w:val="20"/>
                <w:szCs w:val="20"/>
              </w:rPr>
            </w:pPr>
            <w:r>
              <w:rPr>
                <w:sz w:val="20"/>
                <w:szCs w:val="20"/>
              </w:rPr>
              <w:t>574,939</w:t>
            </w:r>
            <w:r w:rsidR="007769D8">
              <w:rPr>
                <w:sz w:val="20"/>
                <w:szCs w:val="20"/>
              </w:rPr>
              <w:t xml:space="preserve"> (</w:t>
            </w:r>
            <w:r w:rsidR="00116B5A">
              <w:rPr>
                <w:sz w:val="20"/>
                <w:szCs w:val="20"/>
              </w:rPr>
              <w:t>28.8</w:t>
            </w:r>
            <w:r w:rsidR="007769D8">
              <w:rPr>
                <w:sz w:val="20"/>
                <w:szCs w:val="20"/>
              </w:rPr>
              <w:t>%)</w:t>
            </w:r>
          </w:p>
        </w:tc>
        <w:tc>
          <w:tcPr>
            <w:tcW w:w="1217" w:type="dxa"/>
            <w:vAlign w:val="center"/>
          </w:tcPr>
          <w:p w14:paraId="2E572B23" w14:textId="4C2E942C" w:rsidR="007769D8" w:rsidRDefault="00D51A66" w:rsidP="004325CC">
            <w:pPr>
              <w:jc w:val="center"/>
              <w:rPr>
                <w:sz w:val="20"/>
                <w:szCs w:val="20"/>
              </w:rPr>
            </w:pPr>
            <w:r>
              <w:rPr>
                <w:sz w:val="20"/>
                <w:szCs w:val="20"/>
              </w:rPr>
              <w:t>3,083</w:t>
            </w:r>
            <w:r w:rsidR="00EC151B">
              <w:rPr>
                <w:sz w:val="20"/>
                <w:szCs w:val="20"/>
              </w:rPr>
              <w:t xml:space="preserve"> (</w:t>
            </w:r>
            <w:r>
              <w:rPr>
                <w:sz w:val="20"/>
                <w:szCs w:val="20"/>
              </w:rPr>
              <w:t>17.1</w:t>
            </w:r>
            <w:r w:rsidR="004325CC">
              <w:rPr>
                <w:sz w:val="20"/>
                <w:szCs w:val="20"/>
              </w:rPr>
              <w:t>%)</w:t>
            </w:r>
          </w:p>
        </w:tc>
      </w:tr>
      <w:tr w:rsidR="007769D8" w:rsidRPr="00BB1B3E" w14:paraId="01BE684A" w14:textId="74244742" w:rsidTr="002E1A93">
        <w:tc>
          <w:tcPr>
            <w:tcW w:w="1555" w:type="dxa"/>
            <w:vAlign w:val="center"/>
          </w:tcPr>
          <w:p w14:paraId="50ACD0FC" w14:textId="77777777" w:rsidR="007769D8" w:rsidRPr="00BB1B3E" w:rsidRDefault="007769D8" w:rsidP="004325CC">
            <w:pPr>
              <w:rPr>
                <w:sz w:val="20"/>
                <w:szCs w:val="20"/>
              </w:rPr>
            </w:pPr>
            <w:r>
              <w:rPr>
                <w:sz w:val="20"/>
                <w:szCs w:val="20"/>
              </w:rPr>
              <w:t>FDC</w:t>
            </w:r>
          </w:p>
        </w:tc>
        <w:tc>
          <w:tcPr>
            <w:tcW w:w="4536" w:type="dxa"/>
          </w:tcPr>
          <w:p w14:paraId="10DA40CC" w14:textId="7280D1DE" w:rsidR="007769D8" w:rsidRDefault="007769D8">
            <w:pPr>
              <w:rPr>
                <w:sz w:val="20"/>
                <w:szCs w:val="20"/>
              </w:rPr>
            </w:pPr>
            <w:r>
              <w:rPr>
                <w:sz w:val="20"/>
                <w:szCs w:val="20"/>
              </w:rPr>
              <w:t>A</w:t>
            </w:r>
            <w:r w:rsidRPr="007E78EA">
              <w:rPr>
                <w:sz w:val="20"/>
                <w:szCs w:val="20"/>
              </w:rPr>
              <w:t xml:space="preserve"> service providing small group education and care services for children, generally in the home environment of an educator or an approved venue. FDC is primarily aimed at children aged 0–5 years, but primary school aged children may also receive the service before and after school, and during school holidays. FDC educators are supported by a FDC co-ordinator.</w:t>
            </w:r>
          </w:p>
        </w:tc>
        <w:tc>
          <w:tcPr>
            <w:tcW w:w="1701" w:type="dxa"/>
            <w:vAlign w:val="center"/>
          </w:tcPr>
          <w:p w14:paraId="1FF47F25" w14:textId="31F737B3" w:rsidR="007769D8" w:rsidRPr="00BB1B3E" w:rsidRDefault="007769D8" w:rsidP="004325CC">
            <w:pPr>
              <w:jc w:val="center"/>
              <w:rPr>
                <w:sz w:val="20"/>
                <w:szCs w:val="20"/>
              </w:rPr>
            </w:pPr>
            <w:r>
              <w:rPr>
                <w:sz w:val="20"/>
                <w:szCs w:val="20"/>
              </w:rPr>
              <w:t>73,826 (</w:t>
            </w:r>
            <w:r w:rsidR="00116B5A">
              <w:rPr>
                <w:sz w:val="20"/>
                <w:szCs w:val="20"/>
              </w:rPr>
              <w:t>3.7</w:t>
            </w:r>
            <w:r>
              <w:rPr>
                <w:sz w:val="20"/>
                <w:szCs w:val="20"/>
              </w:rPr>
              <w:t>%)</w:t>
            </w:r>
          </w:p>
        </w:tc>
        <w:tc>
          <w:tcPr>
            <w:tcW w:w="1217" w:type="dxa"/>
            <w:vAlign w:val="center"/>
          </w:tcPr>
          <w:p w14:paraId="2ECEA298" w14:textId="1FF7EDD0" w:rsidR="007769D8" w:rsidRDefault="00D51A66" w:rsidP="004325CC">
            <w:pPr>
              <w:jc w:val="center"/>
              <w:rPr>
                <w:sz w:val="20"/>
                <w:szCs w:val="20"/>
              </w:rPr>
            </w:pPr>
            <w:r>
              <w:rPr>
                <w:sz w:val="20"/>
                <w:szCs w:val="20"/>
              </w:rPr>
              <w:t>412</w:t>
            </w:r>
            <w:r w:rsidR="004325CC">
              <w:rPr>
                <w:sz w:val="20"/>
                <w:szCs w:val="20"/>
              </w:rPr>
              <w:t xml:space="preserve"> (2.3%)</w:t>
            </w:r>
          </w:p>
        </w:tc>
      </w:tr>
    </w:tbl>
    <w:p w14:paraId="7727A9EB" w14:textId="59D0D6FA" w:rsidR="00541193" w:rsidRPr="007E78EA" w:rsidRDefault="007E78EA" w:rsidP="00AE2483">
      <w:pPr>
        <w:rPr>
          <w:i/>
          <w:color w:val="14233C" w:themeColor="text2"/>
          <w:sz w:val="18"/>
          <w:szCs w:val="18"/>
        </w:rPr>
      </w:pPr>
      <w:r w:rsidRPr="4A5A63AD">
        <w:rPr>
          <w:i/>
          <w:color w:val="14233C" w:themeColor="text2"/>
          <w:sz w:val="18"/>
          <w:szCs w:val="18"/>
        </w:rPr>
        <w:t>Source: Productivity Commission (2025)</w:t>
      </w:r>
      <w:r w:rsidR="00924DA5">
        <w:rPr>
          <w:i/>
          <w:color w:val="14233C" w:themeColor="text2"/>
          <w:sz w:val="18"/>
          <w:szCs w:val="18"/>
        </w:rPr>
        <w:t>; ACECQA (2025).</w:t>
      </w:r>
    </w:p>
    <w:p w14:paraId="6D0025D5" w14:textId="243077B2" w:rsidR="00970429" w:rsidRDefault="00970429" w:rsidP="00AE2483">
      <w:r>
        <w:t xml:space="preserve">LDC, OSHC and preschool services are collectively referred to as </w:t>
      </w:r>
      <w:r w:rsidR="00365466">
        <w:t xml:space="preserve">centre-based </w:t>
      </w:r>
      <w:r w:rsidR="00277FCD">
        <w:t>services</w:t>
      </w:r>
      <w:r w:rsidR="0062679E">
        <w:t xml:space="preserve"> under the NQF</w:t>
      </w:r>
      <w:r w:rsidR="00277FCD">
        <w:t>.</w:t>
      </w:r>
    </w:p>
    <w:p w14:paraId="046DC4A6" w14:textId="4C9C876D" w:rsidR="00CA3E91" w:rsidRDefault="00CA3E91" w:rsidP="00AE2483">
      <w:r w:rsidRPr="0091279B">
        <w:lastRenderedPageBreak/>
        <w:t xml:space="preserve">There are a range of other service types that are not regulated under the NQF but may, or may not, be regulated under jurisdiction-based legislation. These include, occasional care, mobile preschools, playschools, some vacation care, crèches and some In Home Care services. There are also a small number of services currently regulated by the Australian Government that are excluded from the definition of an ‘education and care service’ and are not within scope of the NQF; coming under Minister’s Rules. These include a small number of </w:t>
      </w:r>
      <w:r>
        <w:t>In Home Care</w:t>
      </w:r>
      <w:r w:rsidRPr="0091279B">
        <w:t xml:space="preserve"> services, and a number of former Budget Based Funded services and former Indigenous Advancement Strategy funded services predominantly located in the Northern Territory</w:t>
      </w:r>
      <w:r w:rsidR="00303362">
        <w:t xml:space="preserve"> (NT)</w:t>
      </w:r>
      <w:r w:rsidRPr="0091279B">
        <w:t xml:space="preserve"> and South Australia</w:t>
      </w:r>
      <w:r w:rsidR="00303362">
        <w:t xml:space="preserve"> (SA)</w:t>
      </w:r>
      <w:r w:rsidRPr="0091279B">
        <w:t>.</w:t>
      </w:r>
    </w:p>
    <w:p w14:paraId="3CBDF701" w14:textId="08C3E57F" w:rsidR="00EA7D54" w:rsidRDefault="00AA4E3D" w:rsidP="0046005D">
      <w:r>
        <w:t>A variety</w:t>
      </w:r>
      <w:r w:rsidR="006B3811">
        <w:t xml:space="preserve"> of </w:t>
      </w:r>
      <w:r w:rsidR="00FE1E82">
        <w:t xml:space="preserve">provider </w:t>
      </w:r>
      <w:r w:rsidR="006B3811">
        <w:t xml:space="preserve">management </w:t>
      </w:r>
      <w:r w:rsidR="00FE1E82">
        <w:t xml:space="preserve">types </w:t>
      </w:r>
      <w:r w:rsidR="006B3811">
        <w:t xml:space="preserve">operate </w:t>
      </w:r>
      <w:r w:rsidR="00396A59">
        <w:t>education and care</w:t>
      </w:r>
      <w:r w:rsidR="00BF7F83">
        <w:t xml:space="preserve"> services</w:t>
      </w:r>
      <w:r w:rsidR="005F7F89">
        <w:t xml:space="preserve">, as shown in </w:t>
      </w:r>
      <w:r w:rsidR="006118E2">
        <w:t>Figure 1.</w:t>
      </w:r>
      <w:r w:rsidR="00A612D1">
        <w:t>2</w:t>
      </w:r>
      <w:r w:rsidR="003F6AC5">
        <w:t xml:space="preserve">. </w:t>
      </w:r>
    </w:p>
    <w:p w14:paraId="0FF02966" w14:textId="056AF5F2" w:rsidR="000E7E61" w:rsidRDefault="00B46DB6" w:rsidP="000E7E61">
      <w:pPr>
        <w:pStyle w:val="Caption"/>
      </w:pPr>
      <w:bookmarkStart w:id="35" w:name="_Ref190960266"/>
      <w:bookmarkStart w:id="36" w:name="_Toc205884923"/>
      <w:r>
        <w:t xml:space="preserve">Figure </w:t>
      </w:r>
      <w:r w:rsidR="000E7E61">
        <w:t>1</w:t>
      </w:r>
      <w:bookmarkEnd w:id="35"/>
      <w:r w:rsidR="000E7E61">
        <w:t>.</w:t>
      </w:r>
      <w:r w:rsidR="00A612D1">
        <w:t>2</w:t>
      </w:r>
      <w:r w:rsidR="000E7E61">
        <w:t xml:space="preserve">: </w:t>
      </w:r>
      <w:r w:rsidR="00D06441">
        <w:t>N</w:t>
      </w:r>
      <w:r w:rsidR="005C1ABC">
        <w:t xml:space="preserve">umber and proportion of services by </w:t>
      </w:r>
      <w:r w:rsidR="0058548B">
        <w:t xml:space="preserve">provider </w:t>
      </w:r>
      <w:r w:rsidR="005C1ABC">
        <w:t xml:space="preserve">management </w:t>
      </w:r>
      <w:r w:rsidR="0058548B">
        <w:t>type</w:t>
      </w:r>
      <w:r w:rsidR="002E4F07">
        <w:t xml:space="preserve">, </w:t>
      </w:r>
      <w:r w:rsidR="00776427">
        <w:t xml:space="preserve">1 </w:t>
      </w:r>
      <w:r w:rsidR="001C723F">
        <w:t xml:space="preserve">April </w:t>
      </w:r>
      <w:r w:rsidR="00776427">
        <w:t>2025</w:t>
      </w:r>
      <w:bookmarkEnd w:id="36"/>
    </w:p>
    <w:p w14:paraId="054DF185" w14:textId="616F8EDF" w:rsidR="005C1ABC" w:rsidRPr="005C1ABC" w:rsidRDefault="001F0002" w:rsidP="005C1ABC">
      <w:r>
        <w:rPr>
          <w:noProof/>
          <w14:ligatures w14:val="standardContextual"/>
        </w:rPr>
        <w:drawing>
          <wp:inline distT="0" distB="0" distL="0" distR="0" wp14:anchorId="36192A07" wp14:editId="08893DB9">
            <wp:extent cx="5800725" cy="2486025"/>
            <wp:effectExtent l="0" t="0" r="0" b="0"/>
            <wp:docPr id="416199406" name="Chart 1" descr="This figure outlines the number and proportion of services by provider management type, for April 2025.">
              <a:extLst xmlns:a="http://schemas.openxmlformats.org/drawingml/2006/main">
                <a:ext uri="{FF2B5EF4-FFF2-40B4-BE49-F238E27FC236}">
                  <a16:creationId xmlns:a16="http://schemas.microsoft.com/office/drawing/2014/main" id="{EF1AC2D3-FAC4-92E1-6A0F-208A5F46C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AB01F6A" w14:textId="23FDD496" w:rsidR="009B5C53" w:rsidRPr="00464E1E" w:rsidRDefault="005C1ABC" w:rsidP="00F56B7E">
      <w:pPr>
        <w:pStyle w:val="Source-CSR"/>
      </w:pPr>
      <w:r w:rsidRPr="00464E1E">
        <w:t>Source: ACECQA</w:t>
      </w:r>
      <w:r w:rsidR="00833203" w:rsidRPr="00464E1E">
        <w:t>: NQF Snapshot Q</w:t>
      </w:r>
      <w:r w:rsidR="000F615D">
        <w:t>1</w:t>
      </w:r>
      <w:r w:rsidR="00833203" w:rsidRPr="00464E1E">
        <w:t xml:space="preserve"> 202</w:t>
      </w:r>
      <w:r w:rsidR="000F615D">
        <w:t>5</w:t>
      </w:r>
      <w:r w:rsidR="006427E3" w:rsidRPr="003830CD">
        <w:rPr>
          <w:rStyle w:val="FootnoteReference"/>
          <w:szCs w:val="16"/>
        </w:rPr>
        <w:footnoteReference w:id="23"/>
      </w:r>
    </w:p>
    <w:p w14:paraId="48180FF4" w14:textId="5B832F0E" w:rsidR="008F214B" w:rsidRDefault="00AF502B" w:rsidP="008F214B">
      <w:pPr>
        <w:pStyle w:val="Heading2"/>
      </w:pPr>
      <w:bookmarkStart w:id="37" w:name="_Toc205884876"/>
      <w:r>
        <w:t>1.</w:t>
      </w:r>
      <w:r w:rsidR="00743FAD">
        <w:t>3</w:t>
      </w:r>
      <w:r>
        <w:t xml:space="preserve"> </w:t>
      </w:r>
      <w:r w:rsidR="00236DC7">
        <w:t xml:space="preserve">What is the </w:t>
      </w:r>
      <w:r w:rsidR="008F214B">
        <w:t>case for change</w:t>
      </w:r>
      <w:r w:rsidR="00236DC7">
        <w:t>?</w:t>
      </w:r>
      <w:bookmarkEnd w:id="37"/>
    </w:p>
    <w:p w14:paraId="64ECF6DC" w14:textId="7394D495" w:rsidR="00DA7BA2" w:rsidRDefault="00320C4F" w:rsidP="00DA7BA2">
      <w:r>
        <w:t>C</w:t>
      </w:r>
      <w:r w:rsidRPr="00320C4F">
        <w:t>hild safety is the first objective under the NQF and is supported by a focus on</w:t>
      </w:r>
      <w:r>
        <w:t xml:space="preserve"> </w:t>
      </w:r>
      <w:r w:rsidR="00DA7BA2">
        <w:t xml:space="preserve">continuous quality improvement to ensure children are safe, healthy and thriving in approved education and care services. The need and urgency for additional protections is reflected not only by CSR findings but also by ongoing reported critical incidents and allegations. </w:t>
      </w:r>
    </w:p>
    <w:p w14:paraId="71C74C88" w14:textId="2E931780" w:rsidR="00DA7BA2" w:rsidRDefault="00DA7BA2" w:rsidP="00DA7BA2">
      <w:r>
        <w:lastRenderedPageBreak/>
        <w:t xml:space="preserve">The CSR found that instances of harm could be reduced by introducing additional child safety measures and </w:t>
      </w:r>
      <w:r w:rsidR="001F462C">
        <w:t>evolving the requirements of the NQF in line with technological and other advances</w:t>
      </w:r>
      <w:r w:rsidR="006D770D">
        <w:t>.</w:t>
      </w:r>
      <w:r>
        <w:t xml:space="preserve"> For example, improving practices regarding the use of digital </w:t>
      </w:r>
      <w:r w:rsidR="00232839">
        <w:t xml:space="preserve">devices </w:t>
      </w:r>
      <w:r>
        <w:t xml:space="preserve">within </w:t>
      </w:r>
      <w:r w:rsidR="00396A59">
        <w:t>education and care</w:t>
      </w:r>
      <w:r>
        <w:t xml:space="preserve"> settings to remain current with technological advances and associated risks. </w:t>
      </w:r>
    </w:p>
    <w:p w14:paraId="5476DCCB" w14:textId="77777777" w:rsidR="00A90A68" w:rsidRPr="00B344DF" w:rsidRDefault="00A90A68" w:rsidP="00A90A68">
      <w:pPr>
        <w:pStyle w:val="Heading3"/>
      </w:pPr>
      <w:r w:rsidRPr="00B344DF">
        <w:t>CSR progress to date</w:t>
      </w:r>
    </w:p>
    <w:p w14:paraId="6F01388D" w14:textId="77777777" w:rsidR="00A90A68" w:rsidRDefault="00A90A68" w:rsidP="00A90A68">
      <w:r>
        <w:t xml:space="preserve">Since the release of the CSR report in December 2023, several actions have been progressed to respond to certain recommendations, including: </w:t>
      </w:r>
    </w:p>
    <w:p w14:paraId="5BDEB18D" w14:textId="4246D367" w:rsidR="00A90A68" w:rsidRDefault="00841575" w:rsidP="00EC53AB">
      <w:pPr>
        <w:pStyle w:val="ListParagraph"/>
        <w:numPr>
          <w:ilvl w:val="0"/>
          <w:numId w:val="3"/>
        </w:numPr>
        <w:ind w:left="426" w:hanging="357"/>
      </w:pPr>
      <w:r>
        <w:t>T</w:t>
      </w:r>
      <w:r w:rsidR="00A90A68">
        <w:t>he development of the National Model Code and Guidelines, released by ACECQA on 1 July 2024, addressing child safe practices for the use of electronic devices while providing education and care</w:t>
      </w:r>
      <w:r>
        <w:t>.</w:t>
      </w:r>
    </w:p>
    <w:p w14:paraId="14AD7D4E" w14:textId="3228F0EF" w:rsidR="00E7627A" w:rsidRDefault="00841575" w:rsidP="00EC53AB">
      <w:pPr>
        <w:pStyle w:val="ListParagraph"/>
        <w:numPr>
          <w:ilvl w:val="0"/>
          <w:numId w:val="3"/>
        </w:numPr>
        <w:ind w:left="426" w:hanging="357"/>
      </w:pPr>
      <w:r>
        <w:t>G</w:t>
      </w:r>
      <w:r w:rsidR="00E7627A">
        <w:t>uides developed by ACECQA on embedding child safe cultures and online safety in education and care services, published on 16 June 2025</w:t>
      </w:r>
      <w:r>
        <w:t>.</w:t>
      </w:r>
    </w:p>
    <w:p w14:paraId="094E6643" w14:textId="08C24EB8" w:rsidR="00A90A68" w:rsidRDefault="00841575" w:rsidP="00EC53AB">
      <w:pPr>
        <w:pStyle w:val="ListParagraph"/>
        <w:numPr>
          <w:ilvl w:val="0"/>
          <w:numId w:val="3"/>
        </w:numPr>
        <w:ind w:left="426" w:hanging="357"/>
      </w:pPr>
      <w:r>
        <w:t>R</w:t>
      </w:r>
      <w:r w:rsidR="00A90A68">
        <w:t>egulatory changes that will take effect from 1 September 2025:</w:t>
      </w:r>
    </w:p>
    <w:p w14:paraId="1FB5CB5E" w14:textId="3A4347F6" w:rsidR="00A90A68" w:rsidRDefault="00A90A68" w:rsidP="00EC53AB">
      <w:pPr>
        <w:pStyle w:val="ListParagraph"/>
        <w:numPr>
          <w:ilvl w:val="1"/>
          <w:numId w:val="3"/>
        </w:numPr>
      </w:pPr>
      <w:r>
        <w:t xml:space="preserve">a requirement for services to have new policies and procedures relating to the safe use of digital devices (including the use of closed-circuit television (CCTV); </w:t>
      </w:r>
    </w:p>
    <w:p w14:paraId="1C47A360" w14:textId="77777777" w:rsidR="00A90A68" w:rsidRDefault="00A90A68" w:rsidP="00EC53AB">
      <w:pPr>
        <w:pStyle w:val="ListParagraph"/>
        <w:numPr>
          <w:ilvl w:val="1"/>
          <w:numId w:val="3"/>
        </w:numPr>
      </w:pPr>
      <w:r>
        <w:t>a reduction in notification timeframes for reporting allegations or incidents of physical or sexual abuse from 7 days to 24 hours; and</w:t>
      </w:r>
    </w:p>
    <w:p w14:paraId="035365A2" w14:textId="77777777" w:rsidR="00A90A68" w:rsidRPr="001A173B" w:rsidRDefault="00A90A68" w:rsidP="00EC53AB">
      <w:pPr>
        <w:pStyle w:val="ListParagraph"/>
        <w:numPr>
          <w:ilvl w:val="1"/>
          <w:numId w:val="3"/>
        </w:numPr>
      </w:pPr>
      <w:r>
        <w:t xml:space="preserve">service environments to be free from the use of vaping devices and vaping substances. </w:t>
      </w:r>
    </w:p>
    <w:p w14:paraId="6005B7EC" w14:textId="6D146E78" w:rsidR="0082269D" w:rsidRDefault="0082269D" w:rsidP="00EC53AB">
      <w:pPr>
        <w:pStyle w:val="ListParagraph"/>
        <w:numPr>
          <w:ilvl w:val="0"/>
          <w:numId w:val="3"/>
        </w:numPr>
        <w:ind w:left="426"/>
      </w:pPr>
      <w:r w:rsidRPr="0082269D">
        <w:t>Refinements to explicitly reference child safety in Quality Area 2 and Quality Area 7 in the National Quality Standards, commencing 1 January 2026.</w:t>
      </w:r>
    </w:p>
    <w:p w14:paraId="316E9D77" w14:textId="0A6F0454" w:rsidR="00A90A68" w:rsidRDefault="00841575" w:rsidP="00EC53AB">
      <w:pPr>
        <w:pStyle w:val="ListParagraph"/>
        <w:numPr>
          <w:ilvl w:val="0"/>
          <w:numId w:val="3"/>
        </w:numPr>
        <w:ind w:left="426"/>
      </w:pPr>
      <w:r>
        <w:t>T</w:t>
      </w:r>
      <w:r w:rsidR="00A90A68">
        <w:t xml:space="preserve">he Australian Institute for Teaching and School Leadership has published materials to support early childhood teachers, leaders and employers to apply the Australian Professional Standards for Teachers in non-school settings. </w:t>
      </w:r>
    </w:p>
    <w:p w14:paraId="0AB8B71B" w14:textId="46040A42" w:rsidR="00A90A68" w:rsidRDefault="00A90A68" w:rsidP="00EC53AB">
      <w:pPr>
        <w:pStyle w:val="ListParagraph"/>
        <w:numPr>
          <w:ilvl w:val="0"/>
          <w:numId w:val="3"/>
        </w:numPr>
        <w:ind w:left="426"/>
      </w:pPr>
      <w:r>
        <w:t xml:space="preserve">The regulatory and non-regulatory options analysed through this DRIS were informed by targeted consultation with the sector and experts, including through an </w:t>
      </w:r>
      <w:r w:rsidRPr="00CE6EED">
        <w:t>Expert Advisory Panel (EAP)</w:t>
      </w:r>
      <w:r>
        <w:t>,</w:t>
      </w:r>
      <w:r w:rsidRPr="00CE6EED">
        <w:t xml:space="preserve"> established to provide subject matter expertise, advice and guidance to inform the agreed recommendation of the </w:t>
      </w:r>
      <w:r>
        <w:t>CSR</w:t>
      </w:r>
      <w:r w:rsidRPr="00CE6EED">
        <w:t>.</w:t>
      </w:r>
    </w:p>
    <w:p w14:paraId="7BC7A32E" w14:textId="081B804D" w:rsidR="00B17563" w:rsidRPr="00B17563" w:rsidRDefault="00B17563" w:rsidP="00375D7C">
      <w:pPr>
        <w:pStyle w:val="Heading3"/>
      </w:pPr>
      <w:r w:rsidRPr="00B17563">
        <w:lastRenderedPageBreak/>
        <w:t xml:space="preserve">CSR </w:t>
      </w:r>
      <w:r w:rsidR="00E02EC4">
        <w:t>r</w:t>
      </w:r>
      <w:r w:rsidRPr="00B17563">
        <w:t xml:space="preserve">ecommendations </w:t>
      </w:r>
      <w:r w:rsidR="0011528C">
        <w:t xml:space="preserve">included in </w:t>
      </w:r>
      <w:r w:rsidRPr="00B17563">
        <w:t xml:space="preserve">this </w:t>
      </w:r>
      <w:r w:rsidR="00693B2A">
        <w:t>D</w:t>
      </w:r>
      <w:r w:rsidRPr="00B17563">
        <w:t>RIS</w:t>
      </w:r>
    </w:p>
    <w:p w14:paraId="135D5D04" w14:textId="120A22FE" w:rsidR="00DA7BA2" w:rsidRPr="008B1050" w:rsidRDefault="00967D72" w:rsidP="00DA7BA2">
      <w:r w:rsidRPr="008B1050">
        <w:t>Several</w:t>
      </w:r>
      <w:r w:rsidR="00DA7BA2" w:rsidRPr="008B1050">
        <w:t xml:space="preserve"> other </w:t>
      </w:r>
      <w:r w:rsidR="00EE495E" w:rsidRPr="008B1050">
        <w:t xml:space="preserve">recommendations </w:t>
      </w:r>
      <w:r w:rsidR="00DA7BA2" w:rsidRPr="008B1050">
        <w:t>arising from the CSR</w:t>
      </w:r>
      <w:r w:rsidR="002125E8">
        <w:rPr>
          <w:rStyle w:val="FootnoteReference"/>
        </w:rPr>
        <w:footnoteReference w:id="24"/>
      </w:r>
      <w:r w:rsidR="00DA7BA2" w:rsidRPr="008B1050">
        <w:t xml:space="preserve"> and ongoing reported critical incidents relate to:</w:t>
      </w:r>
    </w:p>
    <w:p w14:paraId="34C2FC6D" w14:textId="1D16965A" w:rsidR="00DA7BA2" w:rsidRDefault="0029230A" w:rsidP="00EC53AB">
      <w:pPr>
        <w:pStyle w:val="ListParagraph"/>
        <w:numPr>
          <w:ilvl w:val="0"/>
          <w:numId w:val="21"/>
        </w:numPr>
        <w:ind w:left="426"/>
      </w:pPr>
      <w:r>
        <w:t>m</w:t>
      </w:r>
      <w:r w:rsidR="00DA7BA2" w:rsidRPr="008B1050">
        <w:t>anaging the use of digital devices</w:t>
      </w:r>
      <w:r w:rsidR="00530B2B" w:rsidRPr="008B1050">
        <w:t xml:space="preserve"> (</w:t>
      </w:r>
      <w:r w:rsidR="00096370">
        <w:t xml:space="preserve">related to </w:t>
      </w:r>
      <w:r w:rsidR="00530B2B" w:rsidRPr="008B1050">
        <w:t>CSR recommendation 2.3 and 2.4)</w:t>
      </w:r>
    </w:p>
    <w:p w14:paraId="34626712" w14:textId="1AD53582" w:rsidR="004B51EE" w:rsidRDefault="0029230A" w:rsidP="00EC53AB">
      <w:pPr>
        <w:pStyle w:val="ListParagraph"/>
        <w:numPr>
          <w:ilvl w:val="0"/>
          <w:numId w:val="21"/>
        </w:numPr>
        <w:ind w:left="426"/>
      </w:pPr>
      <w:r>
        <w:t>c</w:t>
      </w:r>
      <w:r w:rsidR="004B51EE">
        <w:t>hild</w:t>
      </w:r>
      <w:r w:rsidR="004B51EE" w:rsidRPr="008B1050">
        <w:t xml:space="preserve"> safety training (</w:t>
      </w:r>
      <w:r w:rsidR="00096370">
        <w:t xml:space="preserve">related to </w:t>
      </w:r>
      <w:r w:rsidR="004B51EE" w:rsidRPr="008B1050">
        <w:t>CSR recommendation 12)</w:t>
      </w:r>
      <w:r w:rsidR="00841575">
        <w:t>,</w:t>
      </w:r>
    </w:p>
    <w:p w14:paraId="12A4EAFA" w14:textId="7225D37A" w:rsidR="002909A6" w:rsidRPr="008B1050" w:rsidRDefault="0029230A" w:rsidP="00EC53AB">
      <w:pPr>
        <w:pStyle w:val="ListParagraph"/>
        <w:numPr>
          <w:ilvl w:val="0"/>
          <w:numId w:val="21"/>
        </w:numPr>
        <w:ind w:left="426"/>
      </w:pPr>
      <w:r>
        <w:t>i</w:t>
      </w:r>
      <w:r w:rsidR="002909A6" w:rsidRPr="008B1050">
        <w:t xml:space="preserve">mproving responses to </w:t>
      </w:r>
      <w:r w:rsidR="002909A6">
        <w:t>educator</w:t>
      </w:r>
      <w:r w:rsidR="002909A6" w:rsidRPr="008B1050">
        <w:t xml:space="preserve"> </w:t>
      </w:r>
      <w:r w:rsidR="000B41D6">
        <w:t xml:space="preserve">and staff member </w:t>
      </w:r>
      <w:r w:rsidR="002909A6" w:rsidRPr="008B1050">
        <w:t>conduct (</w:t>
      </w:r>
      <w:r w:rsidR="002909A6">
        <w:t xml:space="preserve">related to </w:t>
      </w:r>
      <w:r w:rsidR="002909A6" w:rsidRPr="008B1050">
        <w:t>CSR recommendations 10</w:t>
      </w:r>
      <w:r w:rsidR="002909A6">
        <w:t xml:space="preserve"> </w:t>
      </w:r>
      <w:r w:rsidR="002909A6" w:rsidRPr="008B1050">
        <w:t>and 11)</w:t>
      </w:r>
      <w:r w:rsidR="00841575">
        <w:t>,</w:t>
      </w:r>
    </w:p>
    <w:p w14:paraId="4B84F782" w14:textId="336F7FC6" w:rsidR="004B51EE" w:rsidRDefault="0029230A" w:rsidP="00EC53AB">
      <w:pPr>
        <w:pStyle w:val="ListParagraph"/>
        <w:numPr>
          <w:ilvl w:val="0"/>
          <w:numId w:val="21"/>
        </w:numPr>
        <w:ind w:left="426"/>
      </w:pPr>
      <w:r>
        <w:t>s</w:t>
      </w:r>
      <w:r w:rsidR="004B51EE" w:rsidRPr="008B1050">
        <w:t>trengthening the obligations and reporting requirements around WWCCs (</w:t>
      </w:r>
      <w:r w:rsidR="00096370">
        <w:t xml:space="preserve">related to </w:t>
      </w:r>
      <w:r w:rsidR="004B51EE" w:rsidRPr="008B1050">
        <w:t>CSR recommendations 9.1 and 9.2)</w:t>
      </w:r>
      <w:r w:rsidR="00841575">
        <w:t>,</w:t>
      </w:r>
    </w:p>
    <w:p w14:paraId="59E89EB4" w14:textId="788BDED6" w:rsidR="004B51EE" w:rsidRPr="008B1050" w:rsidRDefault="0029230A" w:rsidP="00EC53AB">
      <w:pPr>
        <w:pStyle w:val="ListParagraph"/>
        <w:numPr>
          <w:ilvl w:val="0"/>
          <w:numId w:val="21"/>
        </w:numPr>
        <w:ind w:left="426"/>
      </w:pPr>
      <w:r>
        <w:t>i</w:t>
      </w:r>
      <w:r w:rsidR="004B51EE" w:rsidRPr="008B1050">
        <w:t>mproving the safety of the physical service environment (</w:t>
      </w:r>
      <w:r w:rsidR="00096370">
        <w:t xml:space="preserve">related to </w:t>
      </w:r>
      <w:r w:rsidR="004B51EE" w:rsidRPr="008B1050">
        <w:t>CSR recommendations 2.1, 4, and 5)</w:t>
      </w:r>
      <w:r w:rsidR="00841575">
        <w:t>,</w:t>
      </w:r>
    </w:p>
    <w:p w14:paraId="375AA09D" w14:textId="36CB184B" w:rsidR="00DA7BA2" w:rsidRPr="008B1050" w:rsidRDefault="0029230A" w:rsidP="00EC53AB">
      <w:pPr>
        <w:pStyle w:val="ListParagraph"/>
        <w:numPr>
          <w:ilvl w:val="0"/>
          <w:numId w:val="21"/>
        </w:numPr>
        <w:ind w:left="426"/>
      </w:pPr>
      <w:r>
        <w:t>a</w:t>
      </w:r>
      <w:r w:rsidR="00DA7BA2" w:rsidRPr="008B1050">
        <w:t>dditional recommendations to improve child safety (</w:t>
      </w:r>
      <w:r w:rsidR="009867C4" w:rsidRPr="008B1050">
        <w:t xml:space="preserve">three additional recommendations, </w:t>
      </w:r>
      <w:r w:rsidR="00DA7BA2" w:rsidRPr="008B1050">
        <w:t>identified subsequent to CSR publication)</w:t>
      </w:r>
      <w:r w:rsidR="00884E63" w:rsidRPr="008B1050">
        <w:t>.</w:t>
      </w:r>
    </w:p>
    <w:p w14:paraId="30DDDB4F" w14:textId="2215C8FD" w:rsidR="00317409" w:rsidRPr="00F52210" w:rsidRDefault="00DA7BA2" w:rsidP="00DA7BA2">
      <w:pPr>
        <w:rPr>
          <w:b/>
        </w:rPr>
      </w:pPr>
      <w:r w:rsidRPr="00F52210">
        <w:rPr>
          <w:b/>
        </w:rPr>
        <w:t>The</w:t>
      </w:r>
      <w:r>
        <w:rPr>
          <w:b/>
        </w:rPr>
        <w:t xml:space="preserve">se </w:t>
      </w:r>
      <w:r w:rsidR="008A1F78">
        <w:rPr>
          <w:b/>
        </w:rPr>
        <w:t xml:space="preserve">proposed </w:t>
      </w:r>
      <w:r>
        <w:rPr>
          <w:b/>
        </w:rPr>
        <w:t>area</w:t>
      </w:r>
      <w:r w:rsidRPr="00F52210">
        <w:rPr>
          <w:b/>
        </w:rPr>
        <w:t>s</w:t>
      </w:r>
      <w:r w:rsidR="00EB5960">
        <w:rPr>
          <w:b/>
        </w:rPr>
        <w:t xml:space="preserve"> for reform</w:t>
      </w:r>
      <w:r>
        <w:rPr>
          <w:b/>
        </w:rPr>
        <w:t xml:space="preserve"> </w:t>
      </w:r>
      <w:r w:rsidRPr="00F52210">
        <w:rPr>
          <w:b/>
        </w:rPr>
        <w:t xml:space="preserve">are the focus of this </w:t>
      </w:r>
      <w:r w:rsidR="00EA75CF">
        <w:rPr>
          <w:b/>
        </w:rPr>
        <w:t>DRIS</w:t>
      </w:r>
      <w:r w:rsidRPr="00F52210">
        <w:rPr>
          <w:b/>
        </w:rPr>
        <w:t>.</w:t>
      </w:r>
      <w:r>
        <w:rPr>
          <w:b/>
        </w:rPr>
        <w:t xml:space="preserve"> </w:t>
      </w:r>
    </w:p>
    <w:p w14:paraId="340B5DBB" w14:textId="260135C2" w:rsidR="00317409" w:rsidRDefault="00DA7BA2" w:rsidP="00DA7BA2">
      <w:r w:rsidDel="00766C58">
        <w:t xml:space="preserve">A high-level overview of the </w:t>
      </w:r>
      <w:r w:rsidR="00EB5960" w:rsidDel="00766C58">
        <w:t>proposed areas for</w:t>
      </w:r>
      <w:r w:rsidDel="00766C58">
        <w:t xml:space="preserve"> reform is provided below. Links are included to the relevant </w:t>
      </w:r>
      <w:r w:rsidR="00C40DDA" w:rsidDel="00766C58">
        <w:t xml:space="preserve">chapter </w:t>
      </w:r>
      <w:r w:rsidDel="00766C58">
        <w:t>of this document where each reform area is explored in further detail.</w:t>
      </w:r>
      <w:r w:rsidR="00456C54" w:rsidDel="00766C58">
        <w:t xml:space="preserve"> </w:t>
      </w:r>
      <w:r w:rsidR="00265C8F">
        <w:rPr>
          <w:bCs/>
        </w:rPr>
        <w:t xml:space="preserve">Significant regulatory and policy analysis, informed by expert advice, has occurred since the release of the CSR report to inform the areas of reform and options for consideration in this </w:t>
      </w:r>
      <w:r w:rsidR="00EF1E51">
        <w:rPr>
          <w:bCs/>
        </w:rPr>
        <w:t>D</w:t>
      </w:r>
      <w:r w:rsidR="00265C8F">
        <w:rPr>
          <w:bCs/>
        </w:rPr>
        <w:t xml:space="preserve">RIS. </w:t>
      </w:r>
      <w:r w:rsidR="0044270F">
        <w:t xml:space="preserve">The rationale for </w:t>
      </w:r>
      <w:r w:rsidR="00D749A4">
        <w:t>any changes to the implementation approach for CSR recommendations is provided in Appendix 1</w:t>
      </w:r>
      <w:r w:rsidR="0045601F">
        <w:t>2</w:t>
      </w:r>
      <w:r w:rsidR="00D749A4">
        <w:t>.</w:t>
      </w:r>
      <w:r w:rsidR="0045601F">
        <w:t>2</w:t>
      </w:r>
      <w:r w:rsidR="00D749A4">
        <w:t>.</w:t>
      </w:r>
    </w:p>
    <w:p w14:paraId="0C7579EF" w14:textId="1417FF50" w:rsidR="00400BC1" w:rsidRDefault="00400BC1" w:rsidP="00400BC1">
      <w:pPr>
        <w:pStyle w:val="Heading4"/>
      </w:pPr>
      <w:r>
        <w:t>Manag</w:t>
      </w:r>
      <w:r w:rsidR="00077514">
        <w:t xml:space="preserve">ement of digital </w:t>
      </w:r>
      <w:r w:rsidRPr="00EA12C4">
        <w:t xml:space="preserve">devices </w:t>
      </w:r>
    </w:p>
    <w:p w14:paraId="77AEB88F" w14:textId="36534B07" w:rsidR="00981B0E" w:rsidRDefault="00981B0E" w:rsidP="00981B0E">
      <w:r>
        <w:t xml:space="preserve">The use of digital images and videos can be helpful in documenting </w:t>
      </w:r>
      <w:r w:rsidRPr="009C2F40">
        <w:t>children’s learning and participation in an educational program</w:t>
      </w:r>
      <w:r>
        <w:t xml:space="preserve">. However, improper capture, retention, storage, sharing and destruction of images and videos can result in an increased risk of harm to children. Lack of appropriate controls and procedures can enable an environment where individuals may use devices inappropriately and/or for illicit purposes. Even if images are </w:t>
      </w:r>
      <w:r>
        <w:lastRenderedPageBreak/>
        <w:t>appropriate, they may be accessed and used in an inappropriate way by other individuals if storage practices are unsecure.</w:t>
      </w:r>
    </w:p>
    <w:p w14:paraId="7C4289B7" w14:textId="6B9F802A" w:rsidR="00400BC1" w:rsidRDefault="00400BC1" w:rsidP="00400BC1">
      <w:r>
        <w:t xml:space="preserve">There is an opportunity to increase protections around the use of </w:t>
      </w:r>
      <w:r w:rsidR="00013FE1">
        <w:t>digital</w:t>
      </w:r>
      <w:r w:rsidR="00615B36">
        <w:t xml:space="preserve"> </w:t>
      </w:r>
      <w:r>
        <w:t xml:space="preserve">devices among those working with children, with a particular focus on the use of personal </w:t>
      </w:r>
      <w:r w:rsidR="00013FE1">
        <w:t>digital</w:t>
      </w:r>
      <w:r w:rsidR="00615B36">
        <w:t xml:space="preserve"> </w:t>
      </w:r>
      <w:r>
        <w:t xml:space="preserve">devices. </w:t>
      </w:r>
    </w:p>
    <w:p w14:paraId="539604BB" w14:textId="609154FD" w:rsidR="003504DD" w:rsidRDefault="00361F82" w:rsidP="0014136D">
      <w:r>
        <w:t xml:space="preserve">The impact of this </w:t>
      </w:r>
      <w:r w:rsidR="00821AEC">
        <w:t xml:space="preserve">proposed area for reform </w:t>
      </w:r>
      <w:r>
        <w:t>is explored in</w:t>
      </w:r>
      <w:r w:rsidR="0098228B">
        <w:t xml:space="preserve"> </w:t>
      </w:r>
      <w:hyperlink w:anchor="_4._Management_of" w:history="1">
        <w:r w:rsidR="00B35916">
          <w:rPr>
            <w:rStyle w:val="Hyperlink"/>
          </w:rPr>
          <w:t xml:space="preserve">Chapter </w:t>
        </w:r>
        <w:r w:rsidR="00E67F1B">
          <w:rPr>
            <w:rStyle w:val="Hyperlink"/>
          </w:rPr>
          <w:t>5</w:t>
        </w:r>
      </w:hyperlink>
      <w:r w:rsidR="006F6393">
        <w:t>.</w:t>
      </w:r>
    </w:p>
    <w:p w14:paraId="22DD5223" w14:textId="77777777" w:rsidR="00CC3CC2" w:rsidRDefault="00CC3CC2" w:rsidP="00CC3CC2">
      <w:pPr>
        <w:pStyle w:val="Heading4"/>
      </w:pPr>
      <w:r>
        <w:t>Child safety training</w:t>
      </w:r>
    </w:p>
    <w:p w14:paraId="60038274" w14:textId="77DC0BD2" w:rsidR="00BE2290" w:rsidRDefault="00BE2290" w:rsidP="00BE2290">
      <w:r>
        <w:t xml:space="preserve">Current requirements for child safety training and knowledge under the NQF relates specifically to child protection and the individuals required to undertake such training is limited. While constituting an element of child safety, child protection entails a narrow scope of topics such as mandatory reporting and serves a distinct purpose of identification and response. </w:t>
      </w:r>
      <w:r w:rsidR="009D10D6">
        <w:t xml:space="preserve">Child safety training extends beyond child protection training by including topics such as </w:t>
      </w:r>
      <w:r w:rsidR="00160461">
        <w:t xml:space="preserve">creating </w:t>
      </w:r>
      <w:r w:rsidR="009D10D6">
        <w:t xml:space="preserve">an organisational child safe culture, policies and procedures, and expectations for staff conduct (online and offline) (including trauma informed practice). </w:t>
      </w:r>
      <w:r>
        <w:t>Due to this distinction, a clear knowledge and training gap exists in the education and care sector, raising a potential risk to children where sector understanding and capability are inadequate and outdated.</w:t>
      </w:r>
    </w:p>
    <w:p w14:paraId="01B07576" w14:textId="04FC4978" w:rsidR="00BE2290" w:rsidRDefault="00BE2290" w:rsidP="00BE2290">
      <w:r>
        <w:t>There is an opportunity to</w:t>
      </w:r>
      <w:r w:rsidR="00812C08">
        <w:t xml:space="preserve"> strengthen child protection provisions and simultaneously </w:t>
      </w:r>
      <w:r>
        <w:t xml:space="preserve">introduce nationally consistent and potentially mandatory child safety training to ensure those individuals involved in the provision of education and care are equipped with the knowledge and expertise to uphold and enact principles of child safety in everyday practice and service culture, ensuring children are safeguarded and any cases of abuse are responded to effectively. </w:t>
      </w:r>
    </w:p>
    <w:p w14:paraId="588FE249" w14:textId="4EDC4039" w:rsidR="00CC3CC2" w:rsidRDefault="00CC3CC2" w:rsidP="0014136D">
      <w:r>
        <w:t>The impact of this proposed area for reform is explored in</w:t>
      </w:r>
      <w:r w:rsidR="00C81AB3">
        <w:t xml:space="preserve"> </w:t>
      </w:r>
      <w:hyperlink w:anchor="_5._Child_safety" w:history="1">
        <w:r w:rsidR="00B35916">
          <w:rPr>
            <w:rStyle w:val="Hyperlink"/>
          </w:rPr>
          <w:t xml:space="preserve">Chapter </w:t>
        </w:r>
        <w:r w:rsidR="00E67F1B">
          <w:rPr>
            <w:rStyle w:val="Hyperlink"/>
          </w:rPr>
          <w:t>6</w:t>
        </w:r>
      </w:hyperlink>
      <w:r>
        <w:t>.</w:t>
      </w:r>
    </w:p>
    <w:p w14:paraId="5EE39E6C" w14:textId="09570C9C" w:rsidR="009360C9" w:rsidRPr="00904002" w:rsidRDefault="00A43A65" w:rsidP="009360C9">
      <w:pPr>
        <w:pStyle w:val="Heading4"/>
      </w:pPr>
      <w:r>
        <w:t>R</w:t>
      </w:r>
      <w:r w:rsidR="009360C9">
        <w:t xml:space="preserve">esponding to </w:t>
      </w:r>
      <w:r w:rsidR="00EA7B0E">
        <w:t>educator</w:t>
      </w:r>
      <w:r w:rsidR="009360C9">
        <w:t xml:space="preserve"> </w:t>
      </w:r>
      <w:r w:rsidR="006070CD">
        <w:t xml:space="preserve">and staff member </w:t>
      </w:r>
      <w:r w:rsidR="009360C9">
        <w:t>conduct</w:t>
      </w:r>
    </w:p>
    <w:p w14:paraId="426B91D0" w14:textId="13ECE655" w:rsidR="00F323B1" w:rsidRDefault="009B3870" w:rsidP="009B3870">
      <w:r>
        <w:t xml:space="preserve">There is only one </w:t>
      </w:r>
      <w:r w:rsidR="006220DE">
        <w:t xml:space="preserve">child-related </w:t>
      </w:r>
      <w:r>
        <w:t xml:space="preserve">offence for which educators </w:t>
      </w:r>
      <w:r w:rsidR="00B80244">
        <w:t xml:space="preserve">can be held </w:t>
      </w:r>
      <w:r>
        <w:t>liable under the National Law, which is the use of inappropriate discipline.</w:t>
      </w:r>
      <w:r>
        <w:rPr>
          <w:rStyle w:val="FootnoteReference"/>
        </w:rPr>
        <w:footnoteReference w:id="25"/>
      </w:r>
      <w:r>
        <w:t xml:space="preserve"> This offence directly correlates to the immediate </w:t>
      </w:r>
      <w:r w:rsidR="00FE791A">
        <w:t xml:space="preserve">safety, </w:t>
      </w:r>
      <w:r>
        <w:t xml:space="preserve">health, and wellbeing of the children being educated and cared for within a service. </w:t>
      </w:r>
      <w:r w:rsidR="008D5E4B">
        <w:t>T</w:t>
      </w:r>
      <w:r>
        <w:t xml:space="preserve">here are instances where an educator has </w:t>
      </w:r>
      <w:r w:rsidR="008D5E4B">
        <w:t xml:space="preserve">engaged in another form of </w:t>
      </w:r>
      <w:r>
        <w:t xml:space="preserve">inappropriate conduct, </w:t>
      </w:r>
      <w:r w:rsidR="008D5E4B">
        <w:t>which</w:t>
      </w:r>
      <w:r>
        <w:t xml:space="preserve"> does not constitute a contravention of the National Law. </w:t>
      </w:r>
    </w:p>
    <w:p w14:paraId="35B72CE7" w14:textId="62319D22" w:rsidR="009B3870" w:rsidRDefault="009B3870" w:rsidP="009B3870">
      <w:r>
        <w:lastRenderedPageBreak/>
        <w:t xml:space="preserve">In some cases, </w:t>
      </w:r>
      <w:r w:rsidR="00F323B1">
        <w:t xml:space="preserve">the </w:t>
      </w:r>
      <w:r>
        <w:t xml:space="preserve">threshold for prohibition </w:t>
      </w:r>
      <w:r w:rsidR="00F323B1">
        <w:t>is</w:t>
      </w:r>
      <w:r>
        <w:t xml:space="preserve"> met by such inappropriate conduct, which enables Regulatory Authorit</w:t>
      </w:r>
      <w:r w:rsidR="00626B07">
        <w:t>ies</w:t>
      </w:r>
      <w:r>
        <w:t xml:space="preserve"> to </w:t>
      </w:r>
      <w:r w:rsidR="00F323B1">
        <w:t xml:space="preserve">prohibit </w:t>
      </w:r>
      <w:r>
        <w:t xml:space="preserve">an individual </w:t>
      </w:r>
      <w:r w:rsidR="00F323B1">
        <w:t xml:space="preserve">from being involved </w:t>
      </w:r>
      <w:r>
        <w:t xml:space="preserve">in the education and care sector. It </w:t>
      </w:r>
      <w:r w:rsidR="005E36B7">
        <w:t xml:space="preserve">generally </w:t>
      </w:r>
      <w:r>
        <w:t xml:space="preserve">results in a cancellation of an individual’s </w:t>
      </w:r>
      <w:r w:rsidR="005E36B7">
        <w:t>WWCC registration</w:t>
      </w:r>
      <w:r>
        <w:t>.</w:t>
      </w:r>
      <w:r w:rsidR="0062485D">
        <w:rPr>
          <w:rStyle w:val="FootnoteReference"/>
        </w:rPr>
        <w:footnoteReference w:id="26"/>
      </w:r>
      <w:r>
        <w:t xml:space="preserve"> </w:t>
      </w:r>
      <w:r w:rsidR="00E8095E">
        <w:t>However, in circumstances</w:t>
      </w:r>
      <w:r>
        <w:t xml:space="preserve"> where the threshold for prohibition has not been met, Regulatory Authorit</w:t>
      </w:r>
      <w:r w:rsidR="00626B07">
        <w:t>ies have</w:t>
      </w:r>
      <w:r>
        <w:t xml:space="preserve"> limited tools available to address </w:t>
      </w:r>
      <w:r w:rsidR="004D5909">
        <w:t xml:space="preserve">inappropriate </w:t>
      </w:r>
      <w:r>
        <w:t>conduct. This enables an environment where conduct may often be left untreated and the likelihood of similar behaviour re-occurring is a genuine risk.</w:t>
      </w:r>
    </w:p>
    <w:p w14:paraId="77527B2A" w14:textId="01CCD743" w:rsidR="004D5909" w:rsidRDefault="004D5909" w:rsidP="009B3870">
      <w:r>
        <w:t>This limitation also applies where an individual has engaged in low level inappropriate discipline but the threshold to prohibit has not been reached.</w:t>
      </w:r>
    </w:p>
    <w:p w14:paraId="331DF444" w14:textId="26679B3C" w:rsidR="009360C9" w:rsidRDefault="009360C9" w:rsidP="009360C9">
      <w:r>
        <w:t xml:space="preserve">There is an opportunity to more efficiently identify and respond more appropriately and proactively to risk </w:t>
      </w:r>
      <w:r w:rsidR="005B6A01">
        <w:t>posed by</w:t>
      </w:r>
      <w:r>
        <w:t xml:space="preserve"> educators who have or may have engaged in conduct </w:t>
      </w:r>
      <w:r w:rsidR="00A86851">
        <w:t xml:space="preserve">harmful to children </w:t>
      </w:r>
      <w:r>
        <w:t>by:</w:t>
      </w:r>
    </w:p>
    <w:p w14:paraId="1F3091EC" w14:textId="37D0D2BD" w:rsidR="009360C9" w:rsidRDefault="009360C9" w:rsidP="00EC53AB">
      <w:pPr>
        <w:pStyle w:val="ListParagraph"/>
        <w:numPr>
          <w:ilvl w:val="0"/>
          <w:numId w:val="53"/>
        </w:numPr>
        <w:ind w:left="426"/>
      </w:pPr>
      <w:r>
        <w:t>expanding information sharing powers of Regulatory Authorities</w:t>
      </w:r>
      <w:r w:rsidR="00841575">
        <w:t>,</w:t>
      </w:r>
      <w:r>
        <w:t xml:space="preserve"> </w:t>
      </w:r>
    </w:p>
    <w:p w14:paraId="255ACD93" w14:textId="323849EE" w:rsidR="009360C9" w:rsidRDefault="009360C9" w:rsidP="00EC53AB">
      <w:pPr>
        <w:pStyle w:val="ListParagraph"/>
        <w:numPr>
          <w:ilvl w:val="0"/>
          <w:numId w:val="53"/>
        </w:numPr>
        <w:ind w:left="426"/>
      </w:pPr>
      <w:r>
        <w:t>expanding offence provisions to cover a broader range of inappropriate conduct</w:t>
      </w:r>
      <w:r w:rsidR="00841575">
        <w:t>,</w:t>
      </w:r>
      <w:r>
        <w:t xml:space="preserve"> and</w:t>
      </w:r>
    </w:p>
    <w:p w14:paraId="278D34C7" w14:textId="77777777" w:rsidR="009360C9" w:rsidRDefault="009360C9" w:rsidP="00EC53AB">
      <w:pPr>
        <w:pStyle w:val="ListParagraph"/>
        <w:numPr>
          <w:ilvl w:val="0"/>
          <w:numId w:val="53"/>
        </w:numPr>
        <w:ind w:left="426"/>
      </w:pPr>
      <w:r>
        <w:t>expanding enforcement options.</w:t>
      </w:r>
    </w:p>
    <w:p w14:paraId="11A7B4DD" w14:textId="65DBF5CC" w:rsidR="00FF32B7" w:rsidRDefault="009360C9" w:rsidP="009360C9">
      <w:r>
        <w:t xml:space="preserve">The impact of these proposed areas for reform </w:t>
      </w:r>
      <w:r w:rsidDel="00B22B9A">
        <w:t xml:space="preserve">is </w:t>
      </w:r>
      <w:r>
        <w:t>explored in</w:t>
      </w:r>
      <w:r w:rsidR="00512B4A">
        <w:t xml:space="preserve"> </w:t>
      </w:r>
      <w:hyperlink w:anchor="_6._Responding_to" w:history="1">
        <w:r w:rsidR="00B35916">
          <w:rPr>
            <w:rStyle w:val="Hyperlink"/>
          </w:rPr>
          <w:t xml:space="preserve">Chapter </w:t>
        </w:r>
        <w:r w:rsidR="00E67F1B">
          <w:rPr>
            <w:rStyle w:val="Hyperlink"/>
          </w:rPr>
          <w:t>7</w:t>
        </w:r>
      </w:hyperlink>
      <w:r>
        <w:t>.</w:t>
      </w:r>
    </w:p>
    <w:p w14:paraId="130BC61A" w14:textId="77777777" w:rsidR="00CC3CC2" w:rsidRDefault="00CC3CC2" w:rsidP="00CC3CC2">
      <w:pPr>
        <w:pStyle w:val="Heading4"/>
      </w:pPr>
      <w:bookmarkStart w:id="38" w:name="_Hlk193980780"/>
      <w:r>
        <w:t>Strengthening</w:t>
      </w:r>
      <w:r w:rsidRPr="00904002">
        <w:t xml:space="preserve"> the obligations and reporting requirements around WWCCs</w:t>
      </w:r>
    </w:p>
    <w:p w14:paraId="25B893B3" w14:textId="5FEECD69" w:rsidR="001F3817" w:rsidRDefault="001F3817" w:rsidP="001F3817">
      <w:r>
        <w:t>WWCCs</w:t>
      </w:r>
      <w:r>
        <w:rPr>
          <w:rStyle w:val="FootnoteReference"/>
        </w:rPr>
        <w:footnoteReference w:id="27"/>
      </w:r>
      <w:r>
        <w:t xml:space="preserve"> are an important part of ensuring that only suitable persons are able to work with children in Australia. As it stands, there are inconsistencies across jurisdictions in allowing persons to commence work with children when they have applied, but are not yet approved for</w:t>
      </w:r>
      <w:r w:rsidR="00AC5C72">
        <w:t xml:space="preserve"> </w:t>
      </w:r>
      <w:r>
        <w:t>a WWCC. Similarly, a change in status of a person’s WWCC or teacher registration/accreditation is not necessarily communicated to those responsible for ensuring staff remain suitable to work in education and care services, depending on the ability to screen and monitor by jurisdiction. These issues may result in children being exposed to persons who are not suitable to work or volunteer in education and care services.</w:t>
      </w:r>
    </w:p>
    <w:p w14:paraId="75C6F1DF" w14:textId="78270197" w:rsidR="008D4E8A" w:rsidRDefault="001F3817" w:rsidP="001F3817">
      <w:r>
        <w:t>There is an opportunity to reduce the risk of children’s exposure to unsuitable individuals by introducing nationally consistent and stringent requirements on</w:t>
      </w:r>
      <w:r w:rsidR="008D4E8A">
        <w:t>:</w:t>
      </w:r>
    </w:p>
    <w:p w14:paraId="5D6B5382" w14:textId="528A6D97" w:rsidR="008E5E36" w:rsidRDefault="001F3817" w:rsidP="00EC53AB">
      <w:pPr>
        <w:pStyle w:val="ListParagraph"/>
        <w:numPr>
          <w:ilvl w:val="0"/>
          <w:numId w:val="52"/>
        </w:numPr>
        <w:ind w:left="426" w:hanging="426"/>
      </w:pPr>
      <w:r>
        <w:t>the need for a</w:t>
      </w:r>
      <w:r w:rsidR="00EC0289">
        <w:t>n approved</w:t>
      </w:r>
      <w:r>
        <w:t xml:space="preserve"> WWCC</w:t>
      </w:r>
      <w:r w:rsidR="008D4E8A">
        <w:t xml:space="preserve"> prior to commencing a role</w:t>
      </w:r>
      <w:r w:rsidR="00841575">
        <w:t>,</w:t>
      </w:r>
      <w:r w:rsidR="008D4E8A">
        <w:t xml:space="preserve"> </w:t>
      </w:r>
    </w:p>
    <w:p w14:paraId="3506FFDD" w14:textId="1A078686" w:rsidR="001F3817" w:rsidRDefault="008E5E36" w:rsidP="00EC53AB">
      <w:pPr>
        <w:pStyle w:val="ListParagraph"/>
        <w:numPr>
          <w:ilvl w:val="0"/>
          <w:numId w:val="52"/>
        </w:numPr>
        <w:ind w:left="426" w:hanging="426"/>
      </w:pPr>
      <w:r>
        <w:lastRenderedPageBreak/>
        <w:t>r</w:t>
      </w:r>
      <w:r w:rsidR="001F3817">
        <w:t xml:space="preserve">eporting requirements when the status of a WWCC or teacher registration/accreditation changes. </w:t>
      </w:r>
    </w:p>
    <w:p w14:paraId="6021C025" w14:textId="14DAB30A" w:rsidR="00CC3CC2" w:rsidRDefault="00CC3CC2" w:rsidP="00CC3CC2">
      <w:r>
        <w:t xml:space="preserve">The impact of these proposed areas for reform </w:t>
      </w:r>
      <w:r w:rsidDel="00B22B9A">
        <w:t>is</w:t>
      </w:r>
      <w:r>
        <w:t xml:space="preserve"> explored in </w:t>
      </w:r>
      <w:hyperlink w:anchor="_7._Working_with" w:history="1">
        <w:r w:rsidR="00B35916">
          <w:rPr>
            <w:rStyle w:val="Hyperlink"/>
          </w:rPr>
          <w:t xml:space="preserve">Chapter </w:t>
        </w:r>
        <w:r w:rsidR="00E67F1B">
          <w:rPr>
            <w:rStyle w:val="Hyperlink"/>
          </w:rPr>
          <w:t>8</w:t>
        </w:r>
      </w:hyperlink>
      <w:r>
        <w:t>.</w:t>
      </w:r>
    </w:p>
    <w:p w14:paraId="158D66BA" w14:textId="77777777" w:rsidR="00657D00" w:rsidRDefault="00657D00" w:rsidP="00657D00">
      <w:pPr>
        <w:pStyle w:val="Heading4"/>
      </w:pPr>
      <w:r w:rsidRPr="00904002">
        <w:t xml:space="preserve">Improving safety of the physical </w:t>
      </w:r>
      <w:r>
        <w:t xml:space="preserve">service </w:t>
      </w:r>
      <w:r w:rsidRPr="00904002">
        <w:t>environment</w:t>
      </w:r>
    </w:p>
    <w:p w14:paraId="6CAAA624" w14:textId="77777777" w:rsidR="00657D00" w:rsidRDefault="00657D00" w:rsidP="00657D00">
      <w:r>
        <w:t>The design and safety of the physical service environment in which children receive education and care has significant bearing on the potential for risks to child safety. The physical environment can impact the ability of educators to adequately supervise children and can also pose risks if there are hazards in or nearby a service premises. There are opportunities to reduce the risks associated with the physical environment in services by:</w:t>
      </w:r>
    </w:p>
    <w:p w14:paraId="69B4923C" w14:textId="39D233CA" w:rsidR="00657D00" w:rsidRDefault="00657D00" w:rsidP="00EC53AB">
      <w:pPr>
        <w:pStyle w:val="ListParagraph"/>
        <w:numPr>
          <w:ilvl w:val="0"/>
          <w:numId w:val="22"/>
        </w:numPr>
        <w:ind w:left="426"/>
      </w:pPr>
      <w:r>
        <w:t>designing premises to better facilitate supervision</w:t>
      </w:r>
      <w:r w:rsidR="00841575">
        <w:t>,</w:t>
      </w:r>
    </w:p>
    <w:p w14:paraId="4F5AFC03" w14:textId="161FAC8E" w:rsidR="00657D00" w:rsidRDefault="00657D00" w:rsidP="00EC53AB">
      <w:pPr>
        <w:pStyle w:val="ListParagraph"/>
        <w:numPr>
          <w:ilvl w:val="0"/>
          <w:numId w:val="22"/>
        </w:numPr>
        <w:ind w:left="426"/>
      </w:pPr>
      <w:r>
        <w:t>broadening the scope of approved provider assessments of FDC residences</w:t>
      </w:r>
      <w:r w:rsidR="00841575">
        <w:t>,</w:t>
      </w:r>
    </w:p>
    <w:p w14:paraId="7082CE5D" w14:textId="78273443" w:rsidR="00657D00" w:rsidRDefault="00657D00" w:rsidP="00EC53AB">
      <w:pPr>
        <w:pStyle w:val="ListParagraph"/>
        <w:numPr>
          <w:ilvl w:val="0"/>
          <w:numId w:val="22"/>
        </w:numPr>
        <w:ind w:left="426"/>
      </w:pPr>
      <w:r>
        <w:t>enabling authorised officers to enter areas beyond the FDC service premises</w:t>
      </w:r>
      <w:r w:rsidR="00841575">
        <w:t>.</w:t>
      </w:r>
    </w:p>
    <w:p w14:paraId="6533A65E" w14:textId="4ED1C931" w:rsidR="00657D00" w:rsidRDefault="00657D00" w:rsidP="00657D00">
      <w:r>
        <w:t xml:space="preserve">Each of these </w:t>
      </w:r>
      <w:r w:rsidR="00E80985">
        <w:t xml:space="preserve">proposed </w:t>
      </w:r>
      <w:r>
        <w:t xml:space="preserve">reforms has the potential to reduce the risk of harm to children. </w:t>
      </w:r>
    </w:p>
    <w:p w14:paraId="30E31EE5" w14:textId="6D1F1C0D" w:rsidR="00657D00" w:rsidRDefault="00657D00" w:rsidP="00657D00">
      <w:r>
        <w:t xml:space="preserve">The impact of these proposed areas for reform </w:t>
      </w:r>
      <w:r w:rsidDel="00B22B9A">
        <w:t>is</w:t>
      </w:r>
      <w:r>
        <w:t xml:space="preserve"> explored in </w:t>
      </w:r>
      <w:hyperlink w:anchor="_8._Improving_the" w:history="1">
        <w:r w:rsidR="00B35916">
          <w:rPr>
            <w:rStyle w:val="Hyperlink"/>
          </w:rPr>
          <w:t xml:space="preserve">Chapter </w:t>
        </w:r>
        <w:r w:rsidR="00E67F1B">
          <w:rPr>
            <w:rStyle w:val="Hyperlink"/>
          </w:rPr>
          <w:t>9</w:t>
        </w:r>
      </w:hyperlink>
      <w:r>
        <w:t xml:space="preserve">. </w:t>
      </w:r>
    </w:p>
    <w:p w14:paraId="29F601D4" w14:textId="3700B316" w:rsidR="00D8303C" w:rsidRPr="0014136D" w:rsidRDefault="00D8303C" w:rsidP="00D8303C">
      <w:pPr>
        <w:pStyle w:val="Heading4"/>
      </w:pPr>
      <w:r>
        <w:t>Additiona</w:t>
      </w:r>
      <w:bookmarkEnd w:id="38"/>
      <w:r>
        <w:t xml:space="preserve">l recommendations to strengthen the NQF </w:t>
      </w:r>
      <w:bookmarkStart w:id="39" w:name="_Hlk193980792"/>
      <w:r>
        <w:t>and improve child safety</w:t>
      </w:r>
      <w:bookmarkEnd w:id="39"/>
    </w:p>
    <w:p w14:paraId="5DB0E287" w14:textId="79E221F2" w:rsidR="00D8303C" w:rsidRDefault="00F84E8D" w:rsidP="00D8303C">
      <w:r>
        <w:t xml:space="preserve">It is important for services to be </w:t>
      </w:r>
      <w:r w:rsidR="00CF0856">
        <w:t xml:space="preserve">vigilant in identifying and responding to signs of child maltreatment. </w:t>
      </w:r>
      <w:r w:rsidR="00495B3E">
        <w:t xml:space="preserve">With this context in mind, </w:t>
      </w:r>
      <w:r w:rsidR="001325B5">
        <w:t>a number of additional</w:t>
      </w:r>
      <w:r w:rsidR="00D8303C">
        <w:t xml:space="preserve"> areas to strengthen child safety arrangements under the NQF were identified subsequent to the publication of the CSR and as a result of </w:t>
      </w:r>
      <w:r w:rsidR="00B24A40">
        <w:t xml:space="preserve">a </w:t>
      </w:r>
      <w:r w:rsidR="00D8303C">
        <w:t xml:space="preserve">review </w:t>
      </w:r>
      <w:r w:rsidR="00B24A40">
        <w:t xml:space="preserve">of </w:t>
      </w:r>
      <w:r w:rsidR="00D8303C">
        <w:t xml:space="preserve">cases of child </w:t>
      </w:r>
      <w:r w:rsidR="00B9386C">
        <w:t xml:space="preserve">maltreatment </w:t>
      </w:r>
      <w:r w:rsidR="00D8303C">
        <w:t>in the education and care sector</w:t>
      </w:r>
      <w:r w:rsidR="00B9386C">
        <w:t xml:space="preserve"> and ongoing analysis</w:t>
      </w:r>
      <w:r w:rsidR="00D8303C">
        <w:t xml:space="preserve">. </w:t>
      </w:r>
    </w:p>
    <w:p w14:paraId="0ABB2CB7" w14:textId="77777777" w:rsidR="00323592" w:rsidRDefault="00323592" w:rsidP="00323592">
      <w:r>
        <w:t>Areas identified for proposed reform include:</w:t>
      </w:r>
    </w:p>
    <w:p w14:paraId="7214ECC5" w14:textId="33E66CB6" w:rsidR="00323592" w:rsidRDefault="00323592" w:rsidP="00EC53AB">
      <w:pPr>
        <w:pStyle w:val="ListParagraph"/>
        <w:numPr>
          <w:ilvl w:val="0"/>
          <w:numId w:val="54"/>
        </w:numPr>
        <w:ind w:left="426"/>
      </w:pPr>
      <w:r>
        <w:t>allowing for the efficient identification</w:t>
      </w:r>
      <w:r w:rsidR="00A43020">
        <w:t xml:space="preserve">, monitoring, and regulation </w:t>
      </w:r>
      <w:r>
        <w:t xml:space="preserve">of </w:t>
      </w:r>
      <w:r w:rsidR="00A43020">
        <w:t>‘</w:t>
      </w:r>
      <w:r>
        <w:t>related providers</w:t>
      </w:r>
      <w:r w:rsidR="00A43020">
        <w:t>’</w:t>
      </w:r>
      <w:r w:rsidR="00841575">
        <w:t>,</w:t>
      </w:r>
      <w:r>
        <w:t xml:space="preserve"> </w:t>
      </w:r>
    </w:p>
    <w:p w14:paraId="2347ABDE" w14:textId="4CC9823A" w:rsidR="00323592" w:rsidRDefault="00323592" w:rsidP="00EC53AB">
      <w:pPr>
        <w:pStyle w:val="ListParagraph"/>
        <w:numPr>
          <w:ilvl w:val="0"/>
          <w:numId w:val="54"/>
        </w:numPr>
        <w:ind w:left="426"/>
      </w:pPr>
      <w:r>
        <w:t>extending the limitation period for prosecuting National Law offences</w:t>
      </w:r>
      <w:r w:rsidR="00841575">
        <w:t>,</w:t>
      </w:r>
    </w:p>
    <w:p w14:paraId="3D63261C" w14:textId="13C2D2C7" w:rsidR="00323592" w:rsidRDefault="0077787F" w:rsidP="00EC53AB">
      <w:pPr>
        <w:pStyle w:val="ListParagraph"/>
        <w:numPr>
          <w:ilvl w:val="0"/>
          <w:numId w:val="54"/>
        </w:numPr>
        <w:ind w:left="426"/>
      </w:pPr>
      <w:r>
        <w:t xml:space="preserve">introducing </w:t>
      </w:r>
      <w:r w:rsidR="00512B4A">
        <w:t xml:space="preserve">information </w:t>
      </w:r>
      <w:r>
        <w:t>s</w:t>
      </w:r>
      <w:r w:rsidR="00323592">
        <w:t xml:space="preserve">haring </w:t>
      </w:r>
      <w:r w:rsidR="00512B4A">
        <w:t xml:space="preserve">and evidence gathering </w:t>
      </w:r>
      <w:r>
        <w:t>provisions</w:t>
      </w:r>
      <w:r w:rsidR="00323592">
        <w:t xml:space="preserve"> with</w:t>
      </w:r>
      <w:r w:rsidR="00323592" w:rsidRPr="00166EE4">
        <w:t xml:space="preserve"> </w:t>
      </w:r>
      <w:r w:rsidR="00323592">
        <w:t xml:space="preserve">educator recruitment agencies. </w:t>
      </w:r>
    </w:p>
    <w:p w14:paraId="385A84D1" w14:textId="54C281B7" w:rsidR="00931209" w:rsidRDefault="00F638B1" w:rsidP="00931209">
      <w:r>
        <w:t xml:space="preserve">The impact of these </w:t>
      </w:r>
      <w:r w:rsidR="00821AEC">
        <w:t xml:space="preserve">proposed areas for reform </w:t>
      </w:r>
      <w:r w:rsidDel="007533DF">
        <w:t xml:space="preserve">is </w:t>
      </w:r>
      <w:r>
        <w:t xml:space="preserve">explored in </w:t>
      </w:r>
      <w:hyperlink w:anchor="_9._Additional_recommendations" w:history="1">
        <w:r w:rsidR="00B35916">
          <w:rPr>
            <w:rStyle w:val="Hyperlink"/>
          </w:rPr>
          <w:t xml:space="preserve">Chapter </w:t>
        </w:r>
        <w:r w:rsidR="00E67F1B">
          <w:rPr>
            <w:rStyle w:val="Hyperlink"/>
          </w:rPr>
          <w:t>10</w:t>
        </w:r>
      </w:hyperlink>
      <w:r>
        <w:t>.</w:t>
      </w:r>
    </w:p>
    <w:p w14:paraId="6E8F8566" w14:textId="01A70893" w:rsidR="00701C45" w:rsidRDefault="00701C45">
      <w:pPr>
        <w:spacing w:after="160" w:line="259" w:lineRule="auto"/>
      </w:pPr>
      <w:r>
        <w:br w:type="page"/>
      </w:r>
    </w:p>
    <w:p w14:paraId="421ABD4F" w14:textId="6F40C886" w:rsidR="004B79EB" w:rsidRDefault="004B79EB" w:rsidP="005363FD">
      <w:pPr>
        <w:pStyle w:val="Heading1"/>
      </w:pPr>
      <w:bookmarkStart w:id="40" w:name="_Toc205884877"/>
      <w:r>
        <w:lastRenderedPageBreak/>
        <w:t xml:space="preserve">2. The </w:t>
      </w:r>
      <w:r w:rsidR="00394364">
        <w:t>c</w:t>
      </w:r>
      <w:r>
        <w:t xml:space="preserve">ase for </w:t>
      </w:r>
      <w:r w:rsidR="00394364">
        <w:t>g</w:t>
      </w:r>
      <w:r>
        <w:t xml:space="preserve">overnment </w:t>
      </w:r>
      <w:r w:rsidR="00394364">
        <w:t>i</w:t>
      </w:r>
      <w:r>
        <w:t>ntervention</w:t>
      </w:r>
      <w:bookmarkEnd w:id="40"/>
    </w:p>
    <w:p w14:paraId="5236479D" w14:textId="239A1F45" w:rsidR="008C7C57" w:rsidRDefault="008C7C57" w:rsidP="008C7C57">
      <w:pPr>
        <w:rPr>
          <w:strike/>
        </w:rPr>
      </w:pPr>
      <w:r w:rsidRPr="004D3B51">
        <w:t xml:space="preserve">Government action signals </w:t>
      </w:r>
      <w:r w:rsidR="005000F2">
        <w:t xml:space="preserve">to </w:t>
      </w:r>
      <w:r w:rsidRPr="004D3B51">
        <w:t xml:space="preserve">the education and care sector, families and community that there is no greater priority than the safety of children in education and care services. Government intervention </w:t>
      </w:r>
      <w:r>
        <w:t xml:space="preserve">is required to </w:t>
      </w:r>
      <w:r w:rsidRPr="00347C35">
        <w:t xml:space="preserve">ensure child safety and improve quality in the education </w:t>
      </w:r>
      <w:r w:rsidR="00EC0289">
        <w:t xml:space="preserve">and care </w:t>
      </w:r>
      <w:r w:rsidRPr="00347C35">
        <w:t>sector</w:t>
      </w:r>
      <w:r>
        <w:t xml:space="preserve">, by </w:t>
      </w:r>
      <w:r w:rsidRPr="004D3B51">
        <w:t>help</w:t>
      </w:r>
      <w:r>
        <w:t>ing to</w:t>
      </w:r>
      <w:r w:rsidRPr="004D3B51">
        <w:t xml:space="preserve"> build safe environments for children, support educators and providers, and ensure that legislation keeps up to date with new and emerging risks.</w:t>
      </w:r>
      <w:r w:rsidRPr="004D3B51">
        <w:rPr>
          <w:strike/>
        </w:rPr>
        <w:t xml:space="preserve"> </w:t>
      </w:r>
    </w:p>
    <w:p w14:paraId="07663BFD" w14:textId="77777777" w:rsidR="008C7C57" w:rsidRDefault="008C7C57" w:rsidP="008C7C57">
      <w:r>
        <w:t>While strengthening the NQF is crucial, doing so in isolation will be insufficient to deliver the best outcomes for children, families, and educators</w:t>
      </w:r>
      <w:r w:rsidRPr="004D3B51">
        <w:t>. Addressing systemic issues will require collaborative reform across jurisdictions, along with greater alignment and clarity across existing child safety systems</w:t>
      </w:r>
      <w:r>
        <w:t xml:space="preserve">. In addition, providing high-quality professional guidance and sector resources will ensure that safety practices evolve to meet emerging challenges. </w:t>
      </w:r>
    </w:p>
    <w:p w14:paraId="6F5A1BFF" w14:textId="77777777" w:rsidR="0038228D" w:rsidRDefault="0038228D" w:rsidP="0038228D">
      <w:r>
        <w:t>Successful reform would involve a</w:t>
      </w:r>
      <w:r w:rsidRPr="00C21DE4">
        <w:t xml:space="preserve"> reduction in child safety incidents across the sector. For example, fewer instances of misconduct relating to the use of digital devices, consistent treatment of misconduct under the National Law, improved safety of the physical environment, and an overall improvement in understanding of child safe culture. </w:t>
      </w:r>
    </w:p>
    <w:p w14:paraId="34698A7B" w14:textId="39F8E6E8" w:rsidR="008C64B1" w:rsidRDefault="00CA2D36" w:rsidP="0038228D">
      <w:r>
        <w:t>Global</w:t>
      </w:r>
      <w:r w:rsidR="008C64B1">
        <w:t xml:space="preserve"> standards also provide a useful be</w:t>
      </w:r>
      <w:r w:rsidR="00D220CB">
        <w:t xml:space="preserve">nchmark for </w:t>
      </w:r>
      <w:r w:rsidR="00BC20CD">
        <w:t xml:space="preserve">defining </w:t>
      </w:r>
      <w:r w:rsidR="00C24CD0">
        <w:t>success through ideal child safety objectives</w:t>
      </w:r>
      <w:r w:rsidR="0052639B">
        <w:t xml:space="preserve"> to minimise harm</w:t>
      </w:r>
      <w:r w:rsidR="00C24CD0">
        <w:t>.</w:t>
      </w:r>
      <w:r>
        <w:t xml:space="preserve"> For example, The International Child Safeguarding Standards produced by </w:t>
      </w:r>
      <w:r w:rsidR="00563281">
        <w:t xml:space="preserve">independent </w:t>
      </w:r>
      <w:r w:rsidR="00F8077D">
        <w:t xml:space="preserve">non-profit </w:t>
      </w:r>
      <w:r>
        <w:t>Keeping Children Safe</w:t>
      </w:r>
      <w:r w:rsidR="00E534D7">
        <w:t xml:space="preserve"> covers four areas </w:t>
      </w:r>
      <w:r w:rsidR="00EC0B35">
        <w:t xml:space="preserve">of obligation for all organisations </w:t>
      </w:r>
      <w:r w:rsidR="00A34CF6">
        <w:t xml:space="preserve">working with children: </w:t>
      </w:r>
      <w:r w:rsidR="00CB000E">
        <w:t>developing</w:t>
      </w:r>
      <w:r w:rsidR="00A34CF6">
        <w:t xml:space="preserve"> </w:t>
      </w:r>
      <w:r w:rsidR="00465F4D">
        <w:t xml:space="preserve">and publicising </w:t>
      </w:r>
      <w:r w:rsidR="00EE33FC">
        <w:t xml:space="preserve">a child safety policy, impressing clear responsibilities and expectations </w:t>
      </w:r>
      <w:r w:rsidR="00EA30AE">
        <w:t>upon its people</w:t>
      </w:r>
      <w:r w:rsidR="00A776D9">
        <w:t xml:space="preserve">, </w:t>
      </w:r>
      <w:r w:rsidR="00401BCE">
        <w:t xml:space="preserve">implementing </w:t>
      </w:r>
      <w:r w:rsidR="009B518F">
        <w:t>integrat</w:t>
      </w:r>
      <w:r w:rsidR="00401BCE">
        <w:t>ed</w:t>
      </w:r>
      <w:r w:rsidR="00A776D9">
        <w:t xml:space="preserve"> child safeguarding procedures</w:t>
      </w:r>
      <w:r w:rsidR="009B518F">
        <w:t xml:space="preserve"> </w:t>
      </w:r>
      <w:r w:rsidR="00401BCE">
        <w:t>across</w:t>
      </w:r>
      <w:r w:rsidR="009B518F">
        <w:t xml:space="preserve"> all </w:t>
      </w:r>
      <w:r w:rsidR="00B4007A">
        <w:t>processes and systems</w:t>
      </w:r>
      <w:r w:rsidR="00A776D9">
        <w:t xml:space="preserve">, and </w:t>
      </w:r>
      <w:r w:rsidR="003458B2">
        <w:t xml:space="preserve">consistently </w:t>
      </w:r>
      <w:r w:rsidR="00260A95">
        <w:t>monitoring</w:t>
      </w:r>
      <w:r w:rsidR="0086167F">
        <w:t xml:space="preserve">, </w:t>
      </w:r>
      <w:r w:rsidR="00260A95">
        <w:t xml:space="preserve">reviewing </w:t>
      </w:r>
      <w:r w:rsidR="0086167F">
        <w:t xml:space="preserve">and reporting </w:t>
      </w:r>
      <w:r w:rsidR="00260A95">
        <w:t>safeguarding measures to ensure accountability.</w:t>
      </w:r>
      <w:r w:rsidR="00DD29A3">
        <w:rPr>
          <w:rStyle w:val="FootnoteReference"/>
        </w:rPr>
        <w:footnoteReference w:id="28"/>
      </w:r>
      <w:r w:rsidR="00EA30AE">
        <w:t xml:space="preserve"> </w:t>
      </w:r>
      <w:r w:rsidR="00E214F9">
        <w:t xml:space="preserve">Government led reform </w:t>
      </w:r>
      <w:r w:rsidR="009E3158">
        <w:t xml:space="preserve">can ensure that </w:t>
      </w:r>
      <w:r w:rsidR="00527327">
        <w:t xml:space="preserve">Australia meets its obligations to apply these </w:t>
      </w:r>
      <w:r w:rsidR="008A4B69">
        <w:t xml:space="preserve">standards </w:t>
      </w:r>
      <w:r w:rsidR="00AC0EBA">
        <w:t>consistently</w:t>
      </w:r>
      <w:r w:rsidR="00A061F6">
        <w:t xml:space="preserve"> and effectively</w:t>
      </w:r>
      <w:r w:rsidR="00AC0EBA">
        <w:t>.</w:t>
      </w:r>
    </w:p>
    <w:p w14:paraId="6EF109F5" w14:textId="77777777" w:rsidR="0038228D" w:rsidRDefault="0038228D" w:rsidP="0038228D">
      <w:r>
        <w:t xml:space="preserve">Some aspects of reform are more nuanced and complex to measure, and success targets may vary over different time horizons. For example, in the short term a higher number of suspension and/or supervision orders may indicate success in strengthening provider </w:t>
      </w:r>
      <w:r>
        <w:lastRenderedPageBreak/>
        <w:t xml:space="preserve">accountability to appropriately address conduct which contravenes the National Law. However, a longer-term fall in the number of </w:t>
      </w:r>
      <w:r w:rsidRPr="00EF6317">
        <w:t>suspension and/or supervision orders</w:t>
      </w:r>
      <w:r>
        <w:t xml:space="preserve"> may represent evidence of success in reducing instances of misconduct in the first place (due to improved child safety training and other regulatory reforms).</w:t>
      </w:r>
    </w:p>
    <w:p w14:paraId="255C3CEA" w14:textId="19D1694E" w:rsidR="00591E26" w:rsidRPr="00591E26" w:rsidRDefault="006840A5" w:rsidP="00591E26">
      <w:r w:rsidRPr="00E56464">
        <w:t>The</w:t>
      </w:r>
      <w:r w:rsidR="00591E26" w:rsidRPr="00E56464">
        <w:t xml:space="preserve"> 2023 </w:t>
      </w:r>
      <w:r w:rsidRPr="00E56464">
        <w:t xml:space="preserve">NQF </w:t>
      </w:r>
      <w:r w:rsidR="00563929">
        <w:t>Annual P</w:t>
      </w:r>
      <w:r w:rsidR="00563929" w:rsidRPr="00E56464">
        <w:t xml:space="preserve">erformance </w:t>
      </w:r>
      <w:r w:rsidR="00563929">
        <w:t>R</w:t>
      </w:r>
      <w:r w:rsidRPr="00E56464">
        <w:t>eport</w:t>
      </w:r>
      <w:r w:rsidR="00591E26" w:rsidRPr="00E56464">
        <w:t xml:space="preserve"> </w:t>
      </w:r>
      <w:r w:rsidR="009E26F3">
        <w:t>outlined the types of issues</w:t>
      </w:r>
      <w:r w:rsidR="00591E26" w:rsidRPr="00E56464">
        <w:t xml:space="preserve"> </w:t>
      </w:r>
      <w:r w:rsidRPr="00E56464">
        <w:t xml:space="preserve">that </w:t>
      </w:r>
      <w:r w:rsidR="009E26F3">
        <w:t xml:space="preserve">make </w:t>
      </w:r>
      <w:r w:rsidRPr="00E56464">
        <w:t xml:space="preserve">it </w:t>
      </w:r>
      <w:r w:rsidR="00591E26" w:rsidRPr="00591E26">
        <w:t xml:space="preserve">challenging to </w:t>
      </w:r>
      <w:r w:rsidR="009E26F3">
        <w:t>measure performance based on changes in</w:t>
      </w:r>
      <w:r w:rsidR="00591E26" w:rsidRPr="00591E26">
        <w:t xml:space="preserve"> the rate of reported serious incidents across service types or financial years </w:t>
      </w:r>
      <w:r w:rsidR="009E26F3">
        <w:t>(</w:t>
      </w:r>
      <w:r w:rsidRPr="00E56464">
        <w:t>given</w:t>
      </w:r>
      <w:r w:rsidR="00591E26" w:rsidRPr="00E56464">
        <w:t xml:space="preserve"> the likely </w:t>
      </w:r>
      <w:r w:rsidR="00591E26" w:rsidRPr="00591E26">
        <w:t>‘over’ and ‘under’ reporting of serious incidents from different parts of the secto</w:t>
      </w:r>
      <w:r w:rsidR="00591E26" w:rsidRPr="00E56464">
        <w:t>r</w:t>
      </w:r>
      <w:r w:rsidR="009E26F3">
        <w:t>)</w:t>
      </w:r>
      <w:r w:rsidR="00591E26" w:rsidRPr="00591E26">
        <w:t>.</w:t>
      </w:r>
      <w:r w:rsidR="007811D8">
        <w:rPr>
          <w:rStyle w:val="FootnoteReference"/>
        </w:rPr>
        <w:footnoteReference w:id="29"/>
      </w:r>
      <w:r w:rsidR="00591E26" w:rsidRPr="00591E26">
        <w:t xml:space="preserve"> </w:t>
      </w:r>
      <w:r w:rsidR="003D28C1">
        <w:t>The report provided examples such as that:</w:t>
      </w:r>
    </w:p>
    <w:p w14:paraId="5E99AF81" w14:textId="5335F70A" w:rsidR="00591E26" w:rsidRPr="00591E26" w:rsidRDefault="00591E26" w:rsidP="00EC53AB">
      <w:pPr>
        <w:pStyle w:val="ListParagraph"/>
        <w:numPr>
          <w:ilvl w:val="0"/>
          <w:numId w:val="115"/>
        </w:numPr>
      </w:pPr>
      <w:r w:rsidRPr="00591E26">
        <w:t xml:space="preserve">an approved provider might report a relatively high number of serious incidents because of: </w:t>
      </w:r>
    </w:p>
    <w:p w14:paraId="48EEC12D" w14:textId="55929907" w:rsidR="00591E26" w:rsidRPr="00591E26" w:rsidRDefault="003D28C1" w:rsidP="00EC53AB">
      <w:pPr>
        <w:pStyle w:val="ListParagraph"/>
        <w:numPr>
          <w:ilvl w:val="1"/>
          <w:numId w:val="115"/>
        </w:numPr>
      </w:pPr>
      <w:r>
        <w:t>r</w:t>
      </w:r>
      <w:r w:rsidR="00591E26" w:rsidRPr="00591E26">
        <w:t xml:space="preserve">obust and comprehensive reporting mechanisms </w:t>
      </w:r>
    </w:p>
    <w:p w14:paraId="0A75C8F9" w14:textId="27836291" w:rsidR="00591E26" w:rsidRPr="00591E26" w:rsidRDefault="003D28C1" w:rsidP="00EC53AB">
      <w:pPr>
        <w:pStyle w:val="ListParagraph"/>
        <w:numPr>
          <w:ilvl w:val="1"/>
          <w:numId w:val="115"/>
        </w:numPr>
      </w:pPr>
      <w:r>
        <w:t>o</w:t>
      </w:r>
      <w:r w:rsidR="00591E26" w:rsidRPr="00591E26">
        <w:t xml:space="preserve">verly cautious reporting procedures </w:t>
      </w:r>
    </w:p>
    <w:p w14:paraId="2DCD6E6A" w14:textId="77777777" w:rsidR="003D28C1" w:rsidRDefault="003D28C1" w:rsidP="00EC53AB">
      <w:pPr>
        <w:pStyle w:val="ListParagraph"/>
        <w:numPr>
          <w:ilvl w:val="1"/>
          <w:numId w:val="115"/>
        </w:numPr>
      </w:pPr>
      <w:r>
        <w:t>u</w:t>
      </w:r>
      <w:r w:rsidR="00591E26" w:rsidRPr="00591E26">
        <w:t xml:space="preserve">nique child cohorts and service circumstances </w:t>
      </w:r>
    </w:p>
    <w:p w14:paraId="230B2B51" w14:textId="33053748" w:rsidR="00E56464" w:rsidRDefault="003D28C1" w:rsidP="00EC53AB">
      <w:pPr>
        <w:pStyle w:val="ListParagraph"/>
        <w:numPr>
          <w:ilvl w:val="1"/>
          <w:numId w:val="115"/>
        </w:numPr>
      </w:pPr>
      <w:r>
        <w:t>l</w:t>
      </w:r>
      <w:r w:rsidR="00591E26" w:rsidRPr="00591E26">
        <w:t>ack of understanding of what constitutes a serious incident</w:t>
      </w:r>
      <w:r>
        <w:t>, and/or</w:t>
      </w:r>
      <w:r w:rsidR="00444A15">
        <w:t xml:space="preserve"> </w:t>
      </w:r>
    </w:p>
    <w:p w14:paraId="7D49FB11" w14:textId="5E51A1C7" w:rsidR="00591E26" w:rsidRPr="00591E26" w:rsidRDefault="003D28C1" w:rsidP="00EC53AB">
      <w:pPr>
        <w:pStyle w:val="ListParagraph"/>
        <w:numPr>
          <w:ilvl w:val="1"/>
          <w:numId w:val="115"/>
        </w:numPr>
      </w:pPr>
      <w:r>
        <w:t>p</w:t>
      </w:r>
      <w:r w:rsidR="00591E26" w:rsidRPr="00591E26">
        <w:t>oor health and safety standards</w:t>
      </w:r>
      <w:r>
        <w:t>, but that equally</w:t>
      </w:r>
    </w:p>
    <w:p w14:paraId="7D78F1D0" w14:textId="0B65D525" w:rsidR="00591E26" w:rsidRPr="00591E26" w:rsidRDefault="00591E26" w:rsidP="00EC53AB">
      <w:pPr>
        <w:pStyle w:val="ListParagraph"/>
        <w:numPr>
          <w:ilvl w:val="0"/>
          <w:numId w:val="115"/>
        </w:numPr>
      </w:pPr>
      <w:r w:rsidRPr="00591E26">
        <w:t>an approved provider might report a relatively low number of serious incidents because of</w:t>
      </w:r>
      <w:r w:rsidR="003D28C1">
        <w:t>:</w:t>
      </w:r>
    </w:p>
    <w:p w14:paraId="6E2E04E0" w14:textId="62A984C9" w:rsidR="00E56464" w:rsidRDefault="003D28C1" w:rsidP="00EC53AB">
      <w:pPr>
        <w:pStyle w:val="ListParagraph"/>
        <w:numPr>
          <w:ilvl w:val="1"/>
          <w:numId w:val="115"/>
        </w:numPr>
      </w:pPr>
      <w:r>
        <w:t>e</w:t>
      </w:r>
      <w:r w:rsidR="00591E26" w:rsidRPr="00591E26">
        <w:t xml:space="preserve">xceptional health and safety standards </w:t>
      </w:r>
    </w:p>
    <w:p w14:paraId="74E43D12" w14:textId="77777777" w:rsidR="003D28C1" w:rsidRDefault="003D28C1" w:rsidP="00EC53AB">
      <w:pPr>
        <w:pStyle w:val="ListParagraph"/>
        <w:numPr>
          <w:ilvl w:val="1"/>
          <w:numId w:val="115"/>
        </w:numPr>
      </w:pPr>
      <w:r>
        <w:t>l</w:t>
      </w:r>
      <w:r w:rsidR="00591E26" w:rsidRPr="00591E26">
        <w:t xml:space="preserve">ax reporting procedures </w:t>
      </w:r>
    </w:p>
    <w:p w14:paraId="38083DB0" w14:textId="0006F863" w:rsidR="003D28C1" w:rsidRDefault="003D28C1" w:rsidP="00EC53AB">
      <w:pPr>
        <w:pStyle w:val="ListParagraph"/>
        <w:numPr>
          <w:ilvl w:val="1"/>
          <w:numId w:val="115"/>
        </w:numPr>
      </w:pPr>
      <w:r>
        <w:t>l</w:t>
      </w:r>
      <w:r w:rsidR="00591E26" w:rsidRPr="00591E26">
        <w:t xml:space="preserve">ack of understanding of what constitutes a serious incident </w:t>
      </w:r>
    </w:p>
    <w:p w14:paraId="26AC88AA" w14:textId="77777777" w:rsidR="003D28C1" w:rsidRDefault="003D28C1" w:rsidP="00EC53AB">
      <w:pPr>
        <w:pStyle w:val="ListParagraph"/>
        <w:numPr>
          <w:ilvl w:val="1"/>
          <w:numId w:val="115"/>
        </w:numPr>
      </w:pPr>
      <w:r>
        <w:t>c</w:t>
      </w:r>
      <w:r w:rsidR="00591E26" w:rsidRPr="00591E26">
        <w:t>oncern around reputational impact</w:t>
      </w:r>
      <w:r>
        <w:t>, and/or</w:t>
      </w:r>
    </w:p>
    <w:p w14:paraId="0259D876" w14:textId="39A1F0F9" w:rsidR="00591E26" w:rsidRPr="00591E26" w:rsidRDefault="003D28C1" w:rsidP="00EC53AB">
      <w:pPr>
        <w:pStyle w:val="ListParagraph"/>
        <w:numPr>
          <w:ilvl w:val="1"/>
          <w:numId w:val="115"/>
        </w:numPr>
      </w:pPr>
      <w:r>
        <w:t>r</w:t>
      </w:r>
      <w:r w:rsidR="00591E26" w:rsidRPr="00591E26">
        <w:t>estrictive and risk averse learning and development opportunities for children</w:t>
      </w:r>
      <w:r>
        <w:t>.</w:t>
      </w:r>
    </w:p>
    <w:p w14:paraId="01E0A51D" w14:textId="36389DC2" w:rsidR="0038228D" w:rsidRDefault="003B558D" w:rsidP="008C7C57">
      <w:r>
        <w:t>In the context of these challenges and noting the complex interactions between the proposed reforms, a</w:t>
      </w:r>
      <w:r w:rsidR="0038228D" w:rsidRPr="00D619A3">
        <w:t xml:space="preserve">chieving consistent improvements in child safety across Australia </w:t>
      </w:r>
      <w:r w:rsidR="0038228D">
        <w:t xml:space="preserve">through the stated policy objectives </w:t>
      </w:r>
      <w:r w:rsidR="0038228D" w:rsidRPr="00D619A3">
        <w:t>will require timely legislative reform, broad provider awareness, and coordinated behaviour change. These success factors will depend on clear government direction and intervention.</w:t>
      </w:r>
    </w:p>
    <w:p w14:paraId="343FE07C" w14:textId="2414699C" w:rsidR="00814A52" w:rsidRPr="00BE38C7" w:rsidRDefault="00F06B07" w:rsidP="00814A52">
      <w:pPr>
        <w:rPr>
          <w:rFonts w:cs="Arial"/>
          <w:b/>
          <w:i/>
          <w:color w:val="006B77"/>
          <w:szCs w:val="20"/>
        </w:rPr>
      </w:pPr>
      <w:r>
        <w:rPr>
          <w:rFonts w:cs="Arial"/>
          <w:b/>
          <w:bCs/>
          <w:i/>
          <w:iCs/>
          <w:color w:val="006B77"/>
          <w:szCs w:val="20"/>
        </w:rPr>
        <w:lastRenderedPageBreak/>
        <w:t xml:space="preserve">Rationale </w:t>
      </w:r>
      <w:r w:rsidR="00362E5C">
        <w:rPr>
          <w:rFonts w:cs="Arial"/>
          <w:b/>
          <w:bCs/>
          <w:i/>
          <w:iCs/>
          <w:color w:val="006B77"/>
          <w:szCs w:val="20"/>
        </w:rPr>
        <w:t>for</w:t>
      </w:r>
      <w:r>
        <w:rPr>
          <w:rFonts w:cs="Arial"/>
          <w:b/>
          <w:bCs/>
          <w:i/>
          <w:iCs/>
          <w:color w:val="006B77"/>
          <w:szCs w:val="20"/>
        </w:rPr>
        <w:t xml:space="preserve"> government intervention</w:t>
      </w:r>
    </w:p>
    <w:p w14:paraId="43948167" w14:textId="30DDD6F3" w:rsidR="00362E5C" w:rsidRPr="00362E5C" w:rsidRDefault="009C1B17" w:rsidP="00362E5C">
      <w:r>
        <w:t xml:space="preserve">The CSR identified several recommendations through which child safety could be improved, through regulatory and/or non-regulatory government intervention. </w:t>
      </w:r>
    </w:p>
    <w:p w14:paraId="17E69BF6" w14:textId="4207B454" w:rsidR="009C1B17" w:rsidRPr="00362E5C" w:rsidRDefault="009C1B17" w:rsidP="00362E5C">
      <w:r>
        <w:t xml:space="preserve">The rationale for introducing </w:t>
      </w:r>
      <w:r w:rsidRPr="009C1B17">
        <w:t xml:space="preserve">regulatory </w:t>
      </w:r>
      <w:r>
        <w:t>or</w:t>
      </w:r>
      <w:r w:rsidRPr="009C1B17">
        <w:t xml:space="preserve"> non-regulatory government intervention</w:t>
      </w:r>
      <w:r>
        <w:t xml:space="preserve"> differs, depending on the nature of the problem and the objectives of the proposed reform.</w:t>
      </w:r>
    </w:p>
    <w:p w14:paraId="09B915A6" w14:textId="3EB08513" w:rsidR="00A16EB0" w:rsidRDefault="00A16EB0" w:rsidP="00A16EB0">
      <w:r w:rsidRPr="00A16EB0">
        <w:rPr>
          <w:b/>
          <w:bCs/>
        </w:rPr>
        <w:t>Non-regulatory interventions</w:t>
      </w:r>
      <w:r w:rsidRPr="0002297F">
        <w:t xml:space="preserve"> </w:t>
      </w:r>
      <w:r w:rsidR="00EC0289">
        <w:t xml:space="preserve">can </w:t>
      </w:r>
      <w:r w:rsidRPr="0002297F">
        <w:t xml:space="preserve">include sector guidance, targeted training, and communication strategies </w:t>
      </w:r>
      <w:r>
        <w:t xml:space="preserve">to </w:t>
      </w:r>
      <w:r w:rsidRPr="0002297F">
        <w:t xml:space="preserve">help services meet existing obligations and promote consistent </w:t>
      </w:r>
      <w:r w:rsidR="00985C56">
        <w:t xml:space="preserve">child </w:t>
      </w:r>
      <w:r w:rsidRPr="0002297F">
        <w:t>safe practices.</w:t>
      </w:r>
      <w:r>
        <w:t xml:space="preserve"> </w:t>
      </w:r>
      <w:r w:rsidR="00F06B07">
        <w:t>Non-regulatory interventions are critical for the following reasons</w:t>
      </w:r>
      <w:r>
        <w:t>:</w:t>
      </w:r>
    </w:p>
    <w:p w14:paraId="20197B6D" w14:textId="03662AC3" w:rsidR="00100201" w:rsidRDefault="00841575" w:rsidP="00EC53AB">
      <w:pPr>
        <w:pStyle w:val="ListParagraph"/>
        <w:numPr>
          <w:ilvl w:val="0"/>
          <w:numId w:val="24"/>
        </w:numPr>
        <w:ind w:left="426"/>
      </w:pPr>
      <w:r>
        <w:t>E</w:t>
      </w:r>
      <w:r w:rsidR="00100201">
        <w:t xml:space="preserve">nsure there is </w:t>
      </w:r>
      <w:r w:rsidR="00100201" w:rsidRPr="00FA73C2">
        <w:rPr>
          <w:b/>
        </w:rPr>
        <w:t>sufficient</w:t>
      </w:r>
      <w:r w:rsidR="001A088D" w:rsidRPr="00FA73C2">
        <w:rPr>
          <w:b/>
        </w:rPr>
        <w:t xml:space="preserve"> awareness </w:t>
      </w:r>
      <w:r w:rsidR="00C9070E" w:rsidRPr="00FA73C2">
        <w:rPr>
          <w:b/>
        </w:rPr>
        <w:t>and understanding</w:t>
      </w:r>
      <w:r w:rsidR="001A088D" w:rsidRPr="00FA73C2">
        <w:rPr>
          <w:b/>
        </w:rPr>
        <w:t xml:space="preserve"> of existing </w:t>
      </w:r>
      <w:r w:rsidR="00F367CD" w:rsidRPr="00FA73C2">
        <w:rPr>
          <w:b/>
        </w:rPr>
        <w:t xml:space="preserve">expectations and </w:t>
      </w:r>
      <w:r w:rsidR="001A088D" w:rsidRPr="00FA73C2">
        <w:rPr>
          <w:b/>
        </w:rPr>
        <w:t>obligations</w:t>
      </w:r>
      <w:r w:rsidR="001A088D">
        <w:t xml:space="preserve"> under the National Law, </w:t>
      </w:r>
      <w:r w:rsidR="00851195">
        <w:t>National R</w:t>
      </w:r>
      <w:r w:rsidR="001A088D">
        <w:t>egulations, the NQF, and government protocols</w:t>
      </w:r>
      <w:r w:rsidR="005C6EC8">
        <w:t xml:space="preserve">. For example, </w:t>
      </w:r>
      <w:r w:rsidR="004477CC">
        <w:t xml:space="preserve">option </w:t>
      </w:r>
      <w:r w:rsidR="00550D70">
        <w:t>2</w:t>
      </w:r>
      <w:r w:rsidR="004477CC">
        <w:t xml:space="preserve"> to respond to r</w:t>
      </w:r>
      <w:r w:rsidR="005C6EC8" w:rsidRPr="00115C43">
        <w:t xml:space="preserve">ecommendation </w:t>
      </w:r>
      <w:r w:rsidR="00115C43" w:rsidRPr="00115C43">
        <w:t>4.2</w:t>
      </w:r>
      <w:r w:rsidR="005C6EC8">
        <w:t xml:space="preserve"> </w:t>
      </w:r>
      <w:r w:rsidR="00E95BA5">
        <w:t>involves providing</w:t>
      </w:r>
      <w:r w:rsidR="005C6EC8">
        <w:t xml:space="preserve"> more</w:t>
      </w:r>
      <w:r w:rsidR="00E0718F">
        <w:t xml:space="preserve"> </w:t>
      </w:r>
      <w:r w:rsidR="003846D6">
        <w:t>guidance</w:t>
      </w:r>
      <w:r w:rsidR="002D4E8E">
        <w:t xml:space="preserve"> to approved </w:t>
      </w:r>
      <w:r w:rsidR="00C34DA7">
        <w:t xml:space="preserve">FDC providers on their </w:t>
      </w:r>
      <w:r w:rsidR="003846D6">
        <w:t>obligations</w:t>
      </w:r>
      <w:r w:rsidR="002D1908">
        <w:t xml:space="preserve"> to assess </w:t>
      </w:r>
      <w:r w:rsidR="003846D6">
        <w:t>areas near FDC residences (regulation 116).</w:t>
      </w:r>
    </w:p>
    <w:p w14:paraId="6C1575BC" w14:textId="776D4CB3" w:rsidR="00C10E6A" w:rsidRDefault="00841575" w:rsidP="00EC53AB">
      <w:pPr>
        <w:pStyle w:val="ListParagraph"/>
        <w:numPr>
          <w:ilvl w:val="0"/>
          <w:numId w:val="24"/>
        </w:numPr>
        <w:ind w:left="426"/>
      </w:pPr>
      <w:r>
        <w:rPr>
          <w:b/>
        </w:rPr>
        <w:t>P</w:t>
      </w:r>
      <w:r w:rsidR="00C10E6A" w:rsidRPr="00FA73C2">
        <w:rPr>
          <w:b/>
        </w:rPr>
        <w:t>romote national consistency</w:t>
      </w:r>
      <w:r w:rsidR="00C10E6A">
        <w:t xml:space="preserve"> in the implementation of </w:t>
      </w:r>
      <w:r w:rsidR="00F367CD">
        <w:t xml:space="preserve">effective and contemporary </w:t>
      </w:r>
      <w:r w:rsidR="00C10E6A" w:rsidRPr="00723A3B">
        <w:t xml:space="preserve">child </w:t>
      </w:r>
      <w:r w:rsidR="00C10E6A">
        <w:t xml:space="preserve">protection and </w:t>
      </w:r>
      <w:r w:rsidR="00C10E6A" w:rsidRPr="00723A3B">
        <w:t>safety practices</w:t>
      </w:r>
      <w:r w:rsidR="00E95BA5">
        <w:t>. For example,</w:t>
      </w:r>
      <w:r w:rsidR="004477CC">
        <w:t xml:space="preserve"> option </w:t>
      </w:r>
      <w:r w:rsidR="00550D70">
        <w:t>2</w:t>
      </w:r>
      <w:r w:rsidR="004477CC">
        <w:t xml:space="preserve"> to respond to r</w:t>
      </w:r>
      <w:r w:rsidR="00E95BA5">
        <w:t xml:space="preserve">ecommendation </w:t>
      </w:r>
      <w:r w:rsidR="008042CB">
        <w:t>10</w:t>
      </w:r>
      <w:r w:rsidR="00E95BA5">
        <w:t xml:space="preserve"> </w:t>
      </w:r>
      <w:r w:rsidR="00C331FC">
        <w:rPr>
          <w:lang w:val="en-US"/>
        </w:rPr>
        <w:t>involves developing</w:t>
      </w:r>
      <w:r w:rsidR="00ED4BD8" w:rsidRPr="00ED4BD8">
        <w:rPr>
          <w:lang w:val="en-US"/>
        </w:rPr>
        <w:t xml:space="preserve"> more communication</w:t>
      </w:r>
      <w:r w:rsidR="002B1E88">
        <w:rPr>
          <w:lang w:val="en-US"/>
        </w:rPr>
        <w:t>s</w:t>
      </w:r>
      <w:r w:rsidR="00ED4BD8" w:rsidRPr="00ED4BD8">
        <w:rPr>
          <w:lang w:val="en-US"/>
        </w:rPr>
        <w:t xml:space="preserve"> and </w:t>
      </w:r>
      <w:r w:rsidR="002B1E88">
        <w:rPr>
          <w:lang w:val="en-US"/>
        </w:rPr>
        <w:t>resources</w:t>
      </w:r>
      <w:r w:rsidR="0099386D">
        <w:rPr>
          <w:lang w:val="en-US"/>
        </w:rPr>
        <w:t xml:space="preserve"> </w:t>
      </w:r>
      <w:r w:rsidR="00C331FC">
        <w:rPr>
          <w:lang w:val="en-US"/>
        </w:rPr>
        <w:t>to</w:t>
      </w:r>
      <w:r w:rsidR="00ED4BD8" w:rsidRPr="00ED4BD8">
        <w:rPr>
          <w:lang w:val="en-US"/>
        </w:rPr>
        <w:t xml:space="preserve"> encourag</w:t>
      </w:r>
      <w:r w:rsidR="00C331FC">
        <w:rPr>
          <w:lang w:val="en-US"/>
        </w:rPr>
        <w:t>e</w:t>
      </w:r>
      <w:r w:rsidR="00ED4BD8" w:rsidRPr="00ED4BD8">
        <w:rPr>
          <w:lang w:val="en-US"/>
        </w:rPr>
        <w:t xml:space="preserve"> and aid approved providers </w:t>
      </w:r>
      <w:r w:rsidR="00C331FC">
        <w:rPr>
          <w:lang w:val="en-US"/>
        </w:rPr>
        <w:t>to</w:t>
      </w:r>
      <w:r w:rsidR="00ED4BD8" w:rsidRPr="00ED4BD8">
        <w:rPr>
          <w:lang w:val="en-US"/>
        </w:rPr>
        <w:t xml:space="preserve"> identify and addres</w:t>
      </w:r>
      <w:r w:rsidR="00C331FC">
        <w:rPr>
          <w:lang w:val="en-US"/>
        </w:rPr>
        <w:t>s</w:t>
      </w:r>
      <w:r w:rsidR="00ED4BD8" w:rsidRPr="00ED4BD8">
        <w:rPr>
          <w:lang w:val="en-US"/>
        </w:rPr>
        <w:t xml:space="preserve"> inappropriate conduct</w:t>
      </w:r>
      <w:r w:rsidR="00B3507B">
        <w:rPr>
          <w:lang w:val="en-US"/>
        </w:rPr>
        <w:t xml:space="preserve"> by staff </w:t>
      </w:r>
      <w:r w:rsidR="004E1DC8">
        <w:rPr>
          <w:lang w:val="en-US"/>
        </w:rPr>
        <w:t>and volunteers in an education and care service</w:t>
      </w:r>
      <w:r w:rsidR="00AD1AB5">
        <w:rPr>
          <w:lang w:val="en-US"/>
        </w:rPr>
        <w:t>.</w:t>
      </w:r>
    </w:p>
    <w:p w14:paraId="15225975" w14:textId="46B988C0" w:rsidR="004700A7" w:rsidRPr="004700A7" w:rsidRDefault="00841575" w:rsidP="00EC53AB">
      <w:pPr>
        <w:pStyle w:val="ListParagraph"/>
        <w:numPr>
          <w:ilvl w:val="0"/>
          <w:numId w:val="24"/>
        </w:numPr>
        <w:ind w:left="426"/>
      </w:pPr>
      <w:r>
        <w:t>T</w:t>
      </w:r>
      <w:r w:rsidR="00B51668">
        <w:t xml:space="preserve">o </w:t>
      </w:r>
      <w:r w:rsidR="00B51668" w:rsidRPr="00FA73C2">
        <w:rPr>
          <w:b/>
        </w:rPr>
        <w:t xml:space="preserve">promote the importance of child protection and safety </w:t>
      </w:r>
      <w:r w:rsidR="00311B36" w:rsidRPr="00FA73C2">
        <w:rPr>
          <w:b/>
        </w:rPr>
        <w:t>practices</w:t>
      </w:r>
      <w:r w:rsidR="00A74487">
        <w:t xml:space="preserve">. For example, </w:t>
      </w:r>
      <w:r w:rsidR="004477CC">
        <w:t xml:space="preserve">option </w:t>
      </w:r>
      <w:r w:rsidR="00550D70">
        <w:t xml:space="preserve">2 </w:t>
      </w:r>
      <w:r w:rsidR="004477CC">
        <w:t>to respond to r</w:t>
      </w:r>
      <w:r w:rsidR="004700A7" w:rsidRPr="004E6D7C">
        <w:t xml:space="preserve">ecommendation </w:t>
      </w:r>
      <w:r w:rsidR="004E6D7C" w:rsidRPr="004E6D7C">
        <w:t>9.1</w:t>
      </w:r>
      <w:r w:rsidR="005C6EC8">
        <w:t xml:space="preserve"> </w:t>
      </w:r>
      <w:r w:rsidR="00A74487">
        <w:t>involves</w:t>
      </w:r>
      <w:r w:rsidR="004700A7">
        <w:t xml:space="preserve"> </w:t>
      </w:r>
      <w:r w:rsidR="004700A7">
        <w:rPr>
          <w:lang w:val="en-GB"/>
        </w:rPr>
        <w:t>p</w:t>
      </w:r>
      <w:r w:rsidR="004700A7" w:rsidRPr="004700A7">
        <w:rPr>
          <w:lang w:val="en-GB"/>
        </w:rPr>
        <w:t>rovid</w:t>
      </w:r>
      <w:r w:rsidR="004700A7">
        <w:rPr>
          <w:lang w:val="en-GB"/>
        </w:rPr>
        <w:t>ing</w:t>
      </w:r>
      <w:r w:rsidR="004700A7" w:rsidRPr="004700A7">
        <w:rPr>
          <w:lang w:val="en-GB"/>
        </w:rPr>
        <w:t xml:space="preserve"> guidance to</w:t>
      </w:r>
      <w:r w:rsidR="00F71AA8">
        <w:rPr>
          <w:lang w:val="en-GB"/>
        </w:rPr>
        <w:t xml:space="preserve"> </w:t>
      </w:r>
      <w:r w:rsidR="00511E55" w:rsidRPr="00511E55">
        <w:t>highlight the importance of WWCCs and detail ‘best practice’ approaches.</w:t>
      </w:r>
    </w:p>
    <w:p w14:paraId="3CC9DDAC" w14:textId="5B240B42" w:rsidR="00A840AC" w:rsidRDefault="001A088D" w:rsidP="00354FAB">
      <w:r>
        <w:rPr>
          <w:rStyle w:val="Strong"/>
        </w:rPr>
        <w:t>Regulatory interventions</w:t>
      </w:r>
      <w:r>
        <w:t xml:space="preserve"> involve legislative </w:t>
      </w:r>
      <w:r w:rsidR="00625583">
        <w:t xml:space="preserve">or </w:t>
      </w:r>
      <w:r w:rsidR="00985C56">
        <w:t xml:space="preserve">policy </w:t>
      </w:r>
      <w:r>
        <w:t xml:space="preserve">changes to </w:t>
      </w:r>
      <w:r w:rsidR="0000479E">
        <w:t xml:space="preserve">ensure that </w:t>
      </w:r>
      <w:r w:rsidR="00540CA6">
        <w:t>regulatory</w:t>
      </w:r>
      <w:r w:rsidR="000C59FC">
        <w:t xml:space="preserve"> gaps</w:t>
      </w:r>
      <w:r w:rsidR="00594E2E">
        <w:t xml:space="preserve"> or </w:t>
      </w:r>
      <w:r w:rsidR="00B246D9">
        <w:t xml:space="preserve">areas </w:t>
      </w:r>
      <w:r w:rsidR="00BF35EA">
        <w:t>where legislati</w:t>
      </w:r>
      <w:r w:rsidR="00574D8E">
        <w:t>on</w:t>
      </w:r>
      <w:r w:rsidR="00BF35EA">
        <w:t xml:space="preserve"> ha</w:t>
      </w:r>
      <w:r w:rsidR="003016FD">
        <w:t>s</w:t>
      </w:r>
      <w:r w:rsidR="00BF35EA">
        <w:t xml:space="preserve"> not </w:t>
      </w:r>
      <w:r w:rsidR="00DB4327">
        <w:t>evolved</w:t>
      </w:r>
      <w:r w:rsidR="00BF35EA">
        <w:t xml:space="preserve"> with emerging risks</w:t>
      </w:r>
      <w:r w:rsidR="00B246D9">
        <w:t xml:space="preserve"> are addressed</w:t>
      </w:r>
      <w:r w:rsidR="00594E2E">
        <w:t xml:space="preserve"> to </w:t>
      </w:r>
      <w:r>
        <w:t>en</w:t>
      </w:r>
      <w:r w:rsidR="00B246D9">
        <w:t>able</w:t>
      </w:r>
      <w:r>
        <w:t xml:space="preserve"> stronger enforcement of child safety </w:t>
      </w:r>
      <w:r w:rsidR="00DB4327">
        <w:t>principles</w:t>
      </w:r>
      <w:r w:rsidRPr="006A050E">
        <w:t>.</w:t>
      </w:r>
      <w:r>
        <w:t xml:space="preserve"> </w:t>
      </w:r>
      <w:r w:rsidR="00E21A92">
        <w:t>By implementing regulatory measures</w:t>
      </w:r>
      <w:r w:rsidR="00A06CF0">
        <w:t xml:space="preserve"> (such as financial or other penalties)</w:t>
      </w:r>
      <w:r w:rsidR="00E21A92">
        <w:t>, the government can</w:t>
      </w:r>
      <w:r w:rsidR="00B13642">
        <w:t xml:space="preserve"> </w:t>
      </w:r>
      <w:r w:rsidR="00E21A92">
        <w:t xml:space="preserve">mandate behavioural or practical changes that enhance child </w:t>
      </w:r>
      <w:r w:rsidR="000215F5">
        <w:t>safe practices</w:t>
      </w:r>
      <w:r w:rsidR="00E21A92">
        <w:t xml:space="preserve"> within education and care </w:t>
      </w:r>
      <w:r w:rsidR="001A499C">
        <w:t>services</w:t>
      </w:r>
      <w:r w:rsidR="00E21A92">
        <w:t xml:space="preserve">. In some instances, regulatory interventions may </w:t>
      </w:r>
      <w:r w:rsidR="00F262B2">
        <w:t>have greater effectiveness</w:t>
      </w:r>
      <w:r w:rsidR="00E21A92">
        <w:t>, as</w:t>
      </w:r>
      <w:r w:rsidR="005C71C9">
        <w:t xml:space="preserve"> amendments to the</w:t>
      </w:r>
      <w:r w:rsidR="00E21A92">
        <w:t xml:space="preserve"> National Law and </w:t>
      </w:r>
      <w:r w:rsidR="005C71C9">
        <w:t>National R</w:t>
      </w:r>
      <w:r w:rsidR="00E21A92">
        <w:t>egulations allow for stricter enforcement</w:t>
      </w:r>
      <w:r w:rsidR="004E1DC8">
        <w:t xml:space="preserve"> and national consistency</w:t>
      </w:r>
      <w:r w:rsidR="00E21A92">
        <w:t xml:space="preserve">. </w:t>
      </w:r>
    </w:p>
    <w:p w14:paraId="4BAAE1A4" w14:textId="62114A18" w:rsidR="003C46B2" w:rsidRDefault="00F06B07" w:rsidP="00354FAB">
      <w:r>
        <w:t xml:space="preserve">Regulatory options are critical to address the following identified issues: </w:t>
      </w:r>
    </w:p>
    <w:p w14:paraId="5A0D3180" w14:textId="4C546617" w:rsidR="00FA45F0" w:rsidRPr="00FA45F0" w:rsidRDefault="00841575" w:rsidP="00EC53AB">
      <w:pPr>
        <w:pStyle w:val="ListParagraph"/>
        <w:numPr>
          <w:ilvl w:val="0"/>
          <w:numId w:val="25"/>
        </w:numPr>
        <w:ind w:left="426"/>
        <w:rPr>
          <w:rFonts w:cs="Arial"/>
          <w:b/>
          <w:bCs/>
          <w:i/>
          <w:iCs/>
          <w:color w:val="006B77"/>
          <w:szCs w:val="20"/>
        </w:rPr>
      </w:pPr>
      <w:r>
        <w:t>S</w:t>
      </w:r>
      <w:r w:rsidR="00116EBC" w:rsidRPr="00116EBC">
        <w:t xml:space="preserve">ome </w:t>
      </w:r>
      <w:r w:rsidR="00C36E5B">
        <w:t>sections</w:t>
      </w:r>
      <w:r w:rsidR="00116EBC" w:rsidRPr="00116EBC">
        <w:t xml:space="preserve"> of the</w:t>
      </w:r>
      <w:r w:rsidR="003C46B2" w:rsidRPr="00521CD5">
        <w:rPr>
          <w:b/>
        </w:rPr>
        <w:t xml:space="preserve"> National Law </w:t>
      </w:r>
      <w:r w:rsidR="00D72EC0">
        <w:rPr>
          <w:b/>
          <w:bCs/>
        </w:rPr>
        <w:t>are</w:t>
      </w:r>
      <w:r w:rsidR="003C46B2">
        <w:t xml:space="preserve"> </w:t>
      </w:r>
      <w:r w:rsidR="003C46B2" w:rsidRPr="00C56C6E">
        <w:rPr>
          <w:b/>
        </w:rPr>
        <w:t xml:space="preserve">not keeping pace with </w:t>
      </w:r>
      <w:r w:rsidR="006C1A81" w:rsidRPr="00C56C6E">
        <w:rPr>
          <w:b/>
        </w:rPr>
        <w:t>corporate structures</w:t>
      </w:r>
      <w:r w:rsidR="006C1A81">
        <w:t xml:space="preserve">. For example, </w:t>
      </w:r>
      <w:r w:rsidR="0073167C">
        <w:t>a</w:t>
      </w:r>
      <w:r w:rsidR="008B5FEB">
        <w:t xml:space="preserve">dditional </w:t>
      </w:r>
      <w:r w:rsidR="0073167C">
        <w:t>r</w:t>
      </w:r>
      <w:r w:rsidR="008B5FEB">
        <w:t>ecommendation 1 identifi</w:t>
      </w:r>
      <w:r w:rsidR="003E1A98">
        <w:t>es</w:t>
      </w:r>
      <w:r w:rsidR="008B5FEB">
        <w:t xml:space="preserve"> that </w:t>
      </w:r>
      <w:r w:rsidR="00236CD3">
        <w:t>c</w:t>
      </w:r>
      <w:r w:rsidR="00236CD3" w:rsidRPr="00EF0152">
        <w:t xml:space="preserve">ertain provisions of the </w:t>
      </w:r>
      <w:r w:rsidR="00236CD3" w:rsidRPr="00EF0152">
        <w:lastRenderedPageBreak/>
        <w:t xml:space="preserve">National Law have not kept up with modern </w:t>
      </w:r>
      <w:r w:rsidR="00236CD3">
        <w:t>business</w:t>
      </w:r>
      <w:r w:rsidR="00236CD3" w:rsidRPr="00EF0152">
        <w:t xml:space="preserve"> structures, limiting regulators’ ability to identify and manage risks at the provider level</w:t>
      </w:r>
      <w:r w:rsidR="00236CD3">
        <w:t xml:space="preserve">. </w:t>
      </w:r>
    </w:p>
    <w:p w14:paraId="1475B6F7" w14:textId="5CDD655B" w:rsidR="00375C97" w:rsidRDefault="00841575" w:rsidP="00EC53AB">
      <w:pPr>
        <w:pStyle w:val="ListParagraph"/>
        <w:numPr>
          <w:ilvl w:val="0"/>
          <w:numId w:val="25"/>
        </w:numPr>
        <w:ind w:left="426"/>
      </w:pPr>
      <w:r>
        <w:t>S</w:t>
      </w:r>
      <w:r w:rsidR="00116EBC">
        <w:t xml:space="preserve">ome </w:t>
      </w:r>
      <w:r w:rsidR="00C36E5B">
        <w:t>sections</w:t>
      </w:r>
      <w:r w:rsidR="00116EBC">
        <w:t xml:space="preserve"> of the</w:t>
      </w:r>
      <w:r w:rsidR="006F2C54">
        <w:t xml:space="preserve"> </w:t>
      </w:r>
      <w:r w:rsidR="006F2C54" w:rsidRPr="005B699F">
        <w:rPr>
          <w:b/>
        </w:rPr>
        <w:t>National Law</w:t>
      </w:r>
      <w:r w:rsidR="006F2C54">
        <w:t xml:space="preserve"> </w:t>
      </w:r>
      <w:r w:rsidR="00A05086">
        <w:rPr>
          <w:b/>
          <w:bCs/>
        </w:rPr>
        <w:t xml:space="preserve">are </w:t>
      </w:r>
      <w:r w:rsidR="006F2C54" w:rsidRPr="00116EBC">
        <w:rPr>
          <w:b/>
        </w:rPr>
        <w:t xml:space="preserve">not </w:t>
      </w:r>
      <w:r w:rsidR="00A05086">
        <w:rPr>
          <w:b/>
          <w:bCs/>
        </w:rPr>
        <w:t>sufficiently</w:t>
      </w:r>
      <w:r w:rsidR="00116EBC" w:rsidRPr="00116EBC">
        <w:rPr>
          <w:b/>
          <w:bCs/>
        </w:rPr>
        <w:t xml:space="preserve"> </w:t>
      </w:r>
      <w:r w:rsidR="00214078" w:rsidRPr="00116EBC">
        <w:rPr>
          <w:b/>
        </w:rPr>
        <w:t>proactive</w:t>
      </w:r>
      <w:r w:rsidR="00214078">
        <w:t>.</w:t>
      </w:r>
      <w:r w:rsidR="00116EBC">
        <w:t xml:space="preserve"> For example, </w:t>
      </w:r>
      <w:r w:rsidR="0073167C">
        <w:t>r</w:t>
      </w:r>
      <w:r w:rsidR="00285A30" w:rsidRPr="00285A30">
        <w:t xml:space="preserve">ecommendation </w:t>
      </w:r>
      <w:r w:rsidR="00457EE6">
        <w:t>11</w:t>
      </w:r>
      <w:r w:rsidR="00285A30" w:rsidRPr="00285A30">
        <w:t xml:space="preserve"> </w:t>
      </w:r>
      <w:r w:rsidR="00B826CB">
        <w:t xml:space="preserve">highlights </w:t>
      </w:r>
      <w:r w:rsidR="009574A8">
        <w:t>that</w:t>
      </w:r>
      <w:r w:rsidR="00375C97">
        <w:t xml:space="preserve"> </w:t>
      </w:r>
      <w:r w:rsidR="00AC6D38" w:rsidRPr="00DB5971">
        <w:t>in the absence of proactive notification systems, an individual with a suspended or prohibited status may continue working undetected, creating an unacceptable risk</w:t>
      </w:r>
      <w:r w:rsidR="00AC6D38">
        <w:t>.</w:t>
      </w:r>
    </w:p>
    <w:p w14:paraId="78F5F0AB" w14:textId="56BFFA8D" w:rsidR="00E26073" w:rsidRPr="00E26073" w:rsidRDefault="00336FFC" w:rsidP="00336FFC">
      <w:pPr>
        <w:rPr>
          <w:rFonts w:cs="Arial"/>
          <w:b/>
          <w:bCs/>
          <w:i/>
          <w:iCs/>
          <w:color w:val="006B77"/>
          <w:szCs w:val="20"/>
        </w:rPr>
      </w:pPr>
      <w:r>
        <w:t>In some instances, r</w:t>
      </w:r>
      <w:r w:rsidR="00E23D7C" w:rsidRPr="00885756">
        <w:t>egulatory intervention</w:t>
      </w:r>
      <w:r w:rsidR="00E23D7C" w:rsidRPr="00407647">
        <w:t xml:space="preserve"> may </w:t>
      </w:r>
      <w:r>
        <w:t xml:space="preserve">also </w:t>
      </w:r>
      <w:r w:rsidR="00E23D7C" w:rsidRPr="00407647">
        <w:t xml:space="preserve">be the </w:t>
      </w:r>
      <w:r w:rsidR="00E23D7C" w:rsidRPr="00336FFC">
        <w:rPr>
          <w:b/>
        </w:rPr>
        <w:t>most effective option</w:t>
      </w:r>
      <w:r w:rsidR="00E23D7C" w:rsidRPr="00407647">
        <w:t xml:space="preserve">. </w:t>
      </w:r>
      <w:r w:rsidR="00B0464C" w:rsidRPr="00407647">
        <w:t xml:space="preserve">For example, </w:t>
      </w:r>
      <w:r w:rsidR="00E02EC4">
        <w:t>r</w:t>
      </w:r>
      <w:r w:rsidR="00407647">
        <w:t xml:space="preserve">ecommendation 9.2 identifies that </w:t>
      </w:r>
      <w:r w:rsidR="00342AB3">
        <w:t xml:space="preserve">providing additional guidance </w:t>
      </w:r>
      <w:r w:rsidR="009F5A14">
        <w:t xml:space="preserve">about </w:t>
      </w:r>
      <w:r w:rsidR="00BA6BAF">
        <w:t xml:space="preserve">current </w:t>
      </w:r>
      <w:r w:rsidR="00592C4B">
        <w:t xml:space="preserve">WWCC and teacher registration/accreditation </w:t>
      </w:r>
      <w:r w:rsidR="00907013">
        <w:t>notification requirements</w:t>
      </w:r>
      <w:r w:rsidR="00527FD7">
        <w:t xml:space="preserve">, in isolation, would not resolve existing </w:t>
      </w:r>
      <w:r w:rsidR="00274A17">
        <w:t xml:space="preserve">regulatory </w:t>
      </w:r>
      <w:r w:rsidR="00527FD7">
        <w:t>gaps</w:t>
      </w:r>
      <w:r w:rsidR="00274A17">
        <w:t xml:space="preserve"> or</w:t>
      </w:r>
      <w:r w:rsidR="00527FD7">
        <w:t xml:space="preserve"> </w:t>
      </w:r>
      <w:r w:rsidR="00E22025">
        <w:t>inconsistencies</w:t>
      </w:r>
      <w:r w:rsidR="00527FD7">
        <w:t xml:space="preserve"> which</w:t>
      </w:r>
      <w:r w:rsidR="00ED2E9D">
        <w:t xml:space="preserve"> pose</w:t>
      </w:r>
      <w:r w:rsidR="00527FD7">
        <w:t xml:space="preserve"> </w:t>
      </w:r>
      <w:r w:rsidR="00ED2E9D">
        <w:t>risk</w:t>
      </w:r>
      <w:r w:rsidR="009B750F">
        <w:t>s</w:t>
      </w:r>
      <w:r w:rsidR="00ED2E9D">
        <w:t xml:space="preserve"> to child safety</w:t>
      </w:r>
      <w:r w:rsidR="00E22025">
        <w:t xml:space="preserve">. </w:t>
      </w:r>
      <w:r>
        <w:t xml:space="preserve">Additionally, there are also circumstances in which </w:t>
      </w:r>
      <w:r w:rsidR="0029454D">
        <w:t>r</w:t>
      </w:r>
      <w:r w:rsidR="001C7EA6" w:rsidRPr="00885756">
        <w:t>egulatory intervention</w:t>
      </w:r>
      <w:r w:rsidR="001C7EA6" w:rsidRPr="001C7EA6">
        <w:t xml:space="preserve"> may be the </w:t>
      </w:r>
      <w:r w:rsidR="001C7EA6" w:rsidRPr="00CC24A0">
        <w:rPr>
          <w:b/>
        </w:rPr>
        <w:t>only option</w:t>
      </w:r>
      <w:r>
        <w:rPr>
          <w:b/>
        </w:rPr>
        <w:t xml:space="preserve"> </w:t>
      </w:r>
      <w:r w:rsidRPr="00336FFC">
        <w:rPr>
          <w:bCs/>
        </w:rPr>
        <w:t>to address identified gaps in current practices and/or strengthen safeguard measures</w:t>
      </w:r>
      <w:r w:rsidR="001C7EA6" w:rsidRPr="00336FFC">
        <w:rPr>
          <w:bCs/>
        </w:rPr>
        <w:t>.</w:t>
      </w:r>
      <w:r w:rsidR="001C7EA6" w:rsidRPr="001C7EA6">
        <w:t xml:space="preserve"> </w:t>
      </w:r>
      <w:r w:rsidR="00D91964">
        <w:t xml:space="preserve">For example, </w:t>
      </w:r>
      <w:r w:rsidR="00D3467D">
        <w:t xml:space="preserve">regulatory </w:t>
      </w:r>
      <w:r w:rsidR="009B4EC4">
        <w:t xml:space="preserve">intervention is the only available intervention for </w:t>
      </w:r>
      <w:r w:rsidR="00E02EC4">
        <w:t>a</w:t>
      </w:r>
      <w:r w:rsidR="00D3467D">
        <w:t xml:space="preserve">dditional </w:t>
      </w:r>
      <w:r w:rsidR="00E02EC4">
        <w:t>r</w:t>
      </w:r>
      <w:r w:rsidR="00D3467D">
        <w:t>ecommendation 2</w:t>
      </w:r>
      <w:r w:rsidR="00F11794">
        <w:t xml:space="preserve">, which seeks to </w:t>
      </w:r>
      <w:r w:rsidR="00682ED5">
        <w:t xml:space="preserve">change the limitation </w:t>
      </w:r>
      <w:r w:rsidR="00DF781C">
        <w:t xml:space="preserve">period following an alleged offence. </w:t>
      </w:r>
    </w:p>
    <w:p w14:paraId="164818F7" w14:textId="1C237AAE" w:rsidR="00F763FC" w:rsidRPr="00824D64" w:rsidRDefault="00E749C4" w:rsidP="00354FAB">
      <w:pPr>
        <w:rPr>
          <w:rFonts w:cs="Arial"/>
          <w:b/>
          <w:bCs/>
          <w:i/>
          <w:iCs/>
          <w:color w:val="006B77"/>
          <w:szCs w:val="20"/>
        </w:rPr>
      </w:pPr>
      <w:r>
        <w:rPr>
          <w:rFonts w:cs="Arial"/>
          <w:b/>
          <w:bCs/>
          <w:i/>
          <w:iCs/>
          <w:color w:val="006B77"/>
          <w:szCs w:val="20"/>
        </w:rPr>
        <w:t>Potential</w:t>
      </w:r>
      <w:r w:rsidR="00F763FC">
        <w:rPr>
          <w:rFonts w:cs="Arial"/>
          <w:b/>
          <w:bCs/>
          <w:i/>
          <w:iCs/>
          <w:color w:val="006B77"/>
          <w:szCs w:val="20"/>
        </w:rPr>
        <w:t xml:space="preserve"> altern</w:t>
      </w:r>
      <w:r w:rsidR="001B70D3">
        <w:rPr>
          <w:rFonts w:cs="Arial"/>
          <w:b/>
          <w:bCs/>
          <w:i/>
          <w:iCs/>
          <w:color w:val="006B77"/>
          <w:szCs w:val="20"/>
        </w:rPr>
        <w:t>atives to government action</w:t>
      </w:r>
    </w:p>
    <w:p w14:paraId="2617142F" w14:textId="77777777" w:rsidR="005A7999" w:rsidRDefault="003F698C" w:rsidP="00653497">
      <w:r>
        <w:t xml:space="preserve">As outlined in </w:t>
      </w:r>
      <w:hyperlink w:anchor="_1.1_The_National" w:history="1">
        <w:r w:rsidR="00794323">
          <w:rPr>
            <w:rStyle w:val="Hyperlink"/>
          </w:rPr>
          <w:t>C</w:t>
        </w:r>
        <w:r w:rsidR="00794323" w:rsidRPr="00794323">
          <w:rPr>
            <w:rStyle w:val="Hyperlink"/>
          </w:rPr>
          <w:t>hapter</w:t>
        </w:r>
        <w:r w:rsidRPr="00794323">
          <w:rPr>
            <w:rStyle w:val="Hyperlink"/>
          </w:rPr>
          <w:t xml:space="preserve"> 1.1 – </w:t>
        </w:r>
        <w:r w:rsidR="00794323" w:rsidRPr="00794323">
          <w:rPr>
            <w:rStyle w:val="Hyperlink"/>
          </w:rPr>
          <w:t>The National Quality Framework</w:t>
        </w:r>
      </w:hyperlink>
      <w:r>
        <w:t xml:space="preserve">, the NQF </w:t>
      </w:r>
      <w:r w:rsidRPr="00A55A90">
        <w:t>sets out</w:t>
      </w:r>
      <w:r>
        <w:t xml:space="preserve"> a consistent national </w:t>
      </w:r>
      <w:r w:rsidRPr="00A55A90">
        <w:t>approach to ensuring</w:t>
      </w:r>
      <w:r w:rsidRPr="006A0C56">
        <w:t xml:space="preserve"> the safety, health</w:t>
      </w:r>
      <w:r w:rsidRPr="00A55A90">
        <w:t>,</w:t>
      </w:r>
      <w:r w:rsidRPr="006A0C56">
        <w:t xml:space="preserve"> and wellbeing of</w:t>
      </w:r>
      <w:r>
        <w:rPr>
          <w:bCs/>
        </w:rPr>
        <w:t xml:space="preserve"> </w:t>
      </w:r>
      <w:r w:rsidRPr="006A0C56">
        <w:t xml:space="preserve">children </w:t>
      </w:r>
      <w:r w:rsidRPr="00A55A90">
        <w:t xml:space="preserve">in </w:t>
      </w:r>
      <w:r w:rsidRPr="006A0C56">
        <w:t>education and care service</w:t>
      </w:r>
      <w:r>
        <w:t xml:space="preserve">s. </w:t>
      </w:r>
      <w:r w:rsidRPr="00A55A90">
        <w:t xml:space="preserve">While many providers are proactive in managing risks, relying solely on individual services creates inconsistency and gaps. </w:t>
      </w:r>
    </w:p>
    <w:p w14:paraId="331226A1" w14:textId="47DE4E6B" w:rsidR="005A7999" w:rsidRDefault="005A7999" w:rsidP="00653497">
      <w:r>
        <w:t xml:space="preserve">Individual providers or sector bodies may not have the </w:t>
      </w:r>
      <w:r w:rsidRPr="00A37A1F">
        <w:t>reach or resources to implement widespread reform</w:t>
      </w:r>
      <w:r>
        <w:t xml:space="preserve"> by expanding their Codes of Conduct or industry agreements</w:t>
      </w:r>
      <w:r w:rsidRPr="00A37A1F">
        <w:t xml:space="preserve">. </w:t>
      </w:r>
      <w:r>
        <w:t xml:space="preserve">For example, some providers may lack the </w:t>
      </w:r>
      <w:r w:rsidR="002F1D75">
        <w:t xml:space="preserve">training, insight, or resources, to appropriately expand their Code of Conduct while accounting for the cultural needs of all staff and settings, such as in small or single educator model services. </w:t>
      </w:r>
      <w:r w:rsidRPr="00A37A1F">
        <w:t>Fragmented efforts can leave gaps in safety for children attending services in less-resourced areas.</w:t>
      </w:r>
      <w:r>
        <w:t xml:space="preserve"> </w:t>
      </w:r>
    </w:p>
    <w:p w14:paraId="36D533BB" w14:textId="77777777" w:rsidR="00DF6FC3" w:rsidRDefault="00661A1F" w:rsidP="00653497">
      <w:r w:rsidRPr="00661A1F">
        <w:t>Additionally, the outcomes of approved providers’ actions may be limited in comparison to standardised and enforced government interventions</w:t>
      </w:r>
      <w:r w:rsidR="00DF6FC3">
        <w:t>, leading to inconsistent application across the sector</w:t>
      </w:r>
      <w:r w:rsidRPr="00661A1F">
        <w:t xml:space="preserve">. </w:t>
      </w:r>
    </w:p>
    <w:p w14:paraId="0500866E" w14:textId="49E7C36E" w:rsidR="00757641" w:rsidRDefault="00700877" w:rsidP="0072274B">
      <w:r>
        <w:t>Most</w:t>
      </w:r>
      <w:r w:rsidR="00661A1F" w:rsidRPr="00661A1F">
        <w:t xml:space="preserve"> of the sector work hard every</w:t>
      </w:r>
      <w:r w:rsidR="00EE29C5">
        <w:t xml:space="preserve"> </w:t>
      </w:r>
      <w:r w:rsidR="00661A1F" w:rsidRPr="00661A1F">
        <w:t>day to provide safe, high-quality education and care to children; however, Governments across Australia agree that the risk to children’s safety is too significant to leave to voluntary action alone. A nationally coordinated, enforceable approach is essential.</w:t>
      </w:r>
      <w:r w:rsidR="00757641">
        <w:br w:type="page"/>
      </w:r>
    </w:p>
    <w:p w14:paraId="0031DBF1" w14:textId="5F6705A6" w:rsidR="00D601E7" w:rsidRDefault="00D601E7">
      <w:pPr>
        <w:pStyle w:val="Heading1"/>
      </w:pPr>
      <w:bookmarkStart w:id="41" w:name="_3._Responding_to"/>
      <w:bookmarkStart w:id="42" w:name="_3._Management_of"/>
      <w:bookmarkStart w:id="43" w:name="_4._Management_of"/>
      <w:bookmarkStart w:id="44" w:name="_3._Summary_of"/>
      <w:bookmarkStart w:id="45" w:name="_Ref203392578"/>
      <w:bookmarkStart w:id="46" w:name="_Toc205884878"/>
      <w:bookmarkStart w:id="47" w:name="_Toc202887584"/>
      <w:bookmarkEnd w:id="41"/>
      <w:bookmarkEnd w:id="42"/>
      <w:bookmarkEnd w:id="43"/>
      <w:bookmarkEnd w:id="44"/>
      <w:r>
        <w:lastRenderedPageBreak/>
        <w:t>3. Summary of public consultation</w:t>
      </w:r>
      <w:bookmarkEnd w:id="45"/>
      <w:r w:rsidR="005B38F0">
        <w:t xml:space="preserve"> process</w:t>
      </w:r>
      <w:bookmarkEnd w:id="46"/>
    </w:p>
    <w:p w14:paraId="0E5FD067" w14:textId="61020475" w:rsidR="00D601E7" w:rsidRDefault="0060097C">
      <w:r>
        <w:t>A</w:t>
      </w:r>
      <w:r w:rsidR="00D601E7">
        <w:t xml:space="preserve"> comprehensive consultation process, facilitated by Deloitte Access Economics</w:t>
      </w:r>
      <w:r>
        <w:t>, was undertaken on the CRIS</w:t>
      </w:r>
      <w:r w:rsidR="00D601E7">
        <w:t xml:space="preserve"> to inform the </w:t>
      </w:r>
      <w:r>
        <w:t xml:space="preserve">government’s </w:t>
      </w:r>
      <w:r w:rsidR="00D601E7">
        <w:t xml:space="preserve">understanding of the feasible impacts of the options under consideration, and to provide an evidence base for </w:t>
      </w:r>
      <w:r w:rsidR="00AC792B">
        <w:t>governments</w:t>
      </w:r>
      <w:r w:rsidR="00D601E7">
        <w:t xml:space="preserve"> to determine their </w:t>
      </w:r>
      <w:r w:rsidR="004C5562">
        <w:t>recommended option</w:t>
      </w:r>
      <w:r w:rsidR="00D601E7">
        <w:t>s.</w:t>
      </w:r>
    </w:p>
    <w:p w14:paraId="0851FA72" w14:textId="4F58F008" w:rsidR="00F85E2C" w:rsidRPr="000870D3" w:rsidRDefault="00F85E2C" w:rsidP="00F85E2C">
      <w:r>
        <w:t>Public consultation on the CRIS took place over a six-week period from 28 April to 11 June</w:t>
      </w:r>
      <w:r w:rsidR="00A53D5F">
        <w:t xml:space="preserve"> 2025</w:t>
      </w:r>
      <w:r>
        <w:t>.</w:t>
      </w:r>
      <w:r>
        <w:rPr>
          <w:rStyle w:val="FootnoteReference"/>
        </w:rPr>
        <w:footnoteReference w:id="30"/>
      </w:r>
    </w:p>
    <w:p w14:paraId="6BC12FA1" w14:textId="6909F4AF" w:rsidR="00D601E7" w:rsidRPr="004C04BE" w:rsidRDefault="00D601E7">
      <w:r w:rsidRPr="004C04BE">
        <w:t xml:space="preserve">The purpose of consultation was to engage with education and care </w:t>
      </w:r>
      <w:r w:rsidR="00AC792B">
        <w:t>service stakeholders</w:t>
      </w:r>
      <w:r w:rsidR="00AC792B" w:rsidRPr="004C04BE">
        <w:t xml:space="preserve"> </w:t>
      </w:r>
      <w:r w:rsidRPr="004C04BE">
        <w:t>to ensure that:</w:t>
      </w:r>
    </w:p>
    <w:p w14:paraId="6D4D13C5" w14:textId="25262E63" w:rsidR="00D601E7" w:rsidRPr="004C04BE" w:rsidRDefault="00D601E7" w:rsidP="00EC53AB">
      <w:pPr>
        <w:numPr>
          <w:ilvl w:val="0"/>
          <w:numId w:val="63"/>
        </w:numPr>
        <w:ind w:left="426"/>
      </w:pPr>
      <w:r w:rsidRPr="004C04BE">
        <w:t xml:space="preserve">important voices of stakeholders who will be most affected by these proposed changes </w:t>
      </w:r>
      <w:r w:rsidR="00AC792B">
        <w:t>were</w:t>
      </w:r>
      <w:r w:rsidR="00AC792B" w:rsidRPr="004C04BE">
        <w:t xml:space="preserve"> </w:t>
      </w:r>
      <w:r w:rsidRPr="004C04BE">
        <w:t>captured</w:t>
      </w:r>
      <w:r w:rsidR="00841575">
        <w:t>,</w:t>
      </w:r>
    </w:p>
    <w:p w14:paraId="40FC5624" w14:textId="44CE6548" w:rsidR="00D601E7" w:rsidRPr="004C04BE" w:rsidRDefault="00D601E7" w:rsidP="00EC53AB">
      <w:pPr>
        <w:numPr>
          <w:ilvl w:val="0"/>
          <w:numId w:val="63"/>
        </w:numPr>
        <w:ind w:left="426"/>
      </w:pPr>
      <w:r w:rsidRPr="004C04BE">
        <w:t xml:space="preserve">evidence was collected (where available) to demonstrate the risk of harm </w:t>
      </w:r>
      <w:r w:rsidR="00695A65">
        <w:t>across options</w:t>
      </w:r>
      <w:r w:rsidR="00841575">
        <w:t>,</w:t>
      </w:r>
    </w:p>
    <w:p w14:paraId="2B817A5F" w14:textId="3DEA0B91" w:rsidR="00D601E7" w:rsidRPr="004C04BE" w:rsidRDefault="00D601E7" w:rsidP="00EC53AB">
      <w:pPr>
        <w:numPr>
          <w:ilvl w:val="0"/>
          <w:numId w:val="63"/>
        </w:numPr>
        <w:ind w:left="426"/>
      </w:pPr>
      <w:r w:rsidRPr="004C04BE">
        <w:t>a comprehensive list of incremental impacts (costs and benefits) is considered for each policy option</w:t>
      </w:r>
      <w:r w:rsidR="00841575">
        <w:t>,</w:t>
      </w:r>
    </w:p>
    <w:p w14:paraId="21405971" w14:textId="03E15F2A" w:rsidR="00D601E7" w:rsidRPr="004C04BE" w:rsidRDefault="00D601E7" w:rsidP="00EC53AB">
      <w:pPr>
        <w:numPr>
          <w:ilvl w:val="0"/>
          <w:numId w:val="63"/>
        </w:numPr>
        <w:ind w:left="426"/>
      </w:pPr>
      <w:r w:rsidRPr="004C04BE">
        <w:t xml:space="preserve">estimates of </w:t>
      </w:r>
      <w:r w:rsidR="0039607E">
        <w:t xml:space="preserve">incremental </w:t>
      </w:r>
      <w:r w:rsidRPr="004C04BE">
        <w:t xml:space="preserve">costs </w:t>
      </w:r>
      <w:r>
        <w:t xml:space="preserve">(where quantified) </w:t>
      </w:r>
      <w:r w:rsidRPr="004C04BE">
        <w:t xml:space="preserve">are reflective of the </w:t>
      </w:r>
      <w:r w:rsidRPr="00A13929">
        <w:t>actual</w:t>
      </w:r>
      <w:r w:rsidRPr="004C04BE">
        <w:t xml:space="preserve"> (or likely) costs that stakeholder</w:t>
      </w:r>
      <w:r w:rsidR="00AC792B">
        <w:t>s</w:t>
      </w:r>
      <w:r w:rsidRPr="004C04BE">
        <w:t xml:space="preserve"> expect to bear from the implementation of the proposed options.</w:t>
      </w:r>
    </w:p>
    <w:p w14:paraId="3CB4101B" w14:textId="6771F734" w:rsidR="00D601E7" w:rsidRPr="004C04BE" w:rsidRDefault="00D601E7">
      <w:r w:rsidRPr="004C04BE">
        <w:t xml:space="preserve">In accordance with the above purpose, the consultation </w:t>
      </w:r>
      <w:r w:rsidR="00AC792B">
        <w:t>process</w:t>
      </w:r>
      <w:r w:rsidR="00AC792B" w:rsidRPr="004C04BE">
        <w:t xml:space="preserve"> </w:t>
      </w:r>
      <w:r w:rsidRPr="004C04BE">
        <w:t xml:space="preserve">sought to provide adequate opportunity for any stakeholders that may be impacted by the proposed changes to understand these changes and to provide input. Simultaneously, the consultation </w:t>
      </w:r>
      <w:r w:rsidR="00AC792B">
        <w:t>process</w:t>
      </w:r>
      <w:r w:rsidR="00AC792B" w:rsidRPr="004C04BE">
        <w:t xml:space="preserve"> </w:t>
      </w:r>
      <w:r w:rsidRPr="004C04BE">
        <w:t xml:space="preserve">sought to generate a robust evidence base to support the DRIS. A mid-point review was held during the consultation period to highlight any gaps in the evidence collected, refine the approach, and support both these objectives being met. The outcomes of the mid-point review informed the planning of focus groups and targeted consultations with specific groups that were either under-represented </w:t>
      </w:r>
      <w:r w:rsidR="00AC792B">
        <w:t>at</w:t>
      </w:r>
      <w:r w:rsidR="00AC792B" w:rsidRPr="004C04BE">
        <w:t xml:space="preserve"> </w:t>
      </w:r>
      <w:r w:rsidRPr="004C04BE">
        <w:t xml:space="preserve">the mid-point review, held information that was critical to inform the DRIS, or may have faced barriers to participation. </w:t>
      </w:r>
    </w:p>
    <w:p w14:paraId="62DA9D4B" w14:textId="6EEB4E97" w:rsidR="00D601E7" w:rsidRPr="004C04BE" w:rsidRDefault="00D601E7">
      <w:r w:rsidRPr="004C04BE">
        <w:lastRenderedPageBreak/>
        <w:t>SNAICC has played an important role in enabling Aboriginal and Torres Strait Islander voices to be heard and incorporated throughout the consultation process</w:t>
      </w:r>
      <w:r w:rsidR="00740A38">
        <w:t xml:space="preserve"> in a culturally safe environment</w:t>
      </w:r>
      <w:r w:rsidRPr="004C04BE">
        <w:t xml:space="preserve">. </w:t>
      </w:r>
    </w:p>
    <w:p w14:paraId="532C98C6" w14:textId="6B571073" w:rsidR="00D601E7" w:rsidRPr="007B3CE3" w:rsidRDefault="00D601E7">
      <w:r w:rsidRPr="004C04BE">
        <w:t xml:space="preserve">Findings from the consultation process are reflected in the analysis </w:t>
      </w:r>
      <w:r w:rsidR="001B569E">
        <w:t>section in each reform area (see chapters 5 to 10).</w:t>
      </w:r>
      <w:r w:rsidR="00593DE9">
        <w:t xml:space="preserve"> </w:t>
      </w:r>
      <w:r w:rsidR="004250E2">
        <w:t xml:space="preserve">Stakeholder perceptions of the reduction in risk of harm to children </w:t>
      </w:r>
      <w:r w:rsidR="00A86B7A">
        <w:t>are weighted heavily in analysis (see</w:t>
      </w:r>
      <w:r w:rsidR="00090C2C">
        <w:t xml:space="preserve"> Chapter 4 -</w:t>
      </w:r>
      <w:r w:rsidR="00A86B7A">
        <w:t xml:space="preserve"> </w:t>
      </w:r>
      <w:r w:rsidR="00A86B7A">
        <w:fldChar w:fldCharType="begin"/>
      </w:r>
      <w:r w:rsidR="00A86B7A">
        <w:instrText xml:space="preserve"> REF _Ref203456729 \h </w:instrText>
      </w:r>
      <w:r w:rsidR="00A86B7A">
        <w:fldChar w:fldCharType="separate"/>
      </w:r>
      <w:r w:rsidR="00533FCD">
        <w:t>Multi-criteria analysis approach</w:t>
      </w:r>
      <w:r w:rsidR="00A86B7A">
        <w:fldChar w:fldCharType="end"/>
      </w:r>
      <w:r w:rsidR="00A86B7A">
        <w:t>)</w:t>
      </w:r>
      <w:r w:rsidR="00212328">
        <w:t>. Stakeholder</w:t>
      </w:r>
      <w:r w:rsidR="00A86B7A">
        <w:t xml:space="preserve"> preferences</w:t>
      </w:r>
      <w:r w:rsidR="00CE0B2A">
        <w:t xml:space="preserve"> </w:t>
      </w:r>
      <w:r w:rsidR="00212328">
        <w:t>(</w:t>
      </w:r>
      <w:r w:rsidR="00CE0B2A">
        <w:t>including concerns regarding implementation</w:t>
      </w:r>
      <w:r w:rsidR="00212328">
        <w:t>)</w:t>
      </w:r>
      <w:r w:rsidR="00CE0B2A">
        <w:t xml:space="preserve"> and cost also feature in </w:t>
      </w:r>
      <w:r w:rsidR="001C6338">
        <w:t xml:space="preserve">option analysis. Minority views, including from stakeholder groups </w:t>
      </w:r>
      <w:r w:rsidR="00452764">
        <w:t>that</w:t>
      </w:r>
      <w:r w:rsidR="001C6338">
        <w:t xml:space="preserve"> have different opinions to </w:t>
      </w:r>
      <w:r w:rsidR="00452764">
        <w:t>stakeholder</w:t>
      </w:r>
      <w:r w:rsidR="00F378BE">
        <w:t>s</w:t>
      </w:r>
      <w:r w:rsidR="00452764">
        <w:t xml:space="preserve"> on average, are reported in each area of reform, </w:t>
      </w:r>
      <w:r w:rsidR="005F703C">
        <w:t xml:space="preserve">and often form part of the ‘distributional impacts’ analysis of each option (see </w:t>
      </w:r>
      <w:r w:rsidR="00090C2C">
        <w:t xml:space="preserve">Chapter 4 - </w:t>
      </w:r>
      <w:r w:rsidR="005F703C">
        <w:fldChar w:fldCharType="begin"/>
      </w:r>
      <w:r w:rsidR="005F703C">
        <w:instrText xml:space="preserve"> REF _Ref203456904 \h </w:instrText>
      </w:r>
      <w:r w:rsidR="005F703C">
        <w:fldChar w:fldCharType="separate"/>
      </w:r>
      <w:r w:rsidR="00533FCD">
        <w:t>Approach to measuring impact for each reform area</w:t>
      </w:r>
      <w:r w:rsidR="005F703C">
        <w:fldChar w:fldCharType="end"/>
      </w:r>
      <w:r w:rsidR="005F703C">
        <w:t xml:space="preserve">). </w:t>
      </w:r>
      <w:r w:rsidR="00B71AF9">
        <w:t xml:space="preserve">Where there are </w:t>
      </w:r>
      <w:r w:rsidR="001D5EB1">
        <w:t xml:space="preserve">relevant </w:t>
      </w:r>
      <w:r w:rsidR="00E227D8">
        <w:t>Aboriginal and Torres Strait Islander People Stakeholder Views</w:t>
      </w:r>
      <w:r w:rsidR="001D5EB1">
        <w:t>, these are highlighted in boxes</w:t>
      </w:r>
      <w:r w:rsidR="00090C2C">
        <w:t xml:space="preserve"> throughout chapter</w:t>
      </w:r>
      <w:r w:rsidR="007C054D">
        <w:t>s</w:t>
      </w:r>
      <w:r w:rsidR="00090C2C">
        <w:t xml:space="preserve"> 5 to 10.</w:t>
      </w:r>
    </w:p>
    <w:p w14:paraId="34385FFD" w14:textId="77777777" w:rsidR="00A90A68" w:rsidRDefault="00A90A68" w:rsidP="00A90A68">
      <w:pPr>
        <w:pStyle w:val="Heading2"/>
      </w:pPr>
      <w:bookmarkStart w:id="48" w:name="_Toc205884879"/>
      <w:r>
        <w:t>3.1 Pre-CRIS consultations</w:t>
      </w:r>
      <w:bookmarkEnd w:id="48"/>
    </w:p>
    <w:p w14:paraId="50507D85" w14:textId="662B636A" w:rsidR="00D61A90" w:rsidRDefault="00D61A90" w:rsidP="00D61A90">
      <w:pPr>
        <w:pStyle w:val="Heading4"/>
      </w:pPr>
      <w:r>
        <w:t xml:space="preserve">Developing policy options for consultation </w:t>
      </w:r>
    </w:p>
    <w:p w14:paraId="71C74A6B" w14:textId="6D585508" w:rsidR="00A90A68" w:rsidRDefault="00D61A90" w:rsidP="00A90A68">
      <w:r>
        <w:t>Following</w:t>
      </w:r>
      <w:r w:rsidR="00A90A68">
        <w:t xml:space="preserve"> the CSR, the Australian Government and jurisdictions undertook targeted consultations with </w:t>
      </w:r>
      <w:r w:rsidR="000E7096">
        <w:t xml:space="preserve">experts, including </w:t>
      </w:r>
      <w:r w:rsidR="00A90A68">
        <w:t>Regulatory Authorities, the National Office for Child Safety, within the Commonwealth Attorney-General’s Department, the Department of Social Services</w:t>
      </w:r>
      <w:r w:rsidR="00917817">
        <w:t xml:space="preserve">, </w:t>
      </w:r>
      <w:r w:rsidR="00A90A68">
        <w:t>the eSafety Commissioner</w:t>
      </w:r>
      <w:r w:rsidR="00917817">
        <w:t xml:space="preserve">, </w:t>
      </w:r>
      <w:r w:rsidR="00D00934">
        <w:t xml:space="preserve">jurisdictional children’s commissioners </w:t>
      </w:r>
      <w:r w:rsidR="00917817">
        <w:t>and academics</w:t>
      </w:r>
      <w:r w:rsidR="00A90A68">
        <w:t>. These consultations were undertaken for the purposes of inform</w:t>
      </w:r>
      <w:r>
        <w:t>ing the policy options under the areas of reform covered in</w:t>
      </w:r>
      <w:r w:rsidR="00A90A68">
        <w:t xml:space="preserve"> this DRIS. </w:t>
      </w:r>
      <w:r w:rsidR="003849E0">
        <w:t>This was supported by o</w:t>
      </w:r>
      <w:r w:rsidR="00A90A68">
        <w:t>ngoing policy analysis and engagement with experts</w:t>
      </w:r>
      <w:r w:rsidR="003849E0">
        <w:t xml:space="preserve">. </w:t>
      </w:r>
    </w:p>
    <w:p w14:paraId="09ACC97E" w14:textId="14B2906E" w:rsidR="003849E0" w:rsidRDefault="003849E0" w:rsidP="003849E0">
      <w:pPr>
        <w:pStyle w:val="Heading4un-numbered"/>
      </w:pPr>
      <w:r>
        <w:t>Testing the consultation and communication approach</w:t>
      </w:r>
    </w:p>
    <w:p w14:paraId="057EDF17" w14:textId="032ED535" w:rsidR="00A90A68" w:rsidRPr="00347FC5" w:rsidRDefault="00A90A68" w:rsidP="00A90A68">
      <w:r w:rsidRPr="00347FC5">
        <w:t xml:space="preserve">Deloitte Access Economics </w:t>
      </w:r>
      <w:r>
        <w:t>conducted four virtual focus groups on the</w:t>
      </w:r>
      <w:r w:rsidR="008C0329">
        <w:t xml:space="preserve"> initial</w:t>
      </w:r>
      <w:r>
        <w:t xml:space="preserve"> consultation and communication approach. The focus groups were held with the education and care stakeholder group, the Parents and Carers Reference Group (PCRG)</w:t>
      </w:r>
      <w:r w:rsidR="003203B3">
        <w:rPr>
          <w:rStyle w:val="FootnoteReference"/>
        </w:rPr>
        <w:footnoteReference w:id="31"/>
      </w:r>
      <w:r>
        <w:t xml:space="preserve"> and the Regulatory Practice Committee (RPC), </w:t>
      </w:r>
      <w:r w:rsidRPr="5AE086F8">
        <w:rPr>
          <w:rFonts w:eastAsia="Arial" w:cs="Arial"/>
          <w:szCs w:val="22"/>
        </w:rPr>
        <w:t xml:space="preserve">which is convened by ACECQA and includes all state and territory </w:t>
      </w:r>
      <w:r w:rsidR="00842255">
        <w:rPr>
          <w:rFonts w:eastAsia="Arial" w:cs="Arial"/>
          <w:szCs w:val="22"/>
        </w:rPr>
        <w:t>R</w:t>
      </w:r>
      <w:r w:rsidRPr="5AE086F8">
        <w:rPr>
          <w:rFonts w:eastAsia="Arial" w:cs="Arial"/>
          <w:szCs w:val="22"/>
        </w:rPr>
        <w:t xml:space="preserve">egulatory </w:t>
      </w:r>
      <w:r w:rsidR="00842255">
        <w:rPr>
          <w:rFonts w:eastAsia="Arial" w:cs="Arial"/>
          <w:szCs w:val="22"/>
        </w:rPr>
        <w:t>A</w:t>
      </w:r>
      <w:r w:rsidRPr="5AE086F8">
        <w:rPr>
          <w:rFonts w:eastAsia="Arial" w:cs="Arial"/>
          <w:szCs w:val="22"/>
        </w:rPr>
        <w:t>uthorities and the Australian Government</w:t>
      </w:r>
      <w:r>
        <w:t>.</w:t>
      </w:r>
      <w:r w:rsidRPr="00347FC5">
        <w:t xml:space="preserve"> </w:t>
      </w:r>
      <w:r>
        <w:t xml:space="preserve">These </w:t>
      </w:r>
      <w:r w:rsidR="00CD3AEE">
        <w:t>groups</w:t>
      </w:r>
      <w:r>
        <w:t xml:space="preserve"> focused on </w:t>
      </w:r>
      <w:r w:rsidRPr="00347FC5">
        <w:t xml:space="preserve">ensuring that the methods for engagement </w:t>
      </w:r>
      <w:r>
        <w:t>would</w:t>
      </w:r>
      <w:r w:rsidRPr="00347FC5">
        <w:t xml:space="preserve"> adequately provide opportunity for those </w:t>
      </w:r>
      <w:r w:rsidRPr="00347FC5">
        <w:lastRenderedPageBreak/>
        <w:t xml:space="preserve">impacted by the changes to input their views and perspectives and </w:t>
      </w:r>
      <w:r>
        <w:t>ensure the consultation instruments were designed to</w:t>
      </w:r>
      <w:r w:rsidRPr="00347FC5">
        <w:t xml:space="preserve"> maximise engagement in an </w:t>
      </w:r>
      <w:r>
        <w:t>accessible</w:t>
      </w:r>
      <w:r w:rsidRPr="00347FC5">
        <w:t xml:space="preserve"> and inclusive manner. </w:t>
      </w:r>
    </w:p>
    <w:p w14:paraId="6F411E57" w14:textId="75392574" w:rsidR="00A90A68" w:rsidRDefault="005622B4" w:rsidP="00A90A68">
      <w:r>
        <w:t>Feedback from these initial consultations informed further</w:t>
      </w:r>
      <w:r w:rsidR="00A90A68">
        <w:t xml:space="preserve"> refinement</w:t>
      </w:r>
      <w:r>
        <w:t>s</w:t>
      </w:r>
      <w:r w:rsidR="00A90A68">
        <w:t xml:space="preserve"> </w:t>
      </w:r>
      <w:r>
        <w:t>to</w:t>
      </w:r>
      <w:r w:rsidR="00A90A68">
        <w:t xml:space="preserve"> consultation and communication materials, data collection tools, and the overarching approach to public consultation. </w:t>
      </w:r>
    </w:p>
    <w:p w14:paraId="2425C98D" w14:textId="4C284B4B" w:rsidR="00D601E7" w:rsidRDefault="00DC7C9E">
      <w:pPr>
        <w:pStyle w:val="Heading2"/>
      </w:pPr>
      <w:r>
        <w:t xml:space="preserve"> </w:t>
      </w:r>
      <w:bookmarkStart w:id="49" w:name="_Toc205884880"/>
      <w:r w:rsidR="00D601E7">
        <w:t>3.2 Public consultation</w:t>
      </w:r>
      <w:bookmarkEnd w:id="49"/>
      <w:r w:rsidR="00D601E7">
        <w:t xml:space="preserve"> </w:t>
      </w:r>
    </w:p>
    <w:p w14:paraId="2CB4C350" w14:textId="77777777" w:rsidR="00D601E7" w:rsidRDefault="00D601E7">
      <w:pPr>
        <w:pStyle w:val="Heading3"/>
      </w:pPr>
      <w:r>
        <w:t>Consultation approach</w:t>
      </w:r>
    </w:p>
    <w:p w14:paraId="54C0921C" w14:textId="14AD530D" w:rsidR="00D601E7" w:rsidRPr="00D00E97" w:rsidRDefault="00D601E7">
      <w:pPr>
        <w:pStyle w:val="NoSpacing"/>
        <w:spacing w:line="360" w:lineRule="auto"/>
        <w:rPr>
          <w:iCs/>
        </w:rPr>
      </w:pPr>
      <w:r w:rsidRPr="00D00E97">
        <w:rPr>
          <w:iCs/>
        </w:rPr>
        <w:t>The consultation approach involved a range of consultative activities over three phases:</w:t>
      </w:r>
    </w:p>
    <w:p w14:paraId="3ED1C7E2" w14:textId="2E3E6F71" w:rsidR="00D601E7" w:rsidRPr="00D00E97" w:rsidRDefault="00D601E7" w:rsidP="00EC53AB">
      <w:pPr>
        <w:pStyle w:val="NoSpacing"/>
        <w:numPr>
          <w:ilvl w:val="0"/>
          <w:numId w:val="74"/>
        </w:numPr>
        <w:spacing w:line="360" w:lineRule="auto"/>
        <w:ind w:left="426"/>
        <w:rPr>
          <w:iCs/>
        </w:rPr>
      </w:pPr>
      <w:r>
        <w:rPr>
          <w:iCs/>
        </w:rPr>
        <w:t>e</w:t>
      </w:r>
      <w:r w:rsidRPr="00D00E97">
        <w:rPr>
          <w:iCs/>
        </w:rPr>
        <w:t xml:space="preserve">ngage stakeholders – using information webinars, a public webpage and summary documents of the </w:t>
      </w:r>
      <w:r w:rsidR="00681DBE">
        <w:rPr>
          <w:iCs/>
        </w:rPr>
        <w:t>CRIS</w:t>
      </w:r>
      <w:r w:rsidR="00841575">
        <w:rPr>
          <w:iCs/>
        </w:rPr>
        <w:t>,</w:t>
      </w:r>
    </w:p>
    <w:p w14:paraId="0F59269D" w14:textId="14619CC7" w:rsidR="00D601E7" w:rsidRPr="00D00E97" w:rsidRDefault="00C26731" w:rsidP="00EC53AB">
      <w:pPr>
        <w:pStyle w:val="NoSpacing"/>
        <w:numPr>
          <w:ilvl w:val="0"/>
          <w:numId w:val="74"/>
        </w:numPr>
        <w:spacing w:line="360" w:lineRule="auto"/>
        <w:ind w:left="426"/>
        <w:rPr>
          <w:iCs/>
        </w:rPr>
      </w:pPr>
      <w:r>
        <w:rPr>
          <w:iCs/>
        </w:rPr>
        <w:t>seek broad public</w:t>
      </w:r>
      <w:r w:rsidR="005B6E14">
        <w:rPr>
          <w:iCs/>
        </w:rPr>
        <w:t xml:space="preserve"> feedback</w:t>
      </w:r>
      <w:r w:rsidR="00D601E7" w:rsidRPr="00D00E97">
        <w:rPr>
          <w:iCs/>
        </w:rPr>
        <w:t xml:space="preserve"> – using virtual forums (</w:t>
      </w:r>
      <w:r w:rsidR="00D601E7">
        <w:t>eight forums</w:t>
      </w:r>
      <w:r w:rsidR="00D601E7" w:rsidRPr="00D00E97">
        <w:rPr>
          <w:iCs/>
        </w:rPr>
        <w:t xml:space="preserve"> by state and territory and </w:t>
      </w:r>
      <w:r w:rsidR="00D601E7">
        <w:t>two</w:t>
      </w:r>
      <w:r w:rsidR="00D601E7" w:rsidRPr="00D00E97">
        <w:rPr>
          <w:iCs/>
        </w:rPr>
        <w:t xml:space="preserve"> national forums), surveys and submissions</w:t>
      </w:r>
      <w:r w:rsidR="00841575">
        <w:rPr>
          <w:iCs/>
        </w:rPr>
        <w:t>,</w:t>
      </w:r>
      <w:r w:rsidR="00D601E7" w:rsidRPr="00D00E97">
        <w:rPr>
          <w:iCs/>
        </w:rPr>
        <w:t xml:space="preserve"> </w:t>
      </w:r>
    </w:p>
    <w:p w14:paraId="3C3B621F" w14:textId="1205FB95" w:rsidR="003822CF" w:rsidRPr="0072274B" w:rsidRDefault="00D601E7" w:rsidP="0072274B">
      <w:pPr>
        <w:pStyle w:val="NoSpacing"/>
        <w:numPr>
          <w:ilvl w:val="0"/>
          <w:numId w:val="74"/>
        </w:numPr>
        <w:spacing w:after="240" w:line="360" w:lineRule="auto"/>
        <w:ind w:left="426"/>
        <w:rPr>
          <w:iCs/>
        </w:rPr>
      </w:pPr>
      <w:r>
        <w:rPr>
          <w:iCs/>
        </w:rPr>
        <w:t>t</w:t>
      </w:r>
      <w:r w:rsidRPr="00D00E97">
        <w:rPr>
          <w:iCs/>
        </w:rPr>
        <w:t xml:space="preserve">argeted consultation </w:t>
      </w:r>
      <w:r>
        <w:rPr>
          <w:iCs/>
        </w:rPr>
        <w:t>–</w:t>
      </w:r>
      <w:r w:rsidRPr="00D00E97">
        <w:rPr>
          <w:iCs/>
        </w:rPr>
        <w:t xml:space="preserve"> targeting voices that </w:t>
      </w:r>
      <w:r>
        <w:rPr>
          <w:iCs/>
        </w:rPr>
        <w:t>were</w:t>
      </w:r>
      <w:r w:rsidRPr="00D00E97">
        <w:rPr>
          <w:iCs/>
        </w:rPr>
        <w:t xml:space="preserve"> critical to understanding impacts and may be less heard through focus groups and consultations. </w:t>
      </w:r>
    </w:p>
    <w:p w14:paraId="4BFC25BB" w14:textId="19425706" w:rsidR="00D601E7" w:rsidRPr="00E655FC" w:rsidRDefault="00D601E7">
      <w:pPr>
        <w:pStyle w:val="Caption"/>
      </w:pPr>
      <w:bookmarkStart w:id="50" w:name="_Toc205884924"/>
      <w:r>
        <w:t>Table 3.1: Overview of consultation and engagement</w:t>
      </w:r>
      <w:bookmarkEnd w:id="50"/>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3.1: Overview of consultation and engagement"/>
        <w:tblDescription w:val="This table describes the number of individuals engaged through different elements of the consultation process."/>
      </w:tblPr>
      <w:tblGrid>
        <w:gridCol w:w="2966"/>
        <w:gridCol w:w="1698"/>
        <w:gridCol w:w="4504"/>
        <w:gridCol w:w="23"/>
        <w:gridCol w:w="23"/>
      </w:tblGrid>
      <w:tr w:rsidR="00D601E7" w14:paraId="12F8FBD5" w14:textId="77777777" w:rsidTr="003822CF">
        <w:trPr>
          <w:trHeight w:val="259"/>
          <w:tblHeader/>
        </w:trPr>
        <w:tc>
          <w:tcPr>
            <w:tcW w:w="2972" w:type="dxa"/>
            <w:shd w:val="clear" w:color="auto" w:fill="14233C" w:themeFill="text2"/>
          </w:tcPr>
          <w:p w14:paraId="7CF555B3" w14:textId="77777777" w:rsidR="00D601E7" w:rsidRPr="008D7FE2" w:rsidRDefault="00D601E7">
            <w:pPr>
              <w:pStyle w:val="NoSpacing"/>
              <w:spacing w:line="360" w:lineRule="auto"/>
              <w:rPr>
                <w:b/>
                <w:color w:val="FFFFFF" w:themeColor="background1"/>
                <w:szCs w:val="22"/>
              </w:rPr>
            </w:pPr>
            <w:r w:rsidRPr="008D7FE2">
              <w:rPr>
                <w:b/>
                <w:color w:val="FFFFFF" w:themeColor="background1"/>
                <w:szCs w:val="22"/>
              </w:rPr>
              <w:t>Consultation mechanism</w:t>
            </w:r>
          </w:p>
        </w:tc>
        <w:tc>
          <w:tcPr>
            <w:tcW w:w="1701" w:type="dxa"/>
            <w:shd w:val="clear" w:color="auto" w:fill="14233C" w:themeFill="text2"/>
          </w:tcPr>
          <w:p w14:paraId="6AE5B055" w14:textId="77777777" w:rsidR="00D601E7" w:rsidRPr="008D7FE2" w:rsidRDefault="00D601E7">
            <w:pPr>
              <w:pStyle w:val="NoSpacing"/>
              <w:spacing w:line="360" w:lineRule="auto"/>
              <w:rPr>
                <w:b/>
                <w:color w:val="FFFFFF" w:themeColor="background1"/>
                <w:szCs w:val="22"/>
              </w:rPr>
            </w:pPr>
            <w:r w:rsidRPr="008D7FE2">
              <w:rPr>
                <w:b/>
                <w:color w:val="FFFFFF" w:themeColor="background1"/>
                <w:szCs w:val="22"/>
              </w:rPr>
              <w:t>Number held</w:t>
            </w:r>
          </w:p>
        </w:tc>
        <w:tc>
          <w:tcPr>
            <w:tcW w:w="4541" w:type="dxa"/>
            <w:gridSpan w:val="3"/>
            <w:shd w:val="clear" w:color="auto" w:fill="14233C" w:themeFill="text2"/>
          </w:tcPr>
          <w:p w14:paraId="08AA93E9" w14:textId="77777777" w:rsidR="00D601E7" w:rsidRPr="008D7FE2" w:rsidRDefault="00D601E7">
            <w:pPr>
              <w:pStyle w:val="NoSpacing"/>
              <w:spacing w:line="360" w:lineRule="auto"/>
              <w:rPr>
                <w:b/>
                <w:color w:val="FFFFFF" w:themeColor="background1"/>
                <w:szCs w:val="22"/>
              </w:rPr>
            </w:pPr>
            <w:r w:rsidRPr="008D7FE2">
              <w:rPr>
                <w:b/>
                <w:color w:val="FFFFFF" w:themeColor="background1"/>
                <w:szCs w:val="22"/>
              </w:rPr>
              <w:t>Number of individuals engaged</w:t>
            </w:r>
          </w:p>
        </w:tc>
      </w:tr>
      <w:tr w:rsidR="00D601E7" w14:paraId="342B841F" w14:textId="77777777" w:rsidTr="002E1A93">
        <w:trPr>
          <w:gridAfter w:val="1"/>
          <w:wAfter w:w="23" w:type="dxa"/>
          <w:trHeight w:val="370"/>
        </w:trPr>
        <w:tc>
          <w:tcPr>
            <w:tcW w:w="2972" w:type="dxa"/>
          </w:tcPr>
          <w:p w14:paraId="74E1D7F8" w14:textId="77777777" w:rsidR="00D601E7" w:rsidRPr="008D7FE2" w:rsidRDefault="00D601E7">
            <w:pPr>
              <w:pStyle w:val="NoSpacing"/>
              <w:spacing w:line="360" w:lineRule="auto"/>
              <w:rPr>
                <w:szCs w:val="22"/>
              </w:rPr>
            </w:pPr>
            <w:r w:rsidRPr="008D7FE2">
              <w:rPr>
                <w:szCs w:val="22"/>
              </w:rPr>
              <w:t>Pre-CRIS consultations</w:t>
            </w:r>
          </w:p>
        </w:tc>
        <w:tc>
          <w:tcPr>
            <w:tcW w:w="1701" w:type="dxa"/>
          </w:tcPr>
          <w:p w14:paraId="17272AC6" w14:textId="77777777" w:rsidR="00D601E7" w:rsidRPr="008D7FE2" w:rsidRDefault="00D601E7">
            <w:pPr>
              <w:pStyle w:val="NoSpacing"/>
              <w:spacing w:line="360" w:lineRule="auto"/>
              <w:rPr>
                <w:szCs w:val="22"/>
              </w:rPr>
            </w:pPr>
            <w:r w:rsidRPr="008D7FE2">
              <w:rPr>
                <w:szCs w:val="22"/>
              </w:rPr>
              <w:t>5 focus groups</w:t>
            </w:r>
          </w:p>
        </w:tc>
        <w:tc>
          <w:tcPr>
            <w:tcW w:w="4541" w:type="dxa"/>
            <w:gridSpan w:val="2"/>
          </w:tcPr>
          <w:p w14:paraId="54A0B423" w14:textId="6F888399" w:rsidR="00D601E7" w:rsidRPr="008D7FE2" w:rsidRDefault="00D601E7">
            <w:pPr>
              <w:pStyle w:val="NoSpacing"/>
              <w:spacing w:line="360" w:lineRule="auto"/>
              <w:rPr>
                <w:szCs w:val="22"/>
              </w:rPr>
            </w:pPr>
            <w:r w:rsidRPr="008D7FE2">
              <w:rPr>
                <w:szCs w:val="22"/>
              </w:rPr>
              <w:t xml:space="preserve">39, in addition to </w:t>
            </w:r>
            <w:r w:rsidR="005622B4">
              <w:rPr>
                <w:szCs w:val="22"/>
              </w:rPr>
              <w:t>PCRG</w:t>
            </w:r>
            <w:r w:rsidRPr="008D7FE2">
              <w:rPr>
                <w:szCs w:val="22"/>
              </w:rPr>
              <w:t xml:space="preserve"> members</w:t>
            </w:r>
          </w:p>
        </w:tc>
      </w:tr>
      <w:tr w:rsidR="00D601E7" w14:paraId="7D2718E5" w14:textId="77777777" w:rsidTr="002E1A93">
        <w:trPr>
          <w:gridAfter w:val="1"/>
          <w:wAfter w:w="23" w:type="dxa"/>
          <w:trHeight w:val="370"/>
        </w:trPr>
        <w:tc>
          <w:tcPr>
            <w:tcW w:w="2972" w:type="dxa"/>
          </w:tcPr>
          <w:p w14:paraId="04787833" w14:textId="77777777" w:rsidR="00D601E7" w:rsidRPr="008D7FE2" w:rsidRDefault="00D601E7">
            <w:pPr>
              <w:pStyle w:val="NoSpacing"/>
              <w:spacing w:line="360" w:lineRule="auto"/>
              <w:rPr>
                <w:szCs w:val="22"/>
              </w:rPr>
            </w:pPr>
            <w:r w:rsidRPr="008D7FE2">
              <w:rPr>
                <w:szCs w:val="22"/>
              </w:rPr>
              <w:t>Jurisdictional and National virtual forums</w:t>
            </w:r>
          </w:p>
        </w:tc>
        <w:tc>
          <w:tcPr>
            <w:tcW w:w="1701" w:type="dxa"/>
          </w:tcPr>
          <w:p w14:paraId="1CA7F553" w14:textId="77777777" w:rsidR="00D601E7" w:rsidRPr="008D7FE2" w:rsidRDefault="00D601E7">
            <w:pPr>
              <w:pStyle w:val="NoSpacing"/>
              <w:spacing w:line="360" w:lineRule="auto"/>
              <w:rPr>
                <w:szCs w:val="22"/>
              </w:rPr>
            </w:pPr>
            <w:r w:rsidRPr="008D7FE2">
              <w:rPr>
                <w:szCs w:val="22"/>
              </w:rPr>
              <w:t>10</w:t>
            </w:r>
          </w:p>
        </w:tc>
        <w:tc>
          <w:tcPr>
            <w:tcW w:w="4541" w:type="dxa"/>
            <w:gridSpan w:val="2"/>
          </w:tcPr>
          <w:p w14:paraId="727B3EDA" w14:textId="77777777" w:rsidR="00D601E7" w:rsidRPr="008D7FE2" w:rsidRDefault="00D601E7">
            <w:pPr>
              <w:pStyle w:val="NoSpacing"/>
              <w:spacing w:line="360" w:lineRule="auto"/>
              <w:rPr>
                <w:szCs w:val="22"/>
              </w:rPr>
            </w:pPr>
            <w:r w:rsidRPr="008D7FE2">
              <w:rPr>
                <w:szCs w:val="22"/>
              </w:rPr>
              <w:t>207</w:t>
            </w:r>
          </w:p>
        </w:tc>
      </w:tr>
      <w:tr w:rsidR="00D601E7" w14:paraId="7DE72011" w14:textId="77777777" w:rsidTr="002E1A93">
        <w:trPr>
          <w:gridAfter w:val="1"/>
          <w:wAfter w:w="23" w:type="dxa"/>
          <w:trHeight w:val="370"/>
        </w:trPr>
        <w:tc>
          <w:tcPr>
            <w:tcW w:w="2972" w:type="dxa"/>
          </w:tcPr>
          <w:p w14:paraId="5FF2F204" w14:textId="77777777" w:rsidR="00D601E7" w:rsidRPr="008D7FE2" w:rsidRDefault="00D601E7">
            <w:pPr>
              <w:pStyle w:val="NoSpacing"/>
              <w:spacing w:line="360" w:lineRule="auto"/>
              <w:rPr>
                <w:szCs w:val="22"/>
              </w:rPr>
            </w:pPr>
            <w:r w:rsidRPr="008D7FE2">
              <w:rPr>
                <w:szCs w:val="22"/>
              </w:rPr>
              <w:t>Surveys</w:t>
            </w:r>
          </w:p>
        </w:tc>
        <w:tc>
          <w:tcPr>
            <w:tcW w:w="1701" w:type="dxa"/>
          </w:tcPr>
          <w:p w14:paraId="063B61CB" w14:textId="77777777" w:rsidR="00D601E7" w:rsidRPr="008D7FE2" w:rsidRDefault="00D601E7">
            <w:pPr>
              <w:pStyle w:val="NoSpacing"/>
              <w:spacing w:line="360" w:lineRule="auto"/>
              <w:rPr>
                <w:szCs w:val="22"/>
              </w:rPr>
            </w:pPr>
            <w:r w:rsidRPr="008D7FE2">
              <w:rPr>
                <w:szCs w:val="22"/>
              </w:rPr>
              <w:t>3 surveys</w:t>
            </w:r>
          </w:p>
        </w:tc>
        <w:tc>
          <w:tcPr>
            <w:tcW w:w="4541" w:type="dxa"/>
            <w:gridSpan w:val="2"/>
          </w:tcPr>
          <w:p w14:paraId="2F235029" w14:textId="77777777" w:rsidR="00D601E7" w:rsidRPr="008D7FE2" w:rsidRDefault="00D601E7">
            <w:pPr>
              <w:pStyle w:val="NoSpacing"/>
              <w:spacing w:line="360" w:lineRule="auto"/>
              <w:rPr>
                <w:szCs w:val="22"/>
              </w:rPr>
            </w:pPr>
            <w:bookmarkStart w:id="51" w:name="_Hlk202857498"/>
            <w:r w:rsidRPr="008D7FE2">
              <w:rPr>
                <w:szCs w:val="22"/>
              </w:rPr>
              <w:t>295 approved provider surveys completed*</w:t>
            </w:r>
          </w:p>
          <w:p w14:paraId="78C6FD32" w14:textId="77777777" w:rsidR="00D601E7" w:rsidRPr="008D7FE2" w:rsidRDefault="00D601E7">
            <w:pPr>
              <w:pStyle w:val="NoSpacing"/>
              <w:spacing w:line="360" w:lineRule="auto"/>
              <w:rPr>
                <w:szCs w:val="22"/>
              </w:rPr>
            </w:pPr>
            <w:r w:rsidRPr="008D7FE2">
              <w:rPr>
                <w:szCs w:val="22"/>
              </w:rPr>
              <w:t>522 workforce surveys completed*</w:t>
            </w:r>
          </w:p>
          <w:p w14:paraId="04EC723C" w14:textId="77777777" w:rsidR="00D601E7" w:rsidRPr="008D7FE2" w:rsidRDefault="00D601E7">
            <w:pPr>
              <w:pStyle w:val="NoSpacing"/>
              <w:spacing w:line="360" w:lineRule="auto"/>
              <w:rPr>
                <w:szCs w:val="22"/>
              </w:rPr>
            </w:pPr>
            <w:r w:rsidRPr="008D7FE2">
              <w:rPr>
                <w:szCs w:val="22"/>
              </w:rPr>
              <w:t>190 family, carer and parent surveys completed</w:t>
            </w:r>
            <w:bookmarkEnd w:id="51"/>
          </w:p>
        </w:tc>
      </w:tr>
      <w:tr w:rsidR="00D601E7" w14:paraId="067D683F" w14:textId="77777777" w:rsidTr="002E1A93">
        <w:trPr>
          <w:gridAfter w:val="1"/>
          <w:wAfter w:w="23" w:type="dxa"/>
          <w:trHeight w:val="370"/>
        </w:trPr>
        <w:tc>
          <w:tcPr>
            <w:tcW w:w="2972" w:type="dxa"/>
          </w:tcPr>
          <w:p w14:paraId="26C615D4" w14:textId="77777777" w:rsidR="00D601E7" w:rsidRPr="008D7FE2" w:rsidRDefault="00D601E7">
            <w:pPr>
              <w:pStyle w:val="NoSpacing"/>
              <w:spacing w:line="360" w:lineRule="auto"/>
              <w:rPr>
                <w:szCs w:val="22"/>
              </w:rPr>
            </w:pPr>
            <w:r w:rsidRPr="008D7FE2">
              <w:rPr>
                <w:szCs w:val="22"/>
              </w:rPr>
              <w:t>Submissions</w:t>
            </w:r>
          </w:p>
        </w:tc>
        <w:tc>
          <w:tcPr>
            <w:tcW w:w="1701" w:type="dxa"/>
          </w:tcPr>
          <w:p w14:paraId="18401DFD" w14:textId="77777777" w:rsidR="00D601E7" w:rsidRPr="008D7FE2" w:rsidRDefault="00D601E7">
            <w:pPr>
              <w:pStyle w:val="NoSpacing"/>
              <w:spacing w:line="360" w:lineRule="auto"/>
              <w:rPr>
                <w:szCs w:val="22"/>
              </w:rPr>
            </w:pPr>
            <w:r w:rsidRPr="008D7FE2">
              <w:rPr>
                <w:szCs w:val="22"/>
              </w:rPr>
              <w:t>N/A</w:t>
            </w:r>
          </w:p>
        </w:tc>
        <w:tc>
          <w:tcPr>
            <w:tcW w:w="4541" w:type="dxa"/>
            <w:gridSpan w:val="2"/>
          </w:tcPr>
          <w:p w14:paraId="6ECB40AF" w14:textId="36B5FB2A" w:rsidR="00D601E7" w:rsidRPr="008D7FE2" w:rsidRDefault="00E92032">
            <w:pPr>
              <w:pStyle w:val="NoSpacing"/>
              <w:spacing w:line="360" w:lineRule="auto"/>
              <w:rPr>
                <w:szCs w:val="22"/>
              </w:rPr>
            </w:pPr>
            <w:r>
              <w:t>14</w:t>
            </w:r>
            <w:r w:rsidR="588056E3">
              <w:t>5</w:t>
            </w:r>
            <w:r>
              <w:rPr>
                <w:szCs w:val="22"/>
              </w:rPr>
              <w:t>**</w:t>
            </w:r>
          </w:p>
        </w:tc>
      </w:tr>
      <w:tr w:rsidR="00D601E7" w14:paraId="216B3F06" w14:textId="77777777" w:rsidTr="002E1A93">
        <w:trPr>
          <w:gridAfter w:val="1"/>
          <w:wAfter w:w="23" w:type="dxa"/>
          <w:trHeight w:val="370"/>
        </w:trPr>
        <w:tc>
          <w:tcPr>
            <w:tcW w:w="2972" w:type="dxa"/>
          </w:tcPr>
          <w:p w14:paraId="1414F74E" w14:textId="77777777" w:rsidR="00D601E7" w:rsidRPr="008D7FE2" w:rsidRDefault="00D601E7">
            <w:pPr>
              <w:pStyle w:val="NoSpacing"/>
              <w:spacing w:line="360" w:lineRule="auto"/>
              <w:rPr>
                <w:szCs w:val="22"/>
              </w:rPr>
            </w:pPr>
            <w:r w:rsidRPr="008D7FE2">
              <w:rPr>
                <w:szCs w:val="22"/>
              </w:rPr>
              <w:t>Focus Groups</w:t>
            </w:r>
          </w:p>
        </w:tc>
        <w:tc>
          <w:tcPr>
            <w:tcW w:w="1701" w:type="dxa"/>
          </w:tcPr>
          <w:p w14:paraId="03602A94" w14:textId="77777777" w:rsidR="00D601E7" w:rsidRPr="008D7FE2" w:rsidRDefault="00D601E7">
            <w:pPr>
              <w:pStyle w:val="NoSpacing"/>
              <w:spacing w:line="360" w:lineRule="auto"/>
              <w:rPr>
                <w:szCs w:val="22"/>
              </w:rPr>
            </w:pPr>
            <w:r w:rsidRPr="008D7FE2">
              <w:rPr>
                <w:szCs w:val="22"/>
              </w:rPr>
              <w:t>11</w:t>
            </w:r>
          </w:p>
        </w:tc>
        <w:tc>
          <w:tcPr>
            <w:tcW w:w="4541" w:type="dxa"/>
            <w:gridSpan w:val="2"/>
          </w:tcPr>
          <w:p w14:paraId="1B4E2EEF" w14:textId="77777777" w:rsidR="00D601E7" w:rsidRPr="008D7FE2" w:rsidRDefault="00D601E7">
            <w:pPr>
              <w:pStyle w:val="NoSpacing"/>
              <w:spacing w:line="360" w:lineRule="auto"/>
              <w:rPr>
                <w:szCs w:val="22"/>
              </w:rPr>
            </w:pPr>
            <w:r w:rsidRPr="008D7FE2">
              <w:rPr>
                <w:szCs w:val="22"/>
              </w:rPr>
              <w:t>64 (excluding SNAICC-facilitated consultation)</w:t>
            </w:r>
          </w:p>
        </w:tc>
      </w:tr>
      <w:tr w:rsidR="00D601E7" w14:paraId="5708E2CF" w14:textId="77777777" w:rsidTr="002E1A93">
        <w:trPr>
          <w:gridAfter w:val="1"/>
          <w:wAfter w:w="23" w:type="dxa"/>
          <w:trHeight w:val="370"/>
        </w:trPr>
        <w:tc>
          <w:tcPr>
            <w:tcW w:w="2972" w:type="dxa"/>
          </w:tcPr>
          <w:p w14:paraId="2A5D8580" w14:textId="77777777" w:rsidR="00D601E7" w:rsidRPr="008D7FE2" w:rsidRDefault="00D601E7">
            <w:pPr>
              <w:pStyle w:val="NoSpacing"/>
              <w:spacing w:line="360" w:lineRule="auto"/>
              <w:rPr>
                <w:szCs w:val="22"/>
              </w:rPr>
            </w:pPr>
            <w:r w:rsidRPr="008D7FE2">
              <w:rPr>
                <w:szCs w:val="22"/>
              </w:rPr>
              <w:t>Targeted consultation</w:t>
            </w:r>
          </w:p>
        </w:tc>
        <w:tc>
          <w:tcPr>
            <w:tcW w:w="1701" w:type="dxa"/>
          </w:tcPr>
          <w:p w14:paraId="60D73B71" w14:textId="77777777" w:rsidR="00D601E7" w:rsidRPr="008D7FE2" w:rsidRDefault="00D601E7">
            <w:pPr>
              <w:pStyle w:val="NoSpacing"/>
              <w:spacing w:line="360" w:lineRule="auto"/>
              <w:rPr>
                <w:szCs w:val="22"/>
              </w:rPr>
            </w:pPr>
            <w:r w:rsidRPr="008D7FE2">
              <w:rPr>
                <w:szCs w:val="22"/>
              </w:rPr>
              <w:t>5</w:t>
            </w:r>
          </w:p>
        </w:tc>
        <w:tc>
          <w:tcPr>
            <w:tcW w:w="4541" w:type="dxa"/>
            <w:gridSpan w:val="2"/>
          </w:tcPr>
          <w:p w14:paraId="3C1043E1" w14:textId="77777777" w:rsidR="00D601E7" w:rsidRPr="008D7FE2" w:rsidRDefault="00D601E7">
            <w:pPr>
              <w:pStyle w:val="NoSpacing"/>
              <w:spacing w:line="360" w:lineRule="auto"/>
              <w:rPr>
                <w:szCs w:val="22"/>
              </w:rPr>
            </w:pPr>
            <w:r w:rsidRPr="008D7FE2">
              <w:rPr>
                <w:szCs w:val="22"/>
              </w:rPr>
              <w:t>8</w:t>
            </w:r>
          </w:p>
        </w:tc>
      </w:tr>
      <w:tr w:rsidR="00D601E7" w14:paraId="231546E1" w14:textId="77777777" w:rsidTr="002E1A93">
        <w:trPr>
          <w:gridAfter w:val="2"/>
          <w:wAfter w:w="23" w:type="dxa"/>
          <w:trHeight w:val="370"/>
        </w:trPr>
        <w:tc>
          <w:tcPr>
            <w:tcW w:w="4673" w:type="dxa"/>
            <w:gridSpan w:val="2"/>
          </w:tcPr>
          <w:p w14:paraId="0AF1F166" w14:textId="77777777" w:rsidR="00D601E7" w:rsidRPr="008D7FE2" w:rsidRDefault="00D601E7">
            <w:pPr>
              <w:pStyle w:val="NoSpacing"/>
              <w:spacing w:line="360" w:lineRule="auto"/>
              <w:rPr>
                <w:szCs w:val="22"/>
              </w:rPr>
            </w:pPr>
            <w:r w:rsidRPr="008D7FE2">
              <w:rPr>
                <w:b/>
                <w:bCs/>
                <w:szCs w:val="22"/>
              </w:rPr>
              <w:t>Total individuals providing input</w:t>
            </w:r>
          </w:p>
        </w:tc>
        <w:tc>
          <w:tcPr>
            <w:tcW w:w="4518" w:type="dxa"/>
          </w:tcPr>
          <w:p w14:paraId="7EC6937E" w14:textId="7E715AD7" w:rsidR="00D601E7" w:rsidRPr="000C6A7E" w:rsidRDefault="00D601E7">
            <w:pPr>
              <w:pStyle w:val="NoSpacing"/>
              <w:spacing w:line="360" w:lineRule="auto"/>
              <w:rPr>
                <w:szCs w:val="22"/>
              </w:rPr>
            </w:pPr>
            <w:r w:rsidRPr="000C6A7E">
              <w:rPr>
                <w:szCs w:val="22"/>
              </w:rPr>
              <w:t>1,</w:t>
            </w:r>
            <w:r w:rsidR="006C459D" w:rsidRPr="000C6A7E">
              <w:rPr>
                <w:szCs w:val="22"/>
              </w:rPr>
              <w:t>47</w:t>
            </w:r>
            <w:r w:rsidR="00EE5FEE" w:rsidRPr="000C6A7E">
              <w:rPr>
                <w:szCs w:val="22"/>
              </w:rPr>
              <w:t>0</w:t>
            </w:r>
            <w:r w:rsidRPr="000C6A7E">
              <w:rPr>
                <w:szCs w:val="22"/>
              </w:rPr>
              <w:t>**</w:t>
            </w:r>
          </w:p>
        </w:tc>
      </w:tr>
      <w:tr w:rsidR="00D601E7" w14:paraId="2B0651AD" w14:textId="77777777" w:rsidTr="002E1A93">
        <w:trPr>
          <w:gridAfter w:val="2"/>
          <w:wAfter w:w="23" w:type="dxa"/>
          <w:trHeight w:val="370"/>
        </w:trPr>
        <w:tc>
          <w:tcPr>
            <w:tcW w:w="2972" w:type="dxa"/>
          </w:tcPr>
          <w:p w14:paraId="024CF431" w14:textId="77777777" w:rsidR="00D601E7" w:rsidRPr="008D7FE2" w:rsidRDefault="00D601E7">
            <w:pPr>
              <w:pStyle w:val="NoSpacing"/>
              <w:spacing w:line="360" w:lineRule="auto"/>
              <w:rPr>
                <w:b/>
                <w:bCs/>
                <w:szCs w:val="22"/>
              </w:rPr>
            </w:pPr>
            <w:r w:rsidRPr="008D7FE2">
              <w:rPr>
                <w:szCs w:val="22"/>
              </w:rPr>
              <w:t>Information webinars</w:t>
            </w:r>
          </w:p>
        </w:tc>
        <w:tc>
          <w:tcPr>
            <w:tcW w:w="1701" w:type="dxa"/>
          </w:tcPr>
          <w:p w14:paraId="5D40B618" w14:textId="77777777" w:rsidR="00D601E7" w:rsidRPr="008D7FE2" w:rsidRDefault="00D601E7">
            <w:pPr>
              <w:pStyle w:val="NoSpacing"/>
              <w:spacing w:line="360" w:lineRule="auto"/>
              <w:rPr>
                <w:b/>
                <w:bCs/>
                <w:szCs w:val="22"/>
              </w:rPr>
            </w:pPr>
            <w:r w:rsidRPr="008D7FE2">
              <w:rPr>
                <w:szCs w:val="22"/>
              </w:rPr>
              <w:t>9</w:t>
            </w:r>
          </w:p>
        </w:tc>
        <w:tc>
          <w:tcPr>
            <w:tcW w:w="4518" w:type="dxa"/>
          </w:tcPr>
          <w:p w14:paraId="16969CB4" w14:textId="77777777" w:rsidR="00D601E7" w:rsidRPr="000C6A7E" w:rsidRDefault="00D601E7">
            <w:pPr>
              <w:pStyle w:val="NoSpacing"/>
              <w:spacing w:line="360" w:lineRule="auto"/>
              <w:rPr>
                <w:szCs w:val="22"/>
              </w:rPr>
            </w:pPr>
            <w:r w:rsidRPr="000C6A7E">
              <w:rPr>
                <w:szCs w:val="22"/>
              </w:rPr>
              <w:t>913</w:t>
            </w:r>
          </w:p>
        </w:tc>
      </w:tr>
      <w:tr w:rsidR="00D601E7" w14:paraId="2CB36A85" w14:textId="77777777" w:rsidTr="002E1A93">
        <w:trPr>
          <w:gridAfter w:val="1"/>
          <w:wAfter w:w="23" w:type="dxa"/>
          <w:trHeight w:val="370"/>
        </w:trPr>
        <w:tc>
          <w:tcPr>
            <w:tcW w:w="2972" w:type="dxa"/>
          </w:tcPr>
          <w:p w14:paraId="2C781ABD" w14:textId="77777777" w:rsidR="00D601E7" w:rsidRPr="008D7FE2" w:rsidRDefault="00D601E7">
            <w:pPr>
              <w:pStyle w:val="NoSpacing"/>
              <w:spacing w:line="360" w:lineRule="auto"/>
              <w:rPr>
                <w:szCs w:val="22"/>
              </w:rPr>
            </w:pPr>
            <w:r w:rsidRPr="008D7FE2">
              <w:rPr>
                <w:szCs w:val="22"/>
              </w:rPr>
              <w:t>Webpage</w:t>
            </w:r>
          </w:p>
        </w:tc>
        <w:tc>
          <w:tcPr>
            <w:tcW w:w="1701" w:type="dxa"/>
          </w:tcPr>
          <w:p w14:paraId="16A683AD" w14:textId="77777777" w:rsidR="00D601E7" w:rsidRPr="008D7FE2" w:rsidRDefault="00D601E7">
            <w:pPr>
              <w:pStyle w:val="NoSpacing"/>
              <w:spacing w:line="360" w:lineRule="auto"/>
              <w:rPr>
                <w:szCs w:val="22"/>
              </w:rPr>
            </w:pPr>
            <w:r w:rsidRPr="008D7FE2">
              <w:rPr>
                <w:szCs w:val="22"/>
              </w:rPr>
              <w:t>N/A</w:t>
            </w:r>
          </w:p>
        </w:tc>
        <w:tc>
          <w:tcPr>
            <w:tcW w:w="4541" w:type="dxa"/>
            <w:gridSpan w:val="2"/>
          </w:tcPr>
          <w:p w14:paraId="0D165479" w14:textId="77777777" w:rsidR="00D601E7" w:rsidRPr="000C6A7E" w:rsidRDefault="00D601E7">
            <w:pPr>
              <w:pStyle w:val="NoSpacing"/>
              <w:spacing w:line="360" w:lineRule="auto"/>
              <w:rPr>
                <w:szCs w:val="22"/>
              </w:rPr>
            </w:pPr>
            <w:r w:rsidRPr="000C6A7E">
              <w:rPr>
                <w:szCs w:val="22"/>
              </w:rPr>
              <w:t>12,715 webpage visitors</w:t>
            </w:r>
          </w:p>
        </w:tc>
      </w:tr>
      <w:tr w:rsidR="00D601E7" w14:paraId="2E012113" w14:textId="77777777" w:rsidTr="002E1A93">
        <w:trPr>
          <w:gridAfter w:val="2"/>
          <w:wAfter w:w="23" w:type="dxa"/>
          <w:trHeight w:val="370"/>
        </w:trPr>
        <w:tc>
          <w:tcPr>
            <w:tcW w:w="4673" w:type="dxa"/>
            <w:gridSpan w:val="2"/>
          </w:tcPr>
          <w:p w14:paraId="7A0A2B82" w14:textId="77777777" w:rsidR="00D601E7" w:rsidRPr="008D7FE2" w:rsidRDefault="00D601E7">
            <w:pPr>
              <w:pStyle w:val="NoSpacing"/>
              <w:spacing w:line="360" w:lineRule="auto"/>
              <w:rPr>
                <w:b/>
                <w:bCs/>
                <w:szCs w:val="22"/>
              </w:rPr>
            </w:pPr>
            <w:r w:rsidRPr="008D7FE2">
              <w:rPr>
                <w:b/>
                <w:bCs/>
                <w:szCs w:val="22"/>
              </w:rPr>
              <w:t>Total individuals engaged</w:t>
            </w:r>
          </w:p>
        </w:tc>
        <w:tc>
          <w:tcPr>
            <w:tcW w:w="4518" w:type="dxa"/>
          </w:tcPr>
          <w:p w14:paraId="73340718" w14:textId="77777777" w:rsidR="00D601E7" w:rsidRPr="000C6A7E" w:rsidRDefault="00D601E7">
            <w:pPr>
              <w:pStyle w:val="NoSpacing"/>
              <w:spacing w:line="360" w:lineRule="auto"/>
              <w:rPr>
                <w:szCs w:val="22"/>
              </w:rPr>
            </w:pPr>
            <w:r w:rsidRPr="000C6A7E">
              <w:rPr>
                <w:szCs w:val="22"/>
              </w:rPr>
              <w:t>13,628</w:t>
            </w:r>
          </w:p>
        </w:tc>
      </w:tr>
    </w:tbl>
    <w:p w14:paraId="0A339CD0" w14:textId="4F7F66F9" w:rsidR="00D601E7" w:rsidRPr="00F364BD" w:rsidRDefault="00D601E7">
      <w:pPr>
        <w:pStyle w:val="Source"/>
      </w:pPr>
      <w:r>
        <w:lastRenderedPageBreak/>
        <w:t>Source: Deloitte Access Economics (2025). *Survey responses indicate responses submitted by 11 June and do not include any incomplete survey responses. Surveys were anonymous and could be completed multiple times if a stakeholder chose to. ** This also includes individuals representing groups and membership bodies.</w:t>
      </w:r>
    </w:p>
    <w:p w14:paraId="17E8F3BF" w14:textId="77777777" w:rsidR="00D601E7" w:rsidRDefault="00D601E7">
      <w:pPr>
        <w:pStyle w:val="Heading4"/>
      </w:pPr>
      <w:r>
        <w:t>Information webinars</w:t>
      </w:r>
    </w:p>
    <w:p w14:paraId="04C2D2FB" w14:textId="2DDB4F14" w:rsidR="00D601E7" w:rsidRDefault="00D601E7">
      <w:r>
        <w:t xml:space="preserve">The consultation process began with a series of eight jurisdictional information webinars and one national information webinar which were hosted and delivered by the Deloitte Access Economics team from 5 May 2025 to 8 May 2025. Information webinars were open to the public and were advertised by jurisdictions and peak bodies. </w:t>
      </w:r>
    </w:p>
    <w:p w14:paraId="797DAAFF" w14:textId="5DB6E01E" w:rsidR="00D601E7" w:rsidRDefault="00D601E7">
      <w:r>
        <w:t xml:space="preserve">The webinars explained the RIS purpose and process, the policy options under consideration and ways to engage. </w:t>
      </w:r>
      <w:r w:rsidRPr="00233228">
        <w:rPr>
          <w:b/>
        </w:rPr>
        <w:t xml:space="preserve">In total, 913 </w:t>
      </w:r>
      <w:r w:rsidRPr="00233228">
        <w:rPr>
          <w:b/>
          <w:bCs/>
        </w:rPr>
        <w:t>stakeholder</w:t>
      </w:r>
      <w:r>
        <w:rPr>
          <w:b/>
          <w:bCs/>
        </w:rPr>
        <w:t>s</w:t>
      </w:r>
      <w:r w:rsidRPr="00233228">
        <w:rPr>
          <w:b/>
        </w:rPr>
        <w:t xml:space="preserve"> participated in webinars. </w:t>
      </w:r>
    </w:p>
    <w:p w14:paraId="5DD927CC" w14:textId="77777777" w:rsidR="00D601E7" w:rsidRDefault="00D601E7">
      <w:pPr>
        <w:pStyle w:val="Heading4"/>
      </w:pPr>
      <w:r>
        <w:t>Virtual forums</w:t>
      </w:r>
    </w:p>
    <w:p w14:paraId="08BD7F6B" w14:textId="51756F1B" w:rsidR="00D601E7" w:rsidRPr="00BA1B6F" w:rsidRDefault="00D601E7">
      <w:r w:rsidRPr="00BA1B6F">
        <w:t xml:space="preserve">A series of eight jurisdictional virtual forums and two national virtual forums were facilitated by Deloitte Access Economics from 12 May 2025 to 20 May 2025 to gather input regarding impacts and costs which inform the evidence base, and to communicate consultation activity distribution strategies with relevant stakeholders. </w:t>
      </w:r>
    </w:p>
    <w:p w14:paraId="68CDCEC9" w14:textId="12294837" w:rsidR="00D601E7" w:rsidRPr="00BA1B6F" w:rsidRDefault="00D601E7">
      <w:r w:rsidRPr="00BA1B6F">
        <w:t xml:space="preserve">Participants in the </w:t>
      </w:r>
      <w:r w:rsidR="005B20C6">
        <w:t>virtual</w:t>
      </w:r>
      <w:r w:rsidR="005B20C6" w:rsidRPr="00BA1B6F">
        <w:t xml:space="preserve"> </w:t>
      </w:r>
      <w:r w:rsidRPr="00BA1B6F">
        <w:t xml:space="preserve">forums were suggested by jurisdictions, and typically included larger providers, peak bodies, unions, and </w:t>
      </w:r>
      <w:r w:rsidR="00492A5F">
        <w:t>R</w:t>
      </w:r>
      <w:r w:rsidRPr="00BA1B6F">
        <w:t xml:space="preserve">egistered </w:t>
      </w:r>
      <w:r w:rsidR="00492A5F">
        <w:t>T</w:t>
      </w:r>
      <w:r w:rsidRPr="00BA1B6F">
        <w:t xml:space="preserve">raining </w:t>
      </w:r>
      <w:r w:rsidR="00492A5F">
        <w:t>O</w:t>
      </w:r>
      <w:r w:rsidRPr="00BA1B6F">
        <w:t>rganisations</w:t>
      </w:r>
      <w:r w:rsidR="00492A5F">
        <w:t xml:space="preserve"> (RTOs)</w:t>
      </w:r>
      <w:r w:rsidRPr="00BA1B6F">
        <w:t>. General workforce stakeholders and families were not invited to participate in the jurisdictional and national forums</w:t>
      </w:r>
      <w:r w:rsidR="00A96CD5">
        <w:t>,</w:t>
      </w:r>
      <w:r w:rsidR="0084747C">
        <w:t xml:space="preserve"> as the sessions were focused on obtaining inputs </w:t>
      </w:r>
      <w:r w:rsidR="00EF57AF">
        <w:t>to inform the a</w:t>
      </w:r>
      <w:r w:rsidR="00FB418F">
        <w:t xml:space="preserve">nalysis of </w:t>
      </w:r>
      <w:r w:rsidR="00223BCF">
        <w:t xml:space="preserve">impacts of </w:t>
      </w:r>
      <w:r w:rsidR="00FB418F">
        <w:t>proposed reform areas</w:t>
      </w:r>
      <w:r w:rsidR="00223BCF">
        <w:t xml:space="preserve"> on service providers and regulators</w:t>
      </w:r>
      <w:r w:rsidR="00FB418F">
        <w:t xml:space="preserve">. </w:t>
      </w:r>
      <w:r w:rsidR="00577AF0">
        <w:t>Forum participants also represented a range of stakeholder types</w:t>
      </w:r>
      <w:r w:rsidR="000962A7">
        <w:t xml:space="preserve"> a</w:t>
      </w:r>
      <w:r w:rsidR="00DA4FA2">
        <w:t>n</w:t>
      </w:r>
      <w:r w:rsidR="000962A7">
        <w:t>d were encouraged to support other educators and families, parents and carers to participate in the public consultation process through</w:t>
      </w:r>
      <w:r w:rsidR="00670F36">
        <w:t xml:space="preserve"> surveys and submissions</w:t>
      </w:r>
      <w:r w:rsidRPr="00BA1B6F">
        <w:t xml:space="preserve">. </w:t>
      </w:r>
    </w:p>
    <w:p w14:paraId="6553ABEB" w14:textId="33A0EA3E" w:rsidR="002F06B0" w:rsidRDefault="00D601E7">
      <w:r w:rsidRPr="00BA1B6F">
        <w:t>Each forum included the option for SNAICC to facilitate breakout rooms</w:t>
      </w:r>
      <w:r w:rsidR="002F06B0">
        <w:t>. T</w:t>
      </w:r>
      <w:r w:rsidRPr="00BA1B6F">
        <w:t xml:space="preserve">his was requested in one forum. </w:t>
      </w:r>
    </w:p>
    <w:p w14:paraId="3A82E796" w14:textId="62DFFA26" w:rsidR="00D601E7" w:rsidRPr="00BA1B6F" w:rsidRDefault="00D601E7">
      <w:r w:rsidRPr="00233228">
        <w:rPr>
          <w:b/>
        </w:rPr>
        <w:t>In total 207 stakeholders attended virtual forums.</w:t>
      </w:r>
      <w:r w:rsidR="00444A15">
        <w:t xml:space="preserve"> </w:t>
      </w:r>
    </w:p>
    <w:p w14:paraId="717FC192" w14:textId="1AAF1A17" w:rsidR="00D601E7" w:rsidRPr="00EF2C06" w:rsidRDefault="00D601E7">
      <w:pPr>
        <w:pStyle w:val="Heading4"/>
      </w:pPr>
      <w:r>
        <w:t>Surveys</w:t>
      </w:r>
    </w:p>
    <w:p w14:paraId="38D1FA58" w14:textId="77777777" w:rsidR="00D601E7" w:rsidRDefault="00D601E7">
      <w:r>
        <w:t>The public consultation phase included the distribution of three surveys:</w:t>
      </w:r>
    </w:p>
    <w:p w14:paraId="09788F6A" w14:textId="6F86DC5A" w:rsidR="00D601E7" w:rsidRDefault="00D601E7" w:rsidP="00841575">
      <w:pPr>
        <w:pStyle w:val="ListBullet"/>
        <w:ind w:left="426"/>
      </w:pPr>
      <w:r>
        <w:t>a survey for approved providers, persons with management or control (PMCs) or nominated supervisors</w:t>
      </w:r>
      <w:r w:rsidR="00841575">
        <w:t>,</w:t>
      </w:r>
    </w:p>
    <w:p w14:paraId="7891AF70" w14:textId="110C6F0D" w:rsidR="00D601E7" w:rsidRDefault="00D601E7" w:rsidP="00841575">
      <w:pPr>
        <w:pStyle w:val="ListBullet"/>
        <w:ind w:left="426"/>
      </w:pPr>
      <w:r>
        <w:t>a survey for the education and care workforce</w:t>
      </w:r>
      <w:r w:rsidR="00841575">
        <w:t>,</w:t>
      </w:r>
    </w:p>
    <w:p w14:paraId="0804597F" w14:textId="144F7271" w:rsidR="00D601E7" w:rsidRDefault="00D601E7" w:rsidP="00841575">
      <w:pPr>
        <w:pStyle w:val="ListBullet"/>
        <w:ind w:left="426"/>
      </w:pPr>
      <w:r>
        <w:t>a survey for families, parents, and carers.</w:t>
      </w:r>
    </w:p>
    <w:p w14:paraId="6B7B862F" w14:textId="54C4303C" w:rsidR="00D601E7" w:rsidRPr="00EF2C06" w:rsidRDefault="00D601E7">
      <w:r>
        <w:lastRenderedPageBreak/>
        <w:t xml:space="preserve">Each survey was open from 5 May 2025 to 11 June 2025, for a period of </w:t>
      </w:r>
      <w:r w:rsidR="00935EAC">
        <w:t>five</w:t>
      </w:r>
      <w:r>
        <w:t xml:space="preserve"> weeks and </w:t>
      </w:r>
      <w:r w:rsidR="00935EAC">
        <w:t>three</w:t>
      </w:r>
      <w:r>
        <w:t xml:space="preserve"> days. The survey</w:t>
      </w:r>
      <w:r w:rsidR="00935EAC">
        <w:t xml:space="preserve"> links</w:t>
      </w:r>
      <w:r>
        <w:t xml:space="preserve"> were distributed through ACECQA and jurisdictions. Services </w:t>
      </w:r>
      <w:r w:rsidR="00D863C2">
        <w:t>and provider</w:t>
      </w:r>
      <w:r w:rsidR="000A1BBE">
        <w:t>s who participated in information webinars and forums</w:t>
      </w:r>
      <w:r>
        <w:t xml:space="preserve"> were also encouraged to distribute the </w:t>
      </w:r>
      <w:r w:rsidRPr="000F7FF0">
        <w:t>education and care</w:t>
      </w:r>
      <w:r>
        <w:t xml:space="preserve"> workforce survey</w:t>
      </w:r>
      <w:r w:rsidR="00F51644">
        <w:t xml:space="preserve"> link</w:t>
      </w:r>
      <w:r>
        <w:t xml:space="preserve"> through internal newsletters or by </w:t>
      </w:r>
      <w:r w:rsidR="00383DB7">
        <w:t xml:space="preserve">staff </w:t>
      </w:r>
      <w:r>
        <w:t xml:space="preserve">contacting individual services. These services were also able to distribute the families survey through online links and printed Quick Response (QR) codes. </w:t>
      </w:r>
      <w:r w:rsidR="00E85AF3">
        <w:t>T</w:t>
      </w:r>
      <w:r>
        <w:t>elephone survey</w:t>
      </w:r>
      <w:r w:rsidR="00E85AF3">
        <w:t>s were available</w:t>
      </w:r>
      <w:r w:rsidR="00100A2B">
        <w:t xml:space="preserve"> on request. </w:t>
      </w:r>
      <w:r>
        <w:t xml:space="preserve">For additional reference, </w:t>
      </w:r>
      <w:r w:rsidRPr="000147F4">
        <w:t>16</w:t>
      </w:r>
      <w:r>
        <w:t xml:space="preserve"> approved provider survey respondents reported that they provided services that are outside the scope of the NQF. This</w:t>
      </w:r>
      <w:r w:rsidR="001F3447">
        <w:t xml:space="preserve"> survey question</w:t>
      </w:r>
      <w:r>
        <w:t xml:space="preserve"> was not asked in the </w:t>
      </w:r>
      <w:r w:rsidR="001F3447">
        <w:t>workforce or families, parents and carers</w:t>
      </w:r>
      <w:r>
        <w:t xml:space="preserve"> surveys. </w:t>
      </w:r>
    </w:p>
    <w:p w14:paraId="2DA466FE" w14:textId="17604E56" w:rsidR="00D601E7" w:rsidRDefault="00D601E7">
      <w:r>
        <w:t>The final number of responses for each survey are as follows:</w:t>
      </w:r>
    </w:p>
    <w:p w14:paraId="305B1CDB" w14:textId="2E98835D" w:rsidR="00D601E7" w:rsidRPr="00BE3953" w:rsidRDefault="00D601E7" w:rsidP="00EC53AB">
      <w:pPr>
        <w:pStyle w:val="NoSpacing"/>
        <w:numPr>
          <w:ilvl w:val="0"/>
          <w:numId w:val="94"/>
        </w:numPr>
        <w:spacing w:line="360" w:lineRule="auto"/>
        <w:ind w:left="426"/>
      </w:pPr>
      <w:r>
        <w:t>295 approved provider surveys completed</w:t>
      </w:r>
      <w:r w:rsidR="00841575">
        <w:t>,</w:t>
      </w:r>
    </w:p>
    <w:p w14:paraId="326EC27E" w14:textId="47D50D79" w:rsidR="00D601E7" w:rsidRPr="00BE3953" w:rsidRDefault="00D601E7" w:rsidP="00EC53AB">
      <w:pPr>
        <w:pStyle w:val="NoSpacing"/>
        <w:numPr>
          <w:ilvl w:val="0"/>
          <w:numId w:val="94"/>
        </w:numPr>
        <w:spacing w:line="360" w:lineRule="auto"/>
        <w:ind w:left="426"/>
      </w:pPr>
      <w:r>
        <w:t>522 workforce surveys completed</w:t>
      </w:r>
      <w:r w:rsidR="00841575">
        <w:t>,</w:t>
      </w:r>
    </w:p>
    <w:p w14:paraId="26B8EEB9" w14:textId="1E9650A7" w:rsidR="00C32855" w:rsidRPr="00EF2C06" w:rsidRDefault="00D601E7" w:rsidP="00EC53AB">
      <w:pPr>
        <w:pStyle w:val="ListParagraph"/>
        <w:numPr>
          <w:ilvl w:val="0"/>
          <w:numId w:val="94"/>
        </w:numPr>
        <w:ind w:left="426"/>
      </w:pPr>
      <w:r>
        <w:t>190 family, carer and parent surveys completed.</w:t>
      </w:r>
    </w:p>
    <w:p w14:paraId="4B69206D" w14:textId="77777777" w:rsidR="00D601E7" w:rsidRDefault="00D601E7">
      <w:pPr>
        <w:pStyle w:val="Heading4"/>
      </w:pPr>
      <w:r w:rsidRPr="0094451E">
        <w:t>Su</w:t>
      </w:r>
      <w:r>
        <w:t>bmissions</w:t>
      </w:r>
    </w:p>
    <w:p w14:paraId="324D6A85" w14:textId="3DBD36A8" w:rsidR="001C221E" w:rsidRDefault="00D601E7">
      <w:r w:rsidRPr="00AC65D1">
        <w:t xml:space="preserve">The public consultation process also included an online submissions portal through a web platform. This enabled two </w:t>
      </w:r>
      <w:r w:rsidR="003B44E5">
        <w:t>types</w:t>
      </w:r>
      <w:r w:rsidR="003B44E5" w:rsidRPr="00AC65D1">
        <w:t xml:space="preserve"> </w:t>
      </w:r>
      <w:r w:rsidRPr="00AC65D1">
        <w:t>of submissions: free text responses into dedicated fields (specific questions or prompts), and document submissions from organisations and others (individual submissions).</w:t>
      </w:r>
      <w:r w:rsidR="005E296F">
        <w:rPr>
          <w:rStyle w:val="FootnoteReference"/>
        </w:rPr>
        <w:footnoteReference w:id="32"/>
      </w:r>
      <w:r w:rsidRPr="00AC65D1">
        <w:t xml:space="preserve"> Hard copy submissions were also accepted, </w:t>
      </w:r>
      <w:r w:rsidR="001C221E">
        <w:t>and</w:t>
      </w:r>
      <w:r w:rsidRPr="00AC65D1">
        <w:t xml:space="preserve"> participants were able to request a telephone submission. </w:t>
      </w:r>
    </w:p>
    <w:p w14:paraId="33CCF5A1" w14:textId="7ACAEA64" w:rsidR="0051677A" w:rsidRDefault="001E3397">
      <w:r>
        <w:t>Sixty-nine</w:t>
      </w:r>
      <w:r w:rsidR="009012F6">
        <w:t xml:space="preserve"> </w:t>
      </w:r>
      <w:r w:rsidR="00FC3B56">
        <w:t xml:space="preserve">complete </w:t>
      </w:r>
      <w:r w:rsidR="00D601E7">
        <w:t>free text submissions were received.</w:t>
      </w:r>
      <w:r w:rsidR="00D601E7" w:rsidRPr="00AC65D1">
        <w:t xml:space="preserve"> </w:t>
      </w:r>
      <w:r>
        <w:t>Seventy-seven</w:t>
      </w:r>
      <w:r w:rsidR="008716F3">
        <w:t xml:space="preserve"> </w:t>
      </w:r>
      <w:r w:rsidR="00FC3B56">
        <w:t xml:space="preserve">complete and useable </w:t>
      </w:r>
      <w:r w:rsidR="008716F3">
        <w:t xml:space="preserve">long form submissions were received in total, which often represented </w:t>
      </w:r>
      <w:r w:rsidR="00253158">
        <w:t xml:space="preserve">organisations or </w:t>
      </w:r>
      <w:r w:rsidR="000F2146">
        <w:t>larger member organisations.</w:t>
      </w:r>
    </w:p>
    <w:p w14:paraId="2325B32C" w14:textId="374459D8" w:rsidR="001F69D1" w:rsidRPr="0051677A" w:rsidRDefault="0051677A">
      <w:pPr>
        <w:rPr>
          <w:b/>
        </w:rPr>
      </w:pPr>
      <w:r w:rsidRPr="0051677A">
        <w:rPr>
          <w:b/>
          <w:bCs/>
        </w:rPr>
        <w:t>In total</w:t>
      </w:r>
      <w:r w:rsidR="00437F50">
        <w:rPr>
          <w:b/>
          <w:bCs/>
        </w:rPr>
        <w:t>,</w:t>
      </w:r>
      <w:r w:rsidRPr="0051677A">
        <w:rPr>
          <w:b/>
          <w:bCs/>
        </w:rPr>
        <w:t xml:space="preserve"> 14</w:t>
      </w:r>
      <w:r w:rsidR="000C144C">
        <w:rPr>
          <w:b/>
          <w:bCs/>
        </w:rPr>
        <w:t>6</w:t>
      </w:r>
      <w:r w:rsidRPr="0051677A">
        <w:rPr>
          <w:b/>
          <w:bCs/>
        </w:rPr>
        <w:t xml:space="preserve"> submissions were received.</w:t>
      </w:r>
      <w:r w:rsidR="00444A15">
        <w:rPr>
          <w:b/>
          <w:bCs/>
        </w:rPr>
        <w:t xml:space="preserve"> </w:t>
      </w:r>
    </w:p>
    <w:p w14:paraId="13209E98" w14:textId="42FFAD78" w:rsidR="00476A0E" w:rsidRDefault="00476A0E" w:rsidP="00476A0E">
      <w:pPr>
        <w:pStyle w:val="Caption"/>
      </w:pPr>
      <w:bookmarkStart w:id="52" w:name="_Toc205884925"/>
      <w:r>
        <w:t xml:space="preserve">Table </w:t>
      </w:r>
      <w:r w:rsidR="00626941">
        <w:t>3.2</w:t>
      </w:r>
      <w:r>
        <w:t>: Submissions by stakeholder group</w:t>
      </w:r>
      <w:bookmarkEnd w:id="52"/>
    </w:p>
    <w:tbl>
      <w:tblPr>
        <w:tblStyle w:val="TableGrid"/>
        <w:tblW w:w="5000" w:type="pct"/>
        <w:tblLook w:val="04A0" w:firstRow="1" w:lastRow="0" w:firstColumn="1" w:lastColumn="0" w:noHBand="0" w:noVBand="1"/>
        <w:tblCaption w:val="Table 3.2: Submissions by stakeholder group"/>
        <w:tblDescription w:val="This table outlines the number of free text and long form submissions received, by stakeholder group."/>
      </w:tblPr>
      <w:tblGrid>
        <w:gridCol w:w="2660"/>
        <w:gridCol w:w="2531"/>
        <w:gridCol w:w="2689"/>
        <w:gridCol w:w="1130"/>
      </w:tblGrid>
      <w:tr w:rsidR="007C532D" w:rsidRPr="001C1A32" w14:paraId="2BCBC196" w14:textId="77777777" w:rsidTr="00453550">
        <w:trPr>
          <w:trHeight w:val="230"/>
          <w:tblHeader/>
        </w:trPr>
        <w:tc>
          <w:tcPr>
            <w:tcW w:w="1472" w:type="pct"/>
            <w:shd w:val="clear" w:color="auto" w:fill="14233C" w:themeFill="text2"/>
            <w:noWrap/>
            <w:hideMark/>
          </w:tcPr>
          <w:p w14:paraId="5BE59ECA" w14:textId="77777777" w:rsidR="001C1A32" w:rsidRPr="00453550" w:rsidRDefault="001C1A32" w:rsidP="001C1A32">
            <w:pPr>
              <w:spacing w:after="0" w:line="240" w:lineRule="auto"/>
              <w:rPr>
                <w:color w:val="FFFFFF" w:themeColor="background1"/>
                <w:sz w:val="22"/>
                <w:szCs w:val="22"/>
              </w:rPr>
            </w:pPr>
          </w:p>
        </w:tc>
        <w:tc>
          <w:tcPr>
            <w:tcW w:w="1412" w:type="pct"/>
            <w:shd w:val="clear" w:color="auto" w:fill="14233C" w:themeFill="text2"/>
            <w:noWrap/>
            <w:hideMark/>
          </w:tcPr>
          <w:p w14:paraId="13099137" w14:textId="77777777" w:rsidR="001C1A32" w:rsidRPr="00453550" w:rsidRDefault="001C1A32" w:rsidP="001C1A32">
            <w:pPr>
              <w:spacing w:after="0" w:line="240" w:lineRule="auto"/>
              <w:rPr>
                <w:b/>
                <w:bCs/>
                <w:color w:val="FFFFFF" w:themeColor="background1"/>
                <w:szCs w:val="22"/>
              </w:rPr>
            </w:pPr>
            <w:r w:rsidRPr="00453550">
              <w:rPr>
                <w:b/>
                <w:bCs/>
                <w:color w:val="FFFFFF" w:themeColor="background1"/>
                <w:szCs w:val="22"/>
              </w:rPr>
              <w:t xml:space="preserve"># Free text </w:t>
            </w:r>
            <w:r w:rsidR="00F458B4" w:rsidRPr="00453550">
              <w:rPr>
                <w:b/>
                <w:bCs/>
                <w:color w:val="FFFFFF" w:themeColor="background1"/>
                <w:szCs w:val="22"/>
              </w:rPr>
              <w:t>s</w:t>
            </w:r>
            <w:r w:rsidRPr="00453550">
              <w:rPr>
                <w:b/>
                <w:bCs/>
                <w:color w:val="FFFFFF" w:themeColor="background1"/>
                <w:szCs w:val="22"/>
              </w:rPr>
              <w:t>ubmissions</w:t>
            </w:r>
          </w:p>
        </w:tc>
        <w:tc>
          <w:tcPr>
            <w:tcW w:w="1501" w:type="pct"/>
            <w:shd w:val="clear" w:color="auto" w:fill="14233C" w:themeFill="text2"/>
            <w:noWrap/>
            <w:hideMark/>
          </w:tcPr>
          <w:p w14:paraId="711498AF" w14:textId="77777777" w:rsidR="001C1A32" w:rsidRPr="00453550" w:rsidRDefault="001C1A32" w:rsidP="001C1A32">
            <w:pPr>
              <w:spacing w:after="0" w:line="240" w:lineRule="auto"/>
              <w:rPr>
                <w:b/>
                <w:bCs/>
                <w:color w:val="FFFFFF" w:themeColor="background1"/>
                <w:szCs w:val="22"/>
              </w:rPr>
            </w:pPr>
            <w:r w:rsidRPr="00453550">
              <w:rPr>
                <w:b/>
                <w:bCs/>
                <w:color w:val="FFFFFF" w:themeColor="background1"/>
                <w:szCs w:val="22"/>
              </w:rPr>
              <w:t># Long form submissions</w:t>
            </w:r>
          </w:p>
        </w:tc>
        <w:tc>
          <w:tcPr>
            <w:tcW w:w="615" w:type="pct"/>
            <w:shd w:val="clear" w:color="auto" w:fill="14233C" w:themeFill="text2"/>
            <w:noWrap/>
            <w:hideMark/>
          </w:tcPr>
          <w:p w14:paraId="3E326A22" w14:textId="77777777" w:rsidR="001C1A32" w:rsidRPr="00453550" w:rsidRDefault="001C1A32" w:rsidP="001C1A32">
            <w:pPr>
              <w:spacing w:after="0" w:line="240" w:lineRule="auto"/>
              <w:rPr>
                <w:b/>
                <w:bCs/>
                <w:color w:val="FFFFFF" w:themeColor="background1"/>
                <w:szCs w:val="22"/>
              </w:rPr>
            </w:pPr>
            <w:r w:rsidRPr="00453550">
              <w:rPr>
                <w:b/>
                <w:bCs/>
                <w:color w:val="FFFFFF" w:themeColor="background1"/>
                <w:szCs w:val="22"/>
              </w:rPr>
              <w:t>% of total</w:t>
            </w:r>
          </w:p>
        </w:tc>
      </w:tr>
      <w:tr w:rsidR="007C532D" w:rsidRPr="001C1A32" w14:paraId="27D15E69" w14:textId="77777777" w:rsidTr="00453550">
        <w:trPr>
          <w:trHeight w:val="230"/>
        </w:trPr>
        <w:tc>
          <w:tcPr>
            <w:tcW w:w="1472" w:type="pct"/>
            <w:noWrap/>
            <w:hideMark/>
          </w:tcPr>
          <w:p w14:paraId="5A85C5BA" w14:textId="4D4D222A" w:rsidR="00434D34" w:rsidRPr="0024001D" w:rsidRDefault="00434D34" w:rsidP="00434D34">
            <w:pPr>
              <w:spacing w:after="0" w:line="240" w:lineRule="auto"/>
              <w:rPr>
                <w:b/>
                <w:bCs/>
                <w:sz w:val="22"/>
                <w:szCs w:val="22"/>
              </w:rPr>
            </w:pPr>
            <w:r w:rsidRPr="0024001D">
              <w:rPr>
                <w:sz w:val="22"/>
                <w:szCs w:val="22"/>
              </w:rPr>
              <w:t>Approved provider</w:t>
            </w:r>
          </w:p>
        </w:tc>
        <w:tc>
          <w:tcPr>
            <w:tcW w:w="1412" w:type="pct"/>
            <w:noWrap/>
            <w:hideMark/>
          </w:tcPr>
          <w:p w14:paraId="58FF581F" w14:textId="48A5C558" w:rsidR="00434D34" w:rsidRPr="0024001D" w:rsidRDefault="00434D34" w:rsidP="00434D34">
            <w:pPr>
              <w:spacing w:after="0" w:line="240" w:lineRule="auto"/>
              <w:rPr>
                <w:szCs w:val="22"/>
              </w:rPr>
            </w:pPr>
            <w:r w:rsidRPr="00A6267D">
              <w:t>11</w:t>
            </w:r>
          </w:p>
        </w:tc>
        <w:tc>
          <w:tcPr>
            <w:tcW w:w="1501" w:type="pct"/>
            <w:noWrap/>
            <w:hideMark/>
          </w:tcPr>
          <w:p w14:paraId="56E47826" w14:textId="363FA383" w:rsidR="00434D34" w:rsidRPr="0024001D" w:rsidRDefault="00434D34" w:rsidP="00434D34">
            <w:pPr>
              <w:spacing w:after="0" w:line="240" w:lineRule="auto"/>
              <w:rPr>
                <w:sz w:val="22"/>
                <w:szCs w:val="22"/>
              </w:rPr>
            </w:pPr>
            <w:r w:rsidRPr="0024001D">
              <w:rPr>
                <w:sz w:val="22"/>
                <w:szCs w:val="22"/>
              </w:rPr>
              <w:t>15</w:t>
            </w:r>
          </w:p>
        </w:tc>
        <w:tc>
          <w:tcPr>
            <w:tcW w:w="615" w:type="pct"/>
            <w:noWrap/>
            <w:hideMark/>
          </w:tcPr>
          <w:p w14:paraId="15E2304F" w14:textId="77777777" w:rsidR="00434D34" w:rsidRPr="0024001D" w:rsidRDefault="00434D34" w:rsidP="00434D34">
            <w:pPr>
              <w:spacing w:after="0" w:line="240" w:lineRule="auto"/>
              <w:rPr>
                <w:sz w:val="22"/>
                <w:szCs w:val="22"/>
              </w:rPr>
            </w:pPr>
            <w:r w:rsidRPr="0024001D">
              <w:rPr>
                <w:sz w:val="22"/>
                <w:szCs w:val="22"/>
              </w:rPr>
              <w:t>18%</w:t>
            </w:r>
          </w:p>
        </w:tc>
      </w:tr>
      <w:tr w:rsidR="007C532D" w:rsidRPr="001C1A32" w14:paraId="5613842E" w14:textId="77777777" w:rsidTr="00453550">
        <w:trPr>
          <w:trHeight w:val="230"/>
        </w:trPr>
        <w:tc>
          <w:tcPr>
            <w:tcW w:w="1472" w:type="pct"/>
            <w:noWrap/>
            <w:hideMark/>
          </w:tcPr>
          <w:p w14:paraId="164A41F3" w14:textId="2C5373FE" w:rsidR="00434D34" w:rsidRPr="0024001D" w:rsidRDefault="00434D34" w:rsidP="00434D34">
            <w:pPr>
              <w:spacing w:after="0" w:line="240" w:lineRule="auto"/>
              <w:rPr>
                <w:b/>
                <w:bCs/>
                <w:sz w:val="22"/>
                <w:szCs w:val="22"/>
              </w:rPr>
            </w:pPr>
            <w:r w:rsidRPr="0024001D">
              <w:rPr>
                <w:sz w:val="22"/>
                <w:szCs w:val="22"/>
              </w:rPr>
              <w:t>Peak body</w:t>
            </w:r>
          </w:p>
        </w:tc>
        <w:tc>
          <w:tcPr>
            <w:tcW w:w="1412" w:type="pct"/>
            <w:noWrap/>
            <w:hideMark/>
          </w:tcPr>
          <w:p w14:paraId="39D0C817" w14:textId="3DBC051E" w:rsidR="00434D34" w:rsidRPr="0024001D" w:rsidRDefault="00434D34" w:rsidP="00434D34">
            <w:pPr>
              <w:spacing w:after="0" w:line="240" w:lineRule="auto"/>
              <w:rPr>
                <w:szCs w:val="22"/>
              </w:rPr>
            </w:pPr>
            <w:r w:rsidRPr="00A6267D">
              <w:t>2</w:t>
            </w:r>
          </w:p>
        </w:tc>
        <w:tc>
          <w:tcPr>
            <w:tcW w:w="1501" w:type="pct"/>
            <w:noWrap/>
            <w:hideMark/>
          </w:tcPr>
          <w:p w14:paraId="1998F8C5" w14:textId="77845D17" w:rsidR="00434D34" w:rsidRPr="0024001D" w:rsidRDefault="00434D34" w:rsidP="00434D34">
            <w:pPr>
              <w:spacing w:after="0" w:line="240" w:lineRule="auto"/>
              <w:rPr>
                <w:sz w:val="22"/>
                <w:szCs w:val="22"/>
              </w:rPr>
            </w:pPr>
            <w:r w:rsidRPr="0024001D">
              <w:rPr>
                <w:sz w:val="22"/>
                <w:szCs w:val="22"/>
              </w:rPr>
              <w:t>2</w:t>
            </w:r>
            <w:r w:rsidR="0024001D" w:rsidRPr="0024001D">
              <w:rPr>
                <w:sz w:val="22"/>
                <w:szCs w:val="22"/>
              </w:rPr>
              <w:t>3</w:t>
            </w:r>
          </w:p>
        </w:tc>
        <w:tc>
          <w:tcPr>
            <w:tcW w:w="615" w:type="pct"/>
            <w:noWrap/>
            <w:hideMark/>
          </w:tcPr>
          <w:p w14:paraId="1C8C4BF3" w14:textId="66EC50EF" w:rsidR="00434D34" w:rsidRPr="0024001D" w:rsidRDefault="00434D34" w:rsidP="00434D34">
            <w:pPr>
              <w:spacing w:after="0" w:line="240" w:lineRule="auto"/>
              <w:rPr>
                <w:sz w:val="22"/>
                <w:szCs w:val="22"/>
              </w:rPr>
            </w:pPr>
            <w:r w:rsidRPr="0024001D">
              <w:rPr>
                <w:sz w:val="22"/>
                <w:szCs w:val="22"/>
              </w:rPr>
              <w:t>18%</w:t>
            </w:r>
          </w:p>
        </w:tc>
      </w:tr>
      <w:tr w:rsidR="007C532D" w:rsidRPr="001C1A32" w14:paraId="1628FF2D" w14:textId="77777777" w:rsidTr="00453550">
        <w:trPr>
          <w:trHeight w:val="230"/>
        </w:trPr>
        <w:tc>
          <w:tcPr>
            <w:tcW w:w="1472" w:type="pct"/>
            <w:noWrap/>
            <w:hideMark/>
          </w:tcPr>
          <w:p w14:paraId="3B562CF2" w14:textId="2FEF2C4A" w:rsidR="00434D34" w:rsidRPr="0024001D" w:rsidRDefault="00434D34" w:rsidP="00434D34">
            <w:pPr>
              <w:spacing w:after="0" w:line="240" w:lineRule="auto"/>
              <w:rPr>
                <w:b/>
                <w:bCs/>
                <w:sz w:val="22"/>
                <w:szCs w:val="22"/>
              </w:rPr>
            </w:pPr>
            <w:r w:rsidRPr="0024001D">
              <w:rPr>
                <w:sz w:val="22"/>
                <w:szCs w:val="22"/>
              </w:rPr>
              <w:t>Education and care service</w:t>
            </w:r>
          </w:p>
        </w:tc>
        <w:tc>
          <w:tcPr>
            <w:tcW w:w="1412" w:type="pct"/>
            <w:noWrap/>
            <w:hideMark/>
          </w:tcPr>
          <w:p w14:paraId="74071B06" w14:textId="05F7BDFA" w:rsidR="00434D34" w:rsidRPr="0024001D" w:rsidRDefault="00434D34" w:rsidP="00434D34">
            <w:pPr>
              <w:spacing w:after="0" w:line="240" w:lineRule="auto"/>
              <w:rPr>
                <w:szCs w:val="22"/>
              </w:rPr>
            </w:pPr>
            <w:r w:rsidRPr="00A6267D">
              <w:t>34</w:t>
            </w:r>
          </w:p>
        </w:tc>
        <w:tc>
          <w:tcPr>
            <w:tcW w:w="1501" w:type="pct"/>
            <w:noWrap/>
            <w:hideMark/>
          </w:tcPr>
          <w:p w14:paraId="4FA4B096" w14:textId="0629ECD7" w:rsidR="00434D34" w:rsidRPr="0024001D" w:rsidRDefault="00434D34" w:rsidP="00434D34">
            <w:pPr>
              <w:spacing w:after="0" w:line="240" w:lineRule="auto"/>
              <w:rPr>
                <w:sz w:val="22"/>
                <w:szCs w:val="22"/>
              </w:rPr>
            </w:pPr>
            <w:r w:rsidRPr="0024001D">
              <w:rPr>
                <w:sz w:val="22"/>
                <w:szCs w:val="22"/>
              </w:rPr>
              <w:t>16</w:t>
            </w:r>
          </w:p>
        </w:tc>
        <w:tc>
          <w:tcPr>
            <w:tcW w:w="615" w:type="pct"/>
            <w:noWrap/>
            <w:hideMark/>
          </w:tcPr>
          <w:p w14:paraId="7C174A9F" w14:textId="01FBA222" w:rsidR="00434D34" w:rsidRPr="0024001D" w:rsidRDefault="00434D34" w:rsidP="00434D34">
            <w:pPr>
              <w:spacing w:after="0" w:line="240" w:lineRule="auto"/>
              <w:rPr>
                <w:sz w:val="22"/>
                <w:szCs w:val="22"/>
              </w:rPr>
            </w:pPr>
            <w:r w:rsidRPr="0024001D">
              <w:rPr>
                <w:sz w:val="22"/>
                <w:szCs w:val="22"/>
              </w:rPr>
              <w:t>34%</w:t>
            </w:r>
          </w:p>
        </w:tc>
      </w:tr>
      <w:tr w:rsidR="007C532D" w:rsidRPr="001C1A32" w14:paraId="096EC309" w14:textId="77777777" w:rsidTr="00453550">
        <w:trPr>
          <w:trHeight w:val="230"/>
        </w:trPr>
        <w:tc>
          <w:tcPr>
            <w:tcW w:w="1472" w:type="pct"/>
            <w:noWrap/>
            <w:hideMark/>
          </w:tcPr>
          <w:p w14:paraId="4511B394" w14:textId="4A24EE57" w:rsidR="00434D34" w:rsidRPr="0024001D" w:rsidRDefault="00434D34" w:rsidP="00434D34">
            <w:pPr>
              <w:spacing w:after="0" w:line="240" w:lineRule="auto"/>
              <w:rPr>
                <w:b/>
                <w:bCs/>
                <w:sz w:val="22"/>
                <w:szCs w:val="22"/>
              </w:rPr>
            </w:pPr>
            <w:r w:rsidRPr="0024001D">
              <w:rPr>
                <w:sz w:val="22"/>
                <w:szCs w:val="22"/>
              </w:rPr>
              <w:t>Family member, parent, carer</w:t>
            </w:r>
          </w:p>
        </w:tc>
        <w:tc>
          <w:tcPr>
            <w:tcW w:w="1412" w:type="pct"/>
            <w:noWrap/>
            <w:hideMark/>
          </w:tcPr>
          <w:p w14:paraId="53230A08" w14:textId="5AFCF8C7" w:rsidR="00434D34" w:rsidRPr="0024001D" w:rsidRDefault="00434D34" w:rsidP="00434D34">
            <w:pPr>
              <w:spacing w:after="0" w:line="240" w:lineRule="auto"/>
              <w:rPr>
                <w:szCs w:val="22"/>
              </w:rPr>
            </w:pPr>
            <w:r w:rsidRPr="00A6267D">
              <w:t>12</w:t>
            </w:r>
          </w:p>
        </w:tc>
        <w:tc>
          <w:tcPr>
            <w:tcW w:w="1501" w:type="pct"/>
            <w:noWrap/>
            <w:hideMark/>
          </w:tcPr>
          <w:p w14:paraId="0244C9E0" w14:textId="0E9F922F" w:rsidR="00434D34" w:rsidRPr="0024001D" w:rsidRDefault="00434D34" w:rsidP="00434D34">
            <w:pPr>
              <w:spacing w:after="0" w:line="240" w:lineRule="auto"/>
              <w:rPr>
                <w:sz w:val="22"/>
                <w:szCs w:val="22"/>
              </w:rPr>
            </w:pPr>
            <w:r w:rsidRPr="0024001D">
              <w:rPr>
                <w:sz w:val="22"/>
                <w:szCs w:val="22"/>
              </w:rPr>
              <w:t>5</w:t>
            </w:r>
          </w:p>
        </w:tc>
        <w:tc>
          <w:tcPr>
            <w:tcW w:w="615" w:type="pct"/>
            <w:noWrap/>
            <w:hideMark/>
          </w:tcPr>
          <w:p w14:paraId="2401383F" w14:textId="1ADFD501" w:rsidR="00434D34" w:rsidRPr="0024001D" w:rsidRDefault="00434D34" w:rsidP="00434D34">
            <w:pPr>
              <w:spacing w:after="0" w:line="240" w:lineRule="auto"/>
              <w:rPr>
                <w:sz w:val="22"/>
                <w:szCs w:val="22"/>
              </w:rPr>
            </w:pPr>
            <w:r w:rsidRPr="0024001D">
              <w:rPr>
                <w:sz w:val="22"/>
                <w:szCs w:val="22"/>
              </w:rPr>
              <w:t>12%</w:t>
            </w:r>
          </w:p>
        </w:tc>
      </w:tr>
      <w:tr w:rsidR="007C532D" w:rsidRPr="001C1A32" w14:paraId="5A3DEEA6" w14:textId="77777777" w:rsidTr="00453550">
        <w:trPr>
          <w:trHeight w:val="230"/>
        </w:trPr>
        <w:tc>
          <w:tcPr>
            <w:tcW w:w="1472" w:type="pct"/>
            <w:noWrap/>
            <w:hideMark/>
          </w:tcPr>
          <w:p w14:paraId="2F605DBD" w14:textId="1F0119C4" w:rsidR="00434D34" w:rsidRPr="0024001D" w:rsidRDefault="00434D34" w:rsidP="00434D34">
            <w:pPr>
              <w:spacing w:after="0" w:line="240" w:lineRule="auto"/>
              <w:rPr>
                <w:b/>
                <w:bCs/>
                <w:sz w:val="22"/>
                <w:szCs w:val="22"/>
              </w:rPr>
            </w:pPr>
            <w:r w:rsidRPr="0024001D">
              <w:rPr>
                <w:sz w:val="22"/>
                <w:szCs w:val="22"/>
              </w:rPr>
              <w:t>Higher education institutions</w:t>
            </w:r>
          </w:p>
        </w:tc>
        <w:tc>
          <w:tcPr>
            <w:tcW w:w="1412" w:type="pct"/>
            <w:noWrap/>
            <w:hideMark/>
          </w:tcPr>
          <w:p w14:paraId="1EF8D582" w14:textId="0AA8BF21" w:rsidR="00434D34" w:rsidRPr="0024001D" w:rsidRDefault="00434D34" w:rsidP="00434D34">
            <w:pPr>
              <w:spacing w:after="0" w:line="240" w:lineRule="auto"/>
              <w:rPr>
                <w:szCs w:val="22"/>
              </w:rPr>
            </w:pPr>
            <w:r w:rsidRPr="00A6267D">
              <w:t>0</w:t>
            </w:r>
          </w:p>
        </w:tc>
        <w:tc>
          <w:tcPr>
            <w:tcW w:w="1501" w:type="pct"/>
            <w:noWrap/>
            <w:hideMark/>
          </w:tcPr>
          <w:p w14:paraId="4B239865" w14:textId="06580E72" w:rsidR="00434D34" w:rsidRPr="0024001D" w:rsidRDefault="00434D34" w:rsidP="00434D34">
            <w:pPr>
              <w:spacing w:after="0" w:line="240" w:lineRule="auto"/>
              <w:rPr>
                <w:sz w:val="22"/>
                <w:szCs w:val="22"/>
              </w:rPr>
            </w:pPr>
            <w:r w:rsidRPr="0024001D">
              <w:rPr>
                <w:sz w:val="22"/>
                <w:szCs w:val="22"/>
              </w:rPr>
              <w:t>1</w:t>
            </w:r>
          </w:p>
        </w:tc>
        <w:tc>
          <w:tcPr>
            <w:tcW w:w="615" w:type="pct"/>
            <w:noWrap/>
            <w:hideMark/>
          </w:tcPr>
          <w:p w14:paraId="2F9A2F10" w14:textId="504F00D1" w:rsidR="00434D34" w:rsidRPr="0024001D" w:rsidRDefault="00434D34" w:rsidP="00434D34">
            <w:pPr>
              <w:spacing w:after="0" w:line="240" w:lineRule="auto"/>
              <w:rPr>
                <w:sz w:val="22"/>
                <w:szCs w:val="22"/>
              </w:rPr>
            </w:pPr>
            <w:r w:rsidRPr="0024001D">
              <w:rPr>
                <w:sz w:val="22"/>
                <w:szCs w:val="22"/>
              </w:rPr>
              <w:t>1%</w:t>
            </w:r>
          </w:p>
        </w:tc>
      </w:tr>
      <w:tr w:rsidR="007C532D" w:rsidRPr="001C1A32" w14:paraId="5BF29DF3" w14:textId="77777777" w:rsidTr="00453550">
        <w:trPr>
          <w:trHeight w:val="230"/>
        </w:trPr>
        <w:tc>
          <w:tcPr>
            <w:tcW w:w="1472" w:type="pct"/>
            <w:hideMark/>
          </w:tcPr>
          <w:p w14:paraId="761401A2" w14:textId="59853857" w:rsidR="00434D34" w:rsidRPr="0024001D" w:rsidRDefault="00434D34" w:rsidP="00434D34">
            <w:pPr>
              <w:spacing w:after="0" w:line="240" w:lineRule="auto"/>
              <w:rPr>
                <w:b/>
                <w:bCs/>
                <w:sz w:val="22"/>
                <w:szCs w:val="22"/>
              </w:rPr>
            </w:pPr>
            <w:r w:rsidRPr="0024001D">
              <w:rPr>
                <w:sz w:val="22"/>
                <w:szCs w:val="22"/>
              </w:rPr>
              <w:lastRenderedPageBreak/>
              <w:t>Other (please specify)</w:t>
            </w:r>
            <w:r w:rsidR="00DA4FA2">
              <w:rPr>
                <w:rStyle w:val="FootnoteReference"/>
                <w:sz w:val="22"/>
                <w:szCs w:val="22"/>
              </w:rPr>
              <w:footnoteReference w:id="33"/>
            </w:r>
          </w:p>
        </w:tc>
        <w:tc>
          <w:tcPr>
            <w:tcW w:w="1412" w:type="pct"/>
            <w:noWrap/>
            <w:hideMark/>
          </w:tcPr>
          <w:p w14:paraId="788FA374" w14:textId="66E58B12" w:rsidR="00434D34" w:rsidRPr="0024001D" w:rsidRDefault="00434D34" w:rsidP="00434D34">
            <w:pPr>
              <w:spacing w:after="0" w:line="240" w:lineRule="auto"/>
              <w:rPr>
                <w:szCs w:val="22"/>
              </w:rPr>
            </w:pPr>
            <w:r w:rsidRPr="00A6267D">
              <w:t>7</w:t>
            </w:r>
          </w:p>
        </w:tc>
        <w:tc>
          <w:tcPr>
            <w:tcW w:w="1501" w:type="pct"/>
            <w:noWrap/>
            <w:hideMark/>
          </w:tcPr>
          <w:p w14:paraId="397E7FDE" w14:textId="3833E7D6" w:rsidR="00434D34" w:rsidRPr="0024001D" w:rsidRDefault="00434D34" w:rsidP="00434D34">
            <w:pPr>
              <w:spacing w:after="0" w:line="240" w:lineRule="auto"/>
              <w:rPr>
                <w:sz w:val="22"/>
                <w:szCs w:val="22"/>
              </w:rPr>
            </w:pPr>
            <w:r w:rsidRPr="0024001D">
              <w:rPr>
                <w:sz w:val="22"/>
                <w:szCs w:val="22"/>
              </w:rPr>
              <w:t>17</w:t>
            </w:r>
          </w:p>
        </w:tc>
        <w:tc>
          <w:tcPr>
            <w:tcW w:w="615" w:type="pct"/>
            <w:noWrap/>
            <w:hideMark/>
          </w:tcPr>
          <w:p w14:paraId="44FC42B0" w14:textId="700F4A65" w:rsidR="00434D34" w:rsidRPr="0024001D" w:rsidRDefault="00434D34" w:rsidP="00434D34">
            <w:pPr>
              <w:spacing w:after="0" w:line="240" w:lineRule="auto"/>
              <w:rPr>
                <w:szCs w:val="22"/>
              </w:rPr>
            </w:pPr>
            <w:r w:rsidRPr="00A6267D">
              <w:t>16</w:t>
            </w:r>
            <w:r w:rsidRPr="0024001D">
              <w:rPr>
                <w:szCs w:val="22"/>
              </w:rPr>
              <w:t>%</w:t>
            </w:r>
          </w:p>
        </w:tc>
      </w:tr>
      <w:tr w:rsidR="007C532D" w:rsidRPr="001C1A32" w14:paraId="5448C4DB" w14:textId="77777777" w:rsidTr="00453550">
        <w:trPr>
          <w:trHeight w:val="230"/>
        </w:trPr>
        <w:tc>
          <w:tcPr>
            <w:tcW w:w="1472" w:type="pct"/>
            <w:hideMark/>
          </w:tcPr>
          <w:p w14:paraId="6DE6DF44" w14:textId="1A05DA52" w:rsidR="00434D34" w:rsidRPr="0024001D" w:rsidRDefault="00434D34" w:rsidP="00434D34">
            <w:pPr>
              <w:spacing w:after="0" w:line="240" w:lineRule="auto"/>
              <w:rPr>
                <w:b/>
                <w:bCs/>
                <w:sz w:val="22"/>
                <w:szCs w:val="22"/>
              </w:rPr>
            </w:pPr>
            <w:r w:rsidRPr="0024001D">
              <w:rPr>
                <w:sz w:val="22"/>
                <w:szCs w:val="22"/>
              </w:rPr>
              <w:t>General public</w:t>
            </w:r>
          </w:p>
        </w:tc>
        <w:tc>
          <w:tcPr>
            <w:tcW w:w="1412" w:type="pct"/>
            <w:noWrap/>
            <w:hideMark/>
          </w:tcPr>
          <w:p w14:paraId="4D102E49" w14:textId="77777777" w:rsidR="00434D34" w:rsidRPr="0024001D" w:rsidRDefault="00434D34" w:rsidP="00434D34">
            <w:pPr>
              <w:spacing w:after="0" w:line="240" w:lineRule="auto"/>
              <w:rPr>
                <w:szCs w:val="22"/>
              </w:rPr>
            </w:pPr>
            <w:r w:rsidRPr="0024001D">
              <w:rPr>
                <w:szCs w:val="22"/>
              </w:rPr>
              <w:t>1</w:t>
            </w:r>
          </w:p>
        </w:tc>
        <w:tc>
          <w:tcPr>
            <w:tcW w:w="1501" w:type="pct"/>
            <w:noWrap/>
            <w:hideMark/>
          </w:tcPr>
          <w:p w14:paraId="00CC86A8" w14:textId="07AC7559" w:rsidR="00434D34" w:rsidRPr="0024001D" w:rsidRDefault="00434D34" w:rsidP="00434D34">
            <w:pPr>
              <w:spacing w:after="0" w:line="240" w:lineRule="auto"/>
              <w:rPr>
                <w:sz w:val="22"/>
                <w:szCs w:val="22"/>
              </w:rPr>
            </w:pPr>
          </w:p>
        </w:tc>
        <w:tc>
          <w:tcPr>
            <w:tcW w:w="615" w:type="pct"/>
            <w:noWrap/>
            <w:hideMark/>
          </w:tcPr>
          <w:p w14:paraId="4156903B" w14:textId="77777777" w:rsidR="00434D34" w:rsidRPr="0024001D" w:rsidRDefault="00434D34" w:rsidP="00434D34">
            <w:pPr>
              <w:spacing w:after="0" w:line="240" w:lineRule="auto"/>
              <w:rPr>
                <w:szCs w:val="22"/>
              </w:rPr>
            </w:pPr>
            <w:r w:rsidRPr="0024001D">
              <w:rPr>
                <w:szCs w:val="22"/>
              </w:rPr>
              <w:t>1%</w:t>
            </w:r>
          </w:p>
        </w:tc>
      </w:tr>
      <w:tr w:rsidR="007C532D" w:rsidRPr="001C1A32" w14:paraId="2A94E3DA" w14:textId="77777777" w:rsidTr="00453550">
        <w:trPr>
          <w:trHeight w:val="230"/>
        </w:trPr>
        <w:tc>
          <w:tcPr>
            <w:tcW w:w="1472" w:type="pct"/>
            <w:hideMark/>
          </w:tcPr>
          <w:p w14:paraId="4F51F9E5" w14:textId="694FA7B1" w:rsidR="00434D34" w:rsidRPr="0024001D" w:rsidRDefault="00434D34" w:rsidP="00434D34">
            <w:pPr>
              <w:spacing w:after="0" w:line="240" w:lineRule="auto"/>
              <w:rPr>
                <w:b/>
                <w:bCs/>
                <w:sz w:val="22"/>
                <w:szCs w:val="22"/>
              </w:rPr>
            </w:pPr>
            <w:r w:rsidRPr="0024001D">
              <w:rPr>
                <w:sz w:val="22"/>
                <w:szCs w:val="22"/>
              </w:rPr>
              <w:t>Recruitment Agency</w:t>
            </w:r>
          </w:p>
        </w:tc>
        <w:tc>
          <w:tcPr>
            <w:tcW w:w="1412" w:type="pct"/>
            <w:noWrap/>
            <w:hideMark/>
          </w:tcPr>
          <w:p w14:paraId="16EC9505" w14:textId="6D6E70F2" w:rsidR="00434D34" w:rsidRPr="0024001D" w:rsidRDefault="00434D34" w:rsidP="00434D34">
            <w:pPr>
              <w:spacing w:after="0" w:line="240" w:lineRule="auto"/>
              <w:rPr>
                <w:szCs w:val="22"/>
              </w:rPr>
            </w:pPr>
            <w:r w:rsidRPr="00A6267D">
              <w:t>1</w:t>
            </w:r>
          </w:p>
        </w:tc>
        <w:tc>
          <w:tcPr>
            <w:tcW w:w="1501" w:type="pct"/>
            <w:noWrap/>
            <w:hideMark/>
          </w:tcPr>
          <w:p w14:paraId="0D1D9798" w14:textId="527ED260" w:rsidR="00434D34" w:rsidRPr="0024001D" w:rsidRDefault="00434D34" w:rsidP="00434D34">
            <w:pPr>
              <w:spacing w:after="0" w:line="240" w:lineRule="auto"/>
              <w:rPr>
                <w:sz w:val="22"/>
                <w:szCs w:val="22"/>
              </w:rPr>
            </w:pPr>
          </w:p>
        </w:tc>
        <w:tc>
          <w:tcPr>
            <w:tcW w:w="615" w:type="pct"/>
            <w:noWrap/>
            <w:hideMark/>
          </w:tcPr>
          <w:p w14:paraId="434D4D3A" w14:textId="4F893F40" w:rsidR="00434D34" w:rsidRPr="0024001D" w:rsidRDefault="00434D34" w:rsidP="00434D34">
            <w:pPr>
              <w:spacing w:after="0" w:line="240" w:lineRule="auto"/>
              <w:rPr>
                <w:szCs w:val="22"/>
              </w:rPr>
            </w:pPr>
            <w:r w:rsidRPr="00A6267D">
              <w:t>1</w:t>
            </w:r>
            <w:r w:rsidRPr="0024001D">
              <w:rPr>
                <w:szCs w:val="22"/>
              </w:rPr>
              <w:t>%</w:t>
            </w:r>
          </w:p>
        </w:tc>
      </w:tr>
      <w:tr w:rsidR="007C532D" w:rsidRPr="001C1A32" w14:paraId="5716A51B" w14:textId="77777777" w:rsidTr="00453550">
        <w:trPr>
          <w:trHeight w:val="230"/>
        </w:trPr>
        <w:tc>
          <w:tcPr>
            <w:tcW w:w="1472" w:type="pct"/>
            <w:hideMark/>
          </w:tcPr>
          <w:p w14:paraId="028A81FE" w14:textId="0E232974" w:rsidR="00434D34" w:rsidRPr="0024001D" w:rsidRDefault="00434D34" w:rsidP="00434D34">
            <w:pPr>
              <w:spacing w:after="0" w:line="240" w:lineRule="auto"/>
              <w:rPr>
                <w:b/>
                <w:bCs/>
                <w:sz w:val="22"/>
                <w:szCs w:val="22"/>
              </w:rPr>
            </w:pPr>
            <w:r w:rsidRPr="0024001D">
              <w:rPr>
                <w:sz w:val="22"/>
                <w:szCs w:val="22"/>
              </w:rPr>
              <w:t>Registered Training Organisation</w:t>
            </w:r>
          </w:p>
        </w:tc>
        <w:tc>
          <w:tcPr>
            <w:tcW w:w="1412" w:type="pct"/>
            <w:noWrap/>
            <w:hideMark/>
          </w:tcPr>
          <w:p w14:paraId="16A9912B" w14:textId="130A65D2" w:rsidR="00434D34" w:rsidRPr="0024001D" w:rsidRDefault="00434D34" w:rsidP="00434D34">
            <w:pPr>
              <w:spacing w:after="0" w:line="240" w:lineRule="auto"/>
              <w:rPr>
                <w:szCs w:val="22"/>
              </w:rPr>
            </w:pPr>
            <w:r w:rsidRPr="00A6267D">
              <w:t>0</w:t>
            </w:r>
          </w:p>
        </w:tc>
        <w:tc>
          <w:tcPr>
            <w:tcW w:w="1501" w:type="pct"/>
            <w:noWrap/>
            <w:hideMark/>
          </w:tcPr>
          <w:p w14:paraId="0232D254" w14:textId="56EEEB63" w:rsidR="00434D34" w:rsidRPr="0024001D" w:rsidRDefault="00434D34" w:rsidP="00434D34">
            <w:pPr>
              <w:spacing w:after="0" w:line="240" w:lineRule="auto"/>
              <w:rPr>
                <w:sz w:val="22"/>
                <w:szCs w:val="22"/>
              </w:rPr>
            </w:pPr>
          </w:p>
        </w:tc>
        <w:tc>
          <w:tcPr>
            <w:tcW w:w="615" w:type="pct"/>
            <w:noWrap/>
            <w:hideMark/>
          </w:tcPr>
          <w:p w14:paraId="72BB915E" w14:textId="0706B234" w:rsidR="00434D34" w:rsidRPr="0024001D" w:rsidRDefault="00434D34" w:rsidP="00434D34">
            <w:pPr>
              <w:spacing w:after="0" w:line="240" w:lineRule="auto"/>
              <w:rPr>
                <w:szCs w:val="22"/>
              </w:rPr>
            </w:pPr>
            <w:r w:rsidRPr="00A6267D">
              <w:t>0</w:t>
            </w:r>
            <w:r w:rsidRPr="0024001D">
              <w:rPr>
                <w:szCs w:val="22"/>
              </w:rPr>
              <w:t>%</w:t>
            </w:r>
          </w:p>
        </w:tc>
      </w:tr>
      <w:tr w:rsidR="007C532D" w:rsidRPr="001C1A32" w14:paraId="0B9DEE04" w14:textId="77777777" w:rsidTr="00453550">
        <w:trPr>
          <w:trHeight w:val="230"/>
        </w:trPr>
        <w:tc>
          <w:tcPr>
            <w:tcW w:w="1472" w:type="pct"/>
            <w:hideMark/>
          </w:tcPr>
          <w:p w14:paraId="343FE222" w14:textId="3D460E57" w:rsidR="00434D34" w:rsidRPr="0024001D" w:rsidRDefault="00434D34" w:rsidP="00434D34">
            <w:pPr>
              <w:spacing w:after="0" w:line="240" w:lineRule="auto"/>
              <w:rPr>
                <w:b/>
                <w:bCs/>
                <w:sz w:val="22"/>
                <w:szCs w:val="22"/>
              </w:rPr>
            </w:pPr>
            <w:r w:rsidRPr="0024001D">
              <w:rPr>
                <w:sz w:val="22"/>
                <w:szCs w:val="22"/>
              </w:rPr>
              <w:t>Academic</w:t>
            </w:r>
          </w:p>
        </w:tc>
        <w:tc>
          <w:tcPr>
            <w:tcW w:w="1412" w:type="pct"/>
            <w:noWrap/>
            <w:hideMark/>
          </w:tcPr>
          <w:p w14:paraId="11D310C4" w14:textId="13828596" w:rsidR="00434D34" w:rsidRPr="0024001D" w:rsidRDefault="00434D34" w:rsidP="00434D34">
            <w:pPr>
              <w:spacing w:after="0" w:line="240" w:lineRule="auto"/>
              <w:rPr>
                <w:szCs w:val="22"/>
              </w:rPr>
            </w:pPr>
            <w:r w:rsidRPr="00A6267D">
              <w:t>1</w:t>
            </w:r>
          </w:p>
        </w:tc>
        <w:tc>
          <w:tcPr>
            <w:tcW w:w="1501" w:type="pct"/>
            <w:noWrap/>
            <w:hideMark/>
          </w:tcPr>
          <w:p w14:paraId="6936DD95" w14:textId="5929924F" w:rsidR="00434D34" w:rsidRPr="0024001D" w:rsidRDefault="00434D34" w:rsidP="00434D34">
            <w:pPr>
              <w:spacing w:after="0" w:line="240" w:lineRule="auto"/>
              <w:rPr>
                <w:sz w:val="22"/>
                <w:szCs w:val="22"/>
              </w:rPr>
            </w:pPr>
          </w:p>
        </w:tc>
        <w:tc>
          <w:tcPr>
            <w:tcW w:w="615" w:type="pct"/>
            <w:noWrap/>
            <w:hideMark/>
          </w:tcPr>
          <w:p w14:paraId="78DF87AC" w14:textId="1A07AE1C" w:rsidR="00434D34" w:rsidRPr="0024001D" w:rsidRDefault="00434D34" w:rsidP="00434D34">
            <w:pPr>
              <w:spacing w:after="0" w:line="240" w:lineRule="auto"/>
              <w:rPr>
                <w:sz w:val="22"/>
                <w:szCs w:val="22"/>
              </w:rPr>
            </w:pPr>
            <w:r w:rsidRPr="0024001D">
              <w:rPr>
                <w:sz w:val="22"/>
                <w:szCs w:val="22"/>
              </w:rPr>
              <w:t>1%</w:t>
            </w:r>
          </w:p>
        </w:tc>
      </w:tr>
      <w:tr w:rsidR="007C532D" w:rsidRPr="001C1A32" w14:paraId="49619AF0" w14:textId="77777777" w:rsidTr="00453550">
        <w:trPr>
          <w:trHeight w:val="230"/>
        </w:trPr>
        <w:tc>
          <w:tcPr>
            <w:tcW w:w="1472" w:type="pct"/>
          </w:tcPr>
          <w:p w14:paraId="3AD3EF83" w14:textId="3ED45633" w:rsidR="00434D34" w:rsidRPr="0024001D" w:rsidRDefault="0024001D" w:rsidP="00434D34">
            <w:pPr>
              <w:spacing w:after="0" w:line="240" w:lineRule="auto"/>
              <w:rPr>
                <w:i/>
                <w:sz w:val="22"/>
                <w:szCs w:val="22"/>
              </w:rPr>
            </w:pPr>
            <w:r w:rsidRPr="0024001D">
              <w:rPr>
                <w:i/>
                <w:iCs/>
                <w:sz w:val="22"/>
                <w:szCs w:val="22"/>
              </w:rPr>
              <w:t>Total</w:t>
            </w:r>
          </w:p>
        </w:tc>
        <w:tc>
          <w:tcPr>
            <w:tcW w:w="1412" w:type="pct"/>
            <w:noWrap/>
          </w:tcPr>
          <w:p w14:paraId="6F98570B" w14:textId="558EE5E1" w:rsidR="00434D34" w:rsidRPr="0024001D" w:rsidRDefault="0024001D" w:rsidP="00434D34">
            <w:pPr>
              <w:spacing w:after="0" w:line="240" w:lineRule="auto"/>
              <w:rPr>
                <w:i/>
                <w:sz w:val="22"/>
                <w:szCs w:val="22"/>
              </w:rPr>
            </w:pPr>
            <w:r w:rsidRPr="0024001D">
              <w:rPr>
                <w:i/>
                <w:iCs/>
                <w:sz w:val="22"/>
                <w:szCs w:val="22"/>
              </w:rPr>
              <w:t>6</w:t>
            </w:r>
            <w:r w:rsidR="007C65EA">
              <w:rPr>
                <w:i/>
                <w:iCs/>
                <w:sz w:val="22"/>
                <w:szCs w:val="22"/>
              </w:rPr>
              <w:t>9</w:t>
            </w:r>
          </w:p>
        </w:tc>
        <w:tc>
          <w:tcPr>
            <w:tcW w:w="1501" w:type="pct"/>
            <w:noWrap/>
          </w:tcPr>
          <w:p w14:paraId="425034C3" w14:textId="3DF4D9A4" w:rsidR="00434D34" w:rsidRPr="0024001D" w:rsidRDefault="0024001D" w:rsidP="00434D34">
            <w:pPr>
              <w:spacing w:after="0" w:line="240" w:lineRule="auto"/>
              <w:rPr>
                <w:i/>
                <w:sz w:val="22"/>
                <w:szCs w:val="22"/>
              </w:rPr>
            </w:pPr>
            <w:r w:rsidRPr="0024001D">
              <w:rPr>
                <w:i/>
                <w:iCs/>
                <w:sz w:val="22"/>
                <w:szCs w:val="22"/>
              </w:rPr>
              <w:t>77</w:t>
            </w:r>
          </w:p>
        </w:tc>
        <w:tc>
          <w:tcPr>
            <w:tcW w:w="615" w:type="pct"/>
            <w:noWrap/>
          </w:tcPr>
          <w:p w14:paraId="1A04E8BF" w14:textId="754E3BAC" w:rsidR="00434D34" w:rsidRPr="0024001D" w:rsidRDefault="0024001D" w:rsidP="00434D34">
            <w:pPr>
              <w:spacing w:after="0" w:line="240" w:lineRule="auto"/>
              <w:rPr>
                <w:i/>
                <w:sz w:val="22"/>
                <w:szCs w:val="22"/>
              </w:rPr>
            </w:pPr>
            <w:r w:rsidRPr="0024001D">
              <w:rPr>
                <w:i/>
                <w:iCs/>
                <w:sz w:val="22"/>
                <w:szCs w:val="22"/>
              </w:rPr>
              <w:t>100%</w:t>
            </w:r>
          </w:p>
        </w:tc>
      </w:tr>
    </w:tbl>
    <w:p w14:paraId="6B288840" w14:textId="45B44844" w:rsidR="00D601E7" w:rsidRDefault="00F458B4" w:rsidP="00F458B4">
      <w:pPr>
        <w:pStyle w:val="Source"/>
      </w:pPr>
      <w:r>
        <w:t xml:space="preserve">Source: </w:t>
      </w:r>
      <w:r w:rsidRPr="00F458B4">
        <w:t>Deloitte Access Economics (2025</w:t>
      </w:r>
      <w:r>
        <w:t xml:space="preserve">). All submissions could be made anonymously. These are the numbers of complete and useable responses, with duplicates removed. </w:t>
      </w:r>
      <w:r w:rsidR="00617D80">
        <w:t xml:space="preserve">Please note that numbers may not sum to 100 due to rounding. </w:t>
      </w:r>
    </w:p>
    <w:p w14:paraId="14C650F4" w14:textId="77777777" w:rsidR="00D601E7" w:rsidRDefault="00D601E7">
      <w:pPr>
        <w:pStyle w:val="Heading4"/>
      </w:pPr>
      <w:r>
        <w:t xml:space="preserve">Targeted consultation </w:t>
      </w:r>
    </w:p>
    <w:p w14:paraId="13A0CE68" w14:textId="3E4D7E2F" w:rsidR="00D601E7" w:rsidRPr="00400DE5" w:rsidRDefault="00D92564">
      <w:pPr>
        <w:rPr>
          <w:rStyle w:val="normaltextrun"/>
          <w:rFonts w:ascii="Arial" w:hAnsi="Arial" w:cs="Arial"/>
        </w:rPr>
      </w:pPr>
      <w:r>
        <w:rPr>
          <w:iCs/>
        </w:rPr>
        <w:t>The key stakeholder groups to be engaged through t</w:t>
      </w:r>
      <w:r w:rsidRPr="00D00E97">
        <w:rPr>
          <w:iCs/>
        </w:rPr>
        <w:t xml:space="preserve">argeted consultation was informed by a review of the evidence at the midpoint of the consultation period. </w:t>
      </w:r>
      <w:r w:rsidR="00D601E7">
        <w:rPr>
          <w:rStyle w:val="normaltextrun"/>
          <w:rFonts w:ascii="Arial" w:hAnsi="Arial" w:cs="Arial"/>
        </w:rPr>
        <w:t>Eleven</w:t>
      </w:r>
      <w:r w:rsidR="00D601E7" w:rsidRPr="00400DE5">
        <w:rPr>
          <w:rStyle w:val="normaltextrun"/>
          <w:rFonts w:ascii="Arial" w:hAnsi="Arial" w:cs="Arial"/>
        </w:rPr>
        <w:t xml:space="preserve"> 1–2-hour focus groups were held with: </w:t>
      </w:r>
    </w:p>
    <w:p w14:paraId="1B1B2C99" w14:textId="6615C3C6" w:rsidR="00D601E7" w:rsidRPr="00400DE5" w:rsidRDefault="00FD6F5D" w:rsidP="00841575">
      <w:pPr>
        <w:pStyle w:val="ListBullet"/>
        <w:ind w:left="426"/>
        <w:rPr>
          <w:rStyle w:val="normaltextrun"/>
          <w:rFonts w:ascii="Arial" w:hAnsi="Arial" w:cs="Arial"/>
        </w:rPr>
      </w:pPr>
      <w:r>
        <w:rPr>
          <w:rStyle w:val="normaltextrun"/>
          <w:rFonts w:ascii="Arial" w:hAnsi="Arial" w:cs="Arial"/>
        </w:rPr>
        <w:t>FDC</w:t>
      </w:r>
      <w:r w:rsidR="00D601E7" w:rsidRPr="00400DE5">
        <w:rPr>
          <w:rStyle w:val="normaltextrun"/>
          <w:rFonts w:ascii="Arial" w:hAnsi="Arial" w:cs="Arial"/>
        </w:rPr>
        <w:t xml:space="preserve"> services</w:t>
      </w:r>
      <w:r w:rsidR="6914AAAC" w:rsidRPr="43584128">
        <w:rPr>
          <w:rStyle w:val="normaltextrun"/>
          <w:rFonts w:ascii="Arial" w:hAnsi="Arial" w:cs="Arial"/>
        </w:rPr>
        <w:t xml:space="preserve"> (8 individuals)</w:t>
      </w:r>
    </w:p>
    <w:p w14:paraId="7C8AA1A0" w14:textId="79EFF2BA" w:rsidR="00D601E7" w:rsidRPr="00400DE5" w:rsidRDefault="00D601E7" w:rsidP="00841575">
      <w:pPr>
        <w:pStyle w:val="ListBullet"/>
        <w:ind w:left="426"/>
        <w:rPr>
          <w:rStyle w:val="normaltextrun"/>
          <w:rFonts w:ascii="Arial" w:hAnsi="Arial" w:cs="Arial"/>
        </w:rPr>
      </w:pPr>
      <w:r w:rsidRPr="00400DE5">
        <w:rPr>
          <w:rStyle w:val="normaltextrun"/>
          <w:rFonts w:ascii="Arial" w:hAnsi="Arial" w:cs="Arial"/>
        </w:rPr>
        <w:t>recruitment agencies</w:t>
      </w:r>
      <w:r w:rsidR="59C1CF85" w:rsidRPr="62D0DD4D">
        <w:rPr>
          <w:rStyle w:val="normaltextrun"/>
          <w:rFonts w:ascii="Arial" w:hAnsi="Arial" w:cs="Arial"/>
        </w:rPr>
        <w:t xml:space="preserve"> (</w:t>
      </w:r>
      <w:r w:rsidR="65849C9A" w:rsidRPr="48CE5F49">
        <w:rPr>
          <w:rStyle w:val="normaltextrun"/>
          <w:rFonts w:ascii="Arial" w:hAnsi="Arial" w:cs="Arial"/>
        </w:rPr>
        <w:t>3</w:t>
      </w:r>
      <w:r w:rsidR="59C1CF85" w:rsidRPr="62D0DD4D">
        <w:rPr>
          <w:rStyle w:val="normaltextrun"/>
          <w:rFonts w:ascii="Arial" w:hAnsi="Arial" w:cs="Arial"/>
        </w:rPr>
        <w:t xml:space="preserve"> individuals)</w:t>
      </w:r>
    </w:p>
    <w:p w14:paraId="6D67723B" w14:textId="1AE27386" w:rsidR="00D601E7" w:rsidRPr="00400DE5" w:rsidRDefault="00D601E7" w:rsidP="00841575">
      <w:pPr>
        <w:pStyle w:val="ListBullet"/>
        <w:ind w:left="426"/>
        <w:rPr>
          <w:rStyle w:val="normaltextrun"/>
          <w:rFonts w:ascii="Arial" w:hAnsi="Arial" w:cs="Arial"/>
        </w:rPr>
      </w:pPr>
      <w:r w:rsidRPr="00400DE5">
        <w:rPr>
          <w:rStyle w:val="normaltextrun"/>
          <w:rFonts w:ascii="Arial" w:hAnsi="Arial" w:cs="Arial"/>
        </w:rPr>
        <w:t>registered training organisations</w:t>
      </w:r>
      <w:r w:rsidR="6EDBFD98" w:rsidRPr="62D0DD4D">
        <w:rPr>
          <w:rStyle w:val="normaltextrun"/>
          <w:rFonts w:ascii="Arial" w:hAnsi="Arial" w:cs="Arial"/>
        </w:rPr>
        <w:t xml:space="preserve"> (</w:t>
      </w:r>
      <w:r w:rsidR="1A6A5D8A" w:rsidRPr="12D86467">
        <w:rPr>
          <w:rStyle w:val="normaltextrun"/>
          <w:rFonts w:ascii="Arial" w:hAnsi="Arial" w:cs="Arial"/>
        </w:rPr>
        <w:t>5</w:t>
      </w:r>
      <w:r w:rsidR="6EDBFD98" w:rsidRPr="62D0DD4D">
        <w:rPr>
          <w:rStyle w:val="normaltextrun"/>
          <w:rFonts w:ascii="Arial" w:hAnsi="Arial" w:cs="Arial"/>
        </w:rPr>
        <w:t xml:space="preserve"> individuals)</w:t>
      </w:r>
    </w:p>
    <w:p w14:paraId="34962C0F" w14:textId="6C04775E" w:rsidR="00D601E7" w:rsidRPr="00400DE5" w:rsidRDefault="00123937" w:rsidP="00841575">
      <w:pPr>
        <w:pStyle w:val="ListBullet"/>
        <w:ind w:left="426"/>
        <w:rPr>
          <w:rStyle w:val="normaltextrun"/>
          <w:rFonts w:ascii="Arial" w:hAnsi="Arial" w:cs="Arial"/>
        </w:rPr>
      </w:pPr>
      <w:r>
        <w:rPr>
          <w:rStyle w:val="normaltextrun"/>
          <w:rFonts w:ascii="Arial" w:hAnsi="Arial" w:cs="Arial"/>
        </w:rPr>
        <w:t>OSHC</w:t>
      </w:r>
      <w:r w:rsidR="00D601E7" w:rsidRPr="00400DE5">
        <w:rPr>
          <w:rStyle w:val="normaltextrun"/>
          <w:rFonts w:ascii="Arial" w:hAnsi="Arial" w:cs="Arial"/>
        </w:rPr>
        <w:t xml:space="preserve"> services</w:t>
      </w:r>
      <w:r w:rsidR="62BEEAEA" w:rsidRPr="43584128">
        <w:rPr>
          <w:rStyle w:val="normaltextrun"/>
          <w:rFonts w:ascii="Arial" w:hAnsi="Arial" w:cs="Arial"/>
        </w:rPr>
        <w:t xml:space="preserve"> (8 individuals)</w:t>
      </w:r>
    </w:p>
    <w:p w14:paraId="1AC2332D" w14:textId="538D66DF" w:rsidR="00BA566A" w:rsidRPr="00D92564" w:rsidRDefault="00D601E7">
      <w:pPr>
        <w:pStyle w:val="ListBullet"/>
        <w:ind w:left="426"/>
        <w:rPr>
          <w:rStyle w:val="normaltextrun"/>
          <w:rFonts w:ascii="Arial" w:hAnsi="Arial" w:cs="Arial"/>
        </w:rPr>
      </w:pPr>
      <w:r w:rsidRPr="00D92564">
        <w:rPr>
          <w:rStyle w:val="normaltextrun"/>
          <w:rFonts w:ascii="Arial" w:hAnsi="Arial" w:cs="Arial"/>
        </w:rPr>
        <w:t xml:space="preserve">the </w:t>
      </w:r>
      <w:r w:rsidR="00D92564">
        <w:rPr>
          <w:rStyle w:val="normaltextrun"/>
          <w:rFonts w:ascii="Arial" w:hAnsi="Arial" w:cs="Arial"/>
        </w:rPr>
        <w:t>PCRG (20 individuals)</w:t>
      </w:r>
    </w:p>
    <w:p w14:paraId="46426E0C" w14:textId="77777777" w:rsidR="00BA566A" w:rsidRDefault="00D601E7" w:rsidP="00841575">
      <w:pPr>
        <w:pStyle w:val="ListBullet"/>
        <w:ind w:left="426"/>
        <w:rPr>
          <w:rStyle w:val="normaltextrun"/>
          <w:rFonts w:ascii="Arial" w:hAnsi="Arial" w:cs="Arial"/>
        </w:rPr>
      </w:pPr>
      <w:r w:rsidRPr="00400DE5">
        <w:rPr>
          <w:rStyle w:val="normaltextrun"/>
          <w:rFonts w:ascii="Arial" w:hAnsi="Arial" w:cs="Arial"/>
        </w:rPr>
        <w:t>Working With Children Check (WWCC) screening agencies</w:t>
      </w:r>
      <w:r w:rsidR="00BE614F" w:rsidRPr="3A5B5C96">
        <w:rPr>
          <w:rStyle w:val="normaltextrun"/>
          <w:rFonts w:ascii="Arial" w:hAnsi="Arial" w:cs="Arial"/>
        </w:rPr>
        <w:t xml:space="preserve"> (</w:t>
      </w:r>
      <w:r w:rsidR="5B494223" w:rsidRPr="75C5F462">
        <w:rPr>
          <w:rStyle w:val="normaltextrun"/>
          <w:rFonts w:ascii="Arial" w:hAnsi="Arial" w:cs="Arial"/>
        </w:rPr>
        <w:t>11</w:t>
      </w:r>
      <w:r w:rsidR="00BE614F" w:rsidRPr="3A5B5C96">
        <w:rPr>
          <w:rStyle w:val="normaltextrun"/>
          <w:rFonts w:ascii="Arial" w:hAnsi="Arial" w:cs="Arial"/>
        </w:rPr>
        <w:t xml:space="preserve"> individuals</w:t>
      </w:r>
      <w:r w:rsidR="00BE614F" w:rsidRPr="00BA566A">
        <w:rPr>
          <w:rStyle w:val="normaltextrun"/>
          <w:rFonts w:ascii="Arial" w:hAnsi="Arial" w:cs="Arial"/>
        </w:rPr>
        <w:t>).</w:t>
      </w:r>
    </w:p>
    <w:p w14:paraId="5FA28E17" w14:textId="1FF20B4E" w:rsidR="00D601E7" w:rsidRPr="00400DE5" w:rsidRDefault="00D601E7" w:rsidP="00BA566A">
      <w:pPr>
        <w:pStyle w:val="ListBullet"/>
        <w:numPr>
          <w:ilvl w:val="0"/>
          <w:numId w:val="0"/>
        </w:numPr>
        <w:rPr>
          <w:rStyle w:val="normaltextrun"/>
          <w:rFonts w:ascii="Arial" w:hAnsi="Arial" w:cs="Arial"/>
        </w:rPr>
      </w:pPr>
      <w:r w:rsidRPr="00400DE5">
        <w:rPr>
          <w:rStyle w:val="normaltextrun"/>
          <w:rFonts w:ascii="Arial" w:hAnsi="Arial" w:cs="Arial"/>
        </w:rPr>
        <w:t xml:space="preserve">As part of this consultation, SNAICC facilitated two yarning circles: one with SNAICC Early Years Services (EYS) located in Victoria, and one with Aboriginal Community-Controlled Organisations (ACCOs) across all states and territories. </w:t>
      </w:r>
      <w:r w:rsidR="003A723D">
        <w:rPr>
          <w:rStyle w:val="normaltextrun"/>
          <w:rFonts w:ascii="Arial" w:hAnsi="Arial" w:cs="Arial"/>
        </w:rPr>
        <w:t xml:space="preserve">These yarning circles used similar materials to the focus groups, and were led by Aboriginal facilitators in an open discussion format. Stakeholders were able to </w:t>
      </w:r>
      <w:r w:rsidR="00CF4730">
        <w:rPr>
          <w:rStyle w:val="normaltextrun"/>
          <w:rFonts w:ascii="Arial" w:hAnsi="Arial" w:cs="Arial"/>
        </w:rPr>
        <w:t>choose</w:t>
      </w:r>
      <w:r w:rsidR="003A723D">
        <w:rPr>
          <w:rStyle w:val="normaltextrun"/>
          <w:rFonts w:ascii="Arial" w:hAnsi="Arial" w:cs="Arial"/>
        </w:rPr>
        <w:t xml:space="preserve"> which areas of reform to discuss in </w:t>
      </w:r>
      <w:r w:rsidR="00AF0F14">
        <w:rPr>
          <w:rStyle w:val="normaltextrun"/>
          <w:rFonts w:ascii="Arial" w:hAnsi="Arial" w:cs="Arial"/>
        </w:rPr>
        <w:t xml:space="preserve">the </w:t>
      </w:r>
      <w:r w:rsidR="003A723D">
        <w:rPr>
          <w:rStyle w:val="normaltextrun"/>
          <w:rFonts w:ascii="Arial" w:hAnsi="Arial" w:cs="Arial"/>
        </w:rPr>
        <w:t>most detail</w:t>
      </w:r>
      <w:r w:rsidR="00757437">
        <w:rPr>
          <w:rStyle w:val="normaltextrun"/>
          <w:rFonts w:ascii="Arial" w:hAnsi="Arial" w:cs="Arial"/>
        </w:rPr>
        <w:t xml:space="preserve">, including those </w:t>
      </w:r>
      <w:r w:rsidR="00AF0F14">
        <w:rPr>
          <w:rStyle w:val="normaltextrun"/>
          <w:rFonts w:ascii="Arial" w:hAnsi="Arial" w:cs="Arial"/>
        </w:rPr>
        <w:t>considered</w:t>
      </w:r>
      <w:r w:rsidR="00757437">
        <w:rPr>
          <w:rStyle w:val="normaltextrun"/>
          <w:rFonts w:ascii="Arial" w:hAnsi="Arial" w:cs="Arial"/>
        </w:rPr>
        <w:t xml:space="preserve"> most relevant to Aboriginal and Torres Strait Islander services, families and children</w:t>
      </w:r>
      <w:r w:rsidR="003A723D">
        <w:rPr>
          <w:rStyle w:val="normaltextrun"/>
          <w:rFonts w:ascii="Arial" w:hAnsi="Arial" w:cs="Arial"/>
        </w:rPr>
        <w:t xml:space="preserve">. </w:t>
      </w:r>
    </w:p>
    <w:p w14:paraId="18EB9D87" w14:textId="5F80709C" w:rsidR="00D601E7" w:rsidRDefault="00D601E7">
      <w:pPr>
        <w:rPr>
          <w:rStyle w:val="normaltextrun"/>
          <w:rFonts w:ascii="Arial" w:hAnsi="Arial" w:cs="Arial"/>
        </w:rPr>
      </w:pPr>
      <w:r w:rsidRPr="00400DE5">
        <w:rPr>
          <w:rStyle w:val="normaltextrun"/>
          <w:rFonts w:ascii="Arial" w:hAnsi="Arial" w:cs="Arial"/>
        </w:rPr>
        <w:t xml:space="preserve">In addition to the focus groups, </w:t>
      </w:r>
      <w:r w:rsidR="00995A18">
        <w:rPr>
          <w:rStyle w:val="normaltextrun"/>
          <w:rFonts w:ascii="Arial" w:hAnsi="Arial" w:cs="Arial"/>
        </w:rPr>
        <w:t>five</w:t>
      </w:r>
      <w:r w:rsidRPr="00400DE5">
        <w:rPr>
          <w:rStyle w:val="normaltextrun"/>
          <w:rFonts w:ascii="Arial" w:hAnsi="Arial" w:cs="Arial"/>
        </w:rPr>
        <w:t xml:space="preserve"> virtual consultations were held across a range of stakeholder groups. </w:t>
      </w:r>
      <w:r w:rsidR="001B75BC">
        <w:rPr>
          <w:rStyle w:val="normaltextrun"/>
          <w:rFonts w:ascii="Arial" w:hAnsi="Arial" w:cs="Arial"/>
        </w:rPr>
        <w:t xml:space="preserve">Jurisdictions nominated individuals for targeted consultations, and experts who provided input to the policy development were also invited. Consultation was also offered to some individuals who could not attend focus groups due to scheduling </w:t>
      </w:r>
      <w:r w:rsidR="003A723D">
        <w:rPr>
          <w:rStyle w:val="normaltextrun"/>
          <w:rFonts w:ascii="Arial" w:hAnsi="Arial" w:cs="Arial"/>
        </w:rPr>
        <w:t xml:space="preserve">issues. </w:t>
      </w:r>
    </w:p>
    <w:p w14:paraId="61E05634" w14:textId="1E0C5C37" w:rsidR="00CF6C9D" w:rsidRDefault="00CF6C9D" w:rsidP="00CF6C9D">
      <w:pPr>
        <w:pStyle w:val="Heading4"/>
        <w:rPr>
          <w:rStyle w:val="normaltextrun"/>
          <w:rFonts w:ascii="Arial" w:hAnsi="Arial" w:cs="Arial"/>
        </w:rPr>
      </w:pPr>
      <w:r>
        <w:rPr>
          <w:rStyle w:val="normaltextrun"/>
          <w:rFonts w:ascii="Arial" w:hAnsi="Arial" w:cs="Arial"/>
        </w:rPr>
        <w:t>Analysis of consultation evidence</w:t>
      </w:r>
    </w:p>
    <w:p w14:paraId="68651328" w14:textId="0CDFB929" w:rsidR="00CF6C9D" w:rsidRPr="00CF6C9D" w:rsidRDefault="002B3ECF" w:rsidP="00CF6C9D">
      <w:r>
        <w:lastRenderedPageBreak/>
        <w:t xml:space="preserve">A mixed-method approach was used to analyse the varying consultation-based evidence sources. </w:t>
      </w:r>
    </w:p>
    <w:p w14:paraId="3A3596A0" w14:textId="754AD772" w:rsidR="002B3ECF" w:rsidRPr="00CF6C9D" w:rsidRDefault="002B3ECF" w:rsidP="00CF6C9D">
      <w:r>
        <w:t>In the case of the three surveys, descriptive statistics were</w:t>
      </w:r>
      <w:r w:rsidR="00BD388B">
        <w:t xml:space="preserve"> calculated for all questions deemed useful to the understanding of themes, including for questions around the perceived reduction in risk of harm, preferred option, and frequency of behaviours. </w:t>
      </w:r>
      <w:r w:rsidR="005E3ECE">
        <w:t>These descriptive statistics were also provided by jurisdiction and service types where relevant to the context of the recommendation.</w:t>
      </w:r>
    </w:p>
    <w:p w14:paraId="7869BB77" w14:textId="10FA13AC" w:rsidR="1144ABD9" w:rsidRDefault="0B78517F">
      <w:r>
        <w:t>Long form written submissions were code</w:t>
      </w:r>
      <w:r w:rsidR="33988FDA">
        <w:t>d regarding support for each option, including where support was implied, where support was in principle or with conditions</w:t>
      </w:r>
      <w:r w:rsidR="48D6738B">
        <w:t>, where there were mixed responses,</w:t>
      </w:r>
      <w:r w:rsidR="33988FDA">
        <w:t xml:space="preserve"> and where </w:t>
      </w:r>
      <w:r w:rsidR="00C668AD">
        <w:t>submissions</w:t>
      </w:r>
      <w:r w:rsidR="33988FDA">
        <w:t xml:space="preserve"> did not </w:t>
      </w:r>
      <w:r w:rsidR="00C668AD">
        <w:t>comment,</w:t>
      </w:r>
      <w:r w:rsidR="513C6345">
        <w:t xml:space="preserve"> or a preference could not be determined</w:t>
      </w:r>
      <w:r w:rsidR="33988FDA">
        <w:t xml:space="preserve">. </w:t>
      </w:r>
    </w:p>
    <w:p w14:paraId="22905CCC" w14:textId="03AE1E8F" w:rsidR="00475C25" w:rsidRPr="00CF6C9D" w:rsidRDefault="005E3ECE" w:rsidP="00CF6C9D">
      <w:r>
        <w:t>For jurisdictional forums,</w:t>
      </w:r>
      <w:r w:rsidR="00DC5434">
        <w:t xml:space="preserve"> submissions,</w:t>
      </w:r>
      <w:r>
        <w:t xml:space="preserve"> targeted consultation</w:t>
      </w:r>
      <w:r w:rsidR="00DC5434">
        <w:t>,</w:t>
      </w:r>
      <w:r>
        <w:t xml:space="preserve"> and focus groups, </w:t>
      </w:r>
      <w:r w:rsidR="00DC5434">
        <w:t>evidence was thematically assessed to highlight any key themes or overarching takeaways</w:t>
      </w:r>
      <w:r w:rsidR="00E5655A">
        <w:t xml:space="preserve">, noting that in some consultations, stakeholders were asked questions that were particularly relevant to their perspective. This means that not all stakeholders were asked the same questions throughout interviews and focus groups. </w:t>
      </w:r>
      <w:r w:rsidR="00475C25">
        <w:t xml:space="preserve">Findings from this qualitative analysis were aggregated to form understandings of perspectives and costs for service-types, jurisdictions, and other categories. </w:t>
      </w:r>
    </w:p>
    <w:p w14:paraId="2590CD2C" w14:textId="70C7D1CB" w:rsidR="00D601E7" w:rsidRDefault="00D601E7">
      <w:pPr>
        <w:pStyle w:val="Heading2"/>
      </w:pPr>
      <w:bookmarkStart w:id="53" w:name="_Toc205884881"/>
      <w:r>
        <w:t xml:space="preserve">3.3 </w:t>
      </w:r>
      <w:r w:rsidR="00B41E6D">
        <w:t>Evaluating the</w:t>
      </w:r>
      <w:r>
        <w:t xml:space="preserve"> </w:t>
      </w:r>
      <w:r w:rsidR="00F9255C" w:rsidRPr="00F9255C">
        <w:t xml:space="preserve">public consultation </w:t>
      </w:r>
      <w:r>
        <w:t>evidence base</w:t>
      </w:r>
      <w:bookmarkEnd w:id="53"/>
      <w:r w:rsidR="00444A15">
        <w:t xml:space="preserve"> </w:t>
      </w:r>
    </w:p>
    <w:p w14:paraId="6A148F66" w14:textId="0F3C07A0" w:rsidR="00D601E7" w:rsidRPr="00EC5078" w:rsidRDefault="00D601E7">
      <w:r>
        <w:t xml:space="preserve">As outlined above, </w:t>
      </w:r>
      <w:r w:rsidRPr="003B3F79">
        <w:t xml:space="preserve">the consultation </w:t>
      </w:r>
      <w:r w:rsidR="000654FD">
        <w:t>process</w:t>
      </w:r>
      <w:r w:rsidR="000654FD" w:rsidRPr="003B3F79">
        <w:t xml:space="preserve"> </w:t>
      </w:r>
      <w:r w:rsidRPr="003B3F79">
        <w:t>sought to provide adequate opportunity for any stakeholders that may be impacted by the proposed changes to understand these changes and to provide inpu</w:t>
      </w:r>
      <w:r>
        <w:t xml:space="preserve">t, and </w:t>
      </w:r>
      <w:r w:rsidRPr="003B3F79">
        <w:t xml:space="preserve">to generate a robust evidence base to support the DRIS. </w:t>
      </w:r>
      <w:r>
        <w:t xml:space="preserve">The consultation </w:t>
      </w:r>
      <w:r w:rsidR="000654FD">
        <w:t xml:space="preserve">process </w:t>
      </w:r>
      <w:r>
        <w:t xml:space="preserve">saw high engagement across the sector, as illustrated by the volume of responses, the quality and depth of responses, and the diversity of stakeholders. </w:t>
      </w:r>
      <w:r w:rsidR="000654FD">
        <w:t>Education Ministers are</w:t>
      </w:r>
      <w:r>
        <w:t xml:space="preserve"> grateful to all stakeholders who provided input into the DRIS through public consultation. </w:t>
      </w:r>
    </w:p>
    <w:p w14:paraId="019ADBC2" w14:textId="6B17CA9B" w:rsidR="00B41E6D" w:rsidRDefault="00D601E7">
      <w:r>
        <w:t>Public consultation</w:t>
      </w:r>
      <w:r w:rsidR="0012798B">
        <w:t xml:space="preserve"> – as proxied through survey responses -</w:t>
      </w:r>
      <w:r>
        <w:t xml:space="preserve"> achieved coverage of all key areas of interest across service types, provider types and sizes, stakeholder demographics, jurisdictions, and remoteness</w:t>
      </w:r>
      <w:r w:rsidR="00B41E6D">
        <w:t xml:space="preserve"> (see Chart </w:t>
      </w:r>
      <w:r w:rsidR="00020E9D">
        <w:t>3.1</w:t>
      </w:r>
      <w:r w:rsidR="00B41E6D">
        <w:t>).</w:t>
      </w:r>
    </w:p>
    <w:p w14:paraId="7A85FB98" w14:textId="3E03E0C7" w:rsidR="00B41E6D" w:rsidRDefault="00B41E6D" w:rsidP="00626941">
      <w:pPr>
        <w:pStyle w:val="Caption"/>
      </w:pPr>
      <w:bookmarkStart w:id="54" w:name="_Toc205884926"/>
      <w:r>
        <w:lastRenderedPageBreak/>
        <w:t xml:space="preserve">Chart </w:t>
      </w:r>
      <w:r w:rsidR="00626941">
        <w:t xml:space="preserve">3.1: </w:t>
      </w:r>
      <w:r w:rsidR="002177E1">
        <w:t>Proportion of s</w:t>
      </w:r>
      <w:r w:rsidR="00626941">
        <w:t>urvey responses by jurisdiction compar</w:t>
      </w:r>
      <w:r w:rsidR="002177E1">
        <w:t xml:space="preserve">ed to proportion of </w:t>
      </w:r>
      <w:r w:rsidR="00014AC2">
        <w:t xml:space="preserve">education and care </w:t>
      </w:r>
      <w:r w:rsidR="002177E1">
        <w:t>services across Australia</w:t>
      </w:r>
      <w:bookmarkEnd w:id="54"/>
    </w:p>
    <w:p w14:paraId="61FA9C4D" w14:textId="25685472" w:rsidR="00B41E6D" w:rsidRDefault="00B41E6D">
      <w:r>
        <w:rPr>
          <w:noProof/>
          <w14:ligatures w14:val="standardContextual"/>
        </w:rPr>
        <w:drawing>
          <wp:inline distT="0" distB="0" distL="0" distR="0" wp14:anchorId="2E7C6B03" wp14:editId="436FAAAA">
            <wp:extent cx="5727700" cy="5048250"/>
            <wp:effectExtent l="0" t="0" r="6350" b="0"/>
            <wp:docPr id="870346910" name="Chart 1" descr="Chart outlining the proportion of survey responses by jurisdiction compared to proportion of education and care services across Australia">
              <a:extLst xmlns:a="http://schemas.openxmlformats.org/drawingml/2006/main">
                <a:ext uri="{FF2B5EF4-FFF2-40B4-BE49-F238E27FC236}">
                  <a16:creationId xmlns:a16="http://schemas.microsoft.com/office/drawing/2014/main" id="{79818B7D-2672-42BC-B87F-236D001F0B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866530" w14:textId="641AB650" w:rsidR="00BC2850" w:rsidRDefault="00BC2850" w:rsidP="00976C70">
      <w:pPr>
        <w:pStyle w:val="Source"/>
      </w:pPr>
      <w:r w:rsidRPr="00EC1A7A">
        <w:t>Source</w:t>
      </w:r>
      <w:r w:rsidRPr="001F7990">
        <w:t>: Approved provider survey, n=295, Workforce survey, n=522, Families, parents and carers survey, n=190</w:t>
      </w:r>
      <w:r w:rsidR="00E26648" w:rsidRPr="001F7990">
        <w:t>, ACECQA National Register data</w:t>
      </w:r>
      <w:r w:rsidR="004400DA" w:rsidRPr="001F7990">
        <w:t xml:space="preserve"> </w:t>
      </w:r>
      <w:hyperlink r:id="rId28" w:history="1">
        <w:r w:rsidR="004400DA" w:rsidRPr="00F60C04">
          <w:rPr>
            <w:rStyle w:val="Hyperlink"/>
          </w:rPr>
          <w:t>https://www.acecqa.gov.au/resources/national-registers/services?s=&amp;nocache=1752628667210</w:t>
        </w:r>
      </w:hyperlink>
      <w:r w:rsidR="004400DA" w:rsidRPr="001F7990">
        <w:t xml:space="preserve">. Note that survey respondents could choose multiple jurisdictions. </w:t>
      </w:r>
      <w:r w:rsidR="00D07206" w:rsidRPr="001F7990">
        <w:t>Note that these percentages may not add up to 100% due to rounding, and the fact that survey respondents could choose multiple jurisdictions.</w:t>
      </w:r>
    </w:p>
    <w:p w14:paraId="128B685A" w14:textId="2F17B46A" w:rsidR="00D601E7" w:rsidRPr="002357EC" w:rsidRDefault="00D601E7">
      <w:r w:rsidRPr="002357EC">
        <w:t xml:space="preserve">In terms of the representativeness of different stakeholder types in the consultation process: </w:t>
      </w:r>
    </w:p>
    <w:p w14:paraId="7BF36C84" w14:textId="6FD10B74" w:rsidR="00D601E7" w:rsidRPr="002357EC" w:rsidRDefault="00D601E7">
      <w:pPr>
        <w:pStyle w:val="ListParagraph"/>
      </w:pPr>
      <w:r w:rsidRPr="002357EC">
        <w:t xml:space="preserve">FDC was overrepresented in the education and care workforce survey and the family survey </w:t>
      </w:r>
      <w:r w:rsidR="004E5665">
        <w:t>in</w:t>
      </w:r>
      <w:r w:rsidR="00824D4E">
        <w:t xml:space="preserve"> a way that was disproportionate to the size of the sector</w:t>
      </w:r>
      <w:r w:rsidR="00225793">
        <w:t xml:space="preserve">. </w:t>
      </w:r>
      <w:r w:rsidR="0095544E">
        <w:t xml:space="preserve">Analysis therefore reports on </w:t>
      </w:r>
      <w:r w:rsidR="005E7B9A">
        <w:t xml:space="preserve">the </w:t>
      </w:r>
      <w:r w:rsidR="0095544E">
        <w:t>FDC sector separately where relevant,</w:t>
      </w:r>
      <w:r w:rsidR="00EA0188">
        <w:t xml:space="preserve"> to demonstrate </w:t>
      </w:r>
      <w:r w:rsidR="00297768">
        <w:t>sentiments that are specific to these services</w:t>
      </w:r>
      <w:r w:rsidR="00EA0188">
        <w:t xml:space="preserve">. </w:t>
      </w:r>
      <w:r w:rsidR="002F66E4">
        <w:t>The high</w:t>
      </w:r>
      <w:r w:rsidR="003A4BDB">
        <w:t xml:space="preserve"> level of engagement (disproportionate compared to other service types) </w:t>
      </w:r>
      <w:r w:rsidR="002F66E4">
        <w:t>may be</w:t>
      </w:r>
      <w:r w:rsidR="003A4BDB">
        <w:t xml:space="preserve"> due to perceiv</w:t>
      </w:r>
      <w:r w:rsidR="002F66E4">
        <w:t>ed</w:t>
      </w:r>
      <w:r w:rsidR="003A4BDB">
        <w:t xml:space="preserve"> disproportionate and negative impacts on the FDC sector </w:t>
      </w:r>
      <w:r w:rsidR="003A7D0A">
        <w:t xml:space="preserve">of some options in </w:t>
      </w:r>
      <w:r w:rsidR="003A4BDB">
        <w:t>the proposed areas of reform.</w:t>
      </w:r>
      <w:r w:rsidR="0095544E">
        <w:t xml:space="preserve"> </w:t>
      </w:r>
    </w:p>
    <w:p w14:paraId="1461F9E5" w14:textId="31FE12B5" w:rsidR="00D601E7" w:rsidRPr="002357EC" w:rsidRDefault="00841575">
      <w:pPr>
        <w:pStyle w:val="ListParagraph"/>
      </w:pPr>
      <w:r>
        <w:lastRenderedPageBreak/>
        <w:t>R</w:t>
      </w:r>
      <w:r w:rsidR="00D601E7" w:rsidRPr="002357EC">
        <w:t xml:space="preserve">egional and remote services and </w:t>
      </w:r>
      <w:r w:rsidR="00824D4E">
        <w:t xml:space="preserve">approved </w:t>
      </w:r>
      <w:r w:rsidR="00D601E7" w:rsidRPr="002357EC">
        <w:t xml:space="preserve">providers were underrepresented in focus groups, forums and consultations. Regional and remote services were broadly proportionately represented in survey responses and through submissions, compared to the proportion of services across Australia located in regional and remote areas. </w:t>
      </w:r>
      <w:r w:rsidR="00B41E6D">
        <w:t xml:space="preserve">It may be that </w:t>
      </w:r>
      <w:r w:rsidR="00AE5948">
        <w:t>the short timeframes of the public consultation process limited the ability of regional and remote services to engage in these ‘real time’ consultation activitie</w:t>
      </w:r>
      <w:r w:rsidR="00291C7B">
        <w:t xml:space="preserve">s. Regional or remote </w:t>
      </w:r>
      <w:r w:rsidR="00116483">
        <w:t>approved</w:t>
      </w:r>
      <w:r w:rsidR="00291C7B">
        <w:t xml:space="preserve"> providers were more likely to be smaller operators and therefore faced additional challenges to participate in real time consultation activities without potential disruption to their services. </w:t>
      </w:r>
      <w:r w:rsidR="00936A8A">
        <w:t>This is supported by a</w:t>
      </w:r>
      <w:r w:rsidR="00B41E6D" w:rsidRPr="00B41E6D">
        <w:t xml:space="preserve"> small number of stakeholder</w:t>
      </w:r>
      <w:r w:rsidR="00936A8A">
        <w:t xml:space="preserve"> responses to consultation invites.</w:t>
      </w:r>
      <w:r w:rsidR="00FD42B8">
        <w:t xml:space="preserve"> It was not suggested that regional and remote services and approved providers would be less impacted by reforms. </w:t>
      </w:r>
    </w:p>
    <w:p w14:paraId="642A6341" w14:textId="6AE9EC8A" w:rsidR="00936A8A" w:rsidRPr="00BC60DC" w:rsidRDefault="004D1696" w:rsidP="00CC5D13">
      <w:r>
        <w:t>The</w:t>
      </w:r>
      <w:r w:rsidR="00E96C27">
        <w:t xml:space="preserve"> overall timeframe for the consultation </w:t>
      </w:r>
      <w:r w:rsidR="00116483">
        <w:t xml:space="preserve">process </w:t>
      </w:r>
      <w:r w:rsidR="00E96C27">
        <w:t xml:space="preserve">was </w:t>
      </w:r>
      <w:r w:rsidR="00CC5D13">
        <w:t xml:space="preserve">perceived </w:t>
      </w:r>
      <w:r w:rsidR="00313DC5">
        <w:t xml:space="preserve">by some stakeholder groups </w:t>
      </w:r>
      <w:r w:rsidR="00CC5D13">
        <w:t xml:space="preserve">to be short </w:t>
      </w:r>
      <w:r w:rsidR="00116483">
        <w:t>considering</w:t>
      </w:r>
      <w:r w:rsidR="00CC5D13">
        <w:t xml:space="preserve"> </w:t>
      </w:r>
      <w:r w:rsidR="00936A8A">
        <w:t xml:space="preserve">the complexity of the policy options </w:t>
      </w:r>
      <w:r w:rsidR="00CC5D13">
        <w:t xml:space="preserve">presented and the detailed feedback (e.g. on cost estimates) that </w:t>
      </w:r>
      <w:r w:rsidR="00116483">
        <w:t xml:space="preserve">was </w:t>
      </w:r>
      <w:r w:rsidR="00CC5D13">
        <w:t>requested as part of this process.</w:t>
      </w:r>
      <w:r w:rsidR="00936A8A">
        <w:t xml:space="preserve"> </w:t>
      </w:r>
      <w:r w:rsidR="00936A8A" w:rsidRPr="0090019A">
        <w:t xml:space="preserve">Further opportunities to engage regional and remote stakeholders in designing and implementing guidance </w:t>
      </w:r>
      <w:r w:rsidR="0090019A">
        <w:t>c</w:t>
      </w:r>
      <w:r w:rsidR="00936A8A" w:rsidRPr="0090019A">
        <w:t>ould be considered</w:t>
      </w:r>
      <w:r w:rsidR="00E56930" w:rsidRPr="0090019A">
        <w:t xml:space="preserve"> in the future</w:t>
      </w:r>
      <w:r w:rsidR="00936A8A" w:rsidRPr="0090019A">
        <w:t>.</w:t>
      </w:r>
      <w:r w:rsidR="00936A8A">
        <w:t xml:space="preserve"> Consultation summary documents, videos and visual aids were seen as useful in aiding this engagement.</w:t>
      </w:r>
      <w:r w:rsidR="00444A15">
        <w:t xml:space="preserve"> </w:t>
      </w:r>
    </w:p>
    <w:p w14:paraId="3DB9674B" w14:textId="6A585930" w:rsidR="00954BC6" w:rsidRDefault="00DC0AA3" w:rsidP="00DC0AA3">
      <w:r w:rsidRPr="00DC0AA3">
        <w:t xml:space="preserve">In some instances, stakeholders felt unable to provide definitive responses to the CRIS, both in terms of identifying a </w:t>
      </w:r>
      <w:r w:rsidR="00370AB1">
        <w:t xml:space="preserve">preferred option or combination </w:t>
      </w:r>
      <w:r w:rsidRPr="00DC0AA3">
        <w:t xml:space="preserve">of </w:t>
      </w:r>
      <w:r w:rsidR="00C668AD" w:rsidRPr="00DC0AA3">
        <w:t>options or</w:t>
      </w:r>
      <w:r w:rsidRPr="00DC0AA3">
        <w:t xml:space="preserve"> providing cost estimates. This was often in relation to areas of uncertainty about the nature of the problem and current levels of risk or harm, or in relation to specific aspects of proposed policy options and their implementation. These instances are outlined in more detail in further chapters, where relevant.</w:t>
      </w:r>
      <w:r w:rsidR="00936A8A">
        <w:t xml:space="preserve"> </w:t>
      </w:r>
      <w:r w:rsidR="00AA120F">
        <w:t xml:space="preserve">Further consultation with the sector as the proposed reforms are designed and implemented will be valuable in ensuring a more thorough understanding of potential impacts </w:t>
      </w:r>
      <w:r w:rsidR="00BA566D">
        <w:t xml:space="preserve">– </w:t>
      </w:r>
      <w:r w:rsidR="00AA120F">
        <w:t>as well as any other implementation considerations or unintended consequences</w:t>
      </w:r>
      <w:r w:rsidR="00BA566D">
        <w:t xml:space="preserve"> – and to take these into account as regulatory options are formalised and put into practice.</w:t>
      </w:r>
      <w:r w:rsidR="00F649B0" w:rsidRPr="00F649B0">
        <w:rPr>
          <w:highlight w:val="yellow"/>
        </w:rPr>
        <w:t xml:space="preserve"> </w:t>
      </w:r>
    </w:p>
    <w:p w14:paraId="7F5D3CA7" w14:textId="034D0B5B" w:rsidR="00DC0AA3" w:rsidRPr="00DC0AA3" w:rsidRDefault="00DC0AA3" w:rsidP="00DC0AA3">
      <w:r w:rsidRPr="00DC0AA3">
        <w:t xml:space="preserve">The nature of the available evidence regarding each reform area was also considered in identifying the most appropriate and proportionate approach to impact analysis of options in this DRIS, as outlined in Chapter 4. </w:t>
      </w:r>
      <w:r w:rsidR="00B47B60">
        <w:t xml:space="preserve">This means that </w:t>
      </w:r>
      <w:r w:rsidR="00E9668E">
        <w:t xml:space="preserve">stakeholder concerns and views were incorporated into </w:t>
      </w:r>
      <w:r w:rsidR="00E71E2F">
        <w:t>the evidence for each recommended option to differing degrees, depending on the quality</w:t>
      </w:r>
      <w:r w:rsidR="00AA05A3">
        <w:t>, quantity,</w:t>
      </w:r>
      <w:r w:rsidR="00E71E2F">
        <w:t xml:space="preserve"> and robustness of insights. </w:t>
      </w:r>
    </w:p>
    <w:p w14:paraId="0E83F4F4" w14:textId="4328E209" w:rsidR="006C4BFF" w:rsidRPr="00EC5078" w:rsidRDefault="006C4BFF" w:rsidP="006C4BFF">
      <w:pPr>
        <w:pStyle w:val="Heading2"/>
      </w:pPr>
      <w:bookmarkStart w:id="55" w:name="_Toc205884882"/>
      <w:r>
        <w:t xml:space="preserve">3.4 </w:t>
      </w:r>
      <w:r w:rsidR="007F28F3">
        <w:t>General</w:t>
      </w:r>
      <w:r>
        <w:t xml:space="preserve"> </w:t>
      </w:r>
      <w:r w:rsidR="000942CE">
        <w:t>insights</w:t>
      </w:r>
      <w:r>
        <w:t xml:space="preserve"> from public consultation</w:t>
      </w:r>
      <w:bookmarkEnd w:id="55"/>
    </w:p>
    <w:p w14:paraId="7DD14904" w14:textId="77777777" w:rsidR="00F23A2F" w:rsidRDefault="00F23A2F" w:rsidP="00AE3292">
      <w:pPr>
        <w:pStyle w:val="Heading4un-numbered"/>
      </w:pPr>
      <w:r>
        <w:lastRenderedPageBreak/>
        <w:t xml:space="preserve">Stakeholder engagement across themes </w:t>
      </w:r>
    </w:p>
    <w:p w14:paraId="35DD0CE3" w14:textId="0331E176" w:rsidR="00857038" w:rsidRDefault="00F23A2F" w:rsidP="00F23A2F">
      <w:r>
        <w:t xml:space="preserve">Some reforms areas received higher levels of engagement across public consultation than others. </w:t>
      </w:r>
      <w:r w:rsidR="006B7602">
        <w:t>In general</w:t>
      </w:r>
      <w:r w:rsidR="00237B3F">
        <w:t xml:space="preserve">, </w:t>
      </w:r>
      <w:r w:rsidR="00C4600B" w:rsidRPr="00237B3F">
        <w:rPr>
          <w:i/>
          <w:iCs/>
        </w:rPr>
        <w:t>Management of digital devices</w:t>
      </w:r>
      <w:r w:rsidR="00C4600B">
        <w:t xml:space="preserve"> received the most engagement of all themes, followed by </w:t>
      </w:r>
      <w:r w:rsidR="00C4600B" w:rsidRPr="00237B3F">
        <w:rPr>
          <w:i/>
          <w:iCs/>
        </w:rPr>
        <w:t>Child safety training</w:t>
      </w:r>
      <w:r w:rsidR="00626104">
        <w:t>,</w:t>
      </w:r>
      <w:r w:rsidR="00C4600B">
        <w:t xml:space="preserve"> </w:t>
      </w:r>
      <w:r w:rsidR="00C4600B" w:rsidRPr="00237B3F">
        <w:rPr>
          <w:i/>
          <w:iCs/>
        </w:rPr>
        <w:t>Responding to educator and staff member conduct</w:t>
      </w:r>
      <w:r w:rsidR="00626104">
        <w:t xml:space="preserve">, and </w:t>
      </w:r>
      <w:r w:rsidR="00626104" w:rsidRPr="00237B3F">
        <w:rPr>
          <w:i/>
          <w:iCs/>
        </w:rPr>
        <w:t>Working with children checks</w:t>
      </w:r>
      <w:r w:rsidR="00626104">
        <w:t xml:space="preserve">. </w:t>
      </w:r>
      <w:r w:rsidR="00626104" w:rsidRPr="00237B3F">
        <w:rPr>
          <w:i/>
          <w:iCs/>
        </w:rPr>
        <w:t xml:space="preserve">Improving the safety of the physical service environment </w:t>
      </w:r>
      <w:r w:rsidR="00626104">
        <w:t xml:space="preserve">and </w:t>
      </w:r>
      <w:r w:rsidR="00626104" w:rsidRPr="00237B3F">
        <w:rPr>
          <w:i/>
          <w:iCs/>
        </w:rPr>
        <w:t>additional recommendations</w:t>
      </w:r>
      <w:r w:rsidR="00626104">
        <w:t xml:space="preserve"> </w:t>
      </w:r>
      <w:r w:rsidR="00237B3F">
        <w:t>received comparatively</w:t>
      </w:r>
      <w:r w:rsidR="00626104">
        <w:t xml:space="preserve"> lower levels of engagement than other themes. </w:t>
      </w:r>
    </w:p>
    <w:p w14:paraId="72A398AA" w14:textId="556DABEC" w:rsidR="007F28F3" w:rsidRDefault="00FA5E0F" w:rsidP="007F28F3">
      <w:pPr>
        <w:pStyle w:val="Heading4"/>
      </w:pPr>
      <w:r>
        <w:t>Level of support</w:t>
      </w:r>
      <w:r w:rsidR="007F28F3">
        <w:t xml:space="preserve"> for reform</w:t>
      </w:r>
    </w:p>
    <w:p w14:paraId="507AE974" w14:textId="111ECFE4" w:rsidR="00DC5BA2" w:rsidRDefault="00FA5E0F" w:rsidP="00FA5E0F">
      <w:r>
        <w:t xml:space="preserve">Across most stakeholder groups, there was a strong preference for reforms </w:t>
      </w:r>
      <w:r w:rsidR="00365AFE">
        <w:t>seen</w:t>
      </w:r>
      <w:r>
        <w:t xml:space="preserve"> to increase child safety in </w:t>
      </w:r>
      <w:r w:rsidR="006538B5">
        <w:t>education and care services</w:t>
      </w:r>
      <w:r w:rsidR="00365AFE">
        <w:t>, including, but not limited to</w:t>
      </w:r>
      <w:r w:rsidR="00CA1FCE">
        <w:t>,</w:t>
      </w:r>
      <w:r w:rsidR="00365AFE">
        <w:t xml:space="preserve"> the areas of reform outlined in this DRIS</w:t>
      </w:r>
      <w:r>
        <w:t xml:space="preserve">. Stakeholders tended to see regulatory options as associated with greater reduction of risk of harm to children across all areas of reform. </w:t>
      </w:r>
      <w:r w:rsidR="00CA1FCE">
        <w:t>However, a</w:t>
      </w:r>
      <w:r w:rsidR="00365AFE">
        <w:t xml:space="preserve"> significant number of stakeholders, across multiple stakeholder groups, suggested that further </w:t>
      </w:r>
      <w:r w:rsidR="00CA1FCE">
        <w:t>measures</w:t>
      </w:r>
      <w:r w:rsidR="00365AFE">
        <w:t xml:space="preserve"> could</w:t>
      </w:r>
      <w:r w:rsidR="00CA1FCE">
        <w:t>, or should,</w:t>
      </w:r>
      <w:r w:rsidR="00365AFE">
        <w:t xml:space="preserve"> be taken to </w:t>
      </w:r>
      <w:r w:rsidR="00CA1FCE">
        <w:t xml:space="preserve">further </w:t>
      </w:r>
      <w:r w:rsidR="0061416F">
        <w:t xml:space="preserve">improve </w:t>
      </w:r>
      <w:r w:rsidR="00CA1FCE">
        <w:t xml:space="preserve">child safety. This means that while some </w:t>
      </w:r>
      <w:r w:rsidR="00E26371">
        <w:t>survey response feedback</w:t>
      </w:r>
      <w:r w:rsidR="00CA1FCE">
        <w:t xml:space="preserve"> suggests that reforms </w:t>
      </w:r>
      <w:r w:rsidR="00E26371">
        <w:t xml:space="preserve">would ‘greatly reduce’ risk of harm to children, qualitative data </w:t>
      </w:r>
      <w:r w:rsidR="006C38DB">
        <w:t>or other administrative data</w:t>
      </w:r>
      <w:r w:rsidR="00E26371">
        <w:t xml:space="preserve"> </w:t>
      </w:r>
      <w:r w:rsidR="00964EE5">
        <w:t>often provided nuance or further evidence</w:t>
      </w:r>
      <w:r w:rsidR="00E26371">
        <w:t xml:space="preserve"> that the effects may be smaller in terms of volume or scale of reduction of risk. </w:t>
      </w:r>
      <w:r w:rsidR="006C38DB">
        <w:t xml:space="preserve">This is outlined through the analysis by area of reform where relevant. </w:t>
      </w:r>
    </w:p>
    <w:p w14:paraId="4E05C2D4" w14:textId="661A18CB" w:rsidR="00DC5BA2" w:rsidRDefault="00DC5BA2" w:rsidP="00FA5E0F">
      <w:r>
        <w:t xml:space="preserve">An exception to the general support for reforms outlined in this DRIS is the FDC workforce, some families using FDC services, and FDC sector peak bodies. These stakeholder groups largely opposed regulatory reforms during the public consultation </w:t>
      </w:r>
      <w:r w:rsidR="0061416F">
        <w:t>process</w:t>
      </w:r>
      <w:r>
        <w:t xml:space="preserve">. </w:t>
      </w:r>
    </w:p>
    <w:p w14:paraId="2DA2798F" w14:textId="77777777" w:rsidR="00C27608" w:rsidRDefault="00C27608" w:rsidP="00C27608">
      <w:pPr>
        <w:pStyle w:val="Heading4"/>
      </w:pPr>
      <w:r>
        <w:t>Implementation considerations</w:t>
      </w:r>
    </w:p>
    <w:p w14:paraId="2F1941C6" w14:textId="12362214" w:rsidR="00D601E7" w:rsidRDefault="009226F2" w:rsidP="002244D7">
      <w:r>
        <w:t xml:space="preserve">One significant theme </w:t>
      </w:r>
      <w:r w:rsidR="0061416F">
        <w:t>of feedback</w:t>
      </w:r>
      <w:r>
        <w:t xml:space="preserve"> was that cost or regulatory burden, even if somewhat large, should not </w:t>
      </w:r>
      <w:r w:rsidR="002954B8">
        <w:t xml:space="preserve">be considered a reason not to progress reforms. However, some stakeholders noted that for reforms to be effectively implemented, further consultation with the sector should be </w:t>
      </w:r>
      <w:r w:rsidR="00BB4FCD">
        <w:t xml:space="preserve">undertaken, with clear guidance as to the timelines of new regulation and practical considerations for what this means </w:t>
      </w:r>
      <w:r w:rsidR="00CC6EF3">
        <w:t xml:space="preserve">for services and </w:t>
      </w:r>
      <w:r w:rsidR="00B16F3C">
        <w:t xml:space="preserve">approved </w:t>
      </w:r>
      <w:r w:rsidR="00CC6EF3">
        <w:t xml:space="preserve">providers. This </w:t>
      </w:r>
      <w:r w:rsidR="00CF381F">
        <w:t>guidance</w:t>
      </w:r>
      <w:r w:rsidR="00CC6EF3">
        <w:t xml:space="preserve"> was often seen as a necessary </w:t>
      </w:r>
      <w:r w:rsidR="00B048C9">
        <w:t xml:space="preserve">and mitigating </w:t>
      </w:r>
      <w:r w:rsidR="00CC6EF3">
        <w:t>step alongside cost and regulatory burden considerations</w:t>
      </w:r>
      <w:r w:rsidR="00B048C9">
        <w:t xml:space="preserve">. </w:t>
      </w:r>
      <w:r w:rsidR="00CF381F">
        <w:t>This informed the analysis</w:t>
      </w:r>
      <w:r w:rsidR="00A17469">
        <w:t xml:space="preserve"> for the DRIS</w:t>
      </w:r>
      <w:r w:rsidR="00CF381F">
        <w:t xml:space="preserve">, </w:t>
      </w:r>
      <w:r w:rsidR="00A17469">
        <w:t xml:space="preserve">which weights impacts on child safety highest, </w:t>
      </w:r>
      <w:r w:rsidR="0085471F">
        <w:t xml:space="preserve">and costs and implementation risks </w:t>
      </w:r>
      <w:r w:rsidR="00823746">
        <w:t>less.</w:t>
      </w:r>
    </w:p>
    <w:p w14:paraId="1A4F2B79" w14:textId="3826F2B9" w:rsidR="00186088" w:rsidRDefault="00186088">
      <w:pPr>
        <w:spacing w:after="160" w:line="259" w:lineRule="auto"/>
      </w:pPr>
      <w:r>
        <w:br w:type="page"/>
      </w:r>
    </w:p>
    <w:p w14:paraId="0C3C55FC" w14:textId="31346D7F" w:rsidR="00D601E7" w:rsidRDefault="00D601E7">
      <w:pPr>
        <w:pStyle w:val="Heading1"/>
      </w:pPr>
      <w:bookmarkStart w:id="56" w:name="_Toc205884883"/>
      <w:r>
        <w:lastRenderedPageBreak/>
        <w:t>4. Approach to impact analysis</w:t>
      </w:r>
      <w:bookmarkEnd w:id="56"/>
    </w:p>
    <w:p w14:paraId="1258E9CA" w14:textId="674DD666" w:rsidR="00D601E7" w:rsidRDefault="00D601E7">
      <w:r>
        <w:t>The purpose of a RI</w:t>
      </w:r>
      <w:r w:rsidR="00DA0CDB">
        <w:t>S</w:t>
      </w:r>
      <w:r>
        <w:t xml:space="preserve"> is to assess the </w:t>
      </w:r>
      <w:r w:rsidR="003F2E55">
        <w:t xml:space="preserve">potential </w:t>
      </w:r>
      <w:r>
        <w:t xml:space="preserve">costs and benefits of a regulatory proposal for the purposes of informing decision making. This involves the development of a comprehensive </w:t>
      </w:r>
      <w:r w:rsidR="00B8009D">
        <w:t>approach to considering</w:t>
      </w:r>
      <w:r>
        <w:t xml:space="preserve"> costs and benefits, </w:t>
      </w:r>
      <w:r w:rsidR="00ED1B62">
        <w:t>to determine</w:t>
      </w:r>
      <w:r>
        <w:t xml:space="preserve"> which costs and benefits </w:t>
      </w:r>
      <w:r w:rsidR="00B33BC3">
        <w:t>can be estimated and quantified in monetary terms</w:t>
      </w:r>
      <w:r>
        <w:t>, and whether the available evidence is sufficient to measure these costs and benefits.</w:t>
      </w:r>
      <w:r w:rsidR="00456FF3">
        <w:t xml:space="preserve"> All estimated costs and benefits </w:t>
      </w:r>
      <w:r w:rsidR="00BF3F54">
        <w:t xml:space="preserve">are measured incrementally </w:t>
      </w:r>
      <w:r w:rsidR="006243A9">
        <w:t xml:space="preserve">against </w:t>
      </w:r>
      <w:r w:rsidR="00BF3F54">
        <w:t>the status quo (no change) to ensure business-as-usual costs</w:t>
      </w:r>
      <w:r w:rsidR="00E61972">
        <w:t xml:space="preserve"> that are already expected to be incurred</w:t>
      </w:r>
      <w:r w:rsidR="00610529">
        <w:t xml:space="preserve"> under the NQF</w:t>
      </w:r>
      <w:r w:rsidR="00BF3F54">
        <w:t xml:space="preserve"> are not considered as part of decision making.</w:t>
      </w:r>
    </w:p>
    <w:p w14:paraId="58C9F148" w14:textId="2B498CB3" w:rsidR="00D601E7" w:rsidRDefault="00D601E7">
      <w:r>
        <w:t xml:space="preserve">Where a limited number of costs and benefits can be </w:t>
      </w:r>
      <w:r w:rsidR="000357EB">
        <w:t>estimated and quantified in monetary terms</w:t>
      </w:r>
      <w:r>
        <w:t xml:space="preserve">, </w:t>
      </w:r>
      <w:r w:rsidR="000F38E2">
        <w:t>a multi-criteria analysis (MCA) can be used to assess both quantitative and qualitative costs and benefits of each option</w:t>
      </w:r>
      <w:r>
        <w:t xml:space="preserve">. Where either costs or benefits (but not both) can be measured, break-even analysis (BEA) can also support decision making. </w:t>
      </w:r>
    </w:p>
    <w:p w14:paraId="284B62AC" w14:textId="3545FFDF" w:rsidR="00323784" w:rsidRDefault="00323784">
      <w:r>
        <w:t>Some policy options impose costs only in relation to misconduct, for which there is insufficient data to calculate frequency to support costing. Similarly, data was not available on the potential costs of the policy options to Regulatory Authorities, and as a result, these costs are not quantified in the analysis.</w:t>
      </w:r>
    </w:p>
    <w:p w14:paraId="0AC76E95" w14:textId="0C0F2850" w:rsidR="00D601E7" w:rsidRDefault="00D601E7">
      <w:r>
        <w:t xml:space="preserve">Based on the nature of costs and benefits associated with the proposed child safety reforms and the data and stakeholder input received, the impact of the proposed policy options will primarily be measured using MCA. This approach will support </w:t>
      </w:r>
      <w:r w:rsidR="000154F9">
        <w:t>identification of</w:t>
      </w:r>
      <w:r>
        <w:t xml:space="preserve"> the </w:t>
      </w:r>
      <w:r w:rsidR="004C5562">
        <w:t>recommended option</w:t>
      </w:r>
      <w:r>
        <w:t xml:space="preserve">. </w:t>
      </w:r>
    </w:p>
    <w:p w14:paraId="652D7D48" w14:textId="327CE8EF" w:rsidR="00D601E7" w:rsidRDefault="00D601E7">
      <w:r>
        <w:t xml:space="preserve">Where costs can be adequately </w:t>
      </w:r>
      <w:r w:rsidR="0032654A">
        <w:t>quantified</w:t>
      </w:r>
      <w:r>
        <w:t>, BEA will also be conducted to support decision making. Only a select number of costs can be quantified based on the data and evidence collected. This primarily includes</w:t>
      </w:r>
      <w:r w:rsidR="0032654A">
        <w:t xml:space="preserve"> estimated</w:t>
      </w:r>
      <w:r>
        <w:t xml:space="preserve"> implementation costs to approved providers in instances where the proposed policy option imposes a</w:t>
      </w:r>
      <w:r w:rsidR="0032654A">
        <w:t>n</w:t>
      </w:r>
      <w:r>
        <w:t xml:space="preserve"> upfront cost for compliance. </w:t>
      </w:r>
    </w:p>
    <w:p w14:paraId="147315E9" w14:textId="3C8A371D" w:rsidR="00D601E7" w:rsidRDefault="00014374">
      <w:r>
        <w:t>S</w:t>
      </w:r>
      <w:r w:rsidR="00D601E7">
        <w:t xml:space="preserve">everal proposed reforms had logic to </w:t>
      </w:r>
      <w:r w:rsidR="00D601E7" w:rsidRPr="00D85004">
        <w:t xml:space="preserve">suggest that the regulatory burden or costs of </w:t>
      </w:r>
      <w:r w:rsidR="00D601E7">
        <w:t>the proposed</w:t>
      </w:r>
      <w:r w:rsidR="00D601E7" w:rsidRPr="00D85004">
        <w:t xml:space="preserve"> option are likely to be minimal, and </w:t>
      </w:r>
      <w:r w:rsidR="00D601E7">
        <w:t>evidence</w:t>
      </w:r>
      <w:r w:rsidR="00D601E7" w:rsidRPr="00D85004">
        <w:t xml:space="preserve"> from a wide range of </w:t>
      </w:r>
      <w:r w:rsidR="00D601E7">
        <w:t>stakeholders indicate</w:t>
      </w:r>
      <w:r w:rsidR="00D601E7" w:rsidRPr="00D85004">
        <w:t xml:space="preserve"> that the regulatory option can be implemented </w:t>
      </w:r>
      <w:r w:rsidR="00D601E7">
        <w:t xml:space="preserve">without </w:t>
      </w:r>
      <w:r>
        <w:t>creating</w:t>
      </w:r>
      <w:r w:rsidRPr="00D85004">
        <w:t xml:space="preserve"> </w:t>
      </w:r>
      <w:r w:rsidR="00D601E7" w:rsidRPr="00D85004">
        <w:t xml:space="preserve">material impacts </w:t>
      </w:r>
      <w:r w:rsidR="00D601E7">
        <w:t>or trade-offs</w:t>
      </w:r>
      <w:r w:rsidR="00D601E7" w:rsidRPr="00D85004">
        <w:t xml:space="preserve">. In these instances, qualitative commentary on the rationale for </w:t>
      </w:r>
      <w:r w:rsidR="00D601E7">
        <w:t>adopting</w:t>
      </w:r>
      <w:r w:rsidR="00D601E7" w:rsidRPr="00D85004">
        <w:t xml:space="preserve"> the regulatory option(s) as the </w:t>
      </w:r>
      <w:r w:rsidR="004C5562">
        <w:t>recommended option</w:t>
      </w:r>
      <w:r w:rsidR="00D601E7">
        <w:t xml:space="preserve"> is sufficient for decision making. </w:t>
      </w:r>
    </w:p>
    <w:p w14:paraId="3A0CB0FD" w14:textId="62E954C3" w:rsidR="00D601E7" w:rsidRDefault="00D601E7">
      <w:pPr>
        <w:pStyle w:val="Heading2"/>
      </w:pPr>
      <w:bookmarkStart w:id="57" w:name="_Ref203456729"/>
      <w:bookmarkStart w:id="58" w:name="_Toc205884884"/>
      <w:r>
        <w:t>M</w:t>
      </w:r>
      <w:r w:rsidR="00547E4B">
        <w:t>ulti-criteria analysis</w:t>
      </w:r>
      <w:r>
        <w:t xml:space="preserve"> approach</w:t>
      </w:r>
      <w:bookmarkEnd w:id="57"/>
      <w:bookmarkEnd w:id="58"/>
    </w:p>
    <w:p w14:paraId="13EEB94C" w14:textId="1D713A44" w:rsidR="00D601E7" w:rsidRDefault="00D601E7">
      <w:r>
        <w:lastRenderedPageBreak/>
        <w:t>MCA is a</w:t>
      </w:r>
      <w:r w:rsidDel="00F85D01">
        <w:t xml:space="preserve"> </w:t>
      </w:r>
      <w:r>
        <w:t xml:space="preserve">method of calculating weighted scores against a framework of assessment criteria to identify the </w:t>
      </w:r>
      <w:r w:rsidR="004C5562">
        <w:t>recommended option</w:t>
      </w:r>
      <w:r>
        <w:t xml:space="preserve">. This is supported by a qualitative discussion which explains the rationale behind each score, however there may also be instances when a score is wholly or partially informed by quantitative information. MCA is used when it is not possible to reliably quantify and value the main costs and benefits of options. This includes situations where some data is available, but the specific effects of the proposed options cannot be isolated. While </w:t>
      </w:r>
      <w:r w:rsidR="003055D7">
        <w:t>an MCA</w:t>
      </w:r>
      <w:r>
        <w:t xml:space="preserve"> is not capable of quantifying the net benefits of the proposed change or the ratio of benefits to costs, it does allow for options to be scored and ranked. </w:t>
      </w:r>
    </w:p>
    <w:p w14:paraId="0FAB44E0" w14:textId="723C0159" w:rsidR="00D601E7" w:rsidRDefault="003055D7">
      <w:r>
        <w:t>An MCA</w:t>
      </w:r>
      <w:r w:rsidR="00D601E7">
        <w:t xml:space="preserve"> approach tailored to the proposed child safety policy options has been developed. The approach</w:t>
      </w:r>
      <w:r w:rsidR="00B41565">
        <w:t xml:space="preserve"> was agreed </w:t>
      </w:r>
      <w:r w:rsidR="000E7E76">
        <w:t xml:space="preserve">on </w:t>
      </w:r>
      <w:r w:rsidR="00A80105">
        <w:t xml:space="preserve">by relevant </w:t>
      </w:r>
      <w:r w:rsidR="000E7E76">
        <w:t>government</w:t>
      </w:r>
      <w:r w:rsidR="00A80105">
        <w:t xml:space="preserve"> forums </w:t>
      </w:r>
      <w:r w:rsidR="000E7E76">
        <w:t>and</w:t>
      </w:r>
      <w:r w:rsidR="00D601E7">
        <w:t xml:space="preserve"> includes assessment against the following four criteria: </w:t>
      </w:r>
    </w:p>
    <w:p w14:paraId="4AF118F3" w14:textId="3509DC66" w:rsidR="00D601E7" w:rsidRDefault="00D601E7" w:rsidP="00EC53AB">
      <w:pPr>
        <w:pStyle w:val="ListParagraph"/>
        <w:numPr>
          <w:ilvl w:val="0"/>
          <w:numId w:val="72"/>
        </w:numPr>
        <w:ind w:left="426"/>
      </w:pPr>
      <w:r>
        <w:t>the improvement in child safety outcomes</w:t>
      </w:r>
    </w:p>
    <w:p w14:paraId="2D6D091A" w14:textId="665AA85E" w:rsidR="00D601E7" w:rsidRDefault="00D601E7" w:rsidP="00EC53AB">
      <w:pPr>
        <w:pStyle w:val="ListParagraph"/>
        <w:numPr>
          <w:ilvl w:val="0"/>
          <w:numId w:val="72"/>
        </w:numPr>
        <w:ind w:left="426"/>
      </w:pPr>
      <w:r>
        <w:t>the net cost of the policy option</w:t>
      </w:r>
    </w:p>
    <w:p w14:paraId="1AF2A550" w14:textId="5598721D" w:rsidR="00D601E7" w:rsidRDefault="00D601E7" w:rsidP="00EC53AB">
      <w:pPr>
        <w:pStyle w:val="ListParagraph"/>
        <w:numPr>
          <w:ilvl w:val="0"/>
          <w:numId w:val="72"/>
        </w:numPr>
        <w:ind w:left="426"/>
      </w:pPr>
      <w:r>
        <w:t>the implementation considerations</w:t>
      </w:r>
    </w:p>
    <w:p w14:paraId="3BE6521E" w14:textId="3D4EB879" w:rsidR="00D601E7" w:rsidRDefault="00D601E7" w:rsidP="00EC53AB">
      <w:pPr>
        <w:pStyle w:val="ListParagraph"/>
        <w:numPr>
          <w:ilvl w:val="0"/>
          <w:numId w:val="72"/>
        </w:numPr>
        <w:ind w:left="426"/>
      </w:pPr>
      <w:r>
        <w:t>the distributional impact of the option on stakeholders.</w:t>
      </w:r>
    </w:p>
    <w:p w14:paraId="5FC7EF00" w14:textId="2D136DF5" w:rsidR="00D601E7" w:rsidRDefault="002C47A7">
      <w:r>
        <w:t>The MCA method sees each</w:t>
      </w:r>
      <w:r w:rsidR="00D601E7" w:rsidRPr="00E87E17">
        <w:t xml:space="preserve"> option scored against each criterion on a scale from -10 to +10, based on how each option </w:t>
      </w:r>
      <w:r w:rsidR="00D601E7">
        <w:t xml:space="preserve">performs </w:t>
      </w:r>
      <w:r w:rsidR="00D601E7" w:rsidRPr="00E87E17">
        <w:t xml:space="preserve">against that criterion in comparison with </w:t>
      </w:r>
      <w:r w:rsidR="00FB4AA8">
        <w:t xml:space="preserve">option </w:t>
      </w:r>
      <w:r w:rsidR="007652A0">
        <w:t xml:space="preserve">1, the </w:t>
      </w:r>
      <w:r w:rsidR="00D601E7">
        <w:t>status quo</w:t>
      </w:r>
      <w:r w:rsidR="00FB4AA8">
        <w:t xml:space="preserve"> (</w:t>
      </w:r>
      <w:r w:rsidR="007652A0">
        <w:t>no change</w:t>
      </w:r>
      <w:r w:rsidR="00FB4AA8">
        <w:t>)</w:t>
      </w:r>
      <w:r w:rsidR="00D601E7" w:rsidRPr="00E87E17">
        <w:t xml:space="preserve">. </w:t>
      </w:r>
      <w:r w:rsidR="00D601E7">
        <w:t>The status quo always receives a score of zero for each criterion</w:t>
      </w:r>
      <w:r>
        <w:t xml:space="preserve"> and therefore provides a baseline</w:t>
      </w:r>
      <w:r w:rsidR="00D601E7">
        <w:t xml:space="preserve">. </w:t>
      </w:r>
      <w:r w:rsidR="00AD4C02">
        <w:t>T</w:t>
      </w:r>
      <w:r w:rsidR="00D601E7" w:rsidRPr="00E87E17">
        <w:t xml:space="preserve">he MCA is intended to assess the incremental costs or benefits relative to the status quo – scores of zero for the status quo should not be interpreted as implying that the current regulatory framework imposes no costs or yields no benefits. </w:t>
      </w:r>
      <w:r w:rsidR="00D01676" w:rsidRPr="00D01676">
        <w:t>A negative score</w:t>
      </w:r>
      <w:r w:rsidR="00D01676">
        <w:t xml:space="preserve"> (-10 to -1)</w:t>
      </w:r>
      <w:r w:rsidR="00D01676" w:rsidRPr="00D01676">
        <w:t xml:space="preserve"> indicates a poorer performance relative to the status quo while positive score</w:t>
      </w:r>
      <w:r w:rsidR="00D01676">
        <w:t xml:space="preserve"> (1 to 10)</w:t>
      </w:r>
      <w:r w:rsidR="00D01676" w:rsidRPr="00D01676">
        <w:t xml:space="preserve"> indicates a stronger performance.</w:t>
      </w:r>
      <w:r w:rsidR="00444A15">
        <w:t xml:space="preserve"> </w:t>
      </w:r>
      <w:r w:rsidR="009C3C35">
        <w:t>Additionally, the score</w:t>
      </w:r>
      <w:r w:rsidR="009740C9">
        <w:t>s</w:t>
      </w:r>
      <w:r w:rsidR="009C3C35">
        <w:t xml:space="preserve"> assigned to each option </w:t>
      </w:r>
      <w:r w:rsidR="003F4653">
        <w:t xml:space="preserve">are </w:t>
      </w:r>
      <w:r w:rsidR="00CB7C5B">
        <w:t>intended</w:t>
      </w:r>
      <w:r w:rsidR="001E1400">
        <w:t xml:space="preserve"> to </w:t>
      </w:r>
      <w:r w:rsidR="00CB7C5B">
        <w:t>demonstrate</w:t>
      </w:r>
      <w:r w:rsidR="00C44D44">
        <w:t xml:space="preserve"> the relativity between options</w:t>
      </w:r>
      <w:r w:rsidR="009B2A47">
        <w:t xml:space="preserve"> (e.g., if </w:t>
      </w:r>
      <w:r w:rsidR="00346A4D">
        <w:t>a non-regulatory option results in a smaller improvement in child safety relative to a regulatory option, the scoring should be reflective of this).</w:t>
      </w:r>
    </w:p>
    <w:p w14:paraId="64C6C954" w14:textId="09BED561" w:rsidR="00D601E7" w:rsidRDefault="00D601E7">
      <w:r>
        <w:t>Scores assigned to options should only be compared within each reform area, rather than between reform areas, because the scale that defines what is better than the status quo will also depend on the scale of the problem being addressed in each reform area and the extent to which the options can improve outcomes.</w:t>
      </w:r>
    </w:p>
    <w:p w14:paraId="3FD01B2D" w14:textId="04407C2B" w:rsidR="00D601E7" w:rsidRDefault="00D601E7">
      <w:r>
        <w:lastRenderedPageBreak/>
        <w:t>A description of each criterion, the applied weighting, and an interpretation of how the option is scored is provided in Table 4.1, followed by an explanation of the rationale for the chosen weights.</w:t>
      </w:r>
    </w:p>
    <w:p w14:paraId="6CF8A1DB" w14:textId="10DDDE30" w:rsidR="00D601E7" w:rsidRDefault="00D601E7">
      <w:pPr>
        <w:pStyle w:val="Caption"/>
      </w:pPr>
      <w:bookmarkStart w:id="59" w:name="_Toc205884927"/>
      <w:r>
        <w:t>Table 4.1: Approach to MCA</w:t>
      </w:r>
      <w:bookmarkEnd w:id="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1: Approach to MCA"/>
        <w:tblDescription w:val="This table outlines the MCA criteria, the weighting of each criteria, and a description of how it will be evaluated."/>
      </w:tblPr>
      <w:tblGrid>
        <w:gridCol w:w="1842"/>
        <w:gridCol w:w="3540"/>
        <w:gridCol w:w="3628"/>
      </w:tblGrid>
      <w:tr w:rsidR="00D601E7" w14:paraId="66A7C1AE" w14:textId="77777777" w:rsidTr="00BC1206">
        <w:trPr>
          <w:tblHeader/>
        </w:trPr>
        <w:tc>
          <w:tcPr>
            <w:tcW w:w="1842" w:type="dxa"/>
            <w:shd w:val="clear" w:color="auto" w:fill="14233C" w:themeFill="text2"/>
          </w:tcPr>
          <w:p w14:paraId="373BF2CE" w14:textId="55B0380A" w:rsidR="00D601E7" w:rsidRPr="00CE7FA9" w:rsidRDefault="00D601E7">
            <w:pPr>
              <w:rPr>
                <w:szCs w:val="20"/>
              </w:rPr>
            </w:pPr>
            <w:r w:rsidRPr="00CE7FA9">
              <w:rPr>
                <w:b/>
                <w:color w:val="FFFFFF" w:themeColor="background1"/>
                <w:szCs w:val="20"/>
              </w:rPr>
              <w:t>Criteria and weighting</w:t>
            </w:r>
          </w:p>
        </w:tc>
        <w:tc>
          <w:tcPr>
            <w:tcW w:w="3540" w:type="dxa"/>
            <w:shd w:val="clear" w:color="auto" w:fill="14233C" w:themeFill="text2"/>
          </w:tcPr>
          <w:p w14:paraId="11DE95CB" w14:textId="77777777" w:rsidR="00D601E7" w:rsidRPr="00CE7FA9" w:rsidRDefault="00D601E7">
            <w:pPr>
              <w:rPr>
                <w:szCs w:val="20"/>
              </w:rPr>
            </w:pPr>
            <w:r w:rsidRPr="00CE7FA9">
              <w:rPr>
                <w:b/>
                <w:color w:val="FFFFFF" w:themeColor="background1"/>
                <w:szCs w:val="20"/>
              </w:rPr>
              <w:t>Description of approach to measuring performance against criteria</w:t>
            </w:r>
          </w:p>
        </w:tc>
        <w:tc>
          <w:tcPr>
            <w:tcW w:w="3628" w:type="dxa"/>
            <w:shd w:val="clear" w:color="auto" w:fill="14233C" w:themeFill="text2"/>
          </w:tcPr>
          <w:p w14:paraId="23253D27" w14:textId="0C41C44E" w:rsidR="00D601E7" w:rsidRPr="00CE7FA9" w:rsidRDefault="00D601E7">
            <w:pPr>
              <w:rPr>
                <w:szCs w:val="20"/>
              </w:rPr>
            </w:pPr>
            <w:r w:rsidRPr="00CE7FA9">
              <w:rPr>
                <w:b/>
                <w:color w:val="FFFFFF" w:themeColor="background1"/>
                <w:szCs w:val="20"/>
              </w:rPr>
              <w:t>Interpretation of scoring</w:t>
            </w:r>
          </w:p>
        </w:tc>
      </w:tr>
      <w:tr w:rsidR="00D601E7" w14:paraId="4FDB7E2E" w14:textId="77777777" w:rsidTr="00BC1206">
        <w:tc>
          <w:tcPr>
            <w:tcW w:w="1842" w:type="dxa"/>
          </w:tcPr>
          <w:p w14:paraId="16638566" w14:textId="77777777" w:rsidR="00D601E7" w:rsidRPr="00CE7FA9" w:rsidRDefault="00D601E7">
            <w:pPr>
              <w:rPr>
                <w:b/>
                <w:szCs w:val="20"/>
              </w:rPr>
            </w:pPr>
            <w:r w:rsidRPr="00CE7FA9">
              <w:rPr>
                <w:b/>
                <w:szCs w:val="20"/>
              </w:rPr>
              <w:t>Improvement in child safety outcomes</w:t>
            </w:r>
          </w:p>
          <w:p w14:paraId="19C41D61" w14:textId="03015EFE" w:rsidR="00D601E7" w:rsidRPr="00CE7FA9" w:rsidRDefault="00D601E7">
            <w:pPr>
              <w:rPr>
                <w:szCs w:val="20"/>
              </w:rPr>
            </w:pPr>
            <w:r w:rsidRPr="00CE7FA9">
              <w:rPr>
                <w:b/>
                <w:szCs w:val="20"/>
              </w:rPr>
              <w:t>(50%)</w:t>
            </w:r>
          </w:p>
        </w:tc>
        <w:tc>
          <w:tcPr>
            <w:tcW w:w="3540" w:type="dxa"/>
          </w:tcPr>
          <w:p w14:paraId="66A5EDF1" w14:textId="72874F9A" w:rsidR="00D601E7" w:rsidRPr="00CE7FA9" w:rsidRDefault="00D601E7">
            <w:pPr>
              <w:rPr>
                <w:rFonts w:cstheme="minorHAnsi"/>
                <w:szCs w:val="20"/>
              </w:rPr>
            </w:pPr>
            <w:r w:rsidRPr="00CE7FA9">
              <w:rPr>
                <w:rFonts w:cstheme="minorHAnsi"/>
                <w:szCs w:val="20"/>
              </w:rPr>
              <w:t xml:space="preserve">This is a measure of the degree to which proposed policy options </w:t>
            </w:r>
            <w:r w:rsidR="00A7276C">
              <w:rPr>
                <w:rFonts w:cstheme="minorHAnsi"/>
                <w:szCs w:val="20"/>
              </w:rPr>
              <w:t>are expected to</w:t>
            </w:r>
            <w:r w:rsidR="00A7276C" w:rsidRPr="00CE7FA9">
              <w:rPr>
                <w:rFonts w:cstheme="minorHAnsi"/>
                <w:szCs w:val="20"/>
              </w:rPr>
              <w:t xml:space="preserve"> </w:t>
            </w:r>
            <w:r w:rsidRPr="00CE7FA9">
              <w:rPr>
                <w:rFonts w:cstheme="minorHAnsi"/>
                <w:szCs w:val="20"/>
              </w:rPr>
              <w:t>contribute to a reduction in the risk of harm to children. This includes consideration of the avoided harms of child abuse, neglect, and maltreatment.</w:t>
            </w:r>
          </w:p>
          <w:p w14:paraId="13A7BF20" w14:textId="19F40F75" w:rsidR="00D601E7" w:rsidRPr="00CE7FA9" w:rsidRDefault="00D601E7">
            <w:pPr>
              <w:rPr>
                <w:szCs w:val="20"/>
              </w:rPr>
            </w:pPr>
          </w:p>
        </w:tc>
        <w:tc>
          <w:tcPr>
            <w:tcW w:w="3628" w:type="dxa"/>
          </w:tcPr>
          <w:p w14:paraId="255BDA89" w14:textId="3C0A7B87" w:rsidR="00D601E7" w:rsidRPr="00CE7FA9" w:rsidRDefault="00F96E2D">
            <w:pPr>
              <w:rPr>
                <w:szCs w:val="20"/>
              </w:rPr>
            </w:pPr>
            <w:r>
              <w:rPr>
                <w:szCs w:val="20"/>
              </w:rPr>
              <w:t>If the option is considered to improve</w:t>
            </w:r>
            <w:r w:rsidR="00D601E7" w:rsidRPr="00CE7FA9">
              <w:rPr>
                <w:szCs w:val="20"/>
              </w:rPr>
              <w:t xml:space="preserve"> child safety outcomes from the status quo</w:t>
            </w:r>
            <w:r w:rsidR="00C227A8">
              <w:rPr>
                <w:szCs w:val="20"/>
              </w:rPr>
              <w:t>, it</w:t>
            </w:r>
            <w:r w:rsidR="00D601E7" w:rsidRPr="00CE7FA9">
              <w:rPr>
                <w:szCs w:val="20"/>
              </w:rPr>
              <w:t xml:space="preserve"> will result in a score from 0 to 10. If the option is considered to reduce child safety (noting this is not a likely outcome), the score may range from -10 to 0.</w:t>
            </w:r>
            <w:r w:rsidR="00B81F8C" w:rsidRPr="00CE7FA9">
              <w:rPr>
                <w:rFonts w:cstheme="minorHAnsi"/>
                <w:szCs w:val="20"/>
              </w:rPr>
              <w:t xml:space="preserve"> </w:t>
            </w:r>
          </w:p>
        </w:tc>
      </w:tr>
      <w:tr w:rsidR="00D601E7" w14:paraId="2AC8C5BA" w14:textId="77777777" w:rsidTr="00BC1206">
        <w:tc>
          <w:tcPr>
            <w:tcW w:w="1842" w:type="dxa"/>
          </w:tcPr>
          <w:p w14:paraId="38BB0694" w14:textId="77777777" w:rsidR="00D601E7" w:rsidRPr="00CE7FA9" w:rsidRDefault="00D601E7">
            <w:pPr>
              <w:rPr>
                <w:b/>
                <w:szCs w:val="20"/>
              </w:rPr>
            </w:pPr>
            <w:r w:rsidRPr="00CE7FA9">
              <w:rPr>
                <w:b/>
                <w:szCs w:val="20"/>
              </w:rPr>
              <w:t>Net cost of the policy option</w:t>
            </w:r>
          </w:p>
          <w:p w14:paraId="4CBE191C" w14:textId="4ECA3978" w:rsidR="00D601E7" w:rsidRPr="00CE7FA9" w:rsidRDefault="00D601E7">
            <w:pPr>
              <w:rPr>
                <w:szCs w:val="20"/>
              </w:rPr>
            </w:pPr>
            <w:r w:rsidRPr="00CE7FA9">
              <w:rPr>
                <w:b/>
                <w:szCs w:val="20"/>
              </w:rPr>
              <w:t>(30%)</w:t>
            </w:r>
          </w:p>
        </w:tc>
        <w:tc>
          <w:tcPr>
            <w:tcW w:w="3540" w:type="dxa"/>
          </w:tcPr>
          <w:p w14:paraId="33D62C67" w14:textId="4301AAA2" w:rsidR="00D601E7" w:rsidRPr="00CE7FA9" w:rsidRDefault="00D601E7">
            <w:pPr>
              <w:rPr>
                <w:rFonts w:cstheme="minorHAnsi"/>
                <w:szCs w:val="20"/>
              </w:rPr>
            </w:pPr>
            <w:r w:rsidRPr="00CE7FA9">
              <w:rPr>
                <w:rFonts w:cstheme="minorHAnsi"/>
                <w:szCs w:val="20"/>
              </w:rPr>
              <w:t xml:space="preserve">The net cost will be </w:t>
            </w:r>
            <w:r w:rsidR="00C8439B">
              <w:rPr>
                <w:rFonts w:cstheme="minorHAnsi"/>
                <w:szCs w:val="20"/>
              </w:rPr>
              <w:t>estimated</w:t>
            </w:r>
            <w:r w:rsidR="00C8439B" w:rsidRPr="00CE7FA9">
              <w:rPr>
                <w:rFonts w:cstheme="minorHAnsi"/>
                <w:szCs w:val="20"/>
              </w:rPr>
              <w:t xml:space="preserve"> </w:t>
            </w:r>
            <w:r w:rsidRPr="00CE7FA9">
              <w:rPr>
                <w:rFonts w:cstheme="minorHAnsi"/>
                <w:szCs w:val="20"/>
              </w:rPr>
              <w:t>through a quantification (where possible) of total costs to implement policy options minus any avoided costs (in terms of administrative and other associated costs).</w:t>
            </w:r>
          </w:p>
          <w:p w14:paraId="72CD573B" w14:textId="0D05CF76" w:rsidR="00D601E7" w:rsidRPr="00CE7FA9" w:rsidRDefault="00D601E7">
            <w:pPr>
              <w:rPr>
                <w:szCs w:val="20"/>
              </w:rPr>
            </w:pPr>
            <w:r w:rsidRPr="00CE7FA9">
              <w:rPr>
                <w:rFonts w:cstheme="minorHAnsi"/>
                <w:szCs w:val="20"/>
              </w:rPr>
              <w:t>Several policy options may also result in qualitative costs or costs that cannot be quantified due to data limitations. Where these qualitative costs arise, they should be considered alongside the monetised costs (if any) when assigning a score to this criterion.</w:t>
            </w:r>
          </w:p>
        </w:tc>
        <w:tc>
          <w:tcPr>
            <w:tcW w:w="3628" w:type="dxa"/>
          </w:tcPr>
          <w:p w14:paraId="5572A8F6" w14:textId="51AAC82B" w:rsidR="00D601E7" w:rsidRPr="00CE7FA9" w:rsidRDefault="00D601E7">
            <w:pPr>
              <w:rPr>
                <w:szCs w:val="20"/>
              </w:rPr>
            </w:pPr>
            <w:r w:rsidRPr="00CE7FA9">
              <w:rPr>
                <w:szCs w:val="20"/>
              </w:rPr>
              <w:t>If there is a net cost, the option will be scored from -10 to 0 (-10 implying a higher net cost). If the option presents a net cost saving, the option will be scored from 0 to 10 (10 implying a higher cost saving). This criterion will also be scored based on a range of financial and non-financial costs (e.g., staffing costs, administrative burden, privacy concerns), including costs that can only be discussed qualitatively.</w:t>
            </w:r>
          </w:p>
        </w:tc>
      </w:tr>
      <w:tr w:rsidR="00D601E7" w14:paraId="722A53BA" w14:textId="77777777" w:rsidTr="00BC1206">
        <w:tc>
          <w:tcPr>
            <w:tcW w:w="1842" w:type="dxa"/>
          </w:tcPr>
          <w:p w14:paraId="0A20ACEF" w14:textId="7791B4E6" w:rsidR="00D601E7" w:rsidRPr="00CE7FA9" w:rsidRDefault="00D601E7">
            <w:pPr>
              <w:rPr>
                <w:b/>
                <w:szCs w:val="20"/>
              </w:rPr>
            </w:pPr>
            <w:r>
              <w:rPr>
                <w:b/>
                <w:szCs w:val="20"/>
              </w:rPr>
              <w:lastRenderedPageBreak/>
              <w:t>Implementation considerations</w:t>
            </w:r>
          </w:p>
          <w:p w14:paraId="639ED52A" w14:textId="48415B73" w:rsidR="00D601E7" w:rsidRPr="00CE7FA9" w:rsidRDefault="00D601E7">
            <w:pPr>
              <w:rPr>
                <w:szCs w:val="20"/>
              </w:rPr>
            </w:pPr>
            <w:r w:rsidRPr="00CE7FA9">
              <w:rPr>
                <w:b/>
                <w:szCs w:val="20"/>
              </w:rPr>
              <w:t>(10%)</w:t>
            </w:r>
          </w:p>
        </w:tc>
        <w:tc>
          <w:tcPr>
            <w:tcW w:w="3540" w:type="dxa"/>
          </w:tcPr>
          <w:p w14:paraId="28E2779D" w14:textId="15305951" w:rsidR="00D601E7" w:rsidRPr="00CE7FA9" w:rsidRDefault="00D601E7">
            <w:pPr>
              <w:rPr>
                <w:szCs w:val="20"/>
              </w:rPr>
            </w:pPr>
            <w:r w:rsidRPr="00CE7FA9">
              <w:rPr>
                <w:rFonts w:cstheme="minorHAnsi"/>
                <w:szCs w:val="20"/>
              </w:rPr>
              <w:t xml:space="preserve">This criterion has been developed on the basis that the implementation </w:t>
            </w:r>
            <w:r>
              <w:rPr>
                <w:rFonts w:cstheme="minorHAnsi"/>
                <w:szCs w:val="20"/>
              </w:rPr>
              <w:t>considerations</w:t>
            </w:r>
            <w:r w:rsidRPr="00CE7FA9">
              <w:rPr>
                <w:rFonts w:cstheme="minorHAnsi"/>
                <w:szCs w:val="20"/>
              </w:rPr>
              <w:t xml:space="preserve"> may influence the likelihood that the benefits of implementing policy options will be realised. </w:t>
            </w:r>
          </w:p>
        </w:tc>
        <w:tc>
          <w:tcPr>
            <w:tcW w:w="3628" w:type="dxa"/>
          </w:tcPr>
          <w:p w14:paraId="13139AE7" w14:textId="79A1211F" w:rsidR="00D601E7" w:rsidRPr="00CE7FA9" w:rsidRDefault="00D601E7">
            <w:pPr>
              <w:rPr>
                <w:szCs w:val="20"/>
              </w:rPr>
            </w:pPr>
            <w:r w:rsidRPr="00CE7FA9">
              <w:rPr>
                <w:szCs w:val="20"/>
              </w:rPr>
              <w:t xml:space="preserve">This criterion will assess the degree to </w:t>
            </w:r>
            <w:r w:rsidR="00742387">
              <w:rPr>
                <w:szCs w:val="20"/>
              </w:rPr>
              <w:t xml:space="preserve">which </w:t>
            </w:r>
            <w:r w:rsidRPr="00CE7FA9">
              <w:rPr>
                <w:szCs w:val="20"/>
              </w:rPr>
              <w:t xml:space="preserve">there are implementation </w:t>
            </w:r>
            <w:r>
              <w:rPr>
                <w:szCs w:val="20"/>
              </w:rPr>
              <w:t>considerations</w:t>
            </w:r>
            <w:r w:rsidRPr="00CE7FA9">
              <w:rPr>
                <w:szCs w:val="20"/>
              </w:rPr>
              <w:t xml:space="preserve"> if a policy option is implemented. If the policy option </w:t>
            </w:r>
            <w:r>
              <w:rPr>
                <w:szCs w:val="20"/>
              </w:rPr>
              <w:t>is</w:t>
            </w:r>
            <w:r w:rsidRPr="00CE7FA9">
              <w:rPr>
                <w:szCs w:val="20"/>
              </w:rPr>
              <w:t xml:space="preserve"> associated with more significant adverse implementation</w:t>
            </w:r>
            <w:r w:rsidR="00742387">
              <w:rPr>
                <w:szCs w:val="20"/>
              </w:rPr>
              <w:t xml:space="preserve"> considerations or risks</w:t>
            </w:r>
            <w:r w:rsidRPr="00CE7FA9">
              <w:rPr>
                <w:szCs w:val="20"/>
              </w:rPr>
              <w:t xml:space="preserve">, this option will receive </w:t>
            </w:r>
            <w:r w:rsidR="00335336">
              <w:rPr>
                <w:szCs w:val="20"/>
              </w:rPr>
              <w:t xml:space="preserve">a </w:t>
            </w:r>
            <w:r w:rsidRPr="00CE7FA9">
              <w:rPr>
                <w:szCs w:val="20"/>
              </w:rPr>
              <w:t xml:space="preserve">negative score from -10 to 0. If the option is expected to generate the desired benefits due to </w:t>
            </w:r>
            <w:r>
              <w:rPr>
                <w:szCs w:val="20"/>
              </w:rPr>
              <w:t>a</w:t>
            </w:r>
            <w:r w:rsidRPr="00CE7FA9">
              <w:rPr>
                <w:szCs w:val="20"/>
              </w:rPr>
              <w:t xml:space="preserve"> lack of implementation risks, this option will receive a score from 0 to 10.</w:t>
            </w:r>
          </w:p>
        </w:tc>
      </w:tr>
      <w:tr w:rsidR="00D601E7" w14:paraId="4BB50F05" w14:textId="77777777" w:rsidTr="00BC1206">
        <w:tc>
          <w:tcPr>
            <w:tcW w:w="1842" w:type="dxa"/>
          </w:tcPr>
          <w:p w14:paraId="4A3CEF43" w14:textId="77777777" w:rsidR="00D601E7" w:rsidRPr="00CE7FA9" w:rsidRDefault="00D601E7">
            <w:pPr>
              <w:rPr>
                <w:b/>
                <w:szCs w:val="20"/>
              </w:rPr>
            </w:pPr>
            <w:r w:rsidRPr="00CE7FA9">
              <w:rPr>
                <w:b/>
                <w:szCs w:val="20"/>
              </w:rPr>
              <w:t xml:space="preserve">Distributional impact of the </w:t>
            </w:r>
            <w:r w:rsidRPr="00CE7FA9">
              <w:rPr>
                <w:b/>
                <w:szCs w:val="20"/>
              </w:rPr>
              <w:br/>
              <w:t>option on stakeholders</w:t>
            </w:r>
          </w:p>
          <w:p w14:paraId="5CDAEF2B" w14:textId="2F3239E0" w:rsidR="00D601E7" w:rsidRPr="00CE7FA9" w:rsidRDefault="00D601E7">
            <w:pPr>
              <w:rPr>
                <w:szCs w:val="20"/>
              </w:rPr>
            </w:pPr>
            <w:r w:rsidRPr="00CE7FA9">
              <w:rPr>
                <w:b/>
                <w:szCs w:val="20"/>
              </w:rPr>
              <w:t>(10%)</w:t>
            </w:r>
          </w:p>
        </w:tc>
        <w:tc>
          <w:tcPr>
            <w:tcW w:w="3540" w:type="dxa"/>
          </w:tcPr>
          <w:p w14:paraId="4D4990D1" w14:textId="40FC6D06" w:rsidR="00991C98" w:rsidRDefault="00991C98" w:rsidP="00B22E05">
            <w:pPr>
              <w:rPr>
                <w:rFonts w:cstheme="minorHAnsi"/>
                <w:szCs w:val="20"/>
              </w:rPr>
            </w:pPr>
            <w:r w:rsidRPr="00991C98">
              <w:rPr>
                <w:rFonts w:cstheme="minorHAnsi"/>
                <w:szCs w:val="20"/>
              </w:rPr>
              <w:t>This criterion has been developed to assess any disproportionate impact the policy option may have, including the degree to which the option would impose proportionately higher costs on smaller stakeholder groups</w:t>
            </w:r>
            <w:r>
              <w:rPr>
                <w:rFonts w:cstheme="minorHAnsi"/>
                <w:szCs w:val="20"/>
              </w:rPr>
              <w:t>.</w:t>
            </w:r>
          </w:p>
          <w:p w14:paraId="77DA4EC7" w14:textId="3DF224F8" w:rsidR="00D601E7" w:rsidRPr="00CE7FA9" w:rsidRDefault="00D601E7" w:rsidP="00B22E05">
            <w:pPr>
              <w:rPr>
                <w:szCs w:val="20"/>
              </w:rPr>
            </w:pPr>
            <w:r w:rsidRPr="00CE7FA9">
              <w:rPr>
                <w:rFonts w:cstheme="minorHAnsi"/>
                <w:szCs w:val="20"/>
              </w:rPr>
              <w:t xml:space="preserve">Specific stakeholder groups that are of particular interest may include (but are not limited to) Aboriginal and Torres Strait Islander peoples or organisations, regional or remote communities, or a singular provider type (e.g. </w:t>
            </w:r>
            <w:r w:rsidR="009527E9">
              <w:rPr>
                <w:rFonts w:cstheme="minorHAnsi"/>
                <w:szCs w:val="20"/>
              </w:rPr>
              <w:t>FDC</w:t>
            </w:r>
            <w:r w:rsidRPr="00CE7FA9">
              <w:rPr>
                <w:rFonts w:cstheme="minorHAnsi"/>
                <w:szCs w:val="20"/>
              </w:rPr>
              <w:t xml:space="preserve"> services, </w:t>
            </w:r>
            <w:r w:rsidR="009527E9">
              <w:rPr>
                <w:rFonts w:cstheme="minorHAnsi"/>
                <w:szCs w:val="20"/>
              </w:rPr>
              <w:t>OSHC</w:t>
            </w:r>
            <w:r w:rsidRPr="00CE7FA9">
              <w:rPr>
                <w:rFonts w:cstheme="minorHAnsi"/>
                <w:szCs w:val="20"/>
              </w:rPr>
              <w:t xml:space="preserve"> services).</w:t>
            </w:r>
          </w:p>
        </w:tc>
        <w:tc>
          <w:tcPr>
            <w:tcW w:w="3628" w:type="dxa"/>
          </w:tcPr>
          <w:p w14:paraId="51F6A9BC" w14:textId="6EB5EF78" w:rsidR="00B22E05" w:rsidRDefault="00D601E7">
            <w:pPr>
              <w:rPr>
                <w:szCs w:val="20"/>
              </w:rPr>
            </w:pPr>
            <w:r w:rsidRPr="00CE7FA9">
              <w:rPr>
                <w:szCs w:val="20"/>
              </w:rPr>
              <w:t xml:space="preserve">If the option disproportionately impacts one group, this option should be scored from -10 to 0. </w:t>
            </w:r>
            <w:r w:rsidR="00B22E05" w:rsidRPr="00B22E05">
              <w:rPr>
                <w:szCs w:val="20"/>
              </w:rPr>
              <w:t>Policy options that are assessed to generate fewer disproportionate impacts to particular stakeholder cohorts would be assigned a higher score. Alternatively, policy options that are assessed to generate more significant disproportionate impacts on particular stakeholder cohorts would be assigned a lower score.</w:t>
            </w:r>
            <w:r w:rsidR="000733A3">
              <w:rPr>
                <w:szCs w:val="20"/>
              </w:rPr>
              <w:t xml:space="preserve"> Negative disproportionate impacts will be scored between -10 to 0, with the actual score depending on the magnitude of the impact. </w:t>
            </w:r>
          </w:p>
          <w:p w14:paraId="0D0D20EE" w14:textId="0D8100EF" w:rsidR="00D601E7" w:rsidRPr="00CE7FA9" w:rsidRDefault="00D601E7">
            <w:pPr>
              <w:rPr>
                <w:szCs w:val="20"/>
              </w:rPr>
            </w:pPr>
          </w:p>
        </w:tc>
      </w:tr>
    </w:tbl>
    <w:p w14:paraId="5A6BC390" w14:textId="290D8533" w:rsidR="00D601E7" w:rsidRDefault="00D601E7">
      <w:r>
        <w:lastRenderedPageBreak/>
        <w:t xml:space="preserve">The first criterion, the improvement in child safety outcomes, represents the core benefit of the policy options. The remaining three criteria are more aligned to potential costs associated with the policy options, noting only one criterion aligns explicitly to costs. When undertaking MCA, costs and benefits should be assigned ‘neutral weights’ to ensure that MCA outcomes equally represent both costs and benefits. As such, the improvement in child safety outcomes has been assigned a weighting of 50%, while the remaining three criteria have a combined weighting of 50%. </w:t>
      </w:r>
    </w:p>
    <w:p w14:paraId="5D3C1DE2" w14:textId="01D7BB8B" w:rsidR="00D601E7" w:rsidRDefault="00D601E7">
      <w:r>
        <w:t xml:space="preserve">While placing equal weights on benefits and costs is a conventional approach for MCA, in this context child safety is </w:t>
      </w:r>
      <w:r w:rsidR="00937399">
        <w:t>a critical</w:t>
      </w:r>
      <w:r>
        <w:t xml:space="preserve"> concern and priority. This is reflected in the weight placed on child safety (50%) being much greater than the weight being placed on any other consideration, including the potential compliance and administration costs of the proposed reforms (30%). These weights have been assigned to reflect the priorities of </w:t>
      </w:r>
      <w:r w:rsidR="008A3A67">
        <w:t>governments</w:t>
      </w:r>
      <w:r>
        <w:t xml:space="preserve"> in identifying and progressing those reforms most likely to improve child safety. </w:t>
      </w:r>
    </w:p>
    <w:p w14:paraId="511BF1ED" w14:textId="2A291F2C" w:rsidR="00D601E7" w:rsidRDefault="00D601E7">
      <w:r>
        <w:t xml:space="preserve">This </w:t>
      </w:r>
      <w:r w:rsidR="00A02895">
        <w:t xml:space="preserve">approach to weighting </w:t>
      </w:r>
      <w:r>
        <w:t>is also consistent with many points of stakeholder feedback across all reform areas</w:t>
      </w:r>
      <w:r w:rsidR="00A02895">
        <w:t>. W</w:t>
      </w:r>
      <w:r>
        <w:t xml:space="preserve">hile stakeholders often noted that there are likely to be costs as well as risks of unintended consequences or distributional impacts associated with at least some options, these observations were often paired with the view that finding a way to proceed with reform while managing or mitigating these costs and risks was important given the high value that should be placed on child safety. The lower weights placed on implementation considerations (10%) and distributional impacts (10%) reflect the fact that in comparing two or more options that are otherwise similar in terms of their feasible impact on child safety and potential costs, </w:t>
      </w:r>
      <w:r w:rsidR="00CE0132">
        <w:t>governments</w:t>
      </w:r>
      <w:r>
        <w:t xml:space="preserve"> would prefer options that also minimise risks of unintended consequences or detrimental distributional impacts. </w:t>
      </w:r>
    </w:p>
    <w:p w14:paraId="653BD798" w14:textId="028B456D" w:rsidR="00D601E7" w:rsidRPr="00CD3844" w:rsidRDefault="00CA59D5">
      <w:r>
        <w:t>In</w:t>
      </w:r>
      <w:r w:rsidR="00D601E7">
        <w:t xml:space="preserve"> this DRIS, </w:t>
      </w:r>
      <w:r>
        <w:t xml:space="preserve">most of the </w:t>
      </w:r>
      <w:r w:rsidR="004C5562">
        <w:t>recommended option</w:t>
      </w:r>
      <w:r w:rsidR="00D601E7">
        <w:t xml:space="preserve">s are </w:t>
      </w:r>
      <w:r>
        <w:t xml:space="preserve">also </w:t>
      </w:r>
      <w:r w:rsidR="00D601E7">
        <w:t>expected to have the biggest reduction in</w:t>
      </w:r>
      <w:r>
        <w:t xml:space="preserve"> the</w:t>
      </w:r>
      <w:r w:rsidR="00D601E7">
        <w:t xml:space="preserve"> risk to children and result in the highest potential improvement in child safety, noting that in some cases this will require further work to ensure implementation considerations and distributional impacts are carefully managed</w:t>
      </w:r>
      <w:r w:rsidR="007D35DE">
        <w:t xml:space="preserve"> and mitigated where possible</w:t>
      </w:r>
      <w:r w:rsidR="00D601E7">
        <w:t xml:space="preserve">. This is consistent with the overarching objectives of </w:t>
      </w:r>
      <w:r w:rsidR="007D35DE">
        <w:t>governments</w:t>
      </w:r>
      <w:r w:rsidR="00D601E7">
        <w:t xml:space="preserve"> and the MCA weights </w:t>
      </w:r>
      <w:r w:rsidR="007D35DE">
        <w:t xml:space="preserve">discussed </w:t>
      </w:r>
      <w:r w:rsidR="00D601E7">
        <w:t>above.</w:t>
      </w:r>
    </w:p>
    <w:p w14:paraId="72D66A26" w14:textId="54F6542A" w:rsidR="00D601E7" w:rsidRDefault="00D601E7">
      <w:pPr>
        <w:pStyle w:val="Heading2"/>
      </w:pPr>
      <w:bookmarkStart w:id="60" w:name="_Toc205884885"/>
      <w:r>
        <w:t>B</w:t>
      </w:r>
      <w:r w:rsidR="00547E4B">
        <w:t>reak-even analysis</w:t>
      </w:r>
      <w:r>
        <w:t xml:space="preserve"> approach</w:t>
      </w:r>
      <w:bookmarkEnd w:id="60"/>
    </w:p>
    <w:p w14:paraId="26B3325C" w14:textId="33F32B4F" w:rsidR="00D601E7" w:rsidRDefault="00D601E7">
      <w:r>
        <w:t>BEA is a technique that is used when the benefits, or magnitude of the likely benefits, are uncertain and/or difficult to reliably quantify. It involves utilising a CBA framework to estimate the value of benefits that would need to be generated</w:t>
      </w:r>
      <w:r w:rsidDel="00F85D01">
        <w:t xml:space="preserve"> </w:t>
      </w:r>
      <w:r>
        <w:t xml:space="preserve">to offset the estimated costs of the </w:t>
      </w:r>
      <w:r>
        <w:lastRenderedPageBreak/>
        <w:t>proposed change. It is most</w:t>
      </w:r>
      <w:r w:rsidR="00306D5D">
        <w:t>ly</w:t>
      </w:r>
      <w:r>
        <w:t xml:space="preserve"> used when costs can be quantified but many of the benefits associated with the proposed changes are intangible in nature. In some instances, sensitivity analysis can be undertaken to test the sensitivity of the breakeven point to changes in specific assumptions or inputs for the estimated costs.</w:t>
      </w:r>
    </w:p>
    <w:p w14:paraId="70D7BC45" w14:textId="77777777" w:rsidR="00D601E7" w:rsidRDefault="00D601E7">
      <w:r>
        <w:t xml:space="preserve">BEA is only undertaken for the proposed reforms that have sufficient quantifiable costs. When undertaking BEA for policy options with quantified costs, the estimated costs of the proposed option are compared to the total cost of child maltreatment in Australia. BEA provides a measure of the size of the benefit required to ‘break even’ – in this context, it is a measure of the ‘extent to which harm to children would need to be avoided’. </w:t>
      </w:r>
    </w:p>
    <w:p w14:paraId="62CD2AE9" w14:textId="12D13ED6" w:rsidR="00B33F75" w:rsidRDefault="00D601E7" w:rsidP="00E94FA9">
      <w:r>
        <w:t>For the purpose of this analysis,</w:t>
      </w:r>
      <w:r w:rsidR="006509F3">
        <w:t xml:space="preserve"> this DRIS</w:t>
      </w:r>
      <w:r w:rsidR="0024091F">
        <w:t xml:space="preserve"> uses</w:t>
      </w:r>
      <w:r>
        <w:t xml:space="preserve"> an estimate of the </w:t>
      </w:r>
      <w:r w:rsidRPr="007F2F1A">
        <w:t>‘lifetime economic and social costs of child maltreatment in Australia’</w:t>
      </w:r>
      <w:r>
        <w:t xml:space="preserve">, developed by McCarthy et al. (2016), as the total cost of child maltreatment in Australia </w:t>
      </w:r>
      <w:r w:rsidR="0024091F">
        <w:t>to support breakeven analyses of selected reform areas where some costs can be monetised</w:t>
      </w:r>
      <w:r>
        <w:t>.</w:t>
      </w:r>
      <w:r>
        <w:rPr>
          <w:rStyle w:val="FootnoteReference"/>
        </w:rPr>
        <w:footnoteReference w:id="34"/>
      </w:r>
      <w:r>
        <w:t xml:space="preserve"> This cost was estimated to be $26.7 billion in 2016 dollars, which is valued at $34.6 billion in real, 2025 dollars.</w:t>
      </w:r>
      <w:r>
        <w:rPr>
          <w:rStyle w:val="FootnoteReference"/>
        </w:rPr>
        <w:footnoteReference w:id="35"/>
      </w:r>
      <w:r>
        <w:t xml:space="preserve"> This measure was selected as it is a true measure of economic costs, incorporating both financial and non-financial costs. While the study is specifically a measure of the costs associated with child maltreatment in Australia, it is not specific to maltreatment that occurred in education and care settings. No studies were identified that measured the cost of child maltreatment that occurred in an education and care setting in Australia</w:t>
      </w:r>
      <w:r w:rsidR="00E32A16">
        <w:t>.</w:t>
      </w:r>
      <w:r w:rsidR="002F08C6">
        <w:t xml:space="preserve"> </w:t>
      </w:r>
      <w:r w:rsidR="00E94FA9" w:rsidRPr="00E94FA9">
        <w:t xml:space="preserve">While the breakeven analysis in this context relies on a proxy measure that does not focus specifically on the </w:t>
      </w:r>
      <w:r w:rsidR="00B9660F">
        <w:t>education and care</w:t>
      </w:r>
      <w:r w:rsidR="00E94FA9" w:rsidRPr="00E94FA9">
        <w:t xml:space="preserve"> sector, it remains an appropriate tool for assessing the broader value of child safety reforms relative to the costs of child maltreatment. The proxy captures key societal and economic impacts of child maltreatment—such as healthcare, justice system involvement, and lost productivity—which are relevant regardless of the specific intervention sector. Although this approach may not fully reflect the unique benefits associated with </w:t>
      </w:r>
      <w:r w:rsidR="00B9660F">
        <w:t>education and care</w:t>
      </w:r>
      <w:r w:rsidR="00E94FA9" w:rsidRPr="00E94FA9">
        <w:t xml:space="preserve"> settings, such as developmental gains and early intervention outcomes, it still offers a conservative estimate of the potential return on investment.</w:t>
      </w:r>
    </w:p>
    <w:p w14:paraId="5FD0E5D8" w14:textId="1FC735C2" w:rsidR="00D601E7" w:rsidRDefault="00D601E7" w:rsidP="00B33F75">
      <w:pPr>
        <w:pStyle w:val="Title2"/>
      </w:pPr>
      <w:bookmarkStart w:id="61" w:name="_Ref203456904"/>
      <w:r>
        <w:t>Approach to measuring impact for each reform area</w:t>
      </w:r>
      <w:bookmarkEnd w:id="61"/>
    </w:p>
    <w:p w14:paraId="11213A8B" w14:textId="21F71CE8" w:rsidR="00D601E7" w:rsidRDefault="00D601E7">
      <w:r>
        <w:t xml:space="preserve">Where </w:t>
      </w:r>
      <w:r w:rsidR="008863F0">
        <w:t xml:space="preserve">there </w:t>
      </w:r>
      <w:r>
        <w:t xml:space="preserve">was </w:t>
      </w:r>
      <w:r w:rsidR="00B33F75">
        <w:t>available data on potential impacts</w:t>
      </w:r>
      <w:r w:rsidR="00D361C9">
        <w:t xml:space="preserve"> to measure the impact of a proposed option</w:t>
      </w:r>
      <w:r>
        <w:t>, MCA and BEA were undertaken</w:t>
      </w:r>
      <w:r w:rsidRPr="00D4636D">
        <w:rPr>
          <w:rFonts w:cs="Arial"/>
        </w:rPr>
        <w:t xml:space="preserve"> </w:t>
      </w:r>
      <w:r>
        <w:rPr>
          <w:rFonts w:cs="Arial"/>
        </w:rPr>
        <w:t xml:space="preserve">to inform the </w:t>
      </w:r>
      <w:r w:rsidR="004C5562">
        <w:rPr>
          <w:rFonts w:cs="Arial"/>
        </w:rPr>
        <w:t>recommended option</w:t>
      </w:r>
      <w:r>
        <w:rPr>
          <w:rFonts w:cs="Arial"/>
        </w:rPr>
        <w:t>(s)</w:t>
      </w:r>
      <w:r>
        <w:t xml:space="preserve">. Where there </w:t>
      </w:r>
      <w:r>
        <w:lastRenderedPageBreak/>
        <w:t>was lower data availability but a likely material impact from reform, MCA (with no BEA) was undertaken</w:t>
      </w:r>
      <w:r w:rsidRPr="00D4636D">
        <w:rPr>
          <w:rFonts w:cs="Arial"/>
        </w:rPr>
        <w:t xml:space="preserve"> </w:t>
      </w:r>
      <w:r>
        <w:rPr>
          <w:rFonts w:cs="Arial"/>
        </w:rPr>
        <w:t xml:space="preserve">to inform the </w:t>
      </w:r>
      <w:r w:rsidR="004C5562">
        <w:rPr>
          <w:rFonts w:cs="Arial"/>
        </w:rPr>
        <w:t>recommended option</w:t>
      </w:r>
      <w:r>
        <w:rPr>
          <w:rFonts w:cs="Arial"/>
        </w:rPr>
        <w:t>(s)</w:t>
      </w:r>
      <w:r>
        <w:t xml:space="preserve">. </w:t>
      </w:r>
    </w:p>
    <w:p w14:paraId="3301E3BB" w14:textId="201CB884" w:rsidR="00D601E7" w:rsidRDefault="00D601E7">
      <w:pPr>
        <w:rPr>
          <w:rFonts w:cs="Arial"/>
        </w:rPr>
      </w:pPr>
      <w:r>
        <w:t xml:space="preserve">For reforms where stakeholders identified no </w:t>
      </w:r>
      <w:r w:rsidRPr="002A2959">
        <w:rPr>
          <w:rFonts w:cs="Arial"/>
        </w:rPr>
        <w:t>material impacts</w:t>
      </w:r>
      <w:r>
        <w:rPr>
          <w:rFonts w:cs="Arial"/>
        </w:rPr>
        <w:t xml:space="preserve"> and</w:t>
      </w:r>
      <w:r w:rsidRPr="002A2959">
        <w:rPr>
          <w:rFonts w:cs="Arial"/>
        </w:rPr>
        <w:t xml:space="preserve"> implementation risks </w:t>
      </w:r>
      <w:r>
        <w:rPr>
          <w:rFonts w:cs="Arial"/>
        </w:rPr>
        <w:t xml:space="preserve">associated with regulatory options, qualitative discussion was used to inform the </w:t>
      </w:r>
      <w:r w:rsidR="004C5562">
        <w:rPr>
          <w:rFonts w:cs="Arial"/>
        </w:rPr>
        <w:t>recommended option</w:t>
      </w:r>
      <w:r>
        <w:rPr>
          <w:rFonts w:cs="Arial"/>
        </w:rPr>
        <w:t>(s). This approach was determined to be sufficient for decision making in instances where stakeholder preferences reached a strong consensus for regulatory change and the costs, implementation considerations, and distributional impacts were minor or did not raise concerns among affected stakeholders.</w:t>
      </w:r>
    </w:p>
    <w:p w14:paraId="7FFCE6FE" w14:textId="41F94124" w:rsidR="00D601E7" w:rsidRPr="00FD42BF" w:rsidRDefault="00D601E7">
      <w:r>
        <w:rPr>
          <w:rFonts w:cs="Arial"/>
        </w:rPr>
        <w:t>The approach to analysis for each reform area is outlined in Table 4.2.</w:t>
      </w:r>
    </w:p>
    <w:p w14:paraId="1771E59F" w14:textId="3B22BB03" w:rsidR="00D601E7" w:rsidRPr="00FD42BF" w:rsidRDefault="00D601E7">
      <w:pPr>
        <w:pStyle w:val="Caption"/>
      </w:pPr>
      <w:bookmarkStart w:id="62" w:name="_Toc205884928"/>
      <w:r>
        <w:t xml:space="preserve">Table 4.2: </w:t>
      </w:r>
      <w:r w:rsidRPr="00FD42BF">
        <w:t>Approach to measuring impact for each reform area</w:t>
      </w:r>
      <w:bookmarkEnd w:id="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2: Approach to measuring impact for each reform area"/>
        <w:tblDescription w:val="This table describes the methods that will be applied to measure the impact of each option, across each reform area."/>
      </w:tblPr>
      <w:tblGrid>
        <w:gridCol w:w="2680"/>
        <w:gridCol w:w="2533"/>
        <w:gridCol w:w="3797"/>
      </w:tblGrid>
      <w:tr w:rsidR="00D601E7" w:rsidRPr="002A758D" w14:paraId="182939B7" w14:textId="77777777" w:rsidTr="00BC1206">
        <w:trPr>
          <w:tblHeader/>
        </w:trPr>
        <w:tc>
          <w:tcPr>
            <w:tcW w:w="0" w:type="auto"/>
            <w:shd w:val="clear" w:color="auto" w:fill="14233C" w:themeFill="text2"/>
          </w:tcPr>
          <w:p w14:paraId="700DC62F" w14:textId="77777777" w:rsidR="00D601E7" w:rsidRPr="000578C2" w:rsidRDefault="00D601E7">
            <w:pPr>
              <w:rPr>
                <w:rFonts w:cs="Arial"/>
                <w:b/>
                <w:color w:val="FFFFFF" w:themeColor="background1"/>
                <w:szCs w:val="22"/>
              </w:rPr>
            </w:pPr>
            <w:r w:rsidRPr="000578C2">
              <w:rPr>
                <w:rFonts w:cs="Arial"/>
                <w:b/>
                <w:color w:val="FFFFFF" w:themeColor="background1"/>
                <w:szCs w:val="22"/>
              </w:rPr>
              <w:t>Reform area</w:t>
            </w:r>
          </w:p>
        </w:tc>
        <w:tc>
          <w:tcPr>
            <w:tcW w:w="0" w:type="auto"/>
            <w:shd w:val="clear" w:color="auto" w:fill="14233C" w:themeFill="text2"/>
          </w:tcPr>
          <w:p w14:paraId="5B78EC03" w14:textId="77777777" w:rsidR="00D601E7" w:rsidRPr="000578C2" w:rsidRDefault="00D601E7">
            <w:pPr>
              <w:jc w:val="center"/>
              <w:rPr>
                <w:rFonts w:cs="Arial"/>
                <w:b/>
                <w:color w:val="FFFFFF" w:themeColor="background1"/>
                <w:szCs w:val="22"/>
              </w:rPr>
            </w:pPr>
            <w:r w:rsidRPr="000578C2">
              <w:rPr>
                <w:rFonts w:cs="Arial"/>
                <w:b/>
                <w:color w:val="FFFFFF" w:themeColor="background1"/>
                <w:szCs w:val="22"/>
              </w:rPr>
              <w:t>Proposed analytical approach</w:t>
            </w:r>
          </w:p>
        </w:tc>
        <w:tc>
          <w:tcPr>
            <w:tcW w:w="0" w:type="auto"/>
            <w:shd w:val="clear" w:color="auto" w:fill="14233C" w:themeFill="text2"/>
          </w:tcPr>
          <w:p w14:paraId="49032181" w14:textId="77777777" w:rsidR="00D601E7" w:rsidRPr="000578C2" w:rsidRDefault="00D601E7">
            <w:pPr>
              <w:jc w:val="center"/>
              <w:rPr>
                <w:rFonts w:cs="Arial"/>
                <w:b/>
                <w:color w:val="FFFFFF" w:themeColor="background1"/>
                <w:szCs w:val="22"/>
              </w:rPr>
            </w:pPr>
            <w:r w:rsidRPr="000578C2">
              <w:rPr>
                <w:rFonts w:cs="Arial"/>
                <w:b/>
                <w:color w:val="FFFFFF" w:themeColor="background1"/>
                <w:szCs w:val="22"/>
              </w:rPr>
              <w:t>Rationale for proposed analytical approach</w:t>
            </w:r>
          </w:p>
        </w:tc>
      </w:tr>
      <w:tr w:rsidR="00D601E7" w:rsidRPr="002A758D" w14:paraId="7283C61D" w14:textId="77777777" w:rsidTr="00BC1206">
        <w:tc>
          <w:tcPr>
            <w:tcW w:w="0" w:type="auto"/>
          </w:tcPr>
          <w:p w14:paraId="0097F1E2" w14:textId="77777777" w:rsidR="00D601E7" w:rsidRPr="000578C2" w:rsidRDefault="00D601E7">
            <w:pPr>
              <w:rPr>
                <w:rFonts w:cs="Arial"/>
                <w:szCs w:val="22"/>
              </w:rPr>
            </w:pPr>
            <w:r w:rsidRPr="000578C2">
              <w:rPr>
                <w:rFonts w:cs="Arial"/>
                <w:szCs w:val="22"/>
              </w:rPr>
              <w:t>Managing the use of digital devices</w:t>
            </w:r>
          </w:p>
        </w:tc>
        <w:tc>
          <w:tcPr>
            <w:tcW w:w="0" w:type="auto"/>
          </w:tcPr>
          <w:p w14:paraId="60271AC1" w14:textId="7DCE59B4" w:rsidR="00D601E7" w:rsidRPr="000578C2" w:rsidRDefault="00D601E7">
            <w:pPr>
              <w:jc w:val="center"/>
              <w:rPr>
                <w:rFonts w:cs="Arial"/>
                <w:szCs w:val="22"/>
              </w:rPr>
            </w:pPr>
            <w:r w:rsidRPr="000578C2">
              <w:rPr>
                <w:rFonts w:cs="Arial"/>
                <w:szCs w:val="22"/>
              </w:rPr>
              <w:t>MCA, supported by monetisation of some costs with BEA</w:t>
            </w:r>
          </w:p>
        </w:tc>
        <w:tc>
          <w:tcPr>
            <w:tcW w:w="0" w:type="auto"/>
          </w:tcPr>
          <w:p w14:paraId="573A4C08" w14:textId="77777777" w:rsidR="00D601E7" w:rsidRPr="000578C2" w:rsidRDefault="00D601E7">
            <w:pPr>
              <w:jc w:val="center"/>
              <w:rPr>
                <w:rFonts w:cs="Arial"/>
                <w:szCs w:val="22"/>
              </w:rPr>
            </w:pPr>
            <w:r w:rsidRPr="000578C2">
              <w:rPr>
                <w:rFonts w:cs="Arial"/>
                <w:szCs w:val="22"/>
              </w:rPr>
              <w:t xml:space="preserve">Data availability (e.g. device costs) </w:t>
            </w:r>
          </w:p>
        </w:tc>
      </w:tr>
      <w:tr w:rsidR="00D601E7" w:rsidRPr="002A758D" w14:paraId="78EC8835" w14:textId="77777777" w:rsidTr="00BC1206">
        <w:tc>
          <w:tcPr>
            <w:tcW w:w="0" w:type="auto"/>
          </w:tcPr>
          <w:p w14:paraId="4454465D" w14:textId="7D4DD513" w:rsidR="00D601E7" w:rsidRPr="000578C2" w:rsidRDefault="00A861B5">
            <w:pPr>
              <w:rPr>
                <w:rFonts w:cs="Arial"/>
                <w:szCs w:val="22"/>
              </w:rPr>
            </w:pPr>
            <w:r>
              <w:rPr>
                <w:rFonts w:cs="Arial"/>
                <w:szCs w:val="22"/>
              </w:rPr>
              <w:t>Introducing</w:t>
            </w:r>
            <w:r w:rsidR="00D601E7" w:rsidRPr="000578C2">
              <w:rPr>
                <w:rFonts w:cs="Arial"/>
                <w:szCs w:val="22"/>
              </w:rPr>
              <w:t xml:space="preserve"> mandatory child safety training</w:t>
            </w:r>
          </w:p>
        </w:tc>
        <w:tc>
          <w:tcPr>
            <w:tcW w:w="0" w:type="auto"/>
          </w:tcPr>
          <w:p w14:paraId="701C3320" w14:textId="7E018246" w:rsidR="00D601E7" w:rsidRPr="000578C2" w:rsidRDefault="00D601E7">
            <w:pPr>
              <w:jc w:val="center"/>
              <w:rPr>
                <w:rFonts w:cs="Arial"/>
                <w:szCs w:val="22"/>
              </w:rPr>
            </w:pPr>
            <w:r w:rsidRPr="000578C2">
              <w:rPr>
                <w:rFonts w:cs="Arial"/>
                <w:szCs w:val="22"/>
              </w:rPr>
              <w:t>MCA, supported by monetisation of some costs with BEA</w:t>
            </w:r>
          </w:p>
        </w:tc>
        <w:tc>
          <w:tcPr>
            <w:tcW w:w="0" w:type="auto"/>
          </w:tcPr>
          <w:p w14:paraId="04E24E8F" w14:textId="77777777" w:rsidR="00D601E7" w:rsidRPr="000578C2" w:rsidRDefault="00D601E7">
            <w:pPr>
              <w:jc w:val="center"/>
              <w:rPr>
                <w:rFonts w:cs="Arial"/>
                <w:szCs w:val="22"/>
              </w:rPr>
            </w:pPr>
            <w:r w:rsidRPr="000578C2">
              <w:rPr>
                <w:rFonts w:cs="Arial"/>
                <w:szCs w:val="22"/>
              </w:rPr>
              <w:t xml:space="preserve">Data availability (e.g. training costs and costs of including training resources in qualifications) </w:t>
            </w:r>
          </w:p>
        </w:tc>
      </w:tr>
      <w:tr w:rsidR="00D601E7" w:rsidRPr="002A758D" w14:paraId="02D7F020" w14:textId="77777777" w:rsidTr="00BC1206">
        <w:tc>
          <w:tcPr>
            <w:tcW w:w="0" w:type="auto"/>
          </w:tcPr>
          <w:p w14:paraId="2532454D" w14:textId="77777777" w:rsidR="00D601E7" w:rsidRPr="000578C2" w:rsidRDefault="00D601E7">
            <w:pPr>
              <w:rPr>
                <w:rFonts w:cs="Arial"/>
                <w:szCs w:val="22"/>
              </w:rPr>
            </w:pPr>
            <w:r w:rsidRPr="000578C2">
              <w:rPr>
                <w:rFonts w:cs="Arial"/>
                <w:szCs w:val="22"/>
              </w:rPr>
              <w:t>Making inappropriate conduct an offence</w:t>
            </w:r>
          </w:p>
        </w:tc>
        <w:tc>
          <w:tcPr>
            <w:tcW w:w="0" w:type="auto"/>
          </w:tcPr>
          <w:p w14:paraId="1499721E" w14:textId="5E8D7B06" w:rsidR="00D601E7" w:rsidRPr="000578C2" w:rsidRDefault="00D601E7">
            <w:pPr>
              <w:jc w:val="center"/>
              <w:rPr>
                <w:rFonts w:cs="Arial"/>
                <w:szCs w:val="22"/>
              </w:rPr>
            </w:pPr>
            <w:r w:rsidRPr="000578C2">
              <w:rPr>
                <w:rFonts w:cs="Arial"/>
                <w:szCs w:val="22"/>
              </w:rPr>
              <w:t>MCA</w:t>
            </w:r>
          </w:p>
        </w:tc>
        <w:tc>
          <w:tcPr>
            <w:tcW w:w="0" w:type="auto"/>
          </w:tcPr>
          <w:p w14:paraId="5DBBA5E3" w14:textId="77777777" w:rsidR="00D601E7" w:rsidRPr="000578C2" w:rsidRDefault="00D601E7">
            <w:pPr>
              <w:jc w:val="center"/>
              <w:rPr>
                <w:rFonts w:cs="Arial"/>
                <w:szCs w:val="22"/>
              </w:rPr>
            </w:pPr>
            <w:r w:rsidRPr="000578C2">
              <w:rPr>
                <w:rFonts w:cs="Arial"/>
                <w:szCs w:val="22"/>
              </w:rPr>
              <w:t>Limited quantitative data but available qualitative data</w:t>
            </w:r>
          </w:p>
        </w:tc>
      </w:tr>
      <w:tr w:rsidR="00D601E7" w:rsidRPr="002A758D" w14:paraId="024FE34C" w14:textId="77777777" w:rsidTr="00BC1206">
        <w:tc>
          <w:tcPr>
            <w:tcW w:w="0" w:type="auto"/>
          </w:tcPr>
          <w:p w14:paraId="3123BC5D" w14:textId="77777777" w:rsidR="00D601E7" w:rsidRPr="000578C2" w:rsidRDefault="00D601E7">
            <w:pPr>
              <w:rPr>
                <w:rFonts w:cs="Arial"/>
                <w:szCs w:val="22"/>
              </w:rPr>
            </w:pPr>
            <w:r w:rsidRPr="000578C2">
              <w:rPr>
                <w:rFonts w:cs="Arial"/>
                <w:szCs w:val="22"/>
              </w:rPr>
              <w:t>Enhancing Regulatory Authorities’ ability to share information with approved providers</w:t>
            </w:r>
          </w:p>
        </w:tc>
        <w:tc>
          <w:tcPr>
            <w:tcW w:w="0" w:type="auto"/>
          </w:tcPr>
          <w:p w14:paraId="42FE133B" w14:textId="2DF43190" w:rsidR="00D601E7" w:rsidRPr="000578C2" w:rsidRDefault="00D601E7">
            <w:pPr>
              <w:jc w:val="center"/>
              <w:rPr>
                <w:rFonts w:cs="Arial"/>
                <w:szCs w:val="22"/>
              </w:rPr>
            </w:pPr>
            <w:r w:rsidRPr="000578C2">
              <w:rPr>
                <w:rFonts w:cs="Arial"/>
                <w:szCs w:val="22"/>
              </w:rPr>
              <w:t xml:space="preserve">Qualitative discussion identifying the regulatory option(s) as the </w:t>
            </w:r>
            <w:r w:rsidR="004C5562">
              <w:rPr>
                <w:rFonts w:cs="Arial"/>
                <w:szCs w:val="22"/>
              </w:rPr>
              <w:t>recommended option</w:t>
            </w:r>
            <w:r w:rsidRPr="000578C2">
              <w:rPr>
                <w:rFonts w:cs="Arial"/>
                <w:szCs w:val="22"/>
              </w:rPr>
              <w:t xml:space="preserve">(s) </w:t>
            </w:r>
          </w:p>
        </w:tc>
        <w:tc>
          <w:tcPr>
            <w:tcW w:w="0" w:type="auto"/>
          </w:tcPr>
          <w:p w14:paraId="283487F1" w14:textId="77777777" w:rsidR="00D601E7" w:rsidRPr="000578C2" w:rsidRDefault="00D601E7">
            <w:pPr>
              <w:jc w:val="center"/>
              <w:rPr>
                <w:rFonts w:cs="Arial"/>
                <w:szCs w:val="22"/>
              </w:rPr>
            </w:pPr>
            <w:r w:rsidRPr="000578C2">
              <w:rPr>
                <w:rFonts w:cs="Arial"/>
                <w:szCs w:val="22"/>
              </w:rPr>
              <w:t xml:space="preserve">Stakeholder input identified no material impacts, implementation risks or serious trade-offs, and reflected strong consensus for the regulatory option on the basis of its potential benefits. </w:t>
            </w:r>
          </w:p>
        </w:tc>
      </w:tr>
      <w:tr w:rsidR="00D601E7" w:rsidRPr="002A758D" w14:paraId="57D1D480" w14:textId="77777777" w:rsidTr="00BC1206">
        <w:tc>
          <w:tcPr>
            <w:tcW w:w="0" w:type="auto"/>
          </w:tcPr>
          <w:p w14:paraId="4DCF9DAB" w14:textId="77777777" w:rsidR="00D601E7" w:rsidRPr="000578C2" w:rsidRDefault="00D601E7">
            <w:pPr>
              <w:rPr>
                <w:rFonts w:cs="Arial"/>
                <w:szCs w:val="22"/>
              </w:rPr>
            </w:pPr>
            <w:r w:rsidRPr="000578C2">
              <w:rPr>
                <w:rFonts w:cs="Arial"/>
                <w:szCs w:val="22"/>
              </w:rPr>
              <w:t>Expansion of regulatory responses to educator and staff member conduct</w:t>
            </w:r>
          </w:p>
        </w:tc>
        <w:tc>
          <w:tcPr>
            <w:tcW w:w="0" w:type="auto"/>
          </w:tcPr>
          <w:p w14:paraId="30E098C5" w14:textId="2B773C8B" w:rsidR="00D601E7" w:rsidRPr="000578C2" w:rsidRDefault="00D601E7">
            <w:pPr>
              <w:jc w:val="center"/>
              <w:rPr>
                <w:rFonts w:cs="Arial"/>
                <w:szCs w:val="22"/>
              </w:rPr>
            </w:pPr>
            <w:r w:rsidRPr="000578C2">
              <w:rPr>
                <w:rFonts w:cs="Arial"/>
                <w:szCs w:val="22"/>
              </w:rPr>
              <w:t>MCA</w:t>
            </w:r>
          </w:p>
        </w:tc>
        <w:tc>
          <w:tcPr>
            <w:tcW w:w="0" w:type="auto"/>
          </w:tcPr>
          <w:p w14:paraId="33517A69" w14:textId="77777777" w:rsidR="00D601E7" w:rsidRPr="000578C2" w:rsidRDefault="00D601E7">
            <w:pPr>
              <w:jc w:val="center"/>
              <w:rPr>
                <w:rFonts w:cs="Arial"/>
                <w:szCs w:val="22"/>
              </w:rPr>
            </w:pPr>
            <w:r w:rsidRPr="000578C2">
              <w:rPr>
                <w:rFonts w:cs="Arial"/>
                <w:szCs w:val="22"/>
              </w:rPr>
              <w:t>Limited quantitative data but available qualitative data</w:t>
            </w:r>
          </w:p>
        </w:tc>
      </w:tr>
      <w:tr w:rsidR="00D601E7" w:rsidRPr="002A758D" w14:paraId="292E5B7F" w14:textId="77777777" w:rsidTr="00BC1206">
        <w:tc>
          <w:tcPr>
            <w:tcW w:w="0" w:type="auto"/>
          </w:tcPr>
          <w:p w14:paraId="27D221D8" w14:textId="77777777" w:rsidR="00D601E7" w:rsidRPr="000578C2" w:rsidRDefault="00D601E7">
            <w:pPr>
              <w:rPr>
                <w:rFonts w:cs="Arial"/>
                <w:szCs w:val="22"/>
              </w:rPr>
            </w:pPr>
            <w:r w:rsidRPr="000578C2">
              <w:rPr>
                <w:rFonts w:cs="Arial"/>
                <w:szCs w:val="22"/>
              </w:rPr>
              <w:lastRenderedPageBreak/>
              <w:t>Requiring an approved WWCC prior to commencing paid or volunteer work at an education and care service</w:t>
            </w:r>
          </w:p>
        </w:tc>
        <w:tc>
          <w:tcPr>
            <w:tcW w:w="0" w:type="auto"/>
          </w:tcPr>
          <w:p w14:paraId="43693229" w14:textId="125FCF64" w:rsidR="00D601E7" w:rsidRPr="000578C2" w:rsidRDefault="00D601E7">
            <w:pPr>
              <w:jc w:val="center"/>
              <w:rPr>
                <w:rFonts w:cs="Arial"/>
                <w:szCs w:val="22"/>
              </w:rPr>
            </w:pPr>
            <w:r w:rsidRPr="000578C2">
              <w:rPr>
                <w:rFonts w:cs="Arial"/>
                <w:szCs w:val="22"/>
              </w:rPr>
              <w:t>MCA</w:t>
            </w:r>
          </w:p>
        </w:tc>
        <w:tc>
          <w:tcPr>
            <w:tcW w:w="0" w:type="auto"/>
          </w:tcPr>
          <w:p w14:paraId="35B62ECE" w14:textId="77777777" w:rsidR="00D601E7" w:rsidRPr="000578C2" w:rsidRDefault="00D601E7">
            <w:pPr>
              <w:jc w:val="center"/>
              <w:rPr>
                <w:rFonts w:cs="Arial"/>
                <w:szCs w:val="22"/>
              </w:rPr>
            </w:pPr>
            <w:r w:rsidRPr="000578C2">
              <w:rPr>
                <w:rFonts w:cs="Arial"/>
                <w:szCs w:val="22"/>
              </w:rPr>
              <w:t>Limited quantitative data but available qualitative data</w:t>
            </w:r>
          </w:p>
        </w:tc>
      </w:tr>
      <w:tr w:rsidR="00D601E7" w:rsidRPr="002A758D" w14:paraId="310FC658" w14:textId="77777777" w:rsidTr="00BC1206">
        <w:tc>
          <w:tcPr>
            <w:tcW w:w="0" w:type="auto"/>
          </w:tcPr>
          <w:p w14:paraId="7278D5A0" w14:textId="77777777" w:rsidR="00D601E7" w:rsidRPr="000578C2" w:rsidRDefault="00D601E7">
            <w:pPr>
              <w:rPr>
                <w:rFonts w:cs="Arial"/>
                <w:szCs w:val="22"/>
              </w:rPr>
            </w:pPr>
            <w:r w:rsidRPr="000578C2">
              <w:rPr>
                <w:rFonts w:cs="Arial"/>
                <w:szCs w:val="22"/>
              </w:rPr>
              <w:t>Requiring approved providers and Regulatory Authorities to be notified about changes in WWCC status</w:t>
            </w:r>
          </w:p>
        </w:tc>
        <w:tc>
          <w:tcPr>
            <w:tcW w:w="0" w:type="auto"/>
          </w:tcPr>
          <w:p w14:paraId="20A847B3" w14:textId="4442D527" w:rsidR="00D601E7" w:rsidRPr="000578C2" w:rsidRDefault="00D601E7">
            <w:pPr>
              <w:jc w:val="center"/>
              <w:rPr>
                <w:rFonts w:cs="Arial"/>
                <w:szCs w:val="22"/>
              </w:rPr>
            </w:pPr>
            <w:r w:rsidRPr="000578C2">
              <w:rPr>
                <w:rFonts w:cs="Arial"/>
                <w:szCs w:val="22"/>
              </w:rPr>
              <w:t>MCA</w:t>
            </w:r>
          </w:p>
        </w:tc>
        <w:tc>
          <w:tcPr>
            <w:tcW w:w="0" w:type="auto"/>
          </w:tcPr>
          <w:p w14:paraId="72D35925" w14:textId="77777777" w:rsidR="00D601E7" w:rsidRPr="000578C2" w:rsidRDefault="00D601E7">
            <w:pPr>
              <w:jc w:val="center"/>
              <w:rPr>
                <w:rFonts w:cs="Arial"/>
                <w:szCs w:val="22"/>
              </w:rPr>
            </w:pPr>
            <w:r w:rsidRPr="000578C2">
              <w:rPr>
                <w:rFonts w:cs="Arial"/>
                <w:szCs w:val="22"/>
              </w:rPr>
              <w:t>Limited quantitative data but available qualitative data</w:t>
            </w:r>
          </w:p>
        </w:tc>
      </w:tr>
      <w:tr w:rsidR="00D601E7" w:rsidRPr="002A758D" w14:paraId="5A45CDE3" w14:textId="77777777" w:rsidTr="00BC1206">
        <w:tc>
          <w:tcPr>
            <w:tcW w:w="0" w:type="auto"/>
          </w:tcPr>
          <w:p w14:paraId="4538F902" w14:textId="77777777" w:rsidR="00D601E7" w:rsidRPr="000578C2" w:rsidRDefault="00D601E7">
            <w:pPr>
              <w:rPr>
                <w:rFonts w:cs="Arial"/>
                <w:szCs w:val="22"/>
              </w:rPr>
            </w:pPr>
            <w:r w:rsidRPr="000578C2">
              <w:rPr>
                <w:rFonts w:cs="Arial"/>
                <w:szCs w:val="22"/>
              </w:rPr>
              <w:t>Service and temporary waivers for the design of premises</w:t>
            </w:r>
          </w:p>
        </w:tc>
        <w:tc>
          <w:tcPr>
            <w:tcW w:w="0" w:type="auto"/>
          </w:tcPr>
          <w:p w14:paraId="35B58FCE" w14:textId="05692597" w:rsidR="00D601E7" w:rsidRPr="000578C2" w:rsidRDefault="00D601E7">
            <w:pPr>
              <w:jc w:val="center"/>
              <w:rPr>
                <w:rFonts w:cs="Arial"/>
                <w:szCs w:val="22"/>
              </w:rPr>
            </w:pPr>
            <w:r w:rsidRPr="000578C2">
              <w:rPr>
                <w:rFonts w:cs="Arial"/>
                <w:szCs w:val="22"/>
              </w:rPr>
              <w:t xml:space="preserve">MCA </w:t>
            </w:r>
          </w:p>
        </w:tc>
        <w:tc>
          <w:tcPr>
            <w:tcW w:w="0" w:type="auto"/>
          </w:tcPr>
          <w:p w14:paraId="115A8FA8" w14:textId="73FF345A" w:rsidR="00D601E7" w:rsidRPr="000578C2" w:rsidRDefault="00D601E7">
            <w:pPr>
              <w:jc w:val="center"/>
              <w:rPr>
                <w:rFonts w:cs="Arial"/>
                <w:szCs w:val="22"/>
              </w:rPr>
            </w:pPr>
            <w:r w:rsidRPr="000578C2">
              <w:rPr>
                <w:rFonts w:cs="Arial"/>
                <w:szCs w:val="22"/>
              </w:rPr>
              <w:t>Limited quantitative data but available qualitative data</w:t>
            </w:r>
          </w:p>
        </w:tc>
      </w:tr>
      <w:tr w:rsidR="00D601E7" w:rsidRPr="002A758D" w14:paraId="5B903128" w14:textId="77777777" w:rsidTr="00BC1206">
        <w:tc>
          <w:tcPr>
            <w:tcW w:w="0" w:type="auto"/>
          </w:tcPr>
          <w:p w14:paraId="42F85D99" w14:textId="77777777" w:rsidR="00D601E7" w:rsidRPr="000578C2" w:rsidRDefault="00D601E7">
            <w:pPr>
              <w:rPr>
                <w:rFonts w:cs="Arial"/>
                <w:szCs w:val="22"/>
              </w:rPr>
            </w:pPr>
            <w:r w:rsidRPr="000578C2">
              <w:rPr>
                <w:rFonts w:cs="Arial"/>
                <w:szCs w:val="22"/>
              </w:rPr>
              <w:t>Requiring approved providers to assess not just the FDC residence, but areas near the residence</w:t>
            </w:r>
          </w:p>
        </w:tc>
        <w:tc>
          <w:tcPr>
            <w:tcW w:w="0" w:type="auto"/>
          </w:tcPr>
          <w:p w14:paraId="4D2B9225" w14:textId="77C98604" w:rsidR="00D601E7" w:rsidRPr="000578C2" w:rsidRDefault="00D601E7">
            <w:pPr>
              <w:jc w:val="center"/>
              <w:rPr>
                <w:rFonts w:cs="Arial"/>
                <w:szCs w:val="22"/>
              </w:rPr>
            </w:pPr>
            <w:r w:rsidRPr="000578C2">
              <w:rPr>
                <w:rFonts w:cs="Arial"/>
                <w:szCs w:val="22"/>
              </w:rPr>
              <w:t>MCA, supported by monetisation of some costs with BEA</w:t>
            </w:r>
          </w:p>
        </w:tc>
        <w:tc>
          <w:tcPr>
            <w:tcW w:w="0" w:type="auto"/>
          </w:tcPr>
          <w:p w14:paraId="1B926DEF" w14:textId="77777777" w:rsidR="00D601E7" w:rsidRPr="000578C2" w:rsidRDefault="00D601E7">
            <w:pPr>
              <w:jc w:val="center"/>
              <w:rPr>
                <w:rFonts w:cs="Arial"/>
                <w:szCs w:val="22"/>
              </w:rPr>
            </w:pPr>
            <w:r w:rsidRPr="000578C2">
              <w:rPr>
                <w:rFonts w:cs="Arial"/>
                <w:szCs w:val="22"/>
              </w:rPr>
              <w:t xml:space="preserve">Data availability (e.g. staffing cost to undertake longer risk assessments) </w:t>
            </w:r>
          </w:p>
        </w:tc>
      </w:tr>
      <w:tr w:rsidR="00D601E7" w:rsidRPr="002A758D" w14:paraId="41652658" w14:textId="77777777" w:rsidTr="00BC1206">
        <w:tc>
          <w:tcPr>
            <w:tcW w:w="0" w:type="auto"/>
          </w:tcPr>
          <w:p w14:paraId="45BAA260" w14:textId="77777777" w:rsidR="00D601E7" w:rsidRPr="000578C2" w:rsidRDefault="00D601E7">
            <w:pPr>
              <w:rPr>
                <w:rFonts w:cs="Arial"/>
                <w:szCs w:val="22"/>
              </w:rPr>
            </w:pPr>
            <w:r w:rsidRPr="000578C2">
              <w:rPr>
                <w:rFonts w:cs="Arial"/>
                <w:szCs w:val="22"/>
              </w:rPr>
              <w:t>Enabling authorised officers to access areas of a FDC residence or property, beyond the service premises</w:t>
            </w:r>
          </w:p>
        </w:tc>
        <w:tc>
          <w:tcPr>
            <w:tcW w:w="0" w:type="auto"/>
          </w:tcPr>
          <w:p w14:paraId="23F4045C" w14:textId="1A19CDF9" w:rsidR="00D601E7" w:rsidRPr="000578C2" w:rsidRDefault="00D601E7">
            <w:pPr>
              <w:jc w:val="center"/>
              <w:rPr>
                <w:rFonts w:cs="Arial"/>
                <w:szCs w:val="22"/>
              </w:rPr>
            </w:pPr>
            <w:r w:rsidRPr="000578C2">
              <w:rPr>
                <w:rFonts w:cs="Arial"/>
                <w:szCs w:val="22"/>
              </w:rPr>
              <w:t>MCA</w:t>
            </w:r>
          </w:p>
        </w:tc>
        <w:tc>
          <w:tcPr>
            <w:tcW w:w="0" w:type="auto"/>
          </w:tcPr>
          <w:p w14:paraId="6357FBD6" w14:textId="77777777" w:rsidR="00D601E7" w:rsidRPr="000578C2" w:rsidRDefault="00D601E7">
            <w:pPr>
              <w:jc w:val="center"/>
              <w:rPr>
                <w:rFonts w:cs="Arial"/>
                <w:szCs w:val="22"/>
              </w:rPr>
            </w:pPr>
            <w:r w:rsidRPr="000578C2">
              <w:rPr>
                <w:rFonts w:cs="Arial"/>
                <w:szCs w:val="22"/>
              </w:rPr>
              <w:t>Limited quantitative data but available qualitative data</w:t>
            </w:r>
          </w:p>
        </w:tc>
      </w:tr>
      <w:tr w:rsidR="00D601E7" w:rsidRPr="002A758D" w14:paraId="57550A46" w14:textId="77777777" w:rsidTr="00BC1206">
        <w:tc>
          <w:tcPr>
            <w:tcW w:w="0" w:type="auto"/>
          </w:tcPr>
          <w:p w14:paraId="607CE37F" w14:textId="77777777" w:rsidR="00D601E7" w:rsidRPr="000578C2" w:rsidRDefault="00D601E7">
            <w:pPr>
              <w:rPr>
                <w:rFonts w:cs="Arial"/>
                <w:szCs w:val="22"/>
              </w:rPr>
            </w:pPr>
            <w:r w:rsidRPr="000578C2">
              <w:rPr>
                <w:rFonts w:cs="Arial"/>
                <w:szCs w:val="22"/>
              </w:rPr>
              <w:t>Effective identification, monitoring and regulation of ‘related providers’</w:t>
            </w:r>
          </w:p>
        </w:tc>
        <w:tc>
          <w:tcPr>
            <w:tcW w:w="0" w:type="auto"/>
          </w:tcPr>
          <w:p w14:paraId="32305DB3" w14:textId="0C1E3E4D" w:rsidR="00D601E7" w:rsidRPr="000578C2" w:rsidRDefault="00D601E7">
            <w:pPr>
              <w:jc w:val="center"/>
              <w:rPr>
                <w:rFonts w:cs="Arial"/>
                <w:szCs w:val="22"/>
              </w:rPr>
            </w:pPr>
            <w:r w:rsidRPr="000578C2">
              <w:rPr>
                <w:rFonts w:cs="Arial"/>
                <w:szCs w:val="22"/>
              </w:rPr>
              <w:t xml:space="preserve">Qualitative discussion identifying the regulatory option(s) as the </w:t>
            </w:r>
            <w:r w:rsidR="004C5562">
              <w:rPr>
                <w:rFonts w:cs="Arial"/>
                <w:szCs w:val="22"/>
              </w:rPr>
              <w:t>recommended option</w:t>
            </w:r>
            <w:r w:rsidRPr="000578C2">
              <w:rPr>
                <w:rFonts w:cs="Arial"/>
                <w:szCs w:val="22"/>
              </w:rPr>
              <w:t xml:space="preserve">(s) </w:t>
            </w:r>
          </w:p>
        </w:tc>
        <w:tc>
          <w:tcPr>
            <w:tcW w:w="0" w:type="auto"/>
          </w:tcPr>
          <w:p w14:paraId="04875859" w14:textId="77777777" w:rsidR="00D601E7" w:rsidRPr="000578C2" w:rsidRDefault="00D601E7">
            <w:pPr>
              <w:jc w:val="center"/>
              <w:rPr>
                <w:rFonts w:cs="Arial"/>
                <w:szCs w:val="22"/>
              </w:rPr>
            </w:pPr>
            <w:r w:rsidRPr="000578C2">
              <w:rPr>
                <w:rFonts w:cs="Arial"/>
                <w:szCs w:val="22"/>
              </w:rPr>
              <w:t xml:space="preserve">Stakeholder input identified no material impacts, implementation risks or serious trade-offs, and reflected strong consensus for the regulatory option on the basis of its potential benefits. </w:t>
            </w:r>
          </w:p>
        </w:tc>
      </w:tr>
      <w:tr w:rsidR="00D601E7" w:rsidRPr="002A758D" w14:paraId="16D9E222" w14:textId="77777777" w:rsidTr="00BC1206">
        <w:tc>
          <w:tcPr>
            <w:tcW w:w="0" w:type="auto"/>
          </w:tcPr>
          <w:p w14:paraId="74780541" w14:textId="77777777" w:rsidR="00D601E7" w:rsidRPr="000578C2" w:rsidRDefault="00D601E7">
            <w:pPr>
              <w:rPr>
                <w:rFonts w:cs="Arial"/>
                <w:szCs w:val="22"/>
              </w:rPr>
            </w:pPr>
            <w:r w:rsidRPr="000578C2">
              <w:rPr>
                <w:rFonts w:cs="Arial"/>
                <w:szCs w:val="22"/>
              </w:rPr>
              <w:lastRenderedPageBreak/>
              <w:t>Extending the limitation period for commencing proceedings under the National Law</w:t>
            </w:r>
          </w:p>
        </w:tc>
        <w:tc>
          <w:tcPr>
            <w:tcW w:w="0" w:type="auto"/>
          </w:tcPr>
          <w:p w14:paraId="3B6E890C" w14:textId="7F48D368" w:rsidR="00D601E7" w:rsidRPr="000578C2" w:rsidRDefault="00D601E7">
            <w:pPr>
              <w:jc w:val="center"/>
              <w:rPr>
                <w:rFonts w:cs="Arial"/>
                <w:szCs w:val="22"/>
              </w:rPr>
            </w:pPr>
            <w:r w:rsidRPr="000578C2">
              <w:rPr>
                <w:rFonts w:cs="Arial"/>
                <w:szCs w:val="22"/>
              </w:rPr>
              <w:t xml:space="preserve">Qualitative discussion identifying the regulatory option(s) as the </w:t>
            </w:r>
            <w:r w:rsidR="004C5562">
              <w:rPr>
                <w:rFonts w:cs="Arial"/>
                <w:szCs w:val="22"/>
              </w:rPr>
              <w:t>recommended option</w:t>
            </w:r>
            <w:r w:rsidRPr="000578C2">
              <w:rPr>
                <w:rFonts w:cs="Arial"/>
                <w:szCs w:val="22"/>
              </w:rPr>
              <w:t xml:space="preserve">(s) </w:t>
            </w:r>
          </w:p>
        </w:tc>
        <w:tc>
          <w:tcPr>
            <w:tcW w:w="0" w:type="auto"/>
          </w:tcPr>
          <w:p w14:paraId="1A8C63B5" w14:textId="77777777" w:rsidR="00D601E7" w:rsidRPr="000578C2" w:rsidRDefault="00D601E7">
            <w:pPr>
              <w:jc w:val="center"/>
              <w:rPr>
                <w:rFonts w:cs="Arial"/>
                <w:szCs w:val="22"/>
              </w:rPr>
            </w:pPr>
            <w:r w:rsidRPr="000578C2">
              <w:rPr>
                <w:rFonts w:cs="Arial"/>
                <w:szCs w:val="22"/>
              </w:rPr>
              <w:t xml:space="preserve">Stakeholder input identified no material impacts, implementation risks or serious trade-offs, and reflected strong consensus for the regulatory option on the basis of its potential benefits. </w:t>
            </w:r>
          </w:p>
        </w:tc>
      </w:tr>
      <w:tr w:rsidR="00D601E7" w:rsidRPr="002A758D" w14:paraId="17CC8494" w14:textId="77777777" w:rsidTr="00BC1206">
        <w:tc>
          <w:tcPr>
            <w:tcW w:w="0" w:type="auto"/>
          </w:tcPr>
          <w:p w14:paraId="3FC501DA" w14:textId="77777777" w:rsidR="00D601E7" w:rsidRPr="000578C2" w:rsidRDefault="00D601E7">
            <w:pPr>
              <w:rPr>
                <w:rFonts w:cs="Arial"/>
                <w:szCs w:val="22"/>
              </w:rPr>
            </w:pPr>
            <w:r w:rsidRPr="000578C2">
              <w:rPr>
                <w:rFonts w:cs="Arial"/>
                <w:szCs w:val="22"/>
              </w:rPr>
              <w:t>Information sharing provisions for recruitment agencies</w:t>
            </w:r>
          </w:p>
        </w:tc>
        <w:tc>
          <w:tcPr>
            <w:tcW w:w="0" w:type="auto"/>
          </w:tcPr>
          <w:p w14:paraId="03E4D753" w14:textId="27E328E8" w:rsidR="00D601E7" w:rsidRPr="000578C2" w:rsidRDefault="00D601E7">
            <w:pPr>
              <w:jc w:val="center"/>
              <w:rPr>
                <w:rFonts w:cs="Arial"/>
                <w:szCs w:val="22"/>
              </w:rPr>
            </w:pPr>
            <w:r w:rsidRPr="000578C2">
              <w:rPr>
                <w:rFonts w:cs="Arial"/>
                <w:szCs w:val="22"/>
              </w:rPr>
              <w:t xml:space="preserve">Qualitative discussion identifying the regulatory option(s) as the </w:t>
            </w:r>
            <w:r w:rsidR="004C5562">
              <w:rPr>
                <w:rFonts w:cs="Arial"/>
                <w:szCs w:val="22"/>
              </w:rPr>
              <w:t>recommended option</w:t>
            </w:r>
            <w:r w:rsidRPr="000578C2">
              <w:rPr>
                <w:rFonts w:cs="Arial"/>
                <w:szCs w:val="22"/>
              </w:rPr>
              <w:t>(s)</w:t>
            </w:r>
          </w:p>
        </w:tc>
        <w:tc>
          <w:tcPr>
            <w:tcW w:w="0" w:type="auto"/>
          </w:tcPr>
          <w:p w14:paraId="7D25376E" w14:textId="77777777" w:rsidR="00D601E7" w:rsidRPr="000578C2" w:rsidRDefault="00D601E7">
            <w:pPr>
              <w:jc w:val="center"/>
              <w:rPr>
                <w:rFonts w:cs="Arial"/>
                <w:szCs w:val="22"/>
              </w:rPr>
            </w:pPr>
            <w:r w:rsidRPr="000578C2">
              <w:rPr>
                <w:rFonts w:cs="Arial"/>
                <w:szCs w:val="22"/>
              </w:rPr>
              <w:t xml:space="preserve">Stakeholder input identified no material impacts, implementation risks or serious trade-offs, and reflected strong consensus for the regulatory option on the basis of its potential benefits. </w:t>
            </w:r>
          </w:p>
        </w:tc>
      </w:tr>
    </w:tbl>
    <w:p w14:paraId="10E6F646" w14:textId="77777777" w:rsidR="00D601E7" w:rsidRDefault="00D601E7">
      <w:pPr>
        <w:rPr>
          <w:lang w:val="en-GB"/>
        </w:rPr>
      </w:pPr>
    </w:p>
    <w:p w14:paraId="72865FC9" w14:textId="77777777" w:rsidR="00D601E7" w:rsidRDefault="00D601E7">
      <w:pPr>
        <w:spacing w:after="160" w:line="259" w:lineRule="auto"/>
      </w:pPr>
      <w:r>
        <w:br w:type="page"/>
      </w:r>
    </w:p>
    <w:p w14:paraId="0F7A10A1" w14:textId="0CA47C4A" w:rsidR="00D601E7" w:rsidRDefault="00D601E7">
      <w:pPr>
        <w:pStyle w:val="Heading1"/>
      </w:pPr>
      <w:bookmarkStart w:id="63" w:name="_Toc205884886"/>
      <w:r>
        <w:lastRenderedPageBreak/>
        <w:t>Analysis by area of reform</w:t>
      </w:r>
      <w:bookmarkEnd w:id="63"/>
    </w:p>
    <w:p w14:paraId="402C3A7E" w14:textId="65957FE7" w:rsidR="00D601E7" w:rsidRPr="00F056C4" w:rsidRDefault="00D601E7">
      <w:pPr>
        <w:rPr>
          <w:sz w:val="28"/>
          <w:szCs w:val="32"/>
        </w:rPr>
      </w:pPr>
      <w:r w:rsidRPr="00F056C4">
        <w:rPr>
          <w:sz w:val="28"/>
          <w:szCs w:val="32"/>
        </w:rPr>
        <w:t>Chapters 5 to 10 detail</w:t>
      </w:r>
      <w:r w:rsidR="006A11D8">
        <w:rPr>
          <w:sz w:val="28"/>
          <w:szCs w:val="32"/>
        </w:rPr>
        <w:t>s</w:t>
      </w:r>
      <w:r w:rsidRPr="00F056C4">
        <w:rPr>
          <w:sz w:val="28"/>
          <w:szCs w:val="32"/>
        </w:rPr>
        <w:t xml:space="preserve"> the analysis by each area of reform</w:t>
      </w:r>
      <w:r w:rsidR="00605CF7">
        <w:rPr>
          <w:sz w:val="28"/>
          <w:szCs w:val="32"/>
        </w:rPr>
        <w:t xml:space="preserve"> as described in the CRIS</w:t>
      </w:r>
      <w:r w:rsidRPr="00F056C4">
        <w:rPr>
          <w:sz w:val="28"/>
          <w:szCs w:val="32"/>
        </w:rPr>
        <w:t xml:space="preserve">. </w:t>
      </w:r>
    </w:p>
    <w:p w14:paraId="485F86B9" w14:textId="01EAFBAE" w:rsidR="00D601E7" w:rsidRPr="00EE2510" w:rsidRDefault="00D601E7">
      <w:pPr>
        <w:rPr>
          <w:b/>
          <w:bCs/>
        </w:rPr>
      </w:pPr>
      <w:r>
        <w:rPr>
          <w:b/>
          <w:bCs/>
        </w:rPr>
        <w:t>Structure of analysis by area of reform</w:t>
      </w:r>
    </w:p>
    <w:p w14:paraId="524CD25E" w14:textId="4DA40F08" w:rsidR="00D601E7" w:rsidRPr="00EE2510" w:rsidRDefault="00D601E7">
      <w:r w:rsidRPr="00EE2510">
        <w:t>Each area of reform uses the following structure</w:t>
      </w:r>
      <w:r>
        <w:t xml:space="preserve"> based on several key RIS questions outlined in the </w:t>
      </w:r>
      <w:r w:rsidRPr="00300D9A">
        <w:t>Regulatory Impact Analysis Guide for Ministers’ Meetings and National Standard Setting Bodies</w:t>
      </w:r>
      <w:r>
        <w:t>:</w:t>
      </w:r>
      <w:r>
        <w:rPr>
          <w:rStyle w:val="FootnoteReference"/>
        </w:rPr>
        <w:footnoteReference w:id="36"/>
      </w:r>
    </w:p>
    <w:p w14:paraId="08EA91D6" w14:textId="10CB7CB2" w:rsidR="00D601E7" w:rsidRDefault="00D601E7" w:rsidP="00EC53AB">
      <w:pPr>
        <w:numPr>
          <w:ilvl w:val="0"/>
          <w:numId w:val="73"/>
        </w:numPr>
        <w:spacing w:before="120"/>
        <w:ind w:left="426"/>
      </w:pPr>
      <w:r>
        <w:t>What is the problem?</w:t>
      </w:r>
    </w:p>
    <w:p w14:paraId="4F9A94AF" w14:textId="2703CF36" w:rsidR="00EB4295" w:rsidRDefault="00EB4295" w:rsidP="00EC53AB">
      <w:pPr>
        <w:numPr>
          <w:ilvl w:val="0"/>
          <w:numId w:val="73"/>
        </w:numPr>
        <w:spacing w:before="120"/>
        <w:ind w:left="426"/>
      </w:pPr>
      <w:r w:rsidRPr="00EB4295">
        <w:t>What were the policy options consulted on?</w:t>
      </w:r>
      <w:r>
        <w:rPr>
          <w:rStyle w:val="FootnoteReference"/>
        </w:rPr>
        <w:footnoteReference w:id="37"/>
      </w:r>
    </w:p>
    <w:p w14:paraId="600E0751" w14:textId="4DF37978" w:rsidR="00D601E7" w:rsidRDefault="00D601E7" w:rsidP="00EC53AB">
      <w:pPr>
        <w:numPr>
          <w:ilvl w:val="0"/>
          <w:numId w:val="73"/>
        </w:numPr>
        <w:spacing w:before="120"/>
        <w:ind w:left="426"/>
      </w:pPr>
      <w:r>
        <w:t>What are the impacts of each option?</w:t>
      </w:r>
    </w:p>
    <w:p w14:paraId="45484C2B" w14:textId="3358C013" w:rsidR="00D601E7" w:rsidRDefault="00D601E7" w:rsidP="00EC53AB">
      <w:pPr>
        <w:numPr>
          <w:ilvl w:val="0"/>
          <w:numId w:val="73"/>
        </w:numPr>
        <w:spacing w:before="120"/>
        <w:ind w:left="426"/>
      </w:pPr>
      <w:r>
        <w:t xml:space="preserve">What is the </w:t>
      </w:r>
      <w:r w:rsidR="004C5562">
        <w:t>recommended option</w:t>
      </w:r>
      <w:r>
        <w:t>(s) and how will it be implemented?</w:t>
      </w:r>
    </w:p>
    <w:p w14:paraId="0BC50900" w14:textId="72C5206E" w:rsidR="00D601E7" w:rsidRDefault="00D601E7">
      <w:r>
        <w:br w:type="page"/>
      </w:r>
    </w:p>
    <w:p w14:paraId="1E9C3853" w14:textId="1B939F11" w:rsidR="00D601E7" w:rsidRDefault="00D601E7">
      <w:pPr>
        <w:pStyle w:val="Heading1"/>
      </w:pPr>
      <w:bookmarkStart w:id="64" w:name="_5._Management_of"/>
      <w:bookmarkStart w:id="65" w:name="_Ref203406086"/>
      <w:bookmarkStart w:id="66" w:name="_Toc205884887"/>
      <w:bookmarkEnd w:id="64"/>
      <w:r>
        <w:lastRenderedPageBreak/>
        <w:t>5. Management of digital devices</w:t>
      </w:r>
      <w:bookmarkEnd w:id="65"/>
      <w:bookmarkEnd w:id="66"/>
    </w:p>
    <w:p w14:paraId="4D647B8D" w14:textId="4E174BFC" w:rsidR="00E27F21" w:rsidRDefault="00D601E7">
      <w:r>
        <w:t xml:space="preserve">There is currently no legislative mechanism under the National Law and National Regulations to address the use of digital devices, including personal devices, when taking images and videos of children in an education and care service. </w:t>
      </w:r>
      <w:r w:rsidR="00B425F7" w:rsidRPr="00B425F7">
        <w:t>At the time of developing the DRIS there was no legislative mechanism in place, however from 1 September 2025, there will be a requirement for services to have new policies and procedures relating to the safe use of digital devices (including the use of closed-circuit television (CCTV)</w:t>
      </w:r>
      <w:r w:rsidR="008E7FF2">
        <w:t>)</w:t>
      </w:r>
      <w:r w:rsidR="00B425F7" w:rsidRPr="00B425F7">
        <w:t xml:space="preserve">. Further, ACECQA has developed non-regulatory </w:t>
      </w:r>
      <w:hyperlink r:id="rId29" w:history="1">
        <w:r w:rsidR="00B425F7" w:rsidRPr="000C53F9">
          <w:rPr>
            <w:rStyle w:val="Hyperlink"/>
          </w:rPr>
          <w:t>guides</w:t>
        </w:r>
      </w:hyperlink>
      <w:r w:rsidR="00B425F7" w:rsidRPr="00B425F7">
        <w:t xml:space="preserve"> on embedding child safe cultures and online safety in education and care services, published on 16 June 2025.</w:t>
      </w:r>
    </w:p>
    <w:p w14:paraId="2CD894E1" w14:textId="59F5FFD5" w:rsidR="00D601E7" w:rsidRPr="009C2F40" w:rsidRDefault="00D601E7">
      <w:r w:rsidRPr="009C2F40">
        <w:t xml:space="preserve">While the use of </w:t>
      </w:r>
      <w:r>
        <w:t>images and videos provides tangible evidence of a child’s development and learning for families</w:t>
      </w:r>
      <w:r w:rsidRPr="009C2F40">
        <w:t xml:space="preserve">, </w:t>
      </w:r>
      <w:r>
        <w:t>there are also significant potential risks associated with inappropriate usage of digital devices. The most pertinent potential risks include the infringement</w:t>
      </w:r>
      <w:r w:rsidRPr="009C2F40">
        <w:t xml:space="preserve"> upon a child’s agency and right to privacy and</w:t>
      </w:r>
      <w:r w:rsidRPr="009C2F40" w:rsidDel="009A71FC">
        <w:t xml:space="preserve"> </w:t>
      </w:r>
      <w:r>
        <w:t>that</w:t>
      </w:r>
      <w:r w:rsidRPr="009C2F40">
        <w:t xml:space="preserve"> individuals use devices </w:t>
      </w:r>
      <w:r w:rsidR="00C674E5">
        <w:t>inappropriately</w:t>
      </w:r>
      <w:r w:rsidRPr="009C2F40">
        <w:t>.</w:t>
      </w:r>
      <w:r w:rsidR="00D37FBE">
        <w:t xml:space="preserve"> </w:t>
      </w:r>
      <w:r w:rsidR="00085526">
        <w:t xml:space="preserve">In recognition of these risks, some reforms have been progressed such as the development </w:t>
      </w:r>
      <w:r w:rsidR="007E3A29">
        <w:t>of sector</w:t>
      </w:r>
      <w:r w:rsidR="00FB22E6">
        <w:t xml:space="preserve"> </w:t>
      </w:r>
      <w:r w:rsidR="007E3A29">
        <w:t xml:space="preserve">wide guidance and regulatory amendments in this area. </w:t>
      </w:r>
    </w:p>
    <w:p w14:paraId="0BD45236" w14:textId="7055D494" w:rsidR="00D601E7" w:rsidRPr="009C2F40" w:rsidRDefault="00D601E7">
      <w:r w:rsidRPr="009C2F40">
        <w:t xml:space="preserve">Throughout this chapter, consideration is given to the impact of non-regulatory and regulatory changes to address the </w:t>
      </w:r>
      <w:r>
        <w:t xml:space="preserve">inappropriate </w:t>
      </w:r>
      <w:r w:rsidRPr="009C2F40">
        <w:t xml:space="preserve">use of </w:t>
      </w:r>
      <w:r>
        <w:t>digital</w:t>
      </w:r>
      <w:r w:rsidRPr="009C2F40">
        <w:t xml:space="preserve"> devices in education and care settings</w:t>
      </w:r>
      <w:r>
        <w:t xml:space="preserve">, including </w:t>
      </w:r>
      <w:r w:rsidRPr="009C2F40">
        <w:t>the possession and use of personal devices while providing education and care</w:t>
      </w:r>
      <w:r>
        <w:t xml:space="preserve"> to children</w:t>
      </w:r>
      <w:r w:rsidRPr="009C2F40">
        <w:t xml:space="preserve">. </w:t>
      </w:r>
    </w:p>
    <w:p w14:paraId="12979E07" w14:textId="77777777" w:rsidR="00D601E7" w:rsidRDefault="00D601E7">
      <w:r>
        <w:t>The reform area in this chapter</w:t>
      </w:r>
      <w:r w:rsidRPr="009C2F40">
        <w:t xml:space="preserve"> aims to</w:t>
      </w:r>
      <w:r>
        <w:t>:</w:t>
      </w:r>
    </w:p>
    <w:p w14:paraId="2C80479E" w14:textId="646C8AF1" w:rsidR="00D601E7" w:rsidRDefault="00D601E7" w:rsidP="00EC53AB">
      <w:pPr>
        <w:pStyle w:val="ListParagraph"/>
        <w:numPr>
          <w:ilvl w:val="0"/>
          <w:numId w:val="105"/>
        </w:numPr>
        <w:ind w:left="426"/>
      </w:pPr>
      <w:r>
        <w:t>m</w:t>
      </w:r>
      <w:r w:rsidRPr="009C2F40">
        <w:t xml:space="preserve">itigate the risk of harm to children </w:t>
      </w:r>
      <w:r>
        <w:t>connected to the</w:t>
      </w:r>
      <w:r w:rsidRPr="009C2F40">
        <w:t xml:space="preserve"> taking, sharing</w:t>
      </w:r>
      <w:r>
        <w:t>,</w:t>
      </w:r>
      <w:r w:rsidRPr="009C2F40">
        <w:t xml:space="preserve"> and storing</w:t>
      </w:r>
      <w:r>
        <w:t xml:space="preserve"> of</w:t>
      </w:r>
      <w:r w:rsidRPr="009C2F40">
        <w:t xml:space="preserve"> </w:t>
      </w:r>
      <w:r>
        <w:t>images or videos</w:t>
      </w:r>
      <w:r w:rsidRPr="009C2F40">
        <w:t xml:space="preserve"> of children</w:t>
      </w:r>
      <w:r w:rsidR="00841575">
        <w:t>,</w:t>
      </w:r>
      <w:r w:rsidRPr="009C2F40">
        <w:t xml:space="preserve"> </w:t>
      </w:r>
    </w:p>
    <w:p w14:paraId="3DC564FF" w14:textId="73F02389" w:rsidR="00D601E7" w:rsidRDefault="00D601E7" w:rsidP="00EC53AB">
      <w:pPr>
        <w:pStyle w:val="ListParagraph"/>
        <w:numPr>
          <w:ilvl w:val="0"/>
          <w:numId w:val="105"/>
        </w:numPr>
        <w:ind w:left="426"/>
      </w:pPr>
      <w:r w:rsidRPr="009C2F40">
        <w:t>manage risks to child safety that continue to evolve with technological advancements.</w:t>
      </w:r>
    </w:p>
    <w:p w14:paraId="6A23AAA1" w14:textId="5D6F417F" w:rsidR="00D601E7" w:rsidRDefault="00D601E7">
      <w:r>
        <w:t>The specific reforms discussed in chapter 5.1 are m</w:t>
      </w:r>
      <w:r w:rsidRPr="000B4CA3">
        <w:t xml:space="preserve">anaging </w:t>
      </w:r>
      <w:r w:rsidRPr="00C26727">
        <w:t xml:space="preserve">the use of </w:t>
      </w:r>
      <w:r>
        <w:t>digital</w:t>
      </w:r>
      <w:r w:rsidRPr="00C26727">
        <w:t xml:space="preserve"> devices in education and care services, by</w:t>
      </w:r>
      <w:r>
        <w:t>:</w:t>
      </w:r>
    </w:p>
    <w:p w14:paraId="3E5696F0" w14:textId="3A95D4F6" w:rsidR="00D601E7" w:rsidRDefault="00D601E7" w:rsidP="00EC53AB">
      <w:pPr>
        <w:pStyle w:val="ListParagraph"/>
        <w:numPr>
          <w:ilvl w:val="0"/>
          <w:numId w:val="106"/>
        </w:numPr>
        <w:ind w:left="426"/>
      </w:pPr>
      <w:r w:rsidRPr="00C26727">
        <w:t xml:space="preserve">requiring only service-issued </w:t>
      </w:r>
      <w:r>
        <w:t>digital</w:t>
      </w:r>
      <w:r w:rsidRPr="00C26727">
        <w:t xml:space="preserve"> devices to be used when taking images or videos of children in education and care</w:t>
      </w:r>
      <w:r w:rsidR="00841575">
        <w:t>,</w:t>
      </w:r>
      <w:r w:rsidRPr="00C26727">
        <w:t xml:space="preserve"> </w:t>
      </w:r>
      <w:r>
        <w:t>and/</w:t>
      </w:r>
      <w:r w:rsidRPr="00C26727">
        <w:t xml:space="preserve">or </w:t>
      </w:r>
    </w:p>
    <w:p w14:paraId="329BA143" w14:textId="00148AB7" w:rsidR="00D601E7" w:rsidRDefault="00D601E7" w:rsidP="00EC53AB">
      <w:pPr>
        <w:pStyle w:val="ListParagraph"/>
        <w:numPr>
          <w:ilvl w:val="0"/>
          <w:numId w:val="106"/>
        </w:numPr>
        <w:ind w:left="426"/>
      </w:pPr>
      <w:r w:rsidRPr="00C26727">
        <w:t>mandating that personal devices</w:t>
      </w:r>
      <w:r>
        <w:t xml:space="preserve"> that can take images or videos</w:t>
      </w:r>
      <w:r w:rsidRPr="00C26727">
        <w:t xml:space="preserve"> cannot </w:t>
      </w:r>
      <w:r w:rsidRPr="00EE4D10">
        <w:rPr>
          <w:szCs w:val="22"/>
        </w:rPr>
        <w:t>be in the possession of any person while providing education and care and working directly with children, except in defined circumstances</w:t>
      </w:r>
      <w:r>
        <w:t>.</w:t>
      </w:r>
    </w:p>
    <w:p w14:paraId="2A6FD1BE" w14:textId="3F5261E9" w:rsidR="00AA3D17" w:rsidRDefault="00AA3D17" w:rsidP="00EC53AB">
      <w:pPr>
        <w:pStyle w:val="ListParagraph"/>
        <w:numPr>
          <w:ilvl w:val="0"/>
          <w:numId w:val="106"/>
        </w:numPr>
        <w:spacing w:after="160" w:line="259" w:lineRule="auto"/>
      </w:pPr>
      <w:r>
        <w:br w:type="page"/>
      </w:r>
    </w:p>
    <w:p w14:paraId="58C06E5D" w14:textId="4359615A" w:rsidR="00D601E7" w:rsidRDefault="00D601E7">
      <w:pPr>
        <w:pStyle w:val="Heading2"/>
      </w:pPr>
      <w:bookmarkStart w:id="67" w:name="_Toc205884888"/>
      <w:r>
        <w:lastRenderedPageBreak/>
        <w:t>5.1 Managing the use of digital devices</w:t>
      </w:r>
      <w:bookmarkEnd w:id="67"/>
    </w:p>
    <w:tbl>
      <w:tblPr>
        <w:tblStyle w:val="Deloittetable"/>
        <w:tblW w:w="9140" w:type="dxa"/>
        <w:tblLook w:val="04A0" w:firstRow="1" w:lastRow="0" w:firstColumn="1" w:lastColumn="0" w:noHBand="0" w:noVBand="1"/>
        <w:tblCaption w:val="Key insights - Managing the use of digital devices"/>
        <w:tblDescription w:val="This table outlines the key insights for managing the use of digital devices."/>
      </w:tblPr>
      <w:tblGrid>
        <w:gridCol w:w="9140"/>
      </w:tblGrid>
      <w:tr w:rsidR="00193D74" w14:paraId="57B855D1" w14:textId="77777777" w:rsidTr="00AA3D17">
        <w:trPr>
          <w:cnfStyle w:val="100000000000" w:firstRow="1" w:lastRow="0" w:firstColumn="0" w:lastColumn="0" w:oddVBand="0" w:evenVBand="0" w:oddHBand="0" w:evenHBand="0" w:firstRowFirstColumn="0" w:firstRowLastColumn="0" w:lastRowFirstColumn="0" w:lastRowLastColumn="0"/>
          <w:trHeight w:val="1641"/>
        </w:trPr>
        <w:tc>
          <w:tcPr>
            <w:tcW w:w="9140" w:type="dxa"/>
            <w:shd w:val="clear" w:color="auto" w:fill="DEE6F4" w:themeFill="text2" w:themeFillTint="1A"/>
          </w:tcPr>
          <w:p w14:paraId="1E734A08" w14:textId="35C4BE97" w:rsidR="00193D74" w:rsidRPr="005347A5" w:rsidRDefault="00193D74">
            <w:pPr>
              <w:rPr>
                <w:b/>
                <w:bCs/>
                <w:sz w:val="20"/>
                <w:szCs w:val="20"/>
              </w:rPr>
            </w:pPr>
            <w:r w:rsidRPr="005347A5">
              <w:rPr>
                <w:b/>
                <w:bCs/>
                <w:sz w:val="20"/>
                <w:szCs w:val="20"/>
              </w:rPr>
              <w:t xml:space="preserve">Key Insights </w:t>
            </w:r>
          </w:p>
          <w:p w14:paraId="47EBC5C2" w14:textId="4202B64F" w:rsidR="00193D74" w:rsidRPr="00712583" w:rsidRDefault="000B4397">
            <w:pPr>
              <w:rPr>
                <w:i/>
                <w:szCs w:val="22"/>
              </w:rPr>
            </w:pPr>
            <w:r>
              <w:rPr>
                <w:i/>
                <w:szCs w:val="22"/>
              </w:rPr>
              <w:t>Problem</w:t>
            </w:r>
          </w:p>
          <w:p w14:paraId="5A445431" w14:textId="1B9C17AE" w:rsidR="00280901" w:rsidRDefault="00280901" w:rsidP="00EC53AB">
            <w:pPr>
              <w:pStyle w:val="ListParagraph"/>
              <w:numPr>
                <w:ilvl w:val="0"/>
                <w:numId w:val="100"/>
              </w:numPr>
              <w:spacing w:before="120"/>
              <w:ind w:left="462"/>
              <w:contextualSpacing/>
              <w:rPr>
                <w:szCs w:val="20"/>
              </w:rPr>
            </w:pPr>
            <w:r w:rsidRPr="00280901">
              <w:rPr>
                <w:szCs w:val="20"/>
              </w:rPr>
              <w:t>The use of personal digital devices to take and store images and videos of children in education and care presents risks to child safety (including the risks that individuals may inappropriately take, store, retain and share images or videos of children, or that staff members or volunteers may take, store and use photos of children on personal devices without considering children’s consent, privacy, voice and rights).</w:t>
            </w:r>
          </w:p>
          <w:p w14:paraId="677E2458" w14:textId="11E0059F" w:rsidR="00E02172" w:rsidRPr="00E02172" w:rsidRDefault="00E02172" w:rsidP="00EC53AB">
            <w:pPr>
              <w:pStyle w:val="ListParagraph"/>
              <w:numPr>
                <w:ilvl w:val="0"/>
                <w:numId w:val="100"/>
              </w:numPr>
              <w:spacing w:before="120"/>
              <w:ind w:left="462"/>
              <w:contextualSpacing/>
              <w:rPr>
                <w:szCs w:val="20"/>
              </w:rPr>
            </w:pPr>
            <w:r w:rsidRPr="00E02172">
              <w:rPr>
                <w:szCs w:val="20"/>
              </w:rPr>
              <w:t xml:space="preserve">Most approved providers report that they have either implemented the National Model Code and Guidelines or are planning to do so. However, the policy options for this reform area present a greater shift from the status quo particularly for FDC and OSHC – noting that, while the National Model Code and Guidelines are capable of being applied in any service type as appropriate but were developed specifically for use in centre-based services. </w:t>
            </w:r>
          </w:p>
          <w:p w14:paraId="423011B9" w14:textId="273C595B" w:rsidR="000B4397" w:rsidRPr="000B4397" w:rsidRDefault="002B7C48" w:rsidP="000B4397">
            <w:pPr>
              <w:spacing w:before="120"/>
              <w:contextualSpacing/>
              <w:rPr>
                <w:i/>
                <w:szCs w:val="20"/>
              </w:rPr>
            </w:pPr>
            <w:r w:rsidRPr="002B7C48">
              <w:rPr>
                <w:i/>
                <w:szCs w:val="20"/>
              </w:rPr>
              <w:t>Impacts of each option</w:t>
            </w:r>
          </w:p>
          <w:p w14:paraId="145581B1" w14:textId="1B39782E" w:rsidR="00280901" w:rsidRPr="000B4397" w:rsidRDefault="00C44DEA"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that </w:t>
            </w:r>
            <w:r w:rsidR="00AE1CA7">
              <w:rPr>
                <w:szCs w:val="20"/>
              </w:rPr>
              <w:t>when working with children</w:t>
            </w:r>
            <w:r w:rsidRPr="00C44DEA">
              <w:rPr>
                <w:szCs w:val="20"/>
              </w:rPr>
              <w:t xml:space="preserve"> both options 2</w:t>
            </w:r>
            <w:r w:rsidR="00DF6E8D">
              <w:rPr>
                <w:szCs w:val="20"/>
              </w:rPr>
              <w:t xml:space="preserve"> (mandate the use of service-issued devices only)</w:t>
            </w:r>
            <w:r w:rsidRPr="00C44DEA">
              <w:rPr>
                <w:szCs w:val="20"/>
              </w:rPr>
              <w:t xml:space="preserve"> and 3</w:t>
            </w:r>
            <w:r w:rsidR="00DF6E8D">
              <w:rPr>
                <w:szCs w:val="20"/>
              </w:rPr>
              <w:t xml:space="preserve"> (no personal devices)</w:t>
            </w:r>
            <w:r w:rsidRPr="00C44DEA">
              <w:rPr>
                <w:szCs w:val="20"/>
              </w:rPr>
              <w:t xml:space="preserve"> are expected to have a net positive impact on improvement in child safety even after accounting for some potentially large costs and implementation </w:t>
            </w:r>
            <w:r w:rsidR="00F764E1">
              <w:rPr>
                <w:szCs w:val="20"/>
              </w:rPr>
              <w:t>considerations</w:t>
            </w:r>
            <w:r w:rsidRPr="00C44DEA">
              <w:rPr>
                <w:szCs w:val="20"/>
              </w:rPr>
              <w:t>.</w:t>
            </w:r>
          </w:p>
          <w:p w14:paraId="22AF14B9" w14:textId="38F55C31" w:rsidR="00B91725" w:rsidRPr="00280901" w:rsidRDefault="00B91725" w:rsidP="00EC53AB">
            <w:pPr>
              <w:pStyle w:val="ListParagraph"/>
              <w:numPr>
                <w:ilvl w:val="0"/>
                <w:numId w:val="100"/>
              </w:numPr>
              <w:spacing w:before="120"/>
              <w:ind w:left="462"/>
              <w:contextualSpacing/>
            </w:pPr>
            <w:r w:rsidRPr="00280901">
              <w:t xml:space="preserve">Option 2 was the </w:t>
            </w:r>
            <w:r w:rsidR="00BF7E16" w:rsidRPr="00280901">
              <w:t>preferred</w:t>
            </w:r>
            <w:r w:rsidR="004C5562" w:rsidRPr="00280901">
              <w:t xml:space="preserve"> option</w:t>
            </w:r>
            <w:r w:rsidRPr="00280901">
              <w:t xml:space="preserve"> among most stakeholder groups, including centre-based approved providers, the </w:t>
            </w:r>
            <w:r w:rsidR="00BF7E16" w:rsidRPr="00280901">
              <w:t>education and care</w:t>
            </w:r>
            <w:r w:rsidRPr="00280901">
              <w:t xml:space="preserve"> workforce, families, </w:t>
            </w:r>
            <w:r w:rsidR="4A98C250" w:rsidRPr="00280901">
              <w:t xml:space="preserve">peak bodies, </w:t>
            </w:r>
            <w:r w:rsidRPr="00280901">
              <w:t xml:space="preserve">and unions. </w:t>
            </w:r>
          </w:p>
          <w:p w14:paraId="444AF759" w14:textId="0E26FA21" w:rsidR="000D3C24" w:rsidRPr="00C44DEA" w:rsidRDefault="000D3C24" w:rsidP="00EC53AB">
            <w:pPr>
              <w:pStyle w:val="ListParagraph"/>
              <w:numPr>
                <w:ilvl w:val="0"/>
                <w:numId w:val="100"/>
              </w:numPr>
              <w:spacing w:before="120"/>
              <w:ind w:left="462"/>
              <w:contextualSpacing/>
              <w:rPr>
                <w:szCs w:val="20"/>
              </w:rPr>
            </w:pPr>
            <w:r>
              <w:rPr>
                <w:szCs w:val="20"/>
              </w:rPr>
              <w:t>Option</w:t>
            </w:r>
            <w:r w:rsidRPr="000D3C24">
              <w:rPr>
                <w:szCs w:val="20"/>
              </w:rPr>
              <w:t xml:space="preserve"> 3 </w:t>
            </w:r>
            <w:r w:rsidR="00CF2EA4">
              <w:rPr>
                <w:szCs w:val="20"/>
              </w:rPr>
              <w:t xml:space="preserve">was perceived to result in a greater improvement to child safety, however </w:t>
            </w:r>
            <w:r w:rsidR="002B7C48">
              <w:rPr>
                <w:szCs w:val="20"/>
              </w:rPr>
              <w:t xml:space="preserve">stakeholder feedback highlighted that there are significant implementation barriers within FDC services, such as higher costs </w:t>
            </w:r>
            <w:r w:rsidR="002B7C48" w:rsidRPr="009D4DD8">
              <w:rPr>
                <w:szCs w:val="20"/>
              </w:rPr>
              <w:t xml:space="preserve">and </w:t>
            </w:r>
            <w:r w:rsidR="002B7C48">
              <w:rPr>
                <w:szCs w:val="20"/>
              </w:rPr>
              <w:t>difficulties around compliance and monitoring.</w:t>
            </w:r>
            <w:r w:rsidR="002B7C48" w:rsidRPr="009D4DD8">
              <w:rPr>
                <w:szCs w:val="20"/>
              </w:rPr>
              <w:t xml:space="preserve"> </w:t>
            </w:r>
          </w:p>
          <w:p w14:paraId="3862C1A6" w14:textId="08567D3D" w:rsidR="00193D74" w:rsidRDefault="004C5562">
            <w:pPr>
              <w:rPr>
                <w:i/>
                <w:szCs w:val="22"/>
              </w:rPr>
            </w:pPr>
            <w:r>
              <w:rPr>
                <w:i/>
                <w:szCs w:val="22"/>
              </w:rPr>
              <w:t>Recommended option</w:t>
            </w:r>
          </w:p>
          <w:p w14:paraId="1BE267E4" w14:textId="18377470" w:rsidR="00193D74" w:rsidRPr="00397987" w:rsidRDefault="003C7734" w:rsidP="00EC53AB">
            <w:pPr>
              <w:pStyle w:val="ListParagraph"/>
              <w:numPr>
                <w:ilvl w:val="0"/>
                <w:numId w:val="100"/>
              </w:numPr>
              <w:spacing w:before="120"/>
              <w:ind w:left="462"/>
              <w:contextualSpacing/>
            </w:pPr>
            <w:r w:rsidRPr="003C7734">
              <w:rPr>
                <w:szCs w:val="20"/>
              </w:rPr>
              <w:t>Based on analysis included in this DRIS, the options with the highest net benefit to be provided to Education Ministers for consideration are Options 2 and 3, with further clarity and definition regarding the scope of option 3. Based on stakeholder feedback, consideration of expert advice on child safety outcomes, and the intent of the original CSR recommendation, option 3 will be recommended for implementation in centre-based services only.</w:t>
            </w:r>
            <w:r w:rsidR="00E055ED">
              <w:rPr>
                <w:szCs w:val="20"/>
              </w:rPr>
              <w:t xml:space="preserve"> </w:t>
            </w:r>
          </w:p>
        </w:tc>
      </w:tr>
    </w:tbl>
    <w:p w14:paraId="18A20CB3" w14:textId="77777777" w:rsidR="006B332E" w:rsidRDefault="006B332E"/>
    <w:p w14:paraId="20FCF6FA" w14:textId="62B36E79" w:rsidR="00D601E7" w:rsidRPr="00C55312" w:rsidRDefault="00D601E7">
      <w:r w:rsidRPr="00C55312">
        <w:t xml:space="preserve">Currently, National Regulations 74, 177(1)(a) and 178(1)(a) require documentation of children’s learning and participation in the educational program. Typically, digital photos and videos are used to document this learning. </w:t>
      </w:r>
    </w:p>
    <w:p w14:paraId="25604864" w14:textId="1ACEEB0A" w:rsidR="00D601E7" w:rsidRPr="00882B9D" w:rsidRDefault="00D601E7">
      <w:r w:rsidRPr="00882B9D">
        <w:t>While some services have policies, procedures and authorisations surrounding the appropriate capture, retention/storage, disposal and sharing of digital documentation, the National Regulations are limited in their specificity around these requirements:</w:t>
      </w:r>
      <w:r w:rsidR="001241C6">
        <w:rPr>
          <w:rStyle w:val="FootnoteReference"/>
        </w:rPr>
        <w:footnoteReference w:id="38"/>
      </w:r>
    </w:p>
    <w:p w14:paraId="10841871" w14:textId="6FEC350A" w:rsidR="00D601E7" w:rsidRPr="00C55312" w:rsidRDefault="00D601E7" w:rsidP="00EC53AB">
      <w:pPr>
        <w:pStyle w:val="ListParagraph"/>
        <w:numPr>
          <w:ilvl w:val="0"/>
          <w:numId w:val="20"/>
        </w:numPr>
        <w:ind w:left="426" w:hanging="426"/>
      </w:pPr>
      <w:r w:rsidRPr="005E1950">
        <w:lastRenderedPageBreak/>
        <w:t>National</w:t>
      </w:r>
      <w:r w:rsidRPr="00C55312">
        <w:t xml:space="preserve"> Regulations 181 and 182 require approved providers and </w:t>
      </w:r>
      <w:r>
        <w:t>FDC</w:t>
      </w:r>
      <w:r w:rsidRPr="00C55312">
        <w:t xml:space="preserve"> educators to ensure that information kept in a prescribed record is not divulged nor communicated, directly or indirectly, to another person other than in a way specified by the regulations; and</w:t>
      </w:r>
    </w:p>
    <w:p w14:paraId="06B38939" w14:textId="188C2D84" w:rsidR="00D601E7" w:rsidRDefault="00D601E7" w:rsidP="00EC53AB">
      <w:pPr>
        <w:pStyle w:val="ListParagraph"/>
        <w:numPr>
          <w:ilvl w:val="0"/>
          <w:numId w:val="20"/>
        </w:numPr>
        <w:ind w:left="426" w:hanging="426"/>
      </w:pPr>
      <w:r w:rsidRPr="00C55312">
        <w:t xml:space="preserve">National Regulation 183 </w:t>
      </w:r>
      <w:r w:rsidRPr="005E1950">
        <w:t>requires</w:t>
      </w:r>
      <w:r w:rsidRPr="00C55312">
        <w:t xml:space="preserve"> records to be stored in a safe and secure place and be kept for the relevant retention period.</w:t>
      </w:r>
    </w:p>
    <w:p w14:paraId="6E80CCF4" w14:textId="78603A8B" w:rsidR="0037711E" w:rsidRDefault="00D601E7">
      <w:r>
        <w:t xml:space="preserve">ACECQA developed the </w:t>
      </w:r>
      <w:hyperlink r:id="rId30" w:history="1">
        <w:r w:rsidRPr="00203F5E">
          <w:rPr>
            <w:rStyle w:val="Hyperlink"/>
          </w:rPr>
          <w:t>National Model Code and Guidelines</w:t>
        </w:r>
      </w:hyperlink>
      <w:r>
        <w:t>, released on 1 July 2024, to address child safe practices for the use of digital devices while providing education and care</w:t>
      </w:r>
      <w:r w:rsidR="00C43149">
        <w:t xml:space="preserve"> in centre-based services</w:t>
      </w:r>
      <w:r>
        <w:t xml:space="preserve">. More information on the National Model Code and Guidelines is available in </w:t>
      </w:r>
      <w:hyperlink w:anchor="_12.4_The_National" w:history="1">
        <w:r w:rsidR="002B380F">
          <w:rPr>
            <w:rStyle w:val="Hyperlink"/>
          </w:rPr>
          <w:t>Appendix 12.4</w:t>
        </w:r>
      </w:hyperlink>
      <w:r>
        <w:t xml:space="preserve">. </w:t>
      </w:r>
    </w:p>
    <w:p w14:paraId="108D3369" w14:textId="517FDD72" w:rsidR="00D601E7" w:rsidRDefault="00D601E7">
      <w:r>
        <w:t xml:space="preserve">In addition, a number of regulatory changes </w:t>
      </w:r>
      <w:r w:rsidR="0037711E">
        <w:t>will</w:t>
      </w:r>
      <w:r>
        <w:t xml:space="preserve"> come into effect from 1 September 2025 includ</w:t>
      </w:r>
      <w:r w:rsidR="00184F1F">
        <w:t>ing an</w:t>
      </w:r>
      <w:r>
        <w:t xml:space="preserve"> amend</w:t>
      </w:r>
      <w:r w:rsidR="00184F1F">
        <w:t>ment to</w:t>
      </w:r>
      <w:r>
        <w:t xml:space="preserve"> regulation 168 of the National Regulations to require education and care services to have policies and procedures relating to the safe use of digital devices, including:</w:t>
      </w:r>
    </w:p>
    <w:p w14:paraId="13F9FE1E" w14:textId="42F18B6D" w:rsidR="00D601E7" w:rsidRDefault="00D601E7" w:rsidP="00841575">
      <w:pPr>
        <w:pStyle w:val="ListParagraph"/>
        <w:ind w:left="426"/>
      </w:pPr>
      <w:r>
        <w:t>the taking, use, storage and destruction of images and videos of children</w:t>
      </w:r>
      <w:r w:rsidR="00841575">
        <w:t>,</w:t>
      </w:r>
    </w:p>
    <w:p w14:paraId="7896767F" w14:textId="2FD5A9EF" w:rsidR="00D601E7" w:rsidRDefault="00D601E7" w:rsidP="00841575">
      <w:pPr>
        <w:pStyle w:val="ListParagraph"/>
        <w:ind w:left="426"/>
      </w:pPr>
      <w:r>
        <w:t>the use of any digital devices issued by the service</w:t>
      </w:r>
      <w:r w:rsidR="00841575">
        <w:t>,</w:t>
      </w:r>
    </w:p>
    <w:p w14:paraId="3F4CEFC8" w14:textId="77777777" w:rsidR="00D601E7" w:rsidRDefault="00D601E7" w:rsidP="00841575">
      <w:pPr>
        <w:pStyle w:val="ListParagraph"/>
        <w:ind w:left="426"/>
      </w:pPr>
      <w:r>
        <w:t>the use of any digital devices by children being educated and cared for by the service.</w:t>
      </w:r>
      <w:r>
        <w:rPr>
          <w:rStyle w:val="FootnoteReference"/>
        </w:rPr>
        <w:footnoteReference w:id="39"/>
      </w:r>
    </w:p>
    <w:p w14:paraId="0669422C" w14:textId="0CEFD1D1" w:rsidR="00D601E7" w:rsidRDefault="00D601E7">
      <w:r>
        <w:t xml:space="preserve">Accompanying this regulatory amendment is the </w:t>
      </w:r>
      <w:hyperlink r:id="rId31" w:history="1">
        <w:r w:rsidRPr="00682CEF">
          <w:rPr>
            <w:rStyle w:val="Hyperlink"/>
          </w:rPr>
          <w:t>NQF Online Safety Guide</w:t>
        </w:r>
      </w:hyperlink>
      <w:r w:rsidR="004B72EA">
        <w:t xml:space="preserve"> which was</w:t>
      </w:r>
      <w:r>
        <w:t xml:space="preserve"> release</w:t>
      </w:r>
      <w:r w:rsidR="00BE50AF">
        <w:t>d</w:t>
      </w:r>
      <w:r>
        <w:t xml:space="preserve"> to the education and care sector </w:t>
      </w:r>
      <w:r w:rsidR="00BE50AF">
        <w:t>on 16 June 2025</w:t>
      </w:r>
      <w:r>
        <w:t>. The NQF Online Safety Guide</w:t>
      </w:r>
      <w:r w:rsidDel="005F4535">
        <w:t xml:space="preserve"> </w:t>
      </w:r>
      <w:r>
        <w:t xml:space="preserve">is designed to increase the knowledge and skills of education and care service staff about how to use devices safely. </w:t>
      </w:r>
    </w:p>
    <w:p w14:paraId="6AE91199" w14:textId="18D82DE9" w:rsidR="00D601E7" w:rsidRDefault="00D601E7">
      <w:pPr>
        <w:pStyle w:val="Heading3"/>
      </w:pPr>
      <w:r>
        <w:t>What is the problem?</w:t>
      </w:r>
    </w:p>
    <w:p w14:paraId="0A550C8D" w14:textId="0210E3CC" w:rsidR="00D601E7" w:rsidRDefault="00D601E7">
      <w:r>
        <w:t>The use of personal digital devices to take and store images and videos of children in education and care presents risks to child safety. These risks include, but are not limited to:</w:t>
      </w:r>
    </w:p>
    <w:p w14:paraId="55A26414" w14:textId="6750FEB0" w:rsidR="00D601E7" w:rsidRDefault="00841575" w:rsidP="00841575">
      <w:pPr>
        <w:pStyle w:val="ListParagraph"/>
        <w:ind w:left="426"/>
      </w:pPr>
      <w:r>
        <w:t>C</w:t>
      </w:r>
      <w:r w:rsidR="00D601E7">
        <w:t>hild harm, particularly where personal devices are used by individuals to inappropriately take, store, retain and share images or videos of children</w:t>
      </w:r>
      <w:r>
        <w:t>.</w:t>
      </w:r>
    </w:p>
    <w:p w14:paraId="42CA329C" w14:textId="294795E2" w:rsidR="00D601E7" w:rsidRDefault="00841575" w:rsidP="00841575">
      <w:pPr>
        <w:pStyle w:val="ListParagraph"/>
        <w:ind w:left="426"/>
      </w:pPr>
      <w:r>
        <w:t>S</w:t>
      </w:r>
      <w:r w:rsidR="00D601E7">
        <w:t xml:space="preserve">taff members or volunteers taking, storing and using photos of children on personal devices without considering children’s consent, privacy, voice and rights. The use of </w:t>
      </w:r>
      <w:r w:rsidR="00D601E7">
        <w:lastRenderedPageBreak/>
        <w:t>personal devices increases the risk of children’s images being shared and stored for long periods, either deliberately or inadvertently, beyond their initial intended purpose.</w:t>
      </w:r>
    </w:p>
    <w:p w14:paraId="606CBE44" w14:textId="3A4DC0D0" w:rsidR="00D601E7" w:rsidRPr="005A7CD7" w:rsidRDefault="00D601E7">
      <w:pPr>
        <w:rPr>
          <w:rFonts w:cs="Arial"/>
        </w:rPr>
      </w:pPr>
      <w:r>
        <w:t xml:space="preserve">There have been cases in which these risks to child safety have resulted in instances of harm to children being educated and cared for. For example, Operation Tenterfield </w:t>
      </w:r>
      <w:r w:rsidRPr="00DA336D">
        <w:t xml:space="preserve">highlighted instances where an individual utilised a personal </w:t>
      </w:r>
      <w:r>
        <w:t xml:space="preserve">digital </w:t>
      </w:r>
      <w:r w:rsidRPr="00DA336D">
        <w:t xml:space="preserve">device to record and distribute child abuse offences. </w:t>
      </w:r>
      <w:r w:rsidRPr="005A7CD7">
        <w:rPr>
          <w:rFonts w:cs="Arial"/>
        </w:rPr>
        <w:t>When instances of child abuse are recorded and distributed, this deepen</w:t>
      </w:r>
      <w:r w:rsidR="00850A31">
        <w:rPr>
          <w:rFonts w:cs="Arial"/>
        </w:rPr>
        <w:t>s</w:t>
      </w:r>
      <w:r w:rsidRPr="005A7CD7">
        <w:rPr>
          <w:rFonts w:cs="Arial"/>
        </w:rPr>
        <w:t xml:space="preserve"> the harm experienced by children, as their trauma is exploited by other persons who were not involved in the initial offence. </w:t>
      </w:r>
    </w:p>
    <w:p w14:paraId="42D28EDA" w14:textId="35236071" w:rsidR="00D601E7" w:rsidRDefault="00D601E7">
      <w:r>
        <w:rPr>
          <w:rFonts w:cs="Arial"/>
          <w:szCs w:val="22"/>
        </w:rPr>
        <w:t>Approved providers need to be vigilant and have oversight and control of who has access to images of children. However, the use of personal digital devices to take images or videos of children in education and care services creates challenges in maintaining this oversight.</w:t>
      </w:r>
    </w:p>
    <w:p w14:paraId="7B7A6EC6" w14:textId="77777777" w:rsidR="00F8011F" w:rsidRDefault="001F0F91">
      <w:pPr>
        <w:rPr>
          <w:rFonts w:cs="Arial"/>
        </w:rPr>
      </w:pPr>
      <w:r w:rsidRPr="001F0F91">
        <w:rPr>
          <w:rFonts w:cs="Arial"/>
        </w:rPr>
        <w:t>To date, voluntary measures such as the National Model Code and Guidelines have supported services in reducing the number of education and care services that use personal digital devices to take and store images and videos</w:t>
      </w:r>
      <w:r>
        <w:rPr>
          <w:rFonts w:cs="Arial"/>
        </w:rPr>
        <w:t xml:space="preserve">. </w:t>
      </w:r>
      <w:r w:rsidR="00396982">
        <w:rPr>
          <w:rFonts w:cs="Arial"/>
        </w:rPr>
        <w:t>The Code and Guidelines are voluntary and designed for adoption by centre-based services</w:t>
      </w:r>
      <w:r w:rsidR="000523A8">
        <w:rPr>
          <w:rFonts w:cs="Arial"/>
        </w:rPr>
        <w:t xml:space="preserve">, excluding </w:t>
      </w:r>
      <w:r w:rsidR="00396982">
        <w:rPr>
          <w:rFonts w:cs="Arial"/>
        </w:rPr>
        <w:t>OSHC. FDC</w:t>
      </w:r>
      <w:r w:rsidR="000523A8">
        <w:rPr>
          <w:rFonts w:cs="Arial"/>
        </w:rPr>
        <w:t>s</w:t>
      </w:r>
      <w:r w:rsidR="00396982">
        <w:rPr>
          <w:rFonts w:cs="Arial"/>
        </w:rPr>
        <w:t xml:space="preserve"> may choose to adopt similar practices. Its recommended practices include restriction to service-issued devices and a ban on possession of personal devices during education and care except in exceptional circumstances. </w:t>
      </w:r>
    </w:p>
    <w:p w14:paraId="648654FC" w14:textId="3997E840" w:rsidR="00BE0386" w:rsidRDefault="00D601E7">
      <w:pPr>
        <w:rPr>
          <w:rFonts w:cs="Arial"/>
        </w:rPr>
      </w:pPr>
      <w:r w:rsidRPr="0C449F6F">
        <w:rPr>
          <w:rFonts w:cs="Arial"/>
        </w:rPr>
        <w:t xml:space="preserve">Among the approved providers that responded to the survey, approximately 57% indicated that they have adopted the National Model Code and Guidelines and </w:t>
      </w:r>
      <w:r w:rsidR="00F8011F">
        <w:rPr>
          <w:rFonts w:cs="Arial"/>
        </w:rPr>
        <w:t xml:space="preserve">an </w:t>
      </w:r>
      <w:r w:rsidRPr="0C449F6F">
        <w:rPr>
          <w:rFonts w:cs="Arial"/>
        </w:rPr>
        <w:t>additional 27% of respondents stated that they are planning to adopt these guidelines.</w:t>
      </w:r>
      <w:r w:rsidR="004373B7">
        <w:rPr>
          <w:rStyle w:val="FootnoteReference"/>
          <w:rFonts w:cs="Arial"/>
        </w:rPr>
        <w:footnoteReference w:id="40"/>
      </w:r>
      <w:r w:rsidRPr="0C449F6F">
        <w:rPr>
          <w:rFonts w:cs="Arial"/>
        </w:rPr>
        <w:t xml:space="preserve"> </w:t>
      </w:r>
      <w:r w:rsidR="00AA07D5">
        <w:rPr>
          <w:rFonts w:cs="Arial"/>
        </w:rPr>
        <w:t>T</w:t>
      </w:r>
      <w:r w:rsidRPr="0C449F6F">
        <w:rPr>
          <w:rFonts w:cs="Arial"/>
        </w:rPr>
        <w:t>his uptake does, however, vary by service type, and is substantially lower among FDCs</w:t>
      </w:r>
      <w:r w:rsidR="00496EA4">
        <w:rPr>
          <w:rFonts w:cs="Arial"/>
        </w:rPr>
        <w:t>,</w:t>
      </w:r>
      <w:r w:rsidR="00496EA4" w:rsidRPr="006F5D72">
        <w:rPr>
          <w:rFonts w:cs="Arial"/>
        </w:rPr>
        <w:t xml:space="preserve"> </w:t>
      </w:r>
      <w:r w:rsidR="00496EA4" w:rsidRPr="006F5D72">
        <w:rPr>
          <w:szCs w:val="20"/>
        </w:rPr>
        <w:t xml:space="preserve">noting that the National Model Code and Guidelines are capable of being applied in any service type as appropriate but were </w:t>
      </w:r>
      <w:r w:rsidR="00496EA4">
        <w:rPr>
          <w:szCs w:val="20"/>
        </w:rPr>
        <w:t xml:space="preserve">specifically </w:t>
      </w:r>
      <w:r w:rsidR="00496EA4" w:rsidRPr="006F5D72">
        <w:rPr>
          <w:szCs w:val="20"/>
        </w:rPr>
        <w:t>developed for use in centre-based services</w:t>
      </w:r>
      <w:r w:rsidR="00496EA4">
        <w:rPr>
          <w:szCs w:val="20"/>
        </w:rPr>
        <w:t>, given the unique home-based context of FDC</w:t>
      </w:r>
      <w:r w:rsidRPr="0C449F6F">
        <w:rPr>
          <w:rFonts w:cs="Arial"/>
        </w:rPr>
        <w:t xml:space="preserve"> (refer to Table 5.1).</w:t>
      </w:r>
    </w:p>
    <w:p w14:paraId="7A1FD892" w14:textId="13B5B220" w:rsidR="00D601E7" w:rsidRDefault="00D601E7">
      <w:pPr>
        <w:rPr>
          <w:rFonts w:cs="Arial"/>
        </w:rPr>
      </w:pPr>
      <w:r w:rsidRPr="0C449F6F">
        <w:rPr>
          <w:rFonts w:cs="Arial"/>
        </w:rPr>
        <w:t>Approved providers in forums and focus groups (other than FDC</w:t>
      </w:r>
      <w:r>
        <w:rPr>
          <w:rFonts w:cs="Arial"/>
        </w:rPr>
        <w:t xml:space="preserve"> stakeholders</w:t>
      </w:r>
      <w:r w:rsidRPr="0C449F6F">
        <w:rPr>
          <w:rFonts w:cs="Arial"/>
        </w:rPr>
        <w:t xml:space="preserve">) had also largely adopted the National Model Code and Guidelines and spoke to </w:t>
      </w:r>
      <w:r>
        <w:rPr>
          <w:rFonts w:cs="Arial"/>
        </w:rPr>
        <w:t>the importance and benefits of adopting these guidelines.</w:t>
      </w:r>
      <w:r w:rsidRPr="0C449F6F">
        <w:rPr>
          <w:rFonts w:cs="Arial"/>
        </w:rPr>
        <w:t xml:space="preserve"> </w:t>
      </w:r>
      <w:r w:rsidR="003E044A">
        <w:rPr>
          <w:rFonts w:cs="Arial"/>
        </w:rPr>
        <w:t xml:space="preserve">It is also possible that upcoming regulatory changes (e.g., the requirement </w:t>
      </w:r>
      <w:r w:rsidR="008B6426">
        <w:rPr>
          <w:rFonts w:cs="Arial"/>
        </w:rPr>
        <w:t xml:space="preserve">from 1 September 2025 </w:t>
      </w:r>
      <w:r w:rsidR="003E044A">
        <w:rPr>
          <w:rFonts w:cs="Arial"/>
        </w:rPr>
        <w:t xml:space="preserve">to have </w:t>
      </w:r>
      <w:r w:rsidR="003E044A" w:rsidRPr="003E044A">
        <w:rPr>
          <w:rFonts w:cs="Arial"/>
        </w:rPr>
        <w:t>new policies and procedures relating to the safe use of digital devices</w:t>
      </w:r>
      <w:r w:rsidR="003E044A">
        <w:rPr>
          <w:rFonts w:cs="Arial"/>
        </w:rPr>
        <w:t xml:space="preserve">) </w:t>
      </w:r>
      <w:r w:rsidR="007F73FF">
        <w:rPr>
          <w:rFonts w:cs="Arial"/>
        </w:rPr>
        <w:t>may also accelerate National Model Code and Guideline uptake in the near future.</w:t>
      </w:r>
      <w:r w:rsidRPr="0C449F6F" w:rsidDel="003E044A">
        <w:rPr>
          <w:rFonts w:cs="Arial"/>
        </w:rPr>
        <w:t xml:space="preserve"> </w:t>
      </w:r>
    </w:p>
    <w:p w14:paraId="4CDE18F5" w14:textId="493C5D21" w:rsidR="00D601E7" w:rsidRDefault="00D601E7">
      <w:pPr>
        <w:pStyle w:val="Caption"/>
      </w:pPr>
      <w:bookmarkStart w:id="68" w:name="_Toc205884929"/>
      <w:r>
        <w:lastRenderedPageBreak/>
        <w:t>Table 5.1: Uptake of the National Model Code and Guidelines by service type</w:t>
      </w:r>
      <w:bookmarkEnd w:id="6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5.1: Uptake of the National Model Code and Guidelines by service type"/>
        <w:tblDescription w:val="This table outlines uptake of the National Model Code and Guidelines by service type."/>
      </w:tblPr>
      <w:tblGrid>
        <w:gridCol w:w="2405"/>
        <w:gridCol w:w="990"/>
        <w:gridCol w:w="1413"/>
        <w:gridCol w:w="1428"/>
        <w:gridCol w:w="849"/>
        <w:gridCol w:w="847"/>
        <w:gridCol w:w="1078"/>
      </w:tblGrid>
      <w:tr w:rsidR="00BE1A61" w:rsidRPr="00D67534" w14:paraId="76CCF461" w14:textId="57694D46" w:rsidTr="00BE1A61">
        <w:trPr>
          <w:tblHeader/>
        </w:trPr>
        <w:tc>
          <w:tcPr>
            <w:tcW w:w="1335" w:type="pct"/>
            <w:vMerge w:val="restart"/>
            <w:shd w:val="clear" w:color="auto" w:fill="14233C" w:themeFill="text2"/>
          </w:tcPr>
          <w:p w14:paraId="1BC0F0C1" w14:textId="5AD06134" w:rsidR="00BE1A61" w:rsidRPr="00BE1A61" w:rsidRDefault="00BE1A61">
            <w:pPr>
              <w:jc w:val="center"/>
              <w:rPr>
                <w:b/>
                <w:color w:val="FFFFFF" w:themeColor="background1"/>
                <w:sz w:val="20"/>
                <w:szCs w:val="20"/>
              </w:rPr>
            </w:pPr>
            <w:r w:rsidRPr="00BE1A61">
              <w:rPr>
                <w:b/>
                <w:bCs/>
                <w:color w:val="FFFFFF" w:themeColor="background1"/>
                <w:sz w:val="20"/>
                <w:szCs w:val="20"/>
              </w:rPr>
              <w:t>Status of National Model Code and Guidelines adoption</w:t>
            </w:r>
          </w:p>
        </w:tc>
        <w:tc>
          <w:tcPr>
            <w:tcW w:w="550" w:type="pct"/>
            <w:vMerge w:val="restart"/>
            <w:shd w:val="clear" w:color="auto" w:fill="14233C" w:themeFill="text2"/>
          </w:tcPr>
          <w:p w14:paraId="53E0EC10" w14:textId="10670B9C" w:rsidR="00BE1A61" w:rsidRPr="00BE1A61" w:rsidRDefault="00BE1A61">
            <w:pPr>
              <w:jc w:val="center"/>
              <w:rPr>
                <w:b/>
                <w:color w:val="FFFFFF" w:themeColor="background1"/>
                <w:sz w:val="20"/>
                <w:szCs w:val="20"/>
              </w:rPr>
            </w:pPr>
            <w:r w:rsidRPr="00BE1A61">
              <w:rPr>
                <w:b/>
                <w:color w:val="FFFFFF" w:themeColor="background1"/>
                <w:sz w:val="20"/>
                <w:szCs w:val="20"/>
              </w:rPr>
              <w:t>Total</w:t>
            </w:r>
          </w:p>
        </w:tc>
        <w:tc>
          <w:tcPr>
            <w:tcW w:w="784" w:type="pct"/>
            <w:vMerge w:val="restart"/>
            <w:shd w:val="clear" w:color="auto" w:fill="14233C" w:themeFill="text2"/>
          </w:tcPr>
          <w:p w14:paraId="0AACA0AD" w14:textId="4B0273D4" w:rsidR="00BE1A61" w:rsidRPr="00BE1A61" w:rsidRDefault="00BE1A61">
            <w:pPr>
              <w:jc w:val="center"/>
              <w:rPr>
                <w:b/>
                <w:color w:val="FFFFFF" w:themeColor="background1"/>
                <w:sz w:val="20"/>
                <w:szCs w:val="20"/>
              </w:rPr>
            </w:pPr>
            <w:r w:rsidRPr="00BE1A61">
              <w:rPr>
                <w:b/>
                <w:color w:val="FFFFFF" w:themeColor="background1"/>
                <w:sz w:val="20"/>
                <w:szCs w:val="20"/>
              </w:rPr>
              <w:t>Total excluding FDC</w:t>
            </w:r>
          </w:p>
        </w:tc>
        <w:tc>
          <w:tcPr>
            <w:tcW w:w="2331" w:type="pct"/>
            <w:gridSpan w:val="4"/>
            <w:shd w:val="clear" w:color="auto" w:fill="14233C" w:themeFill="text2"/>
          </w:tcPr>
          <w:p w14:paraId="7DC6537D" w14:textId="1EA5C2E6" w:rsidR="00BE1A61" w:rsidRPr="00BE1A61" w:rsidRDefault="00BE1A61">
            <w:pPr>
              <w:jc w:val="center"/>
              <w:rPr>
                <w:b/>
                <w:color w:val="FFFFFF" w:themeColor="background1"/>
                <w:sz w:val="20"/>
                <w:szCs w:val="20"/>
              </w:rPr>
            </w:pPr>
            <w:r w:rsidRPr="00BE1A61">
              <w:rPr>
                <w:b/>
                <w:color w:val="FFFFFF" w:themeColor="background1"/>
                <w:sz w:val="20"/>
                <w:szCs w:val="20"/>
              </w:rPr>
              <w:t>By service type offered</w:t>
            </w:r>
          </w:p>
        </w:tc>
      </w:tr>
      <w:tr w:rsidR="00BE1A61" w:rsidRPr="00D67534" w14:paraId="6B71ED05" w14:textId="2C760D8A" w:rsidTr="00BE1A61">
        <w:trPr>
          <w:tblHeader/>
        </w:trPr>
        <w:tc>
          <w:tcPr>
            <w:tcW w:w="1335" w:type="pct"/>
            <w:vMerge/>
            <w:shd w:val="clear" w:color="auto" w:fill="14233C" w:themeFill="text2"/>
          </w:tcPr>
          <w:p w14:paraId="7D9ACB36" w14:textId="77777777" w:rsidR="00BE1A61" w:rsidRPr="00BE1A61" w:rsidRDefault="00BE1A61">
            <w:pPr>
              <w:jc w:val="center"/>
              <w:rPr>
                <w:b/>
                <w:color w:val="FFFFFF" w:themeColor="background1"/>
                <w:sz w:val="20"/>
                <w:szCs w:val="20"/>
              </w:rPr>
            </w:pPr>
          </w:p>
        </w:tc>
        <w:tc>
          <w:tcPr>
            <w:tcW w:w="550" w:type="pct"/>
            <w:vMerge/>
            <w:shd w:val="clear" w:color="auto" w:fill="14233C" w:themeFill="text2"/>
          </w:tcPr>
          <w:p w14:paraId="3672C164" w14:textId="77777777" w:rsidR="00BE1A61" w:rsidRPr="00BE1A61" w:rsidRDefault="00BE1A61">
            <w:pPr>
              <w:jc w:val="center"/>
              <w:rPr>
                <w:b/>
                <w:color w:val="FFFFFF" w:themeColor="background1"/>
                <w:sz w:val="20"/>
                <w:szCs w:val="20"/>
              </w:rPr>
            </w:pPr>
          </w:p>
        </w:tc>
        <w:tc>
          <w:tcPr>
            <w:tcW w:w="784" w:type="pct"/>
            <w:vMerge/>
            <w:shd w:val="clear" w:color="auto" w:fill="14233C" w:themeFill="text2"/>
          </w:tcPr>
          <w:p w14:paraId="69C6E7DB" w14:textId="77777777" w:rsidR="00BE1A61" w:rsidRPr="00BE1A61" w:rsidRDefault="00BE1A61">
            <w:pPr>
              <w:jc w:val="center"/>
              <w:rPr>
                <w:b/>
                <w:color w:val="FFFFFF" w:themeColor="background1"/>
                <w:sz w:val="20"/>
                <w:szCs w:val="20"/>
              </w:rPr>
            </w:pPr>
          </w:p>
        </w:tc>
        <w:tc>
          <w:tcPr>
            <w:tcW w:w="792" w:type="pct"/>
            <w:shd w:val="clear" w:color="auto" w:fill="14233C" w:themeFill="text2"/>
          </w:tcPr>
          <w:p w14:paraId="55E48159" w14:textId="3FC7BD36" w:rsidR="00BE1A61" w:rsidRPr="00BE1A61" w:rsidRDefault="00BE1A61">
            <w:pPr>
              <w:jc w:val="center"/>
              <w:rPr>
                <w:b/>
                <w:color w:val="FFFFFF" w:themeColor="background1"/>
                <w:sz w:val="20"/>
                <w:szCs w:val="20"/>
              </w:rPr>
            </w:pPr>
            <w:r w:rsidRPr="00BE1A61">
              <w:rPr>
                <w:b/>
                <w:color w:val="FFFFFF" w:themeColor="background1"/>
                <w:sz w:val="20"/>
                <w:szCs w:val="20"/>
              </w:rPr>
              <w:t>Preschool</w:t>
            </w:r>
            <w:r>
              <w:rPr>
                <w:b/>
                <w:color w:val="FFFFFF" w:themeColor="background1"/>
                <w:sz w:val="20"/>
                <w:szCs w:val="20"/>
              </w:rPr>
              <w:t xml:space="preserve"> </w:t>
            </w:r>
            <w:r w:rsidRPr="00BE1A61">
              <w:rPr>
                <w:b/>
                <w:color w:val="FFFFFF" w:themeColor="background1"/>
                <w:sz w:val="20"/>
                <w:szCs w:val="20"/>
              </w:rPr>
              <w:t>/</w:t>
            </w:r>
            <w:r>
              <w:rPr>
                <w:b/>
                <w:color w:val="FFFFFF" w:themeColor="background1"/>
                <w:sz w:val="20"/>
                <w:szCs w:val="20"/>
              </w:rPr>
              <w:t xml:space="preserve"> </w:t>
            </w:r>
            <w:r w:rsidRPr="00BE1A61">
              <w:rPr>
                <w:b/>
                <w:color w:val="FFFFFF" w:themeColor="background1"/>
                <w:sz w:val="20"/>
                <w:szCs w:val="20"/>
              </w:rPr>
              <w:t>kindergarten</w:t>
            </w:r>
          </w:p>
        </w:tc>
        <w:tc>
          <w:tcPr>
            <w:tcW w:w="471" w:type="pct"/>
            <w:shd w:val="clear" w:color="auto" w:fill="14233C" w:themeFill="text2"/>
          </w:tcPr>
          <w:p w14:paraId="596995F1" w14:textId="3DBFE64B" w:rsidR="00BE1A61" w:rsidRPr="00BE1A61" w:rsidRDefault="00BE1A61">
            <w:pPr>
              <w:jc w:val="center"/>
              <w:rPr>
                <w:b/>
                <w:color w:val="FFFFFF" w:themeColor="background1"/>
                <w:sz w:val="20"/>
                <w:szCs w:val="20"/>
              </w:rPr>
            </w:pPr>
            <w:r w:rsidRPr="00BE1A61">
              <w:rPr>
                <w:b/>
                <w:color w:val="FFFFFF" w:themeColor="background1"/>
                <w:sz w:val="20"/>
                <w:szCs w:val="20"/>
              </w:rPr>
              <w:t>LDC</w:t>
            </w:r>
          </w:p>
        </w:tc>
        <w:tc>
          <w:tcPr>
            <w:tcW w:w="470" w:type="pct"/>
            <w:shd w:val="clear" w:color="auto" w:fill="14233C" w:themeFill="text2"/>
          </w:tcPr>
          <w:p w14:paraId="6B4E68DF" w14:textId="5971EB8C" w:rsidR="00BE1A61" w:rsidRPr="00BE1A61" w:rsidRDefault="00BE1A61">
            <w:pPr>
              <w:jc w:val="center"/>
              <w:rPr>
                <w:b/>
                <w:color w:val="FFFFFF" w:themeColor="background1"/>
                <w:sz w:val="20"/>
                <w:szCs w:val="20"/>
              </w:rPr>
            </w:pPr>
            <w:r w:rsidRPr="00BE1A61">
              <w:rPr>
                <w:b/>
                <w:color w:val="FFFFFF" w:themeColor="background1"/>
                <w:sz w:val="20"/>
                <w:szCs w:val="20"/>
              </w:rPr>
              <w:t>FDC</w:t>
            </w:r>
          </w:p>
        </w:tc>
        <w:tc>
          <w:tcPr>
            <w:tcW w:w="597" w:type="pct"/>
            <w:shd w:val="clear" w:color="auto" w:fill="14233C" w:themeFill="text2"/>
          </w:tcPr>
          <w:p w14:paraId="47F230CA" w14:textId="3186C712" w:rsidR="00BE1A61" w:rsidRPr="00BE1A61" w:rsidRDefault="00BE1A61">
            <w:pPr>
              <w:jc w:val="center"/>
              <w:rPr>
                <w:b/>
                <w:color w:val="FFFFFF" w:themeColor="background1"/>
                <w:sz w:val="20"/>
                <w:szCs w:val="20"/>
              </w:rPr>
            </w:pPr>
            <w:r w:rsidRPr="00BE1A61">
              <w:rPr>
                <w:b/>
                <w:color w:val="FFFFFF" w:themeColor="background1"/>
                <w:sz w:val="20"/>
                <w:szCs w:val="20"/>
              </w:rPr>
              <w:t>OSHC</w:t>
            </w:r>
          </w:p>
        </w:tc>
      </w:tr>
      <w:tr w:rsidR="00BE1A61" w:rsidRPr="00D67534" w14:paraId="4464D836" w14:textId="71825CAA" w:rsidTr="00BE1A61">
        <w:tc>
          <w:tcPr>
            <w:tcW w:w="1335" w:type="pct"/>
            <w:vAlign w:val="center"/>
          </w:tcPr>
          <w:p w14:paraId="2FC833E3" w14:textId="7B2B2338" w:rsidR="00BE1A61" w:rsidRPr="00BE1A61" w:rsidRDefault="00BE1A61" w:rsidP="00BE1A61">
            <w:pPr>
              <w:jc w:val="center"/>
              <w:rPr>
                <w:sz w:val="20"/>
                <w:szCs w:val="20"/>
              </w:rPr>
            </w:pPr>
            <w:r w:rsidRPr="00BE1A61">
              <w:rPr>
                <w:sz w:val="20"/>
                <w:szCs w:val="20"/>
              </w:rPr>
              <w:t>Adopted</w:t>
            </w:r>
          </w:p>
        </w:tc>
        <w:tc>
          <w:tcPr>
            <w:tcW w:w="550" w:type="pct"/>
            <w:vAlign w:val="center"/>
          </w:tcPr>
          <w:p w14:paraId="07D65418" w14:textId="155E6ED2" w:rsidR="00BE1A61" w:rsidRPr="00BE1A61" w:rsidRDefault="00BE1A61" w:rsidP="00BE1A61">
            <w:pPr>
              <w:rPr>
                <w:sz w:val="20"/>
                <w:szCs w:val="20"/>
              </w:rPr>
            </w:pPr>
            <w:r w:rsidRPr="0C449F6F">
              <w:rPr>
                <w:szCs w:val="22"/>
              </w:rPr>
              <w:t>57%</w:t>
            </w:r>
          </w:p>
        </w:tc>
        <w:tc>
          <w:tcPr>
            <w:tcW w:w="784" w:type="pct"/>
            <w:vAlign w:val="center"/>
          </w:tcPr>
          <w:p w14:paraId="44BDA96C" w14:textId="62CE1B65" w:rsidR="00BE1A61" w:rsidRPr="00BE1A61" w:rsidRDefault="00BE1A61" w:rsidP="00BE1A61">
            <w:pPr>
              <w:rPr>
                <w:sz w:val="20"/>
                <w:szCs w:val="20"/>
              </w:rPr>
            </w:pPr>
            <w:r>
              <w:rPr>
                <w:rFonts w:cs="Arial"/>
                <w:color w:val="000000"/>
                <w:szCs w:val="22"/>
              </w:rPr>
              <w:t>66%</w:t>
            </w:r>
          </w:p>
        </w:tc>
        <w:tc>
          <w:tcPr>
            <w:tcW w:w="792" w:type="pct"/>
            <w:vAlign w:val="center"/>
          </w:tcPr>
          <w:p w14:paraId="5F364608" w14:textId="17FDD8DF" w:rsidR="00BE1A61" w:rsidRPr="00BE1A61" w:rsidRDefault="00BE1A61" w:rsidP="00BE1A61">
            <w:pPr>
              <w:rPr>
                <w:sz w:val="20"/>
                <w:szCs w:val="20"/>
              </w:rPr>
            </w:pPr>
            <w:r>
              <w:rPr>
                <w:rFonts w:cs="Arial"/>
                <w:color w:val="000000"/>
                <w:szCs w:val="22"/>
              </w:rPr>
              <w:t>71%</w:t>
            </w:r>
          </w:p>
        </w:tc>
        <w:tc>
          <w:tcPr>
            <w:tcW w:w="471" w:type="pct"/>
            <w:vAlign w:val="center"/>
          </w:tcPr>
          <w:p w14:paraId="1E40B2B3" w14:textId="00759B10" w:rsidR="00BE1A61" w:rsidRPr="00BE1A61" w:rsidRDefault="00BE1A61" w:rsidP="00BE1A61">
            <w:pPr>
              <w:rPr>
                <w:sz w:val="20"/>
                <w:szCs w:val="20"/>
              </w:rPr>
            </w:pPr>
            <w:r>
              <w:rPr>
                <w:rFonts w:cs="Arial"/>
                <w:color w:val="000000"/>
                <w:szCs w:val="22"/>
              </w:rPr>
              <w:t>67%</w:t>
            </w:r>
          </w:p>
        </w:tc>
        <w:tc>
          <w:tcPr>
            <w:tcW w:w="470" w:type="pct"/>
            <w:vAlign w:val="center"/>
          </w:tcPr>
          <w:p w14:paraId="1D849A84" w14:textId="3ACA6332" w:rsidR="00BE1A61" w:rsidRPr="00BE1A61" w:rsidRDefault="00BE1A61" w:rsidP="00BE1A61">
            <w:pPr>
              <w:rPr>
                <w:sz w:val="20"/>
                <w:szCs w:val="20"/>
              </w:rPr>
            </w:pPr>
            <w:r>
              <w:rPr>
                <w:rFonts w:cs="Arial"/>
                <w:color w:val="000000"/>
                <w:szCs w:val="22"/>
              </w:rPr>
              <w:t>27%</w:t>
            </w:r>
          </w:p>
        </w:tc>
        <w:tc>
          <w:tcPr>
            <w:tcW w:w="597" w:type="pct"/>
            <w:vAlign w:val="center"/>
          </w:tcPr>
          <w:p w14:paraId="3129D148" w14:textId="014C395B" w:rsidR="00BE1A61" w:rsidRPr="00BE1A61" w:rsidRDefault="00BE1A61" w:rsidP="00BE1A61">
            <w:pPr>
              <w:rPr>
                <w:sz w:val="20"/>
                <w:szCs w:val="20"/>
              </w:rPr>
            </w:pPr>
            <w:r>
              <w:rPr>
                <w:rFonts w:cs="Arial"/>
                <w:color w:val="000000"/>
                <w:szCs w:val="22"/>
              </w:rPr>
              <w:t>54%</w:t>
            </w:r>
          </w:p>
        </w:tc>
      </w:tr>
      <w:tr w:rsidR="00BE1A61" w:rsidRPr="00D67534" w14:paraId="0E35BD0A" w14:textId="7968DB54" w:rsidTr="00BE1A61">
        <w:tc>
          <w:tcPr>
            <w:tcW w:w="1335" w:type="pct"/>
            <w:vAlign w:val="center"/>
          </w:tcPr>
          <w:p w14:paraId="50E30F27" w14:textId="40F31999" w:rsidR="00BE1A61" w:rsidRPr="00BE1A61" w:rsidRDefault="00BE1A61" w:rsidP="00BE1A61">
            <w:pPr>
              <w:jc w:val="center"/>
              <w:rPr>
                <w:sz w:val="20"/>
                <w:szCs w:val="20"/>
              </w:rPr>
            </w:pPr>
            <w:r w:rsidRPr="00BE1A61">
              <w:rPr>
                <w:sz w:val="20"/>
                <w:szCs w:val="20"/>
              </w:rPr>
              <w:t>Planning to adopt or currently in the process of adopting</w:t>
            </w:r>
          </w:p>
        </w:tc>
        <w:tc>
          <w:tcPr>
            <w:tcW w:w="550" w:type="pct"/>
            <w:vAlign w:val="center"/>
          </w:tcPr>
          <w:p w14:paraId="31C92FA6" w14:textId="6440FBDF" w:rsidR="00BE1A61" w:rsidRPr="00BE1A61" w:rsidRDefault="00BE1A61" w:rsidP="00BE1A61">
            <w:pPr>
              <w:rPr>
                <w:sz w:val="20"/>
                <w:szCs w:val="20"/>
              </w:rPr>
            </w:pPr>
            <w:r w:rsidRPr="0C449F6F">
              <w:rPr>
                <w:szCs w:val="22"/>
              </w:rPr>
              <w:t>27%</w:t>
            </w:r>
          </w:p>
        </w:tc>
        <w:tc>
          <w:tcPr>
            <w:tcW w:w="784" w:type="pct"/>
            <w:vAlign w:val="center"/>
          </w:tcPr>
          <w:p w14:paraId="193A24D9" w14:textId="2C0B9379" w:rsidR="00BE1A61" w:rsidRPr="00BE1A61" w:rsidRDefault="00BE1A61" w:rsidP="00BE1A61">
            <w:pPr>
              <w:rPr>
                <w:sz w:val="20"/>
                <w:szCs w:val="20"/>
              </w:rPr>
            </w:pPr>
            <w:r>
              <w:rPr>
                <w:rFonts w:cs="Arial"/>
                <w:color w:val="000000"/>
                <w:szCs w:val="22"/>
              </w:rPr>
              <w:t>25%</w:t>
            </w:r>
          </w:p>
        </w:tc>
        <w:tc>
          <w:tcPr>
            <w:tcW w:w="792" w:type="pct"/>
            <w:vAlign w:val="center"/>
          </w:tcPr>
          <w:p w14:paraId="45E29BC4" w14:textId="532558C1" w:rsidR="00BE1A61" w:rsidRPr="00BE1A61" w:rsidRDefault="00BE1A61" w:rsidP="00BE1A61">
            <w:pPr>
              <w:rPr>
                <w:sz w:val="20"/>
                <w:szCs w:val="20"/>
              </w:rPr>
            </w:pPr>
            <w:r>
              <w:rPr>
                <w:rFonts w:cs="Arial"/>
                <w:color w:val="000000"/>
                <w:szCs w:val="22"/>
              </w:rPr>
              <w:t>21%</w:t>
            </w:r>
          </w:p>
        </w:tc>
        <w:tc>
          <w:tcPr>
            <w:tcW w:w="471" w:type="pct"/>
            <w:vAlign w:val="center"/>
          </w:tcPr>
          <w:p w14:paraId="40B937C3" w14:textId="5ACACF1C" w:rsidR="00BE1A61" w:rsidRPr="00BE1A61" w:rsidRDefault="00BE1A61" w:rsidP="00BE1A61">
            <w:pPr>
              <w:rPr>
                <w:sz w:val="20"/>
                <w:szCs w:val="20"/>
              </w:rPr>
            </w:pPr>
            <w:r>
              <w:rPr>
                <w:rFonts w:cs="Arial"/>
                <w:color w:val="000000"/>
                <w:szCs w:val="22"/>
              </w:rPr>
              <w:t>25%</w:t>
            </w:r>
          </w:p>
        </w:tc>
        <w:tc>
          <w:tcPr>
            <w:tcW w:w="470" w:type="pct"/>
            <w:vAlign w:val="center"/>
          </w:tcPr>
          <w:p w14:paraId="18F65189" w14:textId="31784DB3" w:rsidR="00BE1A61" w:rsidRPr="00BE1A61" w:rsidRDefault="00BE1A61" w:rsidP="00BE1A61">
            <w:pPr>
              <w:rPr>
                <w:sz w:val="20"/>
                <w:szCs w:val="20"/>
              </w:rPr>
            </w:pPr>
            <w:r>
              <w:rPr>
                <w:rFonts w:cs="Arial"/>
                <w:color w:val="000000"/>
                <w:szCs w:val="22"/>
              </w:rPr>
              <w:t>33%</w:t>
            </w:r>
          </w:p>
        </w:tc>
        <w:tc>
          <w:tcPr>
            <w:tcW w:w="597" w:type="pct"/>
            <w:vAlign w:val="center"/>
          </w:tcPr>
          <w:p w14:paraId="46B324E5" w14:textId="6F498E69" w:rsidR="00BE1A61" w:rsidRPr="00BE1A61" w:rsidRDefault="00BE1A61" w:rsidP="00BE1A61">
            <w:pPr>
              <w:rPr>
                <w:sz w:val="20"/>
                <w:szCs w:val="20"/>
              </w:rPr>
            </w:pPr>
            <w:r>
              <w:rPr>
                <w:rFonts w:cs="Arial"/>
                <w:color w:val="000000"/>
                <w:szCs w:val="22"/>
              </w:rPr>
              <w:t>29%</w:t>
            </w:r>
          </w:p>
        </w:tc>
      </w:tr>
      <w:tr w:rsidR="00BE1A61" w:rsidRPr="00D67534" w14:paraId="387B5DB3" w14:textId="3F8545F7" w:rsidTr="00BE1A61">
        <w:tc>
          <w:tcPr>
            <w:tcW w:w="1335" w:type="pct"/>
            <w:vAlign w:val="center"/>
          </w:tcPr>
          <w:p w14:paraId="3CD72FFD" w14:textId="4929DEF8" w:rsidR="00BE1A61" w:rsidRPr="00BE1A61" w:rsidRDefault="00BE1A61" w:rsidP="00BE1A61">
            <w:pPr>
              <w:jc w:val="center"/>
              <w:rPr>
                <w:sz w:val="20"/>
                <w:szCs w:val="20"/>
              </w:rPr>
            </w:pPr>
            <w:r w:rsidRPr="00BE1A61">
              <w:rPr>
                <w:sz w:val="20"/>
                <w:szCs w:val="20"/>
              </w:rPr>
              <w:t>Not adopted</w:t>
            </w:r>
          </w:p>
        </w:tc>
        <w:tc>
          <w:tcPr>
            <w:tcW w:w="550" w:type="pct"/>
            <w:vAlign w:val="center"/>
          </w:tcPr>
          <w:p w14:paraId="2658D1F5" w14:textId="73E94FCC" w:rsidR="00BE1A61" w:rsidRPr="00BE1A61" w:rsidRDefault="00BE1A61" w:rsidP="00BE1A61">
            <w:pPr>
              <w:rPr>
                <w:sz w:val="20"/>
                <w:szCs w:val="20"/>
              </w:rPr>
            </w:pPr>
            <w:r w:rsidRPr="0C449F6F">
              <w:rPr>
                <w:szCs w:val="22"/>
              </w:rPr>
              <w:t>5%</w:t>
            </w:r>
          </w:p>
        </w:tc>
        <w:tc>
          <w:tcPr>
            <w:tcW w:w="784" w:type="pct"/>
            <w:vAlign w:val="center"/>
          </w:tcPr>
          <w:p w14:paraId="4E73181C" w14:textId="58A7367A" w:rsidR="00BE1A61" w:rsidRPr="00BE1A61" w:rsidRDefault="00BE1A61" w:rsidP="00BE1A61">
            <w:pPr>
              <w:rPr>
                <w:sz w:val="20"/>
                <w:szCs w:val="20"/>
              </w:rPr>
            </w:pPr>
            <w:r>
              <w:rPr>
                <w:rFonts w:cs="Arial"/>
                <w:color w:val="000000"/>
                <w:szCs w:val="22"/>
              </w:rPr>
              <w:t>3%</w:t>
            </w:r>
          </w:p>
        </w:tc>
        <w:tc>
          <w:tcPr>
            <w:tcW w:w="792" w:type="pct"/>
            <w:vAlign w:val="center"/>
          </w:tcPr>
          <w:p w14:paraId="65744B26" w14:textId="21E1B96B" w:rsidR="00BE1A61" w:rsidRPr="00BE1A61" w:rsidRDefault="00BE1A61" w:rsidP="00BE1A61">
            <w:pPr>
              <w:rPr>
                <w:sz w:val="20"/>
                <w:szCs w:val="20"/>
              </w:rPr>
            </w:pPr>
            <w:r>
              <w:rPr>
                <w:rFonts w:cs="Arial"/>
                <w:color w:val="000000"/>
                <w:szCs w:val="22"/>
              </w:rPr>
              <w:t>1%</w:t>
            </w:r>
          </w:p>
        </w:tc>
        <w:tc>
          <w:tcPr>
            <w:tcW w:w="471" w:type="pct"/>
            <w:vAlign w:val="center"/>
          </w:tcPr>
          <w:p w14:paraId="3163BB4D" w14:textId="6B930234" w:rsidR="00BE1A61" w:rsidRPr="00BE1A61" w:rsidRDefault="00BE1A61" w:rsidP="00BE1A61">
            <w:pPr>
              <w:rPr>
                <w:sz w:val="20"/>
                <w:szCs w:val="20"/>
              </w:rPr>
            </w:pPr>
            <w:r>
              <w:rPr>
                <w:rFonts w:cs="Arial"/>
                <w:color w:val="000000"/>
                <w:szCs w:val="22"/>
              </w:rPr>
              <w:t>2%</w:t>
            </w:r>
          </w:p>
        </w:tc>
        <w:tc>
          <w:tcPr>
            <w:tcW w:w="470" w:type="pct"/>
            <w:vAlign w:val="center"/>
          </w:tcPr>
          <w:p w14:paraId="094BEA2E" w14:textId="01C877E9" w:rsidR="00BE1A61" w:rsidRPr="00BE1A61" w:rsidRDefault="00BE1A61" w:rsidP="00BE1A61">
            <w:pPr>
              <w:rPr>
                <w:sz w:val="20"/>
                <w:szCs w:val="20"/>
              </w:rPr>
            </w:pPr>
            <w:r>
              <w:rPr>
                <w:rFonts w:cs="Arial"/>
                <w:color w:val="000000"/>
                <w:szCs w:val="22"/>
              </w:rPr>
              <w:t>14%</w:t>
            </w:r>
          </w:p>
        </w:tc>
        <w:tc>
          <w:tcPr>
            <w:tcW w:w="597" w:type="pct"/>
            <w:vAlign w:val="center"/>
          </w:tcPr>
          <w:p w14:paraId="76D9E0DB" w14:textId="02ACD23B" w:rsidR="00BE1A61" w:rsidRPr="00BE1A61" w:rsidRDefault="00BE1A61" w:rsidP="00BE1A61">
            <w:pPr>
              <w:rPr>
                <w:sz w:val="20"/>
                <w:szCs w:val="20"/>
              </w:rPr>
            </w:pPr>
            <w:r>
              <w:rPr>
                <w:rFonts w:cs="Arial"/>
                <w:color w:val="000000"/>
                <w:szCs w:val="22"/>
              </w:rPr>
              <w:t>7%</w:t>
            </w:r>
          </w:p>
        </w:tc>
      </w:tr>
      <w:tr w:rsidR="00BE1A61" w:rsidRPr="00D67534" w14:paraId="7318F5E6" w14:textId="099C7F38" w:rsidTr="00BE1A61">
        <w:tc>
          <w:tcPr>
            <w:tcW w:w="1335" w:type="pct"/>
            <w:vAlign w:val="center"/>
          </w:tcPr>
          <w:p w14:paraId="123428B1" w14:textId="4CA38F3E" w:rsidR="00BE1A61" w:rsidRPr="00BE1A61" w:rsidRDefault="00BE1A61" w:rsidP="00BE1A61">
            <w:pPr>
              <w:jc w:val="center"/>
              <w:rPr>
                <w:sz w:val="20"/>
                <w:szCs w:val="20"/>
              </w:rPr>
            </w:pPr>
            <w:r w:rsidRPr="00BE1A61">
              <w:rPr>
                <w:sz w:val="20"/>
                <w:szCs w:val="20"/>
              </w:rPr>
              <w:t>Other</w:t>
            </w:r>
            <w:r w:rsidRPr="00BE1A61">
              <w:rPr>
                <w:rStyle w:val="FootnoteReference"/>
                <w:sz w:val="20"/>
                <w:szCs w:val="20"/>
              </w:rPr>
              <w:footnoteReference w:id="41"/>
            </w:r>
          </w:p>
        </w:tc>
        <w:tc>
          <w:tcPr>
            <w:tcW w:w="550" w:type="pct"/>
            <w:vAlign w:val="center"/>
          </w:tcPr>
          <w:p w14:paraId="7609DABA" w14:textId="3B09D7D6" w:rsidR="00BE1A61" w:rsidRPr="00BE1A61" w:rsidRDefault="00BE1A61" w:rsidP="00BE1A61">
            <w:pPr>
              <w:rPr>
                <w:sz w:val="20"/>
                <w:szCs w:val="20"/>
              </w:rPr>
            </w:pPr>
            <w:r w:rsidRPr="0C449F6F">
              <w:rPr>
                <w:szCs w:val="22"/>
              </w:rPr>
              <w:t>10%</w:t>
            </w:r>
          </w:p>
        </w:tc>
        <w:tc>
          <w:tcPr>
            <w:tcW w:w="784" w:type="pct"/>
            <w:vAlign w:val="center"/>
          </w:tcPr>
          <w:p w14:paraId="6D7DDC73" w14:textId="03A9F246" w:rsidR="00BE1A61" w:rsidRPr="00BE1A61" w:rsidRDefault="00BE1A61" w:rsidP="00BE1A61">
            <w:pPr>
              <w:rPr>
                <w:sz w:val="20"/>
                <w:szCs w:val="20"/>
              </w:rPr>
            </w:pPr>
            <w:r>
              <w:rPr>
                <w:rFonts w:cs="Arial"/>
                <w:color w:val="000000" w:themeColor="text1"/>
                <w:szCs w:val="22"/>
              </w:rPr>
              <w:t>7%</w:t>
            </w:r>
          </w:p>
        </w:tc>
        <w:tc>
          <w:tcPr>
            <w:tcW w:w="792" w:type="pct"/>
            <w:vAlign w:val="center"/>
          </w:tcPr>
          <w:p w14:paraId="0F1A9DC4" w14:textId="29C028D8" w:rsidR="00BE1A61" w:rsidRPr="00BE1A61" w:rsidRDefault="00BE1A61" w:rsidP="00BE1A61">
            <w:pPr>
              <w:rPr>
                <w:sz w:val="20"/>
                <w:szCs w:val="20"/>
              </w:rPr>
            </w:pPr>
            <w:r w:rsidRPr="0C449F6F">
              <w:rPr>
                <w:rFonts w:cs="Arial"/>
                <w:color w:val="000000" w:themeColor="text1"/>
                <w:szCs w:val="22"/>
              </w:rPr>
              <w:t>6%</w:t>
            </w:r>
          </w:p>
        </w:tc>
        <w:tc>
          <w:tcPr>
            <w:tcW w:w="471" w:type="pct"/>
            <w:vAlign w:val="center"/>
          </w:tcPr>
          <w:p w14:paraId="4CF5BB99" w14:textId="4BEBAFE6" w:rsidR="00BE1A61" w:rsidRPr="00BE1A61" w:rsidRDefault="00BE1A61" w:rsidP="00BE1A61">
            <w:pPr>
              <w:rPr>
                <w:sz w:val="20"/>
                <w:szCs w:val="20"/>
              </w:rPr>
            </w:pPr>
            <w:r>
              <w:rPr>
                <w:rFonts w:cs="Arial"/>
                <w:color w:val="000000"/>
                <w:szCs w:val="22"/>
              </w:rPr>
              <w:t>6%</w:t>
            </w:r>
          </w:p>
        </w:tc>
        <w:tc>
          <w:tcPr>
            <w:tcW w:w="470" w:type="pct"/>
            <w:vAlign w:val="center"/>
          </w:tcPr>
          <w:p w14:paraId="421146A6" w14:textId="2BC7E4B2" w:rsidR="00BE1A61" w:rsidRPr="00BE1A61" w:rsidRDefault="00BE1A61" w:rsidP="00BE1A61">
            <w:pPr>
              <w:rPr>
                <w:sz w:val="20"/>
                <w:szCs w:val="20"/>
              </w:rPr>
            </w:pPr>
            <w:r>
              <w:rPr>
                <w:rFonts w:cs="Arial"/>
                <w:color w:val="000000"/>
                <w:szCs w:val="22"/>
              </w:rPr>
              <w:t>27%</w:t>
            </w:r>
          </w:p>
        </w:tc>
        <w:tc>
          <w:tcPr>
            <w:tcW w:w="597" w:type="pct"/>
            <w:vAlign w:val="center"/>
          </w:tcPr>
          <w:p w14:paraId="53C94742" w14:textId="2E9D47D9" w:rsidR="00BE1A61" w:rsidRPr="00BE1A61" w:rsidRDefault="00BE1A61" w:rsidP="00BE1A61">
            <w:pPr>
              <w:rPr>
                <w:sz w:val="20"/>
                <w:szCs w:val="20"/>
              </w:rPr>
            </w:pPr>
            <w:r>
              <w:rPr>
                <w:rFonts w:cs="Arial"/>
                <w:color w:val="000000"/>
                <w:szCs w:val="22"/>
              </w:rPr>
              <w:t>10%</w:t>
            </w:r>
          </w:p>
        </w:tc>
      </w:tr>
    </w:tbl>
    <w:p w14:paraId="1FBA1613" w14:textId="589A9140" w:rsidR="00D601E7" w:rsidRDefault="00D601E7" w:rsidP="00976C70">
      <w:pPr>
        <w:pStyle w:val="Source"/>
        <w:rPr>
          <w:rFonts w:eastAsia="Calibri" w:cs="Arial"/>
          <w:color w:val="808080" w:themeColor="background1" w:themeShade="80"/>
          <w:szCs w:val="14"/>
        </w:rPr>
      </w:pPr>
      <w:r w:rsidRPr="0108E865">
        <w:t xml:space="preserve">Source: Approved provider survey, as of 11 June </w:t>
      </w:r>
      <w:r w:rsidRPr="00F1067E">
        <w:t>2025</w:t>
      </w:r>
      <w:r w:rsidRPr="00F1067E">
        <w:rPr>
          <w:rFonts w:eastAsia="Calibri" w:cs="Arial"/>
          <w:szCs w:val="14"/>
        </w:rPr>
        <w:t>, n=216.</w:t>
      </w:r>
    </w:p>
    <w:p w14:paraId="39ACD1A0" w14:textId="03CF3E9E" w:rsidR="00D601E7" w:rsidRDefault="00D601E7" w:rsidP="00976C70">
      <w:pPr>
        <w:pStyle w:val="Source"/>
        <w:rPr>
          <w:rFonts w:eastAsia="Calibri" w:cs="Arial"/>
          <w:color w:val="808080" w:themeColor="background1" w:themeShade="80"/>
          <w:szCs w:val="14"/>
        </w:rPr>
      </w:pPr>
      <w:r>
        <w:t>Note: Figures may not sum due to rounding.</w:t>
      </w:r>
    </w:p>
    <w:p w14:paraId="43115D2D" w14:textId="631CCCE6" w:rsidR="00D601E7" w:rsidRPr="005B4037" w:rsidRDefault="00D601E7">
      <w:r>
        <w:t>While the uptake of voluntary measures is strong, there remains a sizeable number of approved providers (e.g., around 15% of all approved providers and a higher share among FDCs and OSHCs</w:t>
      </w:r>
      <w:r w:rsidR="00BE5F9B">
        <w:t>, given the National Model Code and Guidelines were not designed for these service types</w:t>
      </w:r>
      <w:r>
        <w:t xml:space="preserve">) who have not adopted </w:t>
      </w:r>
      <w:r w:rsidR="00BE5F9B">
        <w:t>the National Model Code and Guidelines</w:t>
      </w:r>
      <w:r w:rsidR="002A7F48">
        <w:t xml:space="preserve">. This is </w:t>
      </w:r>
      <w:r>
        <w:t>proxied through the number of survey respondents who have not adopted the National Model Code and Guidelines</w:t>
      </w:r>
      <w:r w:rsidR="00EA6EAE">
        <w:t>, noting that survey respondents may be more inclined to adopt child safety measures than other services</w:t>
      </w:r>
      <w:r>
        <w:t xml:space="preserve">. For these providers, there remains a greater risk to the safety of children through the potential inappropriate use of personal devices. </w:t>
      </w:r>
      <w:r w:rsidR="002466E5">
        <w:t xml:space="preserve">Some providers may have adopted alternative measures around the use of devices for their service type that also improve child safety outcomes. For example, </w:t>
      </w:r>
      <w:r w:rsidR="005334D4">
        <w:t>FDC Australia</w:t>
      </w:r>
      <w:r w:rsidR="002466E5" w:rsidRPr="002466E5">
        <w:t xml:space="preserve"> </w:t>
      </w:r>
      <w:r w:rsidR="00DB6A68">
        <w:t>developed</w:t>
      </w:r>
      <w:r w:rsidR="002466E5" w:rsidRPr="002466E5">
        <w:t xml:space="preserve"> targeted guidance for FDC services in response to the model code to aim to achieve the same child safety outcomes</w:t>
      </w:r>
      <w:r w:rsidR="002466E5">
        <w:t>.</w:t>
      </w:r>
      <w:r w:rsidR="00ED5EF0">
        <w:t xml:space="preserve"> It cannot be determined from the survey data whether FDCs that adopted this guidance responded with ‘adopted’ or </w:t>
      </w:r>
      <w:r w:rsidR="008137DC">
        <w:t>‘other’ in relation to National Model Code and Guideline adoption.</w:t>
      </w:r>
    </w:p>
    <w:p w14:paraId="1AEE46AD" w14:textId="62ED7E53" w:rsidR="00D601E7" w:rsidRDefault="00EB4295">
      <w:pPr>
        <w:pStyle w:val="Heading3"/>
      </w:pPr>
      <w:r>
        <w:t>What were the policy options consulted on?</w:t>
      </w:r>
    </w:p>
    <w:p w14:paraId="04E95558" w14:textId="74BD6319" w:rsidR="00D601E7" w:rsidRDefault="00D601E7">
      <w:r>
        <w:lastRenderedPageBreak/>
        <w:t xml:space="preserve">Three options, including the status quo and two regulatory options are under consideration. </w:t>
      </w:r>
      <w:r w:rsidRPr="002A611E">
        <w:t xml:space="preserve">Options 2 </w:t>
      </w:r>
      <w:r>
        <w:t>and 3</w:t>
      </w:r>
      <w:r w:rsidRPr="002A611E">
        <w:t xml:space="preserve"> are not mutually exclusive and the </w:t>
      </w:r>
      <w:r w:rsidR="004C5562">
        <w:t>recommended option</w:t>
      </w:r>
      <w:r w:rsidRPr="002A611E">
        <w:t xml:space="preserve"> </w:t>
      </w:r>
      <w:r w:rsidR="00F93979">
        <w:t>may be a combination of these two regulatory responses.</w:t>
      </w:r>
      <w:r w:rsidRPr="002A611E">
        <w:t xml:space="preserve"> </w:t>
      </w:r>
    </w:p>
    <w:p w14:paraId="2BAFBDFE" w14:textId="23A87291" w:rsidR="00D601E7" w:rsidRPr="004F2847" w:rsidRDefault="00D601E7">
      <w:pPr>
        <w:pStyle w:val="Caption"/>
      </w:pPr>
      <w:bookmarkStart w:id="69" w:name="_Toc205884930"/>
      <w:r>
        <w:t>Table 5.2: Policy options under consideration – Managing the use of digital devices</w:t>
      </w:r>
      <w:bookmarkEnd w:id="6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5.2: Policy options under consideration – Managing the use of digital devices"/>
        <w:tblDescription w:val="This table outlines the policy options under consideration for managing the use of digital devices."/>
      </w:tblPr>
      <w:tblGrid>
        <w:gridCol w:w="1631"/>
        <w:gridCol w:w="7379"/>
      </w:tblGrid>
      <w:tr w:rsidR="00D601E7" w:rsidRPr="00AA5FCA" w14:paraId="65A443AC" w14:textId="77777777" w:rsidTr="007A1ECC">
        <w:trPr>
          <w:tblHeader/>
        </w:trPr>
        <w:tc>
          <w:tcPr>
            <w:tcW w:w="905" w:type="pct"/>
            <w:shd w:val="clear" w:color="auto" w:fill="14233C" w:themeFill="text2"/>
          </w:tcPr>
          <w:p w14:paraId="7A3E6611" w14:textId="354EBA25" w:rsidR="00D601E7" w:rsidRPr="00D67534" w:rsidRDefault="00D601E7">
            <w:pPr>
              <w:jc w:val="center"/>
              <w:rPr>
                <w:b/>
                <w:color w:val="FFFFFF" w:themeColor="background1"/>
                <w:szCs w:val="20"/>
              </w:rPr>
            </w:pPr>
            <w:r w:rsidRPr="00D67534">
              <w:rPr>
                <w:b/>
                <w:color w:val="FFFFFF" w:themeColor="background1"/>
                <w:szCs w:val="20"/>
              </w:rPr>
              <w:t>Option</w:t>
            </w:r>
          </w:p>
        </w:tc>
        <w:tc>
          <w:tcPr>
            <w:tcW w:w="4095" w:type="pct"/>
            <w:shd w:val="clear" w:color="auto" w:fill="14233C" w:themeFill="text2"/>
          </w:tcPr>
          <w:p w14:paraId="46DE9FC6" w14:textId="77777777" w:rsidR="00D601E7" w:rsidRPr="00D67534" w:rsidRDefault="00D601E7">
            <w:pPr>
              <w:jc w:val="center"/>
              <w:rPr>
                <w:b/>
                <w:color w:val="FFFFFF" w:themeColor="background1"/>
                <w:szCs w:val="20"/>
              </w:rPr>
            </w:pPr>
            <w:r w:rsidRPr="00D67534">
              <w:rPr>
                <w:b/>
                <w:color w:val="FFFFFF" w:themeColor="background1"/>
                <w:szCs w:val="20"/>
              </w:rPr>
              <w:t>Description</w:t>
            </w:r>
          </w:p>
        </w:tc>
      </w:tr>
      <w:tr w:rsidR="00D601E7" w:rsidRPr="00AA5FCA" w14:paraId="015641AA" w14:textId="77777777" w:rsidTr="007A1ECC">
        <w:tc>
          <w:tcPr>
            <w:tcW w:w="905" w:type="pct"/>
          </w:tcPr>
          <w:p w14:paraId="69C50808" w14:textId="77777777" w:rsidR="00D601E7" w:rsidRPr="00D67534" w:rsidRDefault="00D601E7">
            <w:pPr>
              <w:jc w:val="center"/>
              <w:rPr>
                <w:szCs w:val="20"/>
              </w:rPr>
            </w:pPr>
            <w:r w:rsidRPr="00D67534">
              <w:rPr>
                <w:szCs w:val="20"/>
              </w:rPr>
              <w:t>1</w:t>
            </w:r>
          </w:p>
        </w:tc>
        <w:tc>
          <w:tcPr>
            <w:tcW w:w="4095" w:type="pct"/>
          </w:tcPr>
          <w:p w14:paraId="70D9665E" w14:textId="5F3912E4" w:rsidR="00D601E7" w:rsidRPr="00D67534" w:rsidRDefault="00D601E7">
            <w:pPr>
              <w:rPr>
                <w:b/>
                <w:szCs w:val="20"/>
              </w:rPr>
            </w:pPr>
            <w:r w:rsidRPr="00D67534">
              <w:rPr>
                <w:b/>
                <w:szCs w:val="20"/>
              </w:rPr>
              <w:t xml:space="preserve">Status quo (no change) </w:t>
            </w:r>
          </w:p>
          <w:p w14:paraId="638AA13D" w14:textId="7A772AA5" w:rsidR="00D601E7" w:rsidRPr="00D67534" w:rsidRDefault="00D601E7">
            <w:pPr>
              <w:rPr>
                <w:szCs w:val="20"/>
              </w:rPr>
            </w:pPr>
            <w:r w:rsidRPr="00D67534">
              <w:rPr>
                <w:szCs w:val="20"/>
              </w:rPr>
              <w:t xml:space="preserve">The status quo includes recent guidance for the education and care sector and a regulatory amendment proceeding to implementation in response to the CSR. In particular, it includes: </w:t>
            </w:r>
          </w:p>
          <w:p w14:paraId="585899B8" w14:textId="500D0FBD" w:rsidR="00D601E7" w:rsidRPr="00D67534" w:rsidRDefault="00D601E7">
            <w:pPr>
              <w:pStyle w:val="ListParagraph"/>
              <w:rPr>
                <w:szCs w:val="20"/>
              </w:rPr>
            </w:pPr>
            <w:r w:rsidRPr="00D67534">
              <w:rPr>
                <w:szCs w:val="20"/>
              </w:rPr>
              <w:t xml:space="preserve">National Model Code and Guidelines </w:t>
            </w:r>
          </w:p>
          <w:p w14:paraId="5A0E0BA6" w14:textId="64BBD8CF" w:rsidR="00D601E7" w:rsidRPr="00D67534" w:rsidRDefault="00D601E7">
            <w:pPr>
              <w:pStyle w:val="ListParagraph"/>
              <w:rPr>
                <w:szCs w:val="20"/>
              </w:rPr>
            </w:pPr>
            <w:r w:rsidRPr="00D67534">
              <w:rPr>
                <w:szCs w:val="20"/>
              </w:rPr>
              <w:t xml:space="preserve">Development of the NQF Online Safety Guide </w:t>
            </w:r>
          </w:p>
          <w:p w14:paraId="46D1FFFC" w14:textId="3D8FA2D6" w:rsidR="00D601E7" w:rsidRPr="00D67534" w:rsidRDefault="00D601E7">
            <w:pPr>
              <w:pStyle w:val="ListParagraph"/>
              <w:rPr>
                <w:szCs w:val="20"/>
              </w:rPr>
            </w:pPr>
            <w:r w:rsidRPr="00D67534">
              <w:rPr>
                <w:szCs w:val="20"/>
              </w:rPr>
              <w:t>Amendments to regulation 168 of the National Regulations.</w:t>
            </w:r>
            <w:r w:rsidR="00BB1CD0">
              <w:rPr>
                <w:rStyle w:val="FootnoteReference"/>
                <w:szCs w:val="20"/>
              </w:rPr>
              <w:footnoteReference w:id="42"/>
            </w:r>
          </w:p>
        </w:tc>
      </w:tr>
      <w:tr w:rsidR="00D601E7" w:rsidRPr="00AA5FCA" w14:paraId="2CD43472" w14:textId="77777777" w:rsidTr="007A1ECC">
        <w:tc>
          <w:tcPr>
            <w:tcW w:w="905" w:type="pct"/>
          </w:tcPr>
          <w:p w14:paraId="6521C570" w14:textId="77777777" w:rsidR="00D601E7" w:rsidRPr="00D67534" w:rsidRDefault="00D601E7">
            <w:pPr>
              <w:jc w:val="center"/>
              <w:rPr>
                <w:szCs w:val="20"/>
              </w:rPr>
            </w:pPr>
            <w:r w:rsidRPr="00D67534">
              <w:rPr>
                <w:szCs w:val="20"/>
              </w:rPr>
              <w:t>2</w:t>
            </w:r>
          </w:p>
        </w:tc>
        <w:tc>
          <w:tcPr>
            <w:tcW w:w="4095" w:type="pct"/>
          </w:tcPr>
          <w:p w14:paraId="4C9DE8C1" w14:textId="34D48A64" w:rsidR="00D601E7" w:rsidRPr="00D67534" w:rsidRDefault="00D601E7">
            <w:pPr>
              <w:rPr>
                <w:b/>
                <w:szCs w:val="20"/>
              </w:rPr>
            </w:pPr>
            <w:r w:rsidRPr="00D67534">
              <w:rPr>
                <w:b/>
                <w:szCs w:val="20"/>
              </w:rPr>
              <w:t xml:space="preserve">Regulatory </w:t>
            </w:r>
          </w:p>
          <w:p w14:paraId="06C1E466" w14:textId="15D5ED0F" w:rsidR="00D601E7" w:rsidRPr="00D67534" w:rsidRDefault="00D601E7">
            <w:pPr>
              <w:rPr>
                <w:szCs w:val="20"/>
              </w:rPr>
            </w:pPr>
            <w:r w:rsidRPr="00D67534">
              <w:rPr>
                <w:szCs w:val="20"/>
              </w:rPr>
              <w:t>Amend the National Law and National Regulations to enact standalone provisions to mandate that:</w:t>
            </w:r>
          </w:p>
          <w:p w14:paraId="317EC73C" w14:textId="2CEE671A" w:rsidR="00D601E7" w:rsidRPr="00D67534" w:rsidRDefault="00D601E7">
            <w:pPr>
              <w:pStyle w:val="ListParagraph"/>
              <w:rPr>
                <w:szCs w:val="20"/>
              </w:rPr>
            </w:pPr>
            <w:r w:rsidRPr="00D67534">
              <w:rPr>
                <w:szCs w:val="20"/>
              </w:rPr>
              <w:t>Only service-issued digital devices can be used when taking images or videos of children while providing education and care.</w:t>
            </w:r>
          </w:p>
          <w:p w14:paraId="5BA039BF" w14:textId="2DD80B19" w:rsidR="00D601E7" w:rsidRPr="00D67534" w:rsidRDefault="00D601E7">
            <w:pPr>
              <w:rPr>
                <w:szCs w:val="20"/>
              </w:rPr>
            </w:pPr>
            <w:r w:rsidRPr="00D67534">
              <w:rPr>
                <w:szCs w:val="20"/>
              </w:rPr>
              <w:t>This amendment would be an offence provision with a penalty attached.</w:t>
            </w:r>
          </w:p>
        </w:tc>
      </w:tr>
      <w:tr w:rsidR="00D601E7" w:rsidRPr="00AA5FCA" w14:paraId="5DFB7390" w14:textId="77777777" w:rsidTr="007A1ECC">
        <w:tc>
          <w:tcPr>
            <w:tcW w:w="905" w:type="pct"/>
          </w:tcPr>
          <w:p w14:paraId="63ECCE02" w14:textId="77777777" w:rsidR="00D601E7" w:rsidRPr="00D67534" w:rsidRDefault="00D601E7">
            <w:pPr>
              <w:jc w:val="center"/>
              <w:rPr>
                <w:szCs w:val="20"/>
              </w:rPr>
            </w:pPr>
            <w:r w:rsidRPr="00D67534">
              <w:rPr>
                <w:szCs w:val="20"/>
              </w:rPr>
              <w:t>3</w:t>
            </w:r>
          </w:p>
        </w:tc>
        <w:tc>
          <w:tcPr>
            <w:tcW w:w="4095" w:type="pct"/>
          </w:tcPr>
          <w:p w14:paraId="173D9562" w14:textId="78BA605F" w:rsidR="00D601E7" w:rsidRPr="00D67534" w:rsidRDefault="00D601E7">
            <w:pPr>
              <w:rPr>
                <w:b/>
                <w:szCs w:val="20"/>
              </w:rPr>
            </w:pPr>
            <w:r w:rsidRPr="00D67534">
              <w:rPr>
                <w:b/>
                <w:szCs w:val="20"/>
              </w:rPr>
              <w:t xml:space="preserve">Regulatory </w:t>
            </w:r>
          </w:p>
          <w:p w14:paraId="2149FE9F" w14:textId="30C7EDCA" w:rsidR="00D601E7" w:rsidRPr="00D67534" w:rsidRDefault="00D601E7">
            <w:pPr>
              <w:rPr>
                <w:szCs w:val="20"/>
              </w:rPr>
            </w:pPr>
            <w:r w:rsidRPr="00D67534">
              <w:rPr>
                <w:szCs w:val="20"/>
              </w:rPr>
              <w:t>Amend the National Law and National Regulations to enact standalone provisions for all education and care services</w:t>
            </w:r>
            <w:r w:rsidR="002B380F">
              <w:rPr>
                <w:szCs w:val="20"/>
              </w:rPr>
              <w:t xml:space="preserve"> (including FDC settings)</w:t>
            </w:r>
            <w:r w:rsidRPr="00D67534">
              <w:rPr>
                <w:szCs w:val="20"/>
              </w:rPr>
              <w:t xml:space="preserve"> to mandate that other than in the case of defined exempt circumstances:</w:t>
            </w:r>
          </w:p>
          <w:p w14:paraId="446837F3" w14:textId="276431EA" w:rsidR="00D601E7" w:rsidRPr="00D67534" w:rsidRDefault="00D601E7">
            <w:pPr>
              <w:pStyle w:val="ListParagraph"/>
              <w:rPr>
                <w:szCs w:val="20"/>
              </w:rPr>
            </w:pPr>
            <w:r w:rsidRPr="00D67534">
              <w:rPr>
                <w:szCs w:val="20"/>
              </w:rPr>
              <w:t xml:space="preserve">personal devices that can take images or videos (such as tablets, phones, digital cameras, and smart watches) and personal storage and file transfer media (such as SD cards, USB drives, hard drives, and cloud storage) cannot be in the possession of any person while providing education and care and working </w:t>
            </w:r>
            <w:r w:rsidRPr="00D67534">
              <w:rPr>
                <w:szCs w:val="20"/>
              </w:rPr>
              <w:lastRenderedPageBreak/>
              <w:t>directly with children. Including penalties for non-compliance (i.e. create offence provisions).</w:t>
            </w:r>
          </w:p>
          <w:p w14:paraId="0EA7FF57" w14:textId="32BD8AF0" w:rsidR="00D601E7" w:rsidRPr="00D67534" w:rsidRDefault="00D601E7">
            <w:pPr>
              <w:rPr>
                <w:szCs w:val="20"/>
              </w:rPr>
            </w:pPr>
            <w:r w:rsidRPr="00D67534">
              <w:rPr>
                <w:szCs w:val="20"/>
              </w:rPr>
              <w:t>This amendment would be an offence provision with a penalty attached.</w:t>
            </w:r>
          </w:p>
        </w:tc>
      </w:tr>
    </w:tbl>
    <w:p w14:paraId="3EB0EEC8" w14:textId="77777777" w:rsidR="00D601E7" w:rsidRDefault="00D601E7"/>
    <w:p w14:paraId="0574A3B2" w14:textId="77777777" w:rsidR="00D601E7" w:rsidRDefault="00D601E7">
      <w:pPr>
        <w:pStyle w:val="Heading3"/>
      </w:pPr>
      <w:r>
        <w:t>What are the impacts of each option?</w:t>
      </w:r>
    </w:p>
    <w:p w14:paraId="24826949" w14:textId="577AE0B6" w:rsidR="00D601E7" w:rsidRPr="00083B20" w:rsidRDefault="00D601E7">
      <w:r>
        <w:t xml:space="preserve">The sections below provide </w:t>
      </w:r>
      <w:r w:rsidR="003055D7">
        <w:t>an MCA</w:t>
      </w:r>
      <w:r>
        <w:t xml:space="preserve"> </w:t>
      </w:r>
      <w:r w:rsidR="00F45546">
        <w:t xml:space="preserve">assessment of </w:t>
      </w:r>
      <w:r>
        <w:t>the potential impacts of the proposed options on child safety outcomes, costs to stakeholders, implementation considerations, and distributional impacts, in line with the approach outlined in Chapter 4.</w:t>
      </w:r>
    </w:p>
    <w:p w14:paraId="507B23D8" w14:textId="77777777" w:rsidR="00D601E7" w:rsidRDefault="00D601E7">
      <w:pPr>
        <w:pStyle w:val="Heading4"/>
      </w:pPr>
      <w:r>
        <w:t xml:space="preserve">Multi-criteria analysis </w:t>
      </w:r>
    </w:p>
    <w:p w14:paraId="6AD97326" w14:textId="0370ACB5" w:rsidR="00D601E7" w:rsidRDefault="00D601E7">
      <w:r>
        <w:t xml:space="preserve">The MCA assesses the expected impact of each option by accounting for potential costs, child safety outcomes, implementation considerations, and distributional impacts. A detailed overview of the MCA framework underpinning this analysis is available in Chapter 4. </w:t>
      </w:r>
    </w:p>
    <w:p w14:paraId="707C0F33" w14:textId="7CC71CAA" w:rsidR="00D601E7" w:rsidRDefault="00D601E7">
      <w:pPr>
        <w:pStyle w:val="Caption"/>
      </w:pPr>
      <w:bookmarkStart w:id="70" w:name="_Toc205884931"/>
      <w:r>
        <w:t>Table 5.3: MCA outcomes – Managing the use of digital devices</w:t>
      </w:r>
      <w:bookmarkEnd w:id="7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5.3: MCA outcomes – Managing the use of digital devices"/>
        <w:tblDescription w:val="This table outlines the MCA outcomes for managing the use of digital devices."/>
      </w:tblPr>
      <w:tblGrid>
        <w:gridCol w:w="3397"/>
        <w:gridCol w:w="993"/>
        <w:gridCol w:w="1540"/>
        <w:gridCol w:w="1540"/>
        <w:gridCol w:w="1540"/>
      </w:tblGrid>
      <w:tr w:rsidR="00D601E7" w14:paraId="54482CD7" w14:textId="77777777" w:rsidTr="007A1ECC">
        <w:trPr>
          <w:tblHeader/>
        </w:trPr>
        <w:tc>
          <w:tcPr>
            <w:tcW w:w="3397" w:type="dxa"/>
            <w:shd w:val="clear" w:color="auto" w:fill="14233C" w:themeFill="text2"/>
          </w:tcPr>
          <w:p w14:paraId="62601AF3" w14:textId="77777777" w:rsidR="00D601E7" w:rsidRPr="00D67534" w:rsidRDefault="00D601E7">
            <w:pPr>
              <w:rPr>
                <w:b/>
                <w:color w:val="FFFFFF" w:themeColor="background1"/>
                <w:szCs w:val="20"/>
              </w:rPr>
            </w:pPr>
            <w:r w:rsidRPr="00D67534">
              <w:rPr>
                <w:b/>
                <w:color w:val="FFFFFF" w:themeColor="background1"/>
                <w:szCs w:val="20"/>
              </w:rPr>
              <w:t>Criteria</w:t>
            </w:r>
          </w:p>
        </w:tc>
        <w:tc>
          <w:tcPr>
            <w:tcW w:w="993" w:type="dxa"/>
            <w:shd w:val="clear" w:color="auto" w:fill="14233C" w:themeFill="text2"/>
          </w:tcPr>
          <w:p w14:paraId="1BF6CD32" w14:textId="77777777" w:rsidR="00D601E7" w:rsidRPr="00D67534" w:rsidRDefault="00D601E7">
            <w:pPr>
              <w:jc w:val="center"/>
              <w:rPr>
                <w:b/>
                <w:color w:val="FFFFFF" w:themeColor="background1"/>
                <w:szCs w:val="20"/>
              </w:rPr>
            </w:pPr>
            <w:r w:rsidRPr="00D67534">
              <w:rPr>
                <w:b/>
                <w:color w:val="FFFFFF" w:themeColor="background1"/>
                <w:szCs w:val="20"/>
              </w:rPr>
              <w:t>Weight</w:t>
            </w:r>
          </w:p>
        </w:tc>
        <w:tc>
          <w:tcPr>
            <w:tcW w:w="1540" w:type="dxa"/>
            <w:shd w:val="clear" w:color="auto" w:fill="14233C" w:themeFill="text2"/>
          </w:tcPr>
          <w:p w14:paraId="662AC6BC" w14:textId="77777777" w:rsidR="00D601E7" w:rsidRPr="00D67534" w:rsidRDefault="00D601E7">
            <w:pPr>
              <w:jc w:val="center"/>
              <w:rPr>
                <w:b/>
                <w:color w:val="FFFFFF" w:themeColor="background1"/>
                <w:szCs w:val="20"/>
              </w:rPr>
            </w:pPr>
            <w:r w:rsidRPr="00D67534">
              <w:rPr>
                <w:b/>
                <w:color w:val="FFFFFF" w:themeColor="background1"/>
                <w:szCs w:val="20"/>
              </w:rPr>
              <w:t>Option 1</w:t>
            </w:r>
          </w:p>
        </w:tc>
        <w:tc>
          <w:tcPr>
            <w:tcW w:w="1540" w:type="dxa"/>
            <w:shd w:val="clear" w:color="auto" w:fill="14233C" w:themeFill="text2"/>
          </w:tcPr>
          <w:p w14:paraId="121716C2" w14:textId="77777777" w:rsidR="00D601E7" w:rsidRPr="00D67534" w:rsidRDefault="00D601E7">
            <w:pPr>
              <w:jc w:val="center"/>
              <w:rPr>
                <w:b/>
                <w:color w:val="FFFFFF" w:themeColor="background1"/>
                <w:szCs w:val="20"/>
              </w:rPr>
            </w:pPr>
            <w:r w:rsidRPr="00D67534">
              <w:rPr>
                <w:b/>
                <w:color w:val="FFFFFF" w:themeColor="background1"/>
                <w:szCs w:val="20"/>
              </w:rPr>
              <w:t>Option 2</w:t>
            </w:r>
          </w:p>
        </w:tc>
        <w:tc>
          <w:tcPr>
            <w:tcW w:w="1540" w:type="dxa"/>
            <w:shd w:val="clear" w:color="auto" w:fill="14233C" w:themeFill="text2"/>
          </w:tcPr>
          <w:p w14:paraId="1AD0B8A4" w14:textId="77777777" w:rsidR="00D601E7" w:rsidRPr="00D67534" w:rsidRDefault="00D601E7">
            <w:pPr>
              <w:jc w:val="center"/>
              <w:rPr>
                <w:b/>
                <w:color w:val="FFFFFF" w:themeColor="background1"/>
                <w:szCs w:val="20"/>
              </w:rPr>
            </w:pPr>
            <w:r w:rsidRPr="00D67534">
              <w:rPr>
                <w:b/>
                <w:color w:val="FFFFFF" w:themeColor="background1"/>
                <w:szCs w:val="20"/>
              </w:rPr>
              <w:t>Option 3</w:t>
            </w:r>
          </w:p>
        </w:tc>
      </w:tr>
      <w:tr w:rsidR="00D601E7" w14:paraId="32DF2713" w14:textId="77777777" w:rsidTr="007A1ECC">
        <w:tc>
          <w:tcPr>
            <w:tcW w:w="3397" w:type="dxa"/>
          </w:tcPr>
          <w:p w14:paraId="6FED15F6" w14:textId="77777777" w:rsidR="00D601E7" w:rsidRPr="00D67534" w:rsidRDefault="00D601E7">
            <w:pPr>
              <w:rPr>
                <w:szCs w:val="20"/>
              </w:rPr>
            </w:pPr>
            <w:r w:rsidRPr="00D67534">
              <w:rPr>
                <w:szCs w:val="20"/>
              </w:rPr>
              <w:t>Improvement in child safety</w:t>
            </w:r>
          </w:p>
        </w:tc>
        <w:tc>
          <w:tcPr>
            <w:tcW w:w="993" w:type="dxa"/>
          </w:tcPr>
          <w:p w14:paraId="757060BF" w14:textId="5B596253" w:rsidR="00D601E7" w:rsidRPr="00D67534" w:rsidRDefault="00D601E7">
            <w:pPr>
              <w:jc w:val="center"/>
              <w:rPr>
                <w:szCs w:val="20"/>
              </w:rPr>
            </w:pPr>
            <w:r w:rsidRPr="00D67534">
              <w:rPr>
                <w:szCs w:val="20"/>
              </w:rPr>
              <w:t>50%</w:t>
            </w:r>
          </w:p>
        </w:tc>
        <w:tc>
          <w:tcPr>
            <w:tcW w:w="1540" w:type="dxa"/>
          </w:tcPr>
          <w:p w14:paraId="733C6C41" w14:textId="77777777" w:rsidR="00D601E7" w:rsidRPr="00D67534" w:rsidRDefault="00D601E7">
            <w:pPr>
              <w:jc w:val="center"/>
              <w:rPr>
                <w:szCs w:val="20"/>
              </w:rPr>
            </w:pPr>
            <w:r w:rsidRPr="00D67534">
              <w:rPr>
                <w:szCs w:val="20"/>
              </w:rPr>
              <w:t>0</w:t>
            </w:r>
          </w:p>
        </w:tc>
        <w:tc>
          <w:tcPr>
            <w:tcW w:w="1540" w:type="dxa"/>
          </w:tcPr>
          <w:p w14:paraId="7011F6F7" w14:textId="200B89ED" w:rsidR="00D601E7" w:rsidRPr="00D67534" w:rsidRDefault="006B777D">
            <w:pPr>
              <w:jc w:val="center"/>
              <w:rPr>
                <w:szCs w:val="20"/>
              </w:rPr>
            </w:pPr>
            <w:r>
              <w:rPr>
                <w:szCs w:val="20"/>
              </w:rPr>
              <w:t>5</w:t>
            </w:r>
          </w:p>
        </w:tc>
        <w:tc>
          <w:tcPr>
            <w:tcW w:w="1540" w:type="dxa"/>
          </w:tcPr>
          <w:p w14:paraId="7C3C5D95" w14:textId="1F232B70" w:rsidR="00D601E7" w:rsidRPr="00D67534" w:rsidRDefault="00D601E7">
            <w:pPr>
              <w:jc w:val="center"/>
              <w:rPr>
                <w:szCs w:val="20"/>
              </w:rPr>
            </w:pPr>
            <w:r>
              <w:rPr>
                <w:szCs w:val="20"/>
              </w:rPr>
              <w:t>7</w:t>
            </w:r>
          </w:p>
        </w:tc>
      </w:tr>
      <w:tr w:rsidR="00D601E7" w14:paraId="2D8ACC89" w14:textId="77777777" w:rsidTr="007A1ECC">
        <w:tc>
          <w:tcPr>
            <w:tcW w:w="3397" w:type="dxa"/>
          </w:tcPr>
          <w:p w14:paraId="35EAC6D0" w14:textId="77777777" w:rsidR="00D601E7" w:rsidRPr="00D67534" w:rsidRDefault="00D601E7">
            <w:pPr>
              <w:rPr>
                <w:szCs w:val="20"/>
              </w:rPr>
            </w:pPr>
            <w:r w:rsidRPr="00D67534">
              <w:rPr>
                <w:szCs w:val="20"/>
              </w:rPr>
              <w:t>Net cost of policy option</w:t>
            </w:r>
          </w:p>
        </w:tc>
        <w:tc>
          <w:tcPr>
            <w:tcW w:w="993" w:type="dxa"/>
          </w:tcPr>
          <w:p w14:paraId="0AD9FB46" w14:textId="0F1DF2FB" w:rsidR="00D601E7" w:rsidRPr="00D67534" w:rsidRDefault="00D601E7">
            <w:pPr>
              <w:jc w:val="center"/>
              <w:rPr>
                <w:szCs w:val="20"/>
              </w:rPr>
            </w:pPr>
            <w:r w:rsidRPr="00D67534">
              <w:rPr>
                <w:szCs w:val="20"/>
              </w:rPr>
              <w:t>30%</w:t>
            </w:r>
          </w:p>
        </w:tc>
        <w:tc>
          <w:tcPr>
            <w:tcW w:w="1540" w:type="dxa"/>
          </w:tcPr>
          <w:p w14:paraId="67895A82" w14:textId="77777777" w:rsidR="00D601E7" w:rsidRPr="00D67534" w:rsidRDefault="00D601E7">
            <w:pPr>
              <w:jc w:val="center"/>
              <w:rPr>
                <w:szCs w:val="20"/>
              </w:rPr>
            </w:pPr>
            <w:r w:rsidRPr="00D67534">
              <w:rPr>
                <w:szCs w:val="20"/>
              </w:rPr>
              <w:t>0</w:t>
            </w:r>
          </w:p>
        </w:tc>
        <w:tc>
          <w:tcPr>
            <w:tcW w:w="1540" w:type="dxa"/>
          </w:tcPr>
          <w:p w14:paraId="1B622244" w14:textId="594B41D0" w:rsidR="00D601E7" w:rsidRPr="00D67534" w:rsidRDefault="00D601E7">
            <w:pPr>
              <w:jc w:val="center"/>
              <w:rPr>
                <w:szCs w:val="20"/>
              </w:rPr>
            </w:pPr>
            <w:r>
              <w:rPr>
                <w:szCs w:val="20"/>
              </w:rPr>
              <w:t>-5</w:t>
            </w:r>
          </w:p>
        </w:tc>
        <w:tc>
          <w:tcPr>
            <w:tcW w:w="1540" w:type="dxa"/>
          </w:tcPr>
          <w:p w14:paraId="1EC959E8" w14:textId="75B6FA79" w:rsidR="00D601E7" w:rsidRPr="00D67534" w:rsidRDefault="00D601E7">
            <w:pPr>
              <w:jc w:val="center"/>
              <w:rPr>
                <w:szCs w:val="20"/>
              </w:rPr>
            </w:pPr>
            <w:r>
              <w:rPr>
                <w:szCs w:val="20"/>
              </w:rPr>
              <w:t>-</w:t>
            </w:r>
            <w:r w:rsidR="006B777D">
              <w:rPr>
                <w:szCs w:val="20"/>
              </w:rPr>
              <w:t>6</w:t>
            </w:r>
          </w:p>
        </w:tc>
      </w:tr>
      <w:tr w:rsidR="00D601E7" w14:paraId="6C4A66BA" w14:textId="77777777" w:rsidTr="007A1ECC">
        <w:tc>
          <w:tcPr>
            <w:tcW w:w="3397" w:type="dxa"/>
          </w:tcPr>
          <w:p w14:paraId="40D56089" w14:textId="5504D732" w:rsidR="00D601E7" w:rsidRPr="00D67534" w:rsidRDefault="00D601E7">
            <w:pPr>
              <w:rPr>
                <w:szCs w:val="20"/>
              </w:rPr>
            </w:pPr>
            <w:r>
              <w:rPr>
                <w:szCs w:val="20"/>
              </w:rPr>
              <w:t>Implementation considerations</w:t>
            </w:r>
          </w:p>
        </w:tc>
        <w:tc>
          <w:tcPr>
            <w:tcW w:w="993" w:type="dxa"/>
          </w:tcPr>
          <w:p w14:paraId="54E54D85" w14:textId="0AFF3F15" w:rsidR="00D601E7" w:rsidRPr="00D67534" w:rsidRDefault="00D601E7">
            <w:pPr>
              <w:jc w:val="center"/>
              <w:rPr>
                <w:szCs w:val="20"/>
              </w:rPr>
            </w:pPr>
            <w:r w:rsidRPr="00D67534">
              <w:rPr>
                <w:szCs w:val="20"/>
              </w:rPr>
              <w:t>10%</w:t>
            </w:r>
          </w:p>
        </w:tc>
        <w:tc>
          <w:tcPr>
            <w:tcW w:w="1540" w:type="dxa"/>
          </w:tcPr>
          <w:p w14:paraId="7BDBDAC7" w14:textId="77777777" w:rsidR="00D601E7" w:rsidRPr="00D67534" w:rsidRDefault="00D601E7">
            <w:pPr>
              <w:jc w:val="center"/>
              <w:rPr>
                <w:szCs w:val="20"/>
              </w:rPr>
            </w:pPr>
            <w:r w:rsidRPr="00D67534">
              <w:rPr>
                <w:szCs w:val="20"/>
              </w:rPr>
              <w:t>0</w:t>
            </w:r>
          </w:p>
        </w:tc>
        <w:tc>
          <w:tcPr>
            <w:tcW w:w="1540" w:type="dxa"/>
          </w:tcPr>
          <w:p w14:paraId="3C6500F9" w14:textId="2D1A738E" w:rsidR="00D601E7" w:rsidRPr="00D67534" w:rsidRDefault="00D601E7">
            <w:pPr>
              <w:jc w:val="center"/>
              <w:rPr>
                <w:szCs w:val="20"/>
              </w:rPr>
            </w:pPr>
            <w:r>
              <w:rPr>
                <w:szCs w:val="20"/>
              </w:rPr>
              <w:t>-2</w:t>
            </w:r>
          </w:p>
        </w:tc>
        <w:tc>
          <w:tcPr>
            <w:tcW w:w="1540" w:type="dxa"/>
          </w:tcPr>
          <w:p w14:paraId="09E333E4" w14:textId="436262CC" w:rsidR="00D601E7" w:rsidRPr="00D67534" w:rsidRDefault="00D601E7">
            <w:pPr>
              <w:jc w:val="center"/>
              <w:rPr>
                <w:szCs w:val="20"/>
              </w:rPr>
            </w:pPr>
            <w:r>
              <w:rPr>
                <w:szCs w:val="20"/>
              </w:rPr>
              <w:t>-6</w:t>
            </w:r>
          </w:p>
        </w:tc>
      </w:tr>
      <w:tr w:rsidR="00D601E7" w14:paraId="2763B75F" w14:textId="77777777" w:rsidTr="007A1ECC">
        <w:tc>
          <w:tcPr>
            <w:tcW w:w="3397" w:type="dxa"/>
          </w:tcPr>
          <w:p w14:paraId="7D53D08C" w14:textId="77777777" w:rsidR="00D601E7" w:rsidRPr="00D67534" w:rsidRDefault="00D601E7">
            <w:pPr>
              <w:rPr>
                <w:szCs w:val="20"/>
              </w:rPr>
            </w:pPr>
            <w:r w:rsidRPr="00D67534">
              <w:rPr>
                <w:szCs w:val="20"/>
              </w:rPr>
              <w:t>Distributional impact</w:t>
            </w:r>
          </w:p>
        </w:tc>
        <w:tc>
          <w:tcPr>
            <w:tcW w:w="993" w:type="dxa"/>
          </w:tcPr>
          <w:p w14:paraId="1374891E" w14:textId="7D23CF6F" w:rsidR="00D601E7" w:rsidRPr="00D67534" w:rsidRDefault="00D601E7">
            <w:pPr>
              <w:jc w:val="center"/>
              <w:rPr>
                <w:szCs w:val="20"/>
              </w:rPr>
            </w:pPr>
            <w:r w:rsidRPr="00D67534">
              <w:rPr>
                <w:szCs w:val="20"/>
              </w:rPr>
              <w:t>10%</w:t>
            </w:r>
          </w:p>
        </w:tc>
        <w:tc>
          <w:tcPr>
            <w:tcW w:w="1540" w:type="dxa"/>
          </w:tcPr>
          <w:p w14:paraId="78BCF9EB" w14:textId="77777777" w:rsidR="00D601E7" w:rsidRPr="00D67534" w:rsidRDefault="00D601E7">
            <w:pPr>
              <w:jc w:val="center"/>
              <w:rPr>
                <w:szCs w:val="20"/>
              </w:rPr>
            </w:pPr>
            <w:r w:rsidRPr="00D67534">
              <w:rPr>
                <w:szCs w:val="20"/>
              </w:rPr>
              <w:t>0</w:t>
            </w:r>
          </w:p>
        </w:tc>
        <w:tc>
          <w:tcPr>
            <w:tcW w:w="1540" w:type="dxa"/>
          </w:tcPr>
          <w:p w14:paraId="04CCAB27" w14:textId="0EC320D5" w:rsidR="00D601E7" w:rsidRPr="00D67534" w:rsidRDefault="00D601E7">
            <w:pPr>
              <w:jc w:val="center"/>
              <w:rPr>
                <w:szCs w:val="20"/>
              </w:rPr>
            </w:pPr>
            <w:r>
              <w:rPr>
                <w:szCs w:val="20"/>
              </w:rPr>
              <w:t>-5</w:t>
            </w:r>
          </w:p>
        </w:tc>
        <w:tc>
          <w:tcPr>
            <w:tcW w:w="1540" w:type="dxa"/>
          </w:tcPr>
          <w:p w14:paraId="3ACEB788" w14:textId="07B3E8B3" w:rsidR="00D601E7" w:rsidRPr="00D67534" w:rsidRDefault="00D601E7">
            <w:pPr>
              <w:jc w:val="center"/>
              <w:rPr>
                <w:szCs w:val="20"/>
              </w:rPr>
            </w:pPr>
            <w:r>
              <w:rPr>
                <w:szCs w:val="20"/>
              </w:rPr>
              <w:t>-</w:t>
            </w:r>
            <w:r w:rsidR="00B15D21">
              <w:rPr>
                <w:szCs w:val="20"/>
              </w:rPr>
              <w:t>5</w:t>
            </w:r>
          </w:p>
        </w:tc>
      </w:tr>
      <w:tr w:rsidR="00D601E7" w14:paraId="219546B8" w14:textId="77777777" w:rsidTr="007A1ECC">
        <w:tc>
          <w:tcPr>
            <w:tcW w:w="3397" w:type="dxa"/>
          </w:tcPr>
          <w:p w14:paraId="377E7E9F" w14:textId="3BDC21FA" w:rsidR="00D601E7" w:rsidRPr="00D67534" w:rsidRDefault="00D601E7">
            <w:pPr>
              <w:rPr>
                <w:b/>
                <w:szCs w:val="20"/>
              </w:rPr>
            </w:pPr>
            <w:r w:rsidRPr="00D67534">
              <w:rPr>
                <w:b/>
                <w:szCs w:val="20"/>
              </w:rPr>
              <w:t>Weighted score</w:t>
            </w:r>
          </w:p>
        </w:tc>
        <w:tc>
          <w:tcPr>
            <w:tcW w:w="993" w:type="dxa"/>
          </w:tcPr>
          <w:p w14:paraId="0ACC5BB4" w14:textId="77777777" w:rsidR="00D601E7" w:rsidRPr="00D67534" w:rsidRDefault="00D601E7">
            <w:pPr>
              <w:jc w:val="center"/>
              <w:rPr>
                <w:szCs w:val="20"/>
              </w:rPr>
            </w:pPr>
          </w:p>
        </w:tc>
        <w:tc>
          <w:tcPr>
            <w:tcW w:w="1540" w:type="dxa"/>
          </w:tcPr>
          <w:p w14:paraId="5CE6B5DF" w14:textId="77777777" w:rsidR="00D601E7" w:rsidRPr="00D67534" w:rsidRDefault="00D601E7">
            <w:pPr>
              <w:jc w:val="center"/>
              <w:rPr>
                <w:b/>
                <w:szCs w:val="20"/>
              </w:rPr>
            </w:pPr>
            <w:r w:rsidRPr="00D67534">
              <w:rPr>
                <w:b/>
                <w:szCs w:val="20"/>
              </w:rPr>
              <w:t>0</w:t>
            </w:r>
          </w:p>
        </w:tc>
        <w:tc>
          <w:tcPr>
            <w:tcW w:w="1540" w:type="dxa"/>
          </w:tcPr>
          <w:p w14:paraId="19DC0FAB" w14:textId="1BF2CE81" w:rsidR="00D601E7" w:rsidRPr="00D67534" w:rsidRDefault="00D601E7">
            <w:pPr>
              <w:jc w:val="center"/>
              <w:rPr>
                <w:b/>
                <w:szCs w:val="20"/>
              </w:rPr>
            </w:pPr>
            <w:r>
              <w:rPr>
                <w:b/>
                <w:szCs w:val="20"/>
              </w:rPr>
              <w:t>0.</w:t>
            </w:r>
            <w:r w:rsidR="007971DB">
              <w:rPr>
                <w:b/>
                <w:szCs w:val="20"/>
              </w:rPr>
              <w:t>3</w:t>
            </w:r>
          </w:p>
        </w:tc>
        <w:tc>
          <w:tcPr>
            <w:tcW w:w="1540" w:type="dxa"/>
          </w:tcPr>
          <w:p w14:paraId="2A51DCED" w14:textId="212CED29" w:rsidR="00D601E7" w:rsidRPr="00D67534" w:rsidRDefault="007971DB">
            <w:pPr>
              <w:jc w:val="center"/>
              <w:rPr>
                <w:b/>
                <w:szCs w:val="20"/>
              </w:rPr>
            </w:pPr>
            <w:r>
              <w:rPr>
                <w:b/>
                <w:szCs w:val="20"/>
              </w:rPr>
              <w:t>0.6</w:t>
            </w:r>
          </w:p>
        </w:tc>
      </w:tr>
    </w:tbl>
    <w:p w14:paraId="76C6B36B" w14:textId="2FCFF197" w:rsidR="00D601E7" w:rsidRPr="00273D6E" w:rsidRDefault="00D601E7">
      <w:pPr>
        <w:pStyle w:val="Source"/>
      </w:pPr>
      <w:r>
        <w:t xml:space="preserve">Note: </w:t>
      </w:r>
      <w:r w:rsidRPr="009C4607">
        <w:t>Option 1 - the status quo - receives a score of zero across all criteria, as explained in Chapter 4.</w:t>
      </w:r>
    </w:p>
    <w:p w14:paraId="57F98ABC" w14:textId="4BF69909" w:rsidR="00D601E7" w:rsidRDefault="00D601E7">
      <w:r w:rsidRPr="001C3B7A">
        <w:t xml:space="preserve">These weighted scores show that both </w:t>
      </w:r>
      <w:r>
        <w:t>o</w:t>
      </w:r>
      <w:r w:rsidRPr="001C3B7A">
        <w:t>ption</w:t>
      </w:r>
      <w:r>
        <w:t>s</w:t>
      </w:r>
      <w:r w:rsidRPr="001C3B7A">
        <w:t xml:space="preserve"> 2 and 3 are expected to have a net positive impact on improvement in child safety even after accounting for some potentially large costs and implementation risks. While </w:t>
      </w:r>
      <w:r>
        <w:t>o</w:t>
      </w:r>
      <w:r w:rsidRPr="001C3B7A">
        <w:t xml:space="preserve">ption </w:t>
      </w:r>
      <w:r w:rsidR="002740CB">
        <w:t>2</w:t>
      </w:r>
      <w:r w:rsidRPr="001C3B7A">
        <w:t xml:space="preserve"> receives a lower weighted score than </w:t>
      </w:r>
      <w:r>
        <w:t>o</w:t>
      </w:r>
      <w:r w:rsidRPr="001C3B7A">
        <w:t xml:space="preserve">ption </w:t>
      </w:r>
      <w:r w:rsidR="002740CB">
        <w:t>3</w:t>
      </w:r>
      <w:r w:rsidR="002740CB" w:rsidRPr="001C3B7A">
        <w:t xml:space="preserve"> </w:t>
      </w:r>
      <w:r w:rsidRPr="001C3B7A">
        <w:t xml:space="preserve">reflecting </w:t>
      </w:r>
      <w:r w:rsidR="002740CB">
        <w:t>the lower benefits to child safety relative to the cost of the option</w:t>
      </w:r>
      <w:r w:rsidRPr="001C3B7A">
        <w:t>, it is still a net positive score, based on the higher weight placed on child safety than other criteri</w:t>
      </w:r>
      <w:r w:rsidR="002740CB">
        <w:t>on</w:t>
      </w:r>
      <w:r w:rsidRPr="001C3B7A">
        <w:t xml:space="preserve">, consistent with the preferences and objectives of </w:t>
      </w:r>
      <w:r w:rsidR="000822EF">
        <w:t>governments</w:t>
      </w:r>
      <w:r w:rsidRPr="001C3B7A">
        <w:t>.</w:t>
      </w:r>
    </w:p>
    <w:p w14:paraId="288DA796" w14:textId="62A1DF2B" w:rsidR="00FB5521" w:rsidRPr="00EA3445" w:rsidRDefault="00FB5521" w:rsidP="00FB5521">
      <w:r>
        <w:t xml:space="preserve">It should be noted that while the MCA currently </w:t>
      </w:r>
      <w:r w:rsidR="00D47835">
        <w:t xml:space="preserve">applies scores </w:t>
      </w:r>
      <w:r>
        <w:t xml:space="preserve">based on the options that were </w:t>
      </w:r>
      <w:r w:rsidR="001377F5">
        <w:t>outlined in the CRIS</w:t>
      </w:r>
      <w:r>
        <w:t>, the</w:t>
      </w:r>
      <w:r w:rsidR="00444A15">
        <w:t xml:space="preserve"> </w:t>
      </w:r>
      <w:r w:rsidR="00EA3445">
        <w:t>design and</w:t>
      </w:r>
      <w:r>
        <w:t xml:space="preserve"> implementation of these options </w:t>
      </w:r>
      <w:r w:rsidR="008C6A76">
        <w:t xml:space="preserve">may </w:t>
      </w:r>
      <w:r w:rsidR="00EA3445">
        <w:t xml:space="preserve">in practice </w:t>
      </w:r>
      <w:r w:rsidR="008C6A76">
        <w:lastRenderedPageBreak/>
        <w:t xml:space="preserve">reduce </w:t>
      </w:r>
      <w:r w:rsidR="00D33087">
        <w:t>costs</w:t>
      </w:r>
      <w:r w:rsidR="00EA3445">
        <w:t xml:space="preserve"> or mitigate</w:t>
      </w:r>
      <w:r w:rsidR="00D33087">
        <w:t xml:space="preserve"> implementation considerations, and distributional impacts</w:t>
      </w:r>
      <w:r>
        <w:t xml:space="preserve">, particularly related to FDC settings and excursions. These implementation considerations are outlined in </w:t>
      </w:r>
      <w:r>
        <w:rPr>
          <w:i/>
          <w:iCs/>
        </w:rPr>
        <w:t>What is the recommended option(s) and how will it be implemented?</w:t>
      </w:r>
      <w:r w:rsidR="00EA3445">
        <w:rPr>
          <w:i/>
          <w:iCs/>
        </w:rPr>
        <w:t xml:space="preserve"> </w:t>
      </w:r>
      <w:r w:rsidR="00EA3445">
        <w:t>Further consultation with the sector during the design and implementation of regulatory options</w:t>
      </w:r>
      <w:r w:rsidR="001377F5">
        <w:t xml:space="preserve"> will support efforts to mitigate </w:t>
      </w:r>
      <w:r w:rsidR="005D2D68">
        <w:t xml:space="preserve">such impacts. </w:t>
      </w:r>
    </w:p>
    <w:p w14:paraId="3F6CA275" w14:textId="4BDBBB47" w:rsidR="00D601E7" w:rsidRDefault="00D601E7">
      <w:pPr>
        <w:pStyle w:val="Heading4"/>
      </w:pPr>
      <w:r>
        <w:t xml:space="preserve">Impact on child safety </w:t>
      </w:r>
    </w:p>
    <w:p w14:paraId="69FCB0BB" w14:textId="6816A140" w:rsidR="00A25898" w:rsidRDefault="00A25898">
      <w:r>
        <w:t xml:space="preserve">It is acknowledged that the status quo (as described in Table 5.2) </w:t>
      </w:r>
      <w:r w:rsidR="00A951F1">
        <w:t xml:space="preserve">may reduce the likelihood of inappropriate usage of digital devices – however, the </w:t>
      </w:r>
      <w:r w:rsidR="00CF767F">
        <w:t xml:space="preserve">potential benefits generated will be dependent on several factors, including the number of providers who choose to implement guidance included in the National Model Code and Guidelines and the NQF Online Safety Guide. </w:t>
      </w:r>
    </w:p>
    <w:p w14:paraId="4618B541" w14:textId="59895799" w:rsidR="00D601E7" w:rsidRDefault="00D601E7">
      <w:r>
        <w:t xml:space="preserve">Option 2 and option 3 both generate </w:t>
      </w:r>
      <w:r w:rsidR="00A25898">
        <w:t xml:space="preserve">incremental </w:t>
      </w:r>
      <w:r>
        <w:t>benefits</w:t>
      </w:r>
      <w:r w:rsidR="00A25898">
        <w:t xml:space="preserve"> compared to the status quo</w:t>
      </w:r>
      <w:r>
        <w:t xml:space="preserve"> by reducing the likelihood that images and videos of children attending education and care services are handled inappropriately. If </w:t>
      </w:r>
      <w:r w:rsidR="000822EF">
        <w:t xml:space="preserve">only </w:t>
      </w:r>
      <w:r>
        <w:t xml:space="preserve">service-issued devices are used to take and store images and videos involving children, it </w:t>
      </w:r>
      <w:r w:rsidR="00091F6D">
        <w:t xml:space="preserve">should </w:t>
      </w:r>
      <w:r w:rsidR="000822EF">
        <w:t xml:space="preserve">reduce </w:t>
      </w:r>
      <w:r>
        <w:t xml:space="preserve">the </w:t>
      </w:r>
      <w:r w:rsidR="00091F6D">
        <w:t xml:space="preserve">potential </w:t>
      </w:r>
      <w:r>
        <w:t>risk that individuals could obtain and distribute images and videos inappropriately. Moreover, approved providers will have greater oversight about the nature of digital content generated in services, as well as the quantity of content being produced and how it is being appropriately stored and disposed of.</w:t>
      </w:r>
    </w:p>
    <w:p w14:paraId="6B672FCA" w14:textId="4A945CA8" w:rsidR="00D601E7" w:rsidRDefault="00AD4A48" w:rsidP="00AD4A48">
      <w:r>
        <w:t>Option 3 goes further by requiring that personal devices capable of taking and storing images and videos (such as tablets, phones, digital cameras and smart watches) may not be in the po</w:t>
      </w:r>
      <w:r w:rsidR="00CE74A7">
        <w:t>s</w:t>
      </w:r>
      <w:r>
        <w:t xml:space="preserve">session of persons providing education and care for children except in the case of defined exempt circumstances. </w:t>
      </w:r>
      <w:r w:rsidR="00D601E7">
        <w:t xml:space="preserve">This makes it relatively more difficult for individuals providing education and care to use their personal device to generate inappropriate digital content relating to children attending education and care services. </w:t>
      </w:r>
      <w:r w:rsidR="00262679">
        <w:t xml:space="preserve">It also makes it easier for approved providers to monitor device </w:t>
      </w:r>
      <w:r w:rsidR="00D3432D">
        <w:t xml:space="preserve">use </w:t>
      </w:r>
      <w:r w:rsidR="00C865D4">
        <w:t xml:space="preserve">if personal digital devices are not in a person’s possession. </w:t>
      </w:r>
      <w:r w:rsidR="00D601E7">
        <w:t>Further, it reduces the risk that images or videos of children (including inappropriate content) will be distributed, intentionally or unintentionally.</w:t>
      </w:r>
    </w:p>
    <w:p w14:paraId="3CEE47D2" w14:textId="58158B1C" w:rsidR="00D601E7" w:rsidRDefault="00D601E7">
      <w:r>
        <w:t>The proposed changes to the National Law and National Regulations under options 2 and 3 would provide national consistency regarding the use of service-issued devices and make clear that the use of personal devices to take images or videos of children in education and care services is not appropriate. The penalty for a breach of the National Law would likely be significant and may act as an incentive for compliance.</w:t>
      </w:r>
    </w:p>
    <w:p w14:paraId="79E889FE" w14:textId="0998248F" w:rsidR="00D601E7" w:rsidRDefault="00D601E7">
      <w:r>
        <w:lastRenderedPageBreak/>
        <w:t xml:space="preserve">Survey respondents shared sentiment that options 2 and 3 would result in improvements to </w:t>
      </w:r>
      <w:r w:rsidRPr="00B23F8A">
        <w:t>child safety</w:t>
      </w:r>
      <w:r w:rsidR="00FF282B">
        <w:t xml:space="preserve"> (noting the view of stakeholders was not entirely </w:t>
      </w:r>
      <w:r w:rsidR="00632ED0">
        <w:t>reflected in expert advice, provided later in this section).</w:t>
      </w:r>
      <w:r w:rsidRPr="00B23F8A">
        <w:t xml:space="preserve"> </w:t>
      </w:r>
      <w:r>
        <w:t xml:space="preserve">Approved providers indicated that options 2 and 3 would either </w:t>
      </w:r>
      <w:r w:rsidR="00751040">
        <w:t>‘</w:t>
      </w:r>
      <w:r>
        <w:t>somewhat reduce</w:t>
      </w:r>
      <w:r w:rsidR="00751040">
        <w:t>’</w:t>
      </w:r>
      <w:r>
        <w:t xml:space="preserve"> or </w:t>
      </w:r>
      <w:r w:rsidR="00751040">
        <w:t>‘</w:t>
      </w:r>
      <w:r>
        <w:t>greatly reduce</w:t>
      </w:r>
      <w:r w:rsidR="00751040">
        <w:t>’</w:t>
      </w:r>
      <w:r>
        <w:t xml:space="preserve"> the risk of harm to children, with a higher share of respondents nominating that option 3 would </w:t>
      </w:r>
      <w:r w:rsidR="00751040">
        <w:t>‘</w:t>
      </w:r>
      <w:r>
        <w:t>greatly reduce</w:t>
      </w:r>
      <w:r w:rsidR="00751040">
        <w:t>’</w:t>
      </w:r>
      <w:r>
        <w:t xml:space="preserve"> the risk of harm (refer to Chart 5.1). Families, parents, and caregivers mostly indicated that option 2 would ‘somewhat reduce</w:t>
      </w:r>
      <w:r w:rsidR="00751040">
        <w:t>’</w:t>
      </w:r>
      <w:r>
        <w:t xml:space="preserve"> the risk of harm (53%) and 52% indicated that option 3 would ‘greatly reduce</w:t>
      </w:r>
      <w:r w:rsidR="00751040">
        <w:t>’</w:t>
      </w:r>
      <w:r>
        <w:t xml:space="preserve"> the risk of harm to children (refer to Appendix </w:t>
      </w:r>
      <w:r w:rsidR="002A2A5A">
        <w:t>Chart</w:t>
      </w:r>
      <w:r>
        <w:t xml:space="preserve"> 12.3</w:t>
      </w:r>
      <w:r w:rsidR="002A2A5A">
        <w:t>.1.3</w:t>
      </w:r>
      <w:r>
        <w:t xml:space="preserve">). </w:t>
      </w:r>
      <w:r w:rsidR="00701FA6">
        <w:t xml:space="preserve">At the approved provider level, </w:t>
      </w:r>
      <w:r w:rsidR="004E6053">
        <w:t>survey responses did not significantly vary among provider type.</w:t>
      </w:r>
    </w:p>
    <w:p w14:paraId="1F6A24F6" w14:textId="275A97BD" w:rsidR="00D601E7" w:rsidRPr="00AD0891" w:rsidRDefault="00D601E7">
      <w:pPr>
        <w:pStyle w:val="Caption"/>
      </w:pPr>
      <w:bookmarkStart w:id="71" w:name="_Toc205884932"/>
      <w:r w:rsidRPr="00AD0891">
        <w:t>Chart</w:t>
      </w:r>
      <w:r>
        <w:t xml:space="preserve"> </w:t>
      </w:r>
      <w:r w:rsidRPr="00AD0891">
        <w:t xml:space="preserve">5.1: Approved provider responses to </w:t>
      </w:r>
      <w:r w:rsidRPr="00057988">
        <w:t>“How much do you think each option will reduce the risk of harm to children?”</w:t>
      </w:r>
      <w:bookmarkEnd w:id="71"/>
    </w:p>
    <w:p w14:paraId="73849333" w14:textId="13D10881" w:rsidR="00D601E7" w:rsidRDefault="00D601E7">
      <w:pPr>
        <w:rPr>
          <w:i/>
          <w:iCs/>
        </w:rPr>
      </w:pPr>
      <w:r w:rsidRPr="00F64B5C">
        <w:rPr>
          <w:noProof/>
          <w14:ligatures w14:val="standardContextual"/>
        </w:rPr>
        <w:drawing>
          <wp:inline distT="0" distB="0" distL="0" distR="0" wp14:anchorId="6646149E" wp14:editId="03A810C0">
            <wp:extent cx="5727700" cy="1714500"/>
            <wp:effectExtent l="0" t="0" r="6350" b="0"/>
            <wp:docPr id="1463173545"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AEF7C4DF-2506-B76A-A30F-E6EC4C806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2A799F" w14:textId="56802E9D" w:rsidR="00D601E7" w:rsidRPr="00636B94" w:rsidRDefault="00D601E7" w:rsidP="00976C70">
      <w:pPr>
        <w:pStyle w:val="Source-CSR"/>
      </w:pPr>
      <w:r w:rsidRPr="00057988">
        <w:t xml:space="preserve">Source: Approved provider survey, as of </w:t>
      </w:r>
      <w:r w:rsidRPr="00636B94">
        <w:t>11 June 2025, option 1 n=220, option 2 n=217, option 3 n=219.</w:t>
      </w:r>
    </w:p>
    <w:p w14:paraId="63BBFC8F" w14:textId="272AFAEC" w:rsidR="00D601E7" w:rsidRDefault="00D601E7">
      <w:r>
        <w:t xml:space="preserve">Respondents to the workforce survey indicated that they believed that both options 2 and 3 were more likely to only </w:t>
      </w:r>
      <w:r w:rsidR="00E1085F">
        <w:t>‘</w:t>
      </w:r>
      <w:r>
        <w:t>somewhat reduce</w:t>
      </w:r>
      <w:r w:rsidR="00E1085F">
        <w:t>’</w:t>
      </w:r>
      <w:r>
        <w:t xml:space="preserve"> the risk of harm to children (refer to Chart 5.2). However, this view is swayed by </w:t>
      </w:r>
      <w:r w:rsidR="00DB0953">
        <w:t xml:space="preserve">a disproportionate number </w:t>
      </w:r>
      <w:r>
        <w:t>of the FDC workforce responding to the survey</w:t>
      </w:r>
      <w:r w:rsidR="00DB0953">
        <w:t xml:space="preserve"> (</w:t>
      </w:r>
      <w:r w:rsidR="0050230E">
        <w:t>over half of total workforce respondents)</w:t>
      </w:r>
      <w:r>
        <w:t xml:space="preserve">, who were not in favour of the regulatory options. </w:t>
      </w:r>
      <w:r w:rsidR="00337964">
        <w:t>Stakeholder feedback collected through consultative activities indicate that</w:t>
      </w:r>
      <w:r w:rsidR="0060215C">
        <w:t xml:space="preserve"> FDCs do not </w:t>
      </w:r>
      <w:r w:rsidR="008D01CF">
        <w:t>perceive</w:t>
      </w:r>
      <w:r w:rsidR="00337964">
        <w:t xml:space="preserve"> </w:t>
      </w:r>
      <w:r w:rsidR="0060215C">
        <w:t>there to be a risk to the safety of children from personal device use in their settings</w:t>
      </w:r>
      <w:r w:rsidR="00337964">
        <w:t xml:space="preserve"> compared to other provider settings (e.g. centre-based settings)</w:t>
      </w:r>
      <w:r w:rsidR="008D01CF">
        <w:t>.</w:t>
      </w:r>
      <w:r w:rsidR="00444A15">
        <w:t xml:space="preserve"> </w:t>
      </w:r>
    </w:p>
    <w:p w14:paraId="49B0B2B9" w14:textId="7CB04A7F" w:rsidR="00D601E7" w:rsidRPr="00DA4F42" w:rsidRDefault="00D601E7">
      <w:pPr>
        <w:pStyle w:val="Caption"/>
      </w:pPr>
      <w:bookmarkStart w:id="72" w:name="_Toc205884933"/>
      <w:r>
        <w:lastRenderedPageBreak/>
        <w:t xml:space="preserve">Chart 5.2: </w:t>
      </w:r>
      <w:r w:rsidRPr="00DA4F42">
        <w:t>Workforce responses to “How much do you think each option will reduce the risk of harm to children?”</w:t>
      </w:r>
      <w:bookmarkEnd w:id="72"/>
    </w:p>
    <w:p w14:paraId="1AC5388E" w14:textId="55400B2A" w:rsidR="00D601E7" w:rsidRPr="00DA4F42" w:rsidRDefault="00D601E7">
      <w:pPr>
        <w:pStyle w:val="Source"/>
      </w:pPr>
      <w:r w:rsidRPr="00DA4F42">
        <w:rPr>
          <w:noProof/>
          <w14:ligatures w14:val="standardContextual"/>
        </w:rPr>
        <w:drawing>
          <wp:inline distT="0" distB="0" distL="0" distR="0" wp14:anchorId="5AF20087" wp14:editId="7D656581">
            <wp:extent cx="5427345" cy="1990725"/>
            <wp:effectExtent l="0" t="0" r="1905" b="0"/>
            <wp:docPr id="1984723595" name="Chart 1" descr="Chart outlining workforce responses to the survey question &quot;How do you think each option will reduce the risk of harm to children?&quot;">
              <a:extLst xmlns:a="http://schemas.openxmlformats.org/drawingml/2006/main">
                <a:ext uri="{FF2B5EF4-FFF2-40B4-BE49-F238E27FC236}">
                  <a16:creationId xmlns:a16="http://schemas.microsoft.com/office/drawing/2014/main" id="{A609B29A-8AD9-07B3-608A-301B7E89E5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B174ECB" w14:textId="77777777" w:rsidR="00D601E7" w:rsidRPr="00DA4F42" w:rsidRDefault="00D601E7">
      <w:pPr>
        <w:pStyle w:val="Source"/>
      </w:pPr>
      <w:r w:rsidRPr="00DA4F42">
        <w:t>Source: Workforce survey, as of 11 June 2025, Q13, option 1 n=377, option 2 n=366, option 3 n=363.</w:t>
      </w:r>
    </w:p>
    <w:p w14:paraId="000BF7B5" w14:textId="072304C3" w:rsidR="00D601E7" w:rsidRDefault="00D601E7">
      <w:r>
        <w:t>Through consultative activities</w:t>
      </w:r>
      <w:r w:rsidR="003E2EC7">
        <w:t xml:space="preserve"> and the provision of expert advice</w:t>
      </w:r>
      <w:r>
        <w:t xml:space="preserve">, some groups of stakeholders expressed views that the proposed options may not have a significant impact on child safety outcomes on the basis that: </w:t>
      </w:r>
    </w:p>
    <w:p w14:paraId="7DE4A63E" w14:textId="78AA8C26" w:rsidR="00D601E7" w:rsidRDefault="00841575" w:rsidP="00EC53AB">
      <w:pPr>
        <w:pStyle w:val="ListParagraph"/>
        <w:numPr>
          <w:ilvl w:val="0"/>
          <w:numId w:val="89"/>
        </w:numPr>
        <w:tabs>
          <w:tab w:val="clear" w:pos="2835"/>
        </w:tabs>
        <w:spacing w:before="120"/>
        <w:contextualSpacing/>
      </w:pPr>
      <w:r>
        <w:t>S</w:t>
      </w:r>
      <w:r w:rsidR="00D601E7">
        <w:t>ome stakeholders reflected that the vast majority of the sector are already doing the right thing in relation to appropriate usage of digital devices</w:t>
      </w:r>
      <w:r>
        <w:t>.</w:t>
      </w:r>
    </w:p>
    <w:p w14:paraId="47CAA6AA" w14:textId="41CF92A7" w:rsidR="00D601E7" w:rsidRDefault="00841575" w:rsidP="00EC53AB">
      <w:pPr>
        <w:pStyle w:val="ListParagraph"/>
        <w:numPr>
          <w:ilvl w:val="0"/>
          <w:numId w:val="89"/>
        </w:numPr>
        <w:tabs>
          <w:tab w:val="clear" w:pos="2835"/>
        </w:tabs>
        <w:spacing w:before="120"/>
        <w:contextualSpacing/>
      </w:pPr>
      <w:r>
        <w:t>F</w:t>
      </w:r>
      <w:r w:rsidR="00D601E7">
        <w:t>urther regulation may not necessarily prevent an unscrupulous individual from actively seeking to do the wrong thing – though it may reduce their opportunity to do so</w:t>
      </w:r>
      <w:r>
        <w:t>.</w:t>
      </w:r>
    </w:p>
    <w:p w14:paraId="44689143" w14:textId="70310B89" w:rsidR="003E2EC7" w:rsidRDefault="00841575" w:rsidP="00EC53AB">
      <w:pPr>
        <w:pStyle w:val="ListParagraph"/>
        <w:numPr>
          <w:ilvl w:val="0"/>
          <w:numId w:val="89"/>
        </w:numPr>
        <w:tabs>
          <w:tab w:val="clear" w:pos="2835"/>
        </w:tabs>
        <w:spacing w:before="120"/>
        <w:contextualSpacing/>
      </w:pPr>
      <w:r>
        <w:t>T</w:t>
      </w:r>
      <w:r w:rsidR="00D601E7">
        <w:t>he current regulatory options would not eliminate potential risks associated with ineffective monitoring of service-issued devices – for example, processes to ensure service-issued digital devices are used appropriately and not brought out of education and care settings</w:t>
      </w:r>
      <w:r>
        <w:t>.</w:t>
      </w:r>
    </w:p>
    <w:p w14:paraId="2FCFDD8C" w14:textId="2494681A" w:rsidR="003E2EC7" w:rsidRDefault="00841575" w:rsidP="00EC53AB">
      <w:pPr>
        <w:pStyle w:val="ListParagraph"/>
        <w:numPr>
          <w:ilvl w:val="0"/>
          <w:numId w:val="89"/>
        </w:numPr>
        <w:tabs>
          <w:tab w:val="clear" w:pos="2835"/>
        </w:tabs>
        <w:spacing w:before="120"/>
        <w:contextualSpacing/>
      </w:pPr>
      <w:r>
        <w:t>T</w:t>
      </w:r>
      <w:r w:rsidR="003E2EC7">
        <w:t xml:space="preserve">he absence of access to personal </w:t>
      </w:r>
      <w:r w:rsidR="00921C5A">
        <w:t xml:space="preserve">devices may not prevent individuals from harming children, but it would prevent </w:t>
      </w:r>
      <w:r w:rsidR="00247147">
        <w:t>the distribution of images and videos of such harm.</w:t>
      </w:r>
    </w:p>
    <w:p w14:paraId="79F352DD" w14:textId="138B7FFE" w:rsidR="00D601E7" w:rsidRPr="004468BF" w:rsidRDefault="00D601E7">
      <w:pPr>
        <w:spacing w:before="120"/>
        <w:contextualSpacing/>
      </w:pPr>
      <w:r>
        <w:t xml:space="preserve">Notwithstanding the above considerations, survey responses and overall stakeholder feedback on the potential benefits of proposed options indicate that the proposed policy options </w:t>
      </w:r>
      <w:r w:rsidR="0064359F">
        <w:t xml:space="preserve">would </w:t>
      </w:r>
      <w:r>
        <w:t xml:space="preserve">contribute to lower risk of child harm. Based on the balance of evidence presented, option 2 has been assigned </w:t>
      </w:r>
      <w:r w:rsidR="003055D7">
        <w:t>an MCA</w:t>
      </w:r>
      <w:r>
        <w:t xml:space="preserve"> score of </w:t>
      </w:r>
      <w:r w:rsidR="006B777D">
        <w:t>five</w:t>
      </w:r>
      <w:r>
        <w:t xml:space="preserve">, while option 3 has been assigned a score of seven. </w:t>
      </w:r>
      <w:r w:rsidR="009B3B0D">
        <w:t xml:space="preserve">The main difference between the options is a result of option 3 further removing the opportunity for personal devices to be used </w:t>
      </w:r>
      <w:r w:rsidR="00722A4A">
        <w:t>in a way that may harm children.</w:t>
      </w:r>
    </w:p>
    <w:p w14:paraId="4F95E569" w14:textId="61D9C81D" w:rsidR="00D601E7" w:rsidRPr="00466043" w:rsidRDefault="00D601E7">
      <w:pPr>
        <w:pStyle w:val="Heading4"/>
      </w:pPr>
      <w:r w:rsidRPr="00466043">
        <w:t xml:space="preserve">Cost of </w:t>
      </w:r>
      <w:r>
        <w:t>each</w:t>
      </w:r>
      <w:r w:rsidRPr="00466043">
        <w:t xml:space="preserve"> option</w:t>
      </w:r>
    </w:p>
    <w:p w14:paraId="2F4B00B6" w14:textId="0E262137" w:rsidR="00D601E7" w:rsidRDefault="00D601E7">
      <w:r>
        <w:t xml:space="preserve">Services that have already fully adopted the National Model Code and Guidelines </w:t>
      </w:r>
      <w:r w:rsidR="00C54107">
        <w:t xml:space="preserve">would </w:t>
      </w:r>
      <w:r>
        <w:t xml:space="preserve">only </w:t>
      </w:r>
      <w:r w:rsidR="00C54107">
        <w:t xml:space="preserve">incur </w:t>
      </w:r>
      <w:r>
        <w:t xml:space="preserve">minor costs from options 2 and 3, such as updating policies and procedures, rather </w:t>
      </w:r>
      <w:r>
        <w:lastRenderedPageBreak/>
        <w:t xml:space="preserve">than purchasing devices. Services that are already in the process of adopting or were planning to adopt the National Model Code and Guidelines would under the status quo (option 1) already be incurring the associated costs and achieving the expected improvements in child safety. Therefore, only stakeholders who have not adopted and are not yet planning to adopt the National Model Code and Guidelines </w:t>
      </w:r>
      <w:r w:rsidR="00C54107">
        <w:t xml:space="preserve">would </w:t>
      </w:r>
      <w:r>
        <w:t>incur incremental costs under options 2 or 3 compared to option 1.</w:t>
      </w:r>
      <w:r w:rsidR="001873BA">
        <w:t xml:space="preserve"> Similarly, a greater cost burden may also be borne by services that do not currently fully align with the National Model Code and Guidelines, even if the service aligns with some code elements </w:t>
      </w:r>
      <w:r w:rsidR="00AB7302">
        <w:t xml:space="preserve">(e.g., FDCs who have adopted </w:t>
      </w:r>
      <w:r w:rsidR="005334D4">
        <w:t>FDC Australia</w:t>
      </w:r>
      <w:r w:rsidR="00AB7302">
        <w:t xml:space="preserve"> guidelines). </w:t>
      </w:r>
    </w:p>
    <w:p w14:paraId="730BC66E" w14:textId="77B86BD7" w:rsidR="00D601E7" w:rsidRDefault="00D601E7">
      <w:r>
        <w:t>Stakeholders who have not adopted the National Model Code and Guidelines reported a range of</w:t>
      </w:r>
      <w:r w:rsidR="00C25120">
        <w:t xml:space="preserve"> expected</w:t>
      </w:r>
      <w:r>
        <w:t xml:space="preserve"> costs associated with options 2 and 3, including: </w:t>
      </w:r>
    </w:p>
    <w:p w14:paraId="05433B0C" w14:textId="64FB2852" w:rsidR="00D601E7" w:rsidRDefault="00D601E7" w:rsidP="00EC53AB">
      <w:pPr>
        <w:pStyle w:val="ListParagraph"/>
        <w:numPr>
          <w:ilvl w:val="0"/>
          <w:numId w:val="90"/>
        </w:numPr>
        <w:ind w:left="426"/>
      </w:pPr>
      <w:r>
        <w:t>The initial purchase of service-issued digital devices (approved providers indicated a need for 1 to 2 devices per room</w:t>
      </w:r>
      <w:r w:rsidR="00C25120">
        <w:t xml:space="preserve"> in centre-based care settings</w:t>
      </w:r>
      <w:r>
        <w:t>).</w:t>
      </w:r>
    </w:p>
    <w:p w14:paraId="7F3CEFE1" w14:textId="77777777" w:rsidR="00D601E7" w:rsidRDefault="00D601E7" w:rsidP="00EC53AB">
      <w:pPr>
        <w:pStyle w:val="ListParagraph"/>
        <w:numPr>
          <w:ilvl w:val="0"/>
          <w:numId w:val="90"/>
        </w:numPr>
        <w:ind w:left="426"/>
      </w:pPr>
      <w:r>
        <w:t>Maintenance, repair, and replacement of digital devices (including insurance costs associated with physical damage to digital devices).</w:t>
      </w:r>
    </w:p>
    <w:p w14:paraId="5FCB979A" w14:textId="77777777" w:rsidR="00D601E7" w:rsidRDefault="00D601E7" w:rsidP="00EC53AB">
      <w:pPr>
        <w:pStyle w:val="ListParagraph"/>
        <w:numPr>
          <w:ilvl w:val="0"/>
          <w:numId w:val="90"/>
        </w:numPr>
        <w:ind w:left="426"/>
      </w:pPr>
      <w:r>
        <w:t>Software, network, storage, and cybersecurity costs, including apps for secure communication with families, internet and mobile plans, storage such as memory cards or cloud storage, and security such as virtual private networks (VPNs) and firewalls.</w:t>
      </w:r>
    </w:p>
    <w:p w14:paraId="2083DB5E" w14:textId="77777777" w:rsidR="00D601E7" w:rsidRDefault="00D601E7" w:rsidP="00EC53AB">
      <w:pPr>
        <w:pStyle w:val="ListParagraph"/>
        <w:numPr>
          <w:ilvl w:val="0"/>
          <w:numId w:val="90"/>
        </w:numPr>
        <w:ind w:left="426"/>
      </w:pPr>
      <w:r>
        <w:t>Technical implementation or modifications, such as enabling or disabling software and device features such as ‘sharing’ permissions, USB functions, or applying camera covers (for devices not used for taking images or videos). This may also include branding or marking devices so that there is clear visual identification of service-issued devices.</w:t>
      </w:r>
    </w:p>
    <w:p w14:paraId="7D83789D" w14:textId="77777777" w:rsidR="00D601E7" w:rsidRDefault="00D601E7" w:rsidP="00EC53AB">
      <w:pPr>
        <w:pStyle w:val="ListParagraph"/>
        <w:numPr>
          <w:ilvl w:val="0"/>
          <w:numId w:val="90"/>
        </w:numPr>
        <w:ind w:left="426"/>
      </w:pPr>
      <w:r>
        <w:t>Costs for approved providers to monitor compliance.</w:t>
      </w:r>
    </w:p>
    <w:p w14:paraId="37B72C93" w14:textId="77777777" w:rsidR="00D601E7" w:rsidRDefault="00D601E7" w:rsidP="00EC53AB">
      <w:pPr>
        <w:pStyle w:val="ListParagraph"/>
        <w:numPr>
          <w:ilvl w:val="0"/>
          <w:numId w:val="90"/>
        </w:numPr>
        <w:ind w:left="426"/>
      </w:pPr>
      <w:r>
        <w:t>Costs to deliver training and communication activities to raise awareness among staff and visitors.</w:t>
      </w:r>
    </w:p>
    <w:p w14:paraId="0935E1E4" w14:textId="30F52A3D" w:rsidR="00D601E7" w:rsidRDefault="00D601E7" w:rsidP="00EC53AB">
      <w:pPr>
        <w:pStyle w:val="ListParagraph"/>
        <w:numPr>
          <w:ilvl w:val="0"/>
          <w:numId w:val="90"/>
        </w:numPr>
        <w:ind w:left="426"/>
      </w:pPr>
      <w:r>
        <w:t>Costs to ensure educators can complete child-related documentation on service-issued devices.</w:t>
      </w:r>
    </w:p>
    <w:p w14:paraId="218FB748" w14:textId="33D9910A" w:rsidR="00D601E7" w:rsidRDefault="00D601E7" w:rsidP="00EC53AB">
      <w:pPr>
        <w:pStyle w:val="ListParagraph"/>
        <w:numPr>
          <w:ilvl w:val="0"/>
          <w:numId w:val="90"/>
        </w:numPr>
        <w:ind w:left="426"/>
      </w:pPr>
      <w:r>
        <w:t>Costs to establish a location such as secure lockers to securely store personal devices (option 3 only).</w:t>
      </w:r>
    </w:p>
    <w:p w14:paraId="5FFF6DD0" w14:textId="48623968" w:rsidR="00D601E7" w:rsidRDefault="00D601E7">
      <w:r>
        <w:lastRenderedPageBreak/>
        <w:t xml:space="preserve">These costs would vary by services depending </w:t>
      </w:r>
      <w:r w:rsidRPr="00A92B3D">
        <w:t>on the type and cost of devices purchased, the existing software programs and network at the service, the use of insurance, and the frequency by which devices are maintained, repaired, or require replacement.</w:t>
      </w:r>
      <w:r>
        <w:t xml:space="preserve"> </w:t>
      </w:r>
    </w:p>
    <w:p w14:paraId="5DB72218" w14:textId="0C046680" w:rsidR="00D601E7" w:rsidRDefault="00996C10">
      <w:r>
        <w:t xml:space="preserve">While there will be variance in the cost of the policy options by service, costs </w:t>
      </w:r>
      <w:r w:rsidR="00D601E7">
        <w:t xml:space="preserve">of the initial purchase of digital devices and the cost to maintain, repair, and replace digital devices is </w:t>
      </w:r>
      <w:r w:rsidR="0005303C">
        <w:t xml:space="preserve">provided </w:t>
      </w:r>
      <w:r w:rsidR="00D601E7">
        <w:t>below. Software and network costs, insurance costs</w:t>
      </w:r>
      <w:r w:rsidR="00D601E7">
        <w:rPr>
          <w:rStyle w:val="FootnoteReference"/>
        </w:rPr>
        <w:footnoteReference w:id="43"/>
      </w:r>
      <w:r w:rsidR="00D601E7">
        <w:t xml:space="preserve">, and costs for approved providers to monitor compliance are not measured quantitatively, as there is likely to be very significant variation in these costs by provider size and depending on existing technologies and policies in place. These costs are still, however, expected to impose costs for services and are qualitatively considered alongside monetised costs. </w:t>
      </w:r>
    </w:p>
    <w:p w14:paraId="40957354" w14:textId="22134141" w:rsidR="00D601E7" w:rsidRDefault="00D601E7">
      <w:r>
        <w:rPr>
          <w:b/>
          <w:bCs/>
        </w:rPr>
        <w:t xml:space="preserve">The initial purchase of service issued digital devices </w:t>
      </w:r>
      <w:r w:rsidR="008F3BB8">
        <w:rPr>
          <w:b/>
          <w:bCs/>
        </w:rPr>
        <w:t>for the 1</w:t>
      </w:r>
      <w:r w:rsidR="00C204F0">
        <w:rPr>
          <w:b/>
          <w:bCs/>
        </w:rPr>
        <w:t>0</w:t>
      </w:r>
      <w:r w:rsidR="008F3BB8">
        <w:rPr>
          <w:b/>
          <w:bCs/>
        </w:rPr>
        <w:t>%</w:t>
      </w:r>
      <w:r w:rsidR="00021055">
        <w:rPr>
          <w:rStyle w:val="FootnoteReference"/>
          <w:b/>
          <w:bCs/>
        </w:rPr>
        <w:footnoteReference w:id="44"/>
      </w:r>
      <w:r w:rsidR="008F3BB8">
        <w:rPr>
          <w:b/>
          <w:bCs/>
        </w:rPr>
        <w:t xml:space="preserve"> of </w:t>
      </w:r>
      <w:r w:rsidR="00C204F0">
        <w:rPr>
          <w:b/>
          <w:bCs/>
        </w:rPr>
        <w:t xml:space="preserve">centre-based </w:t>
      </w:r>
      <w:r w:rsidR="008F3BB8">
        <w:rPr>
          <w:b/>
          <w:bCs/>
        </w:rPr>
        <w:t>service</w:t>
      </w:r>
      <w:r w:rsidR="00C204F0">
        <w:rPr>
          <w:b/>
          <w:bCs/>
        </w:rPr>
        <w:t>s</w:t>
      </w:r>
      <w:r w:rsidR="00C204F0">
        <w:rPr>
          <w:rStyle w:val="FootnoteReference"/>
          <w:b/>
          <w:bCs/>
        </w:rPr>
        <w:footnoteReference w:id="45"/>
      </w:r>
      <w:r w:rsidR="00C204F0">
        <w:rPr>
          <w:b/>
          <w:bCs/>
        </w:rPr>
        <w:t xml:space="preserve"> and 41%</w:t>
      </w:r>
      <w:r w:rsidR="009F05F9">
        <w:rPr>
          <w:rStyle w:val="FootnoteReference"/>
          <w:b/>
          <w:bCs/>
        </w:rPr>
        <w:footnoteReference w:id="46"/>
      </w:r>
      <w:r w:rsidR="00C204F0">
        <w:rPr>
          <w:b/>
          <w:bCs/>
        </w:rPr>
        <w:t xml:space="preserve"> of FDC </w:t>
      </w:r>
      <w:r w:rsidR="00EA1AAC">
        <w:rPr>
          <w:b/>
          <w:bCs/>
        </w:rPr>
        <w:t>educators</w:t>
      </w:r>
      <w:r w:rsidR="008F3BB8">
        <w:rPr>
          <w:b/>
          <w:bCs/>
        </w:rPr>
        <w:t xml:space="preserve"> who have no</w:t>
      </w:r>
      <w:r w:rsidR="00C204F0">
        <w:rPr>
          <w:b/>
          <w:bCs/>
        </w:rPr>
        <w:t>t</w:t>
      </w:r>
      <w:r w:rsidR="008F3BB8">
        <w:rPr>
          <w:b/>
          <w:bCs/>
        </w:rPr>
        <w:t xml:space="preserve"> adopted (or are not planning to adopt) the National </w:t>
      </w:r>
      <w:r w:rsidR="00BA185C">
        <w:rPr>
          <w:b/>
          <w:bCs/>
        </w:rPr>
        <w:t>M</w:t>
      </w:r>
      <w:r w:rsidR="008F3BB8">
        <w:rPr>
          <w:b/>
          <w:bCs/>
        </w:rPr>
        <w:t xml:space="preserve">odel Code and Guidelines </w:t>
      </w:r>
      <w:r>
        <w:rPr>
          <w:b/>
          <w:bCs/>
        </w:rPr>
        <w:t>is estimate</w:t>
      </w:r>
      <w:r w:rsidRPr="00B45908">
        <w:rPr>
          <w:b/>
          <w:bCs/>
        </w:rPr>
        <w:t>d to cost $</w:t>
      </w:r>
      <w:r w:rsidR="00C204F0">
        <w:rPr>
          <w:b/>
          <w:bCs/>
        </w:rPr>
        <w:t>9.</w:t>
      </w:r>
      <w:r w:rsidR="00B2492D">
        <w:rPr>
          <w:b/>
          <w:bCs/>
        </w:rPr>
        <w:t>7</w:t>
      </w:r>
      <w:r w:rsidRPr="00B45908">
        <w:rPr>
          <w:b/>
          <w:bCs/>
        </w:rPr>
        <w:t xml:space="preserve"> million in present value terms</w:t>
      </w:r>
      <w:r>
        <w:rPr>
          <w:b/>
          <w:bCs/>
        </w:rPr>
        <w:t xml:space="preserve"> from 2025 to 2034</w:t>
      </w:r>
      <w:r w:rsidRPr="00B45908">
        <w:t>.</w:t>
      </w:r>
      <w:r w:rsidRPr="00B45908">
        <w:rPr>
          <w:rStyle w:val="FootnoteReference"/>
        </w:rPr>
        <w:footnoteReference w:id="47"/>
      </w:r>
      <w:r w:rsidR="00444A15">
        <w:t xml:space="preserve"> </w:t>
      </w:r>
      <w:r>
        <w:t>As detailed in Table 4.4, these cost estimates are premised on a range of assumptions:</w:t>
      </w:r>
    </w:p>
    <w:p w14:paraId="0160DD16" w14:textId="32F95C72" w:rsidR="00D601E7" w:rsidRDefault="001F57E7" w:rsidP="00EC53AB">
      <w:pPr>
        <w:pStyle w:val="ListParagraph"/>
        <w:numPr>
          <w:ilvl w:val="0"/>
          <w:numId w:val="95"/>
        </w:numPr>
        <w:ind w:left="426"/>
      </w:pPr>
      <w:r w:rsidRPr="00115AEF">
        <w:t>While services are not required to purchase devices as a result of options 2 and/or 3</w:t>
      </w:r>
      <w:r w:rsidR="00CE2ACA">
        <w:t>, i</w:t>
      </w:r>
      <w:r w:rsidR="00D601E7">
        <w:t xml:space="preserve">t is assumed that </w:t>
      </w:r>
      <w:r w:rsidR="00D601E7" w:rsidRPr="00B45908">
        <w:t>1</w:t>
      </w:r>
      <w:r w:rsidR="00CD1B12">
        <w:t>0</w:t>
      </w:r>
      <w:r w:rsidR="00D601E7" w:rsidRPr="00B45908">
        <w:t xml:space="preserve">% of </w:t>
      </w:r>
      <w:r w:rsidR="00CD1B12">
        <w:t xml:space="preserve">centre-based </w:t>
      </w:r>
      <w:r w:rsidR="00D601E7" w:rsidRPr="00B45908">
        <w:t xml:space="preserve">services (around </w:t>
      </w:r>
      <w:r w:rsidR="00CD1B12">
        <w:t xml:space="preserve">1,760 </w:t>
      </w:r>
      <w:r w:rsidR="00D601E7" w:rsidRPr="00B45908">
        <w:t xml:space="preserve">in total) </w:t>
      </w:r>
      <w:r w:rsidR="00C95814">
        <w:t>will choose to</w:t>
      </w:r>
      <w:r w:rsidR="00D601E7" w:rsidRPr="00B45908">
        <w:t xml:space="preserve"> purchase digital devices due to option 2 and/or option 3</w:t>
      </w:r>
      <w:r w:rsidR="00C95814">
        <w:t xml:space="preserve"> to meet parent / carers’ expectations for videos / photos of their children</w:t>
      </w:r>
      <w:r w:rsidR="00CE2ACA">
        <w:t>. The</w:t>
      </w:r>
      <w:r w:rsidR="00D601E7" w:rsidRPr="00B45908">
        <w:t xml:space="preserve"> remainder of services have indicated their adoption of the National Model Code and </w:t>
      </w:r>
      <w:r w:rsidR="00CD1B12" w:rsidRPr="00B45908">
        <w:t>Guidelines or</w:t>
      </w:r>
      <w:r w:rsidR="00D601E7" w:rsidRPr="00B45908">
        <w:t xml:space="preserve"> are planning to adopt it. </w:t>
      </w:r>
    </w:p>
    <w:p w14:paraId="7C0E4515" w14:textId="3F490C52" w:rsidR="00D601E7" w:rsidRDefault="00D601E7" w:rsidP="00EC53AB">
      <w:pPr>
        <w:pStyle w:val="ListParagraph"/>
        <w:numPr>
          <w:ilvl w:val="0"/>
          <w:numId w:val="95"/>
        </w:numPr>
        <w:ind w:left="426"/>
      </w:pPr>
      <w:r>
        <w:t>T</w:t>
      </w:r>
      <w:r w:rsidRPr="00B45908">
        <w:t xml:space="preserve">he average purchase price of a device is </w:t>
      </w:r>
      <w:r>
        <w:t xml:space="preserve">assumed to cost </w:t>
      </w:r>
      <w:r w:rsidRPr="00B45908">
        <w:t>$647.</w:t>
      </w:r>
      <w:r w:rsidRPr="00B45908">
        <w:rPr>
          <w:rStyle w:val="FootnoteReference"/>
        </w:rPr>
        <w:footnoteReference w:id="48"/>
      </w:r>
      <w:r w:rsidR="00444A15">
        <w:t xml:space="preserve"> </w:t>
      </w:r>
    </w:p>
    <w:p w14:paraId="4A7D3F1A" w14:textId="5ACA21BA" w:rsidR="00D601E7" w:rsidRDefault="00793383" w:rsidP="00EC53AB">
      <w:pPr>
        <w:pStyle w:val="ListParagraph"/>
        <w:numPr>
          <w:ilvl w:val="0"/>
          <w:numId w:val="95"/>
        </w:numPr>
        <w:ind w:left="426"/>
      </w:pPr>
      <w:r>
        <w:t>The number of devices per service varies by service size.</w:t>
      </w:r>
      <w:r w:rsidRPr="00B45908">
        <w:t xml:space="preserve"> Stakeholder feedback indicated that a small </w:t>
      </w:r>
      <w:r w:rsidR="00BA185C">
        <w:t xml:space="preserve">centre-based </w:t>
      </w:r>
      <w:r w:rsidRPr="00B45908">
        <w:t xml:space="preserve">service would </w:t>
      </w:r>
      <w:r>
        <w:t>be likely to purchase</w:t>
      </w:r>
      <w:r w:rsidRPr="00B45908">
        <w:t xml:space="preserve"> 2-4 devices </w:t>
      </w:r>
      <w:r>
        <w:t>as a result of the changes</w:t>
      </w:r>
      <w:r w:rsidRPr="00B45908">
        <w:t xml:space="preserve"> (a mid-point of 3 devices was used), while a larger </w:t>
      </w:r>
      <w:r w:rsidR="00BA185C">
        <w:t>centre-based</w:t>
      </w:r>
      <w:r w:rsidR="00BA185C" w:rsidRPr="00B45908">
        <w:t xml:space="preserve"> </w:t>
      </w:r>
      <w:r w:rsidRPr="00B45908">
        <w:t xml:space="preserve">service might </w:t>
      </w:r>
      <w:r>
        <w:t xml:space="preserve">purchase </w:t>
      </w:r>
      <w:r w:rsidRPr="00B45908">
        <w:t xml:space="preserve">around 10 devices. Based on these figures, it was assumed that </w:t>
      </w:r>
      <w:r w:rsidRPr="00B45908">
        <w:lastRenderedPageBreak/>
        <w:t xml:space="preserve">a medium-sized </w:t>
      </w:r>
      <w:r w:rsidR="00BA185C">
        <w:t>centre-based</w:t>
      </w:r>
      <w:r w:rsidR="00BA185C" w:rsidRPr="00B45908">
        <w:t xml:space="preserve"> </w:t>
      </w:r>
      <w:r w:rsidRPr="00B45908">
        <w:t xml:space="preserve">service would </w:t>
      </w:r>
      <w:r>
        <w:t xml:space="preserve">purchase </w:t>
      </w:r>
      <w:r w:rsidRPr="00B45908">
        <w:t>6 devices to comply with option 2 and/or option 3.</w:t>
      </w:r>
      <w:r w:rsidRPr="00B45908">
        <w:rPr>
          <w:rStyle w:val="FootnoteReference"/>
        </w:rPr>
        <w:footnoteReference w:id="49"/>
      </w:r>
      <w:r w:rsidRPr="00B45908">
        <w:t xml:space="preserve"> </w:t>
      </w:r>
      <w:r w:rsidR="00D601E7" w:rsidRPr="00B45908">
        <w:t xml:space="preserve">ACECQA data on the approved places per service provides an indication of whether the service fits into the small, medium, or large category. Across Australia, approximately 25% of </w:t>
      </w:r>
      <w:r w:rsidR="00212941">
        <w:t>centre-based</w:t>
      </w:r>
      <w:r w:rsidR="00212941" w:rsidRPr="00B45908">
        <w:t xml:space="preserve"> </w:t>
      </w:r>
      <w:r w:rsidR="00D601E7" w:rsidRPr="00B45908">
        <w:t xml:space="preserve">services are small (have approved places for less than 40 children), 45% of </w:t>
      </w:r>
      <w:r w:rsidR="00212941">
        <w:t>centre-based</w:t>
      </w:r>
      <w:r w:rsidR="00212941" w:rsidRPr="00B45908">
        <w:t xml:space="preserve"> </w:t>
      </w:r>
      <w:r w:rsidR="00D601E7" w:rsidRPr="00B45908">
        <w:t>services are medium-sized (have approved places for 40 to 80 children), and 30% are large (have approved places for more than 80 children).</w:t>
      </w:r>
      <w:r w:rsidR="00D601E7" w:rsidRPr="00B45908">
        <w:rPr>
          <w:rStyle w:val="FootnoteReference"/>
        </w:rPr>
        <w:footnoteReference w:id="50"/>
      </w:r>
      <w:r w:rsidR="00D601E7" w:rsidRPr="00B45908">
        <w:t xml:space="preserve"> It is assumed that these shares of small, medium, or large </w:t>
      </w:r>
      <w:r w:rsidR="00212941">
        <w:t>centre-based</w:t>
      </w:r>
      <w:r w:rsidR="00212941" w:rsidRPr="00B45908">
        <w:t xml:space="preserve"> </w:t>
      </w:r>
      <w:r w:rsidR="00D601E7" w:rsidRPr="00B45908">
        <w:t xml:space="preserve">services are required to purchase 3, 6, or 10 digital devices respectively. </w:t>
      </w:r>
    </w:p>
    <w:p w14:paraId="3D5301DC" w14:textId="634AA246" w:rsidR="00EA1AAC" w:rsidRDefault="00EA1AAC" w:rsidP="00EC53AB">
      <w:pPr>
        <w:pStyle w:val="ListParagraph"/>
        <w:numPr>
          <w:ilvl w:val="0"/>
          <w:numId w:val="95"/>
        </w:numPr>
        <w:ind w:left="426"/>
      </w:pPr>
      <w:r>
        <w:t>It is assumed that 41% of FDC educators (around 3,792</w:t>
      </w:r>
      <w:r>
        <w:rPr>
          <w:rStyle w:val="FootnoteReference"/>
        </w:rPr>
        <w:footnoteReference w:id="51"/>
      </w:r>
      <w:r>
        <w:t xml:space="preserve">) are likely to purchase devices </w:t>
      </w:r>
      <w:r w:rsidRPr="00B45908">
        <w:t>due to option 2 and/or option 3</w:t>
      </w:r>
      <w:r>
        <w:t xml:space="preserve">, as the remainder of FDC services </w:t>
      </w:r>
      <w:r w:rsidRPr="00B45908">
        <w:t>have indicated their adoption of the National Model Code and Guidelines or are planning to adopt it</w:t>
      </w:r>
      <w:r w:rsidR="000E0C2E">
        <w:t xml:space="preserve"> (refer to Table 5.1)</w:t>
      </w:r>
      <w:r w:rsidRPr="00B45908">
        <w:t>.</w:t>
      </w:r>
    </w:p>
    <w:p w14:paraId="1D0E8065" w14:textId="396D785D" w:rsidR="00EA1AAC" w:rsidRDefault="0081295C" w:rsidP="00EC53AB">
      <w:pPr>
        <w:pStyle w:val="ListParagraph"/>
        <w:numPr>
          <w:ilvl w:val="0"/>
          <w:numId w:val="95"/>
        </w:numPr>
        <w:ind w:left="426"/>
      </w:pPr>
      <w:r>
        <w:t>It is assumed that one device is required per FDC educator.</w:t>
      </w:r>
      <w:r w:rsidR="00E9590B">
        <w:rPr>
          <w:rStyle w:val="FootnoteReference"/>
        </w:rPr>
        <w:footnoteReference w:id="52"/>
      </w:r>
    </w:p>
    <w:p w14:paraId="4E92ECC7" w14:textId="6F362837" w:rsidR="00FB5D4D" w:rsidRDefault="00FB5D4D" w:rsidP="00EC53AB">
      <w:pPr>
        <w:pStyle w:val="ListParagraph"/>
        <w:numPr>
          <w:ilvl w:val="0"/>
          <w:numId w:val="95"/>
        </w:numPr>
        <w:ind w:left="426"/>
      </w:pPr>
      <w:r>
        <w:t xml:space="preserve">It is assumed that all services will choose to continue to take images and videos of children </w:t>
      </w:r>
      <w:r w:rsidR="00690F34">
        <w:t>and therefore purchase service-issued devices if they do not already have them. This is assumed on the basis that the sector widely used images and videos to document children’s learning currently.</w:t>
      </w:r>
    </w:p>
    <w:p w14:paraId="75F5F4B4" w14:textId="1687B4D4" w:rsidR="00D601E7" w:rsidRDefault="00D601E7">
      <w:r w:rsidRPr="00B45908">
        <w:t>Combined, these figures provide an indication of the upfront purchase cost of option 2 and/or option 3.</w:t>
      </w:r>
    </w:p>
    <w:p w14:paraId="4C222175" w14:textId="1C414B39" w:rsidR="00D601E7" w:rsidRDefault="00D601E7">
      <w:r>
        <w:rPr>
          <w:b/>
          <w:bCs/>
        </w:rPr>
        <w:t>The ongoing m</w:t>
      </w:r>
      <w:r w:rsidRPr="00611146">
        <w:rPr>
          <w:b/>
          <w:bCs/>
        </w:rPr>
        <w:t>aintenance, repair, and replacement</w:t>
      </w:r>
      <w:r>
        <w:rPr>
          <w:b/>
          <w:bCs/>
        </w:rPr>
        <w:t xml:space="preserve"> of service-issued digital devices is estimated to </w:t>
      </w:r>
      <w:r w:rsidRPr="00B45908">
        <w:rPr>
          <w:b/>
          <w:bCs/>
        </w:rPr>
        <w:t>cost $3</w:t>
      </w:r>
      <w:r w:rsidR="00CD33B9">
        <w:rPr>
          <w:b/>
          <w:bCs/>
        </w:rPr>
        <w:t xml:space="preserve">1.5 </w:t>
      </w:r>
      <w:r w:rsidRPr="00B45908">
        <w:rPr>
          <w:b/>
          <w:bCs/>
        </w:rPr>
        <w:t xml:space="preserve">million in present value terms from 2025 to 2034. </w:t>
      </w:r>
      <w:r w:rsidRPr="00B45908">
        <w:t>This assumes that the same 1</w:t>
      </w:r>
      <w:r w:rsidR="00153884">
        <w:t>0</w:t>
      </w:r>
      <w:r w:rsidRPr="00B45908">
        <w:t xml:space="preserve">% of </w:t>
      </w:r>
      <w:r w:rsidR="00153884">
        <w:t xml:space="preserve">centre-based </w:t>
      </w:r>
      <w:r w:rsidRPr="00B45908">
        <w:t xml:space="preserve">services </w:t>
      </w:r>
      <w:r w:rsidR="00153884">
        <w:t xml:space="preserve">and 41% of FDC educators </w:t>
      </w:r>
      <w:r w:rsidRPr="00B45908">
        <w:t xml:space="preserve">that are yet to adopt (or are not planning to adopt) the National Model Code and Guidelines will </w:t>
      </w:r>
      <w:r w:rsidR="005D0C0F">
        <w:t xml:space="preserve">likely </w:t>
      </w:r>
      <w:r w:rsidRPr="00B45908">
        <w:t xml:space="preserve">bear this cost, as all other services are assumed to continue using, maintaining, and replacing service-issued devices. To </w:t>
      </w:r>
      <w:r w:rsidR="000F51A6">
        <w:t>consider</w:t>
      </w:r>
      <w:r w:rsidR="000F51A6" w:rsidRPr="00B45908">
        <w:t xml:space="preserve"> </w:t>
      </w:r>
      <w:r w:rsidRPr="00B45908">
        <w:t xml:space="preserve">maintenance, repair, and replacement costs collectively, which will vary in practice, a conservative estimate of replacement frequency has been </w:t>
      </w:r>
      <w:r w:rsidRPr="00B45908">
        <w:lastRenderedPageBreak/>
        <w:t>applied. It has been assumed that digital devices would need to be replaced every two-years, in line with the Australian Taxation Office’s estimated effective life of a tablet (for depreciation purposes).</w:t>
      </w:r>
      <w:r w:rsidRPr="00B45908">
        <w:rPr>
          <w:rStyle w:val="FootnoteReference"/>
        </w:rPr>
        <w:footnoteReference w:id="53"/>
      </w:r>
      <w:r w:rsidRPr="00B45908">
        <w:t xml:space="preserve"> The device purchase cost is assumed to be the same $647 value as used for the initial purchase of devices. Since this is the ongoing cost of replacing devices over a longer</w:t>
      </w:r>
      <w:r>
        <w:t xml:space="preserve"> timeframe, this cost exceeds the initial cost of purchasing devices. It should be noted that services with insured devices may not bear replacement costs.</w:t>
      </w:r>
    </w:p>
    <w:p w14:paraId="511FA1F4" w14:textId="37AF6A04" w:rsidR="00CA098D" w:rsidRDefault="00CA098D">
      <w:r>
        <w:t xml:space="preserve">If devices are well maintained and not </w:t>
      </w:r>
      <w:r w:rsidR="002F447D">
        <w:t xml:space="preserve">damaged, they may last longer (e.g., four or more years), which could more than half this estimated cost. </w:t>
      </w:r>
      <w:r w:rsidR="00FB62E4">
        <w:t>For example smaller or lower use FDCs may be less likely to heavily rely on devices and may replace them less frequently.</w:t>
      </w:r>
    </w:p>
    <w:p w14:paraId="749FDB6A" w14:textId="77777777" w:rsidR="00D601E7" w:rsidRDefault="00D601E7">
      <w:pPr>
        <w:pStyle w:val="Caption"/>
      </w:pPr>
      <w:bookmarkStart w:id="73" w:name="_Toc205884934"/>
      <w:r>
        <w:t>Table 4.4: Summary of assumptions involved in estimating the cost of options 2 and 3</w:t>
      </w:r>
      <w:bookmarkEnd w:id="7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4: Summary of assumptions involved in estimating the cost of options 2 and 3"/>
        <w:tblDescription w:val="This table outlines a summary of assumptions involved in estimating the cost of options 2 and 3."/>
      </w:tblPr>
      <w:tblGrid>
        <w:gridCol w:w="1980"/>
        <w:gridCol w:w="2835"/>
        <w:gridCol w:w="4195"/>
      </w:tblGrid>
      <w:tr w:rsidR="00D601E7" w14:paraId="24D21B37" w14:textId="77777777" w:rsidTr="00196FB0">
        <w:trPr>
          <w:tblHeader/>
        </w:trPr>
        <w:tc>
          <w:tcPr>
            <w:tcW w:w="1980" w:type="dxa"/>
            <w:shd w:val="clear" w:color="auto" w:fill="14233C" w:themeFill="text2"/>
          </w:tcPr>
          <w:p w14:paraId="33B1687F" w14:textId="77777777" w:rsidR="00D601E7" w:rsidRPr="00175B3F" w:rsidRDefault="00D601E7">
            <w:pPr>
              <w:rPr>
                <w:b/>
                <w:bCs/>
                <w:color w:val="FFFFFF" w:themeColor="background1"/>
                <w:szCs w:val="22"/>
              </w:rPr>
            </w:pPr>
            <w:r w:rsidRPr="00175B3F">
              <w:rPr>
                <w:b/>
                <w:bCs/>
                <w:color w:val="FFFFFF" w:themeColor="background1"/>
                <w:szCs w:val="22"/>
              </w:rPr>
              <w:t>Assumption</w:t>
            </w:r>
          </w:p>
        </w:tc>
        <w:tc>
          <w:tcPr>
            <w:tcW w:w="2835" w:type="dxa"/>
            <w:shd w:val="clear" w:color="auto" w:fill="14233C" w:themeFill="text2"/>
          </w:tcPr>
          <w:p w14:paraId="380294B2" w14:textId="77777777" w:rsidR="00D601E7" w:rsidRPr="00175B3F" w:rsidRDefault="00D601E7">
            <w:pPr>
              <w:rPr>
                <w:b/>
                <w:bCs/>
                <w:color w:val="FFFFFF" w:themeColor="background1"/>
                <w:szCs w:val="22"/>
              </w:rPr>
            </w:pPr>
            <w:r w:rsidRPr="00175B3F">
              <w:rPr>
                <w:b/>
                <w:bCs/>
                <w:color w:val="FFFFFF" w:themeColor="background1"/>
                <w:szCs w:val="22"/>
              </w:rPr>
              <w:t>Value</w:t>
            </w:r>
          </w:p>
        </w:tc>
        <w:tc>
          <w:tcPr>
            <w:tcW w:w="4195" w:type="dxa"/>
            <w:shd w:val="clear" w:color="auto" w:fill="14233C" w:themeFill="text2"/>
          </w:tcPr>
          <w:p w14:paraId="560F5238" w14:textId="77777777" w:rsidR="00D601E7" w:rsidRPr="00175B3F" w:rsidRDefault="00D601E7">
            <w:pPr>
              <w:rPr>
                <w:b/>
                <w:bCs/>
                <w:color w:val="FFFFFF" w:themeColor="background1"/>
                <w:szCs w:val="22"/>
              </w:rPr>
            </w:pPr>
            <w:r w:rsidRPr="00175B3F">
              <w:rPr>
                <w:b/>
                <w:bCs/>
                <w:color w:val="FFFFFF" w:themeColor="background1"/>
                <w:szCs w:val="22"/>
              </w:rPr>
              <w:t>Source</w:t>
            </w:r>
          </w:p>
        </w:tc>
      </w:tr>
      <w:tr w:rsidR="00D601E7" w14:paraId="47BEECBB" w14:textId="77777777" w:rsidTr="00196FB0">
        <w:tc>
          <w:tcPr>
            <w:tcW w:w="1980" w:type="dxa"/>
          </w:tcPr>
          <w:p w14:paraId="2B6AE3E6" w14:textId="77777777" w:rsidR="00D601E7" w:rsidRPr="00175B3F" w:rsidRDefault="00D601E7">
            <w:pPr>
              <w:rPr>
                <w:szCs w:val="22"/>
              </w:rPr>
            </w:pPr>
            <w:r w:rsidRPr="00175B3F">
              <w:rPr>
                <w:szCs w:val="22"/>
              </w:rPr>
              <w:t>Number of devices to be purchases</w:t>
            </w:r>
          </w:p>
        </w:tc>
        <w:tc>
          <w:tcPr>
            <w:tcW w:w="2835" w:type="dxa"/>
          </w:tcPr>
          <w:p w14:paraId="3EB5BD01" w14:textId="77777777" w:rsidR="00D601E7" w:rsidRPr="00175B3F" w:rsidRDefault="00D601E7">
            <w:pPr>
              <w:rPr>
                <w:szCs w:val="22"/>
              </w:rPr>
            </w:pPr>
            <w:r w:rsidRPr="00175B3F">
              <w:rPr>
                <w:szCs w:val="22"/>
              </w:rPr>
              <w:t>3 for a small service (less than 40 children)</w:t>
            </w:r>
          </w:p>
          <w:p w14:paraId="5D20B005" w14:textId="77777777" w:rsidR="00D601E7" w:rsidRPr="00175B3F" w:rsidRDefault="00D601E7">
            <w:pPr>
              <w:rPr>
                <w:szCs w:val="22"/>
              </w:rPr>
            </w:pPr>
            <w:r w:rsidRPr="00175B3F">
              <w:rPr>
                <w:szCs w:val="22"/>
              </w:rPr>
              <w:t>6 for a medium-sized service (40 to 80 children)</w:t>
            </w:r>
          </w:p>
          <w:p w14:paraId="6E41F329" w14:textId="77777777" w:rsidR="00D601E7" w:rsidRDefault="00D601E7">
            <w:pPr>
              <w:rPr>
                <w:szCs w:val="22"/>
              </w:rPr>
            </w:pPr>
            <w:r w:rsidRPr="00175B3F">
              <w:rPr>
                <w:szCs w:val="22"/>
              </w:rPr>
              <w:t>10 for a large service (more than 80 children)</w:t>
            </w:r>
          </w:p>
          <w:p w14:paraId="4A0D95CB" w14:textId="074EEF63" w:rsidR="00C967B0" w:rsidRPr="00175B3F" w:rsidRDefault="00C967B0">
            <w:pPr>
              <w:rPr>
                <w:szCs w:val="22"/>
              </w:rPr>
            </w:pPr>
            <w:r>
              <w:rPr>
                <w:szCs w:val="22"/>
              </w:rPr>
              <w:t>1 per FDC educator</w:t>
            </w:r>
            <w:r w:rsidR="00063981">
              <w:rPr>
                <w:szCs w:val="22"/>
              </w:rPr>
              <w:t xml:space="preserve"> in all jurisdictions except WA</w:t>
            </w:r>
            <w:r w:rsidR="00063981">
              <w:rPr>
                <w:rStyle w:val="FootnoteReference"/>
                <w:szCs w:val="22"/>
              </w:rPr>
              <w:footnoteReference w:id="54"/>
            </w:r>
          </w:p>
        </w:tc>
        <w:tc>
          <w:tcPr>
            <w:tcW w:w="4195" w:type="dxa"/>
          </w:tcPr>
          <w:p w14:paraId="06386EC2" w14:textId="77777777" w:rsidR="00D601E7" w:rsidRDefault="00D601E7">
            <w:pPr>
              <w:rPr>
                <w:szCs w:val="22"/>
              </w:rPr>
            </w:pPr>
            <w:r>
              <w:rPr>
                <w:szCs w:val="22"/>
              </w:rPr>
              <w:t>The number of devices were from a written submission, with the number for a medium-sized service inferred.</w:t>
            </w:r>
          </w:p>
          <w:p w14:paraId="3DFDAC11" w14:textId="77777777" w:rsidR="00D601E7" w:rsidRPr="00175B3F" w:rsidRDefault="00D601E7">
            <w:pPr>
              <w:rPr>
                <w:szCs w:val="22"/>
              </w:rPr>
            </w:pPr>
            <w:r>
              <w:rPr>
                <w:szCs w:val="22"/>
              </w:rPr>
              <w:t>Service size thresholds were assumed.</w:t>
            </w:r>
          </w:p>
        </w:tc>
      </w:tr>
      <w:tr w:rsidR="00D601E7" w14:paraId="5672D4BB" w14:textId="77777777" w:rsidTr="00196FB0">
        <w:tc>
          <w:tcPr>
            <w:tcW w:w="1980" w:type="dxa"/>
          </w:tcPr>
          <w:p w14:paraId="028C92A3" w14:textId="77777777" w:rsidR="00D601E7" w:rsidRPr="00175B3F" w:rsidRDefault="00D601E7">
            <w:pPr>
              <w:rPr>
                <w:szCs w:val="22"/>
              </w:rPr>
            </w:pPr>
            <w:r>
              <w:rPr>
                <w:szCs w:val="22"/>
              </w:rPr>
              <w:t>Services required to purchase digital devices</w:t>
            </w:r>
          </w:p>
        </w:tc>
        <w:tc>
          <w:tcPr>
            <w:tcW w:w="2835" w:type="dxa"/>
          </w:tcPr>
          <w:p w14:paraId="4990EF6D" w14:textId="0FEF801C" w:rsidR="00D601E7" w:rsidRDefault="00D601E7">
            <w:pPr>
              <w:rPr>
                <w:szCs w:val="22"/>
              </w:rPr>
            </w:pPr>
            <w:r>
              <w:rPr>
                <w:szCs w:val="22"/>
              </w:rPr>
              <w:t>1</w:t>
            </w:r>
            <w:r w:rsidR="00003F82">
              <w:rPr>
                <w:szCs w:val="22"/>
              </w:rPr>
              <w:t>0</w:t>
            </w:r>
            <w:r>
              <w:rPr>
                <w:szCs w:val="22"/>
              </w:rPr>
              <w:t>%</w:t>
            </w:r>
            <w:r w:rsidR="00C967B0">
              <w:rPr>
                <w:szCs w:val="22"/>
              </w:rPr>
              <w:t xml:space="preserve"> of centre-based services</w:t>
            </w:r>
          </w:p>
          <w:p w14:paraId="65E21C61" w14:textId="438163CF" w:rsidR="00C967B0" w:rsidRPr="00175B3F" w:rsidRDefault="00C967B0">
            <w:pPr>
              <w:rPr>
                <w:szCs w:val="22"/>
              </w:rPr>
            </w:pPr>
            <w:r>
              <w:rPr>
                <w:szCs w:val="22"/>
              </w:rPr>
              <w:t>41% of FDC educators</w:t>
            </w:r>
          </w:p>
        </w:tc>
        <w:tc>
          <w:tcPr>
            <w:tcW w:w="4195" w:type="dxa"/>
          </w:tcPr>
          <w:p w14:paraId="2E6792AD" w14:textId="77777777" w:rsidR="00D601E7" w:rsidRPr="00175B3F" w:rsidRDefault="00D601E7">
            <w:pPr>
              <w:rPr>
                <w:szCs w:val="22"/>
              </w:rPr>
            </w:pPr>
            <w:r>
              <w:rPr>
                <w:szCs w:val="22"/>
              </w:rPr>
              <w:t>Approved provider survey, services who responded ‘no’ or ‘other’ to National Model Code and Guideline adoption.</w:t>
            </w:r>
          </w:p>
        </w:tc>
      </w:tr>
      <w:tr w:rsidR="00D601E7" w14:paraId="39F4EC50" w14:textId="77777777" w:rsidTr="00196FB0">
        <w:tc>
          <w:tcPr>
            <w:tcW w:w="1980" w:type="dxa"/>
          </w:tcPr>
          <w:p w14:paraId="0E57FAA1" w14:textId="77777777" w:rsidR="00D601E7" w:rsidRPr="00175B3F" w:rsidRDefault="00D601E7">
            <w:pPr>
              <w:rPr>
                <w:szCs w:val="22"/>
              </w:rPr>
            </w:pPr>
            <w:r>
              <w:rPr>
                <w:szCs w:val="22"/>
              </w:rPr>
              <w:t>Device cost</w:t>
            </w:r>
          </w:p>
        </w:tc>
        <w:tc>
          <w:tcPr>
            <w:tcW w:w="2835" w:type="dxa"/>
          </w:tcPr>
          <w:p w14:paraId="6036AD28" w14:textId="77777777" w:rsidR="00D601E7" w:rsidRPr="00175B3F" w:rsidRDefault="00D601E7">
            <w:pPr>
              <w:rPr>
                <w:szCs w:val="22"/>
              </w:rPr>
            </w:pPr>
            <w:r>
              <w:rPr>
                <w:szCs w:val="22"/>
              </w:rPr>
              <w:t>$647</w:t>
            </w:r>
          </w:p>
        </w:tc>
        <w:tc>
          <w:tcPr>
            <w:tcW w:w="4195" w:type="dxa"/>
          </w:tcPr>
          <w:p w14:paraId="2C9DB9FD" w14:textId="34B10D59" w:rsidR="00D601E7" w:rsidRPr="00175B3F" w:rsidRDefault="00D601E7">
            <w:pPr>
              <w:rPr>
                <w:szCs w:val="22"/>
              </w:rPr>
            </w:pPr>
            <w:r>
              <w:rPr>
                <w:szCs w:val="22"/>
              </w:rPr>
              <w:t xml:space="preserve">Assumption, based on the cost of </w:t>
            </w:r>
            <w:r w:rsidR="00A64DF2">
              <w:rPr>
                <w:szCs w:val="22"/>
              </w:rPr>
              <w:t xml:space="preserve">tablets </w:t>
            </w:r>
            <w:r>
              <w:rPr>
                <w:szCs w:val="22"/>
              </w:rPr>
              <w:t xml:space="preserve">and </w:t>
            </w:r>
            <w:r w:rsidR="00A64DF2">
              <w:rPr>
                <w:szCs w:val="22"/>
              </w:rPr>
              <w:t xml:space="preserve">mid-tier phone </w:t>
            </w:r>
            <w:r>
              <w:rPr>
                <w:szCs w:val="22"/>
              </w:rPr>
              <w:t>models. It is assumed that 70% of devices purchase</w:t>
            </w:r>
            <w:r w:rsidR="00A64DF2">
              <w:rPr>
                <w:szCs w:val="22"/>
              </w:rPr>
              <w:t>d</w:t>
            </w:r>
            <w:r>
              <w:rPr>
                <w:szCs w:val="22"/>
              </w:rPr>
              <w:t xml:space="preserve"> are </w:t>
            </w:r>
            <w:r w:rsidR="00A64DF2">
              <w:rPr>
                <w:szCs w:val="22"/>
              </w:rPr>
              <w:t xml:space="preserve">tablets </w:t>
            </w:r>
            <w:r>
              <w:rPr>
                <w:szCs w:val="22"/>
              </w:rPr>
              <w:t>(</w:t>
            </w:r>
            <w:r w:rsidR="00A64DF2">
              <w:rPr>
                <w:szCs w:val="22"/>
              </w:rPr>
              <w:t xml:space="preserve">tablets </w:t>
            </w:r>
            <w:r>
              <w:rPr>
                <w:szCs w:val="22"/>
              </w:rPr>
              <w:t xml:space="preserve">were frequently referred to in consultation) and 30% of devices are </w:t>
            </w:r>
            <w:r w:rsidR="00A64DF2">
              <w:rPr>
                <w:szCs w:val="22"/>
              </w:rPr>
              <w:t>phones</w:t>
            </w:r>
            <w:r>
              <w:rPr>
                <w:szCs w:val="22"/>
              </w:rPr>
              <w:t>.</w:t>
            </w:r>
          </w:p>
        </w:tc>
      </w:tr>
      <w:tr w:rsidR="00D601E7" w14:paraId="2D1CFC32" w14:textId="77777777" w:rsidTr="00196FB0">
        <w:tc>
          <w:tcPr>
            <w:tcW w:w="1980" w:type="dxa"/>
          </w:tcPr>
          <w:p w14:paraId="041A84E5" w14:textId="77777777" w:rsidR="00D601E7" w:rsidRPr="00175B3F" w:rsidRDefault="00D601E7">
            <w:pPr>
              <w:rPr>
                <w:szCs w:val="22"/>
              </w:rPr>
            </w:pPr>
            <w:r>
              <w:rPr>
                <w:szCs w:val="22"/>
              </w:rPr>
              <w:lastRenderedPageBreak/>
              <w:t xml:space="preserve">Number of services </w:t>
            </w:r>
          </w:p>
        </w:tc>
        <w:tc>
          <w:tcPr>
            <w:tcW w:w="2835" w:type="dxa"/>
          </w:tcPr>
          <w:p w14:paraId="0868F1C7" w14:textId="77777777" w:rsidR="00D601E7" w:rsidRPr="00175B3F" w:rsidRDefault="00D601E7">
            <w:pPr>
              <w:rPr>
                <w:szCs w:val="22"/>
              </w:rPr>
            </w:pPr>
            <w:r w:rsidRPr="00081FCE">
              <w:rPr>
                <w:szCs w:val="22"/>
              </w:rPr>
              <w:t>18,013 in total, 17,610 with data on the number of approved places</w:t>
            </w:r>
          </w:p>
        </w:tc>
        <w:tc>
          <w:tcPr>
            <w:tcW w:w="4195" w:type="dxa"/>
          </w:tcPr>
          <w:p w14:paraId="3D1015B1" w14:textId="110E00C4" w:rsidR="00D601E7" w:rsidRPr="00175B3F" w:rsidRDefault="00D601E7">
            <w:pPr>
              <w:rPr>
                <w:szCs w:val="22"/>
              </w:rPr>
            </w:pPr>
            <w:r>
              <w:rPr>
                <w:szCs w:val="22"/>
              </w:rPr>
              <w:t>ACECQA data</w:t>
            </w:r>
          </w:p>
        </w:tc>
      </w:tr>
      <w:tr w:rsidR="00D601E7" w14:paraId="7CA0D7EF" w14:textId="77777777" w:rsidTr="00196FB0">
        <w:tc>
          <w:tcPr>
            <w:tcW w:w="1980" w:type="dxa"/>
          </w:tcPr>
          <w:p w14:paraId="018032BD" w14:textId="2A086EE8" w:rsidR="00D601E7" w:rsidRPr="005956BF" w:rsidRDefault="00D601E7">
            <w:pPr>
              <w:rPr>
                <w:szCs w:val="20"/>
              </w:rPr>
            </w:pPr>
            <w:r w:rsidRPr="005956BF">
              <w:rPr>
                <w:szCs w:val="20"/>
              </w:rPr>
              <w:t>Frequency in which devices are replaced</w:t>
            </w:r>
          </w:p>
        </w:tc>
        <w:tc>
          <w:tcPr>
            <w:tcW w:w="2835" w:type="dxa"/>
          </w:tcPr>
          <w:p w14:paraId="2E273382" w14:textId="50B2C154" w:rsidR="00D601E7" w:rsidRPr="005956BF" w:rsidRDefault="00D601E7">
            <w:pPr>
              <w:rPr>
                <w:szCs w:val="20"/>
              </w:rPr>
            </w:pPr>
            <w:r w:rsidRPr="005956BF">
              <w:rPr>
                <w:szCs w:val="20"/>
              </w:rPr>
              <w:t>Every two years</w:t>
            </w:r>
          </w:p>
        </w:tc>
        <w:tc>
          <w:tcPr>
            <w:tcW w:w="4195" w:type="dxa"/>
          </w:tcPr>
          <w:p w14:paraId="30EFDA92" w14:textId="1E83254C" w:rsidR="00D601E7" w:rsidRPr="005956BF" w:rsidRDefault="00D601E7">
            <w:pPr>
              <w:rPr>
                <w:szCs w:val="20"/>
              </w:rPr>
            </w:pPr>
            <w:r w:rsidRPr="005956BF">
              <w:rPr>
                <w:szCs w:val="20"/>
              </w:rPr>
              <w:t>Australian Taxation Office (estimated effective life of a tablet)</w:t>
            </w:r>
          </w:p>
        </w:tc>
      </w:tr>
    </w:tbl>
    <w:p w14:paraId="14D61993" w14:textId="77777777" w:rsidR="00D601E7" w:rsidRDefault="00D601E7"/>
    <w:p w14:paraId="6DC1DFA5" w14:textId="22049D6E" w:rsidR="00D601E7" w:rsidRDefault="00D601E7">
      <w:r>
        <w:t>The monetised cost of options 2 and 3 is approximately proportionate to the number of education and care services operating in each jurisdiction.</w:t>
      </w:r>
      <w:r w:rsidR="00F013D5">
        <w:t xml:space="preserve"> However, jurisdictions with a higher volume of FDCs </w:t>
      </w:r>
      <w:r w:rsidR="00F73613">
        <w:t>relative to population</w:t>
      </w:r>
      <w:r w:rsidR="003F056E">
        <w:t xml:space="preserve"> (e.g., </w:t>
      </w:r>
      <w:r w:rsidR="00D97460">
        <w:t>VIC</w:t>
      </w:r>
      <w:r w:rsidR="003F056E">
        <w:t>,</w:t>
      </w:r>
      <w:r w:rsidR="00D97460">
        <w:t xml:space="preserve"> Queensland (QLD)</w:t>
      </w:r>
      <w:r w:rsidR="003F056E">
        <w:t>)</w:t>
      </w:r>
      <w:r w:rsidR="00F013D5">
        <w:t xml:space="preserve"> </w:t>
      </w:r>
      <w:r w:rsidR="00F73613">
        <w:t xml:space="preserve">do experience </w:t>
      </w:r>
      <w:r w:rsidR="00362653">
        <w:t>a higher overall cost relative to the total number of education and care s</w:t>
      </w:r>
      <w:r w:rsidR="00A642C7">
        <w:t>ervices.</w:t>
      </w:r>
      <w:r>
        <w:t xml:space="preserve"> As a result, the greatest cost is expected to be borne by </w:t>
      </w:r>
      <w:r w:rsidR="008E2A20">
        <w:t xml:space="preserve">education and care services in </w:t>
      </w:r>
      <w:r w:rsidR="00D97460">
        <w:t>New South Wales (</w:t>
      </w:r>
      <w:r>
        <w:t>NSW</w:t>
      </w:r>
      <w:r w:rsidR="00D97460">
        <w:t>)</w:t>
      </w:r>
      <w:r>
        <w:t xml:space="preserve">, followed by VIC (refer to Table 4.5). </w:t>
      </w:r>
    </w:p>
    <w:p w14:paraId="2953AC46" w14:textId="4F347280" w:rsidR="00D601E7" w:rsidRDefault="00D601E7">
      <w:pPr>
        <w:pStyle w:val="Caption"/>
      </w:pPr>
      <w:bookmarkStart w:id="74" w:name="_Toc205884935"/>
      <w:r>
        <w:t>Table 4.5: Cost of options 2 and 3 by jurisdiction, present value, 2025 to 2034</w:t>
      </w:r>
      <w:bookmarkEnd w:id="74"/>
      <w:r>
        <w:t xml:space="preserve"> </w:t>
      </w:r>
    </w:p>
    <w:tbl>
      <w:tblPr>
        <w:tblW w:w="50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5: Cost of options 2 and 3 by jurisdiction, present value, 2025 to 2034 "/>
        <w:tblDescription w:val="This table outlines the cost of options 2 and 3 by jurisdiction, in present value terms, from 2025 to 2034."/>
      </w:tblPr>
      <w:tblGrid>
        <w:gridCol w:w="907"/>
        <w:gridCol w:w="1984"/>
        <w:gridCol w:w="967"/>
        <w:gridCol w:w="1985"/>
        <w:gridCol w:w="1117"/>
        <w:gridCol w:w="2180"/>
      </w:tblGrid>
      <w:tr w:rsidR="001A7CAC" w14:paraId="62BB2F59" w14:textId="79D468AA" w:rsidTr="00196FB0">
        <w:trPr>
          <w:trHeight w:val="1022"/>
          <w:tblHeader/>
        </w:trPr>
        <w:tc>
          <w:tcPr>
            <w:tcW w:w="491" w:type="pct"/>
            <w:vMerge w:val="restart"/>
            <w:shd w:val="clear" w:color="auto" w:fill="14233C" w:themeFill="text2"/>
            <w:vAlign w:val="center"/>
          </w:tcPr>
          <w:p w14:paraId="3AF38541" w14:textId="4F720ED5" w:rsidR="00C451E8" w:rsidRPr="00C451E8" w:rsidRDefault="00C451E8">
            <w:pPr>
              <w:rPr>
                <w:b/>
                <w:color w:val="FFFFFF" w:themeColor="background1"/>
                <w:sz w:val="18"/>
                <w:szCs w:val="18"/>
              </w:rPr>
            </w:pPr>
            <w:r w:rsidRPr="00C451E8">
              <w:rPr>
                <w:b/>
                <w:color w:val="FFFFFF" w:themeColor="background1"/>
                <w:sz w:val="18"/>
                <w:szCs w:val="18"/>
              </w:rPr>
              <w:t>State or territory</w:t>
            </w:r>
          </w:p>
        </w:tc>
        <w:tc>
          <w:tcPr>
            <w:tcW w:w="1615" w:type="pct"/>
            <w:gridSpan w:val="2"/>
            <w:shd w:val="clear" w:color="auto" w:fill="14233C" w:themeFill="text2"/>
            <w:vAlign w:val="center"/>
          </w:tcPr>
          <w:p w14:paraId="7F2D1B59" w14:textId="7909FD56" w:rsidR="00C451E8" w:rsidRPr="00C451E8" w:rsidRDefault="00C451E8">
            <w:pPr>
              <w:jc w:val="center"/>
              <w:rPr>
                <w:b/>
                <w:color w:val="FFFFFF" w:themeColor="background1"/>
                <w:sz w:val="18"/>
                <w:szCs w:val="18"/>
              </w:rPr>
            </w:pPr>
            <w:r w:rsidRPr="00C451E8">
              <w:rPr>
                <w:b/>
                <w:color w:val="FFFFFF" w:themeColor="background1"/>
                <w:sz w:val="18"/>
                <w:szCs w:val="18"/>
              </w:rPr>
              <w:t>Cost of initial purchase of service-issued digital devices</w:t>
            </w:r>
          </w:p>
        </w:tc>
        <w:tc>
          <w:tcPr>
            <w:tcW w:w="1696" w:type="pct"/>
            <w:gridSpan w:val="2"/>
            <w:shd w:val="clear" w:color="auto" w:fill="14233C" w:themeFill="text2"/>
            <w:vAlign w:val="center"/>
          </w:tcPr>
          <w:p w14:paraId="303BBFE7" w14:textId="4D4EB771" w:rsidR="00C451E8" w:rsidRPr="00C451E8" w:rsidRDefault="00C451E8">
            <w:pPr>
              <w:jc w:val="center"/>
              <w:rPr>
                <w:b/>
                <w:color w:val="FFFFFF" w:themeColor="background1"/>
                <w:sz w:val="18"/>
                <w:szCs w:val="18"/>
              </w:rPr>
            </w:pPr>
            <w:r w:rsidRPr="00C451E8">
              <w:rPr>
                <w:b/>
                <w:color w:val="FFFFFF" w:themeColor="background1"/>
                <w:sz w:val="18"/>
                <w:szCs w:val="18"/>
              </w:rPr>
              <w:t>Cost of ongoing maintenance, repair, and replacement of service-issued digital devices</w:t>
            </w:r>
          </w:p>
        </w:tc>
        <w:tc>
          <w:tcPr>
            <w:tcW w:w="1197" w:type="pct"/>
            <w:shd w:val="clear" w:color="auto" w:fill="14233C" w:themeFill="text2"/>
            <w:vAlign w:val="center"/>
          </w:tcPr>
          <w:p w14:paraId="71FE890A" w14:textId="26641875" w:rsidR="00C451E8" w:rsidRPr="00C451E8" w:rsidRDefault="00C451E8">
            <w:pPr>
              <w:jc w:val="center"/>
              <w:rPr>
                <w:b/>
                <w:color w:val="FFFFFF" w:themeColor="background1"/>
                <w:sz w:val="18"/>
                <w:szCs w:val="18"/>
              </w:rPr>
            </w:pPr>
            <w:r w:rsidRPr="00C451E8">
              <w:rPr>
                <w:b/>
                <w:color w:val="FFFFFF" w:themeColor="background1"/>
                <w:sz w:val="18"/>
                <w:szCs w:val="18"/>
              </w:rPr>
              <w:t>Total cost</w:t>
            </w:r>
          </w:p>
        </w:tc>
      </w:tr>
      <w:tr w:rsidR="001A7CAC" w14:paraId="00F64D6F" w14:textId="77777777" w:rsidTr="00196FB0">
        <w:trPr>
          <w:trHeight w:val="139"/>
          <w:tblHeader/>
        </w:trPr>
        <w:tc>
          <w:tcPr>
            <w:tcW w:w="491" w:type="pct"/>
            <w:vMerge/>
            <w:shd w:val="clear" w:color="auto" w:fill="14233C" w:themeFill="text2"/>
            <w:vAlign w:val="center"/>
          </w:tcPr>
          <w:p w14:paraId="43C4F931" w14:textId="77777777" w:rsidR="00C451E8" w:rsidRPr="00C451E8" w:rsidRDefault="00C451E8" w:rsidP="00151A45">
            <w:pPr>
              <w:rPr>
                <w:b/>
                <w:color w:val="FFFFFF" w:themeColor="background1"/>
                <w:sz w:val="18"/>
                <w:szCs w:val="18"/>
              </w:rPr>
            </w:pPr>
          </w:p>
        </w:tc>
        <w:tc>
          <w:tcPr>
            <w:tcW w:w="1090" w:type="pct"/>
            <w:shd w:val="clear" w:color="auto" w:fill="14233C" w:themeFill="text2"/>
            <w:vAlign w:val="center"/>
          </w:tcPr>
          <w:p w14:paraId="7698ACC8" w14:textId="0378BA19" w:rsidR="00C451E8" w:rsidRPr="00087CCD" w:rsidRDefault="00C451E8" w:rsidP="00151A45">
            <w:pPr>
              <w:jc w:val="center"/>
              <w:rPr>
                <w:b/>
                <w:color w:val="FFFFFF" w:themeColor="background1"/>
                <w:sz w:val="18"/>
                <w:szCs w:val="18"/>
              </w:rPr>
            </w:pPr>
            <w:r w:rsidRPr="00087CCD">
              <w:rPr>
                <w:b/>
                <w:color w:val="FFFFFF" w:themeColor="background1"/>
                <w:sz w:val="18"/>
                <w:szCs w:val="18"/>
              </w:rPr>
              <w:t>Centre-based</w:t>
            </w:r>
          </w:p>
        </w:tc>
        <w:tc>
          <w:tcPr>
            <w:tcW w:w="525" w:type="pct"/>
            <w:shd w:val="clear" w:color="auto" w:fill="14233C" w:themeFill="text2"/>
          </w:tcPr>
          <w:p w14:paraId="6EED26AF" w14:textId="10EABCD2" w:rsidR="00C451E8" w:rsidRPr="00087CCD" w:rsidRDefault="00C451E8" w:rsidP="00151A45">
            <w:pPr>
              <w:jc w:val="center"/>
              <w:rPr>
                <w:b/>
                <w:color w:val="FFFFFF" w:themeColor="background1"/>
                <w:sz w:val="18"/>
                <w:szCs w:val="18"/>
              </w:rPr>
            </w:pPr>
            <w:r w:rsidRPr="00087CCD">
              <w:rPr>
                <w:b/>
                <w:color w:val="FFFFFF" w:themeColor="background1"/>
                <w:sz w:val="18"/>
                <w:szCs w:val="18"/>
              </w:rPr>
              <w:t>FDC</w:t>
            </w:r>
          </w:p>
        </w:tc>
        <w:tc>
          <w:tcPr>
            <w:tcW w:w="1090" w:type="pct"/>
            <w:shd w:val="clear" w:color="auto" w:fill="14233C" w:themeFill="text2"/>
            <w:vAlign w:val="center"/>
          </w:tcPr>
          <w:p w14:paraId="5A2968A5" w14:textId="3529FD8C" w:rsidR="00C451E8" w:rsidRPr="00087CCD" w:rsidRDefault="00C451E8" w:rsidP="00151A45">
            <w:pPr>
              <w:jc w:val="center"/>
              <w:rPr>
                <w:b/>
                <w:color w:val="FFFFFF" w:themeColor="background1"/>
                <w:sz w:val="18"/>
                <w:szCs w:val="18"/>
              </w:rPr>
            </w:pPr>
            <w:r w:rsidRPr="00087CCD">
              <w:rPr>
                <w:b/>
                <w:color w:val="FFFFFF" w:themeColor="background1"/>
                <w:sz w:val="18"/>
                <w:szCs w:val="18"/>
              </w:rPr>
              <w:t>Centre-based</w:t>
            </w:r>
          </w:p>
        </w:tc>
        <w:tc>
          <w:tcPr>
            <w:tcW w:w="606" w:type="pct"/>
            <w:shd w:val="clear" w:color="auto" w:fill="14233C" w:themeFill="text2"/>
          </w:tcPr>
          <w:p w14:paraId="04C86965" w14:textId="26F0C5CB" w:rsidR="00C451E8" w:rsidRPr="00087CCD" w:rsidRDefault="00C451E8" w:rsidP="00151A45">
            <w:pPr>
              <w:jc w:val="center"/>
              <w:rPr>
                <w:b/>
                <w:color w:val="FFFFFF" w:themeColor="background1"/>
                <w:sz w:val="18"/>
                <w:szCs w:val="18"/>
              </w:rPr>
            </w:pPr>
            <w:r w:rsidRPr="00087CCD">
              <w:rPr>
                <w:b/>
                <w:color w:val="FFFFFF" w:themeColor="background1"/>
                <w:sz w:val="18"/>
                <w:szCs w:val="18"/>
              </w:rPr>
              <w:t>FDC</w:t>
            </w:r>
          </w:p>
        </w:tc>
        <w:tc>
          <w:tcPr>
            <w:tcW w:w="1197" w:type="pct"/>
            <w:shd w:val="clear" w:color="auto" w:fill="14233C" w:themeFill="text2"/>
            <w:vAlign w:val="center"/>
          </w:tcPr>
          <w:p w14:paraId="01A062AE" w14:textId="77777777" w:rsidR="00C451E8" w:rsidRPr="00C451E8" w:rsidRDefault="00C451E8" w:rsidP="00151A45">
            <w:pPr>
              <w:jc w:val="center"/>
              <w:rPr>
                <w:b/>
                <w:color w:val="FFFFFF" w:themeColor="background1"/>
                <w:sz w:val="18"/>
                <w:szCs w:val="18"/>
              </w:rPr>
            </w:pPr>
          </w:p>
        </w:tc>
      </w:tr>
      <w:tr w:rsidR="001A7CAC" w14:paraId="64065A85" w14:textId="78158D2F" w:rsidTr="00196FB0">
        <w:trPr>
          <w:trHeight w:val="715"/>
        </w:trPr>
        <w:tc>
          <w:tcPr>
            <w:tcW w:w="491" w:type="pct"/>
            <w:vAlign w:val="center"/>
          </w:tcPr>
          <w:p w14:paraId="42145A79" w14:textId="4D526E8A" w:rsidR="00087CCD" w:rsidRPr="00C451E8" w:rsidRDefault="00087CCD" w:rsidP="00087CCD">
            <w:pPr>
              <w:rPr>
                <w:sz w:val="18"/>
                <w:szCs w:val="18"/>
              </w:rPr>
            </w:pPr>
            <w:r w:rsidRPr="00C451E8">
              <w:rPr>
                <w:sz w:val="18"/>
                <w:szCs w:val="18"/>
              </w:rPr>
              <w:t>NSW</w:t>
            </w:r>
          </w:p>
        </w:tc>
        <w:tc>
          <w:tcPr>
            <w:tcW w:w="1090" w:type="pct"/>
            <w:vAlign w:val="center"/>
          </w:tcPr>
          <w:p w14:paraId="21DFB870" w14:textId="26183A76" w:rsidR="00087CCD" w:rsidRPr="00C451E8" w:rsidRDefault="00087CCD" w:rsidP="00087CCD">
            <w:pPr>
              <w:jc w:val="center"/>
              <w:rPr>
                <w:sz w:val="18"/>
                <w:szCs w:val="18"/>
              </w:rPr>
            </w:pPr>
            <w:r w:rsidRPr="00C451E8">
              <w:rPr>
                <w:rFonts w:cs="Arial"/>
                <w:color w:val="000000"/>
                <w:sz w:val="18"/>
                <w:szCs w:val="18"/>
              </w:rPr>
              <w:t>$2,328,812</w:t>
            </w:r>
          </w:p>
        </w:tc>
        <w:tc>
          <w:tcPr>
            <w:tcW w:w="525" w:type="pct"/>
            <w:vAlign w:val="center"/>
          </w:tcPr>
          <w:p w14:paraId="617AC2E3" w14:textId="64D02BE6" w:rsidR="00087CCD" w:rsidRPr="00C451E8" w:rsidRDefault="00087CCD" w:rsidP="00087CCD">
            <w:pPr>
              <w:jc w:val="center"/>
              <w:rPr>
                <w:rFonts w:cs="Arial"/>
                <w:color w:val="000000"/>
                <w:sz w:val="18"/>
                <w:szCs w:val="18"/>
              </w:rPr>
            </w:pPr>
            <w:r w:rsidRPr="00C451E8">
              <w:rPr>
                <w:rFonts w:cs="Arial"/>
                <w:color w:val="000000"/>
                <w:sz w:val="18"/>
                <w:szCs w:val="18"/>
              </w:rPr>
              <w:t>$732,457</w:t>
            </w:r>
          </w:p>
        </w:tc>
        <w:tc>
          <w:tcPr>
            <w:tcW w:w="1090" w:type="pct"/>
            <w:vAlign w:val="center"/>
          </w:tcPr>
          <w:p w14:paraId="1EB36A6B" w14:textId="0A878EDF" w:rsidR="00087CCD" w:rsidRPr="00C451E8" w:rsidRDefault="00087CCD" w:rsidP="00087CCD">
            <w:pPr>
              <w:jc w:val="center"/>
              <w:rPr>
                <w:sz w:val="18"/>
                <w:szCs w:val="18"/>
              </w:rPr>
            </w:pPr>
            <w:r w:rsidRPr="00C451E8">
              <w:rPr>
                <w:rFonts w:cs="Arial"/>
                <w:color w:val="000000"/>
                <w:sz w:val="18"/>
                <w:szCs w:val="18"/>
              </w:rPr>
              <w:t>$7,586,375</w:t>
            </w:r>
          </w:p>
        </w:tc>
        <w:tc>
          <w:tcPr>
            <w:tcW w:w="606" w:type="pct"/>
            <w:vAlign w:val="center"/>
          </w:tcPr>
          <w:p w14:paraId="68395D6E" w14:textId="6828DF68" w:rsidR="00087CCD" w:rsidRPr="00C451E8" w:rsidRDefault="00087CCD" w:rsidP="00087CCD">
            <w:pPr>
              <w:jc w:val="center"/>
              <w:rPr>
                <w:rFonts w:cs="Arial"/>
                <w:color w:val="000000"/>
                <w:sz w:val="18"/>
                <w:szCs w:val="18"/>
              </w:rPr>
            </w:pPr>
            <w:r w:rsidRPr="00C451E8">
              <w:rPr>
                <w:rFonts w:cs="Arial"/>
                <w:color w:val="000000"/>
                <w:sz w:val="18"/>
                <w:szCs w:val="18"/>
              </w:rPr>
              <w:t>$2,386,063</w:t>
            </w:r>
          </w:p>
        </w:tc>
        <w:tc>
          <w:tcPr>
            <w:tcW w:w="1197" w:type="pct"/>
            <w:vAlign w:val="center"/>
          </w:tcPr>
          <w:p w14:paraId="6785C210" w14:textId="0D80B7DD" w:rsidR="00087CCD" w:rsidRPr="00087CCD" w:rsidRDefault="00087CCD" w:rsidP="00087CCD">
            <w:pPr>
              <w:jc w:val="center"/>
              <w:rPr>
                <w:rFonts w:cs="Arial"/>
                <w:b/>
                <w:color w:val="000000"/>
                <w:sz w:val="18"/>
                <w:szCs w:val="18"/>
              </w:rPr>
            </w:pPr>
            <w:r w:rsidRPr="00C451E8">
              <w:rPr>
                <w:rFonts w:cs="Arial"/>
                <w:b/>
                <w:bCs/>
                <w:color w:val="000000"/>
                <w:sz w:val="18"/>
                <w:szCs w:val="18"/>
              </w:rPr>
              <w:t>$13,033,706</w:t>
            </w:r>
          </w:p>
        </w:tc>
      </w:tr>
      <w:tr w:rsidR="001A7CAC" w14:paraId="585F5719" w14:textId="1A86068C" w:rsidTr="00196FB0">
        <w:trPr>
          <w:trHeight w:val="729"/>
        </w:trPr>
        <w:tc>
          <w:tcPr>
            <w:tcW w:w="491" w:type="pct"/>
            <w:vAlign w:val="center"/>
          </w:tcPr>
          <w:p w14:paraId="62CB7D60" w14:textId="1661C777" w:rsidR="00087CCD" w:rsidRPr="00C451E8" w:rsidRDefault="00087CCD" w:rsidP="00087CCD">
            <w:pPr>
              <w:rPr>
                <w:sz w:val="18"/>
                <w:szCs w:val="18"/>
              </w:rPr>
            </w:pPr>
            <w:r w:rsidRPr="00C451E8">
              <w:rPr>
                <w:sz w:val="18"/>
                <w:szCs w:val="18"/>
              </w:rPr>
              <w:t>VIC</w:t>
            </w:r>
          </w:p>
        </w:tc>
        <w:tc>
          <w:tcPr>
            <w:tcW w:w="1090" w:type="pct"/>
            <w:vAlign w:val="center"/>
          </w:tcPr>
          <w:p w14:paraId="3395BCA5" w14:textId="1E1A4B44" w:rsidR="00087CCD" w:rsidRPr="00C451E8" w:rsidRDefault="00087CCD" w:rsidP="00087CCD">
            <w:pPr>
              <w:jc w:val="center"/>
              <w:rPr>
                <w:sz w:val="18"/>
                <w:szCs w:val="18"/>
              </w:rPr>
            </w:pPr>
            <w:r w:rsidRPr="00C451E8">
              <w:rPr>
                <w:rFonts w:cs="Arial"/>
                <w:color w:val="000000"/>
                <w:sz w:val="18"/>
                <w:szCs w:val="18"/>
              </w:rPr>
              <w:t>$2,069,235</w:t>
            </w:r>
          </w:p>
        </w:tc>
        <w:tc>
          <w:tcPr>
            <w:tcW w:w="525" w:type="pct"/>
            <w:vAlign w:val="center"/>
          </w:tcPr>
          <w:p w14:paraId="113143F7" w14:textId="181A0D00" w:rsidR="00087CCD" w:rsidRPr="00C451E8" w:rsidRDefault="00087CCD" w:rsidP="00087CCD">
            <w:pPr>
              <w:jc w:val="center"/>
              <w:rPr>
                <w:rFonts w:cs="Arial"/>
                <w:color w:val="000000"/>
                <w:sz w:val="18"/>
                <w:szCs w:val="18"/>
              </w:rPr>
            </w:pPr>
            <w:r w:rsidRPr="00C451E8">
              <w:rPr>
                <w:rFonts w:cs="Arial"/>
                <w:color w:val="000000"/>
                <w:sz w:val="18"/>
                <w:szCs w:val="18"/>
              </w:rPr>
              <w:t>$797,961</w:t>
            </w:r>
          </w:p>
        </w:tc>
        <w:tc>
          <w:tcPr>
            <w:tcW w:w="1090" w:type="pct"/>
            <w:vAlign w:val="center"/>
          </w:tcPr>
          <w:p w14:paraId="1272C795" w14:textId="71C62918" w:rsidR="00087CCD" w:rsidRPr="00C451E8" w:rsidRDefault="00087CCD" w:rsidP="00087CCD">
            <w:pPr>
              <w:jc w:val="center"/>
              <w:rPr>
                <w:sz w:val="18"/>
                <w:szCs w:val="18"/>
              </w:rPr>
            </w:pPr>
            <w:r w:rsidRPr="00C451E8">
              <w:rPr>
                <w:rFonts w:cs="Arial"/>
                <w:color w:val="000000"/>
                <w:sz w:val="18"/>
                <w:szCs w:val="18"/>
              </w:rPr>
              <w:t>$6,740,775</w:t>
            </w:r>
          </w:p>
        </w:tc>
        <w:tc>
          <w:tcPr>
            <w:tcW w:w="606" w:type="pct"/>
            <w:vAlign w:val="center"/>
          </w:tcPr>
          <w:p w14:paraId="5967D40E" w14:textId="46633921" w:rsidR="00087CCD" w:rsidRPr="00C451E8" w:rsidRDefault="00087CCD" w:rsidP="00087CCD">
            <w:pPr>
              <w:jc w:val="center"/>
              <w:rPr>
                <w:rFonts w:cs="Arial"/>
                <w:color w:val="000000"/>
                <w:sz w:val="18"/>
                <w:szCs w:val="18"/>
              </w:rPr>
            </w:pPr>
            <w:r w:rsidRPr="00C451E8">
              <w:rPr>
                <w:rFonts w:cs="Arial"/>
                <w:color w:val="000000"/>
                <w:sz w:val="18"/>
                <w:szCs w:val="18"/>
              </w:rPr>
              <w:t>$2,599,450</w:t>
            </w:r>
          </w:p>
        </w:tc>
        <w:tc>
          <w:tcPr>
            <w:tcW w:w="1197" w:type="pct"/>
            <w:vAlign w:val="center"/>
          </w:tcPr>
          <w:p w14:paraId="7DC477B2" w14:textId="5A23832A" w:rsidR="00087CCD" w:rsidRPr="00087CCD" w:rsidRDefault="00087CCD" w:rsidP="00087CCD">
            <w:pPr>
              <w:jc w:val="center"/>
              <w:rPr>
                <w:rFonts w:cs="Arial"/>
                <w:b/>
                <w:color w:val="000000"/>
                <w:sz w:val="18"/>
                <w:szCs w:val="18"/>
              </w:rPr>
            </w:pPr>
            <w:r w:rsidRPr="00C451E8">
              <w:rPr>
                <w:rFonts w:cs="Arial"/>
                <w:b/>
                <w:bCs/>
                <w:color w:val="000000"/>
                <w:sz w:val="18"/>
                <w:szCs w:val="18"/>
              </w:rPr>
              <w:t>$12,207,421</w:t>
            </w:r>
          </w:p>
        </w:tc>
      </w:tr>
      <w:tr w:rsidR="001A7CAC" w14:paraId="56F59661" w14:textId="5637720E" w:rsidTr="00196FB0">
        <w:trPr>
          <w:trHeight w:val="715"/>
        </w:trPr>
        <w:tc>
          <w:tcPr>
            <w:tcW w:w="491" w:type="pct"/>
            <w:vAlign w:val="center"/>
          </w:tcPr>
          <w:p w14:paraId="5C9D4E38" w14:textId="180D33CD" w:rsidR="00087CCD" w:rsidRPr="00C451E8" w:rsidRDefault="00087CCD" w:rsidP="00087CCD">
            <w:pPr>
              <w:rPr>
                <w:sz w:val="18"/>
                <w:szCs w:val="18"/>
              </w:rPr>
            </w:pPr>
            <w:r w:rsidRPr="00C451E8">
              <w:rPr>
                <w:sz w:val="18"/>
                <w:szCs w:val="18"/>
              </w:rPr>
              <w:t>QLD</w:t>
            </w:r>
          </w:p>
        </w:tc>
        <w:tc>
          <w:tcPr>
            <w:tcW w:w="1090" w:type="pct"/>
            <w:vAlign w:val="center"/>
          </w:tcPr>
          <w:p w14:paraId="19CEA904" w14:textId="1F6BCF6E" w:rsidR="00087CCD" w:rsidRPr="00C451E8" w:rsidRDefault="00087CCD" w:rsidP="00087CCD">
            <w:pPr>
              <w:jc w:val="center"/>
              <w:rPr>
                <w:sz w:val="18"/>
                <w:szCs w:val="18"/>
              </w:rPr>
            </w:pPr>
            <w:r w:rsidRPr="00C451E8">
              <w:rPr>
                <w:rFonts w:cs="Arial"/>
                <w:color w:val="000000"/>
                <w:sz w:val="18"/>
                <w:szCs w:val="18"/>
              </w:rPr>
              <w:t>$1,468,625</w:t>
            </w:r>
          </w:p>
        </w:tc>
        <w:tc>
          <w:tcPr>
            <w:tcW w:w="525" w:type="pct"/>
            <w:vAlign w:val="center"/>
          </w:tcPr>
          <w:p w14:paraId="3F6B870B" w14:textId="379E416C" w:rsidR="00087CCD" w:rsidRPr="00C451E8" w:rsidRDefault="00087CCD" w:rsidP="00087CCD">
            <w:pPr>
              <w:jc w:val="center"/>
              <w:rPr>
                <w:rFonts w:cs="Arial"/>
                <w:color w:val="000000"/>
                <w:sz w:val="18"/>
                <w:szCs w:val="18"/>
              </w:rPr>
            </w:pPr>
            <w:r w:rsidRPr="00C451E8">
              <w:rPr>
                <w:rFonts w:cs="Arial"/>
                <w:color w:val="000000"/>
                <w:sz w:val="18"/>
                <w:szCs w:val="18"/>
              </w:rPr>
              <w:t>$565,719</w:t>
            </w:r>
          </w:p>
        </w:tc>
        <w:tc>
          <w:tcPr>
            <w:tcW w:w="1090" w:type="pct"/>
            <w:vAlign w:val="center"/>
          </w:tcPr>
          <w:p w14:paraId="2836BCCC" w14:textId="06017B64" w:rsidR="00087CCD" w:rsidRPr="00C451E8" w:rsidRDefault="00087CCD" w:rsidP="00087CCD">
            <w:pPr>
              <w:jc w:val="center"/>
              <w:rPr>
                <w:sz w:val="18"/>
                <w:szCs w:val="18"/>
              </w:rPr>
            </w:pPr>
            <w:r w:rsidRPr="00C451E8">
              <w:rPr>
                <w:rFonts w:cs="Arial"/>
                <w:color w:val="000000"/>
                <w:sz w:val="18"/>
                <w:szCs w:val="18"/>
              </w:rPr>
              <w:t>$4,784,217</w:t>
            </w:r>
          </w:p>
        </w:tc>
        <w:tc>
          <w:tcPr>
            <w:tcW w:w="606" w:type="pct"/>
            <w:vAlign w:val="center"/>
          </w:tcPr>
          <w:p w14:paraId="0B86246D" w14:textId="61C095DF" w:rsidR="00087CCD" w:rsidRPr="00C451E8" w:rsidRDefault="00087CCD" w:rsidP="00087CCD">
            <w:pPr>
              <w:jc w:val="center"/>
              <w:rPr>
                <w:rFonts w:cs="Arial"/>
                <w:color w:val="000000"/>
                <w:sz w:val="18"/>
                <w:szCs w:val="18"/>
              </w:rPr>
            </w:pPr>
            <w:r w:rsidRPr="00C451E8">
              <w:rPr>
                <w:rFonts w:cs="Arial"/>
                <w:color w:val="000000"/>
                <w:sz w:val="18"/>
                <w:szCs w:val="18"/>
              </w:rPr>
              <w:t>$1,842,894</w:t>
            </w:r>
          </w:p>
        </w:tc>
        <w:tc>
          <w:tcPr>
            <w:tcW w:w="1197" w:type="pct"/>
            <w:vAlign w:val="center"/>
          </w:tcPr>
          <w:p w14:paraId="7C7AB8AD" w14:textId="01E7694C" w:rsidR="00087CCD" w:rsidRPr="00087CCD" w:rsidRDefault="00087CCD" w:rsidP="00087CCD">
            <w:pPr>
              <w:jc w:val="center"/>
              <w:rPr>
                <w:rFonts w:cs="Arial"/>
                <w:b/>
                <w:color w:val="000000"/>
                <w:sz w:val="18"/>
                <w:szCs w:val="18"/>
              </w:rPr>
            </w:pPr>
            <w:r w:rsidRPr="00C451E8">
              <w:rPr>
                <w:rFonts w:cs="Arial"/>
                <w:b/>
                <w:bCs/>
                <w:color w:val="000000"/>
                <w:sz w:val="18"/>
                <w:szCs w:val="18"/>
              </w:rPr>
              <w:t>$8,661,455</w:t>
            </w:r>
          </w:p>
        </w:tc>
      </w:tr>
      <w:tr w:rsidR="001A7CAC" w14:paraId="22595BC7" w14:textId="5BFEECEE" w:rsidTr="00196FB0">
        <w:trPr>
          <w:trHeight w:val="422"/>
        </w:trPr>
        <w:tc>
          <w:tcPr>
            <w:tcW w:w="491" w:type="pct"/>
            <w:vAlign w:val="center"/>
          </w:tcPr>
          <w:p w14:paraId="2696F0E4" w14:textId="3DC7BE20" w:rsidR="00087CCD" w:rsidRPr="00C451E8" w:rsidRDefault="00087CCD" w:rsidP="00087CCD">
            <w:pPr>
              <w:rPr>
                <w:sz w:val="18"/>
                <w:szCs w:val="18"/>
              </w:rPr>
            </w:pPr>
            <w:r w:rsidRPr="00C451E8">
              <w:rPr>
                <w:sz w:val="18"/>
                <w:szCs w:val="18"/>
              </w:rPr>
              <w:t>WA</w:t>
            </w:r>
          </w:p>
        </w:tc>
        <w:tc>
          <w:tcPr>
            <w:tcW w:w="1090" w:type="pct"/>
            <w:vAlign w:val="center"/>
          </w:tcPr>
          <w:p w14:paraId="07A412A7" w14:textId="25BF4467" w:rsidR="00087CCD" w:rsidRPr="00C451E8" w:rsidRDefault="00087CCD" w:rsidP="00087CCD">
            <w:pPr>
              <w:jc w:val="center"/>
              <w:rPr>
                <w:sz w:val="18"/>
                <w:szCs w:val="18"/>
              </w:rPr>
            </w:pPr>
            <w:r w:rsidRPr="00C451E8">
              <w:rPr>
                <w:rFonts w:cs="Arial"/>
                <w:color w:val="000000"/>
                <w:sz w:val="18"/>
                <w:szCs w:val="18"/>
              </w:rPr>
              <w:t>$614,391</w:t>
            </w:r>
          </w:p>
        </w:tc>
        <w:tc>
          <w:tcPr>
            <w:tcW w:w="525" w:type="pct"/>
            <w:vAlign w:val="center"/>
          </w:tcPr>
          <w:p w14:paraId="6945F130" w14:textId="69C1EF5F" w:rsidR="00087CCD" w:rsidRPr="00C451E8" w:rsidRDefault="00087CCD" w:rsidP="00087CCD">
            <w:pPr>
              <w:jc w:val="center"/>
              <w:rPr>
                <w:rFonts w:cs="Arial"/>
                <w:color w:val="000000"/>
                <w:sz w:val="18"/>
                <w:szCs w:val="18"/>
              </w:rPr>
            </w:pPr>
            <w:r w:rsidRPr="00C451E8">
              <w:rPr>
                <w:rFonts w:cs="Arial"/>
                <w:color w:val="000000"/>
                <w:sz w:val="18"/>
                <w:szCs w:val="18"/>
              </w:rPr>
              <w:t>$0</w:t>
            </w:r>
          </w:p>
        </w:tc>
        <w:tc>
          <w:tcPr>
            <w:tcW w:w="1090" w:type="pct"/>
            <w:vAlign w:val="center"/>
          </w:tcPr>
          <w:p w14:paraId="3C6C5082" w14:textId="35AFFB50" w:rsidR="00087CCD" w:rsidRPr="00C451E8" w:rsidRDefault="00087CCD" w:rsidP="00087CCD">
            <w:pPr>
              <w:jc w:val="center"/>
              <w:rPr>
                <w:sz w:val="18"/>
                <w:szCs w:val="18"/>
              </w:rPr>
            </w:pPr>
            <w:r w:rsidRPr="00C451E8">
              <w:rPr>
                <w:rFonts w:cs="Arial"/>
                <w:color w:val="000000"/>
                <w:sz w:val="18"/>
                <w:szCs w:val="18"/>
              </w:rPr>
              <w:t>$2,001,451</w:t>
            </w:r>
          </w:p>
        </w:tc>
        <w:tc>
          <w:tcPr>
            <w:tcW w:w="606" w:type="pct"/>
            <w:vAlign w:val="center"/>
          </w:tcPr>
          <w:p w14:paraId="2A16DA77" w14:textId="04BAEE47" w:rsidR="00087CCD" w:rsidRPr="00C451E8" w:rsidRDefault="00087CCD" w:rsidP="00087CCD">
            <w:pPr>
              <w:jc w:val="center"/>
              <w:rPr>
                <w:rFonts w:cs="Arial"/>
                <w:color w:val="000000"/>
                <w:sz w:val="18"/>
                <w:szCs w:val="18"/>
              </w:rPr>
            </w:pPr>
            <w:r w:rsidRPr="00C451E8">
              <w:rPr>
                <w:rFonts w:cs="Arial"/>
                <w:color w:val="000000"/>
                <w:sz w:val="18"/>
                <w:szCs w:val="18"/>
              </w:rPr>
              <w:t>$0</w:t>
            </w:r>
          </w:p>
        </w:tc>
        <w:tc>
          <w:tcPr>
            <w:tcW w:w="1197" w:type="pct"/>
            <w:vAlign w:val="center"/>
          </w:tcPr>
          <w:p w14:paraId="24B652BC" w14:textId="3B48F904" w:rsidR="00087CCD" w:rsidRPr="00087CCD" w:rsidRDefault="00087CCD" w:rsidP="00087CCD">
            <w:pPr>
              <w:jc w:val="center"/>
              <w:rPr>
                <w:rFonts w:cs="Arial"/>
                <w:b/>
                <w:color w:val="000000"/>
                <w:sz w:val="18"/>
                <w:szCs w:val="18"/>
              </w:rPr>
            </w:pPr>
            <w:r w:rsidRPr="00087CCD">
              <w:rPr>
                <w:rFonts w:cs="Arial"/>
                <w:b/>
                <w:color w:val="000000"/>
                <w:sz w:val="18"/>
                <w:szCs w:val="18"/>
              </w:rPr>
              <w:t>$2,615,842</w:t>
            </w:r>
          </w:p>
        </w:tc>
      </w:tr>
      <w:tr w:rsidR="001A7CAC" w14:paraId="2FB156D3" w14:textId="2F7B9E9E" w:rsidTr="00196FB0">
        <w:trPr>
          <w:trHeight w:val="715"/>
        </w:trPr>
        <w:tc>
          <w:tcPr>
            <w:tcW w:w="491" w:type="pct"/>
            <w:vAlign w:val="center"/>
          </w:tcPr>
          <w:p w14:paraId="59229EE2" w14:textId="4A732227" w:rsidR="00087CCD" w:rsidRPr="00C451E8" w:rsidRDefault="00087CCD" w:rsidP="00087CCD">
            <w:pPr>
              <w:rPr>
                <w:sz w:val="18"/>
                <w:szCs w:val="18"/>
              </w:rPr>
            </w:pPr>
            <w:r w:rsidRPr="00C451E8">
              <w:rPr>
                <w:sz w:val="18"/>
                <w:szCs w:val="18"/>
              </w:rPr>
              <w:t>SA</w:t>
            </w:r>
          </w:p>
        </w:tc>
        <w:tc>
          <w:tcPr>
            <w:tcW w:w="1090" w:type="pct"/>
            <w:vAlign w:val="center"/>
          </w:tcPr>
          <w:p w14:paraId="203629C8" w14:textId="7985D6D5" w:rsidR="00087CCD" w:rsidRPr="00C451E8" w:rsidRDefault="00087CCD" w:rsidP="00087CCD">
            <w:pPr>
              <w:jc w:val="center"/>
              <w:rPr>
                <w:sz w:val="18"/>
                <w:szCs w:val="18"/>
              </w:rPr>
            </w:pPr>
            <w:r w:rsidRPr="00C451E8">
              <w:rPr>
                <w:rFonts w:cs="Arial"/>
                <w:color w:val="000000"/>
                <w:sz w:val="18"/>
                <w:szCs w:val="18"/>
              </w:rPr>
              <w:t>$540,504</w:t>
            </w:r>
          </w:p>
        </w:tc>
        <w:tc>
          <w:tcPr>
            <w:tcW w:w="525" w:type="pct"/>
            <w:vAlign w:val="center"/>
          </w:tcPr>
          <w:p w14:paraId="7356A4FC" w14:textId="68F2F908" w:rsidR="00087CCD" w:rsidRPr="00C451E8" w:rsidRDefault="00087CCD" w:rsidP="00087CCD">
            <w:pPr>
              <w:jc w:val="center"/>
              <w:rPr>
                <w:rFonts w:cs="Arial"/>
                <w:color w:val="000000"/>
                <w:sz w:val="18"/>
                <w:szCs w:val="18"/>
              </w:rPr>
            </w:pPr>
            <w:r w:rsidRPr="00C451E8">
              <w:rPr>
                <w:rFonts w:cs="Arial"/>
                <w:color w:val="000000"/>
                <w:sz w:val="18"/>
                <w:szCs w:val="18"/>
              </w:rPr>
              <w:t>$101,234</w:t>
            </w:r>
          </w:p>
        </w:tc>
        <w:tc>
          <w:tcPr>
            <w:tcW w:w="1090" w:type="pct"/>
            <w:vAlign w:val="center"/>
          </w:tcPr>
          <w:p w14:paraId="58EDA3CA" w14:textId="1E8F950E" w:rsidR="00087CCD" w:rsidRPr="00C451E8" w:rsidRDefault="00087CCD" w:rsidP="00087CCD">
            <w:pPr>
              <w:jc w:val="center"/>
              <w:rPr>
                <w:sz w:val="18"/>
                <w:szCs w:val="18"/>
              </w:rPr>
            </w:pPr>
            <w:r w:rsidRPr="00C451E8">
              <w:rPr>
                <w:rFonts w:cs="Arial"/>
                <w:color w:val="000000"/>
                <w:sz w:val="18"/>
                <w:szCs w:val="18"/>
              </w:rPr>
              <w:t>$1,760,754</w:t>
            </w:r>
          </w:p>
        </w:tc>
        <w:tc>
          <w:tcPr>
            <w:tcW w:w="606" w:type="pct"/>
            <w:vAlign w:val="center"/>
          </w:tcPr>
          <w:p w14:paraId="23D906D1" w14:textId="17A87378" w:rsidR="00087CCD" w:rsidRPr="00C451E8" w:rsidRDefault="00087CCD" w:rsidP="00087CCD">
            <w:pPr>
              <w:jc w:val="center"/>
              <w:rPr>
                <w:rFonts w:cs="Arial"/>
                <w:color w:val="000000"/>
                <w:sz w:val="18"/>
                <w:szCs w:val="18"/>
              </w:rPr>
            </w:pPr>
            <w:r w:rsidRPr="00C451E8">
              <w:rPr>
                <w:rFonts w:cs="Arial"/>
                <w:color w:val="000000"/>
                <w:sz w:val="18"/>
                <w:szCs w:val="18"/>
              </w:rPr>
              <w:t>$329,781</w:t>
            </w:r>
          </w:p>
        </w:tc>
        <w:tc>
          <w:tcPr>
            <w:tcW w:w="1197" w:type="pct"/>
            <w:vAlign w:val="center"/>
          </w:tcPr>
          <w:p w14:paraId="03494CF3" w14:textId="0555EE51" w:rsidR="00087CCD" w:rsidRPr="00087CCD" w:rsidRDefault="00087CCD" w:rsidP="00087CCD">
            <w:pPr>
              <w:jc w:val="center"/>
              <w:rPr>
                <w:rFonts w:cs="Arial"/>
                <w:b/>
                <w:color w:val="000000"/>
                <w:sz w:val="18"/>
                <w:szCs w:val="18"/>
              </w:rPr>
            </w:pPr>
            <w:r w:rsidRPr="00C451E8">
              <w:rPr>
                <w:rFonts w:cs="Arial"/>
                <w:b/>
                <w:bCs/>
                <w:color w:val="000000"/>
                <w:sz w:val="18"/>
                <w:szCs w:val="18"/>
              </w:rPr>
              <w:t>$2,732,273</w:t>
            </w:r>
          </w:p>
        </w:tc>
      </w:tr>
      <w:tr w:rsidR="001A7CAC" w14:paraId="5A735D2F" w14:textId="25BB992F" w:rsidTr="00196FB0">
        <w:trPr>
          <w:trHeight w:val="422"/>
        </w:trPr>
        <w:tc>
          <w:tcPr>
            <w:tcW w:w="491" w:type="pct"/>
            <w:vAlign w:val="center"/>
          </w:tcPr>
          <w:p w14:paraId="415C9958" w14:textId="4DF5C9E7" w:rsidR="00087CCD" w:rsidRPr="00C451E8" w:rsidRDefault="00087CCD" w:rsidP="00087CCD">
            <w:pPr>
              <w:rPr>
                <w:sz w:val="18"/>
                <w:szCs w:val="18"/>
              </w:rPr>
            </w:pPr>
            <w:r w:rsidRPr="00C451E8">
              <w:rPr>
                <w:sz w:val="18"/>
                <w:szCs w:val="18"/>
              </w:rPr>
              <w:t>TAS</w:t>
            </w:r>
          </w:p>
        </w:tc>
        <w:tc>
          <w:tcPr>
            <w:tcW w:w="1090" w:type="pct"/>
            <w:vAlign w:val="center"/>
          </w:tcPr>
          <w:p w14:paraId="1873A3C1" w14:textId="4CA43DB1" w:rsidR="00087CCD" w:rsidRPr="00C451E8" w:rsidRDefault="00087CCD" w:rsidP="00087CCD">
            <w:pPr>
              <w:jc w:val="center"/>
              <w:rPr>
                <w:sz w:val="18"/>
                <w:szCs w:val="18"/>
              </w:rPr>
            </w:pPr>
            <w:r w:rsidRPr="00C451E8">
              <w:rPr>
                <w:rFonts w:cs="Arial"/>
                <w:color w:val="000000"/>
                <w:sz w:val="18"/>
                <w:szCs w:val="18"/>
              </w:rPr>
              <w:t>$92,845</w:t>
            </w:r>
          </w:p>
        </w:tc>
        <w:tc>
          <w:tcPr>
            <w:tcW w:w="525" w:type="pct"/>
            <w:vAlign w:val="center"/>
          </w:tcPr>
          <w:p w14:paraId="7B56C726" w14:textId="70CB0313" w:rsidR="00087CCD" w:rsidRPr="00C451E8" w:rsidRDefault="00087CCD" w:rsidP="00087CCD">
            <w:pPr>
              <w:jc w:val="center"/>
              <w:rPr>
                <w:rFonts w:cs="Arial"/>
                <w:color w:val="000000"/>
                <w:sz w:val="18"/>
                <w:szCs w:val="18"/>
              </w:rPr>
            </w:pPr>
            <w:r w:rsidRPr="00C451E8">
              <w:rPr>
                <w:rFonts w:cs="Arial"/>
                <w:color w:val="000000"/>
                <w:sz w:val="18"/>
                <w:szCs w:val="18"/>
              </w:rPr>
              <w:t>$29,775</w:t>
            </w:r>
          </w:p>
        </w:tc>
        <w:tc>
          <w:tcPr>
            <w:tcW w:w="1090" w:type="pct"/>
            <w:vAlign w:val="center"/>
          </w:tcPr>
          <w:p w14:paraId="275DF456" w14:textId="53DF85D8" w:rsidR="00087CCD" w:rsidRPr="00C451E8" w:rsidRDefault="00087CCD" w:rsidP="00087CCD">
            <w:pPr>
              <w:jc w:val="center"/>
              <w:rPr>
                <w:sz w:val="18"/>
                <w:szCs w:val="18"/>
              </w:rPr>
            </w:pPr>
            <w:r w:rsidRPr="00C451E8">
              <w:rPr>
                <w:rFonts w:cs="Arial"/>
                <w:color w:val="000000"/>
                <w:sz w:val="18"/>
                <w:szCs w:val="18"/>
              </w:rPr>
              <w:t>$302,452</w:t>
            </w:r>
          </w:p>
        </w:tc>
        <w:tc>
          <w:tcPr>
            <w:tcW w:w="606" w:type="pct"/>
            <w:vAlign w:val="center"/>
          </w:tcPr>
          <w:p w14:paraId="57BA6BBA" w14:textId="78CFD7AF" w:rsidR="00087CCD" w:rsidRPr="00C451E8" w:rsidRDefault="00087CCD" w:rsidP="00087CCD">
            <w:pPr>
              <w:jc w:val="center"/>
              <w:rPr>
                <w:rFonts w:cs="Arial"/>
                <w:color w:val="000000"/>
                <w:sz w:val="18"/>
                <w:szCs w:val="18"/>
              </w:rPr>
            </w:pPr>
            <w:r w:rsidRPr="00C451E8">
              <w:rPr>
                <w:rFonts w:cs="Arial"/>
                <w:color w:val="000000"/>
                <w:sz w:val="18"/>
                <w:szCs w:val="18"/>
              </w:rPr>
              <w:t>$96,994</w:t>
            </w:r>
          </w:p>
        </w:tc>
        <w:tc>
          <w:tcPr>
            <w:tcW w:w="1197" w:type="pct"/>
            <w:vAlign w:val="center"/>
          </w:tcPr>
          <w:p w14:paraId="7B3A5BE4" w14:textId="411E8171" w:rsidR="00087CCD" w:rsidRPr="00087CCD" w:rsidRDefault="00087CCD" w:rsidP="00087CCD">
            <w:pPr>
              <w:jc w:val="center"/>
              <w:rPr>
                <w:rFonts w:cs="Arial"/>
                <w:b/>
                <w:color w:val="000000"/>
                <w:sz w:val="18"/>
                <w:szCs w:val="18"/>
              </w:rPr>
            </w:pPr>
            <w:r w:rsidRPr="00C451E8">
              <w:rPr>
                <w:rFonts w:cs="Arial"/>
                <w:b/>
                <w:bCs/>
                <w:color w:val="000000"/>
                <w:sz w:val="18"/>
                <w:szCs w:val="18"/>
              </w:rPr>
              <w:t>$522,065</w:t>
            </w:r>
          </w:p>
        </w:tc>
      </w:tr>
      <w:tr w:rsidR="001A7CAC" w14:paraId="310A44A8" w14:textId="53C0DB53" w:rsidTr="00196FB0">
        <w:trPr>
          <w:trHeight w:val="407"/>
        </w:trPr>
        <w:tc>
          <w:tcPr>
            <w:tcW w:w="491" w:type="pct"/>
            <w:vAlign w:val="center"/>
          </w:tcPr>
          <w:p w14:paraId="16CABB07" w14:textId="73EDCB87" w:rsidR="00087CCD" w:rsidRPr="00C451E8" w:rsidRDefault="00087CCD" w:rsidP="00087CCD">
            <w:pPr>
              <w:rPr>
                <w:sz w:val="18"/>
                <w:szCs w:val="18"/>
              </w:rPr>
            </w:pPr>
            <w:r w:rsidRPr="00C451E8">
              <w:rPr>
                <w:sz w:val="18"/>
                <w:szCs w:val="18"/>
              </w:rPr>
              <w:t>ACT</w:t>
            </w:r>
          </w:p>
        </w:tc>
        <w:tc>
          <w:tcPr>
            <w:tcW w:w="1090" w:type="pct"/>
            <w:vAlign w:val="center"/>
          </w:tcPr>
          <w:p w14:paraId="7A75C50B" w14:textId="4A589AF3" w:rsidR="00087CCD" w:rsidRPr="00C451E8" w:rsidRDefault="00087CCD" w:rsidP="00087CCD">
            <w:pPr>
              <w:jc w:val="center"/>
              <w:rPr>
                <w:sz w:val="18"/>
                <w:szCs w:val="18"/>
              </w:rPr>
            </w:pPr>
            <w:r w:rsidRPr="00C451E8">
              <w:rPr>
                <w:rFonts w:cs="Arial"/>
                <w:color w:val="000000"/>
                <w:sz w:val="18"/>
                <w:szCs w:val="18"/>
              </w:rPr>
              <w:t>$179,737</w:t>
            </w:r>
          </w:p>
        </w:tc>
        <w:tc>
          <w:tcPr>
            <w:tcW w:w="525" w:type="pct"/>
            <w:vAlign w:val="center"/>
          </w:tcPr>
          <w:p w14:paraId="04162050" w14:textId="2ADD3374" w:rsidR="00087CCD" w:rsidRPr="00C451E8" w:rsidRDefault="00087CCD" w:rsidP="00087CCD">
            <w:pPr>
              <w:jc w:val="center"/>
              <w:rPr>
                <w:rFonts w:cs="Arial"/>
                <w:color w:val="000000"/>
                <w:sz w:val="18"/>
                <w:szCs w:val="18"/>
              </w:rPr>
            </w:pPr>
            <w:r w:rsidRPr="00C451E8">
              <w:rPr>
                <w:rFonts w:cs="Arial"/>
                <w:color w:val="000000"/>
                <w:sz w:val="18"/>
                <w:szCs w:val="18"/>
              </w:rPr>
              <w:t>$29,775</w:t>
            </w:r>
          </w:p>
        </w:tc>
        <w:tc>
          <w:tcPr>
            <w:tcW w:w="1090" w:type="pct"/>
            <w:vAlign w:val="center"/>
          </w:tcPr>
          <w:p w14:paraId="13153E78" w14:textId="443D4062" w:rsidR="00087CCD" w:rsidRPr="00C451E8" w:rsidRDefault="00087CCD" w:rsidP="00087CCD">
            <w:pPr>
              <w:jc w:val="center"/>
              <w:rPr>
                <w:sz w:val="18"/>
                <w:szCs w:val="18"/>
              </w:rPr>
            </w:pPr>
            <w:r w:rsidRPr="00C451E8">
              <w:rPr>
                <w:rFonts w:cs="Arial"/>
                <w:color w:val="000000"/>
                <w:sz w:val="18"/>
                <w:szCs w:val="18"/>
              </w:rPr>
              <w:t>$585,513</w:t>
            </w:r>
          </w:p>
        </w:tc>
        <w:tc>
          <w:tcPr>
            <w:tcW w:w="606" w:type="pct"/>
            <w:vAlign w:val="center"/>
          </w:tcPr>
          <w:p w14:paraId="083F2F18" w14:textId="6339AAD9" w:rsidR="00087CCD" w:rsidRPr="00C451E8" w:rsidRDefault="00087CCD" w:rsidP="00087CCD">
            <w:pPr>
              <w:jc w:val="center"/>
              <w:rPr>
                <w:rFonts w:cs="Arial"/>
                <w:color w:val="000000"/>
                <w:sz w:val="18"/>
                <w:szCs w:val="18"/>
              </w:rPr>
            </w:pPr>
            <w:r w:rsidRPr="00C451E8">
              <w:rPr>
                <w:rFonts w:cs="Arial"/>
                <w:color w:val="000000"/>
                <w:sz w:val="18"/>
                <w:szCs w:val="18"/>
              </w:rPr>
              <w:t>$96,994</w:t>
            </w:r>
          </w:p>
        </w:tc>
        <w:tc>
          <w:tcPr>
            <w:tcW w:w="1197" w:type="pct"/>
            <w:vAlign w:val="center"/>
          </w:tcPr>
          <w:p w14:paraId="55EF3BAC" w14:textId="7CDBBCD9" w:rsidR="00087CCD" w:rsidRPr="00087CCD" w:rsidRDefault="00087CCD" w:rsidP="00087CCD">
            <w:pPr>
              <w:jc w:val="center"/>
              <w:rPr>
                <w:rFonts w:cs="Arial"/>
                <w:b/>
                <w:color w:val="000000"/>
                <w:sz w:val="18"/>
                <w:szCs w:val="18"/>
              </w:rPr>
            </w:pPr>
            <w:r w:rsidRPr="00C451E8">
              <w:rPr>
                <w:rFonts w:cs="Arial"/>
                <w:b/>
                <w:bCs/>
                <w:color w:val="000000"/>
                <w:sz w:val="18"/>
                <w:szCs w:val="18"/>
              </w:rPr>
              <w:t>$892,019</w:t>
            </w:r>
          </w:p>
        </w:tc>
      </w:tr>
      <w:tr w:rsidR="001A7CAC" w14:paraId="62F049FC" w14:textId="0CE5F25F" w:rsidTr="00196FB0">
        <w:trPr>
          <w:trHeight w:val="422"/>
        </w:trPr>
        <w:tc>
          <w:tcPr>
            <w:tcW w:w="491" w:type="pct"/>
            <w:vAlign w:val="center"/>
          </w:tcPr>
          <w:p w14:paraId="4FCD342F" w14:textId="0C2FB812" w:rsidR="00087CCD" w:rsidRPr="00C451E8" w:rsidRDefault="00087CCD" w:rsidP="00087CCD">
            <w:pPr>
              <w:rPr>
                <w:sz w:val="18"/>
                <w:szCs w:val="18"/>
              </w:rPr>
            </w:pPr>
            <w:r w:rsidRPr="00C451E8">
              <w:rPr>
                <w:sz w:val="18"/>
                <w:szCs w:val="18"/>
              </w:rPr>
              <w:t>NT</w:t>
            </w:r>
          </w:p>
        </w:tc>
        <w:tc>
          <w:tcPr>
            <w:tcW w:w="1090" w:type="pct"/>
            <w:vAlign w:val="center"/>
          </w:tcPr>
          <w:p w14:paraId="0E57BD01" w14:textId="14E8DB74" w:rsidR="00087CCD" w:rsidRPr="00C451E8" w:rsidRDefault="00087CCD" w:rsidP="00087CCD">
            <w:pPr>
              <w:jc w:val="center"/>
              <w:rPr>
                <w:sz w:val="18"/>
                <w:szCs w:val="18"/>
              </w:rPr>
            </w:pPr>
            <w:r w:rsidRPr="00C451E8">
              <w:rPr>
                <w:rFonts w:cs="Arial"/>
                <w:color w:val="000000"/>
                <w:sz w:val="18"/>
                <w:szCs w:val="18"/>
              </w:rPr>
              <w:t>$91,939</w:t>
            </w:r>
          </w:p>
        </w:tc>
        <w:tc>
          <w:tcPr>
            <w:tcW w:w="525" w:type="pct"/>
            <w:vAlign w:val="center"/>
          </w:tcPr>
          <w:p w14:paraId="13D3121D" w14:textId="014FF747" w:rsidR="00087CCD" w:rsidRPr="00C451E8" w:rsidRDefault="00087CCD" w:rsidP="00087CCD">
            <w:pPr>
              <w:jc w:val="center"/>
              <w:rPr>
                <w:rFonts w:cs="Arial"/>
                <w:color w:val="000000"/>
                <w:sz w:val="18"/>
                <w:szCs w:val="18"/>
              </w:rPr>
            </w:pPr>
            <w:r w:rsidRPr="00C451E8">
              <w:rPr>
                <w:rFonts w:cs="Arial"/>
                <w:color w:val="000000"/>
                <w:sz w:val="18"/>
                <w:szCs w:val="18"/>
              </w:rPr>
              <w:t>$17,865</w:t>
            </w:r>
          </w:p>
        </w:tc>
        <w:tc>
          <w:tcPr>
            <w:tcW w:w="1090" w:type="pct"/>
            <w:vAlign w:val="center"/>
          </w:tcPr>
          <w:p w14:paraId="56FA7F3E" w14:textId="4437A61D" w:rsidR="00087CCD" w:rsidRPr="00C451E8" w:rsidRDefault="00087CCD" w:rsidP="00087CCD">
            <w:pPr>
              <w:jc w:val="center"/>
              <w:rPr>
                <w:sz w:val="18"/>
                <w:szCs w:val="18"/>
              </w:rPr>
            </w:pPr>
            <w:r w:rsidRPr="00C451E8">
              <w:rPr>
                <w:rFonts w:cs="Arial"/>
                <w:color w:val="000000"/>
                <w:sz w:val="18"/>
                <w:szCs w:val="18"/>
              </w:rPr>
              <w:t>$299,501</w:t>
            </w:r>
          </w:p>
        </w:tc>
        <w:tc>
          <w:tcPr>
            <w:tcW w:w="606" w:type="pct"/>
            <w:vAlign w:val="center"/>
          </w:tcPr>
          <w:p w14:paraId="0BC82C69" w14:textId="1DDDA8AD" w:rsidR="00087CCD" w:rsidRPr="00C451E8" w:rsidRDefault="00087CCD" w:rsidP="00087CCD">
            <w:pPr>
              <w:jc w:val="center"/>
              <w:rPr>
                <w:rFonts w:cs="Arial"/>
                <w:color w:val="000000"/>
                <w:sz w:val="18"/>
                <w:szCs w:val="18"/>
              </w:rPr>
            </w:pPr>
            <w:r w:rsidRPr="00C451E8">
              <w:rPr>
                <w:rFonts w:cs="Arial"/>
                <w:color w:val="000000"/>
                <w:sz w:val="18"/>
                <w:szCs w:val="18"/>
              </w:rPr>
              <w:t>$58,197</w:t>
            </w:r>
          </w:p>
        </w:tc>
        <w:tc>
          <w:tcPr>
            <w:tcW w:w="1197" w:type="pct"/>
            <w:vAlign w:val="center"/>
          </w:tcPr>
          <w:p w14:paraId="6271900E" w14:textId="25EC907C" w:rsidR="00087CCD" w:rsidRPr="00087CCD" w:rsidRDefault="00087CCD" w:rsidP="00087CCD">
            <w:pPr>
              <w:jc w:val="center"/>
              <w:rPr>
                <w:rFonts w:cs="Arial"/>
                <w:b/>
                <w:color w:val="000000"/>
                <w:sz w:val="18"/>
                <w:szCs w:val="18"/>
              </w:rPr>
            </w:pPr>
            <w:r w:rsidRPr="00C451E8">
              <w:rPr>
                <w:rFonts w:cs="Arial"/>
                <w:b/>
                <w:bCs/>
                <w:color w:val="000000"/>
                <w:sz w:val="18"/>
                <w:szCs w:val="18"/>
              </w:rPr>
              <w:t>$467,501</w:t>
            </w:r>
          </w:p>
        </w:tc>
      </w:tr>
    </w:tbl>
    <w:p w14:paraId="675E6BAC" w14:textId="7F6FB8BD" w:rsidR="00D601E7" w:rsidRDefault="00D601E7">
      <w:pPr>
        <w:pStyle w:val="Source"/>
      </w:pPr>
      <w:r>
        <w:t>Note: Numbers may not sum due to rounding.</w:t>
      </w:r>
    </w:p>
    <w:p w14:paraId="44525D5A" w14:textId="169932FF" w:rsidR="00D601E7" w:rsidRDefault="00D601E7">
      <w:r>
        <w:lastRenderedPageBreak/>
        <w:t xml:space="preserve">In addition to the monetised costs, option 3 would generate additional administrative and compliance costs around ensuring that service educators and other staff adhere to the regulated use of their personal devices. These costs have not been quantified as (1) they are expected to vary quite substantially by provider since existing administrative processes and available storage spaces will differ, and (2) cost estimates were not provided by stakeholders, particularly as the defined exempt circumstances that would determine some of these costs were not specified. These costs may include (but are not limited to): </w:t>
      </w:r>
    </w:p>
    <w:p w14:paraId="469AAF15" w14:textId="3BA8B3C4" w:rsidR="00D601E7" w:rsidRDefault="00D601E7" w:rsidP="00EC53AB">
      <w:pPr>
        <w:pStyle w:val="ListParagraph"/>
        <w:numPr>
          <w:ilvl w:val="0"/>
          <w:numId w:val="92"/>
        </w:numPr>
        <w:ind w:left="426"/>
      </w:pPr>
      <w:r>
        <w:t>Developing additional administrative processes to determine if any educators or other staff members qualify for personal device use in the case of a defined exempt</w:t>
      </w:r>
      <w:r w:rsidR="00CA7448">
        <w:t xml:space="preserve"> circumstance</w:t>
      </w:r>
      <w:r>
        <w:t>. For example,</w:t>
      </w:r>
      <w:r w:rsidDel="00CB5A7E">
        <w:t xml:space="preserve"> </w:t>
      </w:r>
      <w:r>
        <w:t>if an educator has a personal health requirement that requires the use of a personal device, it will fall to the approved provider to ensure that this educator can use their personal device as it relates to their health requirement, and not for the purpose of generating images and videos of children attending the service.</w:t>
      </w:r>
    </w:p>
    <w:p w14:paraId="5198879F" w14:textId="0CFA1083" w:rsidR="00D601E7" w:rsidRDefault="00D601E7" w:rsidP="00EC53AB">
      <w:pPr>
        <w:pStyle w:val="ListParagraph"/>
        <w:numPr>
          <w:ilvl w:val="0"/>
          <w:numId w:val="92"/>
        </w:numPr>
        <w:ind w:left="426"/>
      </w:pPr>
      <w:r>
        <w:t>Ensuring there are suitable storage arrangements for personal devices away from areas where educators are working directly with children.</w:t>
      </w:r>
    </w:p>
    <w:p w14:paraId="1E7FA82B" w14:textId="13F6FFD1" w:rsidR="00F07995" w:rsidRDefault="00F07995" w:rsidP="00EC53AB">
      <w:pPr>
        <w:pStyle w:val="ListParagraph"/>
        <w:numPr>
          <w:ilvl w:val="0"/>
          <w:numId w:val="92"/>
        </w:numPr>
        <w:ind w:left="426"/>
      </w:pPr>
      <w:r>
        <w:t xml:space="preserve">Ensuring educators are immediately contactable in other ways, in case of family emergency, for example. </w:t>
      </w:r>
    </w:p>
    <w:p w14:paraId="776D67B9" w14:textId="55E704BC" w:rsidR="00D601E7" w:rsidRDefault="00D601E7">
      <w:r>
        <w:t>These considerations may impose additional costs for approved providers, depending on the administration staffing and storage for personal items already available in education and care services.</w:t>
      </w:r>
    </w:p>
    <w:p w14:paraId="720C31BB" w14:textId="06958147" w:rsidR="00D601E7" w:rsidRDefault="00D601E7">
      <w:r>
        <w:t xml:space="preserve">Based on the costs identified, option 2 has been assigned </w:t>
      </w:r>
      <w:r w:rsidR="003055D7">
        <w:t>an MCA</w:t>
      </w:r>
      <w:r>
        <w:t xml:space="preserve"> score of negative five for this criterion, while option 3 was assigned a score of negative </w:t>
      </w:r>
      <w:r w:rsidR="00722A4A">
        <w:t>six</w:t>
      </w:r>
      <w:r>
        <w:t xml:space="preserve">. This was based on the premise that option 3 is expected to incur additional costs associated with monitoring personal device use, ensuring there are adequate storage </w:t>
      </w:r>
      <w:r w:rsidR="00487492">
        <w:t xml:space="preserve">arrangements </w:t>
      </w:r>
      <w:r>
        <w:t>for devices, and ensuring staff members can be contacted through an alternative means.</w:t>
      </w:r>
      <w:r w:rsidR="002E2C2F">
        <w:t xml:space="preserve"> These costs </w:t>
      </w:r>
      <w:r w:rsidR="001D16EF">
        <w:t>were broadly perceived to be outweighed by child safety benefits, in most education and care settings.</w:t>
      </w:r>
    </w:p>
    <w:p w14:paraId="334C708A" w14:textId="47A7046D" w:rsidR="00D601E7" w:rsidRPr="00466043" w:rsidRDefault="00D601E7">
      <w:pPr>
        <w:pStyle w:val="Heading4"/>
      </w:pPr>
      <w:r>
        <w:t>Implementation considerations</w:t>
      </w:r>
    </w:p>
    <w:p w14:paraId="38190618" w14:textId="5F82FA50" w:rsidR="00D601E7" w:rsidRDefault="00D601E7">
      <w:r>
        <w:t>Both options 2 and 3 raised substantial concerns among stakeholders regarding the affordability of the proposed reforms</w:t>
      </w:r>
      <w:r w:rsidR="004D3924">
        <w:t>. Some</w:t>
      </w:r>
      <w:r>
        <w:t xml:space="preserve"> stakeholders </w:t>
      </w:r>
      <w:r w:rsidR="004D3924">
        <w:t xml:space="preserve">indicated </w:t>
      </w:r>
      <w:r w:rsidR="00027C5E">
        <w:t>that the</w:t>
      </w:r>
      <w:r>
        <w:t xml:space="preserve"> reforms may result in services choosing not to use images and videos to document children’s learning</w:t>
      </w:r>
      <w:r w:rsidR="00821B36">
        <w:t xml:space="preserve"> (noting for cost estimation purposes, it was assumed th</w:t>
      </w:r>
      <w:r w:rsidR="00A11842">
        <w:t xml:space="preserve">at </w:t>
      </w:r>
      <w:r w:rsidR="00616B98">
        <w:t xml:space="preserve">most </w:t>
      </w:r>
      <w:r w:rsidR="00A11842">
        <w:t>services would choose to purchase devices)</w:t>
      </w:r>
      <w:r w:rsidR="00B45EC6">
        <w:t>, which could also improve child safety outcomes</w:t>
      </w:r>
      <w:r>
        <w:t>.</w:t>
      </w:r>
      <w:r w:rsidR="001F0A5F">
        <w:t xml:space="preserve"> However, the use of </w:t>
      </w:r>
      <w:r w:rsidR="001F0A5F">
        <w:lastRenderedPageBreak/>
        <w:t>images and videos is also an accessible method of communicating with families</w:t>
      </w:r>
      <w:r w:rsidR="00782523">
        <w:t xml:space="preserve">, </w:t>
      </w:r>
      <w:r w:rsidR="00941DB3">
        <w:t>particularly those with language barriers o</w:t>
      </w:r>
      <w:r w:rsidR="00F73566">
        <w:t xml:space="preserve">r disabilities, </w:t>
      </w:r>
      <w:r w:rsidR="00EF7C2B">
        <w:t>meaning child safety benefits need to be balance</w:t>
      </w:r>
      <w:r w:rsidR="001B4ED8">
        <w:t>d</w:t>
      </w:r>
      <w:r w:rsidR="00EF7C2B">
        <w:t xml:space="preserve"> with family engagement and pedagogical needs</w:t>
      </w:r>
      <w:r w:rsidR="000B1661">
        <w:t>.</w:t>
      </w:r>
      <w:r>
        <w:t xml:space="preserve"> Some stakeholders also indicated that the costs of the proposed regulatory options would ultimately be passed on to families utilising the education and care services.</w:t>
      </w:r>
    </w:p>
    <w:p w14:paraId="021F80FA" w14:textId="16BA5EB6" w:rsidR="00D601E7" w:rsidRDefault="00D601E7">
      <w:pPr>
        <w:rPr>
          <w:rFonts w:eastAsia="Calibri" w:cs="Arial"/>
          <w:szCs w:val="22"/>
        </w:rPr>
      </w:pPr>
      <w:r>
        <w:t>A small number of family survey responses and submissions spoke to valuing images and videos received through</w:t>
      </w:r>
      <w:r w:rsidR="00870450">
        <w:t>out</w:t>
      </w:r>
      <w:r>
        <w:t xml:space="preserve"> the day, and that this supported them to </w:t>
      </w:r>
      <w:r w:rsidR="00A443E3">
        <w:t>feel comfortable with their child attending</w:t>
      </w:r>
      <w:r>
        <w:t xml:space="preserve"> </w:t>
      </w:r>
      <w:r w:rsidR="003407FA">
        <w:t xml:space="preserve">education and </w:t>
      </w:r>
      <w:r>
        <w:t xml:space="preserve">care </w:t>
      </w:r>
      <w:r w:rsidR="003407FA">
        <w:t>services</w:t>
      </w:r>
      <w:r>
        <w:t xml:space="preserve">. Some </w:t>
      </w:r>
      <w:r w:rsidR="00A443E3">
        <w:t xml:space="preserve">approved providers and their </w:t>
      </w:r>
      <w:r>
        <w:t xml:space="preserve">services also described how images and videos can support access and inclusion for regional and remote families, families who </w:t>
      </w:r>
      <w:r w:rsidR="00870450">
        <w:t xml:space="preserve">use </w:t>
      </w:r>
      <w:r>
        <w:t>English as a second language, and families with disability; by allowing family engagement through visual media. This means that while images and videos are not required to document children’s learning under the NQF, they can play an important role for many services in delivering Element 1.3.3 (Information for families - families are informed about the program and their children’s progress) and Standard 6.1 (</w:t>
      </w:r>
      <w:r w:rsidRPr="002B326E">
        <w:rPr>
          <w:rFonts w:eastAsia="Calibri" w:cs="Arial"/>
          <w:color w:val="000000" w:themeColor="text1"/>
          <w:szCs w:val="22"/>
        </w:rPr>
        <w:t>Supportive relationships with families</w:t>
      </w:r>
      <w:r w:rsidRPr="0C449F6F">
        <w:rPr>
          <w:rFonts w:eastAsia="Calibri" w:cs="Arial"/>
          <w:color w:val="000000" w:themeColor="text1"/>
          <w:szCs w:val="22"/>
        </w:rPr>
        <w:t xml:space="preserve"> - </w:t>
      </w:r>
      <w:r>
        <w:t>Respectful relationships with families are developed and maintained and families are supported in their parenting role</w:t>
      </w:r>
      <w:r w:rsidRPr="0C449F6F">
        <w:rPr>
          <w:rFonts w:eastAsia="Calibri" w:cs="Arial"/>
          <w:color w:val="000000" w:themeColor="text1"/>
          <w:szCs w:val="22"/>
        </w:rPr>
        <w:t>)</w:t>
      </w:r>
      <w:r>
        <w:rPr>
          <w:rFonts w:eastAsia="Calibri" w:cs="Arial"/>
          <w:color w:val="000000" w:themeColor="text1"/>
          <w:szCs w:val="22"/>
        </w:rPr>
        <w:t xml:space="preserve"> under the National Quality Standard.</w:t>
      </w:r>
    </w:p>
    <w:p w14:paraId="5893AF8E" w14:textId="3D5174C8" w:rsidR="00D601E7" w:rsidRDefault="00D601E7">
      <w:pPr>
        <w:pStyle w:val="Quote1"/>
      </w:pPr>
      <w:r>
        <w:t xml:space="preserve">I get regular updates on my child and am able to feel connected to them even if I’m not with them. It helps ease the mum guilt of returning to work. – Family survey response </w:t>
      </w:r>
    </w:p>
    <w:p w14:paraId="66CE00B1" w14:textId="3B4F68D5" w:rsidR="00D601E7" w:rsidRDefault="00D601E7">
      <w:pPr>
        <w:pStyle w:val="Quote1"/>
      </w:pPr>
      <w:r>
        <w:t xml:space="preserve">A national public awareness campaign to shift parent expectations about digital documentation in education and care settings—framing reduced reliance on photos and videos as a child safety, educator workload, and quality-of-interaction issue. The campaign should highlight how constant device use increases risk, reduces educators’ focus on children, and places undue pressure on staff to produce digital content rather than engage in real time teaching and care – </w:t>
      </w:r>
      <w:r w:rsidR="005E60A5">
        <w:t>Written</w:t>
      </w:r>
      <w:r>
        <w:t xml:space="preserve"> submission</w:t>
      </w:r>
      <w:r w:rsidR="005E60A5">
        <w:t xml:space="preserve"> response</w:t>
      </w:r>
    </w:p>
    <w:p w14:paraId="3BBC86ED" w14:textId="3009344D" w:rsidR="00D601E7" w:rsidRDefault="00D601E7">
      <w:r>
        <w:t xml:space="preserve">Options 2 and 3 may also impose an indirect consequence of diverting staffing and financial resources to personal and service-issued device management, </w:t>
      </w:r>
      <w:r w:rsidR="00B75BF3">
        <w:t>rather than engaging with children and effectively supervising</w:t>
      </w:r>
      <w:r>
        <w:t xml:space="preserve"> staff to minimise the risk of harm to children.</w:t>
      </w:r>
      <w:r w:rsidR="005B63A8">
        <w:t xml:space="preserve"> This risk was raised by sector stakeholders and ch</w:t>
      </w:r>
      <w:r w:rsidR="0061769B">
        <w:t>ild safety experts.</w:t>
      </w:r>
      <w:r>
        <w:t xml:space="preserve"> </w:t>
      </w:r>
      <w:r w:rsidR="007827CD">
        <w:t xml:space="preserve">This has the potential to </w:t>
      </w:r>
      <w:r w:rsidR="00B43FF1">
        <w:t xml:space="preserve">reduce direct supervision and engagement with children, particularly in smaller </w:t>
      </w:r>
      <w:r w:rsidR="00BC16B9">
        <w:t>or lower-staffed services</w:t>
      </w:r>
      <w:r w:rsidR="00B43FF1">
        <w:t>.</w:t>
      </w:r>
      <w:r w:rsidR="0071370D">
        <w:t xml:space="preserve"> This </w:t>
      </w:r>
      <w:r w:rsidR="0013320A">
        <w:t>could increase other risks to children arising from less supervision.</w:t>
      </w:r>
    </w:p>
    <w:p w14:paraId="1B75A1A5" w14:textId="77777777" w:rsidR="00D601E7" w:rsidRDefault="00D601E7">
      <w:r>
        <w:t>Stakeholders raised concerns over approved providers being potentially liable for managing and monitoring the use of personal digital devices in education and care services, particularly if penalties may be applied. S</w:t>
      </w:r>
      <w:r w:rsidRPr="000D34F6">
        <w:t xml:space="preserve">takeholders suggested it would be difficult to </w:t>
      </w:r>
      <w:r w:rsidRPr="000D34F6">
        <w:lastRenderedPageBreak/>
        <w:t xml:space="preserve">monitor possession of personal digital devices to the extent required by regulation – suggesting that it would be impractical to implement. </w:t>
      </w:r>
    </w:p>
    <w:p w14:paraId="786E6AA4" w14:textId="6574FB3F" w:rsidR="00D601E7" w:rsidRDefault="00D601E7">
      <w:r>
        <w:t>Stakeholders also raised concerns that option 3 would have implications on recruitment, retention, and the perceived professionalism of the sector (while this could be an issue with option 2, it was raised as a much more pertinent issue for option 3). From desktop research conducted, option 3 would set a precedent nationally and internationally for explicitly prohibiting personal devices in education and care services</w:t>
      </w:r>
      <w:r w:rsidR="004E16B9">
        <w:t xml:space="preserve"> (and </w:t>
      </w:r>
      <w:r w:rsidR="007B4929">
        <w:t>other human services sectors)</w:t>
      </w:r>
      <w:r>
        <w:t xml:space="preserve"> as stipulated by the National Law and National Regulations. As a result, option 3 has potential to adversely impact recruitment and retention. </w:t>
      </w:r>
    </w:p>
    <w:p w14:paraId="60AA97D5" w14:textId="156AA6E8" w:rsidR="00D601E7" w:rsidRDefault="00D601E7">
      <w:r>
        <w:t xml:space="preserve">Stakeholders reflected that option 3 may also impose further impacts or unintended consequences, depending on the defined exempt circumstances in which individuals may have personal devices </w:t>
      </w:r>
      <w:r w:rsidR="00D8754D">
        <w:t xml:space="preserve">in </w:t>
      </w:r>
      <w:r>
        <w:t>their possession. The circumstances frequently mentioned by stakeholders as important for inclusion as defined exempt circumstances included all of those outlined in the National Model Code and Guidelines</w:t>
      </w:r>
      <w:r>
        <w:rPr>
          <w:lang w:val="en-US"/>
        </w:rPr>
        <w:t>. Other commonly defined exempt circumstances that are recommended to be considered for inclusion relate to</w:t>
      </w:r>
      <w:r>
        <w:t xml:space="preserve"> excursions, emergency situations, network outages, </w:t>
      </w:r>
      <w:r w:rsidR="00EA099C">
        <w:t xml:space="preserve">and </w:t>
      </w:r>
      <w:r>
        <w:t>any other travel initiated by the service (e.g., some regional/remote services may assist in transporting children in their care). If excursions are not included as defined exempt circumstances, some stakeholder emphasised that more digital devices might be required only when excursions are undertaken.</w:t>
      </w:r>
    </w:p>
    <w:p w14:paraId="625DB064" w14:textId="0764EE42" w:rsidR="00D601E7" w:rsidRDefault="00D601E7">
      <w:r>
        <w:t>Some stakeholders also highlighted potential adverse wellbeing impacts to educators from not having access to personal devices. Most stakeholders expected medical conditions to be an exemption for option 3, however preventing the use of devices (including smartwatches, if included as a personal device under option 3) to monitor health and wellbeing elements was raised.</w:t>
      </w:r>
    </w:p>
    <w:p w14:paraId="4CA46A3E" w14:textId="0D74F397" w:rsidR="008611C3" w:rsidRDefault="00D601E7" w:rsidP="008611C3">
      <w:r>
        <w:t>Additionally, challenges exist to implementing option 3 in the home-based environment of FDCs</w:t>
      </w:r>
      <w:r w:rsidR="00B836F7">
        <w:t xml:space="preserve">. </w:t>
      </w:r>
      <w:r w:rsidR="001220FA" w:rsidRPr="001220FA">
        <w:t xml:space="preserve">This was recognised in the scope of recommendation 2.4 of the </w:t>
      </w:r>
      <w:r w:rsidR="007B7E88">
        <w:t>CSR</w:t>
      </w:r>
      <w:r w:rsidR="001220FA" w:rsidRPr="001220FA">
        <w:t xml:space="preserve">, which was limited to centre-based services, and in the scope of the </w:t>
      </w:r>
      <w:r w:rsidR="00600332">
        <w:t xml:space="preserve">National </w:t>
      </w:r>
      <w:r w:rsidR="001220FA" w:rsidRPr="001220FA">
        <w:t xml:space="preserve">Model Code and Guidelines. </w:t>
      </w:r>
      <w:r w:rsidR="008611C3">
        <w:t>The practicalities of securely storing away all devices and monitoring devices used by educators and anyone else who may enter the FDC residence (and specifically the service premises) during operational hours will be very difficult.</w:t>
      </w:r>
      <w:r w:rsidR="00C7742A">
        <w:rPr>
          <w:rStyle w:val="FootnoteReference"/>
        </w:rPr>
        <w:footnoteReference w:id="55"/>
      </w:r>
      <w:r w:rsidR="008611C3">
        <w:t xml:space="preserve"> All</w:t>
      </w:r>
      <w:r w:rsidR="008611C3" w:rsidRPr="00347A01">
        <w:t xml:space="preserve"> free text submission </w:t>
      </w:r>
      <w:r w:rsidR="008611C3" w:rsidRPr="00347A01">
        <w:lastRenderedPageBreak/>
        <w:t>comments</w:t>
      </w:r>
      <w:r w:rsidR="005F0ACC">
        <w:t>,</w:t>
      </w:r>
      <w:r w:rsidR="008611C3" w:rsidRPr="00347A01">
        <w:t xml:space="preserve"> </w:t>
      </w:r>
      <w:r w:rsidR="00581D7C">
        <w:t>except one</w:t>
      </w:r>
      <w:r w:rsidR="005F0ACC">
        <w:t>,</w:t>
      </w:r>
      <w:r w:rsidR="00802BEE" w:rsidRPr="5F066649">
        <w:rPr>
          <w:rStyle w:val="FootnoteReference"/>
        </w:rPr>
        <w:footnoteReference w:id="56"/>
      </w:r>
      <w:r w:rsidR="00581D7C">
        <w:t xml:space="preserve"> </w:t>
      </w:r>
      <w:r w:rsidR="008611C3" w:rsidRPr="00347A01">
        <w:t xml:space="preserve">related to the topic of </w:t>
      </w:r>
      <w:r w:rsidR="008611C3">
        <w:t>FDC</w:t>
      </w:r>
      <w:r w:rsidR="00581D7C">
        <w:t>s</w:t>
      </w:r>
      <w:r w:rsidR="008611C3" w:rsidRPr="00347A01">
        <w:t xml:space="preserve"> in this </w:t>
      </w:r>
      <w:r w:rsidR="00581D7C">
        <w:t>reform area</w:t>
      </w:r>
      <w:r w:rsidR="00581D7C" w:rsidRPr="00347A01">
        <w:t xml:space="preserve"> </w:t>
      </w:r>
      <w:r w:rsidR="00AD26E9">
        <w:t>provided</w:t>
      </w:r>
      <w:r w:rsidR="00AD26E9" w:rsidRPr="00347A01">
        <w:t xml:space="preserve"> </w:t>
      </w:r>
      <w:r w:rsidR="008611C3" w:rsidRPr="00347A01">
        <w:t xml:space="preserve">negative </w:t>
      </w:r>
      <w:r w:rsidR="00AD26E9">
        <w:t>feedback</w:t>
      </w:r>
      <w:r w:rsidR="008611C3" w:rsidRPr="00347A01">
        <w:t>, for example:</w:t>
      </w:r>
    </w:p>
    <w:p w14:paraId="5A8CADC7" w14:textId="4DEDB03C" w:rsidR="008611C3" w:rsidRDefault="008611C3" w:rsidP="008611C3">
      <w:pPr>
        <w:pStyle w:val="Quote1"/>
      </w:pPr>
      <w:r>
        <w:t>“</w:t>
      </w:r>
      <w:r w:rsidRPr="008B578F">
        <w:t xml:space="preserve">The two proposed options regarding digital device usage appear to have been designed solely with centre-based care in mind and have not considered the unique operational context of FDC. While we support these options </w:t>
      </w:r>
      <w:r w:rsidR="00FD6F5D">
        <w:t xml:space="preserve">for </w:t>
      </w:r>
      <w:r w:rsidRPr="008B578F">
        <w:t>LDC, they are not suitable for FDC settings</w:t>
      </w:r>
      <w:r>
        <w:t>”</w:t>
      </w:r>
      <w:r w:rsidRPr="008B578F">
        <w:t>.</w:t>
      </w:r>
      <w:r>
        <w:t xml:space="preserve"> – Free text submission</w:t>
      </w:r>
      <w:r w:rsidR="005E60A5">
        <w:t xml:space="preserve"> response</w:t>
      </w:r>
    </w:p>
    <w:p w14:paraId="3A2FC205" w14:textId="6683EFDB" w:rsidR="000C7B73" w:rsidRDefault="008611C3" w:rsidP="00C80892">
      <w:pPr>
        <w:pStyle w:val="Quote1"/>
        <w:rPr>
          <w:lang w:val="en-AU"/>
        </w:rPr>
      </w:pPr>
      <w:r>
        <w:t>“</w:t>
      </w:r>
      <w:r w:rsidRPr="004E1F3C">
        <w:t>Implementing a rule like this — especially with added costs like mandatory “service-issued” devices — will be the final straw for many. It is not just unreasonable — it is unsustainable. Many educators are already under pressure from over-regulation, inconsistent support, and rising costs. This kind of policy, designed for centre-based models, shows a lack of understanding for the unique nature of FDC. If this passes, you will not only lose experienced educators — you will lose entire services.</w:t>
      </w:r>
      <w:r>
        <w:t xml:space="preserve">” - </w:t>
      </w:r>
      <w:r w:rsidRPr="004E1F3C">
        <w:rPr>
          <w:lang w:val="en-AU"/>
        </w:rPr>
        <w:t>Free text submission</w:t>
      </w:r>
      <w:r w:rsidR="005E60A5">
        <w:rPr>
          <w:lang w:val="en-AU"/>
        </w:rPr>
        <w:t xml:space="preserve"> response</w:t>
      </w:r>
    </w:p>
    <w:p w14:paraId="7BF3AF29" w14:textId="44A8BF8E" w:rsidR="003A4BF7" w:rsidRPr="00DA5046" w:rsidRDefault="003A4BF7" w:rsidP="003A4BF7">
      <w:r>
        <w:t xml:space="preserve">FDCs expressed a firm view </w:t>
      </w:r>
      <w:r w:rsidR="006948AF">
        <w:t xml:space="preserve">against </w:t>
      </w:r>
      <w:r w:rsidR="00375E10">
        <w:t xml:space="preserve">option 3 (and a lesser extent, option 2) due to </w:t>
      </w:r>
      <w:r w:rsidR="00F0539C">
        <w:t xml:space="preserve">deep concerns around the practicalities </w:t>
      </w:r>
      <w:r w:rsidR="00FD1841">
        <w:t>of managing personal device access in the home environment</w:t>
      </w:r>
      <w:r w:rsidR="00DA5046">
        <w:t xml:space="preserve">, in addition to concern around cost pressures (explored further under </w:t>
      </w:r>
      <w:r w:rsidR="00DA5046">
        <w:rPr>
          <w:i/>
          <w:iCs/>
        </w:rPr>
        <w:t>Distributional impacts</w:t>
      </w:r>
      <w:r w:rsidR="00DA5046">
        <w:t xml:space="preserve">). </w:t>
      </w:r>
      <w:r w:rsidR="0087309C">
        <w:t xml:space="preserve">There were concerns that option 3 in FDC settings was </w:t>
      </w:r>
      <w:r w:rsidR="00A86F39">
        <w:t xml:space="preserve">a </w:t>
      </w:r>
      <w:r w:rsidR="0087309C">
        <w:t>regulatory overstep</w:t>
      </w:r>
      <w:r w:rsidR="00F314A9">
        <w:t xml:space="preserve"> and may reduce the ability of FDC educators to </w:t>
      </w:r>
      <w:r w:rsidR="00A656A7">
        <w:t>respond to emergencies</w:t>
      </w:r>
      <w:r w:rsidR="00666FA3">
        <w:t xml:space="preserve">, for example. </w:t>
      </w:r>
    </w:p>
    <w:p w14:paraId="007BE886" w14:textId="3454992A" w:rsidR="00D601E7" w:rsidRDefault="00D601E7">
      <w:r>
        <w:t>Option 3 would also present implementation challenges in environments such as schools where different requirements may be in place for school-based educators. For example, educators in preschool/kindergarten rooms would not be allowed access to their personal device, whereas this restriction would not apply to educators in classes with older students</w:t>
      </w:r>
      <w:r w:rsidR="00635E00">
        <w:t>, with composite class settings presenting additional complexity</w:t>
      </w:r>
      <w:r>
        <w:t xml:space="preserve">. </w:t>
      </w:r>
      <w:r w:rsidR="0087749C">
        <w:t xml:space="preserve">Further, OSHC services may </w:t>
      </w:r>
      <w:r w:rsidR="00EC00C6">
        <w:t xml:space="preserve">operate across a </w:t>
      </w:r>
      <w:r w:rsidR="00CC1C7B">
        <w:t>larger portion of the school site (e.g., using classrooms, halls, and sporting fields)</w:t>
      </w:r>
      <w:r w:rsidR="00796CF0">
        <w:t xml:space="preserve"> which can mean OSHC educators and the children in their care may be spread out. This could mean OSHC services need a larger number of devices to effectively communicate and document learning.</w:t>
      </w:r>
    </w:p>
    <w:p w14:paraId="7B4CBBAA" w14:textId="4372DB89" w:rsidR="00D601E7" w:rsidRDefault="00D601E7">
      <w:r>
        <w:t xml:space="preserve">Based on the implementation risks identified through stakeholder consultation, option 2 has been assigned a score of negative two for this criterion, while option 3 has been assigned a score of negative six. </w:t>
      </w:r>
      <w:r w:rsidRPr="005E3625">
        <w:t>This</w:t>
      </w:r>
      <w:r>
        <w:t xml:space="preserve"> score</w:t>
      </w:r>
      <w:r w:rsidRPr="005E3625">
        <w:t xml:space="preserve"> reflects the fact that </w:t>
      </w:r>
      <w:r>
        <w:t xml:space="preserve">option </w:t>
      </w:r>
      <w:r w:rsidRPr="005E3625">
        <w:t xml:space="preserve">3 is much more likely to incur additional costs or create other unintended consequences </w:t>
      </w:r>
      <w:r w:rsidR="000077A2">
        <w:t>relative to</w:t>
      </w:r>
      <w:r w:rsidR="000077A2" w:rsidRPr="005E3625">
        <w:t xml:space="preserve"> </w:t>
      </w:r>
      <w:r>
        <w:t xml:space="preserve">option </w:t>
      </w:r>
      <w:r w:rsidRPr="005E3625">
        <w:t xml:space="preserve">2. While </w:t>
      </w:r>
      <w:r w:rsidRPr="005E3625">
        <w:lastRenderedPageBreak/>
        <w:t xml:space="preserve">negative six is a large score in absolute terms, this does not offset the potential benefits </w:t>
      </w:r>
      <w:r>
        <w:t xml:space="preserve">of option 3 since </w:t>
      </w:r>
      <w:r w:rsidRPr="005E3625">
        <w:t xml:space="preserve">the weight placed on implementation risks (10%) is much lower than the weight placed on child safety (50%), consistent with the objectives and preferences of </w:t>
      </w:r>
      <w:r w:rsidR="007941D2">
        <w:t>governments</w:t>
      </w:r>
      <w:r w:rsidRPr="005E3625">
        <w:t xml:space="preserve"> (see Chapter 4). </w:t>
      </w:r>
    </w:p>
    <w:p w14:paraId="562A0D3C" w14:textId="626878F0" w:rsidR="006D6FAB" w:rsidRPr="00C82341" w:rsidRDefault="006D6FAB">
      <w:pPr>
        <w:rPr>
          <w:i/>
        </w:rPr>
      </w:pPr>
      <w:r>
        <w:t>It should be noted that while the MCA</w:t>
      </w:r>
      <w:r w:rsidR="00FB5521">
        <w:t xml:space="preserve"> scores</w:t>
      </w:r>
      <w:r>
        <w:t xml:space="preserve"> currently consider the implementation considerations based on the options that were consulted on, the recommended implementation of these options will alleviate some of these risks, particularly related to </w:t>
      </w:r>
      <w:r w:rsidR="00C82341">
        <w:t xml:space="preserve">FDC settings and excursions. These implementation considerations are outlined in </w:t>
      </w:r>
      <w:r w:rsidR="00C82341">
        <w:rPr>
          <w:i/>
          <w:iCs/>
        </w:rPr>
        <w:t>What is the recommended option(s) and how will it be implemented</w:t>
      </w:r>
      <w:r w:rsidR="005F04C7">
        <w:rPr>
          <w:i/>
          <w:iCs/>
        </w:rPr>
        <w:t>?</w:t>
      </w:r>
    </w:p>
    <w:p w14:paraId="366BB9A3" w14:textId="77777777" w:rsidR="00D601E7" w:rsidRPr="00466043" w:rsidRDefault="00D601E7">
      <w:pPr>
        <w:pStyle w:val="Heading4"/>
      </w:pPr>
      <w:r w:rsidRPr="00466043">
        <w:t>Distributional impacts</w:t>
      </w:r>
    </w:p>
    <w:p w14:paraId="3DAB892D" w14:textId="199FDAA6" w:rsidR="00D601E7" w:rsidRDefault="00D601E7">
      <w:r w:rsidRPr="00E94379">
        <w:t xml:space="preserve">Throughout the public consultation, stakeholders identified that there was potential for </w:t>
      </w:r>
      <w:r>
        <w:t>options 2 and 3</w:t>
      </w:r>
      <w:r w:rsidRPr="00E94379">
        <w:t xml:space="preserve"> to be prohibitively costly for any services operating with low or no margins </w:t>
      </w:r>
      <w:r w:rsidR="00CF0060">
        <w:t>including</w:t>
      </w:r>
      <w:r w:rsidRPr="00E94379">
        <w:t xml:space="preserve"> not-for-profits</w:t>
      </w:r>
      <w:r>
        <w:t>, s</w:t>
      </w:r>
      <w:r w:rsidRPr="00E94379">
        <w:t xml:space="preserve">maller services (e.g., </w:t>
      </w:r>
      <w:r>
        <w:t>sole operations, remote services</w:t>
      </w:r>
      <w:r w:rsidRPr="00E94379">
        <w:t>)</w:t>
      </w:r>
      <w:r>
        <w:t xml:space="preserve">, FDCs, </w:t>
      </w:r>
      <w:r w:rsidRPr="00E94379">
        <w:t>ACCOs</w:t>
      </w:r>
      <w:r>
        <w:t>,</w:t>
      </w:r>
      <w:r w:rsidRPr="00E94379">
        <w:t xml:space="preserve"> and </w:t>
      </w:r>
      <w:r>
        <w:t xml:space="preserve">OSHCs. As mentioned previously, these costs might be passed to families, </w:t>
      </w:r>
      <w:r w:rsidR="00B96F06">
        <w:t>who</w:t>
      </w:r>
      <w:r>
        <w:t xml:space="preserve"> could be disproportionately impacted.</w:t>
      </w:r>
    </w:p>
    <w:p w14:paraId="78BA468E" w14:textId="2493BFF0" w:rsidR="00D601E7" w:rsidRPr="0083502A" w:rsidRDefault="00D601E7">
      <w:r w:rsidRPr="00944048">
        <w:rPr>
          <w:bCs/>
        </w:rPr>
        <w:t xml:space="preserve">ACCOs </w:t>
      </w:r>
      <w:r w:rsidRPr="0083502A">
        <w:t>reflected that if they had</w:t>
      </w:r>
      <w:r>
        <w:t xml:space="preserve"> not</w:t>
      </w:r>
      <w:r w:rsidRPr="0083502A">
        <w:t xml:space="preserve"> already implemented </w:t>
      </w:r>
      <w:r>
        <w:t>option</w:t>
      </w:r>
      <w:r w:rsidRPr="0083502A">
        <w:t xml:space="preserve"> 2, it was because of the cost to the service more so than reluctance. As a result, </w:t>
      </w:r>
      <w:r>
        <w:t>option</w:t>
      </w:r>
      <w:r w:rsidRPr="0083502A">
        <w:t xml:space="preserve"> 2 could result in images and videos not being taken in these services. </w:t>
      </w:r>
    </w:p>
    <w:p w14:paraId="0FB03CB8" w14:textId="498AA032" w:rsidR="00D601E7" w:rsidRDefault="00D601E7">
      <w:r>
        <w:t xml:space="preserve">Given the National Model Code and Guidelines </w:t>
      </w:r>
      <w:r w:rsidR="000152CF">
        <w:t>were developed for use in centre-based service</w:t>
      </w:r>
      <w:r>
        <w:t>,</w:t>
      </w:r>
      <w:r w:rsidRPr="00780764">
        <w:rPr>
          <w:b/>
        </w:rPr>
        <w:t xml:space="preserve"> </w:t>
      </w:r>
      <w:r>
        <w:t>a higher share of FDC services have not purchased service-issued digital devices</w:t>
      </w:r>
      <w:r>
        <w:rPr>
          <w:bCs/>
        </w:rPr>
        <w:t xml:space="preserve">. As a result, </w:t>
      </w:r>
      <w:r w:rsidRPr="00944048">
        <w:rPr>
          <w:bCs/>
        </w:rPr>
        <w:t>FDC services</w:t>
      </w:r>
      <w:r>
        <w:t xml:space="preserve"> will bear a greater cost of the proposed reforms. These costs were reported to be prohibitive by the sector. </w:t>
      </w:r>
    </w:p>
    <w:p w14:paraId="183AA174" w14:textId="77777777" w:rsidR="00D601E7" w:rsidRDefault="00D601E7">
      <w:r>
        <w:t xml:space="preserve">Some services may also bear disproportionately higher costs depending on their existing technology, cloud storage, and other IT systems used by each service – regardless of the status of National Model Code and Guidelines adoption. If any service needs to implement a full IT system to comply with the regulatory options and ensure devices are sufficiently monitored, this will be more costly for services that have little to no cloud infrastructure currently in place. </w:t>
      </w:r>
    </w:p>
    <w:tbl>
      <w:tblPr>
        <w:tblW w:w="0" w:type="auto"/>
        <w:tblCellMar>
          <w:top w:w="113" w:type="dxa"/>
          <w:bottom w:w="113" w:type="dxa"/>
        </w:tblCellMar>
        <w:tblLook w:val="04A0" w:firstRow="1" w:lastRow="0" w:firstColumn="1" w:lastColumn="0" w:noHBand="0" w:noVBand="1"/>
        <w:tblCaption w:val="Box 3.1: Aboriginal and Torres Strait Islander People Stakeholder Views"/>
        <w:tblDescription w:val="This box outlined Aboriginal and Torres Strait Islander People views on distributional impacts for managing the use of digital devices."/>
      </w:tblPr>
      <w:tblGrid>
        <w:gridCol w:w="9020"/>
      </w:tblGrid>
      <w:tr w:rsidR="00D601E7" w14:paraId="154518E0" w14:textId="77777777">
        <w:tc>
          <w:tcPr>
            <w:tcW w:w="9020" w:type="dxa"/>
            <w:tcBorders>
              <w:top w:val="nil"/>
              <w:left w:val="nil"/>
              <w:bottom w:val="nil"/>
              <w:right w:val="nil"/>
            </w:tcBorders>
            <w:shd w:val="clear" w:color="auto" w:fill="FFF2CC" w:themeFill="accent3" w:themeFillTint="33"/>
          </w:tcPr>
          <w:p w14:paraId="1C508CC6" w14:textId="1EB2E414" w:rsidR="00D601E7" w:rsidRPr="006B0059" w:rsidRDefault="00D601E7">
            <w:pPr>
              <w:rPr>
                <w:b/>
                <w:bCs/>
                <w:szCs w:val="22"/>
              </w:rPr>
            </w:pPr>
            <w:r w:rsidRPr="006B0059">
              <w:rPr>
                <w:b/>
                <w:bCs/>
                <w:szCs w:val="22"/>
              </w:rPr>
              <w:t xml:space="preserve">Box </w:t>
            </w:r>
            <w:r w:rsidR="00BC4AFE">
              <w:rPr>
                <w:b/>
                <w:bCs/>
                <w:szCs w:val="22"/>
              </w:rPr>
              <w:t>5</w:t>
            </w:r>
            <w:r w:rsidRPr="006B0059">
              <w:rPr>
                <w:b/>
                <w:bCs/>
                <w:szCs w:val="22"/>
              </w:rPr>
              <w:t xml:space="preserve">.1: </w:t>
            </w:r>
            <w:r w:rsidR="009961B4">
              <w:rPr>
                <w:b/>
                <w:bCs/>
                <w:szCs w:val="22"/>
              </w:rPr>
              <w:t>Aboriginal and Torres Strait Islander People Stakeholder Views</w:t>
            </w:r>
            <w:r>
              <w:rPr>
                <w:rStyle w:val="FootnoteReference"/>
                <w:b/>
                <w:bCs/>
                <w:szCs w:val="22"/>
              </w:rPr>
              <w:footnoteReference w:id="57"/>
            </w:r>
          </w:p>
          <w:p w14:paraId="59355328" w14:textId="385A19FE" w:rsidR="00D601E7" w:rsidRDefault="00D601E7">
            <w:pPr>
              <w:rPr>
                <w:szCs w:val="22"/>
              </w:rPr>
            </w:pPr>
            <w:r w:rsidRPr="007A2A87">
              <w:rPr>
                <w:szCs w:val="22"/>
              </w:rPr>
              <w:lastRenderedPageBreak/>
              <w:t xml:space="preserve">Aboriginal and Torres Strait Islander </w:t>
            </w:r>
            <w:r>
              <w:rPr>
                <w:szCs w:val="22"/>
              </w:rPr>
              <w:t xml:space="preserve">stakeholders raised that the ability to document children’s education and care through images and videos is important for accessibility for families, parents and carers with a disability or who do not have English as a first language. These media options are important and beneficial as they allow for families to engage in their children’s learning and development in different ways. This is particularly the case for remote services where children often attend </w:t>
            </w:r>
            <w:r w:rsidR="00BF7E16">
              <w:rPr>
                <w:szCs w:val="22"/>
              </w:rPr>
              <w:t>education and care</w:t>
            </w:r>
            <w:r>
              <w:rPr>
                <w:szCs w:val="22"/>
              </w:rPr>
              <w:t xml:space="preserve"> by bus, meaning that images and videos are a key mechanism to engage families who may not be able to physically attend a service.</w:t>
            </w:r>
          </w:p>
          <w:p w14:paraId="6DC40D74" w14:textId="3EC9A741" w:rsidR="00D601E7" w:rsidRPr="009921A2" w:rsidRDefault="00D601E7">
            <w:pPr>
              <w:rPr>
                <w:szCs w:val="22"/>
              </w:rPr>
            </w:pPr>
            <w:r>
              <w:rPr>
                <w:szCs w:val="22"/>
              </w:rPr>
              <w:t>There were mixed views on the providers’ ability to implement regulatory options. While some Aboriginal and Torres Strait Islander services or ACCOs can financially afford to implement service issued devices and policies similar to the regulatory options proposed, other services indicated limited financial capacity to purchase service</w:t>
            </w:r>
            <w:r w:rsidR="00D20F14">
              <w:rPr>
                <w:szCs w:val="22"/>
              </w:rPr>
              <w:t>-</w:t>
            </w:r>
            <w:r>
              <w:rPr>
                <w:szCs w:val="22"/>
              </w:rPr>
              <w:t xml:space="preserve">issued devices. </w:t>
            </w:r>
            <w:r w:rsidR="00B443F5" w:rsidRPr="00B443F5">
              <w:rPr>
                <w:szCs w:val="22"/>
              </w:rPr>
              <w:t xml:space="preserve">For services in the former category, public consultation heard that some </w:t>
            </w:r>
            <w:r w:rsidR="00B443F5" w:rsidRPr="00B443F5">
              <w:rPr>
                <w:szCs w:val="22"/>
                <w:lang w:bidi="th-TH"/>
              </w:rPr>
              <w:t xml:space="preserve">individual </w:t>
            </w:r>
            <w:r w:rsidR="00B443F5" w:rsidRPr="00B443F5">
              <w:rPr>
                <w:szCs w:val="22"/>
              </w:rPr>
              <w:t>ACCOs have already implemented the National Model Code and Guidelines</w:t>
            </w:r>
            <w:r w:rsidR="00B443F5" w:rsidRPr="00B443F5">
              <w:rPr>
                <w:szCs w:val="22"/>
                <w:lang w:bidi="th-TH"/>
              </w:rPr>
              <w:t xml:space="preserve">. </w:t>
            </w:r>
            <w:r>
              <w:rPr>
                <w:szCs w:val="22"/>
              </w:rPr>
              <w:t xml:space="preserve">For individual services in the latter category, the potential implication is these services would either require financial investment to purchase service-issued devices or to stop </w:t>
            </w:r>
            <w:r w:rsidRPr="003E52DF">
              <w:rPr>
                <w:szCs w:val="22"/>
              </w:rPr>
              <w:t>document</w:t>
            </w:r>
            <w:r>
              <w:rPr>
                <w:szCs w:val="22"/>
              </w:rPr>
              <w:t>ing</w:t>
            </w:r>
            <w:r w:rsidRPr="003E52DF">
              <w:rPr>
                <w:szCs w:val="22"/>
              </w:rPr>
              <w:t xml:space="preserve"> children’s education and care through images and videos</w:t>
            </w:r>
            <w:r>
              <w:rPr>
                <w:szCs w:val="22"/>
              </w:rPr>
              <w:t>, despite this being a highly effective communication method.</w:t>
            </w:r>
            <w:r w:rsidRPr="003E52DF">
              <w:rPr>
                <w:szCs w:val="22"/>
              </w:rPr>
              <w:t xml:space="preserve"> </w:t>
            </w:r>
            <w:r w:rsidR="00B443F5" w:rsidRPr="00B443F5">
              <w:rPr>
                <w:szCs w:val="22"/>
                <w:lang w:bidi="th-TH"/>
              </w:rPr>
              <w:t xml:space="preserve">Yarning circles </w:t>
            </w:r>
            <w:r w:rsidR="00180998">
              <w:rPr>
                <w:szCs w:val="22"/>
              </w:rPr>
              <w:t>indicated</w:t>
            </w:r>
            <w:r w:rsidR="00B443F5" w:rsidRPr="00B443F5">
              <w:rPr>
                <w:szCs w:val="22"/>
                <w:lang w:bidi="th-TH"/>
              </w:rPr>
              <w:t xml:space="preserve"> that </w:t>
            </w:r>
            <w:r w:rsidR="00180998">
              <w:rPr>
                <w:szCs w:val="22"/>
              </w:rPr>
              <w:t>several</w:t>
            </w:r>
            <w:r w:rsidR="00B443F5" w:rsidRPr="00B443F5">
              <w:rPr>
                <w:szCs w:val="22"/>
                <w:lang w:bidi="th-TH"/>
              </w:rPr>
              <w:t xml:space="preserve"> ACCOs have limited financial capacity to purchase service-issued devices,</w:t>
            </w:r>
            <w:r w:rsidR="00180998" w:rsidRPr="00B443F5">
              <w:rPr>
                <w:szCs w:val="22"/>
              </w:rPr>
              <w:t xml:space="preserve"> </w:t>
            </w:r>
            <w:r w:rsidR="00B443F5" w:rsidRPr="00B443F5">
              <w:rPr>
                <w:szCs w:val="22"/>
                <w:lang w:bidi="th-TH"/>
              </w:rPr>
              <w:t xml:space="preserve">but did not estimate </w:t>
            </w:r>
            <w:r w:rsidR="00180998">
              <w:rPr>
                <w:szCs w:val="22"/>
              </w:rPr>
              <w:t>the proportion of ACCOs that fall in this category.</w:t>
            </w:r>
            <w:r w:rsidR="00444A15">
              <w:rPr>
                <w:szCs w:val="22"/>
              </w:rPr>
              <w:t xml:space="preserve"> </w:t>
            </w:r>
          </w:p>
        </w:tc>
      </w:tr>
    </w:tbl>
    <w:p w14:paraId="5F3CE3B4" w14:textId="77777777" w:rsidR="00D601E7" w:rsidRDefault="00D601E7">
      <w:pPr>
        <w:pStyle w:val="Caption"/>
        <w:rPr>
          <w:highlight w:val="yellow"/>
        </w:rPr>
      </w:pPr>
    </w:p>
    <w:p w14:paraId="27CC02CE" w14:textId="4C270728" w:rsidR="00D601E7" w:rsidRDefault="00D601E7">
      <w:r>
        <w:t>Based on the evidence presented by stakeholders, option</w:t>
      </w:r>
      <w:r w:rsidR="00545BFB">
        <w:t>s</w:t>
      </w:r>
      <w:r>
        <w:t xml:space="preserve"> 2</w:t>
      </w:r>
      <w:r w:rsidR="00545BFB">
        <w:t xml:space="preserve"> and 3</w:t>
      </w:r>
      <w:r>
        <w:t xml:space="preserve"> ha</w:t>
      </w:r>
      <w:r w:rsidR="00545BFB">
        <w:t>ve</w:t>
      </w:r>
      <w:r>
        <w:t xml:space="preserve"> been assigned </w:t>
      </w:r>
      <w:r w:rsidR="003055D7">
        <w:t>an MCA</w:t>
      </w:r>
      <w:r>
        <w:t xml:space="preserve"> score of negative five for this criterion. These scores reflect that the two options have broadly similar distributional impacts,</w:t>
      </w:r>
      <w:r w:rsidR="00545BFB">
        <w:t xml:space="preserve"> since most implications regarding the affordability of </w:t>
      </w:r>
      <w:r w:rsidR="00B15D21">
        <w:t>the regulatory options for certain stakeholders apply to both options 2 and 3</w:t>
      </w:r>
      <w:r>
        <w:t xml:space="preserve">. </w:t>
      </w:r>
    </w:p>
    <w:p w14:paraId="49185427" w14:textId="44275218" w:rsidR="00D601E7" w:rsidRDefault="00D601E7">
      <w:pPr>
        <w:pStyle w:val="Heading4"/>
      </w:pPr>
      <w:r>
        <w:t xml:space="preserve">Break-even analysis </w:t>
      </w:r>
    </w:p>
    <w:p w14:paraId="088F4101" w14:textId="112B18C8" w:rsidR="00D601E7" w:rsidRDefault="00D601E7">
      <w:r>
        <w:t>The BEA provides an estimate of the extent to which the total cost of harm to children in Australia, estimated at $34.6 billion (2025 dollars)</w:t>
      </w:r>
      <w:r>
        <w:rPr>
          <w:rStyle w:val="FootnoteReference"/>
        </w:rPr>
        <w:footnoteReference w:id="58"/>
      </w:r>
      <w:r>
        <w:t>, would need to be reduced for the cost of the policy option to break even with the potential benefit. The BEA framework is also described in further detail in Chapter 4</w:t>
      </w:r>
      <w:r w:rsidRPr="001D3080">
        <w:t>.</w:t>
      </w:r>
      <w:r w:rsidDel="00722001">
        <w:t xml:space="preserve"> </w:t>
      </w:r>
    </w:p>
    <w:p w14:paraId="7714D685" w14:textId="04795C26" w:rsidR="004635A0" w:rsidRDefault="004635A0">
      <w:r>
        <w:lastRenderedPageBreak/>
        <w:t>While BEA necessitates putting a dollar figure to the estimated harm to children, it is not possible to quantify the real life harm to children, families, and communities affected.</w:t>
      </w:r>
    </w:p>
    <w:p w14:paraId="040393A2" w14:textId="73A402AB" w:rsidR="00D601E7" w:rsidRDefault="00D601E7">
      <w:r>
        <w:t>Based on the breakeven value shown in Table 5.6, options 2 and 3 w</w:t>
      </w:r>
      <w:r w:rsidR="0035337F">
        <w:t>ould</w:t>
      </w:r>
      <w:r>
        <w:t xml:space="preserve"> need to reduce the cost of harm due to child maltreatment in Australia by at least 0.1</w:t>
      </w:r>
      <w:r w:rsidR="00C676B3">
        <w:t>2</w:t>
      </w:r>
      <w:r>
        <w:t>%</w:t>
      </w:r>
      <w:r w:rsidR="008A7B17">
        <w:rPr>
          <w:rStyle w:val="FootnoteReference"/>
        </w:rPr>
        <w:footnoteReference w:id="59"/>
      </w:r>
      <w:r>
        <w:t xml:space="preserve"> to break even. It should be noted that this breakeven value accounts for only the monetised costs of options 2 and 3. Evidence collected through public consultation indicates that this breakeven point can feasibly be achieved if either regulatory option</w:t>
      </w:r>
      <w:r w:rsidR="008A7B17">
        <w:t xml:space="preserve"> was</w:t>
      </w:r>
      <w:r>
        <w:t xml:space="preserve"> implemented. </w:t>
      </w:r>
      <w:r w:rsidR="008A7B17">
        <w:t>Based on feedback received</w:t>
      </w:r>
      <w:r>
        <w:t xml:space="preserve">, multiple stakeholders agreed that the improvement to child safety would outweigh the potential costs as the regulatory options </w:t>
      </w:r>
      <w:r w:rsidR="008A7B17">
        <w:t xml:space="preserve">would </w:t>
      </w:r>
      <w:r>
        <w:t>reduce instances of inappropriate usage of digital devices.</w:t>
      </w:r>
      <w:r w:rsidR="00A73A92">
        <w:t xml:space="preserve"> It is noted that there are variations in costs across provider types. For instance, the costs </w:t>
      </w:r>
      <w:r w:rsidR="00B20550">
        <w:t>or efforts for smaller services may be higher</w:t>
      </w:r>
      <w:r w:rsidR="00E17F04">
        <w:t xml:space="preserve"> </w:t>
      </w:r>
      <w:r w:rsidR="00B20550">
        <w:t xml:space="preserve">and underestimated. </w:t>
      </w:r>
    </w:p>
    <w:p w14:paraId="7ABD7C88" w14:textId="45340D91" w:rsidR="00D601E7" w:rsidRDefault="00D601E7">
      <w:pPr>
        <w:pStyle w:val="Caption"/>
      </w:pPr>
      <w:bookmarkStart w:id="75" w:name="_Toc205884936"/>
      <w:r>
        <w:t>Table 5.6: BEA</w:t>
      </w:r>
      <w:r w:rsidR="00694928">
        <w:t xml:space="preserve"> </w:t>
      </w:r>
      <w:r>
        <w:t>– Managing the use of digital devices</w:t>
      </w:r>
      <w:bookmarkEnd w:id="7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5.6: BEA – Managing the use of digital devices"/>
        <w:tblDescription w:val="This table presents a break-even analysis for options 2 and 3."/>
      </w:tblPr>
      <w:tblGrid>
        <w:gridCol w:w="6230"/>
        <w:gridCol w:w="2780"/>
      </w:tblGrid>
      <w:tr w:rsidR="00D601E7" w14:paraId="527F990D" w14:textId="77777777" w:rsidTr="00187DB8">
        <w:trPr>
          <w:tblHeader/>
        </w:trPr>
        <w:tc>
          <w:tcPr>
            <w:tcW w:w="3457" w:type="pct"/>
            <w:shd w:val="clear" w:color="auto" w:fill="14233C" w:themeFill="text2"/>
          </w:tcPr>
          <w:p w14:paraId="525F5DF3" w14:textId="77777777" w:rsidR="00D601E7" w:rsidRPr="000F0979" w:rsidRDefault="00D601E7">
            <w:pPr>
              <w:rPr>
                <w:b/>
                <w:color w:val="FFFFFF" w:themeColor="background1"/>
                <w:szCs w:val="20"/>
              </w:rPr>
            </w:pPr>
          </w:p>
        </w:tc>
        <w:tc>
          <w:tcPr>
            <w:tcW w:w="1543" w:type="pct"/>
            <w:shd w:val="clear" w:color="auto" w:fill="14233C" w:themeFill="text2"/>
          </w:tcPr>
          <w:p w14:paraId="2FA40686" w14:textId="259B915B" w:rsidR="00D601E7" w:rsidRPr="000F0979" w:rsidRDefault="00D601E7">
            <w:pPr>
              <w:jc w:val="center"/>
              <w:rPr>
                <w:b/>
                <w:color w:val="FFFFFF" w:themeColor="background1"/>
                <w:szCs w:val="20"/>
              </w:rPr>
            </w:pPr>
            <w:r w:rsidRPr="000F0979">
              <w:rPr>
                <w:b/>
                <w:color w:val="FFFFFF" w:themeColor="background1"/>
                <w:szCs w:val="20"/>
              </w:rPr>
              <w:t>Option 2</w:t>
            </w:r>
            <w:r>
              <w:rPr>
                <w:b/>
                <w:color w:val="FFFFFF" w:themeColor="background1"/>
                <w:szCs w:val="20"/>
              </w:rPr>
              <w:t xml:space="preserve"> and option 3</w:t>
            </w:r>
          </w:p>
        </w:tc>
      </w:tr>
      <w:tr w:rsidR="00D601E7" w14:paraId="06F4A296" w14:textId="77777777" w:rsidTr="00187DB8">
        <w:tc>
          <w:tcPr>
            <w:tcW w:w="3457" w:type="pct"/>
          </w:tcPr>
          <w:p w14:paraId="041F5B59" w14:textId="77777777" w:rsidR="00D601E7" w:rsidRPr="000F0979" w:rsidRDefault="00D601E7">
            <w:pPr>
              <w:rPr>
                <w:szCs w:val="20"/>
              </w:rPr>
            </w:pPr>
            <w:r w:rsidRPr="000F0979">
              <w:rPr>
                <w:szCs w:val="20"/>
              </w:rPr>
              <w:t>Estimated cost of the policy option</w:t>
            </w:r>
          </w:p>
        </w:tc>
        <w:tc>
          <w:tcPr>
            <w:tcW w:w="1543" w:type="pct"/>
          </w:tcPr>
          <w:p w14:paraId="42000DB8" w14:textId="5EF85290" w:rsidR="00D601E7" w:rsidRPr="000F0979" w:rsidRDefault="00D601E7">
            <w:pPr>
              <w:jc w:val="center"/>
              <w:rPr>
                <w:szCs w:val="20"/>
              </w:rPr>
            </w:pPr>
            <w:r w:rsidRPr="000F0979">
              <w:rPr>
                <w:szCs w:val="20"/>
              </w:rPr>
              <w:t>$</w:t>
            </w:r>
            <w:r>
              <w:rPr>
                <w:szCs w:val="20"/>
              </w:rPr>
              <w:t>4</w:t>
            </w:r>
            <w:r w:rsidR="00C676B3">
              <w:rPr>
                <w:szCs w:val="20"/>
              </w:rPr>
              <w:t>1.</w:t>
            </w:r>
            <w:r w:rsidR="0030147F">
              <w:rPr>
                <w:szCs w:val="20"/>
              </w:rPr>
              <w:t>1</w:t>
            </w:r>
            <w:r w:rsidR="00C676B3">
              <w:rPr>
                <w:szCs w:val="20"/>
              </w:rPr>
              <w:t xml:space="preserve"> </w:t>
            </w:r>
            <w:r w:rsidRPr="000F0979">
              <w:rPr>
                <w:szCs w:val="20"/>
              </w:rPr>
              <w:t>million</w:t>
            </w:r>
          </w:p>
        </w:tc>
      </w:tr>
      <w:tr w:rsidR="00D601E7" w14:paraId="618C6D78" w14:textId="77777777" w:rsidTr="00187DB8">
        <w:tc>
          <w:tcPr>
            <w:tcW w:w="3457" w:type="pct"/>
          </w:tcPr>
          <w:p w14:paraId="720E11A2" w14:textId="77777777" w:rsidR="00D601E7" w:rsidRPr="000F0979" w:rsidRDefault="00D601E7">
            <w:pPr>
              <w:rPr>
                <w:szCs w:val="20"/>
              </w:rPr>
            </w:pPr>
            <w:r w:rsidRPr="000F0979">
              <w:rPr>
                <w:szCs w:val="20"/>
              </w:rPr>
              <w:t>Break-even reduction in child maltreatment in Australia</w:t>
            </w:r>
          </w:p>
        </w:tc>
        <w:tc>
          <w:tcPr>
            <w:tcW w:w="1543" w:type="pct"/>
          </w:tcPr>
          <w:p w14:paraId="20C75616" w14:textId="13C86B7F" w:rsidR="00D601E7" w:rsidRPr="000F0979" w:rsidRDefault="00D601E7">
            <w:pPr>
              <w:jc w:val="center"/>
              <w:rPr>
                <w:szCs w:val="20"/>
              </w:rPr>
            </w:pPr>
            <w:r>
              <w:rPr>
                <w:szCs w:val="20"/>
              </w:rPr>
              <w:t>0.1</w:t>
            </w:r>
            <w:r w:rsidR="00C676B3">
              <w:rPr>
                <w:szCs w:val="20"/>
              </w:rPr>
              <w:t>2</w:t>
            </w:r>
            <w:r w:rsidRPr="000F0979">
              <w:rPr>
                <w:szCs w:val="20"/>
              </w:rPr>
              <w:t>%</w:t>
            </w:r>
          </w:p>
        </w:tc>
      </w:tr>
    </w:tbl>
    <w:p w14:paraId="635088A8" w14:textId="77777777" w:rsidR="00D601E7" w:rsidRPr="00193AF9" w:rsidRDefault="00D601E7">
      <w:pPr>
        <w:rPr>
          <w:i/>
          <w:iCs/>
        </w:rPr>
      </w:pPr>
    </w:p>
    <w:p w14:paraId="7E8B1E63" w14:textId="68E5A1F4" w:rsidR="00D601E7" w:rsidRDefault="00D601E7">
      <w:pPr>
        <w:pStyle w:val="Heading4un-numbered"/>
      </w:pPr>
      <w:r>
        <w:t>Estimate of regulatory burden</w:t>
      </w:r>
    </w:p>
    <w:p w14:paraId="575E4FAE" w14:textId="3A7F2C73" w:rsidR="00D601E7" w:rsidRDefault="00D601E7">
      <w:r>
        <w:t>All monetised costs estimated under the ‘Cost of each option’ are compliance costs that would be accrued by approved providers.</w:t>
      </w:r>
      <w:r w:rsidR="000A4047">
        <w:t xml:space="preserve"> Of these approved providers, </w:t>
      </w:r>
      <w:r w:rsidR="007C5A7B">
        <w:t>approximately 57% are considered businesses (private, for</w:t>
      </w:r>
      <w:r w:rsidR="00972A12">
        <w:t>-</w:t>
      </w:r>
      <w:r w:rsidR="007C5A7B">
        <w:t>profit organisations and independent schools)</w:t>
      </w:r>
      <w:r w:rsidR="007135F4">
        <w:t xml:space="preserve">, </w:t>
      </w:r>
      <w:r w:rsidR="000C26B0">
        <w:t>33% are community organisations (not-for-</w:t>
      </w:r>
      <w:r w:rsidR="00557F8C">
        <w:t>profit organisations and catholic schools), and 10% are government</w:t>
      </w:r>
      <w:r w:rsidR="005B00DA">
        <w:t>-managed or government schools.</w:t>
      </w:r>
      <w:r w:rsidR="005D6EE3">
        <w:rPr>
          <w:rStyle w:val="FootnoteReference"/>
        </w:rPr>
        <w:footnoteReference w:id="60"/>
      </w:r>
      <w:r w:rsidR="005B00DA">
        <w:t xml:space="preserve"> </w:t>
      </w:r>
      <w:r>
        <w:t xml:space="preserve">Based on OIA’s guidance on regulatory burden measurement, </w:t>
      </w:r>
      <w:r w:rsidR="005B00DA">
        <w:t>the costs incurred by businesses, community organi</w:t>
      </w:r>
      <w:r w:rsidR="005D6EE3">
        <w:t xml:space="preserve">sations, and individuals </w:t>
      </w:r>
      <w:r>
        <w:t>contribute to the regulatory burden associated with options 2 and 3.</w:t>
      </w:r>
      <w:r>
        <w:rPr>
          <w:rStyle w:val="FootnoteReference"/>
        </w:rPr>
        <w:footnoteReference w:id="61"/>
      </w:r>
      <w:r>
        <w:t xml:space="preserve"> </w:t>
      </w:r>
      <w:r w:rsidR="002A0B8A">
        <w:t xml:space="preserve">Both options 2 and 3 are estimated to impose </w:t>
      </w:r>
      <w:r w:rsidR="008A3079">
        <w:t>regulatory burden</w:t>
      </w:r>
      <w:r w:rsidR="002A0B8A">
        <w:t xml:space="preserve"> </w:t>
      </w:r>
      <w:r w:rsidR="004973F7">
        <w:t xml:space="preserve">on businesses </w:t>
      </w:r>
      <w:r w:rsidR="00D3249B">
        <w:t xml:space="preserve">of $23.4 million </w:t>
      </w:r>
      <w:r w:rsidR="004973F7">
        <w:t>and community organisations</w:t>
      </w:r>
      <w:r w:rsidR="00D3249B">
        <w:t xml:space="preserve"> of $13.6 million, wh</w:t>
      </w:r>
      <w:r w:rsidR="004973F7">
        <w:t>ich is 90% of the t</w:t>
      </w:r>
      <w:r w:rsidR="008A3079">
        <w:t>otal monetised cost of these options</w:t>
      </w:r>
      <w:r w:rsidR="00D3249B">
        <w:t xml:space="preserve"> (refer to Table 5.7)</w:t>
      </w:r>
      <w:r w:rsidR="002A0B8A">
        <w:t>.</w:t>
      </w:r>
      <w:r w:rsidR="00D3249B">
        <w:t xml:space="preserve"> The remaining 10% of the cost would be borne by approved providers managed b</w:t>
      </w:r>
      <w:r w:rsidR="001A057A">
        <w:t>y</w:t>
      </w:r>
      <w:r w:rsidR="00D3249B">
        <w:t xml:space="preserve"> the government.</w:t>
      </w:r>
      <w:r w:rsidR="00D8732B">
        <w:t xml:space="preserve"> </w:t>
      </w:r>
      <w:r w:rsidR="00AD53DF">
        <w:t xml:space="preserve">The similarity </w:t>
      </w:r>
      <w:r w:rsidR="001A057A">
        <w:t>between option 2 and 3</w:t>
      </w:r>
      <w:r w:rsidR="00AD53DF">
        <w:t xml:space="preserve"> costs is on the basis that both options will incur the same compliance costs </w:t>
      </w:r>
      <w:r w:rsidR="00A6678F">
        <w:t xml:space="preserve">to providers </w:t>
      </w:r>
      <w:r w:rsidR="00AD53DF">
        <w:t xml:space="preserve">(purchase and maintenance of service-issued devices). </w:t>
      </w:r>
      <w:r w:rsidR="00FB7F35">
        <w:t xml:space="preserve">Incremental costs associated with </w:t>
      </w:r>
      <w:r w:rsidR="00FB7F35">
        <w:lastRenderedPageBreak/>
        <w:t xml:space="preserve">option 3 could not be quantified due to the significant variability in </w:t>
      </w:r>
      <w:r w:rsidR="00A6678F">
        <w:t>these cost categories (e.g. cost to store personal devices across different provider settings)</w:t>
      </w:r>
      <w:r w:rsidR="00FB7F35">
        <w:t xml:space="preserve">. </w:t>
      </w:r>
      <w:r w:rsidR="00A6678F">
        <w:t xml:space="preserve">These costs should be considered </w:t>
      </w:r>
      <w:r w:rsidR="0045451F">
        <w:t>together with the</w:t>
      </w:r>
      <w:r>
        <w:t xml:space="preserve"> additional regulatory burden stemming from the costs that could not be quantified (e.g., the cost of monitoring personal device use).</w:t>
      </w:r>
    </w:p>
    <w:p w14:paraId="2A589A15" w14:textId="6B6C5E71" w:rsidR="001A057A" w:rsidRDefault="001A057A">
      <w:r>
        <w:t xml:space="preserve">As it stands the regulatory burden estimates in </w:t>
      </w:r>
      <w:r w:rsidR="00BD2DF4">
        <w:t>T</w:t>
      </w:r>
      <w:r>
        <w:t xml:space="preserve">able 5.7 assume that the affected approved provider will bear the cost. </w:t>
      </w:r>
      <w:r w:rsidR="00722164">
        <w:t>However, in the event that government funding is available, a higher share of the potential costs may be borne by the government, alleviating the cost to approved providers.</w:t>
      </w:r>
      <w:r w:rsidR="00BD2DF4">
        <w:t xml:space="preserve"> As this stage, no decisions regarding the availability of government funding have been made, and such decisions may be at the discretion of individual state and territory governments</w:t>
      </w:r>
      <w:r w:rsidR="000B0A48">
        <w:t xml:space="preserve">. </w:t>
      </w:r>
      <w:r w:rsidR="00551576">
        <w:t>Any funding decisions would change who bears the regulatory burden associated with the regulatory options.</w:t>
      </w:r>
    </w:p>
    <w:p w14:paraId="16B38E95" w14:textId="3695AEEC" w:rsidR="001D7EF4" w:rsidRDefault="001D7EF4" w:rsidP="001D7EF4">
      <w:pPr>
        <w:pStyle w:val="Caption"/>
      </w:pPr>
      <w:bookmarkStart w:id="76" w:name="_Toc205884937"/>
      <w:r>
        <w:t xml:space="preserve">Table 5.7: Regulatory burden estimate – </w:t>
      </w:r>
      <w:r w:rsidR="00650B54">
        <w:t>Managing the use of digital devices</w:t>
      </w:r>
      <w:r w:rsidR="003E1FEC">
        <w:t>, NPV 20</w:t>
      </w:r>
      <w:r w:rsidR="00031E6D">
        <w:t>25 to 2034, 7% discount rate</w:t>
      </w:r>
      <w:bookmarkEnd w:id="7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5.7: Regulatory burden estimate – Managing the use of digital devices, NPV 2025 to 2034, 7% discount rate"/>
        <w:tblDescription w:val="This table provides a regulatory burden estimate for managing the use of digital devices in PV terms from 2025 to 2034, applying a 7% discount rate."/>
      </w:tblPr>
      <w:tblGrid>
        <w:gridCol w:w="1175"/>
        <w:gridCol w:w="1825"/>
        <w:gridCol w:w="1528"/>
        <w:gridCol w:w="1261"/>
        <w:gridCol w:w="1395"/>
        <w:gridCol w:w="1826"/>
      </w:tblGrid>
      <w:tr w:rsidR="00D3249B" w14:paraId="1A2A3C41" w14:textId="77777777" w:rsidTr="008B38CA">
        <w:trPr>
          <w:tblHeader/>
        </w:trPr>
        <w:tc>
          <w:tcPr>
            <w:tcW w:w="653" w:type="pct"/>
            <w:shd w:val="clear" w:color="auto" w:fill="14233C" w:themeFill="text2"/>
          </w:tcPr>
          <w:p w14:paraId="0171A82C" w14:textId="77777777" w:rsidR="00D3249B" w:rsidRPr="00AD22EC" w:rsidRDefault="00D3249B" w:rsidP="00D3249B">
            <w:pPr>
              <w:rPr>
                <w:b/>
                <w:color w:val="FFFFFF" w:themeColor="background1"/>
                <w:sz w:val="20"/>
                <w:szCs w:val="18"/>
              </w:rPr>
            </w:pPr>
          </w:p>
        </w:tc>
        <w:tc>
          <w:tcPr>
            <w:tcW w:w="1014" w:type="pct"/>
            <w:shd w:val="clear" w:color="auto" w:fill="14233C" w:themeFill="text2"/>
            <w:vAlign w:val="center"/>
          </w:tcPr>
          <w:p w14:paraId="004D62C0" w14:textId="77777777" w:rsidR="00D3249B" w:rsidRPr="00AD22EC" w:rsidRDefault="00D3249B" w:rsidP="00D3249B">
            <w:pPr>
              <w:jc w:val="center"/>
              <w:rPr>
                <w:b/>
                <w:color w:val="FFFFFF" w:themeColor="background1"/>
                <w:sz w:val="20"/>
                <w:szCs w:val="18"/>
              </w:rPr>
            </w:pPr>
            <w:r w:rsidRPr="00AD22EC">
              <w:rPr>
                <w:b/>
                <w:color w:val="FFFFFF" w:themeColor="background1"/>
                <w:sz w:val="20"/>
                <w:szCs w:val="18"/>
              </w:rPr>
              <w:t>Business</w:t>
            </w:r>
          </w:p>
        </w:tc>
        <w:tc>
          <w:tcPr>
            <w:tcW w:w="847" w:type="pct"/>
            <w:shd w:val="clear" w:color="auto" w:fill="14233C" w:themeFill="text2"/>
            <w:vAlign w:val="center"/>
          </w:tcPr>
          <w:p w14:paraId="33D20D29" w14:textId="77777777" w:rsidR="00D3249B" w:rsidRPr="00AD22EC" w:rsidRDefault="00D3249B" w:rsidP="00D3249B">
            <w:pPr>
              <w:jc w:val="center"/>
              <w:rPr>
                <w:b/>
                <w:color w:val="FFFFFF" w:themeColor="background1"/>
                <w:sz w:val="20"/>
                <w:szCs w:val="18"/>
              </w:rPr>
            </w:pPr>
            <w:r w:rsidRPr="00AD22EC">
              <w:rPr>
                <w:b/>
                <w:color w:val="FFFFFF" w:themeColor="background1"/>
                <w:sz w:val="20"/>
                <w:szCs w:val="18"/>
              </w:rPr>
              <w:t>Community organisations</w:t>
            </w:r>
          </w:p>
        </w:tc>
        <w:tc>
          <w:tcPr>
            <w:tcW w:w="699" w:type="pct"/>
            <w:shd w:val="clear" w:color="auto" w:fill="14233C" w:themeFill="text2"/>
            <w:vAlign w:val="center"/>
          </w:tcPr>
          <w:p w14:paraId="1C4F9FB8" w14:textId="77777777" w:rsidR="00D3249B" w:rsidRPr="00AD22EC" w:rsidRDefault="00D3249B" w:rsidP="00D3249B">
            <w:pPr>
              <w:jc w:val="center"/>
              <w:rPr>
                <w:b/>
                <w:color w:val="FFFFFF" w:themeColor="background1"/>
                <w:sz w:val="20"/>
                <w:szCs w:val="18"/>
              </w:rPr>
            </w:pPr>
            <w:r w:rsidRPr="00AD22EC">
              <w:rPr>
                <w:b/>
                <w:color w:val="FFFFFF" w:themeColor="background1"/>
                <w:sz w:val="20"/>
                <w:szCs w:val="18"/>
              </w:rPr>
              <w:t>Individuals</w:t>
            </w:r>
          </w:p>
        </w:tc>
        <w:tc>
          <w:tcPr>
            <w:tcW w:w="773" w:type="pct"/>
            <w:shd w:val="clear" w:color="auto" w:fill="14233C" w:themeFill="text2"/>
            <w:vAlign w:val="center"/>
          </w:tcPr>
          <w:p w14:paraId="1A5DFCF4" w14:textId="61E96585" w:rsidR="00D3249B" w:rsidRDefault="00D3249B" w:rsidP="00D3249B">
            <w:pPr>
              <w:jc w:val="center"/>
              <w:rPr>
                <w:rFonts w:cs="Arial"/>
                <w:b/>
                <w:bCs/>
                <w:color w:val="FFFFFF"/>
                <w:sz w:val="20"/>
                <w:szCs w:val="20"/>
              </w:rPr>
            </w:pPr>
            <w:r>
              <w:rPr>
                <w:rFonts w:cs="Arial"/>
                <w:b/>
                <w:bCs/>
                <w:color w:val="FFFFFF"/>
                <w:sz w:val="20"/>
                <w:szCs w:val="20"/>
              </w:rPr>
              <w:t>Government</w:t>
            </w:r>
          </w:p>
        </w:tc>
        <w:tc>
          <w:tcPr>
            <w:tcW w:w="1014" w:type="pct"/>
            <w:shd w:val="clear" w:color="auto" w:fill="14233C" w:themeFill="text2"/>
            <w:vAlign w:val="center"/>
          </w:tcPr>
          <w:p w14:paraId="35AF1E4D" w14:textId="2F031AB1" w:rsidR="00D3249B" w:rsidRPr="00AD22EC" w:rsidDel="009459AB" w:rsidRDefault="00D3249B" w:rsidP="00D3249B">
            <w:pPr>
              <w:jc w:val="center"/>
              <w:rPr>
                <w:b/>
                <w:color w:val="FFFFFF" w:themeColor="background1"/>
                <w:sz w:val="20"/>
                <w:szCs w:val="18"/>
              </w:rPr>
            </w:pPr>
            <w:r>
              <w:rPr>
                <w:rFonts w:cs="Arial"/>
                <w:b/>
                <w:bCs/>
                <w:color w:val="FFFFFF" w:themeColor="background1"/>
                <w:sz w:val="20"/>
                <w:szCs w:val="22"/>
              </w:rPr>
              <w:t>Total change in costs</w:t>
            </w:r>
          </w:p>
        </w:tc>
      </w:tr>
      <w:tr w:rsidR="00D3249B" w14:paraId="2C700A51" w14:textId="77777777" w:rsidTr="008B38CA">
        <w:tc>
          <w:tcPr>
            <w:tcW w:w="653" w:type="pct"/>
          </w:tcPr>
          <w:p w14:paraId="6A23D4E7" w14:textId="3C53D14C" w:rsidR="00D3249B" w:rsidRPr="00AD22EC" w:rsidRDefault="00D3249B" w:rsidP="00D3249B">
            <w:pPr>
              <w:rPr>
                <w:sz w:val="20"/>
                <w:szCs w:val="18"/>
              </w:rPr>
            </w:pPr>
            <w:r w:rsidRPr="00AD22EC">
              <w:rPr>
                <w:sz w:val="20"/>
                <w:szCs w:val="18"/>
              </w:rPr>
              <w:t>Option 1</w:t>
            </w:r>
          </w:p>
        </w:tc>
        <w:tc>
          <w:tcPr>
            <w:tcW w:w="1014" w:type="pct"/>
          </w:tcPr>
          <w:p w14:paraId="7BAB905C" w14:textId="76912F04" w:rsidR="00D3249B" w:rsidRPr="00AD22EC" w:rsidRDefault="00D3249B" w:rsidP="00D3249B">
            <w:pPr>
              <w:jc w:val="center"/>
              <w:rPr>
                <w:sz w:val="20"/>
                <w:szCs w:val="18"/>
              </w:rPr>
            </w:pPr>
            <w:r w:rsidRPr="00AD22EC">
              <w:rPr>
                <w:sz w:val="20"/>
                <w:szCs w:val="18"/>
              </w:rPr>
              <w:t>-</w:t>
            </w:r>
          </w:p>
        </w:tc>
        <w:tc>
          <w:tcPr>
            <w:tcW w:w="847" w:type="pct"/>
          </w:tcPr>
          <w:p w14:paraId="7FCE0F95" w14:textId="3AC5A790" w:rsidR="00D3249B" w:rsidRPr="00AD22EC" w:rsidRDefault="00D3249B" w:rsidP="00D3249B">
            <w:pPr>
              <w:jc w:val="center"/>
              <w:rPr>
                <w:sz w:val="20"/>
                <w:szCs w:val="18"/>
              </w:rPr>
            </w:pPr>
            <w:r w:rsidRPr="00AD22EC">
              <w:rPr>
                <w:sz w:val="20"/>
                <w:szCs w:val="18"/>
              </w:rPr>
              <w:t>-</w:t>
            </w:r>
          </w:p>
        </w:tc>
        <w:tc>
          <w:tcPr>
            <w:tcW w:w="699" w:type="pct"/>
          </w:tcPr>
          <w:p w14:paraId="1F38B234" w14:textId="4BBA0392" w:rsidR="00D3249B" w:rsidRPr="00AD22EC" w:rsidRDefault="00D3249B" w:rsidP="00D3249B">
            <w:pPr>
              <w:jc w:val="center"/>
              <w:rPr>
                <w:sz w:val="20"/>
                <w:szCs w:val="18"/>
              </w:rPr>
            </w:pPr>
            <w:r w:rsidRPr="00AD22EC">
              <w:rPr>
                <w:sz w:val="20"/>
                <w:szCs w:val="18"/>
              </w:rPr>
              <w:t>-</w:t>
            </w:r>
          </w:p>
        </w:tc>
        <w:tc>
          <w:tcPr>
            <w:tcW w:w="773" w:type="pct"/>
            <w:vAlign w:val="center"/>
          </w:tcPr>
          <w:p w14:paraId="697396E9" w14:textId="357DC10A" w:rsidR="00D3249B" w:rsidRDefault="00D3249B" w:rsidP="00D3249B">
            <w:pPr>
              <w:jc w:val="center"/>
              <w:rPr>
                <w:rFonts w:cs="Arial"/>
                <w:color w:val="000000"/>
                <w:sz w:val="20"/>
                <w:szCs w:val="20"/>
              </w:rPr>
            </w:pPr>
            <w:r>
              <w:rPr>
                <w:rFonts w:cs="Arial"/>
                <w:color w:val="000000"/>
                <w:sz w:val="20"/>
                <w:szCs w:val="20"/>
              </w:rPr>
              <w:t>-</w:t>
            </w:r>
          </w:p>
        </w:tc>
        <w:tc>
          <w:tcPr>
            <w:tcW w:w="1014" w:type="pct"/>
            <w:vAlign w:val="center"/>
          </w:tcPr>
          <w:p w14:paraId="5D193E18" w14:textId="2523BD03" w:rsidR="00D3249B" w:rsidRPr="00AD22EC" w:rsidRDefault="00D3249B" w:rsidP="00D3249B">
            <w:pPr>
              <w:jc w:val="center"/>
              <w:rPr>
                <w:b/>
                <w:sz w:val="20"/>
                <w:szCs w:val="18"/>
              </w:rPr>
            </w:pPr>
            <w:r>
              <w:rPr>
                <w:rFonts w:cs="Arial"/>
                <w:b/>
                <w:bCs/>
                <w:color w:val="000000"/>
                <w:sz w:val="20"/>
                <w:szCs w:val="20"/>
              </w:rPr>
              <w:t>-</w:t>
            </w:r>
          </w:p>
        </w:tc>
      </w:tr>
      <w:tr w:rsidR="00D3249B" w14:paraId="295161AE" w14:textId="77777777" w:rsidTr="00E3170E">
        <w:tc>
          <w:tcPr>
            <w:tcW w:w="653" w:type="pct"/>
          </w:tcPr>
          <w:p w14:paraId="615639A4" w14:textId="5E4DBE95" w:rsidR="00D3249B" w:rsidRPr="00AD22EC" w:rsidRDefault="00D3249B" w:rsidP="00D3249B">
            <w:pPr>
              <w:rPr>
                <w:sz w:val="20"/>
                <w:szCs w:val="18"/>
              </w:rPr>
            </w:pPr>
            <w:r w:rsidRPr="00AD22EC">
              <w:rPr>
                <w:sz w:val="20"/>
                <w:szCs w:val="18"/>
              </w:rPr>
              <w:t>Option 2</w:t>
            </w:r>
          </w:p>
        </w:tc>
        <w:tc>
          <w:tcPr>
            <w:tcW w:w="1014" w:type="pct"/>
            <w:vAlign w:val="center"/>
          </w:tcPr>
          <w:p w14:paraId="43EE32FA" w14:textId="6716E538" w:rsidR="00D3249B" w:rsidRPr="00AD22EC" w:rsidRDefault="00D3249B" w:rsidP="00D3249B">
            <w:pPr>
              <w:jc w:val="center"/>
              <w:rPr>
                <w:sz w:val="20"/>
                <w:szCs w:val="18"/>
                <w:highlight w:val="lightGray"/>
              </w:rPr>
            </w:pPr>
            <w:r w:rsidRPr="00AD22EC">
              <w:rPr>
                <w:rFonts w:cs="Arial"/>
                <w:color w:val="000000"/>
                <w:sz w:val="20"/>
                <w:szCs w:val="18"/>
              </w:rPr>
              <w:t>$23,445,401</w:t>
            </w:r>
          </w:p>
        </w:tc>
        <w:tc>
          <w:tcPr>
            <w:tcW w:w="847" w:type="pct"/>
            <w:vAlign w:val="center"/>
          </w:tcPr>
          <w:p w14:paraId="242677F7" w14:textId="746479F8" w:rsidR="00D3249B" w:rsidRPr="00AD22EC" w:rsidRDefault="00D3249B" w:rsidP="00D3249B">
            <w:pPr>
              <w:jc w:val="center"/>
              <w:rPr>
                <w:sz w:val="20"/>
                <w:szCs w:val="18"/>
              </w:rPr>
            </w:pPr>
            <w:r w:rsidRPr="00AD22EC">
              <w:rPr>
                <w:rFonts w:cs="Arial"/>
                <w:color w:val="000000"/>
                <w:sz w:val="20"/>
                <w:szCs w:val="18"/>
              </w:rPr>
              <w:t>$13,573,653</w:t>
            </w:r>
          </w:p>
        </w:tc>
        <w:tc>
          <w:tcPr>
            <w:tcW w:w="699" w:type="pct"/>
            <w:vAlign w:val="center"/>
          </w:tcPr>
          <w:p w14:paraId="72D4FBB8" w14:textId="4DA81D1F" w:rsidR="00D3249B" w:rsidRPr="00AD22EC" w:rsidRDefault="00D3249B" w:rsidP="00D3249B">
            <w:pPr>
              <w:jc w:val="center"/>
              <w:rPr>
                <w:sz w:val="20"/>
                <w:szCs w:val="18"/>
              </w:rPr>
            </w:pPr>
            <w:r w:rsidRPr="00AD22EC">
              <w:rPr>
                <w:rFonts w:cs="Arial"/>
                <w:color w:val="000000"/>
                <w:sz w:val="20"/>
                <w:szCs w:val="18"/>
              </w:rPr>
              <w:t>-</w:t>
            </w:r>
          </w:p>
        </w:tc>
        <w:tc>
          <w:tcPr>
            <w:tcW w:w="773" w:type="pct"/>
            <w:vAlign w:val="center"/>
          </w:tcPr>
          <w:p w14:paraId="0423F1DF" w14:textId="0CAD16AB" w:rsidR="00D3249B" w:rsidRDefault="00D3249B" w:rsidP="00D3249B">
            <w:pPr>
              <w:jc w:val="center"/>
              <w:rPr>
                <w:rFonts w:cs="Arial"/>
                <w:color w:val="000000"/>
                <w:sz w:val="20"/>
                <w:szCs w:val="20"/>
              </w:rPr>
            </w:pPr>
            <w:r>
              <w:rPr>
                <w:rFonts w:cs="Arial"/>
                <w:color w:val="000000"/>
                <w:sz w:val="20"/>
                <w:szCs w:val="20"/>
              </w:rPr>
              <w:t>$4,113,228</w:t>
            </w:r>
          </w:p>
        </w:tc>
        <w:tc>
          <w:tcPr>
            <w:tcW w:w="1014" w:type="pct"/>
            <w:vAlign w:val="center"/>
          </w:tcPr>
          <w:p w14:paraId="6FC9BC80" w14:textId="45721C2E" w:rsidR="00D3249B" w:rsidRPr="00AD22EC" w:rsidRDefault="00D3249B" w:rsidP="00D3249B">
            <w:pPr>
              <w:jc w:val="center"/>
              <w:rPr>
                <w:b/>
                <w:sz w:val="20"/>
                <w:szCs w:val="18"/>
                <w:highlight w:val="lightGray"/>
              </w:rPr>
            </w:pPr>
            <w:r>
              <w:rPr>
                <w:rFonts w:cs="Arial"/>
                <w:b/>
                <w:bCs/>
                <w:color w:val="000000"/>
                <w:sz w:val="20"/>
                <w:szCs w:val="22"/>
              </w:rPr>
              <w:t>$41,132,282</w:t>
            </w:r>
          </w:p>
        </w:tc>
      </w:tr>
      <w:tr w:rsidR="00D3249B" w14:paraId="4B5792E2" w14:textId="77777777" w:rsidTr="00E3170E">
        <w:tc>
          <w:tcPr>
            <w:tcW w:w="653" w:type="pct"/>
          </w:tcPr>
          <w:p w14:paraId="321D0855" w14:textId="2053CEC2" w:rsidR="00D3249B" w:rsidRPr="00AD22EC" w:rsidRDefault="00D3249B" w:rsidP="00D3249B">
            <w:pPr>
              <w:rPr>
                <w:sz w:val="20"/>
                <w:szCs w:val="18"/>
              </w:rPr>
            </w:pPr>
            <w:r w:rsidRPr="00AD22EC">
              <w:rPr>
                <w:sz w:val="20"/>
                <w:szCs w:val="18"/>
              </w:rPr>
              <w:t>Option 3</w:t>
            </w:r>
          </w:p>
        </w:tc>
        <w:tc>
          <w:tcPr>
            <w:tcW w:w="1014" w:type="pct"/>
            <w:vAlign w:val="center"/>
          </w:tcPr>
          <w:p w14:paraId="1ED58098" w14:textId="45AFFC75" w:rsidR="00D3249B" w:rsidRPr="00AD22EC" w:rsidRDefault="00D3249B" w:rsidP="00D3249B">
            <w:pPr>
              <w:jc w:val="center"/>
              <w:rPr>
                <w:sz w:val="20"/>
                <w:szCs w:val="18"/>
                <w:highlight w:val="lightGray"/>
              </w:rPr>
            </w:pPr>
            <w:r w:rsidRPr="00AD22EC">
              <w:rPr>
                <w:rFonts w:cs="Arial"/>
                <w:color w:val="000000"/>
                <w:sz w:val="20"/>
                <w:szCs w:val="18"/>
              </w:rPr>
              <w:t>$23,445,401</w:t>
            </w:r>
          </w:p>
        </w:tc>
        <w:tc>
          <w:tcPr>
            <w:tcW w:w="847" w:type="pct"/>
            <w:vAlign w:val="center"/>
          </w:tcPr>
          <w:p w14:paraId="7FB30747" w14:textId="0B74F5FD" w:rsidR="00D3249B" w:rsidRPr="00AD22EC" w:rsidRDefault="00D3249B" w:rsidP="00D3249B">
            <w:pPr>
              <w:jc w:val="center"/>
              <w:rPr>
                <w:sz w:val="20"/>
                <w:szCs w:val="18"/>
              </w:rPr>
            </w:pPr>
            <w:r w:rsidRPr="00AD22EC">
              <w:rPr>
                <w:rFonts w:cs="Arial"/>
                <w:color w:val="000000"/>
                <w:sz w:val="20"/>
                <w:szCs w:val="18"/>
              </w:rPr>
              <w:t>$13,573,653</w:t>
            </w:r>
          </w:p>
        </w:tc>
        <w:tc>
          <w:tcPr>
            <w:tcW w:w="699" w:type="pct"/>
            <w:vAlign w:val="center"/>
          </w:tcPr>
          <w:p w14:paraId="122B3A9D" w14:textId="210DAA74" w:rsidR="00D3249B" w:rsidRPr="00AD22EC" w:rsidRDefault="00D3249B" w:rsidP="00D3249B">
            <w:pPr>
              <w:jc w:val="center"/>
              <w:rPr>
                <w:sz w:val="20"/>
                <w:szCs w:val="18"/>
              </w:rPr>
            </w:pPr>
            <w:r w:rsidRPr="00AD22EC">
              <w:rPr>
                <w:rFonts w:cs="Arial"/>
                <w:color w:val="000000"/>
                <w:sz w:val="20"/>
                <w:szCs w:val="18"/>
              </w:rPr>
              <w:t>-</w:t>
            </w:r>
          </w:p>
        </w:tc>
        <w:tc>
          <w:tcPr>
            <w:tcW w:w="773" w:type="pct"/>
            <w:vAlign w:val="center"/>
          </w:tcPr>
          <w:p w14:paraId="78B57F6F" w14:textId="4440BCEF" w:rsidR="00D3249B" w:rsidRDefault="00D3249B" w:rsidP="00D3249B">
            <w:pPr>
              <w:jc w:val="center"/>
              <w:rPr>
                <w:rFonts w:cs="Arial"/>
                <w:color w:val="000000"/>
                <w:sz w:val="20"/>
                <w:szCs w:val="20"/>
              </w:rPr>
            </w:pPr>
            <w:r>
              <w:rPr>
                <w:rFonts w:cs="Arial"/>
                <w:color w:val="000000"/>
                <w:sz w:val="20"/>
                <w:szCs w:val="20"/>
              </w:rPr>
              <w:t>$4,113,228</w:t>
            </w:r>
          </w:p>
        </w:tc>
        <w:tc>
          <w:tcPr>
            <w:tcW w:w="1014" w:type="pct"/>
            <w:vAlign w:val="center"/>
          </w:tcPr>
          <w:p w14:paraId="1F744A6A" w14:textId="2450D8D1" w:rsidR="00D3249B" w:rsidRPr="00AD22EC" w:rsidRDefault="00D3249B" w:rsidP="00D3249B">
            <w:pPr>
              <w:jc w:val="center"/>
              <w:rPr>
                <w:b/>
                <w:sz w:val="20"/>
                <w:szCs w:val="18"/>
                <w:highlight w:val="lightGray"/>
              </w:rPr>
            </w:pPr>
            <w:r>
              <w:rPr>
                <w:rFonts w:cs="Arial"/>
                <w:b/>
                <w:bCs/>
                <w:color w:val="000000"/>
                <w:sz w:val="20"/>
                <w:szCs w:val="22"/>
              </w:rPr>
              <w:t>$41,132,282</w:t>
            </w:r>
          </w:p>
        </w:tc>
      </w:tr>
    </w:tbl>
    <w:p w14:paraId="49867A2B" w14:textId="49E25E98" w:rsidR="00EC1571" w:rsidRDefault="00EC1571" w:rsidP="00EC1571">
      <w:pPr>
        <w:pStyle w:val="Heading4un-numbered"/>
      </w:pPr>
      <w:r>
        <w:t xml:space="preserve">Stakeholders’ </w:t>
      </w:r>
      <w:r w:rsidR="00BF7E16">
        <w:t>preferred</w:t>
      </w:r>
      <w:r w:rsidR="004C5562">
        <w:t xml:space="preserve"> option</w:t>
      </w:r>
    </w:p>
    <w:p w14:paraId="6219A620" w14:textId="054A7927" w:rsidR="00EC1571" w:rsidRDefault="00EC1571" w:rsidP="00EC1571">
      <w:r w:rsidRPr="008265E2">
        <w:t xml:space="preserve">Option 2 reflects the most frequently </w:t>
      </w:r>
      <w:r w:rsidR="00BF7E16">
        <w:t>preferred</w:t>
      </w:r>
      <w:r w:rsidR="004C5562">
        <w:t xml:space="preserve"> option</w:t>
      </w:r>
      <w:r w:rsidRPr="008265E2">
        <w:t>s among approved providers</w:t>
      </w:r>
      <w:r>
        <w:t xml:space="preserve"> </w:t>
      </w:r>
      <w:r w:rsidRPr="008265E2">
        <w:t>and families, parents and carers, followed by option 3</w:t>
      </w:r>
      <w:r>
        <w:t xml:space="preserve"> (refer to Appendix 12.3</w:t>
      </w:r>
      <w:r w:rsidR="00583FFB">
        <w:t>.1</w:t>
      </w:r>
      <w:r>
        <w:t>)</w:t>
      </w:r>
      <w:r w:rsidRPr="008265E2">
        <w:t xml:space="preserve">. </w:t>
      </w:r>
      <w:r>
        <w:t xml:space="preserve">Option 2 was the </w:t>
      </w:r>
      <w:r w:rsidR="00BF7E16">
        <w:t>preferred</w:t>
      </w:r>
      <w:r w:rsidR="004C5562">
        <w:t xml:space="preserve"> option</w:t>
      </w:r>
      <w:r>
        <w:t xml:space="preserve"> among all approved provider types, including FDCs and OSHCs (refer to Chart 5.3). </w:t>
      </w:r>
    </w:p>
    <w:p w14:paraId="0D070A3F" w14:textId="15166E24" w:rsidR="00EC1571" w:rsidRPr="008265E2" w:rsidRDefault="00EC1571" w:rsidP="00EC1571">
      <w:r>
        <w:t xml:space="preserve">Despite the preference for </w:t>
      </w:r>
      <w:r w:rsidR="00A4039A">
        <w:t>o</w:t>
      </w:r>
      <w:r>
        <w:t>ption 2 among families, parents and carer survey respondents overall, many families, parents and carers using FDC services preferred the status quo. Similarly, most survey respondents and focus group participants from the FDC sector provided feedback that they perceive the proposed regulatory options as not appropriate for the FDC sector and cost-prohibitive to implement, except for some approved providers and peak bodies. FDC peak body submissions did not support option 2 or 3 for FDC services</w:t>
      </w:r>
      <w:r w:rsidR="00170448">
        <w:t xml:space="preserve"> on the grounds that they are inappropriate for FDC settings, do not address risk</w:t>
      </w:r>
      <w:r w:rsidR="00B40E65">
        <w:t xml:space="preserve">s in FDC settings, </w:t>
      </w:r>
      <w:r w:rsidR="00125D6A">
        <w:t xml:space="preserve">would increase risk in other areas, </w:t>
      </w:r>
      <w:r w:rsidR="00913765">
        <w:t xml:space="preserve">is </w:t>
      </w:r>
      <w:r w:rsidR="00CF3484">
        <w:t xml:space="preserve">prohibitively expensive, </w:t>
      </w:r>
      <w:r w:rsidR="00125D6A">
        <w:t xml:space="preserve">and that the status quo’s upcoming regulatory changes and additional guidance provide a strong </w:t>
      </w:r>
      <w:r w:rsidR="00BA4A49">
        <w:t>basis for increasing child safety without further regulatory change</w:t>
      </w:r>
      <w:r w:rsidR="00637B05">
        <w:t xml:space="preserve">. </w:t>
      </w:r>
    </w:p>
    <w:p w14:paraId="6220C696" w14:textId="4FA4346E" w:rsidR="00EC1571" w:rsidRDefault="00EC1571" w:rsidP="00EC1571">
      <w:pPr>
        <w:pStyle w:val="Caption"/>
      </w:pPr>
      <w:bookmarkStart w:id="77" w:name="_Toc205884938"/>
      <w:r w:rsidRPr="00F669CE">
        <w:lastRenderedPageBreak/>
        <w:t>Chart 5.3: Approved</w:t>
      </w:r>
      <w:r w:rsidRPr="00057988">
        <w:t xml:space="preserve"> provider responses to “</w:t>
      </w:r>
      <w:r>
        <w:t xml:space="preserve">What is your </w:t>
      </w:r>
      <w:r w:rsidR="00B734E0">
        <w:t>preferred</w:t>
      </w:r>
      <w:r w:rsidR="004C5562">
        <w:t xml:space="preserve"> option</w:t>
      </w:r>
      <w:r>
        <w:t xml:space="preserve"> o</w:t>
      </w:r>
      <w:r w:rsidR="00B734E0">
        <w:t>r</w:t>
      </w:r>
      <w:r>
        <w:t xml:space="preserve"> combination of options</w:t>
      </w:r>
      <w:r w:rsidRPr="00057988">
        <w:t>?”</w:t>
      </w:r>
      <w:r>
        <w:t>, by service type</w:t>
      </w:r>
      <w:bookmarkEnd w:id="77"/>
    </w:p>
    <w:p w14:paraId="1E6F4F12" w14:textId="77777777" w:rsidR="00EC1571" w:rsidRDefault="00EC1571" w:rsidP="00EC1571">
      <w:pPr>
        <w:spacing w:after="160" w:line="259" w:lineRule="auto"/>
      </w:pPr>
      <w:r>
        <w:rPr>
          <w:noProof/>
          <w14:ligatures w14:val="standardContextual"/>
        </w:rPr>
        <w:drawing>
          <wp:inline distT="0" distB="0" distL="0" distR="0" wp14:anchorId="78862CCD" wp14:editId="60C92858">
            <wp:extent cx="5727700" cy="2459355"/>
            <wp:effectExtent l="0" t="0" r="6350" b="0"/>
            <wp:docPr id="490153827" name="Chart 1" descr="Chart outlining approved provider survey responses to the question &quot;What is your preferred option or combination of options?&quot; by service type.&#10;Service types include: Preschool/kindergarten, Long Day Care, Family Day Care, Outside School Hours Care and Other (including playgroups, outreach programs)">
              <a:extLst xmlns:a="http://schemas.openxmlformats.org/drawingml/2006/main">
                <a:ext uri="{FF2B5EF4-FFF2-40B4-BE49-F238E27FC236}">
                  <a16:creationId xmlns:a16="http://schemas.microsoft.com/office/drawing/2014/main" id="{816BE093-A84F-258B-E5BB-5789DCD84A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F393291" w14:textId="77777777" w:rsidR="00EC1571" w:rsidRPr="00636B94" w:rsidRDefault="00EC1571" w:rsidP="00976C70">
      <w:pPr>
        <w:pStyle w:val="Source-CSR"/>
      </w:pPr>
      <w:r w:rsidRPr="009C5186">
        <w:t xml:space="preserve">Source: </w:t>
      </w:r>
      <w:r w:rsidRPr="00636B94">
        <w:t>Approved provider survey, as of 11 June 2025, Q15, Unique respondents n=208. Note that respondents were able to select multiple service types.</w:t>
      </w:r>
    </w:p>
    <w:p w14:paraId="32EB9CD0" w14:textId="5F768692" w:rsidR="00B544B0" w:rsidRDefault="001C6E00" w:rsidP="00EC1571">
      <w:r>
        <w:t>W</w:t>
      </w:r>
      <w:r w:rsidR="00EC1571">
        <w:t>orkforce survey respondents were characterised by very disproportionate representation from FDCs, who expressed strong opposition to the proposed regulatory options in consultation</w:t>
      </w:r>
      <w:r w:rsidR="002C197F">
        <w:t xml:space="preserve"> for the reasons outlined in the distributional impacts discussion above.</w:t>
      </w:r>
      <w:r w:rsidR="00EC1571">
        <w:t xml:space="preserve"> When breaking down workforce survey responses by service type, the preference for option 1 sits largely with FDCs, while the remainder of the workforce has the highest preference for option 2, followed by option 3 and options 2 and 3 in combination, respectively (refer to Chart 5.4).</w:t>
      </w:r>
      <w:r w:rsidR="00D113E4">
        <w:t xml:space="preserve"> FDCs’ preference for the status quo (option 1) is due to </w:t>
      </w:r>
      <w:r w:rsidR="00A8759D">
        <w:t xml:space="preserve">expectation that the upcoming regulatory changes (amendments of regulation 168) will already provide a strong foundation for improved child safety in relation to the use of digital devices in </w:t>
      </w:r>
      <w:r w:rsidR="00BD66BE">
        <w:t>an FDC</w:t>
      </w:r>
      <w:r w:rsidR="00A8759D">
        <w:t xml:space="preserve"> context</w:t>
      </w:r>
      <w:r w:rsidR="00BB1A8A">
        <w:t>, especially where other tailored digital device policies are in place</w:t>
      </w:r>
      <w:r w:rsidR="00A8759D">
        <w:t>.</w:t>
      </w:r>
      <w:r w:rsidR="00EF3B51">
        <w:t xml:space="preserve"> Additional prescriptive measures around the use of devices may be unlikely to yield further safety benefits in these settings.</w:t>
      </w:r>
      <w:r w:rsidR="00A8759D">
        <w:t xml:space="preserve"> </w:t>
      </w:r>
    </w:p>
    <w:p w14:paraId="2EDD8AA3" w14:textId="61157218" w:rsidR="00B544B0" w:rsidRDefault="005E571A" w:rsidP="00EC1571">
      <w:r>
        <w:t>Options 2 and 3 are perceived by FDCs to be more appropriate for centr</w:t>
      </w:r>
      <w:r w:rsidR="00FB3635">
        <w:t>e</w:t>
      </w:r>
      <w:r>
        <w:t xml:space="preserve">-based settings </w:t>
      </w:r>
      <w:r w:rsidR="00FB3635">
        <w:t xml:space="preserve">compared to </w:t>
      </w:r>
      <w:r w:rsidR="009145D3">
        <w:t>FDC</w:t>
      </w:r>
      <w:r w:rsidR="00FB3635">
        <w:t xml:space="preserve"> settings</w:t>
      </w:r>
      <w:r w:rsidR="00533D59">
        <w:t>,</w:t>
      </w:r>
      <w:r w:rsidR="00FB3635">
        <w:t xml:space="preserve"> where </w:t>
      </w:r>
      <w:r w:rsidR="002769E4">
        <w:t>FDC educators work alone, are responsible for emergency responses and rely on personal devices for both professional and personal purposes</w:t>
      </w:r>
      <w:r>
        <w:t>.</w:t>
      </w:r>
      <w:r w:rsidR="002769E4">
        <w:t xml:space="preserve"> </w:t>
      </w:r>
      <w:r w:rsidR="00B544B0" w:rsidRPr="00B544B0">
        <w:t>Stakeholder feedback has consistently identified FDCs as a unique context requiring bespoke policy responses. The ability to use personal devices for both safety and communication is essential when educators work alone. A blanket ban could increase risks rather than mitigate them.</w:t>
      </w:r>
    </w:p>
    <w:p w14:paraId="4055B406" w14:textId="0EC6F882" w:rsidR="00EC1571" w:rsidRDefault="002769E4" w:rsidP="00EC1571">
      <w:r>
        <w:t xml:space="preserve">As such, </w:t>
      </w:r>
      <w:r w:rsidR="007F0AF9">
        <w:t>FDC considers option 1 (</w:t>
      </w:r>
      <w:r w:rsidR="009145D3">
        <w:t xml:space="preserve">including the amendments to </w:t>
      </w:r>
      <w:r w:rsidR="007F0AF9">
        <w:t>regulation 168 of the National Regulations</w:t>
      </w:r>
      <w:r w:rsidR="009145D3">
        <w:t xml:space="preserve">, in effect from 1 September 2025, requiring </w:t>
      </w:r>
      <w:r w:rsidR="00AC6270">
        <w:t xml:space="preserve">services to have policies </w:t>
      </w:r>
      <w:r w:rsidR="00AC6270">
        <w:lastRenderedPageBreak/>
        <w:t>and procedures for the use of digital devices</w:t>
      </w:r>
      <w:r w:rsidR="007F0AF9">
        <w:t xml:space="preserve">) to be a more balanced and context-appropriate approach. </w:t>
      </w:r>
    </w:p>
    <w:p w14:paraId="32E831BB" w14:textId="4716955E" w:rsidR="00EC1571" w:rsidRDefault="00EC1571" w:rsidP="00EC1571">
      <w:pPr>
        <w:pStyle w:val="Caption"/>
      </w:pPr>
      <w:bookmarkStart w:id="78" w:name="_Toc205884939"/>
      <w:r w:rsidRPr="00F669CE">
        <w:t>Chart 5.</w:t>
      </w:r>
      <w:r>
        <w:t>4</w:t>
      </w:r>
      <w:r w:rsidRPr="00F669CE">
        <w:t>:</w:t>
      </w:r>
      <w:r>
        <w:t xml:space="preserve"> Workforce</w:t>
      </w:r>
      <w:r w:rsidRPr="00057988">
        <w:t xml:space="preserve"> responses to “</w:t>
      </w:r>
      <w:r>
        <w:t xml:space="preserve">What is your </w:t>
      </w:r>
      <w:r w:rsidR="00B734E0">
        <w:t xml:space="preserve">preferred option or combination </w:t>
      </w:r>
      <w:r>
        <w:t>of options</w:t>
      </w:r>
      <w:r w:rsidRPr="00057988">
        <w:t>?”</w:t>
      </w:r>
      <w:r>
        <w:t>, by service type</w:t>
      </w:r>
      <w:bookmarkEnd w:id="78"/>
    </w:p>
    <w:p w14:paraId="10C8ADD3" w14:textId="77777777" w:rsidR="00EC1571" w:rsidRDefault="00EC1571" w:rsidP="00EC1571">
      <w:r>
        <w:rPr>
          <w:noProof/>
          <w14:ligatures w14:val="standardContextual"/>
        </w:rPr>
        <w:drawing>
          <wp:inline distT="0" distB="0" distL="0" distR="0" wp14:anchorId="7A3BAD74" wp14:editId="54FFCA1E">
            <wp:extent cx="5705475" cy="2371725"/>
            <wp:effectExtent l="0" t="0" r="9525" b="0"/>
            <wp:docPr id="1862354926" name="Chart 1" descr="Chart outlining workforce survey responses to the question &quot;What is your preferred option or combination of options?&quot;, by service type">
              <a:extLst xmlns:a="http://schemas.openxmlformats.org/drawingml/2006/main">
                <a:ext uri="{FF2B5EF4-FFF2-40B4-BE49-F238E27FC236}">
                  <a16:creationId xmlns:a16="http://schemas.microsoft.com/office/drawing/2014/main" id="{365D2A09-30BD-8F8D-390A-155D7A73DA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DC137CA" w14:textId="77777777" w:rsidR="00EC1571" w:rsidRPr="00636B94" w:rsidRDefault="00EC1571" w:rsidP="00976C70">
      <w:pPr>
        <w:pStyle w:val="Source-CSR"/>
      </w:pPr>
      <w:r w:rsidRPr="009C5186">
        <w:t xml:space="preserve">Source: </w:t>
      </w:r>
      <w:r w:rsidRPr="00636B94">
        <w:t>Workforce survey, as of 11 June 2025, Q15, Unique respondents n=343. Note that respondents were able to select multiple service types.</w:t>
      </w:r>
    </w:p>
    <w:p w14:paraId="00AC9213" w14:textId="11289BA7" w:rsidR="00385014" w:rsidRPr="00BF573B" w:rsidRDefault="00101FC6" w:rsidP="00385014">
      <w:r>
        <w:t xml:space="preserve">Long form submissions also </w:t>
      </w:r>
      <w:r w:rsidDel="007E3514">
        <w:t>preferred</w:t>
      </w:r>
      <w:r>
        <w:t xml:space="preserve"> option 2, with mixed support for option 3. All large provider long form submissions supported option 2, </w:t>
      </w:r>
      <w:r w:rsidR="00D6622A">
        <w:t>and most also supported option 3</w:t>
      </w:r>
      <w:r w:rsidR="00277EA9">
        <w:t xml:space="preserve">, </w:t>
      </w:r>
      <w:r w:rsidR="008845D1">
        <w:t xml:space="preserve">with some stating that funding support would be required. </w:t>
      </w:r>
      <w:r w:rsidR="00E44067">
        <w:t xml:space="preserve">Long form submissions that did not support regulatory change </w:t>
      </w:r>
      <w:r w:rsidR="00917F3F">
        <w:t>were from peak bodies and education and care services, and</w:t>
      </w:r>
      <w:r w:rsidR="00E44067">
        <w:t xml:space="preserve"> mostly represent</w:t>
      </w:r>
      <w:r w:rsidR="00917F3F">
        <w:t>ed</w:t>
      </w:r>
      <w:r w:rsidR="00E44067">
        <w:t xml:space="preserve"> the FDC sector</w:t>
      </w:r>
      <w:r w:rsidR="001F2A03">
        <w:t>, with others including a peak body representing remote families</w:t>
      </w:r>
      <w:r w:rsidR="00917F3F">
        <w:t>.</w:t>
      </w:r>
      <w:r w:rsidR="00900870">
        <w:t xml:space="preserve"> </w:t>
      </w:r>
    </w:p>
    <w:p w14:paraId="3AD791FA" w14:textId="7EABABAC" w:rsidR="00D601E7" w:rsidRDefault="00D601E7">
      <w:pPr>
        <w:pStyle w:val="Heading3"/>
      </w:pPr>
      <w:r>
        <w:t xml:space="preserve">What is the </w:t>
      </w:r>
      <w:r w:rsidR="004C5562">
        <w:t>recommended option</w:t>
      </w:r>
      <w:r>
        <w:t>(s) and how will it be implemented?</w:t>
      </w:r>
    </w:p>
    <w:p w14:paraId="0718ABED" w14:textId="5DE81BA6" w:rsidR="009553C7" w:rsidRDefault="00C42796" w:rsidP="0008202F">
      <w:r w:rsidRPr="007D27A8">
        <w:t>Based on analysis included in this DRIS, the options with the highest net benefit to be provided to Education Ministers for consideration</w:t>
      </w:r>
      <w:r>
        <w:t xml:space="preserve"> are</w:t>
      </w:r>
      <w:r w:rsidRPr="007D27A8">
        <w:t xml:space="preserve"> </w:t>
      </w:r>
      <w:r w:rsidR="00D20F14">
        <w:t>o</w:t>
      </w:r>
      <w:r w:rsidR="00D63397">
        <w:t>ptions 2 and 3</w:t>
      </w:r>
      <w:r w:rsidR="00C7228E">
        <w:t xml:space="preserve">, </w:t>
      </w:r>
      <w:r w:rsidR="00D63397" w:rsidRPr="005578BD">
        <w:t xml:space="preserve">with further clarity and definition regarding the scope of option 3. </w:t>
      </w:r>
      <w:r w:rsidR="00A94AF0">
        <w:t>Based on stakeholder feedback</w:t>
      </w:r>
      <w:r w:rsidR="00A65BD5">
        <w:t xml:space="preserve">, </w:t>
      </w:r>
      <w:r w:rsidR="00A94AF0">
        <w:t>consideration of expert advice</w:t>
      </w:r>
      <w:r w:rsidR="00A65BD5">
        <w:t xml:space="preserve"> on child safety outcomes, </w:t>
      </w:r>
      <w:r w:rsidR="00A94AF0">
        <w:t xml:space="preserve">and the intent of the </w:t>
      </w:r>
      <w:r w:rsidR="004570EE">
        <w:t xml:space="preserve">original CSR recommendation, </w:t>
      </w:r>
      <w:r w:rsidR="009C2B95">
        <w:t xml:space="preserve">option 3 will be recommended for implementation in centre-based services only. </w:t>
      </w:r>
      <w:r w:rsidR="007726A9">
        <w:t>As FDC services comprise only 2% of the education and care sector, this means option 3 will still apply to the vast majority of the sector</w:t>
      </w:r>
      <w:r w:rsidR="00550F22">
        <w:t>.</w:t>
      </w:r>
    </w:p>
    <w:p w14:paraId="2D4C0B99" w14:textId="6F2E74C1" w:rsidR="00A94AF0" w:rsidRDefault="009D60CB" w:rsidP="0008202F">
      <w:r>
        <w:t xml:space="preserve">The list of defined exempt </w:t>
      </w:r>
      <w:r w:rsidR="00F73E7B">
        <w:t>circumstances</w:t>
      </w:r>
      <w:r w:rsidR="003F014A">
        <w:t xml:space="preserve"> under option 3</w:t>
      </w:r>
      <w:r w:rsidR="00F73E7B">
        <w:t xml:space="preserve"> </w:t>
      </w:r>
      <w:r w:rsidR="003F014A">
        <w:t xml:space="preserve">will also be subject to further consideration </w:t>
      </w:r>
      <w:r w:rsidR="009553C7">
        <w:t xml:space="preserve">on implementation. Stakeholder advice has indicated </w:t>
      </w:r>
      <w:r w:rsidR="00DB7C5A">
        <w:t xml:space="preserve">that </w:t>
      </w:r>
      <w:r w:rsidR="001914F3">
        <w:t>for educators to not have access to</w:t>
      </w:r>
      <w:r w:rsidR="00DB7C5A">
        <w:t xml:space="preserve"> </w:t>
      </w:r>
      <w:r w:rsidR="00362E7C">
        <w:t>personal digital devices could pose safety risks during excursions</w:t>
      </w:r>
      <w:r w:rsidR="00B353D7">
        <w:t xml:space="preserve">, and </w:t>
      </w:r>
      <w:r w:rsidR="000D2F9A">
        <w:t>this will be addressed through</w:t>
      </w:r>
      <w:r w:rsidR="00B353D7">
        <w:t xml:space="preserve"> implementation</w:t>
      </w:r>
      <w:r w:rsidR="000D2F9A">
        <w:t>.</w:t>
      </w:r>
      <w:r w:rsidR="00B353D7">
        <w:t xml:space="preserve"> </w:t>
      </w:r>
    </w:p>
    <w:p w14:paraId="7E8F166F" w14:textId="25034255" w:rsidR="00D601E7" w:rsidRPr="00F669CE" w:rsidRDefault="0060188B">
      <w:pPr>
        <w:rPr>
          <w:rFonts w:eastAsia="Calibri" w:cs="Arial"/>
          <w:color w:val="808080"/>
          <w:sz w:val="14"/>
          <w:szCs w:val="18"/>
        </w:rPr>
      </w:pPr>
      <w:r>
        <w:lastRenderedPageBreak/>
        <w:t>T</w:t>
      </w:r>
      <w:r w:rsidR="00E87929">
        <w:t>he implementation of option 3 should also consider the scope of personal devices that cannot be p</w:t>
      </w:r>
      <w:r w:rsidR="005C35E2">
        <w:t xml:space="preserve">ossessed by an individual when working with children. </w:t>
      </w:r>
      <w:r w:rsidR="009E480F">
        <w:t>For example, the inclusion of smartwatches that cannot take</w:t>
      </w:r>
      <w:r w:rsidR="00FA56EB">
        <w:t>,</w:t>
      </w:r>
      <w:r w:rsidR="009E480F">
        <w:t xml:space="preserve"> </w:t>
      </w:r>
      <w:r w:rsidR="004E108B">
        <w:t>but can store</w:t>
      </w:r>
      <w:r w:rsidR="00FA56EB">
        <w:t>,</w:t>
      </w:r>
      <w:r w:rsidR="004E108B">
        <w:t xml:space="preserve"> images and videos may not yield </w:t>
      </w:r>
      <w:r w:rsidR="00BD6120">
        <w:t>sufficient child safety benefits to offset the cost to educator and staff members’ wellbeing.</w:t>
      </w:r>
      <w:r w:rsidR="00D601E7">
        <w:br w:type="page"/>
      </w:r>
    </w:p>
    <w:p w14:paraId="7D9FB9ED" w14:textId="13DB1C94" w:rsidR="00D601E7" w:rsidRDefault="00D601E7">
      <w:pPr>
        <w:pStyle w:val="Heading1"/>
      </w:pPr>
      <w:bookmarkStart w:id="79" w:name="_6._Child_safety"/>
      <w:bookmarkStart w:id="80" w:name="_Ref203407410"/>
      <w:bookmarkStart w:id="81" w:name="_Toc205884889"/>
      <w:bookmarkEnd w:id="79"/>
      <w:r>
        <w:lastRenderedPageBreak/>
        <w:t>6. Child safety training</w:t>
      </w:r>
      <w:bookmarkEnd w:id="80"/>
      <w:bookmarkEnd w:id="81"/>
    </w:p>
    <w:p w14:paraId="421A2A11" w14:textId="06C420A3" w:rsidR="00D601E7" w:rsidRPr="003D35B9" w:rsidRDefault="00D601E7">
      <w:r>
        <w:t>C</w:t>
      </w:r>
      <w:r w:rsidRPr="003D35B9">
        <w:t>urrent training requirements</w:t>
      </w:r>
      <w:r w:rsidR="00CE7C59">
        <w:t xml:space="preserve"> (i.e. training that is in addition to required minimum educator qualifications)</w:t>
      </w:r>
      <w:r w:rsidRPr="003D35B9">
        <w:t xml:space="preserve"> under the NQF are limited to ‘child protection’</w:t>
      </w:r>
      <w:r>
        <w:t xml:space="preserve"> and are reliant on jurisdictional law or protocol</w:t>
      </w:r>
      <w:r w:rsidRPr="003D35B9">
        <w:t xml:space="preserve">. While </w:t>
      </w:r>
      <w:r>
        <w:t>this is</w:t>
      </w:r>
      <w:r w:rsidRPr="003D35B9">
        <w:t xml:space="preserve"> an element of child safety, child protection </w:t>
      </w:r>
      <w:r>
        <w:t>is more narrowly and responsively focused on</w:t>
      </w:r>
      <w:r w:rsidRPr="003D35B9">
        <w:t xml:space="preserve"> topics such as mandatory reporting and serves a </w:t>
      </w:r>
      <w:r>
        <w:t>distinct</w:t>
      </w:r>
      <w:r w:rsidRPr="003D35B9">
        <w:t xml:space="preserve"> purpose. Child safety</w:t>
      </w:r>
      <w:r>
        <w:t>,</w:t>
      </w:r>
      <w:r w:rsidRPr="003D35B9">
        <w:t xml:space="preserve"> in comparison, encompasses a broader </w:t>
      </w:r>
      <w:r>
        <w:t>and more proactive</w:t>
      </w:r>
      <w:r w:rsidRPr="003D35B9">
        <w:t xml:space="preserve"> spectrum of topics</w:t>
      </w:r>
      <w:r>
        <w:t xml:space="preserve"> focusing on child wellbeing</w:t>
      </w:r>
      <w:r w:rsidRPr="003D35B9">
        <w:t xml:space="preserve">. </w:t>
      </w:r>
      <w:r>
        <w:t>T</w:t>
      </w:r>
      <w:r w:rsidRPr="003D35B9">
        <w:t xml:space="preserve">his distinction </w:t>
      </w:r>
      <w:r>
        <w:t xml:space="preserve">highlights a </w:t>
      </w:r>
      <w:r w:rsidRPr="003D35B9">
        <w:t>knowledge and training gap in the education and care sector</w:t>
      </w:r>
      <w:r>
        <w:rPr>
          <w:lang w:eastAsia="en-AU"/>
        </w:rPr>
        <w:t xml:space="preserve">, raising a potential risk </w:t>
      </w:r>
      <w:r w:rsidRPr="00696647">
        <w:rPr>
          <w:lang w:eastAsia="en-AU"/>
        </w:rPr>
        <w:t>to children where sector understanding and capability is inadequate</w:t>
      </w:r>
      <w:r>
        <w:rPr>
          <w:lang w:eastAsia="en-AU"/>
        </w:rPr>
        <w:t xml:space="preserve"> and outdated</w:t>
      </w:r>
      <w:r w:rsidRPr="00696647">
        <w:rPr>
          <w:lang w:eastAsia="en-AU"/>
        </w:rPr>
        <w:t>.</w:t>
      </w:r>
    </w:p>
    <w:p w14:paraId="00CCB0B6" w14:textId="77777777" w:rsidR="00D601E7" w:rsidRDefault="00D601E7">
      <w:pPr>
        <w:rPr>
          <w:bCs/>
        </w:rPr>
      </w:pPr>
      <w:r w:rsidRPr="003D35B9">
        <w:t>This chapter details policy options to strengthen and ensure the longevity of existing child protection provisions under the NQF while concurrently recommending a transitioned approach to implementing and delivering nationally consistent and mandatory child safety training including a renewal requirement.</w:t>
      </w:r>
    </w:p>
    <w:p w14:paraId="47A3E41F" w14:textId="755B2E3E" w:rsidR="00D601E7" w:rsidRPr="00044FEB" w:rsidRDefault="00D601E7">
      <w:r>
        <w:t>The specific reform area discussed in this chapter is Chapter 6.1 – Introducing mandatory child safety training.</w:t>
      </w:r>
    </w:p>
    <w:p w14:paraId="75736754" w14:textId="527B3534" w:rsidR="00D601E7" w:rsidRDefault="00D601E7">
      <w:pPr>
        <w:pStyle w:val="Heading2"/>
      </w:pPr>
      <w:bookmarkStart w:id="82" w:name="_Toc205884890"/>
      <w:r>
        <w:t>6.1 I</w:t>
      </w:r>
      <w:r w:rsidRPr="004B54EA">
        <w:t>ntroducing mandatory child safety training</w:t>
      </w:r>
      <w:bookmarkEnd w:id="82"/>
    </w:p>
    <w:tbl>
      <w:tblPr>
        <w:tblStyle w:val="Deloittetable"/>
        <w:tblW w:w="9140" w:type="dxa"/>
        <w:tblLook w:val="04A0" w:firstRow="1" w:lastRow="0" w:firstColumn="1" w:lastColumn="0" w:noHBand="0" w:noVBand="1"/>
        <w:tblCaption w:val="Key insights - Introducing mandatory child safety training"/>
        <w:tblDescription w:val="This table outlines the key insights for introducing mandatory child safety training."/>
      </w:tblPr>
      <w:tblGrid>
        <w:gridCol w:w="9140"/>
      </w:tblGrid>
      <w:tr w:rsidR="00465EB8" w14:paraId="0DAEA8B0" w14:textId="77777777" w:rsidTr="00465EB8">
        <w:trPr>
          <w:cnfStyle w:val="100000000000" w:firstRow="1" w:lastRow="0" w:firstColumn="0" w:lastColumn="0" w:oddVBand="0" w:evenVBand="0" w:oddHBand="0" w:evenHBand="0" w:firstRowFirstColumn="0" w:firstRowLastColumn="0" w:lastRowFirstColumn="0" w:lastRowLastColumn="0"/>
          <w:trHeight w:val="472"/>
        </w:trPr>
        <w:tc>
          <w:tcPr>
            <w:tcW w:w="9140" w:type="dxa"/>
            <w:shd w:val="clear" w:color="auto" w:fill="DEE6F4" w:themeFill="text2" w:themeFillTint="1A"/>
          </w:tcPr>
          <w:p w14:paraId="7B0C9292" w14:textId="77777777" w:rsidR="00465EB8" w:rsidRPr="005347A5" w:rsidRDefault="00465EB8">
            <w:pPr>
              <w:rPr>
                <w:b/>
                <w:bCs/>
                <w:sz w:val="20"/>
                <w:szCs w:val="20"/>
              </w:rPr>
            </w:pPr>
            <w:r w:rsidRPr="005347A5">
              <w:rPr>
                <w:b/>
                <w:bCs/>
                <w:sz w:val="20"/>
                <w:szCs w:val="20"/>
              </w:rPr>
              <w:t xml:space="preserve">Key Insights </w:t>
            </w:r>
          </w:p>
          <w:p w14:paraId="2C5FD5AA" w14:textId="77777777" w:rsidR="00465EB8" w:rsidRPr="00712583" w:rsidRDefault="00465EB8">
            <w:pPr>
              <w:rPr>
                <w:i/>
                <w:szCs w:val="22"/>
              </w:rPr>
            </w:pPr>
            <w:r>
              <w:rPr>
                <w:i/>
                <w:szCs w:val="22"/>
              </w:rPr>
              <w:t>Problem</w:t>
            </w:r>
          </w:p>
          <w:p w14:paraId="1A2DC038" w14:textId="77777777" w:rsidR="0014211D" w:rsidRDefault="0014211D" w:rsidP="00EC53AB">
            <w:pPr>
              <w:pStyle w:val="ListParagraph"/>
              <w:numPr>
                <w:ilvl w:val="0"/>
                <w:numId w:val="100"/>
              </w:numPr>
              <w:ind w:left="462"/>
            </w:pPr>
            <w:r>
              <w:t>Under the National Law and National Regulations:</w:t>
            </w:r>
          </w:p>
          <w:p w14:paraId="7E1CE3D4" w14:textId="77777777" w:rsidR="0014211D" w:rsidRDefault="0014211D" w:rsidP="00EC53AB">
            <w:pPr>
              <w:pStyle w:val="ListParagraph"/>
              <w:numPr>
                <w:ilvl w:val="1"/>
                <w:numId w:val="108"/>
              </w:numPr>
            </w:pPr>
            <w:r>
              <w:t xml:space="preserve">the requirement to complete child protection training is dependent upon jurisdictional law or protocol; therefore, certain individuals in some jurisdictions are not required to complete such training </w:t>
            </w:r>
          </w:p>
          <w:p w14:paraId="3BD4E3C1" w14:textId="77777777" w:rsidR="0014211D" w:rsidRDefault="0014211D" w:rsidP="00EC53AB">
            <w:pPr>
              <w:pStyle w:val="ListParagraph"/>
              <w:numPr>
                <w:ilvl w:val="1"/>
                <w:numId w:val="108"/>
              </w:numPr>
            </w:pPr>
            <w:r>
              <w:t>education and care staff who do not have direct contact with children may have limited awareness of the existence and application of jurisdictional child protection laws and their obligations under such law</w:t>
            </w:r>
          </w:p>
          <w:p w14:paraId="3F700D55" w14:textId="1506AAD8" w:rsidR="0014211D" w:rsidRDefault="0014211D" w:rsidP="00EC53AB">
            <w:pPr>
              <w:pStyle w:val="ListParagraph"/>
              <w:numPr>
                <w:ilvl w:val="1"/>
                <w:numId w:val="108"/>
              </w:numPr>
            </w:pPr>
            <w:r>
              <w:t>no requirement exists for nationally consistent child safety training which differs from and goes beyond child protection training and knowledge.</w:t>
            </w:r>
          </w:p>
          <w:p w14:paraId="74751DCD" w14:textId="1B37A88D" w:rsidR="0014211D" w:rsidRDefault="00FD5122" w:rsidP="00EC53AB">
            <w:pPr>
              <w:pStyle w:val="ListParagraph"/>
              <w:numPr>
                <w:ilvl w:val="0"/>
                <w:numId w:val="100"/>
              </w:numPr>
              <w:ind w:left="462"/>
            </w:pPr>
            <w:r w:rsidRPr="00FD5122">
              <w:t>These issues contribute to knowledge and capability gaps across jurisdictions and across different staff who work within the education and care sector. As a result, some staff may lack awareness or understanding of effective child safety practices and child protection laws including reporting obligations.</w:t>
            </w:r>
            <w:r w:rsidR="00444A15">
              <w:t xml:space="preserve"> </w:t>
            </w:r>
          </w:p>
          <w:p w14:paraId="285B7375" w14:textId="77777777" w:rsidR="00465EB8" w:rsidRPr="000B4397" w:rsidRDefault="00465EB8">
            <w:pPr>
              <w:spacing w:before="120"/>
              <w:contextualSpacing/>
              <w:rPr>
                <w:i/>
                <w:szCs w:val="20"/>
              </w:rPr>
            </w:pPr>
            <w:r w:rsidRPr="002B7C48">
              <w:rPr>
                <w:i/>
                <w:szCs w:val="20"/>
              </w:rPr>
              <w:t>Impacts of each option</w:t>
            </w:r>
          </w:p>
          <w:p w14:paraId="576913FD" w14:textId="7268B263" w:rsidR="00465EB8" w:rsidRPr="000B4397" w:rsidRDefault="00465EB8"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w:t>
            </w:r>
            <w:r w:rsidRPr="00C44DEA">
              <w:rPr>
                <w:szCs w:val="20"/>
              </w:rPr>
              <w:t>that</w:t>
            </w:r>
            <w:r w:rsidR="0081271C">
              <w:rPr>
                <w:szCs w:val="20"/>
              </w:rPr>
              <w:t xml:space="preserve"> </w:t>
            </w:r>
            <w:r w:rsidR="0081271C" w:rsidRPr="0081271C">
              <w:rPr>
                <w:szCs w:val="20"/>
              </w:rPr>
              <w:t xml:space="preserve">all options would deliver a net benefit compared to the status quo. Despite expectation that option 6 </w:t>
            </w:r>
            <w:r w:rsidR="009808AC">
              <w:rPr>
                <w:szCs w:val="20"/>
              </w:rPr>
              <w:t xml:space="preserve">(mandatory child safety training for all staff) </w:t>
            </w:r>
            <w:r w:rsidR="0081271C" w:rsidRPr="0081271C">
              <w:rPr>
                <w:szCs w:val="20"/>
              </w:rPr>
              <w:t xml:space="preserve">will incur the highest cost, it has the highest </w:t>
            </w:r>
            <w:r w:rsidR="0081271C" w:rsidRPr="0081271C">
              <w:rPr>
                <w:szCs w:val="20"/>
              </w:rPr>
              <w:lastRenderedPageBreak/>
              <w:t>weighted score as the scope of training delivered under this option is expected to result in the most significant incremental improvement to child safety.</w:t>
            </w:r>
          </w:p>
          <w:p w14:paraId="21E196C9" w14:textId="6BE66C5B" w:rsidR="00565472" w:rsidRDefault="00565472" w:rsidP="00EC53AB">
            <w:pPr>
              <w:pStyle w:val="ListParagraph"/>
              <w:numPr>
                <w:ilvl w:val="0"/>
                <w:numId w:val="100"/>
              </w:numPr>
              <w:spacing w:before="120"/>
              <w:ind w:left="462"/>
              <w:contextualSpacing/>
              <w:rPr>
                <w:szCs w:val="20"/>
              </w:rPr>
            </w:pPr>
            <w:r w:rsidRPr="00565472">
              <w:rPr>
                <w:szCs w:val="20"/>
              </w:rPr>
              <w:t xml:space="preserve">Options 4 and 6, followed by option 5, also received the highest levels of support from families, parents, and carers and the workforce </w:t>
            </w:r>
          </w:p>
          <w:p w14:paraId="67301820" w14:textId="38C2BD36" w:rsidR="00465EB8" w:rsidRPr="00C44DEA" w:rsidRDefault="00465EB8" w:rsidP="00EC53AB">
            <w:pPr>
              <w:pStyle w:val="ListParagraph"/>
              <w:numPr>
                <w:ilvl w:val="0"/>
                <w:numId w:val="100"/>
              </w:numPr>
              <w:spacing w:before="120"/>
              <w:ind w:left="462"/>
              <w:contextualSpacing/>
              <w:rPr>
                <w:szCs w:val="20"/>
              </w:rPr>
            </w:pPr>
            <w:r>
              <w:rPr>
                <w:szCs w:val="20"/>
              </w:rPr>
              <w:t>Option</w:t>
            </w:r>
            <w:r w:rsidR="0081271C">
              <w:rPr>
                <w:szCs w:val="20"/>
              </w:rPr>
              <w:t>s 3, 4 and 5</w:t>
            </w:r>
            <w:r w:rsidR="00B5371B">
              <w:rPr>
                <w:szCs w:val="20"/>
              </w:rPr>
              <w:t xml:space="preserve"> </w:t>
            </w:r>
            <w:r w:rsidRPr="000D3C24">
              <w:rPr>
                <w:szCs w:val="20"/>
              </w:rPr>
              <w:t>receive</w:t>
            </w:r>
            <w:r>
              <w:rPr>
                <w:szCs w:val="20"/>
              </w:rPr>
              <w:t>d</w:t>
            </w:r>
            <w:r w:rsidRPr="000D3C24">
              <w:rPr>
                <w:szCs w:val="20"/>
              </w:rPr>
              <w:t xml:space="preserve"> a lower weighted score than option </w:t>
            </w:r>
            <w:r w:rsidR="00B5371B">
              <w:rPr>
                <w:szCs w:val="20"/>
              </w:rPr>
              <w:t>6</w:t>
            </w:r>
            <w:r>
              <w:rPr>
                <w:szCs w:val="20"/>
              </w:rPr>
              <w:t>,</w:t>
            </w:r>
            <w:r w:rsidRPr="000D3C24">
              <w:rPr>
                <w:szCs w:val="20"/>
              </w:rPr>
              <w:t xml:space="preserve"> reflecting </w:t>
            </w:r>
            <w:r w:rsidR="00B5371B">
              <w:rPr>
                <w:szCs w:val="20"/>
              </w:rPr>
              <w:t>they have a narrower scope (relate to child protection training, rather than child safety training).</w:t>
            </w:r>
          </w:p>
          <w:p w14:paraId="3B1A8088" w14:textId="3590789A" w:rsidR="00465EB8" w:rsidRPr="00712583" w:rsidRDefault="004C5562">
            <w:pPr>
              <w:rPr>
                <w:szCs w:val="22"/>
              </w:rPr>
            </w:pPr>
            <w:r>
              <w:rPr>
                <w:i/>
                <w:szCs w:val="22"/>
              </w:rPr>
              <w:t>Recommended option</w:t>
            </w:r>
          </w:p>
          <w:p w14:paraId="065FEF4B" w14:textId="7DA3A9EE" w:rsidR="005F4BD3" w:rsidRDefault="00F61E42" w:rsidP="00841575">
            <w:pPr>
              <w:pStyle w:val="ListParagraph"/>
              <w:ind w:left="462"/>
            </w:pPr>
            <w:r w:rsidRPr="00931972">
              <w:rPr>
                <w:szCs w:val="20"/>
              </w:rPr>
              <w:t xml:space="preserve">Based on analysis included in this DRIS, the options with the highest net benefit to be provided to Education Ministers for consideration are the regulatory options </w:t>
            </w:r>
            <w:r>
              <w:rPr>
                <w:szCs w:val="20"/>
              </w:rPr>
              <w:t>4, 5, and 6.</w:t>
            </w:r>
            <w:r w:rsidR="00D733F0">
              <w:t xml:space="preserve"> </w:t>
            </w:r>
            <w:r w:rsidR="00D733F0" w:rsidRPr="007D26E0">
              <w:t xml:space="preserve">These options introduce the highest standards of child protection </w:t>
            </w:r>
            <w:r w:rsidR="00D733F0">
              <w:t xml:space="preserve">knowledge and training </w:t>
            </w:r>
            <w:r w:rsidR="00D733F0" w:rsidRPr="007D26E0">
              <w:t xml:space="preserve">and child safety training </w:t>
            </w:r>
            <w:r w:rsidR="006B7489">
              <w:t xml:space="preserve">and will provide a nationally consistent approach and expectation </w:t>
            </w:r>
            <w:r w:rsidR="00D733F0" w:rsidRPr="007D26E0">
              <w:t>across the whole education and care sector.</w:t>
            </w:r>
          </w:p>
          <w:p w14:paraId="2CDF4D8B" w14:textId="0ABB168F" w:rsidR="00465EB8" w:rsidRPr="00397987" w:rsidRDefault="006B7489" w:rsidP="00841575">
            <w:pPr>
              <w:pStyle w:val="ListParagraph"/>
              <w:ind w:left="462"/>
            </w:pPr>
            <w:r>
              <w:t>S</w:t>
            </w:r>
            <w:r w:rsidR="005C692E">
              <w:t xml:space="preserve">takeholder feedback highlighted a range of considerations that need to be taken into account </w:t>
            </w:r>
            <w:r>
              <w:t>for the</w:t>
            </w:r>
            <w:r w:rsidR="00444A15">
              <w:t xml:space="preserve"> </w:t>
            </w:r>
            <w:r>
              <w:t xml:space="preserve">implementation of </w:t>
            </w:r>
            <w:r w:rsidR="005C692E">
              <w:t xml:space="preserve">these options. </w:t>
            </w:r>
            <w:r w:rsidR="00D91CDE">
              <w:t>G</w:t>
            </w:r>
            <w:r w:rsidR="005C692E" w:rsidRPr="005C692E">
              <w:t>overnments will undertake additional work to provide greater clarity on the scope, scale</w:t>
            </w:r>
            <w:r w:rsidR="00E22727">
              <w:t>, content</w:t>
            </w:r>
            <w:r w:rsidR="005C692E" w:rsidRPr="005C692E">
              <w:t xml:space="preserve"> and </w:t>
            </w:r>
            <w:r w:rsidR="00E22727">
              <w:t>format</w:t>
            </w:r>
            <w:r w:rsidR="005C692E" w:rsidRPr="005C692E">
              <w:t xml:space="preserve"> of child safety and child protection training.</w:t>
            </w:r>
          </w:p>
        </w:tc>
      </w:tr>
    </w:tbl>
    <w:p w14:paraId="675006A9" w14:textId="77777777" w:rsidR="00D601E7" w:rsidRDefault="00D601E7">
      <w:pPr>
        <w:spacing w:before="240"/>
      </w:pPr>
      <w:r>
        <w:lastRenderedPageBreak/>
        <w:t>Through section 162A of the National Law and regulation 84 of the National Regulations, there are specific requirements regarding child protection, knowledge, and training. However, these provisions do not encompass all aspects of child safety and only require some staff who work directly with children in education and care services to complete training. Excluding the broader concept of child safety from the National Law leaves a significant gap in workforce capability and understanding, therefore posing a risk to the wellbeing and safety of children attending education and care services.</w:t>
      </w:r>
    </w:p>
    <w:p w14:paraId="041C790F" w14:textId="6F9B8BC5" w:rsidR="00D601E7" w:rsidRDefault="00D601E7">
      <w:r>
        <w:t>Section 162A requires nominated supervisors and persons in day-to-day charge to undertake child protection training only if mandated by jurisdictional legislation or government protocol.</w:t>
      </w:r>
      <w:r>
        <w:rPr>
          <w:rStyle w:val="FootnoteReference"/>
        </w:rPr>
        <w:footnoteReference w:id="62"/>
      </w:r>
      <w:r>
        <w:t xml:space="preserve"> In all jurisdictions except for WA, FDC coordinators are also subject to mandated child protection training and related government protocols under section 162A. This amendment to include FDC coordinators in the scope of section 162A eventuated from the 2019 NQF Review, which WA is yet to implement. </w:t>
      </w:r>
    </w:p>
    <w:p w14:paraId="535CEAFF" w14:textId="034642D1" w:rsidR="00D601E7" w:rsidRDefault="00D601E7">
      <w:r>
        <w:t xml:space="preserve">The depth, breadth, and mandating of child protection training and reporting obligations differ across jurisdictions. A high-level overview of these differences is captured in </w:t>
      </w:r>
      <w:hyperlink w:anchor="_12.5_Child_protection" w:history="1">
        <w:r w:rsidRPr="001A5A5F">
          <w:rPr>
            <w:rStyle w:val="Hyperlink"/>
          </w:rPr>
          <w:t>Appendix 12.5</w:t>
        </w:r>
      </w:hyperlink>
      <w:r>
        <w:t>.</w:t>
      </w:r>
      <w:r w:rsidRPr="00E912CE">
        <w:t xml:space="preserve"> </w:t>
      </w:r>
    </w:p>
    <w:p w14:paraId="2EB01B78" w14:textId="3D3DA87B" w:rsidR="00D601E7" w:rsidRDefault="00D601E7">
      <w:r>
        <w:t>Child safety training – which centres on children’s rights, harm prevention, and promoting the safety, health, and wellbeing of children including child protection – is of a broader scope than child protection training, which deals primarily with</w:t>
      </w:r>
      <w:r w:rsidRPr="001016AE">
        <w:t xml:space="preserve"> response</w:t>
      </w:r>
      <w:r>
        <w:t>s</w:t>
      </w:r>
      <w:r w:rsidRPr="001016AE">
        <w:t xml:space="preserve"> to harm</w:t>
      </w:r>
      <w:r>
        <w:t xml:space="preserve">, </w:t>
      </w:r>
      <w:r w:rsidRPr="001016AE">
        <w:t xml:space="preserve">the risk of harm </w:t>
      </w:r>
      <w:r w:rsidRPr="001016AE">
        <w:lastRenderedPageBreak/>
        <w:t>to a child and</w:t>
      </w:r>
      <w:r>
        <w:t xml:space="preserve">, </w:t>
      </w:r>
      <w:r w:rsidRPr="001016AE">
        <w:t>the issue of mandatory reporting</w:t>
      </w:r>
      <w:r>
        <w:t xml:space="preserve">. However, child safety training is not mandated </w:t>
      </w:r>
      <w:r w:rsidR="003F51A1">
        <w:t xml:space="preserve">by law </w:t>
      </w:r>
      <w:r>
        <w:t>in any jurisdiction.</w:t>
      </w:r>
    </w:p>
    <w:p w14:paraId="351A9479" w14:textId="7AE50815" w:rsidR="00D601E7" w:rsidRDefault="00D601E7">
      <w:r>
        <w:t>Under regulation 84, approved providers are required to ensure that a</w:t>
      </w:r>
      <w:r w:rsidRPr="00AE2131">
        <w:t xml:space="preserve">ny person who works </w:t>
      </w:r>
      <w:r>
        <w:t>with children</w:t>
      </w:r>
      <w:r w:rsidRPr="00AE2131">
        <w:t xml:space="preserve"> in an education and care service</w:t>
      </w:r>
      <w:r>
        <w:t>, except for those who do not have</w:t>
      </w:r>
      <w:r w:rsidRPr="00AE2131">
        <w:t xml:space="preserve"> contact with children (e.g., administrative staff)</w:t>
      </w:r>
      <w:r>
        <w:t>,</w:t>
      </w:r>
      <w:r w:rsidRPr="00AE2131">
        <w:t xml:space="preserve"> </w:t>
      </w:r>
      <w:r>
        <w:t>are</w:t>
      </w:r>
      <w:r w:rsidRPr="00AE2131">
        <w:t xml:space="preserve"> advised of </w:t>
      </w:r>
      <w:r>
        <w:t>the existence and application of the current child protection law and any obligations that the person may have under the law. However, those that work in a service but do not have contact with children may still have obligations under jurisdictional law.</w:t>
      </w:r>
    </w:p>
    <w:p w14:paraId="57BEC38B" w14:textId="0152B013" w:rsidR="00D601E7" w:rsidRPr="00880088" w:rsidRDefault="00D601E7">
      <w:r>
        <w:t>To practically reinforce the National Principles, Child Safe Standards are at various stages of implementation across jurisdictions. The standards enshrine child safety principles and values in organisations and their policies and practices, including the education and care sector and promote a culture that prioritises children’s safety and wellbeing through effective, unanimously applied principles. There are four</w:t>
      </w:r>
      <w:r w:rsidRPr="00880088">
        <w:t xml:space="preserve"> principles that are </w:t>
      </w:r>
      <w:r>
        <w:t>especially</w:t>
      </w:r>
      <w:r w:rsidRPr="00880088">
        <w:t xml:space="preserve"> relevant to child safety training and </w:t>
      </w:r>
      <w:r>
        <w:t xml:space="preserve">can provide guidance and an established framework for the content in child safety courses, and </w:t>
      </w:r>
      <w:r w:rsidRPr="00880088">
        <w:t>those required to complete training</w:t>
      </w:r>
      <w:r>
        <w:t>. Relevant principles</w:t>
      </w:r>
      <w:r w:rsidRPr="00880088">
        <w:t xml:space="preserve"> </w:t>
      </w:r>
      <w:r>
        <w:t>include</w:t>
      </w:r>
      <w:r w:rsidRPr="00880088">
        <w:t>:</w:t>
      </w:r>
    </w:p>
    <w:p w14:paraId="4C608051" w14:textId="77777777" w:rsidR="00D601E7" w:rsidRDefault="00D601E7" w:rsidP="00EC53AB">
      <w:pPr>
        <w:pStyle w:val="ListParagraph"/>
        <w:numPr>
          <w:ilvl w:val="0"/>
          <w:numId w:val="2"/>
        </w:numPr>
        <w:ind w:left="426"/>
      </w:pPr>
      <w:r w:rsidRPr="00AE2131">
        <w:t>Principle 1: Calls for child safety and wellbeing to be embedded in organisational leadership, governance and</w:t>
      </w:r>
      <w:r>
        <w:t xml:space="preserve"> </w:t>
      </w:r>
      <w:r w:rsidRPr="00AE2131">
        <w:t>culture.</w:t>
      </w:r>
    </w:p>
    <w:p w14:paraId="1A6B7C65" w14:textId="4AEA4180" w:rsidR="00D601E7" w:rsidRPr="00AE2131" w:rsidRDefault="00D601E7" w:rsidP="00EC53AB">
      <w:pPr>
        <w:pStyle w:val="ListParagraph"/>
        <w:numPr>
          <w:ilvl w:val="0"/>
          <w:numId w:val="2"/>
        </w:numPr>
        <w:ind w:left="426"/>
      </w:pPr>
      <w:r>
        <w:t>P</w:t>
      </w:r>
      <w:r w:rsidRPr="003E23C0">
        <w:t xml:space="preserve">rinciple 4. Equity is upheld and diverse needs </w:t>
      </w:r>
      <w:r>
        <w:t xml:space="preserve">are </w:t>
      </w:r>
      <w:r w:rsidRPr="003E23C0">
        <w:t>respected in policy and practice</w:t>
      </w:r>
    </w:p>
    <w:p w14:paraId="2D276E95" w14:textId="77777777" w:rsidR="00D601E7" w:rsidRPr="00AE2131" w:rsidRDefault="00D601E7" w:rsidP="00EC53AB">
      <w:pPr>
        <w:pStyle w:val="ListParagraph"/>
        <w:numPr>
          <w:ilvl w:val="0"/>
          <w:numId w:val="2"/>
        </w:numPr>
        <w:ind w:left="426"/>
      </w:pPr>
      <w:r w:rsidRPr="00AE2131">
        <w:t>Principle 5: Requires</w:t>
      </w:r>
      <w:r>
        <w:t xml:space="preserve"> that</w:t>
      </w:r>
      <w:r w:rsidRPr="00AE2131">
        <w:t xml:space="preserve"> people working with children are suitable and supported to reflect child safety and wellbeing values in practice.</w:t>
      </w:r>
    </w:p>
    <w:p w14:paraId="5CCA04B9" w14:textId="77777777" w:rsidR="00D601E7" w:rsidRPr="00AE2131" w:rsidRDefault="00D601E7" w:rsidP="00EC53AB">
      <w:pPr>
        <w:pStyle w:val="ListParagraph"/>
        <w:numPr>
          <w:ilvl w:val="0"/>
          <w:numId w:val="2"/>
        </w:numPr>
        <w:ind w:left="426"/>
      </w:pPr>
      <w:r w:rsidRPr="00AE2131">
        <w:t>Principle 7: Requires that staff and volunteers are equipped with the knowledge, skills and awareness to keep children and young people safe through ongoing education and training.</w:t>
      </w:r>
    </w:p>
    <w:p w14:paraId="01E04C70" w14:textId="769F877C" w:rsidR="00D601E7" w:rsidRDefault="00D601E7">
      <w:r>
        <w:t>For the status of jurisdictional implementation of the National Principles, s</w:t>
      </w:r>
      <w:r w:rsidRPr="00880088">
        <w:t xml:space="preserve">ee </w:t>
      </w:r>
      <w:hyperlink w:anchor="_12.5_Child_protection" w:history="1">
        <w:r w:rsidRPr="001A5A5F">
          <w:rPr>
            <w:rStyle w:val="Hyperlink"/>
          </w:rPr>
          <w:t>Appendix 12.5</w:t>
        </w:r>
      </w:hyperlink>
      <w:r>
        <w:t xml:space="preserve">. </w:t>
      </w:r>
    </w:p>
    <w:p w14:paraId="7A6E662F" w14:textId="77777777" w:rsidR="00D601E7" w:rsidRDefault="00D601E7">
      <w:pPr>
        <w:pStyle w:val="Heading3"/>
      </w:pPr>
      <w:r>
        <w:t>What is the problem?</w:t>
      </w:r>
    </w:p>
    <w:p w14:paraId="78530AE3" w14:textId="77777777" w:rsidR="00D601E7" w:rsidRDefault="00D601E7">
      <w:r>
        <w:t>Under the National Law and National Regulations:</w:t>
      </w:r>
    </w:p>
    <w:p w14:paraId="24D5A35F" w14:textId="77777777" w:rsidR="00D601E7" w:rsidRDefault="00D601E7" w:rsidP="00EC53AB">
      <w:pPr>
        <w:pStyle w:val="ListParagraph"/>
        <w:numPr>
          <w:ilvl w:val="0"/>
          <w:numId w:val="18"/>
        </w:numPr>
        <w:ind w:left="426"/>
      </w:pPr>
      <w:r>
        <w:t xml:space="preserve">the requirement to complete child protection training is dependent upon jurisdictional law or protocol; therefore, certain individuals in some jurisdictions are not required to complete such training </w:t>
      </w:r>
    </w:p>
    <w:p w14:paraId="32E9458F" w14:textId="77777777" w:rsidR="00D601E7" w:rsidRDefault="00D601E7" w:rsidP="00EC53AB">
      <w:pPr>
        <w:pStyle w:val="ListParagraph"/>
        <w:numPr>
          <w:ilvl w:val="0"/>
          <w:numId w:val="18"/>
        </w:numPr>
        <w:ind w:left="426"/>
      </w:pPr>
      <w:r>
        <w:lastRenderedPageBreak/>
        <w:t>education and care staff who do not have direct contact with children may have limited awareness of the existence and application of jurisdictional child protection laws and their obligations under such laws</w:t>
      </w:r>
    </w:p>
    <w:p w14:paraId="3A1E54D1" w14:textId="3F73F8C7" w:rsidR="00D601E7" w:rsidRDefault="00D601E7" w:rsidP="00EC53AB">
      <w:pPr>
        <w:pStyle w:val="ListParagraph"/>
        <w:numPr>
          <w:ilvl w:val="0"/>
          <w:numId w:val="18"/>
        </w:numPr>
        <w:ind w:left="426"/>
      </w:pPr>
      <w:r>
        <w:t>no requirement exists for nationally consistent child safety training which differs from and goes beyond child protection training and knowledge.</w:t>
      </w:r>
    </w:p>
    <w:p w14:paraId="38A8B5E9" w14:textId="5E89A726" w:rsidR="00D601E7" w:rsidRDefault="00D601E7">
      <w:r>
        <w:t>These issues contribute to knowledge and capability gaps across jurisdictions and across different staff who work within the education and care sector. As a result, some staff may lack awareness or understanding of effective child safety practices and child protection laws including reporting obligations.</w:t>
      </w:r>
      <w:r w:rsidR="00444A15">
        <w:t xml:space="preserve"> </w:t>
      </w:r>
    </w:p>
    <w:p w14:paraId="3B577945" w14:textId="77777777" w:rsidR="00D601E7" w:rsidRDefault="00D601E7">
      <w:r>
        <w:t xml:space="preserve">The mechanisms of harm arising from the identified issues are elaborated below. </w:t>
      </w:r>
    </w:p>
    <w:p w14:paraId="25D42CCD" w14:textId="77777777" w:rsidR="00D601E7" w:rsidRDefault="00D601E7">
      <w:pPr>
        <w:rPr>
          <w:b/>
          <w:bCs/>
        </w:rPr>
      </w:pPr>
      <w:r>
        <w:rPr>
          <w:b/>
          <w:bCs/>
        </w:rPr>
        <w:t>Jurisdictional dependent requirements for child protection training</w:t>
      </w:r>
    </w:p>
    <w:p w14:paraId="57C77B0E" w14:textId="097F429A" w:rsidR="00D601E7" w:rsidRPr="00880088" w:rsidRDefault="00841575" w:rsidP="00841575">
      <w:pPr>
        <w:pStyle w:val="ListParagraph"/>
        <w:ind w:left="426"/>
        <w:rPr>
          <w:b/>
          <w:bCs/>
        </w:rPr>
      </w:pPr>
      <w:r>
        <w:rPr>
          <w:b/>
          <w:bCs/>
        </w:rPr>
        <w:t>S</w:t>
      </w:r>
      <w:r w:rsidR="00D601E7">
        <w:rPr>
          <w:b/>
          <w:bCs/>
        </w:rPr>
        <w:t>t</w:t>
      </w:r>
      <w:r w:rsidR="00D601E7" w:rsidRPr="00880088">
        <w:rPr>
          <w:b/>
          <w:bCs/>
        </w:rPr>
        <w:t>aff required to undertake training</w:t>
      </w:r>
      <w:r w:rsidR="00D601E7">
        <w:rPr>
          <w:b/>
          <w:bCs/>
        </w:rPr>
        <w:t xml:space="preserve">: </w:t>
      </w:r>
      <w:r w:rsidR="00D601E7">
        <w:t>Section 162A of National Law mandates that nominated supervisors, persons in day-to-day charge, and FDC coordinators</w:t>
      </w:r>
      <w:r w:rsidR="00D601E7">
        <w:rPr>
          <w:rStyle w:val="FootnoteReference"/>
        </w:rPr>
        <w:footnoteReference w:id="63"/>
      </w:r>
      <w:r w:rsidR="00D601E7">
        <w:t xml:space="preserve"> must undertake child protection training if required by jurisdictional laws or protocol. The scope of individuals required to complete the training varies across jurisdictions and in some jurisdictions this variance is substantial compared to other jurisdictions. For example, SA requires</w:t>
      </w:r>
      <w:r w:rsidR="00D601E7" w:rsidRPr="00C874C1">
        <w:t xml:space="preserve"> </w:t>
      </w:r>
      <w:r w:rsidR="00D601E7">
        <w:t>volunteers in services to complete child protection training</w:t>
      </w:r>
      <w:r w:rsidR="0018451B">
        <w:t>, while NSW does not</w:t>
      </w:r>
      <w:r w:rsidR="00D601E7">
        <w:t>.</w:t>
      </w:r>
      <w:r w:rsidR="00D601E7" w:rsidRPr="005734F4">
        <w:t xml:space="preserve"> </w:t>
      </w:r>
      <w:r w:rsidR="00D601E7">
        <w:t>Differences in jurisdictional laws</w:t>
      </w:r>
      <w:r w:rsidR="00D601E7" w:rsidRPr="005734F4">
        <w:t xml:space="preserve"> </w:t>
      </w:r>
      <w:r w:rsidR="00D601E7">
        <w:t>mean that</w:t>
      </w:r>
      <w:r w:rsidR="00D601E7" w:rsidRPr="005734F4">
        <w:t xml:space="preserve"> volunteers, students, and </w:t>
      </w:r>
      <w:r w:rsidR="00D601E7">
        <w:t xml:space="preserve">certain </w:t>
      </w:r>
      <w:r w:rsidR="00D601E7" w:rsidRPr="005734F4">
        <w:t>staff may not be obligated to undertake child protection training</w:t>
      </w:r>
      <w:r w:rsidR="00D601E7">
        <w:t xml:space="preserve"> in some jurisdictions. There is therefore a risk that some volunteers, students, and staff may lack the knowledge or understanding of how to effectively follow child protection laws, policies, and procedures, such as identifying, managing, or reporting risks or occurrences of child maltreatment. </w:t>
      </w:r>
    </w:p>
    <w:p w14:paraId="1AC8A5F9" w14:textId="77777777" w:rsidR="00D601E7" w:rsidRPr="00FD1897" w:rsidRDefault="00D601E7">
      <w:pPr>
        <w:rPr>
          <w:b/>
          <w:bCs/>
        </w:rPr>
      </w:pPr>
      <w:r>
        <w:rPr>
          <w:b/>
          <w:bCs/>
        </w:rPr>
        <w:t>Scope of c</w:t>
      </w:r>
      <w:r w:rsidRPr="00FD1897">
        <w:rPr>
          <w:b/>
          <w:bCs/>
        </w:rPr>
        <w:t xml:space="preserve">hild protection law obligations </w:t>
      </w:r>
    </w:p>
    <w:p w14:paraId="1E940BCA" w14:textId="16D6CF61" w:rsidR="00D601E7" w:rsidRDefault="00841575" w:rsidP="00EC53AB">
      <w:pPr>
        <w:pStyle w:val="ListParagraph"/>
        <w:numPr>
          <w:ilvl w:val="0"/>
          <w:numId w:val="17"/>
        </w:numPr>
        <w:ind w:left="426"/>
      </w:pPr>
      <w:r>
        <w:rPr>
          <w:b/>
          <w:bCs/>
          <w:szCs w:val="22"/>
        </w:rPr>
        <w:t>S</w:t>
      </w:r>
      <w:r w:rsidR="00D601E7" w:rsidRPr="00880088">
        <w:rPr>
          <w:b/>
          <w:bCs/>
          <w:szCs w:val="22"/>
        </w:rPr>
        <w:t>taff obligations:</w:t>
      </w:r>
      <w:r w:rsidR="00D601E7">
        <w:rPr>
          <w:szCs w:val="22"/>
        </w:rPr>
        <w:t xml:space="preserve"> </w:t>
      </w:r>
      <w:r w:rsidR="00D601E7" w:rsidRPr="001D5ABF">
        <w:rPr>
          <w:szCs w:val="22"/>
        </w:rPr>
        <w:t xml:space="preserve">Regulation 84 </w:t>
      </w:r>
      <w:r w:rsidR="00D601E7">
        <w:rPr>
          <w:szCs w:val="22"/>
        </w:rPr>
        <w:t xml:space="preserve">of the National Regulations </w:t>
      </w:r>
      <w:r w:rsidR="00D601E7" w:rsidRPr="001D5ABF">
        <w:rPr>
          <w:szCs w:val="22"/>
        </w:rPr>
        <w:t xml:space="preserve">only mandates that staff who work with children are advised of </w:t>
      </w:r>
      <w:r w:rsidR="00D601E7">
        <w:t xml:space="preserve">the existence and application of child protection laws and any obligations they have under such laws. This means there may be staff who work in education and care settings (e.g. administrative staff) who do not have awareness of child protection laws in their jurisdiction. These staff may play a role in complying with child protection laws, even if they do not work directly with children (e.g. undertaking mandatory reporting). As such, a lack of understanding of child protection </w:t>
      </w:r>
      <w:r w:rsidR="00D601E7">
        <w:lastRenderedPageBreak/>
        <w:t xml:space="preserve">laws and associated policies and procedures may lead to non-compliance, hence increasing the risk of harm, or the risk that harm goes unaddressed and leads to repeat offences. </w:t>
      </w:r>
    </w:p>
    <w:p w14:paraId="3094FF0E" w14:textId="77777777" w:rsidR="00D601E7" w:rsidRDefault="00D601E7">
      <w:r>
        <w:rPr>
          <w:b/>
          <w:bCs/>
        </w:rPr>
        <w:t>Introduction of nationally consistent child safety training</w:t>
      </w:r>
    </w:p>
    <w:p w14:paraId="5F09782D" w14:textId="49DE6839" w:rsidR="00D601E7" w:rsidRPr="00812183" w:rsidRDefault="00841575" w:rsidP="00EC53AB">
      <w:pPr>
        <w:pStyle w:val="ListParagraph"/>
        <w:numPr>
          <w:ilvl w:val="0"/>
          <w:numId w:val="17"/>
        </w:numPr>
        <w:ind w:left="426"/>
      </w:pPr>
      <w:r>
        <w:rPr>
          <w:b/>
          <w:bCs/>
        </w:rPr>
        <w:t>L</w:t>
      </w:r>
      <w:r w:rsidR="00D601E7" w:rsidRPr="00812183">
        <w:rPr>
          <w:b/>
          <w:bCs/>
        </w:rPr>
        <w:t xml:space="preserve">ack of child safety coverage under the National Law: </w:t>
      </w:r>
      <w:r w:rsidR="00D601E7">
        <w:t xml:space="preserve">Child safety training differs to child protection training and therefore, development of new content is required. Child safety training goes beyond the current legislative requirements under section 162A of the National Law, encompassing crucial issues for which there is currently a knowledge gap in the sector. </w:t>
      </w:r>
      <w:r w:rsidR="00D601E7" w:rsidRPr="00812183">
        <w:t>Excluding the broader concept of child safety from the National Law leaves a significant gap in workforce capability and understanding, therefore posing a risk to the wellbeing and safety of children attending education and care services.</w:t>
      </w:r>
    </w:p>
    <w:p w14:paraId="09544A1E" w14:textId="711A795A" w:rsidR="00D601E7" w:rsidRPr="008D6E06" w:rsidRDefault="00841575" w:rsidP="00EC53AB">
      <w:pPr>
        <w:pStyle w:val="ListParagraph"/>
        <w:numPr>
          <w:ilvl w:val="0"/>
          <w:numId w:val="17"/>
        </w:numPr>
        <w:ind w:left="426"/>
        <w:rPr>
          <w:u w:val="single"/>
        </w:rPr>
      </w:pPr>
      <w:r>
        <w:rPr>
          <w:b/>
          <w:bCs/>
        </w:rPr>
        <w:t>A</w:t>
      </w:r>
      <w:r w:rsidR="00D601E7" w:rsidRPr="00B30E1C">
        <w:rPr>
          <w:b/>
          <w:bCs/>
        </w:rPr>
        <w:t>ccess to child safety material in education and care qualifications:</w:t>
      </w:r>
      <w:r w:rsidR="00D601E7" w:rsidRPr="00B30E1C">
        <w:t xml:space="preserve"> The</w:t>
      </w:r>
      <w:r w:rsidR="00D601E7">
        <w:t xml:space="preserve"> Vocational Education and Training (VET) and Higher Education sectors are limited in their course content which cover issues of child safety. Further, in some jurisdictions, the requirement to attain VET qualifications to work in certain service types does not currently exist (for example, OSHC educators in NSW and </w:t>
      </w:r>
      <w:r w:rsidR="00622672">
        <w:t>Tasmania (</w:t>
      </w:r>
      <w:r w:rsidR="00D601E7">
        <w:t>TAS).</w:t>
      </w:r>
    </w:p>
    <w:p w14:paraId="01AC065E" w14:textId="0DF52EB9" w:rsidR="00D601E7" w:rsidRPr="00FF15FD" w:rsidRDefault="00D601E7">
      <w:pPr>
        <w:pStyle w:val="ListParagraph"/>
        <w:numPr>
          <w:ilvl w:val="0"/>
          <w:numId w:val="0"/>
        </w:numPr>
        <w:ind w:left="360"/>
      </w:pPr>
      <w:r>
        <w:t>Implementing more uniform and additional training in the education and care sector will increase confidence and capability within the workforce. This will reduce gaps in knowledge regarding child safety, creating a consensus of understanding on how to keep children safe. Where issues or incidents occur, there should be a shared ability across a service for appropriately and effectively responding to harm or risk of harm to a child.</w:t>
      </w:r>
    </w:p>
    <w:p w14:paraId="3F7CF0BB" w14:textId="4B2B1ABC" w:rsidR="00D601E7" w:rsidRDefault="00D601E7" w:rsidP="00EC53AB">
      <w:pPr>
        <w:pStyle w:val="ListParagraph"/>
        <w:numPr>
          <w:ilvl w:val="0"/>
          <w:numId w:val="17"/>
        </w:numPr>
      </w:pPr>
      <w:r>
        <w:rPr>
          <w:b/>
          <w:bCs/>
        </w:rPr>
        <w:t xml:space="preserve">currency requirements: </w:t>
      </w:r>
      <w:r>
        <w:t xml:space="preserve">Section 162A of the National Law does not specify expiry periods for child protection training, or the need for certifications to demonstrate the period in which the training was undertaken. In the context of child safety, currency is crucial where legislative and expert understanding of the concept is still developing and evolving, particularly as technological advancements pose additional risks of harm in online contexts. Evolving risks necessitate that child safety training be continuously updated and undertaken, such that the education and care workforce has contemporary knowledge and understanding of how to uphold child safety practices and principles in the education and care sector. </w:t>
      </w:r>
    </w:p>
    <w:p w14:paraId="372C12B3" w14:textId="7F2697BC" w:rsidR="00D601E7" w:rsidRDefault="00D601E7">
      <w:pPr>
        <w:pStyle w:val="ListParagraph"/>
        <w:numPr>
          <w:ilvl w:val="0"/>
          <w:numId w:val="0"/>
        </w:numPr>
        <w:ind w:left="360"/>
      </w:pPr>
      <w:r>
        <w:t xml:space="preserve">Training that is regularly updated and required to be kept current will support the education and care sector to achieve collective competency in child safety practices, </w:t>
      </w:r>
      <w:r>
        <w:lastRenderedPageBreak/>
        <w:t>therefore strengthening the workforce and promoting a culture of prioritising children’s safety, heath, and wellbeing while attending education and care services.</w:t>
      </w:r>
    </w:p>
    <w:p w14:paraId="30D62290" w14:textId="465D329B" w:rsidR="00D601E7" w:rsidRDefault="00EB4295">
      <w:pPr>
        <w:pStyle w:val="Heading3"/>
      </w:pPr>
      <w:r>
        <w:t>What were the policy options consulted on?</w:t>
      </w:r>
    </w:p>
    <w:p w14:paraId="21F8B75F" w14:textId="1FAE5B59" w:rsidR="00D601E7" w:rsidRDefault="00D601E7">
      <w:r>
        <w:t xml:space="preserve">Six options, including the status quo, a non-regulatory option, and four regulatory options are under consideration. </w:t>
      </w:r>
      <w:r w:rsidRPr="00A50043">
        <w:t xml:space="preserve">Options </w:t>
      </w:r>
      <w:r>
        <w:t>1, 3 and 4</w:t>
      </w:r>
      <w:r w:rsidRPr="00A50043">
        <w:t xml:space="preserve"> are mutually exclusive, </w:t>
      </w:r>
      <w:r>
        <w:t>however the remaining are not. The</w:t>
      </w:r>
      <w:r w:rsidRPr="00A50043">
        <w:t xml:space="preserve"> </w:t>
      </w:r>
      <w:r w:rsidR="004C5562">
        <w:t>recommended option</w:t>
      </w:r>
      <w:r w:rsidRPr="00A50043">
        <w:t xml:space="preserve"> for these recommendations can be any combination of the proposed regulatory and non-regulatory approaches</w:t>
      </w:r>
      <w:r>
        <w:t>, aside from implementing any two that are mutually exclusive</w:t>
      </w:r>
      <w:r w:rsidRPr="00A50043">
        <w:t>.</w:t>
      </w:r>
    </w:p>
    <w:p w14:paraId="60478EFE" w14:textId="586E47AD" w:rsidR="00D601E7" w:rsidRDefault="00D601E7">
      <w:pPr>
        <w:pStyle w:val="Caption"/>
      </w:pPr>
      <w:bookmarkStart w:id="83" w:name="_Toc205884940"/>
      <w:r>
        <w:t>Table 6.1: Policy options under consideration – Child safety training</w:t>
      </w:r>
      <w:bookmarkEnd w:id="8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6.1: Policy options under consideration – Child safety training"/>
        <w:tblDescription w:val="This table outlines the policy options under consideration for introducing mandatory child safety training."/>
      </w:tblPr>
      <w:tblGrid>
        <w:gridCol w:w="1631"/>
        <w:gridCol w:w="7379"/>
      </w:tblGrid>
      <w:tr w:rsidR="00D601E7" w14:paraId="45C66EF1" w14:textId="77777777" w:rsidTr="00E3170E">
        <w:trPr>
          <w:tblHeader/>
        </w:trPr>
        <w:tc>
          <w:tcPr>
            <w:tcW w:w="905" w:type="pct"/>
            <w:shd w:val="clear" w:color="auto" w:fill="14233C" w:themeFill="text2"/>
          </w:tcPr>
          <w:p w14:paraId="5D9F6ECF" w14:textId="77777777" w:rsidR="00D601E7" w:rsidRPr="00A61E8F" w:rsidRDefault="00D601E7">
            <w:pPr>
              <w:jc w:val="center"/>
              <w:rPr>
                <w:b/>
                <w:color w:val="FFFFFF" w:themeColor="background1"/>
                <w:szCs w:val="20"/>
              </w:rPr>
            </w:pPr>
            <w:r w:rsidRPr="00A61E8F">
              <w:rPr>
                <w:b/>
                <w:color w:val="FFFFFF" w:themeColor="background1"/>
                <w:szCs w:val="20"/>
              </w:rPr>
              <w:t>Option</w:t>
            </w:r>
          </w:p>
        </w:tc>
        <w:tc>
          <w:tcPr>
            <w:tcW w:w="4095" w:type="pct"/>
            <w:shd w:val="clear" w:color="auto" w:fill="14233C" w:themeFill="text2"/>
          </w:tcPr>
          <w:p w14:paraId="486AD6FC" w14:textId="77777777" w:rsidR="00D601E7" w:rsidRPr="00A61E8F" w:rsidRDefault="00D601E7">
            <w:pPr>
              <w:jc w:val="center"/>
              <w:rPr>
                <w:b/>
                <w:color w:val="FFFFFF" w:themeColor="background1"/>
                <w:szCs w:val="20"/>
              </w:rPr>
            </w:pPr>
            <w:r w:rsidRPr="00A61E8F">
              <w:rPr>
                <w:b/>
                <w:color w:val="FFFFFF" w:themeColor="background1"/>
                <w:szCs w:val="20"/>
              </w:rPr>
              <w:t>Description</w:t>
            </w:r>
          </w:p>
        </w:tc>
      </w:tr>
      <w:tr w:rsidR="00D601E7" w14:paraId="7DD92174" w14:textId="77777777" w:rsidTr="00E3170E">
        <w:tc>
          <w:tcPr>
            <w:tcW w:w="905" w:type="pct"/>
          </w:tcPr>
          <w:p w14:paraId="689AF4E1" w14:textId="77777777" w:rsidR="00D601E7" w:rsidRPr="00A61E8F" w:rsidRDefault="00D601E7">
            <w:pPr>
              <w:rPr>
                <w:szCs w:val="20"/>
              </w:rPr>
            </w:pPr>
            <w:r w:rsidRPr="00A61E8F">
              <w:rPr>
                <w:szCs w:val="20"/>
              </w:rPr>
              <w:t>1</w:t>
            </w:r>
          </w:p>
        </w:tc>
        <w:tc>
          <w:tcPr>
            <w:tcW w:w="4095" w:type="pct"/>
          </w:tcPr>
          <w:p w14:paraId="1BB15A12" w14:textId="77777777" w:rsidR="00D601E7" w:rsidRPr="00A61E8F" w:rsidRDefault="00D601E7">
            <w:pPr>
              <w:rPr>
                <w:szCs w:val="20"/>
              </w:rPr>
            </w:pPr>
            <w:r w:rsidRPr="00A61E8F">
              <w:rPr>
                <w:szCs w:val="20"/>
              </w:rPr>
              <w:t>Status quo (no change).</w:t>
            </w:r>
          </w:p>
        </w:tc>
      </w:tr>
      <w:tr w:rsidR="00D601E7" w14:paraId="5CE48675" w14:textId="77777777" w:rsidTr="00E3170E">
        <w:tc>
          <w:tcPr>
            <w:tcW w:w="905" w:type="pct"/>
          </w:tcPr>
          <w:p w14:paraId="0DE552D5" w14:textId="77777777" w:rsidR="00D601E7" w:rsidRPr="00A61E8F" w:rsidRDefault="00D601E7">
            <w:pPr>
              <w:rPr>
                <w:szCs w:val="20"/>
              </w:rPr>
            </w:pPr>
            <w:r w:rsidRPr="00A61E8F">
              <w:rPr>
                <w:szCs w:val="20"/>
              </w:rPr>
              <w:t>2</w:t>
            </w:r>
          </w:p>
        </w:tc>
        <w:tc>
          <w:tcPr>
            <w:tcW w:w="4095" w:type="pct"/>
          </w:tcPr>
          <w:p w14:paraId="31A77A3D" w14:textId="77777777" w:rsidR="00D601E7" w:rsidRPr="00A61E8F" w:rsidRDefault="00D601E7">
            <w:pPr>
              <w:rPr>
                <w:szCs w:val="20"/>
              </w:rPr>
            </w:pPr>
            <w:r w:rsidRPr="00A61E8F">
              <w:rPr>
                <w:b/>
                <w:szCs w:val="20"/>
              </w:rPr>
              <w:t>Non-regulatory</w:t>
            </w:r>
          </w:p>
          <w:p w14:paraId="01094D3B" w14:textId="77777777" w:rsidR="00D601E7" w:rsidRPr="00A61E8F" w:rsidRDefault="00D601E7">
            <w:pPr>
              <w:rPr>
                <w:szCs w:val="20"/>
              </w:rPr>
            </w:pPr>
            <w:r w:rsidRPr="00A61E8F">
              <w:rPr>
                <w:szCs w:val="20"/>
              </w:rPr>
              <w:t>Improved, nationally consistent resource and training guidance materials that can be provided to Registered Training Organisations and Higher Education institutions to insert into courses.</w:t>
            </w:r>
          </w:p>
        </w:tc>
      </w:tr>
      <w:tr w:rsidR="00D601E7" w14:paraId="1558018F" w14:textId="77777777" w:rsidTr="00E3170E">
        <w:tc>
          <w:tcPr>
            <w:tcW w:w="905" w:type="pct"/>
          </w:tcPr>
          <w:p w14:paraId="46070EEC" w14:textId="77777777" w:rsidR="00D601E7" w:rsidRPr="00A61E8F" w:rsidRDefault="00D601E7">
            <w:pPr>
              <w:rPr>
                <w:szCs w:val="20"/>
              </w:rPr>
            </w:pPr>
            <w:r w:rsidRPr="00A61E8F">
              <w:rPr>
                <w:szCs w:val="20"/>
              </w:rPr>
              <w:t>3</w:t>
            </w:r>
          </w:p>
        </w:tc>
        <w:tc>
          <w:tcPr>
            <w:tcW w:w="4095" w:type="pct"/>
          </w:tcPr>
          <w:p w14:paraId="17D43F91" w14:textId="77777777" w:rsidR="00D601E7" w:rsidRPr="00A61E8F" w:rsidRDefault="00D601E7">
            <w:pPr>
              <w:rPr>
                <w:szCs w:val="20"/>
              </w:rPr>
            </w:pPr>
            <w:r w:rsidRPr="00A61E8F">
              <w:rPr>
                <w:b/>
                <w:szCs w:val="20"/>
              </w:rPr>
              <w:t>Regulatory</w:t>
            </w:r>
          </w:p>
          <w:p w14:paraId="44974A42" w14:textId="77777777" w:rsidR="00D601E7" w:rsidRPr="00A61E8F" w:rsidRDefault="00D601E7">
            <w:pPr>
              <w:rPr>
                <w:szCs w:val="20"/>
              </w:rPr>
            </w:pPr>
            <w:r w:rsidRPr="00A61E8F">
              <w:rPr>
                <w:szCs w:val="20"/>
              </w:rPr>
              <w:t>Amend section 162A of the National Law to require nominated supervisors, persons in day-to-day charge and FDC coordinators to complete child protection training, removing the dependency on other jurisdictional law or government protocol.</w:t>
            </w:r>
          </w:p>
          <w:p w14:paraId="7B08A2BC" w14:textId="77777777" w:rsidR="00D601E7" w:rsidRPr="00A61E8F" w:rsidRDefault="00D601E7">
            <w:pPr>
              <w:rPr>
                <w:szCs w:val="20"/>
              </w:rPr>
            </w:pPr>
            <w:r w:rsidRPr="00A61E8F">
              <w:rPr>
                <w:szCs w:val="20"/>
              </w:rPr>
              <w:t>This would be supported by publication of an approved list of child protection training for the purposes of compliance with this section, as for first aid training (made up of national or state accredited units of competency or short courses) through amendment to regulation 137.</w:t>
            </w:r>
          </w:p>
        </w:tc>
      </w:tr>
      <w:tr w:rsidR="00D601E7" w14:paraId="0BE39ED7" w14:textId="77777777" w:rsidTr="00E3170E">
        <w:tc>
          <w:tcPr>
            <w:tcW w:w="905" w:type="pct"/>
          </w:tcPr>
          <w:p w14:paraId="6C4076C8" w14:textId="77777777" w:rsidR="00D601E7" w:rsidRPr="00A61E8F" w:rsidRDefault="00D601E7">
            <w:pPr>
              <w:rPr>
                <w:szCs w:val="20"/>
              </w:rPr>
            </w:pPr>
            <w:r w:rsidRPr="00A61E8F">
              <w:rPr>
                <w:szCs w:val="20"/>
              </w:rPr>
              <w:t>4</w:t>
            </w:r>
          </w:p>
        </w:tc>
        <w:tc>
          <w:tcPr>
            <w:tcW w:w="4095" w:type="pct"/>
          </w:tcPr>
          <w:p w14:paraId="0019BA77" w14:textId="77777777" w:rsidR="00D601E7" w:rsidRPr="00A61E8F" w:rsidRDefault="00D601E7">
            <w:pPr>
              <w:rPr>
                <w:szCs w:val="20"/>
              </w:rPr>
            </w:pPr>
            <w:r w:rsidRPr="00A61E8F">
              <w:rPr>
                <w:b/>
                <w:szCs w:val="20"/>
              </w:rPr>
              <w:t xml:space="preserve">Regulatory </w:t>
            </w:r>
          </w:p>
          <w:p w14:paraId="7613189B" w14:textId="77777777" w:rsidR="00D601E7" w:rsidRPr="00A61E8F" w:rsidRDefault="00D601E7">
            <w:pPr>
              <w:rPr>
                <w:szCs w:val="20"/>
              </w:rPr>
            </w:pPr>
            <w:r w:rsidRPr="00A61E8F">
              <w:rPr>
                <w:szCs w:val="20"/>
              </w:rPr>
              <w:t>Amend section 162A of the National Law to require staff who work with children, including FDC educators, volunteers and students, in addition to nominated supervisors, persons in day-to-day charge and FDC coordinators, to complete child protection training, removing the dependency on other jurisdictional law or government protocol.</w:t>
            </w:r>
          </w:p>
          <w:p w14:paraId="55A3E70C" w14:textId="77777777" w:rsidR="00D601E7" w:rsidRPr="00A61E8F" w:rsidRDefault="00D601E7">
            <w:pPr>
              <w:rPr>
                <w:szCs w:val="20"/>
              </w:rPr>
            </w:pPr>
            <w:r w:rsidRPr="00A61E8F">
              <w:rPr>
                <w:szCs w:val="20"/>
              </w:rPr>
              <w:lastRenderedPageBreak/>
              <w:t>This would be supported by publication of an approved list of child protection training for the purposes of compliance with this section, as for first aid training (made up of national or state accredited units of competency or short courses) through amendment to regulation 137.</w:t>
            </w:r>
          </w:p>
        </w:tc>
      </w:tr>
      <w:tr w:rsidR="00D601E7" w14:paraId="2F0EC398" w14:textId="77777777" w:rsidTr="00E3170E">
        <w:tc>
          <w:tcPr>
            <w:tcW w:w="905" w:type="pct"/>
          </w:tcPr>
          <w:p w14:paraId="36514BAA" w14:textId="77777777" w:rsidR="00D601E7" w:rsidRPr="00A61E8F" w:rsidRDefault="00D601E7">
            <w:pPr>
              <w:rPr>
                <w:szCs w:val="20"/>
              </w:rPr>
            </w:pPr>
            <w:r w:rsidRPr="00A61E8F">
              <w:rPr>
                <w:szCs w:val="20"/>
              </w:rPr>
              <w:lastRenderedPageBreak/>
              <w:t>5</w:t>
            </w:r>
          </w:p>
        </w:tc>
        <w:tc>
          <w:tcPr>
            <w:tcW w:w="4095" w:type="pct"/>
          </w:tcPr>
          <w:p w14:paraId="67D07D04" w14:textId="77777777" w:rsidR="00D601E7" w:rsidRPr="00A61E8F" w:rsidRDefault="00D601E7">
            <w:pPr>
              <w:rPr>
                <w:szCs w:val="20"/>
              </w:rPr>
            </w:pPr>
            <w:r w:rsidRPr="00A61E8F">
              <w:rPr>
                <w:b/>
                <w:szCs w:val="20"/>
              </w:rPr>
              <w:t>Regulatory</w:t>
            </w:r>
          </w:p>
          <w:p w14:paraId="4458EE80" w14:textId="77777777" w:rsidR="00D601E7" w:rsidRPr="00A61E8F" w:rsidRDefault="00D601E7">
            <w:pPr>
              <w:rPr>
                <w:szCs w:val="20"/>
              </w:rPr>
            </w:pPr>
            <w:r w:rsidRPr="00A61E8F">
              <w:rPr>
                <w:szCs w:val="20"/>
              </w:rPr>
              <w:t>Amend regulation 84 so that all staff and volunteers, whether or not they work with children, must be made aware of:</w:t>
            </w:r>
          </w:p>
          <w:p w14:paraId="22C27B7E" w14:textId="4FF0C886" w:rsidR="00D601E7" w:rsidRPr="00A61E8F" w:rsidRDefault="00D601E7" w:rsidP="00EC53AB">
            <w:pPr>
              <w:pStyle w:val="ListParagraph"/>
              <w:numPr>
                <w:ilvl w:val="0"/>
                <w:numId w:val="2"/>
              </w:numPr>
              <w:rPr>
                <w:szCs w:val="20"/>
              </w:rPr>
            </w:pPr>
            <w:r>
              <w:rPr>
                <w:szCs w:val="20"/>
              </w:rPr>
              <w:t>e</w:t>
            </w:r>
            <w:r w:rsidRPr="00A61E8F">
              <w:rPr>
                <w:szCs w:val="20"/>
              </w:rPr>
              <w:t>xistence and application of the current child protection law</w:t>
            </w:r>
          </w:p>
          <w:p w14:paraId="1A086632" w14:textId="6349928C" w:rsidR="00D601E7" w:rsidRPr="00A61E8F" w:rsidRDefault="00D601E7" w:rsidP="00EC53AB">
            <w:pPr>
              <w:pStyle w:val="ListParagraph"/>
              <w:numPr>
                <w:ilvl w:val="0"/>
                <w:numId w:val="2"/>
              </w:numPr>
              <w:rPr>
                <w:szCs w:val="20"/>
              </w:rPr>
            </w:pPr>
            <w:r>
              <w:rPr>
                <w:szCs w:val="20"/>
              </w:rPr>
              <w:t>a</w:t>
            </w:r>
            <w:r w:rsidRPr="00A61E8F">
              <w:rPr>
                <w:szCs w:val="20"/>
              </w:rPr>
              <w:t>ny obligations that the person may have under that law</w:t>
            </w:r>
            <w:r>
              <w:rPr>
                <w:szCs w:val="20"/>
              </w:rPr>
              <w:t>.</w:t>
            </w:r>
          </w:p>
          <w:p w14:paraId="4F454256" w14:textId="77777777" w:rsidR="00D601E7" w:rsidRPr="00A61E8F" w:rsidRDefault="00D601E7">
            <w:pPr>
              <w:rPr>
                <w:szCs w:val="20"/>
              </w:rPr>
            </w:pPr>
            <w:r w:rsidRPr="00A61E8F">
              <w:rPr>
                <w:szCs w:val="20"/>
              </w:rPr>
              <w:t>(i.e. remove the limitation to staff who work with children)</w:t>
            </w:r>
          </w:p>
        </w:tc>
      </w:tr>
      <w:tr w:rsidR="00D601E7" w14:paraId="1762D8AF" w14:textId="77777777" w:rsidTr="00E3170E">
        <w:tc>
          <w:tcPr>
            <w:tcW w:w="905" w:type="pct"/>
          </w:tcPr>
          <w:p w14:paraId="64727CB4" w14:textId="77777777" w:rsidR="00D601E7" w:rsidRPr="00A61E8F" w:rsidRDefault="00D601E7">
            <w:pPr>
              <w:rPr>
                <w:szCs w:val="20"/>
              </w:rPr>
            </w:pPr>
            <w:r w:rsidRPr="00A61E8F">
              <w:rPr>
                <w:szCs w:val="20"/>
              </w:rPr>
              <w:t>6</w:t>
            </w:r>
          </w:p>
        </w:tc>
        <w:tc>
          <w:tcPr>
            <w:tcW w:w="4095" w:type="pct"/>
          </w:tcPr>
          <w:p w14:paraId="1726E11B" w14:textId="77777777" w:rsidR="00D601E7" w:rsidRPr="00A61E8F" w:rsidRDefault="00D601E7">
            <w:pPr>
              <w:rPr>
                <w:szCs w:val="20"/>
              </w:rPr>
            </w:pPr>
            <w:r w:rsidRPr="00A61E8F">
              <w:rPr>
                <w:b/>
                <w:szCs w:val="20"/>
              </w:rPr>
              <w:t>Regulatory</w:t>
            </w:r>
          </w:p>
          <w:p w14:paraId="499688DF" w14:textId="77777777" w:rsidR="00D601E7" w:rsidRPr="00A61E8F" w:rsidRDefault="00D601E7">
            <w:pPr>
              <w:rPr>
                <w:szCs w:val="20"/>
              </w:rPr>
            </w:pPr>
            <w:r w:rsidRPr="00A61E8F">
              <w:rPr>
                <w:szCs w:val="20"/>
              </w:rPr>
              <w:t>Legislative change to require:</w:t>
            </w:r>
          </w:p>
          <w:p w14:paraId="2F0DB877" w14:textId="77777777" w:rsidR="00D601E7" w:rsidRPr="00A61E8F" w:rsidRDefault="00D601E7" w:rsidP="00EC53AB">
            <w:pPr>
              <w:pStyle w:val="ListParagraph"/>
              <w:numPr>
                <w:ilvl w:val="0"/>
                <w:numId w:val="13"/>
              </w:numPr>
              <w:rPr>
                <w:szCs w:val="20"/>
              </w:rPr>
            </w:pPr>
            <w:r w:rsidRPr="00A61E8F">
              <w:rPr>
                <w:szCs w:val="20"/>
              </w:rPr>
              <w:t>Mandatory child safety training.</w:t>
            </w:r>
          </w:p>
          <w:p w14:paraId="3C6A84D2" w14:textId="17A6A241" w:rsidR="00D601E7" w:rsidRPr="00A61E8F" w:rsidRDefault="00D601E7">
            <w:pPr>
              <w:rPr>
                <w:szCs w:val="20"/>
              </w:rPr>
            </w:pPr>
            <w:r w:rsidRPr="00A61E8F">
              <w:rPr>
                <w:szCs w:val="20"/>
              </w:rPr>
              <w:t>Which is nationally consistent, of a high quality, and tailored for all people involved in the provision of education and care services (including people who do not directly work with children), with a requirement to complete refresher training every two years.</w:t>
            </w:r>
          </w:p>
          <w:p w14:paraId="5D765317" w14:textId="77777777" w:rsidR="00D601E7" w:rsidRPr="00A61E8F" w:rsidRDefault="00D601E7">
            <w:pPr>
              <w:rPr>
                <w:szCs w:val="20"/>
              </w:rPr>
            </w:pPr>
            <w:r w:rsidRPr="00A61E8F">
              <w:rPr>
                <w:szCs w:val="20"/>
              </w:rPr>
              <w:t>This change should be subject to governments undertaking further research, costing and impact analysis of any proposed training and the implementation approach.</w:t>
            </w:r>
          </w:p>
          <w:p w14:paraId="1F5E7B4A" w14:textId="77777777" w:rsidR="00D601E7" w:rsidRPr="00A61E8F" w:rsidRDefault="00D601E7">
            <w:pPr>
              <w:rPr>
                <w:szCs w:val="20"/>
              </w:rPr>
            </w:pPr>
            <w:r w:rsidRPr="00A61E8F">
              <w:rPr>
                <w:szCs w:val="20"/>
              </w:rPr>
              <w:t>Mandatory child safety training may feature matters including, but not limited to:</w:t>
            </w:r>
          </w:p>
          <w:p w14:paraId="06AC88DF" w14:textId="61077973" w:rsidR="00D601E7" w:rsidRPr="00A61E8F" w:rsidRDefault="00D601E7" w:rsidP="00EC53AB">
            <w:pPr>
              <w:pStyle w:val="ListParagraph"/>
              <w:numPr>
                <w:ilvl w:val="0"/>
                <w:numId w:val="2"/>
              </w:numPr>
              <w:rPr>
                <w:szCs w:val="20"/>
              </w:rPr>
            </w:pPr>
            <w:r>
              <w:rPr>
                <w:szCs w:val="20"/>
              </w:rPr>
              <w:t>c</w:t>
            </w:r>
            <w:r w:rsidRPr="00A61E8F">
              <w:rPr>
                <w:szCs w:val="20"/>
              </w:rPr>
              <w:t>reating a child safe culture in education and care services</w:t>
            </w:r>
          </w:p>
          <w:p w14:paraId="240B9553" w14:textId="5C1C031F" w:rsidR="00D601E7" w:rsidRPr="00A61E8F" w:rsidRDefault="00D601E7" w:rsidP="00EC53AB">
            <w:pPr>
              <w:pStyle w:val="ListParagraph"/>
              <w:numPr>
                <w:ilvl w:val="0"/>
                <w:numId w:val="2"/>
              </w:numPr>
              <w:rPr>
                <w:szCs w:val="20"/>
              </w:rPr>
            </w:pPr>
            <w:r>
              <w:rPr>
                <w:szCs w:val="20"/>
              </w:rPr>
              <w:t>i</w:t>
            </w:r>
            <w:r w:rsidRPr="00A61E8F">
              <w:rPr>
                <w:szCs w:val="20"/>
              </w:rPr>
              <w:t>dentifying, reporting, and responding to child maltreatment through trauma informed practice</w:t>
            </w:r>
          </w:p>
          <w:p w14:paraId="6B6C6179" w14:textId="69ADC69F" w:rsidR="00D601E7" w:rsidRPr="00A61E8F" w:rsidRDefault="00D601E7" w:rsidP="00EC53AB">
            <w:pPr>
              <w:pStyle w:val="ListParagraph"/>
              <w:numPr>
                <w:ilvl w:val="0"/>
                <w:numId w:val="2"/>
              </w:numPr>
              <w:rPr>
                <w:szCs w:val="20"/>
              </w:rPr>
            </w:pPr>
            <w:r>
              <w:rPr>
                <w:szCs w:val="20"/>
              </w:rPr>
              <w:t>d</w:t>
            </w:r>
            <w:r w:rsidRPr="00A61E8F">
              <w:rPr>
                <w:szCs w:val="20"/>
              </w:rPr>
              <w:t>ifferences in behaviour and responding appropriately, along with identifying grooming behaviour in children and adults around them</w:t>
            </w:r>
          </w:p>
          <w:p w14:paraId="37E4545F" w14:textId="7FA7556C" w:rsidR="00D601E7" w:rsidRPr="00A61E8F" w:rsidRDefault="00D601E7" w:rsidP="00EC53AB">
            <w:pPr>
              <w:pStyle w:val="ListParagraph"/>
              <w:numPr>
                <w:ilvl w:val="0"/>
                <w:numId w:val="2"/>
              </w:numPr>
              <w:rPr>
                <w:szCs w:val="20"/>
              </w:rPr>
            </w:pPr>
            <w:r>
              <w:rPr>
                <w:szCs w:val="20"/>
              </w:rPr>
              <w:lastRenderedPageBreak/>
              <w:t>u</w:t>
            </w:r>
            <w:r w:rsidRPr="00A61E8F">
              <w:rPr>
                <w:szCs w:val="20"/>
              </w:rPr>
              <w:t>nderstanding the difference between developmentally expected sexual behaviour and concerning or harmful behaviour by children or between children</w:t>
            </w:r>
          </w:p>
          <w:p w14:paraId="4D858C44" w14:textId="79D15F0D" w:rsidR="00D601E7" w:rsidRPr="00A61E8F" w:rsidRDefault="00D601E7" w:rsidP="00EC53AB">
            <w:pPr>
              <w:pStyle w:val="ListParagraph"/>
              <w:numPr>
                <w:ilvl w:val="0"/>
                <w:numId w:val="2"/>
              </w:numPr>
              <w:rPr>
                <w:szCs w:val="20"/>
              </w:rPr>
            </w:pPr>
            <w:r>
              <w:rPr>
                <w:szCs w:val="20"/>
              </w:rPr>
              <w:t>e</w:t>
            </w:r>
            <w:r w:rsidRPr="00A61E8F">
              <w:rPr>
                <w:szCs w:val="20"/>
              </w:rPr>
              <w:t>ffective supervision and behaviour guidance, including the offence of using inappropriate discipline, and potentially inappropriate conduct (refer to Chapter 7.1).</w:t>
            </w:r>
          </w:p>
        </w:tc>
      </w:tr>
    </w:tbl>
    <w:p w14:paraId="461F6C18" w14:textId="77777777" w:rsidR="00D601E7" w:rsidRDefault="00D601E7"/>
    <w:p w14:paraId="2E72DD03" w14:textId="77777777" w:rsidR="00D601E7" w:rsidRDefault="00D601E7">
      <w:pPr>
        <w:pStyle w:val="Heading3"/>
      </w:pPr>
      <w:r>
        <w:t>What are the impacts of each option?</w:t>
      </w:r>
    </w:p>
    <w:p w14:paraId="3C91B592" w14:textId="7EF31D4D" w:rsidR="00D601E7" w:rsidRPr="00083B20" w:rsidRDefault="00D601E7">
      <w:r>
        <w:t xml:space="preserve">The sections below provide </w:t>
      </w:r>
      <w:r w:rsidR="003055D7">
        <w:t>an MCA</w:t>
      </w:r>
      <w:r>
        <w:t xml:space="preserve"> assessing the potential impacts of the proposed options</w:t>
      </w:r>
      <w:r w:rsidR="00046397">
        <w:t xml:space="preserve">. </w:t>
      </w:r>
      <w:r w:rsidR="00046397" w:rsidRPr="00046397">
        <w:t>A detailed overview of the MCA framework underpinning this analysis is available in Chapter 4</w:t>
      </w:r>
      <w:r w:rsidR="00046397">
        <w:t>.</w:t>
      </w:r>
    </w:p>
    <w:p w14:paraId="0D6CA241" w14:textId="77777777" w:rsidR="00D601E7" w:rsidRDefault="00D601E7">
      <w:pPr>
        <w:pStyle w:val="Heading4"/>
      </w:pPr>
      <w:r>
        <w:t xml:space="preserve">Multi-criteria analysis </w:t>
      </w:r>
    </w:p>
    <w:p w14:paraId="19DEF30C" w14:textId="23C5B24E" w:rsidR="00D601E7" w:rsidRDefault="00D601E7">
      <w:r w:rsidRPr="00C20858">
        <w:t xml:space="preserve">In </w:t>
      </w:r>
      <w:r w:rsidR="000F6A15">
        <w:t xml:space="preserve">MCA </w:t>
      </w:r>
      <w:r w:rsidRPr="00C20858">
        <w:t xml:space="preserve">assigning scores to reflect the relative benefits and costs of each option, the score for improvement in child safety has been scaled with a zero for </w:t>
      </w:r>
      <w:r>
        <w:t>option 1</w:t>
      </w:r>
      <w:r w:rsidRPr="00C20858">
        <w:t xml:space="preserve"> representing no change, and </w:t>
      </w:r>
      <w:r>
        <w:t xml:space="preserve">score of eight </w:t>
      </w:r>
      <w:r w:rsidRPr="00C20858">
        <w:t xml:space="preserve">for </w:t>
      </w:r>
      <w:r>
        <w:t>option 6</w:t>
      </w:r>
      <w:r w:rsidRPr="00C20858">
        <w:t xml:space="preserve"> </w:t>
      </w:r>
      <w:r>
        <w:t>representing</w:t>
      </w:r>
      <w:r w:rsidRPr="00C20858">
        <w:t xml:space="preserve"> the biggest impact on child safety. Other options have been scored between these values based on the assessment of qualitative input from stakeholders. Scores for other categories relating to costs, risks, and distributional considerations have been scaled in relation to these benefits.</w:t>
      </w:r>
    </w:p>
    <w:p w14:paraId="68118831" w14:textId="2977F4DA" w:rsidR="00D601E7" w:rsidRDefault="00D601E7">
      <w:pPr>
        <w:pStyle w:val="Caption"/>
      </w:pPr>
      <w:bookmarkStart w:id="84" w:name="_Toc205884941"/>
      <w:r>
        <w:t>Table 6.2: MCA outcomes – Child safety training</w:t>
      </w:r>
      <w:bookmarkEnd w:id="84"/>
      <w:r w:rsidR="00444A15">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6.2: MCA outcomes – Child safety training "/>
        <w:tblDescription w:val="This table outlines the MCA outcomes for introducing mandatory child safety training."/>
      </w:tblPr>
      <w:tblGrid>
        <w:gridCol w:w="2211"/>
        <w:gridCol w:w="1097"/>
        <w:gridCol w:w="950"/>
        <w:gridCol w:w="950"/>
        <w:gridCol w:w="951"/>
        <w:gridCol w:w="950"/>
        <w:gridCol w:w="950"/>
        <w:gridCol w:w="951"/>
      </w:tblGrid>
      <w:tr w:rsidR="00D601E7" w14:paraId="4FF15EB1" w14:textId="4C952142" w:rsidTr="00E3170E">
        <w:trPr>
          <w:tblHeader/>
        </w:trPr>
        <w:tc>
          <w:tcPr>
            <w:tcW w:w="2211" w:type="dxa"/>
            <w:shd w:val="clear" w:color="auto" w:fill="14233C" w:themeFill="text2"/>
          </w:tcPr>
          <w:p w14:paraId="03A2A02A" w14:textId="77777777" w:rsidR="00D601E7" w:rsidRPr="00A61E8F" w:rsidRDefault="00D601E7">
            <w:pPr>
              <w:rPr>
                <w:b/>
                <w:color w:val="FFFFFF" w:themeColor="background1"/>
                <w:szCs w:val="18"/>
              </w:rPr>
            </w:pPr>
            <w:r w:rsidRPr="00A61E8F">
              <w:rPr>
                <w:b/>
                <w:color w:val="FFFFFF" w:themeColor="background1"/>
                <w:szCs w:val="18"/>
              </w:rPr>
              <w:t>Criteria</w:t>
            </w:r>
          </w:p>
        </w:tc>
        <w:tc>
          <w:tcPr>
            <w:tcW w:w="1097" w:type="dxa"/>
            <w:shd w:val="clear" w:color="auto" w:fill="14233C" w:themeFill="text2"/>
          </w:tcPr>
          <w:p w14:paraId="10E70F00" w14:textId="77777777" w:rsidR="00D601E7" w:rsidRPr="00A61E8F" w:rsidRDefault="00D601E7">
            <w:pPr>
              <w:jc w:val="center"/>
              <w:rPr>
                <w:b/>
                <w:color w:val="FFFFFF" w:themeColor="background1"/>
                <w:szCs w:val="18"/>
              </w:rPr>
            </w:pPr>
            <w:r w:rsidRPr="00A61E8F">
              <w:rPr>
                <w:b/>
                <w:color w:val="FFFFFF" w:themeColor="background1"/>
                <w:szCs w:val="18"/>
              </w:rPr>
              <w:t>Weight</w:t>
            </w:r>
          </w:p>
        </w:tc>
        <w:tc>
          <w:tcPr>
            <w:tcW w:w="950" w:type="dxa"/>
            <w:shd w:val="clear" w:color="auto" w:fill="14233C" w:themeFill="text2"/>
          </w:tcPr>
          <w:p w14:paraId="0B373F21" w14:textId="77777777" w:rsidR="00D601E7" w:rsidRPr="00A61E8F" w:rsidRDefault="00D601E7">
            <w:pPr>
              <w:jc w:val="center"/>
              <w:rPr>
                <w:b/>
                <w:color w:val="FFFFFF" w:themeColor="background1"/>
                <w:szCs w:val="18"/>
              </w:rPr>
            </w:pPr>
            <w:r w:rsidRPr="00A61E8F">
              <w:rPr>
                <w:b/>
                <w:color w:val="FFFFFF" w:themeColor="background1"/>
                <w:szCs w:val="18"/>
              </w:rPr>
              <w:t>Option 1</w:t>
            </w:r>
          </w:p>
        </w:tc>
        <w:tc>
          <w:tcPr>
            <w:tcW w:w="950" w:type="dxa"/>
            <w:shd w:val="clear" w:color="auto" w:fill="14233C" w:themeFill="text2"/>
          </w:tcPr>
          <w:p w14:paraId="617D9D71" w14:textId="77777777" w:rsidR="00D601E7" w:rsidRPr="00A61E8F" w:rsidRDefault="00D601E7">
            <w:pPr>
              <w:jc w:val="center"/>
              <w:rPr>
                <w:b/>
                <w:color w:val="FFFFFF" w:themeColor="background1"/>
                <w:szCs w:val="18"/>
              </w:rPr>
            </w:pPr>
            <w:r w:rsidRPr="00A61E8F">
              <w:rPr>
                <w:b/>
                <w:color w:val="FFFFFF" w:themeColor="background1"/>
                <w:szCs w:val="18"/>
              </w:rPr>
              <w:t>Option 2</w:t>
            </w:r>
          </w:p>
        </w:tc>
        <w:tc>
          <w:tcPr>
            <w:tcW w:w="951" w:type="dxa"/>
            <w:shd w:val="clear" w:color="auto" w:fill="14233C" w:themeFill="text2"/>
          </w:tcPr>
          <w:p w14:paraId="2B0DEAB1" w14:textId="77777777" w:rsidR="00D601E7" w:rsidRPr="00A61E8F" w:rsidRDefault="00D601E7">
            <w:pPr>
              <w:jc w:val="center"/>
              <w:rPr>
                <w:b/>
                <w:color w:val="FFFFFF" w:themeColor="background1"/>
                <w:szCs w:val="18"/>
              </w:rPr>
            </w:pPr>
            <w:r w:rsidRPr="00A61E8F">
              <w:rPr>
                <w:b/>
                <w:color w:val="FFFFFF" w:themeColor="background1"/>
                <w:szCs w:val="18"/>
              </w:rPr>
              <w:t>Option 3</w:t>
            </w:r>
          </w:p>
        </w:tc>
        <w:tc>
          <w:tcPr>
            <w:tcW w:w="950" w:type="dxa"/>
            <w:shd w:val="clear" w:color="auto" w:fill="14233C" w:themeFill="text2"/>
          </w:tcPr>
          <w:p w14:paraId="1029D14C" w14:textId="1226C86E" w:rsidR="00D601E7" w:rsidRPr="00A61E8F" w:rsidRDefault="00D601E7">
            <w:pPr>
              <w:jc w:val="center"/>
              <w:rPr>
                <w:b/>
                <w:color w:val="FFFFFF" w:themeColor="background1"/>
                <w:szCs w:val="18"/>
              </w:rPr>
            </w:pPr>
            <w:r w:rsidRPr="00A61E8F">
              <w:rPr>
                <w:b/>
                <w:color w:val="FFFFFF" w:themeColor="background1"/>
                <w:szCs w:val="18"/>
              </w:rPr>
              <w:t>Option 4</w:t>
            </w:r>
          </w:p>
        </w:tc>
        <w:tc>
          <w:tcPr>
            <w:tcW w:w="950" w:type="dxa"/>
            <w:shd w:val="clear" w:color="auto" w:fill="14233C" w:themeFill="text2"/>
          </w:tcPr>
          <w:p w14:paraId="2F4F0ECD" w14:textId="67C367B5" w:rsidR="00D601E7" w:rsidRPr="00A61E8F" w:rsidRDefault="00D601E7">
            <w:pPr>
              <w:jc w:val="center"/>
              <w:rPr>
                <w:b/>
                <w:color w:val="FFFFFF" w:themeColor="background1"/>
                <w:szCs w:val="18"/>
              </w:rPr>
            </w:pPr>
            <w:r w:rsidRPr="00A61E8F">
              <w:rPr>
                <w:b/>
                <w:color w:val="FFFFFF" w:themeColor="background1"/>
                <w:szCs w:val="18"/>
              </w:rPr>
              <w:t>Option 5</w:t>
            </w:r>
          </w:p>
        </w:tc>
        <w:tc>
          <w:tcPr>
            <w:tcW w:w="951" w:type="dxa"/>
            <w:shd w:val="clear" w:color="auto" w:fill="14233C" w:themeFill="text2"/>
          </w:tcPr>
          <w:p w14:paraId="06F79F2D" w14:textId="7C7D683B" w:rsidR="00D601E7" w:rsidRPr="00A61E8F" w:rsidRDefault="00D601E7">
            <w:pPr>
              <w:jc w:val="center"/>
              <w:rPr>
                <w:b/>
                <w:color w:val="FFFFFF" w:themeColor="background1"/>
                <w:szCs w:val="18"/>
              </w:rPr>
            </w:pPr>
            <w:r w:rsidRPr="00A61E8F">
              <w:rPr>
                <w:b/>
                <w:color w:val="FFFFFF" w:themeColor="background1"/>
                <w:szCs w:val="18"/>
              </w:rPr>
              <w:t>Option 6</w:t>
            </w:r>
          </w:p>
        </w:tc>
      </w:tr>
      <w:tr w:rsidR="00D601E7" w14:paraId="1AB1F09F" w14:textId="5C13CC6C" w:rsidTr="00E3170E">
        <w:tc>
          <w:tcPr>
            <w:tcW w:w="2211" w:type="dxa"/>
          </w:tcPr>
          <w:p w14:paraId="79CA96B2" w14:textId="77777777" w:rsidR="00D601E7" w:rsidRPr="00A61E8F" w:rsidRDefault="00D601E7">
            <w:pPr>
              <w:rPr>
                <w:szCs w:val="18"/>
              </w:rPr>
            </w:pPr>
            <w:r w:rsidRPr="00A61E8F">
              <w:rPr>
                <w:szCs w:val="18"/>
              </w:rPr>
              <w:t>Improvement in child safety</w:t>
            </w:r>
          </w:p>
        </w:tc>
        <w:tc>
          <w:tcPr>
            <w:tcW w:w="1097" w:type="dxa"/>
          </w:tcPr>
          <w:p w14:paraId="6C04282B" w14:textId="6C8E542B" w:rsidR="00D601E7" w:rsidRPr="00A61E8F" w:rsidRDefault="00D601E7">
            <w:pPr>
              <w:jc w:val="center"/>
              <w:rPr>
                <w:szCs w:val="18"/>
              </w:rPr>
            </w:pPr>
            <w:r w:rsidRPr="00A61E8F">
              <w:rPr>
                <w:szCs w:val="18"/>
              </w:rPr>
              <w:t>50%</w:t>
            </w:r>
          </w:p>
        </w:tc>
        <w:tc>
          <w:tcPr>
            <w:tcW w:w="950" w:type="dxa"/>
          </w:tcPr>
          <w:p w14:paraId="7685DD0C" w14:textId="77777777" w:rsidR="00D601E7" w:rsidRPr="00A61E8F" w:rsidRDefault="00D601E7">
            <w:pPr>
              <w:jc w:val="center"/>
              <w:rPr>
                <w:szCs w:val="18"/>
              </w:rPr>
            </w:pPr>
            <w:r w:rsidRPr="00A61E8F">
              <w:rPr>
                <w:szCs w:val="18"/>
              </w:rPr>
              <w:t>0</w:t>
            </w:r>
          </w:p>
        </w:tc>
        <w:tc>
          <w:tcPr>
            <w:tcW w:w="950" w:type="dxa"/>
          </w:tcPr>
          <w:p w14:paraId="087E1710" w14:textId="7214A447" w:rsidR="00D601E7" w:rsidRPr="00860D18" w:rsidRDefault="00D601E7">
            <w:pPr>
              <w:jc w:val="center"/>
              <w:rPr>
                <w:szCs w:val="18"/>
              </w:rPr>
            </w:pPr>
            <w:r w:rsidRPr="00860D18">
              <w:rPr>
                <w:szCs w:val="18"/>
              </w:rPr>
              <w:t>2</w:t>
            </w:r>
          </w:p>
        </w:tc>
        <w:tc>
          <w:tcPr>
            <w:tcW w:w="951" w:type="dxa"/>
          </w:tcPr>
          <w:p w14:paraId="68478478" w14:textId="4EF65DA6" w:rsidR="00D601E7" w:rsidRPr="00860D18" w:rsidRDefault="00D601E7">
            <w:pPr>
              <w:jc w:val="center"/>
              <w:rPr>
                <w:szCs w:val="18"/>
              </w:rPr>
            </w:pPr>
            <w:r w:rsidRPr="00860D18">
              <w:rPr>
                <w:szCs w:val="18"/>
              </w:rPr>
              <w:t>3</w:t>
            </w:r>
          </w:p>
        </w:tc>
        <w:tc>
          <w:tcPr>
            <w:tcW w:w="950" w:type="dxa"/>
          </w:tcPr>
          <w:p w14:paraId="7E9644FD" w14:textId="5C737F3F" w:rsidR="00D601E7" w:rsidRPr="00860D18" w:rsidRDefault="00D601E7">
            <w:pPr>
              <w:jc w:val="center"/>
              <w:rPr>
                <w:szCs w:val="18"/>
              </w:rPr>
            </w:pPr>
            <w:r w:rsidRPr="00860D18">
              <w:rPr>
                <w:szCs w:val="18"/>
              </w:rPr>
              <w:t>5</w:t>
            </w:r>
          </w:p>
        </w:tc>
        <w:tc>
          <w:tcPr>
            <w:tcW w:w="950" w:type="dxa"/>
          </w:tcPr>
          <w:p w14:paraId="65E1A47B" w14:textId="04E36625" w:rsidR="00D601E7" w:rsidRPr="00860D18" w:rsidRDefault="00D601E7">
            <w:pPr>
              <w:jc w:val="center"/>
              <w:rPr>
                <w:szCs w:val="18"/>
              </w:rPr>
            </w:pPr>
            <w:r>
              <w:rPr>
                <w:szCs w:val="18"/>
              </w:rPr>
              <w:t>4</w:t>
            </w:r>
          </w:p>
        </w:tc>
        <w:tc>
          <w:tcPr>
            <w:tcW w:w="951" w:type="dxa"/>
          </w:tcPr>
          <w:p w14:paraId="1C6FE537" w14:textId="51754AA6" w:rsidR="00D601E7" w:rsidRPr="00860D18" w:rsidRDefault="00D601E7">
            <w:pPr>
              <w:jc w:val="center"/>
              <w:rPr>
                <w:szCs w:val="18"/>
              </w:rPr>
            </w:pPr>
            <w:r w:rsidRPr="00860D18">
              <w:rPr>
                <w:szCs w:val="18"/>
              </w:rPr>
              <w:t>8</w:t>
            </w:r>
          </w:p>
        </w:tc>
      </w:tr>
      <w:tr w:rsidR="00D601E7" w14:paraId="48E974DE" w14:textId="51AB91BD" w:rsidTr="00E3170E">
        <w:tc>
          <w:tcPr>
            <w:tcW w:w="2211" w:type="dxa"/>
          </w:tcPr>
          <w:p w14:paraId="3768D55C" w14:textId="77777777" w:rsidR="00D601E7" w:rsidRPr="00A61E8F" w:rsidRDefault="00D601E7">
            <w:pPr>
              <w:rPr>
                <w:szCs w:val="18"/>
              </w:rPr>
            </w:pPr>
            <w:r w:rsidRPr="00A61E8F">
              <w:rPr>
                <w:szCs w:val="18"/>
              </w:rPr>
              <w:t>Net cost of policy option</w:t>
            </w:r>
          </w:p>
        </w:tc>
        <w:tc>
          <w:tcPr>
            <w:tcW w:w="1097" w:type="dxa"/>
          </w:tcPr>
          <w:p w14:paraId="4BCDFCD8" w14:textId="2B3FEB09" w:rsidR="00D601E7" w:rsidRPr="00A61E8F" w:rsidRDefault="00D601E7">
            <w:pPr>
              <w:jc w:val="center"/>
              <w:rPr>
                <w:szCs w:val="18"/>
              </w:rPr>
            </w:pPr>
            <w:r w:rsidRPr="00A61E8F">
              <w:rPr>
                <w:szCs w:val="18"/>
              </w:rPr>
              <w:t>30%</w:t>
            </w:r>
          </w:p>
        </w:tc>
        <w:tc>
          <w:tcPr>
            <w:tcW w:w="950" w:type="dxa"/>
          </w:tcPr>
          <w:p w14:paraId="3869BCD1" w14:textId="77777777" w:rsidR="00D601E7" w:rsidRPr="00A61E8F" w:rsidRDefault="00D601E7">
            <w:pPr>
              <w:jc w:val="center"/>
              <w:rPr>
                <w:szCs w:val="18"/>
              </w:rPr>
            </w:pPr>
            <w:r w:rsidRPr="00A61E8F">
              <w:rPr>
                <w:szCs w:val="18"/>
              </w:rPr>
              <w:t>0</w:t>
            </w:r>
          </w:p>
        </w:tc>
        <w:tc>
          <w:tcPr>
            <w:tcW w:w="950" w:type="dxa"/>
          </w:tcPr>
          <w:p w14:paraId="4B7D694E" w14:textId="240494E5" w:rsidR="00D601E7" w:rsidRPr="00860D18" w:rsidRDefault="00D601E7">
            <w:pPr>
              <w:jc w:val="center"/>
              <w:rPr>
                <w:szCs w:val="18"/>
              </w:rPr>
            </w:pPr>
            <w:r w:rsidRPr="00860D18">
              <w:rPr>
                <w:szCs w:val="18"/>
              </w:rPr>
              <w:t>-2</w:t>
            </w:r>
          </w:p>
        </w:tc>
        <w:tc>
          <w:tcPr>
            <w:tcW w:w="951" w:type="dxa"/>
          </w:tcPr>
          <w:p w14:paraId="253DA4D6" w14:textId="4E47EB5E" w:rsidR="00D601E7" w:rsidRPr="00860D18" w:rsidRDefault="00D601E7">
            <w:pPr>
              <w:jc w:val="center"/>
              <w:rPr>
                <w:szCs w:val="18"/>
              </w:rPr>
            </w:pPr>
            <w:r w:rsidRPr="00860D18">
              <w:rPr>
                <w:szCs w:val="18"/>
              </w:rPr>
              <w:t>-2</w:t>
            </w:r>
          </w:p>
        </w:tc>
        <w:tc>
          <w:tcPr>
            <w:tcW w:w="950" w:type="dxa"/>
          </w:tcPr>
          <w:p w14:paraId="3E02D8E6" w14:textId="783C4566" w:rsidR="00D601E7" w:rsidRPr="00860D18" w:rsidRDefault="00D601E7">
            <w:pPr>
              <w:jc w:val="center"/>
              <w:rPr>
                <w:szCs w:val="18"/>
              </w:rPr>
            </w:pPr>
            <w:r w:rsidRPr="00860D18">
              <w:rPr>
                <w:szCs w:val="18"/>
              </w:rPr>
              <w:t>-4</w:t>
            </w:r>
          </w:p>
        </w:tc>
        <w:tc>
          <w:tcPr>
            <w:tcW w:w="950" w:type="dxa"/>
          </w:tcPr>
          <w:p w14:paraId="0E47D636" w14:textId="050E4904" w:rsidR="00D601E7" w:rsidRPr="00860D18" w:rsidRDefault="00D601E7">
            <w:pPr>
              <w:jc w:val="center"/>
              <w:rPr>
                <w:szCs w:val="18"/>
              </w:rPr>
            </w:pPr>
            <w:r w:rsidRPr="00860D18">
              <w:rPr>
                <w:szCs w:val="18"/>
              </w:rPr>
              <w:t>-3</w:t>
            </w:r>
          </w:p>
        </w:tc>
        <w:tc>
          <w:tcPr>
            <w:tcW w:w="951" w:type="dxa"/>
          </w:tcPr>
          <w:p w14:paraId="74F1833F" w14:textId="22726ED6" w:rsidR="00D601E7" w:rsidRPr="00860D18" w:rsidRDefault="00D601E7">
            <w:pPr>
              <w:jc w:val="center"/>
              <w:rPr>
                <w:szCs w:val="18"/>
              </w:rPr>
            </w:pPr>
            <w:r w:rsidRPr="00860D18">
              <w:rPr>
                <w:szCs w:val="18"/>
              </w:rPr>
              <w:t>-</w:t>
            </w:r>
            <w:r>
              <w:rPr>
                <w:szCs w:val="18"/>
              </w:rPr>
              <w:t>7</w:t>
            </w:r>
          </w:p>
        </w:tc>
      </w:tr>
      <w:tr w:rsidR="00D601E7" w14:paraId="34648179" w14:textId="6F873953" w:rsidTr="00E3170E">
        <w:tc>
          <w:tcPr>
            <w:tcW w:w="2211" w:type="dxa"/>
          </w:tcPr>
          <w:p w14:paraId="3F353B4B" w14:textId="355BC444" w:rsidR="00D601E7" w:rsidRPr="00A61E8F" w:rsidRDefault="00D601E7">
            <w:pPr>
              <w:rPr>
                <w:szCs w:val="18"/>
              </w:rPr>
            </w:pPr>
            <w:r>
              <w:rPr>
                <w:szCs w:val="18"/>
              </w:rPr>
              <w:t>Implementation considerations</w:t>
            </w:r>
          </w:p>
        </w:tc>
        <w:tc>
          <w:tcPr>
            <w:tcW w:w="1097" w:type="dxa"/>
          </w:tcPr>
          <w:p w14:paraId="7830937F" w14:textId="4E288406" w:rsidR="00D601E7" w:rsidRPr="00A61E8F" w:rsidRDefault="00D601E7">
            <w:pPr>
              <w:jc w:val="center"/>
              <w:rPr>
                <w:szCs w:val="18"/>
              </w:rPr>
            </w:pPr>
            <w:r w:rsidRPr="00A61E8F">
              <w:rPr>
                <w:szCs w:val="18"/>
              </w:rPr>
              <w:t>10%</w:t>
            </w:r>
          </w:p>
        </w:tc>
        <w:tc>
          <w:tcPr>
            <w:tcW w:w="950" w:type="dxa"/>
          </w:tcPr>
          <w:p w14:paraId="7A975483" w14:textId="77777777" w:rsidR="00D601E7" w:rsidRPr="00A61E8F" w:rsidRDefault="00D601E7">
            <w:pPr>
              <w:jc w:val="center"/>
              <w:rPr>
                <w:szCs w:val="18"/>
              </w:rPr>
            </w:pPr>
            <w:r w:rsidRPr="00A61E8F">
              <w:rPr>
                <w:szCs w:val="18"/>
              </w:rPr>
              <w:t>0</w:t>
            </w:r>
          </w:p>
        </w:tc>
        <w:tc>
          <w:tcPr>
            <w:tcW w:w="950" w:type="dxa"/>
          </w:tcPr>
          <w:p w14:paraId="1A921CA7" w14:textId="74159242" w:rsidR="00D601E7" w:rsidRPr="00860D18" w:rsidRDefault="00D601E7">
            <w:pPr>
              <w:jc w:val="center"/>
              <w:rPr>
                <w:szCs w:val="18"/>
              </w:rPr>
            </w:pPr>
            <w:r w:rsidRPr="00860D18">
              <w:rPr>
                <w:szCs w:val="18"/>
              </w:rPr>
              <w:t>-1</w:t>
            </w:r>
          </w:p>
        </w:tc>
        <w:tc>
          <w:tcPr>
            <w:tcW w:w="951" w:type="dxa"/>
          </w:tcPr>
          <w:p w14:paraId="7261FE45" w14:textId="4F9E7E96" w:rsidR="00D601E7" w:rsidRPr="00860D18" w:rsidRDefault="00D601E7">
            <w:pPr>
              <w:jc w:val="center"/>
              <w:rPr>
                <w:szCs w:val="18"/>
              </w:rPr>
            </w:pPr>
            <w:r w:rsidRPr="00860D18">
              <w:rPr>
                <w:szCs w:val="18"/>
              </w:rPr>
              <w:t>-1</w:t>
            </w:r>
          </w:p>
        </w:tc>
        <w:tc>
          <w:tcPr>
            <w:tcW w:w="950" w:type="dxa"/>
          </w:tcPr>
          <w:p w14:paraId="31AF2462" w14:textId="57B1CA90" w:rsidR="00D601E7" w:rsidRPr="00860D18" w:rsidRDefault="00D601E7">
            <w:pPr>
              <w:jc w:val="center"/>
              <w:rPr>
                <w:szCs w:val="18"/>
              </w:rPr>
            </w:pPr>
            <w:r w:rsidRPr="00860D18">
              <w:rPr>
                <w:szCs w:val="18"/>
              </w:rPr>
              <w:t>-4</w:t>
            </w:r>
          </w:p>
        </w:tc>
        <w:tc>
          <w:tcPr>
            <w:tcW w:w="950" w:type="dxa"/>
          </w:tcPr>
          <w:p w14:paraId="27138790" w14:textId="47F3A5B0" w:rsidR="00D601E7" w:rsidRPr="00860D18" w:rsidRDefault="00D601E7">
            <w:pPr>
              <w:jc w:val="center"/>
              <w:rPr>
                <w:szCs w:val="18"/>
              </w:rPr>
            </w:pPr>
            <w:r w:rsidRPr="00860D18">
              <w:rPr>
                <w:szCs w:val="18"/>
              </w:rPr>
              <w:t>-2</w:t>
            </w:r>
          </w:p>
        </w:tc>
        <w:tc>
          <w:tcPr>
            <w:tcW w:w="951" w:type="dxa"/>
          </w:tcPr>
          <w:p w14:paraId="33446F7D" w14:textId="61B9E951" w:rsidR="00D601E7" w:rsidRPr="00860D18" w:rsidRDefault="00D601E7">
            <w:pPr>
              <w:jc w:val="center"/>
              <w:rPr>
                <w:szCs w:val="18"/>
              </w:rPr>
            </w:pPr>
            <w:r w:rsidRPr="00860D18">
              <w:rPr>
                <w:szCs w:val="18"/>
              </w:rPr>
              <w:t>-5</w:t>
            </w:r>
          </w:p>
        </w:tc>
      </w:tr>
      <w:tr w:rsidR="00D601E7" w14:paraId="5B34FAAE" w14:textId="5ADAA734" w:rsidTr="00E3170E">
        <w:tc>
          <w:tcPr>
            <w:tcW w:w="2211" w:type="dxa"/>
          </w:tcPr>
          <w:p w14:paraId="0EC7C1B9" w14:textId="77777777" w:rsidR="00D601E7" w:rsidRPr="00A61E8F" w:rsidRDefault="00D601E7">
            <w:pPr>
              <w:rPr>
                <w:szCs w:val="18"/>
              </w:rPr>
            </w:pPr>
            <w:r w:rsidRPr="00A61E8F">
              <w:rPr>
                <w:szCs w:val="18"/>
              </w:rPr>
              <w:t>Distributional impact</w:t>
            </w:r>
          </w:p>
        </w:tc>
        <w:tc>
          <w:tcPr>
            <w:tcW w:w="1097" w:type="dxa"/>
          </w:tcPr>
          <w:p w14:paraId="205F839E" w14:textId="035DA629" w:rsidR="00D601E7" w:rsidRPr="00A61E8F" w:rsidRDefault="00D601E7">
            <w:pPr>
              <w:jc w:val="center"/>
              <w:rPr>
                <w:szCs w:val="18"/>
              </w:rPr>
            </w:pPr>
            <w:r w:rsidRPr="00A61E8F">
              <w:rPr>
                <w:szCs w:val="18"/>
              </w:rPr>
              <w:t>10%</w:t>
            </w:r>
          </w:p>
        </w:tc>
        <w:tc>
          <w:tcPr>
            <w:tcW w:w="950" w:type="dxa"/>
          </w:tcPr>
          <w:p w14:paraId="0B48FABA" w14:textId="77777777" w:rsidR="00D601E7" w:rsidRPr="00A61E8F" w:rsidRDefault="00D601E7">
            <w:pPr>
              <w:jc w:val="center"/>
              <w:rPr>
                <w:szCs w:val="18"/>
              </w:rPr>
            </w:pPr>
            <w:r w:rsidRPr="00A61E8F">
              <w:rPr>
                <w:szCs w:val="18"/>
              </w:rPr>
              <w:t>0</w:t>
            </w:r>
          </w:p>
        </w:tc>
        <w:tc>
          <w:tcPr>
            <w:tcW w:w="950" w:type="dxa"/>
          </w:tcPr>
          <w:p w14:paraId="09C75923" w14:textId="1BE9AC81" w:rsidR="00D601E7" w:rsidRPr="00860D18" w:rsidRDefault="00D601E7">
            <w:pPr>
              <w:jc w:val="center"/>
              <w:rPr>
                <w:szCs w:val="18"/>
              </w:rPr>
            </w:pPr>
            <w:r w:rsidRPr="00860D18">
              <w:rPr>
                <w:szCs w:val="18"/>
              </w:rPr>
              <w:t>0</w:t>
            </w:r>
          </w:p>
        </w:tc>
        <w:tc>
          <w:tcPr>
            <w:tcW w:w="951" w:type="dxa"/>
          </w:tcPr>
          <w:p w14:paraId="3FB34398" w14:textId="0276C6D5" w:rsidR="00D601E7" w:rsidRPr="00860D18" w:rsidRDefault="00D601E7">
            <w:pPr>
              <w:jc w:val="center"/>
              <w:rPr>
                <w:szCs w:val="18"/>
              </w:rPr>
            </w:pPr>
            <w:r w:rsidRPr="00860D18">
              <w:rPr>
                <w:szCs w:val="18"/>
              </w:rPr>
              <w:t>-1</w:t>
            </w:r>
          </w:p>
        </w:tc>
        <w:tc>
          <w:tcPr>
            <w:tcW w:w="950" w:type="dxa"/>
          </w:tcPr>
          <w:p w14:paraId="114D61F1" w14:textId="13A78502" w:rsidR="00D601E7" w:rsidRPr="00860D18" w:rsidRDefault="00D601E7">
            <w:pPr>
              <w:jc w:val="center"/>
              <w:rPr>
                <w:szCs w:val="18"/>
              </w:rPr>
            </w:pPr>
            <w:r w:rsidRPr="00860D18">
              <w:rPr>
                <w:szCs w:val="18"/>
              </w:rPr>
              <w:t>-3</w:t>
            </w:r>
          </w:p>
        </w:tc>
        <w:tc>
          <w:tcPr>
            <w:tcW w:w="950" w:type="dxa"/>
          </w:tcPr>
          <w:p w14:paraId="60B30B2D" w14:textId="7588453C" w:rsidR="00D601E7" w:rsidRPr="00860D18" w:rsidRDefault="00D601E7">
            <w:pPr>
              <w:jc w:val="center"/>
              <w:rPr>
                <w:szCs w:val="18"/>
              </w:rPr>
            </w:pPr>
            <w:r w:rsidRPr="00860D18">
              <w:rPr>
                <w:szCs w:val="18"/>
              </w:rPr>
              <w:t>-2</w:t>
            </w:r>
          </w:p>
        </w:tc>
        <w:tc>
          <w:tcPr>
            <w:tcW w:w="951" w:type="dxa"/>
          </w:tcPr>
          <w:p w14:paraId="4FC0B921" w14:textId="5282924C" w:rsidR="00D601E7" w:rsidRPr="00860D18" w:rsidRDefault="00D601E7">
            <w:pPr>
              <w:jc w:val="center"/>
              <w:rPr>
                <w:szCs w:val="18"/>
              </w:rPr>
            </w:pPr>
            <w:r w:rsidRPr="00860D18">
              <w:rPr>
                <w:szCs w:val="18"/>
              </w:rPr>
              <w:t>-5</w:t>
            </w:r>
          </w:p>
        </w:tc>
      </w:tr>
      <w:tr w:rsidR="00D601E7" w14:paraId="33732102" w14:textId="0DA79B65" w:rsidTr="00E3170E">
        <w:tc>
          <w:tcPr>
            <w:tcW w:w="2211" w:type="dxa"/>
          </w:tcPr>
          <w:p w14:paraId="1A81C499" w14:textId="48565856" w:rsidR="00D601E7" w:rsidRPr="00A61E8F" w:rsidRDefault="00D601E7">
            <w:pPr>
              <w:rPr>
                <w:b/>
                <w:szCs w:val="18"/>
              </w:rPr>
            </w:pPr>
            <w:r w:rsidRPr="00A61E8F">
              <w:rPr>
                <w:b/>
                <w:szCs w:val="18"/>
              </w:rPr>
              <w:lastRenderedPageBreak/>
              <w:t>Weighted score</w:t>
            </w:r>
          </w:p>
        </w:tc>
        <w:tc>
          <w:tcPr>
            <w:tcW w:w="1097" w:type="dxa"/>
          </w:tcPr>
          <w:p w14:paraId="7F5FDDD2" w14:textId="77777777" w:rsidR="00D601E7" w:rsidRPr="00A61E8F" w:rsidRDefault="00D601E7">
            <w:pPr>
              <w:jc w:val="center"/>
              <w:rPr>
                <w:szCs w:val="18"/>
              </w:rPr>
            </w:pPr>
          </w:p>
        </w:tc>
        <w:tc>
          <w:tcPr>
            <w:tcW w:w="950" w:type="dxa"/>
          </w:tcPr>
          <w:p w14:paraId="1BCDC2FE" w14:textId="77777777" w:rsidR="00D601E7" w:rsidRPr="00A61E8F" w:rsidRDefault="00D601E7">
            <w:pPr>
              <w:jc w:val="center"/>
              <w:rPr>
                <w:b/>
                <w:szCs w:val="18"/>
              </w:rPr>
            </w:pPr>
            <w:r w:rsidRPr="00A61E8F">
              <w:rPr>
                <w:b/>
                <w:szCs w:val="18"/>
              </w:rPr>
              <w:t>0</w:t>
            </w:r>
          </w:p>
        </w:tc>
        <w:tc>
          <w:tcPr>
            <w:tcW w:w="950" w:type="dxa"/>
          </w:tcPr>
          <w:p w14:paraId="3FBE4DEF" w14:textId="5F781076" w:rsidR="00D601E7" w:rsidRPr="00860D18" w:rsidRDefault="00D601E7">
            <w:pPr>
              <w:jc w:val="center"/>
              <w:rPr>
                <w:b/>
                <w:szCs w:val="18"/>
              </w:rPr>
            </w:pPr>
            <w:r w:rsidRPr="00860D18">
              <w:rPr>
                <w:b/>
                <w:szCs w:val="18"/>
              </w:rPr>
              <w:t>0.3</w:t>
            </w:r>
          </w:p>
        </w:tc>
        <w:tc>
          <w:tcPr>
            <w:tcW w:w="951" w:type="dxa"/>
          </w:tcPr>
          <w:p w14:paraId="02C0A47E" w14:textId="6A0C8AA9" w:rsidR="00D601E7" w:rsidRPr="00860D18" w:rsidRDefault="00D601E7">
            <w:pPr>
              <w:jc w:val="center"/>
              <w:rPr>
                <w:b/>
                <w:szCs w:val="18"/>
              </w:rPr>
            </w:pPr>
            <w:r w:rsidRPr="00860D18">
              <w:rPr>
                <w:b/>
                <w:szCs w:val="18"/>
              </w:rPr>
              <w:t>0.7</w:t>
            </w:r>
          </w:p>
        </w:tc>
        <w:tc>
          <w:tcPr>
            <w:tcW w:w="950" w:type="dxa"/>
          </w:tcPr>
          <w:p w14:paraId="7201270A" w14:textId="67888373" w:rsidR="00D601E7" w:rsidRPr="00860D18" w:rsidRDefault="00D601E7">
            <w:pPr>
              <w:jc w:val="center"/>
              <w:rPr>
                <w:b/>
                <w:szCs w:val="18"/>
              </w:rPr>
            </w:pPr>
            <w:r w:rsidRPr="00860D18">
              <w:rPr>
                <w:b/>
                <w:szCs w:val="18"/>
              </w:rPr>
              <w:t>0.6</w:t>
            </w:r>
          </w:p>
        </w:tc>
        <w:tc>
          <w:tcPr>
            <w:tcW w:w="950" w:type="dxa"/>
          </w:tcPr>
          <w:p w14:paraId="3143A810" w14:textId="3977B6F2" w:rsidR="00D601E7" w:rsidRPr="00860D18" w:rsidRDefault="00D601E7">
            <w:pPr>
              <w:jc w:val="center"/>
              <w:rPr>
                <w:b/>
                <w:szCs w:val="18"/>
              </w:rPr>
            </w:pPr>
            <w:r w:rsidRPr="00860D18">
              <w:rPr>
                <w:b/>
                <w:szCs w:val="18"/>
              </w:rPr>
              <w:t>0.</w:t>
            </w:r>
            <w:r>
              <w:rPr>
                <w:b/>
                <w:szCs w:val="18"/>
              </w:rPr>
              <w:t>7</w:t>
            </w:r>
          </w:p>
        </w:tc>
        <w:tc>
          <w:tcPr>
            <w:tcW w:w="951" w:type="dxa"/>
          </w:tcPr>
          <w:p w14:paraId="0B934A5A" w14:textId="151F5A17" w:rsidR="00D601E7" w:rsidRPr="00860D18" w:rsidRDefault="00D601E7">
            <w:pPr>
              <w:jc w:val="center"/>
              <w:rPr>
                <w:b/>
                <w:szCs w:val="18"/>
              </w:rPr>
            </w:pPr>
            <w:r w:rsidRPr="00860D18">
              <w:rPr>
                <w:b/>
                <w:szCs w:val="18"/>
              </w:rPr>
              <w:t>0.</w:t>
            </w:r>
            <w:r>
              <w:rPr>
                <w:b/>
                <w:szCs w:val="18"/>
              </w:rPr>
              <w:t>9</w:t>
            </w:r>
          </w:p>
        </w:tc>
      </w:tr>
    </w:tbl>
    <w:p w14:paraId="007C0BA0" w14:textId="6D1FC19B" w:rsidR="00D601E7" w:rsidRPr="00273D6E" w:rsidRDefault="00D601E7">
      <w:pPr>
        <w:pStyle w:val="Source"/>
      </w:pPr>
      <w:r>
        <w:t xml:space="preserve">Note: </w:t>
      </w:r>
      <w:r w:rsidRPr="009C4607">
        <w:t>Option 1 - the status quo - receives a score of zero across all criteria, as explained in Chapter 4.</w:t>
      </w:r>
    </w:p>
    <w:p w14:paraId="0ECEC4FD" w14:textId="3A0E13C5" w:rsidR="00D601E7" w:rsidRPr="00273D6E" w:rsidRDefault="00D601E7">
      <w:r w:rsidRPr="0007642D">
        <w:t>The weighted average scores for these options suggest that, based on stakeholder input received through the consultation process, all options would deliver a net benefit compared to the status quo</w:t>
      </w:r>
      <w:r>
        <w:t>. Despite expectation that option 6 will incur the highest cost, it has the highest weighted score as the scope of training delivered under this option is expected to result in the most significant incremental improvement to child safety. The weighted scores for options 3,</w:t>
      </w:r>
      <w:r w:rsidR="00770089">
        <w:t xml:space="preserve"> </w:t>
      </w:r>
      <w:r>
        <w:t xml:space="preserve">4 and 5 are broadly consistent and are lower compared to option 6 as they relate to child protection training (a narrower scope compared to child safety training). This MCA outcome, in addition to understanding which options are mutually exclusive and can be implemented in combination, </w:t>
      </w:r>
      <w:r w:rsidRPr="0007642D">
        <w:t xml:space="preserve">has informed </w:t>
      </w:r>
      <w:r w:rsidR="00604D9E" w:rsidRPr="00604D9E">
        <w:t>governments</w:t>
      </w:r>
      <w:r w:rsidRPr="0007642D">
        <w:t xml:space="preserve"> of the </w:t>
      </w:r>
      <w:r w:rsidR="004C5562">
        <w:t>recommended option</w:t>
      </w:r>
      <w:r>
        <w:t>s</w:t>
      </w:r>
      <w:r w:rsidRPr="0007642D">
        <w:t xml:space="preserve"> outlined in the next section. Further detail on the rationale for each score is outlined in the </w:t>
      </w:r>
      <w:r>
        <w:t>sub-</w:t>
      </w:r>
      <w:r w:rsidRPr="0007642D">
        <w:t>sections below.</w:t>
      </w:r>
    </w:p>
    <w:p w14:paraId="24462DCB" w14:textId="6E6EEF5C" w:rsidR="00D601E7" w:rsidRDefault="00D601E7">
      <w:pPr>
        <w:pStyle w:val="Heading4"/>
      </w:pPr>
      <w:r>
        <w:t xml:space="preserve">Impact on child safety </w:t>
      </w:r>
    </w:p>
    <w:p w14:paraId="2F2899B3" w14:textId="7F822495" w:rsidR="00D601E7" w:rsidRDefault="00D601E7">
      <w:r>
        <w:t xml:space="preserve">Option 2 encourages consistency in the child protection and child safety content covered in all qualifications and courses </w:t>
      </w:r>
      <w:r w:rsidR="00C73FE7">
        <w:t xml:space="preserve">delivered by RTOs and Higher Education institutes </w:t>
      </w:r>
      <w:r>
        <w:t xml:space="preserve">which may reduce knowledge gaps and inconsistencies in the emerging workforce’s knowledge of child safety and </w:t>
      </w:r>
      <w:r w:rsidR="00421E34">
        <w:t xml:space="preserve">child </w:t>
      </w:r>
      <w:r>
        <w:t>protection. This is a non-regulatory option that hinges on RTOs and Higher Education institutions to opt-in, access, and implement the new course material into courses. In consultative activity,</w:t>
      </w:r>
      <w:r w:rsidR="00ED7783">
        <w:t xml:space="preserve"> the</w:t>
      </w:r>
      <w:r>
        <w:t xml:space="preserve"> majority of stakeholders held strong support for option 2. There is a strong consensus that at a minimum, child safety and child protection training and guidance material should be nationally consistent and to a high quality across all jurisdictions to support workforce capability and confidence. Stakeholders noted that there are inconsistencies in how child protection is covered across </w:t>
      </w:r>
      <w:r w:rsidR="00024741">
        <w:t>t</w:t>
      </w:r>
      <w:r>
        <w:t xml:space="preserve">raining providers, having consequences for the preparedness and confidence of the workforce. Some stakeholders were concerned that option 2 may be too narrow in scope if only RTOs and Higher Education </w:t>
      </w:r>
      <w:r w:rsidR="00024741">
        <w:t xml:space="preserve">institutions </w:t>
      </w:r>
      <w:r>
        <w:t>receive training and guidance materials. There was desire across stakeholders for materials to be distributed more broadly across the sector to include services and the workforce. Some stakeholders did note that option 2 is limited as a non-regulatory option as it does not require training to be completed:</w:t>
      </w:r>
    </w:p>
    <w:p w14:paraId="2DF50581" w14:textId="277F0609" w:rsidR="00D601E7" w:rsidRDefault="00D601E7">
      <w:pPr>
        <w:ind w:left="360"/>
        <w:rPr>
          <w:i/>
          <w:color w:val="A12068"/>
        </w:rPr>
      </w:pPr>
      <w:r>
        <w:rPr>
          <w:i/>
          <w:color w:val="A12068"/>
        </w:rPr>
        <w:lastRenderedPageBreak/>
        <w:t>“This option would ensure that training content is standardised across all qualifications and courses, regardless of location. Students entering the workforce would have foundational, consistent knowledge of child protection and child safety – reducing variability in understanding between educators from different states or training backgrounds… However, it is not sufficient as a stand-alone solution as it does not reach the current workforce or address the need for ongoing, practical, context-aware training and refreshers” – Approved provider survey</w:t>
      </w:r>
    </w:p>
    <w:p w14:paraId="080FF76E" w14:textId="006B492B" w:rsidR="00D601E7" w:rsidRPr="00E31B31" w:rsidRDefault="00D601E7">
      <w:pPr>
        <w:ind w:left="360"/>
        <w:rPr>
          <w:i/>
          <w:color w:val="A12068"/>
        </w:rPr>
      </w:pPr>
      <w:r w:rsidRPr="00E31B31">
        <w:rPr>
          <w:i/>
          <w:color w:val="A12068"/>
        </w:rPr>
        <w:t>“</w:t>
      </w:r>
      <w:r>
        <w:rPr>
          <w:i/>
          <w:color w:val="A12068"/>
        </w:rPr>
        <w:t>[Option 2]</w:t>
      </w:r>
      <w:r w:rsidRPr="00E31B31">
        <w:rPr>
          <w:i/>
          <w:color w:val="A12068"/>
        </w:rPr>
        <w:t xml:space="preserve"> will improve awareness and understanding, however, there is no requirement for action.”</w:t>
      </w:r>
      <w:r>
        <w:rPr>
          <w:i/>
          <w:color w:val="A12068"/>
        </w:rPr>
        <w:t xml:space="preserve"> – Approved provider survey</w:t>
      </w:r>
    </w:p>
    <w:p w14:paraId="624891B4" w14:textId="46EFEC87" w:rsidR="00D601E7" w:rsidRDefault="00D601E7">
      <w:r>
        <w:t xml:space="preserve">Respondents to all three surveys indicated that option 2 would somewhat reduce the risk of harm to children (refer to Chart 6.1 and </w:t>
      </w:r>
      <w:hyperlink w:anchor="_12.3.2_Child_safety" w:history="1">
        <w:r w:rsidRPr="00555A32">
          <w:rPr>
            <w:rStyle w:val="Hyperlink"/>
          </w:rPr>
          <w:t>Appendix 12.3</w:t>
        </w:r>
        <w:r w:rsidR="00D41604" w:rsidRPr="00555A32">
          <w:rPr>
            <w:rStyle w:val="Hyperlink"/>
          </w:rPr>
          <w:t>.2</w:t>
        </w:r>
      </w:hyperlink>
      <w:r>
        <w:t>).</w:t>
      </w:r>
    </w:p>
    <w:p w14:paraId="007E7856" w14:textId="22B3AEE0" w:rsidR="00D601E7" w:rsidRPr="00E63C90" w:rsidRDefault="00D601E7">
      <w:pPr>
        <w:pStyle w:val="Caption"/>
      </w:pPr>
      <w:bookmarkStart w:id="85" w:name="_Toc205884942"/>
      <w:r w:rsidRPr="00D1591E">
        <w:t xml:space="preserve">Chart </w:t>
      </w:r>
      <w:r>
        <w:t>6</w:t>
      </w:r>
      <w:r w:rsidRPr="00D1591E">
        <w:t>.1 Approved provider responses to “How much d</w:t>
      </w:r>
      <w:r w:rsidRPr="00E63C90">
        <w:t>o you think each option will reduce the risk of harm to children?”</w:t>
      </w:r>
      <w:bookmarkEnd w:id="85"/>
      <w:r w:rsidRPr="00E63C90">
        <w:t xml:space="preserve"> </w:t>
      </w:r>
    </w:p>
    <w:p w14:paraId="0EDB29ED" w14:textId="2574286D" w:rsidR="00D601E7" w:rsidRPr="00E63C90" w:rsidRDefault="00D601E7">
      <w:pPr>
        <w:pStyle w:val="Source"/>
      </w:pPr>
      <w:r w:rsidRPr="00E63C90">
        <w:rPr>
          <w:noProof/>
          <w14:ligatures w14:val="standardContextual"/>
        </w:rPr>
        <w:drawing>
          <wp:inline distT="0" distB="0" distL="0" distR="0" wp14:anchorId="2CBAB97D" wp14:editId="0871BAEB">
            <wp:extent cx="5727700" cy="3037840"/>
            <wp:effectExtent l="0" t="0" r="6350" b="0"/>
            <wp:docPr id="930319428" name="Chart 1" descr="Chart outlining approved provider responses to “How much do you think each option will reduce the risk of harm to children?”, for options 1 to 6.">
              <a:extLst xmlns:a="http://schemas.openxmlformats.org/drawingml/2006/main">
                <a:ext uri="{FF2B5EF4-FFF2-40B4-BE49-F238E27FC236}">
                  <a16:creationId xmlns:a16="http://schemas.microsoft.com/office/drawing/2014/main" id="{C422E4F6-3D03-8E17-DD6E-4F3A4C4FA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E63C90">
        <w:t xml:space="preserve"> </w:t>
      </w:r>
    </w:p>
    <w:p w14:paraId="08E42E4C" w14:textId="77777777" w:rsidR="00D601E7" w:rsidRDefault="00D601E7">
      <w:pPr>
        <w:pStyle w:val="Source"/>
      </w:pPr>
      <w:r w:rsidRPr="00E63C90">
        <w:t xml:space="preserve">Source: Approved provider survey, as of </w:t>
      </w:r>
      <w:r>
        <w:t>11</w:t>
      </w:r>
      <w:r w:rsidRPr="00E63C90">
        <w:t xml:space="preserve"> June 2025, Q27, option 1 n=1</w:t>
      </w:r>
      <w:r>
        <w:t>90</w:t>
      </w:r>
      <w:r w:rsidRPr="00E63C90">
        <w:t>, option 2 n=1</w:t>
      </w:r>
      <w:r>
        <w:t>90</w:t>
      </w:r>
      <w:r w:rsidRPr="00E63C90">
        <w:t>, option 3 n=1</w:t>
      </w:r>
      <w:r>
        <w:t>91</w:t>
      </w:r>
      <w:r w:rsidRPr="00E63C90">
        <w:t>, option 4 n=1</w:t>
      </w:r>
      <w:r>
        <w:t>91</w:t>
      </w:r>
      <w:r w:rsidRPr="00E63C90">
        <w:t>, option 5 n=1</w:t>
      </w:r>
      <w:r>
        <w:t>91</w:t>
      </w:r>
      <w:r w:rsidRPr="00E63C90">
        <w:t>, option 6 n=1</w:t>
      </w:r>
      <w:r>
        <w:t>90</w:t>
      </w:r>
      <w:r w:rsidRPr="00E63C90">
        <w:t>.</w:t>
      </w:r>
    </w:p>
    <w:p w14:paraId="309905B8" w14:textId="6D92BA34" w:rsidR="00D601E7" w:rsidRDefault="00D601E7">
      <w:r>
        <w:t xml:space="preserve">Based on the evidence presented, option 2 has been assigned </w:t>
      </w:r>
      <w:r w:rsidR="003055D7">
        <w:t>an MCA</w:t>
      </w:r>
      <w:r w:rsidRPr="00D1591E">
        <w:t xml:space="preserve"> score of two for this criterion.</w:t>
      </w:r>
    </w:p>
    <w:p w14:paraId="2D42D54E" w14:textId="65C1E825" w:rsidR="00D601E7" w:rsidRDefault="00D601E7">
      <w:r>
        <w:t xml:space="preserve">Option 3 would reduce </w:t>
      </w:r>
      <w:r w:rsidR="00792E69">
        <w:t>uneven standards</w:t>
      </w:r>
      <w:r>
        <w:t xml:space="preserve"> and improve consistency </w:t>
      </w:r>
      <w:r w:rsidR="00E10D7A">
        <w:t>in child protection training requirements</w:t>
      </w:r>
      <w:r>
        <w:t xml:space="preserve"> across jurisdictions by requiring </w:t>
      </w:r>
      <w:r w:rsidR="00E10D7A">
        <w:t xml:space="preserve">all nominated supervisors, persons in day-to-day charge and </w:t>
      </w:r>
      <w:r w:rsidR="00FD6F5D">
        <w:t>FDC</w:t>
      </w:r>
      <w:r w:rsidR="00E10D7A">
        <w:t xml:space="preserve"> co-ordinators</w:t>
      </w:r>
      <w:r w:rsidR="002E194F">
        <w:t xml:space="preserve"> </w:t>
      </w:r>
      <w:r>
        <w:t xml:space="preserve">to undertake child protection training across Australia. This improves child safety by ensuring that there is a consistent minimum standard for </w:t>
      </w:r>
      <w:r w:rsidR="00E806E0">
        <w:t>those in leadership roles to complete</w:t>
      </w:r>
      <w:r>
        <w:t xml:space="preserve"> child protection training. However, </w:t>
      </w:r>
      <w:r w:rsidR="00E806E0">
        <w:t xml:space="preserve">option </w:t>
      </w:r>
      <w:r w:rsidR="00E806E0">
        <w:lastRenderedPageBreak/>
        <w:t>3</w:t>
      </w:r>
      <w:r>
        <w:t xml:space="preserve"> does not require child protection training for all staff members working directly with children</w:t>
      </w:r>
      <w:r w:rsidR="00076085">
        <w:t xml:space="preserve"> which will create an imbalance in understanding, level of knowledge and capability of the workforce</w:t>
      </w:r>
      <w:r>
        <w:t>. Compared to option</w:t>
      </w:r>
      <w:r w:rsidR="00E21C22">
        <w:t>s</w:t>
      </w:r>
      <w:r>
        <w:t xml:space="preserve"> 4 and 6, this option would newly require a smaller share of the workforce to undertake </w:t>
      </w:r>
      <w:r w:rsidR="00076085">
        <w:t xml:space="preserve">child protection </w:t>
      </w:r>
      <w:r w:rsidR="00BA7149">
        <w:t xml:space="preserve">or child safety </w:t>
      </w:r>
      <w:r>
        <w:t xml:space="preserve">training. Similarly, many approved providers require their workforce to undertake child protection training even when not legally required. In the approved provider survey, 61% of respondents </w:t>
      </w:r>
      <w:r w:rsidR="00076085">
        <w:t xml:space="preserve">indicated </w:t>
      </w:r>
      <w:r>
        <w:t>that all staff members in their service have completed child protection training.</w:t>
      </w:r>
    </w:p>
    <w:p w14:paraId="2F4539AA" w14:textId="2AF3EB9E" w:rsidR="00D601E7" w:rsidRDefault="00D601E7">
      <w:r>
        <w:t>During consultations, stakeholders noted that this option is important to achieve national consistency and that a published list of approved training reduces ambiguity around what qualifies as acceptable training, but there are more roles and staff members within a service that work with children and should be trained.</w:t>
      </w:r>
    </w:p>
    <w:p w14:paraId="0859AB8E" w14:textId="10099A5C" w:rsidR="00D601E7" w:rsidRPr="00DA0544" w:rsidRDefault="00D601E7">
      <w:pPr>
        <w:ind w:left="360"/>
        <w:rPr>
          <w:i/>
          <w:color w:val="A12068"/>
        </w:rPr>
      </w:pPr>
      <w:r w:rsidRPr="00DA0544">
        <w:rPr>
          <w:i/>
          <w:color w:val="A12068"/>
        </w:rPr>
        <w:t xml:space="preserve">“Chain of responsibility can potentially be compromised if only specific persons working with and alongside children have this training. It is everyone’s responsibility to ensure a safe environment is provided. This should align with the child safe standards, specifically standard 7” – Approved provider survey </w:t>
      </w:r>
    </w:p>
    <w:p w14:paraId="24159C17" w14:textId="56596F45" w:rsidR="00D601E7" w:rsidRDefault="00D601E7">
      <w:r>
        <w:t>Respondents to all three surveys indicated that option 3 would somewhat reduce the risk of harm to children, however there was a slight increase in the survey responses that nominated ‘greatly reduce’ for this option relative to option 2 (refer to C</w:t>
      </w:r>
      <w:r w:rsidRPr="00D1591E">
        <w:t xml:space="preserve">hart </w:t>
      </w:r>
      <w:r>
        <w:t>6</w:t>
      </w:r>
      <w:r w:rsidRPr="00D1591E">
        <w:t>.1</w:t>
      </w:r>
      <w:r>
        <w:t xml:space="preserve"> for approved provider survey responses and </w:t>
      </w:r>
      <w:hyperlink w:anchor="_12.3.2_Child_safety" w:history="1">
        <w:r w:rsidRPr="00304831">
          <w:rPr>
            <w:rStyle w:val="Hyperlink"/>
          </w:rPr>
          <w:t>Appendix 12.3</w:t>
        </w:r>
        <w:r w:rsidR="00D41604" w:rsidRPr="00304831">
          <w:rPr>
            <w:rStyle w:val="Hyperlink"/>
          </w:rPr>
          <w:t>.2</w:t>
        </w:r>
      </w:hyperlink>
      <w:r>
        <w:t xml:space="preserve"> for workforce and families, parents and carers survey responses).</w:t>
      </w:r>
    </w:p>
    <w:p w14:paraId="0A0D6E45" w14:textId="53CC77FD" w:rsidR="00D601E7" w:rsidRDefault="00BA7149">
      <w:r>
        <w:t>The</w:t>
      </w:r>
      <w:r w:rsidR="00D601E7">
        <w:t xml:space="preserve"> impact of this option on child safety outcomes would be larger than option 2</w:t>
      </w:r>
      <w:r>
        <w:t xml:space="preserve"> due to the requirement for multiple staff roles to complete child protection training</w:t>
      </w:r>
      <w:r w:rsidR="00D601E7">
        <w:t>, and likely relatively small</w:t>
      </w:r>
      <w:r>
        <w:t>er</w:t>
      </w:r>
      <w:r w:rsidR="00D601E7">
        <w:t xml:space="preserve"> compared to option</w:t>
      </w:r>
      <w:r w:rsidR="00155755">
        <w:t>s</w:t>
      </w:r>
      <w:r w:rsidR="00D601E7">
        <w:t xml:space="preserve"> 4 and 6</w:t>
      </w:r>
      <w:r>
        <w:t xml:space="preserve"> due to a smaller number of roles required to undertake child protection or child safety training.</w:t>
      </w:r>
      <w:r w:rsidR="00CE4B7E">
        <w:t xml:space="preserve"> </w:t>
      </w:r>
      <w:r w:rsidR="00155755">
        <w:t>As such, o</w:t>
      </w:r>
      <w:r w:rsidR="00D601E7">
        <w:t xml:space="preserve">ption 3 has been assigned </w:t>
      </w:r>
      <w:r w:rsidR="003055D7">
        <w:t>an MCA</w:t>
      </w:r>
      <w:r w:rsidR="00D601E7">
        <w:t xml:space="preserve"> score of three for this criterion.</w:t>
      </w:r>
    </w:p>
    <w:p w14:paraId="33505802" w14:textId="61D4078D" w:rsidR="00D601E7" w:rsidRDefault="00D601E7">
      <w:r>
        <w:t>Option 4 improves child safety through two mechanisms. First, by improving consistency across jurisdictions in the roles that are required to undertake child protection training</w:t>
      </w:r>
      <w:r w:rsidR="00D576C8">
        <w:t xml:space="preserve"> by requiring it in al</w:t>
      </w:r>
      <w:r w:rsidR="00F4323D">
        <w:t>l</w:t>
      </w:r>
      <w:r w:rsidR="00D576C8">
        <w:t xml:space="preserve"> jurisdictions</w:t>
      </w:r>
      <w:r>
        <w:t xml:space="preserve">, and second, by encouraging a cultural shift in responsibility for child </w:t>
      </w:r>
      <w:r w:rsidR="00232EDD">
        <w:t xml:space="preserve">protection </w:t>
      </w:r>
      <w:r>
        <w:t>across services by broadening the scope of roles that are required to undertake child protection training</w:t>
      </w:r>
      <w:r w:rsidR="00F4323D">
        <w:t xml:space="preserve"> therefore recognising the important role all educators and staff, irrespective of their position, play in protecting children</w:t>
      </w:r>
      <w:r>
        <w:t xml:space="preserve">. Further, option 4 encourages the education and care sector to help services across Australia achieve </w:t>
      </w:r>
      <w:r w:rsidR="00BD4A7D">
        <w:t xml:space="preserve">principle 7 of the </w:t>
      </w:r>
      <w:r w:rsidR="00BD4A7D">
        <w:lastRenderedPageBreak/>
        <w:t>National Principles</w:t>
      </w:r>
      <w:r>
        <w:t>, by equipping staff and volunteers with the knowledge skills, and awareness to keep children safe through ongoing education and training.</w:t>
      </w:r>
      <w:r>
        <w:rPr>
          <w:rStyle w:val="FootnoteReference"/>
        </w:rPr>
        <w:footnoteReference w:id="64"/>
      </w:r>
      <w:r w:rsidR="00444A15">
        <w:t xml:space="preserve"> </w:t>
      </w:r>
    </w:p>
    <w:p w14:paraId="478A2CB0" w14:textId="6BDE41E3" w:rsidR="00D601E7" w:rsidRPr="00506EED" w:rsidRDefault="00D601E7">
      <w:pPr>
        <w:ind w:left="360"/>
        <w:rPr>
          <w:i/>
          <w:color w:val="A12068"/>
        </w:rPr>
      </w:pPr>
      <w:r w:rsidRPr="00506EED">
        <w:rPr>
          <w:i/>
          <w:color w:val="A12068"/>
        </w:rPr>
        <w:t>“Reinforces that child protection is everyone’s responsibility, not just that of coordinators or supervisors. It encourages a more confident and informed workforce – particularly for new or less experienced educators, student son placement, and casual staff” – Approved provider survey</w:t>
      </w:r>
    </w:p>
    <w:p w14:paraId="31FA8E21" w14:textId="3F1859C4" w:rsidR="00D601E7" w:rsidRDefault="00D601E7">
      <w:r>
        <w:t xml:space="preserve">Option 4 </w:t>
      </w:r>
      <w:r w:rsidR="0069262E">
        <w:t>improves</w:t>
      </w:r>
      <w:r>
        <w:t xml:space="preserve"> child safety by </w:t>
      </w:r>
      <w:r w:rsidR="0069262E">
        <w:t>requiring those working with children at</w:t>
      </w:r>
      <w:r>
        <w:t xml:space="preserve"> all levels of an organisation</w:t>
      </w:r>
      <w:r w:rsidR="008F47A1">
        <w:t xml:space="preserve"> to be well equipped to respond to child </w:t>
      </w:r>
      <w:r w:rsidR="002D3AA2">
        <w:t>protection</w:t>
      </w:r>
      <w:r w:rsidR="008F47A1">
        <w:t xml:space="preserve"> risks</w:t>
      </w:r>
      <w:r>
        <w:t>. This expands the remit of</w:t>
      </w:r>
      <w:r w:rsidR="00C235E1">
        <w:t xml:space="preserve"> </w:t>
      </w:r>
      <w:r w:rsidR="008B00A1">
        <w:t xml:space="preserve">the requirement to complete </w:t>
      </w:r>
      <w:r>
        <w:t>child protection training to substantially more individuals than under option 3. Similar</w:t>
      </w:r>
      <w:r w:rsidR="008B00A1">
        <w:t>ly</w:t>
      </w:r>
      <w:r>
        <w:t xml:space="preserve"> to option 3, </w:t>
      </w:r>
      <w:r w:rsidR="00455323">
        <w:t xml:space="preserve">the jurisdictional differences </w:t>
      </w:r>
      <w:r w:rsidR="002D3AA2">
        <w:t>i</w:t>
      </w:r>
      <w:r w:rsidR="00455323">
        <w:t>n what is included in each state and territory’s child protection training</w:t>
      </w:r>
      <w:r>
        <w:t xml:space="preserve"> remain with option 4. From consultative activity, stakeholders have noted that option 4’s breadth ensures that more people who interact with children have improved confidence and capability to respond to signs of </w:t>
      </w:r>
      <w:r w:rsidR="00455323">
        <w:t>child maltreatment</w:t>
      </w:r>
      <w:r>
        <w:t xml:space="preserve">. Stakeholders have also noted that option 4 </w:t>
      </w:r>
      <w:r w:rsidR="00455323">
        <w:t xml:space="preserve">improves the </w:t>
      </w:r>
      <w:r>
        <w:t xml:space="preserve">professionalism and safeguards the reputation of </w:t>
      </w:r>
      <w:r w:rsidR="00455323">
        <w:t>the</w:t>
      </w:r>
      <w:r>
        <w:t xml:space="preserve"> education and care sector.</w:t>
      </w:r>
    </w:p>
    <w:p w14:paraId="7FEEFAE7" w14:textId="3C3C3B94" w:rsidR="00D601E7" w:rsidRPr="002045C5" w:rsidRDefault="00D601E7">
      <w:pPr>
        <w:ind w:left="360"/>
        <w:rPr>
          <w:i/>
          <w:color w:val="A12068"/>
        </w:rPr>
      </w:pPr>
      <w:r w:rsidRPr="002045C5">
        <w:rPr>
          <w:i/>
          <w:color w:val="A12068"/>
        </w:rPr>
        <w:t xml:space="preserve">“Ensures all persons working directly with children have undertaken child protection training and understand their obligations and sector expectation.” – Approved provider survey </w:t>
      </w:r>
    </w:p>
    <w:p w14:paraId="1507AF8D" w14:textId="1BF5FBB8" w:rsidR="00D601E7" w:rsidRDefault="00D601E7">
      <w:r>
        <w:t xml:space="preserve">Option 4 affects significantly more of the workforce compared to option 3 and has been assigned a higher </w:t>
      </w:r>
      <w:r w:rsidRPr="00D1591E">
        <w:t xml:space="preserve">MCA score of </w:t>
      </w:r>
      <w:r>
        <w:t xml:space="preserve">five for </w:t>
      </w:r>
      <w:r w:rsidR="009A6CE1">
        <w:t xml:space="preserve">the child safety </w:t>
      </w:r>
      <w:r>
        <w:t xml:space="preserve">criterion. This also reflects survey responses that option 4 is more likely to greatly reduce the risk of harm to children (refer to Chart 6.1 and </w:t>
      </w:r>
      <w:hyperlink w:anchor="_12.3.2_Child_safety" w:history="1">
        <w:r w:rsidRPr="00304831">
          <w:rPr>
            <w:rStyle w:val="Hyperlink"/>
          </w:rPr>
          <w:t>Appendix 12.3</w:t>
        </w:r>
        <w:r w:rsidR="00D41604" w:rsidRPr="00304831">
          <w:rPr>
            <w:rStyle w:val="Hyperlink"/>
          </w:rPr>
          <w:t>.2</w:t>
        </w:r>
      </w:hyperlink>
      <w:r>
        <w:t>).</w:t>
      </w:r>
    </w:p>
    <w:p w14:paraId="7D3C2AA0" w14:textId="27E4D6B9" w:rsidR="00D601E7" w:rsidRDefault="00D601E7">
      <w:r>
        <w:t xml:space="preserve">Option 5 improves child safety by expanding the coverage of people within an education and care service who are required to be </w:t>
      </w:r>
      <w:r w:rsidR="009A6CE1">
        <w:t xml:space="preserve">made </w:t>
      </w:r>
      <w:r>
        <w:t>aware of</w:t>
      </w:r>
      <w:r w:rsidR="009A6CE1">
        <w:t xml:space="preserve"> the existence and application of current</w:t>
      </w:r>
      <w:r>
        <w:t xml:space="preserve"> child protection law</w:t>
      </w:r>
      <w:r w:rsidR="009A6CE1">
        <w:t xml:space="preserve"> in their jurisdiction and</w:t>
      </w:r>
      <w:r>
        <w:t xml:space="preserve"> their obligations under </w:t>
      </w:r>
      <w:r w:rsidR="00E92972">
        <w:t>that</w:t>
      </w:r>
      <w:r>
        <w:t xml:space="preserve"> law. Under option</w:t>
      </w:r>
      <w:r w:rsidR="00FA3521">
        <w:t xml:space="preserve"> 5</w:t>
      </w:r>
      <w:r>
        <w:t xml:space="preserve">, </w:t>
      </w:r>
      <w:r w:rsidR="00FA3521">
        <w:t>the approved provider of an education and care service must ensure</w:t>
      </w:r>
      <w:r>
        <w:t xml:space="preserve"> all staff and volunteers, whether or not they work with children </w:t>
      </w:r>
      <w:r w:rsidR="001B072D">
        <w:t>are</w:t>
      </w:r>
      <w:r>
        <w:t xml:space="preserve"> made aware of </w:t>
      </w:r>
      <w:r w:rsidR="001B072D">
        <w:t xml:space="preserve">the current child protection law and </w:t>
      </w:r>
      <w:r>
        <w:t xml:space="preserve">their obligations under </w:t>
      </w:r>
      <w:r w:rsidR="001B072D">
        <w:t>it</w:t>
      </w:r>
      <w:r>
        <w:t xml:space="preserve">. This will support the sector </w:t>
      </w:r>
      <w:r w:rsidR="006D00D1">
        <w:t>and improve</w:t>
      </w:r>
      <w:r>
        <w:t xml:space="preserve"> child safety by </w:t>
      </w:r>
      <w:r w:rsidR="006D00D1">
        <w:t>assisting</w:t>
      </w:r>
      <w:r>
        <w:t xml:space="preserve"> all staff members to better recognise potential child maltreatment and understand how to respond and report instances of maltreatment. While option</w:t>
      </w:r>
      <w:r w:rsidR="00F92131">
        <w:t xml:space="preserve"> 5</w:t>
      </w:r>
      <w:r>
        <w:t xml:space="preserve"> will support </w:t>
      </w:r>
      <w:r w:rsidR="008F3CF2">
        <w:t xml:space="preserve">staff, across a larger share of the education and care workforce, to better understand the relevant </w:t>
      </w:r>
      <w:r w:rsidR="008F3CF2">
        <w:lastRenderedPageBreak/>
        <w:t>child protection law and ensure awareness of appropriate reporting channels, including any mandatory reporting requirements</w:t>
      </w:r>
      <w:r>
        <w:t xml:space="preserve">, it is </w:t>
      </w:r>
      <w:r w:rsidR="00CB4137" w:rsidRPr="00B64375">
        <w:t>less likely to be</w:t>
      </w:r>
      <w:r>
        <w:t xml:space="preserve"> impactful on reducing harm to children than training. Some stakeholders raised that awareness of child protection law does not necessarily translate into a more knowledgeable and capable workforce, whereas training has a stronger focus on building knowledge and capability</w:t>
      </w:r>
      <w:r w:rsidR="008F3CF2">
        <w:t xml:space="preserve"> through practical application of skills</w:t>
      </w:r>
      <w:r>
        <w:t>.</w:t>
      </w:r>
    </w:p>
    <w:p w14:paraId="0B6D0279" w14:textId="4D5CB2D9" w:rsidR="00D601E7" w:rsidRPr="001F566F" w:rsidRDefault="00D601E7">
      <w:pPr>
        <w:ind w:left="360"/>
        <w:rPr>
          <w:i/>
          <w:color w:val="A12068"/>
        </w:rPr>
      </w:pPr>
      <w:r w:rsidRPr="001F566F">
        <w:rPr>
          <w:i/>
          <w:color w:val="A12068"/>
        </w:rPr>
        <w:t>“Awareness does not equal knowledge.” – Approved provider survey</w:t>
      </w:r>
    </w:p>
    <w:p w14:paraId="05EE2C03" w14:textId="0A4D21C0" w:rsidR="00D601E7" w:rsidRDefault="00D601E7">
      <w:r>
        <w:t xml:space="preserve">Responses from all three surveys indicated that stakeholders believe that </w:t>
      </w:r>
      <w:r w:rsidR="009D71BC">
        <w:t>op</w:t>
      </w:r>
      <w:r>
        <w:t>tion 5 could greatly reduce the risk of harm to children – though confidence in this option for reducing the risk of harm to children was slightly lower than for options 4 and 6 refer to Chart 6.1 and Appendix 12.3</w:t>
      </w:r>
      <w:r w:rsidR="00D41604">
        <w:t>.2</w:t>
      </w:r>
      <w:r>
        <w:t>).</w:t>
      </w:r>
    </w:p>
    <w:p w14:paraId="5D7D808D" w14:textId="2F63D1C8" w:rsidR="00D601E7" w:rsidRDefault="00D601E7">
      <w:r>
        <w:t xml:space="preserve">Based on this evidence, option 5 has a smaller impact on improving the depth of child </w:t>
      </w:r>
      <w:r w:rsidR="004037DC">
        <w:t xml:space="preserve">protection </w:t>
      </w:r>
      <w:r>
        <w:t xml:space="preserve">knowledge of the workforce compared to option 3 and 4 but affects a larger proportion of the workforce compared to options 3 and 4. It has been assigned </w:t>
      </w:r>
      <w:r w:rsidR="003055D7">
        <w:t>an MCA</w:t>
      </w:r>
      <w:r w:rsidRPr="00D1591E">
        <w:t xml:space="preserve"> score of </w:t>
      </w:r>
      <w:r>
        <w:t xml:space="preserve">four for this criterion, between options 3 and 4. </w:t>
      </w:r>
    </w:p>
    <w:p w14:paraId="0DC63130" w14:textId="2373B4B5" w:rsidR="00D601E7" w:rsidRDefault="00D601E7">
      <w:r>
        <w:t>Option 6 improves child safety through several mechanisms.</w:t>
      </w:r>
    </w:p>
    <w:p w14:paraId="12498B38" w14:textId="5DF1DF0D" w:rsidR="00D601E7" w:rsidRDefault="00D601E7" w:rsidP="00EC53AB">
      <w:pPr>
        <w:pStyle w:val="ListParagraph"/>
        <w:numPr>
          <w:ilvl w:val="0"/>
          <w:numId w:val="2"/>
        </w:numPr>
        <w:ind w:left="426"/>
      </w:pPr>
      <w:r>
        <w:t>First</w:t>
      </w:r>
      <w:r w:rsidR="009B643A">
        <w:t>ly</w:t>
      </w:r>
      <w:r>
        <w:t xml:space="preserve">, option 6 </w:t>
      </w:r>
      <w:r w:rsidR="009B643A">
        <w:t xml:space="preserve">proposes to </w:t>
      </w:r>
      <w:r>
        <w:t xml:space="preserve">introduce nationally consistent </w:t>
      </w:r>
      <w:r w:rsidR="009B643A">
        <w:t xml:space="preserve">and mandatory </w:t>
      </w:r>
      <w:r>
        <w:t>child safety training. This</w:t>
      </w:r>
      <w:r w:rsidR="009B643A">
        <w:t xml:space="preserve"> will</w:t>
      </w:r>
      <w:r>
        <w:t xml:space="preserve"> address the existing </w:t>
      </w:r>
      <w:r w:rsidR="009B643A">
        <w:t xml:space="preserve">gap in sector </w:t>
      </w:r>
      <w:r>
        <w:t xml:space="preserve">capability and understanding </w:t>
      </w:r>
      <w:r w:rsidR="009B643A">
        <w:t>of how the broader concept of child safety differs from and goes beyond child protection.</w:t>
      </w:r>
      <w:r>
        <w:t xml:space="preserve"> </w:t>
      </w:r>
    </w:p>
    <w:p w14:paraId="2A6EA582" w14:textId="5835DA5C" w:rsidR="00D601E7" w:rsidRDefault="00D601E7" w:rsidP="00EC53AB">
      <w:pPr>
        <w:pStyle w:val="ListParagraph"/>
        <w:numPr>
          <w:ilvl w:val="0"/>
          <w:numId w:val="2"/>
        </w:numPr>
        <w:ind w:left="426"/>
      </w:pPr>
      <w:r>
        <w:t>Second</w:t>
      </w:r>
      <w:r w:rsidR="00A958BC">
        <w:t>ly</w:t>
      </w:r>
      <w:r>
        <w:t xml:space="preserve">, this option requires all people involved in the provision of education and care services </w:t>
      </w:r>
      <w:r w:rsidR="00A958BC">
        <w:t>(including those who do not directly work with children)</w:t>
      </w:r>
      <w:r>
        <w:t xml:space="preserve"> to undertake child safety training. Option 6 requires a broader </w:t>
      </w:r>
      <w:r w:rsidR="00A958BC">
        <w:t xml:space="preserve">range </w:t>
      </w:r>
      <w:r>
        <w:t xml:space="preserve">of roles to undertake child safety training compared to the </w:t>
      </w:r>
      <w:r w:rsidR="00A958BC">
        <w:t xml:space="preserve">range </w:t>
      </w:r>
      <w:r>
        <w:t xml:space="preserve">of roles required to undertake child protection training under option 4, by requiring those who do not work directly with children to also complete </w:t>
      </w:r>
      <w:r w:rsidR="00A958BC">
        <w:t xml:space="preserve">child safety </w:t>
      </w:r>
      <w:r>
        <w:t>training.</w:t>
      </w:r>
    </w:p>
    <w:p w14:paraId="019F6867" w14:textId="2EE29678" w:rsidR="00D601E7" w:rsidRDefault="00D601E7" w:rsidP="00EC53AB">
      <w:pPr>
        <w:pStyle w:val="ListParagraph"/>
        <w:numPr>
          <w:ilvl w:val="0"/>
          <w:numId w:val="2"/>
        </w:numPr>
        <w:ind w:left="426"/>
      </w:pPr>
      <w:r>
        <w:t>Third</w:t>
      </w:r>
      <w:r w:rsidR="00E20371">
        <w:t>ly</w:t>
      </w:r>
      <w:r>
        <w:t>, option 6 requires refresher training every two years</w:t>
      </w:r>
      <w:r w:rsidR="00E20371">
        <w:t>.</w:t>
      </w:r>
      <w:r>
        <w:t xml:space="preserve"> </w:t>
      </w:r>
      <w:r w:rsidR="00E20371">
        <w:t>T</w:t>
      </w:r>
      <w:r>
        <w:t>his maintains the currency of child safety knowledge and capability across the sector</w:t>
      </w:r>
      <w:r w:rsidR="00335B89">
        <w:t xml:space="preserve"> including evolving risks such as those presented by technological advancement</w:t>
      </w:r>
      <w:r>
        <w:t>. By requiring refresher training, the knowledge and capability of the workforce will evolve to reflect the changing risks to child safety within the sector.</w:t>
      </w:r>
    </w:p>
    <w:p w14:paraId="59518F6C" w14:textId="60EE8A76" w:rsidR="00D601E7" w:rsidRPr="00677242" w:rsidRDefault="00D601E7">
      <w:pPr>
        <w:ind w:left="360"/>
        <w:rPr>
          <w:i/>
          <w:color w:val="A12068"/>
        </w:rPr>
      </w:pPr>
      <w:r w:rsidRPr="00677242">
        <w:rPr>
          <w:i/>
          <w:color w:val="A12068"/>
        </w:rPr>
        <w:t>“This will have the biggest positive impact as it will ensure all staff working at the service have relevant and current training.” – Approved provider survey</w:t>
      </w:r>
    </w:p>
    <w:p w14:paraId="493C2289" w14:textId="7B4A1479" w:rsidR="00D601E7" w:rsidRPr="00677242" w:rsidRDefault="00D601E7">
      <w:pPr>
        <w:ind w:left="360"/>
        <w:rPr>
          <w:i/>
          <w:color w:val="A12068"/>
        </w:rPr>
      </w:pPr>
      <w:r w:rsidRPr="00677242">
        <w:rPr>
          <w:i/>
          <w:color w:val="A12068"/>
        </w:rPr>
        <w:lastRenderedPageBreak/>
        <w:t>“Creates a nationally consistent baseline of understanding, every person working in education and care would receive the same high-quality, up-to-date training, ensuring sector wide consistency across states and service types” – Approved provider survey</w:t>
      </w:r>
    </w:p>
    <w:p w14:paraId="43D44D62" w14:textId="73A116C9" w:rsidR="00D601E7" w:rsidRPr="00D1591E" w:rsidRDefault="00D601E7">
      <w:r>
        <w:t xml:space="preserve">In consultative activity, stakeholders agreed that national consistency for child protection and </w:t>
      </w:r>
      <w:r w:rsidR="003C26F4">
        <w:t xml:space="preserve">child </w:t>
      </w:r>
      <w:r>
        <w:t>safety training is important. There was agreement from all stakeholders that option 6 would have the greatest impact on child safety out of all options (refer to C</w:t>
      </w:r>
      <w:r w:rsidRPr="00D1591E">
        <w:t xml:space="preserve">hart </w:t>
      </w:r>
      <w:r>
        <w:t>6</w:t>
      </w:r>
      <w:r w:rsidRPr="00D1591E">
        <w:t>.1</w:t>
      </w:r>
      <w:r>
        <w:t xml:space="preserve"> and </w:t>
      </w:r>
      <w:hyperlink w:anchor="_12.3.2_Child_safety" w:history="1">
        <w:r w:rsidRPr="00CD6F2B">
          <w:rPr>
            <w:rStyle w:val="Hyperlink"/>
          </w:rPr>
          <w:t>Appendix 12.3</w:t>
        </w:r>
        <w:r w:rsidR="00466973" w:rsidRPr="00CD6F2B">
          <w:rPr>
            <w:rStyle w:val="Hyperlink"/>
          </w:rPr>
          <w:t>.2</w:t>
        </w:r>
      </w:hyperlink>
      <w:r w:rsidRPr="00D1591E">
        <w:t xml:space="preserve">), however, stakeholders </w:t>
      </w:r>
      <w:r w:rsidR="00FE4C9E">
        <w:t>across all jurisdictions</w:t>
      </w:r>
      <w:r w:rsidRPr="00D1591E">
        <w:t xml:space="preserve"> noted that further clarity on the mode of delivery, the provider of training, and the contents of the child protection or </w:t>
      </w:r>
      <w:r w:rsidR="003C26F4">
        <w:t xml:space="preserve">child </w:t>
      </w:r>
      <w:r w:rsidRPr="00D1591E">
        <w:t xml:space="preserve">safety training would impact the improvement to child safety outcomes of each of the options. Overall, stakeholders agree that </w:t>
      </w:r>
      <w:r w:rsidR="003B6DA5">
        <w:t xml:space="preserve">of all the policy options, </w:t>
      </w:r>
      <w:r w:rsidRPr="00D1591E">
        <w:t>option 6 improves</w:t>
      </w:r>
      <w:r w:rsidR="003B6DA5">
        <w:t xml:space="preserve">, </w:t>
      </w:r>
      <w:r w:rsidRPr="00D1591E">
        <w:t xml:space="preserve">promotes and safeguards the reputation and professionalism of the education and care sector </w:t>
      </w:r>
      <w:r w:rsidR="003B6DA5">
        <w:t>the most.</w:t>
      </w:r>
    </w:p>
    <w:p w14:paraId="4B3A225F" w14:textId="114C6FEF" w:rsidR="00D601E7" w:rsidRPr="007B6225" w:rsidRDefault="00D601E7">
      <w:r>
        <w:t xml:space="preserve">Option 6 is the broadest and most comprehensive policy option that improves child safety in terms of scale of individuals required to undertake training, and breadth of child safety training content compared to options 2, 3, 4 and 5. As such, it has been assigned a higher </w:t>
      </w:r>
      <w:r w:rsidRPr="00D1591E">
        <w:t>MCA score of eight</w:t>
      </w:r>
      <w:r>
        <w:t xml:space="preserve"> for this criterion.</w:t>
      </w:r>
    </w:p>
    <w:p w14:paraId="41CDC4CA" w14:textId="3ABC2D6A" w:rsidR="00D601E7" w:rsidRPr="00466043" w:rsidRDefault="00D601E7">
      <w:pPr>
        <w:pStyle w:val="Heading4"/>
      </w:pPr>
      <w:r w:rsidRPr="00466043">
        <w:t xml:space="preserve">Cost of </w:t>
      </w:r>
      <w:r>
        <w:t>each</w:t>
      </w:r>
      <w:r w:rsidRPr="00466043">
        <w:t xml:space="preserve"> option</w:t>
      </w:r>
    </w:p>
    <w:p w14:paraId="0555B604" w14:textId="110E3E2B" w:rsidR="00083FB9" w:rsidRDefault="00D601E7">
      <w:r>
        <w:t xml:space="preserve">Under option 2, </w:t>
      </w:r>
      <w:r w:rsidR="009F2F6D">
        <w:t>there may be</w:t>
      </w:r>
      <w:r>
        <w:t xml:space="preserve"> costs to develop nationally consistent resources and training guidance materials. Incremental costs will be more significant if relevant materials cannot be developed with the support of existing government resources and as part of business-as-usual activities. Option 2 is non-regulatory and depends on the uptake and implementation of resources and materials by RTOs and higher education institutes. Depending on the scale and level of uptake, this option would incur costs for RTOs and higher education institutes to change or update their courses</w:t>
      </w:r>
      <w:r w:rsidR="003B3EA6">
        <w:t xml:space="preserve"> to include additional materials</w:t>
      </w:r>
      <w:r>
        <w:t xml:space="preserve">. </w:t>
      </w:r>
    </w:p>
    <w:p w14:paraId="090A8F19" w14:textId="66400CB2" w:rsidR="00D601E7" w:rsidRDefault="00D601E7">
      <w:r>
        <w:t xml:space="preserve">In consultation with RTOs, stakeholders noted that if additional materials provided to them required a change to their unit competency, they may need to reapply for their accreditation status and incur significant costs as a result. Stakeholders noted that they would require further specificity and clarity on what the training resources and materials would be before they could anticipate the scale of change needed or provide input to any quantification of the cost of option 2. </w:t>
      </w:r>
      <w:r w:rsidR="00083FB9">
        <w:t xml:space="preserve">While the cost of option 2 may be substantial for an RTO, uptake is voluntary and the cost would impact a relatively smaller number of stakeholders than options 3 to 6. As a </w:t>
      </w:r>
      <w:r w:rsidR="004B6901">
        <w:t>result, option 2 has been assigned an MCA score of negative two.</w:t>
      </w:r>
    </w:p>
    <w:p w14:paraId="642142E2" w14:textId="6A73AB9E" w:rsidR="00D601E7" w:rsidRDefault="00D601E7">
      <w:r>
        <w:lastRenderedPageBreak/>
        <w:t xml:space="preserve">Options 3 to 6 incur similar </w:t>
      </w:r>
      <w:r w:rsidR="0073653A">
        <w:t xml:space="preserve">types </w:t>
      </w:r>
      <w:r w:rsidR="00281F97">
        <w:t xml:space="preserve">of </w:t>
      </w:r>
      <w:r>
        <w:t xml:space="preserve">costs, with the difference resulting from the scale and breadth of roles that are required to undertake </w:t>
      </w:r>
      <w:r w:rsidR="00281F97">
        <w:t>the relevant</w:t>
      </w:r>
      <w:r>
        <w:t xml:space="preserve"> training. In consultative activities, stakeholders identified several different types of cost that would be incurred </w:t>
      </w:r>
      <w:r w:rsidR="00281F97">
        <w:t xml:space="preserve">by a range of stakeholder types, </w:t>
      </w:r>
      <w:r>
        <w:t>to implement options 3 to 6, including:</w:t>
      </w:r>
    </w:p>
    <w:p w14:paraId="4D61A8C7" w14:textId="45F1096E" w:rsidR="00D601E7" w:rsidRDefault="00D601E7" w:rsidP="00EC53AB">
      <w:pPr>
        <w:pStyle w:val="ListParagraph"/>
        <w:numPr>
          <w:ilvl w:val="0"/>
          <w:numId w:val="2"/>
        </w:numPr>
        <w:ind w:left="426"/>
      </w:pPr>
      <w:r>
        <w:t>the cost of accessing training materials and programs</w:t>
      </w:r>
    </w:p>
    <w:p w14:paraId="62F5FD2F" w14:textId="10CC4C83" w:rsidR="00D601E7" w:rsidRDefault="00D601E7" w:rsidP="00EC53AB">
      <w:pPr>
        <w:pStyle w:val="ListParagraph"/>
        <w:numPr>
          <w:ilvl w:val="0"/>
          <w:numId w:val="2"/>
        </w:numPr>
        <w:ind w:left="426"/>
      </w:pPr>
      <w:r>
        <w:t xml:space="preserve">the costs of </w:t>
      </w:r>
      <w:r w:rsidR="00035BFE">
        <w:t>an</w:t>
      </w:r>
      <w:r>
        <w:t xml:space="preserve"> individual’s time to undertake training (which may require staff </w:t>
      </w:r>
      <w:r w:rsidR="00E76B47">
        <w:t>backfill, overtime</w:t>
      </w:r>
      <w:r>
        <w:t xml:space="preserve"> pay</w:t>
      </w:r>
      <w:r w:rsidR="00BA02FE">
        <w:t xml:space="preserve"> or leisure time for students</w:t>
      </w:r>
      <w:r>
        <w:t>)</w:t>
      </w:r>
      <w:r w:rsidR="00841575">
        <w:t>,</w:t>
      </w:r>
    </w:p>
    <w:p w14:paraId="4229333D" w14:textId="0AA6F1C5" w:rsidR="00D601E7" w:rsidRDefault="00D601E7" w:rsidP="00EC53AB">
      <w:pPr>
        <w:pStyle w:val="ListParagraph"/>
        <w:numPr>
          <w:ilvl w:val="0"/>
          <w:numId w:val="2"/>
        </w:numPr>
        <w:ind w:left="426"/>
      </w:pPr>
      <w:r>
        <w:t>travel costs, in instances where in-person training is required and if training is only delivered at specific locations</w:t>
      </w:r>
      <w:r w:rsidR="00841575">
        <w:t>,</w:t>
      </w:r>
    </w:p>
    <w:p w14:paraId="2261D57C" w14:textId="735AA78C" w:rsidR="00D601E7" w:rsidRDefault="00D601E7" w:rsidP="00EC53AB">
      <w:pPr>
        <w:pStyle w:val="ListParagraph"/>
        <w:numPr>
          <w:ilvl w:val="0"/>
          <w:numId w:val="2"/>
        </w:numPr>
        <w:ind w:left="426"/>
      </w:pPr>
      <w:r>
        <w:t>administrative costs to monitor completion of training, of which the burden might be reduced if additional training could be implemented together with existing training and monitoring processes</w:t>
      </w:r>
      <w:r w:rsidR="00841575">
        <w:t>,</w:t>
      </w:r>
    </w:p>
    <w:p w14:paraId="0C2B8886" w14:textId="12844C21" w:rsidR="00D601E7" w:rsidRDefault="00D601E7" w:rsidP="00EC53AB">
      <w:pPr>
        <w:pStyle w:val="ListParagraph"/>
        <w:numPr>
          <w:ilvl w:val="0"/>
          <w:numId w:val="2"/>
        </w:numPr>
        <w:ind w:left="426"/>
      </w:pPr>
      <w:r>
        <w:t>costs to develop a published list of approved child protection training (this cost would be incurred by the government and applies to options 3 and 4)</w:t>
      </w:r>
      <w:r w:rsidR="00841575">
        <w:t>,</w:t>
      </w:r>
    </w:p>
    <w:p w14:paraId="306C0FE7" w14:textId="77777777" w:rsidR="007A015E" w:rsidRDefault="007A015E" w:rsidP="00EC53AB">
      <w:pPr>
        <w:pStyle w:val="ListParagraph"/>
        <w:numPr>
          <w:ilvl w:val="0"/>
          <w:numId w:val="2"/>
        </w:numPr>
        <w:ind w:left="426"/>
      </w:pPr>
      <w:r>
        <w:t>costs to develop suitable training and facilitate the training.</w:t>
      </w:r>
    </w:p>
    <w:p w14:paraId="4F0F71AC" w14:textId="2340E8B1" w:rsidR="00D601E7" w:rsidRDefault="00D601E7">
      <w:r>
        <w:t xml:space="preserve">The magnitude of costs incurred is dependent on the content, mode, duration and format of training. The additional costs would vary by services and jurisdictions depending on jurisdictional law and the scale of training currently delivered to their service staff. </w:t>
      </w:r>
    </w:p>
    <w:p w14:paraId="2EA972C0" w14:textId="254A0940" w:rsidR="00D601E7" w:rsidRDefault="00D601E7">
      <w:r>
        <w:t>Stakeholder input indicates that stakeholders were not able to provide estimates of costs without further detail or definition of these aspects of the training requirements. For example, stakeholders indicated that costs would be significantly higher if in-person training is required under any option, however this is not explicit in the current description of the</w:t>
      </w:r>
      <w:r w:rsidRPr="00592D6F">
        <w:t xml:space="preserve"> </w:t>
      </w:r>
      <w:r>
        <w:t xml:space="preserve">options. As such, stakeholders did not provide estimates of the potential costs of the options. </w:t>
      </w:r>
    </w:p>
    <w:p w14:paraId="63C0C9EC" w14:textId="1BCDCDA7" w:rsidR="00D601E7" w:rsidRDefault="00D601E7">
      <w:r>
        <w:t xml:space="preserve">To provide an indicative example of one scenario of costs, this DRIS includes the estimated cost of individuals undertaking </w:t>
      </w:r>
      <w:r w:rsidR="00750093">
        <w:t xml:space="preserve">child protection </w:t>
      </w:r>
      <w:r>
        <w:t xml:space="preserve">training and the associated cost of backfilling that individual, based </w:t>
      </w:r>
      <w:r w:rsidR="00A82670">
        <w:t>on</w:t>
      </w:r>
      <w:r>
        <w:t xml:space="preserve"> </w:t>
      </w:r>
      <w:r w:rsidR="00750093">
        <w:t xml:space="preserve">the length of courses that </w:t>
      </w:r>
      <w:r w:rsidR="00A65100">
        <w:t>have been deemed sufficient to fulfill child protection training requirements in some jurisdictions</w:t>
      </w:r>
      <w:r>
        <w:t>.</w:t>
      </w:r>
      <w:r w:rsidR="00836E1A">
        <w:t xml:space="preserve"> </w:t>
      </w:r>
      <w:r w:rsidR="00764CC5" w:rsidRPr="00764CC5">
        <w:t xml:space="preserve">It is important to note that estimated costs </w:t>
      </w:r>
      <w:r w:rsidR="00091E95">
        <w:t>are</w:t>
      </w:r>
      <w:r w:rsidR="00764CC5" w:rsidRPr="00764CC5">
        <w:t xml:space="preserve"> indicative only and estimates would change depending on clarifications o</w:t>
      </w:r>
      <w:r w:rsidR="00764CC5">
        <w:t>n the</w:t>
      </w:r>
      <w:r w:rsidR="00764CC5" w:rsidRPr="00764CC5">
        <w:t xml:space="preserve"> implementation of options</w:t>
      </w:r>
      <w:r w:rsidR="00325E6F">
        <w:t xml:space="preserve"> and </w:t>
      </w:r>
      <w:r w:rsidR="00764CC5" w:rsidRPr="00764CC5">
        <w:t>changes in assumptions</w:t>
      </w:r>
      <w:r w:rsidR="00764CC5">
        <w:t>.</w:t>
      </w:r>
    </w:p>
    <w:p w14:paraId="286BF4D3" w14:textId="12E363D5" w:rsidR="00FB5C05" w:rsidRDefault="00D601E7">
      <w:pPr>
        <w:rPr>
          <w:highlight w:val="lightGray"/>
        </w:rPr>
      </w:pPr>
      <w:r>
        <w:t xml:space="preserve">The potential </w:t>
      </w:r>
      <w:r w:rsidR="005747C8">
        <w:t xml:space="preserve">child protection </w:t>
      </w:r>
      <w:r>
        <w:t xml:space="preserve">training costs that were able to be quantified are summarised in Table 6.3, in present value over ten years. These costs would be incurred by approved providers and services in the first instance; however, stakeholders reflected that the cost </w:t>
      </w:r>
      <w:r>
        <w:lastRenderedPageBreak/>
        <w:t xml:space="preserve">would ultimately be passed on to families who access the services. In cases where </w:t>
      </w:r>
      <w:r w:rsidR="00091E95">
        <w:t>government</w:t>
      </w:r>
      <w:r>
        <w:t xml:space="preserve"> funding is provided, the costs to providers and families could be reduced. </w:t>
      </w:r>
      <w:r w:rsidR="00904C67">
        <w:t xml:space="preserve">Travel costs </w:t>
      </w:r>
      <w:r w:rsidR="009640F2">
        <w:t>were excluded</w:t>
      </w:r>
      <w:r w:rsidR="00904C67">
        <w:t xml:space="preserve"> due to</w:t>
      </w:r>
      <w:r w:rsidR="00E551DC">
        <w:t xml:space="preserve"> </w:t>
      </w:r>
      <w:r w:rsidR="009640F2">
        <w:t xml:space="preserve">limited stakeholder </w:t>
      </w:r>
      <w:r w:rsidR="00E551DC">
        <w:t xml:space="preserve">data </w:t>
      </w:r>
      <w:r w:rsidR="009640F2">
        <w:t>on their expected expenses</w:t>
      </w:r>
      <w:r w:rsidR="008901DD">
        <w:t xml:space="preserve"> and the </w:t>
      </w:r>
      <w:r w:rsidR="009640F2">
        <w:t xml:space="preserve">national </w:t>
      </w:r>
      <w:r w:rsidR="008901DD">
        <w:t>scale of these costs</w:t>
      </w:r>
      <w:r w:rsidR="009640F2">
        <w:t>.</w:t>
      </w:r>
      <w:r w:rsidR="008901DD">
        <w:t xml:space="preserve"> </w:t>
      </w:r>
      <w:r>
        <w:t>There could be potential for some costs to be reduced if options are implemented together. For example, if option 4 and option 6 are implemented together, there might be efficiencies in the amount of training required – however this depends on how the two trainings are implemented.</w:t>
      </w:r>
      <w:r w:rsidR="007E47C3">
        <w:t xml:space="preserve"> The MCA scores for options 3, 4, and 5 are outlined in Table 6.3 and were assigned based on the incremental cost between the proposed options.</w:t>
      </w:r>
      <w:r w:rsidR="00FB5C05">
        <w:t xml:space="preserve"> </w:t>
      </w:r>
      <w:r w:rsidR="00DE0907">
        <w:t xml:space="preserve">Further, the cost of option 6 has not been quantified </w:t>
      </w:r>
      <w:r w:rsidR="008A2101">
        <w:t xml:space="preserve">as the requirements for this </w:t>
      </w:r>
      <w:r w:rsidR="00E00DE1">
        <w:t xml:space="preserve">training are yet to be determined (e.g., the required length of training). </w:t>
      </w:r>
      <w:r w:rsidR="00466CD4">
        <w:t xml:space="preserve">However, </w:t>
      </w:r>
      <w:r w:rsidR="00F920DD">
        <w:t>estimates are available on the approximate number of individuals that the training might apply to</w:t>
      </w:r>
      <w:r w:rsidR="00355F10">
        <w:t xml:space="preserve"> (e.g., all employees in the education and care sector)</w:t>
      </w:r>
      <w:r w:rsidR="005B488F">
        <w:t xml:space="preserve">, </w:t>
      </w:r>
      <w:r w:rsidR="00D5080F">
        <w:t xml:space="preserve">enabling </w:t>
      </w:r>
      <w:r w:rsidR="0073519B">
        <w:t>the rough magnitude of the cost, relative to the other options, to be estimated for MCA scoring.</w:t>
      </w:r>
      <w:r w:rsidR="007E47C3">
        <w:t xml:space="preserve"> </w:t>
      </w:r>
    </w:p>
    <w:p w14:paraId="570FC338" w14:textId="35BD0897" w:rsidR="00D601E7" w:rsidRPr="00141BC6" w:rsidRDefault="00D601E7">
      <w:pPr>
        <w:pStyle w:val="Caption"/>
      </w:pPr>
      <w:bookmarkStart w:id="86" w:name="_Toc205884943"/>
      <w:r w:rsidRPr="00FF46FD">
        <w:t xml:space="preserve">Table </w:t>
      </w:r>
      <w:r>
        <w:t>6</w:t>
      </w:r>
      <w:r w:rsidRPr="00FF46FD">
        <w:t>.3:</w:t>
      </w:r>
      <w:r>
        <w:t xml:space="preserve"> Costing estimates for option 3 to </w:t>
      </w:r>
      <w:r w:rsidR="00621C5D">
        <w:t>5</w:t>
      </w:r>
      <w:r>
        <w:t xml:space="preserve"> for Child Safety Training reform area</w:t>
      </w:r>
      <w:bookmarkEnd w:id="8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6.3: Costing estimates for option 3 to 5 for Child Safety Training reform area"/>
        <w:tblDescription w:val="This table outlines the costing estimates for option 3 to 5 for Child Safety Training reform area."/>
      </w:tblPr>
      <w:tblGrid>
        <w:gridCol w:w="3297"/>
        <w:gridCol w:w="1905"/>
        <w:gridCol w:w="1905"/>
        <w:gridCol w:w="1903"/>
      </w:tblGrid>
      <w:tr w:rsidR="00BC44FF" w14:paraId="4D343A4F" w14:textId="77777777" w:rsidTr="00E3170E">
        <w:trPr>
          <w:trHeight w:val="472"/>
          <w:tblHeader/>
        </w:trPr>
        <w:tc>
          <w:tcPr>
            <w:tcW w:w="1830" w:type="pct"/>
            <w:shd w:val="clear" w:color="auto" w:fill="14233C" w:themeFill="text2"/>
          </w:tcPr>
          <w:p w14:paraId="12C1322F" w14:textId="77777777" w:rsidR="00BC44FF" w:rsidRPr="005969DA" w:rsidRDefault="00BC44FF">
            <w:pPr>
              <w:rPr>
                <w:b/>
                <w:color w:val="FFFFFF" w:themeColor="background1"/>
                <w:szCs w:val="22"/>
              </w:rPr>
            </w:pPr>
          </w:p>
        </w:tc>
        <w:tc>
          <w:tcPr>
            <w:tcW w:w="1057" w:type="pct"/>
            <w:shd w:val="clear" w:color="auto" w:fill="14233C" w:themeFill="text2"/>
          </w:tcPr>
          <w:p w14:paraId="18AEEBB3" w14:textId="77777777" w:rsidR="00BC44FF" w:rsidRPr="005969DA" w:rsidRDefault="00BC44FF">
            <w:pPr>
              <w:rPr>
                <w:b/>
                <w:color w:val="FFFFFF" w:themeColor="background1"/>
                <w:szCs w:val="22"/>
              </w:rPr>
            </w:pPr>
            <w:r w:rsidRPr="005969DA">
              <w:rPr>
                <w:b/>
                <w:color w:val="FFFFFF" w:themeColor="background1"/>
                <w:szCs w:val="22"/>
              </w:rPr>
              <w:t>Option 3</w:t>
            </w:r>
          </w:p>
        </w:tc>
        <w:tc>
          <w:tcPr>
            <w:tcW w:w="1057" w:type="pct"/>
            <w:shd w:val="clear" w:color="auto" w:fill="14233C" w:themeFill="text2"/>
          </w:tcPr>
          <w:p w14:paraId="0994F577" w14:textId="77777777" w:rsidR="00BC44FF" w:rsidRPr="005969DA" w:rsidRDefault="00BC44FF">
            <w:pPr>
              <w:rPr>
                <w:b/>
                <w:color w:val="FFFFFF" w:themeColor="background1"/>
                <w:szCs w:val="22"/>
              </w:rPr>
            </w:pPr>
            <w:r w:rsidRPr="005969DA">
              <w:rPr>
                <w:b/>
                <w:color w:val="FFFFFF" w:themeColor="background1"/>
                <w:szCs w:val="22"/>
              </w:rPr>
              <w:t>Option 4</w:t>
            </w:r>
          </w:p>
        </w:tc>
        <w:tc>
          <w:tcPr>
            <w:tcW w:w="1057" w:type="pct"/>
            <w:shd w:val="clear" w:color="auto" w:fill="14233C" w:themeFill="text2"/>
          </w:tcPr>
          <w:p w14:paraId="32999BFD" w14:textId="77777777" w:rsidR="00BC44FF" w:rsidRPr="005969DA" w:rsidRDefault="00BC44FF">
            <w:pPr>
              <w:rPr>
                <w:b/>
                <w:color w:val="FFFFFF" w:themeColor="background1"/>
                <w:szCs w:val="22"/>
              </w:rPr>
            </w:pPr>
            <w:r w:rsidRPr="005969DA">
              <w:rPr>
                <w:b/>
                <w:color w:val="FFFFFF" w:themeColor="background1"/>
                <w:szCs w:val="22"/>
              </w:rPr>
              <w:t>Option 5</w:t>
            </w:r>
          </w:p>
        </w:tc>
      </w:tr>
      <w:tr w:rsidR="00BC44FF" w14:paraId="50431DED" w14:textId="77777777" w:rsidTr="00E3170E">
        <w:trPr>
          <w:trHeight w:val="722"/>
        </w:trPr>
        <w:tc>
          <w:tcPr>
            <w:tcW w:w="1830" w:type="pct"/>
          </w:tcPr>
          <w:p w14:paraId="67ADC59C" w14:textId="17161061" w:rsidR="00BC44FF" w:rsidRPr="005969DA" w:rsidRDefault="00BC44FF">
            <w:pPr>
              <w:rPr>
                <w:b/>
                <w:szCs w:val="22"/>
              </w:rPr>
            </w:pPr>
            <w:r w:rsidRPr="005969DA">
              <w:rPr>
                <w:b/>
                <w:szCs w:val="22"/>
              </w:rPr>
              <w:t>Cost to complete required training</w:t>
            </w:r>
            <w:r w:rsidR="00783F03">
              <w:rPr>
                <w:b/>
                <w:szCs w:val="22"/>
              </w:rPr>
              <w:t xml:space="preserve"> (</w:t>
            </w:r>
            <w:r w:rsidR="00054D3F">
              <w:rPr>
                <w:b/>
                <w:szCs w:val="22"/>
              </w:rPr>
              <w:t>educators</w:t>
            </w:r>
            <w:r w:rsidR="00FF363F">
              <w:rPr>
                <w:b/>
                <w:szCs w:val="22"/>
              </w:rPr>
              <w:t>,</w:t>
            </w:r>
            <w:r w:rsidR="00054D3F">
              <w:rPr>
                <w:b/>
                <w:szCs w:val="22"/>
              </w:rPr>
              <w:t xml:space="preserve"> </w:t>
            </w:r>
            <w:r w:rsidR="00783F03">
              <w:rPr>
                <w:b/>
                <w:szCs w:val="22"/>
              </w:rPr>
              <w:t>staff</w:t>
            </w:r>
            <w:r w:rsidR="00054D3F">
              <w:rPr>
                <w:b/>
                <w:szCs w:val="22"/>
              </w:rPr>
              <w:t xml:space="preserve"> members</w:t>
            </w:r>
            <w:r w:rsidR="00FF363F">
              <w:rPr>
                <w:b/>
                <w:szCs w:val="22"/>
              </w:rPr>
              <w:t>, and volunteers</w:t>
            </w:r>
            <w:r w:rsidR="00783F03">
              <w:rPr>
                <w:b/>
                <w:szCs w:val="22"/>
              </w:rPr>
              <w:t>)</w:t>
            </w:r>
            <w:r w:rsidR="00783F03">
              <w:rPr>
                <w:rStyle w:val="FootnoteReference"/>
                <w:b/>
                <w:szCs w:val="22"/>
              </w:rPr>
              <w:footnoteReference w:id="65"/>
            </w:r>
          </w:p>
        </w:tc>
        <w:tc>
          <w:tcPr>
            <w:tcW w:w="1057" w:type="pct"/>
          </w:tcPr>
          <w:p w14:paraId="1082D481" w14:textId="447F0E70" w:rsidR="00BC44FF" w:rsidRPr="00765089" w:rsidRDefault="00BC44FF">
            <w:pPr>
              <w:rPr>
                <w:szCs w:val="22"/>
              </w:rPr>
            </w:pPr>
            <w:r w:rsidRPr="00765089">
              <w:rPr>
                <w:szCs w:val="22"/>
              </w:rPr>
              <w:t>$</w:t>
            </w:r>
            <w:r w:rsidR="00B27567">
              <w:rPr>
                <w:szCs w:val="22"/>
              </w:rPr>
              <w:t>244</w:t>
            </w:r>
            <w:r w:rsidRPr="00765089">
              <w:rPr>
                <w:szCs w:val="22"/>
              </w:rPr>
              <w:t>,000</w:t>
            </w:r>
          </w:p>
        </w:tc>
        <w:tc>
          <w:tcPr>
            <w:tcW w:w="1057" w:type="pct"/>
          </w:tcPr>
          <w:p w14:paraId="061F22BF" w14:textId="48867678" w:rsidR="00BC44FF" w:rsidRPr="00765089" w:rsidRDefault="00BC44FF">
            <w:pPr>
              <w:rPr>
                <w:szCs w:val="22"/>
              </w:rPr>
            </w:pPr>
            <w:r w:rsidRPr="00765089">
              <w:rPr>
                <w:szCs w:val="22"/>
              </w:rPr>
              <w:t>$</w:t>
            </w:r>
            <w:r w:rsidR="00B27567">
              <w:rPr>
                <w:szCs w:val="22"/>
              </w:rPr>
              <w:t>2.</w:t>
            </w:r>
            <w:r w:rsidR="00EB0543">
              <w:rPr>
                <w:szCs w:val="22"/>
              </w:rPr>
              <w:t>7</w:t>
            </w:r>
            <w:r w:rsidRPr="00765089">
              <w:rPr>
                <w:szCs w:val="22"/>
              </w:rPr>
              <w:t xml:space="preserve"> million</w:t>
            </w:r>
            <w:r w:rsidR="00783F03">
              <w:rPr>
                <w:szCs w:val="22"/>
              </w:rPr>
              <w:t xml:space="preserve"> </w:t>
            </w:r>
          </w:p>
        </w:tc>
        <w:tc>
          <w:tcPr>
            <w:tcW w:w="1057" w:type="pct"/>
          </w:tcPr>
          <w:p w14:paraId="7384B09B" w14:textId="4947A7D6" w:rsidR="00BC44FF" w:rsidRPr="00765089" w:rsidRDefault="000C75CD">
            <w:pPr>
              <w:rPr>
                <w:szCs w:val="22"/>
              </w:rPr>
            </w:pPr>
            <w:r>
              <w:rPr>
                <w:szCs w:val="22"/>
              </w:rPr>
              <w:t>N/A</w:t>
            </w:r>
          </w:p>
        </w:tc>
      </w:tr>
      <w:tr w:rsidR="000C75CD" w14:paraId="09D87A96" w14:textId="77777777" w:rsidTr="00E3170E">
        <w:trPr>
          <w:trHeight w:val="722"/>
        </w:trPr>
        <w:tc>
          <w:tcPr>
            <w:tcW w:w="1830" w:type="pct"/>
          </w:tcPr>
          <w:p w14:paraId="0C48626B" w14:textId="7CF8B3FD" w:rsidR="000C75CD" w:rsidRPr="005969DA" w:rsidRDefault="000C75CD">
            <w:pPr>
              <w:rPr>
                <w:b/>
                <w:szCs w:val="22"/>
              </w:rPr>
            </w:pPr>
            <w:r>
              <w:rPr>
                <w:b/>
                <w:szCs w:val="22"/>
              </w:rPr>
              <w:t>Cost to notify staff of child protection law</w:t>
            </w:r>
          </w:p>
        </w:tc>
        <w:tc>
          <w:tcPr>
            <w:tcW w:w="1057" w:type="pct"/>
          </w:tcPr>
          <w:p w14:paraId="4FF44749" w14:textId="2050E98E" w:rsidR="000C75CD" w:rsidRPr="00765089" w:rsidRDefault="000C75CD">
            <w:pPr>
              <w:rPr>
                <w:szCs w:val="22"/>
              </w:rPr>
            </w:pPr>
            <w:r>
              <w:rPr>
                <w:szCs w:val="22"/>
              </w:rPr>
              <w:t>N/A</w:t>
            </w:r>
          </w:p>
        </w:tc>
        <w:tc>
          <w:tcPr>
            <w:tcW w:w="1057" w:type="pct"/>
          </w:tcPr>
          <w:p w14:paraId="695F9FFF" w14:textId="57342CED" w:rsidR="000C75CD" w:rsidRPr="00765089" w:rsidRDefault="000C75CD">
            <w:pPr>
              <w:rPr>
                <w:szCs w:val="22"/>
              </w:rPr>
            </w:pPr>
            <w:r>
              <w:rPr>
                <w:szCs w:val="22"/>
              </w:rPr>
              <w:t>N/A</w:t>
            </w:r>
          </w:p>
        </w:tc>
        <w:tc>
          <w:tcPr>
            <w:tcW w:w="1057" w:type="pct"/>
          </w:tcPr>
          <w:p w14:paraId="1489E9BB" w14:textId="74F86711" w:rsidR="000C75CD" w:rsidRPr="00765089" w:rsidRDefault="000C75CD">
            <w:pPr>
              <w:rPr>
                <w:szCs w:val="22"/>
              </w:rPr>
            </w:pPr>
            <w:r>
              <w:rPr>
                <w:szCs w:val="22"/>
              </w:rPr>
              <w:t>$799,000</w:t>
            </w:r>
          </w:p>
        </w:tc>
      </w:tr>
      <w:tr w:rsidR="00783F03" w14:paraId="089C6917" w14:textId="77777777" w:rsidTr="00E3170E">
        <w:trPr>
          <w:trHeight w:val="722"/>
        </w:trPr>
        <w:tc>
          <w:tcPr>
            <w:tcW w:w="1830" w:type="pct"/>
          </w:tcPr>
          <w:p w14:paraId="1E65A8EE" w14:textId="5D541508" w:rsidR="00783F03" w:rsidRPr="005969DA" w:rsidRDefault="00783F03">
            <w:pPr>
              <w:rPr>
                <w:b/>
                <w:szCs w:val="22"/>
              </w:rPr>
            </w:pPr>
            <w:r w:rsidRPr="005969DA">
              <w:rPr>
                <w:b/>
                <w:szCs w:val="22"/>
              </w:rPr>
              <w:t>Cost to complete required training</w:t>
            </w:r>
            <w:r>
              <w:rPr>
                <w:b/>
                <w:szCs w:val="22"/>
              </w:rPr>
              <w:t xml:space="preserve"> (students)</w:t>
            </w:r>
          </w:p>
        </w:tc>
        <w:tc>
          <w:tcPr>
            <w:tcW w:w="1057" w:type="pct"/>
          </w:tcPr>
          <w:p w14:paraId="3D0E65DD" w14:textId="0C6312A0" w:rsidR="00783F03" w:rsidRPr="00765089" w:rsidRDefault="00783F03">
            <w:pPr>
              <w:rPr>
                <w:szCs w:val="22"/>
              </w:rPr>
            </w:pPr>
            <w:r w:rsidRPr="00765089">
              <w:rPr>
                <w:szCs w:val="22"/>
              </w:rPr>
              <w:t>N/A</w:t>
            </w:r>
          </w:p>
        </w:tc>
        <w:tc>
          <w:tcPr>
            <w:tcW w:w="1057" w:type="pct"/>
          </w:tcPr>
          <w:p w14:paraId="6C6699FC" w14:textId="697BAEEF" w:rsidR="00783F03" w:rsidRPr="00765089" w:rsidRDefault="003044FB">
            <w:pPr>
              <w:rPr>
                <w:szCs w:val="22"/>
              </w:rPr>
            </w:pPr>
            <w:r w:rsidRPr="00D70006">
              <w:t>$</w:t>
            </w:r>
            <w:r w:rsidR="00EB0543">
              <w:t>3.4</w:t>
            </w:r>
            <w:r w:rsidR="00D70006" w:rsidRPr="00D70006">
              <w:t xml:space="preserve"> </w:t>
            </w:r>
            <w:r w:rsidRPr="00D70006">
              <w:t>million</w:t>
            </w:r>
          </w:p>
        </w:tc>
        <w:tc>
          <w:tcPr>
            <w:tcW w:w="1057" w:type="pct"/>
          </w:tcPr>
          <w:p w14:paraId="372E5C6C" w14:textId="7BE19493" w:rsidR="00783F03" w:rsidRPr="00765089" w:rsidRDefault="00783F03">
            <w:pPr>
              <w:rPr>
                <w:szCs w:val="22"/>
              </w:rPr>
            </w:pPr>
            <w:r w:rsidRPr="00765089">
              <w:rPr>
                <w:szCs w:val="22"/>
              </w:rPr>
              <w:t>N/A</w:t>
            </w:r>
          </w:p>
        </w:tc>
      </w:tr>
      <w:tr w:rsidR="00BC44FF" w14:paraId="2452B52D" w14:textId="77777777" w:rsidTr="00E3170E">
        <w:trPr>
          <w:trHeight w:val="831"/>
        </w:trPr>
        <w:tc>
          <w:tcPr>
            <w:tcW w:w="1830" w:type="pct"/>
          </w:tcPr>
          <w:p w14:paraId="39DFEE0E" w14:textId="77777777" w:rsidR="00BC44FF" w:rsidRPr="005969DA" w:rsidRDefault="00BC44FF">
            <w:pPr>
              <w:rPr>
                <w:b/>
                <w:szCs w:val="22"/>
              </w:rPr>
            </w:pPr>
            <w:r w:rsidRPr="005969DA">
              <w:rPr>
                <w:b/>
                <w:szCs w:val="22"/>
              </w:rPr>
              <w:t>Cost of backfill staff</w:t>
            </w:r>
          </w:p>
        </w:tc>
        <w:tc>
          <w:tcPr>
            <w:tcW w:w="1057" w:type="pct"/>
          </w:tcPr>
          <w:p w14:paraId="5EBC6A92" w14:textId="30E32146" w:rsidR="00BC44FF" w:rsidRPr="00765089" w:rsidRDefault="00BC44FF">
            <w:pPr>
              <w:rPr>
                <w:szCs w:val="22"/>
              </w:rPr>
            </w:pPr>
            <w:r w:rsidRPr="00765089">
              <w:rPr>
                <w:szCs w:val="22"/>
              </w:rPr>
              <w:t>$</w:t>
            </w:r>
            <w:r w:rsidR="001E1FDE">
              <w:rPr>
                <w:szCs w:val="22"/>
              </w:rPr>
              <w:t>305</w:t>
            </w:r>
            <w:r w:rsidR="000A0E0F">
              <w:rPr>
                <w:szCs w:val="22"/>
              </w:rPr>
              <w:t>,000</w:t>
            </w:r>
          </w:p>
        </w:tc>
        <w:tc>
          <w:tcPr>
            <w:tcW w:w="1057" w:type="pct"/>
          </w:tcPr>
          <w:p w14:paraId="7D515AEC" w14:textId="48F302C1" w:rsidR="00BC44FF" w:rsidRPr="00765089" w:rsidRDefault="00BC44FF">
            <w:pPr>
              <w:rPr>
                <w:szCs w:val="22"/>
              </w:rPr>
            </w:pPr>
            <w:r w:rsidRPr="00765089">
              <w:rPr>
                <w:szCs w:val="22"/>
              </w:rPr>
              <w:t>$</w:t>
            </w:r>
            <w:r w:rsidR="00830A30">
              <w:rPr>
                <w:szCs w:val="22"/>
              </w:rPr>
              <w:t>3.</w:t>
            </w:r>
            <w:r w:rsidR="00EB0543">
              <w:rPr>
                <w:szCs w:val="22"/>
              </w:rPr>
              <w:t>4</w:t>
            </w:r>
            <w:r w:rsidR="00830A30">
              <w:rPr>
                <w:szCs w:val="22"/>
              </w:rPr>
              <w:t xml:space="preserve"> </w:t>
            </w:r>
            <w:r w:rsidRPr="00765089">
              <w:rPr>
                <w:szCs w:val="22"/>
              </w:rPr>
              <w:t>million</w:t>
            </w:r>
          </w:p>
        </w:tc>
        <w:tc>
          <w:tcPr>
            <w:tcW w:w="1057" w:type="pct"/>
          </w:tcPr>
          <w:p w14:paraId="351A018D" w14:textId="45B334A3" w:rsidR="00BC44FF" w:rsidRPr="00765089" w:rsidRDefault="00BC44FF">
            <w:pPr>
              <w:rPr>
                <w:szCs w:val="22"/>
              </w:rPr>
            </w:pPr>
            <w:r w:rsidRPr="00765089">
              <w:rPr>
                <w:szCs w:val="22"/>
              </w:rPr>
              <w:t>N/A</w:t>
            </w:r>
          </w:p>
        </w:tc>
      </w:tr>
      <w:tr w:rsidR="00BC44FF" w14:paraId="5EFB07FE" w14:textId="77777777" w:rsidTr="00E3170E">
        <w:trPr>
          <w:trHeight w:val="831"/>
        </w:trPr>
        <w:tc>
          <w:tcPr>
            <w:tcW w:w="1830" w:type="pct"/>
          </w:tcPr>
          <w:p w14:paraId="13FD4E40" w14:textId="77777777" w:rsidR="00BC44FF" w:rsidRPr="005969DA" w:rsidRDefault="00BC44FF">
            <w:pPr>
              <w:rPr>
                <w:b/>
                <w:szCs w:val="22"/>
              </w:rPr>
            </w:pPr>
            <w:r w:rsidRPr="005969DA">
              <w:rPr>
                <w:b/>
                <w:szCs w:val="22"/>
              </w:rPr>
              <w:t xml:space="preserve">Total </w:t>
            </w:r>
            <w:r w:rsidRPr="005969DA">
              <w:rPr>
                <w:b/>
                <w:bCs/>
                <w:szCs w:val="22"/>
              </w:rPr>
              <w:t xml:space="preserve">quantified </w:t>
            </w:r>
            <w:r w:rsidRPr="005969DA">
              <w:rPr>
                <w:b/>
                <w:szCs w:val="22"/>
              </w:rPr>
              <w:t>cost of option</w:t>
            </w:r>
          </w:p>
        </w:tc>
        <w:tc>
          <w:tcPr>
            <w:tcW w:w="1057" w:type="pct"/>
          </w:tcPr>
          <w:p w14:paraId="77AFAAFD" w14:textId="16313AA7" w:rsidR="00BC44FF" w:rsidRPr="00765089" w:rsidRDefault="00BC44FF">
            <w:pPr>
              <w:rPr>
                <w:szCs w:val="22"/>
              </w:rPr>
            </w:pPr>
            <w:r w:rsidRPr="00765089">
              <w:rPr>
                <w:szCs w:val="22"/>
              </w:rPr>
              <w:t>$</w:t>
            </w:r>
            <w:r w:rsidR="001E1FDE">
              <w:rPr>
                <w:szCs w:val="22"/>
              </w:rPr>
              <w:t>549</w:t>
            </w:r>
            <w:r w:rsidRPr="00765089">
              <w:rPr>
                <w:szCs w:val="22"/>
              </w:rPr>
              <w:t>,000</w:t>
            </w:r>
          </w:p>
        </w:tc>
        <w:tc>
          <w:tcPr>
            <w:tcW w:w="1057" w:type="pct"/>
          </w:tcPr>
          <w:p w14:paraId="293F9F87" w14:textId="5C60A89A" w:rsidR="00BC44FF" w:rsidRPr="00765089" w:rsidRDefault="00BC44FF">
            <w:pPr>
              <w:rPr>
                <w:szCs w:val="22"/>
              </w:rPr>
            </w:pPr>
            <w:r w:rsidRPr="00765089">
              <w:rPr>
                <w:szCs w:val="22"/>
              </w:rPr>
              <w:t>$</w:t>
            </w:r>
            <w:r w:rsidR="00EB0543">
              <w:rPr>
                <w:szCs w:val="22"/>
              </w:rPr>
              <w:t>9.5</w:t>
            </w:r>
            <w:r w:rsidR="00FD56AB">
              <w:rPr>
                <w:szCs w:val="22"/>
              </w:rPr>
              <w:t xml:space="preserve"> </w:t>
            </w:r>
            <w:r w:rsidRPr="00765089">
              <w:rPr>
                <w:szCs w:val="22"/>
              </w:rPr>
              <w:t>million</w:t>
            </w:r>
          </w:p>
        </w:tc>
        <w:tc>
          <w:tcPr>
            <w:tcW w:w="1057" w:type="pct"/>
          </w:tcPr>
          <w:p w14:paraId="08D7BC03" w14:textId="18470D3C" w:rsidR="00BC44FF" w:rsidRPr="00765089" w:rsidRDefault="00BC44FF">
            <w:pPr>
              <w:rPr>
                <w:szCs w:val="22"/>
              </w:rPr>
            </w:pPr>
            <w:r w:rsidRPr="00765089">
              <w:rPr>
                <w:szCs w:val="22"/>
              </w:rPr>
              <w:t>$</w:t>
            </w:r>
            <w:r w:rsidR="000A0E0F">
              <w:rPr>
                <w:szCs w:val="22"/>
              </w:rPr>
              <w:t>799,000</w:t>
            </w:r>
          </w:p>
        </w:tc>
      </w:tr>
      <w:tr w:rsidR="00BC44FF" w14:paraId="20872CA3" w14:textId="77777777" w:rsidTr="00E3170E">
        <w:trPr>
          <w:trHeight w:val="854"/>
        </w:trPr>
        <w:tc>
          <w:tcPr>
            <w:tcW w:w="1830" w:type="pct"/>
          </w:tcPr>
          <w:p w14:paraId="5F6E7795" w14:textId="77777777" w:rsidR="00BC44FF" w:rsidRPr="005969DA" w:rsidRDefault="00BC44FF">
            <w:pPr>
              <w:rPr>
                <w:b/>
                <w:szCs w:val="22"/>
              </w:rPr>
            </w:pPr>
            <w:r w:rsidRPr="005969DA">
              <w:rPr>
                <w:b/>
                <w:szCs w:val="22"/>
              </w:rPr>
              <w:t>Assigned MCA score</w:t>
            </w:r>
          </w:p>
        </w:tc>
        <w:tc>
          <w:tcPr>
            <w:tcW w:w="1057" w:type="pct"/>
          </w:tcPr>
          <w:p w14:paraId="2BEE86F1" w14:textId="64781061" w:rsidR="00BC44FF" w:rsidRPr="00765089" w:rsidRDefault="00765089">
            <w:pPr>
              <w:rPr>
                <w:b/>
                <w:szCs w:val="22"/>
              </w:rPr>
            </w:pPr>
            <w:r>
              <w:rPr>
                <w:b/>
                <w:szCs w:val="22"/>
              </w:rPr>
              <w:t>-</w:t>
            </w:r>
            <w:r w:rsidR="00BC44FF" w:rsidRPr="00765089">
              <w:rPr>
                <w:b/>
                <w:szCs w:val="22"/>
              </w:rPr>
              <w:t>2</w:t>
            </w:r>
          </w:p>
        </w:tc>
        <w:tc>
          <w:tcPr>
            <w:tcW w:w="1057" w:type="pct"/>
          </w:tcPr>
          <w:p w14:paraId="78BB9008" w14:textId="77777777" w:rsidR="00BC44FF" w:rsidRPr="00765089" w:rsidRDefault="00BC44FF">
            <w:pPr>
              <w:rPr>
                <w:b/>
                <w:szCs w:val="22"/>
              </w:rPr>
            </w:pPr>
            <w:r w:rsidRPr="00765089">
              <w:rPr>
                <w:b/>
                <w:szCs w:val="22"/>
              </w:rPr>
              <w:t>-4</w:t>
            </w:r>
          </w:p>
        </w:tc>
        <w:tc>
          <w:tcPr>
            <w:tcW w:w="1057" w:type="pct"/>
          </w:tcPr>
          <w:p w14:paraId="4E9183DB" w14:textId="0E4A6C01" w:rsidR="00BC44FF" w:rsidRPr="00765089" w:rsidRDefault="00BC44FF">
            <w:pPr>
              <w:rPr>
                <w:b/>
                <w:szCs w:val="22"/>
              </w:rPr>
            </w:pPr>
            <w:r w:rsidRPr="00765089">
              <w:rPr>
                <w:b/>
                <w:szCs w:val="22"/>
              </w:rPr>
              <w:t>-3</w:t>
            </w:r>
          </w:p>
        </w:tc>
      </w:tr>
    </w:tbl>
    <w:p w14:paraId="7CC83710" w14:textId="4BAB7E3E" w:rsidR="00D601E7" w:rsidRDefault="00D601E7">
      <w:pPr>
        <w:pStyle w:val="Source"/>
      </w:pPr>
      <w:r w:rsidRPr="00FF46FD">
        <w:t>Source</w:t>
      </w:r>
      <w:r>
        <w:t>: Deloitte Access Economics analysis. Note: All estimates are presented in present value terms for the cost over 10 years. Travel costs were not included in costing estimates, this would have implications for option 3</w:t>
      </w:r>
      <w:r w:rsidR="00830A30">
        <w:t xml:space="preserve"> and </w:t>
      </w:r>
      <w:r>
        <w:t>option 4</w:t>
      </w:r>
      <w:r w:rsidR="00830A30">
        <w:t>.</w:t>
      </w:r>
      <w:r>
        <w:t xml:space="preserve"> </w:t>
      </w:r>
      <w:r w:rsidR="00B1415F">
        <w:t>Figures have been rounded to the nearest thousand.</w:t>
      </w:r>
    </w:p>
    <w:p w14:paraId="16DFE5E5" w14:textId="05BF0D35" w:rsidR="00D601E7" w:rsidRPr="00937708" w:rsidRDefault="00D601E7" w:rsidP="000C756E">
      <w:pPr>
        <w:pStyle w:val="Source-CSR"/>
        <w:rPr>
          <w:rFonts w:eastAsia="Calibri" w:cs="Arial"/>
          <w:color w:val="808080" w:themeColor="background1" w:themeShade="80"/>
        </w:rPr>
      </w:pPr>
      <w:r>
        <w:lastRenderedPageBreak/>
        <w:t>Note: Figures may not sum due to rounding.</w:t>
      </w:r>
    </w:p>
    <w:p w14:paraId="4B3DFB77" w14:textId="6A86C81D" w:rsidR="00D601E7" w:rsidRDefault="00D601E7">
      <w:r>
        <w:t>The cost of individual’s time to undertake training and the associated cost of backfill staff</w:t>
      </w:r>
      <w:r w:rsidR="00A70213">
        <w:t xml:space="preserve"> (relevant to options 3 and 4 only)</w:t>
      </w:r>
      <w:r>
        <w:t xml:space="preserve"> is outlined and monetised for each option below.</w:t>
      </w:r>
    </w:p>
    <w:p w14:paraId="2F8600E3" w14:textId="7EA808E7" w:rsidR="00D601E7" w:rsidRDefault="00D601E7">
      <w:r>
        <w:rPr>
          <w:b/>
          <w:bCs/>
        </w:rPr>
        <w:t>The cost for the specified roles to complete child protection training</w:t>
      </w:r>
      <w:r w:rsidRPr="00574793">
        <w:rPr>
          <w:b/>
          <w:bCs/>
        </w:rPr>
        <w:t xml:space="preserve"> </w:t>
      </w:r>
      <w:r>
        <w:rPr>
          <w:b/>
          <w:bCs/>
        </w:rPr>
        <w:t>under option 3, including the cost of backfill staff, is estimated to be $</w:t>
      </w:r>
      <w:r w:rsidR="001E1FDE">
        <w:rPr>
          <w:b/>
        </w:rPr>
        <w:t>549,000</w:t>
      </w:r>
      <w:r>
        <w:rPr>
          <w:b/>
          <w:bCs/>
        </w:rPr>
        <w:t xml:space="preserve"> in present value terms over a 10-year period.</w:t>
      </w:r>
      <w:r>
        <w:rPr>
          <w:rStyle w:val="FootnoteReference"/>
          <w:b/>
          <w:bCs/>
        </w:rPr>
        <w:footnoteReference w:id="66"/>
      </w:r>
      <w:r>
        <w:t xml:space="preserve"> </w:t>
      </w:r>
    </w:p>
    <w:p w14:paraId="414FBD0C" w14:textId="1ABFE0EF" w:rsidR="00D601E7" w:rsidRDefault="00D601E7">
      <w:r>
        <w:t xml:space="preserve">Under option 3, only nominated supervisors, persons in day-to-day charge, and FDC coordinators are required to undertake child protection training. Volunteers, students, and other employees are not affected under option 3, unlike option 4, 5, and 6, which include requirements for a broader range of individuals. For option 3, it is assumed that approved providers in NSW, </w:t>
      </w:r>
      <w:r w:rsidR="000551E7">
        <w:t xml:space="preserve">VIC, </w:t>
      </w:r>
      <w:r>
        <w:t xml:space="preserve">QLD </w:t>
      </w:r>
      <w:r w:rsidR="000551E7">
        <w:t xml:space="preserve">and </w:t>
      </w:r>
      <w:r>
        <w:t xml:space="preserve">SA incur no additional costs due to jurisdictional law </w:t>
      </w:r>
      <w:r w:rsidR="009B5C57">
        <w:t>or protocol</w:t>
      </w:r>
      <w:r>
        <w:t xml:space="preserve"> that already requires the specified roles to undertake training. For the remaining jurisdictions (</w:t>
      </w:r>
      <w:r w:rsidR="000551E7">
        <w:t xml:space="preserve">WA, TAS, NT and </w:t>
      </w:r>
      <w:r w:rsidR="00015587">
        <w:t>the Australian Capital Territory (</w:t>
      </w:r>
      <w:r w:rsidR="000551E7">
        <w:t>ACT</w:t>
      </w:r>
      <w:r w:rsidR="00015587">
        <w:t>)</w:t>
      </w:r>
      <w:r w:rsidR="000551E7">
        <w:t>)</w:t>
      </w:r>
      <w:r>
        <w:t>, it is assumed that 13%</w:t>
      </w:r>
      <w:r>
        <w:rPr>
          <w:rStyle w:val="FootnoteReference"/>
        </w:rPr>
        <w:footnoteReference w:id="67"/>
      </w:r>
      <w:r>
        <w:t xml:space="preserve"> of the specified roles have not completed child protection training. This is on the basis that most approved providers indicated they already require their staff to undertake child protection or child safety training. Using data provided by ACECQA on the number of nominated supervisors, FDC coordinator to educator ratios of 1:15</w:t>
      </w:r>
      <w:r>
        <w:rPr>
          <w:rStyle w:val="FootnoteReference"/>
        </w:rPr>
        <w:footnoteReference w:id="68"/>
      </w:r>
      <w:r>
        <w:t xml:space="preserve">, and an assumption that the number of persons in day-to-day charge is </w:t>
      </w:r>
      <w:r w:rsidR="007B79AE">
        <w:t>double</w:t>
      </w:r>
      <w:r w:rsidR="003F07BF">
        <w:t xml:space="preserve"> the</w:t>
      </w:r>
      <w:r>
        <w:t xml:space="preserve"> number of nominated supervisors, just under </w:t>
      </w:r>
      <w:r w:rsidRPr="00DF1F96">
        <w:t>1,400</w:t>
      </w:r>
      <w:r>
        <w:t xml:space="preserve"> additional persons would be required to undertake additional </w:t>
      </w:r>
      <w:r w:rsidR="00936616">
        <w:t>child protection</w:t>
      </w:r>
      <w:r>
        <w:t xml:space="preserve"> training. It is also assumed that child protection training requires </w:t>
      </w:r>
      <w:r w:rsidR="00380DFE">
        <w:t xml:space="preserve">3 </w:t>
      </w:r>
      <w:r>
        <w:t>hours to complete across all jurisdictions.</w:t>
      </w:r>
      <w:r w:rsidR="00805060">
        <w:rPr>
          <w:rStyle w:val="FootnoteReference"/>
        </w:rPr>
        <w:footnoteReference w:id="69"/>
      </w:r>
      <w:r>
        <w:t xml:space="preserve"> A value of time per hour of service staff is assumed to be $</w:t>
      </w:r>
      <w:r w:rsidR="00B1415F">
        <w:t>60.60</w:t>
      </w:r>
      <w:r>
        <w:t xml:space="preserve">, which uses </w:t>
      </w:r>
      <w:r w:rsidR="00B1415F">
        <w:t xml:space="preserve">the $34.63 minimum award </w:t>
      </w:r>
      <w:r>
        <w:t xml:space="preserve">wage </w:t>
      </w:r>
      <w:r w:rsidR="00B1415F">
        <w:t>for a level 5.1 staff member</w:t>
      </w:r>
      <w:r w:rsidR="00470043">
        <w:rPr>
          <w:rStyle w:val="FootnoteReference"/>
        </w:rPr>
        <w:footnoteReference w:id="70"/>
      </w:r>
      <w:r>
        <w:t xml:space="preserve"> and applies a 1.75 multiplier to account for on-costs, in line with OIA guidance.</w:t>
      </w:r>
      <w:r>
        <w:rPr>
          <w:rStyle w:val="FootnoteReference"/>
        </w:rPr>
        <w:footnoteReference w:id="71"/>
      </w:r>
      <w:r>
        <w:t xml:space="preserve"> Based on these costs, the incremental cost for staff to fulfill the </w:t>
      </w:r>
      <w:r w:rsidR="00936616">
        <w:t xml:space="preserve">child protection </w:t>
      </w:r>
      <w:r>
        <w:t>training requirements of option 3 is estimated to be $</w:t>
      </w:r>
      <w:r w:rsidR="00620255">
        <w:t>244,000</w:t>
      </w:r>
      <w:r w:rsidRPr="0076628A">
        <w:t>.</w:t>
      </w:r>
    </w:p>
    <w:p w14:paraId="6E24B588" w14:textId="0310EABE" w:rsidR="00D601E7" w:rsidRDefault="00D601E7">
      <w:r>
        <w:t xml:space="preserve">In addition to this cost, staff may </w:t>
      </w:r>
      <w:r w:rsidR="00DE7282">
        <w:t>be required</w:t>
      </w:r>
      <w:r>
        <w:t xml:space="preserve"> to be paid overtime rates to complete this training or require backfill staff for their time off the floor. Backfill staff could cost 25% to two </w:t>
      </w:r>
      <w:r>
        <w:lastRenderedPageBreak/>
        <w:t>to three times more</w:t>
      </w:r>
      <w:r>
        <w:rPr>
          <w:rStyle w:val="FootnoteReference"/>
        </w:rPr>
        <w:footnoteReference w:id="72"/>
      </w:r>
      <w:r>
        <w:t xml:space="preserve"> than normal wages, if backfill staff are employed on a casual basis or are agency educators. Using the more conservative estimate of casual staff wage rates (e.g., 25% more than normal staff costs), if every staff member required backfill this would increase the cost of option 3 by a further $</w:t>
      </w:r>
      <w:r w:rsidR="00C9102F">
        <w:t>305</w:t>
      </w:r>
      <w:r w:rsidR="00470043">
        <w:t>,000.</w:t>
      </w:r>
    </w:p>
    <w:p w14:paraId="58EB4F49" w14:textId="0920E862" w:rsidR="00D601E7" w:rsidRDefault="00D601E7">
      <w:pPr>
        <w:rPr>
          <w:b/>
          <w:bCs/>
        </w:rPr>
      </w:pPr>
      <w:r w:rsidRPr="003044FB">
        <w:rPr>
          <w:b/>
        </w:rPr>
        <w:t xml:space="preserve">The cost for all who work with children to complete child protection training under option 4, including the cost of backfill staff, </w:t>
      </w:r>
      <w:r w:rsidR="004F7FF3" w:rsidRPr="003044FB">
        <w:rPr>
          <w:b/>
        </w:rPr>
        <w:t xml:space="preserve">and the cost for students to undertake training, </w:t>
      </w:r>
      <w:r w:rsidRPr="003044FB">
        <w:rPr>
          <w:b/>
        </w:rPr>
        <w:t xml:space="preserve">is estimated to be </w:t>
      </w:r>
      <w:r w:rsidRPr="000F76C2">
        <w:rPr>
          <w:b/>
        </w:rPr>
        <w:t>$</w:t>
      </w:r>
      <w:r w:rsidR="00EB0543">
        <w:rPr>
          <w:b/>
        </w:rPr>
        <w:t>9.5</w:t>
      </w:r>
      <w:r w:rsidR="003044FB" w:rsidRPr="000F76C2">
        <w:rPr>
          <w:b/>
        </w:rPr>
        <w:t xml:space="preserve"> million</w:t>
      </w:r>
      <w:r w:rsidRPr="003044FB">
        <w:rPr>
          <w:b/>
        </w:rPr>
        <w:t xml:space="preserve"> in present value terms. </w:t>
      </w:r>
    </w:p>
    <w:p w14:paraId="2E952B44" w14:textId="1448B61F" w:rsidR="00D601E7" w:rsidRDefault="00D601E7">
      <w:r>
        <w:t xml:space="preserve">Approved providers are expected to incur the same types of costs under option 4 when compared to option 3, however a substantially larger share of the workforce would be required to undertake the </w:t>
      </w:r>
      <w:r w:rsidR="004173AC">
        <w:t>child protection</w:t>
      </w:r>
      <w:r>
        <w:t xml:space="preserve"> training, including all individuals who work with children, such as educators, volunteers, and students. The assumptions of baseline training for nominated supervisors, FDC coordinators, and persons in day-to-day charge remains the same as under option 3, with 100% of staff already undertaking this training in NSW, VIC, QLD, and SA and 87% of staff undertaking this training in ACT, NT, TAS and WA</w:t>
      </w:r>
      <w:r>
        <w:rPr>
          <w:rStyle w:val="FootnoteReference"/>
        </w:rPr>
        <w:footnoteReference w:id="73"/>
      </w:r>
      <w:r>
        <w:t>. This equates to just under 1,400 additional persons undertaking training. In addition, it is estimated that there are close to 130,000 additional staff</w:t>
      </w:r>
      <w:r>
        <w:rPr>
          <w:rStyle w:val="FootnoteReference"/>
        </w:rPr>
        <w:footnoteReference w:id="74"/>
      </w:r>
      <w:r>
        <w:t xml:space="preserve"> who work with children in the education and care workforce among services that are in scope of the NQF. Since approved providers indicated high levels of adoption of child protection training without regulatory requirements, it has been assumed that 87</w:t>
      </w:r>
      <w:r w:rsidRPr="00764080">
        <w:t>%</w:t>
      </w:r>
      <w:r w:rsidRPr="00764080">
        <w:rPr>
          <w:rStyle w:val="FootnoteReference"/>
        </w:rPr>
        <w:footnoteReference w:id="75"/>
      </w:r>
      <w:r>
        <w:t xml:space="preserve"> of these staff have already received child protection training. In total, over 17,000 additional persons are estimated to be required to undertake child protection training under option 4. Based on the time to undertake training and </w:t>
      </w:r>
      <w:r w:rsidRPr="00637C5E">
        <w:t>the hourly rate used under option 3, option 4 is estimated to incur total costs of $</w:t>
      </w:r>
      <w:r w:rsidR="005D72C5">
        <w:t>2.</w:t>
      </w:r>
      <w:r w:rsidR="008D51B9">
        <w:t>7</w:t>
      </w:r>
      <w:r w:rsidR="00637C5E" w:rsidRPr="00637C5E">
        <w:t> </w:t>
      </w:r>
      <w:r w:rsidRPr="00637C5E">
        <w:t xml:space="preserve">million for staff to undertake </w:t>
      </w:r>
      <w:r w:rsidR="004173AC" w:rsidRPr="00637C5E">
        <w:t>child protection</w:t>
      </w:r>
      <w:r w:rsidRPr="00637C5E">
        <w:t xml:space="preserve"> training and an additional $</w:t>
      </w:r>
      <w:r w:rsidR="005D72C5">
        <w:t>3.</w:t>
      </w:r>
      <w:r w:rsidR="008D51B9">
        <w:t>4</w:t>
      </w:r>
      <w:r w:rsidRPr="00637C5E">
        <w:t xml:space="preserve"> million to backfill staff while they undertake training.</w:t>
      </w:r>
    </w:p>
    <w:p w14:paraId="3C709D55" w14:textId="0B878DA5" w:rsidR="00570C28" w:rsidRDefault="00570C28">
      <w:r>
        <w:lastRenderedPageBreak/>
        <w:t xml:space="preserve">Under option 4, students enrolled in an </w:t>
      </w:r>
      <w:r w:rsidR="00014AC2">
        <w:t>education and care</w:t>
      </w:r>
      <w:r>
        <w:t xml:space="preserve"> qualification undertaking placement at an education and care service would be required to undertake child protection training.</w:t>
      </w:r>
      <w:r w:rsidR="00997BFF">
        <w:rPr>
          <w:rStyle w:val="FootnoteReference"/>
        </w:rPr>
        <w:footnoteReference w:id="76"/>
      </w:r>
      <w:r>
        <w:t xml:space="preserve"> The approach to estimating the cost to students assumes that all students enrolled in a current </w:t>
      </w:r>
      <w:r w:rsidR="00014AC2">
        <w:t>education and care</w:t>
      </w:r>
      <w:r>
        <w:t xml:space="preserve"> qualification will be required to complete child protection</w:t>
      </w:r>
      <w:r w:rsidR="005A22EF">
        <w:t xml:space="preserve"> training</w:t>
      </w:r>
      <w:r>
        <w:t xml:space="preserve">, and that students who commence an </w:t>
      </w:r>
      <w:r w:rsidR="00014AC2">
        <w:t>education and care</w:t>
      </w:r>
      <w:r>
        <w:t xml:space="preserve"> qualification in future years will also be required to undertake this training in future years. </w:t>
      </w:r>
      <w:r w:rsidR="00545674">
        <w:t>Costing</w:t>
      </w:r>
      <w:r>
        <w:t xml:space="preserve"> is </w:t>
      </w:r>
      <w:r w:rsidR="00545674">
        <w:t xml:space="preserve">based on a </w:t>
      </w:r>
      <w:r w:rsidR="004F75FA">
        <w:t>three</w:t>
      </w:r>
      <w:r w:rsidR="00545674">
        <w:t>-</w:t>
      </w:r>
      <w:r w:rsidR="004F75FA">
        <w:t xml:space="preserve">year average </w:t>
      </w:r>
      <w:r w:rsidR="00545674">
        <w:t>of</w:t>
      </w:r>
      <w:r w:rsidR="004F75FA">
        <w:t xml:space="preserve"> VET</w:t>
      </w:r>
      <w:r>
        <w:t xml:space="preserve"> </w:t>
      </w:r>
      <w:r w:rsidR="004F75FA">
        <w:t xml:space="preserve">enrolments and </w:t>
      </w:r>
      <w:r>
        <w:t>commencements</w:t>
      </w:r>
      <w:r w:rsidR="00545674">
        <w:t xml:space="preserve">, assuming </w:t>
      </w:r>
      <w:r w:rsidR="007D0A6D">
        <w:t>there are 7</w:t>
      </w:r>
      <w:r w:rsidR="001E6E7C">
        <w:t>8</w:t>
      </w:r>
      <w:r w:rsidR="007D0A6D">
        <w:t xml:space="preserve">,000 </w:t>
      </w:r>
      <w:r w:rsidR="00545674">
        <w:t xml:space="preserve">current </w:t>
      </w:r>
      <w:r w:rsidR="007D0A6D">
        <w:t xml:space="preserve">VET </w:t>
      </w:r>
      <w:r w:rsidR="00A24F28">
        <w:t>enrolments</w:t>
      </w:r>
      <w:r w:rsidR="007D0A6D">
        <w:t xml:space="preserve">, and 14,000 </w:t>
      </w:r>
      <w:r w:rsidR="00545674">
        <w:t xml:space="preserve">new commencements annually over </w:t>
      </w:r>
      <w:r w:rsidR="007D0A6D">
        <w:t xml:space="preserve">the next </w:t>
      </w:r>
      <w:r w:rsidR="00545674">
        <w:t>decade.</w:t>
      </w:r>
      <w:r w:rsidR="00313AED">
        <w:t xml:space="preserve"> Further, </w:t>
      </w:r>
      <w:r w:rsidR="00514DBE">
        <w:t>an estimated 29,</w:t>
      </w:r>
      <w:r w:rsidR="00AC2246">
        <w:t xml:space="preserve">000 </w:t>
      </w:r>
      <w:r w:rsidR="00514DBE">
        <w:t xml:space="preserve">students are understood to be enrolled in a relevant bachelor program and </w:t>
      </w:r>
      <w:r w:rsidR="005C3C47">
        <w:t>5,</w:t>
      </w:r>
      <w:r w:rsidR="00AC2246">
        <w:t xml:space="preserve">000 </w:t>
      </w:r>
      <w:r w:rsidR="005C3C47">
        <w:t>commencements are estimated to occur each year.</w:t>
      </w:r>
      <w:r w:rsidR="005C3C47">
        <w:rPr>
          <w:rStyle w:val="FootnoteReference"/>
        </w:rPr>
        <w:footnoteReference w:id="77"/>
      </w:r>
      <w:r>
        <w:t xml:space="preserve"> Based on analysis of survey responses, it is assumed that 13% of students would be newly required to undertake child protection training, while 87% of students are already receiving this training when on placement with approved providers, or through their course.</w:t>
      </w:r>
      <w:r>
        <w:rPr>
          <w:rStyle w:val="FootnoteReference"/>
        </w:rPr>
        <w:footnoteReference w:id="78"/>
      </w:r>
      <w:r>
        <w:t xml:space="preserve"> Using OIA guidance that an hour of an individual’s leisure time is valued at $37, and assuming that child protection training requires 3 hours to complete, the estimated cost per student to complete child protection training is $111.</w:t>
      </w:r>
      <w:r w:rsidR="003B42F7">
        <w:t xml:space="preserve"> It is estimated that </w:t>
      </w:r>
      <w:r w:rsidR="008E2848">
        <w:t>the total cost of training to students over a 10</w:t>
      </w:r>
      <w:r w:rsidR="005A22EF">
        <w:t>-</w:t>
      </w:r>
      <w:r w:rsidR="008E2848">
        <w:t>year period is $</w:t>
      </w:r>
      <w:r w:rsidR="00CC2A48">
        <w:t>3.4</w:t>
      </w:r>
      <w:r w:rsidR="008E2848">
        <w:t xml:space="preserve"> million</w:t>
      </w:r>
      <w:r w:rsidR="00605D86">
        <w:t xml:space="preserve"> in present value terms</w:t>
      </w:r>
      <w:r w:rsidR="008E2848">
        <w:t>.</w:t>
      </w:r>
    </w:p>
    <w:p w14:paraId="060F85F3" w14:textId="77266D40" w:rsidR="00D601E7" w:rsidRPr="006D4C71" w:rsidRDefault="00D601E7">
      <w:pPr>
        <w:rPr>
          <w:b/>
          <w:bCs/>
        </w:rPr>
      </w:pPr>
      <w:r>
        <w:rPr>
          <w:b/>
          <w:bCs/>
        </w:rPr>
        <w:t xml:space="preserve">The cost for all individuals, including those who do not work directly with children, to be made aware </w:t>
      </w:r>
      <w:r w:rsidR="00F41C67">
        <w:rPr>
          <w:b/>
          <w:bCs/>
        </w:rPr>
        <w:t xml:space="preserve">of </w:t>
      </w:r>
      <w:r>
        <w:rPr>
          <w:b/>
          <w:bCs/>
        </w:rPr>
        <w:t>the e</w:t>
      </w:r>
      <w:r w:rsidRPr="004568E0">
        <w:rPr>
          <w:b/>
          <w:bCs/>
        </w:rPr>
        <w:t xml:space="preserve">xistence and application of current child protection law </w:t>
      </w:r>
      <w:r>
        <w:rPr>
          <w:b/>
          <w:bCs/>
        </w:rPr>
        <w:t xml:space="preserve">and their obligations under </w:t>
      </w:r>
      <w:r w:rsidR="00F41C67">
        <w:rPr>
          <w:b/>
          <w:bCs/>
        </w:rPr>
        <w:t>that law</w:t>
      </w:r>
      <w:r>
        <w:rPr>
          <w:b/>
          <w:bCs/>
        </w:rPr>
        <w:t xml:space="preserve"> under option 5 is estimated to </w:t>
      </w:r>
      <w:r w:rsidRPr="006D4C71">
        <w:rPr>
          <w:b/>
          <w:bCs/>
        </w:rPr>
        <w:t>be $</w:t>
      </w:r>
      <w:r w:rsidR="00537A6E">
        <w:rPr>
          <w:b/>
        </w:rPr>
        <w:t>799,000</w:t>
      </w:r>
      <w:r w:rsidRPr="006D4C71">
        <w:rPr>
          <w:b/>
          <w:bCs/>
        </w:rPr>
        <w:t xml:space="preserve">. </w:t>
      </w:r>
    </w:p>
    <w:p w14:paraId="2A165753" w14:textId="074E32C3" w:rsidR="00D601E7" w:rsidRDefault="00D601E7">
      <w:r w:rsidRPr="006D4C71">
        <w:t>Option 5 expands existing requirements from all who work directly with children to include those who do not work directly with children. The education and care sector is estimated to employ approximately 26,000 persons who do not work directly with children.</w:t>
      </w:r>
      <w:r w:rsidRPr="006D4C71">
        <w:rPr>
          <w:rStyle w:val="FootnoteReference"/>
        </w:rPr>
        <w:footnoteReference w:id="79"/>
      </w:r>
      <w:r w:rsidRPr="006D4C71">
        <w:t xml:space="preserve"> It is assumed that </w:t>
      </w:r>
      <w:r w:rsidR="00E56BF8">
        <w:t xml:space="preserve">approximately </w:t>
      </w:r>
      <w:r w:rsidR="00D754B2">
        <w:t>5</w:t>
      </w:r>
      <w:r w:rsidR="00637C5E" w:rsidRPr="006D4C71">
        <w:t>0</w:t>
      </w:r>
      <w:r w:rsidRPr="006D4C71">
        <w:t xml:space="preserve">% of approved providers would already </w:t>
      </w:r>
      <w:r w:rsidR="00500C1D" w:rsidRPr="006D4C71">
        <w:t xml:space="preserve">ensure </w:t>
      </w:r>
      <w:r w:rsidR="00637C5E" w:rsidRPr="006D4C71">
        <w:t xml:space="preserve">that </w:t>
      </w:r>
      <w:r w:rsidR="00500C1D" w:rsidRPr="006D4C71">
        <w:t xml:space="preserve">staff </w:t>
      </w:r>
      <w:r w:rsidR="00637C5E" w:rsidRPr="006D4C71">
        <w:t xml:space="preserve">who do not </w:t>
      </w:r>
      <w:r w:rsidR="006D4C71" w:rsidRPr="006D4C71">
        <w:t xml:space="preserve">work with children </w:t>
      </w:r>
      <w:r w:rsidR="00500C1D" w:rsidRPr="006D4C71">
        <w:t xml:space="preserve">are aware of their obligations under the relevant child protection law. </w:t>
      </w:r>
      <w:r w:rsidRPr="006D4C71">
        <w:t xml:space="preserve">Under a conservative estimate that making staff aware </w:t>
      </w:r>
      <w:r w:rsidR="00E56BF8">
        <w:t xml:space="preserve">of </w:t>
      </w:r>
      <w:r w:rsidRPr="006D4C71">
        <w:t xml:space="preserve">the existence and application of </w:t>
      </w:r>
      <w:r w:rsidRPr="006D4C71">
        <w:lastRenderedPageBreak/>
        <w:t xml:space="preserve">current child protection law and their obligations under </w:t>
      </w:r>
      <w:r w:rsidR="00500C1D" w:rsidRPr="006D4C71">
        <w:t>that law</w:t>
      </w:r>
      <w:r w:rsidRPr="006D4C71">
        <w:t xml:space="preserve"> requires </w:t>
      </w:r>
      <w:r w:rsidR="004536DE" w:rsidRPr="006D4C71">
        <w:t xml:space="preserve">1 </w:t>
      </w:r>
      <w:r w:rsidRPr="006D4C71">
        <w:t>hour</w:t>
      </w:r>
      <w:r w:rsidR="00637C5E" w:rsidRPr="006D4C71">
        <w:t xml:space="preserve"> </w:t>
      </w:r>
      <w:r w:rsidR="0081743B" w:rsidRPr="006D4C71">
        <w:t>to notify staff</w:t>
      </w:r>
      <w:r w:rsidR="000321EC">
        <w:t>,</w:t>
      </w:r>
      <w:r w:rsidR="00E60534">
        <w:rPr>
          <w:rStyle w:val="FootnoteReference"/>
        </w:rPr>
        <w:footnoteReference w:id="80"/>
      </w:r>
      <w:r w:rsidRPr="006D4C71">
        <w:t xml:space="preserve"> </w:t>
      </w:r>
      <w:r w:rsidR="000321EC">
        <w:t xml:space="preserve">and using the wage rate applied to options 3 and 4, </w:t>
      </w:r>
      <w:r w:rsidRPr="006D4C71">
        <w:t>this requirement would equate to a cost of $</w:t>
      </w:r>
      <w:r w:rsidR="00537A6E">
        <w:t>799,000</w:t>
      </w:r>
      <w:r w:rsidRPr="006D4C71">
        <w:t>.</w:t>
      </w:r>
    </w:p>
    <w:p w14:paraId="5F648812" w14:textId="77777777" w:rsidR="005176BF" w:rsidRDefault="009C5F9F">
      <w:r>
        <w:t xml:space="preserve">Under option 5, </w:t>
      </w:r>
      <w:r w:rsidR="00526F14">
        <w:t>ensuring</w:t>
      </w:r>
      <w:r>
        <w:t xml:space="preserve"> all staff </w:t>
      </w:r>
      <w:r w:rsidR="005176BF">
        <w:t>are</w:t>
      </w:r>
      <w:r>
        <w:t xml:space="preserve"> aware of current child protection law </w:t>
      </w:r>
      <w:r w:rsidR="005176BF">
        <w:t>and their legal</w:t>
      </w:r>
      <w:r>
        <w:t xml:space="preserve"> obligations does not </w:t>
      </w:r>
      <w:r w:rsidR="005176BF">
        <w:t xml:space="preserve">result in </w:t>
      </w:r>
      <w:r>
        <w:t xml:space="preserve">backfill </w:t>
      </w:r>
      <w:r w:rsidR="005176BF">
        <w:t>costs,</w:t>
      </w:r>
      <w:r>
        <w:t xml:space="preserve"> as </w:t>
      </w:r>
      <w:r w:rsidR="005176BF">
        <w:t>it does not affect staffing</w:t>
      </w:r>
      <w:r>
        <w:t xml:space="preserve"> ratios within education and care services.</w:t>
      </w:r>
    </w:p>
    <w:p w14:paraId="3CA32140" w14:textId="5C559941" w:rsidR="00D601E7" w:rsidRDefault="00C34365">
      <w:r>
        <w:t xml:space="preserve">The cost for options 3, 4, and 5 also vary by jurisdiction, depending on existing requirements for staff to undertake training. The total monetised cost of options 3, 4, and 5 is presented in Table </w:t>
      </w:r>
      <w:r w:rsidR="00521B4C">
        <w:t>6.</w:t>
      </w:r>
      <w:r w:rsidR="006F7FE3">
        <w:t>4</w:t>
      </w:r>
      <w:r>
        <w:t>.</w:t>
      </w:r>
      <w:r w:rsidR="00521B4C">
        <w:t xml:space="preserve"> The total cost of the three proposed options has not been presented, as options 3 and 4 are mutually exclusive and cannot be implemented together.</w:t>
      </w:r>
    </w:p>
    <w:p w14:paraId="347A85AD" w14:textId="14565997" w:rsidR="00521B4C" w:rsidRDefault="00521B4C" w:rsidP="00521B4C">
      <w:pPr>
        <w:pStyle w:val="Caption"/>
      </w:pPr>
      <w:bookmarkStart w:id="87" w:name="_Toc205884944"/>
      <w:r>
        <w:t>Table 6.</w:t>
      </w:r>
      <w:r w:rsidR="006F7FE3">
        <w:t>4</w:t>
      </w:r>
      <w:r>
        <w:t>: Monetised cost of options 3, 4, and 5, by jurisdiction</w:t>
      </w:r>
      <w:bookmarkEnd w:id="87"/>
      <w:r w:rsidR="00444A15">
        <w:t xml:space="preserve"> </w:t>
      </w: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6.4: Monetised cost of options 3, 4, and 5, by jurisdiction "/>
        <w:tblDescription w:val="This table outlines the monetised cost of options 3, 4, and 5, by jurisdiction."/>
      </w:tblPr>
      <w:tblGrid>
        <w:gridCol w:w="1280"/>
        <w:gridCol w:w="2580"/>
        <w:gridCol w:w="2580"/>
        <w:gridCol w:w="2580"/>
      </w:tblGrid>
      <w:tr w:rsidR="00C34365" w14:paraId="2E0452EA" w14:textId="77777777" w:rsidTr="0014541F">
        <w:tc>
          <w:tcPr>
            <w:tcW w:w="1280" w:type="dxa"/>
            <w:shd w:val="clear" w:color="auto" w:fill="14233C" w:themeFill="text2"/>
          </w:tcPr>
          <w:p w14:paraId="00BB6763" w14:textId="77777777" w:rsidR="00C34365" w:rsidRDefault="00C34365"/>
        </w:tc>
        <w:tc>
          <w:tcPr>
            <w:tcW w:w="2580" w:type="dxa"/>
            <w:shd w:val="clear" w:color="auto" w:fill="14233C" w:themeFill="text2"/>
            <w:vAlign w:val="center"/>
          </w:tcPr>
          <w:p w14:paraId="3079FF28" w14:textId="3F8F35F1" w:rsidR="00C34365" w:rsidRPr="00983A34" w:rsidRDefault="00C34365" w:rsidP="00483557">
            <w:pPr>
              <w:jc w:val="center"/>
              <w:rPr>
                <w:b/>
                <w:szCs w:val="26"/>
              </w:rPr>
            </w:pPr>
            <w:r w:rsidRPr="00983A34">
              <w:rPr>
                <w:b/>
                <w:szCs w:val="26"/>
              </w:rPr>
              <w:t>Option 3</w:t>
            </w:r>
          </w:p>
        </w:tc>
        <w:tc>
          <w:tcPr>
            <w:tcW w:w="2580" w:type="dxa"/>
            <w:shd w:val="clear" w:color="auto" w:fill="14233C" w:themeFill="text2"/>
          </w:tcPr>
          <w:p w14:paraId="533E723B" w14:textId="2241BAEF" w:rsidR="00C34365" w:rsidRPr="00983A34" w:rsidRDefault="00C34365" w:rsidP="00483557">
            <w:pPr>
              <w:jc w:val="center"/>
              <w:rPr>
                <w:b/>
                <w:szCs w:val="26"/>
              </w:rPr>
            </w:pPr>
            <w:r w:rsidRPr="00983A34">
              <w:rPr>
                <w:b/>
                <w:szCs w:val="26"/>
              </w:rPr>
              <w:t>Option 4</w:t>
            </w:r>
          </w:p>
        </w:tc>
        <w:tc>
          <w:tcPr>
            <w:tcW w:w="2580" w:type="dxa"/>
            <w:shd w:val="clear" w:color="auto" w:fill="14233C" w:themeFill="text2"/>
            <w:vAlign w:val="center"/>
          </w:tcPr>
          <w:p w14:paraId="1DB11877" w14:textId="3020114B" w:rsidR="00C34365" w:rsidRPr="00983A34" w:rsidRDefault="00C34365" w:rsidP="00483557">
            <w:pPr>
              <w:jc w:val="center"/>
              <w:rPr>
                <w:b/>
                <w:szCs w:val="26"/>
              </w:rPr>
            </w:pPr>
            <w:r w:rsidRPr="00983A34">
              <w:rPr>
                <w:b/>
                <w:szCs w:val="26"/>
              </w:rPr>
              <w:t>Option 5</w:t>
            </w:r>
          </w:p>
        </w:tc>
      </w:tr>
      <w:tr w:rsidR="00FB5BF1" w14:paraId="3FE84AD6" w14:textId="77777777" w:rsidTr="0014541F">
        <w:tc>
          <w:tcPr>
            <w:tcW w:w="1280" w:type="dxa"/>
            <w:vAlign w:val="center"/>
          </w:tcPr>
          <w:p w14:paraId="76EDB1FF" w14:textId="5E1DFE11" w:rsidR="00FB5BF1" w:rsidRDefault="00FB5BF1" w:rsidP="00FB5BF1">
            <w:r>
              <w:rPr>
                <w:rFonts w:cs="Arial"/>
                <w:color w:val="000000"/>
                <w:szCs w:val="22"/>
              </w:rPr>
              <w:t>NSW</w:t>
            </w:r>
          </w:p>
        </w:tc>
        <w:tc>
          <w:tcPr>
            <w:tcW w:w="2580" w:type="dxa"/>
            <w:vAlign w:val="center"/>
          </w:tcPr>
          <w:p w14:paraId="17D27F6C" w14:textId="6A51B46D" w:rsidR="00FB5BF1" w:rsidRDefault="00FB5BF1" w:rsidP="00FB5BF1">
            <w:pPr>
              <w:jc w:val="center"/>
            </w:pPr>
            <w:r>
              <w:rPr>
                <w:rFonts w:cs="Arial"/>
                <w:color w:val="000000"/>
                <w:szCs w:val="22"/>
              </w:rPr>
              <w:t>$0</w:t>
            </w:r>
          </w:p>
        </w:tc>
        <w:tc>
          <w:tcPr>
            <w:tcW w:w="2580" w:type="dxa"/>
            <w:vAlign w:val="center"/>
          </w:tcPr>
          <w:p w14:paraId="016F0869" w14:textId="5B83B05C" w:rsidR="00FB5BF1" w:rsidRPr="00983A34" w:rsidRDefault="00FB5BF1" w:rsidP="00FB5BF1">
            <w:pPr>
              <w:jc w:val="center"/>
              <w:rPr>
                <w:highlight w:val="lightGray"/>
              </w:rPr>
            </w:pPr>
            <w:r>
              <w:rPr>
                <w:rFonts w:cs="Arial"/>
                <w:color w:val="000000"/>
                <w:szCs w:val="22"/>
              </w:rPr>
              <w:t>$3,197,068</w:t>
            </w:r>
          </w:p>
        </w:tc>
        <w:tc>
          <w:tcPr>
            <w:tcW w:w="2580" w:type="dxa"/>
            <w:vAlign w:val="center"/>
          </w:tcPr>
          <w:p w14:paraId="1BA26423" w14:textId="66118F70" w:rsidR="00FB5BF1" w:rsidRDefault="00FB5BF1" w:rsidP="00FB5BF1">
            <w:pPr>
              <w:jc w:val="center"/>
            </w:pPr>
            <w:r>
              <w:rPr>
                <w:rFonts w:cs="Arial"/>
                <w:color w:val="000000"/>
                <w:szCs w:val="22"/>
              </w:rPr>
              <w:t>$263,450</w:t>
            </w:r>
          </w:p>
        </w:tc>
      </w:tr>
      <w:tr w:rsidR="00FB5BF1" w14:paraId="01CE1B9C" w14:textId="77777777" w:rsidTr="0014541F">
        <w:tc>
          <w:tcPr>
            <w:tcW w:w="1280" w:type="dxa"/>
            <w:vAlign w:val="center"/>
          </w:tcPr>
          <w:p w14:paraId="4D8BDAF5" w14:textId="155E6B8D" w:rsidR="00FB5BF1" w:rsidRDefault="00FB5BF1" w:rsidP="00FB5BF1">
            <w:r>
              <w:rPr>
                <w:rFonts w:cs="Arial"/>
                <w:color w:val="000000"/>
                <w:szCs w:val="22"/>
              </w:rPr>
              <w:t>VIC</w:t>
            </w:r>
          </w:p>
        </w:tc>
        <w:tc>
          <w:tcPr>
            <w:tcW w:w="2580" w:type="dxa"/>
            <w:vAlign w:val="center"/>
          </w:tcPr>
          <w:p w14:paraId="095BB7AF" w14:textId="4AB8A99B" w:rsidR="00FB5BF1" w:rsidRDefault="00FB5BF1" w:rsidP="00FB5BF1">
            <w:pPr>
              <w:jc w:val="center"/>
            </w:pPr>
            <w:r>
              <w:rPr>
                <w:rFonts w:cs="Arial"/>
                <w:color w:val="000000"/>
                <w:szCs w:val="22"/>
              </w:rPr>
              <w:t>$0</w:t>
            </w:r>
          </w:p>
        </w:tc>
        <w:tc>
          <w:tcPr>
            <w:tcW w:w="2580" w:type="dxa"/>
            <w:vAlign w:val="center"/>
          </w:tcPr>
          <w:p w14:paraId="1EA25D6A" w14:textId="294F8B0F" w:rsidR="00FB5BF1" w:rsidRPr="00983A34" w:rsidRDefault="00FB5BF1" w:rsidP="00FB5BF1">
            <w:pPr>
              <w:jc w:val="center"/>
              <w:rPr>
                <w:highlight w:val="lightGray"/>
              </w:rPr>
            </w:pPr>
            <w:r>
              <w:rPr>
                <w:rFonts w:cs="Arial"/>
                <w:color w:val="000000"/>
                <w:szCs w:val="22"/>
              </w:rPr>
              <w:t>$1,738,242</w:t>
            </w:r>
          </w:p>
        </w:tc>
        <w:tc>
          <w:tcPr>
            <w:tcW w:w="2580" w:type="dxa"/>
            <w:vAlign w:val="center"/>
          </w:tcPr>
          <w:p w14:paraId="55E65EC2" w14:textId="6B967991" w:rsidR="00FB5BF1" w:rsidRDefault="00FB5BF1" w:rsidP="00FB5BF1">
            <w:pPr>
              <w:jc w:val="center"/>
            </w:pPr>
            <w:r>
              <w:rPr>
                <w:rFonts w:cs="Arial"/>
                <w:color w:val="000000"/>
                <w:szCs w:val="22"/>
              </w:rPr>
              <w:t>$202,420</w:t>
            </w:r>
          </w:p>
        </w:tc>
      </w:tr>
      <w:tr w:rsidR="00FB5BF1" w14:paraId="329DCAD4" w14:textId="77777777" w:rsidTr="0014541F">
        <w:tc>
          <w:tcPr>
            <w:tcW w:w="1280" w:type="dxa"/>
            <w:vAlign w:val="center"/>
          </w:tcPr>
          <w:p w14:paraId="5B05EF0F" w14:textId="0874589B" w:rsidR="00FB5BF1" w:rsidRDefault="00FB5BF1" w:rsidP="00FB5BF1">
            <w:r>
              <w:rPr>
                <w:rFonts w:cs="Arial"/>
                <w:color w:val="000000"/>
                <w:szCs w:val="22"/>
              </w:rPr>
              <w:t>QLD</w:t>
            </w:r>
          </w:p>
        </w:tc>
        <w:tc>
          <w:tcPr>
            <w:tcW w:w="2580" w:type="dxa"/>
            <w:vAlign w:val="center"/>
          </w:tcPr>
          <w:p w14:paraId="0DB105EB" w14:textId="06C29595" w:rsidR="00FB5BF1" w:rsidRDefault="00FB5BF1" w:rsidP="00FB5BF1">
            <w:pPr>
              <w:jc w:val="center"/>
            </w:pPr>
            <w:r>
              <w:rPr>
                <w:rFonts w:cs="Arial"/>
                <w:color w:val="000000"/>
                <w:szCs w:val="22"/>
              </w:rPr>
              <w:t>$0</w:t>
            </w:r>
          </w:p>
        </w:tc>
        <w:tc>
          <w:tcPr>
            <w:tcW w:w="2580" w:type="dxa"/>
            <w:vAlign w:val="center"/>
          </w:tcPr>
          <w:p w14:paraId="5B3CCF54" w14:textId="71F129CD" w:rsidR="00FB5BF1" w:rsidRPr="00983A34" w:rsidRDefault="00FB5BF1" w:rsidP="00FB5BF1">
            <w:pPr>
              <w:jc w:val="center"/>
              <w:rPr>
                <w:highlight w:val="lightGray"/>
              </w:rPr>
            </w:pPr>
            <w:r>
              <w:rPr>
                <w:rFonts w:cs="Arial"/>
                <w:color w:val="000000"/>
                <w:szCs w:val="22"/>
              </w:rPr>
              <w:t>$2,256,894</w:t>
            </w:r>
          </w:p>
        </w:tc>
        <w:tc>
          <w:tcPr>
            <w:tcW w:w="2580" w:type="dxa"/>
            <w:vAlign w:val="center"/>
          </w:tcPr>
          <w:p w14:paraId="46EAA3E1" w14:textId="4BDD91E9" w:rsidR="00FB5BF1" w:rsidRDefault="00FB5BF1" w:rsidP="00FB5BF1">
            <w:pPr>
              <w:jc w:val="center"/>
            </w:pPr>
            <w:r>
              <w:rPr>
                <w:rFonts w:cs="Arial"/>
                <w:color w:val="000000"/>
                <w:szCs w:val="22"/>
              </w:rPr>
              <w:t>$182,840</w:t>
            </w:r>
          </w:p>
        </w:tc>
      </w:tr>
      <w:tr w:rsidR="00FB5BF1" w14:paraId="7D4F2D36" w14:textId="77777777" w:rsidTr="0014541F">
        <w:tc>
          <w:tcPr>
            <w:tcW w:w="1280" w:type="dxa"/>
            <w:vAlign w:val="center"/>
          </w:tcPr>
          <w:p w14:paraId="6A7AE38E" w14:textId="029E76B0" w:rsidR="00FB5BF1" w:rsidRDefault="00FB5BF1" w:rsidP="00FB5BF1">
            <w:r>
              <w:rPr>
                <w:rFonts w:cs="Arial"/>
                <w:color w:val="000000"/>
                <w:szCs w:val="22"/>
              </w:rPr>
              <w:t>WA</w:t>
            </w:r>
          </w:p>
        </w:tc>
        <w:tc>
          <w:tcPr>
            <w:tcW w:w="2580" w:type="dxa"/>
            <w:vAlign w:val="center"/>
          </w:tcPr>
          <w:p w14:paraId="0778B5CD" w14:textId="0E337BFA" w:rsidR="00FB5BF1" w:rsidRDefault="00FB5BF1" w:rsidP="00FB5BF1">
            <w:pPr>
              <w:jc w:val="center"/>
            </w:pPr>
            <w:r>
              <w:rPr>
                <w:rFonts w:cs="Arial"/>
                <w:color w:val="000000"/>
                <w:szCs w:val="22"/>
              </w:rPr>
              <w:t>$358,266</w:t>
            </w:r>
          </w:p>
        </w:tc>
        <w:tc>
          <w:tcPr>
            <w:tcW w:w="2580" w:type="dxa"/>
            <w:vAlign w:val="center"/>
          </w:tcPr>
          <w:p w14:paraId="3CE32C93" w14:textId="6827E19C" w:rsidR="00FB5BF1" w:rsidRPr="00983A34" w:rsidRDefault="00FB5BF1" w:rsidP="00FB5BF1">
            <w:pPr>
              <w:jc w:val="center"/>
              <w:rPr>
                <w:highlight w:val="lightGray"/>
              </w:rPr>
            </w:pPr>
            <w:r>
              <w:rPr>
                <w:rFonts w:cs="Arial"/>
                <w:color w:val="000000"/>
                <w:szCs w:val="22"/>
              </w:rPr>
              <w:t>$1,222,573</w:t>
            </w:r>
          </w:p>
        </w:tc>
        <w:tc>
          <w:tcPr>
            <w:tcW w:w="2580" w:type="dxa"/>
            <w:vAlign w:val="center"/>
          </w:tcPr>
          <w:p w14:paraId="7231D898" w14:textId="5D071BED" w:rsidR="00FB5BF1" w:rsidRDefault="00FB5BF1" w:rsidP="00FB5BF1">
            <w:pPr>
              <w:jc w:val="center"/>
            </w:pPr>
            <w:r>
              <w:rPr>
                <w:rFonts w:cs="Arial"/>
                <w:color w:val="000000"/>
                <w:szCs w:val="22"/>
              </w:rPr>
              <w:t>$62,317</w:t>
            </w:r>
          </w:p>
        </w:tc>
      </w:tr>
      <w:tr w:rsidR="00FB5BF1" w14:paraId="63F589AB" w14:textId="77777777" w:rsidTr="0014541F">
        <w:tc>
          <w:tcPr>
            <w:tcW w:w="1280" w:type="dxa"/>
            <w:vAlign w:val="center"/>
          </w:tcPr>
          <w:p w14:paraId="61866355" w14:textId="0277EAC5" w:rsidR="00FB5BF1" w:rsidRDefault="00FB5BF1" w:rsidP="00FB5BF1">
            <w:r>
              <w:rPr>
                <w:rFonts w:cs="Arial"/>
                <w:color w:val="000000"/>
                <w:szCs w:val="22"/>
              </w:rPr>
              <w:t>SA</w:t>
            </w:r>
          </w:p>
        </w:tc>
        <w:tc>
          <w:tcPr>
            <w:tcW w:w="2580" w:type="dxa"/>
            <w:vAlign w:val="center"/>
          </w:tcPr>
          <w:p w14:paraId="7B9D9150" w14:textId="74C72F68" w:rsidR="00FB5BF1" w:rsidRDefault="00FB5BF1" w:rsidP="00FB5BF1">
            <w:pPr>
              <w:jc w:val="center"/>
            </w:pPr>
            <w:r>
              <w:rPr>
                <w:rFonts w:cs="Arial"/>
                <w:color w:val="000000"/>
                <w:szCs w:val="22"/>
              </w:rPr>
              <w:t>$0</w:t>
            </w:r>
          </w:p>
        </w:tc>
        <w:tc>
          <w:tcPr>
            <w:tcW w:w="2580" w:type="dxa"/>
            <w:vAlign w:val="center"/>
          </w:tcPr>
          <w:p w14:paraId="66DC974E" w14:textId="1872A098" w:rsidR="00FB5BF1" w:rsidRPr="00983A34" w:rsidRDefault="00FB5BF1" w:rsidP="00FB5BF1">
            <w:pPr>
              <w:jc w:val="center"/>
              <w:rPr>
                <w:highlight w:val="lightGray"/>
              </w:rPr>
            </w:pPr>
            <w:r>
              <w:rPr>
                <w:rFonts w:cs="Arial"/>
                <w:color w:val="000000"/>
                <w:szCs w:val="22"/>
              </w:rPr>
              <w:t>$382,610</w:t>
            </w:r>
          </w:p>
        </w:tc>
        <w:tc>
          <w:tcPr>
            <w:tcW w:w="2580" w:type="dxa"/>
            <w:vAlign w:val="center"/>
          </w:tcPr>
          <w:p w14:paraId="37A5853F" w14:textId="0087ABC8" w:rsidR="00FB5BF1" w:rsidRDefault="00FB5BF1" w:rsidP="00FB5BF1">
            <w:pPr>
              <w:jc w:val="center"/>
            </w:pPr>
            <w:r>
              <w:rPr>
                <w:rFonts w:cs="Arial"/>
                <w:color w:val="000000"/>
                <w:szCs w:val="22"/>
              </w:rPr>
              <w:t>$48,693</w:t>
            </w:r>
          </w:p>
        </w:tc>
      </w:tr>
      <w:tr w:rsidR="00FB5BF1" w14:paraId="3040BBC0" w14:textId="77777777" w:rsidTr="0014541F">
        <w:tc>
          <w:tcPr>
            <w:tcW w:w="1280" w:type="dxa"/>
            <w:vAlign w:val="center"/>
          </w:tcPr>
          <w:p w14:paraId="5DAF3F68" w14:textId="3C5FB8C1" w:rsidR="00FB5BF1" w:rsidRDefault="00FB5BF1" w:rsidP="00FB5BF1">
            <w:r>
              <w:rPr>
                <w:rFonts w:cs="Arial"/>
                <w:color w:val="000000"/>
                <w:szCs w:val="22"/>
              </w:rPr>
              <w:t>TAS</w:t>
            </w:r>
          </w:p>
        </w:tc>
        <w:tc>
          <w:tcPr>
            <w:tcW w:w="2580" w:type="dxa"/>
            <w:vAlign w:val="center"/>
          </w:tcPr>
          <w:p w14:paraId="27207444" w14:textId="6FD5D2D9" w:rsidR="00FB5BF1" w:rsidRDefault="00FB5BF1" w:rsidP="00FB5BF1">
            <w:pPr>
              <w:jc w:val="center"/>
            </w:pPr>
            <w:r>
              <w:rPr>
                <w:rFonts w:cs="Arial"/>
                <w:color w:val="000000"/>
                <w:szCs w:val="22"/>
              </w:rPr>
              <w:t>$64,391</w:t>
            </w:r>
          </w:p>
        </w:tc>
        <w:tc>
          <w:tcPr>
            <w:tcW w:w="2580" w:type="dxa"/>
            <w:vAlign w:val="center"/>
          </w:tcPr>
          <w:p w14:paraId="2319155E" w14:textId="7906BBB3" w:rsidR="00FB5BF1" w:rsidRPr="00983A34" w:rsidRDefault="00FB5BF1" w:rsidP="00FB5BF1">
            <w:pPr>
              <w:jc w:val="center"/>
              <w:rPr>
                <w:highlight w:val="lightGray"/>
              </w:rPr>
            </w:pPr>
            <w:r>
              <w:rPr>
                <w:rFonts w:cs="Arial"/>
                <w:color w:val="000000"/>
                <w:szCs w:val="22"/>
              </w:rPr>
              <w:t>$209,477</w:t>
            </w:r>
          </w:p>
        </w:tc>
        <w:tc>
          <w:tcPr>
            <w:tcW w:w="2580" w:type="dxa"/>
            <w:vAlign w:val="center"/>
          </w:tcPr>
          <w:p w14:paraId="145587A0" w14:textId="125BCAED" w:rsidR="00FB5BF1" w:rsidRDefault="00FB5BF1" w:rsidP="00FB5BF1">
            <w:pPr>
              <w:jc w:val="center"/>
            </w:pPr>
            <w:r>
              <w:rPr>
                <w:rFonts w:cs="Arial"/>
                <w:color w:val="000000"/>
                <w:szCs w:val="22"/>
              </w:rPr>
              <w:t>$12,122</w:t>
            </w:r>
          </w:p>
        </w:tc>
      </w:tr>
      <w:tr w:rsidR="00FB5BF1" w14:paraId="044AEDA6" w14:textId="77777777" w:rsidTr="0014541F">
        <w:tc>
          <w:tcPr>
            <w:tcW w:w="1280" w:type="dxa"/>
            <w:vAlign w:val="center"/>
          </w:tcPr>
          <w:p w14:paraId="3E6F7830" w14:textId="2E07D695" w:rsidR="00FB5BF1" w:rsidRDefault="00FB5BF1" w:rsidP="00FB5BF1">
            <w:r>
              <w:rPr>
                <w:rFonts w:cs="Arial"/>
                <w:color w:val="000000"/>
                <w:szCs w:val="22"/>
              </w:rPr>
              <w:t>ACT</w:t>
            </w:r>
          </w:p>
        </w:tc>
        <w:tc>
          <w:tcPr>
            <w:tcW w:w="2580" w:type="dxa"/>
            <w:vAlign w:val="center"/>
          </w:tcPr>
          <w:p w14:paraId="55628F32" w14:textId="6684942D" w:rsidR="00FB5BF1" w:rsidRDefault="00FB5BF1" w:rsidP="00FB5BF1">
            <w:pPr>
              <w:jc w:val="center"/>
            </w:pPr>
            <w:r>
              <w:rPr>
                <w:rFonts w:cs="Arial"/>
                <w:color w:val="000000"/>
                <w:szCs w:val="22"/>
              </w:rPr>
              <w:t>$73,165</w:t>
            </w:r>
          </w:p>
        </w:tc>
        <w:tc>
          <w:tcPr>
            <w:tcW w:w="2580" w:type="dxa"/>
            <w:vAlign w:val="center"/>
          </w:tcPr>
          <w:p w14:paraId="411C4F20" w14:textId="07357764" w:rsidR="00FB5BF1" w:rsidRPr="00983A34" w:rsidRDefault="00FB5BF1" w:rsidP="00FB5BF1">
            <w:pPr>
              <w:jc w:val="center"/>
              <w:rPr>
                <w:highlight w:val="lightGray"/>
              </w:rPr>
            </w:pPr>
            <w:r>
              <w:rPr>
                <w:rFonts w:cs="Arial"/>
                <w:color w:val="000000"/>
                <w:szCs w:val="22"/>
              </w:rPr>
              <w:t>$333,567</w:t>
            </w:r>
          </w:p>
        </w:tc>
        <w:tc>
          <w:tcPr>
            <w:tcW w:w="2580" w:type="dxa"/>
            <w:vAlign w:val="center"/>
          </w:tcPr>
          <w:p w14:paraId="76144FEB" w14:textId="2931E02A" w:rsidR="00FB5BF1" w:rsidRDefault="00FB5BF1" w:rsidP="00FB5BF1">
            <w:pPr>
              <w:jc w:val="center"/>
            </w:pPr>
            <w:r>
              <w:rPr>
                <w:rFonts w:cs="Arial"/>
                <w:color w:val="000000"/>
                <w:szCs w:val="22"/>
              </w:rPr>
              <w:t>$18,926</w:t>
            </w:r>
          </w:p>
        </w:tc>
      </w:tr>
      <w:tr w:rsidR="00FB5BF1" w14:paraId="6C349493" w14:textId="77777777" w:rsidTr="0014541F">
        <w:tc>
          <w:tcPr>
            <w:tcW w:w="1280" w:type="dxa"/>
            <w:vAlign w:val="center"/>
          </w:tcPr>
          <w:p w14:paraId="678D2A3B" w14:textId="257F99D2" w:rsidR="00FB5BF1" w:rsidRDefault="00FB5BF1" w:rsidP="00FB5BF1">
            <w:pPr>
              <w:rPr>
                <w:rFonts w:cs="Arial"/>
                <w:color w:val="000000"/>
                <w:szCs w:val="22"/>
              </w:rPr>
            </w:pPr>
            <w:r>
              <w:rPr>
                <w:rFonts w:cs="Arial"/>
                <w:color w:val="000000"/>
                <w:szCs w:val="22"/>
              </w:rPr>
              <w:t>NT</w:t>
            </w:r>
          </w:p>
        </w:tc>
        <w:tc>
          <w:tcPr>
            <w:tcW w:w="2580" w:type="dxa"/>
            <w:vAlign w:val="center"/>
          </w:tcPr>
          <w:p w14:paraId="2D9A1405" w14:textId="797184DE" w:rsidR="00FB5BF1" w:rsidRDefault="00FB5BF1" w:rsidP="00FB5BF1">
            <w:pPr>
              <w:jc w:val="center"/>
              <w:rPr>
                <w:rFonts w:cs="Arial"/>
                <w:color w:val="000000"/>
                <w:szCs w:val="22"/>
              </w:rPr>
            </w:pPr>
            <w:r>
              <w:rPr>
                <w:rFonts w:cs="Arial"/>
                <w:color w:val="000000"/>
                <w:szCs w:val="22"/>
              </w:rPr>
              <w:t>$53,376</w:t>
            </w:r>
          </w:p>
        </w:tc>
        <w:tc>
          <w:tcPr>
            <w:tcW w:w="2580" w:type="dxa"/>
            <w:vAlign w:val="center"/>
          </w:tcPr>
          <w:p w14:paraId="0AFEBD97" w14:textId="13034225" w:rsidR="00FB5BF1" w:rsidRPr="00983A34" w:rsidRDefault="00FB5BF1" w:rsidP="00FB5BF1">
            <w:pPr>
              <w:jc w:val="center"/>
              <w:rPr>
                <w:rFonts w:cs="Arial"/>
                <w:color w:val="000000"/>
                <w:szCs w:val="22"/>
                <w:highlight w:val="lightGray"/>
              </w:rPr>
            </w:pPr>
            <w:r>
              <w:rPr>
                <w:rFonts w:cs="Arial"/>
                <w:color w:val="000000"/>
                <w:szCs w:val="22"/>
              </w:rPr>
              <w:t>$145,390</w:t>
            </w:r>
          </w:p>
        </w:tc>
        <w:tc>
          <w:tcPr>
            <w:tcW w:w="2580" w:type="dxa"/>
            <w:vAlign w:val="center"/>
          </w:tcPr>
          <w:p w14:paraId="69BBFF0D" w14:textId="7F0D44E7" w:rsidR="00FB5BF1" w:rsidRDefault="00FB5BF1" w:rsidP="00FB5BF1">
            <w:pPr>
              <w:jc w:val="center"/>
              <w:rPr>
                <w:rFonts w:cs="Arial"/>
                <w:color w:val="000000"/>
                <w:szCs w:val="22"/>
              </w:rPr>
            </w:pPr>
            <w:r>
              <w:rPr>
                <w:rFonts w:cs="Arial"/>
                <w:color w:val="000000"/>
                <w:szCs w:val="22"/>
              </w:rPr>
              <w:t>$8,189</w:t>
            </w:r>
          </w:p>
        </w:tc>
      </w:tr>
    </w:tbl>
    <w:p w14:paraId="7137F502" w14:textId="77777777" w:rsidR="00C34365" w:rsidRPr="00A767FF" w:rsidRDefault="00C34365"/>
    <w:p w14:paraId="060CB89B" w14:textId="29DCE151" w:rsidR="00844ABC" w:rsidRDefault="00D601E7">
      <w:r w:rsidRPr="00844ABC">
        <w:rPr>
          <w:b/>
        </w:rPr>
        <w:t>The cost for individuals to complete child safety training and biennial refresher training required under option 6</w:t>
      </w:r>
      <w:r w:rsidR="006D4C71" w:rsidRPr="00844ABC">
        <w:rPr>
          <w:b/>
        </w:rPr>
        <w:t xml:space="preserve"> has not been estimated,</w:t>
      </w:r>
      <w:r w:rsidR="002E02EC" w:rsidRPr="00844ABC">
        <w:rPr>
          <w:b/>
        </w:rPr>
        <w:t xml:space="preserve"> as the requirements of the training, including the length of time it may </w:t>
      </w:r>
      <w:r w:rsidR="00686406">
        <w:rPr>
          <w:b/>
          <w:bCs/>
        </w:rPr>
        <w:t>take</w:t>
      </w:r>
      <w:r w:rsidR="00686406" w:rsidRPr="00844ABC">
        <w:rPr>
          <w:b/>
          <w:bCs/>
        </w:rPr>
        <w:t xml:space="preserve"> </w:t>
      </w:r>
      <w:r w:rsidR="002E02EC" w:rsidRPr="00844ABC">
        <w:rPr>
          <w:b/>
        </w:rPr>
        <w:t>to complete, are yet to be determined.</w:t>
      </w:r>
      <w:r w:rsidR="006E2CCD">
        <w:t xml:space="preserve"> </w:t>
      </w:r>
    </w:p>
    <w:p w14:paraId="124387DC" w14:textId="159B68B6" w:rsidR="00FD7CB8" w:rsidRDefault="006E2CCD">
      <w:r>
        <w:t xml:space="preserve">The costs of option 6 would be substantial, as child safety training </w:t>
      </w:r>
      <w:r w:rsidR="00D601E7">
        <w:t xml:space="preserve">is not </w:t>
      </w:r>
      <w:r>
        <w:t xml:space="preserve">currently </w:t>
      </w:r>
      <w:r w:rsidR="00D601E7">
        <w:t>required in any jurisdiction</w:t>
      </w:r>
      <w:r>
        <w:t xml:space="preserve">, meaning this option would likely impose </w:t>
      </w:r>
      <w:r w:rsidR="00FD7CB8">
        <w:t xml:space="preserve">additional </w:t>
      </w:r>
      <w:r>
        <w:t xml:space="preserve">training for the greatest number of </w:t>
      </w:r>
      <w:r w:rsidR="00FD7CB8">
        <w:t>individuals. H</w:t>
      </w:r>
      <w:r w:rsidR="00D601E7">
        <w:t xml:space="preserve">owever, in consultations, some stakeholders indicated they do </w:t>
      </w:r>
      <w:r w:rsidR="00D601E7">
        <w:lastRenderedPageBreak/>
        <w:t xml:space="preserve">provide child safety training and refresher training for staff members. </w:t>
      </w:r>
      <w:r w:rsidR="00784DF6">
        <w:t xml:space="preserve">This training could apply to upwards of 200,000 individuals who are employed across </w:t>
      </w:r>
      <w:r w:rsidR="00784DF6" w:rsidRPr="00784DF6">
        <w:t>LDC</w:t>
      </w:r>
      <w:r w:rsidR="00784DF6">
        <w:t xml:space="preserve">, </w:t>
      </w:r>
      <w:r w:rsidR="00784DF6" w:rsidRPr="00784DF6">
        <w:t>preschool/kindergarten, FDC and OSHC</w:t>
      </w:r>
      <w:r w:rsidR="00784DF6">
        <w:t xml:space="preserve"> services</w:t>
      </w:r>
      <w:r w:rsidR="00732DE5">
        <w:t>,</w:t>
      </w:r>
      <w:r w:rsidR="00732DE5">
        <w:rPr>
          <w:rStyle w:val="FootnoteReference"/>
        </w:rPr>
        <w:footnoteReference w:id="81"/>
      </w:r>
      <w:r w:rsidR="00732DE5">
        <w:t xml:space="preserve"> depending on the extent of child safety training currently delivered and the adequacy of this training. </w:t>
      </w:r>
      <w:r w:rsidR="00684EBE">
        <w:t>Requirements to undertake refresher training could also increase the cost of this option.</w:t>
      </w:r>
    </w:p>
    <w:p w14:paraId="6155DEF4" w14:textId="154E85A6" w:rsidR="00684EBE" w:rsidRDefault="00684EBE">
      <w:r>
        <w:t xml:space="preserve">Based on the large number of additional individuals who would likely be required to undertake child safety training under option 6, this option has been assigned an MCA score of negative seven. </w:t>
      </w:r>
      <w:r w:rsidR="0011345F">
        <w:t xml:space="preserve">This reflects what is likely to be a substantial increase in costs when compared to options 3, 4, and 5, however many </w:t>
      </w:r>
      <w:r w:rsidR="00E36B33">
        <w:t>approved providers indicated they perceived this cost to be worthwhile due to the child safety benefits this training delivers.</w:t>
      </w:r>
    </w:p>
    <w:p w14:paraId="1B015A4A" w14:textId="19BC9F38" w:rsidR="00D601E7" w:rsidRDefault="00D601E7">
      <w:r>
        <w:t xml:space="preserve">Each proposed option will also include associated </w:t>
      </w:r>
      <w:r w:rsidR="00641FA6">
        <w:t>costs</w:t>
      </w:r>
      <w:r>
        <w:t xml:space="preserve"> to develop and deliver the training program itself, potential fees charged for training, costs of monitoring training requirements</w:t>
      </w:r>
      <w:r w:rsidR="006C0EB8">
        <w:t xml:space="preserve"> or to account for time taken to inform staff of child protection laws and obligations</w:t>
      </w:r>
      <w:r>
        <w:t xml:space="preserve">. Some stakeholders indicated the fees charged for current training available ranges from $60 to $150 per person, however the training could be free under the proposed options if provided by the government. </w:t>
      </w:r>
    </w:p>
    <w:p w14:paraId="4EAB994A" w14:textId="5A19C818" w:rsidR="00D601E7" w:rsidRPr="008D6B04" w:rsidRDefault="00D601E7">
      <w:r>
        <w:t xml:space="preserve">While stakeholders identified </w:t>
      </w:r>
      <w:r w:rsidR="00D47DB1">
        <w:t>many potential costs associated with undertaking training</w:t>
      </w:r>
      <w:r>
        <w:t xml:space="preserve"> during the consultation process, they were not able to provide sufficiently detailed or confident estimates of the scale of these costs to support quantitative analysis in this DRIS</w:t>
      </w:r>
      <w:r w:rsidR="00D47DB1">
        <w:t>,</w:t>
      </w:r>
      <w:r>
        <w:t xml:space="preserve"> in the absence of further detail </w:t>
      </w:r>
      <w:r w:rsidR="00D47DB1">
        <w:t>on</w:t>
      </w:r>
      <w:r>
        <w:t xml:space="preserve"> the nature of the training requirements </w:t>
      </w:r>
      <w:r w:rsidR="00D47DB1">
        <w:t xml:space="preserve">for </w:t>
      </w:r>
      <w:r>
        <w:t xml:space="preserve">each option. Stakeholders also noted that there would be substantial variation in these costs </w:t>
      </w:r>
      <w:r w:rsidR="00D47DB1">
        <w:t>depending on implementation factors (e.g., requiring training to be in-person)</w:t>
      </w:r>
      <w:r>
        <w:t xml:space="preserve">. </w:t>
      </w:r>
      <w:r w:rsidR="003307E0">
        <w:t xml:space="preserve">The limited amount of detailed specification on the requirements of each option resulted in limitations for available </w:t>
      </w:r>
      <w:r w:rsidR="002A0BFE">
        <w:t xml:space="preserve">cost estimates </w:t>
      </w:r>
      <w:r w:rsidR="003307E0">
        <w:t>in</w:t>
      </w:r>
      <w:r w:rsidR="002A0BFE">
        <w:t xml:space="preserve"> this DRIS</w:t>
      </w:r>
      <w:r w:rsidR="00071CE8">
        <w:t>.</w:t>
      </w:r>
    </w:p>
    <w:p w14:paraId="5A8A87B2" w14:textId="7434E30F" w:rsidR="00D601E7" w:rsidRDefault="00D601E7">
      <w:r>
        <w:t xml:space="preserve">There is some ambiguity in the proposed policy options that could change the MCA score of each of the options. Depending on the mode of delivery (online or in person), and length of training, the time required, and cost of training may </w:t>
      </w:r>
      <w:r w:rsidR="00205B3F">
        <w:t>be</w:t>
      </w:r>
      <w:r>
        <w:t xml:space="preserve"> greater or smaller. This has implications for option 3, option 4, and </w:t>
      </w:r>
      <w:r w:rsidR="006C0EB8">
        <w:t xml:space="preserve">in particular </w:t>
      </w:r>
      <w:r>
        <w:t>option 6. Further</w:t>
      </w:r>
      <w:r w:rsidR="00754911">
        <w:t xml:space="preserve"> implications may be relevant to option 6</w:t>
      </w:r>
      <w:r>
        <w:t xml:space="preserve">, some advice received from child safety experts has indicated that child safety refresher training should </w:t>
      </w:r>
      <w:r w:rsidR="00BB1486">
        <w:t xml:space="preserve">be </w:t>
      </w:r>
      <w:r>
        <w:t>delivered annually, rather than biennially. As a result, changes to the requirements of options 3 to 6 could impact the estimated costs.</w:t>
      </w:r>
    </w:p>
    <w:p w14:paraId="2D7D6755" w14:textId="55C4F17D" w:rsidR="00D601E7" w:rsidRPr="00466043" w:rsidRDefault="00D601E7">
      <w:pPr>
        <w:pStyle w:val="Heading4"/>
      </w:pPr>
      <w:r>
        <w:lastRenderedPageBreak/>
        <w:t>Implementation considerations</w:t>
      </w:r>
    </w:p>
    <w:p w14:paraId="1B3EB1BA" w14:textId="552D9CE4" w:rsidR="00D601E7" w:rsidRDefault="00D601E7">
      <w:r>
        <w:t xml:space="preserve">Across the proposed options, stakeholders highlighted several risks associated with implementation. </w:t>
      </w:r>
    </w:p>
    <w:p w14:paraId="5B82F7CB" w14:textId="20F7FA90" w:rsidR="00AA4A24" w:rsidRDefault="00AA4A24">
      <w:r>
        <w:t>If option 2 is to be implemented, there could be delays to implementation in the event that courses require reaccreditation for course content to be updated. Similarly, barriers to uptake of the guidance materials could arise from a need for reaccreditation.</w:t>
      </w:r>
      <w:r w:rsidR="006C0EB8">
        <w:t xml:space="preserve"> It would also not provide training for those already in the workforce or for the educators who are not required to hold a qualification.</w:t>
      </w:r>
    </w:p>
    <w:p w14:paraId="71D45D1D" w14:textId="41580E29" w:rsidR="00D601E7" w:rsidRDefault="00AA4A24">
      <w:r>
        <w:t>S</w:t>
      </w:r>
      <w:r w:rsidR="00D601E7">
        <w:t>takeholders highlighted concern that the costs of training, particularly under options 4 and 6, may be prohibitive. The operational impact of releasing staff, coordinating backfill staff, adjusting rosters, and the costs for staff to undertake training can be a significant cost. Refresher training places additional pressure on these costs to services. Some stakeholders have suggested that funding support could facilitate the implementation of mandatory training and refresher requirements.</w:t>
      </w:r>
    </w:p>
    <w:p w14:paraId="150CB067" w14:textId="148D293F" w:rsidR="00D601E7" w:rsidRDefault="00D601E7">
      <w:r>
        <w:t>Many stakeholders highlighted the format of training would significantly affect the cost of implementing options 3, 4, and 6. If in-person training is mandated, it would incur substantial travel and time costs, particularly for rural and remote services. Similarly, the training would need to be suitably accessible for culturally diverse staff and staff with other accessibility needs.</w:t>
      </w:r>
    </w:p>
    <w:p w14:paraId="0C0FF4EB" w14:textId="34834915" w:rsidR="00D601E7" w:rsidRPr="000746DE" w:rsidRDefault="00D601E7">
      <w:pPr>
        <w:ind w:left="360"/>
        <w:rPr>
          <w:i/>
          <w:color w:val="A12068"/>
        </w:rPr>
      </w:pPr>
      <w:r w:rsidRPr="000746DE">
        <w:rPr>
          <w:i/>
          <w:color w:val="A12068"/>
        </w:rPr>
        <w:t xml:space="preserve">“There are </w:t>
      </w:r>
      <w:r>
        <w:rPr>
          <w:i/>
          <w:color w:val="A12068"/>
        </w:rPr>
        <w:t>t</w:t>
      </w:r>
      <w:r w:rsidRPr="000746DE">
        <w:rPr>
          <w:i/>
          <w:color w:val="A12068"/>
        </w:rPr>
        <w:t>raining accessibility barriers for rural, remote, and CALD educators and volunteers. They may face difficulties accessing approved training, especially if online options are limited or not available in multiple languages” – Approved provider survey</w:t>
      </w:r>
    </w:p>
    <w:p w14:paraId="08351F70" w14:textId="745B16E5" w:rsidR="00D601E7" w:rsidRPr="000746DE" w:rsidRDefault="00D601E7">
      <w:pPr>
        <w:ind w:left="360"/>
        <w:rPr>
          <w:i/>
          <w:color w:val="A12068"/>
        </w:rPr>
      </w:pPr>
      <w:r>
        <w:rPr>
          <w:i/>
          <w:color w:val="A12068"/>
        </w:rPr>
        <w:t>“To be meaningful, services must provide the information in a clear, accessible, and contextualised format, especially for diverse staff or non-English speakers” – approved provider survey</w:t>
      </w:r>
    </w:p>
    <w:p w14:paraId="2E169B09" w14:textId="2DA63A4D" w:rsidR="00D601E7" w:rsidRDefault="00D601E7">
      <w:r>
        <w:t xml:space="preserve">In FDC settings, there is typically one educator per premise, making it difficult to arrange backfill. Some FDC services noted in consultation that if in-person training were required, they may need to pause care to attend training. </w:t>
      </w:r>
    </w:p>
    <w:p w14:paraId="4A96D0FE" w14:textId="4BD52B36" w:rsidR="00D601E7" w:rsidRDefault="00D601E7">
      <w:r>
        <w:t xml:space="preserve">There was </w:t>
      </w:r>
      <w:r w:rsidR="00BC0552">
        <w:t>some</w:t>
      </w:r>
      <w:r w:rsidR="004B18C2">
        <w:t xml:space="preserve"> </w:t>
      </w:r>
      <w:r>
        <w:t>uncertainty among stakeholders about the expected duration of training</w:t>
      </w:r>
      <w:r w:rsidR="00B2636B">
        <w:t xml:space="preserve"> across </w:t>
      </w:r>
      <w:r w:rsidR="003018CC">
        <w:t>jurisdictions</w:t>
      </w:r>
      <w:r w:rsidR="004B18C2">
        <w:t xml:space="preserve"> due to the range of training courses available and the differing time</w:t>
      </w:r>
      <w:r>
        <w:t>.</w:t>
      </w:r>
      <w:r w:rsidR="004B18C2">
        <w:t xml:space="preserve"> In Queensland, current child protection training from accredited providers range</w:t>
      </w:r>
      <w:r w:rsidR="00614821">
        <w:t>s</w:t>
      </w:r>
      <w:r w:rsidR="004B18C2">
        <w:t xml:space="preserve"> from 2 hours to 9 hours.</w:t>
      </w:r>
      <w:r>
        <w:t xml:space="preserve"> The length of time required will directly impact the cost of implementing options 3, 4 and 6, particularly in relation to the need for backfill staff and overall service disruption.</w:t>
      </w:r>
    </w:p>
    <w:p w14:paraId="5C71C3A5" w14:textId="55B83D26" w:rsidR="003F7880" w:rsidRDefault="003F7880">
      <w:r>
        <w:lastRenderedPageBreak/>
        <w:t>There was some concern that options 3 and 4 do not require standardisation of the contents of child protection training across jurisdictions, as each jurisdiction has different child protection laws and systems in place meaning those required to complete the training will learn different content across the jurisdictions. To some extent, this may be addressed through the published list of approved training.</w:t>
      </w:r>
    </w:p>
    <w:p w14:paraId="7EDD6EC4" w14:textId="6BA98120" w:rsidR="00D601E7" w:rsidRDefault="00D601E7">
      <w:r>
        <w:t>For options 4, 5, and 6, some stakeholders raised concern about requiring a broad scope of individuals in education and care services to complete child protection or child safety training</w:t>
      </w:r>
      <w:r w:rsidR="00AF3825">
        <w:t xml:space="preserve"> or to be made aware of the existence and application of child protection law and their obligations under it</w:t>
      </w:r>
      <w:r>
        <w:t>. This included volunteers, students, and (for options 5 and 6) other staff such as gardeners, cleaners, and board members. In consultative activity, stakeholders noted that these requirements could lead to a reduction in the number of support staff and volunteers, limiting the additional support services receive. They also raised the risk that excursions and enrichment activities could decline, if parents, volunteers and external organisations face increased barriers to engaging with services.</w:t>
      </w:r>
    </w:p>
    <w:p w14:paraId="7B347FB1" w14:textId="6D2D1E67" w:rsidR="00D601E7" w:rsidRPr="00297E91" w:rsidRDefault="00D601E7">
      <w:pPr>
        <w:ind w:left="360"/>
        <w:rPr>
          <w:i/>
          <w:color w:val="A12068"/>
        </w:rPr>
      </w:pPr>
      <w:r w:rsidRPr="00297E91">
        <w:rPr>
          <w:i/>
          <w:color w:val="A12068"/>
        </w:rPr>
        <w:t>“Making volunteers do the training could be restrictive to the assistance that centres get” – Approved provider survey</w:t>
      </w:r>
    </w:p>
    <w:p w14:paraId="403D0431" w14:textId="7B913319" w:rsidR="00D601E7" w:rsidRPr="00297E91" w:rsidRDefault="00D601E7">
      <w:pPr>
        <w:ind w:left="360"/>
        <w:rPr>
          <w:i/>
          <w:color w:val="A12068"/>
        </w:rPr>
      </w:pPr>
      <w:r>
        <w:rPr>
          <w:i/>
          <w:color w:val="A12068"/>
        </w:rPr>
        <w:t>“There is a risk of resistance or turnover from staff... volunteers and students might be deterred from participating due to mandatory training requirements, leading to a potential loss of workforce support. Some educators may perceive this as overregulation, potentially increasing dissatisfaction or attrition” – Approved provider survey</w:t>
      </w:r>
    </w:p>
    <w:p w14:paraId="1BEC8FFF" w14:textId="0F933C73" w:rsidR="0050692C" w:rsidRPr="00297E91" w:rsidRDefault="0050692C">
      <w:pPr>
        <w:ind w:left="360"/>
        <w:rPr>
          <w:i/>
          <w:color w:val="A12068"/>
        </w:rPr>
      </w:pPr>
      <w:r>
        <w:rPr>
          <w:i/>
          <w:color w:val="A12068"/>
        </w:rPr>
        <w:t xml:space="preserve">“I think there’s a risk of going too far with anyone who steps into the service has to have the </w:t>
      </w:r>
      <w:r w:rsidR="00933DCF">
        <w:rPr>
          <w:i/>
          <w:color w:val="A12068"/>
        </w:rPr>
        <w:t>training</w:t>
      </w:r>
      <w:r>
        <w:rPr>
          <w:i/>
          <w:color w:val="A12068"/>
        </w:rPr>
        <w:t xml:space="preserve"> first, because that rules out, cultural advisors, visitors, theatre… the administration required to have everybody who walks in the door, every parent that volunteers to read stories, everybody to have up to date [training]. I think potentially services will close their doors and say nobody’s allowed on site. We would not do any of those community visits or engagement activities because this is too hard.” – Jurisdictional Forum Participant </w:t>
      </w:r>
    </w:p>
    <w:p w14:paraId="36FDB086" w14:textId="1E82C5AC" w:rsidR="00D601E7" w:rsidRDefault="00D601E7">
      <w:r>
        <w:t xml:space="preserve">In the absence of refresher training under options 3 and 4, stakeholders noted that there is a risk that workforce knowledge and preparedness may become outdated over time. Without ongoing </w:t>
      </w:r>
      <w:r w:rsidR="00584CBD">
        <w:t xml:space="preserve">child protection </w:t>
      </w:r>
      <w:r>
        <w:t xml:space="preserve">training, it may be difficult to ensure that staff are equipped with the most current </w:t>
      </w:r>
      <w:r w:rsidR="00584CBD">
        <w:t xml:space="preserve">knowledge regarding </w:t>
      </w:r>
      <w:r>
        <w:t xml:space="preserve">child protection </w:t>
      </w:r>
      <w:r w:rsidR="00584CBD">
        <w:t>law</w:t>
      </w:r>
      <w:r>
        <w:t xml:space="preserve"> as these evolve.</w:t>
      </w:r>
    </w:p>
    <w:p w14:paraId="076E7B9D" w14:textId="1E7CDF72" w:rsidR="0034008B" w:rsidRDefault="0034008B">
      <w:r>
        <w:t xml:space="preserve">Some stakeholders raised considerations around the consistency of refresher training, with some </w:t>
      </w:r>
      <w:r w:rsidR="00F46CAD">
        <w:t>stakeholders indicating they already require</w:t>
      </w:r>
      <w:r w:rsidR="00946A4B">
        <w:t xml:space="preserve"> refresher child safety training annually.</w:t>
      </w:r>
    </w:p>
    <w:p w14:paraId="21FD0A79" w14:textId="60CB97BE" w:rsidR="004538D1" w:rsidRDefault="0076661B">
      <w:r>
        <w:lastRenderedPageBreak/>
        <w:t xml:space="preserve">Finally, adopting national consistency around child safety principles might be </w:t>
      </w:r>
      <w:r w:rsidR="00987969">
        <w:t>challenging</w:t>
      </w:r>
      <w:r>
        <w:t xml:space="preserve"> for option 6. As it stands, child protection training varies across states and territories</w:t>
      </w:r>
      <w:r w:rsidR="00982730">
        <w:t>, in part due to the different child protection laws and systems in place.</w:t>
      </w:r>
      <w:r w:rsidR="00987969">
        <w:t xml:space="preserve"> Consequently, there may be training costs, and delivery challenges across jurisdictions, particularly in the absence of existing national accreditation.</w:t>
      </w:r>
    </w:p>
    <w:p w14:paraId="7249717B" w14:textId="619645A7" w:rsidR="00D601E7" w:rsidRPr="00297D2D" w:rsidRDefault="00D601E7">
      <w:r w:rsidRPr="007A2A87">
        <w:rPr>
          <w:szCs w:val="22"/>
        </w:rPr>
        <w:t>Aboriginal and Torres Strait Islander stakeholders</w:t>
      </w:r>
      <w:r>
        <w:rPr>
          <w:szCs w:val="22"/>
        </w:rPr>
        <w:t xml:space="preserve"> also raised some implementation considerations associated with the proposed options, outlined below.</w:t>
      </w:r>
    </w:p>
    <w:tbl>
      <w:tblPr>
        <w:tblW w:w="0" w:type="auto"/>
        <w:tblCellMar>
          <w:top w:w="113" w:type="dxa"/>
          <w:bottom w:w="113" w:type="dxa"/>
        </w:tblCellMar>
        <w:tblLook w:val="04A0" w:firstRow="1" w:lastRow="0" w:firstColumn="1" w:lastColumn="0" w:noHBand="0" w:noVBand="1"/>
        <w:tblCaption w:val="Box 6.1: Aboriginal and Torres Strait Islander People Stakeholder Views"/>
        <w:tblDescription w:val="This table outlines Aboriginal and Torres Strait Islander People Stakeholder Views on implementation considerations for introducing mandatory child safety training."/>
      </w:tblPr>
      <w:tblGrid>
        <w:gridCol w:w="9020"/>
      </w:tblGrid>
      <w:tr w:rsidR="00D601E7" w14:paraId="2F24E786" w14:textId="77777777">
        <w:tc>
          <w:tcPr>
            <w:tcW w:w="9020" w:type="dxa"/>
            <w:tcBorders>
              <w:top w:val="nil"/>
              <w:left w:val="nil"/>
              <w:bottom w:val="nil"/>
              <w:right w:val="nil"/>
            </w:tcBorders>
            <w:shd w:val="clear" w:color="auto" w:fill="FFF2CC" w:themeFill="accent3" w:themeFillTint="33"/>
          </w:tcPr>
          <w:p w14:paraId="4EDE68A8" w14:textId="6F9044C9" w:rsidR="00D601E7" w:rsidRPr="006B0059" w:rsidRDefault="00D601E7">
            <w:pPr>
              <w:rPr>
                <w:b/>
                <w:bCs/>
                <w:szCs w:val="22"/>
              </w:rPr>
            </w:pPr>
            <w:r w:rsidRPr="00FC6F06">
              <w:rPr>
                <w:b/>
                <w:szCs w:val="22"/>
              </w:rPr>
              <w:t xml:space="preserve">Box </w:t>
            </w:r>
            <w:r w:rsidR="00F60845" w:rsidRPr="00FC6F06">
              <w:rPr>
                <w:b/>
                <w:szCs w:val="22"/>
              </w:rPr>
              <w:t>6</w:t>
            </w:r>
            <w:r w:rsidRPr="00FC6F06">
              <w:rPr>
                <w:b/>
                <w:szCs w:val="22"/>
              </w:rPr>
              <w:t>.1:</w:t>
            </w:r>
            <w:r w:rsidRPr="006B0059">
              <w:rPr>
                <w:b/>
                <w:bCs/>
                <w:szCs w:val="22"/>
              </w:rPr>
              <w:t xml:space="preserve"> </w:t>
            </w:r>
            <w:r w:rsidR="009961B4">
              <w:rPr>
                <w:b/>
                <w:bCs/>
                <w:szCs w:val="22"/>
              </w:rPr>
              <w:t>Aboriginal and Torres Strait Islander People Stakeholder Views</w:t>
            </w:r>
          </w:p>
          <w:p w14:paraId="4561CB93" w14:textId="77777777" w:rsidR="00D601E7" w:rsidRPr="004730E2" w:rsidRDefault="00D601E7">
            <w:pPr>
              <w:rPr>
                <w:szCs w:val="22"/>
              </w:rPr>
            </w:pPr>
            <w:r w:rsidRPr="007A2A87">
              <w:rPr>
                <w:szCs w:val="22"/>
              </w:rPr>
              <w:t xml:space="preserve">Aboriginal and Torres Strait Islander stakeholders </w:t>
            </w:r>
            <w:r w:rsidRPr="004730E2">
              <w:rPr>
                <w:szCs w:val="22"/>
              </w:rPr>
              <w:t xml:space="preserve">raised that child safety </w:t>
            </w:r>
            <w:r>
              <w:rPr>
                <w:szCs w:val="22"/>
              </w:rPr>
              <w:t>training</w:t>
            </w:r>
            <w:r w:rsidRPr="004730E2">
              <w:rPr>
                <w:szCs w:val="22"/>
              </w:rPr>
              <w:t xml:space="preserve"> must go beyond physical safety to include cultural safety and emotional safety, which includes consideration of place and community.</w:t>
            </w:r>
            <w:r w:rsidRPr="526DD598">
              <w:rPr>
                <w:szCs w:val="22"/>
              </w:rPr>
              <w:t xml:space="preserve"> </w:t>
            </w:r>
          </w:p>
          <w:p w14:paraId="53CB985F" w14:textId="07841903" w:rsidR="00D601E7" w:rsidRDefault="00D601E7">
            <w:pPr>
              <w:rPr>
                <w:szCs w:val="22"/>
              </w:rPr>
            </w:pPr>
            <w:r w:rsidRPr="007A2A87">
              <w:rPr>
                <w:szCs w:val="22"/>
              </w:rPr>
              <w:t xml:space="preserve">Aboriginal and Torres Strait Islander stakeholders </w:t>
            </w:r>
            <w:r w:rsidRPr="006B0059">
              <w:rPr>
                <w:szCs w:val="22"/>
              </w:rPr>
              <w:t>make clear that child safety training must be culturally appropriate</w:t>
            </w:r>
            <w:r>
              <w:t>,</w:t>
            </w:r>
            <w:r w:rsidRPr="006B0059">
              <w:rPr>
                <w:szCs w:val="22"/>
              </w:rPr>
              <w:t xml:space="preserve"> and that best practice would </w:t>
            </w:r>
            <w:r w:rsidR="005F61C4">
              <w:rPr>
                <w:szCs w:val="22"/>
              </w:rPr>
              <w:t xml:space="preserve">be </w:t>
            </w:r>
            <w:r>
              <w:rPr>
                <w:szCs w:val="22"/>
              </w:rPr>
              <w:t>for</w:t>
            </w:r>
            <w:r w:rsidRPr="006B0059">
              <w:rPr>
                <w:szCs w:val="22"/>
              </w:rPr>
              <w:t xml:space="preserve"> child safety training</w:t>
            </w:r>
            <w:r>
              <w:rPr>
                <w:szCs w:val="22"/>
              </w:rPr>
              <w:t xml:space="preserve"> materials to be co-designed with Aboriginal and Torres Strait Islander stakeholders</w:t>
            </w:r>
            <w:r w:rsidRPr="006B0059">
              <w:rPr>
                <w:szCs w:val="22"/>
              </w:rPr>
              <w:t xml:space="preserve">. </w:t>
            </w:r>
            <w:r w:rsidRPr="526DD598">
              <w:rPr>
                <w:szCs w:val="22"/>
              </w:rPr>
              <w:t>One submission, based on consultation with Aboriginal and Torres Strait Islander stakeholder highlighted the need for training that is ‘informative, practical, strengths-based, and designed by Aboriginal people for Aboriginal people.’</w:t>
            </w:r>
          </w:p>
          <w:p w14:paraId="44A169C6" w14:textId="77777777" w:rsidR="00D601E7" w:rsidRPr="009921A2" w:rsidRDefault="00D601E7">
            <w:pPr>
              <w:rPr>
                <w:szCs w:val="22"/>
              </w:rPr>
            </w:pPr>
            <w:r>
              <w:rPr>
                <w:szCs w:val="22"/>
              </w:rPr>
              <w:t xml:space="preserve">While </w:t>
            </w:r>
            <w:r w:rsidRPr="582B6EF2">
              <w:rPr>
                <w:szCs w:val="22"/>
              </w:rPr>
              <w:t>Aboriginal and Torres support</w:t>
            </w:r>
            <w:r>
              <w:rPr>
                <w:szCs w:val="22"/>
              </w:rPr>
              <w:t xml:space="preserve"> the concept of </w:t>
            </w:r>
            <w:r w:rsidRPr="006B0059">
              <w:rPr>
                <w:szCs w:val="22"/>
              </w:rPr>
              <w:t xml:space="preserve">nationally consistent training, </w:t>
            </w:r>
            <w:r>
              <w:rPr>
                <w:szCs w:val="22"/>
              </w:rPr>
              <w:t>these training resources</w:t>
            </w:r>
            <w:r w:rsidRPr="006B0059">
              <w:rPr>
                <w:szCs w:val="22"/>
              </w:rPr>
              <w:t xml:space="preserve"> must </w:t>
            </w:r>
            <w:r>
              <w:rPr>
                <w:szCs w:val="22"/>
              </w:rPr>
              <w:t>take into account</w:t>
            </w:r>
            <w:r w:rsidRPr="006B0059">
              <w:rPr>
                <w:szCs w:val="22"/>
              </w:rPr>
              <w:t xml:space="preserve"> place-based and cultural differences.</w:t>
            </w:r>
          </w:p>
          <w:p w14:paraId="7AE3D5E3" w14:textId="31FEFB11" w:rsidR="00FC0652" w:rsidRDefault="00D601E7">
            <w:pPr>
              <w:rPr>
                <w:szCs w:val="22"/>
              </w:rPr>
            </w:pPr>
            <w:r w:rsidRPr="007A2A87">
              <w:rPr>
                <w:szCs w:val="22"/>
              </w:rPr>
              <w:t xml:space="preserve">Aboriginal and Torres Strait Islander stakeholders </w:t>
            </w:r>
            <w:r>
              <w:rPr>
                <w:szCs w:val="22"/>
              </w:rPr>
              <w:t>raised that as awareness and knowledge of child protection and child safety increases, increased supports should be put in place for educators and staff members to have complex and sensitive conversations with family members, manage the risk of vicarious trauma, and successfully navigate any reporting obligations required</w:t>
            </w:r>
            <w:r w:rsidRPr="4B0FD24C">
              <w:rPr>
                <w:szCs w:val="22"/>
              </w:rPr>
              <w:t xml:space="preserve">. </w:t>
            </w:r>
            <w:r w:rsidR="006C32E4">
              <w:rPr>
                <w:szCs w:val="22"/>
              </w:rPr>
              <w:t xml:space="preserve">All staff (including </w:t>
            </w:r>
            <w:r w:rsidR="00672F74">
              <w:rPr>
                <w:szCs w:val="22"/>
              </w:rPr>
              <w:t>non-Aboriginal</w:t>
            </w:r>
            <w:r w:rsidR="00291F60">
              <w:rPr>
                <w:szCs w:val="22"/>
              </w:rPr>
              <w:t xml:space="preserve"> and Torres Strait Islander </w:t>
            </w:r>
            <w:r w:rsidR="006C32E4">
              <w:rPr>
                <w:szCs w:val="22"/>
              </w:rPr>
              <w:t xml:space="preserve">workforce) should be aware of Aboriginal and Torres Strait Islander negative and traumatic experiences with child protection systems. </w:t>
            </w:r>
            <w:r w:rsidRPr="4B0FD24C">
              <w:rPr>
                <w:szCs w:val="22"/>
              </w:rPr>
              <w:t xml:space="preserve">Where child protection issues </w:t>
            </w:r>
            <w:r w:rsidR="006C32E4">
              <w:rPr>
                <w:szCs w:val="22"/>
              </w:rPr>
              <w:t xml:space="preserve">(and child protection training) </w:t>
            </w:r>
            <w:r w:rsidRPr="4B0FD24C">
              <w:rPr>
                <w:szCs w:val="22"/>
              </w:rPr>
              <w:t xml:space="preserve">may have a more </w:t>
            </w:r>
            <w:r w:rsidR="004353A9" w:rsidRPr="4B0FD24C">
              <w:rPr>
                <w:szCs w:val="22"/>
              </w:rPr>
              <w:t>deficit-based</w:t>
            </w:r>
            <w:r w:rsidRPr="4B0FD24C">
              <w:rPr>
                <w:szCs w:val="22"/>
              </w:rPr>
              <w:t xml:space="preserve"> approach, child safety may provide more proactive ways to promote wellbeing, leading to greater benefits for Aboriginal and Torres Strait Islander children. It is unclear the extent to which this would change the nature or volume of sensitive conversations with family members.</w:t>
            </w:r>
          </w:p>
          <w:p w14:paraId="7F63B508" w14:textId="54832C91" w:rsidR="00D601E7" w:rsidRPr="009921A2" w:rsidRDefault="00FC0652">
            <w:pPr>
              <w:rPr>
                <w:szCs w:val="22"/>
              </w:rPr>
            </w:pPr>
            <w:r>
              <w:rPr>
                <w:szCs w:val="22"/>
              </w:rPr>
              <w:t>Please note that considerations of cultural safety are also relevant to the broader workforce.</w:t>
            </w:r>
            <w:r w:rsidR="00444A15">
              <w:rPr>
                <w:szCs w:val="22"/>
              </w:rPr>
              <w:t xml:space="preserve"> </w:t>
            </w:r>
          </w:p>
        </w:tc>
      </w:tr>
    </w:tbl>
    <w:p w14:paraId="6C5C032B" w14:textId="77777777" w:rsidR="00D601E7" w:rsidRDefault="00D601E7"/>
    <w:p w14:paraId="449C901F" w14:textId="7D757D0C" w:rsidR="00D601E7" w:rsidRDefault="00D601E7">
      <w:r>
        <w:t xml:space="preserve">The implementation risks associated with the proposed policy options are the lowest for options 2 and 3, followed by option 5. As such, options 2 and 3 have been assigned MCA scores of negative one, while option 5 has been assigned </w:t>
      </w:r>
      <w:r w:rsidR="003055D7">
        <w:t>an MCA</w:t>
      </w:r>
      <w:r>
        <w:t xml:space="preserve"> score of negative two. </w:t>
      </w:r>
    </w:p>
    <w:p w14:paraId="0B172EF5" w14:textId="575A3EC4" w:rsidR="00D601E7" w:rsidRDefault="00D601E7">
      <w:r>
        <w:t xml:space="preserve">Option 4 presents greater implementation risks, particularly through the need for substantially more staff backfill to maintain educator and staff member to children ratios. As such, option 4 has been assigned </w:t>
      </w:r>
      <w:r w:rsidR="003055D7">
        <w:t>an MCA</w:t>
      </w:r>
      <w:r>
        <w:t xml:space="preserve"> score of negative four for this criterion. Option 6 builds on this greater implementation risk by extending training requirements to </w:t>
      </w:r>
      <w:r w:rsidR="00A500C9">
        <w:t>include</w:t>
      </w:r>
      <w:r w:rsidR="00FC6F06">
        <w:t xml:space="preserve"> </w:t>
      </w:r>
      <w:r>
        <w:t xml:space="preserve">individuals who do not work directly with children and requires biennial refresher training. Reflecting this higher risk, Option 6 has been assigned </w:t>
      </w:r>
      <w:r w:rsidR="003055D7">
        <w:t>an MCA</w:t>
      </w:r>
      <w:r>
        <w:t xml:space="preserve"> score of negative five for this criterion.</w:t>
      </w:r>
    </w:p>
    <w:p w14:paraId="4DD23D64" w14:textId="552D3B8E" w:rsidR="008B260C" w:rsidRPr="008B260C" w:rsidRDefault="008B260C">
      <w:pPr>
        <w:rPr>
          <w:i/>
        </w:rPr>
      </w:pPr>
      <w:r>
        <w:t>It should be noted that while the MCA scores currently consider the implementation considerations based on the options that were consulted on, the recommended implementation of these options could alleviate some of these risks</w:t>
      </w:r>
      <w:r w:rsidR="006F1A54">
        <w:t>, for example, by setting reasonable timelines befor</w:t>
      </w:r>
      <w:r w:rsidR="00892EC0">
        <w:t>e training requirements are expected to be fulfilled, which could reduce reliance on backfill staff.</w:t>
      </w:r>
    </w:p>
    <w:p w14:paraId="645E4B58" w14:textId="77777777" w:rsidR="00D601E7" w:rsidRPr="00466043" w:rsidRDefault="00D601E7">
      <w:pPr>
        <w:pStyle w:val="Heading4"/>
      </w:pPr>
      <w:r w:rsidRPr="00466043">
        <w:t>Distributional impacts</w:t>
      </w:r>
    </w:p>
    <w:p w14:paraId="53AD6BF6" w14:textId="241CBC56" w:rsidR="00D601E7" w:rsidRDefault="00D601E7">
      <w:r>
        <w:t xml:space="preserve">Stakeholders identified some distributional impacts associated with the options – largely attributable to options 3, 4, 5, and 6. Generally, the distributional impact was expected to be somewhat proportionate to the incremental cost of the options, however the types of impacts were identified to be similar. </w:t>
      </w:r>
    </w:p>
    <w:p w14:paraId="48BA94D1" w14:textId="68668609" w:rsidR="00D601E7" w:rsidRDefault="00D601E7">
      <w:r>
        <w:t>Regional</w:t>
      </w:r>
      <w:r w:rsidR="00DC0260">
        <w:t>, rural</w:t>
      </w:r>
      <w:r>
        <w:t xml:space="preserve"> and remote services identified a potential disproportionate impact if training is required to be undertaken in-person. For these services, travelling to a central location for training (or having a facilitator travel to their service) would be much more costly than for services located in metropolitan areas. The realisation of this distributional impact is dependent on whether implementation of the </w:t>
      </w:r>
      <w:r w:rsidR="004C5562">
        <w:t>recommended option</w:t>
      </w:r>
      <w:r>
        <w:t>s would require in-person or online training formats.</w:t>
      </w:r>
    </w:p>
    <w:p w14:paraId="0464C5BC" w14:textId="46A79C71" w:rsidR="00D601E7" w:rsidRDefault="00D601E7">
      <w:r>
        <w:t>Some OSHC stakeholders identified that they are more constrained by standard working hours, which could limit the ability of staff to undertake training within contracted hours. As a result, requiring staff to complete their training outside of these hours might be more costly if staff must be paid overtime rates.</w:t>
      </w:r>
    </w:p>
    <w:p w14:paraId="22D860B8" w14:textId="6917F1C5" w:rsidR="00D601E7" w:rsidRDefault="00D601E7">
      <w:r>
        <w:lastRenderedPageBreak/>
        <w:t>FDC stakeholders raised similar concerns to OSHC providers, having concerns that FDC educators would be required to undertake training outside of work hours, given the availability of other staff to cover the supervision of children is very limited in FDC settings.</w:t>
      </w:r>
    </w:p>
    <w:p w14:paraId="696F8C2A" w14:textId="54865866" w:rsidR="00D601E7" w:rsidRDefault="00D601E7">
      <w:pPr>
        <w:pStyle w:val="Quote1"/>
      </w:pPr>
      <w:r>
        <w:t>“Cost and accessibility are issues for FDC educators, many of whom are sole traders or work part-time may face financial barriers to accessing training, difficulty attending in-person sessions (especially in remote areas), time constraints around fitting training into their work schedule.” – Approved provider survey</w:t>
      </w:r>
      <w:r w:rsidR="005E60A5">
        <w:t xml:space="preserve"> </w:t>
      </w:r>
      <w:r w:rsidR="005E60A5" w:rsidRPr="005E60A5">
        <w:rPr>
          <w:lang w:val="en-AU"/>
        </w:rPr>
        <w:t>response</w:t>
      </w:r>
    </w:p>
    <w:p w14:paraId="4F6DBB57" w14:textId="7C936B64" w:rsidR="00D601E7" w:rsidRDefault="00D601E7">
      <w:r>
        <w:t>For small and not-for-profit approved providers, training may be prohibitively costly if funding is not available to cover staff backfill and travel costs.</w:t>
      </w:r>
    </w:p>
    <w:p w14:paraId="58998205" w14:textId="233EE5BE" w:rsidR="00D601E7" w:rsidRDefault="00D601E7">
      <w:pPr>
        <w:pStyle w:val="Quote1"/>
      </w:pPr>
      <w:r>
        <w:t>“</w:t>
      </w:r>
      <w:r w:rsidRPr="00E65A08">
        <w:t>Funding would be required to develop, deliver, and maintain high-quality training programs, potentially impacting smaller not-for-profit organisations</w:t>
      </w:r>
      <w:r>
        <w:t>” – Approved Provider Survey</w:t>
      </w:r>
      <w:r w:rsidR="005E60A5">
        <w:t xml:space="preserve"> </w:t>
      </w:r>
      <w:r w:rsidR="005E60A5" w:rsidRPr="005E60A5">
        <w:rPr>
          <w:lang w:val="en-AU"/>
        </w:rPr>
        <w:t>response</w:t>
      </w:r>
    </w:p>
    <w:tbl>
      <w:tblPr>
        <w:tblW w:w="0" w:type="auto"/>
        <w:tblCellMar>
          <w:top w:w="113" w:type="dxa"/>
          <w:bottom w:w="113" w:type="dxa"/>
        </w:tblCellMar>
        <w:tblLook w:val="04A0" w:firstRow="1" w:lastRow="0" w:firstColumn="1" w:lastColumn="0" w:noHBand="0" w:noVBand="1"/>
        <w:tblCaption w:val="Box 6.2: Aboriginal and Torres Strait Islander People Stakeholder Views"/>
        <w:tblDescription w:val="This table outlines Aboriginal and Torres Strait Islander People Stakeholder Views on distributional impacts for introducing mandatory child safety training."/>
      </w:tblPr>
      <w:tblGrid>
        <w:gridCol w:w="9020"/>
      </w:tblGrid>
      <w:tr w:rsidR="00D601E7" w14:paraId="3306CE2A" w14:textId="77777777">
        <w:tc>
          <w:tcPr>
            <w:tcW w:w="9020" w:type="dxa"/>
            <w:tcBorders>
              <w:top w:val="nil"/>
              <w:left w:val="nil"/>
              <w:bottom w:val="nil"/>
              <w:right w:val="nil"/>
            </w:tcBorders>
            <w:shd w:val="clear" w:color="auto" w:fill="FFF2CC" w:themeFill="accent3" w:themeFillTint="33"/>
          </w:tcPr>
          <w:p w14:paraId="4F8EF623" w14:textId="3BFC082D" w:rsidR="00D601E7" w:rsidRPr="006B0059" w:rsidRDefault="00D601E7">
            <w:pPr>
              <w:rPr>
                <w:b/>
                <w:bCs/>
                <w:szCs w:val="22"/>
              </w:rPr>
            </w:pPr>
            <w:r w:rsidRPr="006B0059">
              <w:rPr>
                <w:b/>
                <w:bCs/>
                <w:szCs w:val="22"/>
              </w:rPr>
              <w:t xml:space="preserve">Box </w:t>
            </w:r>
            <w:r w:rsidR="00415EB8">
              <w:rPr>
                <w:b/>
                <w:bCs/>
                <w:szCs w:val="22"/>
              </w:rPr>
              <w:t>6</w:t>
            </w:r>
            <w:r w:rsidRPr="006B0059">
              <w:rPr>
                <w:b/>
                <w:bCs/>
                <w:szCs w:val="22"/>
              </w:rPr>
              <w:t>.</w:t>
            </w:r>
            <w:r w:rsidR="00F60845">
              <w:rPr>
                <w:b/>
                <w:bCs/>
                <w:szCs w:val="22"/>
              </w:rPr>
              <w:t>2</w:t>
            </w:r>
            <w:r w:rsidRPr="006B0059">
              <w:rPr>
                <w:b/>
                <w:bCs/>
                <w:szCs w:val="22"/>
              </w:rPr>
              <w:t xml:space="preserve">: </w:t>
            </w:r>
            <w:r w:rsidR="009961B4">
              <w:rPr>
                <w:b/>
                <w:bCs/>
                <w:szCs w:val="22"/>
              </w:rPr>
              <w:t>Aboriginal and Torres Strait Islander People Stakeholder Views</w:t>
            </w:r>
          </w:p>
          <w:p w14:paraId="5C1BD6A8" w14:textId="2CA92F1A" w:rsidR="00D601E7" w:rsidRPr="00B6150F" w:rsidRDefault="00D601E7">
            <w:pPr>
              <w:rPr>
                <w:szCs w:val="22"/>
              </w:rPr>
            </w:pPr>
            <w:r w:rsidRPr="007A2A87">
              <w:rPr>
                <w:szCs w:val="22"/>
              </w:rPr>
              <w:t xml:space="preserve">Aboriginal and Torres Strait Islander stakeholders </w:t>
            </w:r>
            <w:r w:rsidRPr="00AA601D">
              <w:rPr>
                <w:szCs w:val="22"/>
              </w:rPr>
              <w:t xml:space="preserve">highlighted </w:t>
            </w:r>
            <w:r>
              <w:rPr>
                <w:szCs w:val="22"/>
              </w:rPr>
              <w:t xml:space="preserve">the impacts of </w:t>
            </w:r>
            <w:r w:rsidRPr="00AA601D">
              <w:rPr>
                <w:szCs w:val="22"/>
              </w:rPr>
              <w:t>systemic racism</w:t>
            </w:r>
            <w:r>
              <w:rPr>
                <w:szCs w:val="22"/>
              </w:rPr>
              <w:t xml:space="preserve"> within the child protection sector and how this has resulted in systematic misrecognition of incidences of child maltreatment, misunderstanding of care and child raising practices, and the disproportionate representation of Aboriginal and Torres Strait Islander children in out of home care.</w:t>
            </w:r>
            <w:r w:rsidRPr="00AA601D">
              <w:rPr>
                <w:szCs w:val="22"/>
              </w:rPr>
              <w:t xml:space="preserve"> Within the context of child protection and mandatory reporting</w:t>
            </w:r>
            <w:r>
              <w:rPr>
                <w:szCs w:val="22"/>
              </w:rPr>
              <w:t xml:space="preserve">, </w:t>
            </w:r>
            <w:r w:rsidRPr="00AA601D">
              <w:rPr>
                <w:szCs w:val="22"/>
              </w:rPr>
              <w:t>careful consideration must be given to the implementation of any option, to ensure that this does not further exacerbate the disproportionate removal of Aboriginal and Torres Strait Islander children from their families</w:t>
            </w:r>
            <w:r>
              <w:rPr>
                <w:szCs w:val="22"/>
              </w:rPr>
              <w:t xml:space="preserve">. </w:t>
            </w:r>
          </w:p>
        </w:tc>
      </w:tr>
    </w:tbl>
    <w:p w14:paraId="5508254B" w14:textId="77777777" w:rsidR="00D601E7" w:rsidRDefault="00D601E7"/>
    <w:p w14:paraId="5AC65208" w14:textId="5F57C131" w:rsidR="009F09B3" w:rsidRDefault="009F09B3">
      <w:r>
        <w:t>Option 2 is not expected to result in distributional impacts for the education and care sector and has therefore been assigned an MCA score of zero for this criterion.</w:t>
      </w:r>
    </w:p>
    <w:p w14:paraId="1716075E" w14:textId="2035DD36" w:rsidR="00D601E7" w:rsidRDefault="00D601E7">
      <w:r>
        <w:t xml:space="preserve">Given option 3 applies to a much smaller subset of staff (including FDC coordinators, rather than FDC educators), option 3 will have lower distributional impacts and has been assigned </w:t>
      </w:r>
      <w:r w:rsidR="003055D7">
        <w:t>an MCA</w:t>
      </w:r>
      <w:r>
        <w:t xml:space="preserve"> score of negative one for this criterion. Options 4, 5, and 6 impose similar distributional impacts, which would be scaled to the number of individuals required to undertake the training </w:t>
      </w:r>
      <w:r w:rsidR="00E011EE">
        <w:t>and the number of hours required to complete the training, or the number of individuals</w:t>
      </w:r>
      <w:r w:rsidR="00444A15">
        <w:t xml:space="preserve"> </w:t>
      </w:r>
      <w:r w:rsidR="00B72B3F">
        <w:t xml:space="preserve">required to be made aware of child protection law and relevant </w:t>
      </w:r>
      <w:r w:rsidR="00EA369D">
        <w:t xml:space="preserve">obligations </w:t>
      </w:r>
      <w:r w:rsidR="00E011EE">
        <w:t>under it</w:t>
      </w:r>
      <w:r>
        <w:t xml:space="preserve">. As such, </w:t>
      </w:r>
      <w:r w:rsidR="007A6258">
        <w:t xml:space="preserve">option 4 has been assigned an MCA score of negative three, </w:t>
      </w:r>
      <w:r>
        <w:lastRenderedPageBreak/>
        <w:t xml:space="preserve">option 5 has been assigned </w:t>
      </w:r>
      <w:r w:rsidR="003055D7">
        <w:t>an MCA</w:t>
      </w:r>
      <w:r>
        <w:t xml:space="preserve"> score of negative two, and option 6 has been assigned </w:t>
      </w:r>
      <w:r w:rsidR="003055D7">
        <w:t>an MCA</w:t>
      </w:r>
      <w:r>
        <w:t xml:space="preserve"> score of negative five. </w:t>
      </w:r>
    </w:p>
    <w:p w14:paraId="323F34C9" w14:textId="77777777" w:rsidR="00D601E7" w:rsidRDefault="00D601E7">
      <w:pPr>
        <w:pStyle w:val="Heading4"/>
      </w:pPr>
      <w:r>
        <w:t xml:space="preserve">Break-even analysis </w:t>
      </w:r>
    </w:p>
    <w:p w14:paraId="415ECF76" w14:textId="5F28097E" w:rsidR="00D601E7" w:rsidRDefault="00D601E7">
      <w:r>
        <w:t>The BEA provides an estimate of the extent to which the total cost of harm to children in Australia, estimated at $34.6 billion (2025 dollars)</w:t>
      </w:r>
      <w:r>
        <w:rPr>
          <w:rStyle w:val="FootnoteReference"/>
        </w:rPr>
        <w:footnoteReference w:id="82"/>
      </w:r>
      <w:r>
        <w:t xml:space="preserve">, would need to be reduced for the cost of the policy option to break even with the potential benefit. The BEA framework is also described in further </w:t>
      </w:r>
      <w:r w:rsidRPr="001D3080">
        <w:t xml:space="preserve">detail in </w:t>
      </w:r>
      <w:r>
        <w:t>Chapter 4</w:t>
      </w:r>
      <w:r w:rsidRPr="001D3080">
        <w:t>.</w:t>
      </w:r>
      <w:r w:rsidDel="00722001">
        <w:t xml:space="preserve"> </w:t>
      </w:r>
    </w:p>
    <w:p w14:paraId="0A8F8A61" w14:textId="1CAC380E" w:rsidR="00984A0D" w:rsidRDefault="00984A0D">
      <w:r>
        <w:t>While BEA necessitates putting a dollar figure to the estimated harm to children, it is not possible to quantify the real life harm to children, families, and communities affected.</w:t>
      </w:r>
    </w:p>
    <w:p w14:paraId="3EDB96F7" w14:textId="3B194C5A" w:rsidR="00883990" w:rsidRDefault="00883990" w:rsidP="00883990">
      <w:r>
        <w:t>Based on the breakeven value shown in Table 6.</w:t>
      </w:r>
      <w:r w:rsidR="006F7FE3">
        <w:t>5</w:t>
      </w:r>
      <w:r>
        <w:t xml:space="preserve">, </w:t>
      </w:r>
      <w:r w:rsidRPr="00DB7AE6">
        <w:t xml:space="preserve">options </w:t>
      </w:r>
      <w:r w:rsidR="005715F0" w:rsidRPr="00DB7AE6">
        <w:t>4</w:t>
      </w:r>
      <w:r w:rsidRPr="00DB7AE6">
        <w:t xml:space="preserve"> </w:t>
      </w:r>
      <w:r w:rsidR="0035337F" w:rsidRPr="00DB7AE6">
        <w:t>would</w:t>
      </w:r>
      <w:r w:rsidRPr="00DB7AE6">
        <w:t xml:space="preserve"> need to reduce the cost of harm due to child maltreatment in Australia by at least 0.</w:t>
      </w:r>
      <w:r w:rsidR="005715F0" w:rsidRPr="00DB7AE6">
        <w:t>0</w:t>
      </w:r>
      <w:r w:rsidR="002915DD">
        <w:t>3</w:t>
      </w:r>
      <w:r w:rsidRPr="00DB7AE6">
        <w:t>%</w:t>
      </w:r>
      <w:r w:rsidRPr="00DB7AE6">
        <w:rPr>
          <w:rStyle w:val="FootnoteReference"/>
        </w:rPr>
        <w:footnoteReference w:id="83"/>
      </w:r>
      <w:r w:rsidRPr="00DB7AE6">
        <w:t xml:space="preserve"> to break even. It should be noted that this breakeven value accounts for only the monetised costs of option</w:t>
      </w:r>
      <w:r w:rsidR="005715F0" w:rsidRPr="00DB7AE6">
        <w:t xml:space="preserve"> </w:t>
      </w:r>
      <w:r w:rsidRPr="00DB7AE6">
        <w:t xml:space="preserve">3. Evidence collected through public consultation indicates that this breakeven point can feasibly be achieved </w:t>
      </w:r>
      <w:r w:rsidR="00DB7AE6" w:rsidRPr="00DB7AE6">
        <w:t xml:space="preserve">by implementing broader child protection training. </w:t>
      </w:r>
      <w:r w:rsidRPr="00DB7AE6">
        <w:t xml:space="preserve">Based on feedback received, multiple stakeholders agreed that the improvement to child safety would outweigh the potential costs </w:t>
      </w:r>
      <w:r w:rsidR="00DB7AE6" w:rsidRPr="00DB7AE6">
        <w:t>associated with training, and many approved providers already require their staff to undertake child protection training (even when not legally obliged to) on this basis</w:t>
      </w:r>
      <w:r w:rsidRPr="00DB7AE6">
        <w:t>.</w:t>
      </w:r>
    </w:p>
    <w:p w14:paraId="6D49A779" w14:textId="7D1641A4" w:rsidR="00D601E7" w:rsidRDefault="00D601E7">
      <w:pPr>
        <w:pStyle w:val="Caption"/>
      </w:pPr>
      <w:bookmarkStart w:id="88" w:name="_Toc205884945"/>
      <w:r>
        <w:t>Table 6.</w:t>
      </w:r>
      <w:r w:rsidR="006F7FE3">
        <w:t>5</w:t>
      </w:r>
      <w:r>
        <w:t>: BEA – Child safety training</w:t>
      </w:r>
      <w:bookmarkEnd w:id="88"/>
      <w:r w:rsidR="00444A15">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6.5: BEA – Child safety training "/>
        <w:tblDescription w:val="This table outlines the break-even analysis for introducing mandatory child safety training."/>
      </w:tblPr>
      <w:tblGrid>
        <w:gridCol w:w="2773"/>
        <w:gridCol w:w="2242"/>
        <w:gridCol w:w="2242"/>
        <w:gridCol w:w="1753"/>
      </w:tblGrid>
      <w:tr w:rsidR="00883990" w14:paraId="4F893AD7" w14:textId="250B58EE" w:rsidTr="00E3170E">
        <w:trPr>
          <w:tblHeader/>
        </w:trPr>
        <w:tc>
          <w:tcPr>
            <w:tcW w:w="1539" w:type="pct"/>
            <w:shd w:val="clear" w:color="auto" w:fill="14233C" w:themeFill="text2"/>
          </w:tcPr>
          <w:p w14:paraId="3DAAC358" w14:textId="77777777" w:rsidR="00883990" w:rsidRPr="00397638" w:rsidRDefault="00883990">
            <w:pPr>
              <w:rPr>
                <w:b/>
                <w:color w:val="FFFFFF" w:themeColor="background1"/>
                <w:szCs w:val="22"/>
              </w:rPr>
            </w:pPr>
          </w:p>
        </w:tc>
        <w:tc>
          <w:tcPr>
            <w:tcW w:w="1244" w:type="pct"/>
            <w:shd w:val="clear" w:color="auto" w:fill="14233C" w:themeFill="text2"/>
          </w:tcPr>
          <w:p w14:paraId="5B14E082" w14:textId="309D9D99" w:rsidR="00883990" w:rsidRPr="00C047FE" w:rsidRDefault="00883990">
            <w:pPr>
              <w:jc w:val="center"/>
              <w:rPr>
                <w:b/>
                <w:color w:val="FFFFFF" w:themeColor="background1"/>
                <w:szCs w:val="20"/>
              </w:rPr>
            </w:pPr>
            <w:r w:rsidRPr="00C047FE">
              <w:rPr>
                <w:b/>
                <w:color w:val="FFFFFF" w:themeColor="background1"/>
                <w:szCs w:val="20"/>
              </w:rPr>
              <w:t>Option 3</w:t>
            </w:r>
          </w:p>
        </w:tc>
        <w:tc>
          <w:tcPr>
            <w:tcW w:w="1244" w:type="pct"/>
            <w:shd w:val="clear" w:color="auto" w:fill="14233C" w:themeFill="text2"/>
          </w:tcPr>
          <w:p w14:paraId="4AF5B763" w14:textId="77306961" w:rsidR="00883990" w:rsidRPr="00C047FE" w:rsidRDefault="00883990">
            <w:pPr>
              <w:jc w:val="center"/>
              <w:rPr>
                <w:b/>
                <w:color w:val="FFFFFF" w:themeColor="background1"/>
                <w:szCs w:val="20"/>
              </w:rPr>
            </w:pPr>
            <w:r w:rsidRPr="00C047FE">
              <w:rPr>
                <w:b/>
                <w:color w:val="FFFFFF" w:themeColor="background1"/>
                <w:szCs w:val="20"/>
              </w:rPr>
              <w:t>Option 4</w:t>
            </w:r>
          </w:p>
        </w:tc>
        <w:tc>
          <w:tcPr>
            <w:tcW w:w="973" w:type="pct"/>
            <w:shd w:val="clear" w:color="auto" w:fill="14233C" w:themeFill="text2"/>
          </w:tcPr>
          <w:p w14:paraId="60E541DF" w14:textId="07A2B4D0" w:rsidR="00883990" w:rsidRPr="00C047FE" w:rsidRDefault="00883990">
            <w:pPr>
              <w:jc w:val="center"/>
              <w:rPr>
                <w:b/>
                <w:color w:val="FFFFFF" w:themeColor="background1"/>
                <w:szCs w:val="20"/>
              </w:rPr>
            </w:pPr>
            <w:r>
              <w:rPr>
                <w:b/>
                <w:color w:val="FFFFFF" w:themeColor="background1"/>
                <w:szCs w:val="20"/>
              </w:rPr>
              <w:t>Option 5</w:t>
            </w:r>
          </w:p>
        </w:tc>
      </w:tr>
      <w:tr w:rsidR="003430A9" w14:paraId="5ABD2BD7" w14:textId="12BAB3F3" w:rsidTr="00E3170E">
        <w:tc>
          <w:tcPr>
            <w:tcW w:w="1539" w:type="pct"/>
          </w:tcPr>
          <w:p w14:paraId="5EA316D5" w14:textId="77777777" w:rsidR="003430A9" w:rsidRPr="00DA22D4" w:rsidRDefault="003430A9" w:rsidP="003430A9">
            <w:pPr>
              <w:rPr>
                <w:szCs w:val="20"/>
              </w:rPr>
            </w:pPr>
            <w:r w:rsidRPr="00DA22D4">
              <w:rPr>
                <w:szCs w:val="20"/>
              </w:rPr>
              <w:t>Estimated cost of the policy option</w:t>
            </w:r>
          </w:p>
        </w:tc>
        <w:tc>
          <w:tcPr>
            <w:tcW w:w="1244" w:type="pct"/>
          </w:tcPr>
          <w:p w14:paraId="31AFC338" w14:textId="3061016C" w:rsidR="003430A9" w:rsidRPr="00D87E60" w:rsidRDefault="003430A9" w:rsidP="003430A9">
            <w:pPr>
              <w:jc w:val="center"/>
              <w:rPr>
                <w:szCs w:val="20"/>
                <w:highlight w:val="lightGray"/>
              </w:rPr>
            </w:pPr>
            <w:r w:rsidRPr="00D87E60">
              <w:rPr>
                <w:szCs w:val="22"/>
              </w:rPr>
              <w:t>$</w:t>
            </w:r>
            <w:r w:rsidR="00483557" w:rsidRPr="00D87E60">
              <w:rPr>
                <w:szCs w:val="22"/>
              </w:rPr>
              <w:t>549,000</w:t>
            </w:r>
          </w:p>
        </w:tc>
        <w:tc>
          <w:tcPr>
            <w:tcW w:w="1244" w:type="pct"/>
          </w:tcPr>
          <w:p w14:paraId="3EE10D04" w14:textId="71E660FB" w:rsidR="003430A9" w:rsidRPr="00D87E60" w:rsidRDefault="003430A9" w:rsidP="003430A9">
            <w:pPr>
              <w:jc w:val="center"/>
              <w:rPr>
                <w:szCs w:val="20"/>
                <w:highlight w:val="lightGray"/>
              </w:rPr>
            </w:pPr>
            <w:r w:rsidRPr="00D87E60">
              <w:rPr>
                <w:szCs w:val="22"/>
              </w:rPr>
              <w:t>$</w:t>
            </w:r>
            <w:r w:rsidR="00483557" w:rsidRPr="00D87E60">
              <w:rPr>
                <w:szCs w:val="22"/>
              </w:rPr>
              <w:t>8.</w:t>
            </w:r>
            <w:r w:rsidR="007920DC">
              <w:rPr>
                <w:szCs w:val="22"/>
              </w:rPr>
              <w:t>4</w:t>
            </w:r>
            <w:r w:rsidRPr="00D87E60">
              <w:rPr>
                <w:szCs w:val="22"/>
              </w:rPr>
              <w:t xml:space="preserve"> million</w:t>
            </w:r>
          </w:p>
        </w:tc>
        <w:tc>
          <w:tcPr>
            <w:tcW w:w="973" w:type="pct"/>
          </w:tcPr>
          <w:p w14:paraId="0C349619" w14:textId="62CCD978" w:rsidR="003430A9" w:rsidRPr="00D87E60" w:rsidRDefault="003430A9" w:rsidP="003430A9">
            <w:pPr>
              <w:jc w:val="center"/>
              <w:rPr>
                <w:szCs w:val="20"/>
                <w:highlight w:val="lightGray"/>
              </w:rPr>
            </w:pPr>
            <w:r w:rsidRPr="00D87E60">
              <w:rPr>
                <w:szCs w:val="22"/>
              </w:rPr>
              <w:t>$</w:t>
            </w:r>
            <w:r w:rsidR="00722AA2" w:rsidRPr="00D87E60">
              <w:rPr>
                <w:szCs w:val="22"/>
              </w:rPr>
              <w:t>799,000</w:t>
            </w:r>
          </w:p>
        </w:tc>
      </w:tr>
      <w:tr w:rsidR="00883990" w14:paraId="60B298B6" w14:textId="4F47E03D" w:rsidTr="00E3170E">
        <w:tc>
          <w:tcPr>
            <w:tcW w:w="1539" w:type="pct"/>
          </w:tcPr>
          <w:p w14:paraId="2647CBB2" w14:textId="77777777" w:rsidR="00883990" w:rsidRPr="00DA22D4" w:rsidRDefault="00883990">
            <w:pPr>
              <w:rPr>
                <w:szCs w:val="20"/>
              </w:rPr>
            </w:pPr>
            <w:r w:rsidRPr="00DA22D4">
              <w:rPr>
                <w:szCs w:val="20"/>
              </w:rPr>
              <w:t>Break-even reduction in child maltreatment in Australia</w:t>
            </w:r>
          </w:p>
        </w:tc>
        <w:tc>
          <w:tcPr>
            <w:tcW w:w="1244" w:type="pct"/>
          </w:tcPr>
          <w:p w14:paraId="2B5E376B" w14:textId="5DDCF677" w:rsidR="00883990" w:rsidRPr="00D87E60" w:rsidRDefault="0035337F">
            <w:pPr>
              <w:jc w:val="center"/>
              <w:rPr>
                <w:szCs w:val="20"/>
              </w:rPr>
            </w:pPr>
            <w:r w:rsidRPr="00D87E60">
              <w:rPr>
                <w:szCs w:val="20"/>
              </w:rPr>
              <w:t>0.00</w:t>
            </w:r>
            <w:r w:rsidR="00876CE2" w:rsidRPr="00D87E60">
              <w:rPr>
                <w:szCs w:val="20"/>
              </w:rPr>
              <w:t>2</w:t>
            </w:r>
            <w:r w:rsidR="00883990" w:rsidRPr="00D87E60">
              <w:rPr>
                <w:szCs w:val="20"/>
              </w:rPr>
              <w:t>%</w:t>
            </w:r>
          </w:p>
        </w:tc>
        <w:tc>
          <w:tcPr>
            <w:tcW w:w="1244" w:type="pct"/>
          </w:tcPr>
          <w:p w14:paraId="5880CFD9" w14:textId="5492EB0A" w:rsidR="00883990" w:rsidRPr="00D87E60" w:rsidRDefault="0035337F">
            <w:pPr>
              <w:jc w:val="center"/>
              <w:rPr>
                <w:szCs w:val="20"/>
              </w:rPr>
            </w:pPr>
            <w:r w:rsidRPr="00D87E60">
              <w:rPr>
                <w:szCs w:val="20"/>
              </w:rPr>
              <w:t>0.0</w:t>
            </w:r>
            <w:r w:rsidR="002915DD">
              <w:rPr>
                <w:szCs w:val="20"/>
              </w:rPr>
              <w:t>3</w:t>
            </w:r>
            <w:r w:rsidR="00883990" w:rsidRPr="00D87E60">
              <w:rPr>
                <w:szCs w:val="20"/>
              </w:rPr>
              <w:t>%</w:t>
            </w:r>
          </w:p>
        </w:tc>
        <w:tc>
          <w:tcPr>
            <w:tcW w:w="973" w:type="pct"/>
          </w:tcPr>
          <w:p w14:paraId="173564C1" w14:textId="252E88CB" w:rsidR="00883990" w:rsidRPr="00D87E60" w:rsidRDefault="0035337F">
            <w:pPr>
              <w:jc w:val="center"/>
              <w:rPr>
                <w:szCs w:val="20"/>
              </w:rPr>
            </w:pPr>
            <w:r w:rsidRPr="00D87E60">
              <w:rPr>
                <w:szCs w:val="20"/>
              </w:rPr>
              <w:t>0.002</w:t>
            </w:r>
            <w:r w:rsidR="00883990" w:rsidRPr="00D87E60">
              <w:rPr>
                <w:szCs w:val="20"/>
              </w:rPr>
              <w:t>%</w:t>
            </w:r>
          </w:p>
        </w:tc>
      </w:tr>
    </w:tbl>
    <w:p w14:paraId="61D7A4BA" w14:textId="77777777" w:rsidR="00D601E7" w:rsidRDefault="00D601E7">
      <w:pPr>
        <w:pStyle w:val="Heading4un-numbered"/>
      </w:pPr>
      <w:r>
        <w:t>Estimate of regulatory burden</w:t>
      </w:r>
    </w:p>
    <w:p w14:paraId="2031A589" w14:textId="2DFFD0A7" w:rsidR="00D601E7" w:rsidRDefault="00D601E7">
      <w:r>
        <w:t xml:space="preserve">All monetised costs estimated under the ‘Cost of each option’ are compliance costs that would accrue to approved providers. </w:t>
      </w:r>
      <w:r w:rsidR="00972A12">
        <w:t xml:space="preserve">Of these approved providers, approximately 57% are considered businesses (private, for-profit organisations and independent schools). 33% are community organisations (not-for-profit organisations and catholic schools), and 10% are </w:t>
      </w:r>
      <w:r w:rsidR="00972A12">
        <w:lastRenderedPageBreak/>
        <w:t>government-managed or government schools.</w:t>
      </w:r>
      <w:r w:rsidR="00972A12">
        <w:rPr>
          <w:rStyle w:val="FootnoteReference"/>
        </w:rPr>
        <w:footnoteReference w:id="84"/>
      </w:r>
      <w:r>
        <w:t xml:space="preserve">Based on OIA’s guidance on regulatory burden measurement, </w:t>
      </w:r>
      <w:r w:rsidR="00972A12">
        <w:t>the costs incurred by businesses, community organisations, individuals</w:t>
      </w:r>
      <w:r w:rsidR="007E3A78">
        <w:t>, and government</w:t>
      </w:r>
      <w:r>
        <w:t xml:space="preserve"> contribute to the regulatory burden associated with options 3 to </w:t>
      </w:r>
      <w:r w:rsidR="00E61F42">
        <w:t>5</w:t>
      </w:r>
      <w:r>
        <w:t>.</w:t>
      </w:r>
      <w:r>
        <w:rPr>
          <w:rStyle w:val="FootnoteReference"/>
        </w:rPr>
        <w:footnoteReference w:id="85"/>
      </w:r>
      <w:r>
        <w:t xml:space="preserve"> The regulatory burden estimate associated with options 3 to </w:t>
      </w:r>
      <w:r w:rsidR="00AF3CB2">
        <w:t>5</w:t>
      </w:r>
      <w:r>
        <w:t xml:space="preserve"> </w:t>
      </w:r>
      <w:r w:rsidR="007529F3">
        <w:t xml:space="preserve">is </w:t>
      </w:r>
      <w:r>
        <w:t>outlined in Table 6.</w:t>
      </w:r>
      <w:r w:rsidR="006F7FE3">
        <w:t>6</w:t>
      </w:r>
      <w:r>
        <w:t xml:space="preserve">, however it should be noted that the costs that could not be quantified (e.g., the administrative cost of tracking completion of additional training requirements) would also contribute to </w:t>
      </w:r>
      <w:r w:rsidR="00FC4B7A">
        <w:t>compliance costs on businesses</w:t>
      </w:r>
      <w:r w:rsidR="007E3A78">
        <w:t xml:space="preserve">, </w:t>
      </w:r>
      <w:r w:rsidR="00FC4B7A">
        <w:t>community organisations</w:t>
      </w:r>
      <w:r w:rsidR="007E3A78">
        <w:t xml:space="preserve"> and government</w:t>
      </w:r>
      <w:r>
        <w:t xml:space="preserve">. </w:t>
      </w:r>
      <w:r w:rsidR="004710F2">
        <w:t>Similar</w:t>
      </w:r>
      <w:r w:rsidR="00614821">
        <w:t>ly</w:t>
      </w:r>
      <w:r w:rsidR="007529F3">
        <w:t xml:space="preserve">, it is possible that the costs to approved providers would be passed on to families (individuals) through higher fees to access </w:t>
      </w:r>
      <w:r w:rsidR="004710F2">
        <w:t>education and care.</w:t>
      </w:r>
      <w:r w:rsidR="00FC4B7A">
        <w:t xml:space="preserve"> </w:t>
      </w:r>
      <w:r w:rsidR="004710F2">
        <w:t xml:space="preserve">The regulatory burden is not included for option </w:t>
      </w:r>
      <w:r w:rsidR="00896DF8">
        <w:t>2 or</w:t>
      </w:r>
      <w:r w:rsidR="004710F2">
        <w:t xml:space="preserve"> option 6</w:t>
      </w:r>
      <w:r w:rsidR="00896DF8">
        <w:t>,</w:t>
      </w:r>
      <w:r w:rsidR="004710F2">
        <w:t xml:space="preserve"> as costs are not monetised at this stage.</w:t>
      </w:r>
    </w:p>
    <w:p w14:paraId="34F8FD33" w14:textId="77777777" w:rsidR="00A4769E" w:rsidRPr="00DA3A94" w:rsidRDefault="00A4769E" w:rsidP="00A4769E">
      <w:r>
        <w:t xml:space="preserve">As it stands the regulatory burden estimates in Table 11.1 assume that the affected approved provider or individual will bear the cost. However, in the event that government funding is available, some of the potential costs may be borne by the government, alleviating the cost to approved providers. As this stage, no decisions regarding the availability of government funding have been made, and such decisions may be at the discretion of individual state and territory governments. Any funding decisions would change who bears the regulatory burden associated with the regulatory options. </w:t>
      </w:r>
    </w:p>
    <w:p w14:paraId="20D9B958" w14:textId="4CA609C5" w:rsidR="00D601E7" w:rsidRDefault="00D601E7">
      <w:pPr>
        <w:pStyle w:val="Caption"/>
      </w:pPr>
      <w:bookmarkStart w:id="89" w:name="_Toc205884946"/>
      <w:r>
        <w:t>Table 6.</w:t>
      </w:r>
      <w:r w:rsidR="006F7FE3">
        <w:t>6</w:t>
      </w:r>
      <w:r>
        <w:t>: Regulatory burden estimate – Child safety training</w:t>
      </w:r>
      <w:r w:rsidR="00031E6D">
        <w:t>, NPV 2025 to 2034, 7% discount rate</w:t>
      </w:r>
      <w:bookmarkEnd w:id="8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6.6: Regulatory burden estimate – Child safety training, NPV 2025 to 2034, 7% discount rate"/>
        <w:tblDescription w:val="This table outlines the regulatory burden estimate for introducing mandatory child safety training in present value terms from 2025 to 2034, 7% discount rate"/>
      </w:tblPr>
      <w:tblGrid>
        <w:gridCol w:w="1501"/>
        <w:gridCol w:w="1501"/>
        <w:gridCol w:w="1503"/>
        <w:gridCol w:w="1501"/>
        <w:gridCol w:w="1501"/>
        <w:gridCol w:w="1503"/>
      </w:tblGrid>
      <w:tr w:rsidR="009459AB" w14:paraId="4AC65901" w14:textId="01FC3A0A" w:rsidTr="00E3170E">
        <w:trPr>
          <w:trHeight w:val="937"/>
          <w:tblHeader/>
        </w:trPr>
        <w:tc>
          <w:tcPr>
            <w:tcW w:w="833" w:type="pct"/>
            <w:shd w:val="clear" w:color="auto" w:fill="14233C" w:themeFill="text2"/>
          </w:tcPr>
          <w:p w14:paraId="5BA839B6" w14:textId="77777777" w:rsidR="009459AB" w:rsidRPr="00A75658" w:rsidRDefault="009459AB">
            <w:pPr>
              <w:rPr>
                <w:b/>
                <w:color w:val="FFFFFF" w:themeColor="background1"/>
                <w:sz w:val="20"/>
                <w:szCs w:val="18"/>
              </w:rPr>
            </w:pPr>
          </w:p>
        </w:tc>
        <w:tc>
          <w:tcPr>
            <w:tcW w:w="833" w:type="pct"/>
            <w:shd w:val="clear" w:color="auto" w:fill="14233C" w:themeFill="text2"/>
          </w:tcPr>
          <w:p w14:paraId="5FBAE5AA" w14:textId="0502AA36" w:rsidR="009459AB" w:rsidRPr="00A75658" w:rsidRDefault="009459AB">
            <w:pPr>
              <w:jc w:val="center"/>
              <w:rPr>
                <w:b/>
                <w:color w:val="FFFFFF" w:themeColor="background1"/>
                <w:sz w:val="20"/>
                <w:szCs w:val="18"/>
              </w:rPr>
            </w:pPr>
            <w:r w:rsidRPr="00A75658">
              <w:rPr>
                <w:b/>
                <w:color w:val="FFFFFF" w:themeColor="background1"/>
                <w:sz w:val="20"/>
                <w:szCs w:val="18"/>
              </w:rPr>
              <w:t>Business</w:t>
            </w:r>
          </w:p>
        </w:tc>
        <w:tc>
          <w:tcPr>
            <w:tcW w:w="834" w:type="pct"/>
            <w:shd w:val="clear" w:color="auto" w:fill="14233C" w:themeFill="text2"/>
          </w:tcPr>
          <w:p w14:paraId="20098FD7" w14:textId="52487DBB" w:rsidR="009459AB" w:rsidRPr="00A75658" w:rsidRDefault="009459AB">
            <w:pPr>
              <w:jc w:val="center"/>
              <w:rPr>
                <w:b/>
                <w:color w:val="FFFFFF" w:themeColor="background1"/>
                <w:sz w:val="20"/>
                <w:szCs w:val="18"/>
              </w:rPr>
            </w:pPr>
            <w:r w:rsidRPr="00A75658">
              <w:rPr>
                <w:b/>
                <w:color w:val="FFFFFF" w:themeColor="background1"/>
                <w:sz w:val="20"/>
                <w:szCs w:val="18"/>
              </w:rPr>
              <w:t>Community organisations</w:t>
            </w:r>
          </w:p>
        </w:tc>
        <w:tc>
          <w:tcPr>
            <w:tcW w:w="833" w:type="pct"/>
            <w:shd w:val="clear" w:color="auto" w:fill="14233C" w:themeFill="text2"/>
          </w:tcPr>
          <w:p w14:paraId="29DFDFDB" w14:textId="420C5DE7" w:rsidR="009459AB" w:rsidRPr="00A75658" w:rsidRDefault="009459AB">
            <w:pPr>
              <w:jc w:val="center"/>
              <w:rPr>
                <w:b/>
                <w:color w:val="FFFFFF" w:themeColor="background1"/>
                <w:sz w:val="20"/>
                <w:szCs w:val="18"/>
              </w:rPr>
            </w:pPr>
            <w:r w:rsidRPr="00A75658">
              <w:rPr>
                <w:b/>
                <w:color w:val="FFFFFF" w:themeColor="background1"/>
                <w:sz w:val="20"/>
                <w:szCs w:val="18"/>
              </w:rPr>
              <w:t>Individuals</w:t>
            </w:r>
          </w:p>
        </w:tc>
        <w:tc>
          <w:tcPr>
            <w:tcW w:w="833" w:type="pct"/>
            <w:shd w:val="clear" w:color="auto" w:fill="14233C" w:themeFill="text2"/>
          </w:tcPr>
          <w:p w14:paraId="1080183F" w14:textId="73B5550E" w:rsidR="009D5282" w:rsidRPr="00A75658" w:rsidRDefault="009D5282">
            <w:pPr>
              <w:jc w:val="center"/>
              <w:rPr>
                <w:b/>
                <w:color w:val="FFFFFF" w:themeColor="background1"/>
                <w:sz w:val="20"/>
                <w:szCs w:val="18"/>
              </w:rPr>
            </w:pPr>
            <w:r w:rsidRPr="00A75658">
              <w:rPr>
                <w:b/>
                <w:color w:val="FFFFFF" w:themeColor="background1"/>
                <w:sz w:val="20"/>
                <w:szCs w:val="18"/>
              </w:rPr>
              <w:t>Government</w:t>
            </w:r>
          </w:p>
        </w:tc>
        <w:tc>
          <w:tcPr>
            <w:tcW w:w="834" w:type="pct"/>
            <w:shd w:val="clear" w:color="auto" w:fill="14233C" w:themeFill="text2"/>
          </w:tcPr>
          <w:p w14:paraId="444B3FF0" w14:textId="3CE32C18" w:rsidR="009459AB" w:rsidRPr="00A75658" w:rsidDel="009459AB" w:rsidRDefault="009459AB">
            <w:pPr>
              <w:jc w:val="center"/>
              <w:rPr>
                <w:b/>
                <w:color w:val="FFFFFF" w:themeColor="background1"/>
                <w:sz w:val="20"/>
                <w:szCs w:val="18"/>
              </w:rPr>
            </w:pPr>
            <w:r w:rsidRPr="00A75658">
              <w:rPr>
                <w:b/>
                <w:color w:val="FFFFFF" w:themeColor="background1"/>
                <w:sz w:val="20"/>
                <w:szCs w:val="18"/>
              </w:rPr>
              <w:t>Total change in costs</w:t>
            </w:r>
          </w:p>
        </w:tc>
      </w:tr>
      <w:tr w:rsidR="00896DF8" w14:paraId="06F07FD3" w14:textId="77777777" w:rsidTr="00E3170E">
        <w:trPr>
          <w:trHeight w:val="530"/>
        </w:trPr>
        <w:tc>
          <w:tcPr>
            <w:tcW w:w="833" w:type="pct"/>
          </w:tcPr>
          <w:p w14:paraId="109E4450" w14:textId="06D7960F" w:rsidR="00896DF8" w:rsidRPr="00A75658" w:rsidRDefault="00896DF8" w:rsidP="00896DF8">
            <w:pPr>
              <w:rPr>
                <w:sz w:val="20"/>
                <w:szCs w:val="18"/>
              </w:rPr>
            </w:pPr>
            <w:r w:rsidRPr="00A75658">
              <w:rPr>
                <w:sz w:val="20"/>
                <w:szCs w:val="18"/>
              </w:rPr>
              <w:t>Option 1</w:t>
            </w:r>
          </w:p>
        </w:tc>
        <w:tc>
          <w:tcPr>
            <w:tcW w:w="833" w:type="pct"/>
          </w:tcPr>
          <w:p w14:paraId="22AF63CB" w14:textId="17A47054" w:rsidR="00896DF8" w:rsidRPr="00A75658" w:rsidRDefault="00896DF8" w:rsidP="00896DF8">
            <w:pPr>
              <w:jc w:val="center"/>
              <w:rPr>
                <w:sz w:val="20"/>
                <w:szCs w:val="18"/>
              </w:rPr>
            </w:pPr>
            <w:r w:rsidRPr="00A75658">
              <w:rPr>
                <w:sz w:val="20"/>
                <w:szCs w:val="18"/>
              </w:rPr>
              <w:t>-</w:t>
            </w:r>
          </w:p>
        </w:tc>
        <w:tc>
          <w:tcPr>
            <w:tcW w:w="834" w:type="pct"/>
          </w:tcPr>
          <w:p w14:paraId="3D941519" w14:textId="1A7606CF" w:rsidR="00896DF8" w:rsidRPr="00A75658" w:rsidRDefault="00896DF8" w:rsidP="00896DF8">
            <w:pPr>
              <w:jc w:val="center"/>
              <w:rPr>
                <w:sz w:val="20"/>
                <w:szCs w:val="18"/>
              </w:rPr>
            </w:pPr>
            <w:r w:rsidRPr="00A75658">
              <w:rPr>
                <w:sz w:val="20"/>
                <w:szCs w:val="18"/>
              </w:rPr>
              <w:t>-</w:t>
            </w:r>
          </w:p>
        </w:tc>
        <w:tc>
          <w:tcPr>
            <w:tcW w:w="833" w:type="pct"/>
          </w:tcPr>
          <w:p w14:paraId="74FA3C51" w14:textId="3CEFE0D5" w:rsidR="00896DF8" w:rsidRPr="00A75658" w:rsidRDefault="00896DF8" w:rsidP="00896DF8">
            <w:pPr>
              <w:jc w:val="center"/>
              <w:rPr>
                <w:sz w:val="20"/>
                <w:szCs w:val="18"/>
              </w:rPr>
            </w:pPr>
            <w:r w:rsidRPr="00A75658">
              <w:rPr>
                <w:sz w:val="20"/>
                <w:szCs w:val="18"/>
              </w:rPr>
              <w:t>-</w:t>
            </w:r>
          </w:p>
        </w:tc>
        <w:tc>
          <w:tcPr>
            <w:tcW w:w="833" w:type="pct"/>
          </w:tcPr>
          <w:p w14:paraId="2D7CB31D" w14:textId="332707CA" w:rsidR="009D5282" w:rsidRPr="00A75658" w:rsidRDefault="009D5282" w:rsidP="00896DF8">
            <w:pPr>
              <w:jc w:val="center"/>
              <w:rPr>
                <w:b/>
                <w:sz w:val="20"/>
                <w:szCs w:val="18"/>
              </w:rPr>
            </w:pPr>
            <w:r w:rsidRPr="00A75658">
              <w:rPr>
                <w:b/>
                <w:sz w:val="20"/>
                <w:szCs w:val="18"/>
              </w:rPr>
              <w:t>-</w:t>
            </w:r>
          </w:p>
        </w:tc>
        <w:tc>
          <w:tcPr>
            <w:tcW w:w="834" w:type="pct"/>
          </w:tcPr>
          <w:p w14:paraId="3EE8E045" w14:textId="5991169B" w:rsidR="00896DF8" w:rsidRPr="00A75658" w:rsidRDefault="00896DF8" w:rsidP="00896DF8">
            <w:pPr>
              <w:jc w:val="center"/>
              <w:rPr>
                <w:b/>
                <w:sz w:val="20"/>
                <w:szCs w:val="18"/>
              </w:rPr>
            </w:pPr>
            <w:r w:rsidRPr="00A75658">
              <w:rPr>
                <w:b/>
                <w:sz w:val="20"/>
                <w:szCs w:val="18"/>
              </w:rPr>
              <w:t>-</w:t>
            </w:r>
          </w:p>
        </w:tc>
      </w:tr>
      <w:tr w:rsidR="00D87E60" w14:paraId="1C1A5CE2" w14:textId="4FD91D49" w:rsidTr="008B38CA">
        <w:trPr>
          <w:trHeight w:val="530"/>
        </w:trPr>
        <w:tc>
          <w:tcPr>
            <w:tcW w:w="833" w:type="pct"/>
          </w:tcPr>
          <w:p w14:paraId="6355E2C5" w14:textId="4BC7BD4F" w:rsidR="00D87E60" w:rsidRPr="00A75658" w:rsidRDefault="00D87E60" w:rsidP="00D87E60">
            <w:pPr>
              <w:rPr>
                <w:sz w:val="20"/>
                <w:szCs w:val="18"/>
              </w:rPr>
            </w:pPr>
            <w:r w:rsidRPr="00A75658">
              <w:rPr>
                <w:sz w:val="20"/>
                <w:szCs w:val="18"/>
              </w:rPr>
              <w:t>Option 3</w:t>
            </w:r>
          </w:p>
        </w:tc>
        <w:tc>
          <w:tcPr>
            <w:tcW w:w="833" w:type="pct"/>
            <w:vAlign w:val="center"/>
          </w:tcPr>
          <w:p w14:paraId="70E991FB" w14:textId="28BC0545" w:rsidR="00D87E60" w:rsidRPr="00D87E60" w:rsidRDefault="00D87E60" w:rsidP="00D87E60">
            <w:pPr>
              <w:jc w:val="center"/>
              <w:rPr>
                <w:sz w:val="20"/>
                <w:szCs w:val="20"/>
                <w:highlight w:val="lightGray"/>
              </w:rPr>
            </w:pPr>
            <w:r w:rsidRPr="00D87E60">
              <w:rPr>
                <w:rFonts w:cs="Arial"/>
                <w:color w:val="000000"/>
                <w:sz w:val="20"/>
                <w:szCs w:val="20"/>
              </w:rPr>
              <w:t>$313,043</w:t>
            </w:r>
          </w:p>
        </w:tc>
        <w:tc>
          <w:tcPr>
            <w:tcW w:w="834" w:type="pct"/>
            <w:vAlign w:val="center"/>
          </w:tcPr>
          <w:p w14:paraId="4B923209" w14:textId="3D41E650" w:rsidR="00D87E60" w:rsidRPr="00D87E60" w:rsidRDefault="00D87E60" w:rsidP="00D87E60">
            <w:pPr>
              <w:jc w:val="center"/>
              <w:rPr>
                <w:sz w:val="20"/>
                <w:szCs w:val="20"/>
              </w:rPr>
            </w:pPr>
            <w:r w:rsidRPr="00D87E60">
              <w:rPr>
                <w:rFonts w:cs="Arial"/>
                <w:color w:val="000000"/>
                <w:sz w:val="20"/>
                <w:szCs w:val="20"/>
              </w:rPr>
              <w:t>$181,235</w:t>
            </w:r>
          </w:p>
        </w:tc>
        <w:tc>
          <w:tcPr>
            <w:tcW w:w="833" w:type="pct"/>
            <w:vAlign w:val="center"/>
          </w:tcPr>
          <w:p w14:paraId="429653D1" w14:textId="242D5505" w:rsidR="00D87E60" w:rsidRPr="00D87E60" w:rsidRDefault="00D87E60" w:rsidP="00D87E60">
            <w:pPr>
              <w:jc w:val="center"/>
              <w:rPr>
                <w:sz w:val="20"/>
                <w:szCs w:val="20"/>
              </w:rPr>
            </w:pPr>
            <w:r w:rsidRPr="00D87E60">
              <w:rPr>
                <w:rFonts w:cs="Arial"/>
                <w:color w:val="000000"/>
                <w:sz w:val="20"/>
                <w:szCs w:val="20"/>
              </w:rPr>
              <w:t>-</w:t>
            </w:r>
          </w:p>
        </w:tc>
        <w:tc>
          <w:tcPr>
            <w:tcW w:w="833" w:type="pct"/>
            <w:vAlign w:val="center"/>
          </w:tcPr>
          <w:p w14:paraId="481FCF1F" w14:textId="7A235F01" w:rsidR="00D87E60" w:rsidRPr="00D87E60" w:rsidRDefault="00D87E60" w:rsidP="00D87E60">
            <w:pPr>
              <w:jc w:val="center"/>
              <w:rPr>
                <w:rFonts w:cs="Arial"/>
                <w:color w:val="000000"/>
                <w:sz w:val="20"/>
                <w:szCs w:val="20"/>
              </w:rPr>
            </w:pPr>
            <w:r w:rsidRPr="00D87E60">
              <w:rPr>
                <w:rFonts w:cs="Arial"/>
                <w:color w:val="000000"/>
                <w:sz w:val="20"/>
                <w:szCs w:val="20"/>
              </w:rPr>
              <w:t>$54,920</w:t>
            </w:r>
          </w:p>
        </w:tc>
        <w:tc>
          <w:tcPr>
            <w:tcW w:w="834" w:type="pct"/>
            <w:vAlign w:val="center"/>
          </w:tcPr>
          <w:p w14:paraId="57455A8D" w14:textId="45174133" w:rsidR="00D87E60" w:rsidRPr="00D87E60" w:rsidRDefault="00D87E60" w:rsidP="00D87E60">
            <w:pPr>
              <w:jc w:val="center"/>
              <w:rPr>
                <w:b/>
                <w:sz w:val="20"/>
                <w:szCs w:val="20"/>
                <w:highlight w:val="lightGray"/>
              </w:rPr>
            </w:pPr>
            <w:r w:rsidRPr="00D87E60">
              <w:rPr>
                <w:rFonts w:cs="Arial"/>
                <w:b/>
                <w:bCs/>
                <w:color w:val="000000"/>
                <w:sz w:val="20"/>
                <w:szCs w:val="20"/>
              </w:rPr>
              <w:t>$549,198</w:t>
            </w:r>
          </w:p>
        </w:tc>
      </w:tr>
      <w:tr w:rsidR="00A56541" w14:paraId="3671F28F" w14:textId="7519CFDC" w:rsidTr="00735F1B">
        <w:trPr>
          <w:trHeight w:val="954"/>
        </w:trPr>
        <w:tc>
          <w:tcPr>
            <w:tcW w:w="833" w:type="pct"/>
            <w:vAlign w:val="center"/>
          </w:tcPr>
          <w:p w14:paraId="69A7CCD3" w14:textId="09487267" w:rsidR="00A56541" w:rsidRPr="00A75658" w:rsidRDefault="00A56541" w:rsidP="00A56541">
            <w:pPr>
              <w:rPr>
                <w:sz w:val="20"/>
                <w:szCs w:val="18"/>
              </w:rPr>
            </w:pPr>
            <w:r w:rsidRPr="00000B4B">
              <w:rPr>
                <w:sz w:val="20"/>
                <w:szCs w:val="18"/>
              </w:rPr>
              <w:t>Option 4</w:t>
            </w:r>
          </w:p>
        </w:tc>
        <w:tc>
          <w:tcPr>
            <w:tcW w:w="833" w:type="pct"/>
            <w:vAlign w:val="center"/>
          </w:tcPr>
          <w:p w14:paraId="6569B23C" w14:textId="22ECD36A" w:rsidR="00A56541" w:rsidRPr="00A56541" w:rsidRDefault="00A56541" w:rsidP="00A56541">
            <w:pPr>
              <w:jc w:val="center"/>
              <w:rPr>
                <w:sz w:val="20"/>
                <w:szCs w:val="20"/>
                <w:highlight w:val="lightGray"/>
              </w:rPr>
            </w:pPr>
            <w:r w:rsidRPr="00A56541">
              <w:rPr>
                <w:rFonts w:cs="Arial"/>
                <w:color w:val="000000"/>
                <w:sz w:val="20"/>
                <w:szCs w:val="20"/>
              </w:rPr>
              <w:t>$3,457,248</w:t>
            </w:r>
          </w:p>
        </w:tc>
        <w:tc>
          <w:tcPr>
            <w:tcW w:w="834" w:type="pct"/>
            <w:vAlign w:val="center"/>
          </w:tcPr>
          <w:p w14:paraId="22E7A41B" w14:textId="72774419" w:rsidR="00A56541" w:rsidRPr="00A56541" w:rsidRDefault="00A56541" w:rsidP="00A56541">
            <w:pPr>
              <w:jc w:val="center"/>
              <w:rPr>
                <w:sz w:val="20"/>
                <w:szCs w:val="20"/>
              </w:rPr>
            </w:pPr>
            <w:r w:rsidRPr="00A56541">
              <w:rPr>
                <w:rFonts w:cs="Arial"/>
                <w:color w:val="000000"/>
                <w:sz w:val="20"/>
                <w:szCs w:val="20"/>
              </w:rPr>
              <w:t>$2,001,565</w:t>
            </w:r>
          </w:p>
        </w:tc>
        <w:tc>
          <w:tcPr>
            <w:tcW w:w="833" w:type="pct"/>
            <w:vAlign w:val="center"/>
          </w:tcPr>
          <w:p w14:paraId="2B8F6066" w14:textId="647C74EE" w:rsidR="00A56541" w:rsidRPr="00A56541" w:rsidRDefault="00A56541" w:rsidP="00A56541">
            <w:pPr>
              <w:jc w:val="center"/>
              <w:rPr>
                <w:sz w:val="20"/>
                <w:szCs w:val="20"/>
              </w:rPr>
            </w:pPr>
            <w:r w:rsidRPr="00A56541">
              <w:rPr>
                <w:rFonts w:cs="Arial"/>
                <w:color w:val="000000"/>
                <w:sz w:val="20"/>
                <w:szCs w:val="20"/>
              </w:rPr>
              <w:t>$3,420,473</w:t>
            </w:r>
          </w:p>
        </w:tc>
        <w:tc>
          <w:tcPr>
            <w:tcW w:w="833" w:type="pct"/>
            <w:vAlign w:val="center"/>
          </w:tcPr>
          <w:p w14:paraId="12EBAE97" w14:textId="159EC66D" w:rsidR="00A56541" w:rsidRPr="00A56541" w:rsidRDefault="00A56541" w:rsidP="00A56541">
            <w:pPr>
              <w:jc w:val="center"/>
              <w:rPr>
                <w:rFonts w:cs="Arial"/>
                <w:color w:val="000000"/>
                <w:sz w:val="20"/>
                <w:szCs w:val="20"/>
              </w:rPr>
            </w:pPr>
            <w:r w:rsidRPr="00A56541">
              <w:rPr>
                <w:rFonts w:cs="Arial"/>
                <w:color w:val="000000"/>
                <w:sz w:val="20"/>
                <w:szCs w:val="20"/>
              </w:rPr>
              <w:t>$606,535</w:t>
            </w:r>
          </w:p>
        </w:tc>
        <w:tc>
          <w:tcPr>
            <w:tcW w:w="834" w:type="pct"/>
            <w:vAlign w:val="center"/>
          </w:tcPr>
          <w:p w14:paraId="7A48243A" w14:textId="072EEFA9" w:rsidR="00A56541" w:rsidRPr="00A56541" w:rsidRDefault="00A56541" w:rsidP="00A56541">
            <w:pPr>
              <w:jc w:val="center"/>
              <w:rPr>
                <w:b/>
                <w:sz w:val="20"/>
                <w:szCs w:val="20"/>
                <w:highlight w:val="lightGray"/>
              </w:rPr>
            </w:pPr>
            <w:r w:rsidRPr="00A56541">
              <w:rPr>
                <w:rFonts w:cs="Arial"/>
                <w:b/>
                <w:bCs/>
                <w:color w:val="000000"/>
                <w:sz w:val="20"/>
                <w:szCs w:val="20"/>
              </w:rPr>
              <w:t>$9,485,820</w:t>
            </w:r>
          </w:p>
        </w:tc>
      </w:tr>
      <w:tr w:rsidR="00D87E60" w14:paraId="33FF868F" w14:textId="65838A54" w:rsidTr="008B38CA">
        <w:trPr>
          <w:trHeight w:val="530"/>
        </w:trPr>
        <w:tc>
          <w:tcPr>
            <w:tcW w:w="833" w:type="pct"/>
          </w:tcPr>
          <w:p w14:paraId="749F9525" w14:textId="03C93CFD" w:rsidR="00D87E60" w:rsidRPr="00A75658" w:rsidRDefault="00D87E60" w:rsidP="00D87E60">
            <w:pPr>
              <w:rPr>
                <w:sz w:val="20"/>
                <w:szCs w:val="18"/>
              </w:rPr>
            </w:pPr>
            <w:r w:rsidRPr="00A75658">
              <w:rPr>
                <w:sz w:val="20"/>
                <w:szCs w:val="18"/>
              </w:rPr>
              <w:t>Option 5</w:t>
            </w:r>
          </w:p>
        </w:tc>
        <w:tc>
          <w:tcPr>
            <w:tcW w:w="833" w:type="pct"/>
            <w:vAlign w:val="center"/>
          </w:tcPr>
          <w:p w14:paraId="292992B8" w14:textId="2BE45797" w:rsidR="00D87E60" w:rsidRPr="00D87E60" w:rsidRDefault="00D87E60" w:rsidP="00D87E60">
            <w:pPr>
              <w:jc w:val="center"/>
              <w:rPr>
                <w:sz w:val="20"/>
                <w:szCs w:val="20"/>
                <w:highlight w:val="lightGray"/>
              </w:rPr>
            </w:pPr>
            <w:r w:rsidRPr="00D87E60">
              <w:rPr>
                <w:rFonts w:cs="Arial"/>
                <w:color w:val="000000"/>
                <w:sz w:val="20"/>
                <w:szCs w:val="20"/>
              </w:rPr>
              <w:t>$455,406</w:t>
            </w:r>
          </w:p>
        </w:tc>
        <w:tc>
          <w:tcPr>
            <w:tcW w:w="834" w:type="pct"/>
            <w:vAlign w:val="center"/>
          </w:tcPr>
          <w:p w14:paraId="3AEE7470" w14:textId="2C85180A" w:rsidR="00D87E60" w:rsidRPr="00D87E60" w:rsidRDefault="00D87E60" w:rsidP="00D87E60">
            <w:pPr>
              <w:jc w:val="center"/>
              <w:rPr>
                <w:sz w:val="20"/>
                <w:szCs w:val="20"/>
              </w:rPr>
            </w:pPr>
            <w:r w:rsidRPr="00D87E60">
              <w:rPr>
                <w:rFonts w:cs="Arial"/>
                <w:color w:val="000000"/>
                <w:sz w:val="20"/>
                <w:szCs w:val="20"/>
              </w:rPr>
              <w:t>$263,656</w:t>
            </w:r>
          </w:p>
        </w:tc>
        <w:tc>
          <w:tcPr>
            <w:tcW w:w="833" w:type="pct"/>
            <w:vAlign w:val="center"/>
          </w:tcPr>
          <w:p w14:paraId="68F5AD20" w14:textId="08F7FE98" w:rsidR="00D87E60" w:rsidRPr="00D87E60" w:rsidRDefault="00D87E60" w:rsidP="00D87E60">
            <w:pPr>
              <w:jc w:val="center"/>
              <w:rPr>
                <w:sz w:val="20"/>
                <w:szCs w:val="20"/>
              </w:rPr>
            </w:pPr>
            <w:r w:rsidRPr="00D87E60">
              <w:rPr>
                <w:rFonts w:cs="Arial"/>
                <w:color w:val="000000"/>
                <w:sz w:val="20"/>
                <w:szCs w:val="20"/>
              </w:rPr>
              <w:t>-</w:t>
            </w:r>
          </w:p>
        </w:tc>
        <w:tc>
          <w:tcPr>
            <w:tcW w:w="833" w:type="pct"/>
            <w:vAlign w:val="center"/>
          </w:tcPr>
          <w:p w14:paraId="562D3433" w14:textId="2CEEC138" w:rsidR="00D87E60" w:rsidRPr="00D87E60" w:rsidRDefault="00D87E60" w:rsidP="00D87E60">
            <w:pPr>
              <w:jc w:val="center"/>
              <w:rPr>
                <w:rFonts w:cs="Arial"/>
                <w:color w:val="000000"/>
                <w:sz w:val="20"/>
                <w:szCs w:val="20"/>
              </w:rPr>
            </w:pPr>
            <w:r w:rsidRPr="00D87E60">
              <w:rPr>
                <w:rFonts w:cs="Arial"/>
                <w:color w:val="000000"/>
                <w:sz w:val="20"/>
                <w:szCs w:val="20"/>
              </w:rPr>
              <w:t>$79,896</w:t>
            </w:r>
          </w:p>
        </w:tc>
        <w:tc>
          <w:tcPr>
            <w:tcW w:w="834" w:type="pct"/>
            <w:vAlign w:val="center"/>
          </w:tcPr>
          <w:p w14:paraId="025EB7F9" w14:textId="244827DE" w:rsidR="00D87E60" w:rsidRPr="00D87E60" w:rsidRDefault="00D87E60" w:rsidP="00D87E60">
            <w:pPr>
              <w:jc w:val="center"/>
              <w:rPr>
                <w:b/>
                <w:sz w:val="20"/>
                <w:szCs w:val="20"/>
                <w:highlight w:val="lightGray"/>
              </w:rPr>
            </w:pPr>
            <w:r w:rsidRPr="00D87E60">
              <w:rPr>
                <w:rFonts w:cs="Arial"/>
                <w:b/>
                <w:bCs/>
                <w:color w:val="000000"/>
                <w:sz w:val="20"/>
                <w:szCs w:val="20"/>
              </w:rPr>
              <w:t>$798,957</w:t>
            </w:r>
          </w:p>
        </w:tc>
      </w:tr>
    </w:tbl>
    <w:p w14:paraId="23177AE0" w14:textId="77777777" w:rsidR="007E3A78" w:rsidRDefault="007E3A78" w:rsidP="00B9660F">
      <w:pPr>
        <w:spacing w:after="160"/>
        <w:rPr>
          <w:rFonts w:eastAsia="Calibri" w:cs="Arial"/>
          <w:iCs/>
          <w:color w:val="808080"/>
          <w:sz w:val="14"/>
          <w:szCs w:val="18"/>
        </w:rPr>
      </w:pPr>
    </w:p>
    <w:p w14:paraId="51CCEE9F" w14:textId="7BF77866" w:rsidR="00565472" w:rsidRDefault="00565472" w:rsidP="00565472">
      <w:pPr>
        <w:pStyle w:val="Heading4un-numbered"/>
      </w:pPr>
      <w:r>
        <w:t xml:space="preserve">Stakeholders’ </w:t>
      </w:r>
      <w:r w:rsidR="00BF7E16">
        <w:t>preferred</w:t>
      </w:r>
      <w:r w:rsidR="004C5562">
        <w:t xml:space="preserve"> option</w:t>
      </w:r>
    </w:p>
    <w:p w14:paraId="3AE80EA8" w14:textId="08D89CBC" w:rsidR="00D733F0" w:rsidRPr="004C3FAA" w:rsidRDefault="00D733F0" w:rsidP="00D733F0">
      <w:pPr>
        <w:spacing w:after="160"/>
      </w:pPr>
      <w:r w:rsidRPr="004C3FAA">
        <w:t xml:space="preserve">Options 4 and 6 were often nominated by stakeholders as the </w:t>
      </w:r>
      <w:r w:rsidR="00BF7E16">
        <w:t>preferred</w:t>
      </w:r>
      <w:r w:rsidR="004C5562">
        <w:t xml:space="preserve"> option</w:t>
      </w:r>
      <w:r w:rsidRPr="004C3FAA">
        <w:t xml:space="preserve">s, often </w:t>
      </w:r>
      <w:r w:rsidR="00614821">
        <w:t>as</w:t>
      </w:r>
      <w:r w:rsidRPr="004C3FAA">
        <w:t xml:space="preserve"> implemented together. Among </w:t>
      </w:r>
      <w:r>
        <w:t xml:space="preserve">approved provider survey </w:t>
      </w:r>
      <w:r w:rsidRPr="004C3FAA">
        <w:t xml:space="preserve">respondents who selected a larger </w:t>
      </w:r>
      <w:r w:rsidRPr="004C3FAA">
        <w:lastRenderedPageBreak/>
        <w:t xml:space="preserve">number of </w:t>
      </w:r>
      <w:r w:rsidR="00BF7E16">
        <w:t>preferred</w:t>
      </w:r>
      <w:r w:rsidR="004C5562">
        <w:t xml:space="preserve"> option</w:t>
      </w:r>
      <w:r w:rsidRPr="004C3FAA">
        <w:t xml:space="preserve">s in combination, option 5 was often included (refer to </w:t>
      </w:r>
      <w:r>
        <w:t xml:space="preserve">Appendix </w:t>
      </w:r>
      <w:r w:rsidR="00466973">
        <w:t xml:space="preserve">Chart </w:t>
      </w:r>
      <w:r>
        <w:t>12.3</w:t>
      </w:r>
      <w:r w:rsidR="00466973">
        <w:t>.2.1</w:t>
      </w:r>
      <w:r w:rsidRPr="004C3FAA">
        <w:t xml:space="preserve">). </w:t>
      </w:r>
      <w:r w:rsidR="004163C4">
        <w:t>Approved providers’ preference</w:t>
      </w:r>
      <w:r w:rsidR="00672F74">
        <w:t>s</w:t>
      </w:r>
      <w:r w:rsidR="004163C4">
        <w:t xml:space="preserve"> were also relatively uniform across jurisdiction and provider type, despite existing jurisdictional differences in current training requirements.</w:t>
      </w:r>
      <w:r w:rsidRPr="004C3FAA">
        <w:t xml:space="preserve"> </w:t>
      </w:r>
      <w:r>
        <w:t xml:space="preserve">Options 4 and 6, followed by option 5, also received the highest levels of support from families, parents, and carers and the workforce (refer to Appendix </w:t>
      </w:r>
      <w:r w:rsidR="00466973">
        <w:t xml:space="preserve">Chart </w:t>
      </w:r>
      <w:r>
        <w:t>12.3</w:t>
      </w:r>
      <w:r w:rsidR="00466973">
        <w:t>.2.1</w:t>
      </w:r>
      <w:r>
        <w:t>).</w:t>
      </w:r>
      <w:r w:rsidR="004163C4">
        <w:t xml:space="preserve"> </w:t>
      </w:r>
    </w:p>
    <w:p w14:paraId="738715F9" w14:textId="2E10C64D" w:rsidR="00D733F0" w:rsidRDefault="00D733F0" w:rsidP="00D733F0">
      <w:pPr>
        <w:spacing w:after="160"/>
      </w:pPr>
      <w:r w:rsidRPr="00A50225">
        <w:t xml:space="preserve">When indicating support for different options through written submissions, respondents </w:t>
      </w:r>
      <w:r>
        <w:t xml:space="preserve">indicated the highest levels of support for options 4, 5, and 6 (refer to Chart 6.2). </w:t>
      </w:r>
      <w:r w:rsidR="4C5891B7">
        <w:t xml:space="preserve">All large provider long form submissions supported option </w:t>
      </w:r>
      <w:r w:rsidR="22FA8EC8">
        <w:t>5</w:t>
      </w:r>
      <w:r w:rsidR="4C5891B7">
        <w:t xml:space="preserve"> and around half supported options </w:t>
      </w:r>
      <w:r w:rsidR="46C8B2EC">
        <w:t>4</w:t>
      </w:r>
      <w:r w:rsidR="4C5891B7">
        <w:t xml:space="preserve"> and 6 or supported </w:t>
      </w:r>
      <w:r w:rsidR="00672F74">
        <w:t xml:space="preserve">them </w:t>
      </w:r>
      <w:r w:rsidR="4C5891B7">
        <w:t xml:space="preserve">in principle. </w:t>
      </w:r>
      <w:r w:rsidR="5EA76953">
        <w:t>Options 4 and 6 were seen by these large providers to require significant financial and administrative burden as regulatory measures.</w:t>
      </w:r>
      <w:r w:rsidR="00444A15">
        <w:t xml:space="preserve"> </w:t>
      </w:r>
    </w:p>
    <w:p w14:paraId="2062F495" w14:textId="6F7B4121" w:rsidR="00D733F0" w:rsidRPr="00F8633B" w:rsidRDefault="00D76F59" w:rsidP="00D733F0">
      <w:pPr>
        <w:pStyle w:val="Caption"/>
        <w:rPr>
          <w:highlight w:val="lightGray"/>
        </w:rPr>
      </w:pPr>
      <w:bookmarkStart w:id="90" w:name="_Toc205884947"/>
      <w:r>
        <w:t>Chart</w:t>
      </w:r>
      <w:r w:rsidR="00D733F0">
        <w:t xml:space="preserve"> 6.2</w:t>
      </w:r>
      <w:r w:rsidR="00D733F0" w:rsidRPr="00EC7EB9">
        <w:t xml:space="preserve">: </w:t>
      </w:r>
      <w:r w:rsidR="00D733F0">
        <w:t>Support for options in written responses</w:t>
      </w:r>
      <w:bookmarkEnd w:id="90"/>
    </w:p>
    <w:p w14:paraId="36C4F10B" w14:textId="596106BE" w:rsidR="00D733F0" w:rsidRPr="00636B94" w:rsidRDefault="00D733F0" w:rsidP="00976C70">
      <w:pPr>
        <w:pStyle w:val="Source-CSR"/>
      </w:pPr>
      <w:r w:rsidRPr="00154258">
        <w:rPr>
          <w:noProof/>
          <w:highlight w:val="lightGray"/>
        </w:rPr>
        <w:drawing>
          <wp:inline distT="0" distB="0" distL="0" distR="0" wp14:anchorId="3C600797" wp14:editId="2461C7D2">
            <wp:extent cx="5399405" cy="2800350"/>
            <wp:effectExtent l="0" t="0" r="0" b="0"/>
            <wp:docPr id="21564250" name="Chart 1" descr="Chart outlining the support for option 1 to option 6 from written responses of the survey.">
              <a:extLst xmlns:a="http://schemas.openxmlformats.org/drawingml/2006/main">
                <a:ext uri="{FF2B5EF4-FFF2-40B4-BE49-F238E27FC236}">
                  <a16:creationId xmlns:a16="http://schemas.microsoft.com/office/drawing/2014/main" id="{7DFB93A2-8712-4759-AEFE-6671317E1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444A15" w:rsidRPr="00636B94">
        <w:t xml:space="preserve"> </w:t>
      </w:r>
      <w:r w:rsidRPr="00636B94">
        <w:t>Source: Written responses to the CRIS consultation.</w:t>
      </w:r>
    </w:p>
    <w:p w14:paraId="1241E706" w14:textId="1C09BF21" w:rsidR="00D601E7" w:rsidRDefault="00D601E7">
      <w:pPr>
        <w:pStyle w:val="Heading3"/>
      </w:pPr>
      <w:r>
        <w:t xml:space="preserve">What is the </w:t>
      </w:r>
      <w:r w:rsidR="004C5562">
        <w:t>recommended option</w:t>
      </w:r>
      <w:r>
        <w:t>(s) and how will it be implemented?</w:t>
      </w:r>
    </w:p>
    <w:p w14:paraId="29703EBC" w14:textId="0E84787C" w:rsidR="00D601E7" w:rsidRPr="007D26E0" w:rsidRDefault="00D2551B">
      <w:pPr>
        <w:spacing w:after="160"/>
      </w:pPr>
      <w:r w:rsidRPr="007D27A8">
        <w:t>Based on analysis included in this DRIS, the options with the highest net benefit to be provided to Education Ministers for consideration</w:t>
      </w:r>
      <w:r>
        <w:t xml:space="preserve"> are</w:t>
      </w:r>
      <w:r w:rsidRPr="007D27A8">
        <w:t xml:space="preserve"> </w:t>
      </w:r>
      <w:r w:rsidR="00D733F0">
        <w:t>Options 4, 5 and 6</w:t>
      </w:r>
      <w:r>
        <w:t xml:space="preserve">. </w:t>
      </w:r>
      <w:r w:rsidR="00D601E7" w:rsidRPr="007D26E0">
        <w:t xml:space="preserve">These options introduce the highest standards of child protection </w:t>
      </w:r>
      <w:r w:rsidR="00AD51BF">
        <w:t xml:space="preserve">knowledge and training </w:t>
      </w:r>
      <w:r w:rsidR="00D601E7" w:rsidRPr="007D26E0">
        <w:t>and child safety training across the whole education and care sector.</w:t>
      </w:r>
    </w:p>
    <w:p w14:paraId="7C1E4A8C" w14:textId="0DD4C2D7" w:rsidR="002A0A5A" w:rsidRDefault="000B18CA">
      <w:pPr>
        <w:spacing w:after="160"/>
      </w:pPr>
      <w:r>
        <w:t xml:space="preserve">While there is strong in-principle support for regulatory options, </w:t>
      </w:r>
      <w:r w:rsidR="002A0A5A">
        <w:t>stakeholder feedback highlighted a range of considerations that would need to be taken into account in implementing these options. This includes feedback for greater clarification on:</w:t>
      </w:r>
    </w:p>
    <w:p w14:paraId="3A80C310" w14:textId="77777777" w:rsidR="002A0A5A" w:rsidRDefault="002A0A5A" w:rsidP="00EC53AB">
      <w:pPr>
        <w:pStyle w:val="ListParagraph"/>
        <w:numPr>
          <w:ilvl w:val="0"/>
          <w:numId w:val="104"/>
        </w:numPr>
        <w:spacing w:after="160"/>
        <w:ind w:left="426"/>
      </w:pPr>
      <w:r>
        <w:lastRenderedPageBreak/>
        <w:t xml:space="preserve">the proposed duration of child safety and protection training, </w:t>
      </w:r>
    </w:p>
    <w:p w14:paraId="0B15E785" w14:textId="33A22D65" w:rsidR="000B18CA" w:rsidRDefault="002A0A5A" w:rsidP="00EC53AB">
      <w:pPr>
        <w:pStyle w:val="ListParagraph"/>
        <w:numPr>
          <w:ilvl w:val="0"/>
          <w:numId w:val="104"/>
        </w:numPr>
        <w:spacing w:after="160"/>
        <w:ind w:left="426"/>
      </w:pPr>
      <w:r>
        <w:t xml:space="preserve">whether training can be delivered in-person or online to address accessibility concerns for educators who work in regional, rural and remote locations, </w:t>
      </w:r>
    </w:p>
    <w:p w14:paraId="72174D09" w14:textId="7B3AD7DD" w:rsidR="002A0A5A" w:rsidRDefault="002A0A5A" w:rsidP="00EC53AB">
      <w:pPr>
        <w:pStyle w:val="ListParagraph"/>
        <w:numPr>
          <w:ilvl w:val="0"/>
          <w:numId w:val="104"/>
        </w:numPr>
        <w:spacing w:after="160"/>
        <w:ind w:left="426"/>
      </w:pPr>
      <w:r>
        <w:t xml:space="preserve">the suite of staff </w:t>
      </w:r>
      <w:r w:rsidR="00D66B95">
        <w:t xml:space="preserve">and volunteers </w:t>
      </w:r>
      <w:r>
        <w:t xml:space="preserve">that are required to undertake training (for example, if this includes those who directly or do not directly work with children), </w:t>
      </w:r>
    </w:p>
    <w:p w14:paraId="3CBED7FA" w14:textId="4208FF77" w:rsidR="002A0A5A" w:rsidRDefault="002A0A5A" w:rsidP="00EC53AB">
      <w:pPr>
        <w:pStyle w:val="ListParagraph"/>
        <w:numPr>
          <w:ilvl w:val="0"/>
          <w:numId w:val="104"/>
        </w:numPr>
        <w:spacing w:after="160"/>
        <w:ind w:left="426"/>
      </w:pPr>
      <w:r>
        <w:t xml:space="preserve">the frequency of refresher training, </w:t>
      </w:r>
    </w:p>
    <w:p w14:paraId="4C758C90" w14:textId="4DA8EDC3" w:rsidR="00DD5353" w:rsidRDefault="00DD5353" w:rsidP="00EC53AB">
      <w:pPr>
        <w:pStyle w:val="ListParagraph"/>
        <w:numPr>
          <w:ilvl w:val="0"/>
          <w:numId w:val="104"/>
        </w:numPr>
        <w:spacing w:after="160"/>
        <w:ind w:left="426"/>
      </w:pPr>
      <w:r>
        <w:t xml:space="preserve">the approach to develop culturally appropriate child safety and child protection training materials which considers </w:t>
      </w:r>
      <w:r w:rsidR="005C36D9">
        <w:t xml:space="preserve">historical </w:t>
      </w:r>
      <w:r w:rsidR="00A1074E">
        <w:t xml:space="preserve">and cultural </w:t>
      </w:r>
      <w:r w:rsidR="005C36D9">
        <w:t xml:space="preserve">contexts </w:t>
      </w:r>
      <w:r w:rsidR="00A1074E">
        <w:t>and</w:t>
      </w:r>
      <w:r w:rsidR="00545754">
        <w:t xml:space="preserve"> does not exacerbate the disproportionate removal of Aboriginal and Torres Strait Islander children from their families</w:t>
      </w:r>
      <w:r w:rsidR="005C36D9">
        <w:t xml:space="preserve">, </w:t>
      </w:r>
      <w:r w:rsidR="00A1074E">
        <w:t>and</w:t>
      </w:r>
    </w:p>
    <w:p w14:paraId="4B9E12AF" w14:textId="57A67D2C" w:rsidR="002A0A5A" w:rsidRDefault="002A0A5A" w:rsidP="00EC53AB">
      <w:pPr>
        <w:pStyle w:val="ListParagraph"/>
        <w:numPr>
          <w:ilvl w:val="0"/>
          <w:numId w:val="104"/>
        </w:numPr>
        <w:spacing w:after="160"/>
        <w:ind w:left="426"/>
      </w:pPr>
      <w:r>
        <w:t>the cost of training and the extent to which these costs will be covered by Government</w:t>
      </w:r>
      <w:r w:rsidR="00841575">
        <w:t>.</w:t>
      </w:r>
    </w:p>
    <w:p w14:paraId="3A6FD1CC" w14:textId="3798FA59" w:rsidR="00D601E7" w:rsidRDefault="002A0A5A" w:rsidP="002A0A5A">
      <w:r>
        <w:t>The abovementioned implementation</w:t>
      </w:r>
      <w:r w:rsidR="00D601E7" w:rsidRPr="00014FFB">
        <w:t xml:space="preserve"> considerations would have material impacts on the total costs of the policy options.</w:t>
      </w:r>
      <w:r w:rsidR="00D601E7">
        <w:t xml:space="preserve"> </w:t>
      </w:r>
      <w:r w:rsidR="00040315">
        <w:t xml:space="preserve">If these options are implemented, </w:t>
      </w:r>
      <w:r>
        <w:t xml:space="preserve">the governments will </w:t>
      </w:r>
      <w:r w:rsidR="00CE48CE">
        <w:t xml:space="preserve">undertake additional work to provide greater clarity on the scope, scale and nature of child safety and child protection training, which </w:t>
      </w:r>
      <w:r w:rsidR="005C692E">
        <w:t>require</w:t>
      </w:r>
      <w:r w:rsidR="00CE48CE">
        <w:t xml:space="preserve"> further engagement with the sector </w:t>
      </w:r>
      <w:r w:rsidR="00040315">
        <w:t xml:space="preserve">to address the considerations noted above. </w:t>
      </w:r>
    </w:p>
    <w:bookmarkEnd w:id="47"/>
    <w:p w14:paraId="6E0E1B0D" w14:textId="77777777" w:rsidR="00646358" w:rsidRDefault="00646358">
      <w:pPr>
        <w:spacing w:after="160" w:line="259" w:lineRule="auto"/>
        <w:rPr>
          <w:rFonts w:eastAsia="MS Mincho" w:cs="Arial"/>
          <w:color w:val="14233C"/>
          <w:sz w:val="52"/>
          <w:szCs w:val="80"/>
          <w:lang w:val="en-GB"/>
        </w:rPr>
      </w:pPr>
      <w:r>
        <w:br w:type="page"/>
      </w:r>
    </w:p>
    <w:p w14:paraId="16C2B057" w14:textId="7E2301C5" w:rsidR="00C4110F" w:rsidRDefault="00937708" w:rsidP="003364C3">
      <w:pPr>
        <w:pStyle w:val="Heading1"/>
      </w:pPr>
      <w:bookmarkStart w:id="91" w:name="_7._Responding_to"/>
      <w:bookmarkStart w:id="92" w:name="_Ref203407531"/>
      <w:bookmarkStart w:id="93" w:name="_Toc205884891"/>
      <w:bookmarkEnd w:id="91"/>
      <w:r>
        <w:lastRenderedPageBreak/>
        <w:t>7</w:t>
      </w:r>
      <w:r w:rsidR="00C4110F">
        <w:t>. Responding to educator and staff member conduct</w:t>
      </w:r>
      <w:bookmarkEnd w:id="92"/>
      <w:bookmarkEnd w:id="93"/>
    </w:p>
    <w:p w14:paraId="17DAC198" w14:textId="14F38E1F" w:rsidR="006C2349" w:rsidRDefault="006C2349" w:rsidP="006C2349">
      <w:pPr>
        <w:jc w:val="both"/>
      </w:pPr>
      <w:r>
        <w:t xml:space="preserve">There is only one child-related offence for which educators </w:t>
      </w:r>
      <w:r w:rsidR="00B80244">
        <w:t xml:space="preserve">can be held </w:t>
      </w:r>
      <w:r>
        <w:t>liable under the National Law, which is the use of inappropriate discipline. Pursuant to section 166(3)(4) of the National Law, it is an offence for a staff member, volunteer or FDC educator</w:t>
      </w:r>
      <w:r>
        <w:rPr>
          <w:rStyle w:val="FootnoteReference"/>
        </w:rPr>
        <w:footnoteReference w:id="86"/>
      </w:r>
      <w:r>
        <w:t xml:space="preserve"> to use inappropriate discipline. </w:t>
      </w:r>
    </w:p>
    <w:p w14:paraId="3E4195AC" w14:textId="3368EFC4" w:rsidR="006C2349" w:rsidRDefault="00B80244" w:rsidP="006C2349">
      <w:pPr>
        <w:jc w:val="both"/>
      </w:pPr>
      <w:r>
        <w:t>Other</w:t>
      </w:r>
      <w:r w:rsidR="006C2349">
        <w:t xml:space="preserve"> instances where a staff member, volunteer or FDC educator has interacted with children in a way that is serious, inappropriate and requires Regulatory Authority intervention however, </w:t>
      </w:r>
      <w:r w:rsidR="00C90A28">
        <w:t xml:space="preserve">do </w:t>
      </w:r>
      <w:r w:rsidR="006C2349">
        <w:t xml:space="preserve">not constitute a breach of section 166. </w:t>
      </w:r>
    </w:p>
    <w:p w14:paraId="76BF89D7" w14:textId="4826D3C4" w:rsidR="006C2349" w:rsidRDefault="006C2349" w:rsidP="006C2349">
      <w:r>
        <w:t xml:space="preserve">Under section 182 of the National Law, the Regulatory Authority may intervene with </w:t>
      </w:r>
      <w:r w:rsidR="002D6C7E">
        <w:t>administrative action</w:t>
      </w:r>
      <w:r w:rsidR="00370AE2">
        <w:t xml:space="preserve"> </w:t>
      </w:r>
      <w:r>
        <w:t>against an educator, FDC educator, employee, contractor or volunteer</w:t>
      </w:r>
      <w:r>
        <w:rPr>
          <w:rStyle w:val="FootnoteReference"/>
        </w:rPr>
        <w:footnoteReference w:id="87"/>
      </w:r>
      <w:r>
        <w:t xml:space="preserve"> where that individual may pose an </w:t>
      </w:r>
      <w:r>
        <w:rPr>
          <w:i/>
          <w:iCs/>
        </w:rPr>
        <w:t xml:space="preserve">unacceptable risk of harm </w:t>
      </w:r>
      <w:r>
        <w:t xml:space="preserve">to a child or children. In those instances, the Regulatory Authority is able to prohibit a person without a contravention, or alleged contravention, of section 166 of the National Law. Prohibiting a person is a significant exercise of regulatory power because it prevents a person from working in the education and care sector, therefore affecting their livelihood and reputation. Whilst reserved for the most serious of circumstances, this mechanism is crucial to mitigating risk of harm to children in education and care services by the few individuals who may present such an unacceptable risk. </w:t>
      </w:r>
    </w:p>
    <w:p w14:paraId="2D17FA51" w14:textId="1496E285" w:rsidR="006C2349" w:rsidRDefault="006C2349" w:rsidP="006C2349">
      <w:r>
        <w:rPr>
          <w:rFonts w:cs="Arial"/>
        </w:rPr>
        <w:t>An individual may offer an enforceable undertaking</w:t>
      </w:r>
      <w:r w:rsidR="008F5F86">
        <w:rPr>
          <w:rStyle w:val="FootnoteReference"/>
        </w:rPr>
        <w:footnoteReference w:id="88"/>
      </w:r>
      <w:r w:rsidR="008F5F86" w:rsidRPr="00005623">
        <w:t xml:space="preserve"> </w:t>
      </w:r>
      <w:r>
        <w:rPr>
          <w:rFonts w:cs="Arial"/>
        </w:rPr>
        <w:t xml:space="preserve">to the Regulatory Authority as an alternative to prohibition, after a show cause process, pursuant to section 184(3) of the National Law. </w:t>
      </w:r>
      <w:r>
        <w:t xml:space="preserve">An enforceable undertaking is an agreement between that individual and the </w:t>
      </w:r>
      <w:r>
        <w:lastRenderedPageBreak/>
        <w:t>Regulatory Authority, where the individual agrees to take certain actions, or refrain from certain actions, to comply with the National Law.</w:t>
      </w:r>
    </w:p>
    <w:p w14:paraId="5F023290" w14:textId="4CFE17DE" w:rsidR="006C2349" w:rsidRDefault="006C2349" w:rsidP="006C2349">
      <w:r>
        <w:t xml:space="preserve">With specific regard to FDC educators, section 178 of the National Law enables the Regulatory Authority to issue a ‘notice to suspend education and care by a FDC educator’ after a show cause process. A notice to suspend education and care by a FDC educator is an instruction to an approved provider to cease engaging or allowing a FDC educator to be registered with their service. </w:t>
      </w:r>
    </w:p>
    <w:p w14:paraId="15B16A8D" w14:textId="2FA96A94" w:rsidR="006C2349" w:rsidRDefault="006C2349" w:rsidP="006C2349">
      <w:bookmarkStart w:id="94" w:name="_Hlk194314019"/>
      <w:r>
        <w:t xml:space="preserve">Unlike a prohibition notice, a notice to suspend education and care by a FDC educator is issued to the approved provider, does not prevent the educator from any involvement with another service, and only applies to a specific education and care service. </w:t>
      </w:r>
    </w:p>
    <w:bookmarkEnd w:id="94"/>
    <w:p w14:paraId="3B044705" w14:textId="615EF9F2" w:rsidR="006C2349" w:rsidRDefault="006C2349" w:rsidP="006C2349">
      <w:r>
        <w:t xml:space="preserve">Where </w:t>
      </w:r>
      <w:r w:rsidR="00013273">
        <w:t>the conduct</w:t>
      </w:r>
      <w:r w:rsidR="00ED5B44">
        <w:t xml:space="preserve"> does not meet</w:t>
      </w:r>
      <w:r>
        <w:t xml:space="preserve"> the threshold for prohibition</w:t>
      </w:r>
      <w:r w:rsidR="00DB34E3">
        <w:t xml:space="preserve"> of the person</w:t>
      </w:r>
      <w:r>
        <w:t xml:space="preserve">, Regulatory Authorities have limited legislative mechanisms available to sufficiently address the risk of harm to children. </w:t>
      </w:r>
    </w:p>
    <w:p w14:paraId="2E255C57" w14:textId="786AA28C" w:rsidR="006C2349" w:rsidRDefault="006C2349" w:rsidP="006C2349">
      <w:r>
        <w:t>Additionally, early intervention and oversight of conduct that is not conducive to the safety, health, and wellbeing of children is imperative to mitigating that risk of harm. Currently, Regulatory Authorities may only disclose information about individuals who have been issued a prohibition notice, or who are suspended FDC educators, if requested by an approved provider.</w:t>
      </w:r>
    </w:p>
    <w:p w14:paraId="6A54410E" w14:textId="1F873CCA" w:rsidR="006C2349" w:rsidRDefault="006C2349" w:rsidP="006C2349">
      <w:r w:rsidRPr="00005623">
        <w:t xml:space="preserve">There is </w:t>
      </w:r>
      <w:r>
        <w:t xml:space="preserve">also currently </w:t>
      </w:r>
      <w:r w:rsidRPr="00005623">
        <w:t>no legislative mechanism to enable the Regulatory Authority to disclose details of a person’s current enforceable undertaking</w:t>
      </w:r>
      <w:r w:rsidR="00D35146">
        <w:t xml:space="preserve"> </w:t>
      </w:r>
      <w:r w:rsidRPr="00005623">
        <w:t xml:space="preserve">with that person’s current approved provider, without the express consent of that </w:t>
      </w:r>
      <w:r>
        <w:t>person or it being a condition of that person’s enforceable undertaking</w:t>
      </w:r>
      <w:r w:rsidRPr="00005623">
        <w:t>.</w:t>
      </w:r>
      <w:r>
        <w:t xml:space="preserve"> An approved provider would typically be unaware of such conduct where it has occurred in a previous service. This is not conducive to approved providers being able to support that employee to fulfil their enforceable undertaking if needed or identify non-compliant conduct as a pattern of behaviour rather than a standalone incident. </w:t>
      </w:r>
    </w:p>
    <w:p w14:paraId="2C75AE2D" w14:textId="77777777" w:rsidR="006C2349" w:rsidRDefault="006C2349" w:rsidP="006C2349">
      <w:r>
        <w:t>Given the close correlation and intersections of these reform areas, policy options in this chapter are recommended to be considered jointly. Together, these reform areas consider:</w:t>
      </w:r>
    </w:p>
    <w:p w14:paraId="39A7B9E2" w14:textId="0549D9AC" w:rsidR="006C2349" w:rsidRDefault="006C2349" w:rsidP="00EC53AB">
      <w:pPr>
        <w:pStyle w:val="ListParagraph"/>
        <w:numPr>
          <w:ilvl w:val="0"/>
          <w:numId w:val="57"/>
        </w:numPr>
        <w:jc w:val="both"/>
      </w:pPr>
      <w:r>
        <w:t>creation of an offence provision to capture inappropriate conduct (see Chapter 7.1)</w:t>
      </w:r>
    </w:p>
    <w:p w14:paraId="7292DC27" w14:textId="3F8339DC" w:rsidR="006C2349" w:rsidRDefault="006C2349" w:rsidP="00EC53AB">
      <w:pPr>
        <w:pStyle w:val="ListParagraph"/>
        <w:numPr>
          <w:ilvl w:val="0"/>
          <w:numId w:val="57"/>
        </w:numPr>
        <w:jc w:val="both"/>
      </w:pPr>
      <w:bookmarkStart w:id="95" w:name="_Hlk194390038"/>
      <w:r>
        <w:t>enhancing the ability of Regulatory Authorities to share information with approved providers (see Chapter 7.2)</w:t>
      </w:r>
    </w:p>
    <w:p w14:paraId="0714C832" w14:textId="0F9565A2" w:rsidR="006C2349" w:rsidRDefault="006C2349" w:rsidP="00EC53AB">
      <w:pPr>
        <w:pStyle w:val="ListParagraph"/>
        <w:numPr>
          <w:ilvl w:val="0"/>
          <w:numId w:val="57"/>
        </w:numPr>
        <w:jc w:val="both"/>
      </w:pPr>
      <w:bookmarkStart w:id="96" w:name="_Hlk194387802"/>
      <w:bookmarkEnd w:id="95"/>
      <w:r>
        <w:lastRenderedPageBreak/>
        <w:t xml:space="preserve">expansion of regulatory responses to educator and staff member conduct </w:t>
      </w:r>
      <w:bookmarkEnd w:id="96"/>
      <w:r>
        <w:t>(see Chapter 7.3).</w:t>
      </w:r>
    </w:p>
    <w:p w14:paraId="5BECAC5F" w14:textId="1735D7F8" w:rsidR="006C2349" w:rsidRDefault="006C2349" w:rsidP="006C2349">
      <w:pPr>
        <w:pStyle w:val="Heading2"/>
      </w:pPr>
      <w:bookmarkStart w:id="97" w:name="_Toc201934872"/>
      <w:bookmarkStart w:id="98" w:name="_Toc205884892"/>
      <w:r>
        <w:t>7.1 Making inappropriate conduct an offence</w:t>
      </w:r>
      <w:bookmarkEnd w:id="97"/>
      <w:bookmarkEnd w:id="98"/>
    </w:p>
    <w:tbl>
      <w:tblPr>
        <w:tblStyle w:val="Deloittetable"/>
        <w:tblW w:w="9140" w:type="dxa"/>
        <w:tblLook w:val="04A0" w:firstRow="1" w:lastRow="0" w:firstColumn="1" w:lastColumn="0" w:noHBand="0" w:noVBand="1"/>
        <w:tblCaption w:val="Key insights - Making inappropriate conduct an offence"/>
        <w:tblDescription w:val="This table outlines the key insights for making inappropriate conduct an offence."/>
      </w:tblPr>
      <w:tblGrid>
        <w:gridCol w:w="9140"/>
      </w:tblGrid>
      <w:tr w:rsidR="00B11DFB" w14:paraId="14CC08D3" w14:textId="77777777">
        <w:trPr>
          <w:cnfStyle w:val="100000000000" w:firstRow="1" w:lastRow="0" w:firstColumn="0" w:lastColumn="0" w:oddVBand="0" w:evenVBand="0" w:oddHBand="0" w:evenHBand="0" w:firstRowFirstColumn="0" w:firstRowLastColumn="0" w:lastRowFirstColumn="0" w:lastRowLastColumn="0"/>
          <w:trHeight w:val="1641"/>
        </w:trPr>
        <w:tc>
          <w:tcPr>
            <w:tcW w:w="9140" w:type="dxa"/>
            <w:shd w:val="clear" w:color="auto" w:fill="DEE6F4" w:themeFill="text2" w:themeFillTint="1A"/>
          </w:tcPr>
          <w:p w14:paraId="401ED795" w14:textId="77777777" w:rsidR="00B11DFB" w:rsidRPr="005347A5" w:rsidRDefault="00B11DFB">
            <w:pPr>
              <w:rPr>
                <w:b/>
                <w:bCs/>
                <w:sz w:val="20"/>
                <w:szCs w:val="20"/>
              </w:rPr>
            </w:pPr>
            <w:r w:rsidRPr="005347A5">
              <w:rPr>
                <w:b/>
                <w:bCs/>
                <w:sz w:val="20"/>
                <w:szCs w:val="20"/>
              </w:rPr>
              <w:t xml:space="preserve">Key Insights </w:t>
            </w:r>
          </w:p>
          <w:p w14:paraId="7A414225" w14:textId="77777777" w:rsidR="00B11DFB" w:rsidRPr="00712583" w:rsidRDefault="00B11DFB">
            <w:pPr>
              <w:rPr>
                <w:i/>
                <w:szCs w:val="22"/>
              </w:rPr>
            </w:pPr>
            <w:r>
              <w:rPr>
                <w:i/>
                <w:szCs w:val="22"/>
              </w:rPr>
              <w:t>Problem</w:t>
            </w:r>
          </w:p>
          <w:p w14:paraId="579EC08A" w14:textId="13A7B0E1" w:rsidR="00157E1B" w:rsidRPr="00157E1B" w:rsidRDefault="00157E1B" w:rsidP="00B10FD1">
            <w:pPr>
              <w:pStyle w:val="ListParagraph"/>
              <w:rPr>
                <w:i/>
                <w:szCs w:val="20"/>
              </w:rPr>
            </w:pPr>
            <w:r w:rsidRPr="00157E1B">
              <w:rPr>
                <w:szCs w:val="20"/>
              </w:rPr>
              <w:t>There are instances where a staff member, volunteer or FDC educator has behaved in a way that is serious, inappropriate and requires Regulatory Authority intervention, is not captured under the National Law offence of inappropriate discipline</w:t>
            </w:r>
            <w:r w:rsidR="00AD2F7F">
              <w:rPr>
                <w:szCs w:val="20"/>
              </w:rPr>
              <w:t>.</w:t>
            </w:r>
          </w:p>
          <w:p w14:paraId="5AC88993" w14:textId="5BD46E29" w:rsidR="00AD2F7F" w:rsidRPr="00AD2F7F" w:rsidRDefault="00AD2F7F" w:rsidP="00B10FD1">
            <w:pPr>
              <w:pStyle w:val="ListParagraph"/>
              <w:rPr>
                <w:i/>
                <w:szCs w:val="20"/>
              </w:rPr>
            </w:pPr>
            <w:r>
              <w:t>When inappropriate conduct occurs, there are limited legislative provisions to empower the Regulatory Authority to take action.</w:t>
            </w:r>
          </w:p>
          <w:p w14:paraId="213F2940" w14:textId="7C0CF61D" w:rsidR="00AD2F7F" w:rsidRPr="00157E1B" w:rsidRDefault="00AD2F7F" w:rsidP="00B10FD1">
            <w:pPr>
              <w:pStyle w:val="ListParagraph"/>
              <w:rPr>
                <w:i/>
                <w:szCs w:val="20"/>
              </w:rPr>
            </w:pPr>
            <w:r w:rsidRPr="00CB24A3">
              <w:t xml:space="preserve">Evidence from Regulatory Authorities indicates there has been an </w:t>
            </w:r>
            <w:r w:rsidRPr="00E24075">
              <w:t>increase in the number of inappropriate conduct incidents that do not constitute an offence in the National Law</w:t>
            </w:r>
            <w:r w:rsidRPr="00CB24A3">
              <w:t>.</w:t>
            </w:r>
          </w:p>
          <w:p w14:paraId="52BFC5DD" w14:textId="77777777" w:rsidR="00B11DFB" w:rsidRPr="000B4397" w:rsidRDefault="00B11DFB">
            <w:pPr>
              <w:spacing w:before="120"/>
              <w:contextualSpacing/>
              <w:rPr>
                <w:i/>
                <w:szCs w:val="20"/>
              </w:rPr>
            </w:pPr>
            <w:r w:rsidRPr="002B7C48">
              <w:rPr>
                <w:i/>
                <w:szCs w:val="20"/>
              </w:rPr>
              <w:t>Impacts of each option</w:t>
            </w:r>
          </w:p>
          <w:p w14:paraId="1148E513" w14:textId="77777777" w:rsidR="002A7240" w:rsidRPr="000B4397" w:rsidRDefault="00B11DFB" w:rsidP="00B10FD1">
            <w:pPr>
              <w:pStyle w:val="ListParagraph"/>
              <w:rPr>
                <w:szCs w:val="20"/>
              </w:rPr>
            </w:pPr>
            <w:r w:rsidRPr="00044913">
              <w:rPr>
                <w:szCs w:val="20"/>
              </w:rPr>
              <w:t xml:space="preserve">The MCA analysis shows that </w:t>
            </w:r>
            <w:r w:rsidR="009729B8" w:rsidRPr="00044913">
              <w:rPr>
                <w:szCs w:val="20"/>
              </w:rPr>
              <w:t xml:space="preserve">both options 2 </w:t>
            </w:r>
            <w:r w:rsidR="002A7240">
              <w:rPr>
                <w:szCs w:val="20"/>
              </w:rPr>
              <w:t xml:space="preserve">(non-regulatory guidance) </w:t>
            </w:r>
            <w:r w:rsidR="002A7240" w:rsidRPr="00044913">
              <w:rPr>
                <w:szCs w:val="20"/>
              </w:rPr>
              <w:t xml:space="preserve">and 3 </w:t>
            </w:r>
            <w:r w:rsidR="002A7240">
              <w:rPr>
                <w:szCs w:val="20"/>
              </w:rPr>
              <w:t>(making inappropriate conduct an offence)</w:t>
            </w:r>
            <w:r w:rsidR="009729B8" w:rsidRPr="00044913">
              <w:rPr>
                <w:szCs w:val="20"/>
              </w:rPr>
              <w:t xml:space="preserve"> represent an improvement on the status quo (option 1), due to the improvement in child safety outcomes offsetting potential costs of the proposed options.</w:t>
            </w:r>
            <w:r w:rsidR="00044913">
              <w:rPr>
                <w:szCs w:val="20"/>
              </w:rPr>
              <w:t xml:space="preserve"> </w:t>
            </w:r>
            <w:r w:rsidR="002A7240" w:rsidRPr="00044913">
              <w:rPr>
                <w:szCs w:val="20"/>
              </w:rPr>
              <w:t>Option 3 resulted in the highest weighted MCA score, indicating this option results in the greatest improvement in child safety outcomes, relative to the costs and other potential negative impacts.</w:t>
            </w:r>
          </w:p>
          <w:p w14:paraId="3488C446" w14:textId="233953CC" w:rsidR="002A7240" w:rsidRPr="000F4A52" w:rsidRDefault="002A7240" w:rsidP="00B10FD1">
            <w:pPr>
              <w:pStyle w:val="ListParagraph"/>
              <w:rPr>
                <w:szCs w:val="20"/>
              </w:rPr>
            </w:pPr>
            <w:r w:rsidRPr="000F4A52">
              <w:rPr>
                <w:szCs w:val="20"/>
              </w:rPr>
              <w:t xml:space="preserve">Option </w:t>
            </w:r>
            <w:r>
              <w:rPr>
                <w:szCs w:val="20"/>
              </w:rPr>
              <w:t>3</w:t>
            </w:r>
            <w:r w:rsidRPr="000F4A52">
              <w:rPr>
                <w:szCs w:val="20"/>
              </w:rPr>
              <w:t xml:space="preserve"> was the </w:t>
            </w:r>
            <w:r w:rsidR="00BF7E16">
              <w:rPr>
                <w:szCs w:val="20"/>
              </w:rPr>
              <w:t>preferred</w:t>
            </w:r>
            <w:r w:rsidRPr="000F4A52">
              <w:rPr>
                <w:szCs w:val="20"/>
              </w:rPr>
              <w:t xml:space="preserve"> option among most stakeholder groups, including centre-based approved providers, the </w:t>
            </w:r>
            <w:r w:rsidR="00014AC2">
              <w:rPr>
                <w:szCs w:val="20"/>
              </w:rPr>
              <w:t>education and care</w:t>
            </w:r>
            <w:r w:rsidRPr="000F4A52">
              <w:rPr>
                <w:szCs w:val="20"/>
              </w:rPr>
              <w:t xml:space="preserve"> workforce</w:t>
            </w:r>
            <w:r>
              <w:rPr>
                <w:szCs w:val="20"/>
              </w:rPr>
              <w:t xml:space="preserve"> and </w:t>
            </w:r>
            <w:r w:rsidRPr="000F4A52">
              <w:rPr>
                <w:szCs w:val="20"/>
              </w:rPr>
              <w:t xml:space="preserve">families. </w:t>
            </w:r>
          </w:p>
          <w:p w14:paraId="7DDE7802" w14:textId="77777777" w:rsidR="002A7240" w:rsidRPr="00C44DEA" w:rsidRDefault="002A7240" w:rsidP="00B10FD1">
            <w:pPr>
              <w:pStyle w:val="ListParagraph"/>
              <w:rPr>
                <w:szCs w:val="20"/>
              </w:rPr>
            </w:pPr>
            <w:r>
              <w:rPr>
                <w:szCs w:val="20"/>
              </w:rPr>
              <w:t>Option</w:t>
            </w:r>
            <w:r w:rsidRPr="000D3C24">
              <w:rPr>
                <w:szCs w:val="20"/>
              </w:rPr>
              <w:t xml:space="preserve"> </w:t>
            </w:r>
            <w:r>
              <w:rPr>
                <w:szCs w:val="20"/>
              </w:rPr>
              <w:t>2</w:t>
            </w:r>
            <w:r w:rsidRPr="000D3C24">
              <w:rPr>
                <w:szCs w:val="20"/>
              </w:rPr>
              <w:t xml:space="preserve"> receive</w:t>
            </w:r>
            <w:r>
              <w:rPr>
                <w:szCs w:val="20"/>
              </w:rPr>
              <w:t>d</w:t>
            </w:r>
            <w:r w:rsidRPr="000D3C24">
              <w:rPr>
                <w:szCs w:val="20"/>
              </w:rPr>
              <w:t xml:space="preserve"> a lower weighted score than option </w:t>
            </w:r>
            <w:r>
              <w:rPr>
                <w:szCs w:val="20"/>
              </w:rPr>
              <w:t>3,</w:t>
            </w:r>
            <w:r w:rsidRPr="000D3C24">
              <w:rPr>
                <w:szCs w:val="20"/>
              </w:rPr>
              <w:t xml:space="preserve"> reflecting </w:t>
            </w:r>
            <w:r>
              <w:rPr>
                <w:szCs w:val="20"/>
              </w:rPr>
              <w:t xml:space="preserve">the costs incurred by governments in developing communication materials and resources, and the costs incurred by providers in additional administrative responsibilities. </w:t>
            </w:r>
          </w:p>
          <w:p w14:paraId="54A37CA7" w14:textId="7770EA7B" w:rsidR="00B11DFB" w:rsidRPr="00712583" w:rsidRDefault="004C5562">
            <w:pPr>
              <w:rPr>
                <w:szCs w:val="22"/>
              </w:rPr>
            </w:pPr>
            <w:r>
              <w:rPr>
                <w:i/>
                <w:szCs w:val="22"/>
              </w:rPr>
              <w:t>Recommended option</w:t>
            </w:r>
          </w:p>
          <w:p w14:paraId="28CC9B72" w14:textId="0DB6FD96" w:rsidR="007049E0" w:rsidRPr="00AC6644" w:rsidRDefault="007049E0" w:rsidP="007049E0">
            <w:pPr>
              <w:pStyle w:val="ListParagraph"/>
            </w:pPr>
            <w:r w:rsidRPr="00EF6FD9">
              <w:rPr>
                <w:szCs w:val="20"/>
              </w:rPr>
              <w:t xml:space="preserve">Based on analysis included in this DRIS, the options with the highest net benefit to be provided to Education Ministers for consideration </w:t>
            </w:r>
            <w:r>
              <w:rPr>
                <w:szCs w:val="20"/>
              </w:rPr>
              <w:t xml:space="preserve">are </w:t>
            </w:r>
            <w:r>
              <w:t>o</w:t>
            </w:r>
            <w:r w:rsidRPr="00AC6644">
              <w:t>ption</w:t>
            </w:r>
            <w:r>
              <w:t>s 2 and</w:t>
            </w:r>
            <w:r w:rsidR="00F61E42">
              <w:t xml:space="preserve"> 3</w:t>
            </w:r>
            <w:r w:rsidRPr="00AC6644">
              <w:t>. This is on the basis that th</w:t>
            </w:r>
            <w:r>
              <w:t>ese</w:t>
            </w:r>
            <w:r w:rsidRPr="00AC6644">
              <w:t xml:space="preserve"> option</w:t>
            </w:r>
            <w:r>
              <w:t>s</w:t>
            </w:r>
            <w:r w:rsidRPr="00AC6644">
              <w:t xml:space="preserve"> </w:t>
            </w:r>
            <w:r>
              <w:t>would</w:t>
            </w:r>
            <w:r w:rsidRPr="00AC6644">
              <w:t xml:space="preserve"> most improve child safety by strengthening the responses </w:t>
            </w:r>
            <w:r>
              <w:t xml:space="preserve">available for </w:t>
            </w:r>
            <w:r w:rsidRPr="00AC6644">
              <w:t>inappropriate conduct.</w:t>
            </w:r>
          </w:p>
          <w:p w14:paraId="22E70C35" w14:textId="1F5413BE" w:rsidR="00B11DFB" w:rsidRPr="00397987" w:rsidRDefault="00B10FD1" w:rsidP="00B10FD1">
            <w:pPr>
              <w:pStyle w:val="ListParagraph"/>
            </w:pPr>
            <w:r>
              <w:t>G</w:t>
            </w:r>
            <w:r w:rsidRPr="00AC7B62">
              <w:t xml:space="preserve">overnments will seek to engage </w:t>
            </w:r>
            <w:r w:rsidR="00795436">
              <w:t xml:space="preserve">in </w:t>
            </w:r>
            <w:r w:rsidRPr="00AC7B62">
              <w:t xml:space="preserve">further </w:t>
            </w:r>
            <w:r w:rsidR="00795436">
              <w:t>policy work</w:t>
            </w:r>
            <w:r w:rsidRPr="00AC7B62">
              <w:t xml:space="preserve"> </w:t>
            </w:r>
            <w:r>
              <w:t>to</w:t>
            </w:r>
            <w:r w:rsidRPr="00AC7B62">
              <w:t xml:space="preserve"> </w:t>
            </w:r>
            <w:r w:rsidR="004803B8">
              <w:t>determine</w:t>
            </w:r>
            <w:r w:rsidR="004803B8" w:rsidRPr="00AC7B62">
              <w:t xml:space="preserve"> </w:t>
            </w:r>
            <w:r w:rsidRPr="00AC7B62">
              <w:t xml:space="preserve">the specific definition and design of </w:t>
            </w:r>
            <w:r>
              <w:t>the</w:t>
            </w:r>
            <w:r w:rsidRPr="00AC7B62">
              <w:t xml:space="preserve"> legislative </w:t>
            </w:r>
            <w:r>
              <w:t>amendment</w:t>
            </w:r>
            <w:r w:rsidRPr="00AC7B62">
              <w:t xml:space="preserve"> to </w:t>
            </w:r>
            <w:r>
              <w:t>pr</w:t>
            </w:r>
            <w:r w:rsidR="00097C5E">
              <w:t>e</w:t>
            </w:r>
            <w:r>
              <w:t>scribe</w:t>
            </w:r>
            <w:r w:rsidRPr="00AC7B62">
              <w:t xml:space="preserve"> inappropriate conduct as an offence</w:t>
            </w:r>
            <w:r>
              <w:t>.</w:t>
            </w:r>
          </w:p>
        </w:tc>
      </w:tr>
    </w:tbl>
    <w:p w14:paraId="199ED12E" w14:textId="77777777" w:rsidR="00B11DFB" w:rsidRDefault="00B11DFB" w:rsidP="006C2349"/>
    <w:p w14:paraId="7B4AEBB9" w14:textId="589CAC8A" w:rsidR="0063045D" w:rsidRDefault="006C2349" w:rsidP="006C2349">
      <w:r>
        <w:t>There are instances where a staff member, volunteer or FDC educator has behaved in a way that is serious, inappropriate and requires Regulatory Authority intervention, is not captured under the National Law offence of inappropriate discipline</w:t>
      </w:r>
      <w:r>
        <w:rPr>
          <w:i/>
          <w:iCs/>
        </w:rPr>
        <w:t>.</w:t>
      </w:r>
      <w:bookmarkStart w:id="99" w:name="_Hlk205282333"/>
      <w:r>
        <w:rPr>
          <w:i/>
          <w:iCs/>
        </w:rPr>
        <w:t xml:space="preserve"> </w:t>
      </w:r>
      <w:r w:rsidR="00A57470">
        <w:t xml:space="preserve">A draft </w:t>
      </w:r>
      <w:r w:rsidR="005A1D9A">
        <w:t>definition of inappropriate conduct was</w:t>
      </w:r>
      <w:r w:rsidR="00450696">
        <w:t xml:space="preserve"> set out in the CRIS and consulted on</w:t>
      </w:r>
      <w:r w:rsidR="00EA4CD7">
        <w:t>. F</w:t>
      </w:r>
      <w:r w:rsidR="001B2C9F">
        <w:t xml:space="preserve">eedback was received </w:t>
      </w:r>
      <w:r w:rsidR="001B2C9F">
        <w:lastRenderedPageBreak/>
        <w:t xml:space="preserve">that a legislated definition </w:t>
      </w:r>
      <w:r w:rsidR="00313F50">
        <w:t xml:space="preserve">should include a </w:t>
      </w:r>
      <w:r w:rsidR="0042405B">
        <w:t>refined list of proposed</w:t>
      </w:r>
      <w:r w:rsidR="00313F50">
        <w:t xml:space="preserve"> offences</w:t>
      </w:r>
      <w:r w:rsidR="005F0618">
        <w:t>, which will be determined following further policy work</w:t>
      </w:r>
      <w:bookmarkEnd w:id="99"/>
      <w:r w:rsidR="005F0618">
        <w:t>.</w:t>
      </w:r>
      <w:r w:rsidR="00D116EF">
        <w:t>T</w:t>
      </w:r>
      <w:r w:rsidR="000B759F">
        <w:t xml:space="preserve">his list should reduce </w:t>
      </w:r>
      <w:r w:rsidR="00D34621">
        <w:t>p</w:t>
      </w:r>
      <w:r w:rsidR="0063045D" w:rsidRPr="009826D0">
        <w:t xml:space="preserve">otential overlap between existing offences </w:t>
      </w:r>
      <w:r w:rsidR="0082269D">
        <w:t xml:space="preserve">in other jurisdictions </w:t>
      </w:r>
      <w:r w:rsidR="0063045D" w:rsidRPr="009826D0">
        <w:t>and the definition of inappropriate conduct</w:t>
      </w:r>
      <w:r w:rsidR="0082269D">
        <w:t xml:space="preserve"> that would be in the National Law</w:t>
      </w:r>
      <w:r w:rsidR="0063045D" w:rsidRPr="009826D0">
        <w:t xml:space="preserve"> (with the intent that no act already prescribed as an offence </w:t>
      </w:r>
      <w:r w:rsidR="0082269D">
        <w:t>in other legislation</w:t>
      </w:r>
      <w:r w:rsidR="0082269D" w:rsidRPr="009826D0">
        <w:t xml:space="preserve"> </w:t>
      </w:r>
      <w:r w:rsidR="0063045D" w:rsidRPr="009826D0">
        <w:t xml:space="preserve">would also be prescribed as </w:t>
      </w:r>
      <w:r w:rsidR="0063045D">
        <w:t>a</w:t>
      </w:r>
      <w:r w:rsidR="0063045D" w:rsidRPr="009826D0">
        <w:t>n offence under a definition of inappropriate conduct)</w:t>
      </w:r>
      <w:r w:rsidR="0063045D">
        <w:t>.</w:t>
      </w:r>
    </w:p>
    <w:p w14:paraId="219DB1E6" w14:textId="7FDBB5D9" w:rsidR="006C2349" w:rsidRPr="00CA69D2" w:rsidRDefault="00B534EB" w:rsidP="006C2349">
      <w:r>
        <w:t>This draft definition of inappropriate conduct</w:t>
      </w:r>
      <w:r w:rsidR="000B759F">
        <w:t xml:space="preserve"> shared through CRIS consultation</w:t>
      </w:r>
      <w:r>
        <w:t xml:space="preserve"> included</w:t>
      </w:r>
      <w:r w:rsidR="00CA69D2">
        <w:t xml:space="preserve">, </w:t>
      </w:r>
      <w:r w:rsidR="006C2349">
        <w:t xml:space="preserve">but </w:t>
      </w:r>
      <w:r w:rsidR="00CA69D2">
        <w:t>was not</w:t>
      </w:r>
      <w:r w:rsidR="006C2349">
        <w:t xml:space="preserve"> limited to</w:t>
      </w:r>
      <w:r w:rsidR="00E91B6E">
        <w:t xml:space="preserve"> one or more</w:t>
      </w:r>
      <w:r w:rsidR="006C2349">
        <w:t>:</w:t>
      </w:r>
    </w:p>
    <w:p w14:paraId="39BE81EC" w14:textId="5AB95A1C" w:rsidR="006C2349" w:rsidRDefault="009F4328" w:rsidP="00EC53AB">
      <w:pPr>
        <w:pStyle w:val="ListParagraph"/>
        <w:numPr>
          <w:ilvl w:val="0"/>
          <w:numId w:val="12"/>
        </w:numPr>
        <w:ind w:left="426"/>
      </w:pPr>
      <w:r>
        <w:t>A</w:t>
      </w:r>
      <w:r w:rsidR="006C2349" w:rsidRPr="00D067BB">
        <w:t xml:space="preserve"> child sexual offence</w:t>
      </w:r>
      <w:r>
        <w:t>.</w:t>
      </w:r>
    </w:p>
    <w:p w14:paraId="5C8B0B81" w14:textId="356FB7AE" w:rsidR="006C2349" w:rsidRDefault="009F4328" w:rsidP="00EC53AB">
      <w:pPr>
        <w:pStyle w:val="ListParagraph"/>
        <w:numPr>
          <w:ilvl w:val="0"/>
          <w:numId w:val="12"/>
        </w:numPr>
        <w:ind w:left="426"/>
      </w:pPr>
      <w:r>
        <w:t>S</w:t>
      </w:r>
      <w:r w:rsidR="006C2349">
        <w:t>exual misconduct committed in relation to, or in the presence of a child, including verbal discussions, flirtatious gestures and comments</w:t>
      </w:r>
      <w:r>
        <w:t>.</w:t>
      </w:r>
    </w:p>
    <w:p w14:paraId="5D454CB9" w14:textId="34A609C1" w:rsidR="006C2349" w:rsidRDefault="009F4328" w:rsidP="00EC53AB">
      <w:pPr>
        <w:pStyle w:val="ListParagraph"/>
        <w:numPr>
          <w:ilvl w:val="0"/>
          <w:numId w:val="12"/>
        </w:numPr>
        <w:ind w:left="426"/>
      </w:pPr>
      <w:r>
        <w:t>I</w:t>
      </w:r>
      <w:r w:rsidR="006C2349">
        <w:t>nappropriate verbal interactions, that is, conversations with, or comments to children or conversations in the presence of children in relation to sexuality or sexual contact, including excessive flattering, conversations of a sexual nature, making sexual jokes or evoking children’s curiosity about sexuality</w:t>
      </w:r>
      <w:r>
        <w:t>.</w:t>
      </w:r>
    </w:p>
    <w:p w14:paraId="469D2E85" w14:textId="4B034DD3" w:rsidR="006C2349" w:rsidRDefault="009F4328" w:rsidP="00EC53AB">
      <w:pPr>
        <w:pStyle w:val="ListParagraph"/>
        <w:numPr>
          <w:ilvl w:val="0"/>
          <w:numId w:val="12"/>
        </w:numPr>
        <w:ind w:left="426"/>
      </w:pPr>
      <w:r>
        <w:t>I</w:t>
      </w:r>
      <w:r w:rsidR="006C2349" w:rsidRPr="00C52508">
        <w:t>ll-treatment of a child</w:t>
      </w:r>
      <w:r>
        <w:t>.</w:t>
      </w:r>
    </w:p>
    <w:p w14:paraId="170E91F0" w14:textId="5F3C8147" w:rsidR="006C2349" w:rsidRDefault="009F4328" w:rsidP="00EC53AB">
      <w:pPr>
        <w:pStyle w:val="ListParagraph"/>
        <w:numPr>
          <w:ilvl w:val="0"/>
          <w:numId w:val="12"/>
        </w:numPr>
        <w:ind w:left="426"/>
      </w:pPr>
      <w:r>
        <w:t>N</w:t>
      </w:r>
      <w:r w:rsidR="006C2349" w:rsidRPr="00393EBA">
        <w:t>eglect of a child</w:t>
      </w:r>
      <w:r>
        <w:t>.</w:t>
      </w:r>
    </w:p>
    <w:p w14:paraId="25017410" w14:textId="208C63EE" w:rsidR="006C2349" w:rsidRDefault="009F4328" w:rsidP="00EC53AB">
      <w:pPr>
        <w:pStyle w:val="ListParagraph"/>
        <w:numPr>
          <w:ilvl w:val="0"/>
          <w:numId w:val="12"/>
        </w:numPr>
        <w:ind w:left="426"/>
      </w:pPr>
      <w:r>
        <w:t>P</w:t>
      </w:r>
      <w:r w:rsidR="006C2349">
        <w:t>hysical or verbal violence (including threats) committed in relation to, or in the presence of a child</w:t>
      </w:r>
      <w:r>
        <w:t>.</w:t>
      </w:r>
    </w:p>
    <w:p w14:paraId="43CE556A" w14:textId="3CCF8B1B" w:rsidR="006C2349" w:rsidRDefault="009F4328" w:rsidP="00EC53AB">
      <w:pPr>
        <w:pStyle w:val="ListParagraph"/>
        <w:numPr>
          <w:ilvl w:val="0"/>
          <w:numId w:val="12"/>
        </w:numPr>
        <w:ind w:left="426"/>
      </w:pPr>
      <w:r>
        <w:t>B</w:t>
      </w:r>
      <w:r w:rsidR="006C2349" w:rsidRPr="00DA7652">
        <w:t>ehaviour that is likely to cause emotional or psychological harm to a child</w:t>
      </w:r>
      <w:r>
        <w:t>.</w:t>
      </w:r>
    </w:p>
    <w:p w14:paraId="5DAFA7E9" w14:textId="1F922936" w:rsidR="006C2349" w:rsidRDefault="009F4328" w:rsidP="00EC53AB">
      <w:pPr>
        <w:pStyle w:val="ListParagraph"/>
        <w:numPr>
          <w:ilvl w:val="0"/>
          <w:numId w:val="12"/>
        </w:numPr>
        <w:ind w:left="426"/>
      </w:pPr>
      <w:r>
        <w:t>A</w:t>
      </w:r>
      <w:r w:rsidR="006C2349">
        <w:t>ny form of inappropriate physical contact. For example, unwarranted, invasive, or unnecessary for the child’s age and developmental stage, such as kissing, massage, ‘tickling games’, inappropriate touching)</w:t>
      </w:r>
      <w:r>
        <w:t>.</w:t>
      </w:r>
    </w:p>
    <w:p w14:paraId="36C97EC5" w14:textId="54A71946" w:rsidR="006C2349" w:rsidRDefault="009F4328" w:rsidP="00EC53AB">
      <w:pPr>
        <w:pStyle w:val="ListParagraph"/>
        <w:numPr>
          <w:ilvl w:val="0"/>
          <w:numId w:val="12"/>
        </w:numPr>
        <w:ind w:left="426"/>
      </w:pPr>
      <w:r>
        <w:t>A</w:t>
      </w:r>
      <w:r w:rsidR="006C2349">
        <w:t>ny form of inappropriate online contact or online harm. For example, exposing children to sexual or violent content inappropriate for their age and stage of development, and technology-facilitated abuse</w:t>
      </w:r>
      <w:r>
        <w:t>.</w:t>
      </w:r>
    </w:p>
    <w:p w14:paraId="6B111F55" w14:textId="66EC702C" w:rsidR="006C2349" w:rsidRDefault="009F4328" w:rsidP="00EC53AB">
      <w:pPr>
        <w:pStyle w:val="ListParagraph"/>
        <w:numPr>
          <w:ilvl w:val="0"/>
          <w:numId w:val="12"/>
        </w:numPr>
        <w:ind w:left="426"/>
      </w:pPr>
      <w:r>
        <w:t>C</w:t>
      </w:r>
      <w:r w:rsidR="006C2349">
        <w:t>orrespondence, communication of a personal nature or capturing of images of children via any medium (phone, text message, social media, within apps, internet postings) unrelated to the staff members role or endorsed communication channels</w:t>
      </w:r>
      <w:r>
        <w:t>.</w:t>
      </w:r>
    </w:p>
    <w:p w14:paraId="0AEC02EF" w14:textId="478F1130" w:rsidR="006C2349" w:rsidRDefault="009F4328" w:rsidP="00EC53AB">
      <w:pPr>
        <w:pStyle w:val="ListParagraph"/>
        <w:numPr>
          <w:ilvl w:val="0"/>
          <w:numId w:val="12"/>
        </w:numPr>
        <w:ind w:left="426"/>
      </w:pPr>
      <w:r>
        <w:t>M</w:t>
      </w:r>
      <w:r w:rsidR="006C2349">
        <w:t>anipulating or coercing a child emotionally to meet the educator’s personal needs or to create inappropriate dependencies</w:t>
      </w:r>
      <w:r>
        <w:t>.</w:t>
      </w:r>
    </w:p>
    <w:p w14:paraId="1B393277" w14:textId="569339B3" w:rsidR="006C2349" w:rsidRDefault="009F4328" w:rsidP="00EC53AB">
      <w:pPr>
        <w:pStyle w:val="ListParagraph"/>
        <w:numPr>
          <w:ilvl w:val="0"/>
          <w:numId w:val="12"/>
        </w:numPr>
        <w:ind w:left="426"/>
      </w:pPr>
      <w:r>
        <w:lastRenderedPageBreak/>
        <w:t>G</w:t>
      </w:r>
      <w:r w:rsidR="006C2349">
        <w:t>rooming, being any form of conduct, online or offline, that facilitates child sexual abuse. For example, making a child feel special through favouritism or special privileges and rewards or receiving / giving gifts of an inappropriate nature.</w:t>
      </w:r>
    </w:p>
    <w:p w14:paraId="7C51B613" w14:textId="2ADC3F4B" w:rsidR="006C2349" w:rsidRDefault="006C2349" w:rsidP="006C2349">
      <w:r>
        <w:t xml:space="preserve">The list of abovementioned behaviours </w:t>
      </w:r>
      <w:r w:rsidR="00CA69D2">
        <w:t>was</w:t>
      </w:r>
      <w:r>
        <w:t xml:space="preserve"> informed by key academics in the child safety and harm prevention field; as well as the Regulatory Authority from each jurisdiction, who keep records of contraventions and alleged contraventions of the National Law and reports of conduct that may not meet the threshold for prohibition.</w:t>
      </w:r>
    </w:p>
    <w:p w14:paraId="65C2F59B" w14:textId="630BF1B9" w:rsidR="006C2349" w:rsidRDefault="00A715EB" w:rsidP="006C2349">
      <w:r>
        <w:t>Persons displaying s</w:t>
      </w:r>
      <w:r w:rsidR="006C2349">
        <w:t xml:space="preserve">ome of the behaviours listed above, such as conduct amounting to child sexual offences, would </w:t>
      </w:r>
      <w:r>
        <w:t>meet</w:t>
      </w:r>
      <w:r w:rsidR="0033376E">
        <w:t xml:space="preserve"> </w:t>
      </w:r>
      <w:r w:rsidR="006C2349">
        <w:t xml:space="preserve">the threshold for prohibition, namely that </w:t>
      </w:r>
      <w:r w:rsidR="0033376E">
        <w:t xml:space="preserve">the person poses </w:t>
      </w:r>
      <w:r w:rsidR="006C2349">
        <w:t>an unacceptable risk of harm to a child or children</w:t>
      </w:r>
      <w:r w:rsidR="006C2349">
        <w:rPr>
          <w:rStyle w:val="FootnoteReference"/>
        </w:rPr>
        <w:footnoteReference w:id="89"/>
      </w:r>
      <w:r w:rsidR="006C2349">
        <w:t xml:space="preserve">. In those instances, the Regulatory Authority is able to prohibit a person </w:t>
      </w:r>
      <w:r w:rsidR="00B65D97">
        <w:t>even when they have not contravened</w:t>
      </w:r>
      <w:r w:rsidR="006C2349">
        <w:t xml:space="preserve"> the National Law (although they are likely to be offences in criminal law). However, </w:t>
      </w:r>
      <w:r w:rsidR="00B67569">
        <w:t>a person displaying some of</w:t>
      </w:r>
      <w:r w:rsidR="006C2349">
        <w:t xml:space="preserve"> the behaviours listed above may </w:t>
      </w:r>
      <w:r w:rsidR="00B67569">
        <w:t xml:space="preserve">not </w:t>
      </w:r>
      <w:r w:rsidR="006C2349">
        <w:t xml:space="preserve">necessarily </w:t>
      </w:r>
      <w:r w:rsidR="00B67569">
        <w:t>meet</w:t>
      </w:r>
      <w:r w:rsidR="0033376E">
        <w:t xml:space="preserve"> </w:t>
      </w:r>
      <w:r w:rsidR="006C2349">
        <w:t xml:space="preserve">the threshold for prohibition but could still pose </w:t>
      </w:r>
      <w:r w:rsidR="009D106D">
        <w:t xml:space="preserve">a </w:t>
      </w:r>
      <w:r w:rsidR="006C2349">
        <w:t xml:space="preserve">risk to children and require further investigation if observed and/or reported. </w:t>
      </w:r>
    </w:p>
    <w:p w14:paraId="516C54E8" w14:textId="77777777" w:rsidR="006C2349" w:rsidRDefault="006C2349" w:rsidP="006C2349">
      <w:pPr>
        <w:pStyle w:val="Heading3"/>
      </w:pPr>
      <w:r>
        <w:t>What is the problem?</w:t>
      </w:r>
    </w:p>
    <w:p w14:paraId="515D4898" w14:textId="0FA05170" w:rsidR="00B07BB7" w:rsidRPr="00B07BB7" w:rsidRDefault="002A33EA" w:rsidP="00B07BB7">
      <w:pPr>
        <w:pStyle w:val="Heading4"/>
      </w:pPr>
      <w:r>
        <w:t>Existence</w:t>
      </w:r>
      <w:r w:rsidR="00DC1851">
        <w:t xml:space="preserve"> </w:t>
      </w:r>
      <w:r w:rsidR="00B07BB7">
        <w:t>of inappropriate conduct</w:t>
      </w:r>
    </w:p>
    <w:p w14:paraId="341F3C1F" w14:textId="3447ABD6" w:rsidR="006C2349" w:rsidRDefault="008948CB" w:rsidP="006C2349">
      <w:r>
        <w:t>T</w:t>
      </w:r>
      <w:r w:rsidR="006C2349">
        <w:t xml:space="preserve">he survey indicates that </w:t>
      </w:r>
      <w:r w:rsidR="00E50F7F">
        <w:t>respondents had hear</w:t>
      </w:r>
      <w:r w:rsidR="00A345A7">
        <w:t>d</w:t>
      </w:r>
      <w:r w:rsidR="00E50F7F">
        <w:t xml:space="preserve"> about</w:t>
      </w:r>
      <w:r w:rsidR="006C2349">
        <w:t xml:space="preserve"> inappropriate conduct </w:t>
      </w:r>
      <w:r w:rsidR="00B07BB7">
        <w:t xml:space="preserve">(as defined </w:t>
      </w:r>
      <w:r w:rsidR="00900D0F">
        <w:t xml:space="preserve">above) </w:t>
      </w:r>
      <w:r w:rsidR="006C2349">
        <w:t xml:space="preserve">in the sector. The survey </w:t>
      </w:r>
      <w:r w:rsidR="00F713AC">
        <w:t>showed</w:t>
      </w:r>
      <w:r w:rsidR="006C2349">
        <w:t xml:space="preserve"> that</w:t>
      </w:r>
      <w:r w:rsidR="006C2349" w:rsidRPr="00530970">
        <w:t xml:space="preserve"> </w:t>
      </w:r>
      <w:r w:rsidR="006C2349" w:rsidRPr="0084106A">
        <w:t>68%</w:t>
      </w:r>
      <w:r w:rsidR="00AB3A29">
        <w:rPr>
          <w:rStyle w:val="FootnoteReference"/>
        </w:rPr>
        <w:footnoteReference w:id="90"/>
      </w:r>
      <w:r w:rsidR="006C2349">
        <w:t xml:space="preserve"> of approved providers reported hearing about inappropriate conduct a</w:t>
      </w:r>
      <w:r w:rsidR="00B36E5F">
        <w:t>t</w:t>
      </w:r>
      <w:r w:rsidR="006C2349">
        <w:t xml:space="preserve"> least once a year (refer to Chart 7.1). </w:t>
      </w:r>
      <w:r w:rsidR="008F09CB">
        <w:t>In comparison</w:t>
      </w:r>
      <w:r w:rsidR="00D5028A">
        <w:t>, t</w:t>
      </w:r>
      <w:r w:rsidR="007E19A1">
        <w:t xml:space="preserve">he </w:t>
      </w:r>
      <w:r w:rsidR="00D5028A">
        <w:t xml:space="preserve">education and care workforce survey found that 30% of respondents heard about </w:t>
      </w:r>
      <w:r w:rsidR="00995684">
        <w:t>reports of inappropriate conduct at least once a year</w:t>
      </w:r>
      <w:r w:rsidR="005C3A2B">
        <w:t xml:space="preserve"> </w:t>
      </w:r>
      <w:r w:rsidR="00531C00">
        <w:t>(</w:t>
      </w:r>
      <w:r w:rsidR="005C3A2B">
        <w:t>s</w:t>
      </w:r>
      <w:r w:rsidR="00A57024">
        <w:t xml:space="preserve">ee Appendix </w:t>
      </w:r>
      <w:r w:rsidR="00D908FF">
        <w:t>Chart</w:t>
      </w:r>
      <w:r w:rsidR="00A57024">
        <w:t xml:space="preserve"> 12.3.3</w:t>
      </w:r>
      <w:r w:rsidR="00D908FF">
        <w:t>.17</w:t>
      </w:r>
      <w:r w:rsidR="00A57024">
        <w:t>).</w:t>
      </w:r>
    </w:p>
    <w:p w14:paraId="38AE1EAD" w14:textId="428F295C" w:rsidR="003951E5" w:rsidRDefault="003951E5" w:rsidP="006C2349">
      <w:r>
        <w:t xml:space="preserve">It should be </w:t>
      </w:r>
      <w:r w:rsidR="00391D43">
        <w:t xml:space="preserve">emphasised </w:t>
      </w:r>
      <w:r>
        <w:t xml:space="preserve">that while many approved providers and members of the workforce indicated they hear about inappropriate conduct, this </w:t>
      </w:r>
      <w:r w:rsidR="00391D43">
        <w:t xml:space="preserve">does </w:t>
      </w:r>
      <w:r>
        <w:t xml:space="preserve">not always </w:t>
      </w:r>
      <w:r w:rsidR="00391D43">
        <w:t>necessarily mean that the inappropriate conduct is</w:t>
      </w:r>
      <w:r>
        <w:t xml:space="preserve"> occurring in survey’s respondents’ services. </w:t>
      </w:r>
      <w:r w:rsidR="0046230F">
        <w:t>Many survey respondents indicated they hear</w:t>
      </w:r>
      <w:r w:rsidR="00391D43">
        <w:t>d</w:t>
      </w:r>
      <w:r w:rsidR="0046230F">
        <w:t xml:space="preserve"> about inappropriate conduct through the media. </w:t>
      </w:r>
    </w:p>
    <w:p w14:paraId="49F02112" w14:textId="146D50F3" w:rsidR="0046230F" w:rsidRPr="00403D80" w:rsidRDefault="0046230F" w:rsidP="0046230F">
      <w:pPr>
        <w:pStyle w:val="Quote1"/>
      </w:pPr>
      <w:r w:rsidRPr="00403D80">
        <w:t>“I haven't observed inappropriate conduct, I've heard about it occurring in the media”</w:t>
      </w:r>
      <w:r w:rsidR="00403D80" w:rsidRPr="00403D80">
        <w:t xml:space="preserve"> – </w:t>
      </w:r>
      <w:r w:rsidR="00111331">
        <w:t>Approved provider</w:t>
      </w:r>
      <w:r w:rsidR="00331E0D">
        <w:t xml:space="preserve"> survey</w:t>
      </w:r>
      <w:r w:rsidR="005E60A5">
        <w:t xml:space="preserve"> </w:t>
      </w:r>
      <w:r w:rsidR="005E60A5" w:rsidRPr="005E60A5">
        <w:rPr>
          <w:lang w:val="en-AU"/>
        </w:rPr>
        <w:t>response</w:t>
      </w:r>
    </w:p>
    <w:p w14:paraId="1C317BBE" w14:textId="40C7347F" w:rsidR="0046230F" w:rsidRPr="00403D80" w:rsidRDefault="0046230F" w:rsidP="0046230F">
      <w:pPr>
        <w:pStyle w:val="Quote1"/>
      </w:pPr>
      <w:r w:rsidRPr="00403D80">
        <w:lastRenderedPageBreak/>
        <w:t>“We regularly hear reports from industry engagement, news reports etc. We have no formal contact with staff who report these issues.”</w:t>
      </w:r>
      <w:r w:rsidR="00403D80" w:rsidRPr="00403D80">
        <w:t xml:space="preserve"> – </w:t>
      </w:r>
      <w:r w:rsidR="00111331">
        <w:rPr>
          <w:lang w:val="en-AU"/>
        </w:rPr>
        <w:t>Approved provider</w:t>
      </w:r>
      <w:r w:rsidR="00331E0D" w:rsidRPr="00331E0D">
        <w:rPr>
          <w:lang w:val="en-AU"/>
        </w:rPr>
        <w:t xml:space="preserve"> survey</w:t>
      </w:r>
      <w:r w:rsidR="005E60A5">
        <w:rPr>
          <w:lang w:val="en-AU"/>
        </w:rPr>
        <w:t xml:space="preserve"> </w:t>
      </w:r>
      <w:r w:rsidR="005E60A5" w:rsidRPr="005E60A5">
        <w:rPr>
          <w:lang w:val="en-AU"/>
        </w:rPr>
        <w:t>response</w:t>
      </w:r>
    </w:p>
    <w:p w14:paraId="490EEAA0" w14:textId="77777777" w:rsidR="0046230F" w:rsidRDefault="0046230F" w:rsidP="006C2349">
      <w:pPr>
        <w:rPr>
          <w:highlight w:val="lightGray"/>
        </w:rPr>
      </w:pPr>
    </w:p>
    <w:p w14:paraId="2A01ACEF" w14:textId="4357AFF6" w:rsidR="006C2349" w:rsidRDefault="006C2349" w:rsidP="006C2349">
      <w:pPr>
        <w:pStyle w:val="Caption"/>
      </w:pPr>
      <w:bookmarkStart w:id="100" w:name="_Toc201934894"/>
      <w:bookmarkStart w:id="101" w:name="_Toc205884948"/>
      <w:r w:rsidRPr="00447484">
        <w:t>Chart 7.1: Approved</w:t>
      </w:r>
      <w:r w:rsidRPr="00165979">
        <w:t xml:space="preserve"> provider responses to “</w:t>
      </w:r>
      <w:r>
        <w:t>How often do you hear about reports of inappropriate conduct?”</w:t>
      </w:r>
      <w:bookmarkEnd w:id="100"/>
      <w:bookmarkEnd w:id="101"/>
    </w:p>
    <w:p w14:paraId="29DC8413" w14:textId="641A90CD" w:rsidR="006C2349" w:rsidRDefault="006C2349" w:rsidP="006C2349">
      <w:r>
        <w:rPr>
          <w:noProof/>
          <w14:ligatures w14:val="standardContextual"/>
        </w:rPr>
        <w:drawing>
          <wp:inline distT="0" distB="0" distL="0" distR="0" wp14:anchorId="44234477" wp14:editId="05C5A783">
            <wp:extent cx="5734050" cy="2009775"/>
            <wp:effectExtent l="0" t="0" r="0" b="0"/>
            <wp:docPr id="1477617426" name="Chart 1" descr="Chart outlining approved provider responses to the survey question &quot;How often do you hear about reports of inappropriate conduct?&quot;">
              <a:extLst xmlns:a="http://schemas.openxmlformats.org/drawingml/2006/main">
                <a:ext uri="{FF2B5EF4-FFF2-40B4-BE49-F238E27FC236}">
                  <a16:creationId xmlns:a16="http://schemas.microsoft.com/office/drawing/2014/main" id="{8899C57D-C13B-44C4-9B85-F4B46A6134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3704C72" w14:textId="57225413" w:rsidR="006C2349" w:rsidRPr="00636B94" w:rsidRDefault="006C2349" w:rsidP="00CB26FA">
      <w:pPr>
        <w:pStyle w:val="Source-CSR"/>
      </w:pPr>
      <w:r w:rsidRPr="00134058">
        <w:t xml:space="preserve">Source: Approved </w:t>
      </w:r>
      <w:r w:rsidRPr="00636B94">
        <w:t xml:space="preserve">provider survey, as of 11 June 2025, Q145, n=160. </w:t>
      </w:r>
    </w:p>
    <w:p w14:paraId="2EF4CAFE" w14:textId="019703CF" w:rsidR="00937708" w:rsidRPr="00937708" w:rsidRDefault="00937708" w:rsidP="00CB26FA">
      <w:pPr>
        <w:pStyle w:val="Source-CSR"/>
        <w:rPr>
          <w:rFonts w:eastAsia="Calibri" w:cs="Arial"/>
          <w:color w:val="808080" w:themeColor="background1" w:themeShade="80"/>
        </w:rPr>
      </w:pPr>
      <w:r>
        <w:t>Note: Figures may not sum due to rounding.</w:t>
      </w:r>
    </w:p>
    <w:p w14:paraId="101749F7" w14:textId="3C980CE8" w:rsidR="00A43C89" w:rsidRDefault="00957BA0" w:rsidP="00A43C89">
      <w:r>
        <w:t xml:space="preserve">Respondents also reported having heard </w:t>
      </w:r>
      <w:r w:rsidR="003B77FE">
        <w:t>about i</w:t>
      </w:r>
      <w:r w:rsidR="006C2349">
        <w:t xml:space="preserve">nappropriate conduct </w:t>
      </w:r>
      <w:r w:rsidR="006B6A16">
        <w:t>that did not result in a</w:t>
      </w:r>
      <w:r w:rsidR="006C2349">
        <w:t xml:space="preserve"> prohibition. As </w:t>
      </w:r>
      <w:r w:rsidR="006C2349" w:rsidRPr="00D16FDC">
        <w:t xml:space="preserve">shown in Chart 7.2, </w:t>
      </w:r>
      <w:r w:rsidR="006C2349">
        <w:t xml:space="preserve">39% of approved providers reported hearing about inappropriate conduct </w:t>
      </w:r>
      <w:r w:rsidR="006B6A16">
        <w:t xml:space="preserve">that did not result in a prohibition </w:t>
      </w:r>
      <w:r w:rsidR="00CF2C4D">
        <w:rPr>
          <w:szCs w:val="18"/>
        </w:rPr>
        <w:t>(</w:t>
      </w:r>
      <w:r w:rsidR="00927845">
        <w:rPr>
          <w:szCs w:val="18"/>
        </w:rPr>
        <w:t>i.e., it fell below the threshold w</w:t>
      </w:r>
      <w:r w:rsidR="00CF2C4D">
        <w:rPr>
          <w:szCs w:val="18"/>
        </w:rPr>
        <w:t xml:space="preserve">here an individual poses an unacceptable risk of harm to a child or children) </w:t>
      </w:r>
      <w:r w:rsidR="006C2349">
        <w:t xml:space="preserve">at least once a year. </w:t>
      </w:r>
      <w:r w:rsidR="00A43C89">
        <w:t xml:space="preserve">Approved providers indicated that the most common </w:t>
      </w:r>
      <w:r w:rsidR="00ED3CFC">
        <w:t>type of</w:t>
      </w:r>
      <w:r w:rsidR="00A43C89">
        <w:t xml:space="preserve"> inappropriate conduct where the person did not meet the threshold for prohibition</w:t>
      </w:r>
      <w:r w:rsidR="00ED3CFC">
        <w:t xml:space="preserve"> that approved providers had heard about</w:t>
      </w:r>
      <w:r w:rsidR="00A43C89">
        <w:t xml:space="preserve">, was behaviour that is likely to cause emotional or psychological harm to a child (21%), ill-treatment of a child (18%), neglect of a child (11%), or physical or verbal violence (including threats) (11%). </w:t>
      </w:r>
    </w:p>
    <w:p w14:paraId="687D4007" w14:textId="77777777" w:rsidR="00A43C89" w:rsidRPr="00797980" w:rsidRDefault="00A43C89" w:rsidP="00A43C89">
      <w:pPr>
        <w:pStyle w:val="Quote1"/>
      </w:pPr>
      <w:r>
        <w:t>“W</w:t>
      </w:r>
      <w:r w:rsidRPr="00797980">
        <w:t>ith the current qualifications being offered by some RTOs and the lack of prescriptive conduct expectations in the law, there is room for educators to conduct themselves in ways that are not in</w:t>
      </w:r>
      <w:r>
        <w:t xml:space="preserve"> </w:t>
      </w:r>
      <w:r w:rsidRPr="00797980">
        <w:t xml:space="preserve">line with professional conduct expectations, more aligned with </w:t>
      </w:r>
      <w:r>
        <w:t>‘</w:t>
      </w:r>
      <w:r w:rsidRPr="00797980">
        <w:t>old school parenting</w:t>
      </w:r>
      <w:r>
        <w:t>’</w:t>
      </w:r>
      <w:r w:rsidRPr="00797980">
        <w:t xml:space="preserve"> methods.</w:t>
      </w:r>
      <w:r>
        <w:t xml:space="preserve">” – Free text submission response </w:t>
      </w:r>
    </w:p>
    <w:p w14:paraId="280E2855" w14:textId="4A46673E" w:rsidR="00A43C89" w:rsidRPr="00D16FDC" w:rsidRDefault="00A43C89" w:rsidP="00A43C89">
      <w:r>
        <w:t>In comparison, 1</w:t>
      </w:r>
      <w:r w:rsidR="000C3DF7">
        <w:t>7</w:t>
      </w:r>
      <w:r>
        <w:t>% of the education and care workforce reported hearing about reports of inappropriate conduct that did not result in a prohibition at least once a year (refer to Appendix Chart 12.3.3.18).</w:t>
      </w:r>
    </w:p>
    <w:p w14:paraId="48C499DE" w14:textId="046D44DF" w:rsidR="006C2349" w:rsidRDefault="006C2349" w:rsidP="006C2349">
      <w:pPr>
        <w:pStyle w:val="Caption"/>
      </w:pPr>
      <w:bookmarkStart w:id="102" w:name="_Toc201934895"/>
      <w:bookmarkStart w:id="103" w:name="_Toc205884949"/>
      <w:r w:rsidRPr="00D16FDC">
        <w:lastRenderedPageBreak/>
        <w:t>Chart 7.2: Approved provider responses to “How often do you hear about reports of inappropriate conduct that haven't resulted in</w:t>
      </w:r>
      <w:r>
        <w:t xml:space="preserve"> a prohibition?”</w:t>
      </w:r>
      <w:bookmarkEnd w:id="102"/>
      <w:bookmarkEnd w:id="103"/>
    </w:p>
    <w:p w14:paraId="394FB776" w14:textId="6A31FA40" w:rsidR="006C2349" w:rsidRDefault="006C2349" w:rsidP="006C2349">
      <w:pPr>
        <w:jc w:val="center"/>
        <w:rPr>
          <w:color w:val="808080" w:themeColor="background1" w:themeShade="80"/>
          <w:sz w:val="14"/>
          <w:szCs w:val="14"/>
        </w:rPr>
      </w:pPr>
      <w:r>
        <w:rPr>
          <w:noProof/>
          <w14:ligatures w14:val="standardContextual"/>
        </w:rPr>
        <w:drawing>
          <wp:inline distT="0" distB="0" distL="0" distR="0" wp14:anchorId="46F9C7E2" wp14:editId="1F754FA5">
            <wp:extent cx="5362575" cy="1800225"/>
            <wp:effectExtent l="0" t="0" r="0" b="0"/>
            <wp:docPr id="1718129084" name="Chart 1" descr="Chart outlining approved provider responses to the survey question &quot;How often do you hear about reports of inappropriate conduct that haven't resulted in a prohibition?&quot;">
              <a:extLst xmlns:a="http://schemas.openxmlformats.org/drawingml/2006/main">
                <a:ext uri="{FF2B5EF4-FFF2-40B4-BE49-F238E27FC236}">
                  <a16:creationId xmlns:a16="http://schemas.microsoft.com/office/drawing/2014/main" id="{1F2F8670-A062-4B69-2155-1A2B070BC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3DED3A" w14:textId="77777777" w:rsidR="006C2349" w:rsidRPr="00636B94" w:rsidRDefault="006C2349" w:rsidP="00976C70">
      <w:pPr>
        <w:pStyle w:val="Source-CSR"/>
      </w:pPr>
      <w:r w:rsidRPr="00134058">
        <w:t xml:space="preserve">Source: Approved </w:t>
      </w:r>
      <w:r w:rsidRPr="00636B94">
        <w:t xml:space="preserve">provider survey, as of 11 June 2025, Q145, n=159. </w:t>
      </w:r>
    </w:p>
    <w:p w14:paraId="5270EDF2" w14:textId="5E59AEDF" w:rsidR="00006D1E" w:rsidRPr="00006D1E" w:rsidRDefault="00006D1E" w:rsidP="00976C70">
      <w:pPr>
        <w:pStyle w:val="Source-CSR"/>
        <w:rPr>
          <w:rFonts w:eastAsia="Calibri" w:cs="Arial"/>
          <w:color w:val="808080" w:themeColor="background1" w:themeShade="80"/>
        </w:rPr>
      </w:pPr>
      <w:r>
        <w:t>Note: Figures may not sum due to rounding.</w:t>
      </w:r>
    </w:p>
    <w:p w14:paraId="65151E70" w14:textId="4805F78A" w:rsidR="00B344E5" w:rsidRDefault="00B344E5" w:rsidP="00B344E5">
      <w:pPr>
        <w:pStyle w:val="Heading4un-numbered"/>
      </w:pPr>
      <w:r>
        <w:t>Limited provisions to address conduct</w:t>
      </w:r>
    </w:p>
    <w:p w14:paraId="2FC21A73" w14:textId="084E6F20" w:rsidR="006C2349" w:rsidRDefault="006C2349" w:rsidP="006C2349">
      <w:r>
        <w:t xml:space="preserve">When inappropriate conduct occurs, there are limited legislative provisions to empower the Regulatory Authority to </w:t>
      </w:r>
      <w:r w:rsidR="00B344E5">
        <w:t>take action</w:t>
      </w:r>
      <w:r>
        <w:t xml:space="preserve">. As noted above, some inappropriate conduct may not </w:t>
      </w:r>
      <w:r w:rsidR="000C3DF7">
        <w:t>meet</w:t>
      </w:r>
      <w:r w:rsidR="00B344E5">
        <w:t xml:space="preserve"> </w:t>
      </w:r>
      <w:r>
        <w:t>the threshold for prohibition. This enables an environment where:</w:t>
      </w:r>
    </w:p>
    <w:p w14:paraId="447D7EDA" w14:textId="77777777" w:rsidR="006C2349" w:rsidRDefault="006C2349" w:rsidP="00EC53AB">
      <w:pPr>
        <w:pStyle w:val="ListParagraph"/>
        <w:numPr>
          <w:ilvl w:val="0"/>
          <w:numId w:val="26"/>
        </w:numPr>
        <w:ind w:left="426"/>
      </w:pPr>
      <w:r>
        <w:t>persons who have displayed or allegedly displayed inappropriate conduct can continue operating within the education and care sector without proportionate legal responses or consequences by the Regulatory Authority</w:t>
      </w:r>
    </w:p>
    <w:p w14:paraId="1D783934" w14:textId="4409DFF6" w:rsidR="006C2349" w:rsidRDefault="006C2349" w:rsidP="00EC53AB">
      <w:pPr>
        <w:pStyle w:val="ListParagraph"/>
        <w:numPr>
          <w:ilvl w:val="0"/>
          <w:numId w:val="26"/>
        </w:numPr>
        <w:ind w:left="426"/>
      </w:pPr>
      <w:r>
        <w:t xml:space="preserve">the Regulatory Authority is unable to </w:t>
      </w:r>
      <w:r w:rsidR="005E3790">
        <w:t>intervene,</w:t>
      </w:r>
      <w:r>
        <w:t xml:space="preserve"> and approved providers are responsible for addressing serious behaviour of their employees under the employment contract and </w:t>
      </w:r>
      <w:r w:rsidR="00B35BCC">
        <w:t>Code of Conduct</w:t>
      </w:r>
    </w:p>
    <w:p w14:paraId="283748B9" w14:textId="72F5BA6C" w:rsidR="006C2349" w:rsidRDefault="006C2349" w:rsidP="00EC53AB">
      <w:pPr>
        <w:pStyle w:val="ListParagraph"/>
        <w:numPr>
          <w:ilvl w:val="0"/>
          <w:numId w:val="26"/>
        </w:numPr>
        <w:ind w:left="426"/>
      </w:pPr>
      <w:r>
        <w:t>if the approved provider terminates the person’s employment, that person may move on to the next approved provider without safeguards in place and no formal record.</w:t>
      </w:r>
    </w:p>
    <w:p w14:paraId="6BEDA9F6" w14:textId="77777777" w:rsidR="006C2349" w:rsidRDefault="006C2349" w:rsidP="006C2349">
      <w:r w:rsidRPr="00CB24A3">
        <w:t xml:space="preserve">Evidence from Regulatory Authorities indicates there has been an </w:t>
      </w:r>
      <w:r w:rsidRPr="00E24075">
        <w:t>increase in the number of inappropriate conduct incidents that do not constitute an offence in the National Law</w:t>
      </w:r>
      <w:r w:rsidRPr="00CB24A3">
        <w:t xml:space="preserve">. </w:t>
      </w:r>
      <w:r>
        <w:t>This</w:t>
      </w:r>
      <w:r w:rsidRPr="00CB24A3">
        <w:t xml:space="preserve"> evidence </w:t>
      </w:r>
      <w:r>
        <w:t xml:space="preserve">indicates </w:t>
      </w:r>
      <w:r w:rsidRPr="00CB24A3">
        <w:t>that the current provisions under the National Law are insufficient for protecting children from harm and do not allow appropriate intervention and oversight by the Regulatory Authority when a threshold for prohibition has not been met.</w:t>
      </w:r>
    </w:p>
    <w:p w14:paraId="0B10C6F7" w14:textId="710689D5" w:rsidR="006C2349" w:rsidRDefault="00202856" w:rsidP="006C2349">
      <w:r>
        <w:t>Despite sector reports on the preval</w:t>
      </w:r>
      <w:r w:rsidR="008C66EB">
        <w:t>ence of observations of inappropriate conduct</w:t>
      </w:r>
      <w:r w:rsidR="006C2349">
        <w:t>, stakeholders</w:t>
      </w:r>
      <w:r w:rsidR="006C2349" w:rsidRPr="008A04C2">
        <w:t xml:space="preserve"> noted </w:t>
      </w:r>
      <w:r w:rsidR="006C2349">
        <w:t>that there is a general lack of clarity around what constitutes inappropriate conduct in education and care settings</w:t>
      </w:r>
      <w:r w:rsidR="002E6AA2">
        <w:t>, in the absence of a National Law definition</w:t>
      </w:r>
      <w:r w:rsidR="006C2349">
        <w:t xml:space="preserve">. </w:t>
      </w:r>
    </w:p>
    <w:p w14:paraId="500F33A3" w14:textId="3033E3CB" w:rsidR="006C2349" w:rsidRDefault="00EB4295" w:rsidP="006C2349">
      <w:pPr>
        <w:pStyle w:val="Heading3"/>
      </w:pPr>
      <w:r>
        <w:lastRenderedPageBreak/>
        <w:t>What were the policy options consulted on?</w:t>
      </w:r>
    </w:p>
    <w:p w14:paraId="723CD385" w14:textId="49E1C931" w:rsidR="006C2349" w:rsidRDefault="006C2349" w:rsidP="006C2349">
      <w:r>
        <w:t xml:space="preserve">Three options, including the status quo, a non-regulatory option, and a regulatory option are under consideration. </w:t>
      </w:r>
      <w:r w:rsidRPr="005C33F3">
        <w:t xml:space="preserve">Options 2 </w:t>
      </w:r>
      <w:r>
        <w:t>and 3</w:t>
      </w:r>
      <w:r w:rsidRPr="005C33F3">
        <w:t xml:space="preserve"> are not mutually exclusive, and the </w:t>
      </w:r>
      <w:r w:rsidR="004C5562">
        <w:t>recommended option</w:t>
      </w:r>
      <w:r w:rsidRPr="005C33F3">
        <w:t xml:space="preserve"> for these recommendations can be </w:t>
      </w:r>
      <w:r w:rsidR="00205084">
        <w:t>a</w:t>
      </w:r>
      <w:r w:rsidR="00205084" w:rsidRPr="005C33F3">
        <w:t xml:space="preserve"> </w:t>
      </w:r>
      <w:r w:rsidRPr="005C33F3">
        <w:t>combination of the proposed regulatory and non-regulatory approaches.</w:t>
      </w:r>
    </w:p>
    <w:p w14:paraId="228B9752" w14:textId="1A5A4F74" w:rsidR="006C2349" w:rsidRDefault="006C2349" w:rsidP="006C2349">
      <w:r>
        <w:t xml:space="preserve">Options to address reform areas covered in Chapter 7.1 should be considered alongside reform areas covered in Chapter 7.2 (enhancing the ability of Regulatory Authorities to share information with approved providers) and reform areas covered in Chapter 7.3 (expansion of regulatory responses to educator and staff member conduct). </w:t>
      </w:r>
    </w:p>
    <w:p w14:paraId="108CFA9B" w14:textId="74A0DE17" w:rsidR="0078347D" w:rsidRDefault="0078347D" w:rsidP="006C2349">
      <w:r>
        <w:t>Regarding option 3, a draft definition of inappropriate conduct was set out in the CRIS and consulted on, noting feedback received will result in amendments.</w:t>
      </w:r>
    </w:p>
    <w:p w14:paraId="1452E066" w14:textId="3E561E84" w:rsidR="006C2349" w:rsidRDefault="006C2349" w:rsidP="006C2349">
      <w:pPr>
        <w:pStyle w:val="Caption"/>
      </w:pPr>
      <w:bookmarkStart w:id="104" w:name="_Toc201934896"/>
      <w:bookmarkStart w:id="105" w:name="_Toc205884950"/>
      <w:r>
        <w:t>Table 7.1: Policy options under consideration – Making inappropriate conduct an offence</w:t>
      </w:r>
      <w:bookmarkEnd w:id="104"/>
      <w:bookmarkEnd w:id="10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7.1: Policy options under consideration – Making inappropriate conduct an offence"/>
        <w:tblDescription w:val="This table outlines the policy options consulted on for making inappropriate conduct an offence."/>
      </w:tblPr>
      <w:tblGrid>
        <w:gridCol w:w="987"/>
        <w:gridCol w:w="8023"/>
      </w:tblGrid>
      <w:tr w:rsidR="006C2349" w:rsidRPr="00C02005" w14:paraId="45C3FDF4" w14:textId="77777777" w:rsidTr="00E3170E">
        <w:trPr>
          <w:tblHeader/>
        </w:trPr>
        <w:tc>
          <w:tcPr>
            <w:tcW w:w="548" w:type="pct"/>
            <w:shd w:val="clear" w:color="auto" w:fill="14233C" w:themeFill="text2"/>
          </w:tcPr>
          <w:p w14:paraId="6038DDF5" w14:textId="77777777" w:rsidR="006C2349" w:rsidRPr="00006D1E" w:rsidRDefault="006C2349">
            <w:pPr>
              <w:jc w:val="center"/>
              <w:rPr>
                <w:b/>
                <w:color w:val="FFFFFF" w:themeColor="background1"/>
                <w:szCs w:val="20"/>
              </w:rPr>
            </w:pPr>
            <w:r w:rsidRPr="00006D1E">
              <w:rPr>
                <w:b/>
                <w:color w:val="FFFFFF" w:themeColor="background1"/>
                <w:szCs w:val="20"/>
              </w:rPr>
              <w:t>Option</w:t>
            </w:r>
          </w:p>
        </w:tc>
        <w:tc>
          <w:tcPr>
            <w:tcW w:w="4452" w:type="pct"/>
            <w:shd w:val="clear" w:color="auto" w:fill="14233C" w:themeFill="text2"/>
          </w:tcPr>
          <w:p w14:paraId="00A7F08D" w14:textId="77777777" w:rsidR="006C2349" w:rsidRPr="00006D1E" w:rsidRDefault="006C2349">
            <w:pPr>
              <w:jc w:val="center"/>
              <w:rPr>
                <w:b/>
                <w:color w:val="FFFFFF" w:themeColor="background1"/>
                <w:szCs w:val="20"/>
              </w:rPr>
            </w:pPr>
            <w:r w:rsidRPr="00006D1E">
              <w:rPr>
                <w:b/>
                <w:color w:val="FFFFFF" w:themeColor="background1"/>
                <w:szCs w:val="20"/>
              </w:rPr>
              <w:t>Description</w:t>
            </w:r>
          </w:p>
        </w:tc>
      </w:tr>
      <w:tr w:rsidR="006C2349" w14:paraId="7319C50F" w14:textId="77777777" w:rsidTr="00E3170E">
        <w:tc>
          <w:tcPr>
            <w:tcW w:w="548" w:type="pct"/>
          </w:tcPr>
          <w:p w14:paraId="0AF26458" w14:textId="77777777" w:rsidR="006C2349" w:rsidRPr="00006D1E" w:rsidRDefault="006C2349">
            <w:pPr>
              <w:rPr>
                <w:szCs w:val="20"/>
              </w:rPr>
            </w:pPr>
            <w:r w:rsidRPr="00006D1E">
              <w:rPr>
                <w:szCs w:val="20"/>
              </w:rPr>
              <w:t>1</w:t>
            </w:r>
          </w:p>
        </w:tc>
        <w:tc>
          <w:tcPr>
            <w:tcW w:w="4452" w:type="pct"/>
          </w:tcPr>
          <w:p w14:paraId="100035B9" w14:textId="77777777" w:rsidR="006C2349" w:rsidRPr="00006D1E" w:rsidRDefault="006C2349">
            <w:pPr>
              <w:rPr>
                <w:szCs w:val="20"/>
              </w:rPr>
            </w:pPr>
            <w:r w:rsidRPr="00006D1E">
              <w:rPr>
                <w:szCs w:val="20"/>
              </w:rPr>
              <w:t>Status quo (no change).</w:t>
            </w:r>
          </w:p>
        </w:tc>
      </w:tr>
      <w:tr w:rsidR="006C2349" w14:paraId="531FD27A" w14:textId="77777777" w:rsidTr="00E3170E">
        <w:tc>
          <w:tcPr>
            <w:tcW w:w="548" w:type="pct"/>
          </w:tcPr>
          <w:p w14:paraId="3EA9BBE6" w14:textId="77777777" w:rsidR="006C2349" w:rsidRPr="00006D1E" w:rsidRDefault="006C2349">
            <w:pPr>
              <w:rPr>
                <w:szCs w:val="20"/>
              </w:rPr>
            </w:pPr>
            <w:r w:rsidRPr="00006D1E">
              <w:rPr>
                <w:szCs w:val="20"/>
              </w:rPr>
              <w:t>2</w:t>
            </w:r>
          </w:p>
        </w:tc>
        <w:tc>
          <w:tcPr>
            <w:tcW w:w="4452" w:type="pct"/>
          </w:tcPr>
          <w:p w14:paraId="109A2C51" w14:textId="77777777" w:rsidR="006C2349" w:rsidRPr="00006D1E" w:rsidRDefault="006C2349">
            <w:pPr>
              <w:ind w:left="360" w:hanging="360"/>
              <w:rPr>
                <w:b/>
                <w:szCs w:val="20"/>
              </w:rPr>
            </w:pPr>
            <w:r w:rsidRPr="00006D1E">
              <w:rPr>
                <w:b/>
                <w:szCs w:val="20"/>
              </w:rPr>
              <w:t>Non-regulatory</w:t>
            </w:r>
          </w:p>
          <w:p w14:paraId="05A2D707" w14:textId="6AD9F5B0" w:rsidR="006C2349" w:rsidRPr="00006D1E" w:rsidRDefault="006C2349">
            <w:pPr>
              <w:rPr>
                <w:szCs w:val="20"/>
              </w:rPr>
            </w:pPr>
            <w:r w:rsidRPr="00006D1E">
              <w:rPr>
                <w:szCs w:val="20"/>
              </w:rPr>
              <w:t xml:space="preserve">Develop more communications and resources on encouraging approved providers to address appropriate and inappropriate conduct within their contracts of employment, </w:t>
            </w:r>
            <w:r w:rsidR="00B35BCC">
              <w:rPr>
                <w:szCs w:val="20"/>
              </w:rPr>
              <w:t>Code of Conduct</w:t>
            </w:r>
            <w:r w:rsidRPr="00006D1E">
              <w:rPr>
                <w:szCs w:val="20"/>
              </w:rPr>
              <w:t xml:space="preserve"> and policies and procedures required under regulation 168(2) of the National Regulations.</w:t>
            </w:r>
          </w:p>
        </w:tc>
      </w:tr>
      <w:tr w:rsidR="006C2349" w14:paraId="25517A45" w14:textId="77777777" w:rsidTr="00E3170E">
        <w:tc>
          <w:tcPr>
            <w:tcW w:w="548" w:type="pct"/>
          </w:tcPr>
          <w:p w14:paraId="06DA6F3C" w14:textId="77777777" w:rsidR="006C2349" w:rsidRPr="00006D1E" w:rsidRDefault="006C2349">
            <w:pPr>
              <w:rPr>
                <w:szCs w:val="20"/>
              </w:rPr>
            </w:pPr>
            <w:r w:rsidRPr="00006D1E">
              <w:rPr>
                <w:szCs w:val="20"/>
              </w:rPr>
              <w:t>3</w:t>
            </w:r>
          </w:p>
        </w:tc>
        <w:tc>
          <w:tcPr>
            <w:tcW w:w="4452" w:type="pct"/>
          </w:tcPr>
          <w:p w14:paraId="04EA0D45" w14:textId="77777777" w:rsidR="006C2349" w:rsidRPr="00006D1E" w:rsidRDefault="006C2349">
            <w:pPr>
              <w:rPr>
                <w:b/>
                <w:szCs w:val="20"/>
              </w:rPr>
            </w:pPr>
            <w:r w:rsidRPr="00006D1E">
              <w:rPr>
                <w:b/>
                <w:szCs w:val="20"/>
              </w:rPr>
              <w:t>Regulatory</w:t>
            </w:r>
          </w:p>
          <w:p w14:paraId="220BB396" w14:textId="77777777" w:rsidR="006C2349" w:rsidRPr="00006D1E" w:rsidRDefault="006C2349">
            <w:pPr>
              <w:rPr>
                <w:szCs w:val="20"/>
              </w:rPr>
            </w:pPr>
            <w:r w:rsidRPr="00006D1E">
              <w:rPr>
                <w:szCs w:val="20"/>
              </w:rPr>
              <w:t xml:space="preserve">Amend the National Law to introduce ‘inappropriate conduct’ as an offence applicable to approved providers, nominated supervisors, educators, other staff members, volunteers and FDC educators as follows: </w:t>
            </w:r>
          </w:p>
          <w:p w14:paraId="35F538B7" w14:textId="77777777" w:rsidR="006C2349" w:rsidRPr="00006D1E" w:rsidRDefault="006C2349">
            <w:pPr>
              <w:rPr>
                <w:i/>
                <w:szCs w:val="20"/>
              </w:rPr>
            </w:pPr>
            <w:r w:rsidRPr="00006D1E">
              <w:rPr>
                <w:i/>
                <w:szCs w:val="20"/>
              </w:rPr>
              <w:t>The approved provider and a nominated supervisor must ensure that no child being educated and cared for by the service is subjected to any form of inappropriate conduct:</w:t>
            </w:r>
          </w:p>
          <w:p w14:paraId="1B8D994D" w14:textId="77777777" w:rsidR="006C2349" w:rsidRPr="00006D1E" w:rsidRDefault="006C2349">
            <w:pPr>
              <w:rPr>
                <w:szCs w:val="20"/>
              </w:rPr>
            </w:pPr>
            <w:r w:rsidRPr="00006D1E">
              <w:rPr>
                <w:szCs w:val="20"/>
              </w:rPr>
              <w:t xml:space="preserve">and </w:t>
            </w:r>
          </w:p>
          <w:p w14:paraId="223EEA21" w14:textId="726B3EF1" w:rsidR="006C2349" w:rsidRPr="00006D1E" w:rsidRDefault="006C2349">
            <w:pPr>
              <w:rPr>
                <w:i/>
                <w:szCs w:val="20"/>
              </w:rPr>
            </w:pPr>
            <w:r w:rsidRPr="00006D1E">
              <w:rPr>
                <w:i/>
                <w:szCs w:val="20"/>
              </w:rPr>
              <w:t xml:space="preserve">A staff member of, or volunteer at an education and care service, or FDC educator must not subject any child being educated and cared for by the service to any form of inappropriate conduct. </w:t>
            </w:r>
          </w:p>
          <w:p w14:paraId="4EE7A3E6" w14:textId="4A53C8A3" w:rsidR="003D47D4" w:rsidRDefault="003D47D4" w:rsidP="003D47D4">
            <w:r w:rsidRPr="003D47D4">
              <w:rPr>
                <w:szCs w:val="20"/>
              </w:rPr>
              <w:lastRenderedPageBreak/>
              <w:t>The CRIS set out the following as potential examples of inappropriate conduct:</w:t>
            </w:r>
          </w:p>
          <w:p w14:paraId="7C3E659D" w14:textId="70386B0F" w:rsidR="006C2349" w:rsidRPr="00006D1E" w:rsidRDefault="006C2349" w:rsidP="00EC53AB">
            <w:pPr>
              <w:pStyle w:val="ListParagraph"/>
              <w:numPr>
                <w:ilvl w:val="0"/>
                <w:numId w:val="23"/>
              </w:numPr>
              <w:rPr>
                <w:szCs w:val="20"/>
              </w:rPr>
            </w:pPr>
            <w:r w:rsidRPr="00006D1E">
              <w:rPr>
                <w:szCs w:val="20"/>
              </w:rPr>
              <w:t>a child sexual offence</w:t>
            </w:r>
          </w:p>
          <w:p w14:paraId="00CD2FED" w14:textId="0A12D08E" w:rsidR="006C2349" w:rsidRPr="00006D1E" w:rsidRDefault="006C2349" w:rsidP="00EC53AB">
            <w:pPr>
              <w:pStyle w:val="ListParagraph"/>
              <w:numPr>
                <w:ilvl w:val="0"/>
                <w:numId w:val="23"/>
              </w:numPr>
              <w:rPr>
                <w:szCs w:val="20"/>
              </w:rPr>
            </w:pPr>
            <w:r w:rsidRPr="00006D1E">
              <w:rPr>
                <w:szCs w:val="20"/>
              </w:rPr>
              <w:t>sexual misconduct committed in relation to, or in the presence of a child, including verbal discussions, flirtatious gestures and comments</w:t>
            </w:r>
          </w:p>
          <w:p w14:paraId="5AB43C30" w14:textId="0ED77D6E" w:rsidR="006C2349" w:rsidRPr="00006D1E" w:rsidRDefault="006C2349" w:rsidP="00EC53AB">
            <w:pPr>
              <w:pStyle w:val="ListParagraph"/>
              <w:numPr>
                <w:ilvl w:val="0"/>
                <w:numId w:val="23"/>
              </w:numPr>
              <w:rPr>
                <w:szCs w:val="20"/>
              </w:rPr>
            </w:pPr>
            <w:r w:rsidRPr="00006D1E">
              <w:rPr>
                <w:szCs w:val="20"/>
              </w:rPr>
              <w:t>inappropriate verbal interactions, that is, conversations with, or comments to children or conversations in the presence of children in relation to sexuality or sexual contact, including excessive flattering, conversations of a sexual nature, making sexual jokes or evoking children’s curiosity about sexuality</w:t>
            </w:r>
          </w:p>
          <w:p w14:paraId="4F75D3E8" w14:textId="7BF38E05" w:rsidR="006C2349" w:rsidRPr="00006D1E" w:rsidRDefault="006C2349" w:rsidP="00EC53AB">
            <w:pPr>
              <w:pStyle w:val="ListParagraph"/>
              <w:numPr>
                <w:ilvl w:val="0"/>
                <w:numId w:val="23"/>
              </w:numPr>
              <w:rPr>
                <w:szCs w:val="20"/>
              </w:rPr>
            </w:pPr>
            <w:r w:rsidRPr="00006D1E">
              <w:rPr>
                <w:szCs w:val="20"/>
              </w:rPr>
              <w:t>ill-treatment of a child</w:t>
            </w:r>
          </w:p>
          <w:p w14:paraId="764F41BF" w14:textId="499C4456" w:rsidR="006C2349" w:rsidRPr="00006D1E" w:rsidRDefault="006C2349" w:rsidP="00EC53AB">
            <w:pPr>
              <w:pStyle w:val="ListParagraph"/>
              <w:numPr>
                <w:ilvl w:val="0"/>
                <w:numId w:val="23"/>
              </w:numPr>
              <w:rPr>
                <w:szCs w:val="20"/>
              </w:rPr>
            </w:pPr>
            <w:r w:rsidRPr="00006D1E">
              <w:rPr>
                <w:szCs w:val="20"/>
              </w:rPr>
              <w:t>neglect of a child</w:t>
            </w:r>
          </w:p>
          <w:p w14:paraId="599A2DC1" w14:textId="77777777" w:rsidR="006C2349" w:rsidRPr="00006D1E" w:rsidRDefault="006C2349" w:rsidP="00EC53AB">
            <w:pPr>
              <w:pStyle w:val="ListParagraph"/>
              <w:numPr>
                <w:ilvl w:val="0"/>
                <w:numId w:val="23"/>
              </w:numPr>
              <w:rPr>
                <w:szCs w:val="20"/>
              </w:rPr>
            </w:pPr>
            <w:r w:rsidRPr="00006D1E">
              <w:rPr>
                <w:szCs w:val="20"/>
              </w:rPr>
              <w:t>physical or verbal violence (including threats) committed in relation to, or in the presence of a child</w:t>
            </w:r>
          </w:p>
          <w:p w14:paraId="0ADA1836" w14:textId="0AF66E16" w:rsidR="006C2349" w:rsidRPr="00006D1E" w:rsidRDefault="006C2349" w:rsidP="00EC53AB">
            <w:pPr>
              <w:pStyle w:val="ListParagraph"/>
              <w:numPr>
                <w:ilvl w:val="0"/>
                <w:numId w:val="23"/>
              </w:numPr>
              <w:rPr>
                <w:szCs w:val="20"/>
              </w:rPr>
            </w:pPr>
            <w:r w:rsidRPr="00006D1E">
              <w:rPr>
                <w:szCs w:val="20"/>
              </w:rPr>
              <w:t>behaviour that is likely to cause emotional or psychological harm to a child</w:t>
            </w:r>
          </w:p>
          <w:p w14:paraId="6BDF93F3" w14:textId="2AEA097A" w:rsidR="006C2349" w:rsidRPr="00006D1E" w:rsidRDefault="006C2349" w:rsidP="00EC53AB">
            <w:pPr>
              <w:pStyle w:val="ListParagraph"/>
              <w:numPr>
                <w:ilvl w:val="0"/>
                <w:numId w:val="23"/>
              </w:numPr>
              <w:rPr>
                <w:szCs w:val="20"/>
              </w:rPr>
            </w:pPr>
            <w:r w:rsidRPr="00006D1E">
              <w:rPr>
                <w:szCs w:val="20"/>
              </w:rPr>
              <w:t>any form of inappropriate physical contact. This may include physical contact that is unwarranted, invasive or unnecessary for the child’s age and developmental stage, such as kissing, massage, ‘tickling games’, inappropriate touching</w:t>
            </w:r>
          </w:p>
          <w:p w14:paraId="7B3BC44A" w14:textId="0AE6BED0" w:rsidR="006C2349" w:rsidRPr="00006D1E" w:rsidRDefault="006C2349" w:rsidP="442B2043">
            <w:pPr>
              <w:pStyle w:val="ListParagraph"/>
            </w:pPr>
            <w:r>
              <w:t>any form of inappropriate online contact. This also may include online harm such as exposing children to sexual or violent content inappropriate for their age and stage of development, and technology facilitated abuse</w:t>
            </w:r>
          </w:p>
          <w:p w14:paraId="548AC1AD" w14:textId="1DE2A3B9" w:rsidR="006C2349" w:rsidRPr="00006D1E" w:rsidRDefault="006C2349" w:rsidP="442B2043">
            <w:pPr>
              <w:pStyle w:val="ListParagraph"/>
            </w:pPr>
            <w:r>
              <w:t>correspondence, communication of a personal nature or capturing of images of children via any medium (phone, text message, social media, within apps, internet postings) unrelated to the staff members role or endorsed communication channels</w:t>
            </w:r>
          </w:p>
          <w:p w14:paraId="22D2E8A4" w14:textId="19E710FE" w:rsidR="006C2349" w:rsidRPr="00006D1E" w:rsidRDefault="006C2349" w:rsidP="00EC53AB">
            <w:pPr>
              <w:pStyle w:val="ListParagraph"/>
              <w:numPr>
                <w:ilvl w:val="0"/>
                <w:numId w:val="23"/>
              </w:numPr>
              <w:rPr>
                <w:szCs w:val="20"/>
              </w:rPr>
            </w:pPr>
            <w:r w:rsidRPr="00006D1E">
              <w:rPr>
                <w:szCs w:val="20"/>
              </w:rPr>
              <w:t>manipulating or coercing a child emotionally to meet the educator’s personal needs or to create inappropriate dependencies</w:t>
            </w:r>
          </w:p>
          <w:p w14:paraId="10339115" w14:textId="77777777" w:rsidR="006C2349" w:rsidRPr="00006D1E" w:rsidRDefault="006C2349" w:rsidP="00EC53AB">
            <w:pPr>
              <w:pStyle w:val="ListParagraph"/>
              <w:numPr>
                <w:ilvl w:val="0"/>
                <w:numId w:val="23"/>
              </w:numPr>
              <w:rPr>
                <w:szCs w:val="20"/>
              </w:rPr>
            </w:pPr>
            <w:r w:rsidRPr="00006D1E">
              <w:rPr>
                <w:szCs w:val="20"/>
              </w:rPr>
              <w:lastRenderedPageBreak/>
              <w:t>grooming, being any form of conduct, online or offline, that facilitates child sexual abuse, for example, making a child feel special through favouritism or special privileges and rewards or receiving/giving gifts of an inappropriate nature.</w:t>
            </w:r>
          </w:p>
        </w:tc>
      </w:tr>
    </w:tbl>
    <w:p w14:paraId="446C4D3B" w14:textId="77777777" w:rsidR="006C2349" w:rsidRDefault="006C2349" w:rsidP="006C2349">
      <w:pPr>
        <w:pStyle w:val="Heading3"/>
      </w:pPr>
      <w:r>
        <w:lastRenderedPageBreak/>
        <w:t>What are the impacts of each option?</w:t>
      </w:r>
    </w:p>
    <w:p w14:paraId="2133C386" w14:textId="46B351A1" w:rsidR="006C2349" w:rsidRPr="00573996" w:rsidRDefault="006C2349" w:rsidP="006C2349">
      <w:r>
        <w:t xml:space="preserve">The sections below provide </w:t>
      </w:r>
      <w:r w:rsidR="003055D7">
        <w:t>an MCA</w:t>
      </w:r>
      <w:r>
        <w:t xml:space="preserve"> assessing the potential impacts of the proposed options on child safety outcomes, costs to stakeholders, implementation </w:t>
      </w:r>
      <w:r w:rsidR="004151E0">
        <w:t>considerations</w:t>
      </w:r>
      <w:r>
        <w:t>, and distributional impacts, in line with the approach outlined in Chapter 4.</w:t>
      </w:r>
    </w:p>
    <w:p w14:paraId="4C0326E2" w14:textId="77777777" w:rsidR="006C2349" w:rsidRDefault="006C2349" w:rsidP="006C2349">
      <w:pPr>
        <w:pStyle w:val="Heading4"/>
      </w:pPr>
      <w:r>
        <w:t xml:space="preserve">Multi-criteria analysis </w:t>
      </w:r>
    </w:p>
    <w:p w14:paraId="6CD27A53" w14:textId="30E8D984" w:rsidR="000F3F74" w:rsidRDefault="000F3F74" w:rsidP="000F3F74">
      <w:r w:rsidRPr="00C20858">
        <w:t xml:space="preserve">In assigning </w:t>
      </w:r>
      <w:r w:rsidR="0051061D">
        <w:t xml:space="preserve">MCA </w:t>
      </w:r>
      <w:r w:rsidRPr="00C20858">
        <w:t xml:space="preserve">scores to reflect the relative benefits and costs of each option, the score for improvement in child safety has been scaled with a zero for </w:t>
      </w:r>
      <w:r>
        <w:t>option 1</w:t>
      </w:r>
      <w:r w:rsidRPr="00C20858">
        <w:t xml:space="preserve"> representing no change, and </w:t>
      </w:r>
      <w:r>
        <w:t xml:space="preserve">score of seven </w:t>
      </w:r>
      <w:r w:rsidRPr="00C20858">
        <w:t xml:space="preserve">for </w:t>
      </w:r>
      <w:r>
        <w:t>option 3</w:t>
      </w:r>
      <w:r w:rsidRPr="00C20858">
        <w:t xml:space="preserve"> </w:t>
      </w:r>
      <w:r>
        <w:t>representing</w:t>
      </w:r>
      <w:r w:rsidRPr="00C20858">
        <w:t xml:space="preserve"> the biggest impact on child safety. Other options have been scored between these values based on the assessment of qualitative input from stakeholders. Scores for other categories relating to costs, risks, and distributional considerations have been scaled in relation to these benefits.</w:t>
      </w:r>
    </w:p>
    <w:p w14:paraId="27E6A56C" w14:textId="3EC674E4" w:rsidR="006C2349" w:rsidRDefault="006C2349" w:rsidP="006C2349">
      <w:pPr>
        <w:pStyle w:val="Caption"/>
      </w:pPr>
      <w:bookmarkStart w:id="106" w:name="_Toc201934897"/>
      <w:bookmarkStart w:id="107" w:name="_Toc205884951"/>
      <w:r>
        <w:t>Table 7.2: MCA outcomes – Making inappropriate conduct an offence</w:t>
      </w:r>
      <w:bookmarkEnd w:id="106"/>
      <w:bookmarkEnd w:id="107"/>
      <w: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7.2: MCA outcomes – Making inappropriate conduct an offence "/>
        <w:tblDescription w:val="This table outlines the MCA outcomes for making inappropriate conduct an offence."/>
      </w:tblPr>
      <w:tblGrid>
        <w:gridCol w:w="3105"/>
        <w:gridCol w:w="1016"/>
        <w:gridCol w:w="1629"/>
        <w:gridCol w:w="1630"/>
        <w:gridCol w:w="1630"/>
      </w:tblGrid>
      <w:tr w:rsidR="006C2349" w14:paraId="4CD1ED50" w14:textId="77777777" w:rsidTr="00E3170E">
        <w:trPr>
          <w:tblHeader/>
        </w:trPr>
        <w:tc>
          <w:tcPr>
            <w:tcW w:w="3105" w:type="dxa"/>
            <w:shd w:val="clear" w:color="auto" w:fill="14233C" w:themeFill="text2"/>
          </w:tcPr>
          <w:p w14:paraId="5664D548" w14:textId="77777777" w:rsidR="006C2349" w:rsidRPr="00C2617C" w:rsidRDefault="006C2349">
            <w:pPr>
              <w:rPr>
                <w:b/>
                <w:color w:val="FFFFFF" w:themeColor="background1"/>
                <w:szCs w:val="20"/>
              </w:rPr>
            </w:pPr>
            <w:r w:rsidRPr="00C2617C">
              <w:rPr>
                <w:b/>
                <w:color w:val="FFFFFF" w:themeColor="background1"/>
                <w:szCs w:val="20"/>
              </w:rPr>
              <w:t>Criteria</w:t>
            </w:r>
          </w:p>
        </w:tc>
        <w:tc>
          <w:tcPr>
            <w:tcW w:w="1016" w:type="dxa"/>
            <w:shd w:val="clear" w:color="auto" w:fill="14233C" w:themeFill="text2"/>
          </w:tcPr>
          <w:p w14:paraId="75571C12" w14:textId="77777777" w:rsidR="006C2349" w:rsidRPr="00C2617C" w:rsidRDefault="006C2349">
            <w:pPr>
              <w:jc w:val="center"/>
              <w:rPr>
                <w:b/>
                <w:color w:val="FFFFFF" w:themeColor="background1"/>
                <w:szCs w:val="20"/>
              </w:rPr>
            </w:pPr>
            <w:r w:rsidRPr="00C2617C">
              <w:rPr>
                <w:b/>
                <w:color w:val="FFFFFF" w:themeColor="background1"/>
                <w:szCs w:val="20"/>
              </w:rPr>
              <w:t>Weight</w:t>
            </w:r>
          </w:p>
        </w:tc>
        <w:tc>
          <w:tcPr>
            <w:tcW w:w="1629" w:type="dxa"/>
            <w:shd w:val="clear" w:color="auto" w:fill="14233C" w:themeFill="text2"/>
          </w:tcPr>
          <w:p w14:paraId="29DCD47A" w14:textId="77777777" w:rsidR="006C2349" w:rsidRPr="00C2617C" w:rsidRDefault="006C2349">
            <w:pPr>
              <w:jc w:val="center"/>
              <w:rPr>
                <w:b/>
                <w:color w:val="FFFFFF" w:themeColor="background1"/>
                <w:szCs w:val="20"/>
              </w:rPr>
            </w:pPr>
            <w:r w:rsidRPr="00C2617C">
              <w:rPr>
                <w:b/>
                <w:color w:val="FFFFFF" w:themeColor="background1"/>
                <w:szCs w:val="20"/>
              </w:rPr>
              <w:t>Option 1</w:t>
            </w:r>
          </w:p>
        </w:tc>
        <w:tc>
          <w:tcPr>
            <w:tcW w:w="1630" w:type="dxa"/>
            <w:shd w:val="clear" w:color="auto" w:fill="14233C" w:themeFill="text2"/>
          </w:tcPr>
          <w:p w14:paraId="17D02291" w14:textId="77777777" w:rsidR="006C2349" w:rsidRPr="00C2617C" w:rsidRDefault="006C2349">
            <w:pPr>
              <w:jc w:val="center"/>
              <w:rPr>
                <w:b/>
                <w:color w:val="FFFFFF" w:themeColor="background1"/>
                <w:szCs w:val="20"/>
              </w:rPr>
            </w:pPr>
            <w:r w:rsidRPr="00C2617C">
              <w:rPr>
                <w:b/>
                <w:color w:val="FFFFFF" w:themeColor="background1"/>
                <w:szCs w:val="20"/>
              </w:rPr>
              <w:t>Option 2</w:t>
            </w:r>
          </w:p>
        </w:tc>
        <w:tc>
          <w:tcPr>
            <w:tcW w:w="1630" w:type="dxa"/>
            <w:shd w:val="clear" w:color="auto" w:fill="14233C" w:themeFill="text2"/>
          </w:tcPr>
          <w:p w14:paraId="26CACAC7" w14:textId="77777777" w:rsidR="006C2349" w:rsidRPr="00C2617C" w:rsidRDefault="006C2349">
            <w:pPr>
              <w:jc w:val="center"/>
              <w:rPr>
                <w:b/>
                <w:color w:val="FFFFFF" w:themeColor="background1"/>
                <w:szCs w:val="20"/>
              </w:rPr>
            </w:pPr>
            <w:r w:rsidRPr="00C2617C">
              <w:rPr>
                <w:b/>
                <w:color w:val="FFFFFF" w:themeColor="background1"/>
                <w:szCs w:val="20"/>
              </w:rPr>
              <w:t>Option 3</w:t>
            </w:r>
          </w:p>
        </w:tc>
      </w:tr>
      <w:tr w:rsidR="006C2349" w14:paraId="31FB45EA" w14:textId="77777777" w:rsidTr="00E3170E">
        <w:tc>
          <w:tcPr>
            <w:tcW w:w="3105" w:type="dxa"/>
          </w:tcPr>
          <w:p w14:paraId="2C89F8AB" w14:textId="77777777" w:rsidR="006C2349" w:rsidRPr="00C2617C" w:rsidRDefault="006C2349">
            <w:pPr>
              <w:rPr>
                <w:szCs w:val="20"/>
              </w:rPr>
            </w:pPr>
            <w:r w:rsidRPr="00C2617C">
              <w:rPr>
                <w:szCs w:val="20"/>
              </w:rPr>
              <w:t>Improvement in child safety</w:t>
            </w:r>
          </w:p>
        </w:tc>
        <w:tc>
          <w:tcPr>
            <w:tcW w:w="1016" w:type="dxa"/>
          </w:tcPr>
          <w:p w14:paraId="44159375" w14:textId="75B5B558" w:rsidR="006C2349" w:rsidRPr="00C2617C" w:rsidRDefault="006C2349">
            <w:pPr>
              <w:jc w:val="center"/>
              <w:rPr>
                <w:szCs w:val="20"/>
              </w:rPr>
            </w:pPr>
            <w:r w:rsidRPr="00C2617C">
              <w:rPr>
                <w:szCs w:val="20"/>
              </w:rPr>
              <w:t>50%</w:t>
            </w:r>
          </w:p>
        </w:tc>
        <w:tc>
          <w:tcPr>
            <w:tcW w:w="1629" w:type="dxa"/>
          </w:tcPr>
          <w:p w14:paraId="0AC6D975" w14:textId="77777777" w:rsidR="006C2349" w:rsidRPr="00C2617C" w:rsidRDefault="006C2349">
            <w:pPr>
              <w:jc w:val="center"/>
              <w:rPr>
                <w:szCs w:val="20"/>
              </w:rPr>
            </w:pPr>
            <w:r w:rsidRPr="00C2617C">
              <w:rPr>
                <w:szCs w:val="20"/>
              </w:rPr>
              <w:t>0</w:t>
            </w:r>
          </w:p>
        </w:tc>
        <w:tc>
          <w:tcPr>
            <w:tcW w:w="1630" w:type="dxa"/>
          </w:tcPr>
          <w:p w14:paraId="09910AD7" w14:textId="30A50EA5" w:rsidR="006C2349" w:rsidRPr="00C2617C" w:rsidRDefault="006C2349">
            <w:pPr>
              <w:jc w:val="center"/>
              <w:rPr>
                <w:szCs w:val="20"/>
              </w:rPr>
            </w:pPr>
            <w:r w:rsidRPr="00C2617C">
              <w:rPr>
                <w:szCs w:val="20"/>
              </w:rPr>
              <w:t>2</w:t>
            </w:r>
          </w:p>
        </w:tc>
        <w:tc>
          <w:tcPr>
            <w:tcW w:w="1630" w:type="dxa"/>
          </w:tcPr>
          <w:p w14:paraId="1C598976" w14:textId="0744155B" w:rsidR="006C2349" w:rsidRPr="00C2617C" w:rsidRDefault="006C2349">
            <w:pPr>
              <w:jc w:val="center"/>
              <w:rPr>
                <w:szCs w:val="20"/>
              </w:rPr>
            </w:pPr>
            <w:r w:rsidRPr="00C2617C">
              <w:rPr>
                <w:szCs w:val="20"/>
              </w:rPr>
              <w:t>7</w:t>
            </w:r>
          </w:p>
        </w:tc>
      </w:tr>
      <w:tr w:rsidR="006C2349" w14:paraId="571B9EDB" w14:textId="77777777" w:rsidTr="00E3170E">
        <w:tc>
          <w:tcPr>
            <w:tcW w:w="3105" w:type="dxa"/>
          </w:tcPr>
          <w:p w14:paraId="0FB5F7E1" w14:textId="77777777" w:rsidR="006C2349" w:rsidRPr="00C2617C" w:rsidRDefault="006C2349">
            <w:pPr>
              <w:rPr>
                <w:szCs w:val="20"/>
              </w:rPr>
            </w:pPr>
            <w:r w:rsidRPr="00C2617C">
              <w:rPr>
                <w:szCs w:val="20"/>
              </w:rPr>
              <w:t>Net cost of policy option</w:t>
            </w:r>
          </w:p>
        </w:tc>
        <w:tc>
          <w:tcPr>
            <w:tcW w:w="1016" w:type="dxa"/>
          </w:tcPr>
          <w:p w14:paraId="52F32C5B" w14:textId="56FADFB6" w:rsidR="006C2349" w:rsidRPr="00C2617C" w:rsidRDefault="006C2349">
            <w:pPr>
              <w:jc w:val="center"/>
              <w:rPr>
                <w:szCs w:val="20"/>
              </w:rPr>
            </w:pPr>
            <w:r w:rsidRPr="00C2617C">
              <w:rPr>
                <w:szCs w:val="20"/>
              </w:rPr>
              <w:t>30%</w:t>
            </w:r>
          </w:p>
        </w:tc>
        <w:tc>
          <w:tcPr>
            <w:tcW w:w="1629" w:type="dxa"/>
          </w:tcPr>
          <w:p w14:paraId="55F9930C" w14:textId="77777777" w:rsidR="006C2349" w:rsidRPr="00C2617C" w:rsidRDefault="006C2349">
            <w:pPr>
              <w:jc w:val="center"/>
              <w:rPr>
                <w:szCs w:val="20"/>
              </w:rPr>
            </w:pPr>
            <w:r w:rsidRPr="00C2617C">
              <w:rPr>
                <w:szCs w:val="20"/>
              </w:rPr>
              <w:t>0</w:t>
            </w:r>
          </w:p>
        </w:tc>
        <w:tc>
          <w:tcPr>
            <w:tcW w:w="1630" w:type="dxa"/>
          </w:tcPr>
          <w:p w14:paraId="628B1417" w14:textId="4F2866FF" w:rsidR="006C2349" w:rsidRPr="00C2617C" w:rsidRDefault="006C2349">
            <w:pPr>
              <w:jc w:val="center"/>
              <w:rPr>
                <w:szCs w:val="20"/>
              </w:rPr>
            </w:pPr>
            <w:r w:rsidRPr="00C2617C">
              <w:rPr>
                <w:szCs w:val="20"/>
              </w:rPr>
              <w:t>-2</w:t>
            </w:r>
          </w:p>
        </w:tc>
        <w:tc>
          <w:tcPr>
            <w:tcW w:w="1630" w:type="dxa"/>
          </w:tcPr>
          <w:p w14:paraId="0C8EA34E" w14:textId="01B19828" w:rsidR="006C2349" w:rsidRPr="00C2617C" w:rsidRDefault="006C2349">
            <w:pPr>
              <w:jc w:val="center"/>
              <w:rPr>
                <w:szCs w:val="20"/>
              </w:rPr>
            </w:pPr>
            <w:r w:rsidRPr="00C2617C">
              <w:rPr>
                <w:szCs w:val="20"/>
              </w:rPr>
              <w:t>-</w:t>
            </w:r>
            <w:r w:rsidR="00FD2B84">
              <w:rPr>
                <w:szCs w:val="20"/>
              </w:rPr>
              <w:t>4</w:t>
            </w:r>
          </w:p>
        </w:tc>
      </w:tr>
      <w:tr w:rsidR="006C2349" w14:paraId="1C4B82AF" w14:textId="77777777" w:rsidTr="00E3170E">
        <w:tc>
          <w:tcPr>
            <w:tcW w:w="3105" w:type="dxa"/>
          </w:tcPr>
          <w:p w14:paraId="59AA2840" w14:textId="3D501C98" w:rsidR="006C2349" w:rsidRPr="00C2617C" w:rsidRDefault="006C2349">
            <w:pPr>
              <w:rPr>
                <w:szCs w:val="20"/>
              </w:rPr>
            </w:pPr>
            <w:r w:rsidRPr="00C2617C">
              <w:rPr>
                <w:szCs w:val="20"/>
              </w:rPr>
              <w:t xml:space="preserve">Implementation </w:t>
            </w:r>
            <w:r w:rsidR="004151E0">
              <w:rPr>
                <w:szCs w:val="20"/>
              </w:rPr>
              <w:t>considerations</w:t>
            </w:r>
          </w:p>
        </w:tc>
        <w:tc>
          <w:tcPr>
            <w:tcW w:w="1016" w:type="dxa"/>
          </w:tcPr>
          <w:p w14:paraId="6FD70048" w14:textId="77777777" w:rsidR="006C2349" w:rsidRPr="00C2617C" w:rsidRDefault="006C2349">
            <w:pPr>
              <w:jc w:val="center"/>
              <w:rPr>
                <w:szCs w:val="20"/>
              </w:rPr>
            </w:pPr>
            <w:r w:rsidRPr="00C2617C">
              <w:rPr>
                <w:szCs w:val="20"/>
              </w:rPr>
              <w:t>10%</w:t>
            </w:r>
          </w:p>
        </w:tc>
        <w:tc>
          <w:tcPr>
            <w:tcW w:w="1629" w:type="dxa"/>
          </w:tcPr>
          <w:p w14:paraId="2632AC9D" w14:textId="77777777" w:rsidR="006C2349" w:rsidRPr="00C2617C" w:rsidRDefault="006C2349">
            <w:pPr>
              <w:jc w:val="center"/>
              <w:rPr>
                <w:szCs w:val="20"/>
              </w:rPr>
            </w:pPr>
            <w:r w:rsidRPr="00C2617C">
              <w:rPr>
                <w:szCs w:val="20"/>
              </w:rPr>
              <w:t>0</w:t>
            </w:r>
          </w:p>
        </w:tc>
        <w:tc>
          <w:tcPr>
            <w:tcW w:w="1630" w:type="dxa"/>
          </w:tcPr>
          <w:p w14:paraId="0114D097" w14:textId="23A25D39" w:rsidR="006C2349" w:rsidRPr="00C2617C" w:rsidRDefault="006C2349">
            <w:pPr>
              <w:jc w:val="center"/>
              <w:rPr>
                <w:szCs w:val="20"/>
              </w:rPr>
            </w:pPr>
            <w:r w:rsidRPr="00C2617C">
              <w:rPr>
                <w:szCs w:val="20"/>
              </w:rPr>
              <w:t>-2</w:t>
            </w:r>
          </w:p>
        </w:tc>
        <w:tc>
          <w:tcPr>
            <w:tcW w:w="1630" w:type="dxa"/>
          </w:tcPr>
          <w:p w14:paraId="1692E442" w14:textId="554BA5EF" w:rsidR="006C2349" w:rsidRPr="00C2617C" w:rsidRDefault="006C2349">
            <w:pPr>
              <w:jc w:val="center"/>
              <w:rPr>
                <w:szCs w:val="20"/>
              </w:rPr>
            </w:pPr>
            <w:r w:rsidRPr="00C2617C">
              <w:rPr>
                <w:szCs w:val="20"/>
              </w:rPr>
              <w:t>-6</w:t>
            </w:r>
          </w:p>
        </w:tc>
      </w:tr>
      <w:tr w:rsidR="006C2349" w14:paraId="37115FA6" w14:textId="77777777" w:rsidTr="00E3170E">
        <w:tc>
          <w:tcPr>
            <w:tcW w:w="3105" w:type="dxa"/>
          </w:tcPr>
          <w:p w14:paraId="17E1363A" w14:textId="77777777" w:rsidR="006C2349" w:rsidRPr="00C2617C" w:rsidRDefault="006C2349">
            <w:pPr>
              <w:rPr>
                <w:szCs w:val="20"/>
              </w:rPr>
            </w:pPr>
            <w:r w:rsidRPr="00C2617C">
              <w:rPr>
                <w:szCs w:val="20"/>
              </w:rPr>
              <w:t>Distributional impact</w:t>
            </w:r>
          </w:p>
        </w:tc>
        <w:tc>
          <w:tcPr>
            <w:tcW w:w="1016" w:type="dxa"/>
          </w:tcPr>
          <w:p w14:paraId="35EA0535" w14:textId="77777777" w:rsidR="006C2349" w:rsidRPr="00C2617C" w:rsidRDefault="006C2349">
            <w:pPr>
              <w:jc w:val="center"/>
              <w:rPr>
                <w:szCs w:val="20"/>
              </w:rPr>
            </w:pPr>
            <w:r w:rsidRPr="00C2617C">
              <w:rPr>
                <w:szCs w:val="20"/>
              </w:rPr>
              <w:t>10%</w:t>
            </w:r>
          </w:p>
        </w:tc>
        <w:tc>
          <w:tcPr>
            <w:tcW w:w="1629" w:type="dxa"/>
          </w:tcPr>
          <w:p w14:paraId="6DD691F0" w14:textId="77777777" w:rsidR="006C2349" w:rsidRPr="00C2617C" w:rsidRDefault="006C2349">
            <w:pPr>
              <w:jc w:val="center"/>
              <w:rPr>
                <w:szCs w:val="20"/>
              </w:rPr>
            </w:pPr>
            <w:r w:rsidRPr="00C2617C">
              <w:rPr>
                <w:szCs w:val="20"/>
              </w:rPr>
              <w:t>0</w:t>
            </w:r>
          </w:p>
        </w:tc>
        <w:tc>
          <w:tcPr>
            <w:tcW w:w="1630" w:type="dxa"/>
          </w:tcPr>
          <w:p w14:paraId="5BA997E0" w14:textId="240E7A5C" w:rsidR="006C2349" w:rsidRPr="00C2617C" w:rsidRDefault="006C2349">
            <w:pPr>
              <w:jc w:val="center"/>
              <w:rPr>
                <w:szCs w:val="20"/>
              </w:rPr>
            </w:pPr>
            <w:r w:rsidRPr="00C2617C">
              <w:rPr>
                <w:szCs w:val="20"/>
              </w:rPr>
              <w:t>-1</w:t>
            </w:r>
          </w:p>
        </w:tc>
        <w:tc>
          <w:tcPr>
            <w:tcW w:w="1630" w:type="dxa"/>
          </w:tcPr>
          <w:p w14:paraId="1434579A" w14:textId="5252B74F" w:rsidR="006C2349" w:rsidRPr="00C2617C" w:rsidRDefault="006C2349">
            <w:pPr>
              <w:jc w:val="center"/>
              <w:rPr>
                <w:szCs w:val="20"/>
              </w:rPr>
            </w:pPr>
            <w:r w:rsidRPr="00C2617C">
              <w:rPr>
                <w:szCs w:val="20"/>
              </w:rPr>
              <w:t>-4</w:t>
            </w:r>
          </w:p>
        </w:tc>
      </w:tr>
      <w:tr w:rsidR="006C2349" w14:paraId="180C1761" w14:textId="77777777" w:rsidTr="00E3170E">
        <w:tc>
          <w:tcPr>
            <w:tcW w:w="3105" w:type="dxa"/>
          </w:tcPr>
          <w:p w14:paraId="308F3FB1" w14:textId="280B71B4" w:rsidR="006C2349" w:rsidRPr="00C2617C" w:rsidRDefault="006C2349">
            <w:pPr>
              <w:rPr>
                <w:b/>
                <w:szCs w:val="20"/>
              </w:rPr>
            </w:pPr>
            <w:r w:rsidRPr="00C2617C">
              <w:rPr>
                <w:b/>
                <w:szCs w:val="20"/>
              </w:rPr>
              <w:t>Weighted score</w:t>
            </w:r>
          </w:p>
        </w:tc>
        <w:tc>
          <w:tcPr>
            <w:tcW w:w="1016" w:type="dxa"/>
          </w:tcPr>
          <w:p w14:paraId="028B41B8" w14:textId="77777777" w:rsidR="006C2349" w:rsidRPr="00C2617C" w:rsidRDefault="006C2349">
            <w:pPr>
              <w:jc w:val="center"/>
              <w:rPr>
                <w:szCs w:val="20"/>
              </w:rPr>
            </w:pPr>
          </w:p>
        </w:tc>
        <w:tc>
          <w:tcPr>
            <w:tcW w:w="1629" w:type="dxa"/>
          </w:tcPr>
          <w:p w14:paraId="3364F035" w14:textId="77777777" w:rsidR="006C2349" w:rsidRPr="00C2617C" w:rsidRDefault="006C2349">
            <w:pPr>
              <w:jc w:val="center"/>
              <w:rPr>
                <w:b/>
                <w:szCs w:val="20"/>
              </w:rPr>
            </w:pPr>
            <w:r w:rsidRPr="00C2617C">
              <w:rPr>
                <w:b/>
                <w:szCs w:val="20"/>
              </w:rPr>
              <w:t>0</w:t>
            </w:r>
          </w:p>
        </w:tc>
        <w:tc>
          <w:tcPr>
            <w:tcW w:w="1630" w:type="dxa"/>
          </w:tcPr>
          <w:p w14:paraId="425FFC38" w14:textId="3B457176" w:rsidR="006C2349" w:rsidRPr="00C2617C" w:rsidRDefault="006C2349">
            <w:pPr>
              <w:jc w:val="center"/>
              <w:rPr>
                <w:b/>
                <w:szCs w:val="20"/>
              </w:rPr>
            </w:pPr>
            <w:r w:rsidRPr="00C2617C">
              <w:rPr>
                <w:b/>
                <w:szCs w:val="20"/>
              </w:rPr>
              <w:t>0.1</w:t>
            </w:r>
          </w:p>
        </w:tc>
        <w:tc>
          <w:tcPr>
            <w:tcW w:w="1630" w:type="dxa"/>
          </w:tcPr>
          <w:p w14:paraId="775BCE73" w14:textId="0E561C12" w:rsidR="006C2349" w:rsidRPr="00C2617C" w:rsidRDefault="006C2349">
            <w:pPr>
              <w:jc w:val="center"/>
              <w:rPr>
                <w:b/>
                <w:szCs w:val="20"/>
              </w:rPr>
            </w:pPr>
            <w:r w:rsidRPr="00C2617C">
              <w:rPr>
                <w:b/>
                <w:szCs w:val="20"/>
              </w:rPr>
              <w:t>1</w:t>
            </w:r>
            <w:r w:rsidR="00FD2B84">
              <w:rPr>
                <w:b/>
                <w:szCs w:val="20"/>
              </w:rPr>
              <w:t>.3</w:t>
            </w:r>
          </w:p>
        </w:tc>
      </w:tr>
    </w:tbl>
    <w:p w14:paraId="22E9929F" w14:textId="77777777" w:rsidR="006C2349" w:rsidRDefault="006C2349" w:rsidP="006C2349"/>
    <w:p w14:paraId="5339E019" w14:textId="52B906EC" w:rsidR="006C2349" w:rsidRPr="00273D6E" w:rsidRDefault="007E0ABF" w:rsidP="006C2349">
      <w:r>
        <w:t>The MCA scores suggest that both options 2 and 3 represent an improvement on the status quo (option 1)</w:t>
      </w:r>
      <w:r w:rsidR="00B57F58">
        <w:t xml:space="preserve">, due to the improvement in child safety outcomes offsetting </w:t>
      </w:r>
      <w:r w:rsidR="0051688E">
        <w:t xml:space="preserve">potential costs of the </w:t>
      </w:r>
      <w:r w:rsidR="00E17761">
        <w:t xml:space="preserve">proposed options. Option 3 resulted in the highest weighted MCA score, indicating this option results in the greatest improvement in child safety outcomes, relative to the costs and </w:t>
      </w:r>
      <w:r w:rsidR="00E17761">
        <w:lastRenderedPageBreak/>
        <w:t xml:space="preserve">other potential negative impacts. </w:t>
      </w:r>
      <w:r w:rsidR="006C2349">
        <w:t>The rationale for each MCA score is outlined in the sections below.</w:t>
      </w:r>
    </w:p>
    <w:p w14:paraId="42D3DC76" w14:textId="77777777" w:rsidR="006C2349" w:rsidRDefault="006C2349" w:rsidP="006C2349">
      <w:pPr>
        <w:pStyle w:val="Heading4"/>
      </w:pPr>
      <w:r>
        <w:t xml:space="preserve">Impact on child safety </w:t>
      </w:r>
    </w:p>
    <w:p w14:paraId="70FBE815" w14:textId="0CCE97EA" w:rsidR="00712301" w:rsidRDefault="006C2349" w:rsidP="006C2349">
      <w:r>
        <w:t>C</w:t>
      </w:r>
      <w:r w:rsidRPr="00451862">
        <w:t xml:space="preserve">ommunication materials and resources </w:t>
      </w:r>
      <w:r>
        <w:t xml:space="preserve">under option 2 </w:t>
      </w:r>
      <w:r w:rsidRPr="00451862">
        <w:t xml:space="preserve">could help approved providers clarify what constitutes inappropriate behaviour in their </w:t>
      </w:r>
      <w:r w:rsidR="00B35BCC">
        <w:t>Code of Conduct</w:t>
      </w:r>
      <w:r>
        <w:t xml:space="preserve">. </w:t>
      </w:r>
      <w:r w:rsidR="00203A6C">
        <w:t xml:space="preserve">This would also create a more </w:t>
      </w:r>
      <w:r w:rsidR="00310F2B">
        <w:t>nationally consistent</w:t>
      </w:r>
      <w:r w:rsidR="00FA7591">
        <w:t xml:space="preserve"> understanding of what constitutes inappropriate conduct across education and care services </w:t>
      </w:r>
      <w:r w:rsidR="00310F2B">
        <w:t xml:space="preserve">and may facilitate more consistent treatment of such conduct among approved providers. </w:t>
      </w:r>
      <w:r>
        <w:t>As a result</w:t>
      </w:r>
      <w:r w:rsidRPr="00451862">
        <w:t>, there is the potential that greater awareness and understanding of how to</w:t>
      </w:r>
      <w:r w:rsidR="00310F2B">
        <w:t xml:space="preserve"> identify, prevent</w:t>
      </w:r>
      <w:r w:rsidRPr="00451862">
        <w:t xml:space="preserve">, and manage inappropriate conduct may </w:t>
      </w:r>
      <w:r>
        <w:t>reduce</w:t>
      </w:r>
      <w:r w:rsidRPr="00451862">
        <w:t xml:space="preserve"> risks to </w:t>
      </w:r>
      <w:r w:rsidRPr="00A24278">
        <w:t>child safety. However, option</w:t>
      </w:r>
      <w:r w:rsidRPr="742E3378">
        <w:t xml:space="preserve"> 2 is opt-in</w:t>
      </w:r>
      <w:r>
        <w:rPr>
          <w:szCs w:val="22"/>
        </w:rPr>
        <w:t>,</w:t>
      </w:r>
      <w:r w:rsidRPr="742E3378">
        <w:t xml:space="preserve"> so only those services who choose to implement recommended guidance included</w:t>
      </w:r>
      <w:r w:rsidRPr="00A24278">
        <w:rPr>
          <w:szCs w:val="22"/>
        </w:rPr>
        <w:t xml:space="preserve"> </w:t>
      </w:r>
      <w:r w:rsidRPr="742E3378">
        <w:t>in the communication materials and resources may observe improvements in child safety.</w:t>
      </w:r>
      <w:r w:rsidR="00E13A3E">
        <w:t xml:space="preserve"> Similarly, the extent to which child safety is improve</w:t>
      </w:r>
      <w:r w:rsidR="00712301">
        <w:t>d</w:t>
      </w:r>
      <w:r w:rsidR="00E13A3E">
        <w:t xml:space="preserve"> </w:t>
      </w:r>
      <w:r w:rsidR="00CD330B">
        <w:t>may rely on cultural changes in services</w:t>
      </w:r>
      <w:r w:rsidR="00712301">
        <w:t xml:space="preserve"> to set precedence on expected behaviours</w:t>
      </w:r>
      <w:r w:rsidR="00262041">
        <w:t>,</w:t>
      </w:r>
      <w:r w:rsidR="00CD330B">
        <w:t xml:space="preserve"> in addition to adoption of a more robust Code of Conduct.</w:t>
      </w:r>
    </w:p>
    <w:p w14:paraId="0932AD19" w14:textId="6A4274CF" w:rsidR="008270B7" w:rsidRDefault="00262041" w:rsidP="006C2349">
      <w:pPr>
        <w:rPr>
          <w:rFonts w:eastAsia="Calibri" w:cs="Arial"/>
        </w:rPr>
      </w:pPr>
      <w:r>
        <w:t>Through the survey</w:t>
      </w:r>
      <w:r w:rsidR="006C2349" w:rsidRPr="742E3378">
        <w:t xml:space="preserve">, </w:t>
      </w:r>
      <w:r w:rsidR="006C2349">
        <w:t>97% of</w:t>
      </w:r>
      <w:r w:rsidR="006C2349" w:rsidRPr="00180FA6">
        <w:t xml:space="preserve"> approved providers </w:t>
      </w:r>
      <w:r w:rsidR="006C2349">
        <w:t>indicated that they</w:t>
      </w:r>
      <w:r w:rsidR="006C2349" w:rsidRPr="00180FA6">
        <w:t xml:space="preserve"> have robust </w:t>
      </w:r>
      <w:r w:rsidR="00B35BCC">
        <w:t>Codes of Conduct</w:t>
      </w:r>
      <w:r w:rsidR="006C2349" w:rsidRPr="00180FA6">
        <w:t xml:space="preserve"> and employment contracts which adequately address inappropriate conduct</w:t>
      </w:r>
      <w:r w:rsidR="006C2349">
        <w:t xml:space="preserve"> in the status quo</w:t>
      </w:r>
      <w:r w:rsidR="006C2349" w:rsidRPr="00180FA6">
        <w:t>.</w:t>
      </w:r>
      <w:r w:rsidR="006C2349">
        <w:rPr>
          <w:rStyle w:val="FootnoteReference"/>
        </w:rPr>
        <w:footnoteReference w:id="91"/>
      </w:r>
      <w:r w:rsidR="006C2349" w:rsidRPr="00180FA6">
        <w:t xml:space="preserve"> </w:t>
      </w:r>
      <w:r w:rsidR="006C2349">
        <w:t>As a result, the impact of option 2 on harm reduction is anticipated to be less than that of option 3.</w:t>
      </w:r>
      <w:r w:rsidR="006C2349" w:rsidRPr="742E3378">
        <w:rPr>
          <w:rFonts w:eastAsia="Calibri" w:cs="Arial"/>
        </w:rPr>
        <w:t xml:space="preserve"> Across all surveys, ‘somewhat reduce’ was the most common response to the question about how much option 2 would reduce the risk of harm to children</w:t>
      </w:r>
      <w:r w:rsidR="008270B7">
        <w:rPr>
          <w:rFonts w:eastAsia="Calibri" w:cs="Arial"/>
        </w:rPr>
        <w:t xml:space="preserve"> (refer to Chart 7.3 and </w:t>
      </w:r>
      <w:hyperlink w:anchor="_12.3.3_Responding_to" w:history="1">
        <w:r w:rsidR="008270B7" w:rsidRPr="0078347D">
          <w:rPr>
            <w:rStyle w:val="Hyperlink"/>
            <w:rFonts w:eastAsia="Calibri" w:cs="Arial"/>
          </w:rPr>
          <w:t>Appendix 12.3</w:t>
        </w:r>
        <w:r w:rsidR="00D7053B" w:rsidRPr="0078347D">
          <w:rPr>
            <w:rStyle w:val="Hyperlink"/>
            <w:rFonts w:eastAsia="Calibri" w:cs="Arial"/>
          </w:rPr>
          <w:t>.3</w:t>
        </w:r>
      </w:hyperlink>
      <w:r w:rsidR="008270B7">
        <w:rPr>
          <w:rFonts w:eastAsia="Calibri" w:cs="Arial"/>
        </w:rPr>
        <w:t>)</w:t>
      </w:r>
      <w:r w:rsidR="006C2349" w:rsidRPr="742E3378">
        <w:rPr>
          <w:rFonts w:eastAsia="Calibri" w:cs="Arial"/>
        </w:rPr>
        <w:t>.</w:t>
      </w:r>
    </w:p>
    <w:p w14:paraId="2F84A395" w14:textId="77777777" w:rsidR="008270B7" w:rsidRPr="00057988" w:rsidRDefault="008270B7" w:rsidP="008270B7">
      <w:pPr>
        <w:pStyle w:val="Caption"/>
      </w:pPr>
      <w:bookmarkStart w:id="108" w:name="_Toc205884952"/>
      <w:r w:rsidRPr="00AF5F4D">
        <w:lastRenderedPageBreak/>
        <w:t>Chart 7.3: Approved</w:t>
      </w:r>
      <w:r w:rsidRPr="00057988">
        <w:t xml:space="preserve"> provider responses to “How much do you think each option will reduce the risk of harm to children?”</w:t>
      </w:r>
      <w:bookmarkEnd w:id="108"/>
      <w:r w:rsidRPr="00057988">
        <w:t xml:space="preserve"> </w:t>
      </w:r>
    </w:p>
    <w:p w14:paraId="0E84645F" w14:textId="77777777" w:rsidR="008270B7" w:rsidRDefault="008270B7" w:rsidP="000C756E">
      <w:pPr>
        <w:pStyle w:val="Source-CSR"/>
        <w:rPr>
          <w:rFonts w:eastAsia="Calibri" w:cs="Arial"/>
          <w:color w:val="808080"/>
        </w:rPr>
      </w:pPr>
      <w:r>
        <w:rPr>
          <w:noProof/>
          <w14:ligatures w14:val="standardContextual"/>
        </w:rPr>
        <w:drawing>
          <wp:inline distT="0" distB="0" distL="0" distR="0" wp14:anchorId="35279C78" wp14:editId="7D58B789">
            <wp:extent cx="5197475" cy="2667000"/>
            <wp:effectExtent l="0" t="0" r="3175" b="0"/>
            <wp:docPr id="1153450188"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BDB99A8E-5370-22C9-6C99-4BE63AEA7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42161A8" w14:textId="0E904CA5" w:rsidR="006C2349" w:rsidRPr="008270B7" w:rsidRDefault="008270B7" w:rsidP="000C756E">
      <w:pPr>
        <w:pStyle w:val="Source-CSR"/>
        <w:rPr>
          <w:rFonts w:eastAsia="Calibri" w:cs="Arial"/>
          <w:iCs/>
          <w:color w:val="808080"/>
          <w:szCs w:val="18"/>
        </w:rPr>
      </w:pPr>
      <w:r w:rsidRPr="00057988">
        <w:rPr>
          <w:szCs w:val="18"/>
        </w:rPr>
        <w:t xml:space="preserve">Source: Approved provider survey, as of </w:t>
      </w:r>
      <w:r w:rsidRPr="00636B94">
        <w:t>11 June 2025, Q36, option 1 n=161, option 2 n=162, option 3 n=160.</w:t>
      </w:r>
      <w:r w:rsidR="006C2349" w:rsidRPr="742E3378">
        <w:rPr>
          <w:rFonts w:eastAsia="Calibri" w:cs="Arial"/>
        </w:rPr>
        <w:t xml:space="preserve"> </w:t>
      </w:r>
    </w:p>
    <w:p w14:paraId="6F7B228E" w14:textId="11E61978" w:rsidR="006C2349" w:rsidRPr="00636410" w:rsidRDefault="006C2349" w:rsidP="006C2349">
      <w:r w:rsidRPr="00636410">
        <w:t xml:space="preserve">Option 3 may improve child safety outcomes through several mechanisms. First, it </w:t>
      </w:r>
      <w:r>
        <w:t>may</w:t>
      </w:r>
      <w:r w:rsidRPr="00636410">
        <w:t xml:space="preserve"> enable Regulatory Authorities to address a greater range of inappropriate behaviours which have the potential to cause physical, emotional and/or psychological harm to a child. </w:t>
      </w:r>
      <w:r w:rsidR="0075411B">
        <w:t xml:space="preserve">Secondly, placing the onus of compliance on individuals </w:t>
      </w:r>
      <w:r w:rsidR="00733D4B">
        <w:t>as well as</w:t>
      </w:r>
      <w:r w:rsidR="0075411B">
        <w:t xml:space="preserve"> approved providers and nominated supervisors</w:t>
      </w:r>
      <w:r w:rsidR="00971B4F">
        <w:t xml:space="preserve"> </w:t>
      </w:r>
      <w:r w:rsidR="00B3345F">
        <w:t xml:space="preserve">may </w:t>
      </w:r>
      <w:r w:rsidR="00971B4F">
        <w:t>encourage approved providers to uphold a higher standard of conduct among the</w:t>
      </w:r>
      <w:r w:rsidR="00D318D4">
        <w:t xml:space="preserve"> education and care</w:t>
      </w:r>
      <w:r w:rsidR="00971B4F">
        <w:t xml:space="preserve"> workforce.</w:t>
      </w:r>
      <w:r w:rsidR="0075411B">
        <w:t xml:space="preserve"> </w:t>
      </w:r>
      <w:r w:rsidRPr="00636410">
        <w:t xml:space="preserve">The regulatory nature of this option (and the potential risk of compliance actions or incurring financial penalties if successfully prosecuted) may </w:t>
      </w:r>
      <w:r>
        <w:t>reduce the risk that some staff engage in</w:t>
      </w:r>
      <w:r w:rsidRPr="00636410">
        <w:t xml:space="preserve"> inappropriate conduct, leading to improved child safety outcomes. The legislative mechanisms discussed in </w:t>
      </w:r>
      <w:r>
        <w:t>Chapter 7</w:t>
      </w:r>
      <w:r w:rsidRPr="00636410">
        <w:t xml:space="preserve">.3 would also apply to this offence if endorsed to allow a greater range of regulatory responses commensurate to the seriousness of the inappropriate conduct. </w:t>
      </w:r>
    </w:p>
    <w:p w14:paraId="64A101C0" w14:textId="54B90550" w:rsidR="006C2349" w:rsidRDefault="006C2349" w:rsidP="006C2349">
      <w:r>
        <w:t xml:space="preserve">Option 3 </w:t>
      </w:r>
      <w:r w:rsidR="00AE55A4">
        <w:t xml:space="preserve">would </w:t>
      </w:r>
      <w:r>
        <w:t xml:space="preserve">also provide the sector with greater clarity and consistent expectations of what constitutes inappropriate conduct. This </w:t>
      </w:r>
      <w:r w:rsidR="00AE55A4">
        <w:t xml:space="preserve">would </w:t>
      </w:r>
      <w:r>
        <w:t xml:space="preserve">reduce the reliance on individual approved providers’ </w:t>
      </w:r>
      <w:r w:rsidR="00B35BCC">
        <w:t>Codes of Conduct</w:t>
      </w:r>
      <w:r>
        <w:t xml:space="preserve"> and ensure a similar standard of conduct is maintained across the sector.</w:t>
      </w:r>
      <w:r w:rsidR="00056FAC">
        <w:t xml:space="preserve"> </w:t>
      </w:r>
    </w:p>
    <w:p w14:paraId="44AE6B99" w14:textId="436BC69E" w:rsidR="004C2654" w:rsidRPr="00636410" w:rsidRDefault="004C2654" w:rsidP="006C2349">
      <w:r>
        <w:t xml:space="preserve">Option 3 gives Regulatory Authorities </w:t>
      </w:r>
      <w:r w:rsidR="00C164EB">
        <w:t>the ability to intervene where c</w:t>
      </w:r>
      <w:r w:rsidR="00A73388">
        <w:t xml:space="preserve">onduct is inappropriate but does not currently meet the threshold of prohibition. </w:t>
      </w:r>
      <w:r w:rsidR="00155FBA">
        <w:t>This closes loop</w:t>
      </w:r>
      <w:r w:rsidR="00D318D4">
        <w:t xml:space="preserve">holes where a behaviour may not be </w:t>
      </w:r>
      <w:r w:rsidR="005B653F">
        <w:t>(</w:t>
      </w:r>
      <w:r w:rsidR="00D318D4">
        <w:t>able to be</w:t>
      </w:r>
      <w:r w:rsidR="005B653F">
        <w:t>)</w:t>
      </w:r>
      <w:r w:rsidR="00D318D4">
        <w:t xml:space="preserve"> sufficiently addressed</w:t>
      </w:r>
      <w:r w:rsidR="00773053">
        <w:t xml:space="preserve"> by either approved providers or Regulatory Authorities</w:t>
      </w:r>
      <w:r w:rsidR="00D318D4">
        <w:t>, especiall</w:t>
      </w:r>
      <w:r w:rsidR="00D35211">
        <w:t xml:space="preserve">y if there is insufficient </w:t>
      </w:r>
      <w:r w:rsidR="000F32A1">
        <w:t>coverage of inappropriate behaviours in approved providers’ Codes of Conduct</w:t>
      </w:r>
      <w:r w:rsidR="009F5B6C">
        <w:t>.</w:t>
      </w:r>
    </w:p>
    <w:p w14:paraId="584B4955" w14:textId="2DED28CB" w:rsidR="006C2349" w:rsidRPr="00057988" w:rsidRDefault="006C2349" w:rsidP="006C2349">
      <w:pPr>
        <w:rPr>
          <w:rFonts w:eastAsia="Calibri" w:cs="Arial"/>
          <w:szCs w:val="18"/>
        </w:rPr>
      </w:pPr>
      <w:r w:rsidRPr="00057988">
        <w:rPr>
          <w:rFonts w:eastAsia="Calibri" w:cs="Arial"/>
          <w:szCs w:val="18"/>
        </w:rPr>
        <w:lastRenderedPageBreak/>
        <w:t xml:space="preserve">In jurisdictional forums, stakeholders strongly agreed that option 3 would be the most effective in improving child safety. This was consistent with survey responses, where “greatly reduce” was the most common response to the question about </w:t>
      </w:r>
      <w:r>
        <w:rPr>
          <w:rFonts w:eastAsia="Calibri" w:cs="Arial"/>
          <w:szCs w:val="18"/>
        </w:rPr>
        <w:t>the extent to which</w:t>
      </w:r>
      <w:r w:rsidRPr="00057988">
        <w:rPr>
          <w:rFonts w:eastAsia="Calibri" w:cs="Arial"/>
          <w:szCs w:val="18"/>
        </w:rPr>
        <w:t xml:space="preserve"> option 3 would reduce the risk of harm to children</w:t>
      </w:r>
      <w:r>
        <w:rPr>
          <w:rFonts w:eastAsia="Calibri" w:cs="Arial"/>
          <w:szCs w:val="18"/>
        </w:rPr>
        <w:t xml:space="preserve"> (refer to Chart 7.3)</w:t>
      </w:r>
      <w:r w:rsidRPr="00057988">
        <w:rPr>
          <w:rFonts w:eastAsia="Calibri" w:cs="Arial"/>
          <w:szCs w:val="18"/>
        </w:rPr>
        <w:t xml:space="preserve">. </w:t>
      </w:r>
    </w:p>
    <w:p w14:paraId="2B73BAAA" w14:textId="18AF73D1" w:rsidR="009A30A3" w:rsidRDefault="00F3428B" w:rsidP="00F3428B">
      <w:pPr>
        <w:pStyle w:val="Quote1"/>
      </w:pPr>
      <w:r>
        <w:t xml:space="preserve">“This </w:t>
      </w:r>
      <w:r w:rsidR="009A30A3" w:rsidRPr="009A30A3">
        <w:t>option</w:t>
      </w:r>
      <w:r w:rsidR="009A30A3">
        <w:t xml:space="preserve"> [</w:t>
      </w:r>
      <w:r w:rsidR="00A85FF9">
        <w:t>o</w:t>
      </w:r>
      <w:r w:rsidR="009A30A3">
        <w:t>ption 3]</w:t>
      </w:r>
      <w:r w:rsidR="009A30A3" w:rsidRPr="009A30A3">
        <w:t xml:space="preserve"> will: </w:t>
      </w:r>
    </w:p>
    <w:p w14:paraId="7CA84AC1" w14:textId="77777777" w:rsidR="009A30A3" w:rsidRDefault="009A30A3" w:rsidP="00EC53AB">
      <w:pPr>
        <w:pStyle w:val="Quote1"/>
        <w:numPr>
          <w:ilvl w:val="0"/>
          <w:numId w:val="113"/>
        </w:numPr>
      </w:pPr>
      <w:r>
        <w:t>Cl</w:t>
      </w:r>
      <w:r w:rsidRPr="009A30A3">
        <w:t>ose the current gap where serious but non-criminal conduct cannot be acted upon by Regulatory Authorities Support services and FDC coordination units by providing</w:t>
      </w:r>
      <w:r w:rsidR="00F3428B">
        <w:t xml:space="preserve"> a clear </w:t>
      </w:r>
      <w:r w:rsidRPr="009A30A3">
        <w:t>legal backing to respond to conduct</w:t>
      </w:r>
      <w:r w:rsidR="00F3428B">
        <w:t xml:space="preserve"> that </w:t>
      </w:r>
      <w:r w:rsidRPr="009A30A3">
        <w:t xml:space="preserve">poses risk to child safety </w:t>
      </w:r>
    </w:p>
    <w:p w14:paraId="036CDD59" w14:textId="77777777" w:rsidR="009A30A3" w:rsidRDefault="009A30A3" w:rsidP="00EC53AB">
      <w:pPr>
        <w:pStyle w:val="Quote1"/>
        <w:numPr>
          <w:ilvl w:val="0"/>
          <w:numId w:val="113"/>
        </w:numPr>
      </w:pPr>
      <w:r w:rsidRPr="009A30A3">
        <w:t xml:space="preserve">Create national consistency in defining and responding to </w:t>
      </w:r>
      <w:r w:rsidR="00F3428B">
        <w:t>inappropriate conduct</w:t>
      </w:r>
      <w:r w:rsidRPr="009A30A3">
        <w:t xml:space="preserve">, helping to uphold a shared child protection standard across all jurisdictions and service types </w:t>
      </w:r>
    </w:p>
    <w:p w14:paraId="518ECE7B" w14:textId="6767F9A5" w:rsidR="00F3428B" w:rsidRDefault="009A30A3" w:rsidP="00EC53AB">
      <w:pPr>
        <w:pStyle w:val="Quote1"/>
        <w:numPr>
          <w:ilvl w:val="0"/>
          <w:numId w:val="113"/>
        </w:numPr>
      </w:pPr>
      <w:r w:rsidRPr="009A30A3">
        <w:t>Send a strong message that emotional, psychological, and verbal harm</w:t>
      </w:r>
      <w:r w:rsidR="00F3428B">
        <w:t xml:space="preserve"> is not tolerated </w:t>
      </w:r>
      <w:r w:rsidRPr="009A30A3">
        <w:t>in education and care</w:t>
      </w:r>
      <w:r w:rsidR="00F3428B">
        <w:t xml:space="preserve">” – </w:t>
      </w:r>
      <w:r>
        <w:t>Approved provider survey</w:t>
      </w:r>
      <w:r w:rsidR="005E60A5">
        <w:t xml:space="preserve"> </w:t>
      </w:r>
      <w:r w:rsidR="005E60A5" w:rsidRPr="005E60A5">
        <w:rPr>
          <w:lang w:val="en-AU"/>
        </w:rPr>
        <w:t>response</w:t>
      </w:r>
    </w:p>
    <w:p w14:paraId="7286A328" w14:textId="08D3B98B" w:rsidR="006C2349" w:rsidRDefault="006C2349" w:rsidP="006C2349">
      <w:r>
        <w:t xml:space="preserve">As participation in option 2 is voluntary, some approved providers may not implement the guidance, based on the </w:t>
      </w:r>
      <w:r w:rsidR="00081D32">
        <w:t xml:space="preserve">perception </w:t>
      </w:r>
      <w:r>
        <w:t xml:space="preserve">that their existing </w:t>
      </w:r>
      <w:r w:rsidR="00B35BCC">
        <w:t>Codes of Conduct</w:t>
      </w:r>
      <w:r>
        <w:t xml:space="preserve"> and employ</w:t>
      </w:r>
      <w:r w:rsidR="00081D32">
        <w:t>ee</w:t>
      </w:r>
      <w:r>
        <w:t xml:space="preserve"> </w:t>
      </w:r>
      <w:r w:rsidR="00081D32">
        <w:t xml:space="preserve">contracts </w:t>
      </w:r>
      <w:r>
        <w:t xml:space="preserve">already meet best practice standards. As such, option 2 has been assigned </w:t>
      </w:r>
      <w:r w:rsidR="003055D7">
        <w:t>an MCA</w:t>
      </w:r>
      <w:r w:rsidRPr="00D17EE2">
        <w:t xml:space="preserve"> score of </w:t>
      </w:r>
      <w:r>
        <w:t xml:space="preserve">two for this criterion, as this option is expected to have a smaller impact on child safety, relative to option 3. </w:t>
      </w:r>
    </w:p>
    <w:p w14:paraId="3F5A8E58" w14:textId="5D8D9C39" w:rsidR="006C2349" w:rsidRPr="00D17EE2" w:rsidRDefault="006C2349" w:rsidP="006C2349">
      <w:r>
        <w:t>Option 3 has been assigned a score of seven for this criterion, due</w:t>
      </w:r>
      <w:r w:rsidRPr="00291FC0">
        <w:t xml:space="preserve"> to the seriousness of the risks </w:t>
      </w:r>
      <w:r w:rsidR="00547FD8">
        <w:t>posed to child safety</w:t>
      </w:r>
      <w:r w:rsidR="00547FD8" w:rsidRPr="00291FC0">
        <w:t xml:space="preserve"> </w:t>
      </w:r>
      <w:r w:rsidRPr="00291FC0">
        <w:t>and the potential for enhanced regulatory powers to deter inappropriate conduct and address a wider range of behaviours</w:t>
      </w:r>
      <w:r>
        <w:t xml:space="preserve">. </w:t>
      </w:r>
    </w:p>
    <w:p w14:paraId="10138FC7" w14:textId="77777777" w:rsidR="006C2349" w:rsidRPr="00466043" w:rsidRDefault="006C2349" w:rsidP="006C2349">
      <w:pPr>
        <w:pStyle w:val="Heading4"/>
      </w:pPr>
      <w:r w:rsidRPr="00466043">
        <w:t xml:space="preserve">Cost of </w:t>
      </w:r>
      <w:r>
        <w:t>each</w:t>
      </w:r>
      <w:r w:rsidRPr="00466043">
        <w:t xml:space="preserve"> option</w:t>
      </w:r>
    </w:p>
    <w:p w14:paraId="07BB652B" w14:textId="26BC14DD" w:rsidR="006C2349" w:rsidRDefault="006C2349" w:rsidP="006C2349">
      <w:r w:rsidRPr="00B53153">
        <w:t xml:space="preserve">Under option 2, </w:t>
      </w:r>
      <w:r>
        <w:t>the</w:t>
      </w:r>
      <w:r w:rsidRPr="00B53153">
        <w:t xml:space="preserve"> government </w:t>
      </w:r>
      <w:r>
        <w:t>would</w:t>
      </w:r>
      <w:r w:rsidRPr="00B53153">
        <w:t xml:space="preserve"> incur costs to develop communication materials and resources. </w:t>
      </w:r>
      <w:r>
        <w:t>Incremental c</w:t>
      </w:r>
      <w:r w:rsidRPr="00B53153">
        <w:t xml:space="preserve">osts will be more significant if relevant materials cannot be developed with the support of existing government resources and as part of business-as-usual activities. </w:t>
      </w:r>
    </w:p>
    <w:p w14:paraId="0D568238" w14:textId="5FEE947C" w:rsidR="002558FD" w:rsidRDefault="006C2349" w:rsidP="002558FD">
      <w:r>
        <w:t xml:space="preserve">In the approved provider survey, </w:t>
      </w:r>
      <w:r w:rsidRPr="00AB37C1">
        <w:t xml:space="preserve">46% of respondents </w:t>
      </w:r>
      <w:r w:rsidR="00296AE8">
        <w:t xml:space="preserve">noted </w:t>
      </w:r>
      <w:r w:rsidRPr="00B53153">
        <w:t xml:space="preserve">that option 2 would </w:t>
      </w:r>
      <w:r>
        <w:t>generate</w:t>
      </w:r>
      <w:r w:rsidRPr="00B53153">
        <w:t xml:space="preserve"> additional administrative costs.</w:t>
      </w:r>
      <w:r>
        <w:t xml:space="preserve"> This could reflect the number of approved providers that would review and consider updating their own </w:t>
      </w:r>
      <w:r w:rsidR="00B35BCC">
        <w:t>Codes of Conduct</w:t>
      </w:r>
      <w:r>
        <w:t xml:space="preserve"> to be more effective in </w:t>
      </w:r>
      <w:r>
        <w:lastRenderedPageBreak/>
        <w:t>addressing inappropriate conduct.</w:t>
      </w:r>
      <w:r w:rsidR="0005352F">
        <w:rPr>
          <w:rStyle w:val="FootnoteReference"/>
        </w:rPr>
        <w:footnoteReference w:id="92"/>
      </w:r>
      <w:r>
        <w:t xml:space="preserve"> If </w:t>
      </w:r>
      <w:r w:rsidR="00B35BCC">
        <w:t>Codes of Conduct</w:t>
      </w:r>
      <w:r>
        <w:t xml:space="preserve"> are updated, they may reflect a larger number of behaviours that are considered inappropriate, which could then result in </w:t>
      </w:r>
      <w:r w:rsidR="002558FD">
        <w:t xml:space="preserve">an increased </w:t>
      </w:r>
      <w:r>
        <w:t>number of cases where the approved providers need to address such conduct</w:t>
      </w:r>
      <w:r w:rsidR="00FF53C9">
        <w:t xml:space="preserve"> (</w:t>
      </w:r>
      <w:r w:rsidR="002558FD">
        <w:t xml:space="preserve">noting that </w:t>
      </w:r>
      <w:r w:rsidR="00FF53C9">
        <w:t xml:space="preserve">this cost </w:t>
      </w:r>
      <w:r w:rsidR="002558FD">
        <w:t xml:space="preserve">would be </w:t>
      </w:r>
      <w:r w:rsidR="00FF53C9">
        <w:t>offset by an improvement in child safety)</w:t>
      </w:r>
      <w:r>
        <w:t>.</w:t>
      </w:r>
      <w:r w:rsidR="00FB23EA">
        <w:t xml:space="preserve"> </w:t>
      </w:r>
      <w:r w:rsidR="002558FD">
        <w:t>Based on these potential administrative costs, option 2 has been assigned an MCA</w:t>
      </w:r>
      <w:r w:rsidR="002558FD" w:rsidRPr="00F3408C">
        <w:t xml:space="preserve"> score of negative two</w:t>
      </w:r>
      <w:r w:rsidR="002558FD">
        <w:t xml:space="preserve"> for this criterion</w:t>
      </w:r>
      <w:r w:rsidR="002558FD" w:rsidRPr="00F3408C">
        <w:t>.</w:t>
      </w:r>
      <w:r w:rsidR="002558FD">
        <w:t xml:space="preserve"> </w:t>
      </w:r>
    </w:p>
    <w:p w14:paraId="4ACE5D22" w14:textId="5EC35341" w:rsidR="002558FD" w:rsidRDefault="002558FD" w:rsidP="002558FD">
      <w:r>
        <w:t>Approved providers would incur compliance costs associated with relevant monitoring and enforcement activities associated with the implementation of option 3</w:t>
      </w:r>
      <w:r w:rsidRPr="005D489F">
        <w:t>.</w:t>
      </w:r>
      <w:r>
        <w:t xml:space="preserve"> The exact cost of compliance would depend on the extent to which approved providers already monitor and manage inappropriate conduct through Codes of Conduct and employee contracts – to which stakeholder feedback suggests that most approved providers advised that they already sufficiently monitor and address inappropriate conduct.</w:t>
      </w:r>
    </w:p>
    <w:p w14:paraId="6A32F8D7" w14:textId="1DC99A6A" w:rsidR="006C2349" w:rsidRDefault="006C2349" w:rsidP="006C2349">
      <w:r>
        <w:t xml:space="preserve">Further, Regulatory Authorities </w:t>
      </w:r>
      <w:r w:rsidR="003964B2">
        <w:t xml:space="preserve">would expect to </w:t>
      </w:r>
      <w:r>
        <w:t xml:space="preserve">incur costs associated with monitoring compliance and ensuring that instances of inappropriate conduct are sufficiently dealt with under the National Law. The extent of this cost </w:t>
      </w:r>
      <w:r w:rsidR="003964B2">
        <w:t xml:space="preserve">would </w:t>
      </w:r>
      <w:r>
        <w:t>depend on the prevalence of inappropriate conduct in education and care settings, the extent to which such conduct would be dealt with under changes to the National Law, and the number of investigations that would be reviewable</w:t>
      </w:r>
      <w:r w:rsidR="003964B2">
        <w:t xml:space="preserve"> (internal and external)</w:t>
      </w:r>
      <w:r>
        <w:t>.</w:t>
      </w:r>
    </w:p>
    <w:p w14:paraId="2DFDFCCD" w14:textId="2536488C" w:rsidR="006C2349" w:rsidRDefault="006C2349" w:rsidP="006C2349">
      <w:r>
        <w:t>Over half (</w:t>
      </w:r>
      <w:r w:rsidRPr="00AB37C1">
        <w:t>53</w:t>
      </w:r>
      <w:r>
        <w:t xml:space="preserve">%) of approved providers who responded to the survey </w:t>
      </w:r>
      <w:r w:rsidR="003821DD">
        <w:t xml:space="preserve">note </w:t>
      </w:r>
      <w:r>
        <w:t xml:space="preserve">that option 3 </w:t>
      </w:r>
      <w:r w:rsidR="00C81048">
        <w:t xml:space="preserve">would </w:t>
      </w:r>
      <w:r>
        <w:t>create additional administrative costs.</w:t>
      </w:r>
      <w:r>
        <w:rPr>
          <w:rStyle w:val="FootnoteReference"/>
        </w:rPr>
        <w:footnoteReference w:id="93"/>
      </w:r>
      <w:r>
        <w:t xml:space="preserve"> This cost could result from a range of factors, such as: </w:t>
      </w:r>
    </w:p>
    <w:p w14:paraId="50CC1A6B" w14:textId="55FBD133" w:rsidR="006C2349" w:rsidRDefault="006C2349" w:rsidP="00EC53AB">
      <w:pPr>
        <w:pStyle w:val="ListParagraph"/>
        <w:numPr>
          <w:ilvl w:val="0"/>
          <w:numId w:val="70"/>
        </w:numPr>
        <w:ind w:left="426"/>
      </w:pPr>
      <w:r>
        <w:t xml:space="preserve">a definition of inappropriate conduct that is more extensive than the behaviours included in an approved providers’ </w:t>
      </w:r>
      <w:r w:rsidR="00B35BCC">
        <w:t>Code of Conduct</w:t>
      </w:r>
      <w:r>
        <w:t>, requiring an overall increase in disciplinary action</w:t>
      </w:r>
    </w:p>
    <w:p w14:paraId="4DA0E839" w14:textId="713A9C06" w:rsidR="006C2349" w:rsidRDefault="006C2349" w:rsidP="00EC53AB">
      <w:pPr>
        <w:pStyle w:val="ListParagraph"/>
        <w:numPr>
          <w:ilvl w:val="0"/>
          <w:numId w:val="70"/>
        </w:numPr>
        <w:ind w:left="426"/>
      </w:pPr>
      <w:r>
        <w:t>the involvement of Regulatory Authorities, alongside the approved provider, for any disciplinary measures or investigations</w:t>
      </w:r>
    </w:p>
    <w:p w14:paraId="22D02D56" w14:textId="102343DA" w:rsidR="006C2349" w:rsidRDefault="006C2349" w:rsidP="00EC53AB">
      <w:pPr>
        <w:pStyle w:val="ListParagraph"/>
        <w:numPr>
          <w:ilvl w:val="0"/>
          <w:numId w:val="70"/>
        </w:numPr>
        <w:ind w:left="426"/>
      </w:pPr>
      <w:r>
        <w:t>needing to upskill staff on new expectations regarding conduct that is considered inappropriate.</w:t>
      </w:r>
    </w:p>
    <w:p w14:paraId="11FB174B" w14:textId="1A5F67B8" w:rsidR="000B5863" w:rsidRDefault="000B5863" w:rsidP="000B5863">
      <w:r>
        <w:t>Despite these costs, stakeholders generally agreed that the potential benefits to child safety would likely outweigh costs.</w:t>
      </w:r>
    </w:p>
    <w:p w14:paraId="3003882D" w14:textId="44D5CAA1" w:rsidR="003F050C" w:rsidRDefault="001D6A1F" w:rsidP="000B5863">
      <w:r>
        <w:lastRenderedPageBreak/>
        <w:t xml:space="preserve">While </w:t>
      </w:r>
      <w:r w:rsidR="00E24EDE">
        <w:t xml:space="preserve">only a small increase in the number of approved providers thought that option 3 would impose </w:t>
      </w:r>
      <w:r w:rsidR="00DD3CDD">
        <w:t xml:space="preserve">incremental </w:t>
      </w:r>
      <w:r w:rsidR="00E24EDE">
        <w:t>administrative costs</w:t>
      </w:r>
      <w:r w:rsidR="00DD3CDD">
        <w:t xml:space="preserve"> to the status quo</w:t>
      </w:r>
      <w:r w:rsidR="00EC6FDF">
        <w:t xml:space="preserve">, relative to option 2, option 3 is also likely to impose a higher cost for Regulatory Authorities. </w:t>
      </w:r>
      <w:r w:rsidR="0035684D">
        <w:t xml:space="preserve">Further the costs associated with option 3 are </w:t>
      </w:r>
      <w:r w:rsidR="00A37667">
        <w:t xml:space="preserve">largely ongoing in nature. </w:t>
      </w:r>
      <w:r w:rsidR="00EC6FDF">
        <w:t xml:space="preserve">As such option 3 has been assigned </w:t>
      </w:r>
      <w:r w:rsidR="003055D7">
        <w:t>an MCA</w:t>
      </w:r>
      <w:r w:rsidR="00EC6FDF" w:rsidRPr="00AC3152">
        <w:t xml:space="preserve"> score of negative </w:t>
      </w:r>
      <w:r w:rsidR="00EC6FDF">
        <w:t xml:space="preserve">four for this criterion, while </w:t>
      </w:r>
      <w:r w:rsidR="00223C12">
        <w:t>option 2 was assigned an MCA score of negative two.</w:t>
      </w:r>
    </w:p>
    <w:p w14:paraId="0DE20105" w14:textId="32CB7C75" w:rsidR="006C2349" w:rsidRPr="00466043" w:rsidRDefault="006C2349" w:rsidP="006C2349">
      <w:pPr>
        <w:pStyle w:val="Heading4"/>
      </w:pPr>
      <w:r>
        <w:t xml:space="preserve">Implementation </w:t>
      </w:r>
      <w:r w:rsidR="004151E0">
        <w:t>considerations</w:t>
      </w:r>
    </w:p>
    <w:p w14:paraId="78C6A32B" w14:textId="7D09A3B5" w:rsidR="006C2349" w:rsidRDefault="006C2349" w:rsidP="006C2349">
      <w:r>
        <w:t xml:space="preserve">During the consultation process, stakeholders noted concerns and risks regarding the implementation of </w:t>
      </w:r>
      <w:r w:rsidR="00A96B7C">
        <w:t>the proposed options</w:t>
      </w:r>
      <w:r w:rsidR="001D6F66">
        <w:t xml:space="preserve">. </w:t>
      </w:r>
      <w:r w:rsidR="004C32A3">
        <w:t xml:space="preserve">While </w:t>
      </w:r>
      <w:r w:rsidR="00A77C70">
        <w:t>many</w:t>
      </w:r>
      <w:r w:rsidR="004C32A3">
        <w:t xml:space="preserve"> of the key risks raised by stakeholders </w:t>
      </w:r>
      <w:r w:rsidR="00C81048">
        <w:t>are noted below</w:t>
      </w:r>
      <w:r w:rsidR="004C32A3">
        <w:t xml:space="preserve">, some of these concerns </w:t>
      </w:r>
      <w:r w:rsidR="00A77C70">
        <w:t>could</w:t>
      </w:r>
      <w:r w:rsidR="004C32A3">
        <w:t xml:space="preserve"> be alleviated through </w:t>
      </w:r>
      <w:r w:rsidR="00CA075F">
        <w:t>considered implementation and some may arise from stakeholders misinterpreting the intent or</w:t>
      </w:r>
      <w:r w:rsidR="00A96B7C">
        <w:t xml:space="preserve"> impacts of the options. Some of the implementation risks raised </w:t>
      </w:r>
      <w:r w:rsidR="00A77C70">
        <w:t xml:space="preserve">for option 3 </w:t>
      </w:r>
      <w:r w:rsidR="00A96B7C">
        <w:t>include</w:t>
      </w:r>
      <w:r>
        <w:t>:</w:t>
      </w:r>
    </w:p>
    <w:p w14:paraId="4B142E2E" w14:textId="5391A338" w:rsidR="006C2349" w:rsidRDefault="00040C10" w:rsidP="00EC53AB">
      <w:pPr>
        <w:pStyle w:val="ListParagraph"/>
        <w:numPr>
          <w:ilvl w:val="0"/>
          <w:numId w:val="65"/>
        </w:numPr>
        <w:ind w:left="426"/>
      </w:pPr>
      <w:r>
        <w:t>T</w:t>
      </w:r>
      <w:r w:rsidR="006C2349">
        <w:t>he specificity and appropriateness of the current draft definition of ‘inappropriate conduct’ (see Table 7.2). Stakeholders noted that the sector should be consulted about the definition to ensure it is appropriate, sufficiently specific, clear, and well informed (including clear examples, where possible). This definition should also consider cultural differences in what may be considered inappropriate across demographics and service types</w:t>
      </w:r>
      <w:r>
        <w:t>.</w:t>
      </w:r>
    </w:p>
    <w:p w14:paraId="603C7F6A" w14:textId="0B3CEC5E" w:rsidR="006C2349" w:rsidRDefault="00040C10" w:rsidP="00EC53AB">
      <w:pPr>
        <w:pStyle w:val="ListParagraph"/>
        <w:numPr>
          <w:ilvl w:val="0"/>
          <w:numId w:val="65"/>
        </w:numPr>
        <w:ind w:left="426"/>
      </w:pPr>
      <w:r>
        <w:t>L</w:t>
      </w:r>
      <w:r w:rsidR="006C2349">
        <w:t>iability implications for approved providers and nominated supervisors. Some stakeholders noted it may not be appropriate or fair for approved providers and nominated supervisors to be held liable for the inappropriate conduct of educators or staff, particularly in circumstances where appropriate processes to prevent, identify, and manage inappropriate conduct have been implemented within the service and appropriate training has been provided</w:t>
      </w:r>
      <w:r>
        <w:t>.</w:t>
      </w:r>
      <w:r w:rsidR="00773049">
        <w:t xml:space="preserve"> If approved providers and nominated supervisors are concerned they will be held liable for conduct outside their control, there is a risk that some inappropriate conduct could go unreported.</w:t>
      </w:r>
      <w:r w:rsidR="003A6D5C">
        <w:t xml:space="preserve"> Despite this concern, it should be noted that this liability provision </w:t>
      </w:r>
      <w:r w:rsidR="002B5E47">
        <w:t xml:space="preserve">already applies to </w:t>
      </w:r>
      <w:r w:rsidR="004C525D">
        <w:t>the offence for inappropriate discipline.</w:t>
      </w:r>
    </w:p>
    <w:p w14:paraId="3273E6F3" w14:textId="1650FD5D" w:rsidR="006C2349" w:rsidRDefault="00040C10" w:rsidP="00EC53AB">
      <w:pPr>
        <w:pStyle w:val="ListParagraph"/>
        <w:numPr>
          <w:ilvl w:val="0"/>
          <w:numId w:val="65"/>
        </w:numPr>
        <w:ind w:left="426"/>
      </w:pPr>
      <w:r>
        <w:t>C</w:t>
      </w:r>
      <w:r w:rsidR="006C2349">
        <w:t xml:space="preserve">oncerns that this legislative change may prohibit nurturing behaviours and interactions which educators and other staff have with children. For example, stakeholders noted that interactions such as cuddling and hand holding are important for relationship building and overall child development, particularly for babies and infants. Stakeholders </w:t>
      </w:r>
      <w:r w:rsidR="006C2349">
        <w:lastRenderedPageBreak/>
        <w:t xml:space="preserve">noted that cultural implications </w:t>
      </w:r>
      <w:r w:rsidR="006823CF" w:rsidRPr="006823CF">
        <w:t>of nurturing behaviour and interactions</w:t>
      </w:r>
      <w:r w:rsidR="006823CF">
        <w:t xml:space="preserve"> </w:t>
      </w:r>
      <w:r w:rsidR="006C2349">
        <w:t xml:space="preserve">of option 3 </w:t>
      </w:r>
      <w:r w:rsidR="001708DF">
        <w:t xml:space="preserve">would </w:t>
      </w:r>
      <w:r w:rsidR="006C2349">
        <w:t>need to be considered further</w:t>
      </w:r>
      <w:r>
        <w:t>.</w:t>
      </w:r>
    </w:p>
    <w:p w14:paraId="336D22BA" w14:textId="3C149D45" w:rsidR="006C2349" w:rsidRDefault="00040C10" w:rsidP="00EC53AB">
      <w:pPr>
        <w:pStyle w:val="ListParagraph"/>
        <w:numPr>
          <w:ilvl w:val="0"/>
          <w:numId w:val="65"/>
        </w:numPr>
        <w:ind w:left="426"/>
      </w:pPr>
      <w:r>
        <w:t>P</w:t>
      </w:r>
      <w:r w:rsidR="006C2349">
        <w:t>erceived overregulation or increased regulatory burden which may discourage individuals from seeking employment in the sector. This is a significant concern given current workforce shortages</w:t>
      </w:r>
      <w:r>
        <w:t>.</w:t>
      </w:r>
    </w:p>
    <w:p w14:paraId="6081B5A6" w14:textId="49BE03E0" w:rsidR="003C5642" w:rsidRPr="003C5642" w:rsidRDefault="003C5642" w:rsidP="003C5642">
      <w:pPr>
        <w:pStyle w:val="Quote1"/>
      </w:pPr>
      <w:r>
        <w:t>“</w:t>
      </w:r>
      <w:r w:rsidRPr="003C5642">
        <w:t>I think serious offences with factual evidence, absolutely people should be held accountable. I have concerns for leading staff in these areas; do we therefore get charged as we are the Responsible Person in Charge? (RPIC). Will this mean staff back out of this RPIC role</w:t>
      </w:r>
      <w:r>
        <w:t xml:space="preserve">” – </w:t>
      </w:r>
      <w:r w:rsidR="005E60A5">
        <w:t>Written s</w:t>
      </w:r>
      <w:r>
        <w:t>ubmission response</w:t>
      </w:r>
    </w:p>
    <w:p w14:paraId="3BA67AF1" w14:textId="3CD746C7" w:rsidR="006C2349" w:rsidRDefault="006C2349" w:rsidP="006C2349">
      <w:r>
        <w:t xml:space="preserve">Given the extensive list of implementation risks identified, option 3 has been assigned a score </w:t>
      </w:r>
      <w:r w:rsidRPr="00981938">
        <w:t>of negative six</w:t>
      </w:r>
      <w:r>
        <w:t xml:space="preserve"> for this criterion</w:t>
      </w:r>
      <w:r w:rsidRPr="00981938">
        <w:t>.</w:t>
      </w:r>
      <w:r>
        <w:t xml:space="preserve"> </w:t>
      </w:r>
    </w:p>
    <w:p w14:paraId="5BA2F7CC" w14:textId="451959C6" w:rsidR="006769D4" w:rsidRDefault="00BC3089" w:rsidP="006C2349">
      <w:r>
        <w:t xml:space="preserve">There are also implementation risks associated with option 2, however they are less substantial given the non-regulatory nature of the option. </w:t>
      </w:r>
      <w:r w:rsidR="006769D4">
        <w:t xml:space="preserve">One risk is that many </w:t>
      </w:r>
      <w:r w:rsidR="006C2349">
        <w:t xml:space="preserve">approved providers believe they already have robust </w:t>
      </w:r>
      <w:r w:rsidR="00B35BCC">
        <w:t>Codes of Conduct</w:t>
      </w:r>
      <w:r w:rsidR="006C2349">
        <w:t xml:space="preserve"> and employment contracts which adequately address inappropriate conduct in the status quo.</w:t>
      </w:r>
      <w:r w:rsidR="006769D4">
        <w:t xml:space="preserve"> As a result, there </w:t>
      </w:r>
      <w:r w:rsidR="006C2349">
        <w:t xml:space="preserve">is a risk that approved providers </w:t>
      </w:r>
      <w:r w:rsidR="00F71DA7">
        <w:t xml:space="preserve">would </w:t>
      </w:r>
      <w:r w:rsidR="006C2349">
        <w:t xml:space="preserve">not be responsive to option 2 </w:t>
      </w:r>
      <w:r w:rsidR="006706CA">
        <w:t xml:space="preserve">in isolation </w:t>
      </w:r>
      <w:r w:rsidR="006C2349">
        <w:t xml:space="preserve">and hence the effectiveness of this option </w:t>
      </w:r>
      <w:r w:rsidR="002E49C2">
        <w:t>in reducing the risk of harm to children would be lower than under the regulatory option</w:t>
      </w:r>
      <w:r w:rsidR="006C2349">
        <w:t xml:space="preserve">. </w:t>
      </w:r>
    </w:p>
    <w:p w14:paraId="3836ACBB" w14:textId="0B268A85" w:rsidR="006769D4" w:rsidRDefault="009E5B6F" w:rsidP="006C2349">
      <w:r>
        <w:t xml:space="preserve">In addition, </w:t>
      </w:r>
      <w:r w:rsidR="003B6B04">
        <w:t xml:space="preserve">option 2 may be subject to similar limitations to option 3 in terms </w:t>
      </w:r>
      <w:r w:rsidR="00963F33">
        <w:t>of drafting an appropriate definition of inappropriate conduct to include in guidance materials.</w:t>
      </w:r>
      <w:r w:rsidR="00DE2CD7">
        <w:t xml:space="preserve"> S</w:t>
      </w:r>
      <w:r w:rsidR="006013A6">
        <w:t xml:space="preserve">ector stakeholders should be consulted to ensure the guidance materials include a definition that is </w:t>
      </w:r>
      <w:r w:rsidR="00976D94">
        <w:t xml:space="preserve">appropriate, sufficiently specific, clear, and well informed (including clear examples, where possible). This will enable approved providers to have the greatest clarity and adopt consistent practices in addressing inappropriate conduct. </w:t>
      </w:r>
    </w:p>
    <w:p w14:paraId="04437562" w14:textId="22A9DB95" w:rsidR="00E70ECE" w:rsidRDefault="00976D94" w:rsidP="006C2349">
      <w:r>
        <w:t>Based on these implementation risks, o</w:t>
      </w:r>
      <w:r w:rsidR="006C2349">
        <w:t xml:space="preserve">ption 2 has been assigned </w:t>
      </w:r>
      <w:r w:rsidR="003055D7">
        <w:t>an MCA</w:t>
      </w:r>
      <w:r w:rsidR="006C2349" w:rsidRPr="00981938">
        <w:t xml:space="preserve"> of negative two </w:t>
      </w:r>
      <w:r w:rsidR="006C2349">
        <w:t>for this criterion,</w:t>
      </w:r>
      <w:r w:rsidR="006C2349" w:rsidRPr="00981938">
        <w:t xml:space="preserve"> as the </w:t>
      </w:r>
      <w:r w:rsidR="00F71DA7">
        <w:t xml:space="preserve">implementation </w:t>
      </w:r>
      <w:r w:rsidR="006C2349" w:rsidRPr="00981938">
        <w:t xml:space="preserve">risks are material but not as substantial as </w:t>
      </w:r>
      <w:r w:rsidR="00C76946">
        <w:t xml:space="preserve">those identified for </w:t>
      </w:r>
      <w:r w:rsidR="006C2349" w:rsidRPr="00981938">
        <w:t>option 3.</w:t>
      </w:r>
      <w:r w:rsidR="006C2349">
        <w:t xml:space="preserve"> </w:t>
      </w:r>
    </w:p>
    <w:p w14:paraId="387F0749" w14:textId="727D4748" w:rsidR="007F7F6B" w:rsidRPr="007F7F6B" w:rsidRDefault="007F7F6B" w:rsidP="007F7F6B">
      <w:r>
        <w:t>It should be noted that while the MCA scores currently consider the implementation considerations based on the options that were consulted on</w:t>
      </w:r>
      <w:r w:rsidR="008E4EF3">
        <w:t xml:space="preserve"> from the CRIS</w:t>
      </w:r>
      <w:r>
        <w:t xml:space="preserve">, the recommended implementation of these options will alleviate some of these risks, particularly regarding the definition of inappropriate conduct. These implementation considerations are outlined in </w:t>
      </w:r>
      <w:r>
        <w:rPr>
          <w:i/>
          <w:iCs/>
        </w:rPr>
        <w:t>What is the recommended option(s) and how will it be implemented?</w:t>
      </w:r>
    </w:p>
    <w:p w14:paraId="6E1180DB" w14:textId="77777777" w:rsidR="006C2349" w:rsidRPr="00466043" w:rsidRDefault="006C2349" w:rsidP="006C2349">
      <w:pPr>
        <w:pStyle w:val="Heading4"/>
      </w:pPr>
      <w:r w:rsidRPr="00466043">
        <w:lastRenderedPageBreak/>
        <w:t>Distributional impacts</w:t>
      </w:r>
    </w:p>
    <w:p w14:paraId="47178D87" w14:textId="2D44065C" w:rsidR="00484165" w:rsidRDefault="006C2349" w:rsidP="006C2349">
      <w:pPr>
        <w:rPr>
          <w:szCs w:val="22"/>
        </w:rPr>
      </w:pPr>
      <w:r>
        <w:rPr>
          <w:szCs w:val="22"/>
        </w:rPr>
        <w:t>The policy options may have a greater impact on services who recruit predominantly culturally diverse educators and/or service culturally diverse families</w:t>
      </w:r>
      <w:r w:rsidR="00FE0631">
        <w:rPr>
          <w:szCs w:val="22"/>
        </w:rPr>
        <w:t xml:space="preserve">. </w:t>
      </w:r>
      <w:r w:rsidR="00A156C8" w:rsidRPr="00A156C8">
        <w:rPr>
          <w:szCs w:val="22"/>
        </w:rPr>
        <w:t xml:space="preserve">A small number of forum participants raised that </w:t>
      </w:r>
      <w:r w:rsidR="00A156C8">
        <w:rPr>
          <w:szCs w:val="22"/>
        </w:rPr>
        <w:t>c</w:t>
      </w:r>
      <w:r>
        <w:rPr>
          <w:szCs w:val="22"/>
        </w:rPr>
        <w:t xml:space="preserve">ulturally diverse educators or staff members may have different cultural beliefs about what constitutes inappropriate behaviour in the context of caring for children. </w:t>
      </w:r>
    </w:p>
    <w:p w14:paraId="61CF254B" w14:textId="5599F2AF" w:rsidR="006A19B4" w:rsidRDefault="00A268F2" w:rsidP="00A268F2">
      <w:pPr>
        <w:pStyle w:val="Quote1"/>
        <w:rPr>
          <w:szCs w:val="22"/>
        </w:rPr>
      </w:pPr>
      <w:r>
        <w:t>“</w:t>
      </w:r>
      <w:r w:rsidR="006A19B4">
        <w:rPr>
          <w:szCs w:val="22"/>
        </w:rPr>
        <w:t>W</w:t>
      </w:r>
      <w:r w:rsidR="006A19B4" w:rsidRPr="006A19B4">
        <w:rPr>
          <w:szCs w:val="22"/>
        </w:rPr>
        <w:t xml:space="preserve">e have definitely seen experiences of </w:t>
      </w:r>
      <w:r w:rsidR="006A19B4">
        <w:rPr>
          <w:szCs w:val="22"/>
        </w:rPr>
        <w:t>educators</w:t>
      </w:r>
      <w:r w:rsidR="006A19B4" w:rsidRPr="006A19B4">
        <w:rPr>
          <w:szCs w:val="22"/>
        </w:rPr>
        <w:t xml:space="preserve"> from different </w:t>
      </w:r>
      <w:r w:rsidR="006A19B4">
        <w:rPr>
          <w:szCs w:val="22"/>
        </w:rPr>
        <w:t>CALD</w:t>
      </w:r>
      <w:r w:rsidR="006A19B4" w:rsidRPr="006A19B4">
        <w:rPr>
          <w:szCs w:val="22"/>
        </w:rPr>
        <w:t xml:space="preserve"> backgrounds and different cultures who have different</w:t>
      </w:r>
      <w:r w:rsidR="006A19B4">
        <w:rPr>
          <w:szCs w:val="22"/>
        </w:rPr>
        <w:t xml:space="preserve"> </w:t>
      </w:r>
      <w:r w:rsidR="006A19B4" w:rsidRPr="006A19B4">
        <w:rPr>
          <w:szCs w:val="22"/>
        </w:rPr>
        <w:t>ways of interacting or</w:t>
      </w:r>
      <w:r w:rsidR="006A19B4">
        <w:rPr>
          <w:szCs w:val="22"/>
        </w:rPr>
        <w:t xml:space="preserve"> d</w:t>
      </w:r>
      <w:r w:rsidR="006A19B4" w:rsidRPr="006A19B4">
        <w:rPr>
          <w:szCs w:val="22"/>
        </w:rPr>
        <w:t xml:space="preserve">ifferent understandings of what's appropriate </w:t>
      </w:r>
      <w:r>
        <w:t>t</w:t>
      </w:r>
      <w:r w:rsidR="006A19B4" w:rsidRPr="006A19B4">
        <w:t>o</w:t>
      </w:r>
      <w:r w:rsidR="006A19B4" w:rsidRPr="006A19B4">
        <w:rPr>
          <w:szCs w:val="22"/>
        </w:rPr>
        <w:t xml:space="preserve"> the mainstream Western culture</w:t>
      </w:r>
      <w:r>
        <w:t xml:space="preserve">. </w:t>
      </w:r>
      <w:r w:rsidR="006A19B4" w:rsidRPr="006A19B4">
        <w:rPr>
          <w:szCs w:val="22"/>
        </w:rPr>
        <w:t>Or from families from different backgrounds who have a different understanding of what's expected with their children</w:t>
      </w:r>
      <w:r w:rsidR="006A19B4" w:rsidRPr="006A19B4">
        <w:t>.</w:t>
      </w:r>
      <w:r>
        <w:t>” Forum participant</w:t>
      </w:r>
    </w:p>
    <w:p w14:paraId="6A261511" w14:textId="4F4AD2D9" w:rsidR="006672D5" w:rsidRDefault="006672D5" w:rsidP="006672D5">
      <w:r>
        <w:t xml:space="preserve">Examples given </w:t>
      </w:r>
      <w:r w:rsidR="00693F4F">
        <w:t xml:space="preserve">through consultation </w:t>
      </w:r>
      <w:r>
        <w:t xml:space="preserve">included around </w:t>
      </w:r>
      <w:r w:rsidR="00D305B8">
        <w:t xml:space="preserve">approach to disciplining children, </w:t>
      </w:r>
      <w:r>
        <w:t>behaviour management</w:t>
      </w:r>
      <w:r w:rsidR="00132C51">
        <w:t xml:space="preserve"> and</w:t>
      </w:r>
      <w:r>
        <w:t xml:space="preserve"> language used around or with children</w:t>
      </w:r>
      <w:r w:rsidR="00693F4F">
        <w:t xml:space="preserve">. </w:t>
      </w:r>
    </w:p>
    <w:p w14:paraId="0DF54B92" w14:textId="536F87E1" w:rsidR="006C2349" w:rsidRDefault="00484165" w:rsidP="006C2349">
      <w:pPr>
        <w:rPr>
          <w:szCs w:val="22"/>
        </w:rPr>
      </w:pPr>
      <w:r>
        <w:rPr>
          <w:szCs w:val="22"/>
        </w:rPr>
        <w:t xml:space="preserve">The policy options may also have a greater impact on services that operate with a single educator model, such as FDCs. </w:t>
      </w:r>
      <w:r w:rsidR="006C2349">
        <w:rPr>
          <w:szCs w:val="22"/>
        </w:rPr>
        <w:t>The adoption of single-educator model</w:t>
      </w:r>
      <w:r w:rsidR="008613CF">
        <w:rPr>
          <w:szCs w:val="22"/>
        </w:rPr>
        <w:t>s</w:t>
      </w:r>
      <w:r w:rsidR="006C2349">
        <w:rPr>
          <w:szCs w:val="22"/>
        </w:rPr>
        <w:t xml:space="preserve"> with limited on-site oversight has raised concerns that accusations and reports of inappropriate conduct </w:t>
      </w:r>
      <w:r w:rsidR="009A5DF0">
        <w:rPr>
          <w:szCs w:val="22"/>
        </w:rPr>
        <w:t xml:space="preserve">could </w:t>
      </w:r>
      <w:r w:rsidR="006C2349">
        <w:rPr>
          <w:szCs w:val="22"/>
        </w:rPr>
        <w:t xml:space="preserve">have severe reputational and professional consequences. These concerns were reflected in survey findings and through consultations. </w:t>
      </w:r>
    </w:p>
    <w:p w14:paraId="052F7A99" w14:textId="2C3C43BF" w:rsidR="006C2349" w:rsidRDefault="006C2349" w:rsidP="008178AE">
      <w:r>
        <w:t xml:space="preserve">Option 3 may also result in disproportionate impacts for Aboriginal and Torres Strait Islander Peoples and ACCO </w:t>
      </w:r>
      <w:r>
        <w:rPr>
          <w:szCs w:val="22"/>
        </w:rPr>
        <w:t>education and care services, which are outlined below</w:t>
      </w:r>
      <w:r>
        <w:t>.</w:t>
      </w:r>
    </w:p>
    <w:tbl>
      <w:tblPr>
        <w:tblW w:w="0" w:type="auto"/>
        <w:tblCellMar>
          <w:top w:w="113" w:type="dxa"/>
          <w:bottom w:w="113" w:type="dxa"/>
        </w:tblCellMar>
        <w:tblLook w:val="04A0" w:firstRow="1" w:lastRow="0" w:firstColumn="1" w:lastColumn="0" w:noHBand="0" w:noVBand="1"/>
        <w:tblCaption w:val="Box 7.1: Aboriginal and Torres Strait Islander People Stakeholder Views"/>
        <w:tblDescription w:val="This table outlines the Aboriginal and Torres Strait Islander People Stakeholder Views on making inapprpriate conduct an offence."/>
      </w:tblPr>
      <w:tblGrid>
        <w:gridCol w:w="9020"/>
      </w:tblGrid>
      <w:tr w:rsidR="006C2349" w14:paraId="6BC98660" w14:textId="77777777" w:rsidTr="00B9266B">
        <w:tc>
          <w:tcPr>
            <w:tcW w:w="9020" w:type="dxa"/>
            <w:tcBorders>
              <w:top w:val="nil"/>
              <w:left w:val="nil"/>
              <w:bottom w:val="nil"/>
              <w:right w:val="nil"/>
            </w:tcBorders>
            <w:shd w:val="clear" w:color="auto" w:fill="FFF2CC" w:themeFill="accent3" w:themeFillTint="33"/>
          </w:tcPr>
          <w:p w14:paraId="6B8402A9" w14:textId="4B2479A2" w:rsidR="006C2349" w:rsidRPr="006B0059" w:rsidRDefault="006C2349">
            <w:pPr>
              <w:rPr>
                <w:b/>
                <w:szCs w:val="22"/>
              </w:rPr>
            </w:pPr>
            <w:r w:rsidRPr="006B0059">
              <w:rPr>
                <w:b/>
                <w:szCs w:val="22"/>
              </w:rPr>
              <w:t xml:space="preserve">Box </w:t>
            </w:r>
            <w:r>
              <w:rPr>
                <w:b/>
                <w:szCs w:val="22"/>
              </w:rPr>
              <w:t>7</w:t>
            </w:r>
            <w:r w:rsidRPr="006B0059">
              <w:rPr>
                <w:b/>
                <w:szCs w:val="22"/>
              </w:rPr>
              <w:t xml:space="preserve">.1: </w:t>
            </w:r>
            <w:r w:rsidR="00E227D8">
              <w:rPr>
                <w:b/>
                <w:szCs w:val="22"/>
              </w:rPr>
              <w:t>Aboriginal and Torres Strait Islander People Stakeholder Views</w:t>
            </w:r>
          </w:p>
          <w:p w14:paraId="4266EE80" w14:textId="515B2C05" w:rsidR="006C2349" w:rsidRDefault="006C2349">
            <w:pPr>
              <w:rPr>
                <w:szCs w:val="22"/>
              </w:rPr>
            </w:pPr>
            <w:r w:rsidRPr="000C217B">
              <w:rPr>
                <w:szCs w:val="22"/>
              </w:rPr>
              <w:t xml:space="preserve">Aboriginal and Torres Strait Islander stakeholders </w:t>
            </w:r>
            <w:r>
              <w:rPr>
                <w:szCs w:val="22"/>
              </w:rPr>
              <w:t xml:space="preserve">highlighted that any definition of an offence or conduct needs to be clear and consider the provision of culturally appropriate education and care for Aboriginal and Torres Strait Islander children. Stakeholders did not provide specific examples here of phrases or elements that should be removed or what a better definition might be, but identified how the current definition could be misinterpreted or misapplied in certain cultural contexts. </w:t>
            </w:r>
            <w:r w:rsidR="006D419F">
              <w:rPr>
                <w:szCs w:val="22"/>
              </w:rPr>
              <w:t xml:space="preserve">This includes if certain language or behaviours are taken out of context </w:t>
            </w:r>
            <w:r w:rsidR="00C82FEA">
              <w:rPr>
                <w:szCs w:val="22"/>
              </w:rPr>
              <w:t>or observed by someone without understanding of the educator</w:t>
            </w:r>
            <w:r w:rsidR="00916FB1">
              <w:rPr>
                <w:szCs w:val="22"/>
              </w:rPr>
              <w:t>/child relationship or culture, this may be misconstrued as an offence</w:t>
            </w:r>
            <w:r w:rsidR="00AF5CCC">
              <w:rPr>
                <w:szCs w:val="22"/>
              </w:rPr>
              <w:t xml:space="preserve">. This is similar to concerns raised by </w:t>
            </w:r>
            <w:r w:rsidR="005E3790">
              <w:rPr>
                <w:szCs w:val="22"/>
              </w:rPr>
              <w:t>non-Aboriginal</w:t>
            </w:r>
            <w:r w:rsidR="00AF5CCC">
              <w:rPr>
                <w:szCs w:val="22"/>
              </w:rPr>
              <w:t xml:space="preserve"> and Torres Strait Islander stakeholders, however it is amplified due to low understanding by the general public and western settings of Aboriginal and Torres Strait Islander cultures. </w:t>
            </w:r>
            <w:r>
              <w:rPr>
                <w:szCs w:val="22"/>
              </w:rPr>
              <w:t xml:space="preserve">A definition that comes directly </w:t>
            </w:r>
            <w:r>
              <w:rPr>
                <w:szCs w:val="22"/>
              </w:rPr>
              <w:lastRenderedPageBreak/>
              <w:t>from Aboriginal and Torres Strait Islander peoples, instead of responding to an existing list of behaviours, may support greater clarification on the types of behaviours that should be considered under the definition.</w:t>
            </w:r>
          </w:p>
          <w:p w14:paraId="01D88DEE" w14:textId="7961F511" w:rsidR="006F40B6" w:rsidRPr="00A47787" w:rsidRDefault="006C2349">
            <w:pPr>
              <w:rPr>
                <w:szCs w:val="22"/>
              </w:rPr>
            </w:pPr>
            <w:r w:rsidRPr="000C217B">
              <w:rPr>
                <w:szCs w:val="22"/>
              </w:rPr>
              <w:t xml:space="preserve">Aboriginal and Torres Strait Islander stakeholders </w:t>
            </w:r>
            <w:r>
              <w:rPr>
                <w:szCs w:val="22"/>
              </w:rPr>
              <w:t>also raised that ACCO education and care services, particularly in many remote services, can look different to the ‘mainstream’ education and care services as educators can be family members, Elders and community leaders. Their roles go beyond that of an education and care service employee and this situation requires additional consideration when developing offence definitions to mitigate any unintended consequences on the community and their ways of working.</w:t>
            </w:r>
          </w:p>
        </w:tc>
      </w:tr>
    </w:tbl>
    <w:p w14:paraId="27CE7F0F" w14:textId="77777777" w:rsidR="006C2349" w:rsidRDefault="006C2349" w:rsidP="006C2349">
      <w:pPr>
        <w:rPr>
          <w:szCs w:val="22"/>
        </w:rPr>
      </w:pPr>
    </w:p>
    <w:p w14:paraId="27A1E2B9" w14:textId="0D941522" w:rsidR="00A25534" w:rsidRPr="00A25534" w:rsidRDefault="00A25534" w:rsidP="00A25534">
      <w:pPr>
        <w:rPr>
          <w:szCs w:val="22"/>
        </w:rPr>
      </w:pPr>
      <w:r w:rsidRPr="00A25534">
        <w:rPr>
          <w:szCs w:val="22"/>
        </w:rPr>
        <w:t xml:space="preserve">In response to this feedback, the definition of what would constitute inappropriate conduct under the National Law, </w:t>
      </w:r>
      <w:r w:rsidR="00267631">
        <w:rPr>
          <w:szCs w:val="22"/>
        </w:rPr>
        <w:t>for</w:t>
      </w:r>
      <w:r w:rsidR="00267631" w:rsidRPr="00A25534">
        <w:rPr>
          <w:szCs w:val="22"/>
        </w:rPr>
        <w:t xml:space="preserve"> </w:t>
      </w:r>
      <w:r w:rsidRPr="00A25534">
        <w:rPr>
          <w:szCs w:val="22"/>
        </w:rPr>
        <w:t xml:space="preserve">option 3 will be </w:t>
      </w:r>
      <w:r w:rsidR="0072613D">
        <w:rPr>
          <w:szCs w:val="22"/>
        </w:rPr>
        <w:t>determined</w:t>
      </w:r>
      <w:r w:rsidR="0072613D" w:rsidRPr="00A25534">
        <w:rPr>
          <w:szCs w:val="22"/>
        </w:rPr>
        <w:t xml:space="preserve"> </w:t>
      </w:r>
      <w:r w:rsidRPr="00A25534">
        <w:rPr>
          <w:szCs w:val="22"/>
        </w:rPr>
        <w:t xml:space="preserve">through legislative drafting. </w:t>
      </w:r>
      <w:r w:rsidR="002E244C">
        <w:rPr>
          <w:szCs w:val="22"/>
        </w:rPr>
        <w:t xml:space="preserve">This will reduce overlap with criminal law and serious offences and introduce a more limited scope for inappropriate conduct. </w:t>
      </w:r>
      <w:r w:rsidRPr="00A25534">
        <w:rPr>
          <w:szCs w:val="22"/>
        </w:rPr>
        <w:t xml:space="preserve">It is intended that the definition will minimise unintended consequences to sector stakeholders while still seeking to obtain a higher child safety standard. </w:t>
      </w:r>
    </w:p>
    <w:p w14:paraId="126E7E71" w14:textId="37BEA72A" w:rsidR="006C2349" w:rsidRPr="00F3227B" w:rsidRDefault="006C2349" w:rsidP="006C2349">
      <w:r w:rsidRPr="00F3227B">
        <w:t xml:space="preserve">Option 2 is less likely to result in negative distributional impacts, as any changes to </w:t>
      </w:r>
      <w:r w:rsidR="00B35BCC">
        <w:t>Codes of Conduct</w:t>
      </w:r>
      <w:r w:rsidRPr="00F3227B">
        <w:t xml:space="preserve"> will be at the discretion of approved providers. </w:t>
      </w:r>
      <w:r w:rsidR="000D2183">
        <w:t>S</w:t>
      </w:r>
      <w:r w:rsidRPr="00F3227B">
        <w:t xml:space="preserve">ome approved providers may impose a </w:t>
      </w:r>
      <w:r w:rsidR="00B35BCC">
        <w:t>Code of Conduct</w:t>
      </w:r>
      <w:r w:rsidRPr="00F3227B">
        <w:t xml:space="preserve"> that is not </w:t>
      </w:r>
      <w:r>
        <w:t>sufficiently tailored</w:t>
      </w:r>
      <w:r w:rsidRPr="00F3227B">
        <w:t xml:space="preserve"> to the cultural </w:t>
      </w:r>
      <w:r>
        <w:t xml:space="preserve">contexts of </w:t>
      </w:r>
      <w:r w:rsidRPr="00F3227B">
        <w:t xml:space="preserve">staff </w:t>
      </w:r>
      <w:r>
        <w:t xml:space="preserve">members </w:t>
      </w:r>
      <w:r w:rsidRPr="00F3227B">
        <w:t xml:space="preserve">and </w:t>
      </w:r>
      <w:r>
        <w:t>the children in their care</w:t>
      </w:r>
      <w:r w:rsidR="00F7540E">
        <w:t>. H</w:t>
      </w:r>
      <w:r w:rsidRPr="00F3227B">
        <w:t>owever</w:t>
      </w:r>
      <w:r w:rsidR="00F7540E">
        <w:t>,</w:t>
      </w:r>
      <w:r w:rsidRPr="00F3227B">
        <w:t xml:space="preserve"> this is less likely to be an issue than </w:t>
      </w:r>
      <w:r w:rsidR="00F7540E">
        <w:t xml:space="preserve">the </w:t>
      </w:r>
      <w:r w:rsidRPr="00F3227B">
        <w:t>widespread adoption of a single legislated definition of inappropriate conduct.</w:t>
      </w:r>
    </w:p>
    <w:p w14:paraId="0493DEE9" w14:textId="63ED09E1" w:rsidR="006C2349" w:rsidRPr="00F3227B" w:rsidRDefault="006C2349" w:rsidP="006C2349">
      <w:r w:rsidRPr="00F3227B">
        <w:t xml:space="preserve">Based on the identified impacts, option 2 has been assigned </w:t>
      </w:r>
      <w:r w:rsidR="003055D7">
        <w:t>an MCA</w:t>
      </w:r>
      <w:r w:rsidRPr="00F3227B">
        <w:t xml:space="preserve"> score of negative one</w:t>
      </w:r>
      <w:r w:rsidRPr="0008780C">
        <w:t xml:space="preserve"> </w:t>
      </w:r>
      <w:r>
        <w:t>for this criterion</w:t>
      </w:r>
      <w:r w:rsidRPr="00F3227B">
        <w:t xml:space="preserve">, and option 3 has been assigned </w:t>
      </w:r>
      <w:r w:rsidR="003055D7">
        <w:t>an MCA</w:t>
      </w:r>
      <w:r w:rsidRPr="00F3227B">
        <w:t xml:space="preserve"> score of negative four</w:t>
      </w:r>
      <w:r w:rsidRPr="0008780C">
        <w:t xml:space="preserve"> </w:t>
      </w:r>
      <w:r>
        <w:t>for this criterion</w:t>
      </w:r>
      <w:r w:rsidRPr="00F3227B">
        <w:t xml:space="preserve">. </w:t>
      </w:r>
    </w:p>
    <w:p w14:paraId="3A37E01E" w14:textId="677C8F96" w:rsidR="00D733F0" w:rsidRPr="00A452B2" w:rsidRDefault="00D733F0" w:rsidP="00D733F0">
      <w:pPr>
        <w:pStyle w:val="Heading4"/>
      </w:pPr>
      <w:r w:rsidRPr="00A452B2">
        <w:t>Stakeholder</w:t>
      </w:r>
      <w:r w:rsidR="00BF7E16">
        <w:t>s’ preferred option</w:t>
      </w:r>
    </w:p>
    <w:p w14:paraId="0BCD8162" w14:textId="04FB7B84" w:rsidR="00D733F0" w:rsidRDefault="00D733F0">
      <w:r w:rsidRPr="007F06A3">
        <w:t>Across</w:t>
      </w:r>
      <w:r w:rsidRPr="00837288">
        <w:t xml:space="preserve"> </w:t>
      </w:r>
      <w:r>
        <w:t>survey respondents</w:t>
      </w:r>
      <w:r w:rsidRPr="00734540">
        <w:t xml:space="preserve">, </w:t>
      </w:r>
      <w:r>
        <w:t xml:space="preserve">option 3 was the </w:t>
      </w:r>
      <w:r w:rsidR="00BF7E16">
        <w:t>preferred</w:t>
      </w:r>
      <w:r w:rsidR="004C5562">
        <w:t xml:space="preserve"> option</w:t>
      </w:r>
      <w:r>
        <w:t xml:space="preserve"> for this recommendation. </w:t>
      </w:r>
      <w:r w:rsidRPr="007949A6">
        <w:t xml:space="preserve">Approximately </w:t>
      </w:r>
      <w:r>
        <w:t xml:space="preserve">72% of approved providers identified option 3 as their </w:t>
      </w:r>
      <w:r w:rsidR="00BF7E16">
        <w:t>preferred</w:t>
      </w:r>
      <w:r w:rsidR="004C5562">
        <w:t xml:space="preserve"> option</w:t>
      </w:r>
      <w:r>
        <w:t xml:space="preserve"> – some of these preferences being in conjunction with option 2, as shown in Chart 7.4 below</w:t>
      </w:r>
      <w:r w:rsidRPr="007949A6">
        <w:t>.</w:t>
      </w:r>
      <w:r>
        <w:t xml:space="preserve"> In consultation, some approved providers indicated that they supported option 3 in principle but did not agree with the draft definition of inappropriate conduct (which is subject to </w:t>
      </w:r>
      <w:r w:rsidR="0072613D">
        <w:t>be determined</w:t>
      </w:r>
      <w:r>
        <w:t xml:space="preserve">). Similarly, 48% of the education and care workforce identified option 3 as their </w:t>
      </w:r>
      <w:r w:rsidR="00BF7E16">
        <w:t>preferred</w:t>
      </w:r>
      <w:r w:rsidR="004C5562">
        <w:t xml:space="preserve"> option</w:t>
      </w:r>
      <w:r>
        <w:t xml:space="preserve"> – an additional 22% </w:t>
      </w:r>
      <w:r w:rsidR="00BF7E16">
        <w:t>preferred</w:t>
      </w:r>
      <w:r w:rsidR="004C5562">
        <w:t xml:space="preserve"> option</w:t>
      </w:r>
      <w:r>
        <w:t xml:space="preserve"> 3 in conjunction with option 2 </w:t>
      </w:r>
      <w:r>
        <w:lastRenderedPageBreak/>
        <w:t xml:space="preserve">(Appendix </w:t>
      </w:r>
      <w:r w:rsidR="00D7053B">
        <w:t xml:space="preserve">Chart </w:t>
      </w:r>
      <w:r>
        <w:t>12.3.3</w:t>
      </w:r>
      <w:r w:rsidR="00D7053B">
        <w:t>.5</w:t>
      </w:r>
      <w:r>
        <w:t xml:space="preserve">). Finally, 76% of surveyed parents, families and carers identified option 3 as their </w:t>
      </w:r>
      <w:r w:rsidR="00BF7E16">
        <w:t>preferred</w:t>
      </w:r>
      <w:r w:rsidR="004C5562">
        <w:t xml:space="preserve"> option</w:t>
      </w:r>
      <w:r>
        <w:t xml:space="preserve"> – an additional 18% </w:t>
      </w:r>
      <w:r w:rsidR="00BF7E16">
        <w:t>preferred</w:t>
      </w:r>
      <w:r w:rsidR="004C5562">
        <w:t xml:space="preserve"> option</w:t>
      </w:r>
      <w:r>
        <w:t xml:space="preserve"> 3 in conjunction with option 2 (Appendix </w:t>
      </w:r>
      <w:r w:rsidR="00D7053B">
        <w:t xml:space="preserve">Chart </w:t>
      </w:r>
      <w:r>
        <w:t>12.3.3</w:t>
      </w:r>
      <w:r w:rsidR="00D7053B">
        <w:t>.6</w:t>
      </w:r>
      <w:r>
        <w:t>).</w:t>
      </w:r>
      <w:r w:rsidR="5F7CB166">
        <w:t xml:space="preserve"> </w:t>
      </w:r>
    </w:p>
    <w:p w14:paraId="15F2B411" w14:textId="68168FEB" w:rsidR="00D733F0" w:rsidRDefault="002270B1" w:rsidP="00D733F0">
      <w:r>
        <w:t>Among long form written</w:t>
      </w:r>
      <w:r w:rsidR="11F1AF2C">
        <w:t xml:space="preserve"> </w:t>
      </w:r>
      <w:r>
        <w:t xml:space="preserve">submissions there was also </w:t>
      </w:r>
      <w:r w:rsidR="03F994F3">
        <w:t>majority</w:t>
      </w:r>
      <w:r>
        <w:t xml:space="preserve"> support for option 3. Most</w:t>
      </w:r>
      <w:r w:rsidR="1A27B353">
        <w:t xml:space="preserve"> </w:t>
      </w:r>
      <w:r w:rsidR="5F7CB166">
        <w:t>large provider</w:t>
      </w:r>
      <w:r w:rsidR="00F45D82">
        <w:t xml:space="preserve"> </w:t>
      </w:r>
      <w:r w:rsidR="5F7CB166">
        <w:t>long form written submissions expressed support for option 2. Around half of the large provider long form written submissions expressed support for option 3</w:t>
      </w:r>
      <w:r w:rsidR="3C42272C">
        <w:t xml:space="preserve">, reflecting concerns regarding the definition of inappropriate conduct and potential scope for </w:t>
      </w:r>
      <w:r w:rsidR="46B155B2">
        <w:t>‘disproportionate’ responses to educator behaviours</w:t>
      </w:r>
      <w:r w:rsidR="5F7CB166">
        <w:t xml:space="preserve">. </w:t>
      </w:r>
    </w:p>
    <w:p w14:paraId="18242F16" w14:textId="331D7D7A" w:rsidR="00D733F0" w:rsidRPr="00840DC0" w:rsidRDefault="00D733F0" w:rsidP="00D733F0">
      <w:pPr>
        <w:pStyle w:val="CaptionChart"/>
        <w:numPr>
          <w:ilvl w:val="7"/>
          <w:numId w:val="0"/>
        </w:numPr>
        <w:rPr>
          <w:i/>
          <w:iCs/>
          <w:color w:val="14233C" w:themeColor="text2"/>
          <w:sz w:val="18"/>
          <w:szCs w:val="20"/>
        </w:rPr>
      </w:pPr>
      <w:r w:rsidRPr="00840DC0">
        <w:rPr>
          <w:i/>
          <w:iCs/>
          <w:color w:val="14233C" w:themeColor="text2"/>
          <w:sz w:val="18"/>
          <w:szCs w:val="20"/>
        </w:rPr>
        <w:t xml:space="preserve">Chart 7.4 Approved provider responses to “What is your </w:t>
      </w:r>
      <w:r w:rsidR="00B734E0">
        <w:rPr>
          <w:i/>
          <w:iCs/>
          <w:color w:val="14233C" w:themeColor="text2"/>
          <w:sz w:val="18"/>
          <w:szCs w:val="20"/>
        </w:rPr>
        <w:t>preferred</w:t>
      </w:r>
      <w:r w:rsidR="004C5562">
        <w:rPr>
          <w:i/>
          <w:iCs/>
          <w:color w:val="14233C" w:themeColor="text2"/>
          <w:sz w:val="18"/>
          <w:szCs w:val="20"/>
        </w:rPr>
        <w:t xml:space="preserve"> option</w:t>
      </w:r>
      <w:r w:rsidRPr="00840DC0">
        <w:rPr>
          <w:i/>
          <w:iCs/>
          <w:color w:val="14233C" w:themeColor="text2"/>
          <w:sz w:val="18"/>
          <w:szCs w:val="20"/>
        </w:rPr>
        <w:t xml:space="preserve"> o</w:t>
      </w:r>
      <w:r w:rsidR="00B734E0">
        <w:rPr>
          <w:i/>
          <w:iCs/>
          <w:color w:val="14233C" w:themeColor="text2"/>
          <w:sz w:val="18"/>
          <w:szCs w:val="20"/>
        </w:rPr>
        <w:t>r</w:t>
      </w:r>
      <w:r w:rsidRPr="00840DC0">
        <w:rPr>
          <w:i/>
          <w:iCs/>
          <w:color w:val="14233C" w:themeColor="text2"/>
          <w:sz w:val="18"/>
          <w:szCs w:val="20"/>
        </w:rPr>
        <w:t xml:space="preserve"> combination of options?” </w:t>
      </w:r>
    </w:p>
    <w:p w14:paraId="3F2F281F" w14:textId="77777777" w:rsidR="00D733F0" w:rsidRPr="00F14D4B" w:rsidRDefault="00D733F0" w:rsidP="00976C70">
      <w:pPr>
        <w:pStyle w:val="Source-CSR"/>
      </w:pPr>
      <w:r w:rsidRPr="00F14D4B">
        <w:rPr>
          <w:noProof/>
          <w14:ligatures w14:val="standardContextual"/>
        </w:rPr>
        <w:drawing>
          <wp:inline distT="0" distB="0" distL="0" distR="0" wp14:anchorId="0F2311E5" wp14:editId="3F5C3777">
            <wp:extent cx="5727700" cy="1626235"/>
            <wp:effectExtent l="0" t="0" r="6350" b="0"/>
            <wp:docPr id="1327123728" name="Chart 1" descr="Chart outlining approved provider responses to the question &quot;What is your preferred option or combination of options?&quot;">
              <a:extLst xmlns:a="http://schemas.openxmlformats.org/drawingml/2006/main">
                <a:ext uri="{FF2B5EF4-FFF2-40B4-BE49-F238E27FC236}">
                  <a16:creationId xmlns:a16="http://schemas.microsoft.com/office/drawing/2014/main" id="{6D8E0642-3A90-F3A6-57CD-75A753216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636B94">
        <w:t xml:space="preserve"> Source: Approved provider survey, as of 11 June 2025, Q34, n=156 unique respondents. Note that if a respondent selected a combination of options, that selection is treated as a unique preference and not double-counted in the singular options.</w:t>
      </w:r>
    </w:p>
    <w:p w14:paraId="24F19FF7" w14:textId="0F9E5F10" w:rsidR="006C2349" w:rsidRDefault="006C2349" w:rsidP="006C2349">
      <w:pPr>
        <w:pStyle w:val="Heading3"/>
      </w:pPr>
      <w:r>
        <w:t xml:space="preserve">What is the </w:t>
      </w:r>
      <w:r w:rsidR="004C5562">
        <w:t>recommended option</w:t>
      </w:r>
      <w:r>
        <w:t>(s) and how will it be implemented?</w:t>
      </w:r>
    </w:p>
    <w:p w14:paraId="2B86691D" w14:textId="68768ECB" w:rsidR="00F67824" w:rsidRDefault="00635586" w:rsidP="00193141">
      <w:r w:rsidRPr="007D27A8">
        <w:t>Based on analysis included in this DRIS, the option</w:t>
      </w:r>
      <w:r w:rsidR="00C264B7">
        <w:t>s</w:t>
      </w:r>
      <w:r w:rsidRPr="007D27A8">
        <w:t xml:space="preserve"> with the highest net benefit to be provided to Education Ministers for consideration</w:t>
      </w:r>
      <w:r>
        <w:t xml:space="preserve"> are</w:t>
      </w:r>
      <w:r w:rsidRPr="007D27A8">
        <w:t xml:space="preserve"> </w:t>
      </w:r>
      <w:r w:rsidR="00E174AB">
        <w:t>o</w:t>
      </w:r>
      <w:r w:rsidR="006C2349">
        <w:t>ption</w:t>
      </w:r>
      <w:r w:rsidR="009F22D2">
        <w:t>s 2 (non</w:t>
      </w:r>
      <w:r w:rsidR="00804338">
        <w:t>-</w:t>
      </w:r>
      <w:r w:rsidR="009F22D2">
        <w:t>regulatory guidance) and</w:t>
      </w:r>
      <w:r w:rsidR="006C2349">
        <w:t xml:space="preserve"> 3 (making inappropriate conduct </w:t>
      </w:r>
      <w:r w:rsidR="00F7540E">
        <w:t>a</w:t>
      </w:r>
      <w:r w:rsidR="006C2349">
        <w:t>n offence)</w:t>
      </w:r>
      <w:r w:rsidR="00E03A01">
        <w:t xml:space="preserve">. </w:t>
      </w:r>
      <w:r w:rsidR="00447B2D">
        <w:t>This is on the basis that th</w:t>
      </w:r>
      <w:r w:rsidR="009F22D2">
        <w:t>ese</w:t>
      </w:r>
      <w:r w:rsidR="00447B2D">
        <w:t xml:space="preserve"> option</w:t>
      </w:r>
      <w:r w:rsidR="009F22D2">
        <w:t>s</w:t>
      </w:r>
      <w:r w:rsidR="00447B2D">
        <w:t xml:space="preserve"> will most improve child safety by strengthening the responses to inappropriate conduct. </w:t>
      </w:r>
    </w:p>
    <w:p w14:paraId="109D37DD" w14:textId="50B0D7B0" w:rsidR="00447B2D" w:rsidRDefault="00447B2D" w:rsidP="00193141">
      <w:r>
        <w:t xml:space="preserve">Stakeholder feedback </w:t>
      </w:r>
      <w:r w:rsidR="0006507E">
        <w:t xml:space="preserve">reinforced a range of considerations that would need to be </w:t>
      </w:r>
      <w:r w:rsidR="00C264B7">
        <w:t>considered</w:t>
      </w:r>
      <w:r w:rsidR="0006507E">
        <w:t xml:space="preserve"> in implementing </w:t>
      </w:r>
      <w:r w:rsidR="00C264B7">
        <w:t xml:space="preserve">these </w:t>
      </w:r>
      <w:r w:rsidR="0006507E">
        <w:t>option</w:t>
      </w:r>
      <w:r w:rsidR="003B7FBA">
        <w:t>s</w:t>
      </w:r>
      <w:r w:rsidR="0006507E">
        <w:t>. This included, for example, feedback that:</w:t>
      </w:r>
    </w:p>
    <w:p w14:paraId="100BAD48" w14:textId="22AA95E6" w:rsidR="00837B72" w:rsidRDefault="0006507E" w:rsidP="00EC53AB">
      <w:pPr>
        <w:pStyle w:val="ListParagraph"/>
        <w:numPr>
          <w:ilvl w:val="0"/>
          <w:numId w:val="103"/>
        </w:numPr>
        <w:ind w:left="426"/>
      </w:pPr>
      <w:r>
        <w:t>The</w:t>
      </w:r>
      <w:r w:rsidR="00837B72">
        <w:t xml:space="preserve"> preferred definition of inappropriate conduct</w:t>
      </w:r>
      <w:r>
        <w:t xml:space="preserve"> will need to be clarified</w:t>
      </w:r>
      <w:r w:rsidR="00841575">
        <w:t>.</w:t>
      </w:r>
      <w:r>
        <w:t xml:space="preserve"> </w:t>
      </w:r>
    </w:p>
    <w:p w14:paraId="5733EFA6" w14:textId="77777777" w:rsidR="0006507E" w:rsidRDefault="0006507E" w:rsidP="00EC53AB">
      <w:pPr>
        <w:pStyle w:val="ListParagraph"/>
        <w:numPr>
          <w:ilvl w:val="0"/>
          <w:numId w:val="103"/>
        </w:numPr>
        <w:ind w:left="426"/>
      </w:pPr>
      <w:r>
        <w:t>The legislative approach should align with current legislation and processes related to inappropriate conduct, including the alignment with the Fair Work Act and jurisdictional reportable conduct schemes.</w:t>
      </w:r>
    </w:p>
    <w:p w14:paraId="138C73D6" w14:textId="7E4D3F9D" w:rsidR="0006507E" w:rsidRDefault="00F64377" w:rsidP="00EC53AB">
      <w:pPr>
        <w:pStyle w:val="ListParagraph"/>
        <w:numPr>
          <w:ilvl w:val="0"/>
          <w:numId w:val="103"/>
        </w:numPr>
        <w:ind w:left="426"/>
      </w:pPr>
      <w:r>
        <w:t xml:space="preserve">The </w:t>
      </w:r>
      <w:r w:rsidR="0006507E">
        <w:t>requirement for confirmed definitions</w:t>
      </w:r>
      <w:r>
        <w:t xml:space="preserve"> of inappropriate conduct </w:t>
      </w:r>
      <w:r w:rsidR="0006507E">
        <w:t>to be communicated in and integrated within</w:t>
      </w:r>
      <w:r>
        <w:t xml:space="preserve"> mandatory child safety training (</w:t>
      </w:r>
      <w:r w:rsidRPr="00241775">
        <w:t xml:space="preserve">Chapter </w:t>
      </w:r>
      <w:r>
        <w:t>6.1), such that stakeholders are well informed about what constitutes inappropriate conduct, and how to prevent and manage it appropriately.</w:t>
      </w:r>
    </w:p>
    <w:p w14:paraId="731FC9EE" w14:textId="586E9EEE" w:rsidR="009A2384" w:rsidRPr="009826D0" w:rsidRDefault="0006507E" w:rsidP="00113926">
      <w:pPr>
        <w:spacing w:after="160"/>
      </w:pPr>
      <w:r>
        <w:lastRenderedPageBreak/>
        <w:t>In proceeding to implement option</w:t>
      </w:r>
      <w:r w:rsidR="00AE3154">
        <w:t xml:space="preserve"> 3</w:t>
      </w:r>
      <w:r w:rsidR="00304791">
        <w:t xml:space="preserve">, the governments will ensure that the provisions prescribing inappropriate conduct as an offence are consistent with </w:t>
      </w:r>
      <w:r w:rsidR="00304791" w:rsidRPr="009826D0">
        <w:t>fundamental legislative principles</w:t>
      </w:r>
      <w:r w:rsidR="00113926">
        <w:t xml:space="preserve">. For </w:t>
      </w:r>
      <w:r w:rsidR="00304791" w:rsidRPr="009826D0">
        <w:t>example</w:t>
      </w:r>
      <w:r w:rsidR="00113926">
        <w:t>, taking into consideration p</w:t>
      </w:r>
      <w:r w:rsidR="009826D0" w:rsidRPr="009826D0">
        <w:t xml:space="preserve">otential overlap between existing offences </w:t>
      </w:r>
      <w:r w:rsidR="0082269D">
        <w:t xml:space="preserve">in other legislation </w:t>
      </w:r>
      <w:r w:rsidR="009826D0" w:rsidRPr="009826D0">
        <w:t xml:space="preserve">and the definition of inappropriate conduct (with the intent that no act already prescribed as an offence </w:t>
      </w:r>
      <w:r w:rsidR="0082269D">
        <w:t>in other legislation</w:t>
      </w:r>
      <w:r w:rsidR="0082269D" w:rsidRPr="009826D0">
        <w:t xml:space="preserve"> </w:t>
      </w:r>
      <w:r w:rsidR="009826D0" w:rsidRPr="009826D0">
        <w:t xml:space="preserve">would also be prescribed as </w:t>
      </w:r>
      <w:r w:rsidR="009772DF">
        <w:t>a</w:t>
      </w:r>
      <w:r w:rsidR="009826D0" w:rsidRPr="009826D0">
        <w:t>n offence under a definition of inappropriate conduct)</w:t>
      </w:r>
      <w:r w:rsidR="00841575">
        <w:t>.</w:t>
      </w:r>
    </w:p>
    <w:p w14:paraId="38FF699B" w14:textId="2F25EBBA" w:rsidR="006C2349" w:rsidRDefault="009A2384" w:rsidP="00F8556C">
      <w:pPr>
        <w:spacing w:after="160"/>
        <w:rPr>
          <w:rFonts w:cs="Arial"/>
          <w:bCs/>
          <w:color w:val="006B77"/>
          <w:sz w:val="32"/>
          <w:szCs w:val="40"/>
        </w:rPr>
      </w:pPr>
      <w:r w:rsidRPr="009A2384">
        <w:rPr>
          <w:szCs w:val="22"/>
        </w:rPr>
        <w:t xml:space="preserve">In response to this feedback, </w:t>
      </w:r>
      <w:r w:rsidR="0062636E">
        <w:rPr>
          <w:szCs w:val="22"/>
        </w:rPr>
        <w:t xml:space="preserve">further policy work will be undertaken to </w:t>
      </w:r>
      <w:r w:rsidR="0072613D">
        <w:rPr>
          <w:szCs w:val="22"/>
        </w:rPr>
        <w:t>determine</w:t>
      </w:r>
      <w:r w:rsidR="0072613D" w:rsidRPr="00C54B42">
        <w:rPr>
          <w:szCs w:val="22"/>
        </w:rPr>
        <w:t xml:space="preserve"> </w:t>
      </w:r>
      <w:r w:rsidR="00C54B42" w:rsidRPr="00C54B42">
        <w:rPr>
          <w:szCs w:val="22"/>
        </w:rPr>
        <w:t xml:space="preserve">the specific definition and design of any legislative instrument to prescribe inappropriate conduct as an offence, to </w:t>
      </w:r>
      <w:r w:rsidR="0063045D">
        <w:rPr>
          <w:szCs w:val="22"/>
        </w:rPr>
        <w:t>alleviate potential risks and concerns of stakeholders</w:t>
      </w:r>
      <w:r w:rsidR="00C54B42" w:rsidRPr="00C54B42">
        <w:rPr>
          <w:szCs w:val="22"/>
        </w:rPr>
        <w:t xml:space="preserve"> noted above.</w:t>
      </w:r>
      <w:r w:rsidR="00444A15">
        <w:rPr>
          <w:szCs w:val="22"/>
        </w:rPr>
        <w:t xml:space="preserve"> </w:t>
      </w:r>
      <w:r w:rsidR="006C2349">
        <w:br w:type="page"/>
      </w:r>
    </w:p>
    <w:p w14:paraId="5529BB65" w14:textId="5FD93BC0" w:rsidR="006C2349" w:rsidRDefault="00996890" w:rsidP="00996890">
      <w:pPr>
        <w:pStyle w:val="Heading2"/>
      </w:pPr>
      <w:bookmarkStart w:id="109" w:name="_Toc201934873"/>
      <w:bookmarkStart w:id="110" w:name="_Toc205884893"/>
      <w:r>
        <w:lastRenderedPageBreak/>
        <w:t xml:space="preserve">7.2 </w:t>
      </w:r>
      <w:r w:rsidR="006C2349">
        <w:t>Enhancing Regulatory Authorities’ ability to share information with approved providers</w:t>
      </w:r>
      <w:bookmarkEnd w:id="109"/>
      <w:bookmarkEnd w:id="110"/>
      <w:r w:rsidR="006C2349">
        <w:t xml:space="preserve"> </w:t>
      </w:r>
    </w:p>
    <w:tbl>
      <w:tblPr>
        <w:tblStyle w:val="Deloittetable"/>
        <w:tblW w:w="0" w:type="auto"/>
        <w:tblLook w:val="04A0" w:firstRow="1" w:lastRow="0" w:firstColumn="1" w:lastColumn="0" w:noHBand="0" w:noVBand="1"/>
        <w:tblCaption w:val="Key insights - Enhancing Regulatory Authorities’ ability to share information with approved providers "/>
        <w:tblDescription w:val="This table outlines the key insights for enhancing Regulatory Authorities’ ability to share information with approved providers."/>
      </w:tblPr>
      <w:tblGrid>
        <w:gridCol w:w="9020"/>
      </w:tblGrid>
      <w:tr w:rsidR="00B324ED" w14:paraId="49904AD8" w14:textId="77777777">
        <w:trPr>
          <w:cnfStyle w:val="100000000000" w:firstRow="1" w:lastRow="0" w:firstColumn="0" w:lastColumn="0" w:oddVBand="0" w:evenVBand="0" w:oddHBand="0" w:evenHBand="0" w:firstRowFirstColumn="0" w:firstRowLastColumn="0" w:lastRowFirstColumn="0" w:lastRowLastColumn="0"/>
        </w:trPr>
        <w:tc>
          <w:tcPr>
            <w:tcW w:w="9020" w:type="dxa"/>
            <w:shd w:val="clear" w:color="auto" w:fill="DEE6F4" w:themeFill="text2" w:themeFillTint="1A"/>
          </w:tcPr>
          <w:p w14:paraId="16A35815" w14:textId="77777777" w:rsidR="00B324ED" w:rsidRPr="005347A5" w:rsidRDefault="00B324ED">
            <w:pPr>
              <w:rPr>
                <w:b/>
                <w:bCs/>
                <w:sz w:val="20"/>
                <w:szCs w:val="20"/>
              </w:rPr>
            </w:pPr>
            <w:r w:rsidRPr="005347A5">
              <w:rPr>
                <w:b/>
                <w:bCs/>
                <w:sz w:val="20"/>
                <w:szCs w:val="20"/>
              </w:rPr>
              <w:t xml:space="preserve">Key Insights </w:t>
            </w:r>
          </w:p>
          <w:p w14:paraId="1376D66D" w14:textId="77777777" w:rsidR="00B324ED" w:rsidRPr="00712583" w:rsidRDefault="00B324ED">
            <w:pPr>
              <w:rPr>
                <w:i/>
                <w:szCs w:val="22"/>
              </w:rPr>
            </w:pPr>
            <w:r>
              <w:rPr>
                <w:i/>
                <w:szCs w:val="22"/>
              </w:rPr>
              <w:t>Problem</w:t>
            </w:r>
          </w:p>
          <w:p w14:paraId="608DF654" w14:textId="07904799" w:rsidR="00B324ED" w:rsidRPr="00B324ED" w:rsidRDefault="00B324ED" w:rsidP="00EC53AB">
            <w:pPr>
              <w:pStyle w:val="ListParagraph"/>
              <w:numPr>
                <w:ilvl w:val="0"/>
                <w:numId w:val="99"/>
              </w:numPr>
              <w:spacing w:before="120"/>
              <w:ind w:left="462"/>
              <w:contextualSpacing/>
              <w:rPr>
                <w:szCs w:val="20"/>
              </w:rPr>
            </w:pPr>
            <w:r w:rsidRPr="00B324ED">
              <w:rPr>
                <w:szCs w:val="20"/>
              </w:rPr>
              <w:t>Currently, there is no legislative power to enable Regulatory Authorities (or ACECQA) to disclose information regarding a prohibition status or suspension in the case of an FDC educator to a person’s current approved provider, without that approved provider’s request.</w:t>
            </w:r>
          </w:p>
          <w:p w14:paraId="56A0A2FB" w14:textId="274F3926" w:rsidR="000E08C4" w:rsidRPr="000E08C4" w:rsidRDefault="00B324ED" w:rsidP="00EC53AB">
            <w:pPr>
              <w:pStyle w:val="ListParagraph"/>
              <w:numPr>
                <w:ilvl w:val="0"/>
                <w:numId w:val="99"/>
              </w:numPr>
              <w:spacing w:before="120"/>
              <w:ind w:left="462"/>
              <w:contextualSpacing/>
              <w:rPr>
                <w:szCs w:val="20"/>
              </w:rPr>
            </w:pPr>
            <w:r w:rsidRPr="00B324ED">
              <w:rPr>
                <w:szCs w:val="20"/>
              </w:rPr>
              <w:t>Where Regulatory Authorities (or ACECQA) are made aware of a prohibited person operating in an education and care service or suspended FDC educator, Regulatory Authorities are restricted in its powers and is unable to disclose this crucial information to support early intervention and mitigation of harm to children.</w:t>
            </w:r>
          </w:p>
          <w:p w14:paraId="1247A787" w14:textId="2DA6AF8C" w:rsidR="00B324ED" w:rsidRPr="000E08C4" w:rsidRDefault="00033760" w:rsidP="000E08C4">
            <w:pPr>
              <w:pStyle w:val="ListParagraph"/>
              <w:numPr>
                <w:ilvl w:val="0"/>
                <w:numId w:val="0"/>
              </w:numPr>
              <w:spacing w:before="120"/>
              <w:contextualSpacing/>
              <w:rPr>
                <w:szCs w:val="20"/>
              </w:rPr>
            </w:pPr>
            <w:r>
              <w:rPr>
                <w:i/>
                <w:szCs w:val="20"/>
              </w:rPr>
              <w:t>Impacts of each option</w:t>
            </w:r>
          </w:p>
          <w:p w14:paraId="6B7840AE" w14:textId="02ED7086" w:rsidR="007B415A" w:rsidRPr="007B415A" w:rsidRDefault="007B415A" w:rsidP="00EC53AB">
            <w:pPr>
              <w:pStyle w:val="ListParagraph"/>
              <w:numPr>
                <w:ilvl w:val="0"/>
                <w:numId w:val="100"/>
              </w:numPr>
              <w:tabs>
                <w:tab w:val="clear" w:pos="2835"/>
              </w:tabs>
              <w:spacing w:before="120"/>
              <w:ind w:left="462"/>
              <w:contextualSpacing/>
              <w:rPr>
                <w:szCs w:val="20"/>
              </w:rPr>
            </w:pPr>
            <w:r w:rsidRPr="007B415A">
              <w:rPr>
                <w:szCs w:val="20"/>
              </w:rPr>
              <w:t xml:space="preserve">Both options 3 and 4 were viewed as important measures for improving child safety to ensure approved providers are always aware of prohibitions, suspensions (for FDC educators), or enforceable undertakings that apply to an individual. </w:t>
            </w:r>
          </w:p>
          <w:p w14:paraId="5CDD6793" w14:textId="1940AB57" w:rsidR="002A4CC4" w:rsidRPr="000F4A52" w:rsidRDefault="002A4CC4" w:rsidP="00EC53AB">
            <w:pPr>
              <w:pStyle w:val="ListParagraph"/>
              <w:numPr>
                <w:ilvl w:val="0"/>
                <w:numId w:val="100"/>
              </w:numPr>
              <w:tabs>
                <w:tab w:val="clear" w:pos="2835"/>
              </w:tabs>
              <w:spacing w:before="120"/>
              <w:ind w:left="462"/>
              <w:contextualSpacing/>
              <w:rPr>
                <w:szCs w:val="20"/>
              </w:rPr>
            </w:pPr>
            <w:r w:rsidRPr="000F4A52">
              <w:rPr>
                <w:szCs w:val="20"/>
              </w:rPr>
              <w:t xml:space="preserve">Option </w:t>
            </w:r>
            <w:r w:rsidR="002B3701">
              <w:rPr>
                <w:szCs w:val="20"/>
              </w:rPr>
              <w:t>4</w:t>
            </w:r>
            <w:r w:rsidRPr="000F4A52">
              <w:rPr>
                <w:szCs w:val="20"/>
              </w:rPr>
              <w:t xml:space="preserve"> was the </w:t>
            </w:r>
            <w:r w:rsidR="004C5562">
              <w:rPr>
                <w:szCs w:val="20"/>
              </w:rPr>
              <w:t>recommended option</w:t>
            </w:r>
            <w:r w:rsidRPr="000F4A52">
              <w:rPr>
                <w:szCs w:val="20"/>
              </w:rPr>
              <w:t xml:space="preserve"> among most stakeholder groups, </w:t>
            </w:r>
            <w:r w:rsidR="002B3701">
              <w:rPr>
                <w:szCs w:val="20"/>
              </w:rPr>
              <w:t>usually in combination with option</w:t>
            </w:r>
            <w:r w:rsidRPr="000F4A52">
              <w:rPr>
                <w:szCs w:val="20"/>
              </w:rPr>
              <w:t xml:space="preserve"> </w:t>
            </w:r>
            <w:r w:rsidR="00796FE0">
              <w:rPr>
                <w:szCs w:val="20"/>
              </w:rPr>
              <w:t>3 or options 2</w:t>
            </w:r>
            <w:r w:rsidRPr="000F4A52">
              <w:rPr>
                <w:szCs w:val="20"/>
              </w:rPr>
              <w:t xml:space="preserve"> and </w:t>
            </w:r>
            <w:r w:rsidR="00796FE0">
              <w:rPr>
                <w:szCs w:val="20"/>
              </w:rPr>
              <w:t>3</w:t>
            </w:r>
            <w:r w:rsidRPr="000F4A52">
              <w:rPr>
                <w:szCs w:val="20"/>
              </w:rPr>
              <w:t xml:space="preserve">. </w:t>
            </w:r>
          </w:p>
          <w:p w14:paraId="490F6F85" w14:textId="60F9DFD3" w:rsidR="00B324ED" w:rsidRPr="00712583" w:rsidRDefault="004C5562">
            <w:pPr>
              <w:rPr>
                <w:szCs w:val="22"/>
              </w:rPr>
            </w:pPr>
            <w:r>
              <w:rPr>
                <w:i/>
                <w:szCs w:val="22"/>
              </w:rPr>
              <w:t>Recommended option</w:t>
            </w:r>
          </w:p>
          <w:p w14:paraId="605AB765" w14:textId="59E4E55F" w:rsidR="00CD1285" w:rsidRDefault="00CD1285" w:rsidP="00EC53AB">
            <w:pPr>
              <w:pStyle w:val="ListParagraph"/>
              <w:numPr>
                <w:ilvl w:val="0"/>
                <w:numId w:val="109"/>
              </w:numPr>
              <w:ind w:left="462"/>
            </w:pPr>
            <w:r w:rsidRPr="00CD1285">
              <w:t>Based on analysis included in this DRIS, the options with the highest net benefit to be provided to Education Ministers for consideration are the regulatory options 3 and 4. This combination of options is on the basis they would improve providers’ awareness of prohibitions, suspensions or enforceable undertakings which are important to preserve child safet</w:t>
            </w:r>
            <w:r w:rsidR="00C44290">
              <w:t>y.</w:t>
            </w:r>
          </w:p>
          <w:p w14:paraId="1776F48C" w14:textId="58E4E60F" w:rsidR="00B324ED" w:rsidRPr="002A4CC4" w:rsidRDefault="002C35CE" w:rsidP="00EC53AB">
            <w:pPr>
              <w:pStyle w:val="ListParagraph"/>
              <w:numPr>
                <w:ilvl w:val="0"/>
                <w:numId w:val="109"/>
              </w:numPr>
              <w:ind w:left="462"/>
            </w:pPr>
            <w:r>
              <w:t>Governments</w:t>
            </w:r>
            <w:r w:rsidR="00951EEB">
              <w:t xml:space="preserve"> will </w:t>
            </w:r>
            <w:r w:rsidR="00F52958">
              <w:t>consider mechanisms to account for</w:t>
            </w:r>
            <w:r w:rsidR="00951EEB">
              <w:t xml:space="preserve"> procedural fairness </w:t>
            </w:r>
            <w:r w:rsidR="00F52958">
              <w:t>and any additional guidance to support consistent sector understanding of the scope of regulatory changes</w:t>
            </w:r>
            <w:r w:rsidR="00951EEB">
              <w:t xml:space="preserve">. </w:t>
            </w:r>
          </w:p>
        </w:tc>
      </w:tr>
    </w:tbl>
    <w:p w14:paraId="7A7C1102" w14:textId="77777777" w:rsidR="00B324ED" w:rsidRDefault="00B324ED" w:rsidP="006C2349">
      <w:pPr>
        <w:rPr>
          <w:rFonts w:cs="Arial"/>
          <w:b/>
          <w:bCs/>
          <w:i/>
          <w:iCs/>
          <w:sz w:val="21"/>
          <w:szCs w:val="21"/>
          <w14:ligatures w14:val="standardContextual"/>
        </w:rPr>
      </w:pPr>
    </w:p>
    <w:p w14:paraId="5AC17EC2" w14:textId="04A57164" w:rsidR="006C2349" w:rsidRPr="003D26ED" w:rsidRDefault="006C2349" w:rsidP="006C2349">
      <w:pPr>
        <w:rPr>
          <w:i/>
          <w:iCs/>
          <w:szCs w:val="22"/>
          <w:u w:val="single"/>
        </w:rPr>
      </w:pPr>
      <w:r w:rsidRPr="003118D4">
        <w:rPr>
          <w:rFonts w:cs="Arial"/>
          <w:b/>
          <w:bCs/>
          <w:i/>
          <w:iCs/>
          <w:sz w:val="21"/>
          <w:szCs w:val="21"/>
          <w14:ligatures w14:val="standardContextual"/>
        </w:rPr>
        <w:t>Prohibition notices and notice to suspend FDC educators</w:t>
      </w:r>
    </w:p>
    <w:p w14:paraId="385D283C" w14:textId="7CE94649" w:rsidR="006C2349" w:rsidRPr="00912851" w:rsidRDefault="006C2349" w:rsidP="006C2349">
      <w:r w:rsidRPr="00912851">
        <w:t xml:space="preserve">The NQF is structured to ensure approved providers are accountable and responsible for ensuring consistent and effective prioritising of children’s </w:t>
      </w:r>
      <w:r>
        <w:t xml:space="preserve">safety, </w:t>
      </w:r>
      <w:r w:rsidRPr="00912851">
        <w:t>health, and wellbeing. Obligations include:</w:t>
      </w:r>
    </w:p>
    <w:p w14:paraId="5189D0DF" w14:textId="1A8A4FD0" w:rsidR="006C2349" w:rsidRPr="00466A4C" w:rsidRDefault="00F77C7A" w:rsidP="00EC53AB">
      <w:pPr>
        <w:pStyle w:val="ListParagraph"/>
        <w:numPr>
          <w:ilvl w:val="0"/>
          <w:numId w:val="59"/>
        </w:numPr>
        <w:ind w:left="426"/>
        <w:rPr>
          <w:szCs w:val="22"/>
        </w:rPr>
      </w:pPr>
      <w:r>
        <w:rPr>
          <w:szCs w:val="22"/>
        </w:rPr>
        <w:t>A</w:t>
      </w:r>
      <w:r w:rsidR="006C2349" w:rsidRPr="00466A4C">
        <w:rPr>
          <w:szCs w:val="22"/>
        </w:rPr>
        <w:t xml:space="preserve">n approved provider must not </w:t>
      </w:r>
      <w:r w:rsidR="006C2349" w:rsidRPr="00466A4C">
        <w:rPr>
          <w:rFonts w:cs="Arial"/>
          <w:szCs w:val="22"/>
        </w:rPr>
        <w:t xml:space="preserve">engage a person as an educator, FDC educator, employee, contractor or staff member of, or allow a person to perform volunteer services for, an education and care service if the provider knows, or ought reasonably </w:t>
      </w:r>
      <w:r w:rsidR="006C2349">
        <w:rPr>
          <w:rFonts w:cs="Arial"/>
          <w:szCs w:val="22"/>
        </w:rPr>
        <w:t xml:space="preserve">to </w:t>
      </w:r>
      <w:r w:rsidR="006C2349" w:rsidRPr="00466A4C">
        <w:rPr>
          <w:rFonts w:cs="Arial"/>
          <w:szCs w:val="22"/>
        </w:rPr>
        <w:t>know, a prohibition notice is in force under the National Law in any jurisdiction (section 188(1) of the National Law</w:t>
      </w:r>
      <w:r w:rsidR="006C2349">
        <w:rPr>
          <w:rFonts w:cs="Arial"/>
          <w:szCs w:val="22"/>
        </w:rPr>
        <w:t>)</w:t>
      </w:r>
      <w:r>
        <w:rPr>
          <w:rFonts w:cs="Arial"/>
          <w:szCs w:val="22"/>
        </w:rPr>
        <w:t>.</w:t>
      </w:r>
    </w:p>
    <w:p w14:paraId="2F1EDB72" w14:textId="472497A8" w:rsidR="006C2349" w:rsidRPr="00466A4C" w:rsidRDefault="00F77C7A" w:rsidP="00EC53AB">
      <w:pPr>
        <w:pStyle w:val="ListParagraph"/>
        <w:numPr>
          <w:ilvl w:val="0"/>
          <w:numId w:val="59"/>
        </w:numPr>
        <w:ind w:left="426"/>
        <w:rPr>
          <w:szCs w:val="22"/>
        </w:rPr>
      </w:pPr>
      <w:r>
        <w:rPr>
          <w:szCs w:val="22"/>
        </w:rPr>
        <w:t>C</w:t>
      </w:r>
      <w:r w:rsidR="006C2349" w:rsidRPr="00466A4C">
        <w:rPr>
          <w:szCs w:val="22"/>
        </w:rPr>
        <w:t xml:space="preserve">omplying with a notice to suspend education and care by a FDC educator (section 178 of the National Law). </w:t>
      </w:r>
    </w:p>
    <w:p w14:paraId="0C92B3C0" w14:textId="5515A47D" w:rsidR="006C2349" w:rsidRPr="00252755" w:rsidRDefault="006C2349" w:rsidP="006C2349">
      <w:r w:rsidRPr="00252755">
        <w:rPr>
          <w:szCs w:val="22"/>
        </w:rPr>
        <w:lastRenderedPageBreak/>
        <w:t>Approved providers are responsible for undertaking appropriate steps to comply with these obligations</w:t>
      </w:r>
      <w:r w:rsidRPr="00252755">
        <w:t xml:space="preserve"> and may request </w:t>
      </w:r>
      <w:r>
        <w:t>the</w:t>
      </w:r>
      <w:r w:rsidRPr="00252755">
        <w:t xml:space="preserve"> Regulatory Authority </w:t>
      </w:r>
      <w:r>
        <w:t xml:space="preserve">(or National Authority – ACECQA) </w:t>
      </w:r>
      <w:r w:rsidRPr="00252755">
        <w:t>to disclose whether a person named in the request is the subject of a prohibition notice or has been suspended in the case of FDC educators.</w:t>
      </w:r>
    </w:p>
    <w:p w14:paraId="73067BCD" w14:textId="77777777" w:rsidR="006C2349" w:rsidRPr="00252755" w:rsidRDefault="006C2349" w:rsidP="006C2349">
      <w:r w:rsidRPr="00252755">
        <w:t>The most efficient way for approved providers to access this information is by accessing the register located within the National Quality Agenda Information Technology System (NQA ITS) and verifying with the relevant Regulatory Authority whether a person is a prohibited person or suspended FDC educator.</w:t>
      </w:r>
    </w:p>
    <w:p w14:paraId="3FADD325" w14:textId="7FEEDE97" w:rsidR="006C2349" w:rsidRPr="00366BB5" w:rsidRDefault="006C2349" w:rsidP="006C2349">
      <w:pPr>
        <w:rPr>
          <w:szCs w:val="22"/>
        </w:rPr>
      </w:pPr>
      <w:r>
        <w:rPr>
          <w:szCs w:val="22"/>
        </w:rPr>
        <w:t>ACECQA</w:t>
      </w:r>
      <w:r w:rsidRPr="00366BB5">
        <w:rPr>
          <w:szCs w:val="22"/>
        </w:rPr>
        <w:t xml:space="preserve"> and</w:t>
      </w:r>
      <w:r>
        <w:rPr>
          <w:szCs w:val="22"/>
        </w:rPr>
        <w:t xml:space="preserve"> </w:t>
      </w:r>
      <w:r w:rsidRPr="00366BB5">
        <w:rPr>
          <w:szCs w:val="22"/>
        </w:rPr>
        <w:t>Regulatory Authorit</w:t>
      </w:r>
      <w:r>
        <w:rPr>
          <w:szCs w:val="22"/>
        </w:rPr>
        <w:t>ies</w:t>
      </w:r>
      <w:r w:rsidRPr="00366BB5">
        <w:rPr>
          <w:szCs w:val="22"/>
        </w:rPr>
        <w:t xml:space="preserve"> cannot disclose this information without a request from an approved provider. This protocol is to ensure approved providers remain responsible </w:t>
      </w:r>
      <w:r>
        <w:rPr>
          <w:szCs w:val="22"/>
        </w:rPr>
        <w:t>for</w:t>
      </w:r>
      <w:r w:rsidRPr="00366BB5">
        <w:rPr>
          <w:szCs w:val="22"/>
        </w:rPr>
        <w:t xml:space="preserve"> implementing and maintaining appropriate and rigorous recruitment processes and screening criteria.</w:t>
      </w:r>
      <w:r>
        <w:rPr>
          <w:szCs w:val="22"/>
        </w:rPr>
        <w:t xml:space="preserve"> </w:t>
      </w:r>
    </w:p>
    <w:p w14:paraId="0A8A1A98" w14:textId="5D17276F" w:rsidR="006C2349" w:rsidRPr="00366BB5" w:rsidRDefault="006C2349" w:rsidP="006C2349">
      <w:pPr>
        <w:rPr>
          <w:szCs w:val="22"/>
        </w:rPr>
      </w:pPr>
      <w:r w:rsidRPr="00366BB5">
        <w:rPr>
          <w:szCs w:val="22"/>
        </w:rPr>
        <w:t>Despite approved providers undertaking the necessary steps to avoid employing prohibited persons or suspended FDC educators in a particular service, there is a</w:t>
      </w:r>
      <w:r>
        <w:rPr>
          <w:szCs w:val="22"/>
        </w:rPr>
        <w:t xml:space="preserve"> small</w:t>
      </w:r>
      <w:r w:rsidRPr="00366BB5">
        <w:rPr>
          <w:szCs w:val="22"/>
        </w:rPr>
        <w:t xml:space="preserve"> possibility in the current legislative environment that may inadvertently enable these persons to operate in a service. This </w:t>
      </w:r>
      <w:r>
        <w:rPr>
          <w:szCs w:val="22"/>
        </w:rPr>
        <w:t>is more likely to</w:t>
      </w:r>
      <w:r w:rsidRPr="00366BB5">
        <w:rPr>
          <w:szCs w:val="22"/>
        </w:rPr>
        <w:t xml:space="preserve"> occur where a person has been issued a prohibition notice</w:t>
      </w:r>
      <w:r>
        <w:rPr>
          <w:szCs w:val="22"/>
        </w:rPr>
        <w:t>,</w:t>
      </w:r>
      <w:r w:rsidRPr="00366BB5">
        <w:rPr>
          <w:szCs w:val="22"/>
        </w:rPr>
        <w:t xml:space="preserve"> or</w:t>
      </w:r>
      <w:r>
        <w:rPr>
          <w:szCs w:val="22"/>
        </w:rPr>
        <w:t xml:space="preserve"> where an FDC educator has been suspended</w:t>
      </w:r>
      <w:r w:rsidRPr="00366BB5">
        <w:rPr>
          <w:szCs w:val="22"/>
        </w:rPr>
        <w:t xml:space="preserve"> due to conduct that occurred at a different service. In these instances, the approved provider would not be aware of the prohibition or suspension status of that individual, despite undertaking the initial appropriate checks and fulfilling their obligations under the National Law. The risk would only be apparent for a brief period of time, until one of the below instances takes place:</w:t>
      </w:r>
    </w:p>
    <w:p w14:paraId="6F2AFF20" w14:textId="297894EC" w:rsidR="006C2349" w:rsidRDefault="006C2349" w:rsidP="00EC53AB">
      <w:pPr>
        <w:pStyle w:val="ListParagraph"/>
        <w:numPr>
          <w:ilvl w:val="0"/>
          <w:numId w:val="60"/>
        </w:numPr>
        <w:ind w:left="426"/>
        <w:rPr>
          <w:szCs w:val="22"/>
        </w:rPr>
      </w:pPr>
      <w:r w:rsidRPr="00D20B37">
        <w:rPr>
          <w:szCs w:val="22"/>
        </w:rPr>
        <w:t xml:space="preserve">the approved provider undertakes a subsequent request to </w:t>
      </w:r>
      <w:r>
        <w:rPr>
          <w:szCs w:val="22"/>
        </w:rPr>
        <w:t>ACECQA</w:t>
      </w:r>
      <w:r w:rsidRPr="00D20B37">
        <w:rPr>
          <w:szCs w:val="22"/>
        </w:rPr>
        <w:t xml:space="preserve">, </w:t>
      </w:r>
      <w:r>
        <w:rPr>
          <w:szCs w:val="22"/>
        </w:rPr>
        <w:t xml:space="preserve">the </w:t>
      </w:r>
      <w:r w:rsidRPr="00D20B37">
        <w:rPr>
          <w:szCs w:val="22"/>
        </w:rPr>
        <w:t>Regulatory Authority; or</w:t>
      </w:r>
    </w:p>
    <w:p w14:paraId="5F8A5A85" w14:textId="77777777" w:rsidR="006C2349" w:rsidRPr="001A1E54" w:rsidRDefault="006C2349" w:rsidP="00F77C7A">
      <w:pPr>
        <w:pStyle w:val="ListParagraph"/>
        <w:ind w:left="426"/>
        <w:rPr>
          <w:szCs w:val="22"/>
        </w:rPr>
      </w:pPr>
      <w:r w:rsidRPr="742E3378">
        <w:t>in some jurisdictions, an approved provider may be notified by the relevant WWCC agency if an educator has had a change in their WWCC status as a result of prohibition action.</w:t>
      </w:r>
      <w:r w:rsidRPr="742E3378">
        <w:rPr>
          <w:rStyle w:val="FootnoteReference"/>
        </w:rPr>
        <w:footnoteReference w:id="94"/>
      </w:r>
      <w:r w:rsidRPr="001A1E54">
        <w:rPr>
          <w:szCs w:val="22"/>
        </w:rPr>
        <w:t xml:space="preserve"> </w:t>
      </w:r>
    </w:p>
    <w:p w14:paraId="59BF8FBC" w14:textId="7E099DDF" w:rsidR="006C2349" w:rsidRDefault="006C2349" w:rsidP="006C2349">
      <w:pPr>
        <w:rPr>
          <w:szCs w:val="22"/>
        </w:rPr>
      </w:pPr>
      <w:r w:rsidRPr="00366BB5">
        <w:rPr>
          <w:szCs w:val="22"/>
        </w:rPr>
        <w:t>Whilst the instance of this occurring is low and the period in which it presents is limited, there is a significant risk of harm present to children should a prohibited individual</w:t>
      </w:r>
      <w:r>
        <w:rPr>
          <w:szCs w:val="22"/>
        </w:rPr>
        <w:t xml:space="preserve"> or suspended FDC educator</w:t>
      </w:r>
      <w:r w:rsidRPr="00366BB5">
        <w:rPr>
          <w:szCs w:val="22"/>
        </w:rPr>
        <w:t xml:space="preserve"> be found operating in a service</w:t>
      </w:r>
      <w:r>
        <w:rPr>
          <w:szCs w:val="22"/>
        </w:rPr>
        <w:t>.</w:t>
      </w:r>
    </w:p>
    <w:p w14:paraId="24F9FCF6" w14:textId="77777777" w:rsidR="006C2349" w:rsidRPr="003118D4" w:rsidRDefault="006C2349" w:rsidP="006C2349">
      <w:pPr>
        <w:rPr>
          <w:rFonts w:cs="Arial"/>
          <w:b/>
          <w:bCs/>
          <w:i/>
          <w:iCs/>
          <w:sz w:val="21"/>
          <w:szCs w:val="21"/>
          <w14:ligatures w14:val="standardContextual"/>
        </w:rPr>
      </w:pPr>
      <w:r w:rsidRPr="003118D4">
        <w:rPr>
          <w:rFonts w:cs="Arial"/>
          <w:b/>
          <w:bCs/>
          <w:i/>
          <w:iCs/>
          <w:sz w:val="21"/>
          <w:szCs w:val="21"/>
          <w14:ligatures w14:val="standardContextual"/>
        </w:rPr>
        <w:t>Enforceable undertakings</w:t>
      </w:r>
    </w:p>
    <w:p w14:paraId="256A1ECB" w14:textId="77777777" w:rsidR="006C2349" w:rsidRDefault="006C2349" w:rsidP="006C2349">
      <w:r>
        <w:lastRenderedPageBreak/>
        <w:t>An enforceable undertaking is an agreement between the Regulatory Authority and the person who is engaged with the enforceable undertaking. Given the nature of this agreement, approved providers are not made aware of the existence of an enforceable undertaking other than:</w:t>
      </w:r>
    </w:p>
    <w:p w14:paraId="732C18C6" w14:textId="0262137F" w:rsidR="006C2349" w:rsidRDefault="006C2349" w:rsidP="00EC53AB">
      <w:pPr>
        <w:pStyle w:val="ListParagraph"/>
        <w:numPr>
          <w:ilvl w:val="0"/>
          <w:numId w:val="61"/>
        </w:numPr>
        <w:ind w:left="426"/>
      </w:pPr>
      <w:r>
        <w:t>at the express consent of the person who is engaged with the enforceable undertaking, or</w:t>
      </w:r>
    </w:p>
    <w:p w14:paraId="7DBF6B9F" w14:textId="11F5F1D6" w:rsidR="006C2349" w:rsidRDefault="006C2349" w:rsidP="00EC53AB">
      <w:pPr>
        <w:pStyle w:val="ListParagraph"/>
        <w:numPr>
          <w:ilvl w:val="0"/>
          <w:numId w:val="61"/>
        </w:numPr>
        <w:ind w:left="426"/>
      </w:pPr>
      <w:r>
        <w:t xml:space="preserve">it is a condition of the enforceable undertaking. </w:t>
      </w:r>
    </w:p>
    <w:p w14:paraId="3390B12B" w14:textId="24EC60EA" w:rsidR="006C2349" w:rsidRDefault="006C2349" w:rsidP="006C2349">
      <w:r>
        <w:t>I</w:t>
      </w:r>
      <w:r w:rsidRPr="003D2F4D">
        <w:t xml:space="preserve">n most cases, a person engages with an enforceable undertaking due to conduct reported to the Regulatory Authority by the approved provider. In these instances, the approved provider is aware of non-compliant conduct </w:t>
      </w:r>
      <w:r>
        <w:t>or risk posed</w:t>
      </w:r>
      <w:r w:rsidRPr="003D2F4D">
        <w:t xml:space="preserve"> by the person and can subsequently monitor that person’s ongoing behaviour </w:t>
      </w:r>
      <w:r>
        <w:t>(even if they aren’t aware of the existence of the enforceable undertaking)</w:t>
      </w:r>
      <w:r w:rsidRPr="003D2F4D">
        <w:t>.</w:t>
      </w:r>
      <w:r w:rsidR="00444A15">
        <w:t xml:space="preserve"> </w:t>
      </w:r>
      <w:r>
        <w:t>In other cases,</w:t>
      </w:r>
      <w:r w:rsidRPr="003D2F4D">
        <w:t xml:space="preserve"> the person </w:t>
      </w:r>
      <w:r>
        <w:t>subject to</w:t>
      </w:r>
      <w:r w:rsidRPr="003D2F4D">
        <w:t xml:space="preserve"> a current enforceable undertaking will move between services and even jurisdictions with a different approved provider.</w:t>
      </w:r>
      <w:r>
        <w:t xml:space="preserve"> </w:t>
      </w:r>
      <w:r w:rsidRPr="003D2F4D">
        <w:t>In t</w:t>
      </w:r>
      <w:r>
        <w:t>his scenario</w:t>
      </w:r>
      <w:r w:rsidRPr="003D2F4D">
        <w:t xml:space="preserve">, the </w:t>
      </w:r>
      <w:r>
        <w:t>new</w:t>
      </w:r>
      <w:r w:rsidRPr="003D2F4D">
        <w:t xml:space="preserve"> approved provider would not be aware of that person’s current enforceable undertakin</w:t>
      </w:r>
      <w:r>
        <w:t xml:space="preserve">g or the conduct which resulted in the enforceable undertaking unless disclosed by one of the aforementioned means. </w:t>
      </w:r>
    </w:p>
    <w:p w14:paraId="50E98295" w14:textId="77777777" w:rsidR="006C2349" w:rsidRDefault="006C2349" w:rsidP="006C2349">
      <w:r>
        <w:t xml:space="preserve">This </w:t>
      </w:r>
      <w:r w:rsidRPr="003D2F4D">
        <w:t>limits the ability for approved providers to:</w:t>
      </w:r>
    </w:p>
    <w:p w14:paraId="29435E4E" w14:textId="0792A95C" w:rsidR="006C2349" w:rsidRDefault="006C2349" w:rsidP="00670736">
      <w:pPr>
        <w:pStyle w:val="ListParagraph"/>
        <w:ind w:left="426" w:hanging="426"/>
      </w:pPr>
      <w:r w:rsidRPr="003D2F4D">
        <w:t>support persons engaged in their service to successfully fulfil the requirements of their enforceable undertakin</w:t>
      </w:r>
      <w:r>
        <w:t>g (noting this is not a requirement of the approved provider)</w:t>
      </w:r>
      <w:r w:rsidRPr="003D2F4D">
        <w:t xml:space="preserve"> </w:t>
      </w:r>
    </w:p>
    <w:p w14:paraId="18859774" w14:textId="2077E712" w:rsidR="006C2349" w:rsidRDefault="006C2349" w:rsidP="00670736">
      <w:pPr>
        <w:pStyle w:val="ListParagraph"/>
        <w:ind w:left="426" w:hanging="426"/>
      </w:pPr>
      <w:r w:rsidRPr="003D2F4D">
        <w:t xml:space="preserve">maintain oversight of persons who have engaged in non-compliant conduct </w:t>
      </w:r>
    </w:p>
    <w:p w14:paraId="580FEAB2" w14:textId="77777777" w:rsidR="006C2349" w:rsidRDefault="006C2349" w:rsidP="00670736">
      <w:pPr>
        <w:pStyle w:val="ListParagraph"/>
        <w:ind w:left="426" w:hanging="426"/>
      </w:pPr>
      <w:r>
        <w:t xml:space="preserve">identify and </w:t>
      </w:r>
      <w:r w:rsidRPr="003D2F4D">
        <w:t xml:space="preserve">assess any future non-compliant conduct as a potential pattern of behaviour, rather than a </w:t>
      </w:r>
      <w:r w:rsidRPr="00CA2620">
        <w:t>standalone incident.</w:t>
      </w:r>
    </w:p>
    <w:p w14:paraId="75AB9949" w14:textId="77777777" w:rsidR="006C2349" w:rsidRDefault="006C2349" w:rsidP="006C2349">
      <w:pPr>
        <w:pStyle w:val="Heading3"/>
      </w:pPr>
      <w:r>
        <w:t>What is the problem?</w:t>
      </w:r>
    </w:p>
    <w:p w14:paraId="53247191" w14:textId="4B972DC5" w:rsidR="006C2349" w:rsidRDefault="006C2349" w:rsidP="006C2349">
      <w:r>
        <w:t>Currently, there is no legislative power to enable Regulatory Authorities (or ACECQA) to disclose information regarding a prohibition status or suspension in the case of an FDC educator to a person’s current approved provider, without that approved provider’s request. Additionally, there are no legislative provisions that enable Regulatory Authorities to share information regarding a person’s current enforceable undertaking with that person’s current approved provider, unless it is a condition of the enforceable undertaking or with the express consent of that person.</w:t>
      </w:r>
    </w:p>
    <w:p w14:paraId="38259ED1" w14:textId="0502A039" w:rsidR="006C2349" w:rsidRDefault="006C2349" w:rsidP="006C2349">
      <w:r>
        <w:lastRenderedPageBreak/>
        <w:t xml:space="preserve">There are instances where an approved provider has undertaken all the appropriate recruitment checks and screening processes, however due to conduct at a previous service, a person has been prohibited, after commencing employment with a different service. Where Regulatory Authorities (or ACECQA) are made aware of a prohibited person operating in an education and care service or suspended FDC educator, Regulatory Authorities are restricted in its powers and is unable to disclose this crucial information to support early intervention and mitigation of harm to children. </w:t>
      </w:r>
    </w:p>
    <w:p w14:paraId="79143621" w14:textId="3B53B6CF" w:rsidR="006C2349" w:rsidRDefault="00C6113B" w:rsidP="006C2349">
      <w:r>
        <w:t>There</w:t>
      </w:r>
      <w:r w:rsidR="006C2349">
        <w:t xml:space="preserve"> is at least one known incident where </w:t>
      </w:r>
      <w:r w:rsidR="006C2349" w:rsidRPr="007D4563">
        <w:t xml:space="preserve">a person </w:t>
      </w:r>
      <w:r w:rsidR="006C2349">
        <w:t xml:space="preserve">was </w:t>
      </w:r>
      <w:r w:rsidR="006C2349" w:rsidRPr="007D4563">
        <w:t xml:space="preserve">working while prohibited at a service, having commenced work </w:t>
      </w:r>
      <w:r w:rsidR="006C2349">
        <w:t>at the new service</w:t>
      </w:r>
      <w:r w:rsidR="006C2349" w:rsidRPr="007D4563">
        <w:t xml:space="preserve"> before being prohibited for conduct at their previous employer</w:t>
      </w:r>
      <w:r w:rsidR="006C2349">
        <w:t>. In this specific incident, the individual was later prosecuted for working in an education and care service while prohibited.</w:t>
      </w:r>
    </w:p>
    <w:p w14:paraId="164A9B49" w14:textId="2D3CA25C" w:rsidR="006C2349" w:rsidRDefault="006C2349" w:rsidP="006C2349">
      <w:r>
        <w:t>The current parameters which restrict disclosure by the Regulatory Authority regarding a current enforceable undertaking are not conducive to supporting and retaining staff who may require further assistance or maintaining clear oversight of persons’ who have recently displayed non-compliant conduct.</w:t>
      </w:r>
      <w:r w:rsidDel="00910663">
        <w:t xml:space="preserve"> </w:t>
      </w:r>
    </w:p>
    <w:p w14:paraId="51CC5843" w14:textId="5CF9B927" w:rsidR="006C2349" w:rsidRDefault="006C2349" w:rsidP="006C2349">
      <w:r>
        <w:t>There are opportunities to support the early intervention and oversight of non-compliant conduct by educators whilst also supporting educators to fulfil the requirements of their enforceable undertaking, and ultimately minimise the risk of harm to children attending education and care services.</w:t>
      </w:r>
    </w:p>
    <w:p w14:paraId="2E293BE1" w14:textId="2958529F" w:rsidR="006C2349" w:rsidRDefault="00EB4295" w:rsidP="006C2349">
      <w:pPr>
        <w:pStyle w:val="Heading3"/>
      </w:pPr>
      <w:r>
        <w:t>What were the policy options consulted on?</w:t>
      </w:r>
    </w:p>
    <w:p w14:paraId="7EEAFE2D" w14:textId="77777777" w:rsidR="006C2349" w:rsidRDefault="006C2349" w:rsidP="006C2349">
      <w:r>
        <w:t>Four options, including the status quo, a non-regulatory option, and two regulatory options are under consideration.</w:t>
      </w:r>
    </w:p>
    <w:p w14:paraId="18260394" w14:textId="58FCAE6D" w:rsidR="006C2349" w:rsidRDefault="006C2349" w:rsidP="006C2349">
      <w:r>
        <w:t>Options to address this Chapter 7.2 should be considered alongside Chapter 7.1 (making inappropriate conduct an offence) and Chapter 7.3 (</w:t>
      </w:r>
      <w:r w:rsidRPr="00C77B49">
        <w:t xml:space="preserve">expansion of regulatory responses to </w:t>
      </w:r>
      <w:r>
        <w:t>educator</w:t>
      </w:r>
      <w:r w:rsidRPr="00C77B49">
        <w:t xml:space="preserve"> </w:t>
      </w:r>
      <w:r>
        <w:t xml:space="preserve">and staff member </w:t>
      </w:r>
      <w:r w:rsidRPr="00C77B49">
        <w:t>conduct</w:t>
      </w:r>
      <w:r>
        <w:t xml:space="preserve">). </w:t>
      </w:r>
    </w:p>
    <w:p w14:paraId="030C5CF8" w14:textId="7BCAE53A" w:rsidR="006C2349" w:rsidRPr="00931B53" w:rsidRDefault="006C2349" w:rsidP="006C2349">
      <w:pPr>
        <w:pStyle w:val="Caption"/>
      </w:pPr>
      <w:bookmarkStart w:id="111" w:name="_Toc201934899"/>
      <w:bookmarkStart w:id="112" w:name="_Toc205884953"/>
      <w:r>
        <w:t xml:space="preserve">Table 7.3: Policy options under consideration – </w:t>
      </w:r>
      <w:r w:rsidRPr="00276ED5">
        <w:t>Enhancing Regulatory Authorities’ ability to share information with approved providers</w:t>
      </w:r>
      <w:bookmarkEnd w:id="111"/>
      <w:bookmarkEnd w:id="11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7.3: Policy options under consideration – Enhancing Regulatory Authorities’ ability to share information with approved providers"/>
        <w:tblDescription w:val="This table outlines the policy options under consideration for enhancing Regulatory Authorities’ ability to share information with approved providers."/>
      </w:tblPr>
      <w:tblGrid>
        <w:gridCol w:w="1631"/>
        <w:gridCol w:w="7379"/>
      </w:tblGrid>
      <w:tr w:rsidR="006C2349" w:rsidRPr="00C02005" w14:paraId="105D3B81" w14:textId="77777777" w:rsidTr="00404BD4">
        <w:trPr>
          <w:tblHeader/>
        </w:trPr>
        <w:tc>
          <w:tcPr>
            <w:tcW w:w="905" w:type="pct"/>
            <w:shd w:val="clear" w:color="auto" w:fill="14233C" w:themeFill="text2"/>
          </w:tcPr>
          <w:p w14:paraId="056408BB" w14:textId="77777777" w:rsidR="006C2349" w:rsidRPr="00006D1E" w:rsidRDefault="006C2349">
            <w:pPr>
              <w:rPr>
                <w:b/>
                <w:color w:val="FFFFFF" w:themeColor="background1"/>
                <w:szCs w:val="22"/>
              </w:rPr>
            </w:pPr>
            <w:r w:rsidRPr="00006D1E">
              <w:rPr>
                <w:b/>
                <w:color w:val="FFFFFF" w:themeColor="background1"/>
                <w:szCs w:val="22"/>
              </w:rPr>
              <w:t>Option</w:t>
            </w:r>
          </w:p>
        </w:tc>
        <w:tc>
          <w:tcPr>
            <w:tcW w:w="4095" w:type="pct"/>
            <w:shd w:val="clear" w:color="auto" w:fill="14233C" w:themeFill="text2"/>
          </w:tcPr>
          <w:p w14:paraId="69AF97BE" w14:textId="77777777" w:rsidR="006C2349" w:rsidRPr="00006D1E" w:rsidRDefault="006C2349">
            <w:pPr>
              <w:rPr>
                <w:b/>
                <w:color w:val="FFFFFF" w:themeColor="background1"/>
                <w:szCs w:val="22"/>
              </w:rPr>
            </w:pPr>
            <w:r w:rsidRPr="00006D1E">
              <w:rPr>
                <w:b/>
                <w:color w:val="FFFFFF" w:themeColor="background1"/>
                <w:szCs w:val="22"/>
              </w:rPr>
              <w:t>Description</w:t>
            </w:r>
          </w:p>
        </w:tc>
      </w:tr>
      <w:tr w:rsidR="006C2349" w14:paraId="753BCDD1" w14:textId="77777777" w:rsidTr="00E3170E">
        <w:tc>
          <w:tcPr>
            <w:tcW w:w="905" w:type="pct"/>
          </w:tcPr>
          <w:p w14:paraId="63C0716B" w14:textId="77777777" w:rsidR="006C2349" w:rsidRPr="00006D1E" w:rsidRDefault="006C2349">
            <w:pPr>
              <w:rPr>
                <w:szCs w:val="22"/>
              </w:rPr>
            </w:pPr>
            <w:r w:rsidRPr="00006D1E">
              <w:rPr>
                <w:szCs w:val="22"/>
              </w:rPr>
              <w:t>1</w:t>
            </w:r>
          </w:p>
        </w:tc>
        <w:tc>
          <w:tcPr>
            <w:tcW w:w="4095" w:type="pct"/>
          </w:tcPr>
          <w:p w14:paraId="68CC007E" w14:textId="77777777" w:rsidR="006C2349" w:rsidRPr="00006D1E" w:rsidRDefault="006C2349">
            <w:pPr>
              <w:rPr>
                <w:szCs w:val="22"/>
              </w:rPr>
            </w:pPr>
            <w:r w:rsidRPr="00006D1E">
              <w:rPr>
                <w:szCs w:val="22"/>
              </w:rPr>
              <w:t>Status quo (no change).</w:t>
            </w:r>
          </w:p>
        </w:tc>
      </w:tr>
      <w:tr w:rsidR="006C2349" w14:paraId="11A77D6F" w14:textId="77777777" w:rsidTr="00E3170E">
        <w:tc>
          <w:tcPr>
            <w:tcW w:w="905" w:type="pct"/>
          </w:tcPr>
          <w:p w14:paraId="1253C849" w14:textId="77777777" w:rsidR="006C2349" w:rsidRPr="00006D1E" w:rsidRDefault="006C2349">
            <w:pPr>
              <w:rPr>
                <w:szCs w:val="22"/>
              </w:rPr>
            </w:pPr>
            <w:r w:rsidRPr="00006D1E">
              <w:rPr>
                <w:szCs w:val="22"/>
              </w:rPr>
              <w:t>2</w:t>
            </w:r>
          </w:p>
        </w:tc>
        <w:tc>
          <w:tcPr>
            <w:tcW w:w="4095" w:type="pct"/>
          </w:tcPr>
          <w:p w14:paraId="333747A7" w14:textId="77777777" w:rsidR="006C2349" w:rsidRPr="00006D1E" w:rsidRDefault="006C2349">
            <w:pPr>
              <w:rPr>
                <w:b/>
                <w:szCs w:val="22"/>
              </w:rPr>
            </w:pPr>
            <w:r w:rsidRPr="00006D1E">
              <w:rPr>
                <w:b/>
                <w:szCs w:val="22"/>
              </w:rPr>
              <w:t xml:space="preserve">Non-regulatory </w:t>
            </w:r>
          </w:p>
          <w:p w14:paraId="6AC48ECF" w14:textId="77777777" w:rsidR="006C2349" w:rsidRPr="00006D1E" w:rsidRDefault="006C2349">
            <w:pPr>
              <w:rPr>
                <w:szCs w:val="22"/>
              </w:rPr>
            </w:pPr>
            <w:r w:rsidRPr="00006D1E">
              <w:rPr>
                <w:szCs w:val="22"/>
              </w:rPr>
              <w:lastRenderedPageBreak/>
              <w:t>Develop more communications on the current process for accessing the NQA ITS solution that provides an approved provider with the ability to perform an initial check and subsequent prohibition checks.</w:t>
            </w:r>
          </w:p>
        </w:tc>
      </w:tr>
      <w:tr w:rsidR="006C2349" w14:paraId="6A0C6B64" w14:textId="77777777" w:rsidTr="00E3170E">
        <w:tc>
          <w:tcPr>
            <w:tcW w:w="905" w:type="pct"/>
          </w:tcPr>
          <w:p w14:paraId="6183C3E5" w14:textId="77777777" w:rsidR="006C2349" w:rsidRPr="00006D1E" w:rsidRDefault="006C2349">
            <w:pPr>
              <w:rPr>
                <w:szCs w:val="22"/>
              </w:rPr>
            </w:pPr>
            <w:r w:rsidRPr="00006D1E">
              <w:rPr>
                <w:szCs w:val="22"/>
              </w:rPr>
              <w:lastRenderedPageBreak/>
              <w:t>3</w:t>
            </w:r>
          </w:p>
        </w:tc>
        <w:tc>
          <w:tcPr>
            <w:tcW w:w="4095" w:type="pct"/>
          </w:tcPr>
          <w:p w14:paraId="16FF075A" w14:textId="77777777" w:rsidR="006C2349" w:rsidRPr="00006D1E" w:rsidRDefault="006C2349">
            <w:pPr>
              <w:rPr>
                <w:b/>
                <w:szCs w:val="22"/>
              </w:rPr>
            </w:pPr>
            <w:r w:rsidRPr="00006D1E">
              <w:rPr>
                <w:b/>
                <w:szCs w:val="22"/>
              </w:rPr>
              <w:t>Regulatory</w:t>
            </w:r>
          </w:p>
          <w:p w14:paraId="50C9D565" w14:textId="77777777" w:rsidR="006C2349" w:rsidRPr="00006D1E" w:rsidRDefault="006C2349">
            <w:pPr>
              <w:rPr>
                <w:szCs w:val="22"/>
              </w:rPr>
            </w:pPr>
            <w:r w:rsidRPr="00006D1E">
              <w:rPr>
                <w:szCs w:val="22"/>
              </w:rPr>
              <w:t>Amend section 272 of the National Law to allow the Regulatory Authority to share information about a prohibited person or suspended FDC educator with that person’s current approved provider, without a request from the approved provider.</w:t>
            </w:r>
          </w:p>
        </w:tc>
      </w:tr>
      <w:tr w:rsidR="006C2349" w14:paraId="2D4FC5BC" w14:textId="77777777" w:rsidTr="00E3170E">
        <w:tc>
          <w:tcPr>
            <w:tcW w:w="905" w:type="pct"/>
          </w:tcPr>
          <w:p w14:paraId="7980C426" w14:textId="77777777" w:rsidR="006C2349" w:rsidRPr="00006D1E" w:rsidRDefault="006C2349">
            <w:pPr>
              <w:rPr>
                <w:szCs w:val="22"/>
              </w:rPr>
            </w:pPr>
            <w:r w:rsidRPr="00006D1E">
              <w:rPr>
                <w:szCs w:val="22"/>
              </w:rPr>
              <w:t>4</w:t>
            </w:r>
          </w:p>
        </w:tc>
        <w:tc>
          <w:tcPr>
            <w:tcW w:w="4095" w:type="pct"/>
          </w:tcPr>
          <w:p w14:paraId="5BF1EA6D" w14:textId="77777777" w:rsidR="006C2349" w:rsidRPr="00006D1E" w:rsidRDefault="006C2349">
            <w:pPr>
              <w:rPr>
                <w:b/>
                <w:szCs w:val="22"/>
              </w:rPr>
            </w:pPr>
            <w:r w:rsidRPr="00006D1E">
              <w:rPr>
                <w:b/>
                <w:szCs w:val="22"/>
              </w:rPr>
              <w:t>Regulatory</w:t>
            </w:r>
          </w:p>
          <w:p w14:paraId="6ABB44EA" w14:textId="77777777" w:rsidR="006C2349" w:rsidRPr="00006D1E" w:rsidRDefault="006C2349">
            <w:pPr>
              <w:rPr>
                <w:b/>
                <w:szCs w:val="22"/>
              </w:rPr>
            </w:pPr>
            <w:r w:rsidRPr="00006D1E">
              <w:rPr>
                <w:szCs w:val="22"/>
              </w:rPr>
              <w:t>Amend the National Law to allow a Regulatory Authority to share information about a person’s current enforceable undertaking with that person’s current approved provider, without a request.</w:t>
            </w:r>
          </w:p>
        </w:tc>
      </w:tr>
    </w:tbl>
    <w:p w14:paraId="2AF8AE31" w14:textId="77777777" w:rsidR="006C2349" w:rsidRDefault="006C2349" w:rsidP="006C2349">
      <w:pPr>
        <w:pStyle w:val="Heading3"/>
      </w:pPr>
      <w:r>
        <w:t>What are the impacts of each option?</w:t>
      </w:r>
    </w:p>
    <w:p w14:paraId="4A528075" w14:textId="025C78B0" w:rsidR="006C2349" w:rsidRPr="00083B20" w:rsidRDefault="006C2349" w:rsidP="006C2349">
      <w:r>
        <w:t xml:space="preserve">The sections below provide a qualitative discussion on the potential impacts of the proposed options on child safety outcomes, costs to stakeholders, implementation </w:t>
      </w:r>
      <w:r w:rsidR="004151E0">
        <w:t>considerations</w:t>
      </w:r>
      <w:r>
        <w:t>, and distributional impacts, in line with the approach outlined in Chapter 4.</w:t>
      </w:r>
    </w:p>
    <w:p w14:paraId="7CCEBA97" w14:textId="77777777" w:rsidR="006C2349" w:rsidRDefault="006C2349" w:rsidP="006C2349">
      <w:pPr>
        <w:pStyle w:val="Heading4"/>
      </w:pPr>
      <w:r>
        <w:t xml:space="preserve">Impact on child safety </w:t>
      </w:r>
    </w:p>
    <w:p w14:paraId="001A558E" w14:textId="6418025B" w:rsidR="006C2349" w:rsidRDefault="006C2349" w:rsidP="006C2349">
      <w:r w:rsidRPr="00722B95">
        <w:t xml:space="preserve">Option </w:t>
      </w:r>
      <w:r>
        <w:t xml:space="preserve">2 can improve use of the NQA ITS to </w:t>
      </w:r>
      <w:r w:rsidRPr="00933C18">
        <w:t>undertake initial and subsequent prohibition and suspension of FDC educator checks</w:t>
      </w:r>
      <w:r>
        <w:t>. Where current practices are lacking, this could reduce the risk that unsuitable individuals are present in education and care settings. Through consultation, stakeholders consistently reported that option 2 would be somewhat effective in improving child safety. This includes survey results where approved providers, members of the education and care workforce, families, parents, and caregivers most frequently indicated that option 2 would somewhat reduce the risk of harm to children (refer to Chart 7.4).</w:t>
      </w:r>
    </w:p>
    <w:p w14:paraId="059AA3EA" w14:textId="10324565" w:rsidR="006C2349" w:rsidRDefault="006C2349" w:rsidP="006C2349">
      <w:pPr>
        <w:pStyle w:val="Caption"/>
      </w:pPr>
      <w:bookmarkStart w:id="113" w:name="_Toc201934900"/>
      <w:bookmarkStart w:id="114" w:name="_Toc205884954"/>
      <w:r w:rsidRPr="00CB2AEC">
        <w:lastRenderedPageBreak/>
        <w:t>Chart 7.4:</w:t>
      </w:r>
      <w:r>
        <w:t xml:space="preserve"> </w:t>
      </w:r>
      <w:r w:rsidRPr="00057988">
        <w:t>Approved provider responses to “How much do you think each option will reduce the risk of harm to children?”</w:t>
      </w:r>
      <w:bookmarkEnd w:id="113"/>
      <w:bookmarkEnd w:id="114"/>
      <w:r w:rsidRPr="00057988">
        <w:t xml:space="preserve"> </w:t>
      </w:r>
    </w:p>
    <w:p w14:paraId="188EF917" w14:textId="081F53E6" w:rsidR="006C2349" w:rsidRPr="00057988" w:rsidRDefault="006C2349" w:rsidP="5F9ABDD8">
      <w:pPr>
        <w:keepNext/>
        <w:keepLines/>
        <w:spacing w:before="120"/>
        <w:rPr>
          <w:rFonts w:eastAsia="Calibri" w:cs="Arial"/>
          <w:color w:val="006B77"/>
          <w:sz w:val="17"/>
          <w:szCs w:val="17"/>
        </w:rPr>
      </w:pPr>
      <w:r>
        <w:rPr>
          <w:noProof/>
          <w14:ligatures w14:val="standardContextual"/>
        </w:rPr>
        <w:drawing>
          <wp:inline distT="0" distB="0" distL="0" distR="0" wp14:anchorId="7D230793" wp14:editId="54EF2BA7">
            <wp:extent cx="5648325" cy="2762885"/>
            <wp:effectExtent l="0" t="0" r="0" b="0"/>
            <wp:docPr id="1723358355"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26A9FF29-C0F4-7E95-16F9-114E95ED39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FF699DC" w14:textId="5FAEDCB6" w:rsidR="006C2349" w:rsidRPr="00636B94" w:rsidRDefault="006C2349" w:rsidP="000C756E">
      <w:pPr>
        <w:pStyle w:val="Source-CSR"/>
      </w:pPr>
      <w:r w:rsidRPr="00057988">
        <w:t xml:space="preserve">Source: Approved provider survey, as of </w:t>
      </w:r>
      <w:r w:rsidRPr="00636B94">
        <w:t>11 June 2025, Q54, option 1 n=152, option 2 n=151, option 3 n=150, option 4 n=148.</w:t>
      </w:r>
    </w:p>
    <w:p w14:paraId="168D21A7" w14:textId="3B46A5B8" w:rsidR="006C2349" w:rsidRPr="00722B95" w:rsidRDefault="006C2349" w:rsidP="006C2349">
      <w:r>
        <w:t xml:space="preserve">Both options 3 and 4 were viewed as important measures for improving child safety to ensure approved providers are always aware of prohibitions, suspensions (for FDC educators), or enforceable undertakings that apply to an individual. Despite the importance of these regulatory changes for child safety outcomes, </w:t>
      </w:r>
      <w:r w:rsidR="00451486">
        <w:t xml:space="preserve">approved providers </w:t>
      </w:r>
      <w:r w:rsidR="004B1767">
        <w:t xml:space="preserve">believed there were very limited circumstances that could lead to a prohibition of FDC educator suspension being unknown to them. </w:t>
      </w:r>
      <w:r>
        <w:t>It was considered more likely that an enforceable undertaking may be unknown to an approved provider given this information cannot be requested through NQA ITS. Across the surveys, most respondents indicated that option 3 and option 4 would greatly reduce the risk of harm to children (refer to Chart 7.4).</w:t>
      </w:r>
    </w:p>
    <w:p w14:paraId="248E57F0" w14:textId="23518977" w:rsidR="006C2349" w:rsidRPr="00466043" w:rsidRDefault="006C2349" w:rsidP="006C2349">
      <w:pPr>
        <w:pStyle w:val="Heading4"/>
      </w:pPr>
      <w:r w:rsidRPr="00466043">
        <w:t xml:space="preserve">Cost of </w:t>
      </w:r>
      <w:r>
        <w:t>each</w:t>
      </w:r>
      <w:r w:rsidRPr="00466043">
        <w:t xml:space="preserve"> option</w:t>
      </w:r>
    </w:p>
    <w:p w14:paraId="10FC0F36" w14:textId="1A925134" w:rsidR="006C2349" w:rsidRDefault="006C2349" w:rsidP="006C2349">
      <w:r w:rsidRPr="0018443D">
        <w:t>Under option 2, there is potential that the guidance would prompt approved providers to undertake more regular checks of the NQA ITS</w:t>
      </w:r>
      <w:r>
        <w:t xml:space="preserve">. </w:t>
      </w:r>
      <w:r w:rsidRPr="007D0BD3">
        <w:t xml:space="preserve">Stakeholders noted that option 2 may encourage more approved providers to undertake additional prohibition and suspension checks after </w:t>
      </w:r>
      <w:r w:rsidR="00805BFB">
        <w:t xml:space="preserve">the </w:t>
      </w:r>
      <w:r w:rsidRPr="007D0BD3">
        <w:t xml:space="preserve">initial screening processes. While there are benefits associated with these checks, providers may incur additional administration costs. The survey indicates that approximately two-thirds of approved providers </w:t>
      </w:r>
      <w:r>
        <w:t>do not check</w:t>
      </w:r>
      <w:r w:rsidRPr="007D0BD3">
        <w:t xml:space="preserve"> the prohibition or suspension status of a staff member after the initial employment screening</w:t>
      </w:r>
      <w:r>
        <w:t xml:space="preserve">. </w:t>
      </w:r>
      <w:r w:rsidR="001C5CB2">
        <w:t>Approved p</w:t>
      </w:r>
      <w:r w:rsidR="00ED339F">
        <w:t xml:space="preserve">roviders did not explicitly state why they do not check the prohibition </w:t>
      </w:r>
      <w:r w:rsidR="00121A76">
        <w:t>or suspension status of a staff member</w:t>
      </w:r>
      <w:r w:rsidR="006F5F43">
        <w:t>. H</w:t>
      </w:r>
      <w:r w:rsidR="00121A76">
        <w:t>owever</w:t>
      </w:r>
      <w:r w:rsidR="006F5F43">
        <w:t>,</w:t>
      </w:r>
      <w:r w:rsidR="00121A76">
        <w:t xml:space="preserve"> </w:t>
      </w:r>
      <w:r w:rsidR="001C5CB2">
        <w:t xml:space="preserve">a small number of consulted stakeholders suggested operational issues such as the process of checking </w:t>
      </w:r>
      <w:r w:rsidR="006F5F43">
        <w:t xml:space="preserve">being </w:t>
      </w:r>
      <w:r w:rsidR="001C5CB2">
        <w:t>complex</w:t>
      </w:r>
      <w:r w:rsidR="006F5F43">
        <w:t>, and</w:t>
      </w:r>
      <w:r w:rsidR="001C5CB2">
        <w:t xml:space="preserve"> involving multiple attempts to follow up, </w:t>
      </w:r>
      <w:r w:rsidR="00C33B0B">
        <w:t xml:space="preserve">limited </w:t>
      </w:r>
      <w:r w:rsidR="00C33B0B">
        <w:lastRenderedPageBreak/>
        <w:t>access to the NQA ITS among staff prohibited frequent checks, and the lack</w:t>
      </w:r>
      <w:r w:rsidR="001C5CB2">
        <w:t xml:space="preserve"> of </w:t>
      </w:r>
      <w:r w:rsidR="00C33B0B">
        <w:t>real time notifications was</w:t>
      </w:r>
      <w:r w:rsidR="001C5CB2">
        <w:t xml:space="preserve"> a</w:t>
      </w:r>
      <w:r w:rsidR="008D3FE6">
        <w:t xml:space="preserve"> </w:t>
      </w:r>
      <w:r w:rsidR="00C33B0B">
        <w:t>disincentive for regular checks.</w:t>
      </w:r>
      <w:r w:rsidR="00121A76">
        <w:t xml:space="preserve"> </w:t>
      </w:r>
      <w:r>
        <w:t xml:space="preserve">This suggests that </w:t>
      </w:r>
      <w:r w:rsidRPr="007D0BD3">
        <w:t>this option may have a material incremental cost</w:t>
      </w:r>
      <w:r>
        <w:t xml:space="preserve"> if more frequent NQA ITS checks are undertaken</w:t>
      </w:r>
      <w:r w:rsidRPr="007D0BD3">
        <w:t>, particularly for larger providers</w:t>
      </w:r>
      <w:r>
        <w:t xml:space="preserve"> who need to screen more individuals</w:t>
      </w:r>
      <w:r w:rsidRPr="007D0BD3">
        <w:t xml:space="preserve">. The total cost for providers would depend on the number of additional checks made through the NQA ITS. Approved providers indicated through the survey that </w:t>
      </w:r>
      <w:r w:rsidR="007F12A7">
        <w:t>individual checks take</w:t>
      </w:r>
      <w:r w:rsidRPr="007D0BD3">
        <w:t xml:space="preserve"> approximately 2-10 minutes</w:t>
      </w:r>
      <w:r w:rsidR="00F80712">
        <w:t xml:space="preserve">, which indicates that the </w:t>
      </w:r>
      <w:r w:rsidR="00EC50CD">
        <w:t>cost of each check is minimal</w:t>
      </w:r>
      <w:r w:rsidR="00957B03">
        <w:t xml:space="preserve"> and may therefore not impose material cost pressures on approved providers.</w:t>
      </w:r>
    </w:p>
    <w:p w14:paraId="7967DE17" w14:textId="7A41EAB0" w:rsidR="006C2349" w:rsidRDefault="006C2349" w:rsidP="006C2349">
      <w:r w:rsidRPr="0018443D">
        <w:t xml:space="preserve">Under </w:t>
      </w:r>
      <w:r>
        <w:t>options 3 and 4</w:t>
      </w:r>
      <w:r w:rsidRPr="0018443D">
        <w:t xml:space="preserve">, Regulatory Authorities </w:t>
      </w:r>
      <w:r>
        <w:t>indicated that information sharing processes would likely be manual and would impose some time costs. However, Regulatory Authorities did not view this cost to be too substantial</w:t>
      </w:r>
      <w:r w:rsidR="00A55E41">
        <w:t>. The proposed</w:t>
      </w:r>
      <w:r>
        <w:t xml:space="preserve"> regulatory reforms are </w:t>
      </w:r>
      <w:r w:rsidR="00177249">
        <w:t>addressing a regulatory gap</w:t>
      </w:r>
      <w:r>
        <w:t xml:space="preserve"> </w:t>
      </w:r>
      <w:r w:rsidR="00423844">
        <w:t>for</w:t>
      </w:r>
      <w:r>
        <w:t xml:space="preserve"> where current communicative practices are not sufficient (e.g., an individual is issued a prohibition notice subsequent to their employment with a new approved provider) and would therefore not require frequent additional communications. Regulatory Authorities were of the view that any additional costs involved in manually sharing this information would be outweighed by improvements in child safety.</w:t>
      </w:r>
    </w:p>
    <w:p w14:paraId="656CA963" w14:textId="4DD567FC" w:rsidR="00F336E9" w:rsidRDefault="00F336E9" w:rsidP="006C2349">
      <w:r>
        <w:t xml:space="preserve">Approved providers did not identify costs that </w:t>
      </w:r>
      <w:r w:rsidR="006B5A55">
        <w:t>t</w:t>
      </w:r>
      <w:r>
        <w:t>hey may bear as a result of options 3 and 4</w:t>
      </w:r>
      <w:r w:rsidR="006B5A55">
        <w:t>. H</w:t>
      </w:r>
      <w:r>
        <w:t>owever</w:t>
      </w:r>
      <w:r w:rsidR="006B5A55">
        <w:t>,</w:t>
      </w:r>
      <w:r>
        <w:t xml:space="preserve"> there could be a small administrative cost associated with approved providers receiving additional information and responding to this information. </w:t>
      </w:r>
    </w:p>
    <w:p w14:paraId="6D8AFD30" w14:textId="15CC90FE" w:rsidR="006C2349" w:rsidRPr="00466043" w:rsidRDefault="006C2349" w:rsidP="006C2349">
      <w:pPr>
        <w:pStyle w:val="Heading4"/>
      </w:pPr>
      <w:r>
        <w:t xml:space="preserve">Implementation </w:t>
      </w:r>
      <w:r w:rsidR="004151E0">
        <w:t>considerations</w:t>
      </w:r>
    </w:p>
    <w:p w14:paraId="0F108585" w14:textId="3DFD9C90" w:rsidR="006C2349" w:rsidRDefault="006C2349" w:rsidP="006C2349">
      <w:r>
        <w:t xml:space="preserve">The implementation </w:t>
      </w:r>
      <w:r w:rsidR="004151E0">
        <w:t>considerations</w:t>
      </w:r>
      <w:r>
        <w:t xml:space="preserve"> associated with the proposed policy options are limited. Under option 2, the effectiveness of the guidance in improving child safety outcomes is entirely subject to voluntary uptake among approved providers. This results in risks to child safety outcomes, as outlined above. </w:t>
      </w:r>
    </w:p>
    <w:p w14:paraId="5F17FF30" w14:textId="5741D0E1" w:rsidR="00DE5E8B" w:rsidRDefault="001B31C7" w:rsidP="004A663A">
      <w:r>
        <w:t xml:space="preserve">Under options 3 and 4, there is a risk that approved providers will reduce their current </w:t>
      </w:r>
      <w:r w:rsidR="005155DC">
        <w:t xml:space="preserve">practices of checking the NQA ITS and may instead increase their reliance on Regulatory Authorities to proactively share information. This is not the intent of the reform and </w:t>
      </w:r>
      <w:r w:rsidR="00E85755">
        <w:t xml:space="preserve">could result in greater risks to child safety </w:t>
      </w:r>
      <w:r w:rsidR="004A663A">
        <w:t xml:space="preserve">if approved providers perceive the reforms to reduce approved providers’ existing responsibilities under the National Law to not employ a prohibited person or suspended FDC educator. </w:t>
      </w:r>
      <w:r w:rsidR="002543B1">
        <w:t xml:space="preserve">This risk may be greater under option 3 as it pertains directly to prohibitions and FDC suspensions which approved providers are currently required to know about, </w:t>
      </w:r>
      <w:r w:rsidR="008F0F1F">
        <w:t xml:space="preserve">while enforceable undertakings could currently be </w:t>
      </w:r>
      <w:r w:rsidR="008F0F1F">
        <w:lastRenderedPageBreak/>
        <w:t xml:space="preserve">unknown to current approved providers. However, </w:t>
      </w:r>
      <w:r w:rsidR="00DE1446">
        <w:t xml:space="preserve">approved providers may still perceive themselves to have less responsibility to undertake regular NQA ITS checks under option 4. </w:t>
      </w:r>
    </w:p>
    <w:p w14:paraId="31155302" w14:textId="0F0306BE" w:rsidR="001B31C7" w:rsidRPr="001B31C7" w:rsidRDefault="00DE5E8B" w:rsidP="004A663A">
      <w:r>
        <w:t xml:space="preserve">Some stakeholders raised concerns that option 4 </w:t>
      </w:r>
      <w:r w:rsidR="00F23CFF">
        <w:t>may have implications for the privacy of educators</w:t>
      </w:r>
      <w:r w:rsidR="005A567B">
        <w:t xml:space="preserve">, as enforceable undertakings </w:t>
      </w:r>
      <w:r w:rsidR="00973B7A">
        <w:t xml:space="preserve">are </w:t>
      </w:r>
      <w:r w:rsidR="00820456">
        <w:t xml:space="preserve">(1) </w:t>
      </w:r>
      <w:r w:rsidR="00973B7A">
        <w:t xml:space="preserve">not currently required to be known by </w:t>
      </w:r>
      <w:r w:rsidR="00820456">
        <w:t xml:space="preserve">current approved providers and (2) </w:t>
      </w:r>
      <w:r w:rsidR="00A571C1">
        <w:t>are between an individual and a Regulatory Authority and</w:t>
      </w:r>
      <w:r w:rsidR="00A55EFC">
        <w:t xml:space="preserve"> an individual may not desire this information to be shared. However, many other stakeholders did believe that </w:t>
      </w:r>
      <w:r w:rsidR="006B5A55">
        <w:t xml:space="preserve">these </w:t>
      </w:r>
      <w:r w:rsidR="00050378">
        <w:t>potential concerns would be outweighed by benefits to child safety, particularly as an approved provider may support an individual to uphold the conditions of their enforceable undertaking.</w:t>
      </w:r>
    </w:p>
    <w:tbl>
      <w:tblPr>
        <w:tblpPr w:leftFromText="180" w:rightFromText="180" w:vertAnchor="text" w:horzAnchor="margin" w:tblpY="-27"/>
        <w:tblW w:w="0" w:type="auto"/>
        <w:tblCellMar>
          <w:top w:w="113" w:type="dxa"/>
          <w:bottom w:w="113" w:type="dxa"/>
        </w:tblCellMar>
        <w:tblLook w:val="04A0" w:firstRow="1" w:lastRow="0" w:firstColumn="1" w:lastColumn="0" w:noHBand="0" w:noVBand="1"/>
        <w:tblCaption w:val="Box 7.2: Aboriginal and Torres Strait Islander People Stakeholder Views"/>
        <w:tblDescription w:val="This table outlines the Aboriginal and Torres Strait Islander People Stakeholder views on implementation considerations."/>
      </w:tblPr>
      <w:tblGrid>
        <w:gridCol w:w="9020"/>
      </w:tblGrid>
      <w:tr w:rsidR="00370CE7" w14:paraId="6DE64A54" w14:textId="77777777" w:rsidTr="00370CE7">
        <w:tc>
          <w:tcPr>
            <w:tcW w:w="9020" w:type="dxa"/>
            <w:tcBorders>
              <w:top w:val="nil"/>
              <w:left w:val="nil"/>
              <w:bottom w:val="nil"/>
              <w:right w:val="nil"/>
            </w:tcBorders>
            <w:shd w:val="clear" w:color="auto" w:fill="FFF2CC" w:themeFill="accent3" w:themeFillTint="33"/>
          </w:tcPr>
          <w:p w14:paraId="7E6D9415" w14:textId="0226527C" w:rsidR="00370CE7" w:rsidRPr="006B0059" w:rsidRDefault="00370CE7" w:rsidP="00370CE7">
            <w:pPr>
              <w:rPr>
                <w:b/>
                <w:szCs w:val="22"/>
              </w:rPr>
            </w:pPr>
            <w:r w:rsidRPr="006B0059">
              <w:rPr>
                <w:b/>
                <w:szCs w:val="22"/>
              </w:rPr>
              <w:t xml:space="preserve">Box </w:t>
            </w:r>
            <w:r w:rsidRPr="007D790C">
              <w:rPr>
                <w:b/>
                <w:szCs w:val="22"/>
              </w:rPr>
              <w:t>7.2:</w:t>
            </w:r>
            <w:r w:rsidRPr="006B0059">
              <w:rPr>
                <w:b/>
                <w:szCs w:val="22"/>
              </w:rPr>
              <w:t xml:space="preserve"> </w:t>
            </w:r>
            <w:r w:rsidR="00E227D8">
              <w:rPr>
                <w:b/>
                <w:szCs w:val="22"/>
              </w:rPr>
              <w:t>Aboriginal and Torres Strait Islander People Stakeholder Views</w:t>
            </w:r>
          </w:p>
          <w:p w14:paraId="4CD6F79E" w14:textId="3C665762" w:rsidR="00370CE7" w:rsidRPr="0037453B" w:rsidRDefault="00370CE7" w:rsidP="00370CE7">
            <w:r w:rsidRPr="000C217B">
              <w:rPr>
                <w:szCs w:val="22"/>
              </w:rPr>
              <w:t xml:space="preserve">Aboriginal and Torres Strait Islander stakeholders </w:t>
            </w:r>
            <w:r>
              <w:rPr>
                <w:szCs w:val="22"/>
              </w:rPr>
              <w:t xml:space="preserve">reported that while there was general support for options to enhance information sharing across the sector, they raised some concerns about the right to privacy for individuals and the need for procedural fairness where only necessary or relevant information was shared. </w:t>
            </w:r>
            <w:r w:rsidRPr="000C217B">
              <w:rPr>
                <w:szCs w:val="22"/>
              </w:rPr>
              <w:t xml:space="preserve">Aboriginal and Torres Strait Islander stakeholders </w:t>
            </w:r>
            <w:r>
              <w:rPr>
                <w:szCs w:val="22"/>
              </w:rPr>
              <w:t>emphasised that limitations on the detail of information provided should be ensured in any implementation to balance protection and privacy considerations.</w:t>
            </w:r>
            <w:r w:rsidR="00900870">
              <w:rPr>
                <w:szCs w:val="22"/>
              </w:rPr>
              <w:t xml:space="preserve"> </w:t>
            </w:r>
            <w:r>
              <w:rPr>
                <w:szCs w:val="22"/>
              </w:rPr>
              <w:t xml:space="preserve"> </w:t>
            </w:r>
          </w:p>
        </w:tc>
      </w:tr>
    </w:tbl>
    <w:p w14:paraId="4F8E9B39" w14:textId="77777777" w:rsidR="006C2349" w:rsidRPr="00466043" w:rsidRDefault="006C2349" w:rsidP="006C2349">
      <w:pPr>
        <w:pStyle w:val="Heading4"/>
      </w:pPr>
      <w:r w:rsidRPr="00466043">
        <w:t>Distributional impacts</w:t>
      </w:r>
    </w:p>
    <w:p w14:paraId="580B8D5B" w14:textId="11247684" w:rsidR="006C2349" w:rsidRPr="00F5009B" w:rsidRDefault="006C2349" w:rsidP="006C2349">
      <w:pPr>
        <w:rPr>
          <w:szCs w:val="22"/>
        </w:rPr>
      </w:pPr>
      <w:r w:rsidRPr="001406D1">
        <w:rPr>
          <w:szCs w:val="22"/>
        </w:rPr>
        <w:t>Stakeholders who engaged in consultative activities did not note any material distributional impacts associated with the proposed options</w:t>
      </w:r>
      <w:r w:rsidR="0047022D">
        <w:rPr>
          <w:szCs w:val="22"/>
        </w:rPr>
        <w:t xml:space="preserve">, aside from the potential for individuals who are subject to prohibition notices, FDC educator suspensions, and </w:t>
      </w:r>
      <w:r w:rsidR="00900F85">
        <w:rPr>
          <w:szCs w:val="22"/>
        </w:rPr>
        <w:t>enforceable undertakings to experience a reduction in their privacy (</w:t>
      </w:r>
      <w:r w:rsidR="00C07118">
        <w:rPr>
          <w:szCs w:val="22"/>
        </w:rPr>
        <w:t>discussed further under ‘Implementation considerations’).</w:t>
      </w:r>
    </w:p>
    <w:p w14:paraId="1D1A1E91" w14:textId="26FAC374" w:rsidR="00D7199C" w:rsidRPr="00466043" w:rsidRDefault="00D7199C" w:rsidP="00D7199C">
      <w:pPr>
        <w:pStyle w:val="Heading4"/>
      </w:pPr>
      <w:r>
        <w:t>Stakeholders’ preferences</w:t>
      </w:r>
    </w:p>
    <w:p w14:paraId="6A1CAE24" w14:textId="1E462504" w:rsidR="00D7199C" w:rsidRDefault="00D7199C" w:rsidP="00D7199C">
      <w:r w:rsidRPr="007F06A3">
        <w:t>Across</w:t>
      </w:r>
      <w:r w:rsidRPr="00837288">
        <w:t xml:space="preserve"> </w:t>
      </w:r>
      <w:r>
        <w:t>survey respondents</w:t>
      </w:r>
      <w:r w:rsidRPr="00734540">
        <w:t xml:space="preserve">, </w:t>
      </w:r>
      <w:r>
        <w:t xml:space="preserve">option 4 was the </w:t>
      </w:r>
      <w:r w:rsidR="00BF7E16">
        <w:t>preferred</w:t>
      </w:r>
      <w:r w:rsidR="004C5562">
        <w:t xml:space="preserve"> option</w:t>
      </w:r>
      <w:r>
        <w:t xml:space="preserve"> for this recommendation. </w:t>
      </w:r>
      <w:r w:rsidRPr="007949A6">
        <w:t xml:space="preserve">Approximately </w:t>
      </w:r>
      <w:r>
        <w:t xml:space="preserve">32% of approved providers identified option 4 as their </w:t>
      </w:r>
      <w:r w:rsidR="00BF7E16">
        <w:t>preferred</w:t>
      </w:r>
      <w:r w:rsidR="004C5562">
        <w:t xml:space="preserve"> option</w:t>
      </w:r>
      <w:r>
        <w:t xml:space="preserve"> – with an additional 24% preferring option </w:t>
      </w:r>
      <w:r w:rsidR="006B5A55">
        <w:t>3</w:t>
      </w:r>
      <w:r>
        <w:t xml:space="preserve"> in conjunction with option </w:t>
      </w:r>
      <w:r w:rsidR="006B5A55">
        <w:t>4</w:t>
      </w:r>
      <w:r>
        <w:t>, and 21% preferring options 2, 3 and 4 in conjunction</w:t>
      </w:r>
      <w:r w:rsidRPr="007949A6">
        <w:t>.</w:t>
      </w:r>
      <w:r>
        <w:t xml:space="preserve"> </w:t>
      </w:r>
    </w:p>
    <w:p w14:paraId="69518DB7" w14:textId="1271BC79" w:rsidR="00D7199C" w:rsidRPr="00B449C5" w:rsidRDefault="002A0271" w:rsidP="00D7199C">
      <w:pPr>
        <w:pStyle w:val="CaptionChart"/>
        <w:numPr>
          <w:ilvl w:val="7"/>
          <w:numId w:val="0"/>
        </w:numPr>
        <w:rPr>
          <w:i/>
          <w:iCs/>
          <w:color w:val="14233C" w:themeColor="text2"/>
          <w:sz w:val="18"/>
          <w:szCs w:val="20"/>
        </w:rPr>
      </w:pPr>
      <w:r>
        <w:rPr>
          <w:i/>
          <w:iCs/>
          <w:color w:val="14233C" w:themeColor="text2"/>
          <w:sz w:val="18"/>
          <w:szCs w:val="20"/>
        </w:rPr>
        <w:lastRenderedPageBreak/>
        <w:t xml:space="preserve">Chart 7.5: </w:t>
      </w:r>
      <w:r w:rsidR="00D7199C" w:rsidRPr="00B449C5">
        <w:rPr>
          <w:i/>
          <w:iCs/>
          <w:color w:val="14233C" w:themeColor="text2"/>
          <w:sz w:val="18"/>
          <w:szCs w:val="20"/>
        </w:rPr>
        <w:t xml:space="preserve">Approved provider responses to “What is your </w:t>
      </w:r>
      <w:r w:rsidR="00B734E0">
        <w:rPr>
          <w:i/>
          <w:iCs/>
          <w:color w:val="14233C" w:themeColor="text2"/>
          <w:sz w:val="18"/>
          <w:szCs w:val="20"/>
        </w:rPr>
        <w:t xml:space="preserve">preferred option or combination </w:t>
      </w:r>
      <w:r w:rsidR="00D7199C" w:rsidRPr="00B449C5">
        <w:rPr>
          <w:i/>
          <w:iCs/>
          <w:color w:val="14233C" w:themeColor="text2"/>
          <w:sz w:val="18"/>
          <w:szCs w:val="20"/>
        </w:rPr>
        <w:t>of options?” – Recommendation 3.2</w:t>
      </w:r>
    </w:p>
    <w:p w14:paraId="78B6A23C" w14:textId="77777777" w:rsidR="00D7199C" w:rsidRPr="00BD38F3" w:rsidRDefault="00D7199C" w:rsidP="00D7199C">
      <w:pPr>
        <w:rPr>
          <w:noProof/>
          <w14:ligatures w14:val="standardContextual"/>
        </w:rPr>
      </w:pPr>
      <w:r>
        <w:rPr>
          <w:noProof/>
          <w14:ligatures w14:val="standardContextual"/>
        </w:rPr>
        <w:drawing>
          <wp:inline distT="0" distB="0" distL="0" distR="0" wp14:anchorId="0EB5C6B2" wp14:editId="0903E664">
            <wp:extent cx="5727700" cy="2068830"/>
            <wp:effectExtent l="0" t="0" r="6350" b="7620"/>
            <wp:docPr id="1942949405" name="Chart 1" descr="Chart outlining approved provider survey responses to the survey question &quot;What is your preferred option or combination of options?&quot;">
              <a:extLst xmlns:a="http://schemas.openxmlformats.org/drawingml/2006/main">
                <a:ext uri="{FF2B5EF4-FFF2-40B4-BE49-F238E27FC236}">
                  <a16:creationId xmlns:a16="http://schemas.microsoft.com/office/drawing/2014/main" id="{EBBAA919-3A1B-3268-6919-00D3C8446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17AC233" w14:textId="77777777" w:rsidR="00D7199C" w:rsidRDefault="00D7199C" w:rsidP="00976C70">
      <w:pPr>
        <w:pStyle w:val="Source-CSR"/>
      </w:pPr>
      <w:r w:rsidRPr="00BD38F3">
        <w:t xml:space="preserve">Source: Approved provider survey, as of </w:t>
      </w:r>
      <w:r w:rsidRPr="00636B94">
        <w:t>11 June 2025, Q44, n=121 unique respondents. Note that if a respondent selected a combination of options, that selection is treated as a unique preference and not double-counted in the singular options.</w:t>
      </w:r>
    </w:p>
    <w:p w14:paraId="2D78CF4F" w14:textId="7D3475C6" w:rsidR="00D7199C" w:rsidRPr="00DF7BC7" w:rsidRDefault="00D7199C" w:rsidP="00D7199C">
      <w:r>
        <w:t xml:space="preserve">Similarly, 26% of the education and care workforce identified option 4 as their </w:t>
      </w:r>
      <w:r w:rsidR="00BF7E16">
        <w:t>preferred</w:t>
      </w:r>
      <w:r w:rsidR="004C5562">
        <w:t xml:space="preserve"> option</w:t>
      </w:r>
      <w:r>
        <w:t xml:space="preserve"> – an additional 21% </w:t>
      </w:r>
      <w:r w:rsidR="00BF7E16">
        <w:t>preferred</w:t>
      </w:r>
      <w:r w:rsidR="004C5562">
        <w:t xml:space="preserve"> option</w:t>
      </w:r>
      <w:r>
        <w:t xml:space="preserve"> 3 in conjunction with option 4, and 19% </w:t>
      </w:r>
      <w:r w:rsidR="00BF7E16">
        <w:t>preferred</w:t>
      </w:r>
      <w:r w:rsidR="004C5562">
        <w:t xml:space="preserve"> option</w:t>
      </w:r>
      <w:r>
        <w:t xml:space="preserve">s 2,3 and 4 in conjunction (Appendix </w:t>
      </w:r>
      <w:r w:rsidR="00B54723">
        <w:t xml:space="preserve">Chart </w:t>
      </w:r>
      <w:r>
        <w:t>12.3.3</w:t>
      </w:r>
      <w:r w:rsidR="00B54723">
        <w:t>.11</w:t>
      </w:r>
      <w:r>
        <w:t xml:space="preserve">). Finally, 27% of surveyed parents, families and carers identified option 4 as their </w:t>
      </w:r>
      <w:r w:rsidR="00BF7E16">
        <w:t>preferred</w:t>
      </w:r>
      <w:r w:rsidR="004C5562">
        <w:t xml:space="preserve"> option</w:t>
      </w:r>
      <w:r>
        <w:t xml:space="preserve"> – an additional 38% </w:t>
      </w:r>
      <w:r w:rsidR="00BF7E16">
        <w:t>preferred</w:t>
      </w:r>
      <w:r w:rsidR="004C5562">
        <w:t xml:space="preserve"> option</w:t>
      </w:r>
      <w:r>
        <w:t xml:space="preserve"> 3 in conjunction with option 4, and 12% </w:t>
      </w:r>
      <w:r w:rsidR="00BF7E16">
        <w:t>preferred</w:t>
      </w:r>
      <w:r w:rsidR="004C5562">
        <w:t xml:space="preserve"> option</w:t>
      </w:r>
      <w:r>
        <w:t xml:space="preserve">s 2,3 and 4 in conjunction (Appendix </w:t>
      </w:r>
      <w:r w:rsidR="00B54723">
        <w:t xml:space="preserve">Chart </w:t>
      </w:r>
      <w:r>
        <w:t>12.3.3</w:t>
      </w:r>
      <w:r w:rsidR="00B54723">
        <w:t>.12</w:t>
      </w:r>
      <w:r>
        <w:t>).</w:t>
      </w:r>
    </w:p>
    <w:p w14:paraId="2790E0F8" w14:textId="60972B8F" w:rsidR="07365FF6" w:rsidRDefault="07365FF6">
      <w:r>
        <w:t xml:space="preserve">Long form written submissions also </w:t>
      </w:r>
      <w:r w:rsidR="4D5FA1CB">
        <w:t xml:space="preserve">expressed support for options 3 and 4, with option 2 </w:t>
      </w:r>
      <w:r w:rsidR="00B734E0">
        <w:t>receiving</w:t>
      </w:r>
      <w:r w:rsidR="4D5FA1CB">
        <w:t xml:space="preserve"> some support</w:t>
      </w:r>
      <w:r w:rsidR="00B734E0">
        <w:t xml:space="preserve"> </w:t>
      </w:r>
      <w:r w:rsidR="4D5FA1CB">
        <w:t xml:space="preserve">when commented on. </w:t>
      </w:r>
      <w:r w:rsidR="05B88CDC">
        <w:t xml:space="preserve">These includes all approved providers expressing support for options 3 and 4. </w:t>
      </w:r>
    </w:p>
    <w:p w14:paraId="41E8380C" w14:textId="226EE5E4" w:rsidR="006C2349" w:rsidRDefault="006C2349" w:rsidP="006C2349">
      <w:pPr>
        <w:pStyle w:val="Heading3"/>
      </w:pPr>
      <w:r>
        <w:t xml:space="preserve">What is the </w:t>
      </w:r>
      <w:r w:rsidR="004C5562">
        <w:t>recommended option</w:t>
      </w:r>
      <w:r>
        <w:t>(s) and how will it be implemented?</w:t>
      </w:r>
    </w:p>
    <w:p w14:paraId="52FC732B" w14:textId="18E488E1" w:rsidR="00C249DF" w:rsidRDefault="00E270D6" w:rsidP="00C249DF">
      <w:r w:rsidRPr="007D27A8">
        <w:t>Based on analysis included in this DRIS, the options with the highest net benefit to be provided to Education Ministers for consideration</w:t>
      </w:r>
      <w:r>
        <w:t xml:space="preserve"> are</w:t>
      </w:r>
      <w:r w:rsidRPr="007D27A8">
        <w:t xml:space="preserve"> </w:t>
      </w:r>
      <w:r>
        <w:t>t</w:t>
      </w:r>
      <w:r w:rsidR="00B10AE8">
        <w:t>he regulatory options (</w:t>
      </w:r>
      <w:r w:rsidR="00D71348">
        <w:t xml:space="preserve">Options </w:t>
      </w:r>
      <w:r w:rsidR="00B10AE8">
        <w:t>3 and 4)</w:t>
      </w:r>
      <w:r>
        <w:t xml:space="preserve">. </w:t>
      </w:r>
      <w:r w:rsidR="00427952">
        <w:t>This</w:t>
      </w:r>
      <w:r w:rsidR="00B54E7E">
        <w:t xml:space="preserve"> is on the basis </w:t>
      </w:r>
      <w:r w:rsidR="001D6AB9">
        <w:t xml:space="preserve">they would improve providers’ awareness of prohibitions, suspensions or enforceable undertakings which are important to preserve child safety. These options were also frequently preferred in combination by stakeholders, due to their complementary nature. </w:t>
      </w:r>
      <w:r w:rsidR="00C249DF" w:rsidRPr="000D5D01">
        <w:t>I</w:t>
      </w:r>
      <w:r w:rsidR="00BF7E16">
        <w:t>f</w:t>
      </w:r>
      <w:r w:rsidR="00C249DF" w:rsidRPr="000D5D01">
        <w:t xml:space="preserve"> </w:t>
      </w:r>
      <w:r w:rsidR="004C5562" w:rsidRPr="000D5D01">
        <w:t>recommended option</w:t>
      </w:r>
      <w:r w:rsidR="00C249DF" w:rsidRPr="000D5D01">
        <w:t>s</w:t>
      </w:r>
      <w:r w:rsidR="001E5F16" w:rsidRPr="000D5D01">
        <w:t xml:space="preserve"> are </w:t>
      </w:r>
      <w:r w:rsidR="000D5D01" w:rsidRPr="000D5D01">
        <w:t>implemented</w:t>
      </w:r>
      <w:r w:rsidR="00C249DF" w:rsidRPr="000D5D01">
        <w:t xml:space="preserve">, </w:t>
      </w:r>
      <w:r w:rsidR="00B10AE8" w:rsidRPr="000D5D01">
        <w:t xml:space="preserve">governments will consider embedding </w:t>
      </w:r>
      <w:r w:rsidR="00C249DF" w:rsidRPr="000D5D01">
        <w:t xml:space="preserve">procedural fairness </w:t>
      </w:r>
      <w:r w:rsidR="00B10AE8" w:rsidRPr="000D5D01">
        <w:t>considerations</w:t>
      </w:r>
      <w:r w:rsidR="00C249DF" w:rsidRPr="000D5D01">
        <w:t xml:space="preserve"> to ensure information is only shared </w:t>
      </w:r>
      <w:r w:rsidR="00887A91">
        <w:t xml:space="preserve">where </w:t>
      </w:r>
      <w:r w:rsidR="00C249DF" w:rsidRPr="000D5D01">
        <w:t>it meets the intent of the legislation and is in the interests of child safety.</w:t>
      </w:r>
      <w:r w:rsidR="00C249DF">
        <w:t xml:space="preserve"> </w:t>
      </w:r>
      <w:r w:rsidR="00B10AE8">
        <w:t>Guidance will also</w:t>
      </w:r>
      <w:r w:rsidR="00C249DF">
        <w:t xml:space="preserve"> be </w:t>
      </w:r>
      <w:r w:rsidR="00B10AE8">
        <w:t xml:space="preserve">provided </w:t>
      </w:r>
      <w:r w:rsidR="00D7199C">
        <w:t>to</w:t>
      </w:r>
      <w:r w:rsidR="00C249DF">
        <w:t xml:space="preserve"> clearly </w:t>
      </w:r>
      <w:r w:rsidR="00D7199C">
        <w:t>communicate</w:t>
      </w:r>
      <w:r w:rsidR="00C249DF">
        <w:t xml:space="preserve"> that the responsibility for NQA ITS</w:t>
      </w:r>
      <w:r w:rsidR="00C249DF">
        <w:rPr>
          <w:rStyle w:val="FootnoteReference"/>
        </w:rPr>
        <w:footnoteReference w:id="95"/>
      </w:r>
      <w:r w:rsidR="00C249DF">
        <w:t xml:space="preserve"> checks on </w:t>
      </w:r>
      <w:r w:rsidR="00C249DF">
        <w:lastRenderedPageBreak/>
        <w:t xml:space="preserve">recruiting an individual still sits with an approved provider and that this reform does not replace any current checking processes. </w:t>
      </w:r>
    </w:p>
    <w:p w14:paraId="344A0AB8" w14:textId="2364D5BC" w:rsidR="006C2349" w:rsidRPr="007D5E9B" w:rsidRDefault="006C2349" w:rsidP="006C2349">
      <w:pPr>
        <w:pStyle w:val="Heading2"/>
      </w:pPr>
      <w:bookmarkStart w:id="115" w:name="_Toc194479661"/>
      <w:bookmarkStart w:id="116" w:name="_Toc201934874"/>
      <w:bookmarkStart w:id="117" w:name="_Toc205884894"/>
      <w:r>
        <w:t>7.3 Expansion of regulatory responses to educator and staff member conduct</w:t>
      </w:r>
      <w:bookmarkEnd w:id="115"/>
      <w:bookmarkEnd w:id="116"/>
      <w:bookmarkEnd w:id="117"/>
      <w:r>
        <w:t xml:space="preserve"> </w:t>
      </w:r>
    </w:p>
    <w:tbl>
      <w:tblPr>
        <w:tblStyle w:val="Deloittetable"/>
        <w:tblW w:w="9140" w:type="dxa"/>
        <w:tblLook w:val="04A0" w:firstRow="1" w:lastRow="0" w:firstColumn="1" w:lastColumn="0" w:noHBand="0" w:noVBand="1"/>
        <w:tblCaption w:val="Key insights - Expansion of regulatory responses to educator and staff member conduct "/>
        <w:tblDescription w:val="This table outlines the key insights for expansion of regulatory responses to educator and staff member conduct."/>
      </w:tblPr>
      <w:tblGrid>
        <w:gridCol w:w="9140"/>
      </w:tblGrid>
      <w:tr w:rsidR="00B11DFB" w14:paraId="6187A5E3" w14:textId="77777777" w:rsidTr="003D655D">
        <w:trPr>
          <w:cnfStyle w:val="100000000000" w:firstRow="1" w:lastRow="0" w:firstColumn="0" w:lastColumn="0" w:oddVBand="0" w:evenVBand="0" w:oddHBand="0" w:evenHBand="0" w:firstRowFirstColumn="0" w:firstRowLastColumn="0" w:lastRowFirstColumn="0" w:lastRowLastColumn="0"/>
          <w:trHeight w:val="188"/>
        </w:trPr>
        <w:tc>
          <w:tcPr>
            <w:tcW w:w="9140" w:type="dxa"/>
            <w:shd w:val="clear" w:color="auto" w:fill="DEE6F4" w:themeFill="text2" w:themeFillTint="1A"/>
          </w:tcPr>
          <w:p w14:paraId="18FD2A15" w14:textId="77777777" w:rsidR="00B11DFB" w:rsidRPr="005347A5" w:rsidRDefault="00B11DFB">
            <w:pPr>
              <w:rPr>
                <w:b/>
                <w:bCs/>
                <w:sz w:val="20"/>
                <w:szCs w:val="20"/>
              </w:rPr>
            </w:pPr>
            <w:r w:rsidRPr="005347A5">
              <w:rPr>
                <w:b/>
                <w:bCs/>
                <w:sz w:val="20"/>
                <w:szCs w:val="20"/>
              </w:rPr>
              <w:t xml:space="preserve">Key Insights </w:t>
            </w:r>
          </w:p>
          <w:p w14:paraId="43441ACE" w14:textId="77777777" w:rsidR="00B11DFB" w:rsidRPr="00712583" w:rsidRDefault="00B11DFB">
            <w:pPr>
              <w:rPr>
                <w:i/>
                <w:szCs w:val="22"/>
              </w:rPr>
            </w:pPr>
            <w:r>
              <w:rPr>
                <w:i/>
                <w:szCs w:val="22"/>
              </w:rPr>
              <w:t>Problem</w:t>
            </w:r>
          </w:p>
          <w:p w14:paraId="230B0865" w14:textId="080E4561" w:rsidR="00AB57AC" w:rsidRPr="00AB57AC" w:rsidRDefault="00AB57AC" w:rsidP="00EC53AB">
            <w:pPr>
              <w:pStyle w:val="ListParagraph"/>
              <w:numPr>
                <w:ilvl w:val="0"/>
                <w:numId w:val="100"/>
              </w:numPr>
              <w:spacing w:before="120"/>
              <w:ind w:left="462"/>
              <w:contextualSpacing/>
              <w:rPr>
                <w:szCs w:val="20"/>
              </w:rPr>
            </w:pPr>
            <w:r>
              <w:rPr>
                <w:szCs w:val="20"/>
              </w:rPr>
              <w:t>Where</w:t>
            </w:r>
            <w:r w:rsidRPr="00AB57AC">
              <w:rPr>
                <w:szCs w:val="20"/>
              </w:rPr>
              <w:t xml:space="preserve"> the threshold for prohibition has not been met, the Regulatory Authority has limited powers that can be used to directly address educator and staff member conduct that is non-compliant. This is not conducive to an environment that promotes the safety, health, and wellbeing of children in education and care services, noting that:</w:t>
            </w:r>
          </w:p>
          <w:p w14:paraId="24E23B94" w14:textId="77777777" w:rsidR="00AB57AC" w:rsidRDefault="00AB57AC" w:rsidP="00EC53AB">
            <w:pPr>
              <w:pStyle w:val="ListParagraph"/>
              <w:numPr>
                <w:ilvl w:val="1"/>
                <w:numId w:val="107"/>
              </w:numPr>
              <w:spacing w:before="120"/>
              <w:ind w:left="1171"/>
              <w:contextualSpacing/>
              <w:rPr>
                <w:szCs w:val="20"/>
              </w:rPr>
            </w:pPr>
            <w:r w:rsidRPr="00AB57AC">
              <w:rPr>
                <w:szCs w:val="20"/>
              </w:rPr>
              <w:t xml:space="preserve">educators and staff members who engage in non-compliant conduct are not required to undertake training or professional development activities to directly address that conduct. </w:t>
            </w:r>
          </w:p>
          <w:p w14:paraId="26C52D00" w14:textId="65D57DF9" w:rsidR="00B11DFB" w:rsidRDefault="00AB57AC" w:rsidP="00EC53AB">
            <w:pPr>
              <w:pStyle w:val="ListParagraph"/>
              <w:numPr>
                <w:ilvl w:val="1"/>
                <w:numId w:val="107"/>
              </w:numPr>
              <w:spacing w:before="120"/>
              <w:ind w:left="1171"/>
              <w:contextualSpacing/>
              <w:rPr>
                <w:szCs w:val="20"/>
              </w:rPr>
            </w:pPr>
            <w:r w:rsidRPr="00AB57AC">
              <w:rPr>
                <w:szCs w:val="20"/>
              </w:rPr>
              <w:t>approved providers are left to manage non-compliant educator or staff member conduct without the support of the Regulatory Authority.</w:t>
            </w:r>
          </w:p>
          <w:p w14:paraId="755C1C82" w14:textId="77777777" w:rsidR="00B11DFB" w:rsidRPr="000B4397" w:rsidRDefault="00B11DFB">
            <w:pPr>
              <w:spacing w:before="120"/>
              <w:contextualSpacing/>
              <w:rPr>
                <w:i/>
                <w:szCs w:val="20"/>
              </w:rPr>
            </w:pPr>
            <w:r w:rsidRPr="002B7C48">
              <w:rPr>
                <w:i/>
                <w:szCs w:val="20"/>
              </w:rPr>
              <w:t>Impacts of each option</w:t>
            </w:r>
          </w:p>
          <w:p w14:paraId="69BE9A50" w14:textId="1263D35E" w:rsidR="00B11DFB" w:rsidRPr="000B4397" w:rsidRDefault="00B11DFB"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that </w:t>
            </w:r>
            <w:r w:rsidR="00AB57AC" w:rsidRPr="00AB57AC">
              <w:rPr>
                <w:szCs w:val="20"/>
              </w:rPr>
              <w:t>options 2</w:t>
            </w:r>
            <w:r w:rsidR="003B2C53">
              <w:rPr>
                <w:szCs w:val="20"/>
              </w:rPr>
              <w:t xml:space="preserve">, 3, 4 and </w:t>
            </w:r>
            <w:r w:rsidR="00AB57AC" w:rsidRPr="00AB57AC">
              <w:rPr>
                <w:szCs w:val="20"/>
              </w:rPr>
              <w:t xml:space="preserve">5 represent an improvement on the status quo (option 1), due to the improvement in child safety outcomes offsetting potential costs of the proposed options. Option 5 </w:t>
            </w:r>
            <w:r w:rsidR="003B2C53">
              <w:rPr>
                <w:szCs w:val="20"/>
              </w:rPr>
              <w:t>(mandatory training)</w:t>
            </w:r>
            <w:r w:rsidR="00AB57AC" w:rsidRPr="00AB57AC">
              <w:rPr>
                <w:szCs w:val="20"/>
              </w:rPr>
              <w:t xml:space="preserve"> resulted in the highest weighted MCA score, indicating this option results in the greatest improvement in child safety outcomes, relative to the costs and other potential negative impacts.</w:t>
            </w:r>
          </w:p>
          <w:p w14:paraId="40339D44" w14:textId="1AB07665" w:rsidR="00B11DFB" w:rsidRPr="00712583" w:rsidRDefault="004C5562">
            <w:pPr>
              <w:rPr>
                <w:szCs w:val="22"/>
              </w:rPr>
            </w:pPr>
            <w:r>
              <w:rPr>
                <w:i/>
                <w:szCs w:val="22"/>
              </w:rPr>
              <w:t>Recommended option</w:t>
            </w:r>
          </w:p>
          <w:p w14:paraId="687166F5" w14:textId="3B279DF3" w:rsidR="00B11DFB" w:rsidRPr="003D655D" w:rsidRDefault="00931972" w:rsidP="00EC53AB">
            <w:pPr>
              <w:pStyle w:val="ListParagraph"/>
              <w:numPr>
                <w:ilvl w:val="0"/>
                <w:numId w:val="100"/>
              </w:numPr>
              <w:spacing w:before="120"/>
              <w:ind w:left="462"/>
              <w:contextualSpacing/>
              <w:jc w:val="both"/>
              <w:rPr>
                <w:szCs w:val="20"/>
              </w:rPr>
            </w:pPr>
            <w:r w:rsidRPr="00931972">
              <w:rPr>
                <w:szCs w:val="20"/>
              </w:rPr>
              <w:t>Based on analysis included in this DRIS, the options with the highest net benefit to be provided to Education Ministers for consideration are the regulatory options 3, 4 and 5. These three options would generate the most significant improvements to child safety.</w:t>
            </w:r>
          </w:p>
        </w:tc>
      </w:tr>
    </w:tbl>
    <w:p w14:paraId="1789F49C" w14:textId="495FF2F2" w:rsidR="006C2349" w:rsidRDefault="006C2349" w:rsidP="006C2349">
      <w:pPr>
        <w:spacing w:before="240"/>
      </w:pPr>
      <w:r>
        <w:t xml:space="preserve">As noted in Chapters 7.1 and 7.2, the NQF is structured to keep approved providers accountable and responsible for meeting their obligations under the framework, including management of educators, other staff members and volunteers. Typically, approved providers will manage and respond to educator conduct through their </w:t>
      </w:r>
      <w:r w:rsidR="00B35BCC">
        <w:t>Code of Conduct</w:t>
      </w:r>
      <w:r>
        <w:t xml:space="preserve"> or contracts of employment. Some educator conduct</w:t>
      </w:r>
      <w:r>
        <w:rPr>
          <w:rStyle w:val="FootnoteReference"/>
        </w:rPr>
        <w:footnoteReference w:id="96"/>
      </w:r>
      <w:r>
        <w:t xml:space="preserve"> may not be, or may no longer be, appropriate to manage through these means alone, such as conduct amounting to, or alleging to amount to, an offence under the National Law or where an educator may pose a risk of harm. In these instances, the Regulatory Authority have limited tools available to respond to this conduct.</w:t>
      </w:r>
    </w:p>
    <w:p w14:paraId="2279CE41" w14:textId="77777777" w:rsidR="006C2349" w:rsidRDefault="006C2349" w:rsidP="006C2349">
      <w:pPr>
        <w:spacing w:before="240"/>
      </w:pPr>
      <w:r>
        <w:lastRenderedPageBreak/>
        <w:t>Presently, the Regulatory Authority can:</w:t>
      </w:r>
    </w:p>
    <w:p w14:paraId="35EA5554" w14:textId="659C3C90" w:rsidR="006C2349" w:rsidRDefault="006C2349" w:rsidP="00F77C7A">
      <w:pPr>
        <w:pStyle w:val="ListParagraph"/>
        <w:spacing w:before="240"/>
        <w:ind w:left="426"/>
      </w:pPr>
      <w:r>
        <w:t>issue a prohibition notice if the Regulatory Authority considers that the educator may present an unacceptable risk of harm if that person were allowed to remain at the service premises or provide education and care to children.</w:t>
      </w:r>
      <w:r>
        <w:rPr>
          <w:rStyle w:val="FootnoteReference"/>
        </w:rPr>
        <w:footnoteReference w:id="97"/>
      </w:r>
      <w:r>
        <w:t xml:space="preserve"> That prohibition notice will state the person is prohibited from one or more of the following</w:t>
      </w:r>
      <w:r>
        <w:rPr>
          <w:rStyle w:val="FootnoteReference"/>
        </w:rPr>
        <w:footnoteReference w:id="98"/>
      </w:r>
      <w:r>
        <w:t>:</w:t>
      </w:r>
    </w:p>
    <w:p w14:paraId="79D83674" w14:textId="77DCF657" w:rsidR="006C2349" w:rsidRDefault="006C2349" w:rsidP="00EC53AB">
      <w:pPr>
        <w:pStyle w:val="ListParagraph"/>
        <w:numPr>
          <w:ilvl w:val="1"/>
          <w:numId w:val="62"/>
        </w:numPr>
        <w:spacing w:before="240"/>
      </w:pPr>
      <w:r>
        <w:t>providing education and care to children for an education and care service</w:t>
      </w:r>
    </w:p>
    <w:p w14:paraId="76ADF028" w14:textId="72E36721" w:rsidR="006C2349" w:rsidRDefault="006C2349" w:rsidP="00EC53AB">
      <w:pPr>
        <w:pStyle w:val="ListParagraph"/>
        <w:numPr>
          <w:ilvl w:val="1"/>
          <w:numId w:val="62"/>
        </w:numPr>
        <w:spacing w:before="240"/>
      </w:pPr>
      <w:r>
        <w:t>being engaged as an educator, FDC educator, employee, contractor or staff member of, or volunteer at an education and care service</w:t>
      </w:r>
    </w:p>
    <w:p w14:paraId="09E31DA7" w14:textId="77777777" w:rsidR="006C2349" w:rsidRDefault="006C2349" w:rsidP="00EC53AB">
      <w:pPr>
        <w:pStyle w:val="ListParagraph"/>
        <w:numPr>
          <w:ilvl w:val="1"/>
          <w:numId w:val="62"/>
        </w:numPr>
        <w:spacing w:before="240"/>
      </w:pPr>
      <w:r>
        <w:t>carrying out any other activity relating to an education and care service.</w:t>
      </w:r>
    </w:p>
    <w:p w14:paraId="68F55187" w14:textId="35CC3E46" w:rsidR="006C2349" w:rsidRDefault="006C2349" w:rsidP="00F77C7A">
      <w:pPr>
        <w:pStyle w:val="ListParagraph"/>
        <w:spacing w:before="240"/>
        <w:ind w:left="426"/>
      </w:pPr>
      <w:r>
        <w:t>accept an enforceable undertaking from a person who has contravened, or is alleged to have contravened, the National Law</w:t>
      </w:r>
      <w:r>
        <w:rPr>
          <w:rStyle w:val="FootnoteReference"/>
        </w:rPr>
        <w:footnoteReference w:id="99"/>
      </w:r>
      <w:r>
        <w:t xml:space="preserve"> or as an alternative to prohibition</w:t>
      </w:r>
      <w:r>
        <w:rPr>
          <w:rStyle w:val="FootnoteReference"/>
        </w:rPr>
        <w:footnoteReference w:id="100"/>
      </w:r>
    </w:p>
    <w:p w14:paraId="7EBFCE2A" w14:textId="77777777" w:rsidR="006C2349" w:rsidRDefault="006C2349" w:rsidP="00EC53AB">
      <w:pPr>
        <w:pStyle w:val="ListParagraph"/>
        <w:numPr>
          <w:ilvl w:val="0"/>
          <w:numId w:val="62"/>
        </w:numPr>
        <w:spacing w:before="240"/>
        <w:ind w:left="426"/>
      </w:pPr>
      <w:r>
        <w:t>issue a notice to suspend to an FDC educators’ approved provider. This will direct approved providers to suspend that educator from their service. It does not prohibit that FDC educator from gaining employment with a different provider, to whom the notice of suspension was not directed</w:t>
      </w:r>
    </w:p>
    <w:p w14:paraId="1F552330" w14:textId="77777777" w:rsidR="006C2349" w:rsidRDefault="006C2349" w:rsidP="00EC53AB">
      <w:pPr>
        <w:pStyle w:val="ListParagraph"/>
        <w:numPr>
          <w:ilvl w:val="0"/>
          <w:numId w:val="62"/>
        </w:numPr>
        <w:spacing w:before="240"/>
        <w:ind w:left="426"/>
      </w:pPr>
      <w:r>
        <w:t>initiate prosecutions and impose penalties in the case of a substantiated contravention</w:t>
      </w:r>
    </w:p>
    <w:p w14:paraId="0C279A42" w14:textId="5DEE7442" w:rsidR="006C2349" w:rsidRPr="00587EEE" w:rsidRDefault="006C2349" w:rsidP="00EC53AB">
      <w:pPr>
        <w:pStyle w:val="ListParagraph"/>
        <w:numPr>
          <w:ilvl w:val="0"/>
          <w:numId w:val="62"/>
        </w:numPr>
        <w:spacing w:before="240"/>
        <w:ind w:left="426"/>
      </w:pPr>
      <w:r>
        <w:t xml:space="preserve">record the breach and send a “Reminder of Obligations” or caution letter in the case of a substantiated contravention. This is an administrative tool that acts as a warning. </w:t>
      </w:r>
    </w:p>
    <w:p w14:paraId="407F84F1" w14:textId="5FC0C825" w:rsidR="006C2349" w:rsidRDefault="006C2349" w:rsidP="006C2349">
      <w:r>
        <w:t xml:space="preserve">Where an educator or staff member may pose an unacceptable risk of harm to children, the Regulatory Authority can prohibit and enable the swift removal of that individual from not only the service in which they operate, but the entire education and care sector. The respective WWCC agency will also be informed of the prohibition which may result in a change to their WWCC status. </w:t>
      </w:r>
    </w:p>
    <w:p w14:paraId="7A92784B" w14:textId="3378CA84" w:rsidR="006C2349" w:rsidRDefault="006C2349" w:rsidP="006C2349">
      <w:pPr>
        <w:spacing w:before="240"/>
      </w:pPr>
      <w:r>
        <w:t xml:space="preserve">The incentive for an educator or staff member to voluntarily offer and enter into an enforceable undertaking when they are facing prohibition is clear, as they may be prohibited unless they enter into an enforceable undertaking. However, where an individual’s conduct </w:t>
      </w:r>
      <w:r>
        <w:lastRenderedPageBreak/>
        <w:t>does not meet the threshold for prohibition, but they have contravened or allegedly contravened the National Law, there is less of an incentive for the individual to voluntarily offer and enter into an enforceable undertaking. There are minimal consequences of not offering an enforceable undertaking (other than a monetary penalty if successfully prosecuted). Arguably, prosecution and subsequent penalties may be a deterrent for some educators or staff members although they still do not address the underlying behaviour which resulted in the contravention in the first instance.</w:t>
      </w:r>
    </w:p>
    <w:p w14:paraId="601DC483" w14:textId="1E6D8539" w:rsidR="006C2349" w:rsidRDefault="006C2349" w:rsidP="006C2349">
      <w:pPr>
        <w:spacing w:before="240"/>
      </w:pPr>
      <w:r>
        <w:t>In the instances an enforceable undertaking is voluntarily offered by the educator</w:t>
      </w:r>
      <w:r w:rsidRPr="00E336EA">
        <w:t xml:space="preserve"> </w:t>
      </w:r>
      <w:r>
        <w:t>or staff member, it generally includes mitigation strategies put forward by the individual, the impact of which are hard to assess or quantify. Specifically, at the present time</w:t>
      </w:r>
      <w:r>
        <w:rPr>
          <w:rStyle w:val="FootnoteReference"/>
        </w:rPr>
        <w:footnoteReference w:id="101"/>
      </w:r>
      <w:r>
        <w:t xml:space="preserve"> there are no nationally recognised training courses that address behaviours which contravene the National Law – or any mechanism available to validate and measure the learning and behavioural change to indicate the enforceable undertaking has had the desired outcome.</w:t>
      </w:r>
    </w:p>
    <w:p w14:paraId="7108CBC0" w14:textId="77777777" w:rsidR="006C2349" w:rsidRDefault="006C2349" w:rsidP="006C2349">
      <w:pPr>
        <w:pStyle w:val="Heading3"/>
      </w:pPr>
      <w:r>
        <w:t>What is the problem?</w:t>
      </w:r>
    </w:p>
    <w:p w14:paraId="797D6FBF" w14:textId="00F810AC" w:rsidR="006C2349" w:rsidRDefault="006C2349" w:rsidP="006C2349">
      <w:r>
        <w:t xml:space="preserve">As it stands, where the threshold for prohibition has not been met, the Regulatory Authority has limited </w:t>
      </w:r>
      <w:r w:rsidR="00370AE2">
        <w:t>powers</w:t>
      </w:r>
      <w:r>
        <w:t xml:space="preserve"> that can be used to directly address educator and staff member conduct that is non-compliant. This is not conducive to an environment that promotes the safety, health, and wellbeing of children in education and care services, noting that: </w:t>
      </w:r>
    </w:p>
    <w:p w14:paraId="28F11ED6" w14:textId="47A45965" w:rsidR="006C2349" w:rsidRDefault="00F77C7A" w:rsidP="00EC53AB">
      <w:pPr>
        <w:pStyle w:val="ListParagraph"/>
        <w:numPr>
          <w:ilvl w:val="0"/>
          <w:numId w:val="58"/>
        </w:numPr>
        <w:ind w:left="426"/>
      </w:pPr>
      <w:r>
        <w:t>E</w:t>
      </w:r>
      <w:r w:rsidR="006C2349">
        <w:t xml:space="preserve">ducators and staff members who engage in non-compliant conduct are not required to undertake training or professional development activities to directly address that conduct. This is a concern for two primary reasons: </w:t>
      </w:r>
    </w:p>
    <w:p w14:paraId="4538BC74" w14:textId="07065967" w:rsidR="006C2349" w:rsidRDefault="00F77C7A" w:rsidP="00EC53AB">
      <w:pPr>
        <w:pStyle w:val="ListParagraph"/>
        <w:numPr>
          <w:ilvl w:val="1"/>
          <w:numId w:val="58"/>
        </w:numPr>
        <w:ind w:left="1080"/>
      </w:pPr>
      <w:r>
        <w:t>F</w:t>
      </w:r>
      <w:r w:rsidR="006C2349">
        <w:t>irst, the educator</w:t>
      </w:r>
      <w:r w:rsidR="006C2349" w:rsidRPr="001A4E9F">
        <w:t xml:space="preserve"> </w:t>
      </w:r>
      <w:r w:rsidR="006C2349">
        <w:t>or staff member is more likely to repeat that behaviour if their professional knowledge has not increased</w:t>
      </w:r>
      <w:r>
        <w:t>.</w:t>
      </w:r>
    </w:p>
    <w:p w14:paraId="2CA27746" w14:textId="19A07DF7" w:rsidR="006C2349" w:rsidRDefault="00F77C7A" w:rsidP="00EC53AB">
      <w:pPr>
        <w:pStyle w:val="ListParagraph"/>
        <w:numPr>
          <w:ilvl w:val="1"/>
          <w:numId w:val="58"/>
        </w:numPr>
        <w:ind w:left="1080" w:hanging="357"/>
      </w:pPr>
      <w:r>
        <w:t>S</w:t>
      </w:r>
      <w:r w:rsidR="006C2349">
        <w:t>econd, without opportunity for correction of non-compliant behaviour, the educator</w:t>
      </w:r>
      <w:r w:rsidR="006C2349" w:rsidRPr="001A4E9F">
        <w:t xml:space="preserve"> </w:t>
      </w:r>
      <w:r w:rsidR="006C2349">
        <w:t>or staff member may later face prohibition or have their employment terminated by the approved provider. This is not conducive towards supporting educators</w:t>
      </w:r>
      <w:r w:rsidR="006C2349" w:rsidRPr="001A4E9F">
        <w:t xml:space="preserve"> </w:t>
      </w:r>
      <w:r w:rsidR="006C2349">
        <w:t>and staff members to develop their skills within the sector.</w:t>
      </w:r>
    </w:p>
    <w:p w14:paraId="63445A84" w14:textId="18F86330" w:rsidR="006C2349" w:rsidRDefault="00F77C7A" w:rsidP="00EC53AB">
      <w:pPr>
        <w:pStyle w:val="ListParagraph"/>
        <w:numPr>
          <w:ilvl w:val="0"/>
          <w:numId w:val="58"/>
        </w:numPr>
        <w:ind w:left="426"/>
      </w:pPr>
      <w:r>
        <w:t>A</w:t>
      </w:r>
      <w:r w:rsidR="006C2349">
        <w:t>pproved providers are left to manage non-compliant educator</w:t>
      </w:r>
      <w:r w:rsidR="006C2349" w:rsidRPr="001A4E9F">
        <w:t xml:space="preserve"> </w:t>
      </w:r>
      <w:r w:rsidR="006C2349">
        <w:t>or staff member conduct without the support of the Regulatory Authority.</w:t>
      </w:r>
    </w:p>
    <w:p w14:paraId="50515451" w14:textId="79E33C41" w:rsidR="006C2349" w:rsidRDefault="00EB4295" w:rsidP="006C2349">
      <w:pPr>
        <w:pStyle w:val="Heading3"/>
      </w:pPr>
      <w:r>
        <w:lastRenderedPageBreak/>
        <w:t>What were the policy options consulted on?</w:t>
      </w:r>
    </w:p>
    <w:p w14:paraId="5B1C8383" w14:textId="0BCE2616" w:rsidR="006C2349" w:rsidRPr="002F2BEA" w:rsidRDefault="006C2349" w:rsidP="006C2349">
      <w:pPr>
        <w:rPr>
          <w:i/>
          <w:iCs/>
        </w:rPr>
      </w:pPr>
      <w:r>
        <w:t>Five options, including the status quo, a non-regulatory option, and three regulatory options are under consideration.</w:t>
      </w:r>
      <w:r w:rsidR="006B5BB0">
        <w:t xml:space="preserve"> These options are </w:t>
      </w:r>
      <w:r w:rsidR="00F55550">
        <w:t xml:space="preserve">consistent with the CRIS options, however stakeholder feedback has resulted in some slight </w:t>
      </w:r>
      <w:r w:rsidR="002F2BEA">
        <w:t xml:space="preserve">changes to the intended implementation of the recommended options, outlined further under </w:t>
      </w:r>
      <w:r w:rsidR="002F2BEA">
        <w:rPr>
          <w:i/>
          <w:iCs/>
        </w:rPr>
        <w:t>What is the recommended option(s) and how will it be implemented?</w:t>
      </w:r>
    </w:p>
    <w:p w14:paraId="6FEE1B7E" w14:textId="68A2B581" w:rsidR="006C2349" w:rsidRDefault="006C2349" w:rsidP="006C2349">
      <w:r>
        <w:t>Options to address this Chapter 7.3 should be considered alongside Chapter 7.1 (making inappropriate conduct an offence) and Chapter 7.2 (enhancing the ability of Regulatory Authorities to share information with approved providers).</w:t>
      </w:r>
    </w:p>
    <w:p w14:paraId="747DC0DE" w14:textId="4A990920" w:rsidR="00734504" w:rsidRDefault="006C2349" w:rsidP="006C2349">
      <w:r>
        <w:t xml:space="preserve">Options 2 to 5 are not mutually exclusive and could be implemented concurrently. </w:t>
      </w:r>
    </w:p>
    <w:p w14:paraId="13116483" w14:textId="00A37FF1" w:rsidR="006C2349" w:rsidRPr="00931B53" w:rsidRDefault="006C2349" w:rsidP="006C2349">
      <w:pPr>
        <w:pStyle w:val="Caption"/>
      </w:pPr>
      <w:bookmarkStart w:id="118" w:name="_Toc201934901"/>
      <w:bookmarkStart w:id="119" w:name="_Toc205884955"/>
      <w:r>
        <w:t xml:space="preserve">Table 7.4: Policy options under consideration – </w:t>
      </w:r>
      <w:r w:rsidRPr="00A573EE">
        <w:t>Expansion of regulatory responses to educator and staff member conduct</w:t>
      </w:r>
      <w:bookmarkEnd w:id="118"/>
      <w:bookmarkEnd w:id="11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7.4: Policy options under consideration – Expansion of regulatory responses to educator and staff member conduct"/>
        <w:tblDescription w:val="This table outlines the policy options under consideration for expansion of regulatory responses to educator and staff member conduct."/>
      </w:tblPr>
      <w:tblGrid>
        <w:gridCol w:w="1631"/>
        <w:gridCol w:w="7379"/>
      </w:tblGrid>
      <w:tr w:rsidR="006C2349" w:rsidRPr="00C02005" w14:paraId="3027D20B" w14:textId="77777777" w:rsidTr="00E3170E">
        <w:trPr>
          <w:tblHeader/>
        </w:trPr>
        <w:tc>
          <w:tcPr>
            <w:tcW w:w="905" w:type="pct"/>
            <w:shd w:val="clear" w:color="auto" w:fill="14233C" w:themeFill="text2"/>
          </w:tcPr>
          <w:p w14:paraId="00B64817" w14:textId="77777777" w:rsidR="006C2349" w:rsidRPr="00006D1E" w:rsidRDefault="006C2349">
            <w:pPr>
              <w:rPr>
                <w:b/>
                <w:color w:val="FFFFFF" w:themeColor="background1"/>
                <w:szCs w:val="20"/>
              </w:rPr>
            </w:pPr>
            <w:r w:rsidRPr="00006D1E">
              <w:rPr>
                <w:b/>
                <w:color w:val="FFFFFF" w:themeColor="background1"/>
                <w:szCs w:val="20"/>
              </w:rPr>
              <w:t>Option</w:t>
            </w:r>
          </w:p>
        </w:tc>
        <w:tc>
          <w:tcPr>
            <w:tcW w:w="4095" w:type="pct"/>
            <w:shd w:val="clear" w:color="auto" w:fill="14233C" w:themeFill="text2"/>
          </w:tcPr>
          <w:p w14:paraId="6BF85027" w14:textId="77777777" w:rsidR="006C2349" w:rsidRPr="00006D1E" w:rsidRDefault="006C2349">
            <w:pPr>
              <w:rPr>
                <w:b/>
                <w:color w:val="FFFFFF" w:themeColor="background1"/>
                <w:szCs w:val="20"/>
              </w:rPr>
            </w:pPr>
            <w:r w:rsidRPr="00006D1E">
              <w:rPr>
                <w:b/>
                <w:color w:val="FFFFFF" w:themeColor="background1"/>
                <w:szCs w:val="20"/>
              </w:rPr>
              <w:t>Description</w:t>
            </w:r>
          </w:p>
        </w:tc>
      </w:tr>
      <w:tr w:rsidR="006C2349" w14:paraId="5C98BE16" w14:textId="77777777" w:rsidTr="00E3170E">
        <w:tc>
          <w:tcPr>
            <w:tcW w:w="905" w:type="pct"/>
          </w:tcPr>
          <w:p w14:paraId="02B1C857" w14:textId="77777777" w:rsidR="006C2349" w:rsidRPr="00006D1E" w:rsidRDefault="006C2349">
            <w:pPr>
              <w:rPr>
                <w:szCs w:val="20"/>
              </w:rPr>
            </w:pPr>
            <w:r w:rsidRPr="00006D1E">
              <w:rPr>
                <w:szCs w:val="20"/>
              </w:rPr>
              <w:t>1</w:t>
            </w:r>
          </w:p>
        </w:tc>
        <w:tc>
          <w:tcPr>
            <w:tcW w:w="4095" w:type="pct"/>
          </w:tcPr>
          <w:p w14:paraId="795F6AFF" w14:textId="77777777" w:rsidR="006C2349" w:rsidRPr="00006D1E" w:rsidRDefault="006C2349">
            <w:pPr>
              <w:rPr>
                <w:szCs w:val="20"/>
              </w:rPr>
            </w:pPr>
            <w:r w:rsidRPr="00006D1E">
              <w:rPr>
                <w:szCs w:val="20"/>
              </w:rPr>
              <w:t>Status quo (no change).</w:t>
            </w:r>
          </w:p>
        </w:tc>
      </w:tr>
      <w:tr w:rsidR="006C2349" w14:paraId="1E40C94E" w14:textId="77777777" w:rsidTr="00E3170E">
        <w:tc>
          <w:tcPr>
            <w:tcW w:w="905" w:type="pct"/>
          </w:tcPr>
          <w:p w14:paraId="6AC12FBA" w14:textId="77777777" w:rsidR="006C2349" w:rsidRPr="00006D1E" w:rsidRDefault="006C2349">
            <w:pPr>
              <w:rPr>
                <w:szCs w:val="20"/>
              </w:rPr>
            </w:pPr>
            <w:r w:rsidRPr="00006D1E">
              <w:rPr>
                <w:szCs w:val="20"/>
              </w:rPr>
              <w:t>2</w:t>
            </w:r>
          </w:p>
        </w:tc>
        <w:tc>
          <w:tcPr>
            <w:tcW w:w="4095" w:type="pct"/>
          </w:tcPr>
          <w:p w14:paraId="1050D554" w14:textId="77777777" w:rsidR="006C2349" w:rsidRPr="00006D1E" w:rsidRDefault="006C2349">
            <w:pPr>
              <w:ind w:left="360" w:hanging="360"/>
              <w:rPr>
                <w:b/>
                <w:szCs w:val="20"/>
              </w:rPr>
            </w:pPr>
            <w:r w:rsidRPr="00006D1E">
              <w:rPr>
                <w:b/>
                <w:szCs w:val="20"/>
              </w:rPr>
              <w:t>Non-regulatory</w:t>
            </w:r>
          </w:p>
          <w:p w14:paraId="0814BA6E" w14:textId="3D0D3363" w:rsidR="006C2349" w:rsidRPr="00006D1E" w:rsidRDefault="006C2349">
            <w:pPr>
              <w:rPr>
                <w:szCs w:val="20"/>
              </w:rPr>
            </w:pPr>
            <w:r w:rsidRPr="00006D1E">
              <w:rPr>
                <w:szCs w:val="20"/>
              </w:rPr>
              <w:t xml:space="preserve">Develop more communications and guidance to encourage approved providers to address appropriate and inappropriate conduct within their contracts of employment and their required </w:t>
            </w:r>
            <w:r w:rsidR="00B35BCC">
              <w:rPr>
                <w:szCs w:val="20"/>
              </w:rPr>
              <w:t>Code of Conduct</w:t>
            </w:r>
            <w:r w:rsidRPr="00006D1E">
              <w:rPr>
                <w:szCs w:val="20"/>
              </w:rPr>
              <w:t xml:space="preserve"> and policies and procedures under regulation 168(2) of the National Regulations.</w:t>
            </w:r>
          </w:p>
        </w:tc>
      </w:tr>
      <w:tr w:rsidR="006C2349" w14:paraId="42626864" w14:textId="77777777" w:rsidTr="00E3170E">
        <w:tc>
          <w:tcPr>
            <w:tcW w:w="905" w:type="pct"/>
          </w:tcPr>
          <w:p w14:paraId="367789C8" w14:textId="77777777" w:rsidR="006C2349" w:rsidRPr="00006D1E" w:rsidRDefault="006C2349">
            <w:pPr>
              <w:rPr>
                <w:szCs w:val="20"/>
              </w:rPr>
            </w:pPr>
            <w:r w:rsidRPr="00006D1E">
              <w:rPr>
                <w:szCs w:val="20"/>
              </w:rPr>
              <w:t>3</w:t>
            </w:r>
          </w:p>
        </w:tc>
        <w:tc>
          <w:tcPr>
            <w:tcW w:w="4095" w:type="pct"/>
          </w:tcPr>
          <w:p w14:paraId="22ED8C55" w14:textId="77777777" w:rsidR="006C2349" w:rsidRPr="00006D1E" w:rsidRDefault="006C2349">
            <w:pPr>
              <w:rPr>
                <w:b/>
                <w:szCs w:val="20"/>
              </w:rPr>
            </w:pPr>
            <w:r w:rsidRPr="00006D1E">
              <w:rPr>
                <w:b/>
                <w:szCs w:val="20"/>
              </w:rPr>
              <w:t>Regulatory</w:t>
            </w:r>
          </w:p>
          <w:p w14:paraId="0E2D6815" w14:textId="77777777" w:rsidR="006C2349" w:rsidRPr="00006D1E" w:rsidRDefault="006C2349">
            <w:pPr>
              <w:rPr>
                <w:szCs w:val="20"/>
              </w:rPr>
            </w:pPr>
            <w:r w:rsidRPr="00006D1E">
              <w:rPr>
                <w:szCs w:val="20"/>
              </w:rPr>
              <w:t xml:space="preserve">Amend the National Law to enable the Regulatory Authority to impose: </w:t>
            </w:r>
          </w:p>
          <w:p w14:paraId="7EFEA0E0" w14:textId="77777777" w:rsidR="006C2349" w:rsidRPr="00006D1E" w:rsidRDefault="006C2349">
            <w:pPr>
              <w:rPr>
                <w:i/>
                <w:szCs w:val="20"/>
              </w:rPr>
            </w:pPr>
            <w:r w:rsidRPr="00006D1E">
              <w:rPr>
                <w:i/>
                <w:szCs w:val="20"/>
              </w:rPr>
              <w:t xml:space="preserve">a suspension notice/order from providing education and care to children for a specified period of time, applicable to educators, other staff members and volunteers, where a certain threshold of risk has been met </w:t>
            </w:r>
          </w:p>
          <w:p w14:paraId="6F88F0D4" w14:textId="77777777" w:rsidR="006C2349" w:rsidRPr="00006D1E" w:rsidRDefault="006C2349">
            <w:pPr>
              <w:rPr>
                <w:szCs w:val="20"/>
              </w:rPr>
            </w:pPr>
            <w:r w:rsidRPr="00006D1E">
              <w:rPr>
                <w:szCs w:val="20"/>
              </w:rPr>
              <w:t xml:space="preserve">to address an alleged contravention or contravention of the National Law, where the person does not pose an unacceptable risk of harm to children. </w:t>
            </w:r>
          </w:p>
          <w:p w14:paraId="7803BC79" w14:textId="77777777" w:rsidR="006C2349" w:rsidRPr="00006D1E" w:rsidRDefault="006C2349">
            <w:pPr>
              <w:rPr>
                <w:szCs w:val="20"/>
              </w:rPr>
            </w:pPr>
            <w:r w:rsidRPr="00006D1E">
              <w:rPr>
                <w:szCs w:val="20"/>
              </w:rPr>
              <w:t>A show cause process would apply and the action would be internally and externally reviewable.</w:t>
            </w:r>
          </w:p>
        </w:tc>
      </w:tr>
      <w:tr w:rsidR="006C2349" w14:paraId="3740AB34" w14:textId="77777777" w:rsidTr="00E3170E">
        <w:tc>
          <w:tcPr>
            <w:tcW w:w="905" w:type="pct"/>
          </w:tcPr>
          <w:p w14:paraId="544B96AC" w14:textId="77777777" w:rsidR="006C2349" w:rsidRPr="00006D1E" w:rsidRDefault="006C2349">
            <w:pPr>
              <w:rPr>
                <w:szCs w:val="20"/>
              </w:rPr>
            </w:pPr>
            <w:r w:rsidRPr="00006D1E">
              <w:rPr>
                <w:szCs w:val="20"/>
              </w:rPr>
              <w:t>4</w:t>
            </w:r>
          </w:p>
        </w:tc>
        <w:tc>
          <w:tcPr>
            <w:tcW w:w="4095" w:type="pct"/>
          </w:tcPr>
          <w:p w14:paraId="72E03639" w14:textId="77777777" w:rsidR="006C2349" w:rsidRPr="00006D1E" w:rsidRDefault="006C2349">
            <w:pPr>
              <w:rPr>
                <w:b/>
                <w:szCs w:val="20"/>
              </w:rPr>
            </w:pPr>
            <w:r w:rsidRPr="00006D1E">
              <w:rPr>
                <w:b/>
                <w:szCs w:val="20"/>
              </w:rPr>
              <w:t>Regulatory</w:t>
            </w:r>
          </w:p>
          <w:p w14:paraId="1E8D1E92" w14:textId="77777777" w:rsidR="006C2349" w:rsidRPr="00006D1E" w:rsidRDefault="006C2349">
            <w:pPr>
              <w:rPr>
                <w:szCs w:val="20"/>
              </w:rPr>
            </w:pPr>
            <w:r w:rsidRPr="00006D1E">
              <w:rPr>
                <w:szCs w:val="20"/>
              </w:rPr>
              <w:lastRenderedPageBreak/>
              <w:t xml:space="preserve">Amend the National Law to enable the Regulatory Authority to impose: </w:t>
            </w:r>
          </w:p>
          <w:p w14:paraId="3844D6D4" w14:textId="13604C46" w:rsidR="006C2349" w:rsidRPr="00006D1E" w:rsidRDefault="006C2349">
            <w:pPr>
              <w:rPr>
                <w:i/>
                <w:szCs w:val="20"/>
              </w:rPr>
            </w:pPr>
            <w:r w:rsidRPr="00006D1E">
              <w:rPr>
                <w:i/>
                <w:szCs w:val="20"/>
              </w:rPr>
              <w:t xml:space="preserve">a supervision order on approved providers, applicable where a staff member or volunteer has contravened the National Law and where that contravention also sits with the approved provider (for example, section 166 – Offence to use inappropriate discipline and any new offence provision under Chapter 7.1). </w:t>
            </w:r>
          </w:p>
          <w:p w14:paraId="43F24C4C" w14:textId="77777777" w:rsidR="006C2349" w:rsidRPr="00006D1E" w:rsidRDefault="006C2349">
            <w:pPr>
              <w:rPr>
                <w:szCs w:val="20"/>
              </w:rPr>
            </w:pPr>
            <w:r w:rsidRPr="00006D1E">
              <w:rPr>
                <w:szCs w:val="20"/>
              </w:rPr>
              <w:t>This is to keep approved providers accountable in addressing conduct that contravenes the National Law but the person does not pose an unacceptable risk of harm to children.</w:t>
            </w:r>
          </w:p>
          <w:p w14:paraId="02133E10" w14:textId="77777777" w:rsidR="006C2349" w:rsidRPr="00006D1E" w:rsidRDefault="006C2349">
            <w:pPr>
              <w:rPr>
                <w:szCs w:val="20"/>
              </w:rPr>
            </w:pPr>
            <w:r w:rsidRPr="00006D1E">
              <w:rPr>
                <w:szCs w:val="20"/>
              </w:rPr>
              <w:t>A show cause process would apply and the action would be internally and externally reviewable.</w:t>
            </w:r>
          </w:p>
        </w:tc>
      </w:tr>
      <w:tr w:rsidR="006C2349" w14:paraId="43C3B79A" w14:textId="77777777" w:rsidTr="00E3170E">
        <w:tc>
          <w:tcPr>
            <w:tcW w:w="905" w:type="pct"/>
          </w:tcPr>
          <w:p w14:paraId="46F4B6FE" w14:textId="77777777" w:rsidR="006C2349" w:rsidRPr="00006D1E" w:rsidRDefault="006C2349">
            <w:pPr>
              <w:rPr>
                <w:szCs w:val="20"/>
              </w:rPr>
            </w:pPr>
            <w:r w:rsidRPr="00006D1E">
              <w:rPr>
                <w:szCs w:val="20"/>
              </w:rPr>
              <w:lastRenderedPageBreak/>
              <w:t>5</w:t>
            </w:r>
          </w:p>
        </w:tc>
        <w:tc>
          <w:tcPr>
            <w:tcW w:w="4095" w:type="pct"/>
          </w:tcPr>
          <w:p w14:paraId="351D1B98" w14:textId="77777777" w:rsidR="006C2349" w:rsidRPr="00006D1E" w:rsidRDefault="006C2349">
            <w:pPr>
              <w:rPr>
                <w:b/>
                <w:szCs w:val="20"/>
              </w:rPr>
            </w:pPr>
            <w:r w:rsidRPr="00006D1E">
              <w:rPr>
                <w:b/>
                <w:szCs w:val="20"/>
              </w:rPr>
              <w:t>Regulatory</w:t>
            </w:r>
          </w:p>
          <w:p w14:paraId="38B87095" w14:textId="77777777" w:rsidR="006C2349" w:rsidRPr="00006D1E" w:rsidRDefault="006C2349">
            <w:pPr>
              <w:rPr>
                <w:szCs w:val="20"/>
              </w:rPr>
            </w:pPr>
            <w:r w:rsidRPr="00006D1E">
              <w:rPr>
                <w:szCs w:val="20"/>
              </w:rPr>
              <w:t xml:space="preserve">Amend the National Law to enable the Regulatory Authority to impose: </w:t>
            </w:r>
          </w:p>
          <w:p w14:paraId="5E10D7E8" w14:textId="77777777" w:rsidR="006C2349" w:rsidRPr="00006D1E" w:rsidRDefault="006C2349">
            <w:pPr>
              <w:rPr>
                <w:i/>
                <w:szCs w:val="20"/>
              </w:rPr>
            </w:pPr>
            <w:r w:rsidRPr="00006D1E">
              <w:rPr>
                <w:i/>
                <w:szCs w:val="20"/>
              </w:rPr>
              <w:t xml:space="preserve">mandatory training/re-training for staff members (with the staff member paying for the cost of any training/re-training). </w:t>
            </w:r>
          </w:p>
          <w:p w14:paraId="4737D691" w14:textId="03ADB947" w:rsidR="006C2349" w:rsidRPr="00006D1E" w:rsidRDefault="006C2349">
            <w:pPr>
              <w:rPr>
                <w:szCs w:val="20"/>
              </w:rPr>
            </w:pPr>
            <w:r w:rsidRPr="00006D1E">
              <w:rPr>
                <w:szCs w:val="20"/>
              </w:rPr>
              <w:t xml:space="preserve">to address staff member conduct that contravenes the National Law but the staff member does not pose an unacceptable risk of harm to children </w:t>
            </w:r>
          </w:p>
          <w:p w14:paraId="30C65550" w14:textId="77777777" w:rsidR="006C2349" w:rsidRPr="00006D1E" w:rsidRDefault="006C2349">
            <w:pPr>
              <w:rPr>
                <w:szCs w:val="20"/>
              </w:rPr>
            </w:pPr>
            <w:r w:rsidRPr="00006D1E">
              <w:rPr>
                <w:szCs w:val="20"/>
              </w:rPr>
              <w:t>A show cause process would apply and the action would be internally and externally reviewable.</w:t>
            </w:r>
          </w:p>
        </w:tc>
      </w:tr>
    </w:tbl>
    <w:p w14:paraId="07A4452B" w14:textId="77777777" w:rsidR="006C2349" w:rsidRDefault="006C2349" w:rsidP="006C2349"/>
    <w:p w14:paraId="4E85362A" w14:textId="77777777" w:rsidR="006C2349" w:rsidRDefault="006C2349" w:rsidP="006C2349">
      <w:pPr>
        <w:pStyle w:val="Heading3"/>
      </w:pPr>
      <w:r>
        <w:t>What are the impacts of each option?</w:t>
      </w:r>
    </w:p>
    <w:p w14:paraId="61B4B1E2" w14:textId="5CC6B86C" w:rsidR="006C2349" w:rsidRPr="00573996" w:rsidRDefault="006C2349" w:rsidP="006C2349">
      <w:r>
        <w:t xml:space="preserve">The sections below provide </w:t>
      </w:r>
      <w:r w:rsidR="003055D7">
        <w:t>an MCA</w:t>
      </w:r>
      <w:r>
        <w:t xml:space="preserve"> assessing the potential impacts of the proposed options on child safety outcomes, costs to stakeholders, implementation </w:t>
      </w:r>
      <w:r w:rsidR="004151E0">
        <w:t>considerations</w:t>
      </w:r>
      <w:r>
        <w:t>, and distributional impacts</w:t>
      </w:r>
      <w:r w:rsidR="0038670A">
        <w:t xml:space="preserve">. A detailed overview of the MCA framework underpinning this analysis is available </w:t>
      </w:r>
      <w:r w:rsidR="0038670A" w:rsidRPr="001D3080">
        <w:t xml:space="preserve">in </w:t>
      </w:r>
      <w:r w:rsidR="0038670A">
        <w:t>Chapter 4</w:t>
      </w:r>
      <w:r w:rsidR="0038670A" w:rsidRPr="001D3080">
        <w:t>.</w:t>
      </w:r>
      <w:r w:rsidR="0038670A">
        <w:t xml:space="preserve"> </w:t>
      </w:r>
    </w:p>
    <w:p w14:paraId="103ADBCD" w14:textId="77777777" w:rsidR="006C2349" w:rsidRDefault="006C2349" w:rsidP="006C2349">
      <w:pPr>
        <w:pStyle w:val="Heading4"/>
      </w:pPr>
      <w:r>
        <w:t xml:space="preserve">Multi-criteria analysis </w:t>
      </w:r>
    </w:p>
    <w:p w14:paraId="5246956F" w14:textId="184872AB" w:rsidR="00CD79DE" w:rsidRDefault="00CD79DE" w:rsidP="00CD79DE">
      <w:r w:rsidRPr="00C20858">
        <w:t xml:space="preserve">In assigning </w:t>
      </w:r>
      <w:r w:rsidR="00602B6A">
        <w:t xml:space="preserve">MCA </w:t>
      </w:r>
      <w:r w:rsidRPr="00C20858">
        <w:t xml:space="preserve">scores to reflect the relative benefits and costs of each option, the score for improvement in child safety has been scaled with a zero for </w:t>
      </w:r>
      <w:r>
        <w:t>option 1</w:t>
      </w:r>
      <w:r w:rsidRPr="00C20858">
        <w:t xml:space="preserve"> representing no change, and </w:t>
      </w:r>
      <w:r>
        <w:t xml:space="preserve">score of six </w:t>
      </w:r>
      <w:r w:rsidRPr="00C20858">
        <w:t xml:space="preserve">for </w:t>
      </w:r>
      <w:r>
        <w:t>options 3 to 5,</w:t>
      </w:r>
      <w:r w:rsidRPr="00C20858">
        <w:t xml:space="preserve"> </w:t>
      </w:r>
      <w:r>
        <w:t>representing</w:t>
      </w:r>
      <w:r w:rsidRPr="00C20858">
        <w:t xml:space="preserve"> the biggest impact on child safety. </w:t>
      </w:r>
      <w:r w:rsidRPr="00C20858">
        <w:lastRenderedPageBreak/>
        <w:t>Other options have been scored between these values based on the assessment of qualitative input from stakeholders. Scores for other categories relating to costs, risks, and distributional considerations have been scaled in relation to these benefits.</w:t>
      </w:r>
    </w:p>
    <w:p w14:paraId="2C496CA7" w14:textId="31619D2C" w:rsidR="006C2349" w:rsidRDefault="006C2349" w:rsidP="006C2349">
      <w:pPr>
        <w:pStyle w:val="Caption"/>
      </w:pPr>
      <w:bookmarkStart w:id="120" w:name="_Toc201934902"/>
      <w:bookmarkStart w:id="121" w:name="_Toc205884956"/>
      <w:r>
        <w:t>Table 7.5: MCA outcomes – Expansion of regulatory responses to educator and staff member conduct</w:t>
      </w:r>
      <w:bookmarkEnd w:id="120"/>
      <w:bookmarkEnd w:id="121"/>
      <w:r>
        <w:t xml:space="preserve"> </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7.5: MCA outcomes – Expansion of regulatory responses to educator and staff member conduct "/>
        <w:tblDescription w:val="This table outlines the MCA outcomes for expansion of regulatory responses to educator and staff member conduct."/>
      </w:tblPr>
      <w:tblGrid>
        <w:gridCol w:w="2388"/>
        <w:gridCol w:w="981"/>
        <w:gridCol w:w="1134"/>
        <w:gridCol w:w="1134"/>
        <w:gridCol w:w="1134"/>
        <w:gridCol w:w="1134"/>
        <w:gridCol w:w="1134"/>
      </w:tblGrid>
      <w:tr w:rsidR="006C2349" w14:paraId="4AE254C9" w14:textId="3EAD76DF" w:rsidTr="00E3170E">
        <w:trPr>
          <w:tblHeader/>
        </w:trPr>
        <w:tc>
          <w:tcPr>
            <w:tcW w:w="2388" w:type="dxa"/>
            <w:shd w:val="clear" w:color="auto" w:fill="14233C" w:themeFill="text2"/>
          </w:tcPr>
          <w:p w14:paraId="17DA0DC0" w14:textId="77777777" w:rsidR="006C2349" w:rsidRPr="00C2617C" w:rsidRDefault="006C2349">
            <w:pPr>
              <w:rPr>
                <w:b/>
                <w:color w:val="FFFFFF" w:themeColor="background1"/>
                <w:szCs w:val="20"/>
              </w:rPr>
            </w:pPr>
            <w:r w:rsidRPr="00C2617C">
              <w:rPr>
                <w:b/>
                <w:color w:val="FFFFFF" w:themeColor="background1"/>
                <w:szCs w:val="20"/>
              </w:rPr>
              <w:t>Criteria</w:t>
            </w:r>
          </w:p>
        </w:tc>
        <w:tc>
          <w:tcPr>
            <w:tcW w:w="981" w:type="dxa"/>
            <w:shd w:val="clear" w:color="auto" w:fill="14233C" w:themeFill="text2"/>
          </w:tcPr>
          <w:p w14:paraId="234E3261" w14:textId="77777777" w:rsidR="006C2349" w:rsidRPr="00C2617C" w:rsidRDefault="006C2349">
            <w:pPr>
              <w:jc w:val="center"/>
              <w:rPr>
                <w:b/>
                <w:color w:val="FFFFFF" w:themeColor="background1"/>
                <w:szCs w:val="20"/>
              </w:rPr>
            </w:pPr>
            <w:r w:rsidRPr="00C2617C">
              <w:rPr>
                <w:b/>
                <w:color w:val="FFFFFF" w:themeColor="background1"/>
                <w:szCs w:val="20"/>
              </w:rPr>
              <w:t>Weight</w:t>
            </w:r>
          </w:p>
        </w:tc>
        <w:tc>
          <w:tcPr>
            <w:tcW w:w="1134" w:type="dxa"/>
            <w:shd w:val="clear" w:color="auto" w:fill="14233C" w:themeFill="text2"/>
          </w:tcPr>
          <w:p w14:paraId="09EF6C7D" w14:textId="77777777" w:rsidR="006C2349" w:rsidRPr="00C2617C" w:rsidRDefault="006C2349">
            <w:pPr>
              <w:jc w:val="center"/>
              <w:rPr>
                <w:b/>
                <w:color w:val="FFFFFF" w:themeColor="background1"/>
                <w:szCs w:val="20"/>
              </w:rPr>
            </w:pPr>
            <w:r w:rsidRPr="00C2617C">
              <w:rPr>
                <w:b/>
                <w:color w:val="FFFFFF" w:themeColor="background1"/>
                <w:szCs w:val="20"/>
              </w:rPr>
              <w:t>Option 1</w:t>
            </w:r>
          </w:p>
        </w:tc>
        <w:tc>
          <w:tcPr>
            <w:tcW w:w="1134" w:type="dxa"/>
            <w:shd w:val="clear" w:color="auto" w:fill="14233C" w:themeFill="text2"/>
          </w:tcPr>
          <w:p w14:paraId="4121A232" w14:textId="77777777" w:rsidR="006C2349" w:rsidRPr="00C2617C" w:rsidRDefault="006C2349">
            <w:pPr>
              <w:jc w:val="center"/>
              <w:rPr>
                <w:b/>
                <w:color w:val="FFFFFF" w:themeColor="background1"/>
                <w:szCs w:val="20"/>
              </w:rPr>
            </w:pPr>
            <w:r w:rsidRPr="00C2617C">
              <w:rPr>
                <w:b/>
                <w:color w:val="FFFFFF" w:themeColor="background1"/>
                <w:szCs w:val="20"/>
              </w:rPr>
              <w:t>Option 2</w:t>
            </w:r>
          </w:p>
        </w:tc>
        <w:tc>
          <w:tcPr>
            <w:tcW w:w="1134" w:type="dxa"/>
            <w:shd w:val="clear" w:color="auto" w:fill="14233C" w:themeFill="text2"/>
          </w:tcPr>
          <w:p w14:paraId="42582723" w14:textId="77777777" w:rsidR="006C2349" w:rsidRPr="00C2617C" w:rsidRDefault="006C2349">
            <w:pPr>
              <w:jc w:val="center"/>
              <w:rPr>
                <w:b/>
                <w:color w:val="FFFFFF" w:themeColor="background1"/>
                <w:szCs w:val="20"/>
              </w:rPr>
            </w:pPr>
            <w:r w:rsidRPr="00C2617C">
              <w:rPr>
                <w:b/>
                <w:color w:val="FFFFFF" w:themeColor="background1"/>
                <w:szCs w:val="20"/>
              </w:rPr>
              <w:t>Option 3</w:t>
            </w:r>
          </w:p>
        </w:tc>
        <w:tc>
          <w:tcPr>
            <w:tcW w:w="1134" w:type="dxa"/>
            <w:shd w:val="clear" w:color="auto" w:fill="14233C" w:themeFill="text2"/>
          </w:tcPr>
          <w:p w14:paraId="42933599" w14:textId="11293F6F" w:rsidR="006C2349" w:rsidRPr="00C2617C" w:rsidRDefault="006C2349">
            <w:pPr>
              <w:jc w:val="center"/>
              <w:rPr>
                <w:b/>
                <w:color w:val="FFFFFF" w:themeColor="background1"/>
                <w:szCs w:val="20"/>
              </w:rPr>
            </w:pPr>
            <w:r w:rsidRPr="00C2617C">
              <w:rPr>
                <w:b/>
                <w:color w:val="FFFFFF" w:themeColor="background1"/>
                <w:szCs w:val="20"/>
              </w:rPr>
              <w:t>Option 4</w:t>
            </w:r>
          </w:p>
        </w:tc>
        <w:tc>
          <w:tcPr>
            <w:tcW w:w="1134" w:type="dxa"/>
            <w:shd w:val="clear" w:color="auto" w:fill="14233C" w:themeFill="text2"/>
          </w:tcPr>
          <w:p w14:paraId="4E8A6C2B" w14:textId="5B243D55" w:rsidR="006C2349" w:rsidRPr="00C2617C" w:rsidRDefault="006C2349">
            <w:pPr>
              <w:jc w:val="center"/>
              <w:rPr>
                <w:b/>
                <w:color w:val="FFFFFF" w:themeColor="background1"/>
                <w:szCs w:val="20"/>
              </w:rPr>
            </w:pPr>
            <w:r w:rsidRPr="00C2617C">
              <w:rPr>
                <w:b/>
                <w:color w:val="FFFFFF" w:themeColor="background1"/>
                <w:szCs w:val="20"/>
              </w:rPr>
              <w:t>Option 5</w:t>
            </w:r>
          </w:p>
        </w:tc>
      </w:tr>
      <w:tr w:rsidR="006C2349" w14:paraId="04C6786C" w14:textId="77A2B44A" w:rsidTr="00E3170E">
        <w:tc>
          <w:tcPr>
            <w:tcW w:w="2388" w:type="dxa"/>
          </w:tcPr>
          <w:p w14:paraId="67DB9283" w14:textId="77777777" w:rsidR="006C2349" w:rsidRPr="00C2617C" w:rsidRDefault="006C2349">
            <w:pPr>
              <w:rPr>
                <w:szCs w:val="20"/>
              </w:rPr>
            </w:pPr>
            <w:r w:rsidRPr="00C2617C">
              <w:rPr>
                <w:szCs w:val="20"/>
              </w:rPr>
              <w:t>Improvement in child safety</w:t>
            </w:r>
          </w:p>
        </w:tc>
        <w:tc>
          <w:tcPr>
            <w:tcW w:w="981" w:type="dxa"/>
          </w:tcPr>
          <w:p w14:paraId="6D909037" w14:textId="76DE03BA" w:rsidR="006C2349" w:rsidRPr="00C2617C" w:rsidRDefault="006C2349">
            <w:pPr>
              <w:jc w:val="center"/>
              <w:rPr>
                <w:szCs w:val="20"/>
              </w:rPr>
            </w:pPr>
            <w:r w:rsidRPr="00C2617C">
              <w:rPr>
                <w:szCs w:val="20"/>
              </w:rPr>
              <w:t>50%</w:t>
            </w:r>
          </w:p>
        </w:tc>
        <w:tc>
          <w:tcPr>
            <w:tcW w:w="1134" w:type="dxa"/>
          </w:tcPr>
          <w:p w14:paraId="5DF98C02" w14:textId="77777777" w:rsidR="006C2349" w:rsidRPr="00C2617C" w:rsidRDefault="006C2349">
            <w:pPr>
              <w:jc w:val="center"/>
              <w:rPr>
                <w:szCs w:val="20"/>
              </w:rPr>
            </w:pPr>
            <w:r w:rsidRPr="00C2617C">
              <w:rPr>
                <w:szCs w:val="20"/>
              </w:rPr>
              <w:t>0</w:t>
            </w:r>
          </w:p>
        </w:tc>
        <w:tc>
          <w:tcPr>
            <w:tcW w:w="1134" w:type="dxa"/>
          </w:tcPr>
          <w:p w14:paraId="497D16A5" w14:textId="09EC3729" w:rsidR="006C2349" w:rsidRPr="00C2617C" w:rsidRDefault="006C2349">
            <w:pPr>
              <w:jc w:val="center"/>
              <w:rPr>
                <w:szCs w:val="20"/>
              </w:rPr>
            </w:pPr>
            <w:r w:rsidRPr="00C2617C">
              <w:rPr>
                <w:szCs w:val="20"/>
              </w:rPr>
              <w:t>2</w:t>
            </w:r>
          </w:p>
        </w:tc>
        <w:tc>
          <w:tcPr>
            <w:tcW w:w="1134" w:type="dxa"/>
          </w:tcPr>
          <w:p w14:paraId="5EDAA3B0" w14:textId="0F0C8273" w:rsidR="006C2349" w:rsidRPr="00C2617C" w:rsidRDefault="006C2349">
            <w:pPr>
              <w:jc w:val="center"/>
              <w:rPr>
                <w:szCs w:val="20"/>
              </w:rPr>
            </w:pPr>
            <w:r w:rsidRPr="00C2617C">
              <w:rPr>
                <w:szCs w:val="20"/>
              </w:rPr>
              <w:t>6</w:t>
            </w:r>
          </w:p>
        </w:tc>
        <w:tc>
          <w:tcPr>
            <w:tcW w:w="1134" w:type="dxa"/>
          </w:tcPr>
          <w:p w14:paraId="6D99254D" w14:textId="7153733F" w:rsidR="006C2349" w:rsidRPr="00C2617C" w:rsidRDefault="006C2349">
            <w:pPr>
              <w:jc w:val="center"/>
              <w:rPr>
                <w:szCs w:val="20"/>
              </w:rPr>
            </w:pPr>
            <w:r w:rsidRPr="00C2617C">
              <w:rPr>
                <w:szCs w:val="20"/>
              </w:rPr>
              <w:t>6</w:t>
            </w:r>
          </w:p>
        </w:tc>
        <w:tc>
          <w:tcPr>
            <w:tcW w:w="1134" w:type="dxa"/>
          </w:tcPr>
          <w:p w14:paraId="4D0DAE11" w14:textId="2B2D134F" w:rsidR="006C2349" w:rsidRPr="00C2617C" w:rsidRDefault="006C2349">
            <w:pPr>
              <w:jc w:val="center"/>
              <w:rPr>
                <w:szCs w:val="20"/>
              </w:rPr>
            </w:pPr>
            <w:r w:rsidRPr="00C2617C">
              <w:rPr>
                <w:szCs w:val="20"/>
              </w:rPr>
              <w:t>6</w:t>
            </w:r>
          </w:p>
        </w:tc>
      </w:tr>
      <w:tr w:rsidR="006C2349" w14:paraId="147D4B70" w14:textId="65FE10D2" w:rsidTr="00E3170E">
        <w:tc>
          <w:tcPr>
            <w:tcW w:w="2388" w:type="dxa"/>
          </w:tcPr>
          <w:p w14:paraId="4D0686C6" w14:textId="77777777" w:rsidR="006C2349" w:rsidRPr="00C2617C" w:rsidRDefault="006C2349">
            <w:pPr>
              <w:rPr>
                <w:szCs w:val="20"/>
              </w:rPr>
            </w:pPr>
            <w:r w:rsidRPr="00C2617C">
              <w:rPr>
                <w:szCs w:val="20"/>
              </w:rPr>
              <w:t>Net cost of policy option</w:t>
            </w:r>
          </w:p>
        </w:tc>
        <w:tc>
          <w:tcPr>
            <w:tcW w:w="981" w:type="dxa"/>
          </w:tcPr>
          <w:p w14:paraId="0E6D34F9" w14:textId="00354341" w:rsidR="006C2349" w:rsidRPr="00C2617C" w:rsidRDefault="006C2349">
            <w:pPr>
              <w:jc w:val="center"/>
              <w:rPr>
                <w:szCs w:val="20"/>
              </w:rPr>
            </w:pPr>
            <w:r w:rsidRPr="00C2617C">
              <w:rPr>
                <w:szCs w:val="20"/>
              </w:rPr>
              <w:t>30%</w:t>
            </w:r>
          </w:p>
        </w:tc>
        <w:tc>
          <w:tcPr>
            <w:tcW w:w="1134" w:type="dxa"/>
          </w:tcPr>
          <w:p w14:paraId="0E95DC2C" w14:textId="77777777" w:rsidR="006C2349" w:rsidRPr="00C2617C" w:rsidRDefault="006C2349">
            <w:pPr>
              <w:jc w:val="center"/>
              <w:rPr>
                <w:szCs w:val="20"/>
              </w:rPr>
            </w:pPr>
            <w:r w:rsidRPr="00C2617C">
              <w:rPr>
                <w:szCs w:val="20"/>
              </w:rPr>
              <w:t>0</w:t>
            </w:r>
          </w:p>
        </w:tc>
        <w:tc>
          <w:tcPr>
            <w:tcW w:w="1134" w:type="dxa"/>
          </w:tcPr>
          <w:p w14:paraId="262C41CD" w14:textId="5EBC3C36" w:rsidR="006C2349" w:rsidRPr="00C2617C" w:rsidRDefault="006C2349">
            <w:pPr>
              <w:jc w:val="center"/>
              <w:rPr>
                <w:szCs w:val="20"/>
              </w:rPr>
            </w:pPr>
            <w:r w:rsidRPr="00C2617C">
              <w:rPr>
                <w:szCs w:val="20"/>
              </w:rPr>
              <w:t>-2</w:t>
            </w:r>
          </w:p>
        </w:tc>
        <w:tc>
          <w:tcPr>
            <w:tcW w:w="1134" w:type="dxa"/>
          </w:tcPr>
          <w:p w14:paraId="0AE529B2" w14:textId="76ECBA13" w:rsidR="006C2349" w:rsidRPr="00C2617C" w:rsidRDefault="006C2349">
            <w:pPr>
              <w:jc w:val="center"/>
              <w:rPr>
                <w:szCs w:val="20"/>
              </w:rPr>
            </w:pPr>
            <w:r w:rsidRPr="00C2617C">
              <w:rPr>
                <w:szCs w:val="20"/>
              </w:rPr>
              <w:t>-6</w:t>
            </w:r>
          </w:p>
        </w:tc>
        <w:tc>
          <w:tcPr>
            <w:tcW w:w="1134" w:type="dxa"/>
          </w:tcPr>
          <w:p w14:paraId="78DD424E" w14:textId="6C25514A" w:rsidR="006C2349" w:rsidRPr="00C2617C" w:rsidRDefault="006C2349">
            <w:pPr>
              <w:jc w:val="center"/>
              <w:rPr>
                <w:szCs w:val="20"/>
              </w:rPr>
            </w:pPr>
            <w:r w:rsidRPr="00C2617C">
              <w:rPr>
                <w:szCs w:val="20"/>
              </w:rPr>
              <w:t>-6</w:t>
            </w:r>
          </w:p>
        </w:tc>
        <w:tc>
          <w:tcPr>
            <w:tcW w:w="1134" w:type="dxa"/>
          </w:tcPr>
          <w:p w14:paraId="49213F29" w14:textId="7DAF21FB" w:rsidR="006C2349" w:rsidRPr="00C2617C" w:rsidRDefault="006C2349">
            <w:pPr>
              <w:jc w:val="center"/>
              <w:rPr>
                <w:szCs w:val="20"/>
              </w:rPr>
            </w:pPr>
            <w:r w:rsidRPr="00C2617C">
              <w:rPr>
                <w:szCs w:val="20"/>
              </w:rPr>
              <w:t>-4</w:t>
            </w:r>
          </w:p>
        </w:tc>
      </w:tr>
      <w:tr w:rsidR="006C2349" w14:paraId="72BF15BC" w14:textId="33F0527A" w:rsidTr="00E3170E">
        <w:tc>
          <w:tcPr>
            <w:tcW w:w="2388" w:type="dxa"/>
          </w:tcPr>
          <w:p w14:paraId="25C3BCE3" w14:textId="6B594290" w:rsidR="006C2349" w:rsidRPr="00C2617C" w:rsidRDefault="006C2349">
            <w:pPr>
              <w:rPr>
                <w:szCs w:val="20"/>
              </w:rPr>
            </w:pPr>
            <w:r w:rsidRPr="00C2617C">
              <w:rPr>
                <w:szCs w:val="20"/>
              </w:rPr>
              <w:t xml:space="preserve">Implementation </w:t>
            </w:r>
            <w:r w:rsidR="004151E0">
              <w:rPr>
                <w:szCs w:val="20"/>
              </w:rPr>
              <w:t>considerations</w:t>
            </w:r>
          </w:p>
        </w:tc>
        <w:tc>
          <w:tcPr>
            <w:tcW w:w="981" w:type="dxa"/>
          </w:tcPr>
          <w:p w14:paraId="613228F4" w14:textId="77777777" w:rsidR="006C2349" w:rsidRPr="00C2617C" w:rsidRDefault="006C2349">
            <w:pPr>
              <w:jc w:val="center"/>
              <w:rPr>
                <w:szCs w:val="20"/>
              </w:rPr>
            </w:pPr>
            <w:r w:rsidRPr="00C2617C">
              <w:rPr>
                <w:szCs w:val="20"/>
              </w:rPr>
              <w:t>10%</w:t>
            </w:r>
          </w:p>
        </w:tc>
        <w:tc>
          <w:tcPr>
            <w:tcW w:w="1134" w:type="dxa"/>
          </w:tcPr>
          <w:p w14:paraId="5C5A0656" w14:textId="77777777" w:rsidR="006C2349" w:rsidRPr="00C2617C" w:rsidRDefault="006C2349">
            <w:pPr>
              <w:jc w:val="center"/>
              <w:rPr>
                <w:szCs w:val="20"/>
              </w:rPr>
            </w:pPr>
            <w:r w:rsidRPr="00C2617C">
              <w:rPr>
                <w:szCs w:val="20"/>
              </w:rPr>
              <w:t>0</w:t>
            </w:r>
          </w:p>
        </w:tc>
        <w:tc>
          <w:tcPr>
            <w:tcW w:w="1134" w:type="dxa"/>
          </w:tcPr>
          <w:p w14:paraId="04B1E817" w14:textId="5590FB91" w:rsidR="006C2349" w:rsidRPr="00C2617C" w:rsidRDefault="006C2349">
            <w:pPr>
              <w:jc w:val="center"/>
              <w:rPr>
                <w:szCs w:val="20"/>
              </w:rPr>
            </w:pPr>
            <w:r w:rsidRPr="00C2617C">
              <w:rPr>
                <w:szCs w:val="20"/>
              </w:rPr>
              <w:t>-2</w:t>
            </w:r>
          </w:p>
        </w:tc>
        <w:tc>
          <w:tcPr>
            <w:tcW w:w="1134" w:type="dxa"/>
          </w:tcPr>
          <w:p w14:paraId="38215B79" w14:textId="562A2105" w:rsidR="006C2349" w:rsidRPr="00C2617C" w:rsidRDefault="006C2349">
            <w:pPr>
              <w:jc w:val="center"/>
              <w:rPr>
                <w:szCs w:val="20"/>
              </w:rPr>
            </w:pPr>
            <w:r w:rsidRPr="00C2617C">
              <w:rPr>
                <w:szCs w:val="20"/>
              </w:rPr>
              <w:t>-</w:t>
            </w:r>
            <w:r w:rsidR="007A688E">
              <w:rPr>
                <w:szCs w:val="20"/>
              </w:rPr>
              <w:t>3</w:t>
            </w:r>
          </w:p>
        </w:tc>
        <w:tc>
          <w:tcPr>
            <w:tcW w:w="1134" w:type="dxa"/>
          </w:tcPr>
          <w:p w14:paraId="4F85A693" w14:textId="4C172D58" w:rsidR="006C2349" w:rsidRPr="00C2617C" w:rsidRDefault="006C2349">
            <w:pPr>
              <w:jc w:val="center"/>
              <w:rPr>
                <w:szCs w:val="20"/>
              </w:rPr>
            </w:pPr>
            <w:r w:rsidRPr="00C2617C">
              <w:rPr>
                <w:szCs w:val="20"/>
              </w:rPr>
              <w:t>-4</w:t>
            </w:r>
          </w:p>
        </w:tc>
        <w:tc>
          <w:tcPr>
            <w:tcW w:w="1134" w:type="dxa"/>
          </w:tcPr>
          <w:p w14:paraId="2686D6F7" w14:textId="14F5EFC6" w:rsidR="006C2349" w:rsidRPr="00C2617C" w:rsidRDefault="006C2349">
            <w:pPr>
              <w:jc w:val="center"/>
              <w:rPr>
                <w:szCs w:val="20"/>
              </w:rPr>
            </w:pPr>
            <w:r w:rsidRPr="00C2617C">
              <w:rPr>
                <w:szCs w:val="20"/>
              </w:rPr>
              <w:t>-3</w:t>
            </w:r>
          </w:p>
        </w:tc>
      </w:tr>
      <w:tr w:rsidR="006C2349" w14:paraId="77126CB7" w14:textId="283DF285" w:rsidTr="00E3170E">
        <w:tc>
          <w:tcPr>
            <w:tcW w:w="2388" w:type="dxa"/>
          </w:tcPr>
          <w:p w14:paraId="27B1B2E7" w14:textId="77777777" w:rsidR="006C2349" w:rsidRPr="00C2617C" w:rsidRDefault="006C2349">
            <w:pPr>
              <w:rPr>
                <w:szCs w:val="20"/>
              </w:rPr>
            </w:pPr>
            <w:r w:rsidRPr="00C2617C">
              <w:rPr>
                <w:szCs w:val="20"/>
              </w:rPr>
              <w:t>Distributional impact</w:t>
            </w:r>
          </w:p>
        </w:tc>
        <w:tc>
          <w:tcPr>
            <w:tcW w:w="981" w:type="dxa"/>
          </w:tcPr>
          <w:p w14:paraId="67290715" w14:textId="77777777" w:rsidR="006C2349" w:rsidRPr="00C2617C" w:rsidRDefault="006C2349">
            <w:pPr>
              <w:jc w:val="center"/>
              <w:rPr>
                <w:szCs w:val="20"/>
              </w:rPr>
            </w:pPr>
            <w:r w:rsidRPr="00C2617C">
              <w:rPr>
                <w:szCs w:val="20"/>
              </w:rPr>
              <w:t>10%</w:t>
            </w:r>
          </w:p>
        </w:tc>
        <w:tc>
          <w:tcPr>
            <w:tcW w:w="1134" w:type="dxa"/>
          </w:tcPr>
          <w:p w14:paraId="2C018F31" w14:textId="77777777" w:rsidR="006C2349" w:rsidRPr="00C2617C" w:rsidRDefault="006C2349">
            <w:pPr>
              <w:jc w:val="center"/>
              <w:rPr>
                <w:szCs w:val="20"/>
              </w:rPr>
            </w:pPr>
            <w:r w:rsidRPr="00C2617C">
              <w:rPr>
                <w:szCs w:val="20"/>
              </w:rPr>
              <w:t>0</w:t>
            </w:r>
          </w:p>
        </w:tc>
        <w:tc>
          <w:tcPr>
            <w:tcW w:w="1134" w:type="dxa"/>
          </w:tcPr>
          <w:p w14:paraId="52DF071E" w14:textId="0A8AD018" w:rsidR="006C2349" w:rsidRPr="00C2617C" w:rsidRDefault="006C2349">
            <w:pPr>
              <w:jc w:val="center"/>
              <w:rPr>
                <w:szCs w:val="20"/>
              </w:rPr>
            </w:pPr>
            <w:r w:rsidRPr="00C2617C">
              <w:rPr>
                <w:szCs w:val="20"/>
              </w:rPr>
              <w:t>-1</w:t>
            </w:r>
          </w:p>
        </w:tc>
        <w:tc>
          <w:tcPr>
            <w:tcW w:w="1134" w:type="dxa"/>
          </w:tcPr>
          <w:p w14:paraId="5120EC34" w14:textId="1D8B86AC" w:rsidR="006C2349" w:rsidRPr="00C2617C" w:rsidRDefault="006C2349">
            <w:pPr>
              <w:jc w:val="center"/>
              <w:rPr>
                <w:szCs w:val="20"/>
              </w:rPr>
            </w:pPr>
            <w:r w:rsidRPr="00C2617C">
              <w:rPr>
                <w:szCs w:val="20"/>
              </w:rPr>
              <w:t>-</w:t>
            </w:r>
            <w:r w:rsidR="001D4EE7">
              <w:rPr>
                <w:szCs w:val="20"/>
              </w:rPr>
              <w:t>4</w:t>
            </w:r>
          </w:p>
        </w:tc>
        <w:tc>
          <w:tcPr>
            <w:tcW w:w="1134" w:type="dxa"/>
          </w:tcPr>
          <w:p w14:paraId="3CEF121E" w14:textId="045AB039" w:rsidR="006C2349" w:rsidRPr="00C2617C" w:rsidRDefault="006C2349">
            <w:pPr>
              <w:jc w:val="center"/>
              <w:rPr>
                <w:szCs w:val="20"/>
              </w:rPr>
            </w:pPr>
            <w:r w:rsidRPr="00C2617C">
              <w:rPr>
                <w:szCs w:val="20"/>
              </w:rPr>
              <w:t>-3</w:t>
            </w:r>
          </w:p>
        </w:tc>
        <w:tc>
          <w:tcPr>
            <w:tcW w:w="1134" w:type="dxa"/>
          </w:tcPr>
          <w:p w14:paraId="287A949B" w14:textId="4558978A" w:rsidR="006C2349" w:rsidRPr="00C2617C" w:rsidRDefault="006C2349">
            <w:pPr>
              <w:jc w:val="center"/>
              <w:rPr>
                <w:szCs w:val="20"/>
              </w:rPr>
            </w:pPr>
            <w:r w:rsidRPr="00C2617C">
              <w:rPr>
                <w:szCs w:val="20"/>
              </w:rPr>
              <w:t>-4</w:t>
            </w:r>
          </w:p>
        </w:tc>
      </w:tr>
      <w:tr w:rsidR="006C2349" w14:paraId="7A9731F5" w14:textId="0919A3D2" w:rsidTr="00E3170E">
        <w:tc>
          <w:tcPr>
            <w:tcW w:w="2388" w:type="dxa"/>
          </w:tcPr>
          <w:p w14:paraId="18E1A2EB" w14:textId="668F5FD0" w:rsidR="006C2349" w:rsidRPr="00C2617C" w:rsidRDefault="006C2349">
            <w:pPr>
              <w:rPr>
                <w:b/>
                <w:szCs w:val="20"/>
              </w:rPr>
            </w:pPr>
            <w:r w:rsidRPr="00C2617C">
              <w:rPr>
                <w:b/>
                <w:szCs w:val="20"/>
              </w:rPr>
              <w:t>Weighted score</w:t>
            </w:r>
          </w:p>
        </w:tc>
        <w:tc>
          <w:tcPr>
            <w:tcW w:w="981" w:type="dxa"/>
          </w:tcPr>
          <w:p w14:paraId="2333BD5B" w14:textId="77777777" w:rsidR="006C2349" w:rsidRPr="00C2617C" w:rsidRDefault="006C2349">
            <w:pPr>
              <w:jc w:val="center"/>
              <w:rPr>
                <w:szCs w:val="20"/>
              </w:rPr>
            </w:pPr>
          </w:p>
        </w:tc>
        <w:tc>
          <w:tcPr>
            <w:tcW w:w="1134" w:type="dxa"/>
          </w:tcPr>
          <w:p w14:paraId="12F41771" w14:textId="77777777" w:rsidR="006C2349" w:rsidRPr="00C2617C" w:rsidRDefault="006C2349">
            <w:pPr>
              <w:jc w:val="center"/>
              <w:rPr>
                <w:b/>
                <w:szCs w:val="20"/>
              </w:rPr>
            </w:pPr>
            <w:r w:rsidRPr="00C2617C">
              <w:rPr>
                <w:b/>
                <w:szCs w:val="20"/>
              </w:rPr>
              <w:t>0</w:t>
            </w:r>
          </w:p>
        </w:tc>
        <w:tc>
          <w:tcPr>
            <w:tcW w:w="1134" w:type="dxa"/>
          </w:tcPr>
          <w:p w14:paraId="3933F330" w14:textId="78738AFA" w:rsidR="006C2349" w:rsidRPr="00C2617C" w:rsidRDefault="006C2349">
            <w:pPr>
              <w:jc w:val="center"/>
              <w:rPr>
                <w:b/>
                <w:szCs w:val="20"/>
              </w:rPr>
            </w:pPr>
            <w:r w:rsidRPr="00C2617C">
              <w:rPr>
                <w:b/>
                <w:szCs w:val="20"/>
              </w:rPr>
              <w:t>0.1</w:t>
            </w:r>
          </w:p>
        </w:tc>
        <w:tc>
          <w:tcPr>
            <w:tcW w:w="1134" w:type="dxa"/>
          </w:tcPr>
          <w:p w14:paraId="19054791" w14:textId="0CBA2E1C" w:rsidR="006C2349" w:rsidRPr="00C2617C" w:rsidRDefault="006C2349">
            <w:pPr>
              <w:jc w:val="center"/>
              <w:rPr>
                <w:b/>
                <w:szCs w:val="20"/>
              </w:rPr>
            </w:pPr>
            <w:r w:rsidRPr="00C2617C">
              <w:rPr>
                <w:b/>
                <w:szCs w:val="20"/>
              </w:rPr>
              <w:t>0.</w:t>
            </w:r>
            <w:r w:rsidR="001D4EE7">
              <w:rPr>
                <w:b/>
                <w:szCs w:val="20"/>
              </w:rPr>
              <w:t>5</w:t>
            </w:r>
          </w:p>
        </w:tc>
        <w:tc>
          <w:tcPr>
            <w:tcW w:w="1134" w:type="dxa"/>
          </w:tcPr>
          <w:p w14:paraId="01DEE8B9" w14:textId="0283ADFD" w:rsidR="006C2349" w:rsidRPr="00C2617C" w:rsidRDefault="006C2349">
            <w:pPr>
              <w:jc w:val="center"/>
              <w:rPr>
                <w:b/>
                <w:szCs w:val="20"/>
              </w:rPr>
            </w:pPr>
            <w:r w:rsidRPr="00C2617C">
              <w:rPr>
                <w:b/>
                <w:szCs w:val="20"/>
              </w:rPr>
              <w:t>0.5</w:t>
            </w:r>
          </w:p>
        </w:tc>
        <w:tc>
          <w:tcPr>
            <w:tcW w:w="1134" w:type="dxa"/>
          </w:tcPr>
          <w:p w14:paraId="08D89C58" w14:textId="3E5BF436" w:rsidR="006C2349" w:rsidRPr="00C2617C" w:rsidRDefault="006C2349">
            <w:pPr>
              <w:jc w:val="center"/>
              <w:rPr>
                <w:b/>
                <w:szCs w:val="20"/>
              </w:rPr>
            </w:pPr>
            <w:r w:rsidRPr="00C2617C">
              <w:rPr>
                <w:b/>
                <w:szCs w:val="20"/>
              </w:rPr>
              <w:t>1.1</w:t>
            </w:r>
          </w:p>
        </w:tc>
      </w:tr>
    </w:tbl>
    <w:p w14:paraId="07237305" w14:textId="77777777" w:rsidR="006C2349" w:rsidRDefault="006C2349" w:rsidP="006C2349"/>
    <w:p w14:paraId="0C16BCB6" w14:textId="6BF45496" w:rsidR="00CD79DE" w:rsidRDefault="00CD79DE" w:rsidP="00CD79DE">
      <w:r>
        <w:t xml:space="preserve">The MCA scores </w:t>
      </w:r>
      <w:r w:rsidR="006F5CCC">
        <w:t>reflect</w:t>
      </w:r>
      <w:r>
        <w:t xml:space="preserve"> that options 2 to 5 represent an improvement on the status quo (option 1), due to the improvement in child safety outcomes offsetting potential costs of the proposed options. Option 5 resulted in the highest weighted MCA score, indicating this option results in the greatest improvement in child safety outcomes, relative to the costs and other potential negative impacts. Th</w:t>
      </w:r>
      <w:r w:rsidR="00FE4BCA">
        <w:t xml:space="preserve">e </w:t>
      </w:r>
      <w:r w:rsidR="00BF7E16">
        <w:t>preferred</w:t>
      </w:r>
      <w:r w:rsidR="004C5562">
        <w:t xml:space="preserve"> option</w:t>
      </w:r>
      <w:r w:rsidR="00FE4BCA">
        <w:t xml:space="preserve"> among stakeholders also leaned towards option 5, however more clarity </w:t>
      </w:r>
      <w:r w:rsidR="006F5CCC">
        <w:t>i</w:t>
      </w:r>
      <w:r w:rsidR="00FE4BCA">
        <w:t>s needed on delivery models, content standards and cost responsibilities.</w:t>
      </w:r>
      <w:r>
        <w:t xml:space="preserve"> The rationale for each MCA score is outlined in the sections below.</w:t>
      </w:r>
    </w:p>
    <w:p w14:paraId="4E64B8E5" w14:textId="78E1BD2D" w:rsidR="006C2349" w:rsidRDefault="006C2349" w:rsidP="006C2349">
      <w:pPr>
        <w:pStyle w:val="Heading4"/>
      </w:pPr>
      <w:r>
        <w:t xml:space="preserve">Impact on child safety </w:t>
      </w:r>
    </w:p>
    <w:p w14:paraId="2B44173C" w14:textId="0715BD0F" w:rsidR="006C2349" w:rsidRPr="001F6168" w:rsidRDefault="006C2349" w:rsidP="006C2349">
      <w:r>
        <w:t xml:space="preserve">Option 2 is a non-regulatory option and </w:t>
      </w:r>
      <w:r w:rsidRPr="742E3378">
        <w:t>is the same as the non-regulatory option (option 2) in Chapter 7.1.</w:t>
      </w:r>
      <w:r w:rsidRPr="00394505">
        <w:rPr>
          <w:szCs w:val="22"/>
        </w:rPr>
        <w:t xml:space="preserve"> </w:t>
      </w:r>
      <w:r w:rsidRPr="742E3378">
        <w:t xml:space="preserve">As previously noted, while option 2 could help approved providers </w:t>
      </w:r>
      <w:r w:rsidRPr="00451862">
        <w:t>prevent, identify, and manage inappropriate conduct</w:t>
      </w:r>
      <w:r>
        <w:t xml:space="preserve">, it is opt-in meaning </w:t>
      </w:r>
      <w:r w:rsidRPr="742E3378">
        <w:t xml:space="preserve">only those services who choose to act on the communication materials and resources may observe improvements in child safety. Further, </w:t>
      </w:r>
      <w:r w:rsidRPr="00180FA6">
        <w:t xml:space="preserve">stakeholders noted </w:t>
      </w:r>
      <w:r>
        <w:t>in</w:t>
      </w:r>
      <w:r w:rsidRPr="00180FA6">
        <w:t xml:space="preserve"> consultative activities</w:t>
      </w:r>
      <w:r>
        <w:t xml:space="preserve"> </w:t>
      </w:r>
      <w:r w:rsidRPr="00180FA6">
        <w:t xml:space="preserve">that some approved providers already have robust </w:t>
      </w:r>
      <w:r w:rsidR="00B35BCC">
        <w:t>Codes of Conduct</w:t>
      </w:r>
      <w:r>
        <w:rPr>
          <w:rStyle w:val="FootnoteReference"/>
        </w:rPr>
        <w:footnoteReference w:id="102"/>
      </w:r>
      <w:r w:rsidRPr="00180FA6">
        <w:t xml:space="preserve"> and employment contracts which </w:t>
      </w:r>
      <w:r>
        <w:t xml:space="preserve">enable approved providers to </w:t>
      </w:r>
      <w:r w:rsidRPr="00180FA6">
        <w:t xml:space="preserve">adequately </w:t>
      </w:r>
      <w:r>
        <w:t>respond to</w:t>
      </w:r>
      <w:r w:rsidRPr="00180FA6">
        <w:t xml:space="preserve"> inappropriate conduct</w:t>
      </w:r>
      <w:r>
        <w:t xml:space="preserve"> in the status quo. </w:t>
      </w:r>
      <w:r w:rsidRPr="742E3378">
        <w:lastRenderedPageBreak/>
        <w:t xml:space="preserve">Surveyed stakeholders believed that </w:t>
      </w:r>
      <w:r w:rsidRPr="001F6168">
        <w:t xml:space="preserve">option 2 may </w:t>
      </w:r>
      <w:r w:rsidR="006F5CCC">
        <w:t>‘</w:t>
      </w:r>
      <w:r w:rsidRPr="001F6168">
        <w:t>somewhat reduce</w:t>
      </w:r>
      <w:r w:rsidR="006F5CCC">
        <w:t>’</w:t>
      </w:r>
      <w:r w:rsidRPr="001F6168">
        <w:t xml:space="preserve"> harm (refer to Chart 7.5). Based on this assessment, option 2 has been assigned </w:t>
      </w:r>
      <w:r w:rsidR="003055D7">
        <w:t>an MCA</w:t>
      </w:r>
      <w:r w:rsidRPr="001F6168">
        <w:t xml:space="preserve"> score of two for this criterion. </w:t>
      </w:r>
    </w:p>
    <w:p w14:paraId="0FF98068" w14:textId="5F1DC4B2" w:rsidR="006C2349" w:rsidRDefault="006C2349" w:rsidP="006C2349">
      <w:pPr>
        <w:pStyle w:val="Caption"/>
      </w:pPr>
      <w:bookmarkStart w:id="122" w:name="_Toc201934903"/>
      <w:bookmarkStart w:id="123" w:name="_Toc205884957"/>
      <w:r w:rsidRPr="001F6168">
        <w:t>Chart 7.5: Approved provider responses to “How much do you think each option will reduce the risk of harm to children?”</w:t>
      </w:r>
      <w:bookmarkEnd w:id="122"/>
      <w:bookmarkEnd w:id="123"/>
      <w:r w:rsidRPr="00057988">
        <w:t xml:space="preserve"> </w:t>
      </w:r>
    </w:p>
    <w:p w14:paraId="566D2B28" w14:textId="68231183" w:rsidR="006C2349" w:rsidRPr="00057988" w:rsidRDefault="006C2349" w:rsidP="5F9ABDD8">
      <w:pPr>
        <w:keepNext/>
        <w:keepLines/>
        <w:spacing w:before="120"/>
        <w:rPr>
          <w:rFonts w:eastAsia="Calibri" w:cs="Arial"/>
          <w:color w:val="006B77"/>
          <w:sz w:val="17"/>
          <w:szCs w:val="17"/>
        </w:rPr>
      </w:pPr>
      <w:r>
        <w:rPr>
          <w:noProof/>
          <w14:ligatures w14:val="standardContextual"/>
        </w:rPr>
        <w:drawing>
          <wp:inline distT="0" distB="0" distL="0" distR="0" wp14:anchorId="00A149E7" wp14:editId="75B7DC1E">
            <wp:extent cx="5676900" cy="2788920"/>
            <wp:effectExtent l="0" t="0" r="0" b="0"/>
            <wp:docPr id="1609656904"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993CB30F-1844-1C94-E6FB-88FDA834C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664E45F" w14:textId="7D42F7F6" w:rsidR="006C2349" w:rsidRPr="00411359" w:rsidRDefault="006C2349" w:rsidP="00411359">
      <w:pPr>
        <w:pStyle w:val="Source-CSR"/>
      </w:pPr>
      <w:r w:rsidRPr="00411359">
        <w:t>Source: Approved provider survey, as of 11 June 2025, Q54, option 1 n=147, option 2 n=147, option 3 n=145, option 4 n=145, option 5 n=143.</w:t>
      </w:r>
    </w:p>
    <w:p w14:paraId="53D26822" w14:textId="6802A464" w:rsidR="006E19C8" w:rsidRDefault="006C2349" w:rsidP="006E19C8">
      <w:r>
        <w:t xml:space="preserve">Option 3 seeks to mitigate the immediate risk of harm to children by enabling swift regulatory responses to non-compliant or alleged non-compliant conduct where the threshold of risk for prohibition is not met. </w:t>
      </w:r>
      <w:r w:rsidR="006E19C8">
        <w:t xml:space="preserve">It would enable the Regulatory Authority to require an approved provider to temporarily </w:t>
      </w:r>
      <w:r w:rsidR="00593904">
        <w:t>suspend</w:t>
      </w:r>
      <w:r w:rsidR="006E19C8">
        <w:t xml:space="preserve"> an individual from a service for a period of time, for example, while re-training takes place or the terms of an enforceable undertaking are met, while minimising the risk to children by that person remaining in the service. </w:t>
      </w:r>
    </w:p>
    <w:p w14:paraId="49F1CCEC" w14:textId="76FC45B3" w:rsidR="006E19C8" w:rsidRDefault="006E19C8" w:rsidP="006E19C8">
      <w:r>
        <w:t>Option 4 would support the Regulatory Authority’s ability to hold approved providers accountable for supervising educators, staff members, or volunteers who pose a risk to children at a level</w:t>
      </w:r>
      <w:r w:rsidR="00444A15">
        <w:t xml:space="preserve"> </w:t>
      </w:r>
      <w:r>
        <w:t xml:space="preserve">that falls short of the threshold for prohibition. </w:t>
      </w:r>
    </w:p>
    <w:p w14:paraId="5C4F5B24" w14:textId="04E8BF88" w:rsidR="006E19C8" w:rsidRDefault="006E19C8" w:rsidP="006E19C8">
      <w:r>
        <w:t>Both options 3 and 4</w:t>
      </w:r>
      <w:r w:rsidR="00444A15">
        <w:t xml:space="preserve"> </w:t>
      </w:r>
      <w:r>
        <w:t>could create safer environments for children as:</w:t>
      </w:r>
    </w:p>
    <w:p w14:paraId="6B685303" w14:textId="2F81E3D8" w:rsidR="006E19C8" w:rsidRDefault="006E19C8" w:rsidP="00EC53AB">
      <w:pPr>
        <w:pStyle w:val="ListParagraph"/>
        <w:numPr>
          <w:ilvl w:val="0"/>
          <w:numId w:val="15"/>
        </w:numPr>
        <w:ind w:left="426"/>
      </w:pPr>
      <w:r>
        <w:t>Approved providers would have a more specific legislative obligations to address non-compliant behaviour. This may encourage timelier and more effective management of risks.</w:t>
      </w:r>
    </w:p>
    <w:p w14:paraId="1C457940" w14:textId="77777777" w:rsidR="006E19C8" w:rsidRDefault="006E19C8" w:rsidP="00EC53AB">
      <w:pPr>
        <w:pStyle w:val="ListParagraph"/>
        <w:numPr>
          <w:ilvl w:val="0"/>
          <w:numId w:val="15"/>
        </w:numPr>
        <w:ind w:left="426"/>
      </w:pPr>
      <w:r>
        <w:t xml:space="preserve">The regulatory nature of this option may (1) deter educators, other staff members and volunteers from engaging in inappropriate behaviour and/or (2) may encourage approved providers to set clearer expectations or undertake additional monitoring </w:t>
      </w:r>
      <w:r>
        <w:lastRenderedPageBreak/>
        <w:t xml:space="preserve">processes to ensure compliance. Both behavioural responses would support safer environments for children. </w:t>
      </w:r>
    </w:p>
    <w:p w14:paraId="30495A1A" w14:textId="5D878F6F" w:rsidR="006E19C8" w:rsidRPr="00D64EE2" w:rsidRDefault="006E19C8" w:rsidP="006E19C8">
      <w:r>
        <w:t>In relation to option 5, Regulatory Authorities would direct staff members to address their inappropriate conduct by undertaking a course that is tailored to the specific conduct in question. This training is anticipated to assist staff members in examining and reflecting upon their inappropriate conduct and develop their professional skills to minimise the likelihood of it reoccurring. This option offers intervention to address non-compliant conduct by an individual staff member that may result in termination or prohibition in the future if left unaddressed, in addition to minimising the risk of harm to children. Despite these intended outcomes, decisions are outstanding on how this training would be accredited and assessed to ensure it contributes to improving child safety outcomes.</w:t>
      </w:r>
    </w:p>
    <w:p w14:paraId="091266B9" w14:textId="77777777" w:rsidR="006E19C8" w:rsidRDefault="006E19C8" w:rsidP="006E19C8">
      <w:r>
        <w:t xml:space="preserve">In consultative activities, stakeholders frequently reflected on the importance of regulatory responses to manage inappropriate conduct. As such, </w:t>
      </w:r>
      <w:r w:rsidRPr="001F6168">
        <w:t>options 3, 4 and 5 were all viewed as important mechanisms to improve child safety. As shown in Chart 7.5, a greater proportion of approved providers believed that option 5 would ‘greatly reduce’ the risk</w:t>
      </w:r>
      <w:r>
        <w:t xml:space="preserve"> of harm to children, relative to option 4 and 3. A moderate, albeit smaller, proportion of approved providers also believed that option 4 would ‘greatly reduce’ the risk of harm to children, while approved providers had mixed views about whether option 3 would ‘somewhat’ or ‘greatly reduce’ the risk of harm to children.</w:t>
      </w:r>
    </w:p>
    <w:p w14:paraId="21FB816E" w14:textId="77777777" w:rsidR="006E19C8" w:rsidRDefault="006E19C8" w:rsidP="006E19C8">
      <w:r>
        <w:t>Under the assumption that the regulatory tools introduced in options 3, 4, and 5 would be applied in a way that is commensurate to the risk child of harm to children presented by the inappropriate conduct, each regulatory option has been assigned the same MCA score of six</w:t>
      </w:r>
      <w:r w:rsidRPr="0008780C">
        <w:t xml:space="preserve"> </w:t>
      </w:r>
      <w:r>
        <w:t xml:space="preserve">for this criterion. </w:t>
      </w:r>
    </w:p>
    <w:p w14:paraId="2DC3ECF7" w14:textId="1123CCC5" w:rsidR="006C2349" w:rsidRPr="00466043" w:rsidRDefault="006C2349" w:rsidP="006C2349">
      <w:pPr>
        <w:pStyle w:val="Heading4"/>
      </w:pPr>
      <w:r w:rsidRPr="00466043">
        <w:t xml:space="preserve">Cost of </w:t>
      </w:r>
      <w:r>
        <w:t>each</w:t>
      </w:r>
      <w:r w:rsidRPr="00466043">
        <w:t xml:space="preserve"> option</w:t>
      </w:r>
    </w:p>
    <w:p w14:paraId="471BC9EB" w14:textId="1D52FEAC" w:rsidR="006C2349" w:rsidRDefault="006C2349" w:rsidP="006C2349">
      <w:r>
        <w:t xml:space="preserve">As noted in Chapter 7.1, approved providers and government are likely to incur administrative costs under option 2. For approved providers, the scale of such costs </w:t>
      </w:r>
      <w:r w:rsidR="00E16CC4">
        <w:t xml:space="preserve">would </w:t>
      </w:r>
      <w:r>
        <w:t xml:space="preserve">depend on the extent of changes made to current </w:t>
      </w:r>
      <w:r w:rsidR="00B35BCC">
        <w:t>Codes of Conduct</w:t>
      </w:r>
      <w:r>
        <w:t>. For government, incremental c</w:t>
      </w:r>
      <w:r w:rsidRPr="00B53153">
        <w:t xml:space="preserve">osts will be more significant if relevant materials cannot be developed with the support of existing government resources and as part of business-as-usual activities. </w:t>
      </w:r>
      <w:r>
        <w:t xml:space="preserve">In line with option 2 of </w:t>
      </w:r>
      <w:r w:rsidR="008A2D4B">
        <w:t xml:space="preserve">chapter </w:t>
      </w:r>
      <w:r w:rsidR="00D61BD2">
        <w:t>7</w:t>
      </w:r>
      <w:r>
        <w:t xml:space="preserve">.1, option 2 has been assigned </w:t>
      </w:r>
      <w:r w:rsidR="003055D7">
        <w:t>an MCA</w:t>
      </w:r>
      <w:r w:rsidRPr="00A20B7E">
        <w:t xml:space="preserve"> score of negative two</w:t>
      </w:r>
      <w:r>
        <w:t xml:space="preserve"> for this criterion</w:t>
      </w:r>
      <w:r w:rsidRPr="00A20B7E">
        <w:t xml:space="preserve">. </w:t>
      </w:r>
    </w:p>
    <w:p w14:paraId="0950EDCF" w14:textId="5B76359B" w:rsidR="006C2349" w:rsidRDefault="006C2349" w:rsidP="006C2349">
      <w:r>
        <w:t xml:space="preserve">Under option 3, Regulatory Authorities </w:t>
      </w:r>
      <w:r w:rsidR="00D61BD2">
        <w:t xml:space="preserve">would </w:t>
      </w:r>
      <w:r>
        <w:t xml:space="preserve">likely bear administrative costs associated with issuing and monitoring suspension notices. The approved provider is anticipated to bear </w:t>
      </w:r>
      <w:r>
        <w:lastRenderedPageBreak/>
        <w:t xml:space="preserve">compliance costs associated with the suspension, including implementing mitigation strategies and temporary staffing costs associated with replacing a suspended person for a period of time. The scale of costs </w:t>
      </w:r>
      <w:r w:rsidR="00D61BD2">
        <w:t>would</w:t>
      </w:r>
      <w:r>
        <w:t xml:space="preserve"> depend on the number of suspensions issued, the reason the suspension was issued (noting this will impact the required mitigation strategies) and the length of the suspension. </w:t>
      </w:r>
    </w:p>
    <w:p w14:paraId="4CE48CE2" w14:textId="1B1A0157" w:rsidR="006C2349" w:rsidRPr="001D37D0" w:rsidRDefault="006C2349" w:rsidP="006C2349">
      <w:r>
        <w:t xml:space="preserve">Regulatory Authorities </w:t>
      </w:r>
      <w:r w:rsidR="00D61BD2">
        <w:t>would</w:t>
      </w:r>
      <w:r>
        <w:t xml:space="preserve"> bear administrative costs associated with issuing and monitoring supervision orders under option 4. </w:t>
      </w:r>
      <w:r>
        <w:rPr>
          <w:rFonts w:eastAsiaTheme="minorEastAsia"/>
          <w:szCs w:val="22"/>
          <w:lang w:eastAsia="zh-CN" w:bidi="th-TH"/>
        </w:rPr>
        <w:t xml:space="preserve">If a supervision order is placed on an approved provider, additional costs may be incurred due to creation of a supervision plan for the relevant staff member(s), </w:t>
      </w:r>
      <w:r>
        <w:t>service,</w:t>
      </w:r>
      <w:r w:rsidRPr="004662A7">
        <w:t xml:space="preserve"> </w:t>
      </w:r>
      <w:r>
        <w:t>or groups of services under the affected approved provider. This may require</w:t>
      </w:r>
      <w:r>
        <w:rPr>
          <w:rFonts w:eastAsiaTheme="minorEastAsia"/>
          <w:szCs w:val="22"/>
          <w:lang w:eastAsia="zh-CN" w:bidi="th-TH"/>
        </w:rPr>
        <w:t xml:space="preserve"> the approved provider to engage additional staff or reallocate staff from current responsibilities to ensure the conditions of the supervision order are being adequately met. </w:t>
      </w:r>
    </w:p>
    <w:p w14:paraId="30551F2A" w14:textId="68AD3BD3" w:rsidR="006C2349" w:rsidRPr="008A7200" w:rsidRDefault="006C2349" w:rsidP="006C2349">
      <w:r>
        <w:t xml:space="preserve">Under option 5, it is intended that the costs of retraining would be borne by the staff member, as it is their misconduct that is being addressed. In jurisdictional forums, there was mixed sentiment regarding who should be liable for the cost of retraining. Most stakeholders were not supportive of staff and educators being liable for the cost of retraining. Many thought this would disincentivise staff and educators from undertaking mandatory retraining and result in some individuals choosing to exit the sector. If this occurs, it would exacerbate current workforce shortages faced by the sector. </w:t>
      </w:r>
    </w:p>
    <w:p w14:paraId="64AE09EF" w14:textId="18EA67D5" w:rsidR="006C2349" w:rsidRDefault="006C2349" w:rsidP="006C2349">
      <w:r>
        <w:t xml:space="preserve">Irrespective of which party is liable for the cost of retraining, </w:t>
      </w:r>
      <w:r w:rsidRPr="00E748BB">
        <w:t>approved providers</w:t>
      </w:r>
      <w:r>
        <w:t xml:space="preserve"> are likely to incur flow on costs a</w:t>
      </w:r>
      <w:r w:rsidRPr="00E748BB">
        <w:t xml:space="preserve">s a result of an </w:t>
      </w:r>
      <w:r>
        <w:t>educator or</w:t>
      </w:r>
      <w:r w:rsidRPr="00E748BB">
        <w:t xml:space="preserve"> </w:t>
      </w:r>
      <w:r>
        <w:t>staff member</w:t>
      </w:r>
      <w:r w:rsidRPr="00E748BB" w:rsidDel="00981BFD">
        <w:t xml:space="preserve"> </w:t>
      </w:r>
      <w:r w:rsidRPr="00E748BB">
        <w:t>undertaking mandatory re-training</w:t>
      </w:r>
      <w:r>
        <w:t xml:space="preserve">, including: </w:t>
      </w:r>
    </w:p>
    <w:p w14:paraId="14F094F5" w14:textId="7FA4B462" w:rsidR="006C2349" w:rsidRDefault="006C2349" w:rsidP="00EC53AB">
      <w:pPr>
        <w:pStyle w:val="ListParagraph"/>
        <w:numPr>
          <w:ilvl w:val="0"/>
          <w:numId w:val="15"/>
        </w:numPr>
        <w:ind w:left="426"/>
      </w:pPr>
      <w:r>
        <w:t>arranging temporary staff to cover the responsibilities/duties of staff members who are required to retrain</w:t>
      </w:r>
      <w:r w:rsidR="00F77C7A">
        <w:t>,</w:t>
      </w:r>
    </w:p>
    <w:p w14:paraId="6C8F36B8" w14:textId="4FB21D87" w:rsidR="006C2349" w:rsidRDefault="006C2349" w:rsidP="00EC53AB">
      <w:pPr>
        <w:pStyle w:val="ListParagraph"/>
        <w:numPr>
          <w:ilvl w:val="0"/>
          <w:numId w:val="15"/>
        </w:numPr>
        <w:ind w:left="426"/>
      </w:pPr>
      <w:r>
        <w:t>costs associated with data collection and record keeping of mandatory training.</w:t>
      </w:r>
      <w:r w:rsidR="00017878">
        <w:rPr>
          <w:rStyle w:val="FootnoteReference"/>
        </w:rPr>
        <w:footnoteReference w:id="103"/>
      </w:r>
    </w:p>
    <w:p w14:paraId="0FA8A3CB" w14:textId="2DB64BD4" w:rsidR="00FF6723" w:rsidRDefault="006C2349" w:rsidP="006C2349">
      <w:r>
        <w:t xml:space="preserve">For option 3, 4 and 5 the scale of costs </w:t>
      </w:r>
      <w:r w:rsidR="00D61BD2">
        <w:t xml:space="preserve">would </w:t>
      </w:r>
      <w:r>
        <w:t xml:space="preserve">depend on the number and complexity of regulatory responses deployed to manage inappropriate conduct. In consultative activities, stakeholders also noted that the length of </w:t>
      </w:r>
      <w:r w:rsidR="00D61BD2">
        <w:t xml:space="preserve">the </w:t>
      </w:r>
      <w:r>
        <w:t>show cause process</w:t>
      </w:r>
      <w:r w:rsidR="003D1335">
        <w:rPr>
          <w:rStyle w:val="FootnoteReference"/>
        </w:rPr>
        <w:footnoteReference w:id="104"/>
      </w:r>
      <w:r>
        <w:t xml:space="preserve"> may also impact the scale of costs incurred by approved providers. For example, stakeholders explained that the length of a show cause process </w:t>
      </w:r>
      <w:r w:rsidR="002036F3">
        <w:t>can impact</w:t>
      </w:r>
      <w:r>
        <w:t xml:space="preserve"> the length of time a provider needs to backfill a </w:t>
      </w:r>
      <w:r>
        <w:lastRenderedPageBreak/>
        <w:t>suspended position for</w:t>
      </w:r>
      <w:r w:rsidR="002036F3">
        <w:t xml:space="preserve">, in </w:t>
      </w:r>
      <w:r w:rsidR="00176675">
        <w:t xml:space="preserve">circumstances </w:t>
      </w:r>
      <w:r w:rsidR="002036F3">
        <w:t xml:space="preserve">where </w:t>
      </w:r>
      <w:r w:rsidR="000F727A">
        <w:t>an individual may present an immediate risk to children</w:t>
      </w:r>
      <w:r>
        <w:t xml:space="preserve">. </w:t>
      </w:r>
      <w:r w:rsidR="003600EE">
        <w:t xml:space="preserve">Similarly, the show cause process itself imposes costs (administrative time) on the </w:t>
      </w:r>
      <w:r w:rsidR="003600EE" w:rsidRPr="003600EE">
        <w:t>individual</w:t>
      </w:r>
      <w:r w:rsidR="003600EE">
        <w:t xml:space="preserve"> to whom the allegations apply</w:t>
      </w:r>
      <w:r w:rsidR="003600EE" w:rsidRPr="003600EE">
        <w:t>, approved providers, and the Regulatory Authority</w:t>
      </w:r>
      <w:r w:rsidR="00B84E54">
        <w:t>.</w:t>
      </w:r>
    </w:p>
    <w:p w14:paraId="6E8B6A79" w14:textId="3EB7F8C9" w:rsidR="00DA4DF2" w:rsidRDefault="006C2349" w:rsidP="006C2349">
      <w:r>
        <w:t xml:space="preserve">One example provided by </w:t>
      </w:r>
      <w:r w:rsidRPr="000C217B">
        <w:t>Aboriginal and Torres Strait Islander stakeholders</w:t>
      </w:r>
      <w:r>
        <w:t xml:space="preserve"> suggested that standing a staff member down led to a cost of around $40,000 to the service for 14 weeks of staff backfill and the cost of an investigator. </w:t>
      </w:r>
      <w:r w:rsidR="00DA4DF2">
        <w:t xml:space="preserve">Another submission referred to approximately $45,000 of costs including consultants, staff time, backfilling, and a staff member being off work for 10 weeks. This was a significant cost to a small service provider. </w:t>
      </w:r>
      <w:r w:rsidR="00714DF3">
        <w:t>The submission also referred to the emotional turmoil across the service, the staff member and the family involved.</w:t>
      </w:r>
    </w:p>
    <w:p w14:paraId="18CE7466" w14:textId="713397A7" w:rsidR="006C2349" w:rsidRDefault="00DA4DF2" w:rsidP="00DA4DF2">
      <w:pPr>
        <w:pStyle w:val="Quote1"/>
      </w:pPr>
      <w:r>
        <w:t>“</w:t>
      </w:r>
      <w:r w:rsidR="00714DF3">
        <w:t>It was quite a shock to me in terms of all the steps and implications of going through that. It was extremely costly, but the trauma for the person, who was stood down for a whole term, the trauma for everyone was immense. You don’t know what it all means till you go through it.</w:t>
      </w:r>
      <w:r>
        <w:t xml:space="preserve">” – </w:t>
      </w:r>
      <w:r w:rsidR="005E60A5">
        <w:t>Written</w:t>
      </w:r>
      <w:r>
        <w:t xml:space="preserve"> submission response</w:t>
      </w:r>
    </w:p>
    <w:p w14:paraId="7D4B73F6" w14:textId="634DD9C7" w:rsidR="006C2349" w:rsidRDefault="006C2349" w:rsidP="006C2349">
      <w:r>
        <w:t xml:space="preserve">Based on these costs, options 3 and 4 have been assigned MCA scores of negative 6 for this criterion, due to the likely longer timeframes that additional staff may be required to support due to regulatory responses to conduct. Option 5 has been assigned </w:t>
      </w:r>
      <w:r w:rsidR="003055D7">
        <w:t>an MCA</w:t>
      </w:r>
      <w:r>
        <w:t xml:space="preserve"> score of negative 4 for this criterion, as staff backfill may also be required however for a shorter timeframe. Similarly, educators and staff members may bear costs under this option.</w:t>
      </w:r>
    </w:p>
    <w:p w14:paraId="0A40F1AC" w14:textId="19B8BB94" w:rsidR="006C2349" w:rsidRPr="00466043" w:rsidRDefault="006C2349" w:rsidP="006C2349">
      <w:pPr>
        <w:pStyle w:val="Heading4"/>
      </w:pPr>
      <w:r>
        <w:t xml:space="preserve">Implementation </w:t>
      </w:r>
      <w:r w:rsidR="004151E0">
        <w:t>considerations</w:t>
      </w:r>
    </w:p>
    <w:p w14:paraId="6E231277" w14:textId="539BE31B" w:rsidR="006C2349" w:rsidRPr="00FF3871" w:rsidRDefault="006C2349" w:rsidP="006C2349">
      <w:r>
        <w:t xml:space="preserve">As previously noted, there is a risk that approved providers will not be responsive to option 2 as they believe they already have robust </w:t>
      </w:r>
      <w:r w:rsidR="00B35BCC">
        <w:t>Codes of Conduct</w:t>
      </w:r>
      <w:r>
        <w:t xml:space="preserve"> and employment contracts which adequately address inappropriate conduct. In line with Chapter 7.1, option two was assigned </w:t>
      </w:r>
      <w:r w:rsidR="003055D7">
        <w:t>an MCA</w:t>
      </w:r>
      <w:r>
        <w:t xml:space="preserve"> score</w:t>
      </w:r>
      <w:r w:rsidRPr="00A74A47">
        <w:t xml:space="preserve"> of negative two</w:t>
      </w:r>
      <w:r>
        <w:t xml:space="preserve"> for this criterion</w:t>
      </w:r>
      <w:r w:rsidRPr="00A74A47">
        <w:t>.</w:t>
      </w:r>
      <w:r>
        <w:t xml:space="preserve"> </w:t>
      </w:r>
    </w:p>
    <w:p w14:paraId="42FB37E4" w14:textId="4587C534" w:rsidR="006C2349" w:rsidRDefault="006C2349" w:rsidP="006C2349">
      <w:r w:rsidRPr="007D06FB">
        <w:t>In consultative activities,</w:t>
      </w:r>
      <w:r>
        <w:t xml:space="preserve"> stakeholders noted that implementing options 3, 4, or 5 would require consideration of Regulatory Authorities' capacity and resourcing to manage expanded functions. Stakeholders were concerned that the Regulatory Authorities may not have sufficient capacity to undertake additional legislative functions in a timely manner. </w:t>
      </w:r>
    </w:p>
    <w:p w14:paraId="3856DB03" w14:textId="4890A274" w:rsidR="006C2349" w:rsidRDefault="00D56837" w:rsidP="006C2349">
      <w:r>
        <w:t>Under option 3, a</w:t>
      </w:r>
      <w:r w:rsidR="009261B9">
        <w:t xml:space="preserve">pproved providers </w:t>
      </w:r>
      <w:r w:rsidR="006C2349">
        <w:t>indicate</w:t>
      </w:r>
      <w:r>
        <w:t>s</w:t>
      </w:r>
      <w:r w:rsidR="006C2349">
        <w:t xml:space="preserve"> that the timeframes in which </w:t>
      </w:r>
      <w:r w:rsidR="007B5B21">
        <w:t>an approved provider</w:t>
      </w:r>
      <w:r w:rsidR="006C2349">
        <w:t xml:space="preserve"> could be suspended should be clarified to minimise implementation risks.</w:t>
      </w:r>
      <w:r w:rsidR="0083254B">
        <w:t xml:space="preserve"> </w:t>
      </w:r>
      <w:r>
        <w:t xml:space="preserve">There was </w:t>
      </w:r>
      <w:r w:rsidR="00C111EC">
        <w:t xml:space="preserve">also some concern that an individual could be impacted by the actions of an approved provider, if the suspension order were to apply at the approved provider level. </w:t>
      </w:r>
      <w:r w:rsidR="0083254B">
        <w:t xml:space="preserve">Regulatory </w:t>
      </w:r>
      <w:r w:rsidR="00F60E42">
        <w:lastRenderedPageBreak/>
        <w:t>Authorities</w:t>
      </w:r>
      <w:r w:rsidR="0083254B">
        <w:t xml:space="preserve"> indicated they </w:t>
      </w:r>
      <w:r w:rsidR="0032511F">
        <w:t xml:space="preserve">may be placed under some pressure to complete investigations quickly </w:t>
      </w:r>
      <w:r w:rsidR="00A25B5E">
        <w:t xml:space="preserve">if </w:t>
      </w:r>
      <w:r w:rsidR="00C111EC">
        <w:t xml:space="preserve">a suspension order is made </w:t>
      </w:r>
      <w:r w:rsidR="0032511F">
        <w:t xml:space="preserve">before an investigation can be completed </w:t>
      </w:r>
      <w:r w:rsidR="00F60E42">
        <w:t>due to risks to the safety of children. Based on these potential risks, option 3</w:t>
      </w:r>
      <w:r w:rsidR="006C2349">
        <w:t xml:space="preserve"> has been assigned </w:t>
      </w:r>
      <w:r w:rsidR="003055D7">
        <w:t>an MCA</w:t>
      </w:r>
      <w:r w:rsidR="006C2349">
        <w:t xml:space="preserve"> score of negative </w:t>
      </w:r>
      <w:r w:rsidR="00C111EC">
        <w:t xml:space="preserve">three </w:t>
      </w:r>
      <w:r w:rsidR="006C2349">
        <w:t>for this criterion.</w:t>
      </w:r>
      <w:r w:rsidR="00444A15">
        <w:t xml:space="preserve"> </w:t>
      </w:r>
    </w:p>
    <w:p w14:paraId="1C59BDDC" w14:textId="226DBFBF" w:rsidR="006C2349" w:rsidRDefault="006C2349" w:rsidP="006C2349">
      <w:r w:rsidRPr="00382974">
        <w:t>In consultative activities, there was mixed sentiment expressed by stakeholders with regards to option 4. Some stakeholders believed that supervision orders are an appropriate regulatory mechanism as the onus should be on both the approved provider and educator or staff member to address inappropriate conduct. Other stakeholders expressed concern at the idea that an approved provider would be held responsible for acts of an individual (despite the show cause process)</w:t>
      </w:r>
      <w:r w:rsidR="00D9089F">
        <w:t xml:space="preserve"> – however, this liability is already in place for the inappropriate discipline offence. </w:t>
      </w:r>
      <w:r w:rsidR="002A451B">
        <w:t>Some stakeholders</w:t>
      </w:r>
      <w:r w:rsidRPr="00382974">
        <w:t xml:space="preserve"> perceived supervision orders to be excessive due to the potential additional costs and burden associated with the implementation of supervision orders.</w:t>
      </w:r>
      <w:r>
        <w:t xml:space="preserve"> Stakeholders were also uncertain over the </w:t>
      </w:r>
      <w:r w:rsidR="004063B4">
        <w:t>additional actions</w:t>
      </w:r>
      <w:r>
        <w:t xml:space="preserve"> that would be </w:t>
      </w:r>
      <w:r w:rsidR="0027639C">
        <w:t>expected from</w:t>
      </w:r>
      <w:r>
        <w:t xml:space="preserve"> an approved provider subject to the supervision order. As a result, option 4 has been assigned </w:t>
      </w:r>
      <w:r w:rsidR="003055D7">
        <w:t>an MCA</w:t>
      </w:r>
      <w:r>
        <w:t xml:space="preserve"> score of negative four for this criterion.</w:t>
      </w:r>
    </w:p>
    <w:p w14:paraId="0ECDAD32" w14:textId="528A03D3" w:rsidR="006C2349" w:rsidRDefault="006C2349" w:rsidP="006C2349">
      <w:r>
        <w:t>While stakeholders were generally supportive of mandatory training (option 5) as a mechanism to address non-compliant behaviour and increase professional knowledge, there was mixed sentiment regarding who should be liable for the cost of retraining (see cost section for further details). In jurisdictional forums, stakeholders noted that there is a risk that educators and staff members may leave the sector if they are financially liable for mandatory retraining. However, in some jurisdictions there is an expectation that teachers in the schooling sector pay for mandatory retraining, and stakeholders noted that there are currently no major concerns or risks with this arrangement.</w:t>
      </w:r>
      <w:r w:rsidR="00A9799A">
        <w:t xml:space="preserve"> Further, </w:t>
      </w:r>
      <w:r w:rsidR="005B5E9C">
        <w:t>educators and staff members subject to an enforceable undertaking are also usually required to pay for their own mandated training or retraining (though the conditions of the enforceable undertaking are agreed on, rather than mandated).</w:t>
      </w:r>
      <w:r>
        <w:t xml:space="preserve"> Hence</w:t>
      </w:r>
      <w:r w:rsidR="0001420B">
        <w:t>,</w:t>
      </w:r>
      <w:r>
        <w:t xml:space="preserve"> the materiality of the risk associated with making educators and staff liable for retraining costs is unclear. As a result, option 5 has been assigned </w:t>
      </w:r>
      <w:r w:rsidR="003055D7">
        <w:t>an MCA</w:t>
      </w:r>
      <w:r>
        <w:t xml:space="preserve"> score of negative three for this criterion. This is on the basis that </w:t>
      </w:r>
      <w:r w:rsidR="00AC3C8A">
        <w:t>it</w:t>
      </w:r>
      <w:r>
        <w:t xml:space="preserve"> has </w:t>
      </w:r>
      <w:r w:rsidR="007A688E">
        <w:t>similar</w:t>
      </w:r>
      <w:r>
        <w:t xml:space="preserve"> implementation risks to optio</w:t>
      </w:r>
      <w:r w:rsidR="002617CA">
        <w:t>n</w:t>
      </w:r>
      <w:r>
        <w:t xml:space="preserve"> 3. </w:t>
      </w:r>
    </w:p>
    <w:p w14:paraId="27C7DF94" w14:textId="391296D8" w:rsidR="005C6637" w:rsidRDefault="005C6637" w:rsidP="006C2349">
      <w:r>
        <w:t xml:space="preserve">It should be noted that while the MCA scores currently consider the implementation considerations based on the options that were consulted on, the recommended implementation of these options will alleviate some of these risks. These implementation considerations are outlined in </w:t>
      </w:r>
      <w:r>
        <w:rPr>
          <w:i/>
          <w:iCs/>
        </w:rPr>
        <w:t>What is the recommended option(s) and how will it be implemented?</w:t>
      </w:r>
    </w:p>
    <w:p w14:paraId="7D8A2BD6" w14:textId="77777777" w:rsidR="006C2349" w:rsidRPr="00466043" w:rsidRDefault="006C2349" w:rsidP="006C2349">
      <w:pPr>
        <w:pStyle w:val="Heading4"/>
      </w:pPr>
      <w:r w:rsidRPr="00466043">
        <w:lastRenderedPageBreak/>
        <w:t>Distributional impacts</w:t>
      </w:r>
    </w:p>
    <w:p w14:paraId="7C0567A4" w14:textId="77777777" w:rsidR="003A533F" w:rsidRPr="009C6C59" w:rsidRDefault="006C2349" w:rsidP="003A533F">
      <w:pPr>
        <w:spacing w:before="120"/>
        <w:rPr>
          <w:rFonts w:eastAsia="Calibri" w:cs="Arial"/>
          <w:szCs w:val="22"/>
          <w:lang w:val="en-US"/>
        </w:rPr>
      </w:pPr>
      <w:r w:rsidRPr="009C6C59">
        <w:rPr>
          <w:rFonts w:eastAsia="Calibri" w:cs="Arial"/>
          <w:szCs w:val="22"/>
        </w:rPr>
        <w:t xml:space="preserve">Stakeholders who engaged in consultative activities noted that policy options 3, 4 and 5 are likely to have greater impacts on smaller approved providers, including those in regional and remote areas. </w:t>
      </w:r>
      <w:r w:rsidRPr="009C6C59">
        <w:rPr>
          <w:rFonts w:eastAsia="Calibri" w:cs="Arial"/>
          <w:szCs w:val="22"/>
          <w:lang w:val="en-US"/>
        </w:rPr>
        <w:t xml:space="preserve">This is because these </w:t>
      </w:r>
      <w:r>
        <w:rPr>
          <w:rFonts w:eastAsia="Calibri" w:cs="Arial"/>
          <w:szCs w:val="22"/>
          <w:lang w:val="en-US"/>
        </w:rPr>
        <w:t xml:space="preserve">approved </w:t>
      </w:r>
      <w:r w:rsidRPr="009C6C59">
        <w:rPr>
          <w:rFonts w:eastAsia="Calibri" w:cs="Arial"/>
          <w:szCs w:val="22"/>
          <w:lang w:val="en-US"/>
        </w:rPr>
        <w:t>providers may not have access to additional staff to backfill suspended positions (option 3), comply with</w:t>
      </w:r>
      <w:r w:rsidR="006A5683">
        <w:rPr>
          <w:rFonts w:eastAsia="Calibri" w:cs="Arial"/>
          <w:szCs w:val="22"/>
          <w:lang w:val="en-US"/>
        </w:rPr>
        <w:t xml:space="preserve"> </w:t>
      </w:r>
      <w:r w:rsidR="003A533F">
        <w:rPr>
          <w:rFonts w:eastAsia="Calibri" w:cs="Arial"/>
          <w:szCs w:val="22"/>
          <w:lang w:val="en-US"/>
        </w:rPr>
        <w:t xml:space="preserve">any </w:t>
      </w:r>
      <w:r w:rsidR="006A5683">
        <w:rPr>
          <w:rFonts w:eastAsia="Calibri" w:cs="Arial"/>
          <w:szCs w:val="22"/>
          <w:lang w:val="en-US"/>
        </w:rPr>
        <w:t xml:space="preserve">additional requirements mandated under </w:t>
      </w:r>
      <w:r w:rsidRPr="009C6C59">
        <w:rPr>
          <w:rFonts w:eastAsia="Calibri" w:cs="Arial"/>
          <w:szCs w:val="22"/>
          <w:lang w:val="en-US"/>
        </w:rPr>
        <w:t>supervision orders</w:t>
      </w:r>
      <w:r w:rsidR="003A533F">
        <w:rPr>
          <w:rFonts w:eastAsia="Calibri" w:cs="Arial"/>
          <w:szCs w:val="22"/>
          <w:lang w:val="en-US"/>
        </w:rPr>
        <w:t>, noting that a staff member who engaged in inappropriate conduct should be supervised and mentored under existing National Law obligations</w:t>
      </w:r>
      <w:r w:rsidRPr="009C6C59">
        <w:rPr>
          <w:rFonts w:eastAsia="Calibri" w:cs="Arial"/>
          <w:szCs w:val="22"/>
          <w:lang w:val="en-US"/>
        </w:rPr>
        <w:t xml:space="preserve"> (option 4) or backfill positions while staff undertake mandatory </w:t>
      </w:r>
      <w:r>
        <w:rPr>
          <w:rFonts w:eastAsia="Calibri" w:cs="Arial"/>
          <w:szCs w:val="22"/>
          <w:lang w:val="en-US"/>
        </w:rPr>
        <w:t>re</w:t>
      </w:r>
      <w:r w:rsidRPr="009C6C59">
        <w:rPr>
          <w:rFonts w:eastAsia="Calibri" w:cs="Arial"/>
          <w:szCs w:val="22"/>
          <w:lang w:val="en-US"/>
        </w:rPr>
        <w:t xml:space="preserve">training (option 5). </w:t>
      </w:r>
      <w:r w:rsidR="003A533F" w:rsidRPr="009C6C59">
        <w:rPr>
          <w:rFonts w:eastAsia="Calibri" w:cs="Arial"/>
          <w:szCs w:val="22"/>
          <w:lang w:val="en-US"/>
        </w:rPr>
        <w:t>In extreme circumstances, this may inhibit an approved provider’s ability to operate due to minimum staffing requirements.</w:t>
      </w:r>
      <w:r w:rsidR="003A533F">
        <w:rPr>
          <w:rFonts w:eastAsia="Calibri" w:cs="Arial"/>
          <w:szCs w:val="22"/>
          <w:lang w:val="en-US"/>
        </w:rPr>
        <w:t xml:space="preserve"> </w:t>
      </w:r>
    </w:p>
    <w:p w14:paraId="67139AF1" w14:textId="77777777" w:rsidR="006C2349" w:rsidRDefault="006C2349" w:rsidP="006C2349">
      <w:pPr>
        <w:spacing w:before="120"/>
        <w:rPr>
          <w:rFonts w:eastAsia="Calibri" w:cs="Arial"/>
          <w:szCs w:val="22"/>
        </w:rPr>
      </w:pPr>
      <w:r w:rsidRPr="009C6C59">
        <w:rPr>
          <w:rFonts w:eastAsia="Calibri" w:cs="Arial"/>
          <w:szCs w:val="22"/>
        </w:rPr>
        <w:t xml:space="preserve">In jurisdictional forums, stakeholders also noted that option 5 is likely to have disproportionate impacts on educators and staff members who will be financially liable for mandatory training/ re-training. </w:t>
      </w:r>
    </w:p>
    <w:p w14:paraId="71F627E4" w14:textId="1D89FF46" w:rsidR="006C2349" w:rsidRDefault="006C2349" w:rsidP="006C2349">
      <w:pPr>
        <w:rPr>
          <w:rFonts w:eastAsia="Calibri" w:cs="Arial"/>
          <w:szCs w:val="22"/>
        </w:rPr>
      </w:pPr>
      <w:r w:rsidRPr="00F3227B">
        <w:t xml:space="preserve">Option 2 is less likely to result in negative distributional impacts, as any changes to </w:t>
      </w:r>
      <w:r w:rsidR="00B35BCC">
        <w:t>Codes of Conduct</w:t>
      </w:r>
      <w:r w:rsidRPr="00F3227B">
        <w:t xml:space="preserve"> </w:t>
      </w:r>
      <w:r>
        <w:t xml:space="preserve">and the associated consequences </w:t>
      </w:r>
      <w:r w:rsidR="00AC3C8A">
        <w:t>would</w:t>
      </w:r>
      <w:r w:rsidR="00AC3C8A" w:rsidRPr="00F3227B">
        <w:t xml:space="preserve"> </w:t>
      </w:r>
      <w:r w:rsidRPr="00F3227B">
        <w:t xml:space="preserve">be at the discretion of approved providers. </w:t>
      </w:r>
      <w:r>
        <w:t xml:space="preserve">This </w:t>
      </w:r>
      <w:r w:rsidR="00AC3C8A">
        <w:t xml:space="preserve">would </w:t>
      </w:r>
      <w:r>
        <w:t xml:space="preserve">enable approved providers to take action that they perceive as commensurate to the risk presented. If implemented in conjunction to a change in the </w:t>
      </w:r>
      <w:r w:rsidR="00B35BCC">
        <w:t>Code of Conduct</w:t>
      </w:r>
      <w:r>
        <w:t xml:space="preserve"> that more closely aligns to the definition of inappropriate conduct in Chapter 7.1, there is a chance that some approved providers may introduce a </w:t>
      </w:r>
      <w:r w:rsidR="00B35BCC">
        <w:t>Code of Conduct</w:t>
      </w:r>
      <w:r w:rsidRPr="00F3227B">
        <w:t xml:space="preserve"> that is not suitable to the cultural needs </w:t>
      </w:r>
      <w:r w:rsidR="005E6E66">
        <w:t>of</w:t>
      </w:r>
      <w:r w:rsidR="005E6E66" w:rsidRPr="00F3227B">
        <w:t xml:space="preserve"> </w:t>
      </w:r>
      <w:r w:rsidRPr="00F3227B">
        <w:t>all staff and service contexts,</w:t>
      </w:r>
      <w:r>
        <w:t xml:space="preserve"> which could result in a disproportionate share of disciplinary action impacting people from culturally diverse backgrounds. </w:t>
      </w:r>
    </w:p>
    <w:p w14:paraId="79BB1287" w14:textId="01988667" w:rsidR="002A693D" w:rsidRDefault="002A693D" w:rsidP="002A693D">
      <w:pPr>
        <w:pStyle w:val="Quote1"/>
      </w:pPr>
      <w:r>
        <w:t>“</w:t>
      </w:r>
      <w:r w:rsidRPr="002A693D">
        <w:t>At present, we do not believe the sector is uniformly equipped with the systems, training or cultural maturity required to undertake conduct investigations in a way that is truly just, trauma informed and free from bias. We remain concerned that power imbalances and inconsistent leadership capability may lead to premature, unfair or harmful outcomes for educators, particularly in the absence of strong safeguards or oversight. Inappropriate or poorly handled investigations can have lasting impacts on educator wellbeing, morale, and professional reputation.</w:t>
      </w:r>
      <w:r>
        <w:t xml:space="preserve"> </w:t>
      </w:r>
      <w:r w:rsidRPr="002A693D">
        <w:t>Instead, we advocate for a focus on educating, upskilling and culture building at all levels of the workforce.</w:t>
      </w:r>
      <w:r>
        <w:t>” – Free text submission response</w:t>
      </w:r>
    </w:p>
    <w:p w14:paraId="32665616" w14:textId="67234C2D" w:rsidR="006C75A5" w:rsidRDefault="006C2349" w:rsidP="002F500B">
      <w:pPr>
        <w:spacing w:before="120"/>
        <w:rPr>
          <w:rFonts w:eastAsia="Calibri" w:cs="Arial"/>
          <w:szCs w:val="22"/>
        </w:rPr>
      </w:pPr>
      <w:r w:rsidRPr="00C84424">
        <w:rPr>
          <w:rFonts w:eastAsia="Calibri" w:cs="Arial"/>
          <w:szCs w:val="22"/>
        </w:rPr>
        <w:t>It is anticipated that options 3 and 4 will have similar negative distributional impact</w:t>
      </w:r>
      <w:r w:rsidR="008B2B70">
        <w:rPr>
          <w:rFonts w:eastAsia="Calibri" w:cs="Arial"/>
          <w:szCs w:val="22"/>
        </w:rPr>
        <w:t xml:space="preserve">, particularly given their application at the approved provider </w:t>
      </w:r>
      <w:r w:rsidR="006C75A5">
        <w:rPr>
          <w:rFonts w:eastAsia="Calibri" w:cs="Arial"/>
          <w:szCs w:val="22"/>
        </w:rPr>
        <w:t>level</w:t>
      </w:r>
      <w:r w:rsidR="00020784">
        <w:rPr>
          <w:rFonts w:eastAsia="Calibri" w:cs="Arial"/>
          <w:szCs w:val="22"/>
        </w:rPr>
        <w:t xml:space="preserve">, </w:t>
      </w:r>
      <w:r w:rsidRPr="00C84424">
        <w:rPr>
          <w:rFonts w:eastAsia="Calibri" w:cs="Arial"/>
          <w:szCs w:val="22"/>
        </w:rPr>
        <w:t xml:space="preserve">and hence have both been assigned </w:t>
      </w:r>
      <w:r w:rsidR="003055D7">
        <w:rPr>
          <w:rFonts w:eastAsia="Calibri" w:cs="Arial"/>
          <w:szCs w:val="22"/>
        </w:rPr>
        <w:t>an MCA</w:t>
      </w:r>
      <w:r w:rsidRPr="00C84424">
        <w:rPr>
          <w:rFonts w:eastAsia="Calibri" w:cs="Arial"/>
          <w:szCs w:val="22"/>
        </w:rPr>
        <w:t xml:space="preserve"> score of negative three</w:t>
      </w:r>
      <w:r>
        <w:t xml:space="preserve"> for this criterion</w:t>
      </w:r>
      <w:r w:rsidRPr="00C84424">
        <w:rPr>
          <w:rFonts w:eastAsia="Calibri" w:cs="Arial"/>
          <w:szCs w:val="22"/>
        </w:rPr>
        <w:t xml:space="preserve">. </w:t>
      </w:r>
    </w:p>
    <w:p w14:paraId="051FA664" w14:textId="572DFCDB" w:rsidR="006C75A5" w:rsidRDefault="006C75A5" w:rsidP="002F500B">
      <w:pPr>
        <w:spacing w:before="120"/>
        <w:rPr>
          <w:rFonts w:eastAsia="Calibri" w:cs="Arial"/>
          <w:szCs w:val="22"/>
        </w:rPr>
      </w:pPr>
      <w:r>
        <w:rPr>
          <w:rFonts w:eastAsia="Calibri" w:cs="Arial"/>
          <w:szCs w:val="22"/>
        </w:rPr>
        <w:lastRenderedPageBreak/>
        <w:t xml:space="preserve">Option 3 is expected to have a </w:t>
      </w:r>
      <w:r w:rsidR="00801D21">
        <w:rPr>
          <w:rFonts w:eastAsia="Calibri" w:cs="Arial"/>
          <w:szCs w:val="22"/>
        </w:rPr>
        <w:t>greater distributional impact to option 4 as the suspension is intended to apply at the approved provider level</w:t>
      </w:r>
      <w:r w:rsidR="004F780A">
        <w:rPr>
          <w:rFonts w:eastAsia="Calibri" w:cs="Arial"/>
          <w:szCs w:val="22"/>
        </w:rPr>
        <w:t xml:space="preserve">, which could result in a large volume of staff being impacted at any one time. </w:t>
      </w:r>
      <w:r w:rsidR="00B553DF">
        <w:rPr>
          <w:rFonts w:eastAsia="Calibri" w:cs="Arial"/>
          <w:szCs w:val="22"/>
        </w:rPr>
        <w:t xml:space="preserve">As a result, option 3 has been assigned an MCA score of negative four for this criterion. Option 4 also applies at the approved provider level, however a supervision order is expected to have a less severe impact on staff directly. As a result, this option has been assigned an MCA score of negative three for this criterion. </w:t>
      </w:r>
    </w:p>
    <w:p w14:paraId="035146DF" w14:textId="2B010A14" w:rsidR="006C2349" w:rsidRDefault="006C2349" w:rsidP="002F500B">
      <w:pPr>
        <w:spacing w:before="120"/>
        <w:rPr>
          <w:rStyle w:val="CommentReference"/>
          <w:sz w:val="22"/>
          <w:szCs w:val="22"/>
        </w:rPr>
      </w:pPr>
      <w:r w:rsidRPr="00C84424">
        <w:rPr>
          <w:rFonts w:eastAsia="Calibri" w:cs="Arial"/>
          <w:szCs w:val="22"/>
        </w:rPr>
        <w:t xml:space="preserve">It is anticipated that option 5 will have </w:t>
      </w:r>
      <w:r w:rsidR="00801D21">
        <w:rPr>
          <w:rFonts w:eastAsia="Calibri" w:cs="Arial"/>
          <w:szCs w:val="22"/>
        </w:rPr>
        <w:t xml:space="preserve">a </w:t>
      </w:r>
      <w:r w:rsidRPr="00C84424">
        <w:rPr>
          <w:rFonts w:eastAsia="Calibri" w:cs="Arial"/>
          <w:szCs w:val="22"/>
        </w:rPr>
        <w:t xml:space="preserve">greater distributional impact relative to option 4, </w:t>
      </w:r>
      <w:r w:rsidR="00152F66">
        <w:rPr>
          <w:rFonts w:eastAsia="Calibri" w:cs="Arial"/>
          <w:szCs w:val="22"/>
        </w:rPr>
        <w:t xml:space="preserve">as individuals become liable under this provision. As a result, it </w:t>
      </w:r>
      <w:r w:rsidRPr="00C84424">
        <w:rPr>
          <w:rFonts w:eastAsia="Calibri" w:cs="Arial"/>
          <w:szCs w:val="22"/>
        </w:rPr>
        <w:t xml:space="preserve">has been assigned </w:t>
      </w:r>
      <w:r w:rsidR="003055D7">
        <w:rPr>
          <w:rFonts w:eastAsia="Calibri" w:cs="Arial"/>
          <w:szCs w:val="22"/>
        </w:rPr>
        <w:t>an MCA</w:t>
      </w:r>
      <w:r w:rsidRPr="00C84424">
        <w:rPr>
          <w:rFonts w:eastAsia="Calibri" w:cs="Arial"/>
          <w:szCs w:val="22"/>
        </w:rPr>
        <w:t xml:space="preserve"> score of negative four</w:t>
      </w:r>
      <w:r>
        <w:t xml:space="preserve"> for this criterion</w:t>
      </w:r>
      <w:r w:rsidRPr="00C84424">
        <w:rPr>
          <w:rFonts w:eastAsia="Calibri" w:cs="Arial"/>
          <w:szCs w:val="22"/>
        </w:rPr>
        <w:t xml:space="preserve">. </w:t>
      </w:r>
      <w:r w:rsidRPr="00C84424">
        <w:rPr>
          <w:rStyle w:val="CommentReference"/>
          <w:sz w:val="22"/>
          <w:szCs w:val="22"/>
        </w:rPr>
        <w:t xml:space="preserve">Option 2 has been assigned </w:t>
      </w:r>
      <w:r w:rsidR="003055D7">
        <w:rPr>
          <w:rStyle w:val="CommentReference"/>
          <w:sz w:val="22"/>
          <w:szCs w:val="22"/>
        </w:rPr>
        <w:t>an MCA</w:t>
      </w:r>
      <w:r w:rsidRPr="00C84424">
        <w:rPr>
          <w:rStyle w:val="CommentReference"/>
          <w:sz w:val="22"/>
          <w:szCs w:val="22"/>
        </w:rPr>
        <w:t xml:space="preserve"> </w:t>
      </w:r>
      <w:r>
        <w:rPr>
          <w:rStyle w:val="CommentReference"/>
          <w:sz w:val="22"/>
          <w:szCs w:val="22"/>
        </w:rPr>
        <w:t>score of negative one</w:t>
      </w:r>
      <w:r>
        <w:t xml:space="preserve"> for this criterion</w:t>
      </w:r>
      <w:r>
        <w:rPr>
          <w:rStyle w:val="CommentReference"/>
          <w:sz w:val="22"/>
          <w:szCs w:val="22"/>
        </w:rPr>
        <w:t xml:space="preserve">, due to the relatively small risk of disproportionate costs for culturally diverse staff. </w:t>
      </w:r>
    </w:p>
    <w:tbl>
      <w:tblPr>
        <w:tblW w:w="0" w:type="auto"/>
        <w:tblLook w:val="04A0" w:firstRow="1" w:lastRow="0" w:firstColumn="1" w:lastColumn="0" w:noHBand="0" w:noVBand="1"/>
        <w:tblCaption w:val="Box 7.3: Aboriginal and Torres Strait Islander People Stakeholder Views"/>
        <w:tblDescription w:val="This table outlines Aboriginal and Torres Strait Islander People Stakeholder Views on distributional impacts."/>
      </w:tblPr>
      <w:tblGrid>
        <w:gridCol w:w="9020"/>
      </w:tblGrid>
      <w:tr w:rsidR="006C2349" w:rsidRPr="009C6C59" w14:paraId="2F607794" w14:textId="77777777" w:rsidTr="002F500B">
        <w:tc>
          <w:tcPr>
            <w:tcW w:w="9020" w:type="dxa"/>
            <w:shd w:val="clear" w:color="auto" w:fill="FFF2CC" w:themeFill="accent3" w:themeFillTint="33"/>
          </w:tcPr>
          <w:p w14:paraId="60187E66" w14:textId="388D75CB" w:rsidR="006C2349" w:rsidRPr="009C6C59" w:rsidRDefault="006C2349">
            <w:pPr>
              <w:spacing w:before="120"/>
              <w:rPr>
                <w:rFonts w:eastAsia="Calibri" w:cs="Arial"/>
                <w:b/>
                <w:szCs w:val="22"/>
              </w:rPr>
            </w:pPr>
            <w:r w:rsidRPr="009C6C59">
              <w:rPr>
                <w:rFonts w:eastAsia="Calibri" w:cs="Arial"/>
                <w:b/>
                <w:szCs w:val="22"/>
              </w:rPr>
              <w:t xml:space="preserve">Box </w:t>
            </w:r>
            <w:r>
              <w:rPr>
                <w:rFonts w:eastAsia="Calibri" w:cs="Arial"/>
                <w:b/>
                <w:szCs w:val="22"/>
              </w:rPr>
              <w:t>7.3</w:t>
            </w:r>
            <w:r w:rsidRPr="009C6C59">
              <w:rPr>
                <w:rFonts w:eastAsia="Calibri" w:cs="Arial"/>
                <w:b/>
                <w:szCs w:val="22"/>
              </w:rPr>
              <w:t xml:space="preserve">: </w:t>
            </w:r>
            <w:r w:rsidR="00E227D8">
              <w:rPr>
                <w:rFonts w:eastAsia="Calibri" w:cs="Arial"/>
                <w:b/>
                <w:szCs w:val="22"/>
              </w:rPr>
              <w:t>Aboriginal and Torres Strait Islander People Stakeholder Views</w:t>
            </w:r>
          </w:p>
          <w:p w14:paraId="26B60166" w14:textId="61EC5BEF" w:rsidR="006C2349" w:rsidRPr="009C6C59" w:rsidRDefault="006C2349">
            <w:pPr>
              <w:spacing w:before="120"/>
              <w:rPr>
                <w:rFonts w:eastAsia="Calibri" w:cs="Arial"/>
              </w:rPr>
            </w:pPr>
            <w:r w:rsidRPr="009C6C59">
              <w:rPr>
                <w:rFonts w:eastAsia="Calibri" w:cs="Arial"/>
                <w:szCs w:val="22"/>
              </w:rPr>
              <w:t xml:space="preserve">Aboriginal and Torres Strait Islander stakeholders reported that while there was general support for appropriate responses to inappropriate conduct, </w:t>
            </w:r>
            <w:r w:rsidRPr="671298D5">
              <w:rPr>
                <w:rFonts w:eastAsia="Calibri" w:cs="Arial"/>
                <w:szCs w:val="22"/>
              </w:rPr>
              <w:t xml:space="preserve">ACCOs and Aboriginal and Torres Strait Islander services described </w:t>
            </w:r>
            <w:r w:rsidRPr="009C6C59">
              <w:rPr>
                <w:rFonts w:eastAsia="Calibri" w:cs="Arial"/>
                <w:szCs w:val="22"/>
              </w:rPr>
              <w:t xml:space="preserve">underlying feelings of mistrust </w:t>
            </w:r>
            <w:r w:rsidRPr="1FE60159">
              <w:rPr>
                <w:rFonts w:eastAsia="Calibri" w:cs="Arial"/>
                <w:szCs w:val="22"/>
              </w:rPr>
              <w:t xml:space="preserve">of regulatory systems </w:t>
            </w:r>
            <w:r w:rsidR="008F78B1">
              <w:rPr>
                <w:rFonts w:eastAsia="Calibri" w:cs="Arial"/>
                <w:szCs w:val="22"/>
              </w:rPr>
              <w:t>due to their</w:t>
            </w:r>
            <w:r w:rsidR="008F78B1" w:rsidRPr="0D83570F">
              <w:rPr>
                <w:rFonts w:eastAsia="Calibri" w:cs="Arial"/>
                <w:szCs w:val="22"/>
              </w:rPr>
              <w:t xml:space="preserve"> </w:t>
            </w:r>
            <w:r w:rsidRPr="0D83570F">
              <w:rPr>
                <w:rFonts w:eastAsia="Calibri" w:cs="Arial"/>
                <w:szCs w:val="22"/>
              </w:rPr>
              <w:t xml:space="preserve">negative prior experiences with regulators. </w:t>
            </w:r>
            <w:r w:rsidRPr="1414DFEC">
              <w:rPr>
                <w:rFonts w:eastAsia="Calibri" w:cs="Arial"/>
                <w:szCs w:val="22"/>
              </w:rPr>
              <w:t>This was followed by</w:t>
            </w:r>
            <w:r w:rsidRPr="1FE60159">
              <w:rPr>
                <w:rFonts w:eastAsia="Calibri" w:cs="Arial"/>
                <w:szCs w:val="22"/>
              </w:rPr>
              <w:t xml:space="preserve"> some mixed responses for regulatory options (options 3 to 5</w:t>
            </w:r>
            <w:r w:rsidRPr="1414DFEC">
              <w:rPr>
                <w:rFonts w:eastAsia="Calibri" w:cs="Arial"/>
                <w:szCs w:val="22"/>
              </w:rPr>
              <w:t xml:space="preserve">), spoken about in </w:t>
            </w:r>
            <w:r w:rsidRPr="14D717E0">
              <w:rPr>
                <w:rFonts w:eastAsia="Calibri" w:cs="Arial"/>
                <w:szCs w:val="22"/>
              </w:rPr>
              <w:t xml:space="preserve">relation to these </w:t>
            </w:r>
            <w:r w:rsidRPr="6B26B9CC">
              <w:rPr>
                <w:rFonts w:eastAsia="Calibri" w:cs="Arial"/>
                <w:szCs w:val="22"/>
              </w:rPr>
              <w:t>experiences with the regulatory system.</w:t>
            </w:r>
            <w:r w:rsidRPr="1FE60159">
              <w:rPr>
                <w:rFonts w:eastAsia="Calibri" w:cs="Arial"/>
                <w:szCs w:val="22"/>
              </w:rPr>
              <w:t xml:space="preserve"> </w:t>
            </w:r>
            <w:r w:rsidRPr="730A9238">
              <w:rPr>
                <w:rFonts w:eastAsia="Calibri" w:cs="Arial"/>
                <w:szCs w:val="22"/>
              </w:rPr>
              <w:t>This means that services</w:t>
            </w:r>
            <w:r w:rsidRPr="1FE60159">
              <w:rPr>
                <w:rFonts w:eastAsia="Calibri" w:cs="Arial"/>
                <w:szCs w:val="22"/>
              </w:rPr>
              <w:t xml:space="preserve"> reported broad support for measures to increase child safety but have strong levels of </w:t>
            </w:r>
            <w:r w:rsidRPr="009C6C59">
              <w:rPr>
                <w:rFonts w:eastAsia="Calibri" w:cs="Arial"/>
                <w:szCs w:val="22"/>
              </w:rPr>
              <w:t>systemic mistrust based on past experiences</w:t>
            </w:r>
            <w:r w:rsidR="008F78B1">
              <w:rPr>
                <w:rFonts w:eastAsia="Calibri" w:cs="Arial"/>
                <w:szCs w:val="22"/>
              </w:rPr>
              <w:t xml:space="preserve">. This mistrust of the system </w:t>
            </w:r>
            <w:r w:rsidRPr="009C6C59">
              <w:rPr>
                <w:rFonts w:eastAsia="Calibri" w:cs="Arial"/>
                <w:szCs w:val="22"/>
              </w:rPr>
              <w:t>resulted in a general reluctance to fully support regulatory policy options</w:t>
            </w:r>
            <w:r w:rsidR="008F78B1">
              <w:rPr>
                <w:rFonts w:eastAsia="Calibri" w:cs="Arial"/>
                <w:szCs w:val="22"/>
              </w:rPr>
              <w:t xml:space="preserve"> in relation to this area of reform</w:t>
            </w:r>
            <w:r w:rsidRPr="009C6C59">
              <w:rPr>
                <w:rFonts w:eastAsia="Calibri" w:cs="Arial"/>
                <w:szCs w:val="22"/>
              </w:rPr>
              <w:t>.</w:t>
            </w:r>
            <w:r w:rsidR="00900870">
              <w:rPr>
                <w:rFonts w:eastAsia="Calibri" w:cs="Arial"/>
              </w:rPr>
              <w:t xml:space="preserve"> </w:t>
            </w:r>
            <w:r w:rsidR="00444A15">
              <w:rPr>
                <w:rFonts w:eastAsia="Calibri" w:cs="Arial"/>
              </w:rPr>
              <w:t xml:space="preserve"> </w:t>
            </w:r>
          </w:p>
        </w:tc>
      </w:tr>
      <w:tr w:rsidR="002F500B" w:rsidRPr="009C6C59" w14:paraId="1293B0D3" w14:textId="77777777">
        <w:tc>
          <w:tcPr>
            <w:tcW w:w="9020" w:type="dxa"/>
          </w:tcPr>
          <w:p w14:paraId="34C8382D" w14:textId="25ECBA4C" w:rsidR="002F500B" w:rsidRDefault="002F500B" w:rsidP="002F500B">
            <w:pPr>
              <w:pStyle w:val="Heading4un-numbered"/>
            </w:pPr>
            <w:r>
              <w:lastRenderedPageBreak/>
              <w:t xml:space="preserve">Stakeholders’ </w:t>
            </w:r>
            <w:r w:rsidR="00BF7E16">
              <w:t>preferred</w:t>
            </w:r>
            <w:r w:rsidR="004C5562">
              <w:t xml:space="preserve"> option</w:t>
            </w:r>
          </w:p>
          <w:p w14:paraId="58314A05" w14:textId="05B3CF61" w:rsidR="002F500B" w:rsidRDefault="002F500B" w:rsidP="002F500B">
            <w:r w:rsidRPr="003D6743">
              <w:t>The combination of option 3, 4 and 5 (sometimes also in combination with option 2) received the most support from approved provider survey respondents</w:t>
            </w:r>
            <w:r>
              <w:t xml:space="preserve"> (see Appendix </w:t>
            </w:r>
            <w:r w:rsidR="00B54723">
              <w:t xml:space="preserve">Tables </w:t>
            </w:r>
            <w:r>
              <w:t>12.3.3</w:t>
            </w:r>
            <w:r w:rsidR="00B54723">
              <w:t>.1-3</w:t>
            </w:r>
            <w:r>
              <w:t>)</w:t>
            </w:r>
            <w:r w:rsidRPr="003D6743">
              <w:t xml:space="preserve">. </w:t>
            </w:r>
            <w:r>
              <w:t>This sentiment was further reflected in jurisdictional forums, where stakeholders preferred regulatory options and were generally supportive of greater legislative powers for Regulatory Authorities to support the management of inappropriate conduct which does not meet the threshold for prohibition or suspension.</w:t>
            </w:r>
          </w:p>
          <w:p w14:paraId="45F5029E" w14:textId="1BEF3391" w:rsidR="002F500B" w:rsidRPr="009C6C59" w:rsidRDefault="002F500B" w:rsidP="7B5077F0">
            <w:pPr>
              <w:spacing w:before="120"/>
              <w:rPr>
                <w:rFonts w:eastAsia="Calibri" w:cs="Arial"/>
                <w:b/>
                <w:bCs/>
              </w:rPr>
            </w:pPr>
            <w:r w:rsidRPr="007F06A3">
              <w:t>Across</w:t>
            </w:r>
            <w:r w:rsidRPr="00837288">
              <w:t xml:space="preserve"> </w:t>
            </w:r>
            <w:r>
              <w:t>survey respondents</w:t>
            </w:r>
            <w:r w:rsidRPr="00734540">
              <w:t xml:space="preserve">, </w:t>
            </w:r>
            <w:r>
              <w:t xml:space="preserve">15% of approved providers identified options 3, 4 and 5 in conjunction as their </w:t>
            </w:r>
            <w:r w:rsidR="00BF7E16">
              <w:t>preferred</w:t>
            </w:r>
            <w:r w:rsidR="004C5562">
              <w:t xml:space="preserve"> option</w:t>
            </w:r>
            <w:r>
              <w:t xml:space="preserve"> – with an additional 16% preferring options 2, 3, 4 and 5 in conjunction (Appendix </w:t>
            </w:r>
            <w:r w:rsidR="00B54723">
              <w:t>Table</w:t>
            </w:r>
            <w:r>
              <w:t xml:space="preserve"> 12.3.3</w:t>
            </w:r>
            <w:r w:rsidR="00B54723">
              <w:t>.1</w:t>
            </w:r>
            <w:r>
              <w:t xml:space="preserve">). Similarly, 17% of the education and care workforce identified options 3, 4 and 5 in conjunction as their </w:t>
            </w:r>
            <w:r w:rsidR="00BF7E16">
              <w:t>preferred</w:t>
            </w:r>
            <w:r w:rsidR="004C5562">
              <w:t xml:space="preserve"> option</w:t>
            </w:r>
            <w:r>
              <w:t xml:space="preserve"> – with an additional 17% preferring options 2, 3, 4 and 5 in conjunction (Appendix </w:t>
            </w:r>
            <w:r w:rsidR="00B54723">
              <w:t xml:space="preserve">Table </w:t>
            </w:r>
            <w:r>
              <w:t>12.3.3</w:t>
            </w:r>
            <w:r w:rsidR="00B54723">
              <w:t>.2</w:t>
            </w:r>
            <w:r>
              <w:t xml:space="preserve">). Finally, 26% of surveyed parents, families and carers identified options 3, 4 and 5 in conjunction as their </w:t>
            </w:r>
            <w:r w:rsidR="00BF7E16">
              <w:t>preferred</w:t>
            </w:r>
            <w:r w:rsidR="004C5562">
              <w:t xml:space="preserve"> option</w:t>
            </w:r>
            <w:r>
              <w:t xml:space="preserve"> – with an additional 11% preferring options 2, 3, 4 and 5 in conjunction. 18% of parents, families and carers </w:t>
            </w:r>
            <w:r w:rsidR="00BF7E16">
              <w:t>preferred</w:t>
            </w:r>
            <w:r w:rsidR="004C5562">
              <w:t xml:space="preserve"> option</w:t>
            </w:r>
            <w:r>
              <w:t xml:space="preserve"> 3 on its own, whilst 12% </w:t>
            </w:r>
            <w:r w:rsidR="00BF7E16">
              <w:t>preferred</w:t>
            </w:r>
            <w:r w:rsidR="004C5562">
              <w:t xml:space="preserve"> option</w:t>
            </w:r>
            <w:r>
              <w:t xml:space="preserve"> 4 on its own (Appendix </w:t>
            </w:r>
            <w:r w:rsidR="00B54723">
              <w:t xml:space="preserve">Table </w:t>
            </w:r>
            <w:r>
              <w:t>12.3.3</w:t>
            </w:r>
            <w:r w:rsidR="00B54723">
              <w:t>.3</w:t>
            </w:r>
            <w:r>
              <w:t>).</w:t>
            </w:r>
          </w:p>
          <w:p w14:paraId="44EEA744" w14:textId="282501EB" w:rsidR="002F500B" w:rsidRPr="009C6C59" w:rsidRDefault="6E352C86">
            <w:pPr>
              <w:spacing w:before="120"/>
            </w:pPr>
            <w:r>
              <w:t>Most l</w:t>
            </w:r>
            <w:r w:rsidR="17CC7D0B">
              <w:t xml:space="preserve">ong form written submissions also expressed support for options 3, 4 and 5, sometimes in conjunction with support for option 2. </w:t>
            </w:r>
            <w:r w:rsidR="2FC8B142">
              <w:t>Large approved provider</w:t>
            </w:r>
            <w:r w:rsidR="0025247F">
              <w:t xml:space="preserve"> long form </w:t>
            </w:r>
            <w:r w:rsidR="2FC8B142">
              <w:t xml:space="preserve">written submissions expressed more support for option 2 and option 3, and mostly did not support option 4. </w:t>
            </w:r>
          </w:p>
        </w:tc>
      </w:tr>
    </w:tbl>
    <w:p w14:paraId="3DC5555A" w14:textId="2EC75DF4" w:rsidR="006C2349" w:rsidRDefault="006C2349" w:rsidP="006C2349">
      <w:pPr>
        <w:pStyle w:val="Heading3"/>
      </w:pPr>
      <w:r>
        <w:t xml:space="preserve">What is the </w:t>
      </w:r>
      <w:r w:rsidR="004C5562">
        <w:t>recommended option</w:t>
      </w:r>
      <w:r>
        <w:t>(s) and how will it be implemented?</w:t>
      </w:r>
    </w:p>
    <w:p w14:paraId="081A82FA" w14:textId="782EC3C7" w:rsidR="002477D2" w:rsidRPr="007D044B" w:rsidRDefault="00F41507" w:rsidP="007D044B">
      <w:r w:rsidRPr="007D27A8">
        <w:t>Based on analysis included in this DRIS, the options with the highest net benefit to be provided to Education Ministers for consideration</w:t>
      </w:r>
      <w:r>
        <w:t xml:space="preserve"> are</w:t>
      </w:r>
      <w:r w:rsidRPr="007D27A8">
        <w:t xml:space="preserve"> </w:t>
      </w:r>
      <w:r>
        <w:t>t</w:t>
      </w:r>
      <w:r w:rsidR="006C2349">
        <w:t xml:space="preserve">he </w:t>
      </w:r>
      <w:r w:rsidR="002F500B">
        <w:t>regulatory options 3,</w:t>
      </w:r>
      <w:r w:rsidR="00FA6318">
        <w:t xml:space="preserve"> </w:t>
      </w:r>
      <w:r w:rsidR="002F500B">
        <w:t>4 and 5</w:t>
      </w:r>
      <w:r>
        <w:t xml:space="preserve">. </w:t>
      </w:r>
      <w:r w:rsidR="00FB4988">
        <w:t>The MCA analysis indicates that these three options would generate the most significant improvements to child safety.</w:t>
      </w:r>
      <w:r w:rsidR="00444A15">
        <w:t xml:space="preserve"> </w:t>
      </w:r>
      <w:r w:rsidR="007D044B" w:rsidRPr="007D044B">
        <w:t>Further work to address identified implementation considerations related to:</w:t>
      </w:r>
    </w:p>
    <w:p w14:paraId="7957653C" w14:textId="7B91D595" w:rsidR="00260FE4" w:rsidRDefault="008E5BDE" w:rsidP="00EC5AE1">
      <w:pPr>
        <w:pStyle w:val="ListParagraph"/>
        <w:ind w:left="426"/>
      </w:pPr>
      <w:r>
        <w:t>who the regulatory response can be applied to</w:t>
      </w:r>
    </w:p>
    <w:p w14:paraId="53E08351" w14:textId="13A4E4C8" w:rsidR="008E5BDE" w:rsidRDefault="008E5BDE" w:rsidP="00EC5AE1">
      <w:pPr>
        <w:pStyle w:val="ListParagraph"/>
        <w:ind w:left="426"/>
      </w:pPr>
      <w:r>
        <w:t xml:space="preserve">the </w:t>
      </w:r>
      <w:r w:rsidRPr="00260FE4">
        <w:t>threshold that must be met for the proposed regulatory responses to be exercised</w:t>
      </w:r>
    </w:p>
    <w:p w14:paraId="581C86F1" w14:textId="456BF836" w:rsidR="00EF261A" w:rsidRDefault="002477D2" w:rsidP="00DF1678">
      <w:pPr>
        <w:ind w:left="66"/>
      </w:pPr>
      <w:r>
        <w:t>Some of these implementation considerations have been agreed for option 3, such that:</w:t>
      </w:r>
    </w:p>
    <w:p w14:paraId="2A83B925" w14:textId="2D49B93B" w:rsidR="009353A7" w:rsidRDefault="007D0277" w:rsidP="009353A7">
      <w:pPr>
        <w:pStyle w:val="ListParagraph"/>
        <w:ind w:left="426"/>
      </w:pPr>
      <w:r>
        <w:t>option 3 would apply to approved providers (not individual staff directly)</w:t>
      </w:r>
    </w:p>
    <w:p w14:paraId="1B856FD6" w14:textId="77777777" w:rsidR="009353A7" w:rsidRDefault="009353A7" w:rsidP="009353A7">
      <w:pPr>
        <w:pStyle w:val="ListParagraph"/>
        <w:ind w:left="426"/>
      </w:pPr>
      <w:r>
        <w:lastRenderedPageBreak/>
        <w:t xml:space="preserve">option 3 would apply the same risk threshold that is currently in place for suspension of FDC educators (non-compliance, or risk to safety, health or wellbeing of children) </w:t>
      </w:r>
    </w:p>
    <w:p w14:paraId="3D2F290D" w14:textId="7D1D118E" w:rsidR="009353A7" w:rsidRDefault="009353A7" w:rsidP="009353A7">
      <w:pPr>
        <w:pStyle w:val="ListParagraph"/>
        <w:ind w:left="426"/>
      </w:pPr>
      <w:r>
        <w:t>option 3 would apply the same requirement for a show cause notice that is currently in place for suspension of approved provider/service approval (</w:t>
      </w:r>
      <w:r w:rsidR="00260FE4">
        <w:t xml:space="preserve">which is </w:t>
      </w:r>
      <w:r>
        <w:t xml:space="preserve">not required if </w:t>
      </w:r>
      <w:r w:rsidR="00260FE4">
        <w:t xml:space="preserve">there is an </w:t>
      </w:r>
      <w:r>
        <w:t>immediate risk to safety, health or wellbeing of children).</w:t>
      </w:r>
    </w:p>
    <w:p w14:paraId="6B133B27" w14:textId="77777777" w:rsidR="00CB38DB" w:rsidRDefault="00CB38DB">
      <w:pPr>
        <w:spacing w:after="160" w:line="259" w:lineRule="auto"/>
        <w:rPr>
          <w:rFonts w:eastAsia="MS Mincho" w:cs="Arial"/>
          <w:color w:val="14233C"/>
          <w:sz w:val="52"/>
          <w:szCs w:val="80"/>
          <w:lang w:val="en-GB"/>
        </w:rPr>
      </w:pPr>
      <w:bookmarkStart w:id="124" w:name="_Toc201934875"/>
      <w:bookmarkStart w:id="125" w:name="_Ref203423116"/>
      <w:r>
        <w:br w:type="page"/>
      </w:r>
    </w:p>
    <w:p w14:paraId="4EC28471" w14:textId="5692B617" w:rsidR="0097711F" w:rsidRDefault="0097711F" w:rsidP="0097711F">
      <w:pPr>
        <w:pStyle w:val="Heading1"/>
      </w:pPr>
      <w:bookmarkStart w:id="126" w:name="_8._Working_with"/>
      <w:bookmarkStart w:id="127" w:name="_Toc205884895"/>
      <w:bookmarkEnd w:id="126"/>
      <w:r>
        <w:lastRenderedPageBreak/>
        <w:t>8. Working with Children Checks</w:t>
      </w:r>
      <w:bookmarkEnd w:id="124"/>
      <w:bookmarkEnd w:id="125"/>
      <w:bookmarkEnd w:id="127"/>
    </w:p>
    <w:p w14:paraId="175FBCF8" w14:textId="77777777" w:rsidR="0097711F" w:rsidRDefault="0097711F" w:rsidP="0097711F">
      <w:r w:rsidRPr="003F31EE">
        <w:t xml:space="preserve">This chapter </w:t>
      </w:r>
      <w:r>
        <w:t>addresses potential reforms to reduce complexity and provide clarity and consistency</w:t>
      </w:r>
      <w:r w:rsidRPr="003F31EE">
        <w:t xml:space="preserve"> </w:t>
      </w:r>
      <w:r>
        <w:t xml:space="preserve">with </w:t>
      </w:r>
      <w:r w:rsidRPr="00C90A70">
        <w:t>WWCC</w:t>
      </w:r>
      <w:r w:rsidRPr="00C90A70">
        <w:rPr>
          <w:rStyle w:val="FootnoteReference"/>
        </w:rPr>
        <w:footnoteReference w:id="105"/>
      </w:r>
      <w:r>
        <w:t xml:space="preserve"> requirements under the NQF, to ensure that only </w:t>
      </w:r>
      <w:r w:rsidRPr="00C90A70">
        <w:t xml:space="preserve">suitable people work or volunteer in the education and care sector. </w:t>
      </w:r>
    </w:p>
    <w:p w14:paraId="4EE1285F" w14:textId="77777777" w:rsidR="0097711F" w:rsidRPr="00C90A70" w:rsidRDefault="0097711F" w:rsidP="0097711F">
      <w:r>
        <w:t xml:space="preserve">In Australia, people who work or volunteer with children are screened for suitability through a WWCC process. Having a valid WWCC as an employee or volunteer in an education and care setting and maintaining records of WWCCs as an approved provider is an important safeguard to maintaining a child safe environment. </w:t>
      </w:r>
      <w:r w:rsidRPr="00C90A70">
        <w:t xml:space="preserve">However, </w:t>
      </w:r>
      <w:r>
        <w:t>there are different jurisdictional WWCC requirements across Australia that mean (1) some states and territories permit</w:t>
      </w:r>
      <w:r w:rsidRPr="00C90A70">
        <w:t xml:space="preserve"> a person to </w:t>
      </w:r>
      <w:r>
        <w:t>commence in a role prior to having an approved WWCC, if certain requirements are met; and (2) not all states and territories require that any change in a person’s WWCC status is shared with their employer and/or the relevant Regulatory Authority, either by the individual or the WWCC agency. These gaps mean that unsuitable people may enter the sector and place children at risk.</w:t>
      </w:r>
    </w:p>
    <w:p w14:paraId="2ED699C8" w14:textId="77777777" w:rsidR="0097711F" w:rsidRDefault="0097711F" w:rsidP="0097711F">
      <w:r>
        <w:t>To address these potential gaps and this risk, the potential reforms discussed in this chapter are creating national consistency by requiring:</w:t>
      </w:r>
    </w:p>
    <w:p w14:paraId="79D65C41" w14:textId="77777777" w:rsidR="0097711F" w:rsidRDefault="0097711F" w:rsidP="00F77C7A">
      <w:pPr>
        <w:pStyle w:val="ListParagraph"/>
        <w:ind w:left="426"/>
      </w:pPr>
      <w:r>
        <w:t xml:space="preserve">Chapter 8.1 – that an </w:t>
      </w:r>
      <w:r w:rsidRPr="00037E9B">
        <w:t xml:space="preserve">approved provider cannot allow a person to commence work, or work as a volunteer, in an approved education and care service without </w:t>
      </w:r>
      <w:r>
        <w:t>an approved</w:t>
      </w:r>
      <w:r w:rsidRPr="00037E9B">
        <w:t xml:space="preserve"> WWCC or confirmed </w:t>
      </w:r>
      <w:r>
        <w:t>teacher registration/accreditation, where otherwise not required by existing legislation.</w:t>
      </w:r>
    </w:p>
    <w:p w14:paraId="2F9E1835" w14:textId="77777777" w:rsidR="0097711F" w:rsidRDefault="0097711F" w:rsidP="00F77C7A">
      <w:pPr>
        <w:pStyle w:val="ListParagraph"/>
        <w:ind w:left="426"/>
      </w:pPr>
      <w:r>
        <w:t>Chapter 8.2 – all staff in education and care services, regardless of their role or service type, to notify their approved provider of a change in their WWCC status or teacher registration/accreditation status, with the approved provider then required to notify the Regulatory Authority, where otherwise not required by existing legislation.</w:t>
      </w:r>
    </w:p>
    <w:p w14:paraId="5F1386FD" w14:textId="77777777" w:rsidR="0097711F" w:rsidRDefault="0097711F" w:rsidP="0097711F">
      <w:pPr>
        <w:pStyle w:val="Heading2"/>
      </w:pPr>
      <w:bookmarkStart w:id="128" w:name="_Toc201934876"/>
      <w:bookmarkStart w:id="129" w:name="_Toc205884896"/>
      <w:r>
        <w:t>8.1 Requiring an approved WWCC prior to commencing paid or volunteer work at an education and care service</w:t>
      </w:r>
      <w:bookmarkEnd w:id="128"/>
      <w:bookmarkEnd w:id="129"/>
    </w:p>
    <w:tbl>
      <w:tblPr>
        <w:tblStyle w:val="Deloittetable"/>
        <w:tblW w:w="9140" w:type="dxa"/>
        <w:tblLook w:val="04A0" w:firstRow="1" w:lastRow="0" w:firstColumn="1" w:lastColumn="0" w:noHBand="0" w:noVBand="1"/>
        <w:tblCaption w:val="Key insights - Requiring an approved WWCC prior to commencing paid or volunteer work at an education and care service"/>
        <w:tblDescription w:val="This table outlines the key insights for requiring an approved WWCC prior to commencing paid or volunteer work at an education and care service."/>
      </w:tblPr>
      <w:tblGrid>
        <w:gridCol w:w="9140"/>
      </w:tblGrid>
      <w:tr w:rsidR="00B11DFB" w14:paraId="4AEF833C" w14:textId="77777777">
        <w:trPr>
          <w:cnfStyle w:val="100000000000" w:firstRow="1" w:lastRow="0" w:firstColumn="0" w:lastColumn="0" w:oddVBand="0" w:evenVBand="0" w:oddHBand="0" w:evenHBand="0" w:firstRowFirstColumn="0" w:firstRowLastColumn="0" w:lastRowFirstColumn="0" w:lastRowLastColumn="0"/>
          <w:trHeight w:val="1641"/>
        </w:trPr>
        <w:tc>
          <w:tcPr>
            <w:tcW w:w="9140" w:type="dxa"/>
            <w:shd w:val="clear" w:color="auto" w:fill="DEE6F4" w:themeFill="text2" w:themeFillTint="1A"/>
          </w:tcPr>
          <w:p w14:paraId="4055D426" w14:textId="77777777" w:rsidR="00B11DFB" w:rsidRPr="005347A5" w:rsidRDefault="00B11DFB">
            <w:pPr>
              <w:rPr>
                <w:b/>
                <w:bCs/>
                <w:sz w:val="20"/>
                <w:szCs w:val="20"/>
              </w:rPr>
            </w:pPr>
            <w:r w:rsidRPr="005347A5">
              <w:rPr>
                <w:b/>
                <w:bCs/>
                <w:sz w:val="20"/>
                <w:szCs w:val="20"/>
              </w:rPr>
              <w:lastRenderedPageBreak/>
              <w:t xml:space="preserve">Key Insights </w:t>
            </w:r>
          </w:p>
          <w:p w14:paraId="37B8800F" w14:textId="77777777" w:rsidR="00B11DFB" w:rsidRPr="00712583" w:rsidRDefault="00B11DFB">
            <w:pPr>
              <w:rPr>
                <w:i/>
                <w:szCs w:val="22"/>
              </w:rPr>
            </w:pPr>
            <w:r>
              <w:rPr>
                <w:i/>
                <w:szCs w:val="22"/>
              </w:rPr>
              <w:t>Problem</w:t>
            </w:r>
          </w:p>
          <w:p w14:paraId="219FEC1D" w14:textId="77777777" w:rsidR="00BE6CEB" w:rsidRPr="00BE6CEB" w:rsidRDefault="00BE6CEB" w:rsidP="00EC53AB">
            <w:pPr>
              <w:pStyle w:val="ListParagraph"/>
              <w:numPr>
                <w:ilvl w:val="0"/>
                <w:numId w:val="100"/>
              </w:numPr>
              <w:spacing w:before="120"/>
              <w:ind w:left="462"/>
              <w:contextualSpacing/>
              <w:rPr>
                <w:szCs w:val="20"/>
              </w:rPr>
            </w:pPr>
            <w:r w:rsidRPr="00BE6CEB">
              <w:rPr>
                <w:szCs w:val="20"/>
              </w:rPr>
              <w:t xml:space="preserve">Differences in jurisdictional legislation governing WWCC processes give rise to two foreseeable mechanisms of harm to children. </w:t>
            </w:r>
          </w:p>
          <w:p w14:paraId="61DCFCD1" w14:textId="77777777" w:rsidR="00BE6CEB" w:rsidRPr="00BE6CEB" w:rsidRDefault="00BE6CEB" w:rsidP="00EC53AB">
            <w:pPr>
              <w:numPr>
                <w:ilvl w:val="1"/>
                <w:numId w:val="100"/>
              </w:numPr>
              <w:spacing w:before="120"/>
              <w:ind w:left="462"/>
              <w:contextualSpacing/>
            </w:pPr>
            <w:r w:rsidRPr="00BE6CEB">
              <w:rPr>
                <w:szCs w:val="20"/>
              </w:rPr>
              <w:t xml:space="preserve">First, inconsistencies across jurisdictions can create confusion for approved providers, service leaders, educators and staff leading to non-compliance with WWCC requirements. </w:t>
            </w:r>
          </w:p>
          <w:p w14:paraId="32F7C9BB" w14:textId="09620F4A" w:rsidR="00BE6CEB" w:rsidRPr="00BE6CEB" w:rsidRDefault="00BE6CEB" w:rsidP="00EC53AB">
            <w:pPr>
              <w:numPr>
                <w:ilvl w:val="1"/>
                <w:numId w:val="100"/>
              </w:numPr>
              <w:spacing w:before="120"/>
              <w:ind w:left="462"/>
              <w:contextualSpacing/>
            </w:pPr>
            <w:r>
              <w:t xml:space="preserve">Second, legislative exemptions and inconsistencies could enable individuals with a known history of criminal or inappropriate behaviour to work or volunteer in education and care services. In jurisdictions where a person can start prior to receiving an approved WWCC, there may be a higher likelihood of exposing children to people with known histories of misconduct or harm. </w:t>
            </w:r>
          </w:p>
          <w:p w14:paraId="23AF1D2B" w14:textId="77777777" w:rsidR="00B11DFB" w:rsidRPr="000B4397" w:rsidRDefault="00B11DFB">
            <w:pPr>
              <w:spacing w:before="120"/>
              <w:contextualSpacing/>
              <w:rPr>
                <w:i/>
                <w:szCs w:val="20"/>
              </w:rPr>
            </w:pPr>
            <w:r w:rsidRPr="002B7C48">
              <w:rPr>
                <w:i/>
                <w:szCs w:val="20"/>
              </w:rPr>
              <w:t>Impacts of each option</w:t>
            </w:r>
          </w:p>
          <w:p w14:paraId="493951BB" w14:textId="5560616D" w:rsidR="005744A1" w:rsidRPr="000B4397" w:rsidRDefault="00B11DFB"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that </w:t>
            </w:r>
            <w:r w:rsidR="00BE6CEB">
              <w:t xml:space="preserve">option 2 and option 3 (for NSW only) represent an improvement on the status quo (option 1), due to the improvement in child safety outcomes offsetting potential costs of the proposed options. For NSW, option 3 imposes no cost as the sector already requires an individual to hold a valid WWCC, but this reform is seeking to clarify this requirement beyond doubt. </w:t>
            </w:r>
            <w:r w:rsidR="005744A1">
              <w:t>However, option 3 is expected to be more costly if applied in WA, NT and ACT, as there is the potential it could have an impact on current workforce shortages where individuals cannot obtain a valid WWCC prior to commencing at a service.</w:t>
            </w:r>
          </w:p>
          <w:p w14:paraId="37014F65" w14:textId="2682B159" w:rsidR="005744A1" w:rsidRPr="00C96D5F" w:rsidRDefault="005744A1" w:rsidP="00EC53AB">
            <w:pPr>
              <w:pStyle w:val="ListParagraph"/>
              <w:numPr>
                <w:ilvl w:val="0"/>
                <w:numId w:val="100"/>
              </w:numPr>
              <w:spacing w:before="120"/>
              <w:ind w:left="462"/>
              <w:contextualSpacing/>
              <w:rPr>
                <w:szCs w:val="20"/>
              </w:rPr>
            </w:pPr>
            <w:r w:rsidRPr="00BE6CEB">
              <w:rPr>
                <w:szCs w:val="20"/>
              </w:rPr>
              <w:t xml:space="preserve">Despite different impacts, similarly high levels of support for the regulatory option </w:t>
            </w:r>
            <w:r>
              <w:rPr>
                <w:szCs w:val="20"/>
              </w:rPr>
              <w:t xml:space="preserve">was indicated by </w:t>
            </w:r>
            <w:r w:rsidRPr="00BE6CEB">
              <w:rPr>
                <w:szCs w:val="20"/>
              </w:rPr>
              <w:t>approved providers, including in the affected jurisdictions</w:t>
            </w:r>
            <w:r>
              <w:rPr>
                <w:szCs w:val="20"/>
              </w:rPr>
              <w:t xml:space="preserve">. </w:t>
            </w:r>
            <w:r w:rsidRPr="00BE6CEB">
              <w:rPr>
                <w:szCs w:val="20"/>
              </w:rPr>
              <w:t xml:space="preserve">This indicates the broad support for WWCCs as a child safety measure, despite the challenges that </w:t>
            </w:r>
            <w:r>
              <w:rPr>
                <w:szCs w:val="20"/>
              </w:rPr>
              <w:t xml:space="preserve">could </w:t>
            </w:r>
            <w:r w:rsidRPr="00BE6CEB">
              <w:rPr>
                <w:szCs w:val="20"/>
              </w:rPr>
              <w:t xml:space="preserve">arise upon implementing the </w:t>
            </w:r>
            <w:r w:rsidR="00A259A2">
              <w:rPr>
                <w:szCs w:val="20"/>
              </w:rPr>
              <w:t>recommended</w:t>
            </w:r>
            <w:r w:rsidRPr="00BE6CEB">
              <w:rPr>
                <w:szCs w:val="20"/>
              </w:rPr>
              <w:t xml:space="preserve"> option in several jurisdictions. </w:t>
            </w:r>
            <w:r>
              <w:rPr>
                <w:szCs w:val="20"/>
              </w:rPr>
              <w:t>This</w:t>
            </w:r>
            <w:r w:rsidRPr="00BE6CEB">
              <w:rPr>
                <w:szCs w:val="20"/>
              </w:rPr>
              <w:t xml:space="preserve"> survey response may be reflective of in-principle support, with implementation risks later raised by several stakeholders. </w:t>
            </w:r>
          </w:p>
          <w:p w14:paraId="484FB513" w14:textId="7EDA693D" w:rsidR="005744A1" w:rsidRPr="00C44DEA" w:rsidRDefault="005744A1" w:rsidP="00EC53AB">
            <w:pPr>
              <w:pStyle w:val="ListParagraph"/>
              <w:numPr>
                <w:ilvl w:val="0"/>
                <w:numId w:val="100"/>
              </w:numPr>
              <w:spacing w:before="120"/>
              <w:ind w:left="462"/>
              <w:contextualSpacing/>
              <w:rPr>
                <w:szCs w:val="20"/>
              </w:rPr>
            </w:pPr>
            <w:r>
              <w:rPr>
                <w:szCs w:val="20"/>
              </w:rPr>
              <w:t>Option</w:t>
            </w:r>
            <w:r w:rsidRPr="000D3C24">
              <w:rPr>
                <w:szCs w:val="20"/>
              </w:rPr>
              <w:t xml:space="preserve"> </w:t>
            </w:r>
            <w:r>
              <w:rPr>
                <w:szCs w:val="20"/>
              </w:rPr>
              <w:t>3</w:t>
            </w:r>
            <w:r w:rsidRPr="000D3C24">
              <w:rPr>
                <w:szCs w:val="20"/>
              </w:rPr>
              <w:t xml:space="preserve"> receive</w:t>
            </w:r>
            <w:r>
              <w:rPr>
                <w:szCs w:val="20"/>
              </w:rPr>
              <w:t>d</w:t>
            </w:r>
            <w:r w:rsidRPr="000D3C24">
              <w:rPr>
                <w:szCs w:val="20"/>
              </w:rPr>
              <w:t xml:space="preserve"> a lower weighted score </w:t>
            </w:r>
            <w:r>
              <w:rPr>
                <w:szCs w:val="20"/>
              </w:rPr>
              <w:t xml:space="preserve">than option 2 for WA, NT and ACT, </w:t>
            </w:r>
            <w:r w:rsidRPr="000D3C24">
              <w:rPr>
                <w:szCs w:val="20"/>
              </w:rPr>
              <w:t xml:space="preserve">reflecting </w:t>
            </w:r>
            <w:r>
              <w:rPr>
                <w:szCs w:val="20"/>
              </w:rPr>
              <w:t xml:space="preserve">that </w:t>
            </w:r>
            <w:r>
              <w:t xml:space="preserve">some approved providers in WA, NT and ACT </w:t>
            </w:r>
            <w:r w:rsidRPr="006B7443">
              <w:t xml:space="preserve">may incur temporary staffing costs </w:t>
            </w:r>
            <w:r>
              <w:t xml:space="preserve">(i.e., a delay cost) </w:t>
            </w:r>
            <w:r w:rsidRPr="006B7443">
              <w:t xml:space="preserve">while </w:t>
            </w:r>
            <w:r>
              <w:t>staff, students, or volunteers lack a valid WWCC and must wait to commence work until their application is processed. The scale of cost will depend on the number of approved providers who do not currently require staff members or volunteers hold a valid WWCC before commencement.</w:t>
            </w:r>
          </w:p>
          <w:p w14:paraId="2D6BFF3C" w14:textId="6AB5D6E5" w:rsidR="00B11DFB" w:rsidRPr="00712583" w:rsidRDefault="004C5562">
            <w:pPr>
              <w:rPr>
                <w:szCs w:val="22"/>
              </w:rPr>
            </w:pPr>
            <w:r>
              <w:rPr>
                <w:i/>
                <w:szCs w:val="22"/>
              </w:rPr>
              <w:t>Recommended option</w:t>
            </w:r>
          </w:p>
          <w:p w14:paraId="7AC74D5B" w14:textId="3519AFCA" w:rsidR="00B11DFB" w:rsidRPr="00397987" w:rsidRDefault="001979AD" w:rsidP="00F77C7A">
            <w:pPr>
              <w:pStyle w:val="ListParagraph"/>
              <w:ind w:left="462" w:hanging="425"/>
            </w:pPr>
            <w:r w:rsidRPr="001979AD">
              <w:rPr>
                <w:szCs w:val="20"/>
              </w:rPr>
              <w:t>Based on analysis included in this DRIS, the options to be provided to Education Ministers for consideration are options 2 and 3. Option 3 is recommended to be implemented in all jurisdictions that do not currently have this requirement in legislation (NSW, WA, NT and ACT).</w:t>
            </w:r>
          </w:p>
        </w:tc>
      </w:tr>
    </w:tbl>
    <w:p w14:paraId="48A9D5AB" w14:textId="77777777" w:rsidR="006C61B7" w:rsidRDefault="006C61B7" w:rsidP="0097711F"/>
    <w:p w14:paraId="0B2E7AAB" w14:textId="77777777" w:rsidR="0097711F" w:rsidRDefault="0097711F" w:rsidP="0097711F">
      <w:r>
        <w:t>There are various legislation, regulation, and standards governing WWCC requirements in education and care settings (refer Table 8.1).</w:t>
      </w:r>
    </w:p>
    <w:p w14:paraId="4841D59D" w14:textId="77777777" w:rsidR="0097711F" w:rsidRDefault="0097711F" w:rsidP="0097711F">
      <w:pPr>
        <w:pStyle w:val="Caption"/>
      </w:pPr>
      <w:bookmarkStart w:id="130" w:name="_Toc201934904"/>
      <w:bookmarkStart w:id="131" w:name="_Toc205884958"/>
      <w:r>
        <w:lastRenderedPageBreak/>
        <w:t>Table 8.1: Overview of WWCC legislation, regulation, and standards</w:t>
      </w:r>
      <w:bookmarkEnd w:id="130"/>
      <w:bookmarkEnd w:id="131"/>
      <w: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8.1: Overview of WWCC legislation, regulation, and standards "/>
        <w:tblDescription w:val="This table provides an overview of WWCC legislation, regulation, and standards."/>
      </w:tblPr>
      <w:tblGrid>
        <w:gridCol w:w="1696"/>
        <w:gridCol w:w="7314"/>
      </w:tblGrid>
      <w:tr w:rsidR="0097711F" w:rsidRPr="00CD6BA7" w14:paraId="0AED5DA0" w14:textId="77777777" w:rsidTr="00E3170E">
        <w:trPr>
          <w:tblHeader/>
        </w:trPr>
        <w:tc>
          <w:tcPr>
            <w:tcW w:w="941" w:type="pct"/>
            <w:shd w:val="clear" w:color="auto" w:fill="14233C" w:themeFill="text2"/>
          </w:tcPr>
          <w:p w14:paraId="20ACBC7B" w14:textId="77777777" w:rsidR="0097711F" w:rsidRPr="008C289A" w:rsidRDefault="0097711F">
            <w:pPr>
              <w:rPr>
                <w:b/>
                <w:bCs/>
                <w:szCs w:val="22"/>
              </w:rPr>
            </w:pPr>
            <w:r w:rsidRPr="008C289A">
              <w:rPr>
                <w:b/>
                <w:bCs/>
                <w:szCs w:val="22"/>
              </w:rPr>
              <w:t>Mechanism</w:t>
            </w:r>
          </w:p>
        </w:tc>
        <w:tc>
          <w:tcPr>
            <w:tcW w:w="4059" w:type="pct"/>
            <w:shd w:val="clear" w:color="auto" w:fill="14233C" w:themeFill="text2"/>
          </w:tcPr>
          <w:p w14:paraId="1DC7895C" w14:textId="77777777" w:rsidR="0097711F" w:rsidRPr="008C289A" w:rsidRDefault="0097711F">
            <w:pPr>
              <w:rPr>
                <w:b/>
                <w:bCs/>
                <w:szCs w:val="22"/>
              </w:rPr>
            </w:pPr>
            <w:r w:rsidRPr="008C289A">
              <w:rPr>
                <w:b/>
                <w:bCs/>
                <w:szCs w:val="22"/>
              </w:rPr>
              <w:t>Details</w:t>
            </w:r>
          </w:p>
        </w:tc>
      </w:tr>
      <w:tr w:rsidR="00DA0356" w:rsidRPr="00CD6BA7" w14:paraId="4529201E" w14:textId="77777777" w:rsidTr="00E3170E">
        <w:tc>
          <w:tcPr>
            <w:tcW w:w="941" w:type="pct"/>
            <w:vAlign w:val="center"/>
          </w:tcPr>
          <w:p w14:paraId="4F2D7660" w14:textId="77777777" w:rsidR="0097711F" w:rsidRPr="00A51339" w:rsidRDefault="0097711F">
            <w:pPr>
              <w:rPr>
                <w:szCs w:val="22"/>
              </w:rPr>
            </w:pPr>
            <w:r w:rsidRPr="00A51339">
              <w:rPr>
                <w:szCs w:val="22"/>
              </w:rPr>
              <w:t>Jurisdictional legislation</w:t>
            </w:r>
          </w:p>
        </w:tc>
        <w:tc>
          <w:tcPr>
            <w:tcW w:w="4059" w:type="pct"/>
          </w:tcPr>
          <w:p w14:paraId="1E232402" w14:textId="77777777" w:rsidR="0097711F" w:rsidRPr="00A51339" w:rsidRDefault="0097711F">
            <w:pPr>
              <w:rPr>
                <w:color w:val="000000" w:themeColor="text1"/>
                <w:szCs w:val="22"/>
              </w:rPr>
            </w:pPr>
            <w:r w:rsidRPr="00A51339">
              <w:rPr>
                <w:color w:val="000000" w:themeColor="text1"/>
                <w:szCs w:val="22"/>
              </w:rPr>
              <w:t xml:space="preserve">Each state and territory has its own legislation which mandates and regulates WWCCs, and various teacher registration/accreditation requirements. Each jurisdiction has its own naming convention, screening agency, application process, and validity period (see Appendix </w:t>
            </w:r>
            <w:r>
              <w:rPr>
                <w:color w:val="000000" w:themeColor="text1"/>
                <w:szCs w:val="22"/>
              </w:rPr>
              <w:t>12.6</w:t>
            </w:r>
            <w:r w:rsidRPr="00A51339">
              <w:rPr>
                <w:color w:val="000000" w:themeColor="text1"/>
                <w:szCs w:val="22"/>
              </w:rPr>
              <w:t xml:space="preserve"> for further details).</w:t>
            </w:r>
          </w:p>
        </w:tc>
      </w:tr>
      <w:tr w:rsidR="00DA0356" w:rsidRPr="00CD6BA7" w14:paraId="3C647CD2" w14:textId="77777777" w:rsidTr="00E3170E">
        <w:tc>
          <w:tcPr>
            <w:tcW w:w="941" w:type="pct"/>
            <w:vAlign w:val="center"/>
          </w:tcPr>
          <w:p w14:paraId="55C1EC00" w14:textId="77777777" w:rsidR="0097711F" w:rsidRPr="00A51339" w:rsidRDefault="0097711F">
            <w:pPr>
              <w:rPr>
                <w:szCs w:val="22"/>
              </w:rPr>
            </w:pPr>
            <w:r w:rsidRPr="00A51339">
              <w:rPr>
                <w:szCs w:val="22"/>
              </w:rPr>
              <w:t>National Regulations</w:t>
            </w:r>
          </w:p>
        </w:tc>
        <w:tc>
          <w:tcPr>
            <w:tcW w:w="4059" w:type="pct"/>
          </w:tcPr>
          <w:p w14:paraId="0B879252" w14:textId="77777777" w:rsidR="0097711F" w:rsidRPr="00A51339" w:rsidRDefault="0097711F">
            <w:pPr>
              <w:rPr>
                <w:color w:val="000000" w:themeColor="text1"/>
                <w:szCs w:val="22"/>
              </w:rPr>
            </w:pPr>
            <w:r w:rsidRPr="00A51339">
              <w:rPr>
                <w:color w:val="000000" w:themeColor="text1"/>
                <w:szCs w:val="22"/>
              </w:rPr>
              <w:t>These regulations govern approved provider applications and staff reporting requirements, to ensure providers comply with the National Law.</w:t>
            </w:r>
          </w:p>
          <w:p w14:paraId="6B0510DA" w14:textId="64653468" w:rsidR="0097711F" w:rsidRPr="00A51339" w:rsidRDefault="0097711F">
            <w:pPr>
              <w:rPr>
                <w:color w:val="000000" w:themeColor="text1"/>
                <w:szCs w:val="22"/>
              </w:rPr>
            </w:pPr>
            <w:r w:rsidRPr="00A51339">
              <w:rPr>
                <w:color w:val="000000" w:themeColor="text1"/>
                <w:szCs w:val="22"/>
              </w:rPr>
              <w:t>Current Education and Care Services National Regulations requirements for WWCC records to be stored include, nominated supervisors (regulation 146), all educators (regulation 147)</w:t>
            </w:r>
            <w:r w:rsidR="006477CE">
              <w:rPr>
                <w:color w:val="000000" w:themeColor="text1"/>
                <w:szCs w:val="22"/>
              </w:rPr>
              <w:t>, volunteers and students (regulation 149)</w:t>
            </w:r>
            <w:r w:rsidRPr="00A51339">
              <w:rPr>
                <w:color w:val="000000" w:themeColor="text1"/>
                <w:szCs w:val="22"/>
              </w:rPr>
              <w:t xml:space="preserve"> and FDC coordinators, educators, assistants and residents (regulation</w:t>
            </w:r>
            <w:r>
              <w:rPr>
                <w:color w:val="000000" w:themeColor="text1"/>
                <w:szCs w:val="22"/>
              </w:rPr>
              <w:t>s</w:t>
            </w:r>
            <w:r w:rsidRPr="00A51339">
              <w:rPr>
                <w:color w:val="000000" w:themeColor="text1"/>
                <w:szCs w:val="22"/>
              </w:rPr>
              <w:t xml:space="preserve"> 153,</w:t>
            </w:r>
            <w:r>
              <w:rPr>
                <w:color w:val="000000" w:themeColor="text1"/>
                <w:szCs w:val="22"/>
              </w:rPr>
              <w:t xml:space="preserve"> </w:t>
            </w:r>
            <w:r w:rsidRPr="00A51339">
              <w:rPr>
                <w:color w:val="000000" w:themeColor="text1"/>
                <w:szCs w:val="22"/>
              </w:rPr>
              <w:t>163 and 164). WWCC requirements for the application of an approved provider are provided in regulations 14, 16, 20, 22. WWCCs need to be read by the approved provider or nominated supervisor for all staff in Victoria only (regulation 358).</w:t>
            </w:r>
          </w:p>
        </w:tc>
      </w:tr>
      <w:tr w:rsidR="00DA0356" w:rsidRPr="00CD6BA7" w14:paraId="10517322" w14:textId="77777777" w:rsidTr="00E3170E">
        <w:tc>
          <w:tcPr>
            <w:tcW w:w="941" w:type="pct"/>
            <w:vAlign w:val="center"/>
          </w:tcPr>
          <w:p w14:paraId="7615676B" w14:textId="77777777" w:rsidR="0097711F" w:rsidRPr="00A51339" w:rsidRDefault="0097711F">
            <w:pPr>
              <w:rPr>
                <w:szCs w:val="22"/>
              </w:rPr>
            </w:pPr>
            <w:r w:rsidRPr="00A51339">
              <w:rPr>
                <w:szCs w:val="22"/>
              </w:rPr>
              <w:t>National standards for WWCCs</w:t>
            </w:r>
          </w:p>
        </w:tc>
        <w:tc>
          <w:tcPr>
            <w:tcW w:w="4059" w:type="pct"/>
          </w:tcPr>
          <w:p w14:paraId="2E2D59A0" w14:textId="77777777" w:rsidR="0097711F" w:rsidRPr="00A51339" w:rsidRDefault="0097711F">
            <w:pPr>
              <w:rPr>
                <w:color w:val="000000" w:themeColor="text1"/>
                <w:szCs w:val="22"/>
              </w:rPr>
            </w:pPr>
            <w:r w:rsidRPr="00A51339">
              <w:rPr>
                <w:color w:val="000000" w:themeColor="text1"/>
                <w:szCs w:val="22"/>
              </w:rPr>
              <w:t>The National Standards for WWCCs (National Standards) will establish nationally consistent parameters for the screening of persons who propose to engage in child-related work. These National Standards were endorsed by state and territory ministers in 2019 and are in various stages of being implemented.</w:t>
            </w:r>
          </w:p>
          <w:p w14:paraId="1CD41C61" w14:textId="77777777" w:rsidR="0097711F" w:rsidRPr="00A51339" w:rsidRDefault="0097711F">
            <w:pPr>
              <w:rPr>
                <w:color w:val="000000" w:themeColor="text1"/>
                <w:szCs w:val="22"/>
              </w:rPr>
            </w:pPr>
            <w:r w:rsidRPr="00A51339">
              <w:rPr>
                <w:color w:val="000000" w:themeColor="text1"/>
                <w:szCs w:val="22"/>
              </w:rPr>
              <w:t>Specifically, National Standard 8 stipulates that a WWCC applicant may begin child-related work under the safeguards that the applicant does not withdraw their WWCC application, the employer verifies the application with the screening agency prior to engaging the applicant, and the screening agency has the capacity to impose interim bars on applicants where information held by the screening agency indicates a risk which requires further assessment</w:t>
            </w:r>
            <w:r>
              <w:rPr>
                <w:color w:val="000000" w:themeColor="text1"/>
                <w:szCs w:val="22"/>
              </w:rPr>
              <w:t>.</w:t>
            </w:r>
          </w:p>
        </w:tc>
      </w:tr>
    </w:tbl>
    <w:p w14:paraId="1FBA942E" w14:textId="77777777" w:rsidR="0097711F" w:rsidRDefault="0097711F" w:rsidP="0097711F">
      <w:pPr>
        <w:rPr>
          <w:color w:val="14233C" w:themeColor="text2"/>
          <w:sz w:val="18"/>
          <w:szCs w:val="20"/>
        </w:rPr>
      </w:pPr>
    </w:p>
    <w:p w14:paraId="53D35E5C" w14:textId="77777777" w:rsidR="0097711F" w:rsidRDefault="0097711F" w:rsidP="0097711F">
      <w:pPr>
        <w:spacing w:before="240"/>
      </w:pPr>
      <w:r>
        <w:lastRenderedPageBreak/>
        <w:t>Across jurisdictions, there are fundamental differences in the</w:t>
      </w:r>
      <w:r w:rsidRPr="00052F8F">
        <w:t xml:space="preserve"> </w:t>
      </w:r>
      <w:r>
        <w:t xml:space="preserve">exemptions and conditions under which persons can </w:t>
      </w:r>
      <w:r w:rsidRPr="00052F8F">
        <w:t>start</w:t>
      </w:r>
      <w:r>
        <w:t xml:space="preserve"> working or volunteering in the education and care sector while WWCC applications are being processed. Key differences include:</w:t>
      </w:r>
    </w:p>
    <w:p w14:paraId="6ED7CB5B" w14:textId="1998550C" w:rsidR="0097711F" w:rsidRDefault="00F77C7A" w:rsidP="00EC53AB">
      <w:pPr>
        <w:pStyle w:val="ListParagraph"/>
        <w:numPr>
          <w:ilvl w:val="0"/>
          <w:numId w:val="8"/>
        </w:numPr>
        <w:ind w:left="426"/>
      </w:pPr>
      <w:r>
        <w:rPr>
          <w:b/>
        </w:rPr>
        <w:t>A</w:t>
      </w:r>
      <w:r w:rsidR="0097711F">
        <w:rPr>
          <w:b/>
        </w:rPr>
        <w:t>bility</w:t>
      </w:r>
      <w:r w:rsidR="0097711F" w:rsidRPr="00B36050">
        <w:rPr>
          <w:b/>
        </w:rPr>
        <w:t xml:space="preserve"> to commence child-related work or volunteering</w:t>
      </w:r>
      <w:r w:rsidR="0097711F">
        <w:rPr>
          <w:b/>
        </w:rPr>
        <w:t xml:space="preserve"> with WWCC application only</w:t>
      </w:r>
      <w:r w:rsidR="0097711F" w:rsidRPr="00B36050">
        <w:rPr>
          <w:b/>
        </w:rPr>
        <w:t>:</w:t>
      </w:r>
      <w:r w:rsidR="0097711F">
        <w:t xml:space="preserve"> The legal position in some jurisdictions may currently allow staff, students, and volunteers to commence work in an approved service while their WWCC application is being processed. While individuals typically need to provide proof that a WWCC application has been lodged (e.g. an application number), </w:t>
      </w:r>
      <w:r w:rsidR="0097711F" w:rsidRPr="00D74423">
        <w:t xml:space="preserve">it is not always certain that an approved check or registration is required </w:t>
      </w:r>
      <w:r w:rsidR="0097711F">
        <w:t xml:space="preserve">before commencing a role in these jurisdictions (refer </w:t>
      </w:r>
      <w:r w:rsidR="0097711F" w:rsidRPr="008961AD">
        <w:t xml:space="preserve">Table </w:t>
      </w:r>
      <w:r w:rsidR="0097711F">
        <w:t>8</w:t>
      </w:r>
      <w:r w:rsidR="0097711F" w:rsidRPr="008961AD">
        <w:t>.</w:t>
      </w:r>
      <w:r w:rsidR="0097711F">
        <w:t>2). Certain conditions must be met however, such as supervision requirements</w:t>
      </w:r>
    </w:p>
    <w:p w14:paraId="67A15D63" w14:textId="77777777" w:rsidR="0097711F" w:rsidRDefault="0097711F" w:rsidP="00EC53AB">
      <w:pPr>
        <w:pStyle w:val="ListParagraph"/>
        <w:numPr>
          <w:ilvl w:val="0"/>
          <w:numId w:val="8"/>
        </w:numPr>
        <w:ind w:left="426"/>
      </w:pPr>
      <w:r w:rsidRPr="00B36050">
        <w:rPr>
          <w:b/>
        </w:rPr>
        <w:t xml:space="preserve">WWCC </w:t>
      </w:r>
      <w:r>
        <w:rPr>
          <w:b/>
        </w:rPr>
        <w:t xml:space="preserve">age </w:t>
      </w:r>
      <w:r w:rsidRPr="00B36050">
        <w:rPr>
          <w:b/>
        </w:rPr>
        <w:t>exemptions</w:t>
      </w:r>
      <w:r>
        <w:t xml:space="preserve">: In some jurisdictions there are WWCC age exemptions. For example, in NSW and VIC persons under 18 years old do not require a WWCC to work or volunteer in child-related services (however, as per the NQF they would not be able to work with children unsupervised). In jurisdictions where persons under 18 years old are required to have a WWCC, there are still various exemptions given based on age </w:t>
      </w:r>
      <w:r w:rsidRPr="00ED201D">
        <w:rPr>
          <w:i/>
          <w:iCs/>
        </w:rPr>
        <w:t>and</w:t>
      </w:r>
      <w:r>
        <w:t xml:space="preserve"> working status. For example, in WA employed persons under 18 year of age require a WWCC, but persons under 18 years old who are undertaking an unpaid student placement are exempt from WWCCs. See </w:t>
      </w:r>
      <w:r w:rsidRPr="00A47161">
        <w:t xml:space="preserve">Appendix </w:t>
      </w:r>
      <w:r>
        <w:t>12.7 for further details about WWCC exemptions</w:t>
      </w:r>
    </w:p>
    <w:p w14:paraId="34889E92" w14:textId="040369FB" w:rsidR="0097711F" w:rsidRDefault="00F77C7A" w:rsidP="00EC53AB">
      <w:pPr>
        <w:pStyle w:val="ListParagraph"/>
        <w:numPr>
          <w:ilvl w:val="0"/>
          <w:numId w:val="8"/>
        </w:numPr>
        <w:ind w:left="426"/>
      </w:pPr>
      <w:r>
        <w:t>O</w:t>
      </w:r>
      <w:r w:rsidR="0097711F">
        <w:t xml:space="preserve">nly VIC currently has specific provisions in the National Regulations for WWCCs to be read before a person is engaged or permitted to be a volunteer. </w:t>
      </w:r>
      <w:bookmarkStart w:id="132" w:name="_Toc193899451"/>
    </w:p>
    <w:p w14:paraId="78380753" w14:textId="77777777" w:rsidR="0097711F" w:rsidRDefault="0097711F" w:rsidP="0097711F">
      <w:pPr>
        <w:pStyle w:val="Caption"/>
      </w:pPr>
      <w:bookmarkStart w:id="133" w:name="_Toc201934905"/>
      <w:bookmarkStart w:id="134" w:name="_Toc205884959"/>
      <w:r>
        <w:t>Table 8.2: High-level overview of key differences in jurisdictional legislation</w:t>
      </w:r>
      <w:bookmarkEnd w:id="132"/>
      <w:r>
        <w:t xml:space="preserve"> for commencing roles with WWCCs</w:t>
      </w:r>
      <w:bookmarkEnd w:id="133"/>
      <w:bookmarkEnd w:id="134"/>
    </w:p>
    <w:tbl>
      <w:tblPr>
        <w:tblW w:w="8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8.2: High-level overview of key differences in jurisdictional legislation for commencing roles with WWCCs"/>
        <w:tblDescription w:val="This table provides a high-level overview of key differences in jurisdictional legislation for commencing roles with WWCCs."/>
      </w:tblPr>
      <w:tblGrid>
        <w:gridCol w:w="3114"/>
        <w:gridCol w:w="730"/>
        <w:gridCol w:w="731"/>
        <w:gridCol w:w="730"/>
        <w:gridCol w:w="731"/>
        <w:gridCol w:w="731"/>
        <w:gridCol w:w="730"/>
        <w:gridCol w:w="731"/>
        <w:gridCol w:w="731"/>
      </w:tblGrid>
      <w:tr w:rsidR="0097711F" w:rsidRPr="00CD6BA7" w14:paraId="22006AEC" w14:textId="77777777" w:rsidTr="00E3170E">
        <w:trPr>
          <w:tblHeader/>
        </w:trPr>
        <w:tc>
          <w:tcPr>
            <w:tcW w:w="3114" w:type="dxa"/>
            <w:shd w:val="clear" w:color="auto" w:fill="14233C" w:themeFill="text2"/>
          </w:tcPr>
          <w:p w14:paraId="187DF583" w14:textId="77777777" w:rsidR="0097711F" w:rsidRPr="00A51339" w:rsidRDefault="0097711F">
            <w:pPr>
              <w:spacing w:after="0"/>
              <w:rPr>
                <w:szCs w:val="22"/>
              </w:rPr>
            </w:pPr>
          </w:p>
        </w:tc>
        <w:tc>
          <w:tcPr>
            <w:tcW w:w="730" w:type="dxa"/>
            <w:shd w:val="clear" w:color="auto" w:fill="14233C" w:themeFill="text2"/>
            <w:vAlign w:val="center"/>
          </w:tcPr>
          <w:p w14:paraId="33406DE5" w14:textId="77777777" w:rsidR="0097711F" w:rsidRPr="00A51339" w:rsidRDefault="0097711F">
            <w:pPr>
              <w:spacing w:after="0"/>
              <w:jc w:val="center"/>
              <w:rPr>
                <w:szCs w:val="22"/>
              </w:rPr>
            </w:pPr>
            <w:r w:rsidRPr="00A51339">
              <w:rPr>
                <w:szCs w:val="22"/>
              </w:rPr>
              <w:t>NSW</w:t>
            </w:r>
          </w:p>
        </w:tc>
        <w:tc>
          <w:tcPr>
            <w:tcW w:w="731" w:type="dxa"/>
            <w:shd w:val="clear" w:color="auto" w:fill="14233C" w:themeFill="text2"/>
            <w:vAlign w:val="center"/>
          </w:tcPr>
          <w:p w14:paraId="49C4B2B9" w14:textId="77777777" w:rsidR="0097711F" w:rsidRPr="00A51339" w:rsidRDefault="0097711F">
            <w:pPr>
              <w:spacing w:after="0"/>
              <w:jc w:val="center"/>
              <w:rPr>
                <w:szCs w:val="22"/>
              </w:rPr>
            </w:pPr>
            <w:r w:rsidRPr="00A51339">
              <w:rPr>
                <w:szCs w:val="22"/>
              </w:rPr>
              <w:t>VIC</w:t>
            </w:r>
          </w:p>
        </w:tc>
        <w:tc>
          <w:tcPr>
            <w:tcW w:w="730" w:type="dxa"/>
            <w:shd w:val="clear" w:color="auto" w:fill="14233C" w:themeFill="text2"/>
            <w:vAlign w:val="center"/>
          </w:tcPr>
          <w:p w14:paraId="1A093674" w14:textId="77777777" w:rsidR="0097711F" w:rsidRPr="00A51339" w:rsidRDefault="0097711F">
            <w:pPr>
              <w:spacing w:after="0"/>
              <w:jc w:val="center"/>
              <w:rPr>
                <w:szCs w:val="22"/>
              </w:rPr>
            </w:pPr>
            <w:r w:rsidRPr="00A51339">
              <w:rPr>
                <w:szCs w:val="22"/>
              </w:rPr>
              <w:t>QLD</w:t>
            </w:r>
          </w:p>
        </w:tc>
        <w:tc>
          <w:tcPr>
            <w:tcW w:w="731" w:type="dxa"/>
            <w:shd w:val="clear" w:color="auto" w:fill="14233C" w:themeFill="text2"/>
            <w:vAlign w:val="center"/>
          </w:tcPr>
          <w:p w14:paraId="6E7AD269" w14:textId="77777777" w:rsidR="0097711F" w:rsidRPr="00A51339" w:rsidRDefault="0097711F">
            <w:pPr>
              <w:spacing w:after="0"/>
              <w:jc w:val="center"/>
              <w:rPr>
                <w:szCs w:val="22"/>
              </w:rPr>
            </w:pPr>
            <w:r w:rsidRPr="00A51339">
              <w:rPr>
                <w:szCs w:val="22"/>
              </w:rPr>
              <w:t>WA</w:t>
            </w:r>
          </w:p>
        </w:tc>
        <w:tc>
          <w:tcPr>
            <w:tcW w:w="731" w:type="dxa"/>
            <w:shd w:val="clear" w:color="auto" w:fill="14233C" w:themeFill="text2"/>
            <w:vAlign w:val="center"/>
          </w:tcPr>
          <w:p w14:paraId="78E6F0EA" w14:textId="77777777" w:rsidR="0097711F" w:rsidRPr="00A51339" w:rsidRDefault="0097711F">
            <w:pPr>
              <w:spacing w:after="0"/>
              <w:jc w:val="center"/>
              <w:rPr>
                <w:szCs w:val="22"/>
              </w:rPr>
            </w:pPr>
            <w:r w:rsidRPr="00A51339">
              <w:rPr>
                <w:szCs w:val="22"/>
              </w:rPr>
              <w:t>SA</w:t>
            </w:r>
          </w:p>
        </w:tc>
        <w:tc>
          <w:tcPr>
            <w:tcW w:w="730" w:type="dxa"/>
            <w:shd w:val="clear" w:color="auto" w:fill="14233C" w:themeFill="text2"/>
            <w:vAlign w:val="center"/>
          </w:tcPr>
          <w:p w14:paraId="4EB53B11" w14:textId="77777777" w:rsidR="0097711F" w:rsidRPr="00A51339" w:rsidRDefault="0097711F">
            <w:pPr>
              <w:spacing w:after="0"/>
              <w:jc w:val="center"/>
              <w:rPr>
                <w:szCs w:val="22"/>
              </w:rPr>
            </w:pPr>
            <w:r w:rsidRPr="00A51339">
              <w:rPr>
                <w:szCs w:val="22"/>
              </w:rPr>
              <w:t>TAS</w:t>
            </w:r>
          </w:p>
        </w:tc>
        <w:tc>
          <w:tcPr>
            <w:tcW w:w="731" w:type="dxa"/>
            <w:shd w:val="clear" w:color="auto" w:fill="14233C" w:themeFill="text2"/>
            <w:vAlign w:val="center"/>
          </w:tcPr>
          <w:p w14:paraId="19A7D0F9" w14:textId="77777777" w:rsidR="0097711F" w:rsidRPr="00A51339" w:rsidRDefault="0097711F">
            <w:pPr>
              <w:spacing w:after="0"/>
              <w:jc w:val="center"/>
              <w:rPr>
                <w:szCs w:val="22"/>
              </w:rPr>
            </w:pPr>
            <w:r w:rsidRPr="00A51339">
              <w:rPr>
                <w:szCs w:val="22"/>
              </w:rPr>
              <w:t>NT</w:t>
            </w:r>
          </w:p>
        </w:tc>
        <w:tc>
          <w:tcPr>
            <w:tcW w:w="731" w:type="dxa"/>
            <w:shd w:val="clear" w:color="auto" w:fill="14233C" w:themeFill="text2"/>
            <w:vAlign w:val="center"/>
          </w:tcPr>
          <w:p w14:paraId="5608931C" w14:textId="77777777" w:rsidR="0097711F" w:rsidRPr="00A51339" w:rsidRDefault="0097711F">
            <w:pPr>
              <w:spacing w:after="0"/>
              <w:jc w:val="center"/>
              <w:rPr>
                <w:szCs w:val="22"/>
              </w:rPr>
            </w:pPr>
            <w:r w:rsidRPr="00A51339">
              <w:rPr>
                <w:szCs w:val="22"/>
              </w:rPr>
              <w:t>ACT</w:t>
            </w:r>
          </w:p>
        </w:tc>
      </w:tr>
      <w:tr w:rsidR="0097711F" w:rsidRPr="00CD6BA7" w14:paraId="2E5E7225" w14:textId="77777777" w:rsidTr="00E3170E">
        <w:tc>
          <w:tcPr>
            <w:tcW w:w="3114" w:type="dxa"/>
            <w:shd w:val="clear" w:color="auto" w:fill="14233C" w:themeFill="text2"/>
            <w:vAlign w:val="center"/>
          </w:tcPr>
          <w:p w14:paraId="051299BC" w14:textId="77777777" w:rsidR="0097711F" w:rsidRPr="00A51339" w:rsidRDefault="0097711F">
            <w:pPr>
              <w:spacing w:after="0"/>
              <w:rPr>
                <w:szCs w:val="22"/>
              </w:rPr>
            </w:pPr>
            <w:r w:rsidRPr="00A51339">
              <w:rPr>
                <w:color w:val="FFFFFF" w:themeColor="background1"/>
                <w:szCs w:val="22"/>
              </w:rPr>
              <w:t>Are there exemptions or conditions under which a person might start working or volunteering in the education and care sector before they have a current WWCC?</w:t>
            </w:r>
          </w:p>
        </w:tc>
        <w:tc>
          <w:tcPr>
            <w:tcW w:w="730" w:type="dxa"/>
            <w:vAlign w:val="center"/>
          </w:tcPr>
          <w:p w14:paraId="35A0650A" w14:textId="77777777" w:rsidR="0097711F" w:rsidRPr="00A51339" w:rsidRDefault="0097711F">
            <w:pPr>
              <w:spacing w:after="0"/>
              <w:jc w:val="center"/>
              <w:rPr>
                <w:b/>
                <w:szCs w:val="22"/>
                <w:u w:val="single"/>
              </w:rPr>
            </w:pPr>
            <w:r w:rsidRPr="742E3378">
              <w:rPr>
                <w:b/>
                <w:u w:val="single"/>
              </w:rPr>
              <w:t>Yes</w:t>
            </w:r>
            <w:r w:rsidRPr="742E3378">
              <w:rPr>
                <w:rStyle w:val="FootnoteReference"/>
                <w:b/>
                <w:u w:val="single"/>
              </w:rPr>
              <w:footnoteReference w:id="106"/>
            </w:r>
          </w:p>
        </w:tc>
        <w:tc>
          <w:tcPr>
            <w:tcW w:w="731" w:type="dxa"/>
            <w:vAlign w:val="center"/>
          </w:tcPr>
          <w:p w14:paraId="6550FCC2" w14:textId="77777777" w:rsidR="0097711F" w:rsidRPr="00A51339" w:rsidRDefault="0097711F">
            <w:pPr>
              <w:spacing w:after="0"/>
              <w:jc w:val="center"/>
              <w:rPr>
                <w:szCs w:val="22"/>
              </w:rPr>
            </w:pPr>
            <w:r w:rsidRPr="00A51339">
              <w:rPr>
                <w:szCs w:val="22"/>
              </w:rPr>
              <w:t>No</w:t>
            </w:r>
          </w:p>
        </w:tc>
        <w:tc>
          <w:tcPr>
            <w:tcW w:w="730" w:type="dxa"/>
            <w:vAlign w:val="center"/>
          </w:tcPr>
          <w:p w14:paraId="6EFD8D4B" w14:textId="77777777" w:rsidR="0097711F" w:rsidRPr="00A51339" w:rsidRDefault="0097711F">
            <w:pPr>
              <w:spacing w:after="0"/>
              <w:jc w:val="center"/>
              <w:rPr>
                <w:szCs w:val="22"/>
              </w:rPr>
            </w:pPr>
            <w:r w:rsidRPr="00A51339">
              <w:rPr>
                <w:szCs w:val="22"/>
              </w:rPr>
              <w:t>No</w:t>
            </w:r>
          </w:p>
        </w:tc>
        <w:tc>
          <w:tcPr>
            <w:tcW w:w="731" w:type="dxa"/>
            <w:vAlign w:val="center"/>
          </w:tcPr>
          <w:p w14:paraId="102268E4" w14:textId="77777777" w:rsidR="0097711F" w:rsidRPr="00A51339" w:rsidRDefault="0097711F">
            <w:pPr>
              <w:spacing w:after="0"/>
              <w:jc w:val="center"/>
              <w:rPr>
                <w:b/>
                <w:szCs w:val="22"/>
                <w:u w:val="single"/>
              </w:rPr>
            </w:pPr>
            <w:r w:rsidRPr="00A51339">
              <w:rPr>
                <w:b/>
                <w:szCs w:val="22"/>
                <w:u w:val="single"/>
              </w:rPr>
              <w:t>Yes</w:t>
            </w:r>
          </w:p>
        </w:tc>
        <w:tc>
          <w:tcPr>
            <w:tcW w:w="731" w:type="dxa"/>
            <w:vAlign w:val="center"/>
          </w:tcPr>
          <w:p w14:paraId="131EA303" w14:textId="77777777" w:rsidR="0097711F" w:rsidRPr="00A51339" w:rsidRDefault="0097711F">
            <w:pPr>
              <w:spacing w:after="0"/>
              <w:jc w:val="center"/>
              <w:rPr>
                <w:szCs w:val="22"/>
              </w:rPr>
            </w:pPr>
            <w:r w:rsidRPr="00A51339">
              <w:rPr>
                <w:szCs w:val="22"/>
              </w:rPr>
              <w:t>No</w:t>
            </w:r>
          </w:p>
        </w:tc>
        <w:tc>
          <w:tcPr>
            <w:tcW w:w="730" w:type="dxa"/>
            <w:vAlign w:val="center"/>
          </w:tcPr>
          <w:p w14:paraId="196055B3" w14:textId="77777777" w:rsidR="0097711F" w:rsidRPr="00A51339" w:rsidRDefault="0097711F">
            <w:pPr>
              <w:spacing w:after="0"/>
              <w:jc w:val="center"/>
              <w:rPr>
                <w:szCs w:val="22"/>
              </w:rPr>
            </w:pPr>
            <w:r w:rsidRPr="742E3378">
              <w:t>No</w:t>
            </w:r>
            <w:r w:rsidRPr="742E3378">
              <w:rPr>
                <w:rStyle w:val="FootnoteReference"/>
              </w:rPr>
              <w:footnoteReference w:id="107"/>
            </w:r>
          </w:p>
        </w:tc>
        <w:tc>
          <w:tcPr>
            <w:tcW w:w="731" w:type="dxa"/>
            <w:vAlign w:val="center"/>
          </w:tcPr>
          <w:p w14:paraId="1FC482EE" w14:textId="77777777" w:rsidR="0097711F" w:rsidRPr="00A51339" w:rsidRDefault="0097711F">
            <w:pPr>
              <w:spacing w:after="0"/>
              <w:jc w:val="center"/>
              <w:rPr>
                <w:b/>
                <w:szCs w:val="22"/>
                <w:u w:val="single"/>
              </w:rPr>
            </w:pPr>
            <w:r w:rsidRPr="00A51339">
              <w:rPr>
                <w:b/>
                <w:szCs w:val="22"/>
                <w:u w:val="single"/>
              </w:rPr>
              <w:t>Yes</w:t>
            </w:r>
          </w:p>
        </w:tc>
        <w:tc>
          <w:tcPr>
            <w:tcW w:w="731" w:type="dxa"/>
            <w:vAlign w:val="center"/>
          </w:tcPr>
          <w:p w14:paraId="50DFA233" w14:textId="77777777" w:rsidR="0097711F" w:rsidRPr="00A51339" w:rsidRDefault="0097711F">
            <w:pPr>
              <w:spacing w:after="0"/>
              <w:jc w:val="center"/>
              <w:rPr>
                <w:b/>
                <w:szCs w:val="22"/>
                <w:u w:val="single"/>
              </w:rPr>
            </w:pPr>
            <w:r w:rsidRPr="00A51339">
              <w:rPr>
                <w:b/>
                <w:szCs w:val="22"/>
                <w:u w:val="single"/>
              </w:rPr>
              <w:t>Yes</w:t>
            </w:r>
          </w:p>
        </w:tc>
      </w:tr>
      <w:tr w:rsidR="0097711F" w:rsidRPr="00CD6BA7" w14:paraId="11160A6E" w14:textId="77777777" w:rsidTr="00E3170E">
        <w:tc>
          <w:tcPr>
            <w:tcW w:w="3114" w:type="dxa"/>
            <w:shd w:val="clear" w:color="auto" w:fill="14233C" w:themeFill="text2"/>
            <w:vAlign w:val="center"/>
          </w:tcPr>
          <w:p w14:paraId="784DB354" w14:textId="77777777" w:rsidR="0097711F" w:rsidRPr="00A51339" w:rsidRDefault="0097711F">
            <w:pPr>
              <w:spacing w:after="0"/>
              <w:rPr>
                <w:szCs w:val="22"/>
              </w:rPr>
            </w:pPr>
            <w:r w:rsidRPr="00A51339">
              <w:rPr>
                <w:color w:val="FFFFFF" w:themeColor="background1"/>
                <w:szCs w:val="22"/>
              </w:rPr>
              <w:lastRenderedPageBreak/>
              <w:t>Is teacher registration/accreditation currently compulsory for all early childhood teachers?</w:t>
            </w:r>
          </w:p>
        </w:tc>
        <w:tc>
          <w:tcPr>
            <w:tcW w:w="730" w:type="dxa"/>
            <w:vAlign w:val="center"/>
          </w:tcPr>
          <w:p w14:paraId="57E59F11" w14:textId="77777777" w:rsidR="0097711F" w:rsidRPr="00A51339" w:rsidRDefault="0097711F">
            <w:pPr>
              <w:spacing w:after="0"/>
              <w:jc w:val="center"/>
              <w:rPr>
                <w:szCs w:val="22"/>
              </w:rPr>
            </w:pPr>
            <w:r w:rsidRPr="00A51339">
              <w:rPr>
                <w:szCs w:val="22"/>
              </w:rPr>
              <w:t>Yes</w:t>
            </w:r>
          </w:p>
        </w:tc>
        <w:tc>
          <w:tcPr>
            <w:tcW w:w="731" w:type="dxa"/>
            <w:vAlign w:val="center"/>
          </w:tcPr>
          <w:p w14:paraId="1F142B44" w14:textId="77777777" w:rsidR="0097711F" w:rsidRPr="00A51339" w:rsidRDefault="0097711F">
            <w:pPr>
              <w:spacing w:after="0"/>
              <w:jc w:val="center"/>
              <w:rPr>
                <w:szCs w:val="22"/>
              </w:rPr>
            </w:pPr>
            <w:r w:rsidRPr="00A51339">
              <w:rPr>
                <w:szCs w:val="22"/>
              </w:rPr>
              <w:t>Yes</w:t>
            </w:r>
          </w:p>
        </w:tc>
        <w:tc>
          <w:tcPr>
            <w:tcW w:w="730" w:type="dxa"/>
            <w:vAlign w:val="center"/>
          </w:tcPr>
          <w:p w14:paraId="63CC8C3E" w14:textId="77777777" w:rsidR="0097711F" w:rsidRPr="00A51339" w:rsidRDefault="0097711F">
            <w:pPr>
              <w:spacing w:after="0"/>
              <w:jc w:val="center"/>
              <w:rPr>
                <w:b/>
                <w:szCs w:val="22"/>
                <w:u w:val="single"/>
              </w:rPr>
            </w:pPr>
            <w:r w:rsidRPr="00A51339">
              <w:rPr>
                <w:b/>
                <w:szCs w:val="22"/>
                <w:u w:val="single"/>
              </w:rPr>
              <w:t>No</w:t>
            </w:r>
          </w:p>
        </w:tc>
        <w:tc>
          <w:tcPr>
            <w:tcW w:w="731" w:type="dxa"/>
            <w:vAlign w:val="center"/>
          </w:tcPr>
          <w:p w14:paraId="392D1DBC" w14:textId="77777777" w:rsidR="0097711F" w:rsidRPr="00A51339" w:rsidRDefault="0097711F">
            <w:pPr>
              <w:spacing w:after="0"/>
              <w:jc w:val="center"/>
              <w:rPr>
                <w:szCs w:val="22"/>
              </w:rPr>
            </w:pPr>
            <w:r w:rsidRPr="00A51339">
              <w:rPr>
                <w:szCs w:val="22"/>
              </w:rPr>
              <w:t>Yes</w:t>
            </w:r>
          </w:p>
        </w:tc>
        <w:tc>
          <w:tcPr>
            <w:tcW w:w="731" w:type="dxa"/>
            <w:vAlign w:val="center"/>
          </w:tcPr>
          <w:p w14:paraId="12DA8EC4" w14:textId="77777777" w:rsidR="0097711F" w:rsidRPr="00A51339" w:rsidRDefault="0097711F">
            <w:pPr>
              <w:spacing w:after="0"/>
              <w:jc w:val="center"/>
              <w:rPr>
                <w:szCs w:val="22"/>
              </w:rPr>
            </w:pPr>
            <w:r w:rsidRPr="00A51339">
              <w:rPr>
                <w:szCs w:val="22"/>
              </w:rPr>
              <w:t>Yes</w:t>
            </w:r>
          </w:p>
        </w:tc>
        <w:tc>
          <w:tcPr>
            <w:tcW w:w="730" w:type="dxa"/>
            <w:vAlign w:val="center"/>
          </w:tcPr>
          <w:p w14:paraId="65A3A408" w14:textId="77777777" w:rsidR="0097711F" w:rsidRPr="00A51339" w:rsidRDefault="0097711F">
            <w:pPr>
              <w:spacing w:after="0"/>
              <w:jc w:val="center"/>
              <w:rPr>
                <w:b/>
                <w:szCs w:val="22"/>
                <w:u w:val="single"/>
              </w:rPr>
            </w:pPr>
            <w:r w:rsidRPr="742E3378">
              <w:rPr>
                <w:b/>
                <w:u w:val="single"/>
              </w:rPr>
              <w:t>No</w:t>
            </w:r>
            <w:r w:rsidRPr="742E3378">
              <w:rPr>
                <w:rStyle w:val="FootnoteReference"/>
                <w:b/>
                <w:u w:val="single"/>
              </w:rPr>
              <w:footnoteReference w:id="108"/>
            </w:r>
          </w:p>
        </w:tc>
        <w:tc>
          <w:tcPr>
            <w:tcW w:w="731" w:type="dxa"/>
            <w:vAlign w:val="center"/>
          </w:tcPr>
          <w:p w14:paraId="51D8B4E6" w14:textId="77777777" w:rsidR="0097711F" w:rsidRPr="00A51339" w:rsidRDefault="0097711F">
            <w:pPr>
              <w:spacing w:after="0"/>
              <w:jc w:val="center"/>
              <w:rPr>
                <w:b/>
                <w:szCs w:val="22"/>
                <w:u w:val="single"/>
              </w:rPr>
            </w:pPr>
            <w:r w:rsidRPr="742E3378">
              <w:rPr>
                <w:b/>
                <w:u w:val="single"/>
              </w:rPr>
              <w:t>No</w:t>
            </w:r>
            <w:r w:rsidRPr="742E3378">
              <w:rPr>
                <w:rStyle w:val="FootnoteReference"/>
                <w:b/>
                <w:u w:val="single"/>
              </w:rPr>
              <w:footnoteReference w:id="109"/>
            </w:r>
          </w:p>
        </w:tc>
        <w:tc>
          <w:tcPr>
            <w:tcW w:w="731" w:type="dxa"/>
            <w:vAlign w:val="center"/>
          </w:tcPr>
          <w:p w14:paraId="01A0CE46" w14:textId="77777777" w:rsidR="0097711F" w:rsidRPr="00A51339" w:rsidRDefault="0097711F">
            <w:pPr>
              <w:spacing w:after="0"/>
              <w:jc w:val="center"/>
              <w:rPr>
                <w:b/>
                <w:szCs w:val="22"/>
                <w:u w:val="single"/>
              </w:rPr>
            </w:pPr>
            <w:r w:rsidRPr="00A51339">
              <w:rPr>
                <w:b/>
                <w:szCs w:val="22"/>
                <w:u w:val="single"/>
              </w:rPr>
              <w:t>No</w:t>
            </w:r>
          </w:p>
        </w:tc>
      </w:tr>
    </w:tbl>
    <w:p w14:paraId="159ADDE1" w14:textId="77777777" w:rsidR="0097711F" w:rsidRPr="00BD2480" w:rsidRDefault="0097711F" w:rsidP="0097711F">
      <w:pPr>
        <w:rPr>
          <w:i/>
          <w:iCs/>
          <w:color w:val="14233C" w:themeColor="text2"/>
          <w:sz w:val="18"/>
          <w:szCs w:val="20"/>
        </w:rPr>
      </w:pPr>
      <w:r w:rsidRPr="00BD2480">
        <w:rPr>
          <w:i/>
          <w:iCs/>
          <w:color w:val="14233C" w:themeColor="text2"/>
          <w:sz w:val="18"/>
          <w:szCs w:val="20"/>
        </w:rPr>
        <w:t>Source: Information source</w:t>
      </w:r>
      <w:r>
        <w:rPr>
          <w:i/>
          <w:iCs/>
          <w:color w:val="14233C" w:themeColor="text2"/>
          <w:sz w:val="18"/>
          <w:szCs w:val="20"/>
        </w:rPr>
        <w:t>d</w:t>
      </w:r>
      <w:r w:rsidRPr="00BD2480">
        <w:rPr>
          <w:i/>
          <w:iCs/>
          <w:color w:val="14233C" w:themeColor="text2"/>
          <w:sz w:val="18"/>
          <w:szCs w:val="20"/>
        </w:rPr>
        <w:t xml:space="preserve"> from various jurisdictional WWCC (or equivalent) agencies and education departments. For more information on detailed sources, refer to Appendix </w:t>
      </w:r>
      <w:r>
        <w:rPr>
          <w:i/>
          <w:iCs/>
          <w:color w:val="14233C" w:themeColor="text2"/>
          <w:sz w:val="18"/>
          <w:szCs w:val="20"/>
        </w:rPr>
        <w:t>12.7</w:t>
      </w:r>
      <w:r w:rsidRPr="00BD2480">
        <w:rPr>
          <w:i/>
          <w:iCs/>
          <w:color w:val="14233C" w:themeColor="text2"/>
          <w:sz w:val="18"/>
          <w:szCs w:val="20"/>
        </w:rPr>
        <w:t xml:space="preserve">. </w:t>
      </w:r>
    </w:p>
    <w:p w14:paraId="713EBD64" w14:textId="77777777" w:rsidR="0097711F" w:rsidRDefault="0097711F" w:rsidP="0097711F">
      <w:pPr>
        <w:rPr>
          <w:color w:val="14233C" w:themeColor="text2"/>
          <w:sz w:val="18"/>
          <w:szCs w:val="20"/>
        </w:rPr>
      </w:pPr>
      <w:r>
        <w:t>The National Regulations recognise the importance of WWCCs through a range of additional requirements for education and care services.</w:t>
      </w:r>
      <w:r>
        <w:rPr>
          <w:rStyle w:val="FootnoteReference"/>
        </w:rPr>
        <w:footnoteReference w:id="110"/>
      </w:r>
      <w:r>
        <w:t xml:space="preserve"> The implementation of this recommendation has the potential to introduce more stringent safeguards under the NQF that extend beyond the interventions introduced to date.</w:t>
      </w:r>
    </w:p>
    <w:p w14:paraId="0EF493D0" w14:textId="77777777" w:rsidR="0097711F" w:rsidRDefault="0097711F" w:rsidP="0097711F">
      <w:pPr>
        <w:pStyle w:val="Heading3"/>
      </w:pPr>
      <w:r>
        <w:t>What is the problem?</w:t>
      </w:r>
    </w:p>
    <w:p w14:paraId="57D752C6" w14:textId="77777777" w:rsidR="0097711F" w:rsidRDefault="0097711F" w:rsidP="0097711F">
      <w:r>
        <w:t xml:space="preserve">Differences in jurisdictional legislation governing WWCC processes give rise to two foreseeable mechanisms of harm to children. </w:t>
      </w:r>
    </w:p>
    <w:p w14:paraId="7A8F6951" w14:textId="37CF6586" w:rsidR="0097711F" w:rsidRDefault="0097711F" w:rsidP="0097711F">
      <w:r>
        <w:t>First, inconsistencies across jurisdictions can create confusion for approved providers, service leaders, educators and staff leading to non-compliance with WWCC requirements</w:t>
      </w:r>
      <w:r w:rsidRPr="00E02C38">
        <w:t>. Non-compliance may result in inadequate vetting, checking, and monitoring during recruitment</w:t>
      </w:r>
      <w:r>
        <w:t xml:space="preserve"> processes. This increases the risk that some individuals who do not meet the necessary requirements are allowed to work or volunteer in education and care services. </w:t>
      </w:r>
    </w:p>
    <w:p w14:paraId="6AC83E23" w14:textId="77777777" w:rsidR="0097711F" w:rsidRDefault="0097711F" w:rsidP="0097711F">
      <w:r>
        <w:t xml:space="preserve">Second, legislative exemptions and inconsistencies could enable individuals with a known history of criminal or inappropriate behaviour to work or volunteer in education and care services. In jurisdictions where a person can start prior to receiving an approved WWCC, there may be a higher likelihood of exposing children to people with known histories of misconduct or harm. </w:t>
      </w:r>
    </w:p>
    <w:p w14:paraId="1F04AC58" w14:textId="77777777" w:rsidR="0097711F" w:rsidRDefault="0097711F" w:rsidP="0097711F">
      <w:r>
        <w:t>The resulting harm may manifest in several ways, including increased exposure of children to individuals with a history of misconduct, or who otherwise may not have been approved for a WWCC, the potential for abuse or neglect, and a loss of trust in education and care services among families and communities.</w:t>
      </w:r>
      <w:r w:rsidRPr="007E49A6">
        <w:t xml:space="preserve"> </w:t>
      </w:r>
    </w:p>
    <w:p w14:paraId="314D5393" w14:textId="714CEA3A" w:rsidR="0097711F" w:rsidRDefault="0097711F" w:rsidP="0097711F">
      <w:r>
        <w:lastRenderedPageBreak/>
        <w:t>In consultative activities, s</w:t>
      </w:r>
      <w:r w:rsidRPr="00E66D42">
        <w:t xml:space="preserve">takeholders from various jurisdictions (including those outside of WA, NT, NSW, and ACT) noted that there </w:t>
      </w:r>
      <w:r w:rsidR="00525ABD">
        <w:t xml:space="preserve">is no anecdotal </w:t>
      </w:r>
      <w:r w:rsidRPr="00E66D42">
        <w:t xml:space="preserve">evidence to suggest that people who commence employment or volunteering without a valid WWCC are at higher risk of </w:t>
      </w:r>
      <w:r w:rsidR="001A1BA7">
        <w:t>receiving a</w:t>
      </w:r>
      <w:r w:rsidR="001A1BA7" w:rsidRPr="00E66D42">
        <w:t xml:space="preserve"> </w:t>
      </w:r>
      <w:r w:rsidRPr="00E66D42">
        <w:t>rejection or later cancellation.</w:t>
      </w:r>
      <w:r>
        <w:t xml:space="preserve"> Likewise, jurisdictional Regulatory Authorities did not report any instances where someone </w:t>
      </w:r>
      <w:r w:rsidR="00EA5D71">
        <w:t>commenced</w:t>
      </w:r>
      <w:r>
        <w:t xml:space="preserve"> in a role </w:t>
      </w:r>
      <w:r w:rsidR="00EA5D71">
        <w:t>working</w:t>
      </w:r>
      <w:r>
        <w:t xml:space="preserve"> directly with children while awaiting a WWCC outcome and an incident of harm to a child</w:t>
      </w:r>
      <w:r w:rsidR="00A80EC8">
        <w:t xml:space="preserve"> occurred. </w:t>
      </w:r>
      <w:r>
        <w:t xml:space="preserve">However, consulted WWCC agencies did acknowledge that they sometimes receive applications from individuals who very clearly do not meet the requirements to hold a WWCC but apply regardless as this is a condition to gain employment in various occupations and sectors. These individuals are identified through pre-screening and interim barring processes. Representatives were unable to disclose the prevalence of this issue and its relevance to the education and care sector. </w:t>
      </w:r>
    </w:p>
    <w:p w14:paraId="7E8BFECC" w14:textId="77777777" w:rsidR="0097711F" w:rsidRPr="002D02C4" w:rsidRDefault="0097711F" w:rsidP="0097711F">
      <w:r>
        <w:t>Although teacher registration/accreditation processes in some jurisdictions already effectively screen, monitor, record and share disciplinary action about early childhood teachers, it is not required in all jurisdictions or in all education and care settings. For this reason, an option to provide national consistency of teacher registration/accreditation arrangements for services under the NQF is not yet possible and not included here.</w:t>
      </w:r>
    </w:p>
    <w:p w14:paraId="5BBAD47D" w14:textId="5F3766C6" w:rsidR="0097711F" w:rsidRDefault="00EB4295" w:rsidP="0097711F">
      <w:pPr>
        <w:pStyle w:val="Heading3"/>
      </w:pPr>
      <w:r>
        <w:t>What were the policy options consulted on?</w:t>
      </w:r>
    </w:p>
    <w:p w14:paraId="2976AD55" w14:textId="2EC2A556" w:rsidR="0097711F" w:rsidRDefault="0097711F" w:rsidP="0097711F">
      <w:r>
        <w:t xml:space="preserve">Three options, including the status quo, a non-regulatory option, and a regulatory option are under consideration. </w:t>
      </w:r>
      <w:r w:rsidRPr="000C216D">
        <w:t xml:space="preserve">Options 2 </w:t>
      </w:r>
      <w:r>
        <w:t>and 3</w:t>
      </w:r>
      <w:r w:rsidRPr="000C216D">
        <w:t xml:space="preserve"> are not mutually exclusive, and the </w:t>
      </w:r>
      <w:r w:rsidR="004C5562">
        <w:t>recommended option</w:t>
      </w:r>
      <w:r w:rsidRPr="000C216D">
        <w:t xml:space="preserve"> for these recommendations can be </w:t>
      </w:r>
      <w:r w:rsidR="00A359EC">
        <w:t>a</w:t>
      </w:r>
      <w:r w:rsidR="00A359EC" w:rsidRPr="000C216D">
        <w:t xml:space="preserve"> </w:t>
      </w:r>
      <w:r w:rsidRPr="000C216D">
        <w:t>combination of the proposed regulatory and non-regulatory approaches.</w:t>
      </w:r>
    </w:p>
    <w:p w14:paraId="48E45B43" w14:textId="77777777" w:rsidR="0097711F" w:rsidRPr="00931B53" w:rsidRDefault="0097711F" w:rsidP="0097711F">
      <w:pPr>
        <w:pStyle w:val="Caption"/>
      </w:pPr>
      <w:bookmarkStart w:id="135" w:name="_Toc201934906"/>
      <w:bookmarkStart w:id="136" w:name="_Toc205884960"/>
      <w:r>
        <w:t xml:space="preserve">Table 8.3: Policy options under consideration – </w:t>
      </w:r>
      <w:r w:rsidRPr="006A6AC7">
        <w:t>Requiring an approved WWCC prior to commencing paid or volunteer work at an education and care service</w:t>
      </w:r>
      <w:bookmarkEnd w:id="135"/>
      <w:bookmarkEnd w:id="13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8.3: Policy options under consideration – Requiring an approved WWCC prior to commencing paid or volunteer work at an education and care service"/>
        <w:tblDescription w:val="This table outlines the policy options under consideration for requiring an approved WWCC prior to commencing paid or volunteer work at an education and care service."/>
      </w:tblPr>
      <w:tblGrid>
        <w:gridCol w:w="1631"/>
        <w:gridCol w:w="7379"/>
      </w:tblGrid>
      <w:tr w:rsidR="0097711F" w:rsidRPr="00C02005" w14:paraId="6A31A2D6" w14:textId="77777777" w:rsidTr="00E3170E">
        <w:trPr>
          <w:tblHeader/>
        </w:trPr>
        <w:tc>
          <w:tcPr>
            <w:tcW w:w="905" w:type="pct"/>
            <w:shd w:val="clear" w:color="auto" w:fill="14233C" w:themeFill="text2"/>
          </w:tcPr>
          <w:p w14:paraId="7B8DFAD1" w14:textId="77777777" w:rsidR="0097711F" w:rsidRPr="00006D1E" w:rsidRDefault="0097711F">
            <w:pPr>
              <w:jc w:val="center"/>
              <w:rPr>
                <w:b/>
                <w:color w:val="FFFFFF" w:themeColor="background1"/>
                <w:szCs w:val="22"/>
              </w:rPr>
            </w:pPr>
            <w:r w:rsidRPr="00006D1E">
              <w:rPr>
                <w:b/>
                <w:color w:val="FFFFFF" w:themeColor="background1"/>
                <w:szCs w:val="22"/>
              </w:rPr>
              <w:t>Option</w:t>
            </w:r>
          </w:p>
        </w:tc>
        <w:tc>
          <w:tcPr>
            <w:tcW w:w="4095" w:type="pct"/>
            <w:shd w:val="clear" w:color="auto" w:fill="14233C" w:themeFill="text2"/>
          </w:tcPr>
          <w:p w14:paraId="10DC3032" w14:textId="77777777" w:rsidR="0097711F" w:rsidRPr="00006D1E" w:rsidRDefault="0097711F">
            <w:pPr>
              <w:jc w:val="center"/>
              <w:rPr>
                <w:b/>
                <w:color w:val="FFFFFF" w:themeColor="background1"/>
                <w:szCs w:val="22"/>
              </w:rPr>
            </w:pPr>
            <w:r w:rsidRPr="00006D1E">
              <w:rPr>
                <w:b/>
                <w:color w:val="FFFFFF" w:themeColor="background1"/>
                <w:szCs w:val="22"/>
              </w:rPr>
              <w:t>Description</w:t>
            </w:r>
          </w:p>
        </w:tc>
      </w:tr>
      <w:tr w:rsidR="0097711F" w14:paraId="4E5E870C" w14:textId="77777777" w:rsidTr="00E3170E">
        <w:tc>
          <w:tcPr>
            <w:tcW w:w="905" w:type="pct"/>
          </w:tcPr>
          <w:p w14:paraId="0D40E02F" w14:textId="77777777" w:rsidR="0097711F" w:rsidRPr="00006D1E" w:rsidRDefault="0097711F">
            <w:pPr>
              <w:rPr>
                <w:szCs w:val="22"/>
              </w:rPr>
            </w:pPr>
            <w:r w:rsidRPr="00006D1E">
              <w:rPr>
                <w:szCs w:val="22"/>
              </w:rPr>
              <w:t>1</w:t>
            </w:r>
          </w:p>
        </w:tc>
        <w:tc>
          <w:tcPr>
            <w:tcW w:w="4095" w:type="pct"/>
          </w:tcPr>
          <w:p w14:paraId="0CE528E5" w14:textId="77777777" w:rsidR="0097711F" w:rsidRPr="00006D1E" w:rsidRDefault="0097711F">
            <w:pPr>
              <w:rPr>
                <w:szCs w:val="22"/>
              </w:rPr>
            </w:pPr>
            <w:r w:rsidRPr="00006D1E">
              <w:rPr>
                <w:szCs w:val="22"/>
              </w:rPr>
              <w:t>Status quo (no change).</w:t>
            </w:r>
          </w:p>
        </w:tc>
      </w:tr>
      <w:tr w:rsidR="0097711F" w14:paraId="3002D334" w14:textId="77777777" w:rsidTr="00E3170E">
        <w:tc>
          <w:tcPr>
            <w:tcW w:w="905" w:type="pct"/>
          </w:tcPr>
          <w:p w14:paraId="1B6FB77F" w14:textId="77777777" w:rsidR="0097711F" w:rsidRPr="00006D1E" w:rsidRDefault="0097711F">
            <w:pPr>
              <w:rPr>
                <w:szCs w:val="22"/>
              </w:rPr>
            </w:pPr>
            <w:r w:rsidRPr="00006D1E">
              <w:rPr>
                <w:szCs w:val="22"/>
              </w:rPr>
              <w:t>2</w:t>
            </w:r>
          </w:p>
        </w:tc>
        <w:tc>
          <w:tcPr>
            <w:tcW w:w="4095" w:type="pct"/>
          </w:tcPr>
          <w:p w14:paraId="27DF3856" w14:textId="77777777" w:rsidR="0097711F" w:rsidRPr="00006D1E" w:rsidRDefault="0097711F">
            <w:pPr>
              <w:ind w:left="360" w:hanging="360"/>
              <w:rPr>
                <w:b/>
                <w:szCs w:val="22"/>
              </w:rPr>
            </w:pPr>
            <w:r w:rsidRPr="00006D1E">
              <w:rPr>
                <w:b/>
                <w:szCs w:val="22"/>
              </w:rPr>
              <w:t>Non-regulatory</w:t>
            </w:r>
          </w:p>
          <w:p w14:paraId="398113BC" w14:textId="77777777" w:rsidR="0097711F" w:rsidRPr="00006D1E" w:rsidRDefault="0097711F">
            <w:pPr>
              <w:rPr>
                <w:szCs w:val="22"/>
              </w:rPr>
            </w:pPr>
            <w:r w:rsidRPr="00006D1E">
              <w:rPr>
                <w:szCs w:val="22"/>
              </w:rPr>
              <w:t>Additional guidance about WWCC and teacher registration/accreditation requirements and the importance of WWCCs in conjunction with the implementation of child safety training (refer to Chapter 6). The guidance should include recommended ‘best practice’ approaches.</w:t>
            </w:r>
          </w:p>
          <w:p w14:paraId="27DEDAA1" w14:textId="77777777" w:rsidR="0097711F" w:rsidRPr="00006D1E" w:rsidRDefault="0097711F">
            <w:pPr>
              <w:pStyle w:val="ListParagraph"/>
              <w:numPr>
                <w:ilvl w:val="0"/>
                <w:numId w:val="0"/>
              </w:numPr>
              <w:rPr>
                <w:szCs w:val="22"/>
              </w:rPr>
            </w:pPr>
            <w:r w:rsidRPr="00006D1E">
              <w:rPr>
                <w:szCs w:val="22"/>
              </w:rPr>
              <w:lastRenderedPageBreak/>
              <w:t>Guidance to include the following recommended best practice approaches:</w:t>
            </w:r>
          </w:p>
          <w:p w14:paraId="2B762955" w14:textId="3E64477D" w:rsidR="0097711F" w:rsidRPr="00006D1E" w:rsidRDefault="00903B72" w:rsidP="00EC53AB">
            <w:pPr>
              <w:pStyle w:val="ListParagraph"/>
              <w:numPr>
                <w:ilvl w:val="0"/>
                <w:numId w:val="55"/>
              </w:numPr>
              <w:rPr>
                <w:szCs w:val="22"/>
              </w:rPr>
            </w:pPr>
            <w:r w:rsidRPr="00006D1E">
              <w:rPr>
                <w:szCs w:val="22"/>
              </w:rPr>
              <w:t>c</w:t>
            </w:r>
            <w:r w:rsidR="0097711F" w:rsidRPr="00006D1E">
              <w:rPr>
                <w:szCs w:val="22"/>
              </w:rPr>
              <w:t>onfirmation of a WWCC record in staff file prior to working in a service (all staff and volunteers)</w:t>
            </w:r>
          </w:p>
          <w:p w14:paraId="6F1C695C" w14:textId="21E2FF4C" w:rsidR="0097711F" w:rsidRPr="00006D1E" w:rsidRDefault="00903B72" w:rsidP="00EC53AB">
            <w:pPr>
              <w:pStyle w:val="ListParagraph"/>
              <w:numPr>
                <w:ilvl w:val="0"/>
                <w:numId w:val="55"/>
              </w:numPr>
              <w:rPr>
                <w:szCs w:val="22"/>
              </w:rPr>
            </w:pPr>
            <w:r w:rsidRPr="00006D1E">
              <w:rPr>
                <w:szCs w:val="22"/>
              </w:rPr>
              <w:t>c</w:t>
            </w:r>
            <w:r w:rsidR="0097711F" w:rsidRPr="00006D1E">
              <w:rPr>
                <w:szCs w:val="22"/>
              </w:rPr>
              <w:t xml:space="preserve">heck WWCC status every 6 months (in jurisdictions where approved providers are not already notified by the relevant WWCC agency). </w:t>
            </w:r>
          </w:p>
        </w:tc>
      </w:tr>
      <w:tr w:rsidR="0097711F" w14:paraId="2E13E679" w14:textId="77777777" w:rsidTr="00E3170E">
        <w:tc>
          <w:tcPr>
            <w:tcW w:w="905" w:type="pct"/>
          </w:tcPr>
          <w:p w14:paraId="776D3134" w14:textId="77777777" w:rsidR="0097711F" w:rsidRPr="00006D1E" w:rsidRDefault="0097711F">
            <w:pPr>
              <w:rPr>
                <w:szCs w:val="22"/>
              </w:rPr>
            </w:pPr>
            <w:r w:rsidRPr="00006D1E">
              <w:rPr>
                <w:szCs w:val="22"/>
              </w:rPr>
              <w:lastRenderedPageBreak/>
              <w:t>3</w:t>
            </w:r>
          </w:p>
        </w:tc>
        <w:tc>
          <w:tcPr>
            <w:tcW w:w="4095" w:type="pct"/>
          </w:tcPr>
          <w:p w14:paraId="33058463" w14:textId="77777777" w:rsidR="0097711F" w:rsidRPr="00006D1E" w:rsidRDefault="0097711F">
            <w:pPr>
              <w:rPr>
                <w:b/>
                <w:szCs w:val="22"/>
              </w:rPr>
            </w:pPr>
            <w:r w:rsidRPr="00006D1E">
              <w:rPr>
                <w:b/>
                <w:szCs w:val="22"/>
              </w:rPr>
              <w:t xml:space="preserve">Regulatory </w:t>
            </w:r>
          </w:p>
          <w:p w14:paraId="75B4A466" w14:textId="77777777" w:rsidR="0097711F" w:rsidRPr="00006D1E" w:rsidRDefault="0097711F">
            <w:pPr>
              <w:rPr>
                <w:szCs w:val="22"/>
              </w:rPr>
            </w:pPr>
            <w:r w:rsidRPr="00006D1E">
              <w:rPr>
                <w:rFonts w:cs="Arial"/>
                <w:i/>
                <w:szCs w:val="22"/>
              </w:rPr>
              <w:t>Jurisdiction specific National Regulation amendment in WA, the ACT and the NT to require that an approved provider of an education and care service must ensure that staff, students, and volunteers of that service hold a valid WWCC before they can be engaged/commence their roles. In addition, a jurisdiction specific National Regulation amendment in NSW will clarify this same requirement beyond doubt.</w:t>
            </w:r>
          </w:p>
        </w:tc>
      </w:tr>
    </w:tbl>
    <w:p w14:paraId="4C7D8EE4" w14:textId="77777777" w:rsidR="0097711F" w:rsidRDefault="0097711F" w:rsidP="0097711F"/>
    <w:p w14:paraId="07DF9FFE" w14:textId="77777777" w:rsidR="0097711F" w:rsidRDefault="0097711F" w:rsidP="0097711F">
      <w:pPr>
        <w:pStyle w:val="Heading3"/>
      </w:pPr>
      <w:r>
        <w:t>What are the impacts of each option?</w:t>
      </w:r>
    </w:p>
    <w:p w14:paraId="29097A9D" w14:textId="573FBDC7" w:rsidR="0097711F" w:rsidRPr="00573996" w:rsidRDefault="0097711F" w:rsidP="0097711F">
      <w:r>
        <w:t xml:space="preserve">The sections below provide </w:t>
      </w:r>
      <w:r w:rsidR="003055D7">
        <w:t>an MCA</w:t>
      </w:r>
      <w:r>
        <w:t xml:space="preserve"> assessing the potential impacts of the proposed options on child safety outcomes, costs to stakeholders, implementation </w:t>
      </w:r>
      <w:r w:rsidR="004151E0">
        <w:t>considerations</w:t>
      </w:r>
      <w:r>
        <w:t>, and distributional impacts.</w:t>
      </w:r>
      <w:r w:rsidR="00A70F5A" w:rsidRPr="00A70F5A">
        <w:t xml:space="preserve"> </w:t>
      </w:r>
      <w:r w:rsidR="00A70F5A">
        <w:t>A detailed overview of the MCA framework underpinning this analysis is ava</w:t>
      </w:r>
      <w:r w:rsidR="00A70F5A" w:rsidRPr="001D3080">
        <w:t xml:space="preserve">ilable in </w:t>
      </w:r>
      <w:r w:rsidR="00A70F5A">
        <w:t xml:space="preserve">Chapter 4. </w:t>
      </w:r>
    </w:p>
    <w:p w14:paraId="6BB19A5F" w14:textId="77777777" w:rsidR="0097711F" w:rsidRDefault="0097711F" w:rsidP="0097711F">
      <w:pPr>
        <w:pStyle w:val="Heading4"/>
      </w:pPr>
      <w:r>
        <w:t xml:space="preserve">Multi-criteria analysis </w:t>
      </w:r>
    </w:p>
    <w:p w14:paraId="26D3BEF6" w14:textId="4BE44320" w:rsidR="00676D53" w:rsidRDefault="00676D53" w:rsidP="00676D53">
      <w:r w:rsidRPr="00C20858">
        <w:t xml:space="preserve">In assigning </w:t>
      </w:r>
      <w:r w:rsidR="006460CF">
        <w:t xml:space="preserve">MCA </w:t>
      </w:r>
      <w:r w:rsidRPr="00C20858">
        <w:t xml:space="preserve">scores to reflect the relative benefits and costs of each option, the score for improvement in child safety has been scaled with a zero for </w:t>
      </w:r>
      <w:r>
        <w:t>option 1</w:t>
      </w:r>
      <w:r w:rsidRPr="00C20858">
        <w:t xml:space="preserve"> representing no change, and </w:t>
      </w:r>
      <w:r>
        <w:t xml:space="preserve">score of three </w:t>
      </w:r>
      <w:r w:rsidRPr="00C20858">
        <w:t xml:space="preserve">for </w:t>
      </w:r>
      <w:r>
        <w:t xml:space="preserve">option 3 (for </w:t>
      </w:r>
      <w:r w:rsidR="00A0013F">
        <w:t>WA, NT and ACT</w:t>
      </w:r>
      <w:r>
        <w:t>)</w:t>
      </w:r>
      <w:r w:rsidRPr="00C20858">
        <w:t xml:space="preserve"> </w:t>
      </w:r>
      <w:r>
        <w:t>representing</w:t>
      </w:r>
      <w:r w:rsidRPr="00C20858">
        <w:t xml:space="preserve"> the biggest impact on child safety. Other options have been scored between these values based on the assessment of qualitative input from stakeholders. Scores for other categories relating to costs, risks, and distributional considerations have been scaled in relation to these benefits.</w:t>
      </w:r>
    </w:p>
    <w:p w14:paraId="7C8D278A" w14:textId="77777777" w:rsidR="0097711F" w:rsidRDefault="0097711F" w:rsidP="0097711F">
      <w:pPr>
        <w:pStyle w:val="Caption"/>
      </w:pPr>
      <w:bookmarkStart w:id="137" w:name="_Toc201934907"/>
      <w:bookmarkStart w:id="138" w:name="_Toc205884961"/>
      <w:r>
        <w:lastRenderedPageBreak/>
        <w:t xml:space="preserve">Table 8.4: MCA outcomes – </w:t>
      </w:r>
      <w:r w:rsidRPr="00A51577">
        <w:t>Requiring an approved WWCC prior to commencing paid or volunteer work at an education and care service</w:t>
      </w:r>
      <w:bookmarkEnd w:id="137"/>
      <w:bookmarkEnd w:id="1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8.4: MCA outcomes – Requiring an approved WWCC prior to commencing paid or volunteer work at an education and care service"/>
        <w:tblDescription w:val="This table outlines the MCA outcomes for requiring an approved WWCC prior to commencing paid or volunteer work at an education and care service."/>
      </w:tblPr>
      <w:tblGrid>
        <w:gridCol w:w="2652"/>
        <w:gridCol w:w="994"/>
        <w:gridCol w:w="1169"/>
        <w:gridCol w:w="1134"/>
        <w:gridCol w:w="1701"/>
        <w:gridCol w:w="1360"/>
      </w:tblGrid>
      <w:tr w:rsidR="0097711F" w14:paraId="587CC068" w14:textId="77777777" w:rsidTr="00E3170E">
        <w:trPr>
          <w:tblHeader/>
        </w:trPr>
        <w:tc>
          <w:tcPr>
            <w:tcW w:w="2652" w:type="dxa"/>
            <w:shd w:val="clear" w:color="auto" w:fill="14233C" w:themeFill="text2"/>
          </w:tcPr>
          <w:p w14:paraId="4E32C7CD" w14:textId="77777777" w:rsidR="0097711F" w:rsidRPr="00C2617C" w:rsidRDefault="0097711F">
            <w:pPr>
              <w:rPr>
                <w:b/>
                <w:color w:val="FFFFFF" w:themeColor="background1"/>
                <w:szCs w:val="20"/>
              </w:rPr>
            </w:pPr>
            <w:r w:rsidRPr="00C2617C">
              <w:rPr>
                <w:b/>
                <w:color w:val="FFFFFF" w:themeColor="background1"/>
                <w:szCs w:val="20"/>
              </w:rPr>
              <w:t>Criteria</w:t>
            </w:r>
          </w:p>
        </w:tc>
        <w:tc>
          <w:tcPr>
            <w:tcW w:w="994" w:type="dxa"/>
            <w:shd w:val="clear" w:color="auto" w:fill="14233C" w:themeFill="text2"/>
          </w:tcPr>
          <w:p w14:paraId="0D27E841" w14:textId="77777777" w:rsidR="0097711F" w:rsidRPr="00C2617C" w:rsidRDefault="0097711F">
            <w:pPr>
              <w:jc w:val="center"/>
              <w:rPr>
                <w:b/>
                <w:color w:val="FFFFFF" w:themeColor="background1"/>
                <w:szCs w:val="20"/>
              </w:rPr>
            </w:pPr>
            <w:r w:rsidRPr="00C2617C">
              <w:rPr>
                <w:b/>
                <w:color w:val="FFFFFF" w:themeColor="background1"/>
                <w:szCs w:val="20"/>
              </w:rPr>
              <w:t>Weight</w:t>
            </w:r>
          </w:p>
        </w:tc>
        <w:tc>
          <w:tcPr>
            <w:tcW w:w="1169" w:type="dxa"/>
            <w:shd w:val="clear" w:color="auto" w:fill="14233C" w:themeFill="text2"/>
          </w:tcPr>
          <w:p w14:paraId="4F05C4DA" w14:textId="77777777" w:rsidR="0097711F" w:rsidRPr="00C2617C" w:rsidRDefault="0097711F">
            <w:pPr>
              <w:jc w:val="center"/>
              <w:rPr>
                <w:b/>
                <w:color w:val="FFFFFF" w:themeColor="background1"/>
                <w:szCs w:val="20"/>
              </w:rPr>
            </w:pPr>
            <w:r w:rsidRPr="00C2617C">
              <w:rPr>
                <w:b/>
                <w:color w:val="FFFFFF" w:themeColor="background1"/>
                <w:szCs w:val="20"/>
              </w:rPr>
              <w:t>Option 1</w:t>
            </w:r>
          </w:p>
        </w:tc>
        <w:tc>
          <w:tcPr>
            <w:tcW w:w="1134" w:type="dxa"/>
            <w:shd w:val="clear" w:color="auto" w:fill="14233C" w:themeFill="text2"/>
          </w:tcPr>
          <w:p w14:paraId="2B5DC4BA" w14:textId="77777777" w:rsidR="0097711F" w:rsidRPr="00C2617C" w:rsidRDefault="0097711F">
            <w:pPr>
              <w:jc w:val="center"/>
              <w:rPr>
                <w:b/>
                <w:color w:val="FFFFFF" w:themeColor="background1"/>
                <w:szCs w:val="20"/>
              </w:rPr>
            </w:pPr>
            <w:r w:rsidRPr="00C2617C">
              <w:rPr>
                <w:b/>
                <w:color w:val="FFFFFF" w:themeColor="background1"/>
                <w:szCs w:val="20"/>
              </w:rPr>
              <w:t>Option 2</w:t>
            </w:r>
          </w:p>
        </w:tc>
        <w:tc>
          <w:tcPr>
            <w:tcW w:w="1701" w:type="dxa"/>
            <w:shd w:val="clear" w:color="auto" w:fill="14233C" w:themeFill="text2"/>
          </w:tcPr>
          <w:p w14:paraId="4750CBC4" w14:textId="7C833AE3" w:rsidR="0097711F" w:rsidRPr="00C2617C" w:rsidRDefault="0097711F">
            <w:pPr>
              <w:jc w:val="center"/>
              <w:rPr>
                <w:b/>
                <w:color w:val="FFFFFF" w:themeColor="background1"/>
                <w:szCs w:val="20"/>
              </w:rPr>
            </w:pPr>
            <w:r w:rsidRPr="00C2617C">
              <w:rPr>
                <w:b/>
                <w:color w:val="FFFFFF" w:themeColor="background1"/>
                <w:szCs w:val="20"/>
              </w:rPr>
              <w:t xml:space="preserve">Option 3 (for </w:t>
            </w:r>
            <w:r w:rsidR="00A0013F">
              <w:rPr>
                <w:b/>
                <w:color w:val="FFFFFF" w:themeColor="background1"/>
                <w:szCs w:val="20"/>
              </w:rPr>
              <w:t>WA, NT and ACT</w:t>
            </w:r>
            <w:r w:rsidRPr="00C2617C">
              <w:rPr>
                <w:b/>
                <w:color w:val="FFFFFF" w:themeColor="background1"/>
                <w:szCs w:val="20"/>
              </w:rPr>
              <w:t>)</w:t>
            </w:r>
          </w:p>
        </w:tc>
        <w:tc>
          <w:tcPr>
            <w:tcW w:w="1360" w:type="dxa"/>
            <w:shd w:val="clear" w:color="auto" w:fill="14233C" w:themeFill="text2"/>
          </w:tcPr>
          <w:p w14:paraId="01A600E3" w14:textId="77777777" w:rsidR="0097711F" w:rsidRPr="00C2617C" w:rsidRDefault="0097711F">
            <w:pPr>
              <w:jc w:val="center"/>
              <w:rPr>
                <w:b/>
                <w:bCs/>
                <w:color w:val="FFFFFF" w:themeColor="background1"/>
                <w:szCs w:val="20"/>
              </w:rPr>
            </w:pPr>
            <w:r w:rsidRPr="00C2617C">
              <w:rPr>
                <w:b/>
                <w:bCs/>
                <w:color w:val="FFFFFF" w:themeColor="background1"/>
                <w:szCs w:val="20"/>
              </w:rPr>
              <w:t>Option 3 (for NSW)</w:t>
            </w:r>
          </w:p>
        </w:tc>
      </w:tr>
      <w:tr w:rsidR="0097711F" w14:paraId="4FEBD07A" w14:textId="77777777" w:rsidTr="00E3170E">
        <w:tc>
          <w:tcPr>
            <w:tcW w:w="2652" w:type="dxa"/>
          </w:tcPr>
          <w:p w14:paraId="44EE3B9C" w14:textId="77777777" w:rsidR="0097711F" w:rsidRPr="00C2617C" w:rsidRDefault="0097711F">
            <w:pPr>
              <w:rPr>
                <w:szCs w:val="20"/>
              </w:rPr>
            </w:pPr>
            <w:r w:rsidRPr="00C2617C">
              <w:rPr>
                <w:szCs w:val="20"/>
              </w:rPr>
              <w:t>Improvement in child safety</w:t>
            </w:r>
          </w:p>
        </w:tc>
        <w:tc>
          <w:tcPr>
            <w:tcW w:w="994" w:type="dxa"/>
          </w:tcPr>
          <w:p w14:paraId="0271AF36" w14:textId="77777777" w:rsidR="0097711F" w:rsidRPr="00C2617C" w:rsidRDefault="0097711F">
            <w:pPr>
              <w:jc w:val="center"/>
              <w:rPr>
                <w:szCs w:val="20"/>
              </w:rPr>
            </w:pPr>
            <w:r w:rsidRPr="00C2617C">
              <w:rPr>
                <w:szCs w:val="20"/>
              </w:rPr>
              <w:t>50%</w:t>
            </w:r>
          </w:p>
        </w:tc>
        <w:tc>
          <w:tcPr>
            <w:tcW w:w="1169" w:type="dxa"/>
          </w:tcPr>
          <w:p w14:paraId="5E5B4E6E" w14:textId="77777777" w:rsidR="0097711F" w:rsidRPr="00C2617C" w:rsidRDefault="0097711F">
            <w:pPr>
              <w:jc w:val="center"/>
              <w:rPr>
                <w:szCs w:val="20"/>
              </w:rPr>
            </w:pPr>
            <w:r w:rsidRPr="00C2617C">
              <w:rPr>
                <w:szCs w:val="20"/>
              </w:rPr>
              <w:t>0</w:t>
            </w:r>
          </w:p>
        </w:tc>
        <w:tc>
          <w:tcPr>
            <w:tcW w:w="1134" w:type="dxa"/>
          </w:tcPr>
          <w:p w14:paraId="6FDCCB6B" w14:textId="77777777" w:rsidR="0097711F" w:rsidRPr="00C2617C" w:rsidRDefault="0097711F">
            <w:pPr>
              <w:jc w:val="center"/>
              <w:rPr>
                <w:szCs w:val="20"/>
              </w:rPr>
            </w:pPr>
            <w:r w:rsidRPr="00C2617C">
              <w:rPr>
                <w:szCs w:val="20"/>
              </w:rPr>
              <w:t>2</w:t>
            </w:r>
          </w:p>
        </w:tc>
        <w:tc>
          <w:tcPr>
            <w:tcW w:w="1701" w:type="dxa"/>
          </w:tcPr>
          <w:p w14:paraId="0474C993" w14:textId="77777777" w:rsidR="0097711F" w:rsidRPr="00C2617C" w:rsidRDefault="0097711F">
            <w:pPr>
              <w:jc w:val="center"/>
              <w:rPr>
                <w:szCs w:val="20"/>
              </w:rPr>
            </w:pPr>
            <w:r w:rsidRPr="00C2617C">
              <w:rPr>
                <w:szCs w:val="20"/>
              </w:rPr>
              <w:t>3</w:t>
            </w:r>
          </w:p>
        </w:tc>
        <w:tc>
          <w:tcPr>
            <w:tcW w:w="1360" w:type="dxa"/>
          </w:tcPr>
          <w:p w14:paraId="0F65D011" w14:textId="51771278" w:rsidR="0097711F" w:rsidRPr="00C2617C" w:rsidRDefault="00C75297">
            <w:pPr>
              <w:jc w:val="center"/>
              <w:rPr>
                <w:szCs w:val="20"/>
              </w:rPr>
            </w:pPr>
            <w:r>
              <w:rPr>
                <w:szCs w:val="20"/>
              </w:rPr>
              <w:t>1</w:t>
            </w:r>
          </w:p>
        </w:tc>
      </w:tr>
      <w:tr w:rsidR="0097711F" w14:paraId="798C0D20" w14:textId="77777777" w:rsidTr="00E3170E">
        <w:tc>
          <w:tcPr>
            <w:tcW w:w="2652" w:type="dxa"/>
          </w:tcPr>
          <w:p w14:paraId="24A9A9EB" w14:textId="77777777" w:rsidR="0097711F" w:rsidRPr="00C2617C" w:rsidRDefault="0097711F">
            <w:pPr>
              <w:rPr>
                <w:szCs w:val="20"/>
              </w:rPr>
            </w:pPr>
            <w:r w:rsidRPr="00C2617C">
              <w:rPr>
                <w:szCs w:val="20"/>
              </w:rPr>
              <w:t>Net cost of policy option</w:t>
            </w:r>
          </w:p>
        </w:tc>
        <w:tc>
          <w:tcPr>
            <w:tcW w:w="994" w:type="dxa"/>
          </w:tcPr>
          <w:p w14:paraId="1BE86ECB" w14:textId="77777777" w:rsidR="0097711F" w:rsidRPr="00C2617C" w:rsidRDefault="0097711F">
            <w:pPr>
              <w:jc w:val="center"/>
              <w:rPr>
                <w:szCs w:val="20"/>
              </w:rPr>
            </w:pPr>
            <w:r w:rsidRPr="00C2617C">
              <w:rPr>
                <w:szCs w:val="20"/>
              </w:rPr>
              <w:t>30%</w:t>
            </w:r>
          </w:p>
        </w:tc>
        <w:tc>
          <w:tcPr>
            <w:tcW w:w="1169" w:type="dxa"/>
          </w:tcPr>
          <w:p w14:paraId="3EEF3418" w14:textId="77777777" w:rsidR="0097711F" w:rsidRPr="00C2617C" w:rsidRDefault="0097711F">
            <w:pPr>
              <w:jc w:val="center"/>
              <w:rPr>
                <w:szCs w:val="20"/>
              </w:rPr>
            </w:pPr>
            <w:r w:rsidRPr="00C2617C">
              <w:rPr>
                <w:szCs w:val="20"/>
              </w:rPr>
              <w:t>0</w:t>
            </w:r>
          </w:p>
        </w:tc>
        <w:tc>
          <w:tcPr>
            <w:tcW w:w="1134" w:type="dxa"/>
          </w:tcPr>
          <w:p w14:paraId="79AE4818" w14:textId="77777777" w:rsidR="0097711F" w:rsidRPr="00C2617C" w:rsidRDefault="0097711F">
            <w:pPr>
              <w:jc w:val="center"/>
              <w:rPr>
                <w:szCs w:val="20"/>
              </w:rPr>
            </w:pPr>
            <w:r w:rsidRPr="00C2617C">
              <w:rPr>
                <w:szCs w:val="20"/>
              </w:rPr>
              <w:t>-2</w:t>
            </w:r>
          </w:p>
        </w:tc>
        <w:tc>
          <w:tcPr>
            <w:tcW w:w="1701" w:type="dxa"/>
          </w:tcPr>
          <w:p w14:paraId="2E10B695" w14:textId="600C771C" w:rsidR="0097711F" w:rsidRPr="00C2617C" w:rsidRDefault="0097711F">
            <w:pPr>
              <w:jc w:val="center"/>
              <w:rPr>
                <w:szCs w:val="20"/>
              </w:rPr>
            </w:pPr>
            <w:r w:rsidRPr="00C2617C">
              <w:rPr>
                <w:szCs w:val="20"/>
              </w:rPr>
              <w:t>-</w:t>
            </w:r>
            <w:r w:rsidR="00550964">
              <w:rPr>
                <w:szCs w:val="20"/>
              </w:rPr>
              <w:t>4</w:t>
            </w:r>
          </w:p>
        </w:tc>
        <w:tc>
          <w:tcPr>
            <w:tcW w:w="1360" w:type="dxa"/>
          </w:tcPr>
          <w:p w14:paraId="52394154" w14:textId="59424E21" w:rsidR="0097711F" w:rsidRPr="00C2617C" w:rsidRDefault="00550964">
            <w:pPr>
              <w:jc w:val="center"/>
              <w:rPr>
                <w:szCs w:val="20"/>
              </w:rPr>
            </w:pPr>
            <w:r>
              <w:rPr>
                <w:szCs w:val="20"/>
              </w:rPr>
              <w:t>0</w:t>
            </w:r>
          </w:p>
        </w:tc>
      </w:tr>
      <w:tr w:rsidR="0097711F" w14:paraId="32439702" w14:textId="77777777" w:rsidTr="00E3170E">
        <w:tc>
          <w:tcPr>
            <w:tcW w:w="2652" w:type="dxa"/>
          </w:tcPr>
          <w:p w14:paraId="0CE08E1F" w14:textId="0163BE93" w:rsidR="0097711F" w:rsidRPr="00C2617C" w:rsidRDefault="0097711F">
            <w:pPr>
              <w:rPr>
                <w:szCs w:val="20"/>
              </w:rPr>
            </w:pPr>
            <w:r w:rsidRPr="00C2617C">
              <w:rPr>
                <w:szCs w:val="20"/>
              </w:rPr>
              <w:t xml:space="preserve">Implementation </w:t>
            </w:r>
            <w:r w:rsidR="004151E0">
              <w:rPr>
                <w:szCs w:val="20"/>
              </w:rPr>
              <w:t>considerations</w:t>
            </w:r>
          </w:p>
        </w:tc>
        <w:tc>
          <w:tcPr>
            <w:tcW w:w="994" w:type="dxa"/>
          </w:tcPr>
          <w:p w14:paraId="1DB8FABA" w14:textId="77777777" w:rsidR="0097711F" w:rsidRPr="00C2617C" w:rsidRDefault="0097711F">
            <w:pPr>
              <w:jc w:val="center"/>
              <w:rPr>
                <w:szCs w:val="20"/>
              </w:rPr>
            </w:pPr>
            <w:r w:rsidRPr="00C2617C">
              <w:rPr>
                <w:szCs w:val="20"/>
              </w:rPr>
              <w:t>10%</w:t>
            </w:r>
          </w:p>
        </w:tc>
        <w:tc>
          <w:tcPr>
            <w:tcW w:w="1169" w:type="dxa"/>
          </w:tcPr>
          <w:p w14:paraId="5C7785A3" w14:textId="77777777" w:rsidR="0097711F" w:rsidRPr="00C2617C" w:rsidRDefault="0097711F">
            <w:pPr>
              <w:jc w:val="center"/>
              <w:rPr>
                <w:szCs w:val="20"/>
              </w:rPr>
            </w:pPr>
            <w:r w:rsidRPr="00C2617C">
              <w:rPr>
                <w:szCs w:val="20"/>
              </w:rPr>
              <w:t>0</w:t>
            </w:r>
          </w:p>
        </w:tc>
        <w:tc>
          <w:tcPr>
            <w:tcW w:w="1134" w:type="dxa"/>
          </w:tcPr>
          <w:p w14:paraId="704EB6C6" w14:textId="77777777" w:rsidR="0097711F" w:rsidRPr="00C2617C" w:rsidRDefault="0097711F">
            <w:pPr>
              <w:jc w:val="center"/>
              <w:rPr>
                <w:szCs w:val="20"/>
              </w:rPr>
            </w:pPr>
            <w:r w:rsidRPr="00C2617C">
              <w:rPr>
                <w:szCs w:val="20"/>
              </w:rPr>
              <w:t>-1</w:t>
            </w:r>
          </w:p>
        </w:tc>
        <w:tc>
          <w:tcPr>
            <w:tcW w:w="1701" w:type="dxa"/>
          </w:tcPr>
          <w:p w14:paraId="16C6ADBD" w14:textId="77777777" w:rsidR="0097711F" w:rsidRPr="00C2617C" w:rsidRDefault="0097711F">
            <w:pPr>
              <w:jc w:val="center"/>
              <w:rPr>
                <w:szCs w:val="20"/>
              </w:rPr>
            </w:pPr>
            <w:r w:rsidRPr="00C2617C">
              <w:rPr>
                <w:szCs w:val="20"/>
              </w:rPr>
              <w:t>-5</w:t>
            </w:r>
          </w:p>
        </w:tc>
        <w:tc>
          <w:tcPr>
            <w:tcW w:w="1360" w:type="dxa"/>
          </w:tcPr>
          <w:p w14:paraId="5F03DD09" w14:textId="5FBC2379" w:rsidR="0097711F" w:rsidRPr="00C2617C" w:rsidRDefault="003E7BBF">
            <w:pPr>
              <w:jc w:val="center"/>
              <w:rPr>
                <w:szCs w:val="20"/>
              </w:rPr>
            </w:pPr>
            <w:r>
              <w:rPr>
                <w:szCs w:val="20"/>
              </w:rPr>
              <w:t>0</w:t>
            </w:r>
          </w:p>
        </w:tc>
      </w:tr>
      <w:tr w:rsidR="0097711F" w14:paraId="19C17F19" w14:textId="77777777" w:rsidTr="00E3170E">
        <w:tc>
          <w:tcPr>
            <w:tcW w:w="2652" w:type="dxa"/>
          </w:tcPr>
          <w:p w14:paraId="6605016A" w14:textId="77777777" w:rsidR="0097711F" w:rsidRPr="00C2617C" w:rsidRDefault="0097711F">
            <w:pPr>
              <w:rPr>
                <w:szCs w:val="20"/>
              </w:rPr>
            </w:pPr>
            <w:r w:rsidRPr="00C2617C">
              <w:rPr>
                <w:szCs w:val="20"/>
              </w:rPr>
              <w:t>Distributional impact</w:t>
            </w:r>
          </w:p>
        </w:tc>
        <w:tc>
          <w:tcPr>
            <w:tcW w:w="994" w:type="dxa"/>
          </w:tcPr>
          <w:p w14:paraId="6914299B" w14:textId="77777777" w:rsidR="0097711F" w:rsidRPr="00C2617C" w:rsidRDefault="0097711F">
            <w:pPr>
              <w:jc w:val="center"/>
              <w:rPr>
                <w:szCs w:val="20"/>
              </w:rPr>
            </w:pPr>
            <w:r w:rsidRPr="00C2617C">
              <w:rPr>
                <w:szCs w:val="20"/>
              </w:rPr>
              <w:t>10%</w:t>
            </w:r>
          </w:p>
        </w:tc>
        <w:tc>
          <w:tcPr>
            <w:tcW w:w="1169" w:type="dxa"/>
          </w:tcPr>
          <w:p w14:paraId="458D00F1" w14:textId="77777777" w:rsidR="0097711F" w:rsidRPr="00C2617C" w:rsidRDefault="0097711F">
            <w:pPr>
              <w:jc w:val="center"/>
              <w:rPr>
                <w:szCs w:val="20"/>
              </w:rPr>
            </w:pPr>
            <w:r w:rsidRPr="00C2617C">
              <w:rPr>
                <w:szCs w:val="20"/>
              </w:rPr>
              <w:t>0</w:t>
            </w:r>
          </w:p>
        </w:tc>
        <w:tc>
          <w:tcPr>
            <w:tcW w:w="1134" w:type="dxa"/>
          </w:tcPr>
          <w:p w14:paraId="4D69EB07" w14:textId="77777777" w:rsidR="0097711F" w:rsidRPr="00C2617C" w:rsidRDefault="0097711F">
            <w:pPr>
              <w:jc w:val="center"/>
              <w:rPr>
                <w:szCs w:val="20"/>
              </w:rPr>
            </w:pPr>
            <w:r w:rsidRPr="00C2617C">
              <w:rPr>
                <w:szCs w:val="20"/>
              </w:rPr>
              <w:t>0</w:t>
            </w:r>
          </w:p>
        </w:tc>
        <w:tc>
          <w:tcPr>
            <w:tcW w:w="1701" w:type="dxa"/>
          </w:tcPr>
          <w:p w14:paraId="736A3E56" w14:textId="77777777" w:rsidR="0097711F" w:rsidRPr="00C2617C" w:rsidRDefault="0097711F">
            <w:pPr>
              <w:jc w:val="center"/>
              <w:rPr>
                <w:szCs w:val="20"/>
              </w:rPr>
            </w:pPr>
            <w:r w:rsidRPr="00C2617C">
              <w:rPr>
                <w:szCs w:val="20"/>
              </w:rPr>
              <w:t>-3</w:t>
            </w:r>
          </w:p>
        </w:tc>
        <w:tc>
          <w:tcPr>
            <w:tcW w:w="1360" w:type="dxa"/>
          </w:tcPr>
          <w:p w14:paraId="4DE65E6E" w14:textId="77777777" w:rsidR="0097711F" w:rsidRPr="00C2617C" w:rsidRDefault="0097711F">
            <w:pPr>
              <w:jc w:val="center"/>
              <w:rPr>
                <w:szCs w:val="20"/>
              </w:rPr>
            </w:pPr>
            <w:r w:rsidRPr="00C2617C">
              <w:rPr>
                <w:szCs w:val="20"/>
              </w:rPr>
              <w:t>0</w:t>
            </w:r>
          </w:p>
        </w:tc>
      </w:tr>
      <w:tr w:rsidR="0097711F" w14:paraId="4E3550EA" w14:textId="77777777" w:rsidTr="00E3170E">
        <w:tc>
          <w:tcPr>
            <w:tcW w:w="2652" w:type="dxa"/>
          </w:tcPr>
          <w:p w14:paraId="2F35B375" w14:textId="1A6B317A" w:rsidR="0097711F" w:rsidRPr="00C2617C" w:rsidRDefault="0097711F">
            <w:pPr>
              <w:rPr>
                <w:b/>
                <w:szCs w:val="20"/>
              </w:rPr>
            </w:pPr>
            <w:r w:rsidRPr="00C2617C">
              <w:rPr>
                <w:b/>
                <w:szCs w:val="20"/>
              </w:rPr>
              <w:t>Weighted score</w:t>
            </w:r>
          </w:p>
        </w:tc>
        <w:tc>
          <w:tcPr>
            <w:tcW w:w="994" w:type="dxa"/>
          </w:tcPr>
          <w:p w14:paraId="3A324D05" w14:textId="77777777" w:rsidR="0097711F" w:rsidRPr="00C2617C" w:rsidRDefault="0097711F">
            <w:pPr>
              <w:jc w:val="center"/>
              <w:rPr>
                <w:szCs w:val="20"/>
              </w:rPr>
            </w:pPr>
          </w:p>
        </w:tc>
        <w:tc>
          <w:tcPr>
            <w:tcW w:w="1169" w:type="dxa"/>
          </w:tcPr>
          <w:p w14:paraId="36C19787" w14:textId="77777777" w:rsidR="0097711F" w:rsidRPr="00C2617C" w:rsidRDefault="0097711F">
            <w:pPr>
              <w:jc w:val="center"/>
              <w:rPr>
                <w:b/>
                <w:szCs w:val="20"/>
              </w:rPr>
            </w:pPr>
            <w:r w:rsidRPr="00C2617C">
              <w:rPr>
                <w:b/>
                <w:szCs w:val="20"/>
              </w:rPr>
              <w:t>0</w:t>
            </w:r>
          </w:p>
        </w:tc>
        <w:tc>
          <w:tcPr>
            <w:tcW w:w="1134" w:type="dxa"/>
          </w:tcPr>
          <w:p w14:paraId="3BDEE04C" w14:textId="77777777" w:rsidR="0097711F" w:rsidRPr="00C2617C" w:rsidRDefault="0097711F">
            <w:pPr>
              <w:jc w:val="center"/>
              <w:rPr>
                <w:b/>
                <w:szCs w:val="20"/>
              </w:rPr>
            </w:pPr>
            <w:r w:rsidRPr="00C2617C">
              <w:rPr>
                <w:b/>
                <w:szCs w:val="20"/>
              </w:rPr>
              <w:t>0.3</w:t>
            </w:r>
          </w:p>
        </w:tc>
        <w:tc>
          <w:tcPr>
            <w:tcW w:w="1701" w:type="dxa"/>
          </w:tcPr>
          <w:p w14:paraId="704F9DAC" w14:textId="4FA9D0D7" w:rsidR="0097711F" w:rsidRPr="00C2617C" w:rsidRDefault="0097711F">
            <w:pPr>
              <w:jc w:val="center"/>
              <w:rPr>
                <w:b/>
                <w:szCs w:val="20"/>
              </w:rPr>
            </w:pPr>
            <w:r w:rsidRPr="00C2617C">
              <w:rPr>
                <w:b/>
                <w:szCs w:val="20"/>
              </w:rPr>
              <w:t>-0.</w:t>
            </w:r>
            <w:r w:rsidR="003A1687">
              <w:rPr>
                <w:b/>
                <w:szCs w:val="20"/>
              </w:rPr>
              <w:t>5</w:t>
            </w:r>
          </w:p>
        </w:tc>
        <w:tc>
          <w:tcPr>
            <w:tcW w:w="1360" w:type="dxa"/>
          </w:tcPr>
          <w:p w14:paraId="3960B610" w14:textId="49926934" w:rsidR="0097711F" w:rsidRPr="00C2617C" w:rsidRDefault="0097711F">
            <w:pPr>
              <w:jc w:val="center"/>
              <w:rPr>
                <w:b/>
                <w:bCs/>
                <w:szCs w:val="20"/>
              </w:rPr>
            </w:pPr>
            <w:r w:rsidRPr="00C2617C">
              <w:rPr>
                <w:b/>
                <w:bCs/>
                <w:szCs w:val="20"/>
              </w:rPr>
              <w:t>0</w:t>
            </w:r>
            <w:r w:rsidR="00C75297">
              <w:rPr>
                <w:b/>
                <w:bCs/>
                <w:szCs w:val="20"/>
              </w:rPr>
              <w:t>.5</w:t>
            </w:r>
          </w:p>
        </w:tc>
      </w:tr>
    </w:tbl>
    <w:p w14:paraId="6E6DF753" w14:textId="77777777" w:rsidR="0097711F" w:rsidRDefault="0097711F" w:rsidP="0097711F"/>
    <w:p w14:paraId="4F0C9A0A" w14:textId="6F755F83" w:rsidR="00AA1207" w:rsidRPr="00273D6E" w:rsidRDefault="00206297" w:rsidP="00AA1207">
      <w:r>
        <w:t>The MCA scores suggest that option 2</w:t>
      </w:r>
      <w:r w:rsidR="00C75297">
        <w:t xml:space="preserve"> and option 3 (for NSW)</w:t>
      </w:r>
      <w:r>
        <w:t xml:space="preserve"> </w:t>
      </w:r>
      <w:r w:rsidR="00550E5A">
        <w:t>represent an improvement on the status quo (option 1), due to the improvement in child safety outcomes offsetting potential costs of the proposed options</w:t>
      </w:r>
      <w:r w:rsidR="00C75297">
        <w:t>. For NSW, option 3</w:t>
      </w:r>
      <w:r w:rsidR="00AA1207">
        <w:t xml:space="preserve"> (for NSW)</w:t>
      </w:r>
      <w:r w:rsidR="00C75297">
        <w:t xml:space="preserve"> imposes no cost as the </w:t>
      </w:r>
      <w:r w:rsidR="007C07F0">
        <w:t xml:space="preserve">sector already requires an individual </w:t>
      </w:r>
      <w:r w:rsidR="00C75297">
        <w:t>to hold a</w:t>
      </w:r>
      <w:r w:rsidR="007C07F0">
        <w:t xml:space="preserve"> valid</w:t>
      </w:r>
      <w:r w:rsidR="00C75297">
        <w:t xml:space="preserve"> WWCC</w:t>
      </w:r>
      <w:r w:rsidR="007C07F0">
        <w:t>,</w:t>
      </w:r>
      <w:r w:rsidR="00C75297">
        <w:t xml:space="preserve"> but this reform is seeking to clarify this </w:t>
      </w:r>
      <w:r w:rsidR="007C07F0">
        <w:t xml:space="preserve">requirement </w:t>
      </w:r>
      <w:r w:rsidR="00C75297">
        <w:t>beyond doubt.</w:t>
      </w:r>
      <w:r w:rsidR="00550E5A">
        <w:t xml:space="preserve"> However, option 3 </w:t>
      </w:r>
      <w:r w:rsidR="00AA1207">
        <w:t xml:space="preserve">(for WA, NT and ACT) </w:t>
      </w:r>
      <w:r w:rsidR="00567EE4">
        <w:t xml:space="preserve">is expected to be more costly if applied in </w:t>
      </w:r>
      <w:r w:rsidR="00A0013F">
        <w:t>WA, NT and ACT</w:t>
      </w:r>
      <w:r w:rsidR="000228AC">
        <w:t>, as it could result in workforce shortages. Further, option 3</w:t>
      </w:r>
      <w:r w:rsidR="00AA1207">
        <w:t xml:space="preserve"> (for WA, NT and ACT)</w:t>
      </w:r>
      <w:r w:rsidR="000228AC">
        <w:t xml:space="preserve"> was not perceived to result in a marked improvement in child safety outcomes, as there is no anecdotal evidence that allowing </w:t>
      </w:r>
      <w:r w:rsidR="00037ECF">
        <w:t xml:space="preserve">an individual to commence in a role without an approved WWCC has historically posed a risk to the safety of children. </w:t>
      </w:r>
      <w:r w:rsidR="00AA1207">
        <w:t>The rationale for each MCA score is outlined in the sections below.</w:t>
      </w:r>
    </w:p>
    <w:p w14:paraId="625A4577" w14:textId="77777777" w:rsidR="0097711F" w:rsidRDefault="0097711F" w:rsidP="0097711F">
      <w:pPr>
        <w:pStyle w:val="Heading4"/>
      </w:pPr>
      <w:r>
        <w:t xml:space="preserve">Impact on child safety </w:t>
      </w:r>
    </w:p>
    <w:p w14:paraId="3C27D02E" w14:textId="779B1958" w:rsidR="0097711F" w:rsidRDefault="0097711F" w:rsidP="0097711F">
      <w:r>
        <w:rPr>
          <w:rFonts w:eastAsiaTheme="minorEastAsia"/>
          <w:szCs w:val="22"/>
          <w:lang w:eastAsia="zh-CN" w:bidi="th-TH"/>
        </w:rPr>
        <w:t>Under option 2, it is anticipated that clear and specific guidance</w:t>
      </w:r>
      <w:r w:rsidRPr="00BB0CF6">
        <w:rPr>
          <w:rFonts w:eastAsiaTheme="minorEastAsia"/>
          <w:szCs w:val="22"/>
          <w:lang w:eastAsia="zh-CN" w:bidi="th-TH"/>
        </w:rPr>
        <w:t xml:space="preserve"> would support </w:t>
      </w:r>
      <w:r>
        <w:rPr>
          <w:rFonts w:eastAsiaTheme="minorEastAsia"/>
          <w:szCs w:val="22"/>
          <w:lang w:eastAsia="zh-CN" w:bidi="th-TH"/>
        </w:rPr>
        <w:t xml:space="preserve">approved </w:t>
      </w:r>
      <w:r w:rsidRPr="00BB0CF6">
        <w:rPr>
          <w:rFonts w:eastAsiaTheme="minorEastAsia"/>
          <w:szCs w:val="22"/>
          <w:lang w:eastAsia="zh-CN" w:bidi="th-TH"/>
        </w:rPr>
        <w:t>providers to better understand WWCC requirements</w:t>
      </w:r>
      <w:r>
        <w:rPr>
          <w:rFonts w:eastAsiaTheme="minorEastAsia"/>
          <w:szCs w:val="22"/>
          <w:lang w:eastAsia="zh-CN" w:bidi="th-TH"/>
        </w:rPr>
        <w:t xml:space="preserve">, </w:t>
      </w:r>
      <w:r w:rsidRPr="00BB0CF6">
        <w:rPr>
          <w:rFonts w:eastAsiaTheme="minorEastAsia"/>
          <w:szCs w:val="22"/>
          <w:lang w:eastAsia="zh-CN" w:bidi="th-TH"/>
        </w:rPr>
        <w:t>including differences in requirements for multi-jurisdictional providers</w:t>
      </w:r>
      <w:r>
        <w:rPr>
          <w:rFonts w:eastAsiaTheme="minorEastAsia"/>
          <w:szCs w:val="22"/>
          <w:lang w:eastAsia="zh-CN" w:bidi="th-TH"/>
        </w:rPr>
        <w:t xml:space="preserve">. This would reduce administrative burden (particularly for approved providers who operate across jurisdictions) and support approved providers to meet their obligations under relevant jurisdictional </w:t>
      </w:r>
      <w:r w:rsidR="00FF5143">
        <w:rPr>
          <w:rFonts w:eastAsiaTheme="minorEastAsia"/>
          <w:szCs w:val="22"/>
          <w:lang w:eastAsia="zh-CN" w:bidi="th-TH"/>
        </w:rPr>
        <w:t xml:space="preserve">legislation </w:t>
      </w:r>
      <w:r w:rsidR="007433F8">
        <w:rPr>
          <w:rFonts w:eastAsiaTheme="minorEastAsia"/>
          <w:szCs w:val="22"/>
          <w:lang w:eastAsia="zh-CN" w:bidi="th-TH"/>
        </w:rPr>
        <w:t>and</w:t>
      </w:r>
      <w:r>
        <w:rPr>
          <w:rFonts w:eastAsiaTheme="minorEastAsia"/>
          <w:szCs w:val="22"/>
          <w:lang w:eastAsia="zh-CN" w:bidi="th-TH"/>
        </w:rPr>
        <w:t xml:space="preserve"> the NQF. Further, option 2 could encourage greater adoption of ‘best practices’ regarding WWCCs, which could result in child safety improvements, depending on the practices adopted. Consulted stakeholders </w:t>
      </w:r>
      <w:r>
        <w:rPr>
          <w:rFonts w:eastAsiaTheme="minorEastAsia"/>
          <w:szCs w:val="22"/>
          <w:lang w:eastAsia="zh-CN" w:bidi="th-TH"/>
        </w:rPr>
        <w:lastRenderedPageBreak/>
        <w:t>believed</w:t>
      </w:r>
      <w:r w:rsidRPr="00E56E87">
        <w:t xml:space="preserve"> that </w:t>
      </w:r>
      <w:r>
        <w:t xml:space="preserve">option 2 would somewhat reduce the risk of harm to children (refer to </w:t>
      </w:r>
      <w:r w:rsidRPr="007475F0">
        <w:t>Chart 8.</w:t>
      </w:r>
      <w:r>
        <w:t xml:space="preserve">1). </w:t>
      </w:r>
    </w:p>
    <w:p w14:paraId="5E6A4868" w14:textId="77777777" w:rsidR="0097711F" w:rsidRPr="00057988" w:rsidRDefault="0097711F" w:rsidP="0097711F">
      <w:pPr>
        <w:pStyle w:val="Caption"/>
      </w:pPr>
      <w:bookmarkStart w:id="139" w:name="_Toc201934908"/>
      <w:bookmarkStart w:id="140" w:name="_Toc205884962"/>
      <w:r w:rsidRPr="007475F0">
        <w:t>Chart 8.1: Approved</w:t>
      </w:r>
      <w:r w:rsidRPr="00057988">
        <w:t xml:space="preserve"> provider responses to “How much do you think each option will reduce the risk of harm to children?”</w:t>
      </w:r>
      <w:bookmarkEnd w:id="139"/>
      <w:bookmarkEnd w:id="140"/>
      <w:r w:rsidRPr="00057988">
        <w:t xml:space="preserve"> </w:t>
      </w:r>
    </w:p>
    <w:p w14:paraId="2E689380" w14:textId="77777777" w:rsidR="0097711F" w:rsidRDefault="0097711F" w:rsidP="0097711F">
      <w:r w:rsidRPr="00000C0B">
        <w:rPr>
          <w:noProof/>
          <w14:ligatures w14:val="standardContextual"/>
        </w:rPr>
        <w:t xml:space="preserve"> </w:t>
      </w:r>
      <w:r>
        <w:rPr>
          <w:noProof/>
          <w14:ligatures w14:val="standardContextual"/>
        </w:rPr>
        <w:drawing>
          <wp:inline distT="0" distB="0" distL="0" distR="0" wp14:anchorId="60949DF7" wp14:editId="012A45B1">
            <wp:extent cx="5179546" cy="2784148"/>
            <wp:effectExtent l="0" t="0" r="2540" b="0"/>
            <wp:docPr id="42894552"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7D2BC9BF-CB99-CDAE-72C4-C2D6411A1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CEF678B" w14:textId="77777777" w:rsidR="0097711F" w:rsidRPr="00057988" w:rsidRDefault="0097711F" w:rsidP="00976C70">
      <w:pPr>
        <w:pStyle w:val="Source-CSR"/>
        <w:rPr>
          <w:rFonts w:eastAsia="Calibri" w:cs="Arial"/>
          <w:color w:val="808080"/>
        </w:rPr>
      </w:pPr>
      <w:r w:rsidRPr="0108E865">
        <w:t>Source: Approved provider survey, as of 11 June 2025</w:t>
      </w:r>
      <w:r w:rsidRPr="00636B94">
        <w:t>, Q59, option 1 n=146, option 2 n=146, option 3 n=145.</w:t>
      </w:r>
    </w:p>
    <w:p w14:paraId="07643BBB" w14:textId="14283C1C" w:rsidR="0097711F" w:rsidRDefault="0097711F" w:rsidP="0097711F">
      <w:r>
        <w:t xml:space="preserve">Option 3 would promote national consistency and clarity of WWCC requirements in the education and care sector, whereby no one can work or volunteer in a service until they have received their WWCC. This option would reduce the risk of an unsuitable individual being able to work in an education and care setting, however </w:t>
      </w:r>
      <w:r w:rsidR="00803399">
        <w:t xml:space="preserve">this risk is broader than what is </w:t>
      </w:r>
      <w:r w:rsidR="0074054B">
        <w:t>covered by WWCC checks</w:t>
      </w:r>
      <w:r>
        <w:t>.</w:t>
      </w:r>
      <w:r w:rsidR="00F450FF">
        <w:t xml:space="preserve"> As such, this impact of this option could be minimal.</w:t>
      </w:r>
      <w:r>
        <w:t xml:space="preserve"> </w:t>
      </w:r>
    </w:p>
    <w:p w14:paraId="2B542EB4" w14:textId="6696AA74" w:rsidR="0097711F" w:rsidRDefault="0097711F" w:rsidP="0097711F">
      <w:r>
        <w:t>In consultations, representatives from several jurisdictions (including some impacted and not impacted by the change) expressed doubts about the option’s impact on</w:t>
      </w:r>
      <w:r w:rsidR="00C33D55">
        <w:t xml:space="preserve"> reducing</w:t>
      </w:r>
      <w:r>
        <w:t xml:space="preserve"> harm to children. WWCC screening agencies believed that pre-screening and interim barring processes in place across jurisdictions are sufficient for reducing the risk that an individual with a known history of harm would be able to work in an education and care setting. In addition to these interim barring processes, most approved providers in jurisdictions that allow commencement of </w:t>
      </w:r>
      <w:r w:rsidR="00193713">
        <w:t xml:space="preserve">work while </w:t>
      </w:r>
      <w:r>
        <w:t>a WWCC</w:t>
      </w:r>
      <w:r w:rsidR="00193713">
        <w:t xml:space="preserve"> application is being processed,</w:t>
      </w:r>
      <w:r>
        <w:t xml:space="preserve"> indicated that individuals without an approved WWCC are required to be supervised by a staff member with an approved WWCC. </w:t>
      </w:r>
    </w:p>
    <w:p w14:paraId="57908AF4" w14:textId="77777777" w:rsidR="0097711F" w:rsidRDefault="0097711F" w:rsidP="0097711F">
      <w:r>
        <w:t xml:space="preserve">Further, Regulatory Authorities and WWCC screening agencies from impacted jurisdictions could not recall any instances where enabling someone to work without an approved WWCC has resulted in harm to children. </w:t>
      </w:r>
    </w:p>
    <w:p w14:paraId="5F2F8B21" w14:textId="11BFE0B6" w:rsidR="0097711F" w:rsidRDefault="0097711F" w:rsidP="0097711F">
      <w:r>
        <w:lastRenderedPageBreak/>
        <w:t xml:space="preserve">Despite this, most survey respondents reported that option 3 would </w:t>
      </w:r>
      <w:r w:rsidR="007966CC">
        <w:t>‘</w:t>
      </w:r>
      <w:r>
        <w:t>greatly reduce</w:t>
      </w:r>
      <w:r w:rsidR="007966CC">
        <w:t>’</w:t>
      </w:r>
      <w:r>
        <w:t xml:space="preserve"> the risk of harm to children (refer </w:t>
      </w:r>
      <w:r w:rsidRPr="007475F0">
        <w:t>to Chart 8.</w:t>
      </w:r>
      <w:r>
        <w:t xml:space="preserve">1). Stakeholders frequently noted that national consistency would help reduce the risks of harm. However, stakeholders responding to the survey would have been largely unaware that the current process by which individuals commence in roles without an approved WWCC (1) is subject to interim screening processes and (2) has not resulted in known harm to children to date. </w:t>
      </w:r>
    </w:p>
    <w:p w14:paraId="3DF95EAF" w14:textId="7DF63469" w:rsidR="0097711F" w:rsidRPr="00D67A69" w:rsidRDefault="0097711F" w:rsidP="00E45772">
      <w:pPr>
        <w:rPr>
          <w:b/>
          <w:bCs/>
          <w:i/>
          <w:iCs/>
        </w:rPr>
      </w:pPr>
      <w:r w:rsidRPr="0030409E">
        <w:t xml:space="preserve">Based on the balance of evidence collected, option 2 has been assigned </w:t>
      </w:r>
      <w:r w:rsidR="003055D7" w:rsidRPr="00494A98">
        <w:t>an MCA</w:t>
      </w:r>
      <w:r w:rsidRPr="00494A98">
        <w:t xml:space="preserve"> score of one for this criterion and option 3 (for </w:t>
      </w:r>
      <w:r w:rsidR="00A0013F" w:rsidRPr="00494A98">
        <w:t>WA, NT and ACT</w:t>
      </w:r>
      <w:r w:rsidRPr="00494A98">
        <w:t xml:space="preserve">) has been assigned </w:t>
      </w:r>
      <w:r w:rsidR="003055D7" w:rsidRPr="00494A98">
        <w:t>an MCA</w:t>
      </w:r>
      <w:r w:rsidRPr="00494A98">
        <w:t xml:space="preserve"> </w:t>
      </w:r>
      <w:r w:rsidR="00494A98">
        <w:t xml:space="preserve">score </w:t>
      </w:r>
      <w:r w:rsidRPr="00494A98">
        <w:t>of two. Option 2 has been assigned a lower MCA score on the basis that it is ‘opt-in’ and hence requires approved providers to actively implement best practice approaches. While there is mixed sentiment regarding the impact of option 3</w:t>
      </w:r>
      <w:r w:rsidR="00494A98">
        <w:t xml:space="preserve"> (for WA, NT and ACT)</w:t>
      </w:r>
      <w:r w:rsidRPr="00494A98">
        <w:t>, there is greater potential that it reduces the risk of harm to children relative to option 2</w:t>
      </w:r>
      <w:r w:rsidR="00C719D7" w:rsidRPr="00494A98">
        <w:t xml:space="preserve">, since all </w:t>
      </w:r>
      <w:r w:rsidR="00D35241" w:rsidRPr="00494A98">
        <w:t xml:space="preserve">individuals working with children would </w:t>
      </w:r>
      <w:r w:rsidR="009035CC" w:rsidRPr="00494A98">
        <w:t>have a WWCC</w:t>
      </w:r>
      <w:r w:rsidR="00D35241" w:rsidRPr="00494A98">
        <w:t>.</w:t>
      </w:r>
      <w:r w:rsidRPr="0030409E">
        <w:rPr>
          <w:b/>
          <w:i/>
        </w:rPr>
        <w:t xml:space="preserve"> </w:t>
      </w:r>
    </w:p>
    <w:p w14:paraId="64D675EE" w14:textId="7879DAC8" w:rsidR="00B62E1C" w:rsidRDefault="00683BBD" w:rsidP="0097711F">
      <w:r>
        <w:t xml:space="preserve">The NSW education and care sector has been operating with a position that an approved WWCC is required prior to commencing </w:t>
      </w:r>
      <w:r w:rsidR="00E70C24">
        <w:t xml:space="preserve">a role and this option seeks to put this practice beyond doubt. </w:t>
      </w:r>
      <w:r w:rsidR="00AB3D8B">
        <w:t>T</w:t>
      </w:r>
      <w:r w:rsidR="0097711F">
        <w:t xml:space="preserve">he regulatory option would have a different impact on NSW when compared to other jurisdictions – in this case option 3 </w:t>
      </w:r>
      <w:r w:rsidR="00AA01F5">
        <w:t xml:space="preserve">(for NSW) </w:t>
      </w:r>
      <w:r w:rsidR="0097711F">
        <w:t xml:space="preserve">aligns with current practices </w:t>
      </w:r>
      <w:r w:rsidR="0056308B">
        <w:t>in N</w:t>
      </w:r>
      <w:r w:rsidR="00547C73">
        <w:t>SW</w:t>
      </w:r>
      <w:r w:rsidR="003078B5">
        <w:t>, however requiring a valid WWCC beyond doubt will ensure no changes to this practice emerge in the future.</w:t>
      </w:r>
      <w:r w:rsidR="0097711F">
        <w:t xml:space="preserve"> As such, option 3</w:t>
      </w:r>
      <w:r w:rsidR="00AA01F5">
        <w:t xml:space="preserve"> (for NSW)</w:t>
      </w:r>
      <w:r w:rsidR="0097711F">
        <w:t xml:space="preserve"> has been assigned </w:t>
      </w:r>
      <w:r w:rsidR="003055D7">
        <w:t>an MCA</w:t>
      </w:r>
      <w:r w:rsidR="0097711F">
        <w:t xml:space="preserve"> score of </w:t>
      </w:r>
      <w:r w:rsidR="00EC2D14">
        <w:t>one</w:t>
      </w:r>
      <w:r w:rsidR="0070256E">
        <w:t xml:space="preserve"> </w:t>
      </w:r>
      <w:r w:rsidR="0097711F">
        <w:t>for this criterion.</w:t>
      </w:r>
    </w:p>
    <w:p w14:paraId="29DE6E5B" w14:textId="77777777" w:rsidR="0097711F" w:rsidRPr="00466043" w:rsidRDefault="0097711F" w:rsidP="0097711F">
      <w:pPr>
        <w:pStyle w:val="Heading4"/>
      </w:pPr>
      <w:r w:rsidRPr="00466043">
        <w:t xml:space="preserve">Cost of </w:t>
      </w:r>
      <w:r>
        <w:t>each</w:t>
      </w:r>
      <w:r w:rsidRPr="00466043">
        <w:t xml:space="preserve"> option</w:t>
      </w:r>
    </w:p>
    <w:p w14:paraId="553C5779" w14:textId="29741B5B" w:rsidR="0097711F" w:rsidRPr="00667B80" w:rsidRDefault="0097711F" w:rsidP="0097711F">
      <w:r>
        <w:t>Under option 2, the government would incur</w:t>
      </w:r>
      <w:r w:rsidRPr="00C04B8D">
        <w:t xml:space="preserve"> cost</w:t>
      </w:r>
      <w:r>
        <w:t>s</w:t>
      </w:r>
      <w:r w:rsidRPr="00C04B8D">
        <w:t xml:space="preserve"> </w:t>
      </w:r>
      <w:r>
        <w:t xml:space="preserve">associated with the </w:t>
      </w:r>
      <w:r w:rsidRPr="00C04B8D">
        <w:t>develop</w:t>
      </w:r>
      <w:r>
        <w:t>ment of</w:t>
      </w:r>
      <w:r w:rsidRPr="00C04B8D">
        <w:t xml:space="preserve"> guidance to improve awareness of </w:t>
      </w:r>
      <w:r w:rsidRPr="00C04B8D">
        <w:rPr>
          <w:szCs w:val="22"/>
        </w:rPr>
        <w:t>WWCC requirements</w:t>
      </w:r>
      <w:r>
        <w:t>. Incremental c</w:t>
      </w:r>
      <w:r w:rsidRPr="00B53153">
        <w:t xml:space="preserve">osts will be more significant if relevant materials cannot be developed with the support of existing government resources and as part of business-as-usual activities. </w:t>
      </w:r>
      <w:r>
        <w:t>Any approved providers that choose to adopt this guidance may incur additional costs associated with checking WWCC statuses</w:t>
      </w:r>
      <w:r w:rsidR="00CE336C">
        <w:t xml:space="preserve"> (beyond the checks that are already undertaken)</w:t>
      </w:r>
      <w:r>
        <w:t xml:space="preserve"> to ensure staff have a valid WWCC on file prior to employment. The latter component could be costly in the event that (1) an individual does not have a valid WWCC and (2) there is a long wait time to receive a WWCC. </w:t>
      </w:r>
    </w:p>
    <w:p w14:paraId="06F4A290" w14:textId="45E3F71E" w:rsidR="0097711F" w:rsidRDefault="0097711F" w:rsidP="0097711F">
      <w:r>
        <w:t>Under option 3, some approved providers in WA, NT</w:t>
      </w:r>
      <w:r w:rsidR="00547C73">
        <w:t xml:space="preserve"> and</w:t>
      </w:r>
      <w:r>
        <w:t xml:space="preserve"> ACT </w:t>
      </w:r>
      <w:r w:rsidRPr="006B7443">
        <w:t xml:space="preserve">may incur temporary staffing costs </w:t>
      </w:r>
      <w:r>
        <w:t xml:space="preserve">(i.e., a delay cost) </w:t>
      </w:r>
      <w:r w:rsidRPr="006B7443">
        <w:t xml:space="preserve">while </w:t>
      </w:r>
      <w:r w:rsidR="00306E4C">
        <w:t xml:space="preserve">staff, students, or volunteers </w:t>
      </w:r>
      <w:r w:rsidR="00304F55">
        <w:t>lack a valid WWCC and must wait to commence work until their application is processed</w:t>
      </w:r>
      <w:r w:rsidR="00D41E9D">
        <w:t>.</w:t>
      </w:r>
      <w:r>
        <w:t xml:space="preserve"> The scale of cost will depend on the number of approved providers who do not currently </w:t>
      </w:r>
      <w:r w:rsidR="00D41E9D">
        <w:t xml:space="preserve">require </w:t>
      </w:r>
      <w:r w:rsidR="0096313B">
        <w:t xml:space="preserve">that </w:t>
      </w:r>
      <w:r>
        <w:t>staff member</w:t>
      </w:r>
      <w:r w:rsidR="0096313B">
        <w:t>s</w:t>
      </w:r>
      <w:r>
        <w:t xml:space="preserve"> or </w:t>
      </w:r>
      <w:r>
        <w:lastRenderedPageBreak/>
        <w:t xml:space="preserve">volunteers hold a </w:t>
      </w:r>
      <w:r w:rsidR="0096313B">
        <w:t xml:space="preserve">valid </w:t>
      </w:r>
      <w:r>
        <w:t>WWCC before commencement. In consultations, r</w:t>
      </w:r>
      <w:r w:rsidRPr="00DF4BF9">
        <w:t xml:space="preserve">epresentatives from WA, NT, and ACT </w:t>
      </w:r>
      <w:r>
        <w:t>reported</w:t>
      </w:r>
      <w:r w:rsidRPr="00DF4BF9">
        <w:t xml:space="preserve"> that it is common for staff and volunteers to commence work while </w:t>
      </w:r>
      <w:r>
        <w:t xml:space="preserve">their </w:t>
      </w:r>
      <w:r w:rsidRPr="00DF4BF9">
        <w:t xml:space="preserve">WWCC </w:t>
      </w:r>
      <w:r w:rsidR="00BB60BF">
        <w:t>application is being processed</w:t>
      </w:r>
      <w:r>
        <w:rPr>
          <w:rStyle w:val="FootnoteReference"/>
        </w:rPr>
        <w:footnoteReference w:id="111"/>
      </w:r>
      <w:r>
        <w:t xml:space="preserve">, which suggests the impact and associated costs may be material. In NSW, </w:t>
      </w:r>
      <w:r w:rsidR="00A07985">
        <w:t>it is current practice to</w:t>
      </w:r>
      <w:r>
        <w:t xml:space="preserve"> require staff to have a valid WWCC, meaning the cost for this jurisdiction will be minimal.</w:t>
      </w:r>
    </w:p>
    <w:p w14:paraId="720D2D79" w14:textId="6A5E7547" w:rsidR="0097711F" w:rsidRPr="000C3102" w:rsidRDefault="0097711F" w:rsidP="0097711F">
      <w:r>
        <w:t xml:space="preserve">Based on the evidence above, option 2 has been assigned </w:t>
      </w:r>
      <w:r w:rsidR="003055D7">
        <w:t>an MCA</w:t>
      </w:r>
      <w:r>
        <w:t xml:space="preserve"> score of negative three for this criterion. Option 3 has been assigned </w:t>
      </w:r>
      <w:r w:rsidR="003055D7">
        <w:t>an MCA</w:t>
      </w:r>
      <w:r>
        <w:t xml:space="preserve"> score of negative four for </w:t>
      </w:r>
      <w:r w:rsidR="00A0013F">
        <w:t>WA, NT and ACT</w:t>
      </w:r>
      <w:r w:rsidRPr="007B2B59">
        <w:t xml:space="preserve"> </w:t>
      </w:r>
      <w:r>
        <w:t xml:space="preserve">for this criterion, while for NSW it has been assigned a score of </w:t>
      </w:r>
      <w:r w:rsidR="0070256E">
        <w:t>zero</w:t>
      </w:r>
      <w:r>
        <w:t xml:space="preserve"> (</w:t>
      </w:r>
      <w:r w:rsidR="00A07985">
        <w:t>as requiring a WWCC is current practice</w:t>
      </w:r>
      <w:r>
        <w:t xml:space="preserve">). These scores reflect that stakeholders in </w:t>
      </w:r>
      <w:r w:rsidR="00A0013F">
        <w:t>WA, NT and ACT</w:t>
      </w:r>
      <w:r>
        <w:t xml:space="preserve"> are likely to incur greater costs (both intentional and unintentional) under option 3. </w:t>
      </w:r>
    </w:p>
    <w:p w14:paraId="7E967FE0" w14:textId="40D982D0" w:rsidR="0097711F" w:rsidRPr="00466043" w:rsidRDefault="0097711F" w:rsidP="0097711F">
      <w:pPr>
        <w:pStyle w:val="Heading4"/>
      </w:pPr>
      <w:r>
        <w:t xml:space="preserve">Implementation </w:t>
      </w:r>
      <w:r w:rsidR="004151E0">
        <w:t>considerations</w:t>
      </w:r>
    </w:p>
    <w:p w14:paraId="6EB4BD91" w14:textId="5FC47CED" w:rsidR="0097711F" w:rsidRPr="003B513C" w:rsidRDefault="0097711F" w:rsidP="0097711F">
      <w:r>
        <w:t xml:space="preserve">Under option 2, consulted parents, families, and carers raised concerns that the </w:t>
      </w:r>
      <w:r w:rsidR="004F18B1">
        <w:t xml:space="preserve">proposed </w:t>
      </w:r>
      <w:r>
        <w:t>six-monthly WWCC</w:t>
      </w:r>
      <w:r w:rsidR="004F18B1">
        <w:t xml:space="preserve"> status</w:t>
      </w:r>
      <w:r>
        <w:t xml:space="preserve"> check is inadequate, with many indicating more frequent </w:t>
      </w:r>
      <w:r w:rsidR="004F18B1">
        <w:t xml:space="preserve">status </w:t>
      </w:r>
      <w:r>
        <w:t xml:space="preserve">checks is </w:t>
      </w:r>
      <w:r w:rsidR="004F18B1">
        <w:t xml:space="preserve">preferred </w:t>
      </w:r>
      <w:r>
        <w:t xml:space="preserve">for ‘best practice’. Given this sentiment, there may be a lack of stakeholder </w:t>
      </w:r>
      <w:r w:rsidR="004F18B1">
        <w:t>support</w:t>
      </w:r>
      <w:r>
        <w:t xml:space="preserve"> for option 2, </w:t>
      </w:r>
      <w:r w:rsidR="00766F20">
        <w:t xml:space="preserve">with a preference instead for more frequent </w:t>
      </w:r>
      <w:r w:rsidR="00666C6F">
        <w:t xml:space="preserve">WWCC status </w:t>
      </w:r>
      <w:r w:rsidR="00766F20">
        <w:t xml:space="preserve">checks </w:t>
      </w:r>
      <w:r w:rsidR="002D7E06">
        <w:t>to be considered best practice</w:t>
      </w:r>
      <w:r>
        <w:t xml:space="preserve">. </w:t>
      </w:r>
      <w:r w:rsidR="00DC546B">
        <w:t>This would reduce the risk that a change in WWCC status could go unnoticed for several months</w:t>
      </w:r>
      <w:r w:rsidR="00263E12">
        <w:t>.</w:t>
      </w:r>
    </w:p>
    <w:p w14:paraId="26D953FF" w14:textId="77777777" w:rsidR="0097711F" w:rsidRDefault="0097711F" w:rsidP="0097711F">
      <w:r>
        <w:t xml:space="preserve">Several potential consequences have been identified for option 3, including: </w:t>
      </w:r>
    </w:p>
    <w:p w14:paraId="7A781BE6" w14:textId="718F6942" w:rsidR="0097711F" w:rsidRDefault="00C9599A" w:rsidP="00EC53AB">
      <w:pPr>
        <w:pStyle w:val="ListParagraph"/>
        <w:numPr>
          <w:ilvl w:val="0"/>
          <w:numId w:val="67"/>
        </w:numPr>
        <w:ind w:left="426"/>
      </w:pPr>
      <w:r>
        <w:rPr>
          <w:b/>
          <w:bCs/>
        </w:rPr>
        <w:t>W</w:t>
      </w:r>
      <w:r w:rsidR="0097711F" w:rsidRPr="007409BB">
        <w:rPr>
          <w:b/>
          <w:bCs/>
        </w:rPr>
        <w:t>orkforce shortages:</w:t>
      </w:r>
      <w:r w:rsidR="0097711F">
        <w:t xml:space="preserve"> Option 3 m</w:t>
      </w:r>
      <w:r w:rsidR="0097711F" w:rsidRPr="00A24D3E">
        <w:t xml:space="preserve">ay </w:t>
      </w:r>
      <w:r w:rsidR="0097711F">
        <w:t xml:space="preserve">unintentionally </w:t>
      </w:r>
      <w:r w:rsidR="0097711F" w:rsidRPr="00A24D3E">
        <w:t>exacerbate current workforce shortages if</w:t>
      </w:r>
      <w:r w:rsidR="0097711F">
        <w:t xml:space="preserve"> </w:t>
      </w:r>
      <w:r w:rsidR="0097711F" w:rsidRPr="00A24D3E">
        <w:t xml:space="preserve">there are delays </w:t>
      </w:r>
      <w:r w:rsidR="004F18B1">
        <w:t>to</w:t>
      </w:r>
      <w:r w:rsidR="004F18B1" w:rsidRPr="00A24D3E">
        <w:t xml:space="preserve"> </w:t>
      </w:r>
      <w:r w:rsidR="0097711F" w:rsidRPr="00A24D3E">
        <w:t>processing WWCC in</w:t>
      </w:r>
      <w:r w:rsidR="0097711F">
        <w:t xml:space="preserve"> </w:t>
      </w:r>
      <w:r w:rsidR="0097711F" w:rsidRPr="00A24D3E">
        <w:t>jurisdictions where this is not currently</w:t>
      </w:r>
      <w:r w:rsidR="0097711F">
        <w:t xml:space="preserve"> </w:t>
      </w:r>
      <w:r w:rsidR="0097711F" w:rsidRPr="00A24D3E">
        <w:t>required prior to</w:t>
      </w:r>
      <w:r w:rsidR="0097711F">
        <w:t xml:space="preserve"> </w:t>
      </w:r>
      <w:r w:rsidR="0097711F" w:rsidRPr="00A24D3E">
        <w:t>commencement in a service.</w:t>
      </w:r>
      <w:r w:rsidR="0097711F">
        <w:t xml:space="preserve"> Stakeholders noted that </w:t>
      </w:r>
      <w:r w:rsidR="0097711F" w:rsidRPr="0073281B">
        <w:rPr>
          <w:szCs w:val="19"/>
        </w:rPr>
        <w:t>WWCC processing times can take up to three months</w:t>
      </w:r>
      <w:r w:rsidR="0097711F">
        <w:rPr>
          <w:szCs w:val="19"/>
        </w:rPr>
        <w:t xml:space="preserve"> – as such, requirements for </w:t>
      </w:r>
      <w:r w:rsidR="0097711F" w:rsidRPr="0073281B">
        <w:rPr>
          <w:szCs w:val="19"/>
        </w:rPr>
        <w:t xml:space="preserve">a valid WWCC before commencing employment </w:t>
      </w:r>
      <w:r w:rsidR="0097711F">
        <w:rPr>
          <w:szCs w:val="19"/>
        </w:rPr>
        <w:t>will</w:t>
      </w:r>
      <w:r w:rsidR="0097711F" w:rsidRPr="0073281B">
        <w:rPr>
          <w:szCs w:val="19"/>
        </w:rPr>
        <w:t xml:space="preserve"> likely delay recruitment and onboarding</w:t>
      </w:r>
      <w:r w:rsidR="0097711F">
        <w:rPr>
          <w:szCs w:val="19"/>
        </w:rPr>
        <w:t xml:space="preserve"> and hence exacerbate workforce shortages. </w:t>
      </w:r>
      <w:r w:rsidR="007A101E">
        <w:rPr>
          <w:szCs w:val="18"/>
        </w:rPr>
        <w:t xml:space="preserve">Stakeholders also expressed concern about WWCC screening agencies’ capacity to meet increased demand for faster approval times as a result of option 3. It is anticipated that without </w:t>
      </w:r>
      <w:r w:rsidR="007A101E" w:rsidRPr="00BD0FCC">
        <w:rPr>
          <w:szCs w:val="18"/>
        </w:rPr>
        <w:t>additional funding or other resources</w:t>
      </w:r>
      <w:r w:rsidR="007A101E">
        <w:rPr>
          <w:szCs w:val="18"/>
        </w:rPr>
        <w:t xml:space="preserve">, </w:t>
      </w:r>
      <w:r w:rsidR="007A101E" w:rsidRPr="00BD0FCC">
        <w:rPr>
          <w:szCs w:val="18"/>
        </w:rPr>
        <w:t xml:space="preserve">application </w:t>
      </w:r>
      <w:r w:rsidR="007A101E">
        <w:rPr>
          <w:szCs w:val="18"/>
        </w:rPr>
        <w:t xml:space="preserve">processing times may inhibit receiving a WWCC in a timely manner, which could </w:t>
      </w:r>
      <w:r w:rsidR="007A101E" w:rsidRPr="00BD0FCC">
        <w:rPr>
          <w:szCs w:val="18"/>
        </w:rPr>
        <w:t>exacerbat</w:t>
      </w:r>
      <w:r w:rsidR="007A101E">
        <w:rPr>
          <w:szCs w:val="18"/>
        </w:rPr>
        <w:t>e</w:t>
      </w:r>
      <w:r w:rsidR="007A101E" w:rsidRPr="00BD0FCC">
        <w:rPr>
          <w:szCs w:val="18"/>
        </w:rPr>
        <w:t xml:space="preserve"> workforce shortages.</w:t>
      </w:r>
    </w:p>
    <w:p w14:paraId="6CD34495" w14:textId="0E617110" w:rsidR="0097711F" w:rsidRDefault="00C9599A" w:rsidP="00EC53AB">
      <w:pPr>
        <w:pStyle w:val="ListParagraph"/>
        <w:numPr>
          <w:ilvl w:val="0"/>
          <w:numId w:val="67"/>
        </w:numPr>
        <w:ind w:left="426"/>
      </w:pPr>
      <w:r>
        <w:rPr>
          <w:b/>
          <w:bCs/>
        </w:rPr>
        <w:t>L</w:t>
      </w:r>
      <w:r w:rsidR="0097711F" w:rsidRPr="00C20019">
        <w:rPr>
          <w:b/>
          <w:bCs/>
        </w:rPr>
        <w:t>egislative inconsistencies:</w:t>
      </w:r>
      <w:r w:rsidR="0097711F">
        <w:t xml:space="preserve"> In consultative activities, s</w:t>
      </w:r>
      <w:r w:rsidR="0097711F" w:rsidRPr="00B957B2">
        <w:t xml:space="preserve">takeholders reported </w:t>
      </w:r>
      <w:r w:rsidR="0097711F">
        <w:t>concerns that l</w:t>
      </w:r>
      <w:r w:rsidR="0097711F" w:rsidRPr="002F1F84">
        <w:t xml:space="preserve">egislative amendments at the national level may create inconsistencies with state and territory legislation in WA, NT, ACT and NSW, particularly in adjacent sectors such </w:t>
      </w:r>
      <w:r w:rsidR="0097711F" w:rsidRPr="002F1F84">
        <w:lastRenderedPageBreak/>
        <w:t>as schooling and disability support</w:t>
      </w:r>
      <w:r w:rsidR="0097711F">
        <w:t>, and</w:t>
      </w:r>
      <w:r w:rsidR="0097711F" w:rsidRPr="002F1F84">
        <w:t xml:space="preserve"> with the National Standards (in response to the Royal Commission into Institutional Responses to Child Sexual Abuse</w:t>
      </w:r>
      <w:r w:rsidR="0097711F">
        <w:t>), stipulating</w:t>
      </w:r>
      <w:r w:rsidR="0097711F" w:rsidRPr="002F1F84">
        <w:t xml:space="preserve"> that staff need to apply for, not hold, a WWCC. However, the National Standards also highlight the need for more consistency across jurisdictions. </w:t>
      </w:r>
      <w:r w:rsidR="0097711F">
        <w:t>As such</w:t>
      </w:r>
      <w:r w:rsidR="0097711F" w:rsidRPr="002F1F84">
        <w:t>, stakeholders</w:t>
      </w:r>
      <w:r w:rsidR="0097711F">
        <w:t xml:space="preserve"> reported concerns that this </w:t>
      </w:r>
      <w:r w:rsidR="0097711F" w:rsidRPr="002F1F84">
        <w:t xml:space="preserve">regulatory change </w:t>
      </w:r>
      <w:r w:rsidR="0097711F">
        <w:t xml:space="preserve">would </w:t>
      </w:r>
      <w:r>
        <w:t>cause</w:t>
      </w:r>
      <w:r w:rsidRPr="002F1F84">
        <w:t xml:space="preserve"> </w:t>
      </w:r>
      <w:r w:rsidR="0097711F" w:rsidRPr="002F1F84">
        <w:t xml:space="preserve">confusion within the sector. </w:t>
      </w:r>
    </w:p>
    <w:p w14:paraId="59BE162E" w14:textId="75CB31C0" w:rsidR="0097711F" w:rsidRDefault="0097711F" w:rsidP="0097711F">
      <w:r>
        <w:t xml:space="preserve">Based on the evidence above, option 2 has been assigned </w:t>
      </w:r>
      <w:r w:rsidR="003055D7">
        <w:t>an MCA</w:t>
      </w:r>
      <w:r>
        <w:t xml:space="preserve"> score of negative one for this criterion. For </w:t>
      </w:r>
      <w:r w:rsidR="00A0013F">
        <w:t>WA, NT and ACT</w:t>
      </w:r>
      <w:r>
        <w:t xml:space="preserve">, option 3 has been assigned </w:t>
      </w:r>
      <w:r w:rsidR="003055D7">
        <w:t>an MCA</w:t>
      </w:r>
      <w:r>
        <w:t xml:space="preserve"> score of negative five</w:t>
      </w:r>
      <w:r w:rsidR="00176623">
        <w:t xml:space="preserve">, largely due to risks emerging from legislative inconsistencies in each jurisdiction and the potential for education and care workforce </w:t>
      </w:r>
      <w:r w:rsidR="007E3463">
        <w:t>shortages to emerge (which could be exacerbated if WWCC application processing times cannot be reduced)</w:t>
      </w:r>
      <w:r>
        <w:t xml:space="preserve">. </w:t>
      </w:r>
      <w:r w:rsidR="00176623">
        <w:t>NSW was given an</w:t>
      </w:r>
      <w:r>
        <w:t xml:space="preserve"> implementation risk rating </w:t>
      </w:r>
      <w:r w:rsidR="00176623">
        <w:t>of</w:t>
      </w:r>
      <w:r>
        <w:t xml:space="preserve"> </w:t>
      </w:r>
      <w:r w:rsidR="00C9599A">
        <w:t>zero</w:t>
      </w:r>
      <w:r>
        <w:t xml:space="preserve"> for this criterion, as </w:t>
      </w:r>
      <w:r w:rsidR="00C9599A">
        <w:t>option 3 reflects current practices in the state</w:t>
      </w:r>
      <w:r>
        <w:t>.</w:t>
      </w:r>
    </w:p>
    <w:p w14:paraId="5F47501A" w14:textId="4B8A8F1E" w:rsidR="00440905" w:rsidRPr="001A2768" w:rsidRDefault="00440905" w:rsidP="0097711F">
      <w:r>
        <w:t xml:space="preserve">It should be noted that while the MCA scores currently consider the implementation considerations based on the options that were consulted on, the recommended implementation of these options may alleviate some of these risks. These implementation considerations are outlined in </w:t>
      </w:r>
      <w:r>
        <w:rPr>
          <w:i/>
          <w:iCs/>
        </w:rPr>
        <w:t>What is the recommended option(s) and how will it be implemented?</w:t>
      </w:r>
    </w:p>
    <w:p w14:paraId="6C65CB3C" w14:textId="77777777" w:rsidR="0097711F" w:rsidRPr="00466043" w:rsidRDefault="0097711F" w:rsidP="0097711F">
      <w:pPr>
        <w:pStyle w:val="Heading4"/>
      </w:pPr>
      <w:r w:rsidRPr="00466043">
        <w:t>Distributional impacts</w:t>
      </w:r>
    </w:p>
    <w:p w14:paraId="1832A58D" w14:textId="77777777" w:rsidR="0097711F" w:rsidRDefault="0097711F" w:rsidP="0097711F">
      <w:r>
        <w:t xml:space="preserve">Option 2 was not expected to generate substantial distributional impacts for stakeholders, particularly as option 2 is unlikely to have a material impact on workforce availability unless there is widespread adoption of best practices across WA, ACT, NT, and to a lesser extent, NSW. </w:t>
      </w:r>
    </w:p>
    <w:p w14:paraId="6A05C34C" w14:textId="4ACAEEE9" w:rsidR="0097711F" w:rsidRDefault="0097711F" w:rsidP="0097711F">
      <w:r>
        <w:t xml:space="preserve">Option 3 is likely to generate distributional impacts largely where the proposed reforms will have implications for staffing availability – which is largely expected to be in </w:t>
      </w:r>
      <w:r w:rsidR="00A0013F">
        <w:t>WA, NT and ACT</w:t>
      </w:r>
      <w:r>
        <w:t xml:space="preserve">. In NSW, </w:t>
      </w:r>
      <w:r w:rsidR="000E3D4D">
        <w:t>it is current practice to</w:t>
      </w:r>
      <w:r>
        <w:t xml:space="preserve"> require a valid WWCC on commencement, and therefore there is not likely to be a distributional impact in this jurisdiction. </w:t>
      </w:r>
    </w:p>
    <w:p w14:paraId="7A2239D6" w14:textId="77777777" w:rsidR="0097711F" w:rsidRDefault="0097711F" w:rsidP="0097711F">
      <w:pPr>
        <w:rPr>
          <w:bCs/>
        </w:rPr>
      </w:pPr>
      <w:r w:rsidRPr="004B2108">
        <w:t>Representatives from WA and the NT raised concerns about the distributional effects, particularly in rural and remote areas wh</w:t>
      </w:r>
      <w:r>
        <w:t>ich typically experience greater workforce shortages</w:t>
      </w:r>
      <w:r w:rsidRPr="004B2108">
        <w:t>.</w:t>
      </w:r>
      <w:r>
        <w:t xml:space="preserve"> </w:t>
      </w:r>
    </w:p>
    <w:p w14:paraId="0E11B0EB" w14:textId="77777777" w:rsidR="0097711F" w:rsidRPr="00BE2DD2" w:rsidRDefault="0097711F" w:rsidP="0097711F">
      <w:pPr>
        <w:rPr>
          <w:i/>
          <w:color w:val="A12068" w:themeColor="accent2"/>
        </w:rPr>
      </w:pPr>
      <w:r>
        <w:rPr>
          <w:i/>
          <w:color w:val="A12068" w:themeColor="accent2"/>
        </w:rPr>
        <w:t>“</w:t>
      </w:r>
      <w:r w:rsidRPr="00BE2DD2">
        <w:rPr>
          <w:i/>
          <w:color w:val="A12068" w:themeColor="accent2"/>
        </w:rPr>
        <w:t>There may be short-term workforce pressures, especially in regional/remote services where WWCC processing takes time and staffing is already stretched.</w:t>
      </w:r>
      <w:r>
        <w:rPr>
          <w:i/>
          <w:color w:val="A12068" w:themeColor="accent2"/>
        </w:rPr>
        <w:t xml:space="preserve">” – Approved Provider Survey </w:t>
      </w:r>
    </w:p>
    <w:p w14:paraId="77C5F34D" w14:textId="68CFA292" w:rsidR="0028593A" w:rsidRPr="00BE2DD2" w:rsidRDefault="0028593A" w:rsidP="0028593A">
      <w:r>
        <w:lastRenderedPageBreak/>
        <w:t>However, one forum participant note</w:t>
      </w:r>
      <w:r w:rsidR="00181270">
        <w:t>d that in regional and remote areas, having strong safeguards is just as</w:t>
      </w:r>
      <w:r w:rsidR="0017511C">
        <w:t>,</w:t>
      </w:r>
      <w:r w:rsidR="00181270">
        <w:t xml:space="preserve"> or more</w:t>
      </w:r>
      <w:r w:rsidR="0017511C">
        <w:t>,</w:t>
      </w:r>
      <w:r w:rsidR="00181270">
        <w:t xml:space="preserve"> important:</w:t>
      </w:r>
    </w:p>
    <w:p w14:paraId="1913CBD6" w14:textId="749A634A" w:rsidR="00181270" w:rsidRPr="00BE2DD2" w:rsidRDefault="00181270" w:rsidP="0031287F">
      <w:pPr>
        <w:pStyle w:val="Quote1"/>
      </w:pPr>
      <w:r>
        <w:t>“H</w:t>
      </w:r>
      <w:r w:rsidRPr="00181270">
        <w:t>earing some of the challenges with navigating time frames, bureaucracy, staffing issues</w:t>
      </w:r>
      <w:r w:rsidR="00F430EA">
        <w:t>…[for]</w:t>
      </w:r>
      <w:r>
        <w:t xml:space="preserve"> </w:t>
      </w:r>
      <w:r w:rsidRPr="00181270">
        <w:t>regional areas, population groups experiencing disadvantage, that impacts</w:t>
      </w:r>
      <w:r w:rsidR="00F430EA">
        <w:t xml:space="preserve"> t</w:t>
      </w:r>
      <w:r w:rsidRPr="00181270">
        <w:t>he access that children have to quality care by not having high enough provisions or safety protocols in plac</w:t>
      </w:r>
      <w:r>
        <w:t>e</w:t>
      </w:r>
      <w:r w:rsidRPr="00181270">
        <w:t xml:space="preserve">. </w:t>
      </w:r>
      <w:r w:rsidR="0031287F">
        <w:t>People who use violence will seek out the most vulnerable, so closing any gaps where there isn’t enforcement of regulation [is supported].”</w:t>
      </w:r>
      <w:r w:rsidR="00444A15">
        <w:t xml:space="preserve"> </w:t>
      </w:r>
      <w:r w:rsidR="0031287F">
        <w:t>- Focus group participant</w:t>
      </w:r>
    </w:p>
    <w:p w14:paraId="055DAEE7" w14:textId="071D868D" w:rsidR="0097711F" w:rsidRDefault="0097711F" w:rsidP="0097711F">
      <w:r>
        <w:t>Regional and remote areas are also located where there is a higher share of ACCO services in operation, which could result in disproportionate impacts for Aboriginal and Torres Strait Islander Peoples and services.</w:t>
      </w:r>
      <w:r w:rsidR="00732536">
        <w:t xml:space="preserve"> While the first issue raised in Box 8.1 would apply to all education and care services located in </w:t>
      </w:r>
      <w:r w:rsidR="00EB3A29">
        <w:t>border towns, it was largely raised by ACCO services.</w:t>
      </w:r>
    </w:p>
    <w:tbl>
      <w:tblPr>
        <w:tblW w:w="0" w:type="auto"/>
        <w:tblCellMar>
          <w:top w:w="113" w:type="dxa"/>
          <w:bottom w:w="113" w:type="dxa"/>
        </w:tblCellMar>
        <w:tblLook w:val="04A0" w:firstRow="1" w:lastRow="0" w:firstColumn="1" w:lastColumn="0" w:noHBand="0" w:noVBand="1"/>
        <w:tblCaption w:val="Box 8.1: Aboriginal and Torres Strait Islander People Stakeholder Views"/>
        <w:tblDescription w:val="This table outlines Aboriginal and Torres Strait Islander People Stakeholder Views on distributional impacts."/>
      </w:tblPr>
      <w:tblGrid>
        <w:gridCol w:w="9020"/>
      </w:tblGrid>
      <w:tr w:rsidR="0097711F" w14:paraId="7D96DC11" w14:textId="77777777">
        <w:tc>
          <w:tcPr>
            <w:tcW w:w="9020" w:type="dxa"/>
            <w:tcBorders>
              <w:top w:val="nil"/>
              <w:left w:val="nil"/>
              <w:bottom w:val="nil"/>
              <w:right w:val="nil"/>
            </w:tcBorders>
            <w:shd w:val="clear" w:color="auto" w:fill="FFF2CC" w:themeFill="accent3" w:themeFillTint="33"/>
          </w:tcPr>
          <w:p w14:paraId="760B7C9A" w14:textId="0F407FC6" w:rsidR="0097711F" w:rsidRPr="006B0059" w:rsidRDefault="0097711F">
            <w:pPr>
              <w:rPr>
                <w:b/>
                <w:szCs w:val="22"/>
              </w:rPr>
            </w:pPr>
            <w:r w:rsidRPr="0094136B">
              <w:rPr>
                <w:b/>
                <w:szCs w:val="22"/>
              </w:rPr>
              <w:t>Box 8.1:</w:t>
            </w:r>
            <w:r w:rsidRPr="006B0059">
              <w:rPr>
                <w:b/>
                <w:szCs w:val="22"/>
              </w:rPr>
              <w:t xml:space="preserve"> </w:t>
            </w:r>
            <w:r w:rsidR="00E227D8">
              <w:rPr>
                <w:b/>
                <w:szCs w:val="22"/>
              </w:rPr>
              <w:t>Aboriginal and Torres Strait Islander People Stakeholder Views</w:t>
            </w:r>
          </w:p>
          <w:p w14:paraId="1CE31237" w14:textId="77777777" w:rsidR="00754F42" w:rsidRDefault="0097711F">
            <w:pPr>
              <w:rPr>
                <w:szCs w:val="22"/>
              </w:rPr>
            </w:pPr>
            <w:r>
              <w:rPr>
                <w:szCs w:val="22"/>
              </w:rPr>
              <w:t xml:space="preserve">Some </w:t>
            </w:r>
            <w:r w:rsidRPr="000C217B">
              <w:rPr>
                <w:szCs w:val="22"/>
              </w:rPr>
              <w:t>Aboriginal and Torres Strait Islander stakeholders</w:t>
            </w:r>
            <w:r>
              <w:rPr>
                <w:szCs w:val="22"/>
              </w:rPr>
              <w:t xml:space="preserve"> raised that the lack of consistent approaches to WWCC is an issue for ACCO education and care services, particularly for services located on border towns with two jurisdictional remits. Stakeholders raised similar concerns to those above regarding delayed checks and impacts on the workforce. One submission suggested that if regulatory options were implemented, there could be exemptions for small communities in remote and rural locations. </w:t>
            </w:r>
          </w:p>
          <w:p w14:paraId="31B811FD" w14:textId="22E52DA2" w:rsidR="0097711F" w:rsidRDefault="00A40020">
            <w:r>
              <w:rPr>
                <w:szCs w:val="22"/>
              </w:rPr>
              <w:t xml:space="preserve">A submission from an Aboriginal and Torres Strait Islander </w:t>
            </w:r>
            <w:r w:rsidR="00C41046">
              <w:rPr>
                <w:szCs w:val="22"/>
              </w:rPr>
              <w:t>organisation also highlighted that due to systemic discrimination, Aboriginal and Torres Strait Islander are incarcerated at higher rates compared to the general population, and therefore disproportionately impacted by WWCC</w:t>
            </w:r>
            <w:r w:rsidR="00594641">
              <w:rPr>
                <w:szCs w:val="22"/>
              </w:rPr>
              <w:t>s</w:t>
            </w:r>
            <w:r w:rsidR="00C41046">
              <w:rPr>
                <w:szCs w:val="22"/>
              </w:rPr>
              <w:t xml:space="preserve">. </w:t>
            </w:r>
          </w:p>
        </w:tc>
      </w:tr>
    </w:tbl>
    <w:p w14:paraId="1F856B1E" w14:textId="77777777" w:rsidR="0097711F" w:rsidRDefault="0097711F" w:rsidP="0097711F"/>
    <w:p w14:paraId="5C6B29F3" w14:textId="2A2165A4" w:rsidR="0097711F" w:rsidRDefault="0097711F" w:rsidP="0097711F">
      <w:r>
        <w:t xml:space="preserve">Based on the distributional impacts identified, </w:t>
      </w:r>
      <w:r w:rsidR="004F7705">
        <w:t xml:space="preserve">both </w:t>
      </w:r>
      <w:r>
        <w:t xml:space="preserve">option 2 </w:t>
      </w:r>
      <w:r w:rsidR="004F7705">
        <w:t xml:space="preserve">and option 3 (for NSW) </w:t>
      </w:r>
      <w:r>
        <w:t>ha</w:t>
      </w:r>
      <w:r w:rsidR="004F7705">
        <w:t>ve</w:t>
      </w:r>
      <w:r>
        <w:t xml:space="preserve"> been assigned </w:t>
      </w:r>
      <w:r w:rsidR="003055D7">
        <w:t>an MCA</w:t>
      </w:r>
      <w:r>
        <w:t xml:space="preserve"> score of zero for this criterion. Option 3 </w:t>
      </w:r>
      <w:r w:rsidR="004F7705">
        <w:t>(</w:t>
      </w:r>
      <w:r>
        <w:t xml:space="preserve">for </w:t>
      </w:r>
      <w:r w:rsidR="00A0013F">
        <w:t>WA, NT and ACT</w:t>
      </w:r>
      <w:r w:rsidR="004F7705">
        <w:t>)</w:t>
      </w:r>
      <w:r>
        <w:t xml:space="preserve"> has been assigned </w:t>
      </w:r>
      <w:r w:rsidR="003055D7">
        <w:t>an MCA</w:t>
      </w:r>
      <w:r>
        <w:t xml:space="preserve"> score of negative three for this criterion, given the implications for the workforce, particularly in regional and remote areas which is also where a higher share of ACCO services operate.</w:t>
      </w:r>
    </w:p>
    <w:p w14:paraId="6E991351" w14:textId="5E452037" w:rsidR="0078255B" w:rsidRDefault="0078255B" w:rsidP="0078255B">
      <w:pPr>
        <w:pStyle w:val="Heading4"/>
      </w:pPr>
      <w:r>
        <w:t xml:space="preserve">Stakeholders’ </w:t>
      </w:r>
      <w:r w:rsidR="00BF7E16">
        <w:t>preferred</w:t>
      </w:r>
      <w:r w:rsidR="004C5562">
        <w:t xml:space="preserve"> option</w:t>
      </w:r>
    </w:p>
    <w:p w14:paraId="5EBD71FD" w14:textId="520DA0E3" w:rsidR="0078255B" w:rsidRDefault="0078255B" w:rsidP="0078255B">
      <w:r>
        <w:lastRenderedPageBreak/>
        <w:t>Support from governments in affected jurisdictions is high for those who will experience les</w:t>
      </w:r>
      <w:r w:rsidR="00020784">
        <w:t>s</w:t>
      </w:r>
      <w:r>
        <w:t xml:space="preserve"> impact from option 3, and lower among those who may experience substantial workforce shortages from option 3. </w:t>
      </w:r>
    </w:p>
    <w:p w14:paraId="24CAE5A8" w14:textId="77777777" w:rsidR="0078255B" w:rsidRDefault="0078255B" w:rsidP="0078255B">
      <w:r>
        <w:t xml:space="preserve">The impacts identified are substantially different for NSW when compared to WA, NT and ACT (as reflected in the MCA scoring) and each jurisdiction will have a different view to the existing risk, depending on initial risk screening processes undertaken by WWCC screening agencies in each affected jurisdiction. </w:t>
      </w:r>
    </w:p>
    <w:p w14:paraId="16D92358" w14:textId="1CF1BD71" w:rsidR="0078255B" w:rsidRDefault="0078255B" w:rsidP="0078255B">
      <w:r>
        <w:t xml:space="preserve">Despite these substantially different impacts, most jurisdictions reported similarly high levels of support for the regulatory option among approved providers, including in the affected jurisdictions (refer Chart 8.2). This finding indicates the broad support for WWCCs as a child safety measure, despite the challenges that would arise upon implementing the </w:t>
      </w:r>
      <w:r w:rsidR="00BF7E16">
        <w:t>preferred</w:t>
      </w:r>
      <w:r w:rsidR="004C5562">
        <w:t xml:space="preserve"> option</w:t>
      </w:r>
      <w:r>
        <w:t xml:space="preserve"> in several jurisdictions. It is important to consider that this survey response may be reflective of in-principle support, with implementation risks later raised by several stakeholders. For some stakeholders, support was contingent on reduced waiting time for WWCC results; for others the assumption of current waiting times meant that they did not express support for the options. One stakeholder expressed that if the regulatory option were to be introduced, their service may need to apply for waivers for their staffing requirements due to being unable to recruit staff, leading to other impacts on child safety and service delivery. </w:t>
      </w:r>
    </w:p>
    <w:p w14:paraId="232D9B1F" w14:textId="69898AC2" w:rsidR="0078255B" w:rsidRDefault="0078255B" w:rsidP="0078255B">
      <w:r>
        <w:t>The number and level of concerns about waiting times varied somewhat by jurisdiction, with higher levels of concern from stakeholders in the WA, NT and ACT.</w:t>
      </w:r>
      <w:r w:rsidR="00444A15">
        <w:t xml:space="preserve"> </w:t>
      </w:r>
    </w:p>
    <w:p w14:paraId="27A4B7EC" w14:textId="12A2F08F" w:rsidR="0078255B" w:rsidRPr="00057988" w:rsidRDefault="0078255B" w:rsidP="0078255B">
      <w:pPr>
        <w:pStyle w:val="Caption"/>
      </w:pPr>
      <w:bookmarkStart w:id="141" w:name="_Toc205884963"/>
      <w:r w:rsidRPr="008D08A6">
        <w:lastRenderedPageBreak/>
        <w:t>Chart 8.2: Approved</w:t>
      </w:r>
      <w:r w:rsidRPr="00057988">
        <w:t xml:space="preserve"> provider responses to “</w:t>
      </w:r>
      <w:r>
        <w:t xml:space="preserve">What is your </w:t>
      </w:r>
      <w:r w:rsidR="00370AB1">
        <w:t xml:space="preserve">preferred option or combination </w:t>
      </w:r>
      <w:r>
        <w:t>of options</w:t>
      </w:r>
      <w:r w:rsidRPr="00057988">
        <w:t>?”</w:t>
      </w:r>
      <w:r>
        <w:t>, by jurisdiction</w:t>
      </w:r>
      <w:bookmarkEnd w:id="141"/>
    </w:p>
    <w:p w14:paraId="7530B365" w14:textId="77777777" w:rsidR="0078255B" w:rsidRPr="00CE0037" w:rsidRDefault="0078255B" w:rsidP="0078255B">
      <w:r>
        <w:rPr>
          <w:noProof/>
          <w14:ligatures w14:val="standardContextual"/>
        </w:rPr>
        <w:drawing>
          <wp:inline distT="0" distB="0" distL="0" distR="0" wp14:anchorId="71306B44" wp14:editId="11975D94">
            <wp:extent cx="5727700" cy="4257675"/>
            <wp:effectExtent l="0" t="0" r="6350" b="0"/>
            <wp:docPr id="1990946766" name="Chart 1" descr="Chart outlining approved provider responses to the survey question &quot;What is your preferred option or combination of options?&quot; by jurisdiction">
              <a:extLst xmlns:a="http://schemas.openxmlformats.org/drawingml/2006/main">
                <a:ext uri="{FF2B5EF4-FFF2-40B4-BE49-F238E27FC236}">
                  <a16:creationId xmlns:a16="http://schemas.microsoft.com/office/drawing/2014/main" id="{EAF27054-561F-E9E3-F577-A63BDF16D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85F21A6" w14:textId="4EC66269" w:rsidR="0078255B" w:rsidRPr="00636B94" w:rsidRDefault="0078255B" w:rsidP="000C756E">
      <w:pPr>
        <w:pStyle w:val="Source-CSR"/>
      </w:pPr>
      <w:r>
        <w:t>S</w:t>
      </w:r>
      <w:r w:rsidRPr="00636B94">
        <w:t xml:space="preserve">ource: Approved provider survey, as of 11 June 2025, Q61, n=159. Note respondents could identify with more than one jurisdiction. </w:t>
      </w:r>
    </w:p>
    <w:p w14:paraId="249AD62B" w14:textId="7264C3F9" w:rsidR="0078255B" w:rsidRDefault="0078255B" w:rsidP="0078255B">
      <w:r>
        <w:t xml:space="preserve">If implemented, it is expected that the requirements would mirror existing ‘no card, no start’ policies in other Australian jurisdictions (VIC, QLD, SA, </w:t>
      </w:r>
      <w:r w:rsidR="004F7705">
        <w:t xml:space="preserve">and </w:t>
      </w:r>
      <w:r>
        <w:t xml:space="preserve">TAS). However, the changes may result in inconsistencies between the education and care sector and other sectors requiring a WWCC in affected jurisdictions. </w:t>
      </w:r>
    </w:p>
    <w:p w14:paraId="7FFEE8A8" w14:textId="0ABCA098" w:rsidR="0078255B" w:rsidRDefault="0078255B" w:rsidP="0078255B">
      <w:r w:rsidRPr="007F06A3">
        <w:t>Across</w:t>
      </w:r>
      <w:r w:rsidRPr="00837288">
        <w:t xml:space="preserve"> </w:t>
      </w:r>
      <w:r>
        <w:t>survey respondents more generally</w:t>
      </w:r>
      <w:r w:rsidRPr="00734540">
        <w:t xml:space="preserve">, </w:t>
      </w:r>
      <w:r>
        <w:t xml:space="preserve">option 3 was the </w:t>
      </w:r>
      <w:r w:rsidR="00BF7E16">
        <w:t>preferred</w:t>
      </w:r>
      <w:r w:rsidR="004C5562">
        <w:t xml:space="preserve"> option</w:t>
      </w:r>
      <w:r>
        <w:t xml:space="preserve"> for this recommendation. </w:t>
      </w:r>
      <w:r w:rsidRPr="007949A6">
        <w:t xml:space="preserve">Approximately </w:t>
      </w:r>
      <w:r>
        <w:t xml:space="preserve">61% of approved providers identified option 3 as their </w:t>
      </w:r>
      <w:r w:rsidR="00BF7E16">
        <w:t>preferred</w:t>
      </w:r>
      <w:r w:rsidR="004C5562">
        <w:t xml:space="preserve"> option</w:t>
      </w:r>
      <w:r>
        <w:t xml:space="preserve"> – with an additional 29% preferring option 3 in conjunction with option 2 (Appendix </w:t>
      </w:r>
      <w:r w:rsidR="000E3167">
        <w:t xml:space="preserve">Chart </w:t>
      </w:r>
      <w:r>
        <w:t>12.3.4</w:t>
      </w:r>
      <w:r w:rsidR="000E3167">
        <w:t>.4</w:t>
      </w:r>
      <w:r>
        <w:t>)</w:t>
      </w:r>
      <w:r w:rsidRPr="007949A6">
        <w:t>.</w:t>
      </w:r>
      <w:r>
        <w:t xml:space="preserve"> Similarly, 52% of the education and care workforce identified option 3 as their </w:t>
      </w:r>
      <w:r w:rsidR="00BF7E16">
        <w:t>preferred</w:t>
      </w:r>
      <w:r w:rsidR="004C5562">
        <w:t xml:space="preserve"> option</w:t>
      </w:r>
      <w:r>
        <w:t xml:space="preserve"> – an additional 29% </w:t>
      </w:r>
      <w:r w:rsidR="00BF7E16">
        <w:t>preferred</w:t>
      </w:r>
      <w:r w:rsidR="004C5562">
        <w:t xml:space="preserve"> option</w:t>
      </w:r>
      <w:r>
        <w:t xml:space="preserve"> 3 in conjunction with option 2 (Appendix </w:t>
      </w:r>
      <w:r w:rsidR="000E3167">
        <w:t>Chart</w:t>
      </w:r>
      <w:r>
        <w:t xml:space="preserve"> 12.3.4</w:t>
      </w:r>
      <w:r w:rsidR="000E3167">
        <w:t>.5</w:t>
      </w:r>
      <w:r>
        <w:t xml:space="preserve">). 63% of surveyed parents, families and carers identified option 3 as their </w:t>
      </w:r>
      <w:r w:rsidR="00BF7E16">
        <w:t>preferred</w:t>
      </w:r>
      <w:r w:rsidR="004C5562">
        <w:t xml:space="preserve"> option</w:t>
      </w:r>
      <w:r>
        <w:t xml:space="preserve"> – an additional 26% </w:t>
      </w:r>
      <w:r w:rsidR="00BF7E16">
        <w:t>preferred</w:t>
      </w:r>
      <w:r w:rsidR="004C5562">
        <w:t xml:space="preserve"> option</w:t>
      </w:r>
      <w:r>
        <w:t xml:space="preserve"> 3 in conjunction with option 2 (Appendix</w:t>
      </w:r>
      <w:r w:rsidR="000E3167">
        <w:t xml:space="preserve"> Chart </w:t>
      </w:r>
      <w:r>
        <w:t>12.3.</w:t>
      </w:r>
      <w:r w:rsidR="000E3167">
        <w:t>6</w:t>
      </w:r>
      <w:r>
        <w:t>).</w:t>
      </w:r>
    </w:p>
    <w:p w14:paraId="3B193E99" w14:textId="4867AE2D" w:rsidR="11D64695" w:rsidRDefault="0E374FCF">
      <w:r>
        <w:t xml:space="preserve">Similarly, long form written submissions expressed support for reform, with </w:t>
      </w:r>
      <w:r w:rsidR="52D87A36">
        <w:t xml:space="preserve">nearly </w:t>
      </w:r>
      <w:r>
        <w:t>all submissions supporting option 3</w:t>
      </w:r>
      <w:r w:rsidR="35EBEBE5">
        <w:t>, and a small number of responses with mixed support.</w:t>
      </w:r>
      <w:r>
        <w:t xml:space="preserve"> </w:t>
      </w:r>
      <w:r w:rsidR="07FE0485">
        <w:t>F</w:t>
      </w:r>
      <w:r>
        <w:t xml:space="preserve">ree </w:t>
      </w:r>
      <w:r>
        <w:lastRenderedPageBreak/>
        <w:t xml:space="preserve">text comments expressed strong support for WWCC changes to regulation and </w:t>
      </w:r>
      <w:r w:rsidR="13E576A7">
        <w:t xml:space="preserve">sometimes expressed direct support for the regulatory option under consideration. </w:t>
      </w:r>
    </w:p>
    <w:p w14:paraId="16353721" w14:textId="39DC0920" w:rsidR="0097711F" w:rsidRDefault="0097711F" w:rsidP="0097711F">
      <w:pPr>
        <w:pStyle w:val="Heading3"/>
      </w:pPr>
      <w:r>
        <w:t xml:space="preserve">What is the </w:t>
      </w:r>
      <w:r w:rsidR="004C5562">
        <w:t>recommended option</w:t>
      </w:r>
      <w:r>
        <w:t>(s) and how will it be implemented?</w:t>
      </w:r>
    </w:p>
    <w:p w14:paraId="3225F699" w14:textId="0D61D75E" w:rsidR="001979AD" w:rsidRDefault="001979AD" w:rsidP="0097711F">
      <w:r w:rsidRPr="001979AD">
        <w:t>Based on analysis included in this DRIS, the options to be provided to Education Ministers for consideration are options 2 and 3. Option 3 is recommended to be implemented in all jurisdictions that do not currently have this requirement in legislation (NSW, WA, NT and ACT).</w:t>
      </w:r>
    </w:p>
    <w:p w14:paraId="20B11772" w14:textId="6F561514" w:rsidR="00D6706F" w:rsidRDefault="00F043F3" w:rsidP="0097711F">
      <w:r>
        <w:t xml:space="preserve">Individual states and territories will undertake additional work to support implementation of regulatory options, given jurisdictional variances in WWCC processes. </w:t>
      </w:r>
      <w:r w:rsidR="00456B48">
        <w:t xml:space="preserve">This approach </w:t>
      </w:r>
      <w:r w:rsidR="00AF0474">
        <w:t>may</w:t>
      </w:r>
      <w:r w:rsidR="00456B48">
        <w:t xml:space="preserve"> reduce implementation risks, such as potential staffing shortages </w:t>
      </w:r>
      <w:r w:rsidR="00B16BC6">
        <w:t xml:space="preserve">from the introduction of the reforms, </w:t>
      </w:r>
      <w:r w:rsidR="00AF0474">
        <w:t>which was the greatest concern among most stakeholders who were not in favour of option 3</w:t>
      </w:r>
      <w:r w:rsidR="00EF6FD9">
        <w:t>.</w:t>
      </w:r>
    </w:p>
    <w:p w14:paraId="7CF8F56E" w14:textId="77777777" w:rsidR="0097711F" w:rsidRDefault="0097711F" w:rsidP="0097711F">
      <w:pPr>
        <w:pStyle w:val="Heading2"/>
      </w:pPr>
      <w:bookmarkStart w:id="142" w:name="_Toc201934877"/>
      <w:bookmarkStart w:id="143" w:name="_Toc205884897"/>
      <w:r>
        <w:t>8.2</w:t>
      </w:r>
      <w:r w:rsidDel="003A0A6B">
        <w:t xml:space="preserve"> </w:t>
      </w:r>
      <w:bookmarkStart w:id="144" w:name="_Hlk199261489"/>
      <w:r>
        <w:t>Requiring approved providers and Regulatory Authorities to be notified about changes in WWCC status</w:t>
      </w:r>
      <w:bookmarkEnd w:id="142"/>
      <w:bookmarkEnd w:id="143"/>
      <w:bookmarkEnd w:id="144"/>
    </w:p>
    <w:tbl>
      <w:tblPr>
        <w:tblStyle w:val="Deloittetable"/>
        <w:tblW w:w="9140" w:type="dxa"/>
        <w:tblLook w:val="04A0" w:firstRow="1" w:lastRow="0" w:firstColumn="1" w:lastColumn="0" w:noHBand="0" w:noVBand="1"/>
        <w:tblCaption w:val="Key insights - Requiring approved providers and Regulatory Authorities to be notified about changes in WWCC status"/>
        <w:tblDescription w:val="This table outlines the key insights for requiring approved providers and Regulatory Authorities to be notified about changes in WWCC status."/>
      </w:tblPr>
      <w:tblGrid>
        <w:gridCol w:w="9140"/>
      </w:tblGrid>
      <w:tr w:rsidR="00B11DFB" w14:paraId="3C770B5E" w14:textId="77777777">
        <w:trPr>
          <w:cnfStyle w:val="100000000000" w:firstRow="1" w:lastRow="0" w:firstColumn="0" w:lastColumn="0" w:oddVBand="0" w:evenVBand="0" w:oddHBand="0" w:evenHBand="0" w:firstRowFirstColumn="0" w:firstRowLastColumn="0" w:lastRowFirstColumn="0" w:lastRowLastColumn="0"/>
          <w:trHeight w:val="1641"/>
        </w:trPr>
        <w:tc>
          <w:tcPr>
            <w:tcW w:w="9140" w:type="dxa"/>
            <w:shd w:val="clear" w:color="auto" w:fill="DEE6F4" w:themeFill="text2" w:themeFillTint="1A"/>
          </w:tcPr>
          <w:p w14:paraId="70F17010" w14:textId="77777777" w:rsidR="00B11DFB" w:rsidRPr="005347A5" w:rsidRDefault="00B11DFB">
            <w:pPr>
              <w:rPr>
                <w:b/>
                <w:bCs/>
                <w:sz w:val="20"/>
                <w:szCs w:val="20"/>
              </w:rPr>
            </w:pPr>
            <w:r w:rsidRPr="005347A5">
              <w:rPr>
                <w:b/>
                <w:bCs/>
                <w:sz w:val="20"/>
                <w:szCs w:val="20"/>
              </w:rPr>
              <w:t xml:space="preserve">Key Insights </w:t>
            </w:r>
          </w:p>
          <w:p w14:paraId="796501C8" w14:textId="77777777" w:rsidR="00B11DFB" w:rsidRPr="00712583" w:rsidRDefault="00B11DFB">
            <w:pPr>
              <w:rPr>
                <w:i/>
                <w:szCs w:val="22"/>
              </w:rPr>
            </w:pPr>
            <w:r>
              <w:rPr>
                <w:i/>
                <w:szCs w:val="22"/>
              </w:rPr>
              <w:t>Problem</w:t>
            </w:r>
          </w:p>
          <w:p w14:paraId="0E218227" w14:textId="77777777" w:rsidR="004801D0" w:rsidRPr="004801D0" w:rsidRDefault="004801D0" w:rsidP="00EC53AB">
            <w:pPr>
              <w:pStyle w:val="ListParagraph"/>
              <w:numPr>
                <w:ilvl w:val="0"/>
                <w:numId w:val="100"/>
              </w:numPr>
              <w:spacing w:before="120"/>
              <w:ind w:left="462"/>
              <w:contextualSpacing/>
              <w:rPr>
                <w:i/>
                <w:szCs w:val="20"/>
              </w:rPr>
            </w:pPr>
            <w:r w:rsidRPr="004801D0">
              <w:rPr>
                <w:szCs w:val="20"/>
              </w:rPr>
              <w:t xml:space="preserve">There is currently no systematically reported evidence which identifies the nature, scale, or prevalence of harm caused by regulatory inconsistencies in notification obligations related to changes in WWCC status. Conceptually, the absence of nationally consistent and comprehensive notification requirements increases the risk of unsuitable individuals remaining in education and care settings. </w:t>
            </w:r>
          </w:p>
          <w:p w14:paraId="69F4D396" w14:textId="43605B5A" w:rsidR="004801D0" w:rsidRPr="004801D0" w:rsidRDefault="004801D0" w:rsidP="00EC53AB">
            <w:pPr>
              <w:pStyle w:val="ListParagraph"/>
              <w:numPr>
                <w:ilvl w:val="0"/>
                <w:numId w:val="100"/>
              </w:numPr>
              <w:spacing w:before="120"/>
              <w:ind w:left="462"/>
              <w:contextualSpacing/>
              <w:rPr>
                <w:i/>
                <w:szCs w:val="20"/>
              </w:rPr>
            </w:pPr>
            <w:r>
              <w:t xml:space="preserve">The variance in notification requirements across jurisdictions has the potential to result in harm to children in any jurisdiction with potential gaps in notification requirements. This harm is most likely to result from </w:t>
            </w:r>
            <w:r w:rsidR="00B638EA">
              <w:t>change</w:t>
            </w:r>
            <w:r w:rsidR="00324DA8">
              <w:t>s</w:t>
            </w:r>
            <w:r>
              <w:t xml:space="preserve"> in a person’s WWCC status being unknown to an approved provider and/or Regulatory Authority, and a person continuing to work in an education and care role.</w:t>
            </w:r>
          </w:p>
          <w:p w14:paraId="7A2EFB7A" w14:textId="77777777" w:rsidR="00B11DFB" w:rsidRPr="000B4397" w:rsidRDefault="00B11DFB">
            <w:pPr>
              <w:spacing w:before="120"/>
              <w:contextualSpacing/>
              <w:rPr>
                <w:i/>
                <w:szCs w:val="20"/>
              </w:rPr>
            </w:pPr>
            <w:r w:rsidRPr="002B7C48">
              <w:rPr>
                <w:i/>
                <w:szCs w:val="20"/>
              </w:rPr>
              <w:t>Impacts of each option</w:t>
            </w:r>
          </w:p>
          <w:p w14:paraId="77727CB1" w14:textId="0E816A04" w:rsidR="00B11DFB" w:rsidRPr="000B4397" w:rsidRDefault="00B11DFB"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that </w:t>
            </w:r>
            <w:r w:rsidR="004801D0">
              <w:t>option 2 and option 3A and 3B represent an improvement on the status quo (option 1), due to the improvement in child safety outcomes offsetting potential costs of the proposed options. Option 3A and 3B presents the highest MCA score, indicating the improvement in child safety more greatly offsets the potential negative impacts (costs, implementation risks, and distributional impacts).</w:t>
            </w:r>
          </w:p>
          <w:p w14:paraId="7E26786D" w14:textId="03FE1EB1" w:rsidR="00B11DFB" w:rsidRPr="000F4A52" w:rsidRDefault="00B11DFB" w:rsidP="00EC53AB">
            <w:pPr>
              <w:pStyle w:val="ListParagraph"/>
              <w:numPr>
                <w:ilvl w:val="0"/>
                <w:numId w:val="100"/>
              </w:numPr>
              <w:tabs>
                <w:tab w:val="clear" w:pos="2835"/>
              </w:tabs>
              <w:spacing w:before="120"/>
              <w:ind w:left="462"/>
              <w:contextualSpacing/>
              <w:rPr>
                <w:szCs w:val="20"/>
              </w:rPr>
            </w:pPr>
            <w:r w:rsidRPr="000F4A52">
              <w:rPr>
                <w:szCs w:val="20"/>
              </w:rPr>
              <w:t xml:space="preserve">Option </w:t>
            </w:r>
            <w:r w:rsidR="00B734D7">
              <w:rPr>
                <w:szCs w:val="20"/>
              </w:rPr>
              <w:t>3A and 3B</w:t>
            </w:r>
            <w:r w:rsidRPr="000F4A52">
              <w:rPr>
                <w:szCs w:val="20"/>
              </w:rPr>
              <w:t xml:space="preserve"> was the </w:t>
            </w:r>
            <w:r w:rsidR="00BF7E16">
              <w:rPr>
                <w:szCs w:val="20"/>
              </w:rPr>
              <w:t>preferred</w:t>
            </w:r>
            <w:r w:rsidR="004C5562">
              <w:rPr>
                <w:szCs w:val="20"/>
              </w:rPr>
              <w:t xml:space="preserve"> option</w:t>
            </w:r>
            <w:r w:rsidRPr="000F4A52">
              <w:rPr>
                <w:szCs w:val="20"/>
              </w:rPr>
              <w:t xml:space="preserve"> among </w:t>
            </w:r>
            <w:r w:rsidR="00B734D7">
              <w:rPr>
                <w:szCs w:val="20"/>
              </w:rPr>
              <w:t>all</w:t>
            </w:r>
            <w:r w:rsidRPr="000F4A52">
              <w:rPr>
                <w:szCs w:val="20"/>
              </w:rPr>
              <w:t xml:space="preserve"> </w:t>
            </w:r>
            <w:r w:rsidR="00F82327">
              <w:rPr>
                <w:szCs w:val="20"/>
              </w:rPr>
              <w:t>surveyed</w:t>
            </w:r>
            <w:r w:rsidRPr="000F4A52">
              <w:rPr>
                <w:szCs w:val="20"/>
              </w:rPr>
              <w:t xml:space="preserve"> stakeholder groups, including approved providers, the </w:t>
            </w:r>
            <w:r w:rsidR="00014AC2">
              <w:rPr>
                <w:szCs w:val="20"/>
              </w:rPr>
              <w:t>education and care</w:t>
            </w:r>
            <w:r w:rsidRPr="000F4A52">
              <w:rPr>
                <w:szCs w:val="20"/>
              </w:rPr>
              <w:t xml:space="preserve"> workforce, </w:t>
            </w:r>
            <w:r w:rsidR="00F82327">
              <w:rPr>
                <w:szCs w:val="20"/>
              </w:rPr>
              <w:t xml:space="preserve">and </w:t>
            </w:r>
            <w:r w:rsidRPr="000F4A52">
              <w:rPr>
                <w:szCs w:val="20"/>
              </w:rPr>
              <w:t xml:space="preserve">families. </w:t>
            </w:r>
            <w:r w:rsidR="00C22DC5">
              <w:rPr>
                <w:szCs w:val="20"/>
              </w:rPr>
              <w:t>Regulatory Authorities advised that Option 3A and 3B need to be implemented together to be effective.</w:t>
            </w:r>
          </w:p>
          <w:p w14:paraId="24E6DD9E" w14:textId="601E4895" w:rsidR="00B11DFB" w:rsidRPr="00C44DEA" w:rsidRDefault="00B11DFB" w:rsidP="00EC53AB">
            <w:pPr>
              <w:pStyle w:val="ListParagraph"/>
              <w:numPr>
                <w:ilvl w:val="0"/>
                <w:numId w:val="100"/>
              </w:numPr>
              <w:spacing w:before="120"/>
              <w:ind w:left="462"/>
              <w:contextualSpacing/>
              <w:rPr>
                <w:szCs w:val="20"/>
              </w:rPr>
            </w:pPr>
            <w:r>
              <w:rPr>
                <w:szCs w:val="20"/>
              </w:rPr>
              <w:lastRenderedPageBreak/>
              <w:t>Option</w:t>
            </w:r>
            <w:r w:rsidRPr="000D3C24">
              <w:rPr>
                <w:szCs w:val="20"/>
              </w:rPr>
              <w:t xml:space="preserve"> </w:t>
            </w:r>
            <w:r w:rsidR="00AB0A64">
              <w:rPr>
                <w:szCs w:val="20"/>
              </w:rPr>
              <w:t>2</w:t>
            </w:r>
            <w:r w:rsidRPr="000D3C24">
              <w:rPr>
                <w:szCs w:val="20"/>
              </w:rPr>
              <w:t xml:space="preserve"> receive</w:t>
            </w:r>
            <w:r>
              <w:rPr>
                <w:szCs w:val="20"/>
              </w:rPr>
              <w:t>d</w:t>
            </w:r>
            <w:r w:rsidRPr="000D3C24">
              <w:rPr>
                <w:szCs w:val="20"/>
              </w:rPr>
              <w:t xml:space="preserve"> a lower weighted score than option</w:t>
            </w:r>
            <w:r w:rsidR="00AB0A64">
              <w:rPr>
                <w:szCs w:val="20"/>
              </w:rPr>
              <w:t xml:space="preserve"> 3A and 3B</w:t>
            </w:r>
            <w:r>
              <w:rPr>
                <w:szCs w:val="20"/>
              </w:rPr>
              <w:t>,</w:t>
            </w:r>
            <w:r w:rsidRPr="000D3C24">
              <w:rPr>
                <w:szCs w:val="20"/>
              </w:rPr>
              <w:t xml:space="preserve"> reflecting </w:t>
            </w:r>
            <w:r w:rsidR="00C26CDA">
              <w:rPr>
                <w:szCs w:val="20"/>
              </w:rPr>
              <w:t xml:space="preserve">that regulatory authorities </w:t>
            </w:r>
            <w:r w:rsidR="00C26CDA">
              <w:t>may incur incremental costs if involved in the development of guidance materials under option 2</w:t>
            </w:r>
            <w:r w:rsidR="00B734D7">
              <w:t xml:space="preserve"> (despite higher implementation risks for option 3A and 3B</w:t>
            </w:r>
            <w:r w:rsidR="00C26CDA">
              <w:t>.</w:t>
            </w:r>
          </w:p>
          <w:p w14:paraId="47D0BF27" w14:textId="46EC1DE7" w:rsidR="00B11DFB" w:rsidRPr="00712583" w:rsidRDefault="004C5562">
            <w:pPr>
              <w:rPr>
                <w:szCs w:val="22"/>
              </w:rPr>
            </w:pPr>
            <w:r>
              <w:rPr>
                <w:i/>
                <w:szCs w:val="22"/>
              </w:rPr>
              <w:t>Recommended option</w:t>
            </w:r>
          </w:p>
          <w:p w14:paraId="6E40868F" w14:textId="74536EB7" w:rsidR="00B11DFB" w:rsidRPr="00397987" w:rsidRDefault="00931972" w:rsidP="00F77C7A">
            <w:pPr>
              <w:pStyle w:val="ListParagraph"/>
              <w:ind w:left="462" w:hanging="425"/>
            </w:pPr>
            <w:r w:rsidRPr="00931972">
              <w:rPr>
                <w:szCs w:val="20"/>
              </w:rPr>
              <w:t>Based on analysis included in this DRIS, the options with the highest net benefit to be provided to Education Ministers for consideration are</w:t>
            </w:r>
            <w:r w:rsidRPr="009E7694">
              <w:rPr>
                <w:szCs w:val="20"/>
              </w:rPr>
              <w:t xml:space="preserve"> </w:t>
            </w:r>
            <w:r>
              <w:rPr>
                <w:szCs w:val="20"/>
              </w:rPr>
              <w:t>o</w:t>
            </w:r>
            <w:r w:rsidR="009E7694" w:rsidRPr="009E7694">
              <w:rPr>
                <w:szCs w:val="20"/>
              </w:rPr>
              <w:t xml:space="preserve">ptions 2, 3A and 3B. The MCA analysis indicates that these options </w:t>
            </w:r>
            <w:r w:rsidR="00687D75">
              <w:rPr>
                <w:szCs w:val="20"/>
              </w:rPr>
              <w:t xml:space="preserve">in tandem </w:t>
            </w:r>
            <w:r w:rsidR="009E7694" w:rsidRPr="009E7694">
              <w:rPr>
                <w:szCs w:val="20"/>
              </w:rPr>
              <w:t>would generate the most significant improvements to child safety</w:t>
            </w:r>
            <w:r w:rsidR="00687D75">
              <w:rPr>
                <w:szCs w:val="20"/>
              </w:rPr>
              <w:t xml:space="preserve"> and provide a nationally consistent approach in education and care services under the NQF</w:t>
            </w:r>
            <w:r w:rsidR="00687D75" w:rsidRPr="009E7694">
              <w:rPr>
                <w:szCs w:val="20"/>
              </w:rPr>
              <w:t>.</w:t>
            </w:r>
            <w:r w:rsidR="009E7694" w:rsidRPr="009E7694">
              <w:rPr>
                <w:szCs w:val="20"/>
              </w:rPr>
              <w:t xml:space="preserve"> Individual states and territories will undertake additional work to support implementation of regulatory options, given jurisdictional variances in WWCC processes.</w:t>
            </w:r>
          </w:p>
        </w:tc>
      </w:tr>
    </w:tbl>
    <w:p w14:paraId="75EC7F55" w14:textId="77777777" w:rsidR="0097711F" w:rsidRDefault="0097711F" w:rsidP="0097711F">
      <w:pPr>
        <w:spacing w:before="240"/>
      </w:pPr>
      <w:r>
        <w:lastRenderedPageBreak/>
        <w:t>There are a range of different notification requirements regarding the communication of a change in in WWCC status from an individual to an approved provider, an approved provider to a Regulatory Authority, or for an individual to report a change in employer to the WWCC screening agency.</w:t>
      </w:r>
    </w:p>
    <w:p w14:paraId="0CDDE22F" w14:textId="77777777" w:rsidR="0097711F" w:rsidRDefault="0097711F" w:rsidP="0097711F">
      <w:r>
        <w:t xml:space="preserve">Jurisdiction-specific </w:t>
      </w:r>
      <w:r w:rsidRPr="00D04F53">
        <w:t xml:space="preserve">WWCC legislation </w:t>
      </w:r>
      <w:r w:rsidRPr="00D90494">
        <w:t>mandates</w:t>
      </w:r>
      <w:r>
        <w:t>:</w:t>
      </w:r>
    </w:p>
    <w:p w14:paraId="373AD3C1" w14:textId="6BD1C945" w:rsidR="0097711F" w:rsidRDefault="0097711F" w:rsidP="00EC53AB">
      <w:pPr>
        <w:pStyle w:val="ListParagraph"/>
        <w:numPr>
          <w:ilvl w:val="0"/>
          <w:numId w:val="9"/>
        </w:numPr>
        <w:ind w:left="426"/>
      </w:pPr>
      <w:r w:rsidRPr="00D90494">
        <w:t xml:space="preserve">employees </w:t>
      </w:r>
      <w:r>
        <w:t xml:space="preserve">must </w:t>
      </w:r>
      <w:r w:rsidRPr="00D04F53">
        <w:t>communicate</w:t>
      </w:r>
      <w:r w:rsidRPr="00D90494">
        <w:t xml:space="preserve"> </w:t>
      </w:r>
      <w:r>
        <w:t xml:space="preserve">WWCC </w:t>
      </w:r>
      <w:r w:rsidRPr="00D04F53">
        <w:t xml:space="preserve">status </w:t>
      </w:r>
      <w:r w:rsidRPr="00D90494">
        <w:t>changes to their</w:t>
      </w:r>
      <w:r>
        <w:t xml:space="preserve"> employer (VIC, WA and SA)</w:t>
      </w:r>
      <w:r w:rsidR="00F77C7A">
        <w:t>,</w:t>
      </w:r>
      <w:r>
        <w:t xml:space="preserve"> </w:t>
      </w:r>
    </w:p>
    <w:p w14:paraId="66DA732B" w14:textId="5574DB82" w:rsidR="0097711F" w:rsidRDefault="0097711F" w:rsidP="00F77C7A">
      <w:pPr>
        <w:pStyle w:val="ListParagraph"/>
        <w:ind w:left="426"/>
      </w:pPr>
      <w:r>
        <w:t>WWCC holders must communicate changes in their employer to the WWCC screening agency (VIC, NSW, QLD, WA and TAS)</w:t>
      </w:r>
      <w:r>
        <w:rPr>
          <w:rStyle w:val="FootnoteReference"/>
        </w:rPr>
        <w:footnoteReference w:id="112"/>
      </w:r>
      <w:r w:rsidR="00F77C7A">
        <w:t>,</w:t>
      </w:r>
    </w:p>
    <w:p w14:paraId="65813394" w14:textId="77777777" w:rsidR="0097711F" w:rsidRDefault="0097711F" w:rsidP="00F77C7A">
      <w:pPr>
        <w:pStyle w:val="ListParagraph"/>
        <w:ind w:left="426"/>
      </w:pPr>
      <w:r>
        <w:t>approved providers or WWCC screening agencies are obligated to notify Regulatory Authorities of changes in all employees’ WWCC status or teacher registration/accreditation status (WA, QLD, and in some circumstances, SA).</w:t>
      </w:r>
      <w:r>
        <w:rPr>
          <w:rStyle w:val="FootnoteReference"/>
        </w:rPr>
        <w:footnoteReference w:id="113"/>
      </w:r>
    </w:p>
    <w:p w14:paraId="28A49161" w14:textId="77777777" w:rsidR="0097711F" w:rsidRPr="008D2C4C" w:rsidRDefault="0097711F" w:rsidP="0097711F">
      <w:pPr>
        <w:rPr>
          <w:b/>
          <w:bCs/>
        </w:rPr>
      </w:pPr>
      <w:r>
        <w:t xml:space="preserve">The National Law stipulates that Regulatory Authorities must be notified of changes in WWCC status for nominated supervisors, FDC educators and FDC residents over 18 years old. Under section 173 of the National Law, approved providers must notify the Regulatory Authority if the nominated supervisor’s WWCC card or teacher registration/accreditation is suspended or cancelled. Further, section 271 requires Regulatory Authorities to disclose the suspension or cancellation of a WWCC card or teacher registration of a nominated </w:t>
      </w:r>
      <w:r w:rsidRPr="008D2C4C">
        <w:t>supervisor</w:t>
      </w:r>
      <w:r>
        <w:t xml:space="preserve"> to other Regulatory Authorities</w:t>
      </w:r>
      <w:r w:rsidRPr="008D2C4C">
        <w:t>.</w:t>
      </w:r>
      <w:r w:rsidRPr="008D2C4C">
        <w:rPr>
          <w:b/>
          <w:bCs/>
        </w:rPr>
        <w:t xml:space="preserve"> </w:t>
      </w:r>
    </w:p>
    <w:p w14:paraId="4C69FD32" w14:textId="77777777" w:rsidR="0097711F" w:rsidRDefault="0097711F" w:rsidP="0097711F">
      <w:r>
        <w:t xml:space="preserve">The National Regulations also set requirements for reporting changes in WWCC status in limited circumstances. Specifically, regulation 163 requires FDC educators to notify </w:t>
      </w:r>
      <w:r>
        <w:lastRenderedPageBreak/>
        <w:t>approved providers of any new person aged over 18 years old who resides or intends to reside at the residence and notify them of any circumstance that may affect whether they are fit and proper to be in the company of children.</w:t>
      </w:r>
      <w:r>
        <w:rPr>
          <w:rStyle w:val="FootnoteReference"/>
        </w:rPr>
        <w:footnoteReference w:id="114"/>
      </w:r>
      <w:r>
        <w:t xml:space="preserve"> </w:t>
      </w:r>
    </w:p>
    <w:p w14:paraId="19234188" w14:textId="77777777" w:rsidR="0097711F" w:rsidRDefault="0097711F" w:rsidP="0097711F">
      <w:r w:rsidRPr="006A6944">
        <w:t xml:space="preserve">Government intervention to date has recognised the importance of WWCCs by </w:t>
      </w:r>
      <w:r>
        <w:t>working towards greater standardisation across jurisdictions and encouraging data sharing initiatives</w:t>
      </w:r>
      <w:r w:rsidRPr="006A6944">
        <w:t xml:space="preserve">. </w:t>
      </w:r>
      <w:r>
        <w:t xml:space="preserve">Specifically, National Standard 30 (of the National Standards for WWCC) specifies that it should be a criminal offence in all jurisdictions if a person, as an applicant or WWCC holder, fails to notify screening agencies of relevant changes to their circumstances including a change of relevant criminal history, a change of employer, or a change of personal information. However, state and territory governments are at different stages of implementing National Standard 30. </w:t>
      </w:r>
    </w:p>
    <w:p w14:paraId="7895B420" w14:textId="77777777" w:rsidR="0097711F" w:rsidRDefault="0097711F" w:rsidP="0097711F">
      <w:pPr>
        <w:pStyle w:val="Heading3"/>
      </w:pPr>
      <w:r>
        <w:t>What is the problem?</w:t>
      </w:r>
    </w:p>
    <w:p w14:paraId="222C38E5" w14:textId="05A7A933" w:rsidR="0097711F" w:rsidRDefault="0097711F" w:rsidP="0097711F">
      <w:r>
        <w:t xml:space="preserve">There is currently no systematically reported evidence which identifies the nature, scale, or prevalence of harm caused by regulatory inconsistencies in notification obligations related to changes in WWCC status. Conceptually, the absence of nationally consistent and comprehensive notification requirements increases the risk of unsuitable individuals remaining in education and care settings. </w:t>
      </w:r>
    </w:p>
    <w:p w14:paraId="158F7A0B" w14:textId="77777777" w:rsidR="0097711F" w:rsidRDefault="0097711F" w:rsidP="0097711F">
      <w:r>
        <w:t xml:space="preserve">In addition, the </w:t>
      </w:r>
      <w:r w:rsidRPr="006F06A9">
        <w:t>absence of nationally consistent and comprehensive notification requirements</w:t>
      </w:r>
      <w:r>
        <w:t xml:space="preserve"> has the potential to create additional regulatory burden in navigating interjurisdictional requirements – particularly for approved providers that operate across several jurisdictions. These requirements are illustrated in Table 8.5.</w:t>
      </w:r>
    </w:p>
    <w:p w14:paraId="3C49AB19" w14:textId="3FCB4576" w:rsidR="0097711F" w:rsidRDefault="0097711F" w:rsidP="0097711F">
      <w:r>
        <w:t>The variance in notification requirements across jurisdictions has the potential to result in harm to children in any jurisdiction with potential gaps in notification requirements. This harm is most likely to result from a change in a person’s WWCC status being unknown to an approved provider and/or Regulatory Authority, and a person continuing to work in an education and care role. Further, the ability of WWCC screening agencies to notify approved providers</w:t>
      </w:r>
      <w:r>
        <w:rPr>
          <w:rStyle w:val="FootnoteReference"/>
        </w:rPr>
        <w:footnoteReference w:id="115"/>
      </w:r>
      <w:r>
        <w:t xml:space="preserve"> and/or Regulatory Authorities</w:t>
      </w:r>
      <w:r>
        <w:rPr>
          <w:rStyle w:val="FootnoteReference"/>
        </w:rPr>
        <w:footnoteReference w:id="116"/>
      </w:r>
      <w:r>
        <w:t xml:space="preserve"> of changes to a person’s WWCC status (in jurisdictions where the WWCC screening agency makes this notification</w:t>
      </w:r>
      <w:r>
        <w:rPr>
          <w:rStyle w:val="FootnoteReference"/>
        </w:rPr>
        <w:footnoteReference w:id="117"/>
      </w:r>
      <w:r>
        <w:t xml:space="preserve">) is </w:t>
      </w:r>
      <w:r w:rsidRPr="006A6AC7">
        <w:t>compromised</w:t>
      </w:r>
      <w:r>
        <w:t xml:space="preserve"> </w:t>
      </w:r>
      <w:r>
        <w:lastRenderedPageBreak/>
        <w:t xml:space="preserve">in states where individuals are not </w:t>
      </w:r>
      <w:r w:rsidRPr="00631129">
        <w:t>required to notify WWCC screening agencies of a change in employer</w:t>
      </w:r>
      <w:r>
        <w:t xml:space="preserve">. </w:t>
      </w:r>
    </w:p>
    <w:p w14:paraId="342B726D" w14:textId="77777777" w:rsidR="0097711F" w:rsidRDefault="0097711F" w:rsidP="0097711F">
      <w:pPr>
        <w:pStyle w:val="Caption"/>
      </w:pPr>
      <w:bookmarkStart w:id="145" w:name="_Toc201934910"/>
      <w:bookmarkStart w:id="146" w:name="_Toc205884964"/>
      <w:r>
        <w:t>Table 8.5: High-level overview of key differences in jurisdictional notification requirements</w:t>
      </w:r>
      <w:bookmarkEnd w:id="145"/>
      <w:bookmarkEnd w:id="146"/>
      <w:r>
        <w:t xml:space="preserve"> </w:t>
      </w:r>
    </w:p>
    <w:tbl>
      <w:tblPr>
        <w:tblW w:w="8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8.5: High-level overview of key differences in jurisdictional notification requirements "/>
        <w:tblDescription w:val="This table provides a high-level overview of key differences in jurisdictional WWCC notification requirements."/>
      </w:tblPr>
      <w:tblGrid>
        <w:gridCol w:w="3114"/>
        <w:gridCol w:w="730"/>
        <w:gridCol w:w="731"/>
        <w:gridCol w:w="730"/>
        <w:gridCol w:w="731"/>
        <w:gridCol w:w="731"/>
        <w:gridCol w:w="730"/>
        <w:gridCol w:w="731"/>
        <w:gridCol w:w="731"/>
      </w:tblGrid>
      <w:tr w:rsidR="0097711F" w:rsidRPr="00CD6BA7" w14:paraId="03B76A37" w14:textId="77777777" w:rsidTr="00407A74">
        <w:trPr>
          <w:tblHeader/>
        </w:trPr>
        <w:tc>
          <w:tcPr>
            <w:tcW w:w="3114" w:type="dxa"/>
            <w:shd w:val="clear" w:color="auto" w:fill="14233C" w:themeFill="text2"/>
          </w:tcPr>
          <w:p w14:paraId="01D18BF4" w14:textId="77777777" w:rsidR="0097711F" w:rsidRPr="00B062CA" w:rsidRDefault="0097711F">
            <w:pPr>
              <w:spacing w:after="0"/>
              <w:rPr>
                <w:szCs w:val="22"/>
              </w:rPr>
            </w:pPr>
          </w:p>
        </w:tc>
        <w:tc>
          <w:tcPr>
            <w:tcW w:w="730" w:type="dxa"/>
            <w:shd w:val="clear" w:color="auto" w:fill="14233C" w:themeFill="text2"/>
            <w:vAlign w:val="center"/>
          </w:tcPr>
          <w:p w14:paraId="5EF2C6A3" w14:textId="77777777" w:rsidR="0097711F" w:rsidRPr="00B062CA" w:rsidRDefault="0097711F">
            <w:pPr>
              <w:spacing w:after="0"/>
              <w:jc w:val="center"/>
              <w:rPr>
                <w:szCs w:val="22"/>
              </w:rPr>
            </w:pPr>
            <w:r w:rsidRPr="00B062CA">
              <w:rPr>
                <w:szCs w:val="22"/>
              </w:rPr>
              <w:t>NSW</w:t>
            </w:r>
          </w:p>
        </w:tc>
        <w:tc>
          <w:tcPr>
            <w:tcW w:w="731" w:type="dxa"/>
            <w:shd w:val="clear" w:color="auto" w:fill="14233C" w:themeFill="text2"/>
            <w:vAlign w:val="center"/>
          </w:tcPr>
          <w:p w14:paraId="22BB417F" w14:textId="77777777" w:rsidR="0097711F" w:rsidRPr="00B062CA" w:rsidRDefault="0097711F">
            <w:pPr>
              <w:spacing w:after="0"/>
              <w:jc w:val="center"/>
              <w:rPr>
                <w:szCs w:val="22"/>
              </w:rPr>
            </w:pPr>
            <w:r w:rsidRPr="00B062CA">
              <w:rPr>
                <w:szCs w:val="22"/>
              </w:rPr>
              <w:t>VIC</w:t>
            </w:r>
          </w:p>
        </w:tc>
        <w:tc>
          <w:tcPr>
            <w:tcW w:w="730" w:type="dxa"/>
            <w:shd w:val="clear" w:color="auto" w:fill="14233C" w:themeFill="text2"/>
            <w:vAlign w:val="center"/>
          </w:tcPr>
          <w:p w14:paraId="04CC6D4C" w14:textId="77777777" w:rsidR="0097711F" w:rsidRPr="00B062CA" w:rsidRDefault="0097711F">
            <w:pPr>
              <w:spacing w:after="0"/>
              <w:jc w:val="center"/>
              <w:rPr>
                <w:szCs w:val="22"/>
              </w:rPr>
            </w:pPr>
            <w:r w:rsidRPr="00B062CA">
              <w:rPr>
                <w:szCs w:val="22"/>
              </w:rPr>
              <w:t>QLD</w:t>
            </w:r>
          </w:p>
        </w:tc>
        <w:tc>
          <w:tcPr>
            <w:tcW w:w="731" w:type="dxa"/>
            <w:shd w:val="clear" w:color="auto" w:fill="14233C" w:themeFill="text2"/>
            <w:vAlign w:val="center"/>
          </w:tcPr>
          <w:p w14:paraId="3189AD04" w14:textId="77777777" w:rsidR="0097711F" w:rsidRPr="00B062CA" w:rsidRDefault="0097711F">
            <w:pPr>
              <w:spacing w:after="0"/>
              <w:jc w:val="center"/>
              <w:rPr>
                <w:szCs w:val="22"/>
              </w:rPr>
            </w:pPr>
            <w:r w:rsidRPr="00B062CA">
              <w:rPr>
                <w:szCs w:val="22"/>
              </w:rPr>
              <w:t>WA</w:t>
            </w:r>
          </w:p>
        </w:tc>
        <w:tc>
          <w:tcPr>
            <w:tcW w:w="731" w:type="dxa"/>
            <w:shd w:val="clear" w:color="auto" w:fill="14233C" w:themeFill="text2"/>
            <w:vAlign w:val="center"/>
          </w:tcPr>
          <w:p w14:paraId="09BF32F8" w14:textId="77777777" w:rsidR="0097711F" w:rsidRPr="00B062CA" w:rsidRDefault="0097711F">
            <w:pPr>
              <w:spacing w:after="0"/>
              <w:jc w:val="center"/>
              <w:rPr>
                <w:szCs w:val="22"/>
              </w:rPr>
            </w:pPr>
            <w:r w:rsidRPr="00B062CA">
              <w:rPr>
                <w:szCs w:val="22"/>
              </w:rPr>
              <w:t>SA</w:t>
            </w:r>
          </w:p>
        </w:tc>
        <w:tc>
          <w:tcPr>
            <w:tcW w:w="730" w:type="dxa"/>
            <w:shd w:val="clear" w:color="auto" w:fill="14233C" w:themeFill="text2"/>
            <w:vAlign w:val="center"/>
          </w:tcPr>
          <w:p w14:paraId="071316A2" w14:textId="77777777" w:rsidR="0097711F" w:rsidRPr="00B062CA" w:rsidRDefault="0097711F">
            <w:pPr>
              <w:spacing w:after="0"/>
              <w:jc w:val="center"/>
              <w:rPr>
                <w:szCs w:val="22"/>
              </w:rPr>
            </w:pPr>
            <w:r w:rsidRPr="00B062CA">
              <w:rPr>
                <w:szCs w:val="22"/>
              </w:rPr>
              <w:t>TAS</w:t>
            </w:r>
          </w:p>
        </w:tc>
        <w:tc>
          <w:tcPr>
            <w:tcW w:w="731" w:type="dxa"/>
            <w:shd w:val="clear" w:color="auto" w:fill="14233C" w:themeFill="text2"/>
            <w:vAlign w:val="center"/>
          </w:tcPr>
          <w:p w14:paraId="025803B8" w14:textId="77777777" w:rsidR="0097711F" w:rsidRPr="00B062CA" w:rsidRDefault="0097711F">
            <w:pPr>
              <w:spacing w:after="0"/>
              <w:jc w:val="center"/>
              <w:rPr>
                <w:szCs w:val="22"/>
              </w:rPr>
            </w:pPr>
            <w:r w:rsidRPr="00B062CA">
              <w:rPr>
                <w:szCs w:val="22"/>
              </w:rPr>
              <w:t>NT</w:t>
            </w:r>
          </w:p>
        </w:tc>
        <w:tc>
          <w:tcPr>
            <w:tcW w:w="731" w:type="dxa"/>
            <w:shd w:val="clear" w:color="auto" w:fill="14233C" w:themeFill="text2"/>
            <w:vAlign w:val="center"/>
          </w:tcPr>
          <w:p w14:paraId="05936C89" w14:textId="77777777" w:rsidR="0097711F" w:rsidRPr="00B062CA" w:rsidRDefault="0097711F">
            <w:pPr>
              <w:spacing w:after="0"/>
              <w:jc w:val="center"/>
              <w:rPr>
                <w:szCs w:val="22"/>
              </w:rPr>
            </w:pPr>
            <w:r w:rsidRPr="00B062CA">
              <w:rPr>
                <w:szCs w:val="22"/>
              </w:rPr>
              <w:t>ACT</w:t>
            </w:r>
          </w:p>
        </w:tc>
      </w:tr>
      <w:tr w:rsidR="0097711F" w:rsidRPr="00CD6BA7" w14:paraId="0F1116EE" w14:textId="77777777" w:rsidTr="00407A74">
        <w:tc>
          <w:tcPr>
            <w:tcW w:w="3114" w:type="dxa"/>
            <w:shd w:val="clear" w:color="auto" w:fill="14233C" w:themeFill="text2"/>
            <w:vAlign w:val="center"/>
          </w:tcPr>
          <w:p w14:paraId="2E726B0E" w14:textId="77777777" w:rsidR="0097711F" w:rsidRPr="00B062CA" w:rsidRDefault="0097711F">
            <w:pPr>
              <w:spacing w:after="0"/>
              <w:rPr>
                <w:color w:val="FFFFFF" w:themeColor="background1"/>
                <w:szCs w:val="22"/>
              </w:rPr>
            </w:pPr>
            <w:r w:rsidRPr="00B062CA">
              <w:rPr>
                <w:color w:val="FFFFFF"/>
                <w:szCs w:val="22"/>
              </w:rPr>
              <w:t>Individuals are required to notify their approved provider of a change in WWCC (or equivalent) status</w:t>
            </w:r>
          </w:p>
        </w:tc>
        <w:tc>
          <w:tcPr>
            <w:tcW w:w="730" w:type="dxa"/>
            <w:vAlign w:val="center"/>
          </w:tcPr>
          <w:p w14:paraId="7681D3AC" w14:textId="77777777" w:rsidR="0097711F" w:rsidRPr="00B062CA" w:rsidRDefault="0097711F">
            <w:pPr>
              <w:spacing w:after="0"/>
              <w:jc w:val="center"/>
              <w:rPr>
                <w:b/>
                <w:szCs w:val="22"/>
                <w:u w:val="single"/>
              </w:rPr>
            </w:pPr>
            <w:r w:rsidRPr="00B062CA">
              <w:rPr>
                <w:b/>
                <w:bCs/>
                <w:szCs w:val="22"/>
                <w:u w:val="single"/>
              </w:rPr>
              <w:t>No</w:t>
            </w:r>
          </w:p>
        </w:tc>
        <w:tc>
          <w:tcPr>
            <w:tcW w:w="731" w:type="dxa"/>
            <w:vAlign w:val="center"/>
          </w:tcPr>
          <w:p w14:paraId="6DA273C1" w14:textId="77777777" w:rsidR="0097711F" w:rsidRPr="00B062CA" w:rsidRDefault="0097711F">
            <w:pPr>
              <w:spacing w:after="0"/>
              <w:jc w:val="center"/>
              <w:rPr>
                <w:szCs w:val="22"/>
              </w:rPr>
            </w:pPr>
            <w:r w:rsidRPr="00B062CA">
              <w:rPr>
                <w:szCs w:val="22"/>
              </w:rPr>
              <w:t>Yes</w:t>
            </w:r>
          </w:p>
        </w:tc>
        <w:tc>
          <w:tcPr>
            <w:tcW w:w="730" w:type="dxa"/>
            <w:vAlign w:val="center"/>
          </w:tcPr>
          <w:p w14:paraId="0C3FA023" w14:textId="77777777" w:rsidR="0097711F" w:rsidRPr="00B062CA" w:rsidRDefault="0097711F">
            <w:pPr>
              <w:spacing w:after="0"/>
              <w:jc w:val="center"/>
              <w:rPr>
                <w:b/>
                <w:bCs/>
                <w:szCs w:val="22"/>
                <w:u w:val="single"/>
              </w:rPr>
            </w:pPr>
            <w:r w:rsidRPr="00B062CA">
              <w:rPr>
                <w:b/>
                <w:bCs/>
                <w:szCs w:val="22"/>
                <w:u w:val="single"/>
              </w:rPr>
              <w:t>No</w:t>
            </w:r>
          </w:p>
        </w:tc>
        <w:tc>
          <w:tcPr>
            <w:tcW w:w="731" w:type="dxa"/>
            <w:vAlign w:val="center"/>
          </w:tcPr>
          <w:p w14:paraId="7FEF1D47" w14:textId="77777777" w:rsidR="0097711F" w:rsidRPr="00B062CA" w:rsidRDefault="0097711F">
            <w:pPr>
              <w:spacing w:after="0"/>
              <w:jc w:val="center"/>
              <w:rPr>
                <w:bCs/>
                <w:szCs w:val="22"/>
              </w:rPr>
            </w:pPr>
            <w:r w:rsidRPr="00B062CA">
              <w:rPr>
                <w:szCs w:val="22"/>
              </w:rPr>
              <w:t>Yes</w:t>
            </w:r>
          </w:p>
        </w:tc>
        <w:tc>
          <w:tcPr>
            <w:tcW w:w="731" w:type="dxa"/>
            <w:vAlign w:val="center"/>
          </w:tcPr>
          <w:p w14:paraId="13432056" w14:textId="77777777" w:rsidR="0097711F" w:rsidRPr="00B062CA" w:rsidRDefault="0097711F">
            <w:pPr>
              <w:spacing w:after="0"/>
              <w:jc w:val="center"/>
              <w:rPr>
                <w:szCs w:val="22"/>
              </w:rPr>
            </w:pPr>
            <w:r w:rsidRPr="00B062CA">
              <w:rPr>
                <w:szCs w:val="22"/>
              </w:rPr>
              <w:t>Yes</w:t>
            </w:r>
          </w:p>
        </w:tc>
        <w:tc>
          <w:tcPr>
            <w:tcW w:w="730" w:type="dxa"/>
            <w:vAlign w:val="center"/>
          </w:tcPr>
          <w:p w14:paraId="113C3A51" w14:textId="77777777" w:rsidR="0097711F" w:rsidRPr="00B062CA" w:rsidRDefault="0097711F">
            <w:pPr>
              <w:spacing w:after="0"/>
              <w:jc w:val="center"/>
              <w:rPr>
                <w:b/>
                <w:bCs/>
                <w:szCs w:val="22"/>
                <w:u w:val="single"/>
              </w:rPr>
            </w:pPr>
            <w:r w:rsidRPr="00B062CA">
              <w:rPr>
                <w:b/>
                <w:bCs/>
                <w:szCs w:val="22"/>
                <w:u w:val="single"/>
              </w:rPr>
              <w:t>No</w:t>
            </w:r>
          </w:p>
        </w:tc>
        <w:tc>
          <w:tcPr>
            <w:tcW w:w="731" w:type="dxa"/>
            <w:vAlign w:val="center"/>
          </w:tcPr>
          <w:p w14:paraId="4E95FC4F" w14:textId="77777777" w:rsidR="0097711F" w:rsidRPr="00B062CA" w:rsidRDefault="0097711F">
            <w:pPr>
              <w:spacing w:after="0"/>
              <w:jc w:val="center"/>
              <w:rPr>
                <w:b/>
                <w:szCs w:val="22"/>
                <w:u w:val="single"/>
              </w:rPr>
            </w:pPr>
            <w:r w:rsidRPr="00B062CA">
              <w:rPr>
                <w:b/>
                <w:bCs/>
                <w:szCs w:val="22"/>
                <w:u w:val="single"/>
              </w:rPr>
              <w:t>No</w:t>
            </w:r>
          </w:p>
        </w:tc>
        <w:tc>
          <w:tcPr>
            <w:tcW w:w="731" w:type="dxa"/>
            <w:vAlign w:val="center"/>
          </w:tcPr>
          <w:p w14:paraId="6AFD3618" w14:textId="77777777" w:rsidR="0097711F" w:rsidRPr="00B062CA" w:rsidRDefault="0097711F">
            <w:pPr>
              <w:spacing w:after="0"/>
              <w:jc w:val="center"/>
              <w:rPr>
                <w:b/>
                <w:szCs w:val="22"/>
                <w:u w:val="single"/>
              </w:rPr>
            </w:pPr>
            <w:r w:rsidRPr="00B062CA">
              <w:rPr>
                <w:b/>
                <w:bCs/>
                <w:szCs w:val="22"/>
                <w:u w:val="single"/>
              </w:rPr>
              <w:t>No</w:t>
            </w:r>
          </w:p>
        </w:tc>
      </w:tr>
      <w:tr w:rsidR="0097711F" w:rsidRPr="00CD6BA7" w14:paraId="44314A41" w14:textId="77777777" w:rsidTr="00407A74">
        <w:tc>
          <w:tcPr>
            <w:tcW w:w="3114" w:type="dxa"/>
            <w:shd w:val="clear" w:color="auto" w:fill="14233C" w:themeFill="text2"/>
            <w:vAlign w:val="center"/>
          </w:tcPr>
          <w:p w14:paraId="1DA964A1" w14:textId="77777777" w:rsidR="0097711F" w:rsidRPr="00B062CA" w:rsidRDefault="0097711F">
            <w:pPr>
              <w:spacing w:after="0"/>
              <w:rPr>
                <w:color w:val="FFFFFF" w:themeColor="background1"/>
                <w:szCs w:val="22"/>
              </w:rPr>
            </w:pPr>
            <w:r w:rsidRPr="00B062CA">
              <w:rPr>
                <w:color w:val="FFFFFF"/>
                <w:szCs w:val="22"/>
              </w:rPr>
              <w:t>WWCC agency notifies the approved provider of changes to a person’s WWCC status</w:t>
            </w:r>
          </w:p>
        </w:tc>
        <w:tc>
          <w:tcPr>
            <w:tcW w:w="730" w:type="dxa"/>
            <w:vAlign w:val="center"/>
          </w:tcPr>
          <w:p w14:paraId="068648DD" w14:textId="77777777" w:rsidR="0097711F" w:rsidRPr="00B062CA" w:rsidRDefault="0097711F">
            <w:pPr>
              <w:spacing w:after="0"/>
              <w:jc w:val="center"/>
              <w:rPr>
                <w:szCs w:val="22"/>
              </w:rPr>
            </w:pPr>
            <w:r w:rsidRPr="00B062CA">
              <w:rPr>
                <w:szCs w:val="22"/>
              </w:rPr>
              <w:t>Yes</w:t>
            </w:r>
          </w:p>
        </w:tc>
        <w:tc>
          <w:tcPr>
            <w:tcW w:w="731" w:type="dxa"/>
            <w:vAlign w:val="center"/>
          </w:tcPr>
          <w:p w14:paraId="68A5E7A0" w14:textId="77777777" w:rsidR="0097711F" w:rsidRPr="00B062CA" w:rsidRDefault="0097711F">
            <w:pPr>
              <w:spacing w:after="0"/>
              <w:jc w:val="center"/>
              <w:rPr>
                <w:szCs w:val="22"/>
              </w:rPr>
            </w:pPr>
            <w:r w:rsidRPr="00B062CA">
              <w:rPr>
                <w:szCs w:val="22"/>
              </w:rPr>
              <w:t>Yes</w:t>
            </w:r>
          </w:p>
        </w:tc>
        <w:tc>
          <w:tcPr>
            <w:tcW w:w="730" w:type="dxa"/>
            <w:vAlign w:val="center"/>
          </w:tcPr>
          <w:p w14:paraId="3FB3DECF" w14:textId="77777777" w:rsidR="0097711F" w:rsidRPr="00B062CA" w:rsidRDefault="0097711F">
            <w:pPr>
              <w:spacing w:after="0"/>
              <w:jc w:val="center"/>
              <w:rPr>
                <w:szCs w:val="22"/>
              </w:rPr>
            </w:pPr>
            <w:r w:rsidRPr="00B062CA">
              <w:rPr>
                <w:szCs w:val="22"/>
              </w:rPr>
              <w:t>Yes</w:t>
            </w:r>
          </w:p>
        </w:tc>
        <w:tc>
          <w:tcPr>
            <w:tcW w:w="731" w:type="dxa"/>
            <w:vAlign w:val="center"/>
          </w:tcPr>
          <w:p w14:paraId="72778470" w14:textId="1AB39090" w:rsidR="0097711F" w:rsidRPr="00BF4CB4" w:rsidRDefault="0097711F">
            <w:pPr>
              <w:spacing w:after="0"/>
              <w:jc w:val="center"/>
              <w:rPr>
                <w:szCs w:val="22"/>
              </w:rPr>
            </w:pPr>
            <w:r w:rsidRPr="005F3164">
              <w:rPr>
                <w:szCs w:val="22"/>
              </w:rPr>
              <w:t>Yes</w:t>
            </w:r>
            <w:r w:rsidR="005F3164">
              <w:rPr>
                <w:rStyle w:val="FootnoteReference"/>
                <w:szCs w:val="22"/>
              </w:rPr>
              <w:footnoteReference w:id="118"/>
            </w:r>
          </w:p>
        </w:tc>
        <w:tc>
          <w:tcPr>
            <w:tcW w:w="731" w:type="dxa"/>
            <w:vAlign w:val="center"/>
          </w:tcPr>
          <w:p w14:paraId="6E20A356" w14:textId="77777777" w:rsidR="0097711F" w:rsidRPr="00B062CA" w:rsidRDefault="0097711F">
            <w:pPr>
              <w:spacing w:after="0"/>
              <w:jc w:val="center"/>
              <w:rPr>
                <w:szCs w:val="22"/>
              </w:rPr>
            </w:pPr>
            <w:r w:rsidRPr="00B062CA">
              <w:rPr>
                <w:szCs w:val="22"/>
              </w:rPr>
              <w:t>Yes</w:t>
            </w:r>
          </w:p>
        </w:tc>
        <w:tc>
          <w:tcPr>
            <w:tcW w:w="730" w:type="dxa"/>
            <w:vAlign w:val="center"/>
          </w:tcPr>
          <w:p w14:paraId="752714BF" w14:textId="77777777" w:rsidR="0097711F" w:rsidRPr="00B062CA" w:rsidRDefault="0097711F">
            <w:pPr>
              <w:spacing w:after="0"/>
              <w:jc w:val="center"/>
              <w:rPr>
                <w:szCs w:val="22"/>
              </w:rPr>
            </w:pPr>
            <w:r w:rsidRPr="00B062CA">
              <w:rPr>
                <w:szCs w:val="22"/>
              </w:rPr>
              <w:t>Yes</w:t>
            </w:r>
          </w:p>
        </w:tc>
        <w:tc>
          <w:tcPr>
            <w:tcW w:w="731" w:type="dxa"/>
            <w:vAlign w:val="center"/>
          </w:tcPr>
          <w:p w14:paraId="7753E2FD" w14:textId="77777777" w:rsidR="0097711F" w:rsidRPr="00B062CA" w:rsidRDefault="0097711F">
            <w:pPr>
              <w:spacing w:after="0"/>
              <w:jc w:val="center"/>
              <w:rPr>
                <w:szCs w:val="22"/>
              </w:rPr>
            </w:pPr>
            <w:r w:rsidRPr="00B062CA">
              <w:rPr>
                <w:szCs w:val="22"/>
              </w:rPr>
              <w:t>Yes</w:t>
            </w:r>
          </w:p>
        </w:tc>
        <w:tc>
          <w:tcPr>
            <w:tcW w:w="731" w:type="dxa"/>
            <w:vAlign w:val="center"/>
          </w:tcPr>
          <w:p w14:paraId="6837EAA2" w14:textId="77777777" w:rsidR="0097711F" w:rsidRPr="00B062CA" w:rsidRDefault="0097711F">
            <w:pPr>
              <w:spacing w:after="0"/>
              <w:jc w:val="center"/>
              <w:rPr>
                <w:szCs w:val="22"/>
              </w:rPr>
            </w:pPr>
            <w:r w:rsidRPr="00B062CA">
              <w:rPr>
                <w:szCs w:val="22"/>
              </w:rPr>
              <w:t>Yes</w:t>
            </w:r>
          </w:p>
        </w:tc>
      </w:tr>
      <w:tr w:rsidR="0097711F" w:rsidRPr="00CD6BA7" w14:paraId="76046BE0" w14:textId="77777777" w:rsidTr="00407A74">
        <w:tc>
          <w:tcPr>
            <w:tcW w:w="3114" w:type="dxa"/>
            <w:shd w:val="clear" w:color="auto" w:fill="14233C" w:themeFill="text2"/>
            <w:vAlign w:val="center"/>
          </w:tcPr>
          <w:p w14:paraId="31FA6DB1" w14:textId="77777777" w:rsidR="0097711F" w:rsidRPr="00B062CA" w:rsidRDefault="0097711F">
            <w:pPr>
              <w:spacing w:after="0"/>
              <w:rPr>
                <w:color w:val="FFFFFF" w:themeColor="background1"/>
                <w:szCs w:val="22"/>
              </w:rPr>
            </w:pPr>
            <w:r w:rsidRPr="00B062CA">
              <w:rPr>
                <w:color w:val="FFFFFF" w:themeColor="background1"/>
                <w:szCs w:val="22"/>
              </w:rPr>
              <w:t>Individuals are required to notify WWCC screening agencies of a change in employer</w:t>
            </w:r>
          </w:p>
        </w:tc>
        <w:tc>
          <w:tcPr>
            <w:tcW w:w="730" w:type="dxa"/>
            <w:vAlign w:val="center"/>
          </w:tcPr>
          <w:p w14:paraId="6F4EDD1D" w14:textId="77777777" w:rsidR="0097711F" w:rsidRPr="00B062CA" w:rsidRDefault="0097711F">
            <w:pPr>
              <w:spacing w:after="0"/>
              <w:jc w:val="center"/>
              <w:rPr>
                <w:szCs w:val="22"/>
              </w:rPr>
            </w:pPr>
            <w:r w:rsidRPr="00B062CA">
              <w:rPr>
                <w:szCs w:val="22"/>
              </w:rPr>
              <w:t>Yes</w:t>
            </w:r>
          </w:p>
        </w:tc>
        <w:tc>
          <w:tcPr>
            <w:tcW w:w="731" w:type="dxa"/>
            <w:vAlign w:val="center"/>
          </w:tcPr>
          <w:p w14:paraId="3F859C1E" w14:textId="77777777" w:rsidR="0097711F" w:rsidRPr="00B062CA" w:rsidRDefault="0097711F">
            <w:pPr>
              <w:spacing w:after="0"/>
              <w:jc w:val="center"/>
              <w:rPr>
                <w:szCs w:val="22"/>
              </w:rPr>
            </w:pPr>
            <w:r w:rsidRPr="00B062CA">
              <w:rPr>
                <w:szCs w:val="22"/>
              </w:rPr>
              <w:t>Yes</w:t>
            </w:r>
          </w:p>
        </w:tc>
        <w:tc>
          <w:tcPr>
            <w:tcW w:w="730" w:type="dxa"/>
            <w:vAlign w:val="center"/>
          </w:tcPr>
          <w:p w14:paraId="03C30B09" w14:textId="77777777" w:rsidR="0097711F" w:rsidRPr="00B062CA" w:rsidRDefault="0097711F">
            <w:pPr>
              <w:spacing w:after="0"/>
              <w:jc w:val="center"/>
              <w:rPr>
                <w:bCs/>
                <w:szCs w:val="22"/>
              </w:rPr>
            </w:pPr>
            <w:r w:rsidRPr="00B062CA">
              <w:rPr>
                <w:bCs/>
                <w:szCs w:val="22"/>
              </w:rPr>
              <w:t>Yes</w:t>
            </w:r>
          </w:p>
        </w:tc>
        <w:tc>
          <w:tcPr>
            <w:tcW w:w="731" w:type="dxa"/>
            <w:vAlign w:val="center"/>
          </w:tcPr>
          <w:p w14:paraId="6C8B0D77" w14:textId="77777777" w:rsidR="0097711F" w:rsidRPr="00B062CA" w:rsidRDefault="0097711F">
            <w:pPr>
              <w:spacing w:after="0"/>
              <w:jc w:val="center"/>
              <w:rPr>
                <w:szCs w:val="22"/>
              </w:rPr>
            </w:pPr>
            <w:r w:rsidRPr="00B062CA">
              <w:rPr>
                <w:szCs w:val="22"/>
              </w:rPr>
              <w:t>Yes</w:t>
            </w:r>
          </w:p>
        </w:tc>
        <w:tc>
          <w:tcPr>
            <w:tcW w:w="731" w:type="dxa"/>
            <w:vAlign w:val="center"/>
          </w:tcPr>
          <w:p w14:paraId="2D908D16" w14:textId="77777777" w:rsidR="0097711F" w:rsidRPr="00B062CA" w:rsidRDefault="0097711F">
            <w:pPr>
              <w:spacing w:after="0"/>
              <w:jc w:val="center"/>
              <w:rPr>
                <w:b/>
                <w:bCs/>
                <w:szCs w:val="22"/>
                <w:u w:val="single"/>
              </w:rPr>
            </w:pPr>
            <w:r w:rsidRPr="00B062CA">
              <w:rPr>
                <w:b/>
                <w:bCs/>
                <w:szCs w:val="22"/>
                <w:u w:val="single"/>
              </w:rPr>
              <w:t>No</w:t>
            </w:r>
          </w:p>
        </w:tc>
        <w:tc>
          <w:tcPr>
            <w:tcW w:w="730" w:type="dxa"/>
            <w:vAlign w:val="center"/>
          </w:tcPr>
          <w:p w14:paraId="1D814C67" w14:textId="77777777" w:rsidR="0097711F" w:rsidRPr="00B062CA" w:rsidRDefault="0097711F">
            <w:pPr>
              <w:spacing w:after="0"/>
              <w:jc w:val="center"/>
              <w:rPr>
                <w:bCs/>
                <w:szCs w:val="22"/>
              </w:rPr>
            </w:pPr>
            <w:r w:rsidRPr="00B062CA">
              <w:rPr>
                <w:bCs/>
                <w:szCs w:val="22"/>
              </w:rPr>
              <w:t>Yes</w:t>
            </w:r>
          </w:p>
        </w:tc>
        <w:tc>
          <w:tcPr>
            <w:tcW w:w="731" w:type="dxa"/>
            <w:vAlign w:val="center"/>
          </w:tcPr>
          <w:p w14:paraId="045CC2DE" w14:textId="77777777" w:rsidR="0097711F" w:rsidRPr="00B062CA" w:rsidRDefault="0097711F">
            <w:pPr>
              <w:spacing w:after="0"/>
              <w:jc w:val="center"/>
              <w:rPr>
                <w:b/>
                <w:szCs w:val="22"/>
                <w:u w:val="single"/>
              </w:rPr>
            </w:pPr>
            <w:r w:rsidRPr="00B062CA">
              <w:rPr>
                <w:b/>
                <w:szCs w:val="22"/>
                <w:u w:val="single"/>
              </w:rPr>
              <w:t>No</w:t>
            </w:r>
          </w:p>
        </w:tc>
        <w:tc>
          <w:tcPr>
            <w:tcW w:w="731" w:type="dxa"/>
            <w:vAlign w:val="center"/>
          </w:tcPr>
          <w:p w14:paraId="75AC8202" w14:textId="77777777" w:rsidR="0097711F" w:rsidRPr="00B062CA" w:rsidRDefault="0097711F">
            <w:pPr>
              <w:spacing w:after="0"/>
              <w:jc w:val="center"/>
              <w:rPr>
                <w:b/>
                <w:szCs w:val="22"/>
                <w:u w:val="single"/>
              </w:rPr>
            </w:pPr>
            <w:r w:rsidRPr="00B062CA">
              <w:rPr>
                <w:b/>
                <w:szCs w:val="22"/>
                <w:u w:val="single"/>
              </w:rPr>
              <w:t>No</w:t>
            </w:r>
          </w:p>
        </w:tc>
      </w:tr>
      <w:tr w:rsidR="0097711F" w:rsidRPr="00CD6BA7" w14:paraId="688E87FC" w14:textId="77777777" w:rsidTr="00407A74">
        <w:tc>
          <w:tcPr>
            <w:tcW w:w="3114" w:type="dxa"/>
            <w:shd w:val="clear" w:color="auto" w:fill="14233C" w:themeFill="text2"/>
            <w:vAlign w:val="center"/>
          </w:tcPr>
          <w:p w14:paraId="22AB78F9" w14:textId="77777777" w:rsidR="0097711F" w:rsidRPr="00B062CA" w:rsidRDefault="0097711F">
            <w:pPr>
              <w:spacing w:after="0"/>
              <w:rPr>
                <w:color w:val="FFFFFF" w:themeColor="background1"/>
                <w:szCs w:val="22"/>
              </w:rPr>
            </w:pPr>
            <w:r w:rsidRPr="00B062CA">
              <w:rPr>
                <w:color w:val="FFFFFF" w:themeColor="background1"/>
                <w:szCs w:val="22"/>
              </w:rPr>
              <w:t>Approved providers or WWCC screening agencies are required to notify Regulatory Authorities of a change in an any employee, volunteer, or FDC resident’s WWCC status (or equivalent)</w:t>
            </w:r>
          </w:p>
        </w:tc>
        <w:tc>
          <w:tcPr>
            <w:tcW w:w="730" w:type="dxa"/>
            <w:vAlign w:val="center"/>
          </w:tcPr>
          <w:p w14:paraId="274CA108" w14:textId="77777777" w:rsidR="0097711F" w:rsidRPr="00B062CA" w:rsidRDefault="0097711F">
            <w:pPr>
              <w:spacing w:after="0"/>
              <w:jc w:val="center"/>
              <w:rPr>
                <w:szCs w:val="22"/>
              </w:rPr>
            </w:pPr>
            <w:r w:rsidRPr="00B062CA">
              <w:rPr>
                <w:b/>
                <w:szCs w:val="22"/>
                <w:u w:val="single"/>
              </w:rPr>
              <w:t>No</w:t>
            </w:r>
          </w:p>
        </w:tc>
        <w:tc>
          <w:tcPr>
            <w:tcW w:w="731" w:type="dxa"/>
            <w:vAlign w:val="center"/>
          </w:tcPr>
          <w:p w14:paraId="41CA68B4" w14:textId="77777777" w:rsidR="0097711F" w:rsidRPr="00B062CA" w:rsidRDefault="0097711F">
            <w:pPr>
              <w:spacing w:after="0"/>
              <w:jc w:val="center"/>
              <w:rPr>
                <w:szCs w:val="22"/>
              </w:rPr>
            </w:pPr>
            <w:r w:rsidRPr="00B062CA">
              <w:rPr>
                <w:b/>
                <w:bCs/>
                <w:szCs w:val="22"/>
                <w:u w:val="single"/>
              </w:rPr>
              <w:t>No</w:t>
            </w:r>
          </w:p>
        </w:tc>
        <w:tc>
          <w:tcPr>
            <w:tcW w:w="730" w:type="dxa"/>
            <w:vAlign w:val="center"/>
          </w:tcPr>
          <w:p w14:paraId="0D1F8F18" w14:textId="77777777" w:rsidR="0097711F" w:rsidRPr="00B062CA" w:rsidRDefault="0097711F">
            <w:pPr>
              <w:spacing w:after="0"/>
              <w:jc w:val="center"/>
              <w:rPr>
                <w:b/>
                <w:bCs/>
                <w:szCs w:val="22"/>
                <w:u w:val="single"/>
              </w:rPr>
            </w:pPr>
            <w:r w:rsidRPr="00B062CA">
              <w:rPr>
                <w:szCs w:val="22"/>
              </w:rPr>
              <w:t>Yes</w:t>
            </w:r>
          </w:p>
        </w:tc>
        <w:tc>
          <w:tcPr>
            <w:tcW w:w="731" w:type="dxa"/>
            <w:vAlign w:val="center"/>
          </w:tcPr>
          <w:p w14:paraId="0EC14D0F" w14:textId="77777777" w:rsidR="0097711F" w:rsidRPr="00B062CA" w:rsidRDefault="0097711F">
            <w:pPr>
              <w:spacing w:after="0"/>
              <w:jc w:val="center"/>
              <w:rPr>
                <w:szCs w:val="22"/>
              </w:rPr>
            </w:pPr>
            <w:r w:rsidRPr="00B062CA">
              <w:rPr>
                <w:bCs/>
                <w:szCs w:val="22"/>
              </w:rPr>
              <w:t>Yes</w:t>
            </w:r>
          </w:p>
        </w:tc>
        <w:tc>
          <w:tcPr>
            <w:tcW w:w="731" w:type="dxa"/>
            <w:vAlign w:val="center"/>
          </w:tcPr>
          <w:p w14:paraId="28B5FAEA" w14:textId="77777777" w:rsidR="0097711F" w:rsidRPr="00B062CA" w:rsidRDefault="0097711F">
            <w:pPr>
              <w:spacing w:after="0"/>
              <w:jc w:val="center"/>
              <w:rPr>
                <w:szCs w:val="22"/>
              </w:rPr>
            </w:pPr>
            <w:r w:rsidRPr="742E3378">
              <w:t>Yes</w:t>
            </w:r>
            <w:r w:rsidRPr="742E3378">
              <w:rPr>
                <w:rStyle w:val="FootnoteReference"/>
              </w:rPr>
              <w:footnoteReference w:id="119"/>
            </w:r>
          </w:p>
        </w:tc>
        <w:tc>
          <w:tcPr>
            <w:tcW w:w="730" w:type="dxa"/>
            <w:vAlign w:val="center"/>
          </w:tcPr>
          <w:p w14:paraId="68679AE7" w14:textId="77777777" w:rsidR="0097711F" w:rsidRPr="00B062CA" w:rsidRDefault="0097711F">
            <w:pPr>
              <w:spacing w:after="0"/>
              <w:jc w:val="center"/>
              <w:rPr>
                <w:b/>
                <w:szCs w:val="22"/>
                <w:u w:val="single"/>
              </w:rPr>
            </w:pPr>
            <w:r w:rsidRPr="00B062CA">
              <w:rPr>
                <w:b/>
                <w:bCs/>
                <w:szCs w:val="22"/>
                <w:u w:val="single"/>
              </w:rPr>
              <w:t>No</w:t>
            </w:r>
          </w:p>
        </w:tc>
        <w:tc>
          <w:tcPr>
            <w:tcW w:w="731" w:type="dxa"/>
            <w:vAlign w:val="center"/>
          </w:tcPr>
          <w:p w14:paraId="69AE7D16" w14:textId="77777777" w:rsidR="0097711F" w:rsidRPr="00B062CA" w:rsidRDefault="0097711F">
            <w:pPr>
              <w:spacing w:after="0"/>
              <w:jc w:val="center"/>
              <w:rPr>
                <w:b/>
                <w:szCs w:val="22"/>
                <w:u w:val="single"/>
              </w:rPr>
            </w:pPr>
            <w:r w:rsidRPr="00B062CA">
              <w:rPr>
                <w:b/>
                <w:szCs w:val="22"/>
                <w:u w:val="single"/>
              </w:rPr>
              <w:t>No</w:t>
            </w:r>
          </w:p>
        </w:tc>
        <w:tc>
          <w:tcPr>
            <w:tcW w:w="731" w:type="dxa"/>
            <w:vAlign w:val="center"/>
          </w:tcPr>
          <w:p w14:paraId="6601A7C8" w14:textId="77777777" w:rsidR="0097711F" w:rsidRPr="00B062CA" w:rsidRDefault="0097711F">
            <w:pPr>
              <w:spacing w:after="0"/>
              <w:jc w:val="center"/>
              <w:rPr>
                <w:b/>
                <w:szCs w:val="22"/>
                <w:u w:val="single"/>
              </w:rPr>
            </w:pPr>
            <w:r w:rsidRPr="00B062CA">
              <w:rPr>
                <w:b/>
                <w:szCs w:val="22"/>
                <w:u w:val="single"/>
              </w:rPr>
              <w:t>No</w:t>
            </w:r>
          </w:p>
        </w:tc>
      </w:tr>
    </w:tbl>
    <w:p w14:paraId="3F03B0B4" w14:textId="77777777" w:rsidR="0097711F" w:rsidRPr="00BD2480" w:rsidRDefault="0097711F" w:rsidP="0097711F">
      <w:pPr>
        <w:rPr>
          <w:i/>
          <w:iCs/>
          <w:color w:val="14233C" w:themeColor="text2"/>
          <w:sz w:val="18"/>
          <w:szCs w:val="20"/>
        </w:rPr>
      </w:pPr>
      <w:r w:rsidRPr="00BD2480">
        <w:rPr>
          <w:i/>
          <w:iCs/>
          <w:color w:val="14233C" w:themeColor="text2"/>
          <w:sz w:val="18"/>
          <w:szCs w:val="20"/>
        </w:rPr>
        <w:t xml:space="preserve">Source: Information source from various jurisdictional WWCC (or equivalent) agencies and education departments. For more information on detailed sources, refer to Appendix </w:t>
      </w:r>
      <w:r>
        <w:rPr>
          <w:i/>
          <w:iCs/>
          <w:color w:val="14233C" w:themeColor="text2"/>
          <w:sz w:val="18"/>
          <w:szCs w:val="20"/>
        </w:rPr>
        <w:t>12</w:t>
      </w:r>
      <w:r w:rsidRPr="00BD2480">
        <w:rPr>
          <w:i/>
          <w:iCs/>
          <w:color w:val="14233C" w:themeColor="text2"/>
          <w:sz w:val="18"/>
          <w:szCs w:val="20"/>
        </w:rPr>
        <w:t>.</w:t>
      </w:r>
      <w:r>
        <w:rPr>
          <w:i/>
          <w:iCs/>
          <w:color w:val="14233C" w:themeColor="text2"/>
          <w:sz w:val="18"/>
          <w:szCs w:val="20"/>
        </w:rPr>
        <w:t>6</w:t>
      </w:r>
      <w:r w:rsidRPr="00BD2480">
        <w:rPr>
          <w:i/>
          <w:iCs/>
          <w:color w:val="14233C" w:themeColor="text2"/>
          <w:sz w:val="18"/>
          <w:szCs w:val="20"/>
        </w:rPr>
        <w:t xml:space="preserve">. </w:t>
      </w:r>
    </w:p>
    <w:p w14:paraId="0B9EC149" w14:textId="77777777" w:rsidR="0097711F" w:rsidRDefault="0097711F" w:rsidP="0097711F">
      <w:r>
        <w:t>Although teacher registration/accreditation processes in some jurisdictions already effectively screen, monitor, record and share disciplinary action about early childhood teachers, it is not required in all jurisdictions or in all education and care settings. For this reason, an option to provide national consistency of teacher registration/accreditation arrangements for services under the NQF is not yet possible and not included here.</w:t>
      </w:r>
    </w:p>
    <w:p w14:paraId="6469C377" w14:textId="743497C1" w:rsidR="0097711F" w:rsidRDefault="00EB4295" w:rsidP="0097711F">
      <w:pPr>
        <w:pStyle w:val="Heading3"/>
      </w:pPr>
      <w:r>
        <w:lastRenderedPageBreak/>
        <w:t>What were the policy options consulted on?</w:t>
      </w:r>
    </w:p>
    <w:p w14:paraId="487CA40A" w14:textId="7B90FB92" w:rsidR="0097711F" w:rsidRDefault="0097711F" w:rsidP="0097711F">
      <w:r>
        <w:t xml:space="preserve">Three options, including the status quo, a non-regulatory option, and a regulatory option are under consideration. </w:t>
      </w:r>
      <w:r w:rsidRPr="005C33F3">
        <w:t xml:space="preserve">Options 2 </w:t>
      </w:r>
      <w:r>
        <w:t>and 3</w:t>
      </w:r>
      <w:r w:rsidRPr="005C33F3">
        <w:t xml:space="preserve"> are not mutually exclusive, and the </w:t>
      </w:r>
      <w:r w:rsidR="004C5562">
        <w:t>recommended option</w:t>
      </w:r>
      <w:r w:rsidRPr="005C33F3">
        <w:t xml:space="preserve"> can be a combination of the proposed regulatory and non-regulatory approaches.</w:t>
      </w:r>
      <w:r>
        <w:t xml:space="preserve"> Option 3 comprises of two parts (A and B) that cannot be split.</w:t>
      </w:r>
    </w:p>
    <w:p w14:paraId="70ADFE7A" w14:textId="77777777" w:rsidR="0097711F" w:rsidRPr="00931B53" w:rsidRDefault="0097711F" w:rsidP="0097711F">
      <w:pPr>
        <w:pStyle w:val="Caption"/>
      </w:pPr>
      <w:bookmarkStart w:id="147" w:name="_Toc201934911"/>
      <w:bookmarkStart w:id="148" w:name="_Toc205884965"/>
      <w:r>
        <w:t xml:space="preserve">Table 8.6: Policy options under consideration – </w:t>
      </w:r>
      <w:r w:rsidRPr="00D1760E">
        <w:t>Requiring approved providers and Regulatory Authorities to be notified about changes in WWCC status</w:t>
      </w:r>
      <w:bookmarkEnd w:id="147"/>
      <w:bookmarkEnd w:id="14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8.6: Policy options under consideration – Requiring approved providers and Regulatory Authorities to be notified about changes in WWCC status"/>
        <w:tblDescription w:val="This table outlines the policy options under consideration for requiring approved providers and Regulatory Authorities to be notified about changes in WWCC status."/>
      </w:tblPr>
      <w:tblGrid>
        <w:gridCol w:w="1631"/>
        <w:gridCol w:w="7379"/>
      </w:tblGrid>
      <w:tr w:rsidR="0097711F" w:rsidRPr="00C02005" w14:paraId="3E8264DD" w14:textId="77777777" w:rsidTr="00E3170E">
        <w:trPr>
          <w:tblHeader/>
        </w:trPr>
        <w:tc>
          <w:tcPr>
            <w:tcW w:w="905" w:type="pct"/>
            <w:shd w:val="clear" w:color="auto" w:fill="14233C" w:themeFill="text2"/>
          </w:tcPr>
          <w:p w14:paraId="5E088F45" w14:textId="77777777" w:rsidR="0097711F" w:rsidRPr="00006D1E" w:rsidRDefault="0097711F">
            <w:pPr>
              <w:jc w:val="center"/>
              <w:rPr>
                <w:b/>
                <w:color w:val="FFFFFF" w:themeColor="background1"/>
                <w:szCs w:val="22"/>
              </w:rPr>
            </w:pPr>
            <w:r w:rsidRPr="00006D1E">
              <w:rPr>
                <w:b/>
                <w:color w:val="FFFFFF" w:themeColor="background1"/>
                <w:szCs w:val="22"/>
              </w:rPr>
              <w:t>Option</w:t>
            </w:r>
          </w:p>
        </w:tc>
        <w:tc>
          <w:tcPr>
            <w:tcW w:w="4095" w:type="pct"/>
            <w:shd w:val="clear" w:color="auto" w:fill="14233C" w:themeFill="text2"/>
          </w:tcPr>
          <w:p w14:paraId="096D3B23" w14:textId="77777777" w:rsidR="0097711F" w:rsidRPr="00006D1E" w:rsidRDefault="0097711F">
            <w:pPr>
              <w:jc w:val="center"/>
              <w:rPr>
                <w:b/>
                <w:color w:val="FFFFFF" w:themeColor="background1"/>
                <w:szCs w:val="22"/>
              </w:rPr>
            </w:pPr>
            <w:r w:rsidRPr="00006D1E">
              <w:rPr>
                <w:b/>
                <w:color w:val="FFFFFF" w:themeColor="background1"/>
                <w:szCs w:val="22"/>
              </w:rPr>
              <w:t>Description</w:t>
            </w:r>
          </w:p>
        </w:tc>
      </w:tr>
      <w:tr w:rsidR="0097711F" w14:paraId="73A5C37D" w14:textId="77777777" w:rsidTr="00E3170E">
        <w:tc>
          <w:tcPr>
            <w:tcW w:w="905" w:type="pct"/>
          </w:tcPr>
          <w:p w14:paraId="2B644023" w14:textId="77777777" w:rsidR="0097711F" w:rsidRPr="00006D1E" w:rsidRDefault="0097711F">
            <w:pPr>
              <w:rPr>
                <w:szCs w:val="22"/>
              </w:rPr>
            </w:pPr>
            <w:r w:rsidRPr="00006D1E">
              <w:rPr>
                <w:szCs w:val="22"/>
              </w:rPr>
              <w:t>1</w:t>
            </w:r>
          </w:p>
        </w:tc>
        <w:tc>
          <w:tcPr>
            <w:tcW w:w="4095" w:type="pct"/>
          </w:tcPr>
          <w:p w14:paraId="3FFD4DFD" w14:textId="77777777" w:rsidR="0097711F" w:rsidRPr="00006D1E" w:rsidRDefault="0097711F">
            <w:pPr>
              <w:rPr>
                <w:szCs w:val="22"/>
              </w:rPr>
            </w:pPr>
            <w:r w:rsidRPr="00006D1E">
              <w:rPr>
                <w:szCs w:val="22"/>
              </w:rPr>
              <w:t>Status quo (no change).</w:t>
            </w:r>
          </w:p>
        </w:tc>
      </w:tr>
      <w:tr w:rsidR="0097711F" w14:paraId="7F4AB43B" w14:textId="77777777" w:rsidTr="00E3170E">
        <w:tc>
          <w:tcPr>
            <w:tcW w:w="905" w:type="pct"/>
          </w:tcPr>
          <w:p w14:paraId="394997C9" w14:textId="77777777" w:rsidR="0097711F" w:rsidRPr="00006D1E" w:rsidRDefault="0097711F">
            <w:pPr>
              <w:rPr>
                <w:szCs w:val="22"/>
              </w:rPr>
            </w:pPr>
            <w:r w:rsidRPr="00006D1E">
              <w:rPr>
                <w:szCs w:val="22"/>
              </w:rPr>
              <w:t>2</w:t>
            </w:r>
          </w:p>
        </w:tc>
        <w:tc>
          <w:tcPr>
            <w:tcW w:w="4095" w:type="pct"/>
          </w:tcPr>
          <w:p w14:paraId="5750B9C8" w14:textId="77777777" w:rsidR="0097711F" w:rsidRPr="00006D1E" w:rsidRDefault="0097711F">
            <w:pPr>
              <w:ind w:left="360" w:hanging="360"/>
              <w:rPr>
                <w:b/>
                <w:szCs w:val="22"/>
              </w:rPr>
            </w:pPr>
            <w:r w:rsidRPr="00006D1E">
              <w:rPr>
                <w:b/>
                <w:szCs w:val="22"/>
              </w:rPr>
              <w:t>Non-regulatory</w:t>
            </w:r>
          </w:p>
          <w:p w14:paraId="4EF41D99" w14:textId="77777777" w:rsidR="0097711F" w:rsidRPr="00006D1E" w:rsidRDefault="0097711F">
            <w:pPr>
              <w:rPr>
                <w:szCs w:val="22"/>
              </w:rPr>
            </w:pPr>
            <w:r w:rsidRPr="00006D1E">
              <w:rPr>
                <w:szCs w:val="22"/>
              </w:rPr>
              <w:t>Additional guidance</w:t>
            </w:r>
            <w:r w:rsidRPr="00006D1E">
              <w:rPr>
                <w:b/>
                <w:szCs w:val="22"/>
              </w:rPr>
              <w:t xml:space="preserve"> </w:t>
            </w:r>
            <w:r w:rsidRPr="00006D1E">
              <w:rPr>
                <w:szCs w:val="22"/>
              </w:rPr>
              <w:t>about current WWCC and teacher registration/accreditation notification requirements and the importance of WWCCs in conjunction with the implementation of child safety training (refer to Chapter 6)</w:t>
            </w:r>
          </w:p>
          <w:p w14:paraId="06205EA9" w14:textId="77777777" w:rsidR="0097711F" w:rsidRPr="00006D1E" w:rsidRDefault="0097711F">
            <w:pPr>
              <w:rPr>
                <w:szCs w:val="22"/>
              </w:rPr>
            </w:pPr>
            <w:r w:rsidRPr="00006D1E">
              <w:rPr>
                <w:szCs w:val="22"/>
              </w:rPr>
              <w:t>Guidance to include the following recommended ‘best practice’ approaches:</w:t>
            </w:r>
          </w:p>
          <w:p w14:paraId="22DC3856" w14:textId="7072181C" w:rsidR="0097711F" w:rsidRPr="00006D1E" w:rsidRDefault="00903B72" w:rsidP="00EC53AB">
            <w:pPr>
              <w:pStyle w:val="ListParagraph"/>
              <w:numPr>
                <w:ilvl w:val="0"/>
                <w:numId w:val="56"/>
              </w:numPr>
              <w:rPr>
                <w:szCs w:val="22"/>
              </w:rPr>
            </w:pPr>
            <w:r w:rsidRPr="00006D1E">
              <w:rPr>
                <w:szCs w:val="22"/>
              </w:rPr>
              <w:t>c</w:t>
            </w:r>
            <w:r w:rsidR="0097711F" w:rsidRPr="00006D1E">
              <w:rPr>
                <w:szCs w:val="22"/>
              </w:rPr>
              <w:t>onfirmation of a WWCC record in staff files prior to working in a service (all staff and volunteers)</w:t>
            </w:r>
          </w:p>
          <w:p w14:paraId="756A04E5" w14:textId="688F5397" w:rsidR="0097711F" w:rsidRPr="00006D1E" w:rsidRDefault="00903B72" w:rsidP="00EC53AB">
            <w:pPr>
              <w:pStyle w:val="ListParagraph"/>
              <w:numPr>
                <w:ilvl w:val="0"/>
                <w:numId w:val="56"/>
              </w:numPr>
              <w:rPr>
                <w:szCs w:val="22"/>
              </w:rPr>
            </w:pPr>
            <w:r w:rsidRPr="00006D1E">
              <w:rPr>
                <w:szCs w:val="22"/>
              </w:rPr>
              <w:t>c</w:t>
            </w:r>
            <w:r w:rsidR="0097711F" w:rsidRPr="00006D1E">
              <w:rPr>
                <w:szCs w:val="22"/>
              </w:rPr>
              <w:t>heck WWCC status every six months (in jurisdictions where approved providers are not already notified by the relevant WWCC agency).</w:t>
            </w:r>
          </w:p>
        </w:tc>
      </w:tr>
      <w:tr w:rsidR="0097711F" w14:paraId="5DAA54C1" w14:textId="77777777" w:rsidTr="00E3170E">
        <w:tc>
          <w:tcPr>
            <w:tcW w:w="905" w:type="pct"/>
          </w:tcPr>
          <w:p w14:paraId="6FF14320" w14:textId="3A6DD370" w:rsidR="0097711F" w:rsidRPr="00006D1E" w:rsidRDefault="0097711F">
            <w:pPr>
              <w:rPr>
                <w:szCs w:val="22"/>
              </w:rPr>
            </w:pPr>
            <w:r w:rsidRPr="00006D1E">
              <w:rPr>
                <w:szCs w:val="22"/>
              </w:rPr>
              <w:t>3</w:t>
            </w:r>
            <w:r w:rsidR="00C93420">
              <w:rPr>
                <w:szCs w:val="22"/>
              </w:rPr>
              <w:t>A and 3B</w:t>
            </w:r>
          </w:p>
        </w:tc>
        <w:tc>
          <w:tcPr>
            <w:tcW w:w="4095" w:type="pct"/>
          </w:tcPr>
          <w:p w14:paraId="15A92108" w14:textId="77777777" w:rsidR="0097711F" w:rsidRPr="00006D1E" w:rsidRDefault="0097711F">
            <w:pPr>
              <w:rPr>
                <w:b/>
                <w:szCs w:val="22"/>
              </w:rPr>
            </w:pPr>
            <w:r w:rsidRPr="00006D1E">
              <w:rPr>
                <w:b/>
                <w:szCs w:val="22"/>
              </w:rPr>
              <w:t>Regulatory</w:t>
            </w:r>
          </w:p>
          <w:p w14:paraId="1464F3DF" w14:textId="77777777" w:rsidR="0097711F" w:rsidRPr="00006D1E" w:rsidRDefault="0097711F">
            <w:pPr>
              <w:rPr>
                <w:szCs w:val="22"/>
              </w:rPr>
            </w:pPr>
            <w:r w:rsidRPr="00006D1E">
              <w:rPr>
                <w:szCs w:val="22"/>
              </w:rPr>
              <w:t xml:space="preserve">Amend the National Regulations and National Law </w:t>
            </w:r>
          </w:p>
          <w:p w14:paraId="7FEC5BD1" w14:textId="0B56FE77" w:rsidR="0097711F" w:rsidRPr="00006D1E" w:rsidRDefault="00C93420" w:rsidP="742E3378">
            <w:pPr>
              <w:pStyle w:val="ListParagraph"/>
              <w:rPr>
                <w:szCs w:val="22"/>
              </w:rPr>
            </w:pPr>
            <w:r>
              <w:rPr>
                <w:szCs w:val="22"/>
              </w:rPr>
              <w:t xml:space="preserve">3A: </w:t>
            </w:r>
            <w:r w:rsidR="0097711F" w:rsidRPr="00006D1E">
              <w:rPr>
                <w:szCs w:val="22"/>
              </w:rPr>
              <w:t>New requirement for all centre-based staff and FDC educators to notify their approved provider of a change in WWCC or teacher registration/accreditation status (in NSW, TAS, ACT and NT only).</w:t>
            </w:r>
            <w:r w:rsidR="0097711F" w:rsidRPr="00006D1E">
              <w:rPr>
                <w:rStyle w:val="FootnoteReference"/>
                <w:szCs w:val="22"/>
              </w:rPr>
              <w:footnoteReference w:id="120"/>
            </w:r>
            <w:r w:rsidR="0097711F" w:rsidRPr="00006D1E">
              <w:rPr>
                <w:szCs w:val="22"/>
              </w:rPr>
              <w:t xml:space="preserve"> </w:t>
            </w:r>
          </w:p>
          <w:p w14:paraId="298B6EC4" w14:textId="77777777" w:rsidR="0097711F" w:rsidRPr="00006D1E" w:rsidRDefault="0097711F">
            <w:pPr>
              <w:rPr>
                <w:b/>
                <w:szCs w:val="22"/>
              </w:rPr>
            </w:pPr>
            <w:r w:rsidRPr="00006D1E">
              <w:rPr>
                <w:b/>
                <w:szCs w:val="22"/>
              </w:rPr>
              <w:t xml:space="preserve">and </w:t>
            </w:r>
          </w:p>
          <w:p w14:paraId="65252932" w14:textId="3C09C474" w:rsidR="0097711F" w:rsidRPr="00006D1E" w:rsidRDefault="00C93420" w:rsidP="742E3378">
            <w:pPr>
              <w:pStyle w:val="ListParagraph"/>
              <w:rPr>
                <w:szCs w:val="22"/>
              </w:rPr>
            </w:pPr>
            <w:r>
              <w:rPr>
                <w:szCs w:val="22"/>
              </w:rPr>
              <w:lastRenderedPageBreak/>
              <w:t xml:space="preserve">3B: </w:t>
            </w:r>
            <w:r w:rsidR="0097711F" w:rsidRPr="00006D1E">
              <w:rPr>
                <w:szCs w:val="22"/>
              </w:rPr>
              <w:t>New requirement for approved providers to notify the Regulatory Authority of a change in WWCC or teacher registration/accreditation status for all staff with penalties/offences for non-compliance, (in all jurisdictions except QLD and WA.</w:t>
            </w:r>
            <w:r w:rsidR="0097711F" w:rsidRPr="00006D1E">
              <w:rPr>
                <w:rStyle w:val="FootnoteReference"/>
                <w:szCs w:val="22"/>
              </w:rPr>
              <w:footnoteReference w:id="121"/>
            </w:r>
            <w:r w:rsidR="0097711F" w:rsidRPr="00006D1E">
              <w:rPr>
                <w:szCs w:val="22"/>
              </w:rPr>
              <w:t xml:space="preserve"> Also, an exemption in SA in instances where changes to WWCC status is directly communicated to the Regulatory Authority).</w:t>
            </w:r>
          </w:p>
        </w:tc>
      </w:tr>
    </w:tbl>
    <w:p w14:paraId="6A825809" w14:textId="77777777" w:rsidR="0097711F" w:rsidRDefault="0097711F" w:rsidP="0097711F"/>
    <w:p w14:paraId="25784F00" w14:textId="77777777" w:rsidR="0097711F" w:rsidRDefault="0097711F" w:rsidP="0097711F">
      <w:pPr>
        <w:pStyle w:val="Heading3"/>
      </w:pPr>
      <w:r>
        <w:t>What are the impacts of each option?</w:t>
      </w:r>
    </w:p>
    <w:p w14:paraId="6F20EA02" w14:textId="77154EA6" w:rsidR="00273F50" w:rsidRPr="00083B20" w:rsidRDefault="00273F50" w:rsidP="00273F50">
      <w:r>
        <w:t>The sections below provide an MCA assessing the potential impacts of the proposed options on child safety outcomes, costs to stakeholders, implementation considerations, and distributional impacts. A detailed overview of the MCA framework underpinning this analy</w:t>
      </w:r>
      <w:r w:rsidRPr="001D3080">
        <w:t xml:space="preserve">sis is available in </w:t>
      </w:r>
      <w:r>
        <w:t>Chapter 4.</w:t>
      </w:r>
    </w:p>
    <w:p w14:paraId="04A6337D" w14:textId="77777777" w:rsidR="0097711F" w:rsidRDefault="0097711F" w:rsidP="0097711F">
      <w:pPr>
        <w:pStyle w:val="Heading4"/>
      </w:pPr>
      <w:r>
        <w:t xml:space="preserve">Multi-criteria analysis </w:t>
      </w:r>
    </w:p>
    <w:p w14:paraId="648EFD99" w14:textId="54D1492A" w:rsidR="00C03357" w:rsidRDefault="00C03357" w:rsidP="00C03357">
      <w:r w:rsidRPr="00C20858">
        <w:t xml:space="preserve">In assigning </w:t>
      </w:r>
      <w:r w:rsidR="00C30E62">
        <w:t xml:space="preserve">MCA </w:t>
      </w:r>
      <w:r w:rsidRPr="00C20858">
        <w:t xml:space="preserve">scores to reflect the relative benefits and costs of each option, the score for improvement in child safety has been scaled with a zero for </w:t>
      </w:r>
      <w:r>
        <w:t>option 1</w:t>
      </w:r>
      <w:r w:rsidRPr="00C20858">
        <w:t xml:space="preserve"> representing no change, and </w:t>
      </w:r>
      <w:r>
        <w:t xml:space="preserve">score of three </w:t>
      </w:r>
      <w:r w:rsidRPr="00C20858">
        <w:t xml:space="preserve">for </w:t>
      </w:r>
      <w:r>
        <w:t>option 3A and 3B,</w:t>
      </w:r>
      <w:r w:rsidRPr="00C20858">
        <w:t xml:space="preserve"> </w:t>
      </w:r>
      <w:r>
        <w:t>representing</w:t>
      </w:r>
      <w:r w:rsidRPr="00C20858">
        <w:t xml:space="preserve"> the biggest impact on child safety. Other options have been scored between these values based on the assessment of qualitative input from stakeholders. Scores for other categories relating to costs, risks, and distributional considerations have been scaled in relation to these benefits.</w:t>
      </w:r>
    </w:p>
    <w:p w14:paraId="2DA39E43" w14:textId="77777777" w:rsidR="0097711F" w:rsidRDefault="0097711F" w:rsidP="0097711F">
      <w:pPr>
        <w:pStyle w:val="Caption"/>
      </w:pPr>
      <w:bookmarkStart w:id="149" w:name="_Toc201934912"/>
      <w:bookmarkStart w:id="150" w:name="_Toc205884966"/>
      <w:r>
        <w:t xml:space="preserve">Table 8.7: MCA outcomes – </w:t>
      </w:r>
      <w:r w:rsidRPr="00A51577">
        <w:t>Requiring approved providers and Regulatory Authorities to be notified about changes in WWCC status</w:t>
      </w:r>
      <w:bookmarkEnd w:id="149"/>
      <w:bookmarkEnd w:id="15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8.7: MCA outcomes – Requiring approved providers and Regulatory Authorities to be notified about changes in WWCC status"/>
        <w:tblDescription w:val="This table outlines the MCA outcomes for requiring approved providers and Regulatory Authorities to be notified about changes in WWCC status."/>
      </w:tblPr>
      <w:tblGrid>
        <w:gridCol w:w="3105"/>
        <w:gridCol w:w="1016"/>
        <w:gridCol w:w="1339"/>
        <w:gridCol w:w="1339"/>
        <w:gridCol w:w="2211"/>
      </w:tblGrid>
      <w:tr w:rsidR="0097711F" w14:paraId="2FDB19E2" w14:textId="77777777" w:rsidTr="00E3170E">
        <w:trPr>
          <w:tblHeader/>
        </w:trPr>
        <w:tc>
          <w:tcPr>
            <w:tcW w:w="3105" w:type="dxa"/>
            <w:shd w:val="clear" w:color="auto" w:fill="14233C" w:themeFill="text2"/>
          </w:tcPr>
          <w:p w14:paraId="78FB47B4" w14:textId="77777777" w:rsidR="0097711F" w:rsidRPr="00C2617C" w:rsidRDefault="0097711F">
            <w:pPr>
              <w:rPr>
                <w:b/>
                <w:color w:val="FFFFFF" w:themeColor="background1"/>
                <w:szCs w:val="20"/>
              </w:rPr>
            </w:pPr>
            <w:r w:rsidRPr="00C2617C">
              <w:rPr>
                <w:b/>
                <w:color w:val="FFFFFF" w:themeColor="background1"/>
                <w:szCs w:val="20"/>
              </w:rPr>
              <w:t>Criteria</w:t>
            </w:r>
          </w:p>
        </w:tc>
        <w:tc>
          <w:tcPr>
            <w:tcW w:w="1016" w:type="dxa"/>
            <w:shd w:val="clear" w:color="auto" w:fill="14233C" w:themeFill="text2"/>
          </w:tcPr>
          <w:p w14:paraId="5AFABCA6" w14:textId="77777777" w:rsidR="0097711F" w:rsidRPr="00C2617C" w:rsidRDefault="0097711F">
            <w:pPr>
              <w:jc w:val="center"/>
              <w:rPr>
                <w:b/>
                <w:color w:val="FFFFFF" w:themeColor="background1"/>
                <w:szCs w:val="20"/>
              </w:rPr>
            </w:pPr>
            <w:r w:rsidRPr="00C2617C">
              <w:rPr>
                <w:b/>
                <w:color w:val="FFFFFF" w:themeColor="background1"/>
                <w:szCs w:val="20"/>
              </w:rPr>
              <w:t>Weight</w:t>
            </w:r>
          </w:p>
        </w:tc>
        <w:tc>
          <w:tcPr>
            <w:tcW w:w="1339" w:type="dxa"/>
            <w:shd w:val="clear" w:color="auto" w:fill="14233C" w:themeFill="text2"/>
          </w:tcPr>
          <w:p w14:paraId="60241AAC" w14:textId="77777777" w:rsidR="0097711F" w:rsidRPr="00C2617C" w:rsidRDefault="0097711F">
            <w:pPr>
              <w:jc w:val="center"/>
              <w:rPr>
                <w:b/>
                <w:color w:val="FFFFFF" w:themeColor="background1"/>
                <w:szCs w:val="20"/>
              </w:rPr>
            </w:pPr>
            <w:r w:rsidRPr="00C2617C">
              <w:rPr>
                <w:b/>
                <w:color w:val="FFFFFF" w:themeColor="background1"/>
                <w:szCs w:val="20"/>
              </w:rPr>
              <w:t>Option 1</w:t>
            </w:r>
          </w:p>
        </w:tc>
        <w:tc>
          <w:tcPr>
            <w:tcW w:w="1339" w:type="dxa"/>
            <w:shd w:val="clear" w:color="auto" w:fill="14233C" w:themeFill="text2"/>
          </w:tcPr>
          <w:p w14:paraId="642027AD" w14:textId="77777777" w:rsidR="0097711F" w:rsidRPr="00C2617C" w:rsidRDefault="0097711F">
            <w:pPr>
              <w:jc w:val="center"/>
              <w:rPr>
                <w:b/>
                <w:color w:val="FFFFFF" w:themeColor="background1"/>
                <w:szCs w:val="20"/>
              </w:rPr>
            </w:pPr>
            <w:r w:rsidRPr="00C2617C">
              <w:rPr>
                <w:b/>
                <w:color w:val="FFFFFF" w:themeColor="background1"/>
                <w:szCs w:val="20"/>
              </w:rPr>
              <w:t>Option 2</w:t>
            </w:r>
          </w:p>
        </w:tc>
        <w:tc>
          <w:tcPr>
            <w:tcW w:w="2211" w:type="dxa"/>
            <w:shd w:val="clear" w:color="auto" w:fill="14233C" w:themeFill="text2"/>
          </w:tcPr>
          <w:p w14:paraId="409F06F7" w14:textId="4264542F" w:rsidR="0097711F" w:rsidRPr="00C2617C" w:rsidRDefault="0097711F">
            <w:pPr>
              <w:jc w:val="center"/>
              <w:rPr>
                <w:b/>
                <w:color w:val="FFFFFF" w:themeColor="background1"/>
                <w:szCs w:val="20"/>
              </w:rPr>
            </w:pPr>
            <w:r w:rsidRPr="00C2617C">
              <w:rPr>
                <w:b/>
                <w:color w:val="FFFFFF" w:themeColor="background1"/>
                <w:szCs w:val="20"/>
              </w:rPr>
              <w:t>Option 3</w:t>
            </w:r>
            <w:r w:rsidR="007831DE">
              <w:rPr>
                <w:b/>
                <w:color w:val="FFFFFF" w:themeColor="background1"/>
                <w:szCs w:val="20"/>
              </w:rPr>
              <w:t>A and 3B</w:t>
            </w:r>
          </w:p>
        </w:tc>
      </w:tr>
      <w:tr w:rsidR="0097711F" w14:paraId="00F32702" w14:textId="77777777" w:rsidTr="00E3170E">
        <w:tc>
          <w:tcPr>
            <w:tcW w:w="3105" w:type="dxa"/>
          </w:tcPr>
          <w:p w14:paraId="037CB904" w14:textId="77777777" w:rsidR="0097711F" w:rsidRPr="00C2617C" w:rsidRDefault="0097711F">
            <w:pPr>
              <w:rPr>
                <w:szCs w:val="20"/>
              </w:rPr>
            </w:pPr>
            <w:r w:rsidRPr="00C2617C">
              <w:rPr>
                <w:szCs w:val="20"/>
              </w:rPr>
              <w:t>Improvement in child safety</w:t>
            </w:r>
          </w:p>
        </w:tc>
        <w:tc>
          <w:tcPr>
            <w:tcW w:w="1016" w:type="dxa"/>
          </w:tcPr>
          <w:p w14:paraId="62D26D9F" w14:textId="77777777" w:rsidR="0097711F" w:rsidRPr="00C2617C" w:rsidRDefault="0097711F">
            <w:pPr>
              <w:jc w:val="center"/>
              <w:rPr>
                <w:szCs w:val="20"/>
              </w:rPr>
            </w:pPr>
            <w:r w:rsidRPr="00C2617C">
              <w:rPr>
                <w:szCs w:val="20"/>
              </w:rPr>
              <w:t>50%</w:t>
            </w:r>
          </w:p>
        </w:tc>
        <w:tc>
          <w:tcPr>
            <w:tcW w:w="1339" w:type="dxa"/>
          </w:tcPr>
          <w:p w14:paraId="3DC45C2E" w14:textId="77777777" w:rsidR="0097711F" w:rsidRPr="00C2617C" w:rsidRDefault="0097711F">
            <w:pPr>
              <w:jc w:val="center"/>
              <w:rPr>
                <w:szCs w:val="20"/>
              </w:rPr>
            </w:pPr>
            <w:r w:rsidRPr="00C2617C">
              <w:rPr>
                <w:szCs w:val="20"/>
              </w:rPr>
              <w:t>0</w:t>
            </w:r>
          </w:p>
        </w:tc>
        <w:tc>
          <w:tcPr>
            <w:tcW w:w="1339" w:type="dxa"/>
          </w:tcPr>
          <w:p w14:paraId="31112E5F" w14:textId="77777777" w:rsidR="0097711F" w:rsidRPr="00C2617C" w:rsidRDefault="0097711F">
            <w:pPr>
              <w:jc w:val="center"/>
              <w:rPr>
                <w:szCs w:val="20"/>
              </w:rPr>
            </w:pPr>
            <w:r w:rsidRPr="00C2617C">
              <w:rPr>
                <w:szCs w:val="20"/>
              </w:rPr>
              <w:t>2</w:t>
            </w:r>
          </w:p>
        </w:tc>
        <w:tc>
          <w:tcPr>
            <w:tcW w:w="2211" w:type="dxa"/>
          </w:tcPr>
          <w:p w14:paraId="7B2CCE4C" w14:textId="77777777" w:rsidR="0097711F" w:rsidRPr="00C2617C" w:rsidRDefault="0097711F">
            <w:pPr>
              <w:jc w:val="center"/>
              <w:rPr>
                <w:szCs w:val="20"/>
              </w:rPr>
            </w:pPr>
            <w:r w:rsidRPr="00C2617C">
              <w:rPr>
                <w:szCs w:val="20"/>
              </w:rPr>
              <w:t>3</w:t>
            </w:r>
          </w:p>
        </w:tc>
      </w:tr>
      <w:tr w:rsidR="0097711F" w14:paraId="6FA992DB" w14:textId="77777777" w:rsidTr="00E3170E">
        <w:tc>
          <w:tcPr>
            <w:tcW w:w="3105" w:type="dxa"/>
          </w:tcPr>
          <w:p w14:paraId="0B2C32B3" w14:textId="77777777" w:rsidR="0097711F" w:rsidRPr="00C2617C" w:rsidRDefault="0097711F">
            <w:pPr>
              <w:rPr>
                <w:szCs w:val="20"/>
              </w:rPr>
            </w:pPr>
            <w:r w:rsidRPr="00C2617C">
              <w:rPr>
                <w:szCs w:val="20"/>
              </w:rPr>
              <w:t>Net cost of policy option</w:t>
            </w:r>
          </w:p>
        </w:tc>
        <w:tc>
          <w:tcPr>
            <w:tcW w:w="1016" w:type="dxa"/>
          </w:tcPr>
          <w:p w14:paraId="39A1AEA2" w14:textId="77777777" w:rsidR="0097711F" w:rsidRPr="00C2617C" w:rsidRDefault="0097711F">
            <w:pPr>
              <w:jc w:val="center"/>
              <w:rPr>
                <w:szCs w:val="20"/>
              </w:rPr>
            </w:pPr>
            <w:r w:rsidRPr="00C2617C">
              <w:rPr>
                <w:szCs w:val="20"/>
              </w:rPr>
              <w:t>30%</w:t>
            </w:r>
          </w:p>
        </w:tc>
        <w:tc>
          <w:tcPr>
            <w:tcW w:w="1339" w:type="dxa"/>
          </w:tcPr>
          <w:p w14:paraId="0AB54546" w14:textId="77777777" w:rsidR="0097711F" w:rsidRPr="00C2617C" w:rsidRDefault="0097711F">
            <w:pPr>
              <w:jc w:val="center"/>
              <w:rPr>
                <w:szCs w:val="20"/>
              </w:rPr>
            </w:pPr>
            <w:r w:rsidRPr="00C2617C">
              <w:rPr>
                <w:szCs w:val="20"/>
              </w:rPr>
              <w:t>0</w:t>
            </w:r>
          </w:p>
        </w:tc>
        <w:tc>
          <w:tcPr>
            <w:tcW w:w="1339" w:type="dxa"/>
          </w:tcPr>
          <w:p w14:paraId="672F4414" w14:textId="77777777" w:rsidR="0097711F" w:rsidRPr="00C2617C" w:rsidRDefault="0097711F">
            <w:pPr>
              <w:jc w:val="center"/>
              <w:rPr>
                <w:szCs w:val="20"/>
              </w:rPr>
            </w:pPr>
            <w:r w:rsidRPr="00C2617C">
              <w:rPr>
                <w:szCs w:val="20"/>
              </w:rPr>
              <w:t>-1</w:t>
            </w:r>
          </w:p>
        </w:tc>
        <w:tc>
          <w:tcPr>
            <w:tcW w:w="2211" w:type="dxa"/>
          </w:tcPr>
          <w:p w14:paraId="1B538F35" w14:textId="77777777" w:rsidR="0097711F" w:rsidRPr="00C2617C" w:rsidRDefault="0097711F">
            <w:pPr>
              <w:jc w:val="center"/>
              <w:rPr>
                <w:szCs w:val="20"/>
              </w:rPr>
            </w:pPr>
            <w:r w:rsidRPr="00C2617C">
              <w:rPr>
                <w:szCs w:val="20"/>
              </w:rPr>
              <w:t>-1</w:t>
            </w:r>
          </w:p>
        </w:tc>
      </w:tr>
      <w:tr w:rsidR="0097711F" w14:paraId="7D30B6B4" w14:textId="77777777" w:rsidTr="00E3170E">
        <w:tc>
          <w:tcPr>
            <w:tcW w:w="3105" w:type="dxa"/>
          </w:tcPr>
          <w:p w14:paraId="5773DB03" w14:textId="1AE46A94" w:rsidR="0097711F" w:rsidRPr="00C2617C" w:rsidRDefault="0097711F">
            <w:pPr>
              <w:rPr>
                <w:szCs w:val="20"/>
              </w:rPr>
            </w:pPr>
            <w:r w:rsidRPr="00C2617C">
              <w:rPr>
                <w:szCs w:val="20"/>
              </w:rPr>
              <w:t xml:space="preserve">Implementation </w:t>
            </w:r>
            <w:r w:rsidR="004151E0">
              <w:rPr>
                <w:szCs w:val="20"/>
              </w:rPr>
              <w:t>considerations</w:t>
            </w:r>
          </w:p>
        </w:tc>
        <w:tc>
          <w:tcPr>
            <w:tcW w:w="1016" w:type="dxa"/>
          </w:tcPr>
          <w:p w14:paraId="12A5DAE2" w14:textId="77777777" w:rsidR="0097711F" w:rsidRPr="00C2617C" w:rsidRDefault="0097711F">
            <w:pPr>
              <w:jc w:val="center"/>
              <w:rPr>
                <w:szCs w:val="20"/>
              </w:rPr>
            </w:pPr>
            <w:r w:rsidRPr="00C2617C">
              <w:rPr>
                <w:szCs w:val="20"/>
              </w:rPr>
              <w:t>10%</w:t>
            </w:r>
          </w:p>
        </w:tc>
        <w:tc>
          <w:tcPr>
            <w:tcW w:w="1339" w:type="dxa"/>
          </w:tcPr>
          <w:p w14:paraId="7FCACCF1" w14:textId="77777777" w:rsidR="0097711F" w:rsidRPr="00C2617C" w:rsidRDefault="0097711F">
            <w:pPr>
              <w:jc w:val="center"/>
              <w:rPr>
                <w:szCs w:val="20"/>
              </w:rPr>
            </w:pPr>
            <w:r w:rsidRPr="00C2617C">
              <w:rPr>
                <w:szCs w:val="20"/>
              </w:rPr>
              <w:t>0</w:t>
            </w:r>
          </w:p>
        </w:tc>
        <w:tc>
          <w:tcPr>
            <w:tcW w:w="1339" w:type="dxa"/>
          </w:tcPr>
          <w:p w14:paraId="22252646" w14:textId="77777777" w:rsidR="0097711F" w:rsidRPr="00C2617C" w:rsidRDefault="0097711F">
            <w:pPr>
              <w:jc w:val="center"/>
              <w:rPr>
                <w:szCs w:val="20"/>
              </w:rPr>
            </w:pPr>
            <w:r w:rsidRPr="00C2617C">
              <w:rPr>
                <w:szCs w:val="20"/>
              </w:rPr>
              <w:t>-1</w:t>
            </w:r>
          </w:p>
        </w:tc>
        <w:tc>
          <w:tcPr>
            <w:tcW w:w="2211" w:type="dxa"/>
          </w:tcPr>
          <w:p w14:paraId="063A147D" w14:textId="77777777" w:rsidR="0097711F" w:rsidRPr="00C2617C" w:rsidRDefault="0097711F">
            <w:pPr>
              <w:jc w:val="center"/>
              <w:rPr>
                <w:szCs w:val="20"/>
              </w:rPr>
            </w:pPr>
            <w:r w:rsidRPr="00C2617C">
              <w:rPr>
                <w:szCs w:val="20"/>
              </w:rPr>
              <w:t>-2</w:t>
            </w:r>
          </w:p>
        </w:tc>
      </w:tr>
      <w:tr w:rsidR="0097711F" w14:paraId="569F0FA9" w14:textId="77777777" w:rsidTr="00E3170E">
        <w:tc>
          <w:tcPr>
            <w:tcW w:w="3105" w:type="dxa"/>
          </w:tcPr>
          <w:p w14:paraId="50DE198A" w14:textId="77777777" w:rsidR="0097711F" w:rsidRPr="00C2617C" w:rsidRDefault="0097711F">
            <w:pPr>
              <w:rPr>
                <w:szCs w:val="20"/>
              </w:rPr>
            </w:pPr>
            <w:r w:rsidRPr="00C2617C">
              <w:rPr>
                <w:szCs w:val="20"/>
              </w:rPr>
              <w:t>Distributional impact</w:t>
            </w:r>
          </w:p>
        </w:tc>
        <w:tc>
          <w:tcPr>
            <w:tcW w:w="1016" w:type="dxa"/>
          </w:tcPr>
          <w:p w14:paraId="7386B09A" w14:textId="77777777" w:rsidR="0097711F" w:rsidRPr="00C2617C" w:rsidRDefault="0097711F">
            <w:pPr>
              <w:jc w:val="center"/>
              <w:rPr>
                <w:szCs w:val="20"/>
              </w:rPr>
            </w:pPr>
            <w:r w:rsidRPr="00C2617C">
              <w:rPr>
                <w:szCs w:val="20"/>
              </w:rPr>
              <w:t>10%</w:t>
            </w:r>
          </w:p>
        </w:tc>
        <w:tc>
          <w:tcPr>
            <w:tcW w:w="1339" w:type="dxa"/>
          </w:tcPr>
          <w:p w14:paraId="1131EC40" w14:textId="77777777" w:rsidR="0097711F" w:rsidRPr="00C2617C" w:rsidRDefault="0097711F">
            <w:pPr>
              <w:jc w:val="center"/>
              <w:rPr>
                <w:szCs w:val="20"/>
              </w:rPr>
            </w:pPr>
            <w:r w:rsidRPr="00C2617C">
              <w:rPr>
                <w:szCs w:val="20"/>
              </w:rPr>
              <w:t>0</w:t>
            </w:r>
          </w:p>
        </w:tc>
        <w:tc>
          <w:tcPr>
            <w:tcW w:w="1339" w:type="dxa"/>
          </w:tcPr>
          <w:p w14:paraId="434100BB" w14:textId="77777777" w:rsidR="0097711F" w:rsidRPr="00C2617C" w:rsidRDefault="0097711F">
            <w:pPr>
              <w:jc w:val="center"/>
              <w:rPr>
                <w:szCs w:val="20"/>
              </w:rPr>
            </w:pPr>
            <w:r w:rsidRPr="00C2617C">
              <w:rPr>
                <w:szCs w:val="20"/>
              </w:rPr>
              <w:t>0</w:t>
            </w:r>
          </w:p>
        </w:tc>
        <w:tc>
          <w:tcPr>
            <w:tcW w:w="2211" w:type="dxa"/>
          </w:tcPr>
          <w:p w14:paraId="2FC5E997" w14:textId="77777777" w:rsidR="0097711F" w:rsidRPr="00C2617C" w:rsidRDefault="0097711F">
            <w:pPr>
              <w:jc w:val="center"/>
              <w:rPr>
                <w:szCs w:val="20"/>
              </w:rPr>
            </w:pPr>
            <w:r w:rsidRPr="00C2617C">
              <w:rPr>
                <w:szCs w:val="20"/>
              </w:rPr>
              <w:t>0</w:t>
            </w:r>
          </w:p>
        </w:tc>
      </w:tr>
      <w:tr w:rsidR="0097711F" w14:paraId="573F1F93" w14:textId="77777777" w:rsidTr="00E3170E">
        <w:tc>
          <w:tcPr>
            <w:tcW w:w="3105" w:type="dxa"/>
          </w:tcPr>
          <w:p w14:paraId="2F289D03" w14:textId="5BA1724B" w:rsidR="0097711F" w:rsidRPr="00C2617C" w:rsidRDefault="0097711F">
            <w:pPr>
              <w:rPr>
                <w:b/>
                <w:szCs w:val="20"/>
              </w:rPr>
            </w:pPr>
            <w:r w:rsidRPr="00C2617C">
              <w:rPr>
                <w:b/>
                <w:szCs w:val="20"/>
              </w:rPr>
              <w:t>Weighted score</w:t>
            </w:r>
          </w:p>
        </w:tc>
        <w:tc>
          <w:tcPr>
            <w:tcW w:w="1016" w:type="dxa"/>
          </w:tcPr>
          <w:p w14:paraId="441C5508" w14:textId="77777777" w:rsidR="0097711F" w:rsidRPr="00C2617C" w:rsidRDefault="0097711F">
            <w:pPr>
              <w:jc w:val="center"/>
              <w:rPr>
                <w:szCs w:val="20"/>
              </w:rPr>
            </w:pPr>
          </w:p>
        </w:tc>
        <w:tc>
          <w:tcPr>
            <w:tcW w:w="1339" w:type="dxa"/>
          </w:tcPr>
          <w:p w14:paraId="0DF6DEB0" w14:textId="77777777" w:rsidR="0097711F" w:rsidRPr="00C2617C" w:rsidRDefault="0097711F">
            <w:pPr>
              <w:jc w:val="center"/>
              <w:rPr>
                <w:b/>
                <w:szCs w:val="20"/>
              </w:rPr>
            </w:pPr>
            <w:r w:rsidRPr="00C2617C">
              <w:rPr>
                <w:b/>
                <w:szCs w:val="20"/>
              </w:rPr>
              <w:t>0</w:t>
            </w:r>
          </w:p>
        </w:tc>
        <w:tc>
          <w:tcPr>
            <w:tcW w:w="1339" w:type="dxa"/>
          </w:tcPr>
          <w:p w14:paraId="52C9C40D" w14:textId="77777777" w:rsidR="0097711F" w:rsidRPr="00C2617C" w:rsidRDefault="0097711F">
            <w:pPr>
              <w:jc w:val="center"/>
              <w:rPr>
                <w:b/>
                <w:szCs w:val="20"/>
              </w:rPr>
            </w:pPr>
            <w:r w:rsidRPr="00C2617C">
              <w:rPr>
                <w:b/>
                <w:szCs w:val="20"/>
              </w:rPr>
              <w:t>0.6</w:t>
            </w:r>
          </w:p>
        </w:tc>
        <w:tc>
          <w:tcPr>
            <w:tcW w:w="2211" w:type="dxa"/>
          </w:tcPr>
          <w:p w14:paraId="217316D1" w14:textId="77777777" w:rsidR="0097711F" w:rsidRPr="00C2617C" w:rsidRDefault="0097711F">
            <w:pPr>
              <w:jc w:val="center"/>
              <w:rPr>
                <w:b/>
                <w:szCs w:val="20"/>
              </w:rPr>
            </w:pPr>
            <w:r w:rsidRPr="00C2617C">
              <w:rPr>
                <w:b/>
                <w:szCs w:val="20"/>
              </w:rPr>
              <w:t>1</w:t>
            </w:r>
          </w:p>
        </w:tc>
      </w:tr>
    </w:tbl>
    <w:p w14:paraId="2BAB2777" w14:textId="77777777" w:rsidR="0097711F" w:rsidRDefault="0097711F" w:rsidP="0097711F"/>
    <w:p w14:paraId="6015CAA2" w14:textId="64C785B3" w:rsidR="0097711F" w:rsidRDefault="00101A5E" w:rsidP="0097711F">
      <w:r>
        <w:t xml:space="preserve">The MCA scores suggest that option 2 and option 3A and 3B represent an improvement on the status quo (option 1), due to the improvement in child safety outcomes offsetting potential costs of the proposed options. Option 3A and 3B presents the highest MCA score, indicating the </w:t>
      </w:r>
      <w:r w:rsidR="001F69CF">
        <w:t xml:space="preserve">improvement in child safety more greatly offsets </w:t>
      </w:r>
      <w:r w:rsidR="00704B3C">
        <w:t xml:space="preserve">the potential negative impacts (costs, implementation risks, and distributional impacts). </w:t>
      </w:r>
      <w:r w:rsidR="0097711F">
        <w:t>The rationale for each MCA score is outlined in the sections below.</w:t>
      </w:r>
    </w:p>
    <w:p w14:paraId="3F0B90DA" w14:textId="77777777" w:rsidR="0097711F" w:rsidRDefault="0097711F" w:rsidP="0097711F">
      <w:pPr>
        <w:pStyle w:val="Heading4"/>
      </w:pPr>
      <w:r>
        <w:t xml:space="preserve">Impact on child safety </w:t>
      </w:r>
    </w:p>
    <w:p w14:paraId="39C0D988" w14:textId="77777777" w:rsidR="0097711F" w:rsidRDefault="0097711F" w:rsidP="0097711F">
      <w:r>
        <w:t xml:space="preserve">Option 2 could </w:t>
      </w:r>
      <w:r>
        <w:rPr>
          <w:szCs w:val="22"/>
        </w:rPr>
        <w:t>improve compliance with jurisdictional WWCC requirements and improve awareness of a change in WWCC status, depending on the uptake of practices outlined in the guidance materials by approved providers.</w:t>
      </w:r>
    </w:p>
    <w:p w14:paraId="3666042F" w14:textId="71979A5F" w:rsidR="0097711F" w:rsidRDefault="0097711F" w:rsidP="0097711F">
      <w:r>
        <w:t>Option</w:t>
      </w:r>
      <w:r w:rsidR="00A26CDF">
        <w:t>s</w:t>
      </w:r>
      <w:r>
        <w:t xml:space="preserve"> 3</w:t>
      </w:r>
      <w:r w:rsidR="00F24A7E">
        <w:t>A and 3B</w:t>
      </w:r>
      <w:r>
        <w:t xml:space="preserve"> </w:t>
      </w:r>
      <w:r w:rsidRPr="00504B70">
        <w:t xml:space="preserve">would </w:t>
      </w:r>
      <w:r>
        <w:t>improve the</w:t>
      </w:r>
      <w:r w:rsidRPr="00504B70">
        <w:t xml:space="preserve"> clarity of staff </w:t>
      </w:r>
      <w:r>
        <w:t xml:space="preserve">and approved provider </w:t>
      </w:r>
      <w:r w:rsidRPr="00504B70">
        <w:t xml:space="preserve">notification obligations. </w:t>
      </w:r>
      <w:r>
        <w:t xml:space="preserve">Where the additional obligations on staff to report a change in status to their approved provider leads to an increase in reporting, </w:t>
      </w:r>
      <w:r w:rsidRPr="00B44829">
        <w:t xml:space="preserve">approved providers </w:t>
      </w:r>
      <w:r>
        <w:t>will have greater capacity to</w:t>
      </w:r>
      <w:r w:rsidRPr="00B44829">
        <w:t xml:space="preserve"> make informed decisions and take timely action, reducing the potential that unsuitable individuals are present in education and care settings.</w:t>
      </w:r>
      <w:r>
        <w:t xml:space="preserve"> Similarly, if changes in status are more frequently reported to Regulatory Authorities, Regulatory Authorities will have greater </w:t>
      </w:r>
      <w:r w:rsidR="00D41F5E">
        <w:t xml:space="preserve">opportunity </w:t>
      </w:r>
      <w:r>
        <w:t xml:space="preserve">to evaluate potential risks presented by the staff member who </w:t>
      </w:r>
      <w:r w:rsidR="007C7177">
        <w:t xml:space="preserve">has </w:t>
      </w:r>
      <w:r>
        <w:t xml:space="preserve">experienced a change in the WWCC status and potentially remove them from an education and care setting. </w:t>
      </w:r>
    </w:p>
    <w:p w14:paraId="02BB4762" w14:textId="67C68AB8" w:rsidR="0097711F" w:rsidRDefault="0097711F" w:rsidP="0097711F">
      <w:r>
        <w:t xml:space="preserve">While stakeholders acknowledged the potential for these legislative changes to reduce harm in theory, there was uncertainty and scepticism regarding their practical impact on child safety. As a result, there was a general sense that while the options proposed here may be important, they may not adequately address risks identified with the current system. This was framed as </w:t>
      </w:r>
      <w:r w:rsidR="007C7177">
        <w:t>(</w:t>
      </w:r>
      <w:r>
        <w:t>1) unscrupulous individuals are unlikely to notify either their provider or others about changes in their WWCC status</w:t>
      </w:r>
      <w:r w:rsidR="00B002BF">
        <w:t xml:space="preserve"> (though </w:t>
      </w:r>
      <w:r w:rsidR="009508E4">
        <w:t xml:space="preserve">enforcement of </w:t>
      </w:r>
      <w:r w:rsidR="00B002BF">
        <w:t xml:space="preserve">penalties for non-compliance may </w:t>
      </w:r>
      <w:r w:rsidR="009508E4">
        <w:t>improve reporting behaviours)</w:t>
      </w:r>
      <w:r>
        <w:t xml:space="preserve"> and </w:t>
      </w:r>
      <w:r w:rsidR="007C7177">
        <w:t>(</w:t>
      </w:r>
      <w:r>
        <w:t xml:space="preserve">2) WWCCs are not sufficient mechanisms to prohibit unsuitable individuals joining the sector. </w:t>
      </w:r>
    </w:p>
    <w:p w14:paraId="65AE38F1" w14:textId="11E757D5" w:rsidR="0097711F" w:rsidRDefault="0097711F" w:rsidP="0097711F">
      <w:pPr>
        <w:pStyle w:val="Quote1"/>
        <w:rPr>
          <w:color w:val="A12068"/>
        </w:rPr>
      </w:pPr>
      <w:r w:rsidRPr="00B45952">
        <w:rPr>
          <w:color w:val="A12068"/>
        </w:rPr>
        <w:t>“I think this is a go</w:t>
      </w:r>
      <w:r>
        <w:rPr>
          <w:color w:val="A12068"/>
        </w:rPr>
        <w:t>o</w:t>
      </w:r>
      <w:r w:rsidRPr="00B45952">
        <w:rPr>
          <w:color w:val="A12068"/>
        </w:rPr>
        <w:t>d idea, but how do you force someone to disclose something they don't want to. it would have to work with the centre verifying every six months too.” –</w:t>
      </w:r>
      <w:r w:rsidR="00444A15">
        <w:rPr>
          <w:color w:val="A12068"/>
        </w:rPr>
        <w:t xml:space="preserve"> </w:t>
      </w:r>
      <w:r>
        <w:rPr>
          <w:color w:val="A12068"/>
        </w:rPr>
        <w:t>E</w:t>
      </w:r>
      <w:r w:rsidRPr="00732315">
        <w:rPr>
          <w:color w:val="A12068"/>
        </w:rPr>
        <w:t>ducation and care workforce survey</w:t>
      </w:r>
      <w:r w:rsidR="005E60A5">
        <w:rPr>
          <w:color w:val="A12068"/>
        </w:rPr>
        <w:t xml:space="preserve"> </w:t>
      </w:r>
      <w:r w:rsidR="005E60A5" w:rsidRPr="005E60A5">
        <w:rPr>
          <w:color w:val="A12068"/>
          <w:lang w:val="en-AU"/>
        </w:rPr>
        <w:t>response</w:t>
      </w:r>
    </w:p>
    <w:p w14:paraId="67CB542F" w14:textId="38AD6EDC" w:rsidR="0097711F" w:rsidRPr="00B45952" w:rsidRDefault="0097711F" w:rsidP="0097711F">
      <w:pPr>
        <w:pStyle w:val="Quote1"/>
        <w:rPr>
          <w:color w:val="A12068"/>
        </w:rPr>
      </w:pPr>
      <w:r w:rsidRPr="00B45952">
        <w:rPr>
          <w:color w:val="A12068"/>
          <w:lang w:val="en-AU"/>
        </w:rPr>
        <w:t xml:space="preserve">“This relies on staff to communicate changes. Do you really think an abuser is going to rush to communicate changes in </w:t>
      </w:r>
      <w:r w:rsidR="00940E62">
        <w:rPr>
          <w:color w:val="A12068"/>
          <w:lang w:val="en-AU"/>
        </w:rPr>
        <w:t>…</w:t>
      </w:r>
      <w:r w:rsidR="006B4681" w:rsidRPr="00B45952">
        <w:rPr>
          <w:color w:val="A12068"/>
          <w:lang w:val="en-AU"/>
        </w:rPr>
        <w:t xml:space="preserve"> </w:t>
      </w:r>
      <w:r w:rsidRPr="00B45952">
        <w:rPr>
          <w:color w:val="A12068"/>
          <w:lang w:val="en-AU"/>
        </w:rPr>
        <w:t>status/registration?” – Family Survey</w:t>
      </w:r>
      <w:r w:rsidR="005E60A5">
        <w:rPr>
          <w:color w:val="A12068"/>
          <w:lang w:val="en-AU"/>
        </w:rPr>
        <w:t xml:space="preserve"> </w:t>
      </w:r>
      <w:r w:rsidR="005E60A5" w:rsidRPr="005E60A5">
        <w:rPr>
          <w:color w:val="A12068"/>
          <w:lang w:val="en-AU"/>
        </w:rPr>
        <w:t>response</w:t>
      </w:r>
    </w:p>
    <w:p w14:paraId="7E698FB9" w14:textId="5C9B7965" w:rsidR="0097711F" w:rsidRDefault="0097711F" w:rsidP="0097711F">
      <w:r>
        <w:lastRenderedPageBreak/>
        <w:t>A small number of stakeholders (largely WWCC agencies) sought clarification on the rationale for this suite of policy options, including the current risks or drivers underpinning them.</w:t>
      </w:r>
      <w:r w:rsidR="00444A15">
        <w:t xml:space="preserve"> </w:t>
      </w:r>
    </w:p>
    <w:p w14:paraId="32BBA7B1" w14:textId="4FBA0E67" w:rsidR="0097711F" w:rsidRDefault="0097711F" w:rsidP="0097711F">
      <w:r>
        <w:t xml:space="preserve">Support for the regulatory option was more definitive in the survey where </w:t>
      </w:r>
      <w:r w:rsidR="00FC04F5">
        <w:t xml:space="preserve">respondents </w:t>
      </w:r>
      <w:r>
        <w:t>were asked to report on the extent to which they believed the proposed option would improve child safety. Most respondents believed that option 3</w:t>
      </w:r>
      <w:r w:rsidR="007831DE">
        <w:t>A and 3B</w:t>
      </w:r>
      <w:r>
        <w:t xml:space="preserve"> would </w:t>
      </w:r>
      <w:r w:rsidR="00FC04F5">
        <w:t>‘</w:t>
      </w:r>
      <w:r>
        <w:t>greatly reduce</w:t>
      </w:r>
      <w:r w:rsidR="00FC04F5">
        <w:t>’</w:t>
      </w:r>
      <w:r>
        <w:t xml:space="preserve"> the risk of harm to children, while option 2 would </w:t>
      </w:r>
      <w:r w:rsidR="00FC04F5">
        <w:t>‘</w:t>
      </w:r>
      <w:r>
        <w:t>somewhat reduce</w:t>
      </w:r>
      <w:r w:rsidR="00FC04F5">
        <w:t>’</w:t>
      </w:r>
      <w:r>
        <w:t xml:space="preserve"> the risk of harm to children (refer to Chart 8.3).</w:t>
      </w:r>
    </w:p>
    <w:p w14:paraId="641CF1F6" w14:textId="77777777" w:rsidR="0097711F" w:rsidRPr="00D87CEC" w:rsidRDefault="0097711F" w:rsidP="0097711F">
      <w:pPr>
        <w:pStyle w:val="Caption"/>
      </w:pPr>
      <w:bookmarkStart w:id="151" w:name="_Toc201934913"/>
      <w:bookmarkStart w:id="152" w:name="_Toc205884967"/>
      <w:r w:rsidRPr="007475F0">
        <w:t>Chart 8.</w:t>
      </w:r>
      <w:r>
        <w:t>3</w:t>
      </w:r>
      <w:r w:rsidRPr="007475F0">
        <w:t>: Approved</w:t>
      </w:r>
      <w:r w:rsidRPr="00057988">
        <w:t xml:space="preserve"> provider responses to “How much do you think each option will reduce the risk of harm to children?”</w:t>
      </w:r>
      <w:bookmarkEnd w:id="151"/>
      <w:bookmarkEnd w:id="152"/>
      <w:r w:rsidRPr="00057988">
        <w:t xml:space="preserve"> </w:t>
      </w:r>
    </w:p>
    <w:p w14:paraId="457B6134" w14:textId="77777777" w:rsidR="0097711F" w:rsidRDefault="0097711F" w:rsidP="0097711F">
      <w:r>
        <w:rPr>
          <w:noProof/>
          <w14:ligatures w14:val="standardContextual"/>
        </w:rPr>
        <w:drawing>
          <wp:inline distT="0" distB="0" distL="0" distR="0" wp14:anchorId="182F4C7E" wp14:editId="63296A90">
            <wp:extent cx="5203677" cy="2762009"/>
            <wp:effectExtent l="0" t="0" r="0" b="635"/>
            <wp:docPr id="129349135"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C1F38C09-BE08-8162-170D-84F9D1B4D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94CE4E1" w14:textId="77777777" w:rsidR="0097711F" w:rsidRPr="001B7B30" w:rsidRDefault="0097711F" w:rsidP="00976C70">
      <w:pPr>
        <w:pStyle w:val="Source-CSR"/>
        <w:rPr>
          <w:rFonts w:eastAsia="Calibri" w:cs="Arial"/>
          <w:color w:val="808080"/>
        </w:rPr>
      </w:pPr>
      <w:r w:rsidRPr="0108E865">
        <w:t>Source: Approved provider survey, as of 11 June 2025</w:t>
      </w:r>
      <w:r w:rsidRPr="00636B94">
        <w:t>, Q59, option 1 n=136, option 2 n=134, option 3A and 3B n=133.</w:t>
      </w:r>
    </w:p>
    <w:p w14:paraId="05F54F2D" w14:textId="24C44F9D" w:rsidR="0097711F" w:rsidRDefault="0097711F" w:rsidP="0097711F">
      <w:r w:rsidRPr="007C68CB">
        <w:t xml:space="preserve">Based on the balance of evidence collected, option 2 has been assigned </w:t>
      </w:r>
      <w:r w:rsidR="003055D7">
        <w:t>an MCA</w:t>
      </w:r>
      <w:r w:rsidRPr="007C68CB">
        <w:t xml:space="preserve"> score of two </w:t>
      </w:r>
      <w:r>
        <w:t>for this criterion</w:t>
      </w:r>
      <w:r w:rsidRPr="007C68CB">
        <w:t xml:space="preserve"> and option 3</w:t>
      </w:r>
      <w:r w:rsidR="00F24A7E">
        <w:t>A and 3B</w:t>
      </w:r>
      <w:r w:rsidRPr="007C68CB">
        <w:t xml:space="preserve"> has been assigned </w:t>
      </w:r>
      <w:r w:rsidR="003055D7">
        <w:t>an MCA</w:t>
      </w:r>
      <w:r w:rsidRPr="007C68CB">
        <w:t xml:space="preserve"> of three. Option </w:t>
      </w:r>
      <w:r w:rsidR="00796496">
        <w:t>2</w:t>
      </w:r>
      <w:r w:rsidR="00796496" w:rsidRPr="007C68CB">
        <w:t xml:space="preserve"> </w:t>
      </w:r>
      <w:r w:rsidRPr="007C68CB">
        <w:t>has been assigned a lower MCA score on the basis that it is ‘opt-in’ and hence requires approved providers to actively implement best practice approaches. While there is mixed sentiment regarding the impact of option 3</w:t>
      </w:r>
      <w:r w:rsidR="00F24A7E">
        <w:t>A and 3B</w:t>
      </w:r>
      <w:r w:rsidRPr="007C68CB">
        <w:t>, conceptually there is greater potential that it reduces the risk of harm to children relative to option 2</w:t>
      </w:r>
      <w:r w:rsidR="006F56F6">
        <w:t xml:space="preserve">, </w:t>
      </w:r>
      <w:r w:rsidR="009C10EE">
        <w:t>as individuals are more likely to respond to regulatory guidance, particularly if there is a penalty for non-compliance.</w:t>
      </w:r>
    </w:p>
    <w:p w14:paraId="2EEB371B" w14:textId="77777777" w:rsidR="0097711F" w:rsidRPr="00466043" w:rsidRDefault="0097711F" w:rsidP="0097711F">
      <w:pPr>
        <w:pStyle w:val="Heading4"/>
      </w:pPr>
      <w:r w:rsidRPr="00466043">
        <w:t xml:space="preserve">Cost of </w:t>
      </w:r>
      <w:r>
        <w:t>each</w:t>
      </w:r>
      <w:r w:rsidRPr="00466043">
        <w:t xml:space="preserve"> option</w:t>
      </w:r>
    </w:p>
    <w:p w14:paraId="10ADE4C6" w14:textId="77777777" w:rsidR="0097711F" w:rsidRDefault="0097711F" w:rsidP="0097711F">
      <w:r w:rsidRPr="0083003D">
        <w:t xml:space="preserve">The costs of the policy options are broadly considered to be </w:t>
      </w:r>
      <w:r>
        <w:t xml:space="preserve">manageable to individuals, approved providers, and Regulatory Authorities. </w:t>
      </w:r>
    </w:p>
    <w:p w14:paraId="7A2E2ADC" w14:textId="0619919D" w:rsidR="0097711F" w:rsidRDefault="0097711F" w:rsidP="0097711F">
      <w:r>
        <w:lastRenderedPageBreak/>
        <w:t>Regulatory Authorities are not expected to bear material costs from receiving additional information on changes in WWCC status from approved providers under option 3</w:t>
      </w:r>
      <w:r w:rsidR="007831DE">
        <w:t>A and 3B</w:t>
      </w:r>
      <w:r>
        <w:t xml:space="preserve"> and may incur incremental costs if involved in the development of guidance materials under option 2. Incremental c</w:t>
      </w:r>
      <w:r w:rsidRPr="00B53153">
        <w:t xml:space="preserve">osts will be more significant if relevant materials cannot be developed with the support of existing government resources and as part of business-as-usual activities. </w:t>
      </w:r>
    </w:p>
    <w:p w14:paraId="582F3D32" w14:textId="7F98E8F3" w:rsidR="0097711F" w:rsidRDefault="00CE0F08" w:rsidP="0097711F">
      <w:r>
        <w:t>Option</w:t>
      </w:r>
      <w:r w:rsidR="00A26CDF">
        <w:t>s</w:t>
      </w:r>
      <w:r>
        <w:t xml:space="preserve"> </w:t>
      </w:r>
      <w:r w:rsidR="006E515C">
        <w:t>3A and 3B</w:t>
      </w:r>
      <w:r w:rsidR="0097711F">
        <w:t xml:space="preserve"> would result in administrative burden for individuals and approved providers who are newly required to notify and provide records detailing changes in WWCC and teacher registration/accreditation status.</w:t>
      </w:r>
      <w:r>
        <w:t xml:space="preserve"> A</w:t>
      </w:r>
      <w:r w:rsidR="0097711F">
        <w:t xml:space="preserve">pproved providers did not indicate substantial costs for themselves or their staff members from any options. </w:t>
      </w:r>
      <w:r w:rsidR="0097711F" w:rsidRPr="00D00304">
        <w:t xml:space="preserve">Some approved providers indicated that notifying Regulatory Authorities </w:t>
      </w:r>
      <w:r w:rsidR="0097711F">
        <w:t xml:space="preserve">of changes in WWCC status </w:t>
      </w:r>
      <w:r w:rsidR="0097711F" w:rsidRPr="00D00304">
        <w:t xml:space="preserve">is not a lengthy process </w:t>
      </w:r>
      <w:r w:rsidR="0097711F">
        <w:t xml:space="preserve">(the most common survey response indicated this may take less than two minutes in each instance) </w:t>
      </w:r>
      <w:r w:rsidR="0097711F" w:rsidRPr="00D00304">
        <w:t xml:space="preserve">and the survey indicated this is </w:t>
      </w:r>
      <w:r w:rsidR="0097711F">
        <w:t xml:space="preserve">already </w:t>
      </w:r>
      <w:r w:rsidR="0097711F" w:rsidRPr="00D00304">
        <w:t xml:space="preserve">common practice across many approved providers </w:t>
      </w:r>
      <w:r w:rsidR="0097711F">
        <w:t>(68% of approved providers indicated they ‘always’ inform Regulatory Authorities of a change in WWCC status). As a result, option 3 would have a minimal incremental cost</w:t>
      </w:r>
      <w:r w:rsidR="0097711F" w:rsidRPr="00D00304">
        <w:t>.</w:t>
      </w:r>
      <w:r w:rsidR="0097711F">
        <w:t xml:space="preserve"> </w:t>
      </w:r>
    </w:p>
    <w:p w14:paraId="274B89FF" w14:textId="7DE95591" w:rsidR="0097711F" w:rsidRDefault="0097711F" w:rsidP="0097711F">
      <w:r>
        <w:t>Regulatory Authorities indicated that the number of status changes is not substantial, particularly when WWCC renewals are properly managed by individuals and approved providers. As a result, neither option 2 nor option 3</w:t>
      </w:r>
      <w:r w:rsidR="007831DE">
        <w:t xml:space="preserve">A </w:t>
      </w:r>
      <w:r w:rsidR="00A26CDF">
        <w:t xml:space="preserve">or </w:t>
      </w:r>
      <w:r w:rsidR="007831DE">
        <w:t>3B</w:t>
      </w:r>
      <w:r>
        <w:t xml:space="preserve"> is expected to impose </w:t>
      </w:r>
      <w:r w:rsidR="00A206C6">
        <w:t xml:space="preserve">material </w:t>
      </w:r>
      <w:r>
        <w:t>costs.</w:t>
      </w:r>
    </w:p>
    <w:p w14:paraId="17F9C585" w14:textId="1CC3628A" w:rsidR="0097711F" w:rsidRPr="0083003D" w:rsidRDefault="0097711F" w:rsidP="0097711F">
      <w:r>
        <w:t xml:space="preserve">Based on the low perceived costs of all options, both option 2 and </w:t>
      </w:r>
      <w:r w:rsidR="00283AA5">
        <w:t>option</w:t>
      </w:r>
      <w:r w:rsidR="00A26CDF">
        <w:t>s</w:t>
      </w:r>
      <w:r w:rsidR="00283AA5">
        <w:t xml:space="preserve"> 3A and 3B</w:t>
      </w:r>
      <w:r>
        <w:t xml:space="preserve"> have been assigned MCA scores of negative one for this criterion.</w:t>
      </w:r>
    </w:p>
    <w:p w14:paraId="641B3689" w14:textId="7E5FFDB1" w:rsidR="0097711F" w:rsidRPr="00466043" w:rsidRDefault="0097711F" w:rsidP="0097711F">
      <w:pPr>
        <w:pStyle w:val="Heading4"/>
      </w:pPr>
      <w:r>
        <w:t xml:space="preserve">Implementation </w:t>
      </w:r>
      <w:r w:rsidR="004151E0">
        <w:t>considerations</w:t>
      </w:r>
    </w:p>
    <w:p w14:paraId="40185B1D" w14:textId="7171873B" w:rsidR="00563BF9" w:rsidRPr="003B513C" w:rsidRDefault="00563BF9" w:rsidP="00563BF9">
      <w:r>
        <w:t>Under option 2, consulted parents, families, and carers raised concerns that the proposed six-monthly WWCC status check is inadequate, with many indicating more frequent status checks is preferred for ‘best practice’. Given this sentiment, there may be a lack of stakeholder support for option 2, with a preference instead for more frequent WWCC status checks to be considered best practice. This would reduce the risk that a change in WWCC status could go unnoticed for several months</w:t>
      </w:r>
      <w:r w:rsidR="00263E12">
        <w:t>.</w:t>
      </w:r>
    </w:p>
    <w:p w14:paraId="69E4FBCB" w14:textId="0FD9C62E" w:rsidR="0097711F" w:rsidRDefault="0097711F" w:rsidP="0097711F">
      <w:r>
        <w:t xml:space="preserve">As outlined under the impact on child safety, stakeholders were uncertain on whether </w:t>
      </w:r>
      <w:r w:rsidRPr="00B258DC">
        <w:t xml:space="preserve">unscrupulous individuals are likely to notify their </w:t>
      </w:r>
      <w:r>
        <w:t xml:space="preserve">approved </w:t>
      </w:r>
      <w:r w:rsidRPr="00B258DC">
        <w:t>provider about changes in their WWCC status</w:t>
      </w:r>
      <w:r>
        <w:t xml:space="preserve">. This may result in implementation risks where approved providers cannot </w:t>
      </w:r>
      <w:r>
        <w:lastRenderedPageBreak/>
        <w:t>effectively rely on individuals to report on a change in WWCC status and notify Regulatory Authorities of this change.</w:t>
      </w:r>
    </w:p>
    <w:p w14:paraId="109C7BB5" w14:textId="56944CE8" w:rsidR="0097711F" w:rsidRDefault="0097711F" w:rsidP="0097711F">
      <w:r>
        <w:t xml:space="preserve">The proposed notification requirements also create additional complexities in WWCC requirements that will vary by sector. This reform </w:t>
      </w:r>
      <w:r w:rsidR="00805E5E">
        <w:t xml:space="preserve">would </w:t>
      </w:r>
      <w:r>
        <w:t xml:space="preserve">also only apply where there </w:t>
      </w:r>
      <w:r w:rsidR="00805E5E">
        <w:t xml:space="preserve">are </w:t>
      </w:r>
      <w:r>
        <w:t xml:space="preserve">insufficient reporting requirements currently, meaning some jurisdictions </w:t>
      </w:r>
      <w:r w:rsidR="00805E5E">
        <w:t xml:space="preserve">would </w:t>
      </w:r>
      <w:r>
        <w:t xml:space="preserve">still not require an individual to report a change in their status. Combined, these inconsistencies </w:t>
      </w:r>
      <w:r w:rsidRPr="00F72FBD">
        <w:t>create an added risk of non-compliance since an individual may not be aware of their obligations.</w:t>
      </w:r>
    </w:p>
    <w:p w14:paraId="6896B7E5" w14:textId="7B848E76" w:rsidR="009039DA" w:rsidRDefault="009039DA" w:rsidP="009039DA">
      <w:r>
        <w:t>If option</w:t>
      </w:r>
      <w:r w:rsidR="00A26CDF">
        <w:t>s</w:t>
      </w:r>
      <w:r>
        <w:t xml:space="preserve"> 3A and 3B</w:t>
      </w:r>
      <w:r w:rsidDel="00283AA5">
        <w:t xml:space="preserve"> </w:t>
      </w:r>
      <w:r w:rsidR="00A26CDF">
        <w:t>are</w:t>
      </w:r>
      <w:r>
        <w:t xml:space="preserve"> implemented, approved providers were concerned about potential consequences if they cannot notify a Regulatory Authority of a change due to failing of an individual to fulfill their reporting obligations. </w:t>
      </w:r>
    </w:p>
    <w:p w14:paraId="7919A8F3" w14:textId="77777777" w:rsidR="009039DA" w:rsidRPr="00AB6094" w:rsidRDefault="009039DA" w:rsidP="009039DA">
      <w:pPr>
        <w:rPr>
          <w:i/>
          <w:color w:val="A12068"/>
        </w:rPr>
      </w:pPr>
      <w:r w:rsidRPr="00AB6094">
        <w:rPr>
          <w:i/>
          <w:iCs/>
          <w:color w:val="A12068"/>
        </w:rPr>
        <w:t>“</w:t>
      </w:r>
      <w:r w:rsidRPr="00AB6094">
        <w:rPr>
          <w:i/>
          <w:color w:val="A12068"/>
        </w:rPr>
        <w:t>Approved providers would have to be responsible for making staff aware of the need to self-report any changes in WWCC statuses. Staff could easily forget that this is a requirement, and in the case of a malicious staff member they could simply ignore the requirement, hence not achieving the intended goal anyway</w:t>
      </w:r>
      <w:r w:rsidRPr="00AB6094">
        <w:rPr>
          <w:i/>
          <w:iCs/>
          <w:color w:val="A12068"/>
        </w:rPr>
        <w:t>.”</w:t>
      </w:r>
      <w:r w:rsidRPr="00AB6094">
        <w:rPr>
          <w:color w:val="A12068"/>
        </w:rPr>
        <w:t xml:space="preserve"> </w:t>
      </w:r>
      <w:r w:rsidRPr="00AB6094">
        <w:rPr>
          <w:i/>
          <w:color w:val="A12068"/>
        </w:rPr>
        <w:t xml:space="preserve">– Approved Provider Survey </w:t>
      </w:r>
    </w:p>
    <w:p w14:paraId="5E429AE1" w14:textId="20AEC9CA" w:rsidR="0097711F" w:rsidRDefault="0097711F" w:rsidP="0097711F">
      <w:r>
        <w:t xml:space="preserve">Based on the evidence above, option 2 has been assigned </w:t>
      </w:r>
      <w:r w:rsidR="003055D7">
        <w:t>an MCA</w:t>
      </w:r>
      <w:r>
        <w:t xml:space="preserve"> score of negative one for this criterion and option</w:t>
      </w:r>
      <w:r w:rsidR="00A26CDF">
        <w:t>s</w:t>
      </w:r>
      <w:r>
        <w:t xml:space="preserve"> 3</w:t>
      </w:r>
      <w:r w:rsidR="00283AA5">
        <w:t>A and 3B</w:t>
      </w:r>
      <w:r>
        <w:t xml:space="preserve"> </w:t>
      </w:r>
      <w:r w:rsidR="00A26CDF">
        <w:t xml:space="preserve">have </w:t>
      </w:r>
      <w:r>
        <w:t xml:space="preserve">been assigned </w:t>
      </w:r>
      <w:r w:rsidR="003055D7">
        <w:t>an MCA</w:t>
      </w:r>
      <w:r>
        <w:t xml:space="preserve"> score of negative two. These scores reflect option</w:t>
      </w:r>
      <w:r w:rsidR="00A26CDF">
        <w:t>s</w:t>
      </w:r>
      <w:r>
        <w:t xml:space="preserve"> 3</w:t>
      </w:r>
      <w:r w:rsidR="00283AA5">
        <w:t>A and 3B</w:t>
      </w:r>
      <w:r>
        <w:t xml:space="preserve"> </w:t>
      </w:r>
      <w:r w:rsidR="00A26CDF">
        <w:t>hav</w:t>
      </w:r>
      <w:r w:rsidR="0089728C">
        <w:t>ing</w:t>
      </w:r>
      <w:r w:rsidR="00A26CDF">
        <w:t xml:space="preserve"> </w:t>
      </w:r>
      <w:r>
        <w:t xml:space="preserve">greater perceived implementation risk compared to option 2. </w:t>
      </w:r>
    </w:p>
    <w:p w14:paraId="1517599B" w14:textId="04FE63EB" w:rsidR="00A6209A" w:rsidRDefault="00A6209A" w:rsidP="0097711F">
      <w:r>
        <w:t>Aboriginal and Torres Strait Islander stakeholders also shared</w:t>
      </w:r>
      <w:r w:rsidR="00F01AEE">
        <w:t xml:space="preserve"> implementation considerations. </w:t>
      </w:r>
      <w:r w:rsidR="00BA0763">
        <w:t>While shared by Aboriginal and Torres Strait Islander stakeholders, this</w:t>
      </w:r>
      <w:r w:rsidR="00F01AEE">
        <w:t xml:space="preserve"> </w:t>
      </w:r>
      <w:r w:rsidR="00BA0763">
        <w:t xml:space="preserve">consideration has relevance to all education and care stakeholders. </w:t>
      </w:r>
    </w:p>
    <w:tbl>
      <w:tblPr>
        <w:tblpPr w:leftFromText="180" w:rightFromText="180" w:vertAnchor="text" w:horzAnchor="margin" w:tblpY="100"/>
        <w:tblW w:w="0" w:type="auto"/>
        <w:tblCellMar>
          <w:top w:w="113" w:type="dxa"/>
          <w:bottom w:w="113" w:type="dxa"/>
        </w:tblCellMar>
        <w:tblLook w:val="04A0" w:firstRow="1" w:lastRow="0" w:firstColumn="1" w:lastColumn="0" w:noHBand="0" w:noVBand="1"/>
        <w:tblCaption w:val="Box 8.2: Aboriginal and Torres Strait Islander People Stakeholder Views"/>
        <w:tblDescription w:val="This box outlines Aboriginal and Torres Strait Islander People Stakeholder Views on implementation considerations."/>
      </w:tblPr>
      <w:tblGrid>
        <w:gridCol w:w="9020"/>
      </w:tblGrid>
      <w:tr w:rsidR="00A6209A" w14:paraId="36DFE36E" w14:textId="77777777" w:rsidTr="00A6209A">
        <w:tc>
          <w:tcPr>
            <w:tcW w:w="9020" w:type="dxa"/>
            <w:tcBorders>
              <w:top w:val="nil"/>
              <w:left w:val="nil"/>
              <w:bottom w:val="nil"/>
              <w:right w:val="nil"/>
            </w:tcBorders>
            <w:shd w:val="clear" w:color="auto" w:fill="FFF2CC" w:themeFill="accent3" w:themeFillTint="33"/>
          </w:tcPr>
          <w:p w14:paraId="17A0C961" w14:textId="11A5DA93" w:rsidR="00A6209A" w:rsidRPr="006B0059" w:rsidRDefault="00A6209A" w:rsidP="00A6209A">
            <w:pPr>
              <w:rPr>
                <w:b/>
                <w:szCs w:val="22"/>
              </w:rPr>
            </w:pPr>
            <w:r w:rsidRPr="006B0059">
              <w:rPr>
                <w:b/>
                <w:szCs w:val="22"/>
              </w:rPr>
              <w:t xml:space="preserve">Box </w:t>
            </w:r>
            <w:r>
              <w:rPr>
                <w:b/>
                <w:szCs w:val="22"/>
              </w:rPr>
              <w:t>8.2</w:t>
            </w:r>
            <w:r w:rsidRPr="006B0059">
              <w:rPr>
                <w:b/>
                <w:szCs w:val="22"/>
              </w:rPr>
              <w:t xml:space="preserve">: </w:t>
            </w:r>
            <w:r w:rsidR="00E227D8">
              <w:rPr>
                <w:b/>
                <w:szCs w:val="22"/>
              </w:rPr>
              <w:t>Aboriginal and Torres Strait Islander People Stakeholder Views</w:t>
            </w:r>
          </w:p>
          <w:p w14:paraId="0E5A3CEC" w14:textId="60DB82EC" w:rsidR="00A6209A" w:rsidRDefault="00A6209A" w:rsidP="00A6209A">
            <w:r w:rsidRPr="000C217B">
              <w:rPr>
                <w:szCs w:val="22"/>
              </w:rPr>
              <w:t xml:space="preserve">Aboriginal and Torres Strait Islander stakeholders </w:t>
            </w:r>
            <w:r>
              <w:rPr>
                <w:szCs w:val="22"/>
              </w:rPr>
              <w:t>reported feedback from stakeholders that information sharing should go both ways; that Approved Providers can inform Regulatory Authorities about changes in WWCCs, Regulatory Authorities should also inform Approved Providers and services about changes to WWCC (in addition to enforceable undertakings and prohibitions).</w:t>
            </w:r>
            <w:r w:rsidR="00444A15">
              <w:rPr>
                <w:szCs w:val="22"/>
              </w:rPr>
              <w:t xml:space="preserve"> </w:t>
            </w:r>
          </w:p>
        </w:tc>
      </w:tr>
    </w:tbl>
    <w:p w14:paraId="3C3C988F" w14:textId="77777777" w:rsidR="0097711F" w:rsidRPr="00466043" w:rsidRDefault="0097711F" w:rsidP="0097711F">
      <w:pPr>
        <w:pStyle w:val="Heading4"/>
      </w:pPr>
      <w:r w:rsidRPr="00466043">
        <w:t>Distributional impacts</w:t>
      </w:r>
    </w:p>
    <w:p w14:paraId="7BB57239" w14:textId="1D715B9F" w:rsidR="0097711F" w:rsidRDefault="0097711F" w:rsidP="0097711F">
      <w:r w:rsidRPr="00241D33">
        <w:lastRenderedPageBreak/>
        <w:t xml:space="preserve">Stakeholders who engaged in consultative activities did not note any material distributional impacts associated with option </w:t>
      </w:r>
      <w:r>
        <w:t>2 or option</w:t>
      </w:r>
      <w:r w:rsidR="00FF7E0D">
        <w:t>s</w:t>
      </w:r>
      <w:r>
        <w:t xml:space="preserve"> 3</w:t>
      </w:r>
      <w:r w:rsidR="00283AA5">
        <w:t>A and 3B</w:t>
      </w:r>
      <w:r w:rsidRPr="00241D33">
        <w:t>.</w:t>
      </w:r>
      <w:r>
        <w:t xml:space="preserve"> As a result, both options have been assigned </w:t>
      </w:r>
      <w:r w:rsidR="003055D7">
        <w:t>an MCA</w:t>
      </w:r>
      <w:r>
        <w:t xml:space="preserve"> score of zero for this criterion.</w:t>
      </w:r>
      <w:r w:rsidRPr="00241D33">
        <w:t xml:space="preserve"> </w:t>
      </w:r>
    </w:p>
    <w:p w14:paraId="1AB83384" w14:textId="22BEEB3B" w:rsidR="009E7694" w:rsidRPr="00466043" w:rsidRDefault="009E7694" w:rsidP="009E7694">
      <w:pPr>
        <w:pStyle w:val="Heading4"/>
      </w:pPr>
      <w:r>
        <w:t xml:space="preserve">Stakeholders’ </w:t>
      </w:r>
      <w:r w:rsidR="00BF7E16">
        <w:t>preferred</w:t>
      </w:r>
      <w:r w:rsidR="004C5562">
        <w:t xml:space="preserve"> option</w:t>
      </w:r>
    </w:p>
    <w:p w14:paraId="2D415AD4" w14:textId="59E8326E" w:rsidR="009E7694" w:rsidRDefault="009E7694" w:rsidP="009E7694">
      <w:r>
        <w:t>Ac</w:t>
      </w:r>
      <w:r w:rsidRPr="007F06A3">
        <w:t>ross</w:t>
      </w:r>
      <w:r w:rsidRPr="00837288">
        <w:t xml:space="preserve"> </w:t>
      </w:r>
      <w:r>
        <w:t>all surveys</w:t>
      </w:r>
      <w:r w:rsidRPr="00734540">
        <w:t xml:space="preserve">, </w:t>
      </w:r>
      <w:r>
        <w:t>option</w:t>
      </w:r>
      <w:r w:rsidR="00A26CDF">
        <w:t>s</w:t>
      </w:r>
      <w:r>
        <w:t xml:space="preserve"> 3A and 3B was the </w:t>
      </w:r>
      <w:r w:rsidR="00BF7E16">
        <w:t>preferred</w:t>
      </w:r>
      <w:r w:rsidR="004C5562">
        <w:t xml:space="preserve"> option</w:t>
      </w:r>
      <w:r>
        <w:t xml:space="preserve"> for this recommendation. </w:t>
      </w:r>
      <w:r w:rsidRPr="007949A6">
        <w:t xml:space="preserve">Approximately </w:t>
      </w:r>
      <w:r>
        <w:t>49% of approved providers identified option</w:t>
      </w:r>
      <w:r w:rsidR="00FF7E0D">
        <w:t>s</w:t>
      </w:r>
      <w:r>
        <w:t xml:space="preserve"> 3</w:t>
      </w:r>
      <w:r w:rsidR="00FF7E0D">
        <w:t>A and 3B</w:t>
      </w:r>
      <w:r>
        <w:t xml:space="preserve"> as their </w:t>
      </w:r>
      <w:r w:rsidR="00BF7E16">
        <w:t>preferred</w:t>
      </w:r>
      <w:r w:rsidR="004C5562">
        <w:t xml:space="preserve"> option</w:t>
      </w:r>
      <w:r>
        <w:t xml:space="preserve"> – with an additional 30% preferring option</w:t>
      </w:r>
      <w:r w:rsidR="00A26CDF">
        <w:t>s</w:t>
      </w:r>
      <w:r>
        <w:t xml:space="preserve"> 3A and 3B</w:t>
      </w:r>
      <w:r w:rsidDel="00283AA5">
        <w:t xml:space="preserve"> </w:t>
      </w:r>
      <w:r>
        <w:t xml:space="preserve">in conjunction with option 2 (Appendix </w:t>
      </w:r>
      <w:r w:rsidR="00AB2291">
        <w:t xml:space="preserve">Chart </w:t>
      </w:r>
      <w:r>
        <w:t>12.3.4</w:t>
      </w:r>
      <w:r w:rsidR="00AB2291">
        <w:t>.10</w:t>
      </w:r>
      <w:r>
        <w:t>)</w:t>
      </w:r>
      <w:r w:rsidRPr="007949A6">
        <w:t>.</w:t>
      </w:r>
      <w:r>
        <w:t xml:space="preserve"> Similarly, 39% of the education and care workforce identified option 3A and 3B</w:t>
      </w:r>
      <w:r w:rsidDel="00283AA5">
        <w:t xml:space="preserve"> </w:t>
      </w:r>
      <w:r>
        <w:t xml:space="preserve">as their </w:t>
      </w:r>
      <w:r w:rsidR="00BF7E16">
        <w:t>preferred</w:t>
      </w:r>
      <w:r w:rsidR="004C5562">
        <w:t xml:space="preserve"> option</w:t>
      </w:r>
      <w:r>
        <w:t xml:space="preserve"> – an additional 31% </w:t>
      </w:r>
      <w:r w:rsidR="00BF7E16">
        <w:t>preferred</w:t>
      </w:r>
      <w:r w:rsidR="004C5562">
        <w:t xml:space="preserve"> option</w:t>
      </w:r>
      <w:r w:rsidR="00A26CDF">
        <w:t>s</w:t>
      </w:r>
      <w:r>
        <w:t xml:space="preserve"> 3A and 3B</w:t>
      </w:r>
      <w:r w:rsidDel="00283AA5">
        <w:t xml:space="preserve"> </w:t>
      </w:r>
      <w:r>
        <w:t xml:space="preserve">in conjunction with option 2 (Appendix </w:t>
      </w:r>
      <w:r w:rsidR="00AB2291">
        <w:t xml:space="preserve">Chart </w:t>
      </w:r>
      <w:r>
        <w:t>12.3.4</w:t>
      </w:r>
      <w:r w:rsidR="00AB2291">
        <w:t>.11</w:t>
      </w:r>
      <w:r>
        <w:t>). Finally, 59% of surveyed parents, families and carers identified option</w:t>
      </w:r>
      <w:r w:rsidR="00A26CDF">
        <w:t>s</w:t>
      </w:r>
      <w:r>
        <w:t xml:space="preserve"> 3A and 3B</w:t>
      </w:r>
      <w:r w:rsidDel="00283AA5">
        <w:t xml:space="preserve"> </w:t>
      </w:r>
      <w:r>
        <w:t xml:space="preserve">as their </w:t>
      </w:r>
      <w:r w:rsidR="00BF7E16">
        <w:t>preferred</w:t>
      </w:r>
      <w:r w:rsidR="004C5562">
        <w:t xml:space="preserve"> option</w:t>
      </w:r>
      <w:r>
        <w:t xml:space="preserve"> – an additional 27% </w:t>
      </w:r>
      <w:r w:rsidR="00BF7E16">
        <w:t>preferred</w:t>
      </w:r>
      <w:r w:rsidR="004C5562">
        <w:t xml:space="preserve"> option</w:t>
      </w:r>
      <w:r w:rsidR="00A26CDF">
        <w:t>s</w:t>
      </w:r>
      <w:r>
        <w:t xml:space="preserve"> 3A and 3B</w:t>
      </w:r>
      <w:r w:rsidDel="00283AA5">
        <w:t xml:space="preserve"> </w:t>
      </w:r>
      <w:r>
        <w:t xml:space="preserve">in conjunction with option 2 (Appendix </w:t>
      </w:r>
      <w:r w:rsidR="00AB2291">
        <w:t xml:space="preserve">Chart </w:t>
      </w:r>
      <w:r>
        <w:t>12.3.4</w:t>
      </w:r>
      <w:r w:rsidR="00AB2291">
        <w:t>.12</w:t>
      </w:r>
      <w:r>
        <w:t>).</w:t>
      </w:r>
    </w:p>
    <w:p w14:paraId="3F4643F8" w14:textId="3F294ECC" w:rsidR="009E7694" w:rsidRPr="00EC7EB9" w:rsidRDefault="009E7694" w:rsidP="009E7694">
      <w:r>
        <w:t>Most approved providers indicated support for option</w:t>
      </w:r>
      <w:r w:rsidR="00985772">
        <w:t>s</w:t>
      </w:r>
      <w:r>
        <w:t xml:space="preserve"> 3A and 3B</w:t>
      </w:r>
      <w:r w:rsidDel="00283AA5">
        <w:t xml:space="preserve"> </w:t>
      </w:r>
      <w:r>
        <w:t>or option 2 in combination with option</w:t>
      </w:r>
      <w:r w:rsidR="00985772">
        <w:t>s</w:t>
      </w:r>
      <w:r>
        <w:t xml:space="preserve"> 3</w:t>
      </w:r>
      <w:r w:rsidR="00985772">
        <w:t>A and 3B</w:t>
      </w:r>
      <w:r>
        <w:t xml:space="preserve"> as their </w:t>
      </w:r>
      <w:r w:rsidR="00BF7E16">
        <w:t>preferred</w:t>
      </w:r>
      <w:r w:rsidR="004C5562">
        <w:t xml:space="preserve"> option</w:t>
      </w:r>
      <w:r>
        <w:t xml:space="preserve"> through </w:t>
      </w:r>
      <w:r w:rsidRPr="00EC7EB9">
        <w:t>the survey (</w:t>
      </w:r>
      <w:r>
        <w:t xml:space="preserve">refer to </w:t>
      </w:r>
      <w:r w:rsidRPr="00EC7EB9">
        <w:t xml:space="preserve">Chart 8.4). </w:t>
      </w:r>
      <w:r w:rsidR="1701A408">
        <w:t>Only one approved provider (of a large organisation) did not express support for regulatory options through the long form written submissions.</w:t>
      </w:r>
      <w:r w:rsidR="00444A15">
        <w:t xml:space="preserve"> </w:t>
      </w:r>
      <w:r w:rsidRPr="00EC7EB9">
        <w:t>Support for regulatory intervention was strong in all jurisdictions, though the sample size of respondents was small for TAS, NT, and ACT</w:t>
      </w:r>
      <w:r w:rsidR="006049FD">
        <w:t xml:space="preserve">, </w:t>
      </w:r>
      <w:r w:rsidR="001354DF">
        <w:t>combin</w:t>
      </w:r>
      <w:r w:rsidR="1520B682">
        <w:t>in</w:t>
      </w:r>
      <w:r w:rsidR="001354DF">
        <w:t xml:space="preserve">g to only 8% of total feedback received. </w:t>
      </w:r>
    </w:p>
    <w:p w14:paraId="05AA497A" w14:textId="7567CDA4" w:rsidR="009E7694" w:rsidRPr="00057988" w:rsidRDefault="009E7694" w:rsidP="009E7694">
      <w:pPr>
        <w:pStyle w:val="Caption"/>
      </w:pPr>
      <w:bookmarkStart w:id="153" w:name="_Toc205884968"/>
      <w:r w:rsidRPr="00EC7EB9">
        <w:t xml:space="preserve">Chart 8.4: Approved provider responses to “What is your </w:t>
      </w:r>
      <w:r w:rsidR="00370AB1">
        <w:t xml:space="preserve">preferred option or combination </w:t>
      </w:r>
      <w:r w:rsidRPr="00EC7EB9">
        <w:t>of options?”, by jurisdiction</w:t>
      </w:r>
      <w:bookmarkEnd w:id="153"/>
    </w:p>
    <w:p w14:paraId="70D192A0" w14:textId="77777777" w:rsidR="009E7694" w:rsidRDefault="009E7694" w:rsidP="009E7694">
      <w:r>
        <w:rPr>
          <w:noProof/>
          <w14:ligatures w14:val="standardContextual"/>
        </w:rPr>
        <w:drawing>
          <wp:inline distT="0" distB="0" distL="0" distR="0" wp14:anchorId="7FFAAFD7" wp14:editId="530AE50B">
            <wp:extent cx="5727700" cy="3390900"/>
            <wp:effectExtent l="0" t="0" r="6350" b="0"/>
            <wp:docPr id="106193150" name="Chart 1" descr="Chart outlining approved provider survey responses to &quot;What is your preferred option or combination of options?&quot;, by jurisdiction">
              <a:extLst xmlns:a="http://schemas.openxmlformats.org/drawingml/2006/main">
                <a:ext uri="{FF2B5EF4-FFF2-40B4-BE49-F238E27FC236}">
                  <a16:creationId xmlns:a16="http://schemas.microsoft.com/office/drawing/2014/main" id="{3DCCB1C9-F1FA-302D-92CE-3A2C6A38F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2F30501" w14:textId="77777777" w:rsidR="009E7694" w:rsidRPr="00636B94" w:rsidRDefault="009E7694" w:rsidP="000C756E">
      <w:pPr>
        <w:pStyle w:val="Source-CSR"/>
      </w:pPr>
      <w:r w:rsidRPr="00057988">
        <w:lastRenderedPageBreak/>
        <w:t xml:space="preserve">Source: Approved provider survey, as of </w:t>
      </w:r>
      <w:r w:rsidRPr="00636B94">
        <w:t>11 June 2025, Q54, n=145.</w:t>
      </w:r>
    </w:p>
    <w:p w14:paraId="14CD070C" w14:textId="4588D6FE" w:rsidR="0097711F" w:rsidRDefault="0097711F" w:rsidP="0097711F">
      <w:pPr>
        <w:pStyle w:val="Heading3"/>
      </w:pPr>
      <w:r>
        <w:t xml:space="preserve">What is the </w:t>
      </w:r>
      <w:r w:rsidR="004C5562">
        <w:t>recommended option</w:t>
      </w:r>
      <w:r>
        <w:t>(s) and how will it be implemented?</w:t>
      </w:r>
    </w:p>
    <w:p w14:paraId="789EDB57" w14:textId="28A7B7EE" w:rsidR="009E7694" w:rsidRDefault="00F41507" w:rsidP="009E7694">
      <w:r w:rsidRPr="007D27A8">
        <w:t>Based on analysis included in this DRIS, the options with the highest net benefit to be provided to Education Ministers for consideration</w:t>
      </w:r>
      <w:r>
        <w:t xml:space="preserve"> are</w:t>
      </w:r>
      <w:r w:rsidRPr="007D27A8">
        <w:t xml:space="preserve"> </w:t>
      </w:r>
      <w:r w:rsidR="00985772">
        <w:t>o</w:t>
      </w:r>
      <w:r w:rsidR="00080051">
        <w:t xml:space="preserve">ptions 2, </w:t>
      </w:r>
      <w:r w:rsidR="00F10E1F">
        <w:t>and</w:t>
      </w:r>
      <w:r w:rsidR="00080051">
        <w:t xml:space="preserve"> </w:t>
      </w:r>
      <w:r w:rsidR="00985772">
        <w:t xml:space="preserve">options </w:t>
      </w:r>
      <w:r w:rsidR="00080051">
        <w:t xml:space="preserve">3A and </w:t>
      </w:r>
      <w:r w:rsidR="009E7694">
        <w:t>3B</w:t>
      </w:r>
      <w:r>
        <w:t xml:space="preserve">. </w:t>
      </w:r>
      <w:r w:rsidR="00080051">
        <w:t xml:space="preserve">The MCA analysis indicates that these options would generate the most significant improvements to child safety. </w:t>
      </w:r>
      <w:r w:rsidR="009E7694">
        <w:t>I</w:t>
      </w:r>
      <w:r>
        <w:t>f implemented, i</w:t>
      </w:r>
      <w:r w:rsidR="009E7694">
        <w:t xml:space="preserve">ndividual states and territories will undertake additional work to support implementation of regulatory options, given jurisdictional variances in WWCC processes. </w:t>
      </w:r>
    </w:p>
    <w:p w14:paraId="50355A3A" w14:textId="77777777" w:rsidR="002C71C1" w:rsidRDefault="002C71C1" w:rsidP="002C71C1">
      <w:pPr>
        <w:rPr>
          <w:rFonts w:eastAsia="MS Mincho" w:cs="Arial"/>
          <w:color w:val="14233C"/>
          <w:sz w:val="52"/>
          <w:szCs w:val="80"/>
          <w:lang w:val="en-GB"/>
        </w:rPr>
      </w:pPr>
      <w:bookmarkStart w:id="154" w:name="_7._Improving_the"/>
      <w:bookmarkStart w:id="155" w:name="_8._Improving_the"/>
      <w:bookmarkStart w:id="156" w:name="_Toc202887599"/>
      <w:bookmarkStart w:id="157" w:name="_Ref203424119"/>
      <w:bookmarkEnd w:id="154"/>
      <w:bookmarkEnd w:id="155"/>
      <w:r>
        <w:br w:type="page"/>
      </w:r>
    </w:p>
    <w:p w14:paraId="196430F3" w14:textId="55CA6299" w:rsidR="004119A5" w:rsidRDefault="004119A5" w:rsidP="00B973A9">
      <w:pPr>
        <w:pStyle w:val="Heading1"/>
      </w:pPr>
      <w:bookmarkStart w:id="158" w:name="_9._Improving_the"/>
      <w:bookmarkStart w:id="159" w:name="_Toc205884898"/>
      <w:bookmarkEnd w:id="158"/>
      <w:r>
        <w:lastRenderedPageBreak/>
        <w:t>9. Improving the safety of the physical service environment</w:t>
      </w:r>
      <w:bookmarkEnd w:id="156"/>
      <w:bookmarkEnd w:id="157"/>
      <w:bookmarkEnd w:id="159"/>
    </w:p>
    <w:p w14:paraId="01F5226A" w14:textId="626D5444" w:rsidR="004119A5" w:rsidRDefault="004119A5" w:rsidP="004119A5">
      <w:r>
        <w:t xml:space="preserve">In relation to centre-based services, this chapter highlights that it is critical for service premises and environments to be designed, built, and maintained in a way that facilitates supervision of children at all times. This is reflected in regulation 115 of the National Regulations. Options for change considered </w:t>
      </w:r>
      <w:r w:rsidR="005A4B88">
        <w:t xml:space="preserve">during consultation on the CRIS </w:t>
      </w:r>
      <w:r>
        <w:t>involve:</w:t>
      </w:r>
    </w:p>
    <w:p w14:paraId="3435DC21" w14:textId="1720EF6F" w:rsidR="004119A5" w:rsidRDefault="004119A5" w:rsidP="00EC53AB">
      <w:pPr>
        <w:pStyle w:val="ListParagraph"/>
        <w:numPr>
          <w:ilvl w:val="0"/>
          <w:numId w:val="5"/>
        </w:numPr>
        <w:ind w:left="426" w:hanging="426"/>
        <w:rPr>
          <w:lang w:eastAsia="en-AU"/>
        </w:rPr>
      </w:pPr>
      <w:r>
        <w:rPr>
          <w:lang w:eastAsia="en-AU"/>
        </w:rPr>
        <w:t xml:space="preserve">providing guidance </w:t>
      </w:r>
      <w:r w:rsidRPr="00F27D02">
        <w:rPr>
          <w:lang w:eastAsia="en-AU"/>
        </w:rPr>
        <w:t>to promote the importance of designing and maintaining premises in a way that facilitates supervision of children at all times</w:t>
      </w:r>
      <w:r w:rsidR="00F77C7A">
        <w:rPr>
          <w:lang w:eastAsia="en-AU"/>
        </w:rPr>
        <w:t>,</w:t>
      </w:r>
    </w:p>
    <w:p w14:paraId="114AAA7F" w14:textId="77777777" w:rsidR="004119A5" w:rsidRDefault="004119A5" w:rsidP="00EC53AB">
      <w:pPr>
        <w:pStyle w:val="ListParagraph"/>
        <w:numPr>
          <w:ilvl w:val="0"/>
          <w:numId w:val="5"/>
        </w:numPr>
        <w:ind w:left="426" w:hanging="426"/>
        <w:rPr>
          <w:lang w:eastAsia="en-AU"/>
        </w:rPr>
      </w:pPr>
      <w:r>
        <w:t xml:space="preserve">removing the ability for approved providers to apply for waivers from this critical requirement. </w:t>
      </w:r>
    </w:p>
    <w:p w14:paraId="787B7FB5" w14:textId="4547FEB3" w:rsidR="004119A5" w:rsidRDefault="004119A5" w:rsidP="004119A5">
      <w:r>
        <w:t xml:space="preserve">Additionally, this chapter considers how FDC environments could be safer for children, whilst recognising that each FDC residence or approved venue is unique. </w:t>
      </w:r>
      <w:r w:rsidRPr="00CB1303">
        <w:t xml:space="preserve">Options for change </w:t>
      </w:r>
      <w:r w:rsidR="00911A38">
        <w:t>considered during consultation on the CRIS involve</w:t>
      </w:r>
      <w:r>
        <w:t>:</w:t>
      </w:r>
    </w:p>
    <w:p w14:paraId="34DF3E16" w14:textId="5567083E" w:rsidR="004119A5" w:rsidRDefault="004119A5" w:rsidP="00EC53AB">
      <w:pPr>
        <w:pStyle w:val="ListParagraph"/>
        <w:numPr>
          <w:ilvl w:val="0"/>
          <w:numId w:val="6"/>
        </w:numPr>
        <w:ind w:left="426" w:hanging="426"/>
      </w:pPr>
      <w:r>
        <w:t>determining how providers should assess the FDC residence and approve the FDC premises</w:t>
      </w:r>
      <w:r w:rsidR="00F77C7A">
        <w:t>,</w:t>
      </w:r>
    </w:p>
    <w:p w14:paraId="735DAB3B" w14:textId="77777777" w:rsidR="004119A5" w:rsidRDefault="004119A5" w:rsidP="00EC53AB">
      <w:pPr>
        <w:pStyle w:val="ListParagraph"/>
        <w:numPr>
          <w:ilvl w:val="0"/>
          <w:numId w:val="6"/>
        </w:numPr>
        <w:ind w:left="426" w:hanging="426"/>
      </w:pPr>
      <w:r>
        <w:t>allowing authorised officers to enter all areas of the FDC residence or property in limited and specific situations, including when a serious incident is reasonably believed to have occurred.</w:t>
      </w:r>
    </w:p>
    <w:p w14:paraId="6B7EDD15" w14:textId="77777777" w:rsidR="004119A5" w:rsidRDefault="004119A5" w:rsidP="004119A5">
      <w:r>
        <w:t>Collectively, the reform areas outlined in this chapter aim to improve child safety by ensuring that:</w:t>
      </w:r>
    </w:p>
    <w:p w14:paraId="7CF46922" w14:textId="230F9092" w:rsidR="004119A5" w:rsidRDefault="004119A5" w:rsidP="00F77C7A">
      <w:pPr>
        <w:pStyle w:val="ListParagraph"/>
        <w:ind w:left="426"/>
      </w:pPr>
      <w:r w:rsidRPr="0025037F">
        <w:t>all children attending education and care services are provided with a child</w:t>
      </w:r>
      <w:r>
        <w:t>-</w:t>
      </w:r>
      <w:r w:rsidRPr="0025037F">
        <w:t>safe physical environment that meets regulatory requirements</w:t>
      </w:r>
      <w:r w:rsidR="00F77C7A">
        <w:t>,</w:t>
      </w:r>
    </w:p>
    <w:p w14:paraId="47723CF4" w14:textId="2B71CAC1" w:rsidR="004119A5" w:rsidRPr="0025037F" w:rsidRDefault="004119A5" w:rsidP="00F77C7A">
      <w:pPr>
        <w:pStyle w:val="ListParagraph"/>
        <w:ind w:left="426"/>
      </w:pPr>
      <w:r w:rsidRPr="0025037F">
        <w:t xml:space="preserve">providers have clear </w:t>
      </w:r>
      <w:r>
        <w:t>guidelines</w:t>
      </w:r>
      <w:r w:rsidRPr="0025037F">
        <w:t xml:space="preserve"> to</w:t>
      </w:r>
      <w:r>
        <w:t xml:space="preserve"> support them </w:t>
      </w:r>
      <w:r w:rsidRPr="0025037F">
        <w:t>to identify and mitigate child safety risks in the physical environment</w:t>
      </w:r>
      <w:r w:rsidR="00F77C7A">
        <w:t>,</w:t>
      </w:r>
    </w:p>
    <w:p w14:paraId="0499435F" w14:textId="77777777" w:rsidR="004119A5" w:rsidRDefault="004119A5" w:rsidP="00F77C7A">
      <w:pPr>
        <w:pStyle w:val="ListParagraph"/>
        <w:ind w:left="426"/>
      </w:pPr>
      <w:r w:rsidRPr="0025037F">
        <w:t xml:space="preserve">authorised officers have suitable powers </w:t>
      </w:r>
      <w:r>
        <w:t>of entry</w:t>
      </w:r>
      <w:r w:rsidRPr="0025037F">
        <w:t xml:space="preserve"> to respond to situations impacting children’s safety.</w:t>
      </w:r>
    </w:p>
    <w:p w14:paraId="06BA481D" w14:textId="77777777" w:rsidR="004119A5" w:rsidRDefault="004119A5" w:rsidP="004119A5">
      <w:r w:rsidRPr="00D91C6A">
        <w:t xml:space="preserve">The specific </w:t>
      </w:r>
      <w:r>
        <w:t>reform areas</w:t>
      </w:r>
      <w:r w:rsidRPr="00D91C6A">
        <w:t xml:space="preserve"> </w:t>
      </w:r>
      <w:r>
        <w:t>discussed</w:t>
      </w:r>
      <w:r w:rsidRPr="00D91C6A">
        <w:t xml:space="preserve"> in this chapter are</w:t>
      </w:r>
      <w:r>
        <w:t>:</w:t>
      </w:r>
    </w:p>
    <w:p w14:paraId="336D47A5" w14:textId="04AAB095" w:rsidR="004119A5" w:rsidRDefault="004119A5" w:rsidP="00F77C7A">
      <w:pPr>
        <w:pStyle w:val="ListParagraph"/>
        <w:ind w:left="426"/>
      </w:pPr>
      <w:r>
        <w:lastRenderedPageBreak/>
        <w:t>Chapter 9</w:t>
      </w:r>
      <w:r w:rsidRPr="00D91C6A">
        <w:t>.1</w:t>
      </w:r>
      <w:r>
        <w:t xml:space="preserve"> – Service and temporary waivers for the design of premises (to facilitate supervision of children) (</w:t>
      </w:r>
      <w:r w:rsidRPr="00007AD4">
        <w:rPr>
          <w:i/>
        </w:rPr>
        <w:t xml:space="preserve">waivers </w:t>
      </w:r>
      <w:r>
        <w:rPr>
          <w:i/>
        </w:rPr>
        <w:t>of</w:t>
      </w:r>
      <w:r w:rsidRPr="00007AD4">
        <w:rPr>
          <w:i/>
        </w:rPr>
        <w:t xml:space="preserve"> regulation 115</w:t>
      </w:r>
      <w:r>
        <w:t>)</w:t>
      </w:r>
      <w:r w:rsidR="00F77C7A">
        <w:t>,</w:t>
      </w:r>
    </w:p>
    <w:p w14:paraId="026246E2" w14:textId="3A755363" w:rsidR="004119A5" w:rsidRDefault="004119A5" w:rsidP="00F77C7A">
      <w:pPr>
        <w:pStyle w:val="ListParagraph"/>
        <w:ind w:left="426"/>
      </w:pPr>
      <w:r>
        <w:t xml:space="preserve">Chapter 9.2 – </w:t>
      </w:r>
      <w:r w:rsidRPr="00E407A5">
        <w:t xml:space="preserve">Requiring approved providers to assess not just the FDC residence but areas near the residence </w:t>
      </w:r>
      <w:r w:rsidRPr="00E407A5">
        <w:rPr>
          <w:i/>
          <w:iCs/>
        </w:rPr>
        <w:t>(expanding regulation 116)</w:t>
      </w:r>
      <w:r w:rsidR="00F77C7A">
        <w:rPr>
          <w:i/>
          <w:iCs/>
        </w:rPr>
        <w:t>,</w:t>
      </w:r>
      <w:r w:rsidRPr="00E407A5">
        <w:t xml:space="preserve"> </w:t>
      </w:r>
    </w:p>
    <w:p w14:paraId="0F45F996" w14:textId="5DE719A4" w:rsidR="004119A5" w:rsidRPr="0025037F" w:rsidRDefault="004119A5" w:rsidP="00F77C7A">
      <w:pPr>
        <w:pStyle w:val="ListParagraph"/>
        <w:ind w:left="426"/>
      </w:pPr>
      <w:r>
        <w:t>Chapter 9.3 – Enabling authorised officers to access areas of a FDC residence or property, beyond the service premises, in specific instances or for specific purposes (</w:t>
      </w:r>
      <w:r w:rsidRPr="00007AD4">
        <w:rPr>
          <w:i/>
        </w:rPr>
        <w:t>amending Division 2 of Part 9 of the National Law</w:t>
      </w:r>
      <w:r>
        <w:t>).</w:t>
      </w:r>
    </w:p>
    <w:p w14:paraId="0A84ACCA" w14:textId="096050A9" w:rsidR="004119A5" w:rsidRPr="00C0347D" w:rsidRDefault="004119A5" w:rsidP="004119A5">
      <w:pPr>
        <w:pStyle w:val="Heading2"/>
      </w:pPr>
      <w:bookmarkStart w:id="160" w:name="_Toc202887600"/>
      <w:bookmarkStart w:id="161" w:name="_Ref203393603"/>
      <w:bookmarkStart w:id="162" w:name="_Toc205884899"/>
      <w:r>
        <w:t xml:space="preserve">9.1 </w:t>
      </w:r>
      <w:r w:rsidRPr="00C0347D">
        <w:t xml:space="preserve">Service </w:t>
      </w:r>
      <w:r>
        <w:t xml:space="preserve">and temporary </w:t>
      </w:r>
      <w:r w:rsidRPr="00C0347D">
        <w:t>waivers for the design of premises (to facilitate supervision of children)</w:t>
      </w:r>
      <w:bookmarkEnd w:id="160"/>
      <w:bookmarkEnd w:id="161"/>
      <w:bookmarkEnd w:id="162"/>
    </w:p>
    <w:tbl>
      <w:tblPr>
        <w:tblStyle w:val="Deloittetable"/>
        <w:tblW w:w="9140" w:type="dxa"/>
        <w:tblLook w:val="04A0" w:firstRow="1" w:lastRow="0" w:firstColumn="1" w:lastColumn="0" w:noHBand="0" w:noVBand="1"/>
        <w:tblCaption w:val="Key insights - Service and temporary waivers for the design of premises (to facilitate supervision of children)"/>
        <w:tblDescription w:val="This table outlines the key insights for service and temporary waivers for the design of premises (to facilitate supervision of children)."/>
      </w:tblPr>
      <w:tblGrid>
        <w:gridCol w:w="9140"/>
      </w:tblGrid>
      <w:tr w:rsidR="00B11DFB" w14:paraId="0653F1D8" w14:textId="77777777" w:rsidTr="002E2F39">
        <w:trPr>
          <w:cnfStyle w:val="100000000000" w:firstRow="1" w:lastRow="0" w:firstColumn="0" w:lastColumn="0" w:oddVBand="0" w:evenVBand="0" w:oddHBand="0" w:evenHBand="0" w:firstRowFirstColumn="0" w:firstRowLastColumn="0" w:lastRowFirstColumn="0" w:lastRowLastColumn="0"/>
          <w:trHeight w:val="1318"/>
        </w:trPr>
        <w:tc>
          <w:tcPr>
            <w:tcW w:w="9140" w:type="dxa"/>
            <w:shd w:val="clear" w:color="auto" w:fill="DEE6F4" w:themeFill="text2" w:themeFillTint="1A"/>
          </w:tcPr>
          <w:p w14:paraId="61656C4A" w14:textId="2F9CF8A4" w:rsidR="00B11DFB" w:rsidRPr="005347A5" w:rsidRDefault="00B11DFB">
            <w:pPr>
              <w:rPr>
                <w:b/>
                <w:bCs/>
                <w:sz w:val="20"/>
                <w:szCs w:val="20"/>
              </w:rPr>
            </w:pPr>
            <w:r w:rsidRPr="005347A5">
              <w:rPr>
                <w:b/>
                <w:bCs/>
                <w:sz w:val="20"/>
                <w:szCs w:val="20"/>
              </w:rPr>
              <w:t xml:space="preserve">Key Insights </w:t>
            </w:r>
          </w:p>
          <w:p w14:paraId="0AF846E0" w14:textId="77777777" w:rsidR="00B11DFB" w:rsidRPr="00712583" w:rsidRDefault="00B11DFB">
            <w:pPr>
              <w:rPr>
                <w:i/>
                <w:szCs w:val="22"/>
              </w:rPr>
            </w:pPr>
            <w:r>
              <w:rPr>
                <w:i/>
                <w:szCs w:val="22"/>
              </w:rPr>
              <w:t>Problem</w:t>
            </w:r>
          </w:p>
          <w:p w14:paraId="0EEC8468" w14:textId="5E1DDE8E" w:rsidR="00F55F33" w:rsidRPr="0003134B" w:rsidRDefault="0003134B" w:rsidP="00EC53AB">
            <w:pPr>
              <w:pStyle w:val="ListParagraph"/>
              <w:numPr>
                <w:ilvl w:val="0"/>
                <w:numId w:val="100"/>
              </w:numPr>
              <w:spacing w:before="120"/>
              <w:ind w:left="462"/>
              <w:contextualSpacing/>
              <w:rPr>
                <w:i/>
                <w:szCs w:val="20"/>
              </w:rPr>
            </w:pPr>
            <w:r w:rsidRPr="0003134B">
              <w:rPr>
                <w:szCs w:val="20"/>
              </w:rPr>
              <w:t xml:space="preserve">The approval of waivers for regulation 115 may lead to an increased occurrence of inadequate supervision, which may increase instances in which children experience harm; particularly if additional supervision measures put in place for a waivered service (e.g., the placement of mirrors or CCTV for better supervision or additional staffing) are not fully or consistently complied with. </w:t>
            </w:r>
          </w:p>
          <w:p w14:paraId="70DE8975" w14:textId="7731128D" w:rsidR="00F55F33" w:rsidRDefault="00F55F33" w:rsidP="00EC53AB">
            <w:pPr>
              <w:pStyle w:val="ListParagraph"/>
              <w:numPr>
                <w:ilvl w:val="0"/>
                <w:numId w:val="100"/>
              </w:numPr>
              <w:spacing w:before="120"/>
              <w:ind w:left="462"/>
              <w:contextualSpacing/>
              <w:rPr>
                <w:i/>
                <w:szCs w:val="20"/>
              </w:rPr>
            </w:pPr>
            <w:r w:rsidRPr="00F55F33">
              <w:t xml:space="preserve">Nine waivers of regulation 115 were in place as of October 2024 – all service waivers and no temporary waivers. </w:t>
            </w:r>
          </w:p>
          <w:p w14:paraId="7CB99AF7" w14:textId="77777777" w:rsidR="00B11DFB" w:rsidRPr="00F55F33" w:rsidRDefault="00B11DFB" w:rsidP="00F55F33">
            <w:pPr>
              <w:rPr>
                <w:i/>
                <w:szCs w:val="20"/>
              </w:rPr>
            </w:pPr>
            <w:r w:rsidRPr="00F55F33">
              <w:rPr>
                <w:i/>
                <w:szCs w:val="20"/>
              </w:rPr>
              <w:t>Impacts of each option</w:t>
            </w:r>
          </w:p>
          <w:p w14:paraId="777AFA20" w14:textId="0AA13FEF" w:rsidR="00B11DFB" w:rsidRPr="000B4397" w:rsidRDefault="00B11DFB"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that </w:t>
            </w:r>
            <w:r w:rsidR="00CB43F7" w:rsidRPr="00CB43F7">
              <w:rPr>
                <w:szCs w:val="20"/>
              </w:rPr>
              <w:t>based on stakeholder input received through the consultation process, all options would deliver a net benefit compared to the status quo. Stakeholders identified greater implementation risks and distributional impacts associated with option 4.</w:t>
            </w:r>
          </w:p>
          <w:p w14:paraId="43DA9C54" w14:textId="6DFC9BEC" w:rsidR="00B11DFB" w:rsidRPr="000F4A52" w:rsidRDefault="002B24C7" w:rsidP="00EC53AB">
            <w:pPr>
              <w:pStyle w:val="ListParagraph"/>
              <w:numPr>
                <w:ilvl w:val="0"/>
                <w:numId w:val="100"/>
              </w:numPr>
              <w:tabs>
                <w:tab w:val="clear" w:pos="2835"/>
              </w:tabs>
              <w:spacing w:before="120"/>
              <w:ind w:left="462"/>
              <w:contextualSpacing/>
              <w:rPr>
                <w:szCs w:val="20"/>
              </w:rPr>
            </w:pPr>
            <w:r>
              <w:t xml:space="preserve">Most stakeholders from the education and care sector were aware that the use of regulation 115 waivers is not common and therefore </w:t>
            </w:r>
            <w:r w:rsidR="00A11C30">
              <w:t>the proposed options would</w:t>
            </w:r>
            <w:r>
              <w:t xml:space="preserve"> not lead to sector wide improvements in child safety outcomes. However, o</w:t>
            </w:r>
            <w:r w:rsidR="00B11DFB" w:rsidRPr="000F4A52">
              <w:rPr>
                <w:szCs w:val="20"/>
              </w:rPr>
              <w:t>ption</w:t>
            </w:r>
            <w:r w:rsidR="003E621D">
              <w:rPr>
                <w:szCs w:val="20"/>
              </w:rPr>
              <w:t>s</w:t>
            </w:r>
            <w:r w:rsidR="00B11DFB" w:rsidRPr="000F4A52">
              <w:rPr>
                <w:szCs w:val="20"/>
              </w:rPr>
              <w:t xml:space="preserve"> </w:t>
            </w:r>
            <w:r w:rsidR="003E621D">
              <w:rPr>
                <w:szCs w:val="20"/>
              </w:rPr>
              <w:t>2 and 3 were</w:t>
            </w:r>
            <w:r w:rsidR="00B11DFB" w:rsidRPr="000F4A52">
              <w:rPr>
                <w:szCs w:val="20"/>
              </w:rPr>
              <w:t xml:space="preserve"> the </w:t>
            </w:r>
            <w:r w:rsidR="00BF7E16">
              <w:rPr>
                <w:szCs w:val="20"/>
              </w:rPr>
              <w:t>preferred</w:t>
            </w:r>
            <w:r w:rsidR="004C5562">
              <w:rPr>
                <w:szCs w:val="20"/>
              </w:rPr>
              <w:t xml:space="preserve"> option</w:t>
            </w:r>
            <w:r w:rsidR="003E621D">
              <w:rPr>
                <w:szCs w:val="20"/>
              </w:rPr>
              <w:t>s</w:t>
            </w:r>
            <w:r w:rsidR="00B11DFB" w:rsidRPr="000F4A52">
              <w:rPr>
                <w:szCs w:val="20"/>
              </w:rPr>
              <w:t xml:space="preserve"> among </w:t>
            </w:r>
            <w:r w:rsidR="003E621D">
              <w:rPr>
                <w:szCs w:val="20"/>
              </w:rPr>
              <w:t>surveyed</w:t>
            </w:r>
            <w:r w:rsidR="00B11DFB" w:rsidRPr="000F4A52">
              <w:rPr>
                <w:szCs w:val="20"/>
              </w:rPr>
              <w:t xml:space="preserve"> stakeholder groups, including approved providers, the </w:t>
            </w:r>
            <w:r w:rsidR="00014AC2">
              <w:rPr>
                <w:szCs w:val="20"/>
              </w:rPr>
              <w:t>education and care</w:t>
            </w:r>
            <w:r w:rsidR="00B11DFB" w:rsidRPr="000F4A52">
              <w:rPr>
                <w:szCs w:val="20"/>
              </w:rPr>
              <w:t xml:space="preserve"> workforce, </w:t>
            </w:r>
            <w:r w:rsidR="003E621D">
              <w:rPr>
                <w:szCs w:val="20"/>
              </w:rPr>
              <w:t xml:space="preserve">and </w:t>
            </w:r>
            <w:r w:rsidR="00B11DFB" w:rsidRPr="000F4A52">
              <w:rPr>
                <w:szCs w:val="20"/>
              </w:rPr>
              <w:t>families</w:t>
            </w:r>
            <w:r w:rsidR="003E621D">
              <w:rPr>
                <w:szCs w:val="20"/>
              </w:rPr>
              <w:t>.</w:t>
            </w:r>
          </w:p>
          <w:p w14:paraId="34AC225A" w14:textId="0EF69483" w:rsidR="00B11DFB" w:rsidRPr="00C44DEA" w:rsidRDefault="00B11DFB" w:rsidP="00EC53AB">
            <w:pPr>
              <w:pStyle w:val="ListParagraph"/>
              <w:numPr>
                <w:ilvl w:val="0"/>
                <w:numId w:val="100"/>
              </w:numPr>
              <w:spacing w:before="120"/>
              <w:ind w:left="462"/>
              <w:contextualSpacing/>
              <w:rPr>
                <w:szCs w:val="20"/>
              </w:rPr>
            </w:pPr>
            <w:r>
              <w:rPr>
                <w:szCs w:val="20"/>
              </w:rPr>
              <w:t>Option</w:t>
            </w:r>
            <w:r w:rsidRPr="000D3C24">
              <w:rPr>
                <w:szCs w:val="20"/>
              </w:rPr>
              <w:t xml:space="preserve"> </w:t>
            </w:r>
            <w:r w:rsidR="003E621D">
              <w:rPr>
                <w:szCs w:val="20"/>
              </w:rPr>
              <w:t>3</w:t>
            </w:r>
            <w:r w:rsidRPr="000D3C24">
              <w:rPr>
                <w:szCs w:val="20"/>
              </w:rPr>
              <w:t xml:space="preserve"> receive</w:t>
            </w:r>
            <w:r>
              <w:rPr>
                <w:szCs w:val="20"/>
              </w:rPr>
              <w:t>d</w:t>
            </w:r>
            <w:r w:rsidRPr="000D3C24">
              <w:rPr>
                <w:szCs w:val="20"/>
              </w:rPr>
              <w:t xml:space="preserve"> a lower weighted score than option </w:t>
            </w:r>
            <w:r w:rsidR="003E621D">
              <w:rPr>
                <w:szCs w:val="20"/>
              </w:rPr>
              <w:t>4</w:t>
            </w:r>
            <w:r>
              <w:rPr>
                <w:szCs w:val="20"/>
              </w:rPr>
              <w:t>,</w:t>
            </w:r>
            <w:r w:rsidRPr="000D3C24">
              <w:rPr>
                <w:szCs w:val="20"/>
              </w:rPr>
              <w:t xml:space="preserve"> reflecting </w:t>
            </w:r>
            <w:r w:rsidR="003E621D">
              <w:rPr>
                <w:szCs w:val="20"/>
              </w:rPr>
              <w:t xml:space="preserve">that under option 4 </w:t>
            </w:r>
            <w:r w:rsidR="006203E1">
              <w:rPr>
                <w:szCs w:val="20"/>
              </w:rPr>
              <w:t xml:space="preserve">there is a risk that some services may not be able to operate or </w:t>
            </w:r>
            <w:r w:rsidR="00FB16D3">
              <w:rPr>
                <w:szCs w:val="20"/>
              </w:rPr>
              <w:t xml:space="preserve">undertake temporary works to improve facilities, since </w:t>
            </w:r>
            <w:r w:rsidR="003E621D">
              <w:rPr>
                <w:szCs w:val="20"/>
              </w:rPr>
              <w:t xml:space="preserve">a </w:t>
            </w:r>
            <w:r w:rsidR="003E621D" w:rsidRPr="003E621D">
              <w:rPr>
                <w:szCs w:val="20"/>
              </w:rPr>
              <w:t xml:space="preserve">service </w:t>
            </w:r>
            <w:r w:rsidR="003E621D">
              <w:rPr>
                <w:szCs w:val="20"/>
              </w:rPr>
              <w:t>would be</w:t>
            </w:r>
            <w:r w:rsidR="003E621D" w:rsidRPr="003E621D">
              <w:rPr>
                <w:szCs w:val="20"/>
              </w:rPr>
              <w:t xml:space="preserve"> unable to apply for a temporary waiver when they may require one due an emergency or other unforeseen circumstances.</w:t>
            </w:r>
          </w:p>
          <w:p w14:paraId="4AAE9662" w14:textId="24AC2F19" w:rsidR="00B11DFB" w:rsidRPr="00712583" w:rsidRDefault="004C5562">
            <w:pPr>
              <w:rPr>
                <w:szCs w:val="22"/>
              </w:rPr>
            </w:pPr>
            <w:r>
              <w:rPr>
                <w:i/>
                <w:szCs w:val="22"/>
              </w:rPr>
              <w:t>Recommended option</w:t>
            </w:r>
          </w:p>
          <w:p w14:paraId="3B1D3009" w14:textId="13961708" w:rsidR="008140E4" w:rsidRDefault="00931972" w:rsidP="00F77C7A">
            <w:pPr>
              <w:pStyle w:val="ListParagraph"/>
              <w:ind w:left="462" w:hanging="425"/>
              <w:rPr>
                <w:szCs w:val="20"/>
              </w:rPr>
            </w:pPr>
            <w:r w:rsidRPr="00931972">
              <w:rPr>
                <w:szCs w:val="20"/>
              </w:rPr>
              <w:t>Based on analysis included in this DRIS, the options with the highest net benefit to be provided to Education Ministers for consideration are</w:t>
            </w:r>
            <w:r w:rsidRPr="008140E4">
              <w:rPr>
                <w:szCs w:val="20"/>
              </w:rPr>
              <w:t xml:space="preserve"> </w:t>
            </w:r>
            <w:r>
              <w:rPr>
                <w:szCs w:val="20"/>
              </w:rPr>
              <w:t>o</w:t>
            </w:r>
            <w:r w:rsidR="008140E4" w:rsidRPr="008140E4">
              <w:rPr>
                <w:szCs w:val="20"/>
              </w:rPr>
              <w:t xml:space="preserve">ptions 2 and 3. This preference is on the basis that these options that would generate most significant improvements to child safety even after accounting for potential implementation costs. Option 4 </w:t>
            </w:r>
            <w:r w:rsidR="002350E2">
              <w:rPr>
                <w:szCs w:val="20"/>
              </w:rPr>
              <w:t>will not be implemented,</w:t>
            </w:r>
            <w:r w:rsidR="008140E4" w:rsidRPr="008140E4">
              <w:rPr>
                <w:szCs w:val="20"/>
              </w:rPr>
              <w:t xml:space="preserve"> largely due to the greater risks associated with being unable to apply for temporary waivers in any circumstance, including emergencies. </w:t>
            </w:r>
          </w:p>
          <w:p w14:paraId="33635F83" w14:textId="73EBE98F" w:rsidR="00B11DFB" w:rsidRPr="00397987" w:rsidRDefault="00CB107E" w:rsidP="00F77C7A">
            <w:pPr>
              <w:pStyle w:val="ListParagraph"/>
              <w:ind w:left="462" w:hanging="425"/>
            </w:pPr>
            <w:r>
              <w:rPr>
                <w:szCs w:val="20"/>
              </w:rPr>
              <w:lastRenderedPageBreak/>
              <w:t>Governments</w:t>
            </w:r>
            <w:r w:rsidR="008140E4" w:rsidRPr="008140E4">
              <w:rPr>
                <w:szCs w:val="20"/>
              </w:rPr>
              <w:t xml:space="preserve"> will develop communication to confirm that option 3 removes the ability to apply for a service waiver but will not impact any an existing waiver of regulation 115. This limits the impact of proposed reforms on education and care services with an existing waiver in place.</w:t>
            </w:r>
          </w:p>
        </w:tc>
      </w:tr>
    </w:tbl>
    <w:p w14:paraId="106AD6CA" w14:textId="77777777" w:rsidR="008414D5" w:rsidRDefault="008414D5" w:rsidP="004119A5"/>
    <w:p w14:paraId="29CAA971" w14:textId="713CA443" w:rsidR="004119A5" w:rsidRDefault="004119A5" w:rsidP="004119A5">
      <w:r>
        <w:t xml:space="preserve">Supervision is recognised as the most critical element of child safety. </w:t>
      </w:r>
      <w:r w:rsidRPr="00017DAA">
        <w:t>Accordingly, section 165 of the National Law</w:t>
      </w:r>
      <w:r>
        <w:t xml:space="preserve"> mandates that approved providers of education and care services must ensure that all children being educated and cared for by the service are adequately supervised at all times while in their care.</w:t>
      </w:r>
    </w:p>
    <w:p w14:paraId="1EE57BD4" w14:textId="30249453" w:rsidR="004119A5" w:rsidRPr="0006455E" w:rsidRDefault="004119A5" w:rsidP="004119A5">
      <w:pPr>
        <w:rPr>
          <w:i/>
        </w:rPr>
      </w:pPr>
      <w:r>
        <w:t xml:space="preserve">Regulation 115 of the National Regulations requires </w:t>
      </w:r>
      <w:r w:rsidRPr="00F73E3D">
        <w:t>the approved provider of a centre-based service</w:t>
      </w:r>
      <w:r w:rsidRPr="00F73E3D">
        <w:rPr>
          <w:rStyle w:val="FootnoteReference"/>
        </w:rPr>
        <w:footnoteReference w:id="122"/>
      </w:r>
      <w:r w:rsidRPr="00F73E3D">
        <w:t xml:space="preserve"> to ensure that the education and care service premises (including toilets and nappy change facilities) are designed and maintained in a way that facilitates supervision of children at all times</w:t>
      </w:r>
      <w:r>
        <w:t xml:space="preserve"> that they are being educated and cared for by the service, having regard to the need to maintain the rights and dignity of children</w:t>
      </w:r>
      <w:r w:rsidRPr="00F73E3D">
        <w:t>.</w:t>
      </w:r>
    </w:p>
    <w:p w14:paraId="64CC4191" w14:textId="380EACB8" w:rsidR="004119A5" w:rsidRPr="009B69EB" w:rsidRDefault="004119A5" w:rsidP="004119A5">
      <w:pPr>
        <w:ind w:right="20"/>
        <w:rPr>
          <w:rFonts w:cs="Arial"/>
        </w:rPr>
      </w:pPr>
      <w:r>
        <w:t xml:space="preserve">Approved providers of centre-based service premises that do not comply with regulation 115 are able to apply for a </w:t>
      </w:r>
      <w:r w:rsidRPr="103AE03E">
        <w:rPr>
          <w:rFonts w:cs="Arial"/>
        </w:rPr>
        <w:t xml:space="preserve">temporary or service </w:t>
      </w:r>
      <w:r>
        <w:t>waiver</w:t>
      </w:r>
      <w:r>
        <w:rPr>
          <w:rStyle w:val="FootnoteReference"/>
        </w:rPr>
        <w:footnoteReference w:id="123"/>
      </w:r>
      <w:r>
        <w:t xml:space="preserve"> if </w:t>
      </w:r>
      <w:r w:rsidRPr="103AE03E">
        <w:rPr>
          <w:rFonts w:cs="Arial"/>
        </w:rPr>
        <w:t xml:space="preserve">the design and maintenance of premises </w:t>
      </w:r>
      <w:r>
        <w:rPr>
          <w:rFonts w:cs="Arial"/>
        </w:rPr>
        <w:t>do</w:t>
      </w:r>
      <w:r w:rsidRPr="103AE03E">
        <w:rPr>
          <w:rFonts w:cs="Arial"/>
        </w:rPr>
        <w:t xml:space="preserve"> not facilitate supervision of children, and under any proposed modifications, the premises would still not meet regulatory requirements. This could be the case, for example, if a service is operating </w:t>
      </w:r>
      <w:r>
        <w:rPr>
          <w:rFonts w:cs="Arial"/>
        </w:rPr>
        <w:t>in</w:t>
      </w:r>
      <w:r w:rsidRPr="103AE03E">
        <w:rPr>
          <w:rFonts w:cs="Arial"/>
        </w:rPr>
        <w:t xml:space="preserve"> </w:t>
      </w:r>
      <w:r>
        <w:rPr>
          <w:rFonts w:cs="Arial"/>
        </w:rPr>
        <w:t>premises that were</w:t>
      </w:r>
      <w:r w:rsidRPr="103AE03E">
        <w:rPr>
          <w:rFonts w:cs="Arial"/>
        </w:rPr>
        <w:t xml:space="preserve"> not designed for </w:t>
      </w:r>
      <w:r>
        <w:rPr>
          <w:rFonts w:cs="Arial"/>
        </w:rPr>
        <w:t>education and care</w:t>
      </w:r>
      <w:r w:rsidRPr="103AE03E">
        <w:rPr>
          <w:rFonts w:cs="Arial"/>
        </w:rPr>
        <w:t xml:space="preserve"> or to facilitate the adequate supervision of children</w:t>
      </w:r>
      <w:r>
        <w:rPr>
          <w:rFonts w:cs="Arial"/>
        </w:rPr>
        <w:t xml:space="preserve"> or the building is heritage listed, which limits the modifications that can be undertaken</w:t>
      </w:r>
      <w:r w:rsidRPr="103AE03E">
        <w:rPr>
          <w:rFonts w:cs="Arial"/>
        </w:rPr>
        <w:t xml:space="preserve">. Alternatively, waivers may be granted if the service must relocate to a </w:t>
      </w:r>
      <w:r>
        <w:rPr>
          <w:rFonts w:cs="Arial"/>
        </w:rPr>
        <w:t xml:space="preserve">temporary </w:t>
      </w:r>
      <w:r w:rsidRPr="103AE03E">
        <w:rPr>
          <w:rFonts w:cs="Arial"/>
        </w:rPr>
        <w:t xml:space="preserve">premises that does not satisfy regulation 115 due to some circumstance (e.g., having suffered damage due to a natural disaster) </w:t>
      </w:r>
      <w:r>
        <w:rPr>
          <w:rFonts w:cs="Arial"/>
        </w:rPr>
        <w:t>which impacts</w:t>
      </w:r>
      <w:r w:rsidRPr="103AE03E">
        <w:rPr>
          <w:rFonts w:cs="Arial"/>
        </w:rPr>
        <w:t xml:space="preserve"> the original premises of the service. </w:t>
      </w:r>
      <w:r>
        <w:rPr>
          <w:rFonts w:cs="Arial"/>
        </w:rPr>
        <w:t>A temporary waiver may also be used whilst services premises are undergoing renovation or repair that may impact the ability to supervise children for a limited time.</w:t>
      </w:r>
    </w:p>
    <w:p w14:paraId="0AFC3172" w14:textId="77777777" w:rsidR="004119A5" w:rsidRDefault="004119A5" w:rsidP="004119A5">
      <w:r w:rsidRPr="103AE03E">
        <w:rPr>
          <w:rFonts w:cs="Arial"/>
        </w:rPr>
        <w:t>When applying for a waiver of regulation 115, the approved provider must demonstrate exceptional circumstances and any proposed alternative methods of facilitating the supervision of all children at all times.</w:t>
      </w:r>
    </w:p>
    <w:p w14:paraId="3D9B77A0" w14:textId="77777777" w:rsidR="004119A5" w:rsidRDefault="004119A5" w:rsidP="004119A5">
      <w:pPr>
        <w:pStyle w:val="Heading3"/>
      </w:pPr>
      <w:r>
        <w:lastRenderedPageBreak/>
        <w:t>What is the problem?</w:t>
      </w:r>
    </w:p>
    <w:p w14:paraId="104902FB" w14:textId="6ACC4F9F" w:rsidR="004119A5" w:rsidRDefault="004119A5" w:rsidP="004119A5">
      <w:r>
        <w:t>Waivers for regulation 115 could increase the likelihood of harm to children through the following causal chain:</w:t>
      </w:r>
    </w:p>
    <w:p w14:paraId="5C040018" w14:textId="3C6C0B96" w:rsidR="004119A5" w:rsidRDefault="004119A5" w:rsidP="00EC53AB">
      <w:pPr>
        <w:pStyle w:val="ListParagraph"/>
        <w:numPr>
          <w:ilvl w:val="0"/>
          <w:numId w:val="7"/>
        </w:numPr>
        <w:ind w:left="426"/>
      </w:pPr>
      <w:r>
        <w:t>the design and maintenance of a centre-based service premises does not comply with regulation 115, which leads to</w:t>
      </w:r>
    </w:p>
    <w:p w14:paraId="2084794E" w14:textId="18053E0E" w:rsidR="004119A5" w:rsidRDefault="004119A5" w:rsidP="00EC53AB">
      <w:pPr>
        <w:pStyle w:val="ListParagraph"/>
        <w:numPr>
          <w:ilvl w:val="0"/>
          <w:numId w:val="7"/>
        </w:numPr>
        <w:ind w:left="426"/>
      </w:pPr>
      <w:r>
        <w:t>a failure to ensure adequate supervision of children in service premises, which leads to</w:t>
      </w:r>
    </w:p>
    <w:p w14:paraId="152E5DFC" w14:textId="7C344AF9" w:rsidR="004119A5" w:rsidRPr="000701C5" w:rsidRDefault="004119A5" w:rsidP="00EC53AB">
      <w:pPr>
        <w:pStyle w:val="ListParagraph"/>
        <w:numPr>
          <w:ilvl w:val="0"/>
          <w:numId w:val="7"/>
        </w:numPr>
        <w:ind w:left="426"/>
      </w:pPr>
      <w:r>
        <w:t>an increased likelihood that children attending the service will experience harm.</w:t>
      </w:r>
    </w:p>
    <w:p w14:paraId="2ED84C50" w14:textId="6CDDDFBB" w:rsidR="004119A5" w:rsidRPr="00963E8A" w:rsidRDefault="004119A5" w:rsidP="004119A5">
      <w:r>
        <w:t>While the number of reported occurrences linking the approval of regulation 115 waivers to instances of child harm is inconclusive, it is foreseeable that such an event could result in significant harm to a child.</w:t>
      </w:r>
      <w:r w:rsidRPr="00F46E15">
        <w:t xml:space="preserve"> </w:t>
      </w:r>
      <w:r>
        <w:t xml:space="preserve">For example, harm could occur if inadequate supervision results in a child encountering a hazard and suffering an injury or creates increased opportunities for potential offenders to harm children by seeking to exploit gaps in supervision. </w:t>
      </w:r>
    </w:p>
    <w:p w14:paraId="3AF462A5" w14:textId="436C6C41" w:rsidR="004119A5" w:rsidRDefault="004119A5" w:rsidP="004119A5">
      <w:r>
        <w:t>The approval of waivers for regulation 115 may lead to an increased occurrence of inadequate supervision, which may increase instances in which children experience harm; particularly if additional supervision measures put in place for a waivered service (e.g., the placement of mirrors or CCTV for better supervision or additional staffing) are not fully or consistently complied with. A key question is whether services can sufficiently maintain supervision of children at all times when a waiver of regulation of 115 is approved. In determining this, it is important to consider:</w:t>
      </w:r>
    </w:p>
    <w:p w14:paraId="54230A8A" w14:textId="464BF74B" w:rsidR="004119A5" w:rsidRDefault="004119A5" w:rsidP="00EC53AB">
      <w:pPr>
        <w:pStyle w:val="ListParagraph"/>
        <w:numPr>
          <w:ilvl w:val="0"/>
          <w:numId w:val="93"/>
        </w:numPr>
        <w:ind w:left="426"/>
      </w:pPr>
      <w:r>
        <w:t>how prevalent the service and temporary waivers are for regulation 115</w:t>
      </w:r>
      <w:r w:rsidR="00F77C7A">
        <w:t>,</w:t>
      </w:r>
    </w:p>
    <w:p w14:paraId="5C408CF8" w14:textId="36E7325C" w:rsidR="004119A5" w:rsidRDefault="004119A5" w:rsidP="00EC53AB">
      <w:pPr>
        <w:pStyle w:val="ListParagraph"/>
        <w:numPr>
          <w:ilvl w:val="0"/>
          <w:numId w:val="93"/>
        </w:numPr>
        <w:ind w:left="426"/>
      </w:pPr>
      <w:r>
        <w:t>if the waivers of regulation 115 are associated with instances of inadequate supervision.</w:t>
      </w:r>
    </w:p>
    <w:p w14:paraId="336CF61D" w14:textId="77777777" w:rsidR="004119A5" w:rsidRDefault="004119A5" w:rsidP="004119A5">
      <w:pPr>
        <w:pStyle w:val="Heading4"/>
      </w:pPr>
      <w:r>
        <w:t>Number of service and temporary waivers for regulation 115</w:t>
      </w:r>
    </w:p>
    <w:p w14:paraId="73FF6BDB" w14:textId="1FD642AB" w:rsidR="004119A5" w:rsidRDefault="004119A5" w:rsidP="004119A5">
      <w:r>
        <w:t>Since 20</w:t>
      </w:r>
      <w:r w:rsidR="000546C6">
        <w:t>09</w:t>
      </w:r>
      <w:r>
        <w:t xml:space="preserve">, 87 applications have been lodged for a waiver of regulation 115 (see Table 9.1). </w:t>
      </w:r>
      <w:r w:rsidR="000546C6">
        <w:t xml:space="preserve">Nine </w:t>
      </w:r>
      <w:r>
        <w:t xml:space="preserve">waivers of regulation 115 were in place as of October 2024 </w:t>
      </w:r>
      <w:r w:rsidR="00F55F33">
        <w:t xml:space="preserve">– </w:t>
      </w:r>
      <w:r w:rsidR="000546C6">
        <w:t>all service waivers and no temporary waivers</w:t>
      </w:r>
      <w:r>
        <w:t xml:space="preserve">. Approximately one third </w:t>
      </w:r>
      <w:r w:rsidR="000546C6">
        <w:t xml:space="preserve">of all waivers </w:t>
      </w:r>
      <w:r>
        <w:t xml:space="preserve">were temporary waivers that have since expired. Another third were service waiver applications that have since been withdrawn by the service. The remaining applications </w:t>
      </w:r>
      <w:r w:rsidR="004D43B8">
        <w:t xml:space="preserve">were </w:t>
      </w:r>
      <w:r>
        <w:t xml:space="preserve">invalid, </w:t>
      </w:r>
      <w:r w:rsidR="00B3169E">
        <w:t xml:space="preserve">were </w:t>
      </w:r>
      <w:r>
        <w:t>refused</w:t>
      </w:r>
      <w:r w:rsidR="00D748A9">
        <w:t>,</w:t>
      </w:r>
      <w:r>
        <w:t xml:space="preserve"> or </w:t>
      </w:r>
      <w:r w:rsidR="00D748A9">
        <w:t xml:space="preserve">were </w:t>
      </w:r>
      <w:r>
        <w:t>revoked by the Regulatory Authority.</w:t>
      </w:r>
    </w:p>
    <w:p w14:paraId="3ECA03C4" w14:textId="29FF6149" w:rsidR="004119A5" w:rsidRDefault="004119A5" w:rsidP="004119A5">
      <w:pPr>
        <w:pStyle w:val="Caption"/>
      </w:pPr>
      <w:bookmarkStart w:id="163" w:name="_Toc202887738"/>
      <w:bookmarkStart w:id="164" w:name="_Toc205884969"/>
      <w:r>
        <w:lastRenderedPageBreak/>
        <w:t>Table 9.1: Quantity of all waivers of regulation 115 by status</w:t>
      </w:r>
      <w:r w:rsidR="00CB592B">
        <w:t xml:space="preserve"> and waiver type</w:t>
      </w:r>
      <w:r>
        <w:t>, 20</w:t>
      </w:r>
      <w:r w:rsidR="00CC7859">
        <w:t>09</w:t>
      </w:r>
      <w:r>
        <w:t>-2024</w:t>
      </w:r>
      <w:bookmarkEnd w:id="163"/>
      <w:bookmarkEnd w:id="16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1: Quantity of all waivers of regulation 115 by status and waiver type, 2009-2024"/>
        <w:tblDescription w:val="This table outlines the quantity of all waivers of regulation 115 by status and waiver type, 2009-2024."/>
      </w:tblPr>
      <w:tblGrid>
        <w:gridCol w:w="2501"/>
        <w:gridCol w:w="2373"/>
        <w:gridCol w:w="2273"/>
        <w:gridCol w:w="1863"/>
      </w:tblGrid>
      <w:tr w:rsidR="00CC7859" w:rsidRPr="006A2FD5" w14:paraId="75908F76" w14:textId="10B08ADA" w:rsidTr="008414D5">
        <w:trPr>
          <w:tblHeader/>
        </w:trPr>
        <w:tc>
          <w:tcPr>
            <w:tcW w:w="2501" w:type="dxa"/>
            <w:shd w:val="clear" w:color="auto" w:fill="14233C" w:themeFill="text2"/>
          </w:tcPr>
          <w:p w14:paraId="7C7A0F5C" w14:textId="77777777" w:rsidR="00CC7859" w:rsidRPr="001E04C4" w:rsidRDefault="00CC7859">
            <w:pPr>
              <w:jc w:val="center"/>
              <w:rPr>
                <w:b/>
                <w:color w:val="FFFFFF" w:themeColor="background1"/>
                <w:szCs w:val="20"/>
              </w:rPr>
            </w:pPr>
            <w:r w:rsidRPr="001E04C4">
              <w:rPr>
                <w:b/>
                <w:color w:val="FFFFFF" w:themeColor="background1"/>
                <w:szCs w:val="20"/>
              </w:rPr>
              <w:t>Waiver status</w:t>
            </w:r>
          </w:p>
        </w:tc>
        <w:tc>
          <w:tcPr>
            <w:tcW w:w="2373" w:type="dxa"/>
            <w:shd w:val="clear" w:color="auto" w:fill="14233C" w:themeFill="text2"/>
          </w:tcPr>
          <w:p w14:paraId="71AC2EE9" w14:textId="0A79E205" w:rsidR="00CC7859" w:rsidRPr="001E04C4" w:rsidRDefault="00CC7859">
            <w:pPr>
              <w:jc w:val="center"/>
              <w:rPr>
                <w:b/>
                <w:color w:val="FFFFFF" w:themeColor="background1"/>
                <w:szCs w:val="20"/>
              </w:rPr>
            </w:pPr>
            <w:r w:rsidRPr="001E04C4">
              <w:rPr>
                <w:b/>
                <w:color w:val="FFFFFF" w:themeColor="background1"/>
                <w:szCs w:val="20"/>
              </w:rPr>
              <w:t>Number</w:t>
            </w:r>
            <w:r>
              <w:rPr>
                <w:b/>
                <w:color w:val="FFFFFF" w:themeColor="background1"/>
                <w:szCs w:val="20"/>
              </w:rPr>
              <w:t xml:space="preserve"> of service waivers</w:t>
            </w:r>
          </w:p>
        </w:tc>
        <w:tc>
          <w:tcPr>
            <w:tcW w:w="2273" w:type="dxa"/>
            <w:shd w:val="clear" w:color="auto" w:fill="14233C" w:themeFill="text2"/>
          </w:tcPr>
          <w:p w14:paraId="416BFC54" w14:textId="0A94F05D" w:rsidR="00CC7859" w:rsidRPr="001E04C4" w:rsidRDefault="00CC7859">
            <w:pPr>
              <w:jc w:val="center"/>
              <w:rPr>
                <w:b/>
                <w:color w:val="FFFFFF" w:themeColor="background1"/>
                <w:szCs w:val="20"/>
              </w:rPr>
            </w:pPr>
            <w:r>
              <w:rPr>
                <w:b/>
                <w:color w:val="FFFFFF" w:themeColor="background1"/>
                <w:szCs w:val="20"/>
              </w:rPr>
              <w:t>Number of temporary waivers</w:t>
            </w:r>
          </w:p>
        </w:tc>
        <w:tc>
          <w:tcPr>
            <w:tcW w:w="1863" w:type="dxa"/>
            <w:shd w:val="clear" w:color="auto" w:fill="14233C" w:themeFill="text2"/>
          </w:tcPr>
          <w:p w14:paraId="5FCB9713" w14:textId="2A44821A" w:rsidR="00CC7859" w:rsidRDefault="00CC7859">
            <w:pPr>
              <w:jc w:val="center"/>
              <w:rPr>
                <w:b/>
                <w:color w:val="FFFFFF" w:themeColor="background1"/>
                <w:szCs w:val="20"/>
              </w:rPr>
            </w:pPr>
            <w:r>
              <w:rPr>
                <w:b/>
                <w:color w:val="FFFFFF" w:themeColor="background1"/>
                <w:szCs w:val="20"/>
              </w:rPr>
              <w:t>Total</w:t>
            </w:r>
          </w:p>
        </w:tc>
      </w:tr>
      <w:tr w:rsidR="00CC7859" w14:paraId="4FA5828F" w14:textId="040D2E6C" w:rsidTr="00E3170E">
        <w:tc>
          <w:tcPr>
            <w:tcW w:w="2501" w:type="dxa"/>
          </w:tcPr>
          <w:p w14:paraId="45DC9495" w14:textId="77777777" w:rsidR="00CC7859" w:rsidRPr="001E04C4" w:rsidRDefault="00CC7859" w:rsidP="00CC7859">
            <w:pPr>
              <w:jc w:val="center"/>
              <w:rPr>
                <w:szCs w:val="20"/>
              </w:rPr>
            </w:pPr>
            <w:r w:rsidRPr="001E04C4">
              <w:rPr>
                <w:szCs w:val="20"/>
              </w:rPr>
              <w:t>In force</w:t>
            </w:r>
          </w:p>
        </w:tc>
        <w:tc>
          <w:tcPr>
            <w:tcW w:w="2373" w:type="dxa"/>
          </w:tcPr>
          <w:p w14:paraId="3A3CF591" w14:textId="38D0F7A6" w:rsidR="00CC7859" w:rsidRPr="001E04C4" w:rsidRDefault="00CC7859" w:rsidP="00CC7859">
            <w:pPr>
              <w:jc w:val="center"/>
              <w:rPr>
                <w:szCs w:val="20"/>
              </w:rPr>
            </w:pPr>
            <w:r>
              <w:rPr>
                <w:szCs w:val="20"/>
              </w:rPr>
              <w:t>9</w:t>
            </w:r>
          </w:p>
        </w:tc>
        <w:tc>
          <w:tcPr>
            <w:tcW w:w="2273" w:type="dxa"/>
          </w:tcPr>
          <w:p w14:paraId="7A0D21C3" w14:textId="5C18DE4F" w:rsidR="00CC7859" w:rsidRPr="00CC7859" w:rsidRDefault="00CC7859" w:rsidP="00CC7859">
            <w:pPr>
              <w:jc w:val="center"/>
              <w:rPr>
                <w:szCs w:val="18"/>
              </w:rPr>
            </w:pPr>
            <w:r w:rsidRPr="00CC7859">
              <w:rPr>
                <w:szCs w:val="18"/>
              </w:rPr>
              <w:t>-</w:t>
            </w:r>
          </w:p>
        </w:tc>
        <w:tc>
          <w:tcPr>
            <w:tcW w:w="1863" w:type="dxa"/>
          </w:tcPr>
          <w:p w14:paraId="08BAA2FB" w14:textId="1C44AAC1" w:rsidR="00CC7859" w:rsidRDefault="00CC7859" w:rsidP="00CC7859">
            <w:pPr>
              <w:jc w:val="center"/>
              <w:rPr>
                <w:szCs w:val="20"/>
              </w:rPr>
            </w:pPr>
            <w:r>
              <w:rPr>
                <w:szCs w:val="20"/>
              </w:rPr>
              <w:t>9</w:t>
            </w:r>
          </w:p>
        </w:tc>
      </w:tr>
      <w:tr w:rsidR="00CC7859" w14:paraId="6A9903E0" w14:textId="72F95315" w:rsidTr="00E3170E">
        <w:tc>
          <w:tcPr>
            <w:tcW w:w="2501" w:type="dxa"/>
          </w:tcPr>
          <w:p w14:paraId="1B8E7B59" w14:textId="77777777" w:rsidR="00CC7859" w:rsidRPr="001E04C4" w:rsidRDefault="00CC7859" w:rsidP="00CC7859">
            <w:pPr>
              <w:jc w:val="center"/>
              <w:rPr>
                <w:szCs w:val="20"/>
              </w:rPr>
            </w:pPr>
            <w:r w:rsidRPr="001E04C4">
              <w:rPr>
                <w:szCs w:val="20"/>
              </w:rPr>
              <w:t>Expired</w:t>
            </w:r>
          </w:p>
        </w:tc>
        <w:tc>
          <w:tcPr>
            <w:tcW w:w="2373" w:type="dxa"/>
          </w:tcPr>
          <w:p w14:paraId="441EBF2D" w14:textId="43B97C56" w:rsidR="00CC7859" w:rsidRPr="001E04C4" w:rsidRDefault="00CC7859" w:rsidP="00CC7859">
            <w:pPr>
              <w:jc w:val="center"/>
              <w:rPr>
                <w:szCs w:val="20"/>
              </w:rPr>
            </w:pPr>
            <w:r>
              <w:rPr>
                <w:szCs w:val="20"/>
              </w:rPr>
              <w:t>2</w:t>
            </w:r>
          </w:p>
        </w:tc>
        <w:tc>
          <w:tcPr>
            <w:tcW w:w="2273" w:type="dxa"/>
          </w:tcPr>
          <w:p w14:paraId="5391C692" w14:textId="373A28E2" w:rsidR="00CC7859" w:rsidRDefault="00CC7859" w:rsidP="00CC7859">
            <w:pPr>
              <w:jc w:val="center"/>
              <w:rPr>
                <w:szCs w:val="18"/>
              </w:rPr>
            </w:pPr>
            <w:r>
              <w:rPr>
                <w:szCs w:val="18"/>
              </w:rPr>
              <w:t>27</w:t>
            </w:r>
          </w:p>
        </w:tc>
        <w:tc>
          <w:tcPr>
            <w:tcW w:w="1863" w:type="dxa"/>
          </w:tcPr>
          <w:p w14:paraId="61F536A7" w14:textId="115778E5" w:rsidR="00CC7859" w:rsidRPr="001E04C4" w:rsidRDefault="00CC7859" w:rsidP="00CC7859">
            <w:pPr>
              <w:jc w:val="center"/>
              <w:rPr>
                <w:szCs w:val="20"/>
              </w:rPr>
            </w:pPr>
            <w:r w:rsidRPr="001E04C4">
              <w:rPr>
                <w:szCs w:val="20"/>
              </w:rPr>
              <w:t>29</w:t>
            </w:r>
          </w:p>
        </w:tc>
      </w:tr>
      <w:tr w:rsidR="00CC7859" w14:paraId="368BFB0F" w14:textId="5196D1A2" w:rsidTr="00E3170E">
        <w:tc>
          <w:tcPr>
            <w:tcW w:w="2501" w:type="dxa"/>
          </w:tcPr>
          <w:p w14:paraId="0B36A31C" w14:textId="77777777" w:rsidR="00CC7859" w:rsidRPr="001E04C4" w:rsidRDefault="00CC7859" w:rsidP="00CC7859">
            <w:pPr>
              <w:jc w:val="center"/>
              <w:rPr>
                <w:szCs w:val="20"/>
              </w:rPr>
            </w:pPr>
            <w:r w:rsidRPr="001E04C4">
              <w:rPr>
                <w:szCs w:val="20"/>
              </w:rPr>
              <w:t>Invalid</w:t>
            </w:r>
          </w:p>
        </w:tc>
        <w:tc>
          <w:tcPr>
            <w:tcW w:w="2373" w:type="dxa"/>
          </w:tcPr>
          <w:p w14:paraId="4A1C30E1" w14:textId="3DE3D1B3" w:rsidR="00CC7859" w:rsidRPr="001E04C4" w:rsidRDefault="00CC7859" w:rsidP="00CC7859">
            <w:pPr>
              <w:jc w:val="center"/>
              <w:rPr>
                <w:szCs w:val="20"/>
              </w:rPr>
            </w:pPr>
            <w:r>
              <w:rPr>
                <w:szCs w:val="20"/>
              </w:rPr>
              <w:t>4</w:t>
            </w:r>
          </w:p>
        </w:tc>
        <w:tc>
          <w:tcPr>
            <w:tcW w:w="2273" w:type="dxa"/>
          </w:tcPr>
          <w:p w14:paraId="4D662862" w14:textId="138C2EC2" w:rsidR="00CC7859" w:rsidRDefault="00CC7859" w:rsidP="00CC7859">
            <w:pPr>
              <w:jc w:val="center"/>
              <w:rPr>
                <w:szCs w:val="18"/>
              </w:rPr>
            </w:pPr>
            <w:r>
              <w:rPr>
                <w:szCs w:val="18"/>
              </w:rPr>
              <w:t>12</w:t>
            </w:r>
          </w:p>
        </w:tc>
        <w:tc>
          <w:tcPr>
            <w:tcW w:w="1863" w:type="dxa"/>
          </w:tcPr>
          <w:p w14:paraId="21F50693" w14:textId="63C5A74E" w:rsidR="00CC7859" w:rsidRPr="001E04C4" w:rsidRDefault="00CC7859" w:rsidP="00CC7859">
            <w:pPr>
              <w:jc w:val="center"/>
              <w:rPr>
                <w:szCs w:val="20"/>
              </w:rPr>
            </w:pPr>
            <w:r w:rsidRPr="001E04C4">
              <w:rPr>
                <w:szCs w:val="20"/>
              </w:rPr>
              <w:t>16</w:t>
            </w:r>
          </w:p>
        </w:tc>
      </w:tr>
      <w:tr w:rsidR="00CC7859" w14:paraId="6631A1D9" w14:textId="4E3A04CB" w:rsidTr="00E3170E">
        <w:tc>
          <w:tcPr>
            <w:tcW w:w="2501" w:type="dxa"/>
          </w:tcPr>
          <w:p w14:paraId="332B47B1" w14:textId="77777777" w:rsidR="00CC7859" w:rsidRPr="001E04C4" w:rsidRDefault="00CC7859" w:rsidP="00CC7859">
            <w:pPr>
              <w:jc w:val="center"/>
              <w:rPr>
                <w:szCs w:val="20"/>
              </w:rPr>
            </w:pPr>
            <w:r w:rsidRPr="001E04C4">
              <w:rPr>
                <w:szCs w:val="20"/>
              </w:rPr>
              <w:t>Refused</w:t>
            </w:r>
          </w:p>
        </w:tc>
        <w:tc>
          <w:tcPr>
            <w:tcW w:w="2373" w:type="dxa"/>
          </w:tcPr>
          <w:p w14:paraId="1E6A1197" w14:textId="67F08D6D" w:rsidR="00CC7859" w:rsidRPr="001E04C4" w:rsidRDefault="00CC7859" w:rsidP="00CC7859">
            <w:pPr>
              <w:jc w:val="center"/>
              <w:rPr>
                <w:szCs w:val="20"/>
              </w:rPr>
            </w:pPr>
            <w:r>
              <w:rPr>
                <w:szCs w:val="20"/>
              </w:rPr>
              <w:t>-</w:t>
            </w:r>
          </w:p>
        </w:tc>
        <w:tc>
          <w:tcPr>
            <w:tcW w:w="2273" w:type="dxa"/>
          </w:tcPr>
          <w:p w14:paraId="558E9C69" w14:textId="3BC47CE2" w:rsidR="00CC7859" w:rsidRDefault="00CC7859" w:rsidP="00CC7859">
            <w:pPr>
              <w:jc w:val="center"/>
              <w:rPr>
                <w:szCs w:val="18"/>
              </w:rPr>
            </w:pPr>
            <w:r>
              <w:rPr>
                <w:szCs w:val="18"/>
              </w:rPr>
              <w:t>2</w:t>
            </w:r>
          </w:p>
        </w:tc>
        <w:tc>
          <w:tcPr>
            <w:tcW w:w="1863" w:type="dxa"/>
          </w:tcPr>
          <w:p w14:paraId="22D6C726" w14:textId="30B04B6E" w:rsidR="00CC7859" w:rsidRPr="001E04C4" w:rsidRDefault="00CC7859" w:rsidP="00CC7859">
            <w:pPr>
              <w:jc w:val="center"/>
              <w:rPr>
                <w:szCs w:val="20"/>
              </w:rPr>
            </w:pPr>
            <w:r w:rsidRPr="001E04C4">
              <w:rPr>
                <w:szCs w:val="20"/>
              </w:rPr>
              <w:t>2</w:t>
            </w:r>
          </w:p>
        </w:tc>
      </w:tr>
      <w:tr w:rsidR="00CC7859" w14:paraId="2E9E2243" w14:textId="18F2C03C" w:rsidTr="00E3170E">
        <w:tc>
          <w:tcPr>
            <w:tcW w:w="2501" w:type="dxa"/>
          </w:tcPr>
          <w:p w14:paraId="191AF36D" w14:textId="77777777" w:rsidR="00CC7859" w:rsidRPr="001E04C4" w:rsidRDefault="00CC7859" w:rsidP="00CC7859">
            <w:pPr>
              <w:jc w:val="center"/>
              <w:rPr>
                <w:szCs w:val="20"/>
              </w:rPr>
            </w:pPr>
            <w:r w:rsidRPr="001E04C4">
              <w:rPr>
                <w:szCs w:val="20"/>
              </w:rPr>
              <w:t>Revoked by RA</w:t>
            </w:r>
          </w:p>
        </w:tc>
        <w:tc>
          <w:tcPr>
            <w:tcW w:w="2373" w:type="dxa"/>
          </w:tcPr>
          <w:p w14:paraId="39F95E29" w14:textId="126E80CB" w:rsidR="00CC7859" w:rsidRPr="001E04C4" w:rsidRDefault="00CC7859" w:rsidP="00CC7859">
            <w:pPr>
              <w:jc w:val="center"/>
              <w:rPr>
                <w:szCs w:val="20"/>
              </w:rPr>
            </w:pPr>
            <w:r>
              <w:rPr>
                <w:szCs w:val="20"/>
              </w:rPr>
              <w:t>-</w:t>
            </w:r>
          </w:p>
        </w:tc>
        <w:tc>
          <w:tcPr>
            <w:tcW w:w="2273" w:type="dxa"/>
          </w:tcPr>
          <w:p w14:paraId="59C28522" w14:textId="418381E6" w:rsidR="00CC7859" w:rsidRDefault="00CC7859" w:rsidP="00CC7859">
            <w:pPr>
              <w:jc w:val="center"/>
              <w:rPr>
                <w:szCs w:val="18"/>
              </w:rPr>
            </w:pPr>
            <w:r>
              <w:rPr>
                <w:szCs w:val="18"/>
              </w:rPr>
              <w:t>1</w:t>
            </w:r>
          </w:p>
        </w:tc>
        <w:tc>
          <w:tcPr>
            <w:tcW w:w="1863" w:type="dxa"/>
          </w:tcPr>
          <w:p w14:paraId="33C571F3" w14:textId="764A8A9B" w:rsidR="00CC7859" w:rsidRPr="001E04C4" w:rsidRDefault="00CC7859" w:rsidP="00CC7859">
            <w:pPr>
              <w:jc w:val="center"/>
              <w:rPr>
                <w:szCs w:val="20"/>
              </w:rPr>
            </w:pPr>
            <w:r w:rsidRPr="001E04C4">
              <w:rPr>
                <w:szCs w:val="20"/>
              </w:rPr>
              <w:t>1</w:t>
            </w:r>
          </w:p>
        </w:tc>
      </w:tr>
      <w:tr w:rsidR="00CC7859" w14:paraId="76147C94" w14:textId="5BE7F3CA" w:rsidTr="00E3170E">
        <w:tc>
          <w:tcPr>
            <w:tcW w:w="2501" w:type="dxa"/>
          </w:tcPr>
          <w:p w14:paraId="0395363E" w14:textId="77777777" w:rsidR="00CC7859" w:rsidRPr="001E04C4" w:rsidRDefault="00CC7859" w:rsidP="00CC7859">
            <w:pPr>
              <w:jc w:val="center"/>
              <w:rPr>
                <w:szCs w:val="20"/>
              </w:rPr>
            </w:pPr>
            <w:r w:rsidRPr="001E04C4">
              <w:rPr>
                <w:szCs w:val="20"/>
              </w:rPr>
              <w:t>Withdrawn</w:t>
            </w:r>
          </w:p>
        </w:tc>
        <w:tc>
          <w:tcPr>
            <w:tcW w:w="2373" w:type="dxa"/>
          </w:tcPr>
          <w:p w14:paraId="0E4E8A18" w14:textId="344F9854" w:rsidR="00CC7859" w:rsidRPr="001E04C4" w:rsidRDefault="00CC7859" w:rsidP="00CC7859">
            <w:pPr>
              <w:jc w:val="center"/>
              <w:rPr>
                <w:szCs w:val="20"/>
              </w:rPr>
            </w:pPr>
            <w:r>
              <w:rPr>
                <w:szCs w:val="20"/>
              </w:rPr>
              <w:t>8</w:t>
            </w:r>
          </w:p>
        </w:tc>
        <w:tc>
          <w:tcPr>
            <w:tcW w:w="2273" w:type="dxa"/>
          </w:tcPr>
          <w:p w14:paraId="31985E4F" w14:textId="68056974" w:rsidR="00CC7859" w:rsidRDefault="00CC7859" w:rsidP="00CC7859">
            <w:pPr>
              <w:jc w:val="center"/>
              <w:rPr>
                <w:szCs w:val="18"/>
              </w:rPr>
            </w:pPr>
            <w:r>
              <w:rPr>
                <w:szCs w:val="18"/>
              </w:rPr>
              <w:t>22</w:t>
            </w:r>
          </w:p>
        </w:tc>
        <w:tc>
          <w:tcPr>
            <w:tcW w:w="1863" w:type="dxa"/>
          </w:tcPr>
          <w:p w14:paraId="6C80852B" w14:textId="1425C1B6" w:rsidR="00CC7859" w:rsidRPr="001E04C4" w:rsidRDefault="00CC7859" w:rsidP="00CC7859">
            <w:pPr>
              <w:jc w:val="center"/>
              <w:rPr>
                <w:szCs w:val="20"/>
              </w:rPr>
            </w:pPr>
            <w:r>
              <w:rPr>
                <w:szCs w:val="20"/>
              </w:rPr>
              <w:t>30</w:t>
            </w:r>
          </w:p>
        </w:tc>
      </w:tr>
      <w:tr w:rsidR="00CC7859" w14:paraId="3F225940" w14:textId="421AE2A2" w:rsidTr="00E3170E">
        <w:tc>
          <w:tcPr>
            <w:tcW w:w="2501" w:type="dxa"/>
          </w:tcPr>
          <w:p w14:paraId="0AFC2D02" w14:textId="77777777" w:rsidR="00CC7859" w:rsidRPr="001E04C4" w:rsidRDefault="00CC7859" w:rsidP="00CC7859">
            <w:pPr>
              <w:jc w:val="center"/>
              <w:rPr>
                <w:b/>
                <w:szCs w:val="20"/>
              </w:rPr>
            </w:pPr>
            <w:r w:rsidRPr="001E04C4">
              <w:rPr>
                <w:b/>
                <w:szCs w:val="20"/>
              </w:rPr>
              <w:t>Total</w:t>
            </w:r>
          </w:p>
        </w:tc>
        <w:tc>
          <w:tcPr>
            <w:tcW w:w="2373" w:type="dxa"/>
          </w:tcPr>
          <w:p w14:paraId="0757674B" w14:textId="6C93AB46" w:rsidR="00CC7859" w:rsidRPr="001E04C4" w:rsidRDefault="00CC7859" w:rsidP="00CC7859">
            <w:pPr>
              <w:jc w:val="center"/>
              <w:rPr>
                <w:b/>
                <w:szCs w:val="20"/>
              </w:rPr>
            </w:pPr>
            <w:r>
              <w:rPr>
                <w:b/>
                <w:szCs w:val="20"/>
              </w:rPr>
              <w:t>23</w:t>
            </w:r>
          </w:p>
        </w:tc>
        <w:tc>
          <w:tcPr>
            <w:tcW w:w="2273" w:type="dxa"/>
          </w:tcPr>
          <w:p w14:paraId="2827B4F1" w14:textId="168593CD" w:rsidR="00CC7859" w:rsidRPr="00CC7859" w:rsidRDefault="00CC7859" w:rsidP="00CC7859">
            <w:pPr>
              <w:jc w:val="center"/>
              <w:rPr>
                <w:b/>
                <w:szCs w:val="18"/>
              </w:rPr>
            </w:pPr>
            <w:r w:rsidRPr="00CC7859">
              <w:rPr>
                <w:b/>
                <w:szCs w:val="18"/>
              </w:rPr>
              <w:t>64</w:t>
            </w:r>
          </w:p>
        </w:tc>
        <w:tc>
          <w:tcPr>
            <w:tcW w:w="1863" w:type="dxa"/>
          </w:tcPr>
          <w:p w14:paraId="1C7527A9" w14:textId="36C979DA" w:rsidR="00CC7859" w:rsidRPr="001E04C4" w:rsidRDefault="00CC7859" w:rsidP="00CC7859">
            <w:pPr>
              <w:jc w:val="center"/>
              <w:rPr>
                <w:b/>
                <w:szCs w:val="20"/>
              </w:rPr>
            </w:pPr>
            <w:r w:rsidRPr="001E04C4">
              <w:rPr>
                <w:b/>
                <w:szCs w:val="20"/>
              </w:rPr>
              <w:t>87</w:t>
            </w:r>
          </w:p>
        </w:tc>
      </w:tr>
    </w:tbl>
    <w:p w14:paraId="23C6BE26" w14:textId="77777777" w:rsidR="004119A5" w:rsidRDefault="004119A5" w:rsidP="008414D5">
      <w:pPr>
        <w:pStyle w:val="Source-CSR"/>
      </w:pPr>
      <w:r w:rsidRPr="00325E2F">
        <w:t xml:space="preserve">Source: </w:t>
      </w:r>
      <w:r>
        <w:t xml:space="preserve">Information provided by ACECQA. </w:t>
      </w:r>
    </w:p>
    <w:p w14:paraId="1A797FBD" w14:textId="3E5C6A20" w:rsidR="004119A5" w:rsidRDefault="004119A5" w:rsidP="004119A5">
      <w:r>
        <w:t>The number of approved waivers each year has remained relatively stable over time. Since 2013, nine out of ten years have had five or fewer approved waivers of regulation 115.</w:t>
      </w:r>
      <w:r>
        <w:rPr>
          <w:rStyle w:val="FootnoteReference"/>
        </w:rPr>
        <w:footnoteReference w:id="124"/>
      </w:r>
      <w:r>
        <w:t xml:space="preserve"> Waivers are only granted by Regulatory Authorities in instances where the approved provider can demonstrate an adequate plan to mitigate identified supervision risks arising from premises design.</w:t>
      </w:r>
    </w:p>
    <w:p w14:paraId="4015B261" w14:textId="5DF724BA" w:rsidR="004119A5" w:rsidRDefault="004119A5" w:rsidP="004119A5">
      <w:r>
        <w:t xml:space="preserve">Regulatory Authorities indicated that the services that are likely to have waivers for regulation 115 </w:t>
      </w:r>
      <w:r w:rsidR="007A378B">
        <w:t>operate out of older premises with</w:t>
      </w:r>
      <w:r>
        <w:t xml:space="preserve"> design features that cannot be easily altered, for example, strangely shaped yards. These services were generally designed prior to the regulation 115 requirements coming into the National Regulations. Stakeholder input from Regulatory Authorities suggested that most services </w:t>
      </w:r>
      <w:r w:rsidR="00DB03B2">
        <w:t xml:space="preserve">designed since the introduction of Regulation 115 </w:t>
      </w:r>
      <w:r>
        <w:t>do not require waivers to operate, as the design of service premises enable supervision of children at all times. Further, services with a regulation 115 waiver are usually LDCs</w:t>
      </w:r>
      <w:r w:rsidR="00CB592B">
        <w:t>, with some reliance from OSHC services and preschools/kin</w:t>
      </w:r>
      <w:r w:rsidR="007356CE">
        <w:t>d</w:t>
      </w:r>
      <w:r w:rsidR="00CB592B">
        <w:t>ergartens</w:t>
      </w:r>
      <w:r w:rsidR="007356CE">
        <w:t xml:space="preserve"> (refer to Table 9.2)</w:t>
      </w:r>
      <w:r w:rsidR="00CB592B">
        <w:t xml:space="preserve">. Stakeholders indicated that </w:t>
      </w:r>
      <w:r>
        <w:t xml:space="preserve">OSHC services are generally able to address supervisory concerns (i.e., bathrooms not being located close to the provided OSHC space) with a risk </w:t>
      </w:r>
      <w:r w:rsidR="00015773">
        <w:t xml:space="preserve">assessment and </w:t>
      </w:r>
      <w:r>
        <w:t>management plan</w:t>
      </w:r>
      <w:r w:rsidR="00631BF9">
        <w:t>, effective staffing arrangements and policies and procedures that reflect the age of the children they educate and care for</w:t>
      </w:r>
      <w:r>
        <w:t>. Consulted providers noted that all regulation 115 waivers require detailed risk mitigation and waivers are only granted if the service can demonstrate that child supervision and safety will be maintained through alternative measures</w:t>
      </w:r>
      <w:r w:rsidR="00C144C1">
        <w:t xml:space="preserve"> (e.g., increased staffing, the use of mirrors to </w:t>
      </w:r>
      <w:r w:rsidR="00C144C1">
        <w:lastRenderedPageBreak/>
        <w:t>improve supervision, etc.)</w:t>
      </w:r>
      <w:r>
        <w:t xml:space="preserve">. This supports improved child safety outcomes, even when the design of the premises requires a waiver for regulation 115. </w:t>
      </w:r>
    </w:p>
    <w:p w14:paraId="34CDF4F8" w14:textId="70A060CA" w:rsidR="00CB592B" w:rsidRDefault="00CB592B" w:rsidP="00CB592B">
      <w:pPr>
        <w:pStyle w:val="Caption"/>
      </w:pPr>
      <w:bookmarkStart w:id="165" w:name="_Toc205884970"/>
      <w:r>
        <w:t>Table 9.2: Quantity of all waivers of regulation 115 by service and waiver type, 2009-2024</w:t>
      </w:r>
      <w:bookmarkEnd w:id="16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2: Quantity of all waivers of regulation 115 by service and waiver type, 2009-2024"/>
        <w:tblDescription w:val="This table outlines the quantity of all waivers of regulation 115 by service and waiver type, 2009-2024"/>
      </w:tblPr>
      <w:tblGrid>
        <w:gridCol w:w="2516"/>
        <w:gridCol w:w="2166"/>
        <w:gridCol w:w="2184"/>
        <w:gridCol w:w="2144"/>
      </w:tblGrid>
      <w:tr w:rsidR="00D200A3" w14:paraId="51E25DFB" w14:textId="77777777" w:rsidTr="00E04C45">
        <w:trPr>
          <w:tblHeader/>
        </w:trPr>
        <w:tc>
          <w:tcPr>
            <w:tcW w:w="2516" w:type="dxa"/>
            <w:shd w:val="clear" w:color="auto" w:fill="14233C" w:themeFill="text2"/>
          </w:tcPr>
          <w:p w14:paraId="382A50FA" w14:textId="74751DD0" w:rsidR="00D200A3" w:rsidRPr="00D200A3" w:rsidRDefault="00D200A3" w:rsidP="00D200A3">
            <w:pPr>
              <w:rPr>
                <w:b/>
                <w:bCs/>
              </w:rPr>
            </w:pPr>
            <w:r w:rsidRPr="00D200A3">
              <w:rPr>
                <w:b/>
                <w:bCs/>
              </w:rPr>
              <w:t>Service type</w:t>
            </w:r>
          </w:p>
        </w:tc>
        <w:tc>
          <w:tcPr>
            <w:tcW w:w="2166" w:type="dxa"/>
            <w:shd w:val="clear" w:color="auto" w:fill="14233C" w:themeFill="text2"/>
          </w:tcPr>
          <w:p w14:paraId="4A7145AF" w14:textId="777D2644" w:rsidR="00D200A3" w:rsidRDefault="00D200A3" w:rsidP="00D200A3">
            <w:r w:rsidRPr="001E04C4">
              <w:rPr>
                <w:b/>
                <w:color w:val="FFFFFF" w:themeColor="background1"/>
                <w:szCs w:val="20"/>
              </w:rPr>
              <w:t>Number</w:t>
            </w:r>
            <w:r>
              <w:rPr>
                <w:b/>
                <w:color w:val="FFFFFF" w:themeColor="background1"/>
                <w:szCs w:val="20"/>
              </w:rPr>
              <w:t xml:space="preserve"> of service waivers</w:t>
            </w:r>
          </w:p>
        </w:tc>
        <w:tc>
          <w:tcPr>
            <w:tcW w:w="2184" w:type="dxa"/>
            <w:shd w:val="clear" w:color="auto" w:fill="14233C" w:themeFill="text2"/>
          </w:tcPr>
          <w:p w14:paraId="768B339F" w14:textId="1731ED26" w:rsidR="00D200A3" w:rsidRDefault="00D200A3" w:rsidP="00D200A3">
            <w:r>
              <w:rPr>
                <w:b/>
                <w:color w:val="FFFFFF" w:themeColor="background1"/>
                <w:szCs w:val="20"/>
              </w:rPr>
              <w:t>Number of temporary waivers</w:t>
            </w:r>
          </w:p>
        </w:tc>
        <w:tc>
          <w:tcPr>
            <w:tcW w:w="2144" w:type="dxa"/>
            <w:shd w:val="clear" w:color="auto" w:fill="14233C" w:themeFill="text2"/>
          </w:tcPr>
          <w:p w14:paraId="55484DED" w14:textId="71639AC0" w:rsidR="00D200A3" w:rsidRDefault="00D200A3" w:rsidP="00D200A3">
            <w:r>
              <w:rPr>
                <w:b/>
                <w:color w:val="FFFFFF" w:themeColor="background1"/>
                <w:szCs w:val="20"/>
              </w:rPr>
              <w:t>Total</w:t>
            </w:r>
          </w:p>
        </w:tc>
      </w:tr>
      <w:tr w:rsidR="0046621D" w14:paraId="6EB1AC49" w14:textId="77777777" w:rsidTr="00E04C45">
        <w:tc>
          <w:tcPr>
            <w:tcW w:w="2516" w:type="dxa"/>
          </w:tcPr>
          <w:p w14:paraId="743C3AB3" w14:textId="33F4A028" w:rsidR="0046621D" w:rsidRPr="0046621D" w:rsidRDefault="0046621D" w:rsidP="0046621D">
            <w:pPr>
              <w:rPr>
                <w:color w:val="14233C" w:themeColor="text2"/>
                <w:szCs w:val="22"/>
              </w:rPr>
            </w:pPr>
            <w:r w:rsidRPr="0046621D">
              <w:rPr>
                <w:rFonts w:cs="Arial"/>
                <w:color w:val="14233C" w:themeColor="text2"/>
                <w:szCs w:val="22"/>
              </w:rPr>
              <w:t>L</w:t>
            </w:r>
            <w:r w:rsidR="00CB592B">
              <w:rPr>
                <w:rFonts w:cs="Arial"/>
                <w:color w:val="14233C" w:themeColor="text2"/>
                <w:szCs w:val="22"/>
              </w:rPr>
              <w:t>DC</w:t>
            </w:r>
          </w:p>
        </w:tc>
        <w:tc>
          <w:tcPr>
            <w:tcW w:w="2166" w:type="dxa"/>
          </w:tcPr>
          <w:p w14:paraId="45A4E109" w14:textId="1B11B4A1" w:rsidR="0046621D" w:rsidRDefault="00CB592B" w:rsidP="0046621D">
            <w:r>
              <w:t>12</w:t>
            </w:r>
          </w:p>
        </w:tc>
        <w:tc>
          <w:tcPr>
            <w:tcW w:w="2184" w:type="dxa"/>
          </w:tcPr>
          <w:p w14:paraId="6159E16C" w14:textId="2806406E" w:rsidR="0046621D" w:rsidRDefault="00CB592B" w:rsidP="0046621D">
            <w:r>
              <w:t>47</w:t>
            </w:r>
          </w:p>
        </w:tc>
        <w:tc>
          <w:tcPr>
            <w:tcW w:w="2144" w:type="dxa"/>
          </w:tcPr>
          <w:p w14:paraId="5029CD31" w14:textId="1FC6EE84" w:rsidR="0046621D" w:rsidRPr="00CB592B" w:rsidRDefault="00CB592B" w:rsidP="0046621D">
            <w:r w:rsidRPr="00CB592B">
              <w:t>59</w:t>
            </w:r>
          </w:p>
        </w:tc>
      </w:tr>
      <w:tr w:rsidR="0046621D" w14:paraId="29691EC7" w14:textId="77777777" w:rsidTr="00E04C45">
        <w:tc>
          <w:tcPr>
            <w:tcW w:w="2516" w:type="dxa"/>
          </w:tcPr>
          <w:p w14:paraId="312B6468" w14:textId="5275EF80" w:rsidR="0046621D" w:rsidRPr="0046621D" w:rsidRDefault="00CB592B" w:rsidP="0046621D">
            <w:pPr>
              <w:rPr>
                <w:color w:val="14233C" w:themeColor="text2"/>
                <w:szCs w:val="22"/>
              </w:rPr>
            </w:pPr>
            <w:r>
              <w:rPr>
                <w:rFonts w:cs="Arial"/>
                <w:color w:val="14233C" w:themeColor="text2"/>
                <w:szCs w:val="22"/>
              </w:rPr>
              <w:t>OSHC</w:t>
            </w:r>
          </w:p>
        </w:tc>
        <w:tc>
          <w:tcPr>
            <w:tcW w:w="2166" w:type="dxa"/>
          </w:tcPr>
          <w:p w14:paraId="68B7B53B" w14:textId="7F6F9C00" w:rsidR="0046621D" w:rsidRDefault="00CB592B" w:rsidP="0046621D">
            <w:r>
              <w:t>8</w:t>
            </w:r>
          </w:p>
        </w:tc>
        <w:tc>
          <w:tcPr>
            <w:tcW w:w="2184" w:type="dxa"/>
          </w:tcPr>
          <w:p w14:paraId="6AB09543" w14:textId="207820F6" w:rsidR="0046621D" w:rsidRDefault="00CB592B" w:rsidP="0046621D">
            <w:r>
              <w:t>11</w:t>
            </w:r>
          </w:p>
        </w:tc>
        <w:tc>
          <w:tcPr>
            <w:tcW w:w="2144" w:type="dxa"/>
          </w:tcPr>
          <w:p w14:paraId="135B1CB6" w14:textId="454F2558" w:rsidR="0046621D" w:rsidRPr="00CB592B" w:rsidRDefault="00CB592B" w:rsidP="0046621D">
            <w:r w:rsidRPr="00CB592B">
              <w:t>19</w:t>
            </w:r>
          </w:p>
        </w:tc>
      </w:tr>
      <w:tr w:rsidR="0046621D" w14:paraId="54459A3D" w14:textId="77777777" w:rsidTr="00E04C45">
        <w:tc>
          <w:tcPr>
            <w:tcW w:w="2516" w:type="dxa"/>
          </w:tcPr>
          <w:p w14:paraId="40CE75A9" w14:textId="10CD5051" w:rsidR="0046621D" w:rsidRPr="0046621D" w:rsidRDefault="0046621D" w:rsidP="0046621D">
            <w:pPr>
              <w:rPr>
                <w:color w:val="14233C" w:themeColor="text2"/>
                <w:szCs w:val="22"/>
              </w:rPr>
            </w:pPr>
            <w:r w:rsidRPr="0046621D">
              <w:rPr>
                <w:rFonts w:cs="Arial"/>
                <w:color w:val="14233C" w:themeColor="text2"/>
                <w:szCs w:val="22"/>
              </w:rPr>
              <w:t>Preschool/Kindergarten</w:t>
            </w:r>
          </w:p>
        </w:tc>
        <w:tc>
          <w:tcPr>
            <w:tcW w:w="2166" w:type="dxa"/>
          </w:tcPr>
          <w:p w14:paraId="4B84A52B" w14:textId="0E6DC4B4" w:rsidR="0046621D" w:rsidRDefault="00CB592B" w:rsidP="0046621D">
            <w:r>
              <w:t>3</w:t>
            </w:r>
          </w:p>
        </w:tc>
        <w:tc>
          <w:tcPr>
            <w:tcW w:w="2184" w:type="dxa"/>
          </w:tcPr>
          <w:p w14:paraId="3AC1351E" w14:textId="5954E091" w:rsidR="0046621D" w:rsidRDefault="00CB592B" w:rsidP="0046621D">
            <w:r>
              <w:t>6</w:t>
            </w:r>
          </w:p>
        </w:tc>
        <w:tc>
          <w:tcPr>
            <w:tcW w:w="2144" w:type="dxa"/>
          </w:tcPr>
          <w:p w14:paraId="211F9937" w14:textId="7363284E" w:rsidR="0046621D" w:rsidRPr="00CB592B" w:rsidRDefault="00CB592B" w:rsidP="0046621D">
            <w:r w:rsidRPr="00CB592B">
              <w:t>9</w:t>
            </w:r>
          </w:p>
        </w:tc>
      </w:tr>
      <w:tr w:rsidR="0046621D" w14:paraId="32725AA0" w14:textId="77777777" w:rsidTr="00E04C45">
        <w:tc>
          <w:tcPr>
            <w:tcW w:w="2516" w:type="dxa"/>
          </w:tcPr>
          <w:p w14:paraId="0D3AE60A" w14:textId="2F8EEC26" w:rsidR="0046621D" w:rsidRPr="0046621D" w:rsidRDefault="0046621D" w:rsidP="0046621D">
            <w:pPr>
              <w:rPr>
                <w:color w:val="14233C" w:themeColor="text2"/>
                <w:szCs w:val="22"/>
              </w:rPr>
            </w:pPr>
            <w:r w:rsidRPr="0046621D">
              <w:rPr>
                <w:rFonts w:cs="Arial"/>
                <w:b/>
                <w:bCs/>
                <w:color w:val="14233C" w:themeColor="text2"/>
                <w:szCs w:val="22"/>
              </w:rPr>
              <w:t>Total</w:t>
            </w:r>
          </w:p>
        </w:tc>
        <w:tc>
          <w:tcPr>
            <w:tcW w:w="2166" w:type="dxa"/>
          </w:tcPr>
          <w:p w14:paraId="2797B2E0" w14:textId="429EA790" w:rsidR="0046621D" w:rsidRPr="00CB592B" w:rsidRDefault="00CB592B" w:rsidP="0046621D">
            <w:pPr>
              <w:rPr>
                <w:b/>
                <w:bCs/>
              </w:rPr>
            </w:pPr>
            <w:r w:rsidRPr="00CB592B">
              <w:rPr>
                <w:b/>
                <w:bCs/>
              </w:rPr>
              <w:t>23</w:t>
            </w:r>
          </w:p>
        </w:tc>
        <w:tc>
          <w:tcPr>
            <w:tcW w:w="2184" w:type="dxa"/>
          </w:tcPr>
          <w:p w14:paraId="01B5F96B" w14:textId="34EBA293" w:rsidR="0046621D" w:rsidRPr="00CB592B" w:rsidRDefault="00CB592B" w:rsidP="0046621D">
            <w:pPr>
              <w:rPr>
                <w:b/>
                <w:bCs/>
              </w:rPr>
            </w:pPr>
            <w:r w:rsidRPr="00CB592B">
              <w:rPr>
                <w:b/>
                <w:bCs/>
              </w:rPr>
              <w:t>64</w:t>
            </w:r>
          </w:p>
        </w:tc>
        <w:tc>
          <w:tcPr>
            <w:tcW w:w="2144" w:type="dxa"/>
          </w:tcPr>
          <w:p w14:paraId="3D2E40A2" w14:textId="0E57D0EB" w:rsidR="0046621D" w:rsidRPr="00CB592B" w:rsidRDefault="00CB592B" w:rsidP="0046621D">
            <w:pPr>
              <w:rPr>
                <w:b/>
                <w:bCs/>
              </w:rPr>
            </w:pPr>
            <w:r w:rsidRPr="00CB592B">
              <w:rPr>
                <w:b/>
                <w:bCs/>
              </w:rPr>
              <w:t>87</w:t>
            </w:r>
          </w:p>
        </w:tc>
      </w:tr>
    </w:tbl>
    <w:p w14:paraId="4B5AC726" w14:textId="45B9415F" w:rsidR="00D200A3" w:rsidRDefault="00E04C45" w:rsidP="00E04C45">
      <w:pPr>
        <w:pStyle w:val="Source-CSR"/>
      </w:pPr>
      <w:r w:rsidRPr="00325E2F">
        <w:t xml:space="preserve">Source: </w:t>
      </w:r>
      <w:r>
        <w:t xml:space="preserve">Information provided by ACECQA. </w:t>
      </w:r>
    </w:p>
    <w:p w14:paraId="42263786" w14:textId="77777777" w:rsidR="004119A5" w:rsidRDefault="004119A5" w:rsidP="004119A5">
      <w:pPr>
        <w:pStyle w:val="Heading4"/>
      </w:pPr>
      <w:r>
        <w:t>Relationship between regulation 115 and inadequate supervision</w:t>
      </w:r>
    </w:p>
    <w:p w14:paraId="5CECFAC2" w14:textId="16BF5699" w:rsidR="004119A5" w:rsidRDefault="004119A5" w:rsidP="004119A5">
      <w:r>
        <w:t xml:space="preserve">A waiver indicates that a building’s structural characteristics may not facilitate the supervision of children at all times, which can increase the risk of harm to children. To date, there is limited systematically reported evidence or data </w:t>
      </w:r>
      <w:r w:rsidR="00AA4058">
        <w:t>on whether</w:t>
      </w:r>
      <w:r>
        <w:t xml:space="preserve"> the presence of regulation 115 waivers leads to greater instances of inadequate supervision and actual child harm. This is because breaches of section 165 of the National Law have grown since 2016/17 in a way that is not consistent with the relatively stable and very small number of approved waivers for regulation 115 of the National Regulations.</w:t>
      </w:r>
    </w:p>
    <w:p w14:paraId="76248836" w14:textId="79C84AAC" w:rsidR="004119A5" w:rsidRDefault="00850BAD" w:rsidP="004119A5">
      <w:r>
        <w:t>There</w:t>
      </w:r>
      <w:r w:rsidR="004119A5">
        <w:t xml:space="preserve"> were four known breaches of adequate supervision (section 165) among the 11 services that had a waiver in place at any point from 2021-22 to 2023-24 (of which ten waivers are current). This equates to approximately 0.36 breaches per service with a waiver, which </w:t>
      </w:r>
      <w:r w:rsidR="009F7AC8">
        <w:t xml:space="preserve">appears to </w:t>
      </w:r>
      <w:r w:rsidR="004119A5">
        <w:t>be fewer in number than breaches among non-waivered services</w:t>
      </w:r>
      <w:r w:rsidR="00DB76C5">
        <w:t>, although comparability of the data is limited.</w:t>
      </w:r>
      <w:r w:rsidR="004119A5">
        <w:rPr>
          <w:rStyle w:val="FootnoteReference"/>
        </w:rPr>
        <w:footnoteReference w:id="125"/>
      </w:r>
      <w:r w:rsidR="004119A5">
        <w:t xml:space="preserve"> However, with a very low sample size this relationship cannot be definitively established. In addition, data is not available to indicate whether these four breaches were also associated with harm to children.</w:t>
      </w:r>
    </w:p>
    <w:p w14:paraId="728A801E" w14:textId="77777777" w:rsidR="004119A5" w:rsidRDefault="004119A5" w:rsidP="004119A5">
      <w:r>
        <w:t>Given the relatively low reliance on service waivers currently, it is expected that most service premises are designed to facilitate the supervision of children at all times.</w:t>
      </w:r>
    </w:p>
    <w:p w14:paraId="4661EC85" w14:textId="73BB3257" w:rsidR="004119A5" w:rsidRDefault="004119A5" w:rsidP="004119A5">
      <w:r>
        <w:lastRenderedPageBreak/>
        <w:t xml:space="preserve">Removing the ability for centre-based services to apply for an ongoing and/or temporary waiver under regulation 115 may, however, help </w:t>
      </w:r>
      <w:r w:rsidR="00972B3A">
        <w:t xml:space="preserve">reduce </w:t>
      </w:r>
      <w:r>
        <w:t xml:space="preserve">the risk of inadequate supervision of children due to the design of the built environment. This is expected to improve child safety. </w:t>
      </w:r>
    </w:p>
    <w:p w14:paraId="35BB7A44" w14:textId="7FFE4C3E" w:rsidR="004119A5" w:rsidRDefault="00EB4295" w:rsidP="004119A5">
      <w:pPr>
        <w:pStyle w:val="Heading3"/>
      </w:pPr>
      <w:r>
        <w:t>What were the policy options consulted on?</w:t>
      </w:r>
    </w:p>
    <w:p w14:paraId="744E5545" w14:textId="4568A405" w:rsidR="004119A5" w:rsidRDefault="004119A5" w:rsidP="004119A5">
      <w:r>
        <w:t>Four options for reform have been developed, including the status quo, a non-regulatory option, and two regulatory options. While options 3 and 4 are mutually exclusive, option 2 can be implemented alongside either regulatory option.</w:t>
      </w:r>
    </w:p>
    <w:p w14:paraId="1F3C84DB" w14:textId="6F871E4D" w:rsidR="004119A5" w:rsidRPr="00120281" w:rsidRDefault="004119A5" w:rsidP="004119A5">
      <w:pPr>
        <w:pStyle w:val="Caption"/>
      </w:pPr>
      <w:bookmarkStart w:id="166" w:name="_Toc202887739"/>
      <w:bookmarkStart w:id="167" w:name="_Toc205884971"/>
      <w:r>
        <w:t>Table 9.</w:t>
      </w:r>
      <w:r w:rsidR="007356CE">
        <w:t>3</w:t>
      </w:r>
      <w:r>
        <w:t xml:space="preserve">: Policy options under consideration – </w:t>
      </w:r>
      <w:r w:rsidRPr="00D1760E">
        <w:t>Service and temporary waivers for the design of premises (to facilitate supervision of children)</w:t>
      </w:r>
      <w:bookmarkEnd w:id="166"/>
      <w:bookmarkEnd w:id="16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3: Policy options under consideration – Service and temporary waivers for the design of premises (to facilitate supervision of children)"/>
        <w:tblDescription w:val="This table outlines the policy options under consideration for service and temporary waivers for the design of premises (to facilitate supervision of children)."/>
      </w:tblPr>
      <w:tblGrid>
        <w:gridCol w:w="1631"/>
        <w:gridCol w:w="7379"/>
      </w:tblGrid>
      <w:tr w:rsidR="004119A5" w:rsidRPr="00C02005" w14:paraId="5EAB1E97" w14:textId="77777777" w:rsidTr="00E04C45">
        <w:trPr>
          <w:tblHeader/>
        </w:trPr>
        <w:tc>
          <w:tcPr>
            <w:tcW w:w="905" w:type="pct"/>
            <w:shd w:val="clear" w:color="auto" w:fill="14233C" w:themeFill="text2"/>
          </w:tcPr>
          <w:p w14:paraId="7C2A3EB6" w14:textId="77777777" w:rsidR="004119A5" w:rsidRPr="00FE35B2" w:rsidRDefault="004119A5">
            <w:pPr>
              <w:jc w:val="center"/>
              <w:rPr>
                <w:b/>
                <w:color w:val="FFFFFF" w:themeColor="background1"/>
                <w:szCs w:val="20"/>
              </w:rPr>
            </w:pPr>
            <w:r w:rsidRPr="00FE35B2">
              <w:rPr>
                <w:b/>
                <w:color w:val="FFFFFF" w:themeColor="background1"/>
                <w:szCs w:val="20"/>
              </w:rPr>
              <w:t>Option</w:t>
            </w:r>
          </w:p>
        </w:tc>
        <w:tc>
          <w:tcPr>
            <w:tcW w:w="4095" w:type="pct"/>
            <w:shd w:val="clear" w:color="auto" w:fill="14233C" w:themeFill="text2"/>
          </w:tcPr>
          <w:p w14:paraId="7BB4B5B0" w14:textId="77777777" w:rsidR="004119A5" w:rsidRPr="00FE35B2" w:rsidRDefault="004119A5">
            <w:pPr>
              <w:jc w:val="center"/>
              <w:rPr>
                <w:b/>
                <w:color w:val="FFFFFF" w:themeColor="background1"/>
                <w:szCs w:val="20"/>
              </w:rPr>
            </w:pPr>
            <w:r w:rsidRPr="00FE35B2">
              <w:rPr>
                <w:b/>
                <w:color w:val="FFFFFF" w:themeColor="background1"/>
                <w:szCs w:val="20"/>
              </w:rPr>
              <w:t>Description</w:t>
            </w:r>
          </w:p>
        </w:tc>
      </w:tr>
      <w:tr w:rsidR="004119A5" w14:paraId="6038C44C" w14:textId="77777777" w:rsidTr="00E3170E">
        <w:tc>
          <w:tcPr>
            <w:tcW w:w="905" w:type="pct"/>
          </w:tcPr>
          <w:p w14:paraId="65C17838" w14:textId="77777777" w:rsidR="004119A5" w:rsidRPr="00FE35B2" w:rsidRDefault="004119A5">
            <w:pPr>
              <w:rPr>
                <w:szCs w:val="20"/>
              </w:rPr>
            </w:pPr>
            <w:r w:rsidRPr="00FE35B2">
              <w:rPr>
                <w:szCs w:val="20"/>
              </w:rPr>
              <w:t>1</w:t>
            </w:r>
          </w:p>
        </w:tc>
        <w:tc>
          <w:tcPr>
            <w:tcW w:w="4095" w:type="pct"/>
          </w:tcPr>
          <w:p w14:paraId="4A2DF5BA" w14:textId="77777777" w:rsidR="004119A5" w:rsidRPr="00FE35B2" w:rsidRDefault="004119A5">
            <w:pPr>
              <w:rPr>
                <w:szCs w:val="20"/>
              </w:rPr>
            </w:pPr>
            <w:r w:rsidRPr="00FE35B2">
              <w:rPr>
                <w:szCs w:val="20"/>
              </w:rPr>
              <w:t>Status quo (no change).</w:t>
            </w:r>
          </w:p>
        </w:tc>
      </w:tr>
      <w:tr w:rsidR="004119A5" w14:paraId="4636AA00" w14:textId="77777777" w:rsidTr="00E3170E">
        <w:tc>
          <w:tcPr>
            <w:tcW w:w="905" w:type="pct"/>
          </w:tcPr>
          <w:p w14:paraId="7CCF8EBE" w14:textId="77777777" w:rsidR="004119A5" w:rsidRPr="00FE35B2" w:rsidRDefault="004119A5">
            <w:pPr>
              <w:rPr>
                <w:szCs w:val="20"/>
              </w:rPr>
            </w:pPr>
            <w:r w:rsidRPr="00FE35B2">
              <w:rPr>
                <w:szCs w:val="20"/>
              </w:rPr>
              <w:t>2</w:t>
            </w:r>
          </w:p>
        </w:tc>
        <w:tc>
          <w:tcPr>
            <w:tcW w:w="4095" w:type="pct"/>
          </w:tcPr>
          <w:p w14:paraId="41A407E2" w14:textId="77777777" w:rsidR="004119A5" w:rsidRPr="00FE35B2" w:rsidRDefault="004119A5">
            <w:pPr>
              <w:rPr>
                <w:b/>
                <w:szCs w:val="20"/>
              </w:rPr>
            </w:pPr>
            <w:r w:rsidRPr="00FE35B2">
              <w:rPr>
                <w:b/>
                <w:szCs w:val="20"/>
              </w:rPr>
              <w:t>Non-regulatory</w:t>
            </w:r>
          </w:p>
          <w:p w14:paraId="4CCF427E" w14:textId="7BF7CE30" w:rsidR="004119A5" w:rsidRPr="00FE35B2" w:rsidRDefault="004119A5">
            <w:pPr>
              <w:rPr>
                <w:szCs w:val="20"/>
              </w:rPr>
            </w:pPr>
            <w:r w:rsidRPr="00FE35B2">
              <w:rPr>
                <w:szCs w:val="20"/>
              </w:rPr>
              <w:t>Providing guidance to promote the importance of designing and maintaining premises in a way that facilitates supervision of children at all times.</w:t>
            </w:r>
          </w:p>
        </w:tc>
      </w:tr>
      <w:tr w:rsidR="004119A5" w14:paraId="032CE0DC" w14:textId="77777777" w:rsidTr="00E3170E">
        <w:tc>
          <w:tcPr>
            <w:tcW w:w="905" w:type="pct"/>
          </w:tcPr>
          <w:p w14:paraId="3A248DC1" w14:textId="77777777" w:rsidR="004119A5" w:rsidRPr="00FE35B2" w:rsidRDefault="004119A5">
            <w:pPr>
              <w:rPr>
                <w:szCs w:val="20"/>
              </w:rPr>
            </w:pPr>
            <w:r w:rsidRPr="00FE35B2">
              <w:rPr>
                <w:szCs w:val="20"/>
              </w:rPr>
              <w:t>3</w:t>
            </w:r>
          </w:p>
        </w:tc>
        <w:tc>
          <w:tcPr>
            <w:tcW w:w="4095" w:type="pct"/>
          </w:tcPr>
          <w:p w14:paraId="275EF118" w14:textId="77777777" w:rsidR="004119A5" w:rsidRPr="00FE35B2" w:rsidRDefault="004119A5">
            <w:pPr>
              <w:rPr>
                <w:b/>
                <w:szCs w:val="20"/>
              </w:rPr>
            </w:pPr>
            <w:r w:rsidRPr="00FE35B2">
              <w:rPr>
                <w:b/>
                <w:szCs w:val="20"/>
              </w:rPr>
              <w:t>Regulatory</w:t>
            </w:r>
          </w:p>
          <w:p w14:paraId="0053E03E" w14:textId="77777777" w:rsidR="004119A5" w:rsidRPr="00FE35B2" w:rsidRDefault="004119A5">
            <w:pPr>
              <w:rPr>
                <w:szCs w:val="20"/>
              </w:rPr>
            </w:pPr>
            <w:r w:rsidRPr="00FE35B2">
              <w:rPr>
                <w:szCs w:val="20"/>
              </w:rPr>
              <w:t>Amend the National Regulations to remove the ability to apply for service waivers of regulation 115. This option means the ability to apply for a temporary waiver of regulation 115 remains in place for short-term emergent circumstances, with suitable risk mitigation required.</w:t>
            </w:r>
          </w:p>
          <w:p w14:paraId="2CCE58AE" w14:textId="77777777" w:rsidR="004119A5" w:rsidRPr="00FE35B2" w:rsidRDefault="004119A5">
            <w:pPr>
              <w:rPr>
                <w:szCs w:val="20"/>
              </w:rPr>
            </w:pPr>
            <w:r w:rsidRPr="00FE35B2">
              <w:rPr>
                <w:szCs w:val="20"/>
              </w:rPr>
              <w:t>This amendment will have no impact on existing regulation 115 waivers.</w:t>
            </w:r>
          </w:p>
        </w:tc>
      </w:tr>
      <w:tr w:rsidR="004119A5" w14:paraId="22AB7A07" w14:textId="77777777" w:rsidTr="00E3170E">
        <w:tc>
          <w:tcPr>
            <w:tcW w:w="905" w:type="pct"/>
          </w:tcPr>
          <w:p w14:paraId="6BBB0B05" w14:textId="77777777" w:rsidR="004119A5" w:rsidRPr="00FE35B2" w:rsidRDefault="004119A5">
            <w:pPr>
              <w:rPr>
                <w:szCs w:val="20"/>
              </w:rPr>
            </w:pPr>
            <w:r w:rsidRPr="00FE35B2">
              <w:rPr>
                <w:szCs w:val="20"/>
              </w:rPr>
              <w:t>4</w:t>
            </w:r>
          </w:p>
        </w:tc>
        <w:tc>
          <w:tcPr>
            <w:tcW w:w="4095" w:type="pct"/>
          </w:tcPr>
          <w:p w14:paraId="01A2BA61" w14:textId="77777777" w:rsidR="004119A5" w:rsidRPr="00FE35B2" w:rsidRDefault="004119A5">
            <w:pPr>
              <w:rPr>
                <w:b/>
                <w:szCs w:val="20"/>
              </w:rPr>
            </w:pPr>
            <w:r w:rsidRPr="00FE35B2">
              <w:rPr>
                <w:b/>
                <w:szCs w:val="20"/>
              </w:rPr>
              <w:t>Regulatory</w:t>
            </w:r>
          </w:p>
          <w:p w14:paraId="5AD4D382" w14:textId="77777777" w:rsidR="004119A5" w:rsidRPr="00FE35B2" w:rsidRDefault="004119A5">
            <w:pPr>
              <w:rPr>
                <w:szCs w:val="20"/>
              </w:rPr>
            </w:pPr>
            <w:r w:rsidRPr="00FE35B2">
              <w:rPr>
                <w:szCs w:val="20"/>
              </w:rPr>
              <w:t>Amend the National Regulations to remove the ability to apply for service and temporary waivers of regulation 115.</w:t>
            </w:r>
          </w:p>
          <w:p w14:paraId="31C30BE1" w14:textId="77777777" w:rsidR="004119A5" w:rsidRPr="00FE35B2" w:rsidRDefault="004119A5">
            <w:pPr>
              <w:rPr>
                <w:szCs w:val="20"/>
              </w:rPr>
            </w:pPr>
            <w:r w:rsidRPr="00FE35B2">
              <w:rPr>
                <w:szCs w:val="20"/>
              </w:rPr>
              <w:t>This amendment will have no impact on existing regulation 115 waivers.</w:t>
            </w:r>
          </w:p>
        </w:tc>
      </w:tr>
    </w:tbl>
    <w:p w14:paraId="2775165E" w14:textId="77777777" w:rsidR="004119A5" w:rsidRDefault="004119A5" w:rsidP="004119A5"/>
    <w:p w14:paraId="48E14CF7" w14:textId="77777777" w:rsidR="004119A5" w:rsidRDefault="004119A5" w:rsidP="004119A5">
      <w:pPr>
        <w:pStyle w:val="Heading3"/>
      </w:pPr>
      <w:r>
        <w:t>What are the impacts of each option?</w:t>
      </w:r>
    </w:p>
    <w:p w14:paraId="793FF53A" w14:textId="77777777" w:rsidR="004468DA" w:rsidRPr="00083B20" w:rsidRDefault="004468DA" w:rsidP="004468DA">
      <w:r>
        <w:t xml:space="preserve">The sections below provide an MCA assessing the potential impacts of the proposed options on child safety outcomes, costs to stakeholders, implementation considerations, and </w:t>
      </w:r>
      <w:r>
        <w:lastRenderedPageBreak/>
        <w:t>distributional impacts. A detailed overview of the MCA framework underpinning this analy</w:t>
      </w:r>
      <w:r w:rsidRPr="001D3080">
        <w:t xml:space="preserve">sis is available in </w:t>
      </w:r>
      <w:r>
        <w:t>Chapter 4.</w:t>
      </w:r>
    </w:p>
    <w:p w14:paraId="25AFB858" w14:textId="77777777" w:rsidR="004468DA" w:rsidRDefault="004468DA" w:rsidP="004468DA">
      <w:pPr>
        <w:pStyle w:val="Heading4"/>
      </w:pPr>
      <w:r>
        <w:t xml:space="preserve">Multi-criteria analysis </w:t>
      </w:r>
    </w:p>
    <w:p w14:paraId="613FCEA0" w14:textId="7763CAA9" w:rsidR="004468DA" w:rsidRDefault="004468DA" w:rsidP="004468DA">
      <w:r w:rsidRPr="00C20858">
        <w:t xml:space="preserve">In assigning </w:t>
      </w:r>
      <w:r>
        <w:t xml:space="preserve">MCA </w:t>
      </w:r>
      <w:r w:rsidRPr="00C20858">
        <w:t xml:space="preserve">scores to reflect the relative benefits and costs of each option, the score for improvement in child safety has been scaled with a zero for </w:t>
      </w:r>
      <w:r>
        <w:t>option 1</w:t>
      </w:r>
      <w:r w:rsidRPr="00C20858">
        <w:t xml:space="preserve"> representing no change, and </w:t>
      </w:r>
      <w:r>
        <w:t xml:space="preserve">score of three </w:t>
      </w:r>
      <w:r w:rsidRPr="00C20858">
        <w:t xml:space="preserve">for </w:t>
      </w:r>
      <w:r>
        <w:t>options 3 and 4,</w:t>
      </w:r>
      <w:r w:rsidRPr="00C20858">
        <w:t xml:space="preserve"> </w:t>
      </w:r>
      <w:r>
        <w:t>representing</w:t>
      </w:r>
      <w:r w:rsidRPr="00C20858">
        <w:t xml:space="preserve"> the biggest impact on child safety. Other options have been scored between these values based on the assessment of qualitative input from stakeholders. Scores for other categories relating to costs, risks, and distributional considerations have been scaled in relation to these benefits.</w:t>
      </w:r>
    </w:p>
    <w:p w14:paraId="34479687" w14:textId="470269DC" w:rsidR="004119A5" w:rsidRDefault="004119A5" w:rsidP="004119A5">
      <w:pPr>
        <w:pStyle w:val="Caption"/>
      </w:pPr>
      <w:bookmarkStart w:id="168" w:name="_Toc202887740"/>
      <w:bookmarkStart w:id="169" w:name="_Toc205884972"/>
      <w:r>
        <w:t>Table 9.</w:t>
      </w:r>
      <w:r w:rsidR="007356CE">
        <w:t>4</w:t>
      </w:r>
      <w:r>
        <w:t xml:space="preserve">: MCA outcomes – </w:t>
      </w:r>
      <w:r w:rsidRPr="00D1760E">
        <w:t>Service and temporary waivers for the design of premises (to facilitate supervision of children)</w:t>
      </w:r>
      <w:bookmarkEnd w:id="168"/>
      <w:bookmarkEnd w:id="16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4: MCA outcomes – Service and temporary waivers for the design of premises (to facilitate supervision of children)"/>
        <w:tblDescription w:val="This table outlines the MCA outcomes for service and temporary waivers for the design of premises (to facilitate supervision of children)."/>
      </w:tblPr>
      <w:tblGrid>
        <w:gridCol w:w="2661"/>
        <w:gridCol w:w="1016"/>
        <w:gridCol w:w="1333"/>
        <w:gridCol w:w="1333"/>
        <w:gridCol w:w="1333"/>
        <w:gridCol w:w="1334"/>
      </w:tblGrid>
      <w:tr w:rsidR="004119A5" w14:paraId="4DD01777" w14:textId="6174575B" w:rsidTr="00E3170E">
        <w:tc>
          <w:tcPr>
            <w:tcW w:w="2661" w:type="dxa"/>
            <w:shd w:val="clear" w:color="auto" w:fill="14233C" w:themeFill="text2"/>
          </w:tcPr>
          <w:p w14:paraId="3966780F" w14:textId="77777777" w:rsidR="004119A5" w:rsidRPr="00F04D49" w:rsidRDefault="004119A5">
            <w:pPr>
              <w:rPr>
                <w:b/>
                <w:color w:val="FFFFFF" w:themeColor="background1"/>
                <w:szCs w:val="20"/>
              </w:rPr>
            </w:pPr>
            <w:r w:rsidRPr="00F04D49">
              <w:rPr>
                <w:b/>
                <w:color w:val="FFFFFF" w:themeColor="background1"/>
                <w:szCs w:val="20"/>
              </w:rPr>
              <w:t>Criteria</w:t>
            </w:r>
          </w:p>
        </w:tc>
        <w:tc>
          <w:tcPr>
            <w:tcW w:w="1016" w:type="dxa"/>
            <w:shd w:val="clear" w:color="auto" w:fill="14233C" w:themeFill="text2"/>
          </w:tcPr>
          <w:p w14:paraId="2B18A813" w14:textId="77777777" w:rsidR="004119A5" w:rsidRPr="00F04D49" w:rsidRDefault="004119A5">
            <w:pPr>
              <w:jc w:val="center"/>
              <w:rPr>
                <w:b/>
                <w:color w:val="FFFFFF" w:themeColor="background1"/>
                <w:szCs w:val="20"/>
              </w:rPr>
            </w:pPr>
            <w:r w:rsidRPr="00F04D49">
              <w:rPr>
                <w:b/>
                <w:color w:val="FFFFFF" w:themeColor="background1"/>
                <w:szCs w:val="20"/>
              </w:rPr>
              <w:t>Weight</w:t>
            </w:r>
          </w:p>
        </w:tc>
        <w:tc>
          <w:tcPr>
            <w:tcW w:w="1333" w:type="dxa"/>
            <w:shd w:val="clear" w:color="auto" w:fill="14233C" w:themeFill="text2"/>
          </w:tcPr>
          <w:p w14:paraId="6BF4A576" w14:textId="77777777" w:rsidR="004119A5" w:rsidRPr="00F04D49" w:rsidRDefault="004119A5">
            <w:pPr>
              <w:jc w:val="center"/>
              <w:rPr>
                <w:b/>
                <w:color w:val="FFFFFF" w:themeColor="background1"/>
                <w:szCs w:val="20"/>
              </w:rPr>
            </w:pPr>
            <w:r w:rsidRPr="00F04D49">
              <w:rPr>
                <w:b/>
                <w:color w:val="FFFFFF" w:themeColor="background1"/>
                <w:szCs w:val="20"/>
              </w:rPr>
              <w:t>Option 1</w:t>
            </w:r>
          </w:p>
        </w:tc>
        <w:tc>
          <w:tcPr>
            <w:tcW w:w="1333" w:type="dxa"/>
            <w:shd w:val="clear" w:color="auto" w:fill="14233C" w:themeFill="text2"/>
          </w:tcPr>
          <w:p w14:paraId="237C816D" w14:textId="77777777" w:rsidR="004119A5" w:rsidRPr="00F04D49" w:rsidRDefault="004119A5">
            <w:pPr>
              <w:jc w:val="center"/>
              <w:rPr>
                <w:b/>
                <w:color w:val="FFFFFF" w:themeColor="background1"/>
                <w:szCs w:val="20"/>
              </w:rPr>
            </w:pPr>
            <w:r w:rsidRPr="00F04D49">
              <w:rPr>
                <w:b/>
                <w:color w:val="FFFFFF" w:themeColor="background1"/>
                <w:szCs w:val="20"/>
              </w:rPr>
              <w:t>Option 2</w:t>
            </w:r>
          </w:p>
        </w:tc>
        <w:tc>
          <w:tcPr>
            <w:tcW w:w="1333" w:type="dxa"/>
            <w:shd w:val="clear" w:color="auto" w:fill="14233C" w:themeFill="text2"/>
          </w:tcPr>
          <w:p w14:paraId="7A7DF940" w14:textId="77777777" w:rsidR="004119A5" w:rsidRPr="00F04D49" w:rsidRDefault="004119A5">
            <w:pPr>
              <w:jc w:val="center"/>
              <w:rPr>
                <w:b/>
                <w:color w:val="FFFFFF" w:themeColor="background1"/>
                <w:szCs w:val="20"/>
              </w:rPr>
            </w:pPr>
            <w:r w:rsidRPr="00F04D49">
              <w:rPr>
                <w:b/>
                <w:color w:val="FFFFFF" w:themeColor="background1"/>
                <w:szCs w:val="20"/>
              </w:rPr>
              <w:t>Option 3</w:t>
            </w:r>
          </w:p>
        </w:tc>
        <w:tc>
          <w:tcPr>
            <w:tcW w:w="1334" w:type="dxa"/>
            <w:shd w:val="clear" w:color="auto" w:fill="14233C" w:themeFill="text2"/>
          </w:tcPr>
          <w:p w14:paraId="47483019" w14:textId="471D2427" w:rsidR="004119A5" w:rsidRPr="00F04D49" w:rsidRDefault="004119A5">
            <w:pPr>
              <w:jc w:val="center"/>
              <w:rPr>
                <w:b/>
                <w:color w:val="FFFFFF" w:themeColor="background1"/>
                <w:szCs w:val="20"/>
              </w:rPr>
            </w:pPr>
            <w:r w:rsidRPr="00F04D49">
              <w:rPr>
                <w:b/>
                <w:color w:val="FFFFFF" w:themeColor="background1"/>
                <w:szCs w:val="20"/>
              </w:rPr>
              <w:t>Option 4</w:t>
            </w:r>
          </w:p>
        </w:tc>
      </w:tr>
      <w:tr w:rsidR="004119A5" w14:paraId="753D5C17" w14:textId="311C9496" w:rsidTr="00E3170E">
        <w:tc>
          <w:tcPr>
            <w:tcW w:w="2661" w:type="dxa"/>
          </w:tcPr>
          <w:p w14:paraId="43211CF4" w14:textId="77777777" w:rsidR="004119A5" w:rsidRPr="00F04D49" w:rsidRDefault="004119A5">
            <w:pPr>
              <w:rPr>
                <w:szCs w:val="20"/>
              </w:rPr>
            </w:pPr>
            <w:r w:rsidRPr="00F04D49">
              <w:rPr>
                <w:szCs w:val="20"/>
              </w:rPr>
              <w:t>Improvement in child safety</w:t>
            </w:r>
          </w:p>
        </w:tc>
        <w:tc>
          <w:tcPr>
            <w:tcW w:w="1016" w:type="dxa"/>
          </w:tcPr>
          <w:p w14:paraId="6860859E" w14:textId="66398C32" w:rsidR="004119A5" w:rsidRPr="00F04D49" w:rsidRDefault="004119A5">
            <w:pPr>
              <w:jc w:val="center"/>
              <w:rPr>
                <w:szCs w:val="20"/>
              </w:rPr>
            </w:pPr>
            <w:r w:rsidRPr="00F04D49">
              <w:rPr>
                <w:szCs w:val="20"/>
              </w:rPr>
              <w:t>50%</w:t>
            </w:r>
          </w:p>
        </w:tc>
        <w:tc>
          <w:tcPr>
            <w:tcW w:w="1333" w:type="dxa"/>
          </w:tcPr>
          <w:p w14:paraId="59F2FB74" w14:textId="77777777" w:rsidR="004119A5" w:rsidRPr="00F04D49" w:rsidRDefault="004119A5">
            <w:pPr>
              <w:jc w:val="center"/>
              <w:rPr>
                <w:szCs w:val="20"/>
              </w:rPr>
            </w:pPr>
            <w:r w:rsidRPr="00F04D49">
              <w:rPr>
                <w:szCs w:val="20"/>
              </w:rPr>
              <w:t>0</w:t>
            </w:r>
          </w:p>
        </w:tc>
        <w:tc>
          <w:tcPr>
            <w:tcW w:w="1333" w:type="dxa"/>
          </w:tcPr>
          <w:p w14:paraId="59A5710C" w14:textId="31A3C56E" w:rsidR="004119A5" w:rsidRPr="00F04D49" w:rsidRDefault="004119A5">
            <w:pPr>
              <w:jc w:val="center"/>
              <w:rPr>
                <w:szCs w:val="20"/>
              </w:rPr>
            </w:pPr>
            <w:r>
              <w:rPr>
                <w:szCs w:val="20"/>
              </w:rPr>
              <w:t>2</w:t>
            </w:r>
          </w:p>
        </w:tc>
        <w:tc>
          <w:tcPr>
            <w:tcW w:w="1333" w:type="dxa"/>
          </w:tcPr>
          <w:p w14:paraId="3AEEC661" w14:textId="20DCE53F" w:rsidR="004119A5" w:rsidRPr="00F04D49" w:rsidRDefault="001C5708">
            <w:pPr>
              <w:jc w:val="center"/>
              <w:rPr>
                <w:szCs w:val="20"/>
              </w:rPr>
            </w:pPr>
            <w:r>
              <w:rPr>
                <w:szCs w:val="20"/>
              </w:rPr>
              <w:t>3</w:t>
            </w:r>
          </w:p>
        </w:tc>
        <w:tc>
          <w:tcPr>
            <w:tcW w:w="1334" w:type="dxa"/>
          </w:tcPr>
          <w:p w14:paraId="307D17BC" w14:textId="5553640C" w:rsidR="004119A5" w:rsidRDefault="008019A5">
            <w:pPr>
              <w:jc w:val="center"/>
              <w:rPr>
                <w:szCs w:val="20"/>
              </w:rPr>
            </w:pPr>
            <w:r>
              <w:rPr>
                <w:szCs w:val="20"/>
              </w:rPr>
              <w:t>3</w:t>
            </w:r>
          </w:p>
        </w:tc>
      </w:tr>
      <w:tr w:rsidR="004119A5" w14:paraId="339F6146" w14:textId="734D9BA3" w:rsidTr="00E3170E">
        <w:tc>
          <w:tcPr>
            <w:tcW w:w="2661" w:type="dxa"/>
          </w:tcPr>
          <w:p w14:paraId="4E02CAED" w14:textId="77777777" w:rsidR="004119A5" w:rsidRPr="00F04D49" w:rsidRDefault="004119A5">
            <w:pPr>
              <w:rPr>
                <w:szCs w:val="20"/>
              </w:rPr>
            </w:pPr>
            <w:r w:rsidRPr="00F04D49">
              <w:rPr>
                <w:szCs w:val="20"/>
              </w:rPr>
              <w:t>Net cost of policy option</w:t>
            </w:r>
          </w:p>
        </w:tc>
        <w:tc>
          <w:tcPr>
            <w:tcW w:w="1016" w:type="dxa"/>
          </w:tcPr>
          <w:p w14:paraId="5C2FC794" w14:textId="48C44889" w:rsidR="004119A5" w:rsidRPr="00F04D49" w:rsidRDefault="004119A5">
            <w:pPr>
              <w:jc w:val="center"/>
              <w:rPr>
                <w:szCs w:val="20"/>
              </w:rPr>
            </w:pPr>
            <w:r w:rsidRPr="00F04D49">
              <w:rPr>
                <w:szCs w:val="20"/>
              </w:rPr>
              <w:t>30%</w:t>
            </w:r>
          </w:p>
        </w:tc>
        <w:tc>
          <w:tcPr>
            <w:tcW w:w="1333" w:type="dxa"/>
          </w:tcPr>
          <w:p w14:paraId="30085EAB" w14:textId="77777777" w:rsidR="004119A5" w:rsidRPr="00F04D49" w:rsidRDefault="004119A5">
            <w:pPr>
              <w:jc w:val="center"/>
              <w:rPr>
                <w:szCs w:val="20"/>
              </w:rPr>
            </w:pPr>
            <w:r w:rsidRPr="00F04D49">
              <w:rPr>
                <w:szCs w:val="20"/>
              </w:rPr>
              <w:t>0</w:t>
            </w:r>
          </w:p>
        </w:tc>
        <w:tc>
          <w:tcPr>
            <w:tcW w:w="1333" w:type="dxa"/>
          </w:tcPr>
          <w:p w14:paraId="4C24A129" w14:textId="7B32091B" w:rsidR="004119A5" w:rsidRPr="00F04D49" w:rsidRDefault="004119A5">
            <w:pPr>
              <w:jc w:val="center"/>
              <w:rPr>
                <w:szCs w:val="20"/>
              </w:rPr>
            </w:pPr>
            <w:r>
              <w:rPr>
                <w:szCs w:val="20"/>
              </w:rPr>
              <w:t>-</w:t>
            </w:r>
            <w:r w:rsidR="008019A5">
              <w:rPr>
                <w:szCs w:val="20"/>
              </w:rPr>
              <w:t>1</w:t>
            </w:r>
          </w:p>
        </w:tc>
        <w:tc>
          <w:tcPr>
            <w:tcW w:w="1333" w:type="dxa"/>
          </w:tcPr>
          <w:p w14:paraId="34476FF9" w14:textId="49944E77" w:rsidR="004119A5" w:rsidRPr="00F04D49" w:rsidRDefault="004119A5">
            <w:pPr>
              <w:jc w:val="center"/>
              <w:rPr>
                <w:szCs w:val="20"/>
              </w:rPr>
            </w:pPr>
            <w:r>
              <w:rPr>
                <w:szCs w:val="20"/>
              </w:rPr>
              <w:t>-</w:t>
            </w:r>
            <w:r w:rsidR="000C2185">
              <w:rPr>
                <w:szCs w:val="20"/>
              </w:rPr>
              <w:t>2</w:t>
            </w:r>
          </w:p>
        </w:tc>
        <w:tc>
          <w:tcPr>
            <w:tcW w:w="1334" w:type="dxa"/>
          </w:tcPr>
          <w:p w14:paraId="0358A425" w14:textId="5992F63C" w:rsidR="004119A5" w:rsidRDefault="004119A5">
            <w:pPr>
              <w:jc w:val="center"/>
              <w:rPr>
                <w:szCs w:val="20"/>
              </w:rPr>
            </w:pPr>
            <w:r>
              <w:rPr>
                <w:szCs w:val="20"/>
              </w:rPr>
              <w:t>-</w:t>
            </w:r>
            <w:r w:rsidR="008019A5">
              <w:rPr>
                <w:szCs w:val="20"/>
              </w:rPr>
              <w:t>2</w:t>
            </w:r>
          </w:p>
        </w:tc>
      </w:tr>
      <w:tr w:rsidR="004119A5" w14:paraId="00EEFE8F" w14:textId="4BFE6A09" w:rsidTr="00E3170E">
        <w:tc>
          <w:tcPr>
            <w:tcW w:w="2661" w:type="dxa"/>
          </w:tcPr>
          <w:p w14:paraId="04638EA7" w14:textId="7B36C261" w:rsidR="004119A5" w:rsidRPr="00F04D49" w:rsidRDefault="004119A5">
            <w:pPr>
              <w:rPr>
                <w:szCs w:val="20"/>
              </w:rPr>
            </w:pPr>
            <w:r>
              <w:rPr>
                <w:szCs w:val="20"/>
              </w:rPr>
              <w:t>Implementation considerations</w:t>
            </w:r>
          </w:p>
        </w:tc>
        <w:tc>
          <w:tcPr>
            <w:tcW w:w="1016" w:type="dxa"/>
          </w:tcPr>
          <w:p w14:paraId="7A64566F" w14:textId="2D1F789A" w:rsidR="004119A5" w:rsidRPr="00F04D49" w:rsidRDefault="004119A5">
            <w:pPr>
              <w:jc w:val="center"/>
              <w:rPr>
                <w:szCs w:val="20"/>
              </w:rPr>
            </w:pPr>
            <w:r w:rsidRPr="00F04D49">
              <w:rPr>
                <w:szCs w:val="20"/>
              </w:rPr>
              <w:t>10%</w:t>
            </w:r>
          </w:p>
        </w:tc>
        <w:tc>
          <w:tcPr>
            <w:tcW w:w="1333" w:type="dxa"/>
          </w:tcPr>
          <w:p w14:paraId="7654E23F" w14:textId="77777777" w:rsidR="004119A5" w:rsidRPr="00F04D49" w:rsidRDefault="004119A5">
            <w:pPr>
              <w:jc w:val="center"/>
              <w:rPr>
                <w:szCs w:val="20"/>
              </w:rPr>
            </w:pPr>
            <w:r w:rsidRPr="00F04D49">
              <w:rPr>
                <w:szCs w:val="20"/>
              </w:rPr>
              <w:t>0</w:t>
            </w:r>
          </w:p>
        </w:tc>
        <w:tc>
          <w:tcPr>
            <w:tcW w:w="1333" w:type="dxa"/>
          </w:tcPr>
          <w:p w14:paraId="317889E4" w14:textId="45A12A13" w:rsidR="004119A5" w:rsidRPr="00F04D49" w:rsidRDefault="004119A5">
            <w:pPr>
              <w:jc w:val="center"/>
              <w:rPr>
                <w:szCs w:val="20"/>
              </w:rPr>
            </w:pPr>
            <w:r>
              <w:rPr>
                <w:szCs w:val="20"/>
              </w:rPr>
              <w:t>-1</w:t>
            </w:r>
          </w:p>
        </w:tc>
        <w:tc>
          <w:tcPr>
            <w:tcW w:w="1333" w:type="dxa"/>
          </w:tcPr>
          <w:p w14:paraId="784EC52B" w14:textId="05E69AD1" w:rsidR="004119A5" w:rsidRPr="00F04D49" w:rsidRDefault="004119A5">
            <w:pPr>
              <w:jc w:val="center"/>
              <w:rPr>
                <w:szCs w:val="20"/>
              </w:rPr>
            </w:pPr>
            <w:r>
              <w:rPr>
                <w:szCs w:val="20"/>
              </w:rPr>
              <w:t>-2</w:t>
            </w:r>
          </w:p>
        </w:tc>
        <w:tc>
          <w:tcPr>
            <w:tcW w:w="1334" w:type="dxa"/>
          </w:tcPr>
          <w:p w14:paraId="7A36AB71" w14:textId="4CD7E239" w:rsidR="004119A5" w:rsidRDefault="004119A5">
            <w:pPr>
              <w:jc w:val="center"/>
              <w:rPr>
                <w:szCs w:val="20"/>
              </w:rPr>
            </w:pPr>
            <w:r>
              <w:rPr>
                <w:szCs w:val="20"/>
              </w:rPr>
              <w:t>-4</w:t>
            </w:r>
          </w:p>
        </w:tc>
      </w:tr>
      <w:tr w:rsidR="004119A5" w14:paraId="36307AD4" w14:textId="635F1ADC" w:rsidTr="00E3170E">
        <w:tc>
          <w:tcPr>
            <w:tcW w:w="2661" w:type="dxa"/>
          </w:tcPr>
          <w:p w14:paraId="6BA851D8" w14:textId="77777777" w:rsidR="004119A5" w:rsidRPr="00F04D49" w:rsidRDefault="004119A5">
            <w:pPr>
              <w:rPr>
                <w:szCs w:val="20"/>
              </w:rPr>
            </w:pPr>
            <w:r w:rsidRPr="00F04D49">
              <w:rPr>
                <w:szCs w:val="20"/>
              </w:rPr>
              <w:t>Distributional impact</w:t>
            </w:r>
          </w:p>
        </w:tc>
        <w:tc>
          <w:tcPr>
            <w:tcW w:w="1016" w:type="dxa"/>
          </w:tcPr>
          <w:p w14:paraId="3358B785" w14:textId="2B6274B4" w:rsidR="004119A5" w:rsidRPr="00F04D49" w:rsidRDefault="004119A5">
            <w:pPr>
              <w:jc w:val="center"/>
              <w:rPr>
                <w:szCs w:val="20"/>
              </w:rPr>
            </w:pPr>
            <w:r w:rsidRPr="00F04D49">
              <w:rPr>
                <w:szCs w:val="20"/>
              </w:rPr>
              <w:t>10%</w:t>
            </w:r>
          </w:p>
        </w:tc>
        <w:tc>
          <w:tcPr>
            <w:tcW w:w="1333" w:type="dxa"/>
          </w:tcPr>
          <w:p w14:paraId="6D85257B" w14:textId="77777777" w:rsidR="004119A5" w:rsidRPr="00F04D49" w:rsidRDefault="004119A5">
            <w:pPr>
              <w:jc w:val="center"/>
              <w:rPr>
                <w:szCs w:val="20"/>
              </w:rPr>
            </w:pPr>
            <w:r w:rsidRPr="00F04D49">
              <w:rPr>
                <w:szCs w:val="20"/>
              </w:rPr>
              <w:t>0</w:t>
            </w:r>
          </w:p>
        </w:tc>
        <w:tc>
          <w:tcPr>
            <w:tcW w:w="1333" w:type="dxa"/>
          </w:tcPr>
          <w:p w14:paraId="27FBDA6B" w14:textId="2445C90F" w:rsidR="004119A5" w:rsidRPr="00F04D49" w:rsidRDefault="004119A5">
            <w:pPr>
              <w:jc w:val="center"/>
              <w:rPr>
                <w:szCs w:val="20"/>
              </w:rPr>
            </w:pPr>
            <w:r>
              <w:rPr>
                <w:szCs w:val="20"/>
              </w:rPr>
              <w:t>0</w:t>
            </w:r>
          </w:p>
        </w:tc>
        <w:tc>
          <w:tcPr>
            <w:tcW w:w="1333" w:type="dxa"/>
          </w:tcPr>
          <w:p w14:paraId="03F702BB" w14:textId="240C9379" w:rsidR="004119A5" w:rsidRPr="00F04D49" w:rsidRDefault="004119A5">
            <w:pPr>
              <w:jc w:val="center"/>
              <w:rPr>
                <w:szCs w:val="20"/>
              </w:rPr>
            </w:pPr>
            <w:r>
              <w:rPr>
                <w:szCs w:val="20"/>
              </w:rPr>
              <w:t>-2</w:t>
            </w:r>
          </w:p>
        </w:tc>
        <w:tc>
          <w:tcPr>
            <w:tcW w:w="1334" w:type="dxa"/>
          </w:tcPr>
          <w:p w14:paraId="529651D9" w14:textId="4CBCBB57" w:rsidR="004119A5" w:rsidRDefault="004119A5">
            <w:pPr>
              <w:jc w:val="center"/>
              <w:rPr>
                <w:szCs w:val="20"/>
              </w:rPr>
            </w:pPr>
            <w:r>
              <w:rPr>
                <w:szCs w:val="20"/>
              </w:rPr>
              <w:t>-3</w:t>
            </w:r>
          </w:p>
        </w:tc>
      </w:tr>
      <w:tr w:rsidR="004119A5" w14:paraId="7D2D56AE" w14:textId="41D0CC9B" w:rsidTr="00E3170E">
        <w:tc>
          <w:tcPr>
            <w:tcW w:w="2661" w:type="dxa"/>
          </w:tcPr>
          <w:p w14:paraId="7CE4E802" w14:textId="5BAA98D6" w:rsidR="004119A5" w:rsidRPr="00F04D49" w:rsidRDefault="004119A5">
            <w:pPr>
              <w:rPr>
                <w:b/>
                <w:szCs w:val="20"/>
              </w:rPr>
            </w:pPr>
            <w:r w:rsidRPr="00F04D49">
              <w:rPr>
                <w:b/>
                <w:szCs w:val="20"/>
              </w:rPr>
              <w:t>Weighted score</w:t>
            </w:r>
          </w:p>
        </w:tc>
        <w:tc>
          <w:tcPr>
            <w:tcW w:w="1016" w:type="dxa"/>
          </w:tcPr>
          <w:p w14:paraId="74A5A27D" w14:textId="77777777" w:rsidR="004119A5" w:rsidRPr="00F04D49" w:rsidRDefault="004119A5">
            <w:pPr>
              <w:jc w:val="center"/>
              <w:rPr>
                <w:szCs w:val="20"/>
              </w:rPr>
            </w:pPr>
          </w:p>
        </w:tc>
        <w:tc>
          <w:tcPr>
            <w:tcW w:w="1333" w:type="dxa"/>
          </w:tcPr>
          <w:p w14:paraId="115788BA" w14:textId="77777777" w:rsidR="004119A5" w:rsidRPr="00F04D49" w:rsidRDefault="004119A5">
            <w:pPr>
              <w:jc w:val="center"/>
              <w:rPr>
                <w:b/>
                <w:szCs w:val="20"/>
              </w:rPr>
            </w:pPr>
            <w:r w:rsidRPr="00F04D49">
              <w:rPr>
                <w:b/>
                <w:szCs w:val="20"/>
              </w:rPr>
              <w:t>0</w:t>
            </w:r>
          </w:p>
        </w:tc>
        <w:tc>
          <w:tcPr>
            <w:tcW w:w="1333" w:type="dxa"/>
          </w:tcPr>
          <w:p w14:paraId="66251006" w14:textId="75FD2ED1" w:rsidR="004119A5" w:rsidRPr="00F04D49" w:rsidRDefault="004119A5">
            <w:pPr>
              <w:jc w:val="center"/>
              <w:rPr>
                <w:b/>
                <w:szCs w:val="20"/>
              </w:rPr>
            </w:pPr>
            <w:r>
              <w:rPr>
                <w:b/>
                <w:szCs w:val="20"/>
              </w:rPr>
              <w:t>0.</w:t>
            </w:r>
            <w:r w:rsidR="001250D4">
              <w:rPr>
                <w:b/>
                <w:szCs w:val="20"/>
              </w:rPr>
              <w:t>6</w:t>
            </w:r>
          </w:p>
        </w:tc>
        <w:tc>
          <w:tcPr>
            <w:tcW w:w="1333" w:type="dxa"/>
          </w:tcPr>
          <w:p w14:paraId="36E4A8D2" w14:textId="0CF9EBA9" w:rsidR="004119A5" w:rsidRPr="00F04D49" w:rsidRDefault="001250D4">
            <w:pPr>
              <w:jc w:val="center"/>
              <w:rPr>
                <w:b/>
                <w:szCs w:val="20"/>
              </w:rPr>
            </w:pPr>
            <w:r>
              <w:rPr>
                <w:b/>
                <w:szCs w:val="20"/>
              </w:rPr>
              <w:t>0.5</w:t>
            </w:r>
          </w:p>
        </w:tc>
        <w:tc>
          <w:tcPr>
            <w:tcW w:w="1334" w:type="dxa"/>
          </w:tcPr>
          <w:p w14:paraId="02461F38" w14:textId="6AD25CE0" w:rsidR="004119A5" w:rsidRDefault="004119A5">
            <w:pPr>
              <w:jc w:val="center"/>
              <w:rPr>
                <w:b/>
                <w:szCs w:val="20"/>
              </w:rPr>
            </w:pPr>
            <w:r>
              <w:rPr>
                <w:b/>
                <w:szCs w:val="20"/>
              </w:rPr>
              <w:t>0.</w:t>
            </w:r>
            <w:r w:rsidR="001250D4">
              <w:rPr>
                <w:b/>
                <w:szCs w:val="20"/>
              </w:rPr>
              <w:t>2</w:t>
            </w:r>
          </w:p>
        </w:tc>
      </w:tr>
    </w:tbl>
    <w:p w14:paraId="192989E5" w14:textId="4EA7BD1E" w:rsidR="004119A5" w:rsidRDefault="004119A5" w:rsidP="004119A5">
      <w:pPr>
        <w:pStyle w:val="Source"/>
      </w:pPr>
      <w:r>
        <w:t xml:space="preserve">Note: </w:t>
      </w:r>
      <w:r w:rsidRPr="009C4607">
        <w:t>Option 1 - the status quo - receives a score of zero across all criteria, as explained in Chapter 4.</w:t>
      </w:r>
    </w:p>
    <w:p w14:paraId="4F633B9C" w14:textId="6F6236C9" w:rsidR="004119A5" w:rsidRPr="00273D6E" w:rsidRDefault="004119A5" w:rsidP="004119A5">
      <w:r w:rsidRPr="0007642D">
        <w:t xml:space="preserve">The weighted average scores for these options suggest that, based on stakeholder input received through the consultation process, </w:t>
      </w:r>
      <w:r>
        <w:t xml:space="preserve">all options </w:t>
      </w:r>
      <w:r w:rsidRPr="0007642D">
        <w:t>would deliver a net benefit compared to the status quo</w:t>
      </w:r>
      <w:r>
        <w:t>. Stakeholders identified greater implementation risks and distributional impacts associated with option 4. The rationale for each MCA score is outlined in the sections below.</w:t>
      </w:r>
    </w:p>
    <w:p w14:paraId="4D5777AA" w14:textId="77777777" w:rsidR="004119A5" w:rsidRDefault="004119A5" w:rsidP="004119A5">
      <w:pPr>
        <w:pStyle w:val="Heading4"/>
      </w:pPr>
      <w:r>
        <w:t xml:space="preserve">Impact on child safety </w:t>
      </w:r>
    </w:p>
    <w:p w14:paraId="4AA1AFF9" w14:textId="4859D981" w:rsidR="004119A5" w:rsidRDefault="004119A5" w:rsidP="004119A5">
      <w:r>
        <w:t xml:space="preserve">It is expected that the implementation of options 2, 3, and 4 would promote better design of service premises such that supervision of children can be maintained at all times. The extent to which child safety is improved under option 2 will depend on uptake of the guidance materials and the extent to which the current design of premises has impacted the level of supervision of children. There are mixed views among stakeholders on the potential impacts </w:t>
      </w:r>
      <w:r>
        <w:lastRenderedPageBreak/>
        <w:t>of option 2. Some stakeholders noted that the provision of additional guidance will enable them to interpret regulation more consistently and effectively</w:t>
      </w:r>
      <w:r w:rsidR="00966CE2">
        <w:t xml:space="preserve"> and therefore better comply with </w:t>
      </w:r>
      <w:r w:rsidR="004C3405">
        <w:t>premises design requirements to ensure the supervision of children at all times</w:t>
      </w:r>
      <w:r>
        <w:t>.</w:t>
      </w:r>
      <w:r w:rsidR="00CB553C">
        <w:t xml:space="preserve"> Other</w:t>
      </w:r>
      <w:r w:rsidR="00CB553C">
        <w:rPr>
          <w:rStyle w:val="CommentReference"/>
          <w:sz w:val="22"/>
          <w:szCs w:val="24"/>
        </w:rPr>
        <w:t xml:space="preserve"> s</w:t>
      </w:r>
      <w:r w:rsidR="00CB553C">
        <w:t xml:space="preserve">takeholders noted that most services have implemented alternative measures to ensure continuous supervision of children during instances where they are not compliant with regulation 115. </w:t>
      </w:r>
      <w:r>
        <w:t xml:space="preserve">As such, </w:t>
      </w:r>
      <w:r w:rsidR="001D0C89">
        <w:t>option 2 may result in a small improvement in child safety</w:t>
      </w:r>
      <w:r>
        <w:t xml:space="preserve">. </w:t>
      </w:r>
    </w:p>
    <w:p w14:paraId="740A3434" w14:textId="31DDAFF8" w:rsidR="004119A5" w:rsidRPr="004506F6" w:rsidRDefault="004119A5" w:rsidP="004119A5">
      <w:r>
        <w:t xml:space="preserve">Options 3 and 4 remove the ability for any new service to apply for service (option 3) </w:t>
      </w:r>
      <w:r w:rsidR="007B1FDC">
        <w:t>and/</w:t>
      </w:r>
      <w:r>
        <w:t xml:space="preserve">or temporary (option 4) </w:t>
      </w:r>
      <w:r w:rsidR="007B1FDC">
        <w:t xml:space="preserve">waivers of </w:t>
      </w:r>
      <w:r>
        <w:t xml:space="preserve">regulation 115, which would better enforce premises design for the purposes of </w:t>
      </w:r>
      <w:r w:rsidR="00BF650C">
        <w:t xml:space="preserve">adequate supervision of </w:t>
      </w:r>
      <w:r>
        <w:t xml:space="preserve">children. </w:t>
      </w:r>
      <w:r w:rsidR="005C1B59">
        <w:t xml:space="preserve">Without the option to apply for a waiver of regulation 115, service premises must comply with regulation 115 requirements to operate, which would </w:t>
      </w:r>
      <w:r w:rsidR="00F161B1">
        <w:t xml:space="preserve">result </w:t>
      </w:r>
      <w:r>
        <w:t>in a greater uplift in child safety outcomes</w:t>
      </w:r>
      <w:r w:rsidR="00F161B1">
        <w:t xml:space="preserve"> than achieved under option 2 where there may still be exemptions in place</w:t>
      </w:r>
      <w:r>
        <w:t xml:space="preserve">. Option </w:t>
      </w:r>
      <w:r w:rsidR="000C386F">
        <w:t>4</w:t>
      </w:r>
      <w:r>
        <w:t xml:space="preserve"> removes the ability for any service to obtain a permanent </w:t>
      </w:r>
      <w:r w:rsidR="000C386F">
        <w:t>and temporary waiver of regulation 115</w:t>
      </w:r>
      <w:r>
        <w:t xml:space="preserve"> and therefore may prompt the highest level of regulatory compliance.</w:t>
      </w:r>
      <w:r w:rsidR="00444A15">
        <w:t xml:space="preserve"> </w:t>
      </w:r>
    </w:p>
    <w:p w14:paraId="0F2E95E5" w14:textId="4A4CC0F4" w:rsidR="004119A5" w:rsidRDefault="00BF650C" w:rsidP="004119A5">
      <w:r>
        <w:t xml:space="preserve">Through </w:t>
      </w:r>
      <w:r w:rsidR="00657FE2">
        <w:t>the</w:t>
      </w:r>
      <w:r>
        <w:t xml:space="preserve"> consultation, m</w:t>
      </w:r>
      <w:r w:rsidR="004119A5">
        <w:t xml:space="preserve">ost stakeholders from the education and care sector were aware that the use of regulation 115 waivers is not common and therefore </w:t>
      </w:r>
      <w:r>
        <w:t xml:space="preserve">would </w:t>
      </w:r>
      <w:r w:rsidR="004119A5">
        <w:t>not lead to sector wide improvements in child safety outcomes. Stakeholders were, however, supportive of reducing existing reliance on regulation 115 waivers where measures could be taken to improve supervision in services</w:t>
      </w:r>
      <w:r w:rsidR="006F193E">
        <w:t xml:space="preserve"> and </w:t>
      </w:r>
      <w:r w:rsidR="004119A5">
        <w:t xml:space="preserve">agreed that this would likely contribute to the establishment of child safe environments in the sector. </w:t>
      </w:r>
    </w:p>
    <w:p w14:paraId="2E3E9367" w14:textId="0D93E6D2" w:rsidR="004119A5" w:rsidRDefault="004119A5" w:rsidP="004119A5">
      <w:r>
        <w:t xml:space="preserve">These views were reflected in the survey, where a large proportion of survey respondents expected options 2, 3, and 4 to </w:t>
      </w:r>
      <w:r w:rsidR="00C84A4D">
        <w:t>‘</w:t>
      </w:r>
      <w:r>
        <w:t>somewhat reduce</w:t>
      </w:r>
      <w:r w:rsidR="00C84A4D">
        <w:t>’</w:t>
      </w:r>
      <w:r>
        <w:t xml:space="preserve"> the risk of harm to children, with the exception of families and the education and care workforce where the survey respon</w:t>
      </w:r>
      <w:r w:rsidR="001D1434">
        <w:t xml:space="preserve">dents expected </w:t>
      </w:r>
      <w:r>
        <w:t xml:space="preserve">option 4 </w:t>
      </w:r>
      <w:r w:rsidR="00DF0690">
        <w:t xml:space="preserve">would </w:t>
      </w:r>
      <w:r w:rsidR="00C84A4D">
        <w:t>‘</w:t>
      </w:r>
      <w:r w:rsidR="00DF0690">
        <w:t>greatly reduce</w:t>
      </w:r>
      <w:r w:rsidR="00C84A4D">
        <w:t>’</w:t>
      </w:r>
      <w:r w:rsidR="00DF0690">
        <w:t xml:space="preserve"> the risk of</w:t>
      </w:r>
      <w:r>
        <w:t xml:space="preserve"> harm (refer to Chart 9.1). Approved provider survey respondents </w:t>
      </w:r>
      <w:r w:rsidR="00453234">
        <w:t xml:space="preserve">most frequently indicated that each option would </w:t>
      </w:r>
      <w:r w:rsidR="00386DDD">
        <w:t>‘</w:t>
      </w:r>
      <w:r w:rsidR="00453234">
        <w:t>somewhat reduce</w:t>
      </w:r>
      <w:r w:rsidR="00386DDD">
        <w:t>’</w:t>
      </w:r>
      <w:r w:rsidR="00453234">
        <w:t xml:space="preserve"> the risk of harm to children, </w:t>
      </w:r>
      <w:r w:rsidR="007D728C">
        <w:t xml:space="preserve">though option 4 had the most responses indicating that it may </w:t>
      </w:r>
      <w:r w:rsidR="00386DDD">
        <w:t>‘</w:t>
      </w:r>
      <w:r w:rsidR="007D728C">
        <w:t>greatly reduce</w:t>
      </w:r>
      <w:r w:rsidR="00386DDD">
        <w:t>’</w:t>
      </w:r>
      <w:r w:rsidR="007D728C">
        <w:t xml:space="preserve"> the risk of harm</w:t>
      </w:r>
      <w:r>
        <w:t xml:space="preserve">. This outcome might be reflective of lower awareness among families and the education and care workforce of the very low reliance on regulation 115 waiver use currently. </w:t>
      </w:r>
    </w:p>
    <w:p w14:paraId="25095655" w14:textId="0DBA92C9" w:rsidR="004119A5" w:rsidRPr="007A78A3" w:rsidRDefault="004119A5" w:rsidP="004119A5">
      <w:pPr>
        <w:pStyle w:val="Caption"/>
      </w:pPr>
      <w:bookmarkStart w:id="170" w:name="_Toc202887741"/>
      <w:bookmarkStart w:id="171" w:name="_Toc205884973"/>
      <w:r w:rsidRPr="005C363E">
        <w:lastRenderedPageBreak/>
        <w:t xml:space="preserve">Chart </w:t>
      </w:r>
      <w:r>
        <w:t>9</w:t>
      </w:r>
      <w:r w:rsidRPr="005C363E">
        <w:t>.</w:t>
      </w:r>
      <w:r>
        <w:t>1</w:t>
      </w:r>
      <w:r w:rsidRPr="005C363E">
        <w:t xml:space="preserve">: </w:t>
      </w:r>
      <w:r w:rsidRPr="007A78A3">
        <w:t>Family, carers, and parent responses to “How much do you think each option will reduce the risk of harm to children?”</w:t>
      </w:r>
      <w:bookmarkEnd w:id="170"/>
      <w:bookmarkEnd w:id="171"/>
      <w:r w:rsidRPr="007A78A3">
        <w:t xml:space="preserve"> </w:t>
      </w:r>
    </w:p>
    <w:p w14:paraId="7241AE6D" w14:textId="10115863" w:rsidR="004119A5" w:rsidRPr="007A78A3" w:rsidRDefault="004119A5" w:rsidP="004119A5">
      <w:pPr>
        <w:pStyle w:val="Source"/>
      </w:pPr>
      <w:r>
        <w:rPr>
          <w:noProof/>
          <w14:ligatures w14:val="standardContextual"/>
        </w:rPr>
        <w:drawing>
          <wp:inline distT="0" distB="0" distL="0" distR="0" wp14:anchorId="0A25C5D0" wp14:editId="7C28CDBF">
            <wp:extent cx="5784112" cy="2934586"/>
            <wp:effectExtent l="0" t="0" r="7620" b="0"/>
            <wp:docPr id="1251336372" name="Chart 1" descr="Chart outlining family, carers, and parent responses to &quot;How much do you think each option will reduce the risk of harm to children?&quot;">
              <a:extLst xmlns:a="http://schemas.openxmlformats.org/drawingml/2006/main">
                <a:ext uri="{FF2B5EF4-FFF2-40B4-BE49-F238E27FC236}">
                  <a16:creationId xmlns:a16="http://schemas.microsoft.com/office/drawing/2014/main" id="{5FF2F347-CC80-AE5C-CB85-EA3A522A1E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CCD8A9A" w14:textId="77777777" w:rsidR="004119A5" w:rsidRPr="007A78A3" w:rsidRDefault="004119A5" w:rsidP="004119A5">
      <w:pPr>
        <w:pStyle w:val="Source"/>
      </w:pPr>
      <w:r w:rsidRPr="007A78A3">
        <w:t xml:space="preserve">Source: Families, carers and parents survey, as of </w:t>
      </w:r>
      <w:r>
        <w:t>11</w:t>
      </w:r>
      <w:r w:rsidRPr="007A78A3">
        <w:t xml:space="preserve"> June 2025, Q80, option 1 n=</w:t>
      </w:r>
      <w:r>
        <w:t>76</w:t>
      </w:r>
      <w:r w:rsidRPr="007A78A3">
        <w:t>, option 2 n=</w:t>
      </w:r>
      <w:r>
        <w:t>77</w:t>
      </w:r>
      <w:r w:rsidRPr="007A78A3">
        <w:t>, option 3 n=</w:t>
      </w:r>
      <w:r>
        <w:t>74</w:t>
      </w:r>
      <w:r w:rsidRPr="007A78A3">
        <w:t>, option 4 n=</w:t>
      </w:r>
      <w:r>
        <w:t>68</w:t>
      </w:r>
      <w:r w:rsidRPr="007A78A3">
        <w:t>.</w:t>
      </w:r>
    </w:p>
    <w:p w14:paraId="12FD9351" w14:textId="77777777" w:rsidR="004119A5" w:rsidRDefault="004119A5" w:rsidP="004119A5"/>
    <w:p w14:paraId="171EB54B" w14:textId="2CB97D29" w:rsidR="004119A5" w:rsidRDefault="004119A5" w:rsidP="004119A5">
      <w:pPr>
        <w:pStyle w:val="Caption"/>
      </w:pPr>
      <w:bookmarkStart w:id="172" w:name="_Toc202887742"/>
      <w:bookmarkStart w:id="173" w:name="_Toc205884974"/>
      <w:r w:rsidRPr="005C363E">
        <w:t xml:space="preserve">Chart </w:t>
      </w:r>
      <w:r>
        <w:t>9</w:t>
      </w:r>
      <w:r w:rsidRPr="005C363E">
        <w:t>.</w:t>
      </w:r>
      <w:r>
        <w:t>2</w:t>
      </w:r>
      <w:r w:rsidRPr="005C363E">
        <w:t xml:space="preserve">: Approved provider responses to </w:t>
      </w:r>
      <w:r w:rsidRPr="00057988">
        <w:t>“How much do you think each option will reduce the risk of harm to children?”</w:t>
      </w:r>
      <w:bookmarkEnd w:id="172"/>
      <w:bookmarkEnd w:id="173"/>
    </w:p>
    <w:p w14:paraId="101DAC7B" w14:textId="047881F8" w:rsidR="004119A5" w:rsidRDefault="004119A5" w:rsidP="004119A5">
      <w:r>
        <w:rPr>
          <w:noProof/>
          <w14:ligatures w14:val="standardContextual"/>
        </w:rPr>
        <w:drawing>
          <wp:inline distT="0" distB="0" distL="0" distR="0" wp14:anchorId="51C0E659" wp14:editId="386D805B">
            <wp:extent cx="5200650" cy="2786856"/>
            <wp:effectExtent l="0" t="0" r="0" b="0"/>
            <wp:docPr id="1251440142"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DB0F0712-D5FF-EC97-C13D-862A5CD34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D6EA0EE" w14:textId="4CD8F83B" w:rsidR="004119A5" w:rsidRPr="00A86D88" w:rsidRDefault="004119A5" w:rsidP="00E04C45">
      <w:pPr>
        <w:pStyle w:val="Source-CSR"/>
        <w:rPr>
          <w:iCs/>
        </w:rPr>
      </w:pPr>
      <w:r w:rsidRPr="00057988">
        <w:t xml:space="preserve">Source: Approved provider survey, as of </w:t>
      </w:r>
      <w:r w:rsidRPr="00DD7069">
        <w:rPr>
          <w:iCs/>
        </w:rPr>
        <w:t>11</w:t>
      </w:r>
      <w:r w:rsidRPr="00DD7069">
        <w:t xml:space="preserve"> June </w:t>
      </w:r>
      <w:r w:rsidRPr="00A86D88">
        <w:t xml:space="preserve">2025, </w:t>
      </w:r>
      <w:r>
        <w:t>option 1 n=137, option 2 n=128, option 3 n=129, option 4 n=123.</w:t>
      </w:r>
    </w:p>
    <w:p w14:paraId="026E7CE1" w14:textId="372F6840" w:rsidR="004119A5" w:rsidRDefault="004119A5" w:rsidP="004119A5">
      <w:r>
        <w:t>Some stakeholders expressed sentiment that the likely improvement in child safety outcomes achieved by the regulatory options would not be outweighed by potential costs that could be incurred if the regulatory options prevent renovations from being undertaken</w:t>
      </w:r>
      <w:r w:rsidR="005A0C7A">
        <w:t>. O</w:t>
      </w:r>
      <w:r>
        <w:t xml:space="preserve">n that basis renovations </w:t>
      </w:r>
      <w:r w:rsidR="005B38FD">
        <w:t xml:space="preserve">to a premises to comply with regulation 115 </w:t>
      </w:r>
      <w:r>
        <w:t xml:space="preserve">could result in </w:t>
      </w:r>
      <w:r>
        <w:lastRenderedPageBreak/>
        <w:t>temporary disruptions in the quality of supervision in a service but would ultimately improve the quality of the service premises in the long run</w:t>
      </w:r>
      <w:r w:rsidR="00B04DDF">
        <w:t xml:space="preserve"> to allow for adequate supervision of children</w:t>
      </w:r>
      <w:r>
        <w:t>.</w:t>
      </w:r>
    </w:p>
    <w:p w14:paraId="093669CE" w14:textId="775054FF" w:rsidR="00ED5028" w:rsidRDefault="004119A5" w:rsidP="004119A5">
      <w:r>
        <w:t>Based on evidence regarding the prevalence of non-compliance and stakeholders’ views, option 2 has been assigned a score of two for this criterion. Options 3 and 4 a</w:t>
      </w:r>
      <w:r w:rsidR="004C6828">
        <w:t>re</w:t>
      </w:r>
      <w:r>
        <w:t xml:space="preserve"> expected to result in similar impact to chi</w:t>
      </w:r>
      <w:r w:rsidR="00386DDD">
        <w:t>l</w:t>
      </w:r>
      <w:r>
        <w:t xml:space="preserve">d safety, as both remove the ability to apply for permanent waivers of regulation 115, while only option 4 applies to temporary waivers. However, historical reliance on temporary waivers has been very limited. </w:t>
      </w:r>
      <w:r w:rsidR="00ED5028">
        <w:t>On this basis, option</w:t>
      </w:r>
      <w:r w:rsidR="00C67821">
        <w:t>s</w:t>
      </w:r>
      <w:r w:rsidR="00ED5028">
        <w:t xml:space="preserve"> 3 </w:t>
      </w:r>
      <w:r w:rsidR="00C67821">
        <w:t xml:space="preserve">and 4 have been assigned the same </w:t>
      </w:r>
      <w:r w:rsidR="00ED5028">
        <w:t>MCA score of three for this criterion</w:t>
      </w:r>
      <w:r w:rsidR="008019A5">
        <w:t>, as the benefit applies to a similarly small subset of services</w:t>
      </w:r>
      <w:r w:rsidR="001C5708">
        <w:t xml:space="preserve">. </w:t>
      </w:r>
    </w:p>
    <w:p w14:paraId="3FE8FE3C" w14:textId="7B23DF2D" w:rsidR="004119A5" w:rsidRPr="00466043" w:rsidRDefault="004119A5" w:rsidP="004119A5">
      <w:pPr>
        <w:pStyle w:val="Heading4"/>
      </w:pPr>
      <w:r w:rsidRPr="00466043">
        <w:t xml:space="preserve">Cost of </w:t>
      </w:r>
      <w:r>
        <w:t>each</w:t>
      </w:r>
      <w:r w:rsidRPr="00466043">
        <w:t xml:space="preserve"> option</w:t>
      </w:r>
    </w:p>
    <w:p w14:paraId="5429CF9E" w14:textId="7D0A4533" w:rsidR="004119A5" w:rsidRDefault="004119A5" w:rsidP="004119A5">
      <w:r>
        <w:t>Under option 2, t</w:t>
      </w:r>
      <w:r w:rsidRPr="00D16035">
        <w:t xml:space="preserve">he </w:t>
      </w:r>
      <w:r>
        <w:t>development and distribution of guidance materials</w:t>
      </w:r>
      <w:r w:rsidRPr="00D16035">
        <w:t xml:space="preserve"> to </w:t>
      </w:r>
      <w:r w:rsidRPr="00EA6E88">
        <w:t xml:space="preserve">promote premises design for supervision </w:t>
      </w:r>
      <w:r w:rsidRPr="00D16035">
        <w:t xml:space="preserve">may incur costs for </w:t>
      </w:r>
      <w:r>
        <w:t>g</w:t>
      </w:r>
      <w:r w:rsidRPr="00D16035">
        <w:t xml:space="preserve">overnment, depending on the complexity of the guidance and the extent to which it cannot be developed with the support of existing </w:t>
      </w:r>
      <w:r>
        <w:t>g</w:t>
      </w:r>
      <w:r w:rsidRPr="00D16035">
        <w:t>overnment resources and as part of business</w:t>
      </w:r>
      <w:r>
        <w:t>-as-usual</w:t>
      </w:r>
      <w:r w:rsidRPr="00D16035">
        <w:t xml:space="preserve"> activity.</w:t>
      </w:r>
      <w:r>
        <w:t xml:space="preserve"> Approved providers may also experience costs under option 2</w:t>
      </w:r>
      <w:r w:rsidR="00243EE0">
        <w:t>,</w:t>
      </w:r>
      <w:r>
        <w:t xml:space="preserve"> in the event that they choose to adopt recommended guidance and undertake changes to the design of their premises to improve the supervision of children. The magnitude of costs is challenging to estimate as it depends on the level of changes required to the physical environment of service premises </w:t>
      </w:r>
      <w:r w:rsidR="00243EE0">
        <w:t>to</w:t>
      </w:r>
      <w:r>
        <w:t xml:space="preserve"> align with best practice. </w:t>
      </w:r>
    </w:p>
    <w:p w14:paraId="4B05798E" w14:textId="301DBF6E" w:rsidR="004119A5" w:rsidRDefault="004119A5" w:rsidP="004119A5">
      <w:r>
        <w:t xml:space="preserve">The costs of options 3 and 4 would only be borne by services </w:t>
      </w:r>
      <w:r w:rsidR="00AD0D27">
        <w:t>required to comply with regulation 1</w:t>
      </w:r>
      <w:r>
        <w:t>15. Since 2013, 38 waivers (total service and temporary) for regulation 115 have been approved – an average of just over three approvals per year.</w:t>
      </w:r>
      <w:r>
        <w:rPr>
          <w:rStyle w:val="FootnoteReference"/>
        </w:rPr>
        <w:footnoteReference w:id="126"/>
      </w:r>
      <w:r>
        <w:t xml:space="preserve"> Assuming the application rate for these waivers would </w:t>
      </w:r>
      <w:r w:rsidR="009F46AD">
        <w:t>remain</w:t>
      </w:r>
      <w:r>
        <w:t xml:space="preserve"> consistent, this equates to a relatively small sector-wide cost if options 3 or 4 are implemented. </w:t>
      </w:r>
    </w:p>
    <w:p w14:paraId="14CF5FF9" w14:textId="7D933D35" w:rsidR="004119A5" w:rsidRDefault="004119A5" w:rsidP="004119A5">
      <w:r>
        <w:t xml:space="preserve">Under options 3 and 4, services that may have sought to </w:t>
      </w:r>
      <w:r w:rsidR="00784256">
        <w:t xml:space="preserve">request a </w:t>
      </w:r>
      <w:r>
        <w:t>regulation 115 waivers in the future may bear costs from having to seek alternative arrangements. In many cases, this may require changing building plans and/or undertaking building works to ensure premises</w:t>
      </w:r>
      <w:r w:rsidR="009F46AD">
        <w:t xml:space="preserve"> that are currently under construction </w:t>
      </w:r>
      <w:r>
        <w:t xml:space="preserve">are adequately designed to facilitate supervision of children at all times. If changes are required after a building is constructed, this could </w:t>
      </w:r>
      <w:r w:rsidR="00DC0214">
        <w:t>incur</w:t>
      </w:r>
      <w:r>
        <w:t xml:space="preserve"> a substantial cost, depending on the magnitude of renovation / reconstruction changes required. For example, stakeholders indicated that the cost to add in a window to a </w:t>
      </w:r>
      <w:r w:rsidR="00897FE2">
        <w:t xml:space="preserve">sleep </w:t>
      </w:r>
      <w:r>
        <w:lastRenderedPageBreak/>
        <w:t>room would likely be low (e.g., a few thousand dollars), while reconfiguring an internal room layout would likely be substantially more expensive.</w:t>
      </w:r>
      <w:r w:rsidRPr="001330F5">
        <w:t xml:space="preserve"> </w:t>
      </w:r>
    </w:p>
    <w:p w14:paraId="6DDBF1B4" w14:textId="14A02207" w:rsidR="004119A5" w:rsidRDefault="004119A5" w:rsidP="004119A5">
      <w:r>
        <w:t xml:space="preserve">However, if design elements requiring change are identified early in the stages of planning a premises design, it is possible that compliance with regulation 115 </w:t>
      </w:r>
      <w:r w:rsidR="00432D79">
        <w:t xml:space="preserve">would incur </w:t>
      </w:r>
      <w:r>
        <w:t>little to no additional cost for services. Stakeholders indicated this is usually how approved providers ensure their premises are compliant with regulation 115</w:t>
      </w:r>
      <w:r w:rsidR="00D44BB3">
        <w:t xml:space="preserve"> </w:t>
      </w:r>
      <w:r>
        <w:t xml:space="preserve">and is likely why </w:t>
      </w:r>
      <w:r w:rsidR="00537027">
        <w:t xml:space="preserve">the </w:t>
      </w:r>
      <w:r>
        <w:t>use of waivers is generally among services</w:t>
      </w:r>
      <w:r w:rsidR="00537027">
        <w:t xml:space="preserve"> that were designed prior to the introduction of regulation 115</w:t>
      </w:r>
      <w:r>
        <w:t xml:space="preserve">. As building design requirements have become clearer since many older services were initially designed, it is possible that existing use of waivers </w:t>
      </w:r>
      <w:r w:rsidR="00743757">
        <w:t>will decline</w:t>
      </w:r>
      <w:r>
        <w:t xml:space="preserve"> in the future.</w:t>
      </w:r>
    </w:p>
    <w:p w14:paraId="2A13AB2B" w14:textId="4276FB30" w:rsidR="004119A5" w:rsidRDefault="004119A5" w:rsidP="004119A5">
      <w:r>
        <w:t>Stakeholders indicated that there may also be instances where building works cannot be undertaken</w:t>
      </w:r>
      <w:r w:rsidR="007F2F74">
        <w:t xml:space="preserve"> under option 4</w:t>
      </w:r>
      <w:r>
        <w:t>, which could then require a service to move to an alternative compliant building or premises to continue to provide education and care. This cost would also be substantial</w:t>
      </w:r>
      <w:r w:rsidR="00D44BB3">
        <w:t>,</w:t>
      </w:r>
      <w:r>
        <w:t xml:space="preserve"> but there would be significant variance depending on the size of the service and the leasing costs of alternative building or premises. </w:t>
      </w:r>
    </w:p>
    <w:p w14:paraId="06A5B1E5" w14:textId="4BB01941" w:rsidR="004119A5" w:rsidRPr="003856C3" w:rsidRDefault="004119A5" w:rsidP="004119A5">
      <w:pPr>
        <w:rPr>
          <w:highlight w:val="lightGray"/>
        </w:rPr>
      </w:pPr>
      <w:r w:rsidRPr="00E61456">
        <w:t>Based on the cost evidence available, option 2 has</w:t>
      </w:r>
      <w:r>
        <w:t xml:space="preserve"> been assigned a score of negative </w:t>
      </w:r>
      <w:r w:rsidR="000C2185">
        <w:t xml:space="preserve">one </w:t>
      </w:r>
      <w:r>
        <w:t xml:space="preserve">for this criterion. This reflects the non-regulatory nature of this </w:t>
      </w:r>
      <w:r w:rsidR="00B638EA">
        <w:t>option,</w:t>
      </w:r>
      <w:r>
        <w:t xml:space="preserve"> and the relatively low prevalence of </w:t>
      </w:r>
      <w:r w:rsidR="006112CB">
        <w:t>inadequate supervision</w:t>
      </w:r>
      <w:r>
        <w:t xml:space="preserve"> created by premises design. Options 3 and 4 have been assigned the same MCA score of negative </w:t>
      </w:r>
      <w:r w:rsidR="00C67821">
        <w:t xml:space="preserve">two </w:t>
      </w:r>
      <w:r>
        <w:t>for this criterion. This reflects the low reliance on waivers currently (which would likely continue into the future, without intervention)</w:t>
      </w:r>
      <w:r w:rsidR="00D44BB3">
        <w:t>. H</w:t>
      </w:r>
      <w:r>
        <w:t>owever</w:t>
      </w:r>
      <w:r w:rsidR="00D44BB3">
        <w:t>,</w:t>
      </w:r>
      <w:r>
        <w:t xml:space="preserve"> costs for services that would have otherwise relied on waivers could be substantial.</w:t>
      </w:r>
      <w:r w:rsidR="00444A15">
        <w:t xml:space="preserve"> </w:t>
      </w:r>
    </w:p>
    <w:p w14:paraId="62B050AE" w14:textId="3201E88A" w:rsidR="004119A5" w:rsidRPr="00466043" w:rsidRDefault="004119A5" w:rsidP="004119A5">
      <w:pPr>
        <w:pStyle w:val="Heading4"/>
      </w:pPr>
      <w:r>
        <w:t>Implementation considerations</w:t>
      </w:r>
    </w:p>
    <w:p w14:paraId="5649E8ED" w14:textId="67C9C9CD" w:rsidR="004119A5" w:rsidRPr="003B513C" w:rsidRDefault="00CD0C05" w:rsidP="004119A5">
      <w:r>
        <w:t>Due to t</w:t>
      </w:r>
      <w:r w:rsidR="004119A5">
        <w:t>he non-regulatory nature of option 2</w:t>
      </w:r>
      <w:r>
        <w:t xml:space="preserve">, </w:t>
      </w:r>
      <w:r w:rsidR="004119A5">
        <w:t xml:space="preserve">the sector may choose not to follow guidance materials and instead continue to rely on waivers for regulation 115. As a result, option 2 has been assigned </w:t>
      </w:r>
      <w:r w:rsidR="003055D7">
        <w:t>an MCA</w:t>
      </w:r>
      <w:r w:rsidR="004119A5">
        <w:t xml:space="preserve"> score of negative one for this criterion. </w:t>
      </w:r>
    </w:p>
    <w:p w14:paraId="30FF9347" w14:textId="634D719F" w:rsidR="004119A5" w:rsidRDefault="004119A5" w:rsidP="004119A5">
      <w:r>
        <w:rPr>
          <w:iCs/>
        </w:rPr>
        <w:t>Options 3 and 4 have the potential to impose more substantial risks, particularly if a suitable premises for education and care services cannot be found and budget does not allow for a new building to be constructed</w:t>
      </w:r>
      <w:r w:rsidR="0030002E">
        <w:rPr>
          <w:iCs/>
        </w:rPr>
        <w:t xml:space="preserve"> (this </w:t>
      </w:r>
      <w:r w:rsidR="00F55AEA">
        <w:rPr>
          <w:iCs/>
        </w:rPr>
        <w:t>may be more likely for not-for-profit services or services located in low socio-economic areas)</w:t>
      </w:r>
      <w:r>
        <w:rPr>
          <w:iCs/>
        </w:rPr>
        <w:t xml:space="preserve">. </w:t>
      </w:r>
      <w:r>
        <w:t xml:space="preserve">In extreme cases, options 3 and 4 could prevent a service from </w:t>
      </w:r>
      <w:r w:rsidR="0033510C">
        <w:t xml:space="preserve">providing education and care (likely </w:t>
      </w:r>
      <w:r w:rsidR="00004ACA">
        <w:t>on a temporary basis)</w:t>
      </w:r>
      <w:r w:rsidR="0033510C">
        <w:t xml:space="preserve"> </w:t>
      </w:r>
      <w:r>
        <w:t>if suitable premises are not found, resulting in a reduction in the provision of education and care.</w:t>
      </w:r>
      <w:r w:rsidR="00444A15">
        <w:t xml:space="preserve"> </w:t>
      </w:r>
    </w:p>
    <w:p w14:paraId="23A969D6" w14:textId="5E8066B6" w:rsidR="00902DE1" w:rsidRPr="00902DE1" w:rsidRDefault="00902DE1" w:rsidP="00902DE1">
      <w:pPr>
        <w:pStyle w:val="Quote1"/>
      </w:pPr>
      <w:r>
        <w:lastRenderedPageBreak/>
        <w:t>“</w:t>
      </w:r>
      <w:r w:rsidRPr="00902DE1">
        <w:t>We operate out of an older building, and we already know we would be unable to find a suitable building to relocate to when we have to renovate.</w:t>
      </w:r>
      <w:r>
        <w:t>” – Approved provider survey response</w:t>
      </w:r>
    </w:p>
    <w:p w14:paraId="494F2CE5" w14:textId="08E13D48" w:rsidR="00C33323" w:rsidRDefault="00C33323" w:rsidP="00C33323">
      <w:r>
        <w:t xml:space="preserve">The removal of both service and temporary waivers (option 4) is perceived to have more significant impacts. The inability to request a temporary waiver may require services to either undertake building works or temporarily close a service to allow renovations to ensure building design complies with the requirements of regulation 115. This could have significant impacts for children and families </w:t>
      </w:r>
      <w:r w:rsidR="00D44BB3">
        <w:t>that are</w:t>
      </w:r>
      <w:r>
        <w:t xml:space="preserve"> reliant on that service. Similarly, the removal of </w:t>
      </w:r>
      <w:r w:rsidRPr="5AE086F8">
        <w:rPr>
          <w:rFonts w:eastAsia="Arial" w:cs="Arial"/>
          <w:szCs w:val="22"/>
        </w:rPr>
        <w:t xml:space="preserve">the ability to apply for a temporary </w:t>
      </w:r>
      <w:r>
        <w:t xml:space="preserve">waivers could also have an unintended consequence of preventing any services relocating temporarily, due to an emergency or natural disaster, from operating. </w:t>
      </w:r>
    </w:p>
    <w:p w14:paraId="473B246E" w14:textId="6030EBB8" w:rsidR="00902DE1" w:rsidRDefault="00902DE1" w:rsidP="00902DE1">
      <w:pPr>
        <w:pStyle w:val="Quote1"/>
      </w:pPr>
      <w:r>
        <w:t>“</w:t>
      </w:r>
      <w:r w:rsidRPr="00902DE1">
        <w:t>To refurbish and/or increase licence capacity at services requires waivers as there is limited facilities to move the program for the works to occur.</w:t>
      </w:r>
      <w:r>
        <w:t>”</w:t>
      </w:r>
      <w:r w:rsidR="00695351">
        <w:t xml:space="preserve"> – Approved provider survey response</w:t>
      </w:r>
    </w:p>
    <w:p w14:paraId="1A087DC7" w14:textId="77777777" w:rsidR="00C1094F" w:rsidRDefault="004119A5" w:rsidP="00C1094F">
      <w:r>
        <w:t xml:space="preserve">While the abovementioned implementation considerations could be material, statistics on the number of waiver applications indicate that these changes would affect a small subset of the wider education and care sector. As a result, option 3 has been assigned a score of negative two for this criterion, while option 4 has been assigned a score of negative four. The higher score for option 4 is a </w:t>
      </w:r>
      <w:r w:rsidR="00187F84">
        <w:t xml:space="preserve">reflection </w:t>
      </w:r>
      <w:r>
        <w:t xml:space="preserve">of </w:t>
      </w:r>
      <w:r w:rsidR="00187F84">
        <w:t xml:space="preserve">a </w:t>
      </w:r>
      <w:r>
        <w:t>service being unable to apply for a temporary waiver when they may require one</w:t>
      </w:r>
      <w:r w:rsidR="00187F84">
        <w:t>,</w:t>
      </w:r>
      <w:r>
        <w:t xml:space="preserve"> due </w:t>
      </w:r>
      <w:r w:rsidR="00187F84">
        <w:t xml:space="preserve">to </w:t>
      </w:r>
      <w:r>
        <w:t>an emergency or other unforeseen circumstances.</w:t>
      </w:r>
      <w:r w:rsidR="00C1094F">
        <w:t xml:space="preserve"> </w:t>
      </w:r>
    </w:p>
    <w:p w14:paraId="57173957" w14:textId="49E2E933" w:rsidR="004119A5" w:rsidRPr="00421F96" w:rsidRDefault="00C1094F" w:rsidP="004119A5">
      <w:r>
        <w:t xml:space="preserve">It should be noted that while the MCA scores currently consider the implementation considerations based on the options that were consulted on, the recommended implementation of these options may alleviate some of these risks. For example, communications to the sector that current waivers will not be affected </w:t>
      </w:r>
      <w:r w:rsidR="006040E5">
        <w:t>may reduce concern among stakeholders.</w:t>
      </w:r>
      <w:r>
        <w:t xml:space="preserve"> These implementation considerations are outlined in </w:t>
      </w:r>
      <w:r>
        <w:rPr>
          <w:i/>
          <w:iCs/>
        </w:rPr>
        <w:t>What is the recommended option(s) and how will it be implemented?</w:t>
      </w:r>
    </w:p>
    <w:p w14:paraId="188EDA00" w14:textId="77777777" w:rsidR="004119A5" w:rsidRPr="00466043" w:rsidRDefault="004119A5" w:rsidP="004119A5">
      <w:pPr>
        <w:pStyle w:val="Heading4"/>
      </w:pPr>
      <w:r w:rsidRPr="00466043">
        <w:t>Distributional impacts</w:t>
      </w:r>
    </w:p>
    <w:p w14:paraId="742071CB" w14:textId="091D33AF" w:rsidR="004119A5" w:rsidRPr="00BD54FF" w:rsidRDefault="004119A5" w:rsidP="004119A5">
      <w:r>
        <w:t>Stakeholders held the view that the r</w:t>
      </w:r>
      <w:r w:rsidRPr="00BD54FF">
        <w:t>emoval of the ability to apply for regulation 115 waivers</w:t>
      </w:r>
      <w:r>
        <w:t xml:space="preserve"> under options 3 and 4 </w:t>
      </w:r>
      <w:r w:rsidRPr="00BD54FF">
        <w:t>could disproportionately impact OSHC services and regional and remote services.</w:t>
      </w:r>
    </w:p>
    <w:p w14:paraId="3637C51D" w14:textId="5AC2FBA9" w:rsidR="004119A5" w:rsidRDefault="00C87D34" w:rsidP="004119A5">
      <w:r>
        <w:t>Consulted s</w:t>
      </w:r>
      <w:r w:rsidR="004119A5">
        <w:t xml:space="preserve">takeholders from </w:t>
      </w:r>
      <w:r w:rsidR="004119A5" w:rsidRPr="00BD54FF">
        <w:t xml:space="preserve">OSHC services </w:t>
      </w:r>
      <w:r w:rsidR="004119A5">
        <w:t>indicated that they</w:t>
      </w:r>
      <w:r w:rsidR="004119A5" w:rsidRPr="00BD54FF">
        <w:t xml:space="preserve"> </w:t>
      </w:r>
      <w:r w:rsidR="004119A5">
        <w:t>typically have</w:t>
      </w:r>
      <w:r w:rsidR="004119A5" w:rsidRPr="00BD54FF">
        <w:t xml:space="preserve"> less control over the </w:t>
      </w:r>
      <w:r w:rsidR="004119A5">
        <w:t>design of the physical built environments</w:t>
      </w:r>
      <w:r w:rsidR="004119A5" w:rsidRPr="00BD54FF">
        <w:t xml:space="preserve"> that they operate in. </w:t>
      </w:r>
      <w:r w:rsidR="004119A5">
        <w:t>As such, these stakeholders</w:t>
      </w:r>
      <w:r w:rsidR="004119A5" w:rsidRPr="00BD54FF">
        <w:t xml:space="preserve"> reported concern </w:t>
      </w:r>
      <w:r w:rsidR="004119A5">
        <w:t xml:space="preserve">that removing the </w:t>
      </w:r>
      <w:r w:rsidR="004119A5" w:rsidRPr="00BD54FF">
        <w:t>ability to apply for regulation 115 waivers</w:t>
      </w:r>
      <w:r w:rsidR="004119A5">
        <w:t xml:space="preserve"> </w:t>
      </w:r>
      <w:r w:rsidR="004119A5">
        <w:lastRenderedPageBreak/>
        <w:t>would have a disproportionately larger impact on OSHC services. However, options 3 and 4 would only apply to the application of new waivers</w:t>
      </w:r>
      <w:r w:rsidR="00CA4B33">
        <w:t>, noting existing service and temporary waivers would not be impacted</w:t>
      </w:r>
      <w:r w:rsidR="004119A5">
        <w:t xml:space="preserve">. Given that the current reliance on regulation 115 waivers among OSHC services is very limited, this impact may not materialise in practice. </w:t>
      </w:r>
    </w:p>
    <w:p w14:paraId="4731447B" w14:textId="3CB406A8" w:rsidR="004119A5" w:rsidRDefault="004119A5" w:rsidP="004119A5">
      <w:r w:rsidRPr="00BD54FF">
        <w:t xml:space="preserve">Stakeholders also reflected that the removal of the ability to apply for </w:t>
      </w:r>
      <w:r w:rsidR="00CA4B33">
        <w:t>a waiver of r</w:t>
      </w:r>
      <w:r w:rsidRPr="00BD54FF">
        <w:t>egulation 115 could have a disproportionate impact on</w:t>
      </w:r>
      <w:r w:rsidR="00CA4B33">
        <w:t xml:space="preserve"> providers operating services in</w:t>
      </w:r>
      <w:r w:rsidRPr="00BD54FF">
        <w:t xml:space="preserve"> regional and remote </w:t>
      </w:r>
      <w:r w:rsidR="00CA4B33">
        <w:t>areas</w:t>
      </w:r>
      <w:r w:rsidRPr="00BD54FF">
        <w:t xml:space="preserve">, due to the limited availability of tradespersons to resolve any </w:t>
      </w:r>
      <w:r w:rsidR="00CA4B33">
        <w:t xml:space="preserve">issuing impacting </w:t>
      </w:r>
      <w:r>
        <w:t>supervision</w:t>
      </w:r>
      <w:r w:rsidR="00CA4B33">
        <w:t xml:space="preserve"> at a premises</w:t>
      </w:r>
      <w:r w:rsidRPr="00BD54FF">
        <w:t>.</w:t>
      </w:r>
      <w:r>
        <w:t xml:space="preserve"> The availability of tradespersons could also impact services located in disaster-affected areas, which may be reliant on a temporary waiver due to </w:t>
      </w:r>
      <w:r w:rsidR="00F14A36">
        <w:t xml:space="preserve">the need for </w:t>
      </w:r>
      <w:r>
        <w:t xml:space="preserve">temporary relocation of a service following a disaster event. </w:t>
      </w:r>
    </w:p>
    <w:p w14:paraId="6C2BD48A" w14:textId="5F33D707" w:rsidR="004119A5" w:rsidRDefault="004119A5" w:rsidP="004119A5">
      <w:r>
        <w:t xml:space="preserve">Based on the identified impacts, option 3 has been assigned </w:t>
      </w:r>
      <w:r w:rsidR="003055D7">
        <w:t>an MCA</w:t>
      </w:r>
      <w:r>
        <w:t xml:space="preserve"> score of negative two, while option 4 has been assigned </w:t>
      </w:r>
      <w:r w:rsidR="003055D7">
        <w:t>a</w:t>
      </w:r>
      <w:r w:rsidR="00F14A36">
        <w:t xml:space="preserve"> </w:t>
      </w:r>
      <w:r>
        <w:t>score of negative three. This is on the basis that option 4 could have a slightly higher disproportionate impact for disaster-affected areas.</w:t>
      </w:r>
      <w:r w:rsidR="00444A15">
        <w:t xml:space="preserve"> </w:t>
      </w:r>
    </w:p>
    <w:p w14:paraId="54C8F433" w14:textId="641F8C1A" w:rsidR="004119A5" w:rsidRDefault="004119A5" w:rsidP="004119A5">
      <w:r>
        <w:t xml:space="preserve">Stakeholders identified no distributional impacts associated with option 2. As a result, it has been assigned </w:t>
      </w:r>
      <w:r w:rsidR="003055D7">
        <w:t>an MCA</w:t>
      </w:r>
      <w:r>
        <w:t xml:space="preserve"> score of zero for this criterion. </w:t>
      </w:r>
    </w:p>
    <w:p w14:paraId="4B1A50D7" w14:textId="0043F37D" w:rsidR="00F13084" w:rsidRDefault="00F13084" w:rsidP="00F13084">
      <w:pPr>
        <w:pStyle w:val="Heading4"/>
      </w:pPr>
      <w:r>
        <w:t xml:space="preserve">Stakeholders’ </w:t>
      </w:r>
      <w:r w:rsidR="00BF7E16">
        <w:t>preferred</w:t>
      </w:r>
      <w:r w:rsidR="004C5562">
        <w:t xml:space="preserve"> option</w:t>
      </w:r>
    </w:p>
    <w:p w14:paraId="19A19A82" w14:textId="7989B0C1" w:rsidR="00433620" w:rsidRDefault="00B81799" w:rsidP="00F13084">
      <w:r>
        <w:t>Most a</w:t>
      </w:r>
      <w:r w:rsidR="00F13084">
        <w:t xml:space="preserve">pproved providers, the broader </w:t>
      </w:r>
      <w:r w:rsidR="00014AC2">
        <w:t>education and care</w:t>
      </w:r>
      <w:r w:rsidR="00F13084">
        <w:t xml:space="preserve"> workforce and families, parents and carers </w:t>
      </w:r>
      <w:r w:rsidR="00BF7E16">
        <w:t>preferred</w:t>
      </w:r>
      <w:r w:rsidR="00B51A33">
        <w:t xml:space="preserve"> options 2 and 3</w:t>
      </w:r>
      <w:r w:rsidR="00433620">
        <w:t xml:space="preserve">, often in combination (refer to Chart 9.3 and Appendix </w:t>
      </w:r>
      <w:r w:rsidR="003F6BD1">
        <w:t xml:space="preserve">Charts </w:t>
      </w:r>
      <w:r w:rsidR="00433620">
        <w:t>12.3</w:t>
      </w:r>
      <w:r w:rsidR="003F6BD1">
        <w:t>.5.4-6</w:t>
      </w:r>
      <w:r w:rsidR="00433620">
        <w:t>). Families, parents and carers expressed the strongest preference for option 4 among stakeholder groups but still nominated an overall preference for options 2 and 3 when accounting for individual option preferences and combined option preferences (refer to Chart 9.4).</w:t>
      </w:r>
      <w:r w:rsidR="495A4D68">
        <w:t xml:space="preserve"> Only one</w:t>
      </w:r>
      <w:r w:rsidR="641AC860">
        <w:t>, small local council</w:t>
      </w:r>
      <w:r w:rsidR="495A4D68">
        <w:t xml:space="preserve"> approved provider expressed support for option 4 in a long form written submission, </w:t>
      </w:r>
    </w:p>
    <w:p w14:paraId="549E99F7" w14:textId="77777777" w:rsidR="00433620" w:rsidRDefault="00433620" w:rsidP="00F13084"/>
    <w:p w14:paraId="045CE46B" w14:textId="14617874" w:rsidR="00F13084" w:rsidRDefault="00F13084" w:rsidP="00F13084">
      <w:pPr>
        <w:pStyle w:val="Caption"/>
      </w:pPr>
      <w:bookmarkStart w:id="174" w:name="_Toc205884975"/>
      <w:r w:rsidRPr="005C363E">
        <w:t xml:space="preserve">Chart </w:t>
      </w:r>
      <w:r>
        <w:t>9</w:t>
      </w:r>
      <w:r w:rsidRPr="005C363E">
        <w:t>.</w:t>
      </w:r>
      <w:r>
        <w:t>3</w:t>
      </w:r>
      <w:r w:rsidRPr="005C363E">
        <w:t xml:space="preserve">: Approved provider responses to “What is your </w:t>
      </w:r>
      <w:r w:rsidR="00370AB1">
        <w:t xml:space="preserve">preferred option or combination </w:t>
      </w:r>
      <w:r w:rsidRPr="005C363E">
        <w:t>of options?”</w:t>
      </w:r>
      <w:bookmarkEnd w:id="174"/>
    </w:p>
    <w:p w14:paraId="7AB399DC" w14:textId="77777777" w:rsidR="00F13084" w:rsidRDefault="00F13084" w:rsidP="00F13084">
      <w:r w:rsidRPr="00330649">
        <w:rPr>
          <w:noProof/>
          <w14:ligatures w14:val="standardContextual"/>
        </w:rPr>
        <w:drawing>
          <wp:inline distT="0" distB="0" distL="0" distR="0" wp14:anchorId="46E387EC" wp14:editId="4F50DB11">
            <wp:extent cx="5727700" cy="1835705"/>
            <wp:effectExtent l="0" t="0" r="6350" b="0"/>
            <wp:docPr id="1809718986" name="Chart 1" descr="Chart outlining approved provider survey responses to the question &quot;What is your preferred option or combination of options?&quot;">
              <a:extLst xmlns:a="http://schemas.openxmlformats.org/drawingml/2006/main">
                <a:ext uri="{FF2B5EF4-FFF2-40B4-BE49-F238E27FC236}">
                  <a16:creationId xmlns:a16="http://schemas.microsoft.com/office/drawing/2014/main" id="{304EAD85-C966-FECB-7974-22BFDEFCC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7228794" w14:textId="77777777" w:rsidR="00F13084" w:rsidRDefault="00F13084" w:rsidP="00DA7F0B">
      <w:pPr>
        <w:pStyle w:val="Source-CSR"/>
      </w:pPr>
      <w:r w:rsidRPr="00330649">
        <w:lastRenderedPageBreak/>
        <w:t xml:space="preserve">Source: Approved provider survey, as of </w:t>
      </w:r>
      <w:r>
        <w:t>11</w:t>
      </w:r>
      <w:r w:rsidRPr="00330649">
        <w:t xml:space="preserve"> June 2025, Q78, n=</w:t>
      </w:r>
      <w:r>
        <w:t>130</w:t>
      </w:r>
      <w:r w:rsidRPr="00330649">
        <w:t>. Note that no respondents selected the following combinations of options: 3 and 4, 2, 3 and 4. Note that if a respondent selected a combination of options, that selection is treated as a unique preference and not double-counted in each individual option.</w:t>
      </w:r>
    </w:p>
    <w:p w14:paraId="62B81FF1" w14:textId="77777777" w:rsidR="00F13084" w:rsidRPr="008C65B8" w:rsidRDefault="00F13084" w:rsidP="00976C70">
      <w:pPr>
        <w:pStyle w:val="Source-CSR"/>
        <w:rPr>
          <w:rFonts w:eastAsia="Calibri" w:cs="Arial"/>
          <w:color w:val="808080" w:themeColor="background1" w:themeShade="80"/>
        </w:rPr>
      </w:pPr>
      <w:r>
        <w:t>Note: Figures may not sum due to rounding.</w:t>
      </w:r>
    </w:p>
    <w:p w14:paraId="4CAE3EF6" w14:textId="3E77A803" w:rsidR="00F13084" w:rsidRPr="00AB13BF" w:rsidRDefault="00F13084" w:rsidP="00F13084">
      <w:pPr>
        <w:pStyle w:val="Caption"/>
      </w:pPr>
      <w:bookmarkStart w:id="175" w:name="_Toc205884976"/>
      <w:r>
        <w:t xml:space="preserve">Chart 9.4: </w:t>
      </w:r>
      <w:r w:rsidRPr="00AB13BF">
        <w:t xml:space="preserve">Family, carer, and parent responses to “What is your </w:t>
      </w:r>
      <w:r w:rsidR="00B734E0">
        <w:t xml:space="preserve">preferred option or combination </w:t>
      </w:r>
      <w:r w:rsidRPr="00AB13BF">
        <w:t>of options?”</w:t>
      </w:r>
      <w:bookmarkEnd w:id="175"/>
      <w:r w:rsidRPr="00AB13BF">
        <w:t xml:space="preserve"> </w:t>
      </w:r>
    </w:p>
    <w:p w14:paraId="53B2381C" w14:textId="77777777" w:rsidR="00F13084" w:rsidRPr="00AB13BF" w:rsidRDefault="00F13084" w:rsidP="00F13084">
      <w:pPr>
        <w:rPr>
          <w:noProof/>
          <w14:ligatures w14:val="standardContextual"/>
        </w:rPr>
      </w:pPr>
      <w:r w:rsidRPr="00AB13BF">
        <w:rPr>
          <w:noProof/>
          <w14:ligatures w14:val="standardContextual"/>
        </w:rPr>
        <w:drawing>
          <wp:inline distT="0" distB="0" distL="0" distR="0" wp14:anchorId="00742F54" wp14:editId="2E27F54C">
            <wp:extent cx="5727700" cy="1826260"/>
            <wp:effectExtent l="0" t="0" r="6350" b="2540"/>
            <wp:docPr id="738166708" name="Chart 1" descr="Chart outlining family, care, and parent responses to the survey question &quot;What is your preferred option or combination of options?&quot;">
              <a:extLst xmlns:a="http://schemas.openxmlformats.org/drawingml/2006/main">
                <a:ext uri="{FF2B5EF4-FFF2-40B4-BE49-F238E27FC236}">
                  <a16:creationId xmlns:a16="http://schemas.microsoft.com/office/drawing/2014/main" id="{936563CC-CBDB-EB01-E9C5-73D27DD04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71F74B8" w14:textId="77777777" w:rsidR="00F13084" w:rsidRPr="00AB13BF" w:rsidRDefault="00F13084" w:rsidP="00DA7F0B">
      <w:pPr>
        <w:pStyle w:val="Source-CSR"/>
      </w:pPr>
      <w:r w:rsidRPr="00AB13BF">
        <w:t xml:space="preserve">Source: Families, carers and parents survey, as of </w:t>
      </w:r>
      <w:r>
        <w:t>11</w:t>
      </w:r>
      <w:r w:rsidRPr="00AB13BF">
        <w:t xml:space="preserve"> June 2025, Q78, n=68. Note that no respondents selected the following combinations of options: 3 and 4, 2, 3 and 4. Note that if a respondent selected a combination </w:t>
      </w:r>
      <w:r w:rsidRPr="00DA7F0B">
        <w:t>of</w:t>
      </w:r>
      <w:r w:rsidRPr="00AB13BF">
        <w:t xml:space="preserve"> options, that selection is treated as a unique preference and not double-counted in each individual option.</w:t>
      </w:r>
    </w:p>
    <w:p w14:paraId="26A1D1E5" w14:textId="012F2A9C" w:rsidR="00F13084" w:rsidRPr="00F13084" w:rsidRDefault="00F13084" w:rsidP="00976C70">
      <w:pPr>
        <w:pStyle w:val="Source-CSR"/>
        <w:rPr>
          <w:rFonts w:eastAsia="Calibri" w:cs="Arial"/>
          <w:color w:val="808080" w:themeColor="background1" w:themeShade="80"/>
        </w:rPr>
      </w:pPr>
      <w:r>
        <w:t>Note: Figures may not sum due to rounding.</w:t>
      </w:r>
    </w:p>
    <w:p w14:paraId="35B15345" w14:textId="2C640B21" w:rsidR="004119A5" w:rsidRDefault="004119A5" w:rsidP="004119A5">
      <w:pPr>
        <w:pStyle w:val="Heading3"/>
      </w:pPr>
      <w:r>
        <w:t xml:space="preserve">What is the </w:t>
      </w:r>
      <w:r w:rsidR="004C5562">
        <w:t>recommended option</w:t>
      </w:r>
      <w:r>
        <w:t>(s) and how will it be implemented?</w:t>
      </w:r>
    </w:p>
    <w:p w14:paraId="11931E91" w14:textId="1CCF884F" w:rsidR="00F13084" w:rsidRDefault="00DC456D" w:rsidP="004119A5">
      <w:r w:rsidRPr="00DC456D">
        <w:t xml:space="preserve">Options 2 and 3 are </w:t>
      </w:r>
      <w:r w:rsidR="00F41507" w:rsidRPr="007D27A8">
        <w:t>the options to be provided to Education Ministers for consideration</w:t>
      </w:r>
      <w:r w:rsidRPr="00DC456D">
        <w:t xml:space="preserve">. This is on the basis that these options would generate the most significant improvements to child safety even after accounting for potential implementation costs. </w:t>
      </w:r>
      <w:r w:rsidR="004119A5" w:rsidRPr="00B70EF5">
        <w:t>O</w:t>
      </w:r>
      <w:r w:rsidR="004119A5">
        <w:t xml:space="preserve">ption </w:t>
      </w:r>
      <w:r w:rsidR="004119A5" w:rsidRPr="00B70EF5">
        <w:t xml:space="preserve">4 has not been included as </w:t>
      </w:r>
      <w:r w:rsidR="004119A5">
        <w:t>a</w:t>
      </w:r>
      <w:r w:rsidR="004119A5" w:rsidRPr="00B70EF5">
        <w:t xml:space="preserve"> </w:t>
      </w:r>
      <w:r w:rsidR="004C5562">
        <w:t>recommended option</w:t>
      </w:r>
      <w:r w:rsidR="004119A5">
        <w:t>, largely due to the greater implementation risks associated with being unable to apply for temporary waivers in any circumstance, including emergencies.</w:t>
      </w:r>
      <w:r w:rsidR="0036342C">
        <w:t xml:space="preserve"> </w:t>
      </w:r>
    </w:p>
    <w:p w14:paraId="0F6BE159" w14:textId="20D68F20" w:rsidR="004119A5" w:rsidRPr="00087F19" w:rsidRDefault="00F41507" w:rsidP="004119A5">
      <w:r>
        <w:t>If the recommended options are implemented</w:t>
      </w:r>
      <w:r w:rsidR="008140E4">
        <w:t>, the governments will develop</w:t>
      </w:r>
      <w:r w:rsidR="00447127">
        <w:t xml:space="preserve"> communication to confirm that option 3 removes the ability to apply for a service waiver but will not impact any an existing waiver of regulation 115. This limits the impact of proposed reforms on education and care services with an existing waiver in place. </w:t>
      </w:r>
    </w:p>
    <w:p w14:paraId="72CA1CE5" w14:textId="6F374899" w:rsidR="004119A5" w:rsidRDefault="004119A5" w:rsidP="004119A5">
      <w:pPr>
        <w:pStyle w:val="Heading2"/>
      </w:pPr>
      <w:bookmarkStart w:id="176" w:name="_Toc202887601"/>
      <w:bookmarkStart w:id="177" w:name="_Toc205884900"/>
      <w:r>
        <w:t xml:space="preserve">9.2 Requiring approved providers to assess not just the </w:t>
      </w:r>
      <w:r w:rsidR="005E7910">
        <w:t xml:space="preserve">FDC </w:t>
      </w:r>
      <w:r>
        <w:t>residence, but areas near the residence</w:t>
      </w:r>
      <w:bookmarkEnd w:id="176"/>
      <w:bookmarkEnd w:id="177"/>
      <w:r>
        <w:t xml:space="preserve"> </w:t>
      </w:r>
    </w:p>
    <w:tbl>
      <w:tblPr>
        <w:tblStyle w:val="Deloittetable"/>
        <w:tblW w:w="9140" w:type="dxa"/>
        <w:tblLook w:val="04A0" w:firstRow="1" w:lastRow="0" w:firstColumn="1" w:lastColumn="0" w:noHBand="0" w:noVBand="1"/>
        <w:tblCaption w:val="Key insights - Requiring approved providers to assess not just the FDC residence, but areas near the residence "/>
        <w:tblDescription w:val="This table outlines the key insights for requiring approved providers to assess not just the FDC residence, but areas near the residence."/>
      </w:tblPr>
      <w:tblGrid>
        <w:gridCol w:w="9140"/>
      </w:tblGrid>
      <w:tr w:rsidR="00B11DFB" w14:paraId="42D5F9F0" w14:textId="77777777">
        <w:trPr>
          <w:cnfStyle w:val="100000000000" w:firstRow="1" w:lastRow="0" w:firstColumn="0" w:lastColumn="0" w:oddVBand="0" w:evenVBand="0" w:oddHBand="0" w:evenHBand="0" w:firstRowFirstColumn="0" w:firstRowLastColumn="0" w:lastRowFirstColumn="0" w:lastRowLastColumn="0"/>
          <w:trHeight w:val="1641"/>
        </w:trPr>
        <w:tc>
          <w:tcPr>
            <w:tcW w:w="9140" w:type="dxa"/>
            <w:shd w:val="clear" w:color="auto" w:fill="DEE6F4" w:themeFill="text2" w:themeFillTint="1A"/>
          </w:tcPr>
          <w:p w14:paraId="14A4FF67" w14:textId="77777777" w:rsidR="00B11DFB" w:rsidRPr="005347A5" w:rsidRDefault="00B11DFB">
            <w:pPr>
              <w:rPr>
                <w:b/>
                <w:bCs/>
                <w:sz w:val="20"/>
                <w:szCs w:val="20"/>
              </w:rPr>
            </w:pPr>
            <w:r w:rsidRPr="005347A5">
              <w:rPr>
                <w:b/>
                <w:bCs/>
                <w:sz w:val="20"/>
                <w:szCs w:val="20"/>
              </w:rPr>
              <w:lastRenderedPageBreak/>
              <w:t xml:space="preserve">Key Insights </w:t>
            </w:r>
          </w:p>
          <w:p w14:paraId="18E6C1C7" w14:textId="77777777" w:rsidR="00B11DFB" w:rsidRPr="00712583" w:rsidRDefault="00B11DFB">
            <w:pPr>
              <w:rPr>
                <w:i/>
                <w:szCs w:val="22"/>
              </w:rPr>
            </w:pPr>
            <w:r>
              <w:rPr>
                <w:i/>
                <w:szCs w:val="22"/>
              </w:rPr>
              <w:t>Problem</w:t>
            </w:r>
          </w:p>
          <w:p w14:paraId="1176FE13" w14:textId="77777777" w:rsidR="000E0CA5" w:rsidRPr="000E0CA5" w:rsidRDefault="000E0CA5" w:rsidP="00EC53AB">
            <w:pPr>
              <w:pStyle w:val="ListParagraph"/>
              <w:numPr>
                <w:ilvl w:val="0"/>
                <w:numId w:val="100"/>
              </w:numPr>
              <w:spacing w:before="120"/>
              <w:ind w:left="462"/>
              <w:contextualSpacing/>
              <w:rPr>
                <w:szCs w:val="20"/>
              </w:rPr>
            </w:pPr>
            <w:r w:rsidRPr="000E0CA5">
              <w:rPr>
                <w:szCs w:val="20"/>
              </w:rPr>
              <w:t>Regulation 116 currently requires approved providers to assess the FDC ‘residence’. It does not consider different configurations and layouts of residences (e.g. multiple dwellings on one property, property type) or the outside spaces that surround residences. This may lead to varying expectations and practices across states and territories for the boundaries of assessment of FDC residences.</w:t>
            </w:r>
          </w:p>
          <w:p w14:paraId="01770835" w14:textId="77777777" w:rsidR="000E0CA5" w:rsidRPr="000E0CA5" w:rsidRDefault="000E0CA5" w:rsidP="00EC53AB">
            <w:pPr>
              <w:numPr>
                <w:ilvl w:val="0"/>
                <w:numId w:val="100"/>
              </w:numPr>
              <w:spacing w:before="120"/>
              <w:ind w:left="462"/>
              <w:contextualSpacing/>
              <w:rPr>
                <w:i/>
                <w:szCs w:val="20"/>
              </w:rPr>
            </w:pPr>
            <w:r w:rsidRPr="000E0CA5">
              <w:rPr>
                <w:szCs w:val="20"/>
              </w:rPr>
              <w:t xml:space="preserve">There are anecdotal reports across states and territories that children attending FDCs have been able to access garages, sheds, or outdoor locations in which hazards such as machinery, chemicals, and insect nests were present. The presence of these hazards, and other foreseeable items, located near the FDC residence raises concerns for children’s safety. </w:t>
            </w:r>
          </w:p>
          <w:p w14:paraId="32937AD6" w14:textId="15769677" w:rsidR="00B11DFB" w:rsidRPr="000B4397" w:rsidRDefault="00B11DFB">
            <w:pPr>
              <w:spacing w:before="120"/>
              <w:contextualSpacing/>
              <w:rPr>
                <w:i/>
                <w:szCs w:val="20"/>
              </w:rPr>
            </w:pPr>
            <w:r w:rsidRPr="002B7C48">
              <w:rPr>
                <w:i/>
                <w:szCs w:val="20"/>
              </w:rPr>
              <w:t>Impacts of each option</w:t>
            </w:r>
          </w:p>
          <w:p w14:paraId="5EDC4419" w14:textId="77AA04FE" w:rsidR="00B11DFB" w:rsidRPr="000B4397" w:rsidRDefault="00B11DFB"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that </w:t>
            </w:r>
            <w:r w:rsidR="000E0CA5" w:rsidRPr="000E0CA5">
              <w:rPr>
                <w:szCs w:val="20"/>
              </w:rPr>
              <w:t>all proposed changes are expected to have a net positive impact on improvement in child safety even after accounting for costs and implementation risks</w:t>
            </w:r>
            <w:r w:rsidR="000E0CA5">
              <w:rPr>
                <w:szCs w:val="20"/>
              </w:rPr>
              <w:t>, with option 4 having the highest weighted score (0.3), and option 2 and 3 being equal (0.1).</w:t>
            </w:r>
          </w:p>
          <w:p w14:paraId="432D638D" w14:textId="44754165" w:rsidR="00B11DFB" w:rsidRPr="000F4A52" w:rsidRDefault="00B11DFB" w:rsidP="00EC53AB">
            <w:pPr>
              <w:pStyle w:val="ListParagraph"/>
              <w:numPr>
                <w:ilvl w:val="0"/>
                <w:numId w:val="100"/>
              </w:numPr>
              <w:tabs>
                <w:tab w:val="clear" w:pos="2835"/>
              </w:tabs>
              <w:spacing w:before="120"/>
              <w:ind w:left="462"/>
              <w:contextualSpacing/>
              <w:rPr>
                <w:szCs w:val="20"/>
              </w:rPr>
            </w:pPr>
            <w:r w:rsidRPr="000F4A52">
              <w:rPr>
                <w:szCs w:val="20"/>
              </w:rPr>
              <w:t>Option</w:t>
            </w:r>
            <w:r w:rsidR="00AD1E89">
              <w:rPr>
                <w:szCs w:val="20"/>
              </w:rPr>
              <w:t>s 2</w:t>
            </w:r>
            <w:r w:rsidR="00AC4DBC">
              <w:rPr>
                <w:szCs w:val="20"/>
              </w:rPr>
              <w:t xml:space="preserve">, 3 and </w:t>
            </w:r>
            <w:r w:rsidR="00AD1E89">
              <w:rPr>
                <w:szCs w:val="20"/>
              </w:rPr>
              <w:t>4 were</w:t>
            </w:r>
            <w:r w:rsidRPr="000F4A52">
              <w:rPr>
                <w:szCs w:val="20"/>
              </w:rPr>
              <w:t xml:space="preserve"> the </w:t>
            </w:r>
            <w:r w:rsidR="00BF7E16">
              <w:rPr>
                <w:szCs w:val="20"/>
              </w:rPr>
              <w:t>preferred</w:t>
            </w:r>
            <w:r w:rsidR="004C5562">
              <w:rPr>
                <w:szCs w:val="20"/>
              </w:rPr>
              <w:t xml:space="preserve"> option</w:t>
            </w:r>
            <w:r w:rsidRPr="000F4A52">
              <w:rPr>
                <w:szCs w:val="20"/>
              </w:rPr>
              <w:t xml:space="preserve"> among </w:t>
            </w:r>
            <w:r w:rsidR="00AD1E89">
              <w:rPr>
                <w:szCs w:val="20"/>
              </w:rPr>
              <w:t xml:space="preserve">most providers, however </w:t>
            </w:r>
            <w:r w:rsidR="00AC4DBC">
              <w:rPr>
                <w:szCs w:val="20"/>
              </w:rPr>
              <w:t>i</w:t>
            </w:r>
            <w:r w:rsidR="00AC4DBC" w:rsidRPr="00AC4DBC">
              <w:rPr>
                <w:szCs w:val="20"/>
              </w:rPr>
              <w:t>t is noted that FDC services expressed strong preferences against option 3 due to the sector’s perspective that the impact of option 3 would be limited in reducing the risk of harm to children in these services.</w:t>
            </w:r>
          </w:p>
          <w:p w14:paraId="3F50E45A" w14:textId="615AA49E" w:rsidR="00B11DFB" w:rsidRPr="00C44DEA" w:rsidRDefault="00B11DFB" w:rsidP="00EC53AB">
            <w:pPr>
              <w:pStyle w:val="ListParagraph"/>
              <w:numPr>
                <w:ilvl w:val="0"/>
                <w:numId w:val="100"/>
              </w:numPr>
              <w:spacing w:before="120"/>
              <w:ind w:left="462"/>
              <w:contextualSpacing/>
              <w:rPr>
                <w:szCs w:val="20"/>
              </w:rPr>
            </w:pPr>
            <w:r>
              <w:rPr>
                <w:szCs w:val="20"/>
              </w:rPr>
              <w:t>Option</w:t>
            </w:r>
            <w:r w:rsidR="000E0CA5">
              <w:rPr>
                <w:szCs w:val="20"/>
              </w:rPr>
              <w:t xml:space="preserve"> 3</w:t>
            </w:r>
            <w:r w:rsidRPr="000D3C24">
              <w:rPr>
                <w:szCs w:val="20"/>
              </w:rPr>
              <w:t xml:space="preserve"> receive</w:t>
            </w:r>
            <w:r>
              <w:rPr>
                <w:szCs w:val="20"/>
              </w:rPr>
              <w:t>d</w:t>
            </w:r>
            <w:r w:rsidRPr="000D3C24">
              <w:rPr>
                <w:szCs w:val="20"/>
              </w:rPr>
              <w:t xml:space="preserve"> a lower weighted score than option </w:t>
            </w:r>
            <w:r w:rsidR="000E0CA5">
              <w:rPr>
                <w:szCs w:val="20"/>
              </w:rPr>
              <w:t>4</w:t>
            </w:r>
            <w:r>
              <w:rPr>
                <w:szCs w:val="20"/>
              </w:rPr>
              <w:t>,</w:t>
            </w:r>
            <w:r w:rsidRPr="000D3C24">
              <w:rPr>
                <w:szCs w:val="20"/>
              </w:rPr>
              <w:t xml:space="preserve"> reflecting </w:t>
            </w:r>
            <w:r w:rsidR="000E0CA5" w:rsidRPr="000E0CA5">
              <w:rPr>
                <w:szCs w:val="20"/>
              </w:rPr>
              <w:t>the substantial implementation risks identified by FDC stakeholders.</w:t>
            </w:r>
          </w:p>
          <w:p w14:paraId="1D551927" w14:textId="6D6A34EF" w:rsidR="00B11DFB" w:rsidRPr="00712583" w:rsidRDefault="004C5562">
            <w:pPr>
              <w:rPr>
                <w:szCs w:val="22"/>
              </w:rPr>
            </w:pPr>
            <w:r>
              <w:rPr>
                <w:i/>
                <w:szCs w:val="22"/>
              </w:rPr>
              <w:t>Recommended option</w:t>
            </w:r>
          </w:p>
          <w:p w14:paraId="518E1C03" w14:textId="0E12B896" w:rsidR="00FC4873" w:rsidRPr="00FC4873" w:rsidRDefault="00931972" w:rsidP="00EC53AB">
            <w:pPr>
              <w:pStyle w:val="ListParagraph"/>
              <w:numPr>
                <w:ilvl w:val="0"/>
                <w:numId w:val="100"/>
              </w:numPr>
              <w:spacing w:before="120"/>
              <w:ind w:left="462"/>
              <w:contextualSpacing/>
              <w:jc w:val="both"/>
              <w:rPr>
                <w:szCs w:val="20"/>
              </w:rPr>
            </w:pPr>
            <w:r w:rsidRPr="00931972">
              <w:rPr>
                <w:szCs w:val="20"/>
              </w:rPr>
              <w:t>Based on analysis included in this DRIS, the options to be provided to Education Ministers for consideration are</w:t>
            </w:r>
            <w:r w:rsidRPr="00FC4873">
              <w:rPr>
                <w:szCs w:val="20"/>
              </w:rPr>
              <w:t xml:space="preserve"> </w:t>
            </w:r>
            <w:r>
              <w:rPr>
                <w:szCs w:val="20"/>
              </w:rPr>
              <w:t>o</w:t>
            </w:r>
            <w:r w:rsidR="00FC4873" w:rsidRPr="00FC4873">
              <w:rPr>
                <w:szCs w:val="20"/>
              </w:rPr>
              <w:t xml:space="preserve">ptions 3 and 4. In terms of benefits, these options are expected to improve the consistency of FDC assessments and provide greater clarity to FDC educators on where education and care services are to take place and which in which areas all risks to child safety need to be mitigated. </w:t>
            </w:r>
          </w:p>
          <w:p w14:paraId="6FD4693B" w14:textId="041D58D3" w:rsidR="00B11DFB" w:rsidRPr="00397987" w:rsidRDefault="00FC4873" w:rsidP="00EC53AB">
            <w:pPr>
              <w:pStyle w:val="ListParagraph"/>
              <w:numPr>
                <w:ilvl w:val="0"/>
                <w:numId w:val="100"/>
              </w:numPr>
              <w:spacing w:before="120"/>
              <w:ind w:left="462"/>
              <w:contextualSpacing/>
              <w:jc w:val="both"/>
            </w:pPr>
            <w:r w:rsidRPr="00FC4873">
              <w:rPr>
                <w:szCs w:val="20"/>
              </w:rPr>
              <w:t xml:space="preserve">Governments will work closely with the FDC sector to address a range of identified implementation considerations. This includes the provision of more prescriptive guidance </w:t>
            </w:r>
            <w:r w:rsidR="00AE246F">
              <w:rPr>
                <w:szCs w:val="20"/>
              </w:rPr>
              <w:t xml:space="preserve">alongside regulatory changes. </w:t>
            </w:r>
          </w:p>
        </w:tc>
      </w:tr>
    </w:tbl>
    <w:p w14:paraId="4EC36C16" w14:textId="77777777" w:rsidR="004119A5" w:rsidRDefault="004119A5" w:rsidP="004119A5">
      <w:pPr>
        <w:spacing w:before="240"/>
      </w:pPr>
      <w:r>
        <w:t xml:space="preserve">Regulation 116 of the National Regulations requires the </w:t>
      </w:r>
      <w:r w:rsidRPr="0027654E">
        <w:t>approved provider of</w:t>
      </w:r>
      <w:r>
        <w:t xml:space="preserve"> an FDC to conduct an assessment (which includes a risk assessment) of each proposed FDC residence or venue, </w:t>
      </w:r>
      <w:r w:rsidRPr="00016DD6">
        <w:t>before education and care is provided to children at the residence or venue</w:t>
      </w:r>
      <w:r>
        <w:t xml:space="preserve">, and on an annual basis. </w:t>
      </w:r>
    </w:p>
    <w:p w14:paraId="06B7056F" w14:textId="16EA9C2E" w:rsidR="004119A5" w:rsidRDefault="004119A5" w:rsidP="004119A5">
      <w:r>
        <w:t xml:space="preserve">For FDCs operating from a residence, the assessment is required to encompass the entire FDC residence (i.e., the habitable part of the dwelling), rather than just the areas where education and care is provided (referred to as the FDC ‘service premises’) (refer Figure 9.1). The assessment is not required to include other spaces, such as sheds and outdoor spaces. </w:t>
      </w:r>
    </w:p>
    <w:p w14:paraId="365837BC" w14:textId="332536F8" w:rsidR="004119A5" w:rsidRDefault="004119A5" w:rsidP="004119A5">
      <w:pPr>
        <w:pStyle w:val="Caption"/>
      </w:pPr>
      <w:bookmarkStart w:id="178" w:name="_Toc202887745"/>
      <w:bookmarkStart w:id="179" w:name="_Toc205884977"/>
      <w:r>
        <w:lastRenderedPageBreak/>
        <w:t>Figure 9.1: Diagram example of the boundaries of an FDC service premises and FDC residence relative to property boundary</w:t>
      </w:r>
      <w:bookmarkEnd w:id="178"/>
      <w:bookmarkEnd w:id="179"/>
    </w:p>
    <w:p w14:paraId="3355E77C" w14:textId="0B671EE3" w:rsidR="004119A5" w:rsidRDefault="004119A5" w:rsidP="004119A5">
      <w:r w:rsidRPr="00971CB6">
        <w:rPr>
          <w:noProof/>
        </w:rPr>
        <w:drawing>
          <wp:inline distT="0" distB="0" distL="0" distR="0" wp14:anchorId="0E3F6C6E" wp14:editId="702BC9E3">
            <wp:extent cx="4791075" cy="2792314"/>
            <wp:effectExtent l="0" t="0" r="0" b="8255"/>
            <wp:docPr id="1162481377" name="Picture 1" descr="Diagram example of the boundaries of an FDC service premises and FDC residence relative to property bound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81377" name="Picture 1" descr="Diagram example of the boundaries of an FDC service premises and FDC residence relative to property boundary. "/>
                    <pic:cNvPicPr/>
                  </pic:nvPicPr>
                  <pic:blipFill>
                    <a:blip r:embed="rId53"/>
                    <a:stretch>
                      <a:fillRect/>
                    </a:stretch>
                  </pic:blipFill>
                  <pic:spPr>
                    <a:xfrm>
                      <a:off x="0" y="0"/>
                      <a:ext cx="4812807" cy="2804980"/>
                    </a:xfrm>
                    <a:prstGeom prst="rect">
                      <a:avLst/>
                    </a:prstGeom>
                  </pic:spPr>
                </pic:pic>
              </a:graphicData>
            </a:graphic>
          </wp:inline>
        </w:drawing>
      </w:r>
    </w:p>
    <w:p w14:paraId="448BF381" w14:textId="77777777" w:rsidR="004119A5" w:rsidRDefault="004119A5" w:rsidP="004119A5">
      <w:pPr>
        <w:pStyle w:val="Heading3"/>
      </w:pPr>
      <w:r>
        <w:t>What is the problem?</w:t>
      </w:r>
    </w:p>
    <w:p w14:paraId="48097853" w14:textId="18AED479" w:rsidR="004119A5" w:rsidRDefault="004119A5" w:rsidP="004119A5">
      <w:r>
        <w:t>Regulation 116 currently requires approved providers to assess the FDC ‘residence’. It does not consider different configurations and layouts of residences (e.g. multiple dwellings on one property, property type) or the outside spaces that surround residences. This may</w:t>
      </w:r>
      <w:r w:rsidDel="000644ED">
        <w:t xml:space="preserve"> </w:t>
      </w:r>
      <w:r>
        <w:t>lead to varying expectations and practices across states and territories for the boundaries of assessment of FDC residences.</w:t>
      </w:r>
    </w:p>
    <w:p w14:paraId="2E59E78A" w14:textId="77777777" w:rsidR="004119A5" w:rsidRDefault="004119A5" w:rsidP="004119A5">
      <w:r>
        <w:t>There are</w:t>
      </w:r>
      <w:r w:rsidRPr="00471EAF">
        <w:t xml:space="preserve"> anecdotal reports across </w:t>
      </w:r>
      <w:r>
        <w:t>states and territories</w:t>
      </w:r>
      <w:r w:rsidRPr="00471EAF">
        <w:t xml:space="preserve"> that children attending FDC</w:t>
      </w:r>
      <w:r>
        <w:t>s</w:t>
      </w:r>
      <w:r w:rsidRPr="00471EAF">
        <w:t xml:space="preserve"> have been able to access garages, sheds, or outdoor locations in which </w:t>
      </w:r>
      <w:r>
        <w:t xml:space="preserve">hazards such as machinery, </w:t>
      </w:r>
      <w:r w:rsidRPr="00471EAF">
        <w:t>chemicals</w:t>
      </w:r>
      <w:r>
        <w:t>,</w:t>
      </w:r>
      <w:r w:rsidRPr="00471EAF">
        <w:t xml:space="preserve"> </w:t>
      </w:r>
      <w:r>
        <w:t>and</w:t>
      </w:r>
      <w:r w:rsidRPr="00471EAF">
        <w:t xml:space="preserve"> insect</w:t>
      </w:r>
      <w:r>
        <w:t xml:space="preserve"> nest</w:t>
      </w:r>
      <w:r w:rsidRPr="00471EAF">
        <w:t>s were present.</w:t>
      </w:r>
      <w:r w:rsidRPr="00B3629B">
        <w:t xml:space="preserve"> </w:t>
      </w:r>
      <w:r>
        <w:t xml:space="preserve">The presence of these hazards, and other foreseeable items, located near the FDC residence raises concerns for children’s safety. </w:t>
      </w:r>
    </w:p>
    <w:p w14:paraId="6056F434" w14:textId="77777777" w:rsidR="004119A5" w:rsidRDefault="004119A5" w:rsidP="004119A5">
      <w:r>
        <w:t xml:space="preserve">Serious risks to children’s physical, emotional, and overall wellbeing could arise if they access areas within the broader environment (i.e., beyond the FDC service premises and residence) that contain hazards. Children may suffer physical harm from injuries or accidents due to exposure to hazardous materials or equipment found in garages, sheds, in areas of an FDC environment outside of the FDC residence. </w:t>
      </w:r>
    </w:p>
    <w:p w14:paraId="091C1F37" w14:textId="68CFD774" w:rsidR="004119A5" w:rsidRDefault="004119A5" w:rsidP="004119A5">
      <w:r>
        <w:t xml:space="preserve">Where one or more areas around an FDC residence have not been assessed by an approved provider, the FDC service’s risk mitigation strategies may not address the full extent of potential hazards or risks that children may encounter while attending an FDC. </w:t>
      </w:r>
      <w:r>
        <w:lastRenderedPageBreak/>
        <w:t xml:space="preserve">Approved providers support FDC educators in implementing risk mitigation strategies within the areas that they have assessed. The absence of a risk assessment for some areas can increase the risk of harm to children if they access these areas, particularly if they are not subject to the same risk mitigations in place within the service premises. </w:t>
      </w:r>
    </w:p>
    <w:p w14:paraId="16E64492" w14:textId="77777777" w:rsidR="004119A5" w:rsidRDefault="004119A5" w:rsidP="004119A5">
      <w:r>
        <w:t xml:space="preserve">There could be a range of ways in which children access areas outside of an FDC residence, such as: </w:t>
      </w:r>
    </w:p>
    <w:p w14:paraId="1AE14260" w14:textId="3C6A738E" w:rsidR="004119A5" w:rsidRDefault="004119A5" w:rsidP="00EC53AB">
      <w:pPr>
        <w:pStyle w:val="ListParagraph"/>
        <w:numPr>
          <w:ilvl w:val="0"/>
          <w:numId w:val="2"/>
        </w:numPr>
        <w:ind w:left="426"/>
      </w:pPr>
      <w:r>
        <w:t>FDC educators taking children to parts of the property that have not been assessed as part of the residence (e.g., visiting a shed on a property to engage in a tinkering activity)</w:t>
      </w:r>
      <w:r w:rsidR="00F77C7A">
        <w:t>,</w:t>
      </w:r>
    </w:p>
    <w:p w14:paraId="4EBC0C3B" w14:textId="361510B3" w:rsidR="004119A5" w:rsidRDefault="004119A5" w:rsidP="00F77C7A">
      <w:pPr>
        <w:pStyle w:val="ListParagraph"/>
        <w:ind w:left="426"/>
      </w:pPr>
      <w:r>
        <w:t>inadequate supervision of children may lead to children accessing areas outside of the service premises. This could lead to children accessing hazardous materials or areas outside of the FDC residence, raising concern for their safety and being exposed to other harms.</w:t>
      </w:r>
    </w:p>
    <w:p w14:paraId="4FF4BCC2" w14:textId="671822AF" w:rsidR="004119A5" w:rsidRDefault="004119A5" w:rsidP="004119A5">
      <w:r>
        <w:t>Over the last five years, there were 75 confirmed breaches of regulation 99 (children leaving the education and care service premises) in FDCs.</w:t>
      </w:r>
      <w:r w:rsidR="005A0B18">
        <w:rPr>
          <w:rStyle w:val="FootnoteReference"/>
        </w:rPr>
        <w:footnoteReference w:id="127"/>
      </w:r>
      <w:r>
        <w:t xml:space="preserve"> While data was not obtained on the number of times this also coincided with an </w:t>
      </w:r>
      <w:r w:rsidR="000A437A">
        <w:t xml:space="preserve">incident </w:t>
      </w:r>
      <w:r>
        <w:t xml:space="preserve">of harm to a child, </w:t>
      </w:r>
      <w:r w:rsidR="000A437A">
        <w:t>taking a precautionary approach</w:t>
      </w:r>
      <w:r>
        <w:t xml:space="preserve"> assume</w:t>
      </w:r>
      <w:r w:rsidR="000A437A">
        <w:t>s that</w:t>
      </w:r>
      <w:r>
        <w:t xml:space="preserve"> the risk of harm </w:t>
      </w:r>
      <w:r w:rsidR="000A437A">
        <w:t xml:space="preserve">has the potential to be </w:t>
      </w:r>
      <w:r>
        <w:t>greater in areas that have not been assessed for risks and have a mitigation strategy in place.</w:t>
      </w:r>
    </w:p>
    <w:p w14:paraId="720DF9DA" w14:textId="33CFFEE0" w:rsidR="004119A5" w:rsidRDefault="004119A5" w:rsidP="004119A5">
      <w:r>
        <w:t xml:space="preserve">In addition, the current National Law and National Regulations do not require approved providers to formally approve the boundary between the FDC service premises and the broader FDC residence. This can result in a lack of clarity among FDC educators and families around which areas of the FDC residence are allowed to be accessed for the purposes of undertaking education and care. </w:t>
      </w:r>
    </w:p>
    <w:p w14:paraId="1F2E057B" w14:textId="7714BFC6" w:rsidR="004119A5" w:rsidRDefault="004119A5" w:rsidP="004119A5">
      <w:r>
        <w:t xml:space="preserve">This has previously resulted in children accessing areas of a FDC residence or surrounding property that have not been formally approved as suitable for the provision of education and care, including: </w:t>
      </w:r>
    </w:p>
    <w:p w14:paraId="4395158D" w14:textId="4CFFE932" w:rsidR="004119A5" w:rsidRDefault="004119A5" w:rsidP="00EC53AB">
      <w:pPr>
        <w:pStyle w:val="ListParagraph"/>
        <w:numPr>
          <w:ilvl w:val="0"/>
          <w:numId w:val="2"/>
        </w:numPr>
        <w:ind w:left="426"/>
      </w:pPr>
      <w:r>
        <w:t>an FDC educator using a shed (outside of the residence) to provide education and care</w:t>
      </w:r>
      <w:r w:rsidR="00F77C7A">
        <w:t>,</w:t>
      </w:r>
    </w:p>
    <w:p w14:paraId="4968A235" w14:textId="77777777" w:rsidR="004119A5" w:rsidRDefault="004119A5" w:rsidP="00EC53AB">
      <w:pPr>
        <w:pStyle w:val="ListParagraph"/>
        <w:numPr>
          <w:ilvl w:val="0"/>
          <w:numId w:val="2"/>
        </w:numPr>
        <w:ind w:left="426"/>
      </w:pPr>
      <w:r>
        <w:t xml:space="preserve">an educator changing nappies in a private area (i.e., not the approved service premises) of a residence. </w:t>
      </w:r>
    </w:p>
    <w:p w14:paraId="6EC67889" w14:textId="7D0FBE19" w:rsidR="004119A5" w:rsidRDefault="004119A5" w:rsidP="004119A5">
      <w:r>
        <w:t xml:space="preserve">Since these events were reported, there has been a regulatory change (since 1 October 2023) that requires approved providers to display a diagram clearly identifying spaces in </w:t>
      </w:r>
      <w:r>
        <w:lastRenderedPageBreak/>
        <w:t>which children will be educated and cared for and the existence of any water hazards, water features or swimming pools at or near the residence or venue.</w:t>
      </w:r>
      <w:r w:rsidR="00333058">
        <w:rPr>
          <w:rStyle w:val="FootnoteReference"/>
        </w:rPr>
        <w:footnoteReference w:id="128"/>
      </w:r>
      <w:r>
        <w:t xml:space="preserve"> There </w:t>
      </w:r>
      <w:r w:rsidR="00846A4E">
        <w:t>may</w:t>
      </w:r>
      <w:r>
        <w:t xml:space="preserve"> remain a gap in the regulations for a formalised approval process to determine the service premises within an FDC residence and for this to be updated on a regular basis as risks change.</w:t>
      </w:r>
    </w:p>
    <w:p w14:paraId="4F0B2404" w14:textId="7F3FFD46" w:rsidR="004119A5" w:rsidRDefault="00EB4295" w:rsidP="004119A5">
      <w:pPr>
        <w:pStyle w:val="Heading3"/>
      </w:pPr>
      <w:r>
        <w:t>What were the policy options consulted on?</w:t>
      </w:r>
    </w:p>
    <w:p w14:paraId="79719E38" w14:textId="1910C137" w:rsidR="004119A5" w:rsidRDefault="004119A5" w:rsidP="004119A5">
      <w:r>
        <w:t xml:space="preserve">Four options, including the status quo, a non-regulatory option, and two regulatory options are under consideration. </w:t>
      </w:r>
      <w:r w:rsidRPr="002A611E">
        <w:t xml:space="preserve">Options 2 to </w:t>
      </w:r>
      <w:r>
        <w:t>4</w:t>
      </w:r>
      <w:r w:rsidRPr="002A611E">
        <w:t xml:space="preserve"> are not mutually exclusive, and the </w:t>
      </w:r>
      <w:r w:rsidR="004C5562">
        <w:t>recommended option</w:t>
      </w:r>
      <w:r w:rsidRPr="002A611E">
        <w:t xml:space="preserve"> for these recommendations can be any combination of the proposed regulatory and non-regulatory approaches.</w:t>
      </w:r>
    </w:p>
    <w:p w14:paraId="32B3E13E" w14:textId="5FFCAE6E" w:rsidR="004119A5" w:rsidRPr="00120281" w:rsidRDefault="004119A5" w:rsidP="004119A5">
      <w:pPr>
        <w:pStyle w:val="Caption"/>
      </w:pPr>
      <w:bookmarkStart w:id="180" w:name="_Toc202887746"/>
      <w:bookmarkStart w:id="181" w:name="_Toc205884978"/>
      <w:r>
        <w:t>Table 9.</w:t>
      </w:r>
      <w:r w:rsidR="007356CE">
        <w:t>5</w:t>
      </w:r>
      <w:r>
        <w:t xml:space="preserve">: Policy options under consideration – </w:t>
      </w:r>
      <w:r w:rsidRPr="00D1760E">
        <w:t>Requiring approved providers to assess not just the FDC residence, but areas near the residence</w:t>
      </w:r>
      <w:bookmarkEnd w:id="180"/>
      <w:bookmarkEnd w:id="18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5: Policy options under consideration – Requiring approved providers to assess not just the FDC residence, but areas near the residence"/>
        <w:tblDescription w:val="This table outlines the policy options under consideration for requiring approved providers to assess not just the FDC residence, but areas near the residence."/>
      </w:tblPr>
      <w:tblGrid>
        <w:gridCol w:w="1631"/>
        <w:gridCol w:w="7379"/>
      </w:tblGrid>
      <w:tr w:rsidR="004119A5" w:rsidRPr="0052205B" w14:paraId="5F20561C" w14:textId="77777777" w:rsidTr="00E3170E">
        <w:trPr>
          <w:tblHeader/>
        </w:trPr>
        <w:tc>
          <w:tcPr>
            <w:tcW w:w="905" w:type="pct"/>
            <w:shd w:val="clear" w:color="auto" w:fill="14233C" w:themeFill="text2"/>
          </w:tcPr>
          <w:p w14:paraId="16CFB259" w14:textId="77777777" w:rsidR="004119A5" w:rsidRPr="00B911AA" w:rsidRDefault="004119A5">
            <w:pPr>
              <w:jc w:val="center"/>
              <w:rPr>
                <w:b/>
                <w:color w:val="FFFFFF" w:themeColor="background1"/>
                <w:szCs w:val="20"/>
              </w:rPr>
            </w:pPr>
            <w:r w:rsidRPr="00B911AA">
              <w:rPr>
                <w:b/>
                <w:color w:val="FFFFFF" w:themeColor="background1"/>
                <w:szCs w:val="20"/>
              </w:rPr>
              <w:t>Option</w:t>
            </w:r>
          </w:p>
        </w:tc>
        <w:tc>
          <w:tcPr>
            <w:tcW w:w="4095" w:type="pct"/>
            <w:shd w:val="clear" w:color="auto" w:fill="14233C" w:themeFill="text2"/>
          </w:tcPr>
          <w:p w14:paraId="38F9B84E" w14:textId="77777777" w:rsidR="004119A5" w:rsidRPr="00B911AA" w:rsidRDefault="004119A5">
            <w:pPr>
              <w:jc w:val="center"/>
              <w:rPr>
                <w:b/>
                <w:color w:val="FFFFFF" w:themeColor="background1"/>
                <w:szCs w:val="20"/>
              </w:rPr>
            </w:pPr>
            <w:r w:rsidRPr="00B911AA">
              <w:rPr>
                <w:b/>
                <w:color w:val="FFFFFF" w:themeColor="background1"/>
                <w:szCs w:val="20"/>
              </w:rPr>
              <w:t>Description</w:t>
            </w:r>
          </w:p>
        </w:tc>
      </w:tr>
      <w:tr w:rsidR="004119A5" w:rsidRPr="0052205B" w14:paraId="729ADDD5" w14:textId="77777777" w:rsidTr="00E3170E">
        <w:tc>
          <w:tcPr>
            <w:tcW w:w="905" w:type="pct"/>
          </w:tcPr>
          <w:p w14:paraId="76945ED7" w14:textId="77777777" w:rsidR="004119A5" w:rsidRPr="00B911AA" w:rsidRDefault="004119A5">
            <w:pPr>
              <w:rPr>
                <w:szCs w:val="20"/>
              </w:rPr>
            </w:pPr>
            <w:r w:rsidRPr="00B911AA">
              <w:rPr>
                <w:szCs w:val="20"/>
              </w:rPr>
              <w:t>1</w:t>
            </w:r>
          </w:p>
        </w:tc>
        <w:tc>
          <w:tcPr>
            <w:tcW w:w="4095" w:type="pct"/>
          </w:tcPr>
          <w:p w14:paraId="350742CF" w14:textId="77777777" w:rsidR="004119A5" w:rsidRPr="00B911AA" w:rsidRDefault="004119A5">
            <w:pPr>
              <w:rPr>
                <w:szCs w:val="20"/>
              </w:rPr>
            </w:pPr>
            <w:r w:rsidRPr="00B911AA">
              <w:rPr>
                <w:szCs w:val="20"/>
              </w:rPr>
              <w:t>Status quo (no change).</w:t>
            </w:r>
          </w:p>
        </w:tc>
      </w:tr>
      <w:tr w:rsidR="004119A5" w:rsidRPr="0052205B" w14:paraId="19153143" w14:textId="77777777" w:rsidTr="00E3170E">
        <w:tc>
          <w:tcPr>
            <w:tcW w:w="905" w:type="pct"/>
          </w:tcPr>
          <w:p w14:paraId="3A3D1E07" w14:textId="77777777" w:rsidR="004119A5" w:rsidRPr="00B911AA" w:rsidRDefault="004119A5">
            <w:pPr>
              <w:rPr>
                <w:szCs w:val="20"/>
              </w:rPr>
            </w:pPr>
            <w:r w:rsidRPr="00B911AA">
              <w:rPr>
                <w:szCs w:val="20"/>
              </w:rPr>
              <w:t>2</w:t>
            </w:r>
          </w:p>
        </w:tc>
        <w:tc>
          <w:tcPr>
            <w:tcW w:w="4095" w:type="pct"/>
          </w:tcPr>
          <w:p w14:paraId="55B5D0E0" w14:textId="77777777" w:rsidR="004119A5" w:rsidRPr="00B911AA" w:rsidRDefault="004119A5">
            <w:pPr>
              <w:rPr>
                <w:b/>
                <w:szCs w:val="20"/>
              </w:rPr>
            </w:pPr>
            <w:r w:rsidRPr="00B911AA">
              <w:rPr>
                <w:b/>
                <w:szCs w:val="20"/>
              </w:rPr>
              <w:t>Non-regulatory</w:t>
            </w:r>
          </w:p>
          <w:p w14:paraId="3B1B1584" w14:textId="77777777" w:rsidR="004119A5" w:rsidRPr="00B911AA" w:rsidRDefault="004119A5">
            <w:pPr>
              <w:rPr>
                <w:szCs w:val="20"/>
              </w:rPr>
            </w:pPr>
            <w:r w:rsidRPr="00B911AA">
              <w:rPr>
                <w:szCs w:val="20"/>
              </w:rPr>
              <w:t>Provide more explicit national guidance to FDC approved providers on their obligations under the current regulation 116, including the areas to be assessed and risk assessment/mitigations to prevent children from accessing areas beyond the FDC service premises, and consideration of risks near the residence other than water hazards.</w:t>
            </w:r>
          </w:p>
        </w:tc>
      </w:tr>
      <w:tr w:rsidR="004119A5" w:rsidRPr="0052205B" w14:paraId="606AA715" w14:textId="77777777" w:rsidTr="00E3170E">
        <w:tc>
          <w:tcPr>
            <w:tcW w:w="905" w:type="pct"/>
          </w:tcPr>
          <w:p w14:paraId="5D0F95AE" w14:textId="77777777" w:rsidR="004119A5" w:rsidRPr="00B911AA" w:rsidRDefault="004119A5">
            <w:pPr>
              <w:rPr>
                <w:szCs w:val="20"/>
              </w:rPr>
            </w:pPr>
            <w:r w:rsidRPr="00B911AA">
              <w:rPr>
                <w:szCs w:val="20"/>
              </w:rPr>
              <w:t>3</w:t>
            </w:r>
          </w:p>
        </w:tc>
        <w:tc>
          <w:tcPr>
            <w:tcW w:w="4095" w:type="pct"/>
          </w:tcPr>
          <w:p w14:paraId="39EE12D9" w14:textId="77777777" w:rsidR="004119A5" w:rsidRPr="00B911AA" w:rsidRDefault="004119A5">
            <w:pPr>
              <w:rPr>
                <w:b/>
                <w:szCs w:val="20"/>
              </w:rPr>
            </w:pPr>
            <w:r w:rsidRPr="00B911AA">
              <w:rPr>
                <w:b/>
                <w:szCs w:val="20"/>
              </w:rPr>
              <w:t>Regulatory</w:t>
            </w:r>
          </w:p>
          <w:p w14:paraId="7D55D21D" w14:textId="77777777" w:rsidR="004119A5" w:rsidRPr="00B911AA" w:rsidRDefault="004119A5">
            <w:pPr>
              <w:rPr>
                <w:szCs w:val="20"/>
              </w:rPr>
            </w:pPr>
            <w:r w:rsidRPr="00B911AA">
              <w:rPr>
                <w:szCs w:val="20"/>
              </w:rPr>
              <w:t xml:space="preserve">Amend the National Regulations (regulation 116) to </w:t>
            </w:r>
            <w:r w:rsidRPr="00B911AA">
              <w:rPr>
                <w:i/>
                <w:szCs w:val="20"/>
              </w:rPr>
              <w:t>explicitly require assessment</w:t>
            </w:r>
            <w:r w:rsidRPr="00B911AA">
              <w:rPr>
                <w:szCs w:val="20"/>
              </w:rPr>
              <w:t xml:space="preserve"> of not just the FDC residence but areas near the residence that may be accessible to children. Changes to apply to new assessments and each annual reassessment (not retrospectively), both of which are undertaken by approved providers.</w:t>
            </w:r>
          </w:p>
        </w:tc>
      </w:tr>
      <w:tr w:rsidR="004119A5" w:rsidRPr="0052205B" w14:paraId="30BA519B" w14:textId="77777777" w:rsidTr="00E3170E">
        <w:tc>
          <w:tcPr>
            <w:tcW w:w="905" w:type="pct"/>
          </w:tcPr>
          <w:p w14:paraId="7698B6E7" w14:textId="77777777" w:rsidR="004119A5" w:rsidRPr="00B911AA" w:rsidRDefault="004119A5">
            <w:pPr>
              <w:rPr>
                <w:szCs w:val="20"/>
              </w:rPr>
            </w:pPr>
            <w:r w:rsidRPr="00B911AA">
              <w:rPr>
                <w:szCs w:val="20"/>
              </w:rPr>
              <w:t>4</w:t>
            </w:r>
          </w:p>
        </w:tc>
        <w:tc>
          <w:tcPr>
            <w:tcW w:w="4095" w:type="pct"/>
          </w:tcPr>
          <w:p w14:paraId="5BADB9CC" w14:textId="77777777" w:rsidR="004119A5" w:rsidRPr="00B911AA" w:rsidRDefault="004119A5">
            <w:pPr>
              <w:rPr>
                <w:b/>
                <w:szCs w:val="20"/>
              </w:rPr>
            </w:pPr>
            <w:r w:rsidRPr="00B911AA">
              <w:rPr>
                <w:b/>
                <w:szCs w:val="20"/>
              </w:rPr>
              <w:t xml:space="preserve">Regulatory </w:t>
            </w:r>
          </w:p>
          <w:p w14:paraId="32BDA6F2" w14:textId="77777777" w:rsidR="004119A5" w:rsidRPr="00B911AA" w:rsidRDefault="004119A5">
            <w:pPr>
              <w:rPr>
                <w:szCs w:val="20"/>
              </w:rPr>
            </w:pPr>
            <w:r w:rsidRPr="00B911AA">
              <w:rPr>
                <w:szCs w:val="20"/>
              </w:rPr>
              <w:t xml:space="preserve">Amend the National Regulations (e.g. regulation 116) to </w:t>
            </w:r>
            <w:r w:rsidRPr="00B911AA">
              <w:rPr>
                <w:i/>
                <w:szCs w:val="20"/>
              </w:rPr>
              <w:t>formalise an approval process</w:t>
            </w:r>
            <w:r w:rsidRPr="00B911AA">
              <w:rPr>
                <w:szCs w:val="20"/>
              </w:rPr>
              <w:t xml:space="preserve"> for the FDC service premises, as part of the FDC residence i.e. explicit requirement for approval from the approved provider to confirm areas that are used as the FDC service premises. </w:t>
            </w:r>
            <w:r w:rsidRPr="00B911AA">
              <w:rPr>
                <w:szCs w:val="20"/>
              </w:rPr>
              <w:lastRenderedPageBreak/>
              <w:t>This approval would apply to new FDC service premises. For existing premises, the approval should be confirmed or amended at each annual assessment undertaken by approved providers.</w:t>
            </w:r>
          </w:p>
        </w:tc>
      </w:tr>
    </w:tbl>
    <w:p w14:paraId="13579D39" w14:textId="77777777" w:rsidR="004119A5" w:rsidRDefault="004119A5" w:rsidP="004119A5"/>
    <w:p w14:paraId="372006EE" w14:textId="77777777" w:rsidR="004119A5" w:rsidRDefault="004119A5" w:rsidP="004119A5">
      <w:pPr>
        <w:pStyle w:val="Heading3"/>
      </w:pPr>
      <w:r>
        <w:t>What are the impacts of each option?</w:t>
      </w:r>
    </w:p>
    <w:p w14:paraId="50D1E630" w14:textId="77777777" w:rsidR="001B3255" w:rsidRPr="00083B20" w:rsidRDefault="001B3255" w:rsidP="001B3255">
      <w:r>
        <w:t>The sections below provide an MCA assessing the potential impacts of the proposed options on child safety outcomes, costs to stakeholders, implementation considerations, and distributional impacts. A detailed overview of the MCA framework underpinning this analy</w:t>
      </w:r>
      <w:r w:rsidRPr="001D3080">
        <w:t xml:space="preserve">sis is available in </w:t>
      </w:r>
      <w:r>
        <w:t>Chapter 4.</w:t>
      </w:r>
    </w:p>
    <w:p w14:paraId="1F78989B" w14:textId="77777777" w:rsidR="001B3255" w:rsidRDefault="001B3255" w:rsidP="001B3255">
      <w:pPr>
        <w:pStyle w:val="Heading4"/>
      </w:pPr>
      <w:r>
        <w:t xml:space="preserve">Multi-criteria analysis </w:t>
      </w:r>
    </w:p>
    <w:p w14:paraId="708342A1" w14:textId="539215B7" w:rsidR="001B3255" w:rsidRDefault="001B3255" w:rsidP="001B3255">
      <w:r w:rsidRPr="00C20858">
        <w:t xml:space="preserve">In assigning </w:t>
      </w:r>
      <w:r>
        <w:t xml:space="preserve">MCA </w:t>
      </w:r>
      <w:r w:rsidRPr="00C20858">
        <w:t xml:space="preserve">scores to reflect the relative benefits and costs of each option, the score for improvement in child safety has been scaled with a zero for </w:t>
      </w:r>
      <w:r>
        <w:t>option 1</w:t>
      </w:r>
      <w:r w:rsidRPr="00C20858">
        <w:t xml:space="preserve"> representing no change, and </w:t>
      </w:r>
      <w:r>
        <w:t xml:space="preserve">score of three </w:t>
      </w:r>
      <w:r w:rsidRPr="00C20858">
        <w:t xml:space="preserve">for </w:t>
      </w:r>
      <w:r>
        <w:t>option 3,</w:t>
      </w:r>
      <w:r w:rsidRPr="00C20858">
        <w:t xml:space="preserve"> </w:t>
      </w:r>
      <w:r>
        <w:t>representing</w:t>
      </w:r>
      <w:r w:rsidRPr="00C20858">
        <w:t xml:space="preserve"> the biggest impact on child safety. Other options have been scored between these values based on the assessment of qualitative input from stakeholders. Scores for other categories relating to costs, risks, and distributional considerations have been scaled in relation to these benefits.</w:t>
      </w:r>
    </w:p>
    <w:p w14:paraId="01B098B1" w14:textId="312648C8" w:rsidR="004119A5" w:rsidRDefault="004119A5" w:rsidP="004119A5">
      <w:pPr>
        <w:pStyle w:val="Caption"/>
      </w:pPr>
      <w:bookmarkStart w:id="182" w:name="_Toc202887747"/>
      <w:bookmarkStart w:id="183" w:name="_Toc205884979"/>
      <w:r>
        <w:t>Table 9.</w:t>
      </w:r>
      <w:r w:rsidR="007356CE">
        <w:t>6</w:t>
      </w:r>
      <w:r>
        <w:t xml:space="preserve">: MCA outcomes – </w:t>
      </w:r>
      <w:r w:rsidRPr="00A51577">
        <w:t>Requiring approved providers to assess not just the FDC residence, but areas near the residence</w:t>
      </w:r>
      <w:bookmarkEnd w:id="182"/>
      <w:bookmarkEnd w:id="18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6: MCA outcomes – Requiring approved providers to assess not just the FDC residence, but areas near the residence"/>
        <w:tblDescription w:val="The table outlines the MCA outcomes for requiring approved providers to assess not just the FDC residence, but areas near the residence."/>
      </w:tblPr>
      <w:tblGrid>
        <w:gridCol w:w="2652"/>
        <w:gridCol w:w="994"/>
        <w:gridCol w:w="1398"/>
        <w:gridCol w:w="1330"/>
        <w:gridCol w:w="1276"/>
        <w:gridCol w:w="1360"/>
      </w:tblGrid>
      <w:tr w:rsidR="004119A5" w14:paraId="72A63EC4" w14:textId="3754C0CC" w:rsidTr="00E3170E">
        <w:trPr>
          <w:tblHeader/>
        </w:trPr>
        <w:tc>
          <w:tcPr>
            <w:tcW w:w="2652" w:type="dxa"/>
            <w:shd w:val="clear" w:color="auto" w:fill="14233C" w:themeFill="text2"/>
          </w:tcPr>
          <w:p w14:paraId="6EDE6017" w14:textId="77777777" w:rsidR="004119A5" w:rsidRPr="00C2617C" w:rsidRDefault="004119A5">
            <w:pPr>
              <w:rPr>
                <w:b/>
                <w:color w:val="FFFFFF" w:themeColor="background1"/>
                <w:szCs w:val="20"/>
              </w:rPr>
            </w:pPr>
            <w:r w:rsidRPr="00C2617C">
              <w:rPr>
                <w:b/>
                <w:color w:val="FFFFFF" w:themeColor="background1"/>
                <w:szCs w:val="20"/>
              </w:rPr>
              <w:t>Criteria</w:t>
            </w:r>
          </w:p>
        </w:tc>
        <w:tc>
          <w:tcPr>
            <w:tcW w:w="994" w:type="dxa"/>
            <w:shd w:val="clear" w:color="auto" w:fill="14233C" w:themeFill="text2"/>
          </w:tcPr>
          <w:p w14:paraId="64194F7C" w14:textId="77777777" w:rsidR="004119A5" w:rsidRPr="00C2617C" w:rsidRDefault="004119A5">
            <w:pPr>
              <w:jc w:val="center"/>
              <w:rPr>
                <w:b/>
                <w:color w:val="FFFFFF" w:themeColor="background1"/>
                <w:szCs w:val="20"/>
              </w:rPr>
            </w:pPr>
            <w:r w:rsidRPr="00C2617C">
              <w:rPr>
                <w:b/>
                <w:color w:val="FFFFFF" w:themeColor="background1"/>
                <w:szCs w:val="20"/>
              </w:rPr>
              <w:t>Weight</w:t>
            </w:r>
          </w:p>
        </w:tc>
        <w:tc>
          <w:tcPr>
            <w:tcW w:w="1398" w:type="dxa"/>
            <w:shd w:val="clear" w:color="auto" w:fill="14233C" w:themeFill="text2"/>
          </w:tcPr>
          <w:p w14:paraId="3A0B4601" w14:textId="77777777" w:rsidR="004119A5" w:rsidRPr="00C2617C" w:rsidRDefault="004119A5">
            <w:pPr>
              <w:jc w:val="center"/>
              <w:rPr>
                <w:b/>
                <w:color w:val="FFFFFF" w:themeColor="background1"/>
                <w:szCs w:val="20"/>
              </w:rPr>
            </w:pPr>
            <w:r w:rsidRPr="00C2617C">
              <w:rPr>
                <w:b/>
                <w:color w:val="FFFFFF" w:themeColor="background1"/>
                <w:szCs w:val="20"/>
              </w:rPr>
              <w:t>Option 1</w:t>
            </w:r>
          </w:p>
        </w:tc>
        <w:tc>
          <w:tcPr>
            <w:tcW w:w="1330" w:type="dxa"/>
            <w:shd w:val="clear" w:color="auto" w:fill="14233C" w:themeFill="text2"/>
          </w:tcPr>
          <w:p w14:paraId="5D8954CD" w14:textId="77777777" w:rsidR="004119A5" w:rsidRPr="00C2617C" w:rsidRDefault="004119A5">
            <w:pPr>
              <w:jc w:val="center"/>
              <w:rPr>
                <w:b/>
                <w:color w:val="FFFFFF" w:themeColor="background1"/>
                <w:szCs w:val="20"/>
              </w:rPr>
            </w:pPr>
            <w:r w:rsidRPr="00C2617C">
              <w:rPr>
                <w:b/>
                <w:color w:val="FFFFFF" w:themeColor="background1"/>
                <w:szCs w:val="20"/>
              </w:rPr>
              <w:t>Option 2</w:t>
            </w:r>
          </w:p>
        </w:tc>
        <w:tc>
          <w:tcPr>
            <w:tcW w:w="1276" w:type="dxa"/>
            <w:shd w:val="clear" w:color="auto" w:fill="14233C" w:themeFill="text2"/>
          </w:tcPr>
          <w:p w14:paraId="78871E67" w14:textId="77777777" w:rsidR="004119A5" w:rsidRPr="00C2617C" w:rsidRDefault="004119A5">
            <w:pPr>
              <w:jc w:val="center"/>
              <w:rPr>
                <w:b/>
                <w:color w:val="FFFFFF" w:themeColor="background1"/>
                <w:szCs w:val="20"/>
              </w:rPr>
            </w:pPr>
            <w:r w:rsidRPr="00C2617C">
              <w:rPr>
                <w:b/>
                <w:color w:val="FFFFFF" w:themeColor="background1"/>
                <w:szCs w:val="20"/>
              </w:rPr>
              <w:t>Option 3</w:t>
            </w:r>
          </w:p>
        </w:tc>
        <w:tc>
          <w:tcPr>
            <w:tcW w:w="1360" w:type="dxa"/>
            <w:shd w:val="clear" w:color="auto" w:fill="14233C" w:themeFill="text2"/>
          </w:tcPr>
          <w:p w14:paraId="2E12FA55" w14:textId="6CDD90BA" w:rsidR="004119A5" w:rsidRPr="00C2617C" w:rsidRDefault="004119A5">
            <w:pPr>
              <w:jc w:val="center"/>
              <w:rPr>
                <w:b/>
                <w:color w:val="FFFFFF" w:themeColor="background1"/>
                <w:szCs w:val="20"/>
              </w:rPr>
            </w:pPr>
            <w:r w:rsidRPr="00C2617C">
              <w:rPr>
                <w:b/>
                <w:color w:val="FFFFFF" w:themeColor="background1"/>
                <w:szCs w:val="20"/>
              </w:rPr>
              <w:t>Option 4</w:t>
            </w:r>
          </w:p>
        </w:tc>
      </w:tr>
      <w:tr w:rsidR="004119A5" w14:paraId="2A4412CB" w14:textId="66A8879A" w:rsidTr="00E3170E">
        <w:tc>
          <w:tcPr>
            <w:tcW w:w="2652" w:type="dxa"/>
          </w:tcPr>
          <w:p w14:paraId="6EC2CE06" w14:textId="77777777" w:rsidR="004119A5" w:rsidRPr="00C2617C" w:rsidRDefault="004119A5">
            <w:pPr>
              <w:rPr>
                <w:szCs w:val="20"/>
              </w:rPr>
            </w:pPr>
            <w:r w:rsidRPr="00C2617C">
              <w:rPr>
                <w:szCs w:val="20"/>
              </w:rPr>
              <w:t>Improvement in child safety</w:t>
            </w:r>
          </w:p>
        </w:tc>
        <w:tc>
          <w:tcPr>
            <w:tcW w:w="994" w:type="dxa"/>
          </w:tcPr>
          <w:p w14:paraId="4266C0E1" w14:textId="160759D2" w:rsidR="004119A5" w:rsidRPr="00C2617C" w:rsidRDefault="004119A5">
            <w:pPr>
              <w:jc w:val="center"/>
              <w:rPr>
                <w:szCs w:val="20"/>
              </w:rPr>
            </w:pPr>
            <w:r w:rsidRPr="00C2617C">
              <w:rPr>
                <w:szCs w:val="20"/>
              </w:rPr>
              <w:t>50%</w:t>
            </w:r>
          </w:p>
        </w:tc>
        <w:tc>
          <w:tcPr>
            <w:tcW w:w="1398" w:type="dxa"/>
          </w:tcPr>
          <w:p w14:paraId="7B024596" w14:textId="77777777" w:rsidR="004119A5" w:rsidRPr="00C2617C" w:rsidRDefault="004119A5">
            <w:pPr>
              <w:jc w:val="center"/>
              <w:rPr>
                <w:szCs w:val="20"/>
              </w:rPr>
            </w:pPr>
            <w:r w:rsidRPr="00C2617C">
              <w:rPr>
                <w:szCs w:val="20"/>
              </w:rPr>
              <w:t>0</w:t>
            </w:r>
          </w:p>
        </w:tc>
        <w:tc>
          <w:tcPr>
            <w:tcW w:w="1330" w:type="dxa"/>
          </w:tcPr>
          <w:p w14:paraId="21348122" w14:textId="54E45BC4" w:rsidR="004119A5" w:rsidRPr="00C2617C" w:rsidRDefault="00DC04D4">
            <w:pPr>
              <w:jc w:val="center"/>
              <w:rPr>
                <w:szCs w:val="20"/>
              </w:rPr>
            </w:pPr>
            <w:r>
              <w:rPr>
                <w:szCs w:val="20"/>
              </w:rPr>
              <w:t>2</w:t>
            </w:r>
          </w:p>
        </w:tc>
        <w:tc>
          <w:tcPr>
            <w:tcW w:w="1276" w:type="dxa"/>
          </w:tcPr>
          <w:p w14:paraId="764AAFB8" w14:textId="49AA02DA" w:rsidR="004119A5" w:rsidRPr="00C2617C" w:rsidRDefault="00CB4B05">
            <w:pPr>
              <w:jc w:val="center"/>
              <w:rPr>
                <w:szCs w:val="20"/>
              </w:rPr>
            </w:pPr>
            <w:r>
              <w:rPr>
                <w:szCs w:val="20"/>
              </w:rPr>
              <w:t>3</w:t>
            </w:r>
          </w:p>
        </w:tc>
        <w:tc>
          <w:tcPr>
            <w:tcW w:w="1360" w:type="dxa"/>
          </w:tcPr>
          <w:p w14:paraId="2F87102D" w14:textId="1A3C3FA3" w:rsidR="004119A5" w:rsidRPr="00C2617C" w:rsidRDefault="00CB4B05">
            <w:pPr>
              <w:jc w:val="center"/>
              <w:rPr>
                <w:szCs w:val="20"/>
              </w:rPr>
            </w:pPr>
            <w:r>
              <w:rPr>
                <w:szCs w:val="20"/>
              </w:rPr>
              <w:t>2</w:t>
            </w:r>
          </w:p>
        </w:tc>
      </w:tr>
      <w:tr w:rsidR="004119A5" w14:paraId="00981D8A" w14:textId="759C6069" w:rsidTr="00E3170E">
        <w:tc>
          <w:tcPr>
            <w:tcW w:w="2652" w:type="dxa"/>
          </w:tcPr>
          <w:p w14:paraId="1091AD6C" w14:textId="77777777" w:rsidR="004119A5" w:rsidRPr="00C2617C" w:rsidRDefault="004119A5">
            <w:pPr>
              <w:rPr>
                <w:szCs w:val="20"/>
              </w:rPr>
            </w:pPr>
            <w:r w:rsidRPr="00C2617C">
              <w:rPr>
                <w:szCs w:val="20"/>
              </w:rPr>
              <w:t>Net cost of policy option</w:t>
            </w:r>
          </w:p>
        </w:tc>
        <w:tc>
          <w:tcPr>
            <w:tcW w:w="994" w:type="dxa"/>
          </w:tcPr>
          <w:p w14:paraId="3FB6BA23" w14:textId="330D809E" w:rsidR="004119A5" w:rsidRPr="00C2617C" w:rsidRDefault="004119A5">
            <w:pPr>
              <w:jc w:val="center"/>
              <w:rPr>
                <w:szCs w:val="20"/>
              </w:rPr>
            </w:pPr>
            <w:r w:rsidRPr="00C2617C">
              <w:rPr>
                <w:szCs w:val="20"/>
              </w:rPr>
              <w:t>30%</w:t>
            </w:r>
          </w:p>
        </w:tc>
        <w:tc>
          <w:tcPr>
            <w:tcW w:w="1398" w:type="dxa"/>
          </w:tcPr>
          <w:p w14:paraId="600FA981" w14:textId="77777777" w:rsidR="004119A5" w:rsidRPr="00C2617C" w:rsidRDefault="004119A5">
            <w:pPr>
              <w:jc w:val="center"/>
              <w:rPr>
                <w:szCs w:val="20"/>
              </w:rPr>
            </w:pPr>
            <w:r w:rsidRPr="00C2617C">
              <w:rPr>
                <w:szCs w:val="20"/>
              </w:rPr>
              <w:t>0</w:t>
            </w:r>
          </w:p>
        </w:tc>
        <w:tc>
          <w:tcPr>
            <w:tcW w:w="1330" w:type="dxa"/>
          </w:tcPr>
          <w:p w14:paraId="53E69D11" w14:textId="14620CE9" w:rsidR="004119A5" w:rsidRPr="00C2617C" w:rsidRDefault="004119A5">
            <w:pPr>
              <w:jc w:val="center"/>
              <w:rPr>
                <w:szCs w:val="20"/>
              </w:rPr>
            </w:pPr>
            <w:r w:rsidRPr="00C2617C">
              <w:rPr>
                <w:szCs w:val="20"/>
              </w:rPr>
              <w:t>-</w:t>
            </w:r>
            <w:r w:rsidR="00014434">
              <w:rPr>
                <w:szCs w:val="20"/>
              </w:rPr>
              <w:t>1</w:t>
            </w:r>
          </w:p>
        </w:tc>
        <w:tc>
          <w:tcPr>
            <w:tcW w:w="1276" w:type="dxa"/>
          </w:tcPr>
          <w:p w14:paraId="512481E5" w14:textId="1095FF12" w:rsidR="004119A5" w:rsidRPr="00C2617C" w:rsidRDefault="004119A5">
            <w:pPr>
              <w:jc w:val="center"/>
              <w:rPr>
                <w:szCs w:val="20"/>
              </w:rPr>
            </w:pPr>
            <w:r w:rsidRPr="00C2617C">
              <w:rPr>
                <w:szCs w:val="20"/>
              </w:rPr>
              <w:t>-</w:t>
            </w:r>
            <w:r w:rsidR="00CB4B05">
              <w:rPr>
                <w:szCs w:val="20"/>
              </w:rPr>
              <w:t>3</w:t>
            </w:r>
          </w:p>
        </w:tc>
        <w:tc>
          <w:tcPr>
            <w:tcW w:w="1360" w:type="dxa"/>
          </w:tcPr>
          <w:p w14:paraId="56320319" w14:textId="3B871EFF" w:rsidR="004119A5" w:rsidRPr="00C2617C" w:rsidRDefault="00CB4B05">
            <w:pPr>
              <w:jc w:val="center"/>
              <w:rPr>
                <w:szCs w:val="20"/>
              </w:rPr>
            </w:pPr>
            <w:r>
              <w:rPr>
                <w:szCs w:val="20"/>
              </w:rPr>
              <w:t>-2</w:t>
            </w:r>
          </w:p>
        </w:tc>
      </w:tr>
      <w:tr w:rsidR="004119A5" w14:paraId="4239AC88" w14:textId="32872E2E" w:rsidTr="00E3170E">
        <w:tc>
          <w:tcPr>
            <w:tcW w:w="2652" w:type="dxa"/>
          </w:tcPr>
          <w:p w14:paraId="66B1E776" w14:textId="73CF563E" w:rsidR="004119A5" w:rsidRPr="00C2617C" w:rsidRDefault="004119A5">
            <w:pPr>
              <w:rPr>
                <w:szCs w:val="20"/>
              </w:rPr>
            </w:pPr>
            <w:r>
              <w:rPr>
                <w:szCs w:val="20"/>
              </w:rPr>
              <w:t>Implementation considerations</w:t>
            </w:r>
          </w:p>
        </w:tc>
        <w:tc>
          <w:tcPr>
            <w:tcW w:w="994" w:type="dxa"/>
          </w:tcPr>
          <w:p w14:paraId="520979C7" w14:textId="280BF123" w:rsidR="004119A5" w:rsidRPr="00C2617C" w:rsidRDefault="004119A5">
            <w:pPr>
              <w:jc w:val="center"/>
              <w:rPr>
                <w:szCs w:val="20"/>
              </w:rPr>
            </w:pPr>
            <w:r w:rsidRPr="00C2617C">
              <w:rPr>
                <w:szCs w:val="20"/>
              </w:rPr>
              <w:t>10%</w:t>
            </w:r>
          </w:p>
        </w:tc>
        <w:tc>
          <w:tcPr>
            <w:tcW w:w="1398" w:type="dxa"/>
          </w:tcPr>
          <w:p w14:paraId="5091996A" w14:textId="77777777" w:rsidR="004119A5" w:rsidRPr="00C2617C" w:rsidRDefault="004119A5">
            <w:pPr>
              <w:jc w:val="center"/>
              <w:rPr>
                <w:szCs w:val="20"/>
              </w:rPr>
            </w:pPr>
            <w:r w:rsidRPr="00C2617C">
              <w:rPr>
                <w:szCs w:val="20"/>
              </w:rPr>
              <w:t>0</w:t>
            </w:r>
          </w:p>
        </w:tc>
        <w:tc>
          <w:tcPr>
            <w:tcW w:w="1330" w:type="dxa"/>
          </w:tcPr>
          <w:p w14:paraId="7CB75457" w14:textId="49BD0397" w:rsidR="004119A5" w:rsidRPr="00C2617C" w:rsidRDefault="004119A5">
            <w:pPr>
              <w:jc w:val="center"/>
              <w:rPr>
                <w:szCs w:val="20"/>
              </w:rPr>
            </w:pPr>
            <w:r w:rsidRPr="00C2617C">
              <w:rPr>
                <w:szCs w:val="20"/>
              </w:rPr>
              <w:t>-</w:t>
            </w:r>
            <w:r w:rsidR="00CB4B05">
              <w:rPr>
                <w:szCs w:val="20"/>
              </w:rPr>
              <w:t>1</w:t>
            </w:r>
          </w:p>
        </w:tc>
        <w:tc>
          <w:tcPr>
            <w:tcW w:w="1276" w:type="dxa"/>
          </w:tcPr>
          <w:p w14:paraId="202B8FD5" w14:textId="733F815B" w:rsidR="004119A5" w:rsidRPr="00C2617C" w:rsidRDefault="00CB4B05">
            <w:pPr>
              <w:jc w:val="center"/>
              <w:rPr>
                <w:szCs w:val="20"/>
              </w:rPr>
            </w:pPr>
            <w:r>
              <w:rPr>
                <w:szCs w:val="20"/>
              </w:rPr>
              <w:t>-3</w:t>
            </w:r>
          </w:p>
        </w:tc>
        <w:tc>
          <w:tcPr>
            <w:tcW w:w="1360" w:type="dxa"/>
          </w:tcPr>
          <w:p w14:paraId="04CBEE17" w14:textId="4439A24C" w:rsidR="004119A5" w:rsidRPr="00C2617C" w:rsidRDefault="004119A5">
            <w:pPr>
              <w:jc w:val="center"/>
              <w:rPr>
                <w:szCs w:val="20"/>
              </w:rPr>
            </w:pPr>
            <w:r w:rsidRPr="00C2617C">
              <w:rPr>
                <w:szCs w:val="20"/>
              </w:rPr>
              <w:t>-</w:t>
            </w:r>
            <w:r>
              <w:rPr>
                <w:szCs w:val="20"/>
              </w:rPr>
              <w:t>2</w:t>
            </w:r>
          </w:p>
        </w:tc>
      </w:tr>
      <w:tr w:rsidR="004119A5" w14:paraId="5D966D9E" w14:textId="6BE2F416" w:rsidTr="00E3170E">
        <w:tc>
          <w:tcPr>
            <w:tcW w:w="2652" w:type="dxa"/>
          </w:tcPr>
          <w:p w14:paraId="399CA231" w14:textId="77777777" w:rsidR="004119A5" w:rsidRPr="00C2617C" w:rsidRDefault="004119A5">
            <w:pPr>
              <w:rPr>
                <w:szCs w:val="20"/>
              </w:rPr>
            </w:pPr>
            <w:r w:rsidRPr="00C2617C">
              <w:rPr>
                <w:szCs w:val="20"/>
              </w:rPr>
              <w:t>Distributional impact</w:t>
            </w:r>
          </w:p>
        </w:tc>
        <w:tc>
          <w:tcPr>
            <w:tcW w:w="994" w:type="dxa"/>
          </w:tcPr>
          <w:p w14:paraId="490701E6" w14:textId="6D2E86FB" w:rsidR="004119A5" w:rsidRPr="00C2617C" w:rsidRDefault="004119A5">
            <w:pPr>
              <w:jc w:val="center"/>
              <w:rPr>
                <w:szCs w:val="20"/>
              </w:rPr>
            </w:pPr>
            <w:r w:rsidRPr="00C2617C">
              <w:rPr>
                <w:szCs w:val="20"/>
              </w:rPr>
              <w:t>10%</w:t>
            </w:r>
          </w:p>
        </w:tc>
        <w:tc>
          <w:tcPr>
            <w:tcW w:w="1398" w:type="dxa"/>
          </w:tcPr>
          <w:p w14:paraId="2CE0B510" w14:textId="77777777" w:rsidR="004119A5" w:rsidRPr="00C2617C" w:rsidRDefault="004119A5">
            <w:pPr>
              <w:jc w:val="center"/>
              <w:rPr>
                <w:szCs w:val="20"/>
              </w:rPr>
            </w:pPr>
            <w:r w:rsidRPr="00C2617C">
              <w:rPr>
                <w:szCs w:val="20"/>
              </w:rPr>
              <w:t>0</w:t>
            </w:r>
          </w:p>
        </w:tc>
        <w:tc>
          <w:tcPr>
            <w:tcW w:w="1330" w:type="dxa"/>
          </w:tcPr>
          <w:p w14:paraId="438EFEDA" w14:textId="3CF5DB78" w:rsidR="004119A5" w:rsidRPr="00C2617C" w:rsidRDefault="004119A5">
            <w:pPr>
              <w:jc w:val="center"/>
              <w:rPr>
                <w:szCs w:val="20"/>
              </w:rPr>
            </w:pPr>
            <w:r w:rsidRPr="00C2617C">
              <w:rPr>
                <w:szCs w:val="20"/>
              </w:rPr>
              <w:t>-1</w:t>
            </w:r>
          </w:p>
        </w:tc>
        <w:tc>
          <w:tcPr>
            <w:tcW w:w="1276" w:type="dxa"/>
          </w:tcPr>
          <w:p w14:paraId="5FD3DB71" w14:textId="6FE370A0" w:rsidR="004119A5" w:rsidRPr="00C2617C" w:rsidRDefault="004119A5">
            <w:pPr>
              <w:jc w:val="center"/>
              <w:rPr>
                <w:szCs w:val="20"/>
              </w:rPr>
            </w:pPr>
            <w:r w:rsidRPr="00C2617C">
              <w:rPr>
                <w:szCs w:val="20"/>
              </w:rPr>
              <w:t>-2</w:t>
            </w:r>
          </w:p>
        </w:tc>
        <w:tc>
          <w:tcPr>
            <w:tcW w:w="1360" w:type="dxa"/>
          </w:tcPr>
          <w:p w14:paraId="55019E8A" w14:textId="3DFAC6AF" w:rsidR="004119A5" w:rsidRPr="00C2617C" w:rsidRDefault="004119A5">
            <w:pPr>
              <w:jc w:val="center"/>
              <w:rPr>
                <w:szCs w:val="20"/>
              </w:rPr>
            </w:pPr>
            <w:r>
              <w:rPr>
                <w:szCs w:val="20"/>
              </w:rPr>
              <w:t>-1</w:t>
            </w:r>
          </w:p>
        </w:tc>
      </w:tr>
      <w:tr w:rsidR="004119A5" w14:paraId="41329A40" w14:textId="5AF4D347" w:rsidTr="00E3170E">
        <w:tc>
          <w:tcPr>
            <w:tcW w:w="2652" w:type="dxa"/>
          </w:tcPr>
          <w:p w14:paraId="6EF831FE" w14:textId="3AB631AB" w:rsidR="004119A5" w:rsidRPr="00C2617C" w:rsidRDefault="004119A5">
            <w:pPr>
              <w:rPr>
                <w:b/>
                <w:szCs w:val="20"/>
              </w:rPr>
            </w:pPr>
            <w:r w:rsidRPr="00C2617C">
              <w:rPr>
                <w:b/>
                <w:szCs w:val="20"/>
              </w:rPr>
              <w:t>Weighted score</w:t>
            </w:r>
          </w:p>
        </w:tc>
        <w:tc>
          <w:tcPr>
            <w:tcW w:w="994" w:type="dxa"/>
          </w:tcPr>
          <w:p w14:paraId="42A2D72F" w14:textId="77777777" w:rsidR="004119A5" w:rsidRPr="00C2617C" w:rsidRDefault="004119A5">
            <w:pPr>
              <w:jc w:val="center"/>
              <w:rPr>
                <w:szCs w:val="20"/>
              </w:rPr>
            </w:pPr>
          </w:p>
        </w:tc>
        <w:tc>
          <w:tcPr>
            <w:tcW w:w="1398" w:type="dxa"/>
          </w:tcPr>
          <w:p w14:paraId="7C25EDED" w14:textId="4578038B" w:rsidR="004119A5" w:rsidRPr="00C2617C" w:rsidRDefault="004119A5">
            <w:pPr>
              <w:jc w:val="center"/>
              <w:rPr>
                <w:b/>
                <w:szCs w:val="20"/>
              </w:rPr>
            </w:pPr>
            <w:r w:rsidRPr="00C2617C">
              <w:rPr>
                <w:b/>
                <w:szCs w:val="20"/>
              </w:rPr>
              <w:t xml:space="preserve"> 0</w:t>
            </w:r>
          </w:p>
        </w:tc>
        <w:tc>
          <w:tcPr>
            <w:tcW w:w="1330" w:type="dxa"/>
          </w:tcPr>
          <w:p w14:paraId="5625A4B8" w14:textId="66528787" w:rsidR="004119A5" w:rsidRPr="00C2617C" w:rsidRDefault="004119A5">
            <w:pPr>
              <w:jc w:val="center"/>
              <w:rPr>
                <w:b/>
                <w:szCs w:val="20"/>
              </w:rPr>
            </w:pPr>
            <w:r w:rsidRPr="00C2617C">
              <w:rPr>
                <w:b/>
                <w:szCs w:val="20"/>
              </w:rPr>
              <w:t>0.</w:t>
            </w:r>
            <w:r w:rsidR="00014434">
              <w:rPr>
                <w:b/>
                <w:szCs w:val="20"/>
              </w:rPr>
              <w:t>5</w:t>
            </w:r>
          </w:p>
        </w:tc>
        <w:tc>
          <w:tcPr>
            <w:tcW w:w="1276" w:type="dxa"/>
          </w:tcPr>
          <w:p w14:paraId="7D2CF7FD" w14:textId="6B83B154" w:rsidR="004119A5" w:rsidRPr="00C2617C" w:rsidRDefault="004119A5">
            <w:pPr>
              <w:jc w:val="center"/>
              <w:rPr>
                <w:b/>
                <w:szCs w:val="20"/>
              </w:rPr>
            </w:pPr>
            <w:r w:rsidRPr="00C2617C">
              <w:rPr>
                <w:b/>
                <w:szCs w:val="20"/>
              </w:rPr>
              <w:t>0.</w:t>
            </w:r>
            <w:r>
              <w:rPr>
                <w:b/>
                <w:szCs w:val="20"/>
              </w:rPr>
              <w:t>1</w:t>
            </w:r>
          </w:p>
        </w:tc>
        <w:tc>
          <w:tcPr>
            <w:tcW w:w="1360" w:type="dxa"/>
          </w:tcPr>
          <w:p w14:paraId="320BA377" w14:textId="07262F79" w:rsidR="004119A5" w:rsidRPr="00C2617C" w:rsidRDefault="004119A5">
            <w:pPr>
              <w:jc w:val="center"/>
              <w:rPr>
                <w:b/>
                <w:szCs w:val="20"/>
              </w:rPr>
            </w:pPr>
            <w:r>
              <w:rPr>
                <w:b/>
                <w:szCs w:val="20"/>
              </w:rPr>
              <w:t>0.</w:t>
            </w:r>
            <w:r w:rsidR="00704986">
              <w:rPr>
                <w:b/>
                <w:szCs w:val="20"/>
              </w:rPr>
              <w:t>1</w:t>
            </w:r>
          </w:p>
        </w:tc>
      </w:tr>
    </w:tbl>
    <w:p w14:paraId="4D544E1C" w14:textId="67CA1204" w:rsidR="004119A5" w:rsidRPr="00273D6E" w:rsidRDefault="004119A5" w:rsidP="00F41B7F">
      <w:pPr>
        <w:pStyle w:val="Source-CSR"/>
      </w:pPr>
      <w:r>
        <w:t xml:space="preserve">Note: </w:t>
      </w:r>
      <w:r w:rsidRPr="009C4607">
        <w:t>Option 1 - the status quo - receives a score of zero across all criteria, as explained in Chapter 4.</w:t>
      </w:r>
    </w:p>
    <w:p w14:paraId="49FB6F50" w14:textId="4D3740F5" w:rsidR="004119A5" w:rsidRDefault="004119A5" w:rsidP="004119A5">
      <w:r w:rsidRPr="001C3B7A">
        <w:t xml:space="preserve">These weighted scores show that </w:t>
      </w:r>
      <w:r>
        <w:t xml:space="preserve">all proposed changes </w:t>
      </w:r>
      <w:r w:rsidRPr="001C3B7A">
        <w:t xml:space="preserve">are expected to have a net positive impact on improvement in child safety even after accounting for costs and implementation </w:t>
      </w:r>
      <w:r w:rsidRPr="001C3B7A">
        <w:lastRenderedPageBreak/>
        <w:t xml:space="preserve">risks. </w:t>
      </w:r>
      <w:r>
        <w:t xml:space="preserve">While options </w:t>
      </w:r>
      <w:r w:rsidR="00704986">
        <w:t>3</w:t>
      </w:r>
      <w:r>
        <w:t xml:space="preserve"> and </w:t>
      </w:r>
      <w:r w:rsidR="00704986">
        <w:t>4</w:t>
      </w:r>
      <w:r>
        <w:t xml:space="preserve"> received a lower weighted score than option </w:t>
      </w:r>
      <w:r w:rsidR="00704986">
        <w:t>2</w:t>
      </w:r>
      <w:r>
        <w:t xml:space="preserve">, they still achieve </w:t>
      </w:r>
      <w:r w:rsidRPr="001C3B7A">
        <w:t>a net positive score, based on the higher weight placed on child safety than other criteria.</w:t>
      </w:r>
      <w:r>
        <w:t xml:space="preserve"> The main reason for the lower overall score for option 3 is the substantial implementation risks identified by FDC stakeholders.</w:t>
      </w:r>
    </w:p>
    <w:p w14:paraId="0E908A4E" w14:textId="241EBB12" w:rsidR="004119A5" w:rsidRPr="00273D6E" w:rsidRDefault="004119A5" w:rsidP="004119A5">
      <w:r>
        <w:t>The rationale for each MCA score is outlined in the sections below.</w:t>
      </w:r>
    </w:p>
    <w:p w14:paraId="6ABA6A46" w14:textId="77777777" w:rsidR="004119A5" w:rsidRDefault="004119A5" w:rsidP="004119A5">
      <w:pPr>
        <w:pStyle w:val="Heading4"/>
      </w:pPr>
      <w:r>
        <w:t xml:space="preserve">Impact on child safety </w:t>
      </w:r>
    </w:p>
    <w:p w14:paraId="5C2CC254" w14:textId="01B9E572" w:rsidR="004119A5" w:rsidRDefault="004119A5" w:rsidP="004119A5">
      <w:r>
        <w:t xml:space="preserve">With the provision of explicit national guidance </w:t>
      </w:r>
      <w:r w:rsidR="00BD1E24">
        <w:t xml:space="preserve">provided </w:t>
      </w:r>
      <w:r>
        <w:t xml:space="preserve">to FDC approved providers, option 2 could help </w:t>
      </w:r>
      <w:r w:rsidR="00BD1E24">
        <w:t>them</w:t>
      </w:r>
      <w:r>
        <w:t xml:space="preserve"> understand their obligations for the </w:t>
      </w:r>
      <w:r w:rsidR="00BD1E24">
        <w:t xml:space="preserve">specific </w:t>
      </w:r>
      <w:r>
        <w:t xml:space="preserve">areas to be assessed, and the risk mitigation needed to prevent children from accessing areas beyond the service premise. This could improve the quality and coverage of risk assessments and the mitigation strategies thereafter to improve the safety of children attending the service. However, option 2 is non-regulatory and the improvement to child safety is contingent on the scale and level of uptake by approved providers. </w:t>
      </w:r>
    </w:p>
    <w:p w14:paraId="19EF7E3C" w14:textId="3E5464B8" w:rsidR="004119A5" w:rsidRDefault="004119A5" w:rsidP="004119A5">
      <w:r>
        <w:t xml:space="preserve">Across all surveys, </w:t>
      </w:r>
      <w:r w:rsidR="000E0361">
        <w:t>‘</w:t>
      </w:r>
      <w:r w:rsidRPr="005D609A">
        <w:t>somewhat reduce</w:t>
      </w:r>
      <w:r w:rsidR="000E0361">
        <w:t>’</w:t>
      </w:r>
      <w:r>
        <w:t xml:space="preserve"> was the most common response to the question of how much option 2 would reduce the risk of harm to children (refer to </w:t>
      </w:r>
      <w:r w:rsidR="002E032F">
        <w:t xml:space="preserve">Chart </w:t>
      </w:r>
      <w:r>
        <w:t>9.</w:t>
      </w:r>
      <w:r w:rsidR="002E032F">
        <w:t>5</w:t>
      </w:r>
      <w:r>
        <w:t>). This view was shared between FDCs and all other service types. As such</w:t>
      </w:r>
      <w:r w:rsidRPr="009601F9">
        <w:t xml:space="preserve">, option 2 has been assigned </w:t>
      </w:r>
      <w:r w:rsidR="003055D7">
        <w:t>an MCA</w:t>
      </w:r>
      <w:r w:rsidRPr="009601F9">
        <w:t xml:space="preserve"> score of two</w:t>
      </w:r>
      <w:r>
        <w:t xml:space="preserve"> for this criterion</w:t>
      </w:r>
      <w:r w:rsidRPr="009601F9">
        <w:t>.</w:t>
      </w:r>
    </w:p>
    <w:p w14:paraId="06001509" w14:textId="7EB7FB8E" w:rsidR="00572755" w:rsidRDefault="002E032F" w:rsidP="002E032F">
      <w:pPr>
        <w:pStyle w:val="Caption"/>
      </w:pPr>
      <w:bookmarkStart w:id="184" w:name="_Toc202887748"/>
      <w:bookmarkStart w:id="185" w:name="_Toc205884980"/>
      <w:r>
        <w:t>Chart</w:t>
      </w:r>
      <w:r w:rsidRPr="00A2566A">
        <w:t xml:space="preserve"> </w:t>
      </w:r>
      <w:r w:rsidR="004119A5" w:rsidRPr="00A2566A">
        <w:t>9.</w:t>
      </w:r>
      <w:r>
        <w:t>5</w:t>
      </w:r>
      <w:r w:rsidR="004119A5" w:rsidRPr="00A2566A">
        <w:t>: Approved provider responses by service type to “How much do you think each option will reduce the risk of harm to children?”</w:t>
      </w:r>
      <w:bookmarkEnd w:id="184"/>
      <w:bookmarkEnd w:id="185"/>
    </w:p>
    <w:p w14:paraId="0427BC09" w14:textId="2D21CF72" w:rsidR="00572755" w:rsidRDefault="00572755" w:rsidP="00AC04CA">
      <w:pPr>
        <w:pStyle w:val="Source-CSR"/>
        <w:rPr>
          <w:rFonts w:eastAsia="Calibri" w:cs="Arial"/>
          <w:iCs/>
          <w:color w:val="808080"/>
          <w:szCs w:val="18"/>
        </w:rPr>
      </w:pPr>
      <w:r>
        <w:rPr>
          <w:noProof/>
          <w14:ligatures w14:val="standardContextual"/>
        </w:rPr>
        <w:drawing>
          <wp:inline distT="0" distB="0" distL="0" distR="0" wp14:anchorId="052004D0" wp14:editId="43745F85">
            <wp:extent cx="5762625" cy="2933700"/>
            <wp:effectExtent l="0" t="0" r="0" b="0"/>
            <wp:docPr id="608532053" name="Chart 1" descr="Approved provider responses by service type to &quot;How much do you think each option will reduce the risk of harm to children?&quot;">
              <a:extLst xmlns:a="http://schemas.openxmlformats.org/drawingml/2006/main">
                <a:ext uri="{FF2B5EF4-FFF2-40B4-BE49-F238E27FC236}">
                  <a16:creationId xmlns:a16="http://schemas.microsoft.com/office/drawing/2014/main" id="{61B1E86F-A8E3-8C52-D483-0C58D463AA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EB2ADC0" w14:textId="29689707" w:rsidR="004119A5" w:rsidRPr="00FE122F" w:rsidRDefault="004119A5" w:rsidP="00F41B7F">
      <w:pPr>
        <w:pStyle w:val="Source-CSR"/>
        <w:rPr>
          <w:iCs/>
        </w:rPr>
      </w:pPr>
      <w:r w:rsidRPr="009C5186">
        <w:t>Source: Approved provider survey, as of 11 June 2025, Q</w:t>
      </w:r>
      <w:r>
        <w:t>85</w:t>
      </w:r>
      <w:r w:rsidRPr="009C5186">
        <w:t xml:space="preserve">, </w:t>
      </w:r>
      <w:r>
        <w:t>FDC (option 1 n =</w:t>
      </w:r>
      <w:r w:rsidRPr="00F41B7F">
        <w:t>34</w:t>
      </w:r>
      <w:r>
        <w:t>, option 2 n=33, option 3 n=31, option 4 n=30), Other (option 1 n =71, option 2 n=69, option 3 n=68, option 4 n=69). Note “Other” includes all service types except FDC.</w:t>
      </w:r>
      <w:r w:rsidR="000C18D1">
        <w:t xml:space="preserve"> </w:t>
      </w:r>
      <w:r w:rsidR="00195653">
        <w:t>C</w:t>
      </w:r>
      <w:r w:rsidR="000C18D1">
        <w:t>olumns may not sum to 100% due to rounding.</w:t>
      </w:r>
    </w:p>
    <w:p w14:paraId="206CFD69" w14:textId="4F27810B" w:rsidR="004119A5" w:rsidRDefault="004119A5" w:rsidP="004119A5">
      <w:r>
        <w:lastRenderedPageBreak/>
        <w:t xml:space="preserve">Option 3 may improve child safety outcomes by expanding risk assessments and mitigation strategies to </w:t>
      </w:r>
      <w:r w:rsidR="00FE187A">
        <w:t xml:space="preserve">all areas of the residence and beyond the </w:t>
      </w:r>
      <w:r>
        <w:t xml:space="preserve">FDC </w:t>
      </w:r>
      <w:r w:rsidR="00FE187A">
        <w:t xml:space="preserve">residence. </w:t>
      </w:r>
      <w:r>
        <w:t>The scale of impact on child safety for this option is constrained by (1) the residual risk from the base case, where 65% of approved provider survey respondents indicated they already assess broader areas of the residence (refer to Chart 9.</w:t>
      </w:r>
      <w:r w:rsidR="00C5116F">
        <w:t>6</w:t>
      </w:r>
      <w:r>
        <w:t>) and 85% of approved providers survey respondents indicated they have risk mitigation strategies in place for potential hazards</w:t>
      </w:r>
      <w:r w:rsidR="0000548F">
        <w:t>,</w:t>
      </w:r>
      <w:r w:rsidR="003D7995">
        <w:rPr>
          <w:rStyle w:val="FootnoteReference"/>
        </w:rPr>
        <w:footnoteReference w:id="129"/>
      </w:r>
      <w:r>
        <w:t xml:space="preserve"> and (2) the definition adopted for ‘areas near the residence that may be accessible to children’. Option 3 could help close remaining gaps in risk assessment and mitigation practice nationwide.</w:t>
      </w:r>
    </w:p>
    <w:p w14:paraId="0465ECDC" w14:textId="46A8B2AC" w:rsidR="004119A5" w:rsidRPr="00057988" w:rsidRDefault="004119A5" w:rsidP="004119A5">
      <w:pPr>
        <w:pStyle w:val="Caption"/>
      </w:pPr>
      <w:bookmarkStart w:id="186" w:name="_Toc205884981"/>
      <w:bookmarkStart w:id="187" w:name="_Toc202887749"/>
      <w:r w:rsidRPr="00805693">
        <w:t>Chart 9.</w:t>
      </w:r>
      <w:r w:rsidR="00C5116F">
        <w:t>6</w:t>
      </w:r>
      <w:r w:rsidRPr="00805693">
        <w:t>: Approved</w:t>
      </w:r>
      <w:r w:rsidRPr="00057988">
        <w:t xml:space="preserve"> provider responses </w:t>
      </w:r>
      <w:r>
        <w:t xml:space="preserve">by service type </w:t>
      </w:r>
      <w:r w:rsidRPr="00057988">
        <w:t>to “</w:t>
      </w:r>
      <w:r>
        <w:t>Are areas broader than the FDC residence ever assessed at your service</w:t>
      </w:r>
      <w:r w:rsidRPr="00057988">
        <w:t>?”</w:t>
      </w:r>
      <w:bookmarkEnd w:id="186"/>
      <w:r>
        <w:t xml:space="preserve"> </w:t>
      </w:r>
      <w:bookmarkEnd w:id="187"/>
    </w:p>
    <w:p w14:paraId="1E15CE02" w14:textId="794A4451" w:rsidR="004119A5" w:rsidRPr="00535F8C" w:rsidRDefault="004119A5" w:rsidP="004119A5">
      <w:r>
        <w:rPr>
          <w:noProof/>
          <w14:ligatures w14:val="standardContextual"/>
        </w:rPr>
        <w:drawing>
          <wp:inline distT="0" distB="0" distL="0" distR="0" wp14:anchorId="6352D5AA" wp14:editId="7B786277">
            <wp:extent cx="5589142" cy="1684961"/>
            <wp:effectExtent l="0" t="0" r="0" b="0"/>
            <wp:docPr id="875852946" name="Chart 1" descr="Approved provider responses by service type to the survey question &quot;Are areas broader than the FDC residence ever assessed at your service?&quot;">
              <a:extLst xmlns:a="http://schemas.openxmlformats.org/drawingml/2006/main">
                <a:ext uri="{FF2B5EF4-FFF2-40B4-BE49-F238E27FC236}">
                  <a16:creationId xmlns:a16="http://schemas.microsoft.com/office/drawing/2014/main" id="{E82A2904-4D80-427A-5E30-367E18563F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846EFAF" w14:textId="2FC5CE2A" w:rsidR="004119A5" w:rsidRPr="00635C88" w:rsidRDefault="004119A5" w:rsidP="00F41B7F">
      <w:pPr>
        <w:pStyle w:val="Source-CSR"/>
        <w:rPr>
          <w:iCs/>
        </w:rPr>
      </w:pPr>
      <w:r w:rsidRPr="00057988">
        <w:t xml:space="preserve">Source: Approved provider, as of </w:t>
      </w:r>
      <w:r>
        <w:rPr>
          <w:iCs/>
        </w:rPr>
        <w:t>11</w:t>
      </w:r>
      <w:r w:rsidRPr="00B62C37">
        <w:t xml:space="preserve"> June 2025, Q</w:t>
      </w:r>
      <w:r>
        <w:t>210</w:t>
      </w:r>
      <w:r w:rsidRPr="00B62C37">
        <w:t xml:space="preserve">, </w:t>
      </w:r>
      <w:r>
        <w:t xml:space="preserve">n=37. Note that all respondents identified as </w:t>
      </w:r>
      <w:r w:rsidR="00FD6F5D">
        <w:t>FDCs</w:t>
      </w:r>
      <w:r>
        <w:t>.</w:t>
      </w:r>
    </w:p>
    <w:p w14:paraId="09822B51" w14:textId="4CD0E2BF" w:rsidR="004119A5" w:rsidRDefault="004119A5" w:rsidP="004119A5">
      <w:r>
        <w:t>The diverse range of properties that FDC services operate on will experience varying levels of improvements to child safety depending on their location and setting. For example, FDC service premises located on larger farms or within an apartment complex present different risks to child safety.</w:t>
      </w:r>
    </w:p>
    <w:p w14:paraId="1F6AA2A6" w14:textId="050D4996" w:rsidR="004119A5" w:rsidRPr="00005940" w:rsidRDefault="004119A5" w:rsidP="004119A5">
      <w:pPr>
        <w:rPr>
          <w:i/>
          <w:iCs/>
        </w:rPr>
      </w:pPr>
      <w:r>
        <w:t xml:space="preserve">The impact of option 3 is </w:t>
      </w:r>
      <w:r w:rsidRPr="00FA1A7C">
        <w:t xml:space="preserve">anticipated to be more than option 2 and option 4 due to its </w:t>
      </w:r>
      <w:r>
        <w:t>regulatory</w:t>
      </w:r>
      <w:r w:rsidRPr="00FA1A7C">
        <w:t xml:space="preserve"> approach </w:t>
      </w:r>
      <w:r>
        <w:t>to require</w:t>
      </w:r>
      <w:r w:rsidRPr="00FA1A7C">
        <w:t xml:space="preserve"> </w:t>
      </w:r>
      <w:r>
        <w:t>risk assessments</w:t>
      </w:r>
      <w:r w:rsidRPr="00FA1A7C">
        <w:t xml:space="preserve"> and </w:t>
      </w:r>
      <w:r w:rsidRPr="00A8126F">
        <w:t xml:space="preserve">mitigation strategies for broader areas of the FDC residence. In the approved provider survey, </w:t>
      </w:r>
      <w:r>
        <w:t xml:space="preserve">FDCs largely indicated option 3 would only somewhat reduce the risk of harm, while all other service types most frequently expected option 3 to greatly reduce the risk of harm (refer to </w:t>
      </w:r>
      <w:r w:rsidR="00C5116F">
        <w:t>Chart 9.5</w:t>
      </w:r>
      <w:r>
        <w:t xml:space="preserve">). </w:t>
      </w:r>
      <w:r w:rsidR="00DA062F">
        <w:t xml:space="preserve">Differences in survey responses between FDCs and other service types may reflect FDCs’ </w:t>
      </w:r>
      <w:r w:rsidR="009E1E8F">
        <w:t>practical</w:t>
      </w:r>
      <w:r>
        <w:t xml:space="preserve"> </w:t>
      </w:r>
      <w:r w:rsidR="00300FA2">
        <w:t xml:space="preserve">understanding of how </w:t>
      </w:r>
      <w:r w:rsidR="006D068D">
        <w:t xml:space="preserve">the options would </w:t>
      </w:r>
      <w:r w:rsidR="009E1E8F">
        <w:t>affect</w:t>
      </w:r>
      <w:r w:rsidR="006D068D">
        <w:t xml:space="preserve"> their service, </w:t>
      </w:r>
      <w:r w:rsidR="009E1E8F">
        <w:t xml:space="preserve">whereas responses from other service types </w:t>
      </w:r>
      <w:r w:rsidR="00EF1AA8">
        <w:t>may be</w:t>
      </w:r>
      <w:r w:rsidR="009E1E8F">
        <w:t xml:space="preserve"> </w:t>
      </w:r>
      <w:r w:rsidR="00EF1AA8">
        <w:t xml:space="preserve">more </w:t>
      </w:r>
      <w:r w:rsidR="009E1E8F">
        <w:t>speculative.</w:t>
      </w:r>
      <w:r w:rsidR="00173176">
        <w:t xml:space="preserve"> </w:t>
      </w:r>
      <w:r>
        <w:t xml:space="preserve">Respondents to the workforce and family surveys most frequently expected that option 3 would </w:t>
      </w:r>
      <w:r w:rsidR="00416D46">
        <w:t>‘</w:t>
      </w:r>
      <w:r>
        <w:t>greatly reduce</w:t>
      </w:r>
      <w:r w:rsidR="00416D46">
        <w:t>’</w:t>
      </w:r>
      <w:r>
        <w:t xml:space="preserve"> the risk of harm (refer to </w:t>
      </w:r>
      <w:r>
        <w:lastRenderedPageBreak/>
        <w:t xml:space="preserve">Appendix </w:t>
      </w:r>
      <w:r w:rsidR="002E4F60">
        <w:t xml:space="preserve">Charts </w:t>
      </w:r>
      <w:r>
        <w:t>12.3</w:t>
      </w:r>
      <w:r w:rsidR="00412A46">
        <w:t>.5</w:t>
      </w:r>
      <w:r w:rsidR="002E4F60">
        <w:t>.11-12</w:t>
      </w:r>
      <w:r>
        <w:t>). Based on this evidence</w:t>
      </w:r>
      <w:r w:rsidRPr="00DB6556">
        <w:t xml:space="preserve">, option 3 has been assigned </w:t>
      </w:r>
      <w:r w:rsidR="003055D7">
        <w:t>an MCA</w:t>
      </w:r>
      <w:r w:rsidRPr="00DB6556">
        <w:t xml:space="preserve"> score of </w:t>
      </w:r>
      <w:r w:rsidR="00416D46">
        <w:t>three</w:t>
      </w:r>
      <w:r w:rsidR="00416D46" w:rsidRPr="00DB6556">
        <w:t xml:space="preserve"> </w:t>
      </w:r>
      <w:r w:rsidRPr="00DB6556">
        <w:t>for this criterion.</w:t>
      </w:r>
    </w:p>
    <w:p w14:paraId="1FBD7F65" w14:textId="226A806D" w:rsidR="004119A5" w:rsidRDefault="004119A5" w:rsidP="004119A5">
      <w:r>
        <w:t xml:space="preserve">Under option 4, the National Regulations would need to be amended to </w:t>
      </w:r>
      <w:r w:rsidR="00412A46">
        <w:t>formalise an</w:t>
      </w:r>
      <w:r>
        <w:t xml:space="preserve"> approval process </w:t>
      </w:r>
      <w:r w:rsidR="00412A46">
        <w:t>for</w:t>
      </w:r>
      <w:r>
        <w:t xml:space="preserve"> the FDC service premise. This </w:t>
      </w:r>
      <w:r w:rsidR="005B5D9E">
        <w:t xml:space="preserve">formalisation </w:t>
      </w:r>
      <w:r>
        <w:t xml:space="preserve">of the boundaries of the FDC service premises would </w:t>
      </w:r>
      <w:r w:rsidR="005B5D9E">
        <w:t>clarify beyond doubt which are</w:t>
      </w:r>
      <w:r w:rsidR="00B66B9E">
        <w:t>as are</w:t>
      </w:r>
      <w:r w:rsidR="005B5D9E">
        <w:t xml:space="preserve"> approved for the provision of</w:t>
      </w:r>
      <w:r>
        <w:t xml:space="preserve"> education and care. In consultative activity, stakeholders noted that this option would strike a good balance between maintaining the privacy of FDC educators and clarifying which areas of the FDC </w:t>
      </w:r>
      <w:r w:rsidR="00412A46">
        <w:t xml:space="preserve">residence </w:t>
      </w:r>
      <w:r>
        <w:t xml:space="preserve">are used as the service premises. </w:t>
      </w:r>
    </w:p>
    <w:p w14:paraId="3F5DD487" w14:textId="6DDADBAD" w:rsidR="004119A5" w:rsidRDefault="004119A5" w:rsidP="004119A5">
      <w:r>
        <w:t xml:space="preserve">The impact of option 4 on child safety outcomes is </w:t>
      </w:r>
      <w:r w:rsidRPr="00A8126F">
        <w:t xml:space="preserve">anticipated to </w:t>
      </w:r>
      <w:r w:rsidR="00416D46" w:rsidRPr="00A8126F">
        <w:t>be less</w:t>
      </w:r>
      <w:r w:rsidRPr="00A8126F">
        <w:t xml:space="preserve"> than option 3</w:t>
      </w:r>
      <w:r>
        <w:t xml:space="preserve"> across all surveys except the family survey where option 4 was perceived to have the greatest impact on reducing the risk of harm (refer to Appendix </w:t>
      </w:r>
      <w:r w:rsidR="002E4F60">
        <w:t>Chart</w:t>
      </w:r>
      <w:r>
        <w:t xml:space="preserve"> 12.3</w:t>
      </w:r>
      <w:r w:rsidR="006859C4">
        <w:t>.5</w:t>
      </w:r>
      <w:r w:rsidR="008763FA">
        <w:t>.9</w:t>
      </w:r>
      <w:r>
        <w:t>)</w:t>
      </w:r>
      <w:r w:rsidRPr="00A8126F">
        <w:t>.</w:t>
      </w:r>
      <w:r>
        <w:t xml:space="preserve"> FDC</w:t>
      </w:r>
      <w:r w:rsidR="00931718">
        <w:t xml:space="preserve"> providers and educator</w:t>
      </w:r>
      <w:r>
        <w:t xml:space="preserve">s held a view that option 4 would be less impactful than perceived by other types of services and largely expected option 4 to either </w:t>
      </w:r>
      <w:r w:rsidR="00697516">
        <w:t>‘</w:t>
      </w:r>
      <w:r>
        <w:t>somewhat reduce</w:t>
      </w:r>
      <w:r w:rsidR="00697516">
        <w:t>’</w:t>
      </w:r>
      <w:r>
        <w:t xml:space="preserve"> or have </w:t>
      </w:r>
      <w:r w:rsidR="00697516">
        <w:t>‘</w:t>
      </w:r>
      <w:r>
        <w:t>no</w:t>
      </w:r>
      <w:r w:rsidR="00697516">
        <w:t xml:space="preserve"> change’</w:t>
      </w:r>
      <w:r>
        <w:t xml:space="preserve"> on the risk of harm to children (refer to </w:t>
      </w:r>
      <w:r w:rsidR="00C5116F">
        <w:t>Chart 9.5</w:t>
      </w:r>
      <w:r>
        <w:t>).</w:t>
      </w:r>
      <w:r w:rsidRPr="00A8126F">
        <w:t xml:space="preserve"> </w:t>
      </w:r>
      <w:r w:rsidR="00572FA2">
        <w:t xml:space="preserve">However, the residual </w:t>
      </w:r>
      <w:r w:rsidR="00790BC6">
        <w:t xml:space="preserve">risk that is targeted through this reform is relatively low. </w:t>
      </w:r>
      <w:r>
        <w:t>Based on this evidence</w:t>
      </w:r>
      <w:r w:rsidRPr="00DB6556">
        <w:t xml:space="preserve">, option </w:t>
      </w:r>
      <w:r>
        <w:t>4</w:t>
      </w:r>
      <w:r w:rsidRPr="00DB6556">
        <w:t xml:space="preserve"> has been assigned </w:t>
      </w:r>
      <w:r w:rsidR="003055D7">
        <w:t>an MCA</w:t>
      </w:r>
      <w:r w:rsidRPr="00DB6556">
        <w:t xml:space="preserve"> score of </w:t>
      </w:r>
      <w:r w:rsidR="00790BC6">
        <w:t>two</w:t>
      </w:r>
      <w:r w:rsidR="00790BC6" w:rsidRPr="00DB6556">
        <w:t xml:space="preserve"> </w:t>
      </w:r>
      <w:r w:rsidRPr="00DB6556">
        <w:t>for this criterion</w:t>
      </w:r>
      <w:r>
        <w:t xml:space="preserve">, as it will </w:t>
      </w:r>
      <w:r w:rsidR="005455D0">
        <w:t xml:space="preserve">be </w:t>
      </w:r>
      <w:r>
        <w:t>likely less impactful than option 3.</w:t>
      </w:r>
      <w:r w:rsidR="00790BC6">
        <w:t xml:space="preserve"> </w:t>
      </w:r>
    </w:p>
    <w:p w14:paraId="6E09677E" w14:textId="2CFD3F06" w:rsidR="004119A5" w:rsidRPr="00466043" w:rsidRDefault="004119A5" w:rsidP="004119A5">
      <w:pPr>
        <w:pStyle w:val="Heading4"/>
      </w:pPr>
      <w:r w:rsidRPr="00466043">
        <w:t xml:space="preserve">Cost of </w:t>
      </w:r>
      <w:r>
        <w:t>each</w:t>
      </w:r>
      <w:r w:rsidRPr="00466043">
        <w:t xml:space="preserve"> option</w:t>
      </w:r>
    </w:p>
    <w:p w14:paraId="4556A569" w14:textId="08291255" w:rsidR="004119A5" w:rsidRDefault="004119A5" w:rsidP="004119A5">
      <w:r>
        <w:t xml:space="preserve">Under option 2, the government </w:t>
      </w:r>
      <w:r w:rsidR="002F6D2B">
        <w:t xml:space="preserve">may </w:t>
      </w:r>
      <w:r>
        <w:t>incur costs to develop communication materials and national guidance. Incremental c</w:t>
      </w:r>
      <w:r w:rsidRPr="00B53153">
        <w:t xml:space="preserve">osts will be more significant if relevant materials cannot be developed with the support of existing government resources and as part of business-as-usual activities. </w:t>
      </w:r>
    </w:p>
    <w:p w14:paraId="4F3B2517" w14:textId="3D4A9F94" w:rsidR="004119A5" w:rsidRDefault="004119A5" w:rsidP="004119A5">
      <w:r>
        <w:t xml:space="preserve">Option 2 may also prompt approved providers to undertake </w:t>
      </w:r>
      <w:r w:rsidR="002F6D2B">
        <w:t xml:space="preserve">assessments </w:t>
      </w:r>
      <w:r>
        <w:t xml:space="preserve">of the </w:t>
      </w:r>
      <w:r w:rsidR="002F6D2B">
        <w:t xml:space="preserve">areas near the </w:t>
      </w:r>
      <w:r>
        <w:t xml:space="preserve">FDC residence in cases where current practices involve </w:t>
      </w:r>
      <w:r w:rsidR="002F6D2B">
        <w:t xml:space="preserve">assessing </w:t>
      </w:r>
      <w:r>
        <w:t xml:space="preserve">only the service premises. </w:t>
      </w:r>
      <w:r w:rsidR="003968FD">
        <w:t>Noting some uncertainty around implementation,</w:t>
      </w:r>
      <w:r>
        <w:t xml:space="preserve"> cost</w:t>
      </w:r>
      <w:r w:rsidR="003968FD">
        <w:t>s</w:t>
      </w:r>
      <w:r>
        <w:t xml:space="preserve"> </w:t>
      </w:r>
      <w:r w:rsidR="003968FD">
        <w:t>would</w:t>
      </w:r>
      <w:r>
        <w:t xml:space="preserve"> only be incurred among approved providers who choose to act on this guidance and may therefore undertake longer assessments</w:t>
      </w:r>
      <w:r w:rsidR="00BF2954">
        <w:t>.</w:t>
      </w:r>
      <w:r w:rsidR="003968FD">
        <w:t xml:space="preserve"> </w:t>
      </w:r>
      <w:r w:rsidR="00970B54">
        <w:t>A</w:t>
      </w:r>
      <w:r w:rsidR="00B30CDA">
        <w:t xml:space="preserve">s a result, </w:t>
      </w:r>
      <w:r>
        <w:t xml:space="preserve">option 2 has been assigned </w:t>
      </w:r>
      <w:r w:rsidR="003055D7">
        <w:t>an MCA</w:t>
      </w:r>
      <w:r w:rsidRPr="00A8126F">
        <w:t xml:space="preserve"> score of negative </w:t>
      </w:r>
      <w:r w:rsidR="00053783">
        <w:t>one</w:t>
      </w:r>
      <w:r w:rsidR="00053783" w:rsidRPr="00A8126F">
        <w:t xml:space="preserve"> </w:t>
      </w:r>
      <w:r w:rsidRPr="00A8126F">
        <w:t>for this criterion.</w:t>
      </w:r>
      <w:r>
        <w:t xml:space="preserve"> </w:t>
      </w:r>
    </w:p>
    <w:p w14:paraId="7F93565E" w14:textId="439D57C4" w:rsidR="004119A5" w:rsidRDefault="004119A5" w:rsidP="004119A5">
      <w:r>
        <w:t xml:space="preserve">Under option 3, </w:t>
      </w:r>
      <w:r w:rsidR="00B30CDA">
        <w:t>some</w:t>
      </w:r>
      <w:r>
        <w:t xml:space="preserve"> approved providers would incur additional compliance costs associated with the additional time required to conduct a risk assessment of areas near the FDC residence. FDC services also incur additional compliance costs as a staff member would need to supervise and guide the risk assessor for the duration of the risk assessment, while ensuring continuous supervision of children. Consultative activity with FDC </w:t>
      </w:r>
      <w:r w:rsidR="00EF2A3E">
        <w:t xml:space="preserve">educators </w:t>
      </w:r>
      <w:r w:rsidR="00EF2A3E">
        <w:lastRenderedPageBreak/>
        <w:t>across jurisdictions</w:t>
      </w:r>
      <w:r>
        <w:t xml:space="preserve"> indicated that option 3 could require an additional 1 to 5 hours to complete the risk assessment. The exact cost will depend on (1) the additional time required to complete the risk assessment for a given FDC service, (2) how ‘areas near the FDC residence’ is defined, and (3) the cost of implementing the risk mitigation strategy. </w:t>
      </w:r>
    </w:p>
    <w:p w14:paraId="3292D73F" w14:textId="4AD27FE0" w:rsidR="004119A5" w:rsidRDefault="004119A5" w:rsidP="004119A5">
      <w:r w:rsidRPr="0050698E">
        <w:rPr>
          <w:b/>
          <w:bCs/>
        </w:rPr>
        <w:t xml:space="preserve">The cost of </w:t>
      </w:r>
      <w:r w:rsidR="008C0FEA">
        <w:rPr>
          <w:b/>
          <w:bCs/>
        </w:rPr>
        <w:t>assessing</w:t>
      </w:r>
      <w:r w:rsidRPr="0050698E">
        <w:rPr>
          <w:b/>
          <w:bCs/>
        </w:rPr>
        <w:t xml:space="preserve"> FDC </w:t>
      </w:r>
      <w:r w:rsidR="008C0FEA">
        <w:rPr>
          <w:b/>
          <w:bCs/>
        </w:rPr>
        <w:t>residence and areas near the residence</w:t>
      </w:r>
      <w:r w:rsidRPr="0050698E">
        <w:rPr>
          <w:b/>
          <w:bCs/>
        </w:rPr>
        <w:t xml:space="preserve"> under option 3 is estimated to be $</w:t>
      </w:r>
      <w:r w:rsidR="00ED1A03">
        <w:rPr>
          <w:b/>
        </w:rPr>
        <w:t>2.9</w:t>
      </w:r>
      <w:r w:rsidRPr="0050698E">
        <w:rPr>
          <w:b/>
          <w:bCs/>
        </w:rPr>
        <w:t xml:space="preserve"> million</w:t>
      </w:r>
      <w:r>
        <w:rPr>
          <w:b/>
          <w:bCs/>
        </w:rPr>
        <w:t xml:space="preserve"> in present value terms from 2025 to 2034</w:t>
      </w:r>
      <w:r w:rsidRPr="0050698E">
        <w:rPr>
          <w:b/>
          <w:bCs/>
        </w:rPr>
        <w:t>.</w:t>
      </w:r>
      <w:r>
        <w:rPr>
          <w:rStyle w:val="FootnoteReference"/>
          <w:b/>
          <w:bCs/>
        </w:rPr>
        <w:footnoteReference w:id="130"/>
      </w:r>
      <w:r>
        <w:t xml:space="preserve"> This estimate assumes that each assessment would take an additional hour to complete, </w:t>
      </w:r>
      <w:r w:rsidR="00C70012">
        <w:t xml:space="preserve">requiring an hour from an FDC educator, and an hour from </w:t>
      </w:r>
      <w:r w:rsidR="00E154C8">
        <w:t xml:space="preserve">the approved provider per assessment </w:t>
      </w:r>
      <w:r>
        <w:t>and that the total number of assessments undertaken per year aligns to the estimated number of FDC educators – 9,249.</w:t>
      </w:r>
      <w:r>
        <w:rPr>
          <w:rStyle w:val="FootnoteReference"/>
        </w:rPr>
        <w:footnoteReference w:id="131"/>
      </w:r>
      <w:r>
        <w:t xml:space="preserve"> From the approved provider survey, </w:t>
      </w:r>
      <w:r w:rsidRPr="00FB58F6">
        <w:t>65%</w:t>
      </w:r>
      <w:r>
        <w:t xml:space="preserve"> of respondents answered that they assess areas </w:t>
      </w:r>
      <w:r w:rsidR="008C0FEA">
        <w:t>beyond</w:t>
      </w:r>
      <w:r>
        <w:t xml:space="preserve"> the FDC residence at their service, which indicates that only 35% of assessments may experience an incremental cost under option 3. It is assumed that each assessment is attended by one FDC educator and one staff member representing the approved provider. Based on the time taken to undertake the assessments, and the education sector wage rate of $</w:t>
      </w:r>
      <w:r w:rsidR="00ED1A03">
        <w:t>60.60</w:t>
      </w:r>
      <w:r>
        <w:t xml:space="preserve"> (including on-costs)</w:t>
      </w:r>
      <w:r>
        <w:rPr>
          <w:rStyle w:val="FootnoteReference"/>
        </w:rPr>
        <w:footnoteReference w:id="132"/>
      </w:r>
      <w:r>
        <w:t>, each additional assessment would come at a cost of $</w:t>
      </w:r>
      <w:r w:rsidR="00D35BB8">
        <w:t>1</w:t>
      </w:r>
      <w:r w:rsidR="004E727D">
        <w:t>21</w:t>
      </w:r>
      <w:r w:rsidR="00D35BB8">
        <w:t xml:space="preserve"> </w:t>
      </w:r>
      <w:r>
        <w:t xml:space="preserve">dollars. </w:t>
      </w:r>
    </w:p>
    <w:p w14:paraId="168BCFFF" w14:textId="469D687F" w:rsidR="004119A5" w:rsidRDefault="004119A5" w:rsidP="004119A5">
      <w:r>
        <w:t xml:space="preserve">Based on the estimated cost, option 3 has been assigned </w:t>
      </w:r>
      <w:r w:rsidR="003055D7">
        <w:t>an MCA</w:t>
      </w:r>
      <w:r>
        <w:t xml:space="preserve"> score of </w:t>
      </w:r>
      <w:r w:rsidRPr="002D639F">
        <w:t xml:space="preserve">negative </w:t>
      </w:r>
      <w:r w:rsidR="00D77BBF">
        <w:t>t</w:t>
      </w:r>
      <w:r w:rsidR="00923657">
        <w:t>hree</w:t>
      </w:r>
      <w:r w:rsidRPr="002D639F">
        <w:t>.</w:t>
      </w:r>
      <w:r>
        <w:t xml:space="preserve"> The cost of option 3 exceeds the cost of option 4 and is similarly expected to exceed the cost of option 2 (given the voluntary nature of this option). </w:t>
      </w:r>
    </w:p>
    <w:p w14:paraId="3D516363" w14:textId="0B376A5B" w:rsidR="004119A5" w:rsidRDefault="004119A5" w:rsidP="004119A5">
      <w:r w:rsidRPr="0050698E">
        <w:rPr>
          <w:b/>
          <w:bCs/>
        </w:rPr>
        <w:t xml:space="preserve">The cost of </w:t>
      </w:r>
      <w:r w:rsidR="00D65209">
        <w:rPr>
          <w:b/>
          <w:bCs/>
        </w:rPr>
        <w:t xml:space="preserve">formalising an approval </w:t>
      </w:r>
      <w:r w:rsidR="00780376">
        <w:rPr>
          <w:b/>
          <w:bCs/>
        </w:rPr>
        <w:t>process for</w:t>
      </w:r>
      <w:r w:rsidR="00D65209">
        <w:rPr>
          <w:b/>
          <w:bCs/>
        </w:rPr>
        <w:t xml:space="preserve"> </w:t>
      </w:r>
      <w:r>
        <w:rPr>
          <w:b/>
          <w:bCs/>
        </w:rPr>
        <w:t>the FDC service premises</w:t>
      </w:r>
      <w:r w:rsidRPr="0050698E">
        <w:rPr>
          <w:b/>
          <w:bCs/>
        </w:rPr>
        <w:t xml:space="preserve"> under option </w:t>
      </w:r>
      <w:r>
        <w:rPr>
          <w:b/>
          <w:bCs/>
        </w:rPr>
        <w:t>4</w:t>
      </w:r>
      <w:r w:rsidRPr="0050698E">
        <w:rPr>
          <w:b/>
          <w:bCs/>
        </w:rPr>
        <w:t xml:space="preserve"> is estimated to be $</w:t>
      </w:r>
      <w:r w:rsidR="00E154C8">
        <w:rPr>
          <w:b/>
        </w:rPr>
        <w:t>2.</w:t>
      </w:r>
      <w:r w:rsidR="00366D1E">
        <w:rPr>
          <w:b/>
        </w:rPr>
        <w:t>2</w:t>
      </w:r>
      <w:r w:rsidRPr="0050698E">
        <w:rPr>
          <w:b/>
          <w:bCs/>
        </w:rPr>
        <w:t xml:space="preserve"> million</w:t>
      </w:r>
      <w:r>
        <w:rPr>
          <w:b/>
          <w:bCs/>
        </w:rPr>
        <w:t xml:space="preserve"> in present value terms from 2025 to 2034</w:t>
      </w:r>
      <w:r w:rsidRPr="0050698E">
        <w:rPr>
          <w:b/>
          <w:bCs/>
        </w:rPr>
        <w:t>.</w:t>
      </w:r>
      <w:r>
        <w:rPr>
          <w:b/>
          <w:bCs/>
        </w:rPr>
        <w:t xml:space="preserve"> </w:t>
      </w:r>
      <w:r>
        <w:t xml:space="preserve">Under option 4, the approved provider would incur administrative costs </w:t>
      </w:r>
      <w:r w:rsidR="006B1785">
        <w:t>when formalising the areas to be used as the FDC service premises</w:t>
      </w:r>
      <w:r>
        <w:t xml:space="preserve">. FDC services would incur a small administrative cost each year to </w:t>
      </w:r>
      <w:r w:rsidR="00A90602">
        <w:t>undertake administrative processes</w:t>
      </w:r>
      <w:r>
        <w:t xml:space="preserve"> for the approval of the service premise</w:t>
      </w:r>
      <w:r w:rsidR="00A90602">
        <w:t>s</w:t>
      </w:r>
      <w:r>
        <w:t xml:space="preserve">. Under the assumption that </w:t>
      </w:r>
      <w:r w:rsidR="00A90602">
        <w:t>administrative processes take</w:t>
      </w:r>
      <w:r>
        <w:t xml:space="preserve"> </w:t>
      </w:r>
      <w:r w:rsidR="00E154C8">
        <w:t xml:space="preserve">15 </w:t>
      </w:r>
      <w:r>
        <w:t xml:space="preserve">minutes </w:t>
      </w:r>
      <w:r w:rsidR="00A90602">
        <w:t>for an</w:t>
      </w:r>
      <w:r>
        <w:t xml:space="preserve"> FDC educator</w:t>
      </w:r>
      <w:r w:rsidR="00A90602">
        <w:t xml:space="preserve"> to complete and</w:t>
      </w:r>
      <w:r>
        <w:t xml:space="preserve"> </w:t>
      </w:r>
      <w:r w:rsidR="00E154C8">
        <w:t xml:space="preserve">15 </w:t>
      </w:r>
      <w:r>
        <w:t xml:space="preserve">minutes to review by an approved provider, 9,249 FDC educators go through this approval process, </w:t>
      </w:r>
      <w:r w:rsidR="00615205">
        <w:t>and applying the same wage rate as under option 3,</w:t>
      </w:r>
      <w:r>
        <w:t xml:space="preserve"> the additional cost to the FDC sector in present value terms over a 10-year period is estimated to be approximately </w:t>
      </w:r>
      <w:r w:rsidRPr="00A90602">
        <w:t>$</w:t>
      </w:r>
      <w:r w:rsidR="007F4D8C" w:rsidRPr="00A90602">
        <w:t>2.6</w:t>
      </w:r>
      <w:r w:rsidR="00A90602" w:rsidRPr="00A90602">
        <w:t xml:space="preserve"> </w:t>
      </w:r>
      <w:r w:rsidRPr="00A90602">
        <w:t>million</w:t>
      </w:r>
      <w:r>
        <w:t xml:space="preserve">. Based on this cost, option 4 has been </w:t>
      </w:r>
      <w:r>
        <w:lastRenderedPageBreak/>
        <w:t xml:space="preserve">assigned </w:t>
      </w:r>
      <w:r w:rsidR="003055D7">
        <w:t>an MCA</w:t>
      </w:r>
      <w:r>
        <w:t xml:space="preserve"> score of </w:t>
      </w:r>
      <w:r w:rsidRPr="002D639F">
        <w:t xml:space="preserve">negative </w:t>
      </w:r>
      <w:r w:rsidR="00CC540B">
        <w:t>two</w:t>
      </w:r>
      <w:r>
        <w:t>, as it is likely to exceed the cost of option 2 but is less than the cost of option 3.</w:t>
      </w:r>
    </w:p>
    <w:p w14:paraId="2797E53F" w14:textId="7A2DBA5F" w:rsidR="0090426B" w:rsidRDefault="0090426B" w:rsidP="004119A5">
      <w:r>
        <w:t>The total cost of option 3 and option 4, by jurisdiction, is outlined in Table 9.7.</w:t>
      </w:r>
    </w:p>
    <w:p w14:paraId="7287D028" w14:textId="609EFD21" w:rsidR="0090426B" w:rsidRDefault="0090426B" w:rsidP="0090426B">
      <w:pPr>
        <w:pStyle w:val="Caption"/>
      </w:pPr>
      <w:bookmarkStart w:id="188" w:name="_Toc205884982"/>
      <w:r>
        <w:t>Table 9.7: Cost of option 3 and option 4, by jurisdiction</w:t>
      </w:r>
      <w:bookmarkEnd w:id="18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7: Cost of option 3 and option 4, by jurisdiction"/>
        <w:tblDescription w:val="This table outlines the cost of option 3 and option 4, by jurisdiction."/>
      </w:tblPr>
      <w:tblGrid>
        <w:gridCol w:w="2252"/>
        <w:gridCol w:w="2252"/>
        <w:gridCol w:w="2253"/>
        <w:gridCol w:w="2253"/>
      </w:tblGrid>
      <w:tr w:rsidR="00016D7A" w14:paraId="48255504" w14:textId="77777777" w:rsidTr="0070597C">
        <w:tc>
          <w:tcPr>
            <w:tcW w:w="2252" w:type="dxa"/>
            <w:shd w:val="clear" w:color="auto" w:fill="14233C" w:themeFill="text2"/>
          </w:tcPr>
          <w:p w14:paraId="065614F4" w14:textId="77777777" w:rsidR="00016D7A" w:rsidRPr="00016D7A" w:rsidRDefault="00016D7A" w:rsidP="004119A5">
            <w:pPr>
              <w:rPr>
                <w:b/>
                <w:bCs/>
                <w:color w:val="FFFFFF" w:themeColor="background1"/>
              </w:rPr>
            </w:pPr>
          </w:p>
        </w:tc>
        <w:tc>
          <w:tcPr>
            <w:tcW w:w="2252" w:type="dxa"/>
            <w:shd w:val="clear" w:color="auto" w:fill="14233C" w:themeFill="text2"/>
          </w:tcPr>
          <w:p w14:paraId="2F6E8E56" w14:textId="546AD43A" w:rsidR="00016D7A" w:rsidRPr="00016D7A" w:rsidRDefault="00016D7A" w:rsidP="004119A5">
            <w:pPr>
              <w:rPr>
                <w:b/>
                <w:bCs/>
                <w:color w:val="FFFFFF" w:themeColor="background1"/>
              </w:rPr>
            </w:pPr>
            <w:r>
              <w:rPr>
                <w:b/>
                <w:bCs/>
                <w:color w:val="FFFFFF" w:themeColor="background1"/>
              </w:rPr>
              <w:t>Cost to complete FDC assessments (option 3)</w:t>
            </w:r>
          </w:p>
        </w:tc>
        <w:tc>
          <w:tcPr>
            <w:tcW w:w="2253" w:type="dxa"/>
            <w:shd w:val="clear" w:color="auto" w:fill="14233C" w:themeFill="text2"/>
          </w:tcPr>
          <w:p w14:paraId="3F574DD6" w14:textId="5FBD97D2" w:rsidR="00016D7A" w:rsidRPr="00016D7A" w:rsidRDefault="00016D7A" w:rsidP="004119A5">
            <w:pPr>
              <w:rPr>
                <w:b/>
                <w:bCs/>
                <w:color w:val="FFFFFF" w:themeColor="background1"/>
              </w:rPr>
            </w:pPr>
            <w:r>
              <w:rPr>
                <w:b/>
                <w:bCs/>
                <w:color w:val="FFFFFF" w:themeColor="background1"/>
              </w:rPr>
              <w:t>Cost to formalise FDC service premises (option 4</w:t>
            </w:r>
          </w:p>
        </w:tc>
        <w:tc>
          <w:tcPr>
            <w:tcW w:w="2253" w:type="dxa"/>
            <w:shd w:val="clear" w:color="auto" w:fill="14233C" w:themeFill="text2"/>
          </w:tcPr>
          <w:p w14:paraId="1351E75B" w14:textId="4E8D0A60" w:rsidR="00016D7A" w:rsidRPr="00016D7A" w:rsidRDefault="00016D7A" w:rsidP="004119A5">
            <w:pPr>
              <w:rPr>
                <w:b/>
                <w:bCs/>
                <w:color w:val="FFFFFF" w:themeColor="background1"/>
              </w:rPr>
            </w:pPr>
            <w:r>
              <w:rPr>
                <w:b/>
                <w:bCs/>
                <w:color w:val="FFFFFF" w:themeColor="background1"/>
              </w:rPr>
              <w:t>Total cost</w:t>
            </w:r>
          </w:p>
        </w:tc>
      </w:tr>
      <w:tr w:rsidR="0090426B" w14:paraId="257B0182" w14:textId="77777777" w:rsidTr="0070597C">
        <w:tc>
          <w:tcPr>
            <w:tcW w:w="2252" w:type="dxa"/>
            <w:vAlign w:val="center"/>
          </w:tcPr>
          <w:p w14:paraId="5DCFE759" w14:textId="12D2731E" w:rsidR="0090426B" w:rsidRDefault="0090426B" w:rsidP="0090426B">
            <w:r>
              <w:rPr>
                <w:rFonts w:cs="Arial"/>
                <w:color w:val="000000"/>
                <w:szCs w:val="22"/>
              </w:rPr>
              <w:t>NSW</w:t>
            </w:r>
          </w:p>
        </w:tc>
        <w:tc>
          <w:tcPr>
            <w:tcW w:w="2252" w:type="dxa"/>
            <w:vAlign w:val="center"/>
          </w:tcPr>
          <w:p w14:paraId="0BEB321A" w14:textId="2493D6F3" w:rsidR="0090426B" w:rsidRDefault="004F77EA" w:rsidP="0090426B">
            <w:r>
              <w:rPr>
                <w:rFonts w:cs="Arial"/>
                <w:color w:val="000000"/>
                <w:szCs w:val="22"/>
              </w:rPr>
              <w:t>$880,288</w:t>
            </w:r>
          </w:p>
        </w:tc>
        <w:tc>
          <w:tcPr>
            <w:tcW w:w="2253" w:type="dxa"/>
            <w:vAlign w:val="center"/>
          </w:tcPr>
          <w:p w14:paraId="58EDD115" w14:textId="4E7A001C" w:rsidR="0090426B" w:rsidRDefault="004F77EA" w:rsidP="0090426B">
            <w:r>
              <w:rPr>
                <w:rFonts w:cs="Arial"/>
                <w:color w:val="000000"/>
                <w:szCs w:val="22"/>
              </w:rPr>
              <w:t>$646,837</w:t>
            </w:r>
          </w:p>
        </w:tc>
        <w:tc>
          <w:tcPr>
            <w:tcW w:w="2253" w:type="dxa"/>
            <w:vAlign w:val="center"/>
          </w:tcPr>
          <w:p w14:paraId="367AF0F7" w14:textId="2A77023E" w:rsidR="0090426B" w:rsidRPr="004F77EA" w:rsidRDefault="004F77EA" w:rsidP="0090426B">
            <w:pPr>
              <w:rPr>
                <w:b/>
              </w:rPr>
            </w:pPr>
            <w:r w:rsidRPr="004F77EA">
              <w:rPr>
                <w:rFonts w:cs="Arial"/>
                <w:b/>
                <w:bCs/>
                <w:color w:val="000000"/>
                <w:szCs w:val="22"/>
              </w:rPr>
              <w:t>$1,527,125</w:t>
            </w:r>
          </w:p>
        </w:tc>
      </w:tr>
      <w:tr w:rsidR="0090426B" w14:paraId="5FF43082" w14:textId="77777777" w:rsidTr="0070597C">
        <w:tc>
          <w:tcPr>
            <w:tcW w:w="2252" w:type="dxa"/>
            <w:vAlign w:val="center"/>
          </w:tcPr>
          <w:p w14:paraId="5B3B54D1" w14:textId="3DC88989" w:rsidR="0090426B" w:rsidRDefault="0090426B" w:rsidP="0090426B">
            <w:r>
              <w:rPr>
                <w:rFonts w:cs="Arial"/>
                <w:color w:val="000000"/>
                <w:szCs w:val="22"/>
              </w:rPr>
              <w:t>VIC</w:t>
            </w:r>
          </w:p>
        </w:tc>
        <w:tc>
          <w:tcPr>
            <w:tcW w:w="2252" w:type="dxa"/>
            <w:vAlign w:val="center"/>
          </w:tcPr>
          <w:p w14:paraId="0E31B204" w14:textId="6B51BF82" w:rsidR="0090426B" w:rsidRDefault="004F77EA" w:rsidP="0090426B">
            <w:r>
              <w:rPr>
                <w:rFonts w:cs="Arial"/>
                <w:color w:val="000000"/>
                <w:szCs w:val="22"/>
              </w:rPr>
              <w:t>$959,013</w:t>
            </w:r>
          </w:p>
        </w:tc>
        <w:tc>
          <w:tcPr>
            <w:tcW w:w="2253" w:type="dxa"/>
            <w:vAlign w:val="center"/>
          </w:tcPr>
          <w:p w14:paraId="2386FFFF" w14:textId="662FF5C6" w:rsidR="0090426B" w:rsidRDefault="004F77EA" w:rsidP="0090426B">
            <w:r>
              <w:rPr>
                <w:rFonts w:cs="Arial"/>
                <w:color w:val="000000"/>
                <w:szCs w:val="22"/>
              </w:rPr>
              <w:t>$704,684</w:t>
            </w:r>
          </w:p>
        </w:tc>
        <w:tc>
          <w:tcPr>
            <w:tcW w:w="2253" w:type="dxa"/>
            <w:vAlign w:val="center"/>
          </w:tcPr>
          <w:p w14:paraId="0D17AA7D" w14:textId="3CFEEA65" w:rsidR="0090426B" w:rsidRPr="004F77EA" w:rsidRDefault="004F77EA" w:rsidP="0090426B">
            <w:pPr>
              <w:rPr>
                <w:b/>
              </w:rPr>
            </w:pPr>
            <w:r w:rsidRPr="004F77EA">
              <w:rPr>
                <w:rFonts w:cs="Arial"/>
                <w:b/>
                <w:bCs/>
                <w:color w:val="000000"/>
                <w:szCs w:val="22"/>
              </w:rPr>
              <w:t>$1,663,697</w:t>
            </w:r>
          </w:p>
        </w:tc>
      </w:tr>
      <w:tr w:rsidR="0090426B" w14:paraId="799E9C9F" w14:textId="77777777" w:rsidTr="0070597C">
        <w:tc>
          <w:tcPr>
            <w:tcW w:w="2252" w:type="dxa"/>
            <w:vAlign w:val="center"/>
          </w:tcPr>
          <w:p w14:paraId="35F5E6C9" w14:textId="0352555F" w:rsidR="0090426B" w:rsidRDefault="0090426B" w:rsidP="0090426B">
            <w:r>
              <w:rPr>
                <w:rFonts w:cs="Arial"/>
                <w:color w:val="000000"/>
                <w:szCs w:val="22"/>
              </w:rPr>
              <w:t>QLD</w:t>
            </w:r>
          </w:p>
        </w:tc>
        <w:tc>
          <w:tcPr>
            <w:tcW w:w="2252" w:type="dxa"/>
            <w:vAlign w:val="center"/>
          </w:tcPr>
          <w:p w14:paraId="35A374A7" w14:textId="493F51B5" w:rsidR="0090426B" w:rsidRDefault="004F77EA" w:rsidP="0090426B">
            <w:r>
              <w:rPr>
                <w:rFonts w:cs="Arial"/>
                <w:color w:val="000000"/>
                <w:szCs w:val="22"/>
              </w:rPr>
              <w:t>$679,897</w:t>
            </w:r>
          </w:p>
        </w:tc>
        <w:tc>
          <w:tcPr>
            <w:tcW w:w="2253" w:type="dxa"/>
            <w:vAlign w:val="center"/>
          </w:tcPr>
          <w:p w14:paraId="5ABEF705" w14:textId="175C4FD1" w:rsidR="0090426B" w:rsidRDefault="004F77EA" w:rsidP="0090426B">
            <w:r>
              <w:rPr>
                <w:rFonts w:cs="Arial"/>
                <w:color w:val="000000"/>
                <w:szCs w:val="22"/>
              </w:rPr>
              <w:t>$499,589</w:t>
            </w:r>
          </w:p>
        </w:tc>
        <w:tc>
          <w:tcPr>
            <w:tcW w:w="2253" w:type="dxa"/>
            <w:vAlign w:val="center"/>
          </w:tcPr>
          <w:p w14:paraId="6B17582D" w14:textId="73F25E93" w:rsidR="0090426B" w:rsidRPr="004F77EA" w:rsidRDefault="004F77EA" w:rsidP="0090426B">
            <w:pPr>
              <w:rPr>
                <w:b/>
              </w:rPr>
            </w:pPr>
            <w:r w:rsidRPr="004F77EA">
              <w:rPr>
                <w:rFonts w:cs="Arial"/>
                <w:b/>
                <w:bCs/>
                <w:color w:val="000000"/>
                <w:szCs w:val="22"/>
              </w:rPr>
              <w:t>$1,179,487</w:t>
            </w:r>
          </w:p>
        </w:tc>
      </w:tr>
      <w:tr w:rsidR="0090426B" w14:paraId="13E73B7C" w14:textId="77777777" w:rsidTr="0070597C">
        <w:tc>
          <w:tcPr>
            <w:tcW w:w="2252" w:type="dxa"/>
            <w:vAlign w:val="center"/>
          </w:tcPr>
          <w:p w14:paraId="54EB7DB7" w14:textId="7CE2F461" w:rsidR="0090426B" w:rsidRDefault="0090426B" w:rsidP="0090426B">
            <w:r>
              <w:rPr>
                <w:rFonts w:cs="Arial"/>
                <w:color w:val="000000"/>
                <w:szCs w:val="22"/>
              </w:rPr>
              <w:t>WA</w:t>
            </w:r>
          </w:p>
        </w:tc>
        <w:tc>
          <w:tcPr>
            <w:tcW w:w="2252" w:type="dxa"/>
            <w:vAlign w:val="center"/>
          </w:tcPr>
          <w:p w14:paraId="6942BC5B" w14:textId="44688754" w:rsidR="0090426B" w:rsidRDefault="004F77EA" w:rsidP="0090426B">
            <w:r>
              <w:rPr>
                <w:rFonts w:cs="Arial"/>
                <w:color w:val="000000"/>
                <w:szCs w:val="22"/>
              </w:rPr>
              <w:t>$214,704</w:t>
            </w:r>
          </w:p>
        </w:tc>
        <w:tc>
          <w:tcPr>
            <w:tcW w:w="2253" w:type="dxa"/>
            <w:vAlign w:val="center"/>
          </w:tcPr>
          <w:p w14:paraId="4040D7F5" w14:textId="55BAB7F6" w:rsidR="0090426B" w:rsidRDefault="004F77EA" w:rsidP="0090426B">
            <w:r>
              <w:rPr>
                <w:rFonts w:cs="Arial"/>
                <w:color w:val="000000"/>
                <w:szCs w:val="22"/>
              </w:rPr>
              <w:t>$157,765</w:t>
            </w:r>
          </w:p>
        </w:tc>
        <w:tc>
          <w:tcPr>
            <w:tcW w:w="2253" w:type="dxa"/>
            <w:vAlign w:val="center"/>
          </w:tcPr>
          <w:p w14:paraId="12A9B73C" w14:textId="103F1EB4" w:rsidR="0090426B" w:rsidRPr="004F77EA" w:rsidRDefault="004F77EA" w:rsidP="0090426B">
            <w:pPr>
              <w:rPr>
                <w:b/>
              </w:rPr>
            </w:pPr>
            <w:r w:rsidRPr="004F77EA">
              <w:rPr>
                <w:rFonts w:cs="Arial"/>
                <w:b/>
                <w:bCs/>
                <w:color w:val="000000"/>
                <w:szCs w:val="22"/>
              </w:rPr>
              <w:t>$372,469</w:t>
            </w:r>
          </w:p>
        </w:tc>
      </w:tr>
      <w:tr w:rsidR="0090426B" w14:paraId="559147B0" w14:textId="77777777" w:rsidTr="0070597C">
        <w:tc>
          <w:tcPr>
            <w:tcW w:w="2252" w:type="dxa"/>
            <w:vAlign w:val="center"/>
          </w:tcPr>
          <w:p w14:paraId="28E1D0DA" w14:textId="7C0E4864" w:rsidR="0090426B" w:rsidRDefault="0090426B" w:rsidP="0090426B">
            <w:r>
              <w:rPr>
                <w:rFonts w:cs="Arial"/>
                <w:color w:val="000000"/>
                <w:szCs w:val="22"/>
              </w:rPr>
              <w:t>SA</w:t>
            </w:r>
          </w:p>
        </w:tc>
        <w:tc>
          <w:tcPr>
            <w:tcW w:w="2252" w:type="dxa"/>
            <w:vAlign w:val="center"/>
          </w:tcPr>
          <w:p w14:paraId="7A15F5A3" w14:textId="19D114F1" w:rsidR="0090426B" w:rsidRDefault="004F77EA" w:rsidP="0090426B">
            <w:r>
              <w:rPr>
                <w:rFonts w:cs="Arial"/>
                <w:color w:val="000000"/>
                <w:szCs w:val="22"/>
              </w:rPr>
              <w:t>$121,666</w:t>
            </w:r>
          </w:p>
        </w:tc>
        <w:tc>
          <w:tcPr>
            <w:tcW w:w="2253" w:type="dxa"/>
            <w:vAlign w:val="center"/>
          </w:tcPr>
          <w:p w14:paraId="377D6221" w14:textId="4AD01BC7" w:rsidR="0090426B" w:rsidRDefault="004F77EA" w:rsidP="0090426B">
            <w:r>
              <w:rPr>
                <w:rFonts w:cs="Arial"/>
                <w:color w:val="000000"/>
                <w:szCs w:val="22"/>
              </w:rPr>
              <w:t>$89,400</w:t>
            </w:r>
          </w:p>
        </w:tc>
        <w:tc>
          <w:tcPr>
            <w:tcW w:w="2253" w:type="dxa"/>
            <w:vAlign w:val="center"/>
          </w:tcPr>
          <w:p w14:paraId="602A65D3" w14:textId="589EF44B" w:rsidR="0090426B" w:rsidRPr="004F77EA" w:rsidRDefault="004F77EA" w:rsidP="0090426B">
            <w:pPr>
              <w:rPr>
                <w:b/>
              </w:rPr>
            </w:pPr>
            <w:r w:rsidRPr="004F77EA">
              <w:rPr>
                <w:rFonts w:cs="Arial"/>
                <w:b/>
                <w:bCs/>
                <w:color w:val="000000"/>
                <w:szCs w:val="22"/>
              </w:rPr>
              <w:t>$211,066</w:t>
            </w:r>
          </w:p>
        </w:tc>
      </w:tr>
      <w:tr w:rsidR="0090426B" w14:paraId="59D739F3" w14:textId="77777777" w:rsidTr="0070597C">
        <w:tc>
          <w:tcPr>
            <w:tcW w:w="2252" w:type="dxa"/>
            <w:vAlign w:val="center"/>
          </w:tcPr>
          <w:p w14:paraId="41780454" w14:textId="50E192AE" w:rsidR="0090426B" w:rsidRDefault="0090426B" w:rsidP="0090426B">
            <w:r>
              <w:rPr>
                <w:rFonts w:cs="Arial"/>
                <w:color w:val="000000"/>
                <w:szCs w:val="22"/>
              </w:rPr>
              <w:t>TAS</w:t>
            </w:r>
          </w:p>
        </w:tc>
        <w:tc>
          <w:tcPr>
            <w:tcW w:w="2252" w:type="dxa"/>
            <w:vAlign w:val="center"/>
          </w:tcPr>
          <w:p w14:paraId="344AD8BE" w14:textId="03EF2CDB" w:rsidR="0090426B" w:rsidRDefault="004F77EA" w:rsidP="0090426B">
            <w:r>
              <w:rPr>
                <w:rFonts w:cs="Arial"/>
                <w:color w:val="000000"/>
                <w:szCs w:val="22"/>
              </w:rPr>
              <w:t>$35,784</w:t>
            </w:r>
          </w:p>
        </w:tc>
        <w:tc>
          <w:tcPr>
            <w:tcW w:w="2253" w:type="dxa"/>
            <w:vAlign w:val="center"/>
          </w:tcPr>
          <w:p w14:paraId="3669BCC7" w14:textId="381724E9" w:rsidR="0090426B" w:rsidRDefault="004F77EA" w:rsidP="0090426B">
            <w:r>
              <w:rPr>
                <w:rFonts w:cs="Arial"/>
                <w:color w:val="000000"/>
                <w:szCs w:val="22"/>
              </w:rPr>
              <w:t>$26,294</w:t>
            </w:r>
          </w:p>
        </w:tc>
        <w:tc>
          <w:tcPr>
            <w:tcW w:w="2253" w:type="dxa"/>
            <w:vAlign w:val="center"/>
          </w:tcPr>
          <w:p w14:paraId="117BEA46" w14:textId="0E9B9B5C" w:rsidR="0090426B" w:rsidRPr="004F77EA" w:rsidRDefault="004F77EA" w:rsidP="0090426B">
            <w:pPr>
              <w:rPr>
                <w:b/>
              </w:rPr>
            </w:pPr>
            <w:r w:rsidRPr="004F77EA">
              <w:rPr>
                <w:rFonts w:cs="Arial"/>
                <w:b/>
                <w:bCs/>
                <w:color w:val="000000"/>
                <w:szCs w:val="22"/>
              </w:rPr>
              <w:t>$62,078</w:t>
            </w:r>
          </w:p>
        </w:tc>
      </w:tr>
      <w:tr w:rsidR="0090426B" w14:paraId="2A3506FE" w14:textId="77777777" w:rsidTr="0070597C">
        <w:tc>
          <w:tcPr>
            <w:tcW w:w="2252" w:type="dxa"/>
            <w:vAlign w:val="center"/>
          </w:tcPr>
          <w:p w14:paraId="30D6F3CC" w14:textId="1BDDBB35" w:rsidR="0090426B" w:rsidRDefault="0090426B" w:rsidP="0090426B">
            <w:r>
              <w:rPr>
                <w:rFonts w:cs="Arial"/>
                <w:color w:val="000000"/>
                <w:szCs w:val="22"/>
              </w:rPr>
              <w:t>ACT</w:t>
            </w:r>
          </w:p>
        </w:tc>
        <w:tc>
          <w:tcPr>
            <w:tcW w:w="2252" w:type="dxa"/>
            <w:vAlign w:val="center"/>
          </w:tcPr>
          <w:p w14:paraId="4153AEC1" w14:textId="61F17B4B" w:rsidR="0090426B" w:rsidRDefault="004F77EA" w:rsidP="0090426B">
            <w:r>
              <w:rPr>
                <w:rFonts w:cs="Arial"/>
                <w:color w:val="000000"/>
                <w:szCs w:val="22"/>
              </w:rPr>
              <w:t>$35,784</w:t>
            </w:r>
          </w:p>
        </w:tc>
        <w:tc>
          <w:tcPr>
            <w:tcW w:w="2253" w:type="dxa"/>
            <w:vAlign w:val="center"/>
          </w:tcPr>
          <w:p w14:paraId="4263ED31" w14:textId="7B0D525E" w:rsidR="0090426B" w:rsidRDefault="004F77EA" w:rsidP="0090426B">
            <w:r>
              <w:rPr>
                <w:rFonts w:cs="Arial"/>
                <w:color w:val="000000"/>
                <w:szCs w:val="22"/>
              </w:rPr>
              <w:t>$26,294</w:t>
            </w:r>
          </w:p>
        </w:tc>
        <w:tc>
          <w:tcPr>
            <w:tcW w:w="2253" w:type="dxa"/>
            <w:vAlign w:val="center"/>
          </w:tcPr>
          <w:p w14:paraId="0E8F4ACB" w14:textId="1B73C02A" w:rsidR="0090426B" w:rsidRPr="004F77EA" w:rsidRDefault="004F77EA" w:rsidP="0090426B">
            <w:pPr>
              <w:rPr>
                <w:b/>
              </w:rPr>
            </w:pPr>
            <w:r w:rsidRPr="004F77EA">
              <w:rPr>
                <w:rFonts w:cs="Arial"/>
                <w:b/>
                <w:bCs/>
                <w:color w:val="000000"/>
                <w:szCs w:val="22"/>
              </w:rPr>
              <w:t>$62,078</w:t>
            </w:r>
          </w:p>
        </w:tc>
      </w:tr>
      <w:tr w:rsidR="0090426B" w14:paraId="71D41291" w14:textId="77777777" w:rsidTr="0070597C">
        <w:tc>
          <w:tcPr>
            <w:tcW w:w="2252" w:type="dxa"/>
            <w:vAlign w:val="center"/>
          </w:tcPr>
          <w:p w14:paraId="4F5A0F6C" w14:textId="0B6AF09E" w:rsidR="0090426B" w:rsidRDefault="0090426B" w:rsidP="0090426B">
            <w:r>
              <w:rPr>
                <w:rFonts w:cs="Arial"/>
                <w:color w:val="000000"/>
              </w:rPr>
              <w:t>NT</w:t>
            </w:r>
          </w:p>
        </w:tc>
        <w:tc>
          <w:tcPr>
            <w:tcW w:w="2252" w:type="dxa"/>
            <w:vAlign w:val="center"/>
          </w:tcPr>
          <w:p w14:paraId="4D0E7135" w14:textId="07DA87A6" w:rsidR="0090426B" w:rsidRDefault="004F77EA" w:rsidP="0090426B">
            <w:r>
              <w:rPr>
                <w:rFonts w:cs="Arial"/>
                <w:color w:val="000000"/>
                <w:szCs w:val="22"/>
              </w:rPr>
              <w:t>$21,470</w:t>
            </w:r>
          </w:p>
        </w:tc>
        <w:tc>
          <w:tcPr>
            <w:tcW w:w="2253" w:type="dxa"/>
            <w:vAlign w:val="center"/>
          </w:tcPr>
          <w:p w14:paraId="3E19E954" w14:textId="478B71AD" w:rsidR="0090426B" w:rsidRDefault="004F77EA" w:rsidP="0090426B">
            <w:r>
              <w:rPr>
                <w:rFonts w:cs="Arial"/>
                <w:color w:val="000000"/>
                <w:szCs w:val="22"/>
              </w:rPr>
              <w:t>$15,777</w:t>
            </w:r>
          </w:p>
        </w:tc>
        <w:tc>
          <w:tcPr>
            <w:tcW w:w="2253" w:type="dxa"/>
            <w:vAlign w:val="center"/>
          </w:tcPr>
          <w:p w14:paraId="031904A6" w14:textId="2A94D590" w:rsidR="0090426B" w:rsidRPr="004F77EA" w:rsidRDefault="004F77EA" w:rsidP="0090426B">
            <w:pPr>
              <w:rPr>
                <w:b/>
              </w:rPr>
            </w:pPr>
            <w:r w:rsidRPr="004F77EA">
              <w:rPr>
                <w:rFonts w:cs="Arial"/>
                <w:b/>
                <w:bCs/>
                <w:color w:val="000000"/>
                <w:szCs w:val="22"/>
              </w:rPr>
              <w:t>$37,247</w:t>
            </w:r>
          </w:p>
        </w:tc>
      </w:tr>
    </w:tbl>
    <w:p w14:paraId="6D49DE48" w14:textId="77777777" w:rsidR="00016D7A" w:rsidRDefault="00016D7A" w:rsidP="004119A5"/>
    <w:p w14:paraId="5DCB44E6" w14:textId="3422F5C7" w:rsidR="004119A5" w:rsidRPr="00466043" w:rsidRDefault="004119A5" w:rsidP="004119A5">
      <w:pPr>
        <w:pStyle w:val="Heading4"/>
      </w:pPr>
      <w:r>
        <w:t>Implementation considerations</w:t>
      </w:r>
    </w:p>
    <w:p w14:paraId="714524F7" w14:textId="67F7DC0E" w:rsidR="004119A5" w:rsidRDefault="007445DA" w:rsidP="004119A5">
      <w:r>
        <w:t>During</w:t>
      </w:r>
      <w:r w:rsidR="004119A5">
        <w:t xml:space="preserve"> the consultation process, </w:t>
      </w:r>
      <w:r w:rsidR="00F36176">
        <w:t xml:space="preserve">many FDC </w:t>
      </w:r>
      <w:r w:rsidR="004119A5">
        <w:t>stakeholders noted concerns and risks regarding implementation, primarily for option 3, including:</w:t>
      </w:r>
    </w:p>
    <w:p w14:paraId="000B7696" w14:textId="298AD75F" w:rsidR="004119A5" w:rsidRPr="008203EE" w:rsidRDefault="004119A5" w:rsidP="00EC53AB">
      <w:pPr>
        <w:pStyle w:val="ListParagraph"/>
        <w:numPr>
          <w:ilvl w:val="0"/>
          <w:numId w:val="2"/>
        </w:numPr>
        <w:ind w:left="426"/>
      </w:pPr>
      <w:r>
        <w:t>How “areas near the residence that may be accessible to children” is defined would impact the time taken to complete risk assessments and may be limited in its usefulness, particularly if areas near the residence extend to neighbouring properties, for which FDC services are unlikely have control over.</w:t>
      </w:r>
    </w:p>
    <w:p w14:paraId="1F5D56C5" w14:textId="497ED8CD" w:rsidR="004119A5" w:rsidRDefault="00107FD7" w:rsidP="00EC53AB">
      <w:pPr>
        <w:pStyle w:val="ListParagraph"/>
        <w:numPr>
          <w:ilvl w:val="0"/>
          <w:numId w:val="2"/>
        </w:numPr>
        <w:ind w:left="426"/>
      </w:pPr>
      <w:r w:rsidRPr="00277113">
        <w:t>While approved providers are already required to assess the educator’s entire residence, and not just the premises from which education and care is provided, some respondents expressed concerns that expanding the assessment to areas near the residence would further impact on educators’ privacy.</w:t>
      </w:r>
      <w:r>
        <w:t xml:space="preserve"> </w:t>
      </w:r>
      <w:r w:rsidR="00702307">
        <w:t xml:space="preserve">Stakeholders noted that the number of FDCs are declining and an unintended consequence of option 3 could </w:t>
      </w:r>
      <w:r w:rsidR="00E22849">
        <w:t xml:space="preserve">be that </w:t>
      </w:r>
      <w:r w:rsidR="00702307">
        <w:t>some FDCs</w:t>
      </w:r>
      <w:r w:rsidR="00E22849">
        <w:t xml:space="preserve"> are deterred</w:t>
      </w:r>
      <w:r w:rsidR="00702307">
        <w:t xml:space="preserve"> from operating, reducing the opportunities for children to receive education and care in FDC services. FDC</w:t>
      </w:r>
      <w:r w:rsidR="00B23C36">
        <w:t xml:space="preserve"> educators</w:t>
      </w:r>
      <w:r w:rsidR="00702307">
        <w:t xml:space="preserve"> noted that the impact on </w:t>
      </w:r>
      <w:r w:rsidR="00702307">
        <w:lastRenderedPageBreak/>
        <w:t>their right to privacy and the privacy of those living in the FDC residence make it less attractive for people to continue to operate, or to start operating, an FDC.</w:t>
      </w:r>
    </w:p>
    <w:p w14:paraId="53C077D2" w14:textId="77777777" w:rsidR="004119A5" w:rsidRDefault="004119A5" w:rsidP="004119A5">
      <w:pPr>
        <w:ind w:left="360"/>
        <w:rPr>
          <w:i/>
          <w:color w:val="A12068"/>
        </w:rPr>
      </w:pPr>
      <w:r w:rsidRPr="00F5283F">
        <w:rPr>
          <w:i/>
          <w:color w:val="A12068"/>
        </w:rPr>
        <w:t xml:space="preserve">“I think that clearly defining the FDC service premises area and ensuring its security (gates, locks), combined with educator identifying wider environmental hazards with risk assessments and mitigation (like locks on garage/shed/animal pens and bedroom doors etc) with the guidance of their approved provider and reviewed annually is sufficient. Having to fully assess and make safe the entire property (window glass on the entire house? Locked cupboards within already locked sheds in ‘out of bounds’ areas?) and surrounding areas (street, neighbouring properties?) is too much paperwork and often very unlikely to help with safety as multiple safety measures will have had to have failed to have a child unsupervised outside of the safe ‘service premises’. It also impeaches on family privacy to not be able to close off private areas of the home and say ‘this area is not accessible to children’ and so should not be under investigation.” – </w:t>
      </w:r>
      <w:r>
        <w:rPr>
          <w:i/>
          <w:color w:val="A12068"/>
        </w:rPr>
        <w:t>E</w:t>
      </w:r>
      <w:r w:rsidRPr="00732315">
        <w:rPr>
          <w:i/>
          <w:color w:val="A12068"/>
        </w:rPr>
        <w:t xml:space="preserve">ducation and care workforce survey </w:t>
      </w:r>
    </w:p>
    <w:p w14:paraId="32595FE8" w14:textId="0124D708" w:rsidR="00C35064" w:rsidRPr="00F51FF2" w:rsidRDefault="00C35064" w:rsidP="00C35064">
      <w:pPr>
        <w:ind w:left="360"/>
        <w:rPr>
          <w:i/>
          <w:color w:val="A12068"/>
        </w:rPr>
      </w:pPr>
      <w:r w:rsidRPr="00493BD5">
        <w:rPr>
          <w:i/>
          <w:color w:val="A12068"/>
        </w:rPr>
        <w:t>“For many educators, their home is also their workplace. Expanding regulatory oversight into non-operational areas may deter educators – especially those in rental housing or with limited control over structural modifications – from remaining in or joining the sector.” – Written Submission</w:t>
      </w:r>
    </w:p>
    <w:p w14:paraId="471E3E31" w14:textId="17DC5232" w:rsidR="00107FD7" w:rsidRDefault="004119A5" w:rsidP="00F77C7A">
      <w:pPr>
        <w:pStyle w:val="ListBullet"/>
        <w:ind w:left="426"/>
      </w:pPr>
      <w:r>
        <w:t xml:space="preserve">Assessors of FDC premises are not experts in all types of risks. For example, assessors may not be able to identify all risks in areas </w:t>
      </w:r>
      <w:r w:rsidR="00003882">
        <w:t xml:space="preserve">near </w:t>
      </w:r>
      <w:r>
        <w:t xml:space="preserve">the </w:t>
      </w:r>
      <w:r w:rsidR="00B23C36">
        <w:t>FDC residence which have not been assessed</w:t>
      </w:r>
      <w:r>
        <w:t xml:space="preserve"> (identifying toxic chemicals or dangerous equipment in outdoor sheds or personal bathrooms).</w:t>
      </w:r>
    </w:p>
    <w:p w14:paraId="5C5083C7" w14:textId="0843E919" w:rsidR="004119A5" w:rsidRDefault="00107FD7" w:rsidP="00107FD7">
      <w:pPr>
        <w:pStyle w:val="ListBullet"/>
      </w:pPr>
      <w:r w:rsidRPr="006621C7">
        <w:t>There were suggestions from stakeholders that child safety could be improved by ensuring that areas of the FDC premises which are not assessed are inaccessible, noting that demonstrating inaccessibility would meet the requirement of the proposed assessment.</w:t>
      </w:r>
    </w:p>
    <w:p w14:paraId="7C3F493A" w14:textId="1E5725F6" w:rsidR="004119A5" w:rsidRDefault="004119A5" w:rsidP="004119A5">
      <w:r>
        <w:t xml:space="preserve">Based on the identified implementation risks, option 3 has been assigned </w:t>
      </w:r>
      <w:r w:rsidR="003055D7">
        <w:t>an MCA</w:t>
      </w:r>
      <w:r>
        <w:t xml:space="preserve"> score of negative </w:t>
      </w:r>
      <w:r w:rsidR="00D90B5C">
        <w:t xml:space="preserve">three </w:t>
      </w:r>
      <w:r>
        <w:t xml:space="preserve">for this criterion. </w:t>
      </w:r>
      <w:r w:rsidRPr="005E3625">
        <w:t>This</w:t>
      </w:r>
      <w:r>
        <w:t xml:space="preserve"> score</w:t>
      </w:r>
      <w:r w:rsidRPr="005E3625">
        <w:t xml:space="preserve"> reflects the fact that </w:t>
      </w:r>
      <w:r>
        <w:t xml:space="preserve">option </w:t>
      </w:r>
      <w:r w:rsidRPr="005E3625">
        <w:t xml:space="preserve">3 </w:t>
      </w:r>
      <w:r>
        <w:t xml:space="preserve">has reasonable potential </w:t>
      </w:r>
      <w:r w:rsidRPr="005E3625">
        <w:t xml:space="preserve">to create other unintended consequences. While negative </w:t>
      </w:r>
      <w:r w:rsidR="00D90B5C">
        <w:t>three</w:t>
      </w:r>
      <w:r w:rsidRPr="005E3625">
        <w:t xml:space="preserve"> is a large score in absolute terms, this does not offset the potential benefits </w:t>
      </w:r>
      <w:r>
        <w:t xml:space="preserve">of option 3 since </w:t>
      </w:r>
      <w:r w:rsidRPr="005E3625">
        <w:t>the weight placed on implementation risks (10%) is much lower than the weight placed on child safety (50%)</w:t>
      </w:r>
      <w:r w:rsidR="0018234B">
        <w:t xml:space="preserve"> </w:t>
      </w:r>
      <w:r w:rsidRPr="005E3625">
        <w:t>(see Chapter 4).</w:t>
      </w:r>
    </w:p>
    <w:p w14:paraId="66CE58DE" w14:textId="34CC163B" w:rsidR="004119A5" w:rsidRDefault="004119A5" w:rsidP="004119A5">
      <w:r>
        <w:t>Option 4 had fewer identified implementation risks, however FDC stakeholders did identify some. For example:</w:t>
      </w:r>
    </w:p>
    <w:p w14:paraId="305E9448" w14:textId="78CE6909" w:rsidR="004119A5" w:rsidRDefault="004119A5" w:rsidP="00EC53AB">
      <w:pPr>
        <w:pStyle w:val="ListParagraph"/>
        <w:numPr>
          <w:ilvl w:val="0"/>
          <w:numId w:val="2"/>
        </w:numPr>
        <w:ind w:left="426"/>
      </w:pPr>
      <w:r>
        <w:lastRenderedPageBreak/>
        <w:t xml:space="preserve">Stakeholders were concerned that they would </w:t>
      </w:r>
      <w:r w:rsidRPr="003049C7">
        <w:t>no longer be able to temporarily change or expand the areas used (e.g. opening another room during wet weather) without formal re-approval</w:t>
      </w:r>
      <w:r>
        <w:t xml:space="preserve">, limiting their </w:t>
      </w:r>
      <w:r w:rsidRPr="003049C7">
        <w:t xml:space="preserve">ability to be responsive and adaptable </w:t>
      </w:r>
      <w:r>
        <w:t>to changing needs of the service</w:t>
      </w:r>
      <w:r w:rsidRPr="003049C7">
        <w:t>.</w:t>
      </w:r>
    </w:p>
    <w:p w14:paraId="1D8B881C" w14:textId="0D2CE091" w:rsidR="004119A5" w:rsidRDefault="004119A5" w:rsidP="00EC53AB">
      <w:pPr>
        <w:pStyle w:val="ListParagraph"/>
        <w:numPr>
          <w:ilvl w:val="0"/>
          <w:numId w:val="2"/>
        </w:numPr>
        <w:ind w:left="426"/>
      </w:pPr>
      <w:r>
        <w:t xml:space="preserve">Stakeholders were concerned this could lead to removal or restriction of areas that have previously been used to safely deliver education and care, in the event that safety standards are raised between annual assessments. </w:t>
      </w:r>
    </w:p>
    <w:p w14:paraId="3B49FFDC" w14:textId="099556F7" w:rsidR="004119A5" w:rsidRDefault="004119A5" w:rsidP="00EC53AB">
      <w:pPr>
        <w:pStyle w:val="ListParagraph"/>
        <w:numPr>
          <w:ilvl w:val="0"/>
          <w:numId w:val="2"/>
        </w:numPr>
        <w:ind w:left="426"/>
      </w:pPr>
      <w:r>
        <w:t>Without clear guidance on requirements under option 4, there is a risk of inconsistent application among approved providers. Some providers may become overly cautious or interpret option 4 differently, resulting in greater restrictions on what areas can be approved.</w:t>
      </w:r>
    </w:p>
    <w:p w14:paraId="4F5D14CB" w14:textId="0CF85DB7" w:rsidR="004119A5" w:rsidRDefault="004119A5" w:rsidP="004119A5">
      <w:r>
        <w:t>These implementation risks are expected to be lower than those for option 3</w:t>
      </w:r>
      <w:r w:rsidR="0081146B">
        <w:t>, particularly given the existing requirement to display a map of the premises</w:t>
      </w:r>
      <w:r>
        <w:t xml:space="preserve">. As a result, option 4 has been assigned </w:t>
      </w:r>
      <w:r w:rsidR="003055D7">
        <w:t>an MCA</w:t>
      </w:r>
      <w:r>
        <w:t xml:space="preserve"> score of negative two for this criterion.</w:t>
      </w:r>
    </w:p>
    <w:p w14:paraId="54E54007" w14:textId="2530D88C" w:rsidR="004119A5" w:rsidRDefault="004119A5" w:rsidP="004119A5">
      <w:r>
        <w:t xml:space="preserve">If approved providers chose to adopt practices outlined in guidance materials, option 2 could result in many of the same implementation risks as outlined for option 3, such as breaches in FDC educator privacy. However, since option 2 is voluntary, the uptake of practices and extent of the implementation risks will likely be lower. As a result, option 2 has been assigned </w:t>
      </w:r>
      <w:r w:rsidR="003055D7">
        <w:t>an MCA</w:t>
      </w:r>
      <w:r>
        <w:t xml:space="preserve"> score of negative </w:t>
      </w:r>
      <w:r w:rsidR="00713ED1">
        <w:t xml:space="preserve">one </w:t>
      </w:r>
      <w:r>
        <w:t>for this criterion.</w:t>
      </w:r>
    </w:p>
    <w:p w14:paraId="5C43B38E" w14:textId="164CAD11" w:rsidR="004339E5" w:rsidRDefault="004339E5" w:rsidP="004119A5">
      <w:r>
        <w:t xml:space="preserve">It should be noted that while the MCA scores currently consider the implementation considerations based on the options that were consulted on, the recommended implementation of these options may alleviate some of these risks. These implementation considerations are outlined in </w:t>
      </w:r>
      <w:r>
        <w:rPr>
          <w:i/>
          <w:iCs/>
        </w:rPr>
        <w:t>What is the recommended option(s) and how will it be implemented?</w:t>
      </w:r>
    </w:p>
    <w:p w14:paraId="7347038D" w14:textId="77777777" w:rsidR="004119A5" w:rsidRPr="00466043" w:rsidRDefault="004119A5" w:rsidP="004119A5">
      <w:pPr>
        <w:pStyle w:val="Heading4"/>
      </w:pPr>
      <w:r w:rsidRPr="00466043">
        <w:t>Distributional impacts</w:t>
      </w:r>
    </w:p>
    <w:p w14:paraId="4B1C92CE" w14:textId="01A3A835" w:rsidR="004119A5" w:rsidRDefault="004119A5" w:rsidP="004119A5">
      <w:r>
        <w:t>Stakeholders who engaged in consultative activities noted that option 3 could have some distributional impacts for regional and remote FDCs and for FDCs that operate in rental properties.</w:t>
      </w:r>
    </w:p>
    <w:p w14:paraId="7312F02F" w14:textId="24201C00" w:rsidR="004119A5" w:rsidRPr="002867C4" w:rsidRDefault="004119A5" w:rsidP="004119A5">
      <w:r>
        <w:t>For regional and remote FDC services, there may be greater uncertainty how ‘areas near the residence that may be accessible to children’ should be defined, due to the size of some rural properties. Stakeholders have noted that some regional and remote FDC services, particularly those that live on or next to a farm, could be impacted to a greater extent.</w:t>
      </w:r>
    </w:p>
    <w:p w14:paraId="74ED8B66" w14:textId="5DF03CD0" w:rsidR="004119A5" w:rsidRDefault="004119A5" w:rsidP="004119A5">
      <w:r>
        <w:lastRenderedPageBreak/>
        <w:t xml:space="preserve">For FDC services that operate on a rental property, there are limitations to the legal authority that educators have for all areas of the property on which they operate on. Stakeholders raised concern that there may be some risk mitigation strategies to </w:t>
      </w:r>
      <w:r w:rsidR="00FB17A6">
        <w:t>areas near the</w:t>
      </w:r>
      <w:r>
        <w:t xml:space="preserve"> FDC residence that are infeasible due to their inability to make changes to their rental property. </w:t>
      </w:r>
    </w:p>
    <w:p w14:paraId="46323109" w14:textId="4821281C" w:rsidR="004119A5" w:rsidRDefault="004119A5" w:rsidP="004119A5">
      <w:r>
        <w:t xml:space="preserve">Based on these potential distributional concerns, option 3 has been assigned </w:t>
      </w:r>
      <w:r w:rsidR="003055D7">
        <w:t>an MCA</w:t>
      </w:r>
      <w:r w:rsidRPr="00B24AAA">
        <w:t xml:space="preserve"> score of negative two for this criterion. On the basis that some (but not all) approved pro</w:t>
      </w:r>
      <w:r>
        <w:t xml:space="preserve">viders may choose to undertake more expansive FDC assessments due to the guidance materials published under option 2, option 2 has been assigned </w:t>
      </w:r>
      <w:r w:rsidR="003055D7">
        <w:t>an MCA</w:t>
      </w:r>
      <w:r>
        <w:t xml:space="preserve"> score of negative one for this criterion. </w:t>
      </w:r>
    </w:p>
    <w:p w14:paraId="7C6F463E" w14:textId="266BD4FC" w:rsidR="004119A5" w:rsidRPr="00297D2D" w:rsidRDefault="004119A5" w:rsidP="004119A5">
      <w:r>
        <w:t xml:space="preserve">There were limited distributional impacts identified for option 4. In the event that </w:t>
      </w:r>
      <w:r w:rsidR="00FB17A6">
        <w:t xml:space="preserve">explicit approval </w:t>
      </w:r>
      <w:r w:rsidR="001A3AD8">
        <w:t>from</w:t>
      </w:r>
      <w:r w:rsidR="00FB17A6">
        <w:t xml:space="preserve"> an approved provider </w:t>
      </w:r>
      <w:r w:rsidR="00CE127C">
        <w:t xml:space="preserve">is required </w:t>
      </w:r>
      <w:r w:rsidR="00FB17A6">
        <w:t>to confirm the areas of an FDC residence that will be used as the FDC service premises</w:t>
      </w:r>
      <w:r>
        <w:t xml:space="preserve">, smaller FDC </w:t>
      </w:r>
      <w:r w:rsidR="00034D70">
        <w:t xml:space="preserve">services </w:t>
      </w:r>
      <w:r>
        <w:t>may experience greater difficultly in fulfilling requirements, particularly if they have less administrative support. As such, option 4 was assigned an MCA score of negative one for this criterion.</w:t>
      </w:r>
    </w:p>
    <w:tbl>
      <w:tblPr>
        <w:tblW w:w="0" w:type="auto"/>
        <w:tblCellMar>
          <w:top w:w="113" w:type="dxa"/>
          <w:bottom w:w="113" w:type="dxa"/>
        </w:tblCellMar>
        <w:tblLook w:val="04A0" w:firstRow="1" w:lastRow="0" w:firstColumn="1" w:lastColumn="0" w:noHBand="0" w:noVBand="1"/>
        <w:tblCaption w:val="Box 9.1: Aboriginal and Torres Strait Islander People Stakeholder Views"/>
        <w:tblDescription w:val="This table outlines the Aboriginal and Torres Strait Islander People Stakeholder Views on distributional impacts."/>
      </w:tblPr>
      <w:tblGrid>
        <w:gridCol w:w="9020"/>
      </w:tblGrid>
      <w:tr w:rsidR="004119A5" w14:paraId="26A88650" w14:textId="77777777">
        <w:tc>
          <w:tcPr>
            <w:tcW w:w="9020" w:type="dxa"/>
            <w:tcBorders>
              <w:top w:val="nil"/>
              <w:left w:val="nil"/>
              <w:bottom w:val="nil"/>
              <w:right w:val="nil"/>
            </w:tcBorders>
            <w:shd w:val="clear" w:color="auto" w:fill="FFF2CC" w:themeFill="accent3" w:themeFillTint="33"/>
          </w:tcPr>
          <w:p w14:paraId="1BBD18B4" w14:textId="4EE8A065" w:rsidR="004119A5" w:rsidRPr="006B0059" w:rsidRDefault="004119A5">
            <w:pPr>
              <w:rPr>
                <w:b/>
                <w:bCs/>
                <w:szCs w:val="22"/>
              </w:rPr>
            </w:pPr>
            <w:r w:rsidRPr="006B0059">
              <w:rPr>
                <w:b/>
                <w:bCs/>
                <w:szCs w:val="22"/>
              </w:rPr>
              <w:t xml:space="preserve">Box </w:t>
            </w:r>
            <w:r>
              <w:rPr>
                <w:b/>
                <w:bCs/>
                <w:szCs w:val="22"/>
              </w:rPr>
              <w:t>9</w:t>
            </w:r>
            <w:r w:rsidRPr="006B0059">
              <w:rPr>
                <w:b/>
                <w:bCs/>
                <w:szCs w:val="22"/>
              </w:rPr>
              <w:t xml:space="preserve">.1: </w:t>
            </w:r>
            <w:r w:rsidR="009961B4">
              <w:rPr>
                <w:b/>
                <w:bCs/>
                <w:szCs w:val="22"/>
              </w:rPr>
              <w:t>Aboriginal and Torres Strait Islander People Stakeholder Views</w:t>
            </w:r>
          </w:p>
          <w:p w14:paraId="40696730" w14:textId="77777777" w:rsidR="004119A5" w:rsidRPr="009921A2" w:rsidRDefault="004119A5">
            <w:pPr>
              <w:rPr>
                <w:szCs w:val="22"/>
              </w:rPr>
            </w:pPr>
            <w:r>
              <w:rPr>
                <w:szCs w:val="22"/>
              </w:rPr>
              <w:t>It is understood that there are a limited number of ACCO FDC and/or Aboriginal and Torres Strait Islander operated FDC services. However, i</w:t>
            </w:r>
            <w:r w:rsidRPr="00785FCF">
              <w:rPr>
                <w:szCs w:val="22"/>
              </w:rPr>
              <w:t xml:space="preserve">n consultation with Aboriginal and Torres Strait Islander </w:t>
            </w:r>
            <w:r>
              <w:rPr>
                <w:szCs w:val="22"/>
              </w:rPr>
              <w:t>peak bodies</w:t>
            </w:r>
            <w:r w:rsidRPr="00785FCF">
              <w:rPr>
                <w:szCs w:val="22"/>
              </w:rPr>
              <w:t xml:space="preserve">, concern was raised that the perceived regulatory overreach could impact the likelihood of ACCO FDC services to open and continue operations in the future. This </w:t>
            </w:r>
            <w:r>
              <w:rPr>
                <w:szCs w:val="22"/>
              </w:rPr>
              <w:t>c</w:t>
            </w:r>
            <w:r w:rsidRPr="00785FCF">
              <w:rPr>
                <w:szCs w:val="22"/>
              </w:rPr>
              <w:t>ould reduce culturally relevant day care options, and flexible care options for families with Aboriginal or Torres Strait Islander backgrounds</w:t>
            </w:r>
            <w:r>
              <w:rPr>
                <w:szCs w:val="22"/>
              </w:rPr>
              <w:t xml:space="preserve"> in the future.</w:t>
            </w:r>
          </w:p>
        </w:tc>
      </w:tr>
    </w:tbl>
    <w:p w14:paraId="480D4284" w14:textId="77777777" w:rsidR="004119A5" w:rsidRPr="00297D2D" w:rsidRDefault="004119A5" w:rsidP="004119A5"/>
    <w:p w14:paraId="316AA17D" w14:textId="28960AE0" w:rsidR="004119A5" w:rsidRDefault="004119A5" w:rsidP="004119A5">
      <w:pPr>
        <w:pStyle w:val="Heading4"/>
      </w:pPr>
      <w:r>
        <w:t xml:space="preserve">Break-even analysis </w:t>
      </w:r>
    </w:p>
    <w:p w14:paraId="469EA14C" w14:textId="11D68178" w:rsidR="004119A5" w:rsidRDefault="004119A5" w:rsidP="004119A5">
      <w:r>
        <w:t xml:space="preserve">The BEA provides an estimate of the extent to which the total cost of </w:t>
      </w:r>
      <w:r w:rsidR="005F5DDA">
        <w:t>child maltreatment</w:t>
      </w:r>
      <w:r>
        <w:t xml:space="preserve"> in Australia, estimated at $34.6 billion (2025 dollars)</w:t>
      </w:r>
      <w:r>
        <w:rPr>
          <w:rStyle w:val="FootnoteReference"/>
        </w:rPr>
        <w:footnoteReference w:id="133"/>
      </w:r>
      <w:r>
        <w:t xml:space="preserve">, would need to be reduced for the cost of the policy option to </w:t>
      </w:r>
      <w:r w:rsidRPr="001D3080">
        <w:t xml:space="preserve">break even with the potential benefit. The BEA framework is also described in further detail in </w:t>
      </w:r>
      <w:r>
        <w:t>Chapter 4</w:t>
      </w:r>
      <w:r w:rsidRPr="001D3080">
        <w:t>.</w:t>
      </w:r>
      <w:r w:rsidRPr="001D3080" w:rsidDel="00722001">
        <w:t xml:space="preserve"> </w:t>
      </w:r>
    </w:p>
    <w:p w14:paraId="5C201EDB" w14:textId="40D51E7A" w:rsidR="00984A0D" w:rsidRDefault="00984A0D" w:rsidP="004119A5">
      <w:r>
        <w:t>While BEA necessitates putting a dollar figure to the estimated harm to children, it is not possible to quantify the real life harm to children, families, and communities affected.</w:t>
      </w:r>
    </w:p>
    <w:p w14:paraId="596E689F" w14:textId="37640DA8" w:rsidR="004119A5" w:rsidRDefault="004119A5" w:rsidP="004119A5">
      <w:r>
        <w:lastRenderedPageBreak/>
        <w:t>Table 9.</w:t>
      </w:r>
      <w:r w:rsidR="00E12906">
        <w:t>8</w:t>
      </w:r>
      <w:r>
        <w:t xml:space="preserve"> identifies break even values for option 3 and option 4. Under option 3, for example, the cost of harm to children in Australia would need to reduce by </w:t>
      </w:r>
      <w:r w:rsidR="00017BC8">
        <w:t>0.0</w:t>
      </w:r>
      <w:r w:rsidR="004B5B58">
        <w:t>09</w:t>
      </w:r>
      <w:r>
        <w:t xml:space="preserve">% to break even with the estimated cost the option may impose on stakeholders. </w:t>
      </w:r>
      <w:r w:rsidR="00017BC8">
        <w:t xml:space="preserve">Given the breadth of the total cost of </w:t>
      </w:r>
      <w:r w:rsidR="001D5B31">
        <w:t>child maltreatment in Australia</w:t>
      </w:r>
      <w:r w:rsidR="00017BC8">
        <w:t xml:space="preserve"> and the </w:t>
      </w:r>
      <w:r w:rsidR="00DC14ED">
        <w:t>relatively low evidence base</w:t>
      </w:r>
      <w:r w:rsidR="001D5B31">
        <w:t xml:space="preserve"> regarding existing </w:t>
      </w:r>
      <w:r w:rsidR="005F5DDA">
        <w:t xml:space="preserve">harm to children </w:t>
      </w:r>
      <w:r w:rsidR="007E0AC2">
        <w:t>in the status quo (</w:t>
      </w:r>
      <w:r w:rsidR="005F5DDA">
        <w:t>option 1</w:t>
      </w:r>
      <w:r w:rsidR="007E0AC2">
        <w:t>)</w:t>
      </w:r>
      <w:r w:rsidR="005F5DDA">
        <w:t>, it is difficult</w:t>
      </w:r>
      <w:r w:rsidR="00DC14ED">
        <w:t xml:space="preserve"> to </w:t>
      </w:r>
      <w:r w:rsidR="00CE127C">
        <w:t xml:space="preserve">confirm if the </w:t>
      </w:r>
      <w:r w:rsidR="001D5B31">
        <w:t>benefit</w:t>
      </w:r>
      <w:r w:rsidR="007E0AC2">
        <w:t>s</w:t>
      </w:r>
      <w:r w:rsidR="001D5B31">
        <w:t xml:space="preserve"> to child safety may outweigh the costs </w:t>
      </w:r>
      <w:r w:rsidR="007E0AC2">
        <w:t>for option 3</w:t>
      </w:r>
      <w:r w:rsidR="001D5B31">
        <w:t>.</w:t>
      </w:r>
      <w:r w:rsidR="00E12906">
        <w:t xml:space="preserve"> Similarly for option 4, it is difficult to determine if the potential improvement in child safety that could be achieved would outweigh costs.</w:t>
      </w:r>
    </w:p>
    <w:p w14:paraId="3524717A" w14:textId="146CA8B8" w:rsidR="004119A5" w:rsidRDefault="004119A5" w:rsidP="004119A5">
      <w:pPr>
        <w:pStyle w:val="Caption"/>
      </w:pPr>
      <w:bookmarkStart w:id="189" w:name="_Toc202887750"/>
      <w:bookmarkStart w:id="190" w:name="_Toc205884983"/>
      <w:r w:rsidRPr="001D3080">
        <w:t xml:space="preserve">Table </w:t>
      </w:r>
      <w:r>
        <w:t>9</w:t>
      </w:r>
      <w:r w:rsidRPr="001D3080">
        <w:t>.</w:t>
      </w:r>
      <w:r w:rsidR="00E12906">
        <w:t>8</w:t>
      </w:r>
      <w:r w:rsidRPr="001D3080">
        <w:t>: BEA – Requiring approved provi</w:t>
      </w:r>
      <w:r w:rsidRPr="00A51577">
        <w:t>ders to assess not just the FDC residence, but areas near the residence</w:t>
      </w:r>
      <w:bookmarkEnd w:id="189"/>
      <w:bookmarkEnd w:id="19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8: BEA – Requiring approved providers to assess not just the FDC residence, but areas near the residence"/>
        <w:tblDescription w:val="This table outlines the break-even analysis for requiring approved providers to assess not just the FDC residence, but areas near the residence."/>
      </w:tblPr>
      <w:tblGrid>
        <w:gridCol w:w="3505"/>
        <w:gridCol w:w="2914"/>
        <w:gridCol w:w="2591"/>
      </w:tblGrid>
      <w:tr w:rsidR="004119A5" w14:paraId="1C51EB46" w14:textId="4D75095A" w:rsidTr="0070597C">
        <w:trPr>
          <w:tblHeader/>
        </w:trPr>
        <w:tc>
          <w:tcPr>
            <w:tcW w:w="1945" w:type="pct"/>
            <w:shd w:val="clear" w:color="auto" w:fill="14233C" w:themeFill="text2"/>
          </w:tcPr>
          <w:p w14:paraId="522215FC" w14:textId="77777777" w:rsidR="004119A5" w:rsidRPr="00DB0EA3" w:rsidRDefault="004119A5">
            <w:pPr>
              <w:rPr>
                <w:b/>
                <w:color w:val="FFFFFF" w:themeColor="background1"/>
                <w:szCs w:val="18"/>
              </w:rPr>
            </w:pPr>
          </w:p>
        </w:tc>
        <w:tc>
          <w:tcPr>
            <w:tcW w:w="1617" w:type="pct"/>
            <w:shd w:val="clear" w:color="auto" w:fill="14233C" w:themeFill="text2"/>
          </w:tcPr>
          <w:p w14:paraId="4FA8DDCD" w14:textId="77777777" w:rsidR="004119A5" w:rsidRPr="00DB0EA3" w:rsidRDefault="004119A5">
            <w:pPr>
              <w:jc w:val="center"/>
              <w:rPr>
                <w:b/>
                <w:color w:val="FFFFFF" w:themeColor="background1"/>
                <w:szCs w:val="18"/>
              </w:rPr>
            </w:pPr>
            <w:r w:rsidRPr="00DB0EA3">
              <w:rPr>
                <w:b/>
                <w:color w:val="FFFFFF" w:themeColor="background1"/>
                <w:szCs w:val="18"/>
              </w:rPr>
              <w:t>Option 3</w:t>
            </w:r>
          </w:p>
        </w:tc>
        <w:tc>
          <w:tcPr>
            <w:tcW w:w="1438" w:type="pct"/>
            <w:shd w:val="clear" w:color="auto" w:fill="14233C" w:themeFill="text2"/>
          </w:tcPr>
          <w:p w14:paraId="199D148F" w14:textId="44FF66F8" w:rsidR="004119A5" w:rsidRPr="00DB0EA3" w:rsidRDefault="004119A5">
            <w:pPr>
              <w:jc w:val="center"/>
              <w:rPr>
                <w:b/>
                <w:color w:val="FFFFFF" w:themeColor="background1"/>
                <w:szCs w:val="18"/>
              </w:rPr>
            </w:pPr>
            <w:r w:rsidRPr="00DB0EA3">
              <w:rPr>
                <w:b/>
                <w:color w:val="FFFFFF" w:themeColor="background1"/>
                <w:szCs w:val="18"/>
              </w:rPr>
              <w:t>Option 4</w:t>
            </w:r>
          </w:p>
        </w:tc>
      </w:tr>
      <w:tr w:rsidR="004119A5" w14:paraId="3CD4ABC8" w14:textId="6C1733B3" w:rsidTr="0070597C">
        <w:tc>
          <w:tcPr>
            <w:tcW w:w="1945" w:type="pct"/>
          </w:tcPr>
          <w:p w14:paraId="0DBBADA8" w14:textId="77777777" w:rsidR="004119A5" w:rsidRPr="00DB0EA3" w:rsidRDefault="004119A5">
            <w:pPr>
              <w:rPr>
                <w:szCs w:val="18"/>
              </w:rPr>
            </w:pPr>
            <w:r w:rsidRPr="00DB0EA3">
              <w:rPr>
                <w:szCs w:val="18"/>
              </w:rPr>
              <w:t>Estimated cost of the policy option</w:t>
            </w:r>
          </w:p>
        </w:tc>
        <w:tc>
          <w:tcPr>
            <w:tcW w:w="1617" w:type="pct"/>
          </w:tcPr>
          <w:p w14:paraId="00A108A1" w14:textId="77B96906" w:rsidR="004119A5" w:rsidRPr="00B25F2F" w:rsidRDefault="004119A5">
            <w:pPr>
              <w:jc w:val="center"/>
              <w:rPr>
                <w:szCs w:val="18"/>
              </w:rPr>
            </w:pPr>
            <w:r w:rsidRPr="00B25F2F">
              <w:rPr>
                <w:szCs w:val="18"/>
              </w:rPr>
              <w:t>$</w:t>
            </w:r>
            <w:r w:rsidR="00B43174">
              <w:rPr>
                <w:szCs w:val="18"/>
              </w:rPr>
              <w:t>2.9</w:t>
            </w:r>
            <w:r w:rsidR="009D6ED1" w:rsidRPr="00B25F2F">
              <w:rPr>
                <w:szCs w:val="18"/>
              </w:rPr>
              <w:t xml:space="preserve"> million</w:t>
            </w:r>
          </w:p>
        </w:tc>
        <w:tc>
          <w:tcPr>
            <w:tcW w:w="1438" w:type="pct"/>
          </w:tcPr>
          <w:p w14:paraId="325C6BC8" w14:textId="1EFEF475" w:rsidR="004119A5" w:rsidRPr="00B25F2F" w:rsidRDefault="004119A5">
            <w:pPr>
              <w:jc w:val="center"/>
              <w:rPr>
                <w:szCs w:val="18"/>
              </w:rPr>
            </w:pPr>
            <w:r w:rsidRPr="00B25F2F">
              <w:rPr>
                <w:szCs w:val="18"/>
              </w:rPr>
              <w:t>$</w:t>
            </w:r>
            <w:r w:rsidR="009D6ED1" w:rsidRPr="00B25F2F">
              <w:rPr>
                <w:szCs w:val="18"/>
              </w:rPr>
              <w:t>2.</w:t>
            </w:r>
            <w:r w:rsidR="00B43174">
              <w:rPr>
                <w:szCs w:val="18"/>
              </w:rPr>
              <w:t>2</w:t>
            </w:r>
            <w:r w:rsidRPr="00B25F2F">
              <w:rPr>
                <w:szCs w:val="18"/>
              </w:rPr>
              <w:t xml:space="preserve"> million</w:t>
            </w:r>
          </w:p>
        </w:tc>
      </w:tr>
      <w:tr w:rsidR="004119A5" w14:paraId="5461B5EB" w14:textId="2127A638" w:rsidTr="0070597C">
        <w:tc>
          <w:tcPr>
            <w:tcW w:w="1945" w:type="pct"/>
          </w:tcPr>
          <w:p w14:paraId="45CEE056" w14:textId="77777777" w:rsidR="004119A5" w:rsidRPr="00DB0EA3" w:rsidRDefault="004119A5">
            <w:pPr>
              <w:rPr>
                <w:szCs w:val="18"/>
              </w:rPr>
            </w:pPr>
            <w:r w:rsidRPr="00DB0EA3">
              <w:rPr>
                <w:szCs w:val="18"/>
              </w:rPr>
              <w:t>Break-even reduction in child maltreatment in Australia</w:t>
            </w:r>
          </w:p>
        </w:tc>
        <w:tc>
          <w:tcPr>
            <w:tcW w:w="1617" w:type="pct"/>
          </w:tcPr>
          <w:p w14:paraId="7316FFD6" w14:textId="35F4FEDA" w:rsidR="004119A5" w:rsidRPr="00B25F2F" w:rsidRDefault="009D6ED1">
            <w:pPr>
              <w:jc w:val="center"/>
              <w:rPr>
                <w:szCs w:val="18"/>
              </w:rPr>
            </w:pPr>
            <w:r w:rsidRPr="00B25F2F">
              <w:rPr>
                <w:szCs w:val="18"/>
              </w:rPr>
              <w:t>0.</w:t>
            </w:r>
            <w:r w:rsidR="004F77EA" w:rsidRPr="00B25F2F">
              <w:rPr>
                <w:szCs w:val="18"/>
              </w:rPr>
              <w:t>0</w:t>
            </w:r>
            <w:r w:rsidR="006504B3">
              <w:rPr>
                <w:szCs w:val="18"/>
              </w:rPr>
              <w:t>09</w:t>
            </w:r>
            <w:r w:rsidR="004119A5" w:rsidRPr="00B25F2F">
              <w:rPr>
                <w:szCs w:val="18"/>
              </w:rPr>
              <w:t>%</w:t>
            </w:r>
          </w:p>
        </w:tc>
        <w:tc>
          <w:tcPr>
            <w:tcW w:w="1438" w:type="pct"/>
          </w:tcPr>
          <w:p w14:paraId="4B7BD133" w14:textId="12E1BC94" w:rsidR="004119A5" w:rsidRPr="00B25F2F" w:rsidRDefault="009D6ED1">
            <w:pPr>
              <w:jc w:val="center"/>
              <w:rPr>
                <w:szCs w:val="18"/>
              </w:rPr>
            </w:pPr>
            <w:r w:rsidRPr="00B25F2F">
              <w:rPr>
                <w:szCs w:val="18"/>
              </w:rPr>
              <w:t>0.</w:t>
            </w:r>
            <w:r w:rsidR="004F77EA" w:rsidRPr="00B25F2F">
              <w:rPr>
                <w:szCs w:val="18"/>
              </w:rPr>
              <w:t>00</w:t>
            </w:r>
            <w:r w:rsidR="004B5B58">
              <w:rPr>
                <w:szCs w:val="18"/>
              </w:rPr>
              <w:t>6</w:t>
            </w:r>
            <w:r w:rsidR="004119A5" w:rsidRPr="00B25F2F">
              <w:rPr>
                <w:szCs w:val="18"/>
              </w:rPr>
              <w:t>%</w:t>
            </w:r>
          </w:p>
        </w:tc>
      </w:tr>
    </w:tbl>
    <w:p w14:paraId="34DB1611" w14:textId="77777777" w:rsidR="004119A5" w:rsidRDefault="004119A5" w:rsidP="004119A5">
      <w:pPr>
        <w:pStyle w:val="Heading4un-numbered"/>
      </w:pPr>
      <w:r>
        <w:t>Estimate of regulatory burden</w:t>
      </w:r>
    </w:p>
    <w:p w14:paraId="53EA67E9" w14:textId="2F53D540" w:rsidR="004119A5" w:rsidRDefault="004119A5" w:rsidP="004119A5">
      <w:r>
        <w:t xml:space="preserve">All monetised costs estimated under the ‘Cost of each option’ are compliance costs that would accrue to approved providers. Based on OIA’s guidance on regulatory burden measurement, these costs contribute to the regulatory burden </w:t>
      </w:r>
      <w:r w:rsidR="00B947BF">
        <w:t>experience</w:t>
      </w:r>
      <w:r w:rsidR="001F230C">
        <w:t>d</w:t>
      </w:r>
      <w:r w:rsidR="00B947BF">
        <w:t xml:space="preserve"> by businesses</w:t>
      </w:r>
      <w:r w:rsidR="00B947BF">
        <w:rPr>
          <w:rStyle w:val="FootnoteReference"/>
        </w:rPr>
        <w:footnoteReference w:id="134"/>
      </w:r>
      <w:r w:rsidR="00B947BF">
        <w:t xml:space="preserve"> as a result of </w:t>
      </w:r>
      <w:r w:rsidRPr="00E12906">
        <w:t>options 3 and 4.</w:t>
      </w:r>
      <w:r w:rsidRPr="00E12906">
        <w:rPr>
          <w:rStyle w:val="FootnoteReference"/>
        </w:rPr>
        <w:footnoteReference w:id="135"/>
      </w:r>
      <w:r w:rsidRPr="00E12906">
        <w:t xml:space="preserve"> The regulatory burden estimate associated with options 3 and 4 are $</w:t>
      </w:r>
      <w:r w:rsidR="00B43174">
        <w:t>2.9</w:t>
      </w:r>
      <w:r w:rsidRPr="00E12906">
        <w:t xml:space="preserve"> million and $</w:t>
      </w:r>
      <w:r w:rsidR="00E12906" w:rsidRPr="00E12906">
        <w:t>2.</w:t>
      </w:r>
      <w:r w:rsidR="00B43174">
        <w:t>2</w:t>
      </w:r>
      <w:r w:rsidRPr="00E12906">
        <w:t xml:space="preserve"> million respectively</w:t>
      </w:r>
      <w:r w:rsidR="00650B54">
        <w:t xml:space="preserve"> (refer to Table 9.9)</w:t>
      </w:r>
      <w:r w:rsidRPr="00E12906">
        <w:t>, however it should be noted that the costs that could not be quantified (e.g., the cost of mitigating any risks identified in areas near the</w:t>
      </w:r>
      <w:r>
        <w:t xml:space="preserve"> FDC residence) would also contribute to overall regulatory burden costs. </w:t>
      </w:r>
      <w:r w:rsidR="00896DF8">
        <w:t>The regulatory burden is not included for option 2, as costs are not monetised at this stage.</w:t>
      </w:r>
    </w:p>
    <w:p w14:paraId="70D05132" w14:textId="7DB8E584" w:rsidR="00400A2A" w:rsidRDefault="00400A2A" w:rsidP="00400A2A">
      <w:r>
        <w:t xml:space="preserve">As it stands the regulatory burden estimates in Table 9.9 assume that the affected approved provider will bear the cost. However, in the event that government funding is available, some of the potential costs may be borne by the government, alleviating the cost to approved providers. As this stage, no decisions regarding the availability of government funding have been made, and such decisions may be at the discretion of individual state and territory </w:t>
      </w:r>
      <w:r>
        <w:lastRenderedPageBreak/>
        <w:t xml:space="preserve">governments. Any funding decisions would change who bears the regulatory burden associated with the regulatory options. </w:t>
      </w:r>
    </w:p>
    <w:p w14:paraId="71652F41" w14:textId="4C66AC2E" w:rsidR="00650B54" w:rsidRDefault="00650B54" w:rsidP="00650B54">
      <w:pPr>
        <w:pStyle w:val="Caption"/>
      </w:pPr>
      <w:bookmarkStart w:id="191" w:name="_Toc205884984"/>
      <w:r w:rsidRPr="001D3080">
        <w:t xml:space="preserve">Table </w:t>
      </w:r>
      <w:r>
        <w:t>9</w:t>
      </w:r>
      <w:r w:rsidRPr="001D3080">
        <w:t>.</w:t>
      </w:r>
      <w:r>
        <w:t>9</w:t>
      </w:r>
      <w:r w:rsidRPr="001D3080">
        <w:t xml:space="preserve">: </w:t>
      </w:r>
      <w:r w:rsidR="004636EF">
        <w:t>R</w:t>
      </w:r>
      <w:r>
        <w:t xml:space="preserve">egulatory burden estimate – </w:t>
      </w:r>
      <w:r w:rsidRPr="001D3080">
        <w:t>Requiring approved provi</w:t>
      </w:r>
      <w:r w:rsidRPr="00A51577">
        <w:t>ders to assess not just the FDC residence, but areas near the residence</w:t>
      </w:r>
      <w:r w:rsidR="00031E6D">
        <w:t>, NPV 2025 to 2034, 7% discount rate</w:t>
      </w:r>
      <w:bookmarkEnd w:id="19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9: Regulatory burden estimate – Requiring approved providers to assess not just the FDC residence, but areas near the residence, NPV 2025 to 2034, 7% discount rate"/>
        <w:tblDescription w:val="This table outlines the regulatory burden estimate for requiring approved providers to assess not just the FDC residence, but areas near the residence, in present value terms from 2025 to 2034, 7% discount rate"/>
      </w:tblPr>
      <w:tblGrid>
        <w:gridCol w:w="1152"/>
        <w:gridCol w:w="1550"/>
        <w:gridCol w:w="1658"/>
        <w:gridCol w:w="1550"/>
        <w:gridCol w:w="1550"/>
        <w:gridCol w:w="1550"/>
      </w:tblGrid>
      <w:tr w:rsidR="00C50E91" w:rsidRPr="00AF3CB2" w:rsidDel="009459AB" w14:paraId="237D6FD2" w14:textId="77777777" w:rsidTr="0070597C">
        <w:trPr>
          <w:tblHeader/>
        </w:trPr>
        <w:tc>
          <w:tcPr>
            <w:tcW w:w="639" w:type="pct"/>
            <w:shd w:val="clear" w:color="auto" w:fill="14233C" w:themeFill="text2"/>
          </w:tcPr>
          <w:p w14:paraId="7F0A83C1" w14:textId="77777777" w:rsidR="00C50E91" w:rsidRPr="00B55375" w:rsidRDefault="00C50E91">
            <w:pPr>
              <w:rPr>
                <w:b/>
                <w:color w:val="FFFFFF" w:themeColor="background1"/>
                <w:sz w:val="20"/>
                <w:szCs w:val="18"/>
              </w:rPr>
            </w:pPr>
          </w:p>
        </w:tc>
        <w:tc>
          <w:tcPr>
            <w:tcW w:w="860" w:type="pct"/>
            <w:shd w:val="clear" w:color="auto" w:fill="14233C" w:themeFill="text2"/>
          </w:tcPr>
          <w:p w14:paraId="516D82B7" w14:textId="77777777" w:rsidR="00C50E91" w:rsidRPr="00B55375" w:rsidRDefault="00C50E91">
            <w:pPr>
              <w:jc w:val="center"/>
              <w:rPr>
                <w:b/>
                <w:color w:val="FFFFFF" w:themeColor="background1"/>
                <w:sz w:val="20"/>
                <w:szCs w:val="18"/>
              </w:rPr>
            </w:pPr>
            <w:r w:rsidRPr="00B55375">
              <w:rPr>
                <w:b/>
                <w:color w:val="FFFFFF" w:themeColor="background1"/>
                <w:sz w:val="20"/>
                <w:szCs w:val="18"/>
              </w:rPr>
              <w:t>Business</w:t>
            </w:r>
          </w:p>
        </w:tc>
        <w:tc>
          <w:tcPr>
            <w:tcW w:w="920" w:type="pct"/>
            <w:shd w:val="clear" w:color="auto" w:fill="14233C" w:themeFill="text2"/>
          </w:tcPr>
          <w:p w14:paraId="713C8D34" w14:textId="77777777" w:rsidR="00C50E91" w:rsidRPr="00B55375" w:rsidRDefault="00C50E91">
            <w:pPr>
              <w:jc w:val="center"/>
              <w:rPr>
                <w:b/>
                <w:color w:val="FFFFFF" w:themeColor="background1"/>
                <w:sz w:val="20"/>
                <w:szCs w:val="18"/>
              </w:rPr>
            </w:pPr>
            <w:r w:rsidRPr="00B55375">
              <w:rPr>
                <w:b/>
                <w:color w:val="FFFFFF" w:themeColor="background1"/>
                <w:sz w:val="20"/>
                <w:szCs w:val="18"/>
              </w:rPr>
              <w:t>Community organisations</w:t>
            </w:r>
          </w:p>
        </w:tc>
        <w:tc>
          <w:tcPr>
            <w:tcW w:w="860" w:type="pct"/>
            <w:shd w:val="clear" w:color="auto" w:fill="14233C" w:themeFill="text2"/>
          </w:tcPr>
          <w:p w14:paraId="3B020538" w14:textId="77777777" w:rsidR="00C50E91" w:rsidRPr="00B55375" w:rsidRDefault="00C50E91">
            <w:pPr>
              <w:jc w:val="center"/>
              <w:rPr>
                <w:b/>
                <w:color w:val="FFFFFF" w:themeColor="background1"/>
                <w:sz w:val="20"/>
                <w:szCs w:val="18"/>
              </w:rPr>
            </w:pPr>
            <w:r w:rsidRPr="00B55375">
              <w:rPr>
                <w:b/>
                <w:color w:val="FFFFFF" w:themeColor="background1"/>
                <w:sz w:val="20"/>
                <w:szCs w:val="18"/>
              </w:rPr>
              <w:t>Individuals</w:t>
            </w:r>
          </w:p>
        </w:tc>
        <w:tc>
          <w:tcPr>
            <w:tcW w:w="860" w:type="pct"/>
            <w:shd w:val="clear" w:color="auto" w:fill="14233C" w:themeFill="text2"/>
          </w:tcPr>
          <w:p w14:paraId="1685E803" w14:textId="7F76047C" w:rsidR="00C50E91" w:rsidRPr="00B55375" w:rsidRDefault="00C50E91">
            <w:pPr>
              <w:jc w:val="center"/>
              <w:rPr>
                <w:b/>
                <w:color w:val="FFFFFF" w:themeColor="background1"/>
                <w:sz w:val="20"/>
                <w:szCs w:val="18"/>
              </w:rPr>
            </w:pPr>
            <w:r w:rsidRPr="00B55375">
              <w:rPr>
                <w:b/>
                <w:color w:val="FFFFFF" w:themeColor="background1"/>
                <w:sz w:val="20"/>
                <w:szCs w:val="18"/>
              </w:rPr>
              <w:t>Government</w:t>
            </w:r>
          </w:p>
        </w:tc>
        <w:tc>
          <w:tcPr>
            <w:tcW w:w="860" w:type="pct"/>
            <w:shd w:val="clear" w:color="auto" w:fill="14233C" w:themeFill="text2"/>
          </w:tcPr>
          <w:p w14:paraId="578EFC99" w14:textId="77777777" w:rsidR="00C50E91" w:rsidRPr="00B55375" w:rsidDel="009459AB" w:rsidRDefault="00C50E91">
            <w:pPr>
              <w:jc w:val="center"/>
              <w:rPr>
                <w:b/>
                <w:color w:val="FFFFFF" w:themeColor="background1"/>
                <w:sz w:val="20"/>
                <w:szCs w:val="18"/>
              </w:rPr>
            </w:pPr>
            <w:r w:rsidRPr="00B55375">
              <w:rPr>
                <w:b/>
                <w:color w:val="FFFFFF" w:themeColor="background1"/>
                <w:sz w:val="20"/>
                <w:szCs w:val="18"/>
              </w:rPr>
              <w:t>Total change in costs</w:t>
            </w:r>
          </w:p>
        </w:tc>
      </w:tr>
      <w:tr w:rsidR="00C50E91" w:rsidRPr="001D7EF4" w14:paraId="0E32BBAD" w14:textId="77777777" w:rsidTr="0070597C">
        <w:tc>
          <w:tcPr>
            <w:tcW w:w="639" w:type="pct"/>
          </w:tcPr>
          <w:p w14:paraId="124E883B" w14:textId="2D5ED974" w:rsidR="00C50E91" w:rsidRPr="00B55375" w:rsidRDefault="00C50E91" w:rsidP="00896DF8">
            <w:pPr>
              <w:rPr>
                <w:sz w:val="20"/>
                <w:szCs w:val="18"/>
              </w:rPr>
            </w:pPr>
            <w:r w:rsidRPr="00B55375">
              <w:rPr>
                <w:sz w:val="20"/>
                <w:szCs w:val="18"/>
              </w:rPr>
              <w:t>Option 1</w:t>
            </w:r>
          </w:p>
        </w:tc>
        <w:tc>
          <w:tcPr>
            <w:tcW w:w="860" w:type="pct"/>
          </w:tcPr>
          <w:p w14:paraId="69CCF142" w14:textId="602D96F7" w:rsidR="00C50E91" w:rsidRPr="00B55375" w:rsidRDefault="00C50E91" w:rsidP="00896DF8">
            <w:pPr>
              <w:jc w:val="center"/>
              <w:rPr>
                <w:sz w:val="20"/>
                <w:szCs w:val="18"/>
              </w:rPr>
            </w:pPr>
            <w:r w:rsidRPr="00B55375">
              <w:rPr>
                <w:sz w:val="20"/>
                <w:szCs w:val="18"/>
              </w:rPr>
              <w:t>-</w:t>
            </w:r>
          </w:p>
        </w:tc>
        <w:tc>
          <w:tcPr>
            <w:tcW w:w="920" w:type="pct"/>
          </w:tcPr>
          <w:p w14:paraId="76506929" w14:textId="7DA28FD6" w:rsidR="00C50E91" w:rsidRPr="00B55375" w:rsidRDefault="00C50E91" w:rsidP="00896DF8">
            <w:pPr>
              <w:jc w:val="center"/>
              <w:rPr>
                <w:sz w:val="20"/>
                <w:szCs w:val="18"/>
              </w:rPr>
            </w:pPr>
            <w:r w:rsidRPr="00B55375">
              <w:rPr>
                <w:sz w:val="20"/>
                <w:szCs w:val="18"/>
              </w:rPr>
              <w:t>-</w:t>
            </w:r>
          </w:p>
        </w:tc>
        <w:tc>
          <w:tcPr>
            <w:tcW w:w="860" w:type="pct"/>
          </w:tcPr>
          <w:p w14:paraId="05DF3139" w14:textId="232086DB" w:rsidR="00C50E91" w:rsidRPr="00B55375" w:rsidRDefault="00C50E91" w:rsidP="00896DF8">
            <w:pPr>
              <w:jc w:val="center"/>
              <w:rPr>
                <w:sz w:val="20"/>
                <w:szCs w:val="18"/>
              </w:rPr>
            </w:pPr>
            <w:r w:rsidRPr="00B55375">
              <w:rPr>
                <w:sz w:val="20"/>
                <w:szCs w:val="18"/>
              </w:rPr>
              <w:t>-</w:t>
            </w:r>
          </w:p>
        </w:tc>
        <w:tc>
          <w:tcPr>
            <w:tcW w:w="860" w:type="pct"/>
          </w:tcPr>
          <w:p w14:paraId="7F135366" w14:textId="0DFDDF2C" w:rsidR="00C50E91" w:rsidRPr="00B55375" w:rsidRDefault="00C50E91" w:rsidP="00896DF8">
            <w:pPr>
              <w:jc w:val="center"/>
              <w:rPr>
                <w:sz w:val="20"/>
                <w:szCs w:val="18"/>
              </w:rPr>
            </w:pPr>
            <w:r w:rsidRPr="00B55375">
              <w:rPr>
                <w:sz w:val="20"/>
                <w:szCs w:val="18"/>
              </w:rPr>
              <w:t>-</w:t>
            </w:r>
          </w:p>
        </w:tc>
        <w:tc>
          <w:tcPr>
            <w:tcW w:w="860" w:type="pct"/>
          </w:tcPr>
          <w:p w14:paraId="5E701DC3" w14:textId="0E1BDBDA" w:rsidR="00C50E91" w:rsidRPr="00B55375" w:rsidRDefault="00C50E91" w:rsidP="00896DF8">
            <w:pPr>
              <w:jc w:val="center"/>
              <w:rPr>
                <w:b/>
                <w:sz w:val="20"/>
                <w:szCs w:val="18"/>
              </w:rPr>
            </w:pPr>
            <w:r w:rsidRPr="00B55375">
              <w:rPr>
                <w:b/>
                <w:sz w:val="20"/>
                <w:szCs w:val="18"/>
              </w:rPr>
              <w:t>-</w:t>
            </w:r>
          </w:p>
        </w:tc>
      </w:tr>
      <w:tr w:rsidR="00C50E91" w:rsidRPr="001D7EF4" w14:paraId="15AC6856" w14:textId="77777777" w:rsidTr="0070597C">
        <w:tc>
          <w:tcPr>
            <w:tcW w:w="639" w:type="pct"/>
          </w:tcPr>
          <w:p w14:paraId="1E3796E5" w14:textId="360294E0" w:rsidR="00C50E91" w:rsidRPr="00B55375" w:rsidRDefault="00C50E91" w:rsidP="00650B54">
            <w:pPr>
              <w:rPr>
                <w:sz w:val="20"/>
                <w:szCs w:val="18"/>
              </w:rPr>
            </w:pPr>
            <w:r w:rsidRPr="00B55375">
              <w:rPr>
                <w:sz w:val="20"/>
                <w:szCs w:val="18"/>
              </w:rPr>
              <w:t>Option 3</w:t>
            </w:r>
          </w:p>
        </w:tc>
        <w:tc>
          <w:tcPr>
            <w:tcW w:w="860" w:type="pct"/>
          </w:tcPr>
          <w:p w14:paraId="55A48D3B" w14:textId="50C4D353" w:rsidR="00C50E91" w:rsidRPr="00B55375" w:rsidRDefault="00C50E91" w:rsidP="00650B54">
            <w:pPr>
              <w:jc w:val="center"/>
              <w:rPr>
                <w:sz w:val="20"/>
                <w:szCs w:val="18"/>
                <w:highlight w:val="lightGray"/>
              </w:rPr>
            </w:pPr>
            <w:r w:rsidRPr="00B55375">
              <w:rPr>
                <w:sz w:val="20"/>
                <w:szCs w:val="18"/>
              </w:rPr>
              <w:t>$2</w:t>
            </w:r>
            <w:r w:rsidR="00B55375" w:rsidRPr="00B55375">
              <w:rPr>
                <w:sz w:val="20"/>
                <w:szCs w:val="18"/>
              </w:rPr>
              <w:t>,948,607</w:t>
            </w:r>
          </w:p>
        </w:tc>
        <w:tc>
          <w:tcPr>
            <w:tcW w:w="920" w:type="pct"/>
          </w:tcPr>
          <w:p w14:paraId="24CAF98F" w14:textId="77777777" w:rsidR="00C50E91" w:rsidRPr="00B55375" w:rsidRDefault="00C50E91" w:rsidP="00650B54">
            <w:pPr>
              <w:jc w:val="center"/>
              <w:rPr>
                <w:sz w:val="20"/>
                <w:szCs w:val="18"/>
              </w:rPr>
            </w:pPr>
            <w:r w:rsidRPr="00B55375">
              <w:rPr>
                <w:sz w:val="20"/>
                <w:szCs w:val="18"/>
              </w:rPr>
              <w:t>-</w:t>
            </w:r>
          </w:p>
        </w:tc>
        <w:tc>
          <w:tcPr>
            <w:tcW w:w="860" w:type="pct"/>
          </w:tcPr>
          <w:p w14:paraId="19D4B6B9" w14:textId="77777777" w:rsidR="00C50E91" w:rsidRPr="00B55375" w:rsidRDefault="00C50E91" w:rsidP="00650B54">
            <w:pPr>
              <w:jc w:val="center"/>
              <w:rPr>
                <w:sz w:val="20"/>
                <w:szCs w:val="18"/>
              </w:rPr>
            </w:pPr>
            <w:r w:rsidRPr="00B55375">
              <w:rPr>
                <w:sz w:val="20"/>
                <w:szCs w:val="18"/>
              </w:rPr>
              <w:t>-</w:t>
            </w:r>
          </w:p>
        </w:tc>
        <w:tc>
          <w:tcPr>
            <w:tcW w:w="860" w:type="pct"/>
          </w:tcPr>
          <w:p w14:paraId="04AF73B0" w14:textId="5670C336" w:rsidR="00C50E91" w:rsidRPr="00B55375" w:rsidRDefault="00C50E91" w:rsidP="00650B54">
            <w:pPr>
              <w:jc w:val="center"/>
              <w:rPr>
                <w:sz w:val="20"/>
                <w:szCs w:val="18"/>
              </w:rPr>
            </w:pPr>
            <w:r w:rsidRPr="00B55375">
              <w:rPr>
                <w:sz w:val="20"/>
                <w:szCs w:val="18"/>
              </w:rPr>
              <w:t>-</w:t>
            </w:r>
          </w:p>
        </w:tc>
        <w:tc>
          <w:tcPr>
            <w:tcW w:w="860" w:type="pct"/>
          </w:tcPr>
          <w:p w14:paraId="10728D89" w14:textId="29EBFBB5" w:rsidR="00C50E91" w:rsidRPr="00B55375" w:rsidRDefault="00C50E91" w:rsidP="00650B54">
            <w:pPr>
              <w:jc w:val="center"/>
              <w:rPr>
                <w:b/>
                <w:sz w:val="20"/>
                <w:szCs w:val="18"/>
                <w:highlight w:val="lightGray"/>
              </w:rPr>
            </w:pPr>
            <w:r w:rsidRPr="00B55375">
              <w:rPr>
                <w:b/>
                <w:sz w:val="20"/>
                <w:szCs w:val="18"/>
              </w:rPr>
              <w:t>$2</w:t>
            </w:r>
            <w:r w:rsidR="00B55375" w:rsidRPr="00B55375">
              <w:rPr>
                <w:b/>
                <w:bCs/>
                <w:sz w:val="20"/>
                <w:szCs w:val="18"/>
              </w:rPr>
              <w:t>,948,607</w:t>
            </w:r>
          </w:p>
        </w:tc>
      </w:tr>
      <w:tr w:rsidR="00C50E91" w:rsidRPr="001D7EF4" w14:paraId="0EF539D8" w14:textId="77777777" w:rsidTr="0070597C">
        <w:tc>
          <w:tcPr>
            <w:tcW w:w="639" w:type="pct"/>
          </w:tcPr>
          <w:p w14:paraId="122B5B20" w14:textId="4A94BAB2" w:rsidR="00C50E91" w:rsidRPr="00B55375" w:rsidRDefault="00C50E91" w:rsidP="00650B54">
            <w:pPr>
              <w:rPr>
                <w:sz w:val="20"/>
                <w:szCs w:val="18"/>
              </w:rPr>
            </w:pPr>
            <w:r w:rsidRPr="00B55375">
              <w:rPr>
                <w:sz w:val="20"/>
                <w:szCs w:val="18"/>
              </w:rPr>
              <w:t>Option 4</w:t>
            </w:r>
          </w:p>
        </w:tc>
        <w:tc>
          <w:tcPr>
            <w:tcW w:w="860" w:type="pct"/>
          </w:tcPr>
          <w:p w14:paraId="245390BA" w14:textId="5D241F73" w:rsidR="00C50E91" w:rsidRPr="00B55375" w:rsidRDefault="00C50E91" w:rsidP="00650B54">
            <w:pPr>
              <w:jc w:val="center"/>
              <w:rPr>
                <w:sz w:val="20"/>
                <w:szCs w:val="18"/>
                <w:highlight w:val="lightGray"/>
              </w:rPr>
            </w:pPr>
            <w:r w:rsidRPr="00B55375">
              <w:rPr>
                <w:sz w:val="20"/>
                <w:szCs w:val="18"/>
              </w:rPr>
              <w:t>$2</w:t>
            </w:r>
            <w:r w:rsidR="00B55375" w:rsidRPr="00B55375">
              <w:rPr>
                <w:sz w:val="20"/>
                <w:szCs w:val="18"/>
              </w:rPr>
              <w:t>,166,640</w:t>
            </w:r>
          </w:p>
        </w:tc>
        <w:tc>
          <w:tcPr>
            <w:tcW w:w="920" w:type="pct"/>
          </w:tcPr>
          <w:p w14:paraId="34E3E897" w14:textId="77777777" w:rsidR="00C50E91" w:rsidRPr="00B55375" w:rsidRDefault="00C50E91" w:rsidP="00650B54">
            <w:pPr>
              <w:jc w:val="center"/>
              <w:rPr>
                <w:sz w:val="20"/>
                <w:szCs w:val="18"/>
              </w:rPr>
            </w:pPr>
            <w:r w:rsidRPr="00B55375">
              <w:rPr>
                <w:sz w:val="20"/>
                <w:szCs w:val="18"/>
              </w:rPr>
              <w:t>-</w:t>
            </w:r>
          </w:p>
        </w:tc>
        <w:tc>
          <w:tcPr>
            <w:tcW w:w="860" w:type="pct"/>
          </w:tcPr>
          <w:p w14:paraId="265ECB77" w14:textId="77777777" w:rsidR="00C50E91" w:rsidRPr="00B55375" w:rsidRDefault="00C50E91" w:rsidP="00650B54">
            <w:pPr>
              <w:jc w:val="center"/>
              <w:rPr>
                <w:sz w:val="20"/>
                <w:szCs w:val="18"/>
              </w:rPr>
            </w:pPr>
            <w:r w:rsidRPr="00B55375">
              <w:rPr>
                <w:sz w:val="20"/>
                <w:szCs w:val="18"/>
              </w:rPr>
              <w:t>-</w:t>
            </w:r>
          </w:p>
        </w:tc>
        <w:tc>
          <w:tcPr>
            <w:tcW w:w="860" w:type="pct"/>
          </w:tcPr>
          <w:p w14:paraId="2CB3485B" w14:textId="0F50DD2D" w:rsidR="00C50E91" w:rsidRPr="00B55375" w:rsidRDefault="00C50E91" w:rsidP="00650B54">
            <w:pPr>
              <w:jc w:val="center"/>
              <w:rPr>
                <w:sz w:val="20"/>
                <w:szCs w:val="18"/>
              </w:rPr>
            </w:pPr>
            <w:r w:rsidRPr="00B55375">
              <w:rPr>
                <w:sz w:val="20"/>
                <w:szCs w:val="18"/>
              </w:rPr>
              <w:t>-</w:t>
            </w:r>
          </w:p>
        </w:tc>
        <w:tc>
          <w:tcPr>
            <w:tcW w:w="860" w:type="pct"/>
          </w:tcPr>
          <w:p w14:paraId="1DB04935" w14:textId="4DD770AB" w:rsidR="00C50E91" w:rsidRPr="00B55375" w:rsidRDefault="00C50E91" w:rsidP="00650B54">
            <w:pPr>
              <w:jc w:val="center"/>
              <w:rPr>
                <w:b/>
                <w:sz w:val="20"/>
                <w:szCs w:val="18"/>
                <w:highlight w:val="lightGray"/>
              </w:rPr>
            </w:pPr>
            <w:r w:rsidRPr="00B55375">
              <w:rPr>
                <w:b/>
                <w:sz w:val="20"/>
                <w:szCs w:val="18"/>
              </w:rPr>
              <w:t>$2</w:t>
            </w:r>
            <w:r w:rsidR="00B55375" w:rsidRPr="00B55375">
              <w:rPr>
                <w:b/>
                <w:bCs/>
                <w:sz w:val="20"/>
                <w:szCs w:val="18"/>
              </w:rPr>
              <w:t>,166,640</w:t>
            </w:r>
          </w:p>
        </w:tc>
      </w:tr>
    </w:tbl>
    <w:p w14:paraId="23400B81" w14:textId="47946901" w:rsidR="00650B54" w:rsidRPr="00636B94" w:rsidRDefault="00B9660F" w:rsidP="00AC04CA">
      <w:pPr>
        <w:pStyle w:val="Source-CSR"/>
      </w:pPr>
      <w:r>
        <w:t xml:space="preserve">Note: Some approved providers may be considered community organisations, particularly those that are </w:t>
      </w:r>
      <w:r w:rsidRPr="00636B94">
        <w:t>not-for-profit. For the purposes of this analysis, all approved providers have been classified as businesses.</w:t>
      </w:r>
    </w:p>
    <w:p w14:paraId="7F21BA70" w14:textId="5D0A2D8E" w:rsidR="00B97AB9" w:rsidRDefault="00B97AB9" w:rsidP="00B97AB9">
      <w:pPr>
        <w:pStyle w:val="Heading4"/>
      </w:pPr>
      <w:r>
        <w:t xml:space="preserve">Stakeholders’ </w:t>
      </w:r>
      <w:r w:rsidR="00BF7E16">
        <w:t>preferred</w:t>
      </w:r>
      <w:r w:rsidR="004C5562">
        <w:t xml:space="preserve"> option</w:t>
      </w:r>
    </w:p>
    <w:p w14:paraId="09D84FED" w14:textId="3BC8487D" w:rsidR="00E84ADB" w:rsidRDefault="00E84ADB" w:rsidP="00E84ADB">
      <w:r>
        <w:t xml:space="preserve">FDC </w:t>
      </w:r>
      <w:r w:rsidR="008260E1">
        <w:t>providers</w:t>
      </w:r>
      <w:r>
        <w:t xml:space="preserve"> expressed strong preferences against option 3 due to the sector’s perspective that the impact of option 3 would be limited in reducing the risk of harm to children in these services (refer to Chart 9.7). </w:t>
      </w:r>
      <w:r w:rsidR="00281F91">
        <w:t xml:space="preserve">Approved providers as a whole also were in support of options 2 and 4 over option 3 which received low levels of support overall. Respondents to the workforce survey (which was </w:t>
      </w:r>
      <w:r w:rsidR="00302F69">
        <w:t>very heavily represented by FDCs) indicated preferences for option 1, 2, and/or 4</w:t>
      </w:r>
      <w:r w:rsidR="00455A94">
        <w:t xml:space="preserve">. Families expressed the highest levels of support for option 3 among all stakeholder groups, but still expressed a stronger preference for options 2 and 4 (refer to Appendix </w:t>
      </w:r>
      <w:r w:rsidR="008763FA">
        <w:t xml:space="preserve">Chart </w:t>
      </w:r>
      <w:r w:rsidR="00455A94">
        <w:t>12.3.5</w:t>
      </w:r>
      <w:r w:rsidR="008763FA">
        <w:t>.12</w:t>
      </w:r>
      <w:r w:rsidR="00455A94">
        <w:t>).</w:t>
      </w:r>
      <w:r w:rsidR="476EC8C8">
        <w:t xml:space="preserve"> Option 3 received comparatively more support from long form written submissions, </w:t>
      </w:r>
      <w:r w:rsidR="78F3E451">
        <w:t xml:space="preserve">including from </w:t>
      </w:r>
      <w:r w:rsidR="2A2B89D3">
        <w:t>one</w:t>
      </w:r>
      <w:r w:rsidR="78F3E451">
        <w:t xml:space="preserve"> large approved provider and FDC peak body. No FDC educators providing a long form written </w:t>
      </w:r>
      <w:r w:rsidR="0E96ED39">
        <w:t>submission</w:t>
      </w:r>
      <w:r w:rsidR="78F3E451">
        <w:t xml:space="preserve"> e</w:t>
      </w:r>
      <w:r w:rsidR="01FEF4BC">
        <w:t>x</w:t>
      </w:r>
      <w:r w:rsidR="78F3E451">
        <w:t>pressed</w:t>
      </w:r>
      <w:r w:rsidR="476EC8C8">
        <w:t xml:space="preserve"> support</w:t>
      </w:r>
      <w:r w:rsidR="6E288413">
        <w:t xml:space="preserve"> for option 3</w:t>
      </w:r>
      <w:r w:rsidR="74411305">
        <w:t xml:space="preserve"> or 4</w:t>
      </w:r>
      <w:r w:rsidR="6C0B113F">
        <w:t xml:space="preserve">. </w:t>
      </w:r>
    </w:p>
    <w:p w14:paraId="0AB7E5D4" w14:textId="39957EBC" w:rsidR="006E5A68" w:rsidRDefault="006E5A68" w:rsidP="00E84ADB">
      <w:pPr>
        <w:rPr>
          <w:highlight w:val="lightGray"/>
        </w:rPr>
      </w:pPr>
      <w:r>
        <w:t>Overall, these preferences indicate that options 2 and 4 are broadly supported, while option 3 has very low levels of support – particularly from those with day-to-day interactions with FDCs.</w:t>
      </w:r>
      <w:r w:rsidR="2A14514C">
        <w:t xml:space="preserve"> </w:t>
      </w:r>
    </w:p>
    <w:p w14:paraId="4A7EEA0C" w14:textId="2D87F7C7" w:rsidR="00E84ADB" w:rsidRPr="001E6DFB" w:rsidRDefault="00E84ADB" w:rsidP="00E84ADB">
      <w:pPr>
        <w:pStyle w:val="Caption"/>
      </w:pPr>
      <w:bookmarkStart w:id="192" w:name="_Toc205884985"/>
      <w:r w:rsidRPr="001E6DFB">
        <w:lastRenderedPageBreak/>
        <w:t>Chart 9.</w:t>
      </w:r>
      <w:r>
        <w:t>7</w:t>
      </w:r>
      <w:r w:rsidRPr="001E6DFB">
        <w:t xml:space="preserve">: Approved provider responses to “What is your </w:t>
      </w:r>
      <w:r w:rsidR="00370AB1">
        <w:t xml:space="preserve">preferred option or combination </w:t>
      </w:r>
      <w:r w:rsidRPr="001E6DFB">
        <w:t>of options?” – FDCs only</w:t>
      </w:r>
      <w:bookmarkEnd w:id="192"/>
    </w:p>
    <w:p w14:paraId="01E5BBFC" w14:textId="77777777" w:rsidR="00E84ADB" w:rsidRPr="001E6DFB" w:rsidRDefault="00E84ADB" w:rsidP="00E84ADB">
      <w:r w:rsidRPr="001E6DFB">
        <w:rPr>
          <w:noProof/>
          <w14:ligatures w14:val="standardContextual"/>
        </w:rPr>
        <w:drawing>
          <wp:inline distT="0" distB="0" distL="0" distR="0" wp14:anchorId="6685E83A" wp14:editId="4639159E">
            <wp:extent cx="5613991" cy="2477387"/>
            <wp:effectExtent l="0" t="0" r="6350" b="0"/>
            <wp:docPr id="693288383" name="Chart 1" descr="Approved provider responses to the survey question &quot;What is your preferred option or combination of options?&quot; - for family day cares only">
              <a:extLst xmlns:a="http://schemas.openxmlformats.org/drawingml/2006/main">
                <a:ext uri="{FF2B5EF4-FFF2-40B4-BE49-F238E27FC236}">
                  <a16:creationId xmlns:a16="http://schemas.microsoft.com/office/drawing/2014/main" id="{ABEC170A-5703-D2F7-7395-477A09556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C2B94D3" w14:textId="17C163AA" w:rsidR="00E84ADB" w:rsidRPr="004636EF" w:rsidRDefault="00E84ADB" w:rsidP="004636EF">
      <w:pPr>
        <w:pStyle w:val="Source-CSR"/>
      </w:pPr>
      <w:r w:rsidRPr="001E6DFB">
        <w:t xml:space="preserve">Source: Approved </w:t>
      </w:r>
      <w:r w:rsidRPr="004636EF">
        <w:t>provider survey, as of 11 June 2025, Q87, n(FDC) =35.</w:t>
      </w:r>
    </w:p>
    <w:p w14:paraId="77C8E6F6" w14:textId="0A579E90" w:rsidR="004119A5" w:rsidRDefault="004119A5" w:rsidP="004119A5">
      <w:pPr>
        <w:pStyle w:val="Heading3"/>
      </w:pPr>
      <w:r>
        <w:t xml:space="preserve">What is the </w:t>
      </w:r>
      <w:r w:rsidR="004C5562">
        <w:t>recommended option</w:t>
      </w:r>
      <w:r>
        <w:t>(s) and how will it be implemented?</w:t>
      </w:r>
    </w:p>
    <w:p w14:paraId="41B88DDA" w14:textId="7D05340B" w:rsidR="00B97AB9" w:rsidRDefault="00622BC7" w:rsidP="00830EFB">
      <w:r w:rsidRPr="00622BC7">
        <w:t xml:space="preserve">Options </w:t>
      </w:r>
      <w:r w:rsidR="00AA4403">
        <w:t>3</w:t>
      </w:r>
      <w:r w:rsidRPr="00622BC7">
        <w:t xml:space="preserve"> and </w:t>
      </w:r>
      <w:r w:rsidR="00AA4403">
        <w:t>4</w:t>
      </w:r>
      <w:r w:rsidRPr="00622BC7">
        <w:t xml:space="preserve"> are the options to be provided to Education Ministers for consideration. This is on the basis that these options would generate the most significant improvements to child safety even after accounting for potential implementation costs. </w:t>
      </w:r>
      <w:r w:rsidR="004119A5">
        <w:t>In terms of benefits, these options are expected to improve the consistency of FDC assessments and provide greater clarity to FDC educators on where education and care services are to take place and which in which areas all risks to child safety need to be mitigated.</w:t>
      </w:r>
      <w:r w:rsidR="00AF5813">
        <w:t xml:space="preserve"> </w:t>
      </w:r>
    </w:p>
    <w:p w14:paraId="7B1CFE11" w14:textId="258D5AEA" w:rsidR="00447A52" w:rsidRPr="000838EC" w:rsidRDefault="00DC354A" w:rsidP="00447A52">
      <w:r>
        <w:t>Governments will work closely with the FDC sector to address a</w:t>
      </w:r>
      <w:r w:rsidR="00447A52">
        <w:t xml:space="preserve"> range of </w:t>
      </w:r>
      <w:r>
        <w:t>identified implementation considerations</w:t>
      </w:r>
      <w:r w:rsidR="00180FF7">
        <w:t xml:space="preserve"> and reduce the potential risks identified by stakeholders</w:t>
      </w:r>
      <w:r>
        <w:t xml:space="preserve">. This includes the provision of more </w:t>
      </w:r>
      <w:r w:rsidR="00447A52">
        <w:t xml:space="preserve">prescriptive guidance </w:t>
      </w:r>
      <w:r w:rsidR="00CD63BE">
        <w:t xml:space="preserve">alongside regulatory changes </w:t>
      </w:r>
      <w:r w:rsidR="00447A52" w:rsidRPr="000838EC">
        <w:t xml:space="preserve">on: </w:t>
      </w:r>
    </w:p>
    <w:p w14:paraId="51D2A4FC" w14:textId="26236957" w:rsidR="00447A52" w:rsidRDefault="00447A52" w:rsidP="00EC53AB">
      <w:pPr>
        <w:pStyle w:val="ListParagraph"/>
        <w:numPr>
          <w:ilvl w:val="0"/>
          <w:numId w:val="96"/>
        </w:numPr>
        <w:ind w:left="426"/>
      </w:pPr>
      <w:r>
        <w:t xml:space="preserve">requirements to rectify any risks identified following an assessment, such as ensuring </w:t>
      </w:r>
      <w:r w:rsidRPr="000838EC">
        <w:t xml:space="preserve">an area of the FDC residence </w:t>
      </w:r>
      <w:r>
        <w:t>is ‘inaccessible to children’</w:t>
      </w:r>
      <w:r w:rsidR="00F77C7A">
        <w:t>,</w:t>
      </w:r>
    </w:p>
    <w:p w14:paraId="191037E8" w14:textId="77777777" w:rsidR="00447A52" w:rsidRDefault="00447A52" w:rsidP="00EC53AB">
      <w:pPr>
        <w:pStyle w:val="ListParagraph"/>
        <w:numPr>
          <w:ilvl w:val="0"/>
          <w:numId w:val="96"/>
        </w:numPr>
        <w:ind w:left="426"/>
      </w:pPr>
      <w:r>
        <w:t>the processes by which the areas to be used for the provision of education and care are approved.</w:t>
      </w:r>
    </w:p>
    <w:p w14:paraId="53297B18" w14:textId="77777777" w:rsidR="00DD0AEE" w:rsidRPr="000838EC" w:rsidRDefault="00DD0AEE" w:rsidP="00DD0AEE">
      <w:pPr>
        <w:pStyle w:val="ListParagraph"/>
        <w:numPr>
          <w:ilvl w:val="0"/>
          <w:numId w:val="0"/>
        </w:numPr>
        <w:ind w:left="426"/>
      </w:pPr>
    </w:p>
    <w:p w14:paraId="4B83BD22" w14:textId="568CD565" w:rsidR="004119A5" w:rsidRDefault="004119A5" w:rsidP="006C59C2">
      <w:pPr>
        <w:pStyle w:val="Heading2"/>
      </w:pPr>
      <w:bookmarkStart w:id="193" w:name="_Toc202887602"/>
      <w:bookmarkStart w:id="194" w:name="_Toc205884901"/>
      <w:r>
        <w:t>9.3 Enabling authorised officers to access areas of a FDC residence or property, beyond the service premises, in specific instances or for specific purposes</w:t>
      </w:r>
      <w:bookmarkEnd w:id="193"/>
      <w:bookmarkEnd w:id="194"/>
    </w:p>
    <w:tbl>
      <w:tblPr>
        <w:tblStyle w:val="Deloittetable"/>
        <w:tblW w:w="9140" w:type="dxa"/>
        <w:tblLook w:val="04A0" w:firstRow="1" w:lastRow="0" w:firstColumn="1" w:lastColumn="0" w:noHBand="0" w:noVBand="1"/>
        <w:tblCaption w:val="Key insights - Enabling authorised officers to access areas of a FDC residence or property, beyond the service premises, in specific instances or for specific purposes"/>
        <w:tblDescription w:val="This table outlines the key insights for enabling authorised officers to access areas of a FDC residence or property, beyond the service premises, in specific instances or for specific purposes."/>
      </w:tblPr>
      <w:tblGrid>
        <w:gridCol w:w="9140"/>
      </w:tblGrid>
      <w:tr w:rsidR="00B11DFB" w14:paraId="4499BC80" w14:textId="77777777" w:rsidTr="00587A97">
        <w:trPr>
          <w:cnfStyle w:val="100000000000" w:firstRow="1" w:lastRow="0" w:firstColumn="0" w:lastColumn="0" w:oddVBand="0" w:evenVBand="0" w:oddHBand="0" w:evenHBand="0" w:firstRowFirstColumn="0" w:firstRowLastColumn="0" w:lastRowFirstColumn="0" w:lastRowLastColumn="0"/>
          <w:trHeight w:val="1039"/>
        </w:trPr>
        <w:tc>
          <w:tcPr>
            <w:tcW w:w="9140" w:type="dxa"/>
            <w:shd w:val="clear" w:color="auto" w:fill="DEE6F4" w:themeFill="text2" w:themeFillTint="1A"/>
          </w:tcPr>
          <w:p w14:paraId="03AB1A9B" w14:textId="77777777" w:rsidR="00B11DFB" w:rsidRPr="005347A5" w:rsidRDefault="00B11DFB">
            <w:pPr>
              <w:rPr>
                <w:b/>
                <w:bCs/>
                <w:sz w:val="20"/>
                <w:szCs w:val="20"/>
              </w:rPr>
            </w:pPr>
            <w:r w:rsidRPr="005347A5">
              <w:rPr>
                <w:b/>
                <w:bCs/>
                <w:sz w:val="20"/>
                <w:szCs w:val="20"/>
              </w:rPr>
              <w:lastRenderedPageBreak/>
              <w:t xml:space="preserve">Key Insights </w:t>
            </w:r>
          </w:p>
          <w:p w14:paraId="56287044" w14:textId="77777777" w:rsidR="00B11DFB" w:rsidRPr="00712583" w:rsidRDefault="00B11DFB">
            <w:pPr>
              <w:rPr>
                <w:i/>
                <w:szCs w:val="22"/>
              </w:rPr>
            </w:pPr>
            <w:r>
              <w:rPr>
                <w:i/>
                <w:szCs w:val="22"/>
              </w:rPr>
              <w:t>Problem</w:t>
            </w:r>
          </w:p>
          <w:p w14:paraId="49A3E65D" w14:textId="77777777" w:rsidR="009B428D" w:rsidRPr="00E239C2" w:rsidRDefault="009B428D" w:rsidP="00EC53AB">
            <w:pPr>
              <w:pStyle w:val="ListParagraph"/>
              <w:numPr>
                <w:ilvl w:val="0"/>
                <w:numId w:val="100"/>
              </w:numPr>
              <w:spacing w:before="120"/>
              <w:ind w:left="462"/>
              <w:contextualSpacing/>
              <w:rPr>
                <w:i/>
                <w:szCs w:val="20"/>
              </w:rPr>
            </w:pPr>
            <w:r w:rsidRPr="009B428D">
              <w:rPr>
                <w:szCs w:val="20"/>
              </w:rPr>
              <w:t>Without provisions for an authorised officer to access areas of the residence or surrounding property outside the FDC service premises that is in the possession or control of the FDC educator, the ability of Regulatory Authorities to intervene to preserve the safety, health, and wellbeing of children is limited. If hazards are present, there is a significant potential risk that children are exposed to harm, which could be prevented with expanded entry powers.</w:t>
            </w:r>
          </w:p>
          <w:p w14:paraId="23F902AF" w14:textId="30B8C1BA" w:rsidR="00E239C2" w:rsidRPr="009B428D" w:rsidRDefault="00E239C2" w:rsidP="00EC53AB">
            <w:pPr>
              <w:pStyle w:val="ListParagraph"/>
              <w:numPr>
                <w:ilvl w:val="0"/>
                <w:numId w:val="100"/>
              </w:numPr>
              <w:spacing w:before="120"/>
              <w:ind w:left="462"/>
              <w:contextualSpacing/>
              <w:rPr>
                <w:i/>
                <w:szCs w:val="20"/>
              </w:rPr>
            </w:pPr>
            <w:r>
              <w:t>The scale and magnitude of this problem is presently unknown.</w:t>
            </w:r>
          </w:p>
          <w:p w14:paraId="72B926A2" w14:textId="77777777" w:rsidR="00B11DFB" w:rsidRPr="000B4397" w:rsidRDefault="00B11DFB">
            <w:pPr>
              <w:spacing w:before="120"/>
              <w:contextualSpacing/>
              <w:rPr>
                <w:i/>
                <w:szCs w:val="20"/>
              </w:rPr>
            </w:pPr>
            <w:r w:rsidRPr="002B7C48">
              <w:rPr>
                <w:i/>
                <w:szCs w:val="20"/>
              </w:rPr>
              <w:t>Impacts of each option</w:t>
            </w:r>
          </w:p>
          <w:p w14:paraId="440C0F22" w14:textId="21C7B254" w:rsidR="00B11DFB" w:rsidRPr="000B4397" w:rsidRDefault="00B11DFB" w:rsidP="00EC53AB">
            <w:pPr>
              <w:pStyle w:val="ListParagraph"/>
              <w:numPr>
                <w:ilvl w:val="0"/>
                <w:numId w:val="100"/>
              </w:numPr>
              <w:spacing w:before="120"/>
              <w:ind w:left="462"/>
              <w:contextualSpacing/>
              <w:rPr>
                <w:szCs w:val="20"/>
              </w:rPr>
            </w:pPr>
            <w:r w:rsidRPr="00C44DEA">
              <w:rPr>
                <w:szCs w:val="20"/>
              </w:rPr>
              <w:t>The</w:t>
            </w:r>
            <w:r>
              <w:rPr>
                <w:szCs w:val="20"/>
              </w:rPr>
              <w:t xml:space="preserve"> MCA analysis shows that </w:t>
            </w:r>
            <w:r w:rsidR="00E239C2">
              <w:t xml:space="preserve">all proposed changes </w:t>
            </w:r>
            <w:r w:rsidR="00E239C2" w:rsidRPr="001C3B7A">
              <w:t xml:space="preserve">are expected to have a net positive impact on improvement in child safety even after accounting for costs and implementation risks. </w:t>
            </w:r>
            <w:r w:rsidR="00BC7A00">
              <w:t>Option 3 had the highest weighted score (0.7).</w:t>
            </w:r>
          </w:p>
          <w:p w14:paraId="1DAD75FA" w14:textId="5CA1FEA0" w:rsidR="00B11DFB" w:rsidRPr="000F4A52" w:rsidRDefault="00B11DFB" w:rsidP="00EC53AB">
            <w:pPr>
              <w:pStyle w:val="ListParagraph"/>
              <w:numPr>
                <w:ilvl w:val="0"/>
                <w:numId w:val="100"/>
              </w:numPr>
              <w:tabs>
                <w:tab w:val="clear" w:pos="2835"/>
              </w:tabs>
              <w:spacing w:before="120"/>
              <w:ind w:left="462"/>
              <w:contextualSpacing/>
              <w:jc w:val="both"/>
              <w:rPr>
                <w:szCs w:val="20"/>
              </w:rPr>
            </w:pPr>
            <w:r w:rsidRPr="000F4A52">
              <w:rPr>
                <w:szCs w:val="20"/>
              </w:rPr>
              <w:t xml:space="preserve">Option </w:t>
            </w:r>
            <w:r w:rsidR="00D4453D">
              <w:rPr>
                <w:szCs w:val="20"/>
              </w:rPr>
              <w:t>3</w:t>
            </w:r>
            <w:r w:rsidRPr="000F4A52">
              <w:rPr>
                <w:szCs w:val="20"/>
              </w:rPr>
              <w:t xml:space="preserve"> was the </w:t>
            </w:r>
            <w:r w:rsidR="00BF7E16">
              <w:rPr>
                <w:szCs w:val="20"/>
              </w:rPr>
              <w:t>preferred</w:t>
            </w:r>
            <w:r w:rsidR="004C5562">
              <w:rPr>
                <w:szCs w:val="20"/>
              </w:rPr>
              <w:t xml:space="preserve"> option</w:t>
            </w:r>
            <w:r w:rsidRPr="000F4A52">
              <w:rPr>
                <w:szCs w:val="20"/>
              </w:rPr>
              <w:t xml:space="preserve"> among most stakeholder groups, including approved providers, the </w:t>
            </w:r>
            <w:r w:rsidR="00014AC2">
              <w:rPr>
                <w:szCs w:val="20"/>
              </w:rPr>
              <w:t>education</w:t>
            </w:r>
            <w:r w:rsidRPr="000F4A52">
              <w:rPr>
                <w:szCs w:val="20"/>
              </w:rPr>
              <w:t xml:space="preserve"> </w:t>
            </w:r>
            <w:r w:rsidR="00D4453D">
              <w:rPr>
                <w:szCs w:val="20"/>
              </w:rPr>
              <w:t xml:space="preserve">and </w:t>
            </w:r>
            <w:r w:rsidR="00014AC2">
              <w:rPr>
                <w:szCs w:val="20"/>
              </w:rPr>
              <w:t>care</w:t>
            </w:r>
            <w:r w:rsidRPr="000F4A52">
              <w:rPr>
                <w:szCs w:val="20"/>
              </w:rPr>
              <w:t xml:space="preserve"> workforce, </w:t>
            </w:r>
            <w:r w:rsidR="00D4453D">
              <w:rPr>
                <w:szCs w:val="20"/>
              </w:rPr>
              <w:t xml:space="preserve">and </w:t>
            </w:r>
            <w:r w:rsidRPr="000F4A52">
              <w:rPr>
                <w:szCs w:val="20"/>
              </w:rPr>
              <w:t>families</w:t>
            </w:r>
            <w:r w:rsidR="00D4453D">
              <w:rPr>
                <w:szCs w:val="20"/>
              </w:rPr>
              <w:t xml:space="preserve">. However, FDC services </w:t>
            </w:r>
            <w:r w:rsidR="00D4453D" w:rsidRPr="00D4453D">
              <w:rPr>
                <w:szCs w:val="20"/>
              </w:rPr>
              <w:t xml:space="preserve">expressed strong preferences against option 3, with the most </w:t>
            </w:r>
            <w:r w:rsidR="00BF7E16">
              <w:rPr>
                <w:szCs w:val="20"/>
              </w:rPr>
              <w:t>preferred</w:t>
            </w:r>
            <w:r w:rsidR="004C5562">
              <w:rPr>
                <w:szCs w:val="20"/>
              </w:rPr>
              <w:t xml:space="preserve"> option</w:t>
            </w:r>
            <w:r w:rsidR="00D4453D" w:rsidRPr="00D4453D">
              <w:rPr>
                <w:szCs w:val="20"/>
              </w:rPr>
              <w:t xml:space="preserve"> being option 2</w:t>
            </w:r>
            <w:r w:rsidR="00D4453D">
              <w:rPr>
                <w:szCs w:val="20"/>
              </w:rPr>
              <w:t>.</w:t>
            </w:r>
            <w:r w:rsidR="00D4453D">
              <w:t xml:space="preserve"> </w:t>
            </w:r>
            <w:r w:rsidR="00D4453D" w:rsidRPr="00D4453D">
              <w:rPr>
                <w:szCs w:val="20"/>
              </w:rPr>
              <w:t xml:space="preserve">This </w:t>
            </w:r>
            <w:r w:rsidR="00072CEA">
              <w:rPr>
                <w:szCs w:val="20"/>
              </w:rPr>
              <w:t>divergent</w:t>
            </w:r>
            <w:r w:rsidR="00D4453D" w:rsidRPr="00D4453D">
              <w:rPr>
                <w:szCs w:val="20"/>
              </w:rPr>
              <w:t xml:space="preserve"> view between FDCs and approved providers overall is expected to be a result of the costs and implementation concerns exclusively impacting FDCs.</w:t>
            </w:r>
          </w:p>
          <w:p w14:paraId="2293BD81" w14:textId="481AF9FA" w:rsidR="00B11DFB" w:rsidRPr="00C44DEA" w:rsidRDefault="00B11DFB" w:rsidP="00EC53AB">
            <w:pPr>
              <w:pStyle w:val="ListParagraph"/>
              <w:numPr>
                <w:ilvl w:val="0"/>
                <w:numId w:val="100"/>
              </w:numPr>
              <w:spacing w:before="120"/>
              <w:ind w:left="462"/>
              <w:contextualSpacing/>
              <w:rPr>
                <w:szCs w:val="20"/>
              </w:rPr>
            </w:pPr>
            <w:r>
              <w:rPr>
                <w:szCs w:val="20"/>
              </w:rPr>
              <w:t>Option</w:t>
            </w:r>
            <w:r w:rsidRPr="000D3C24">
              <w:rPr>
                <w:szCs w:val="20"/>
              </w:rPr>
              <w:t xml:space="preserve"> </w:t>
            </w:r>
            <w:r w:rsidR="00E239C2">
              <w:rPr>
                <w:szCs w:val="20"/>
              </w:rPr>
              <w:t>2</w:t>
            </w:r>
            <w:r w:rsidRPr="000D3C24">
              <w:rPr>
                <w:szCs w:val="20"/>
              </w:rPr>
              <w:t xml:space="preserve"> receive</w:t>
            </w:r>
            <w:r>
              <w:rPr>
                <w:szCs w:val="20"/>
              </w:rPr>
              <w:t>d</w:t>
            </w:r>
            <w:r w:rsidRPr="000D3C24">
              <w:rPr>
                <w:szCs w:val="20"/>
              </w:rPr>
              <w:t xml:space="preserve"> a lower weighted score than option </w:t>
            </w:r>
            <w:r w:rsidR="00E239C2">
              <w:rPr>
                <w:szCs w:val="20"/>
              </w:rPr>
              <w:t>3</w:t>
            </w:r>
            <w:r>
              <w:rPr>
                <w:szCs w:val="20"/>
              </w:rPr>
              <w:t>,</w:t>
            </w:r>
            <w:r w:rsidRPr="000D3C24">
              <w:rPr>
                <w:szCs w:val="20"/>
              </w:rPr>
              <w:t xml:space="preserve"> reflecting </w:t>
            </w:r>
            <w:r w:rsidR="0097365F">
              <w:rPr>
                <w:szCs w:val="20"/>
              </w:rPr>
              <w:t xml:space="preserve">the higher weight placed on child safety compared to other criteria. </w:t>
            </w:r>
          </w:p>
          <w:p w14:paraId="18D9D4DC" w14:textId="4DB23649" w:rsidR="00B11DFB" w:rsidRPr="00712583" w:rsidRDefault="004C5562">
            <w:pPr>
              <w:rPr>
                <w:szCs w:val="22"/>
              </w:rPr>
            </w:pPr>
            <w:r>
              <w:rPr>
                <w:i/>
                <w:szCs w:val="22"/>
              </w:rPr>
              <w:t>Recommended option</w:t>
            </w:r>
          </w:p>
          <w:p w14:paraId="1916AB98" w14:textId="4DBA5D8F" w:rsidR="00587A97" w:rsidRDefault="00931972" w:rsidP="00F77C7A">
            <w:pPr>
              <w:pStyle w:val="ListParagraph"/>
              <w:ind w:left="462"/>
              <w:rPr>
                <w:szCs w:val="20"/>
              </w:rPr>
            </w:pPr>
            <w:r w:rsidRPr="00931972">
              <w:rPr>
                <w:szCs w:val="20"/>
              </w:rPr>
              <w:t xml:space="preserve">Based on analysis included in this DRIS, the option with the highest net benefit to be provided to Education Ministers for consideration </w:t>
            </w:r>
            <w:r>
              <w:rPr>
                <w:szCs w:val="20"/>
              </w:rPr>
              <w:t>is o</w:t>
            </w:r>
            <w:r w:rsidR="00587A97" w:rsidRPr="00587A97">
              <w:rPr>
                <w:szCs w:val="20"/>
              </w:rPr>
              <w:t>ption</w:t>
            </w:r>
            <w:r w:rsidR="00A368E0">
              <w:rPr>
                <w:szCs w:val="20"/>
              </w:rPr>
              <w:t xml:space="preserve"> </w:t>
            </w:r>
            <w:r w:rsidR="00587A97" w:rsidRPr="00587A97">
              <w:rPr>
                <w:szCs w:val="20"/>
              </w:rPr>
              <w:t xml:space="preserve">3. This option was viewed to fill a critical gap in Regulatory Authorities’ current powers to undertake quality and compliance checks in FDC services and investigate potential incidents pertaining to alleged or suspected breaches of the National Law or National Regulations. </w:t>
            </w:r>
          </w:p>
          <w:p w14:paraId="3EFB2A7C" w14:textId="630BE3D4" w:rsidR="00B11DFB" w:rsidRPr="00397987" w:rsidRDefault="00351FC1" w:rsidP="00F77C7A">
            <w:pPr>
              <w:pStyle w:val="ListParagraph"/>
              <w:ind w:left="462"/>
            </w:pPr>
            <w:r>
              <w:rPr>
                <w:szCs w:val="20"/>
              </w:rPr>
              <w:t>G</w:t>
            </w:r>
            <w:r w:rsidR="00587A97" w:rsidRPr="00587A97">
              <w:rPr>
                <w:szCs w:val="20"/>
              </w:rPr>
              <w:t xml:space="preserve">overnments will provide more specific guidance </w:t>
            </w:r>
            <w:r>
              <w:rPr>
                <w:szCs w:val="20"/>
              </w:rPr>
              <w:t>with the implementation of this change</w:t>
            </w:r>
            <w:r w:rsidR="00587A97" w:rsidRPr="00587A97">
              <w:rPr>
                <w:szCs w:val="20"/>
              </w:rPr>
              <w:t xml:space="preserve"> which confirms that entry powers can only be exercised under the listed instances and purposes identified.</w:t>
            </w:r>
          </w:p>
        </w:tc>
      </w:tr>
    </w:tbl>
    <w:p w14:paraId="17FB9559" w14:textId="77777777" w:rsidR="004119A5" w:rsidRDefault="004119A5" w:rsidP="004119A5">
      <w:pPr>
        <w:spacing w:before="240"/>
      </w:pPr>
      <w:r>
        <w:t>Part 9, Division 2 of the National Law provides detail on the powers of an authorised officer to enter an approved education and care service premises. An authorised officer is a person authorised by the relevant Regulatory Authority to carry out specific functions under the National Law. Authorised officers have the power to enter, inspect and search a service premises to carry out the following:</w:t>
      </w:r>
    </w:p>
    <w:p w14:paraId="299D4290" w14:textId="762E32F8" w:rsidR="004119A5" w:rsidRDefault="004119A5" w:rsidP="00F77C7A">
      <w:pPr>
        <w:pStyle w:val="ListParagraph"/>
        <w:ind w:left="426"/>
      </w:pPr>
      <w:r>
        <w:t>assess and monitor the service (section 197)</w:t>
      </w:r>
      <w:r w:rsidR="00F77C7A">
        <w:t>,</w:t>
      </w:r>
    </w:p>
    <w:p w14:paraId="110F4FE1" w14:textId="1128EB1E" w:rsidR="004119A5" w:rsidRDefault="004119A5" w:rsidP="00EC53AB">
      <w:pPr>
        <w:pStyle w:val="ListParagraph"/>
        <w:numPr>
          <w:ilvl w:val="0"/>
          <w:numId w:val="1"/>
        </w:numPr>
        <w:ind w:left="426"/>
      </w:pPr>
      <w:r>
        <w:t>investigate the service (section 199)</w:t>
      </w:r>
      <w:r w:rsidR="00F77C7A">
        <w:t>.</w:t>
      </w:r>
    </w:p>
    <w:p w14:paraId="1D9F73FD" w14:textId="77777777" w:rsidR="004119A5" w:rsidRDefault="004119A5" w:rsidP="004119A5">
      <w:r>
        <w:t xml:space="preserve">These powers have specific requirements that must be met for the entry to be considered lawful. Importantly, the powers refer to the ability for an authorised officer to enter an approved education and care service </w:t>
      </w:r>
      <w:r>
        <w:rPr>
          <w:i/>
          <w:iCs/>
        </w:rPr>
        <w:t>premises</w:t>
      </w:r>
      <w:r>
        <w:t>. For a FDC service, an education and care service premises consists of:</w:t>
      </w:r>
    </w:p>
    <w:p w14:paraId="4E971E81" w14:textId="2852C199" w:rsidR="005F7827" w:rsidRDefault="004119A5" w:rsidP="00EC53AB">
      <w:pPr>
        <w:pStyle w:val="ListParagraph"/>
        <w:numPr>
          <w:ilvl w:val="0"/>
          <w:numId w:val="110"/>
        </w:numPr>
        <w:ind w:left="426"/>
      </w:pPr>
      <w:r>
        <w:lastRenderedPageBreak/>
        <w:t>an office of the FDC service</w:t>
      </w:r>
      <w:r w:rsidR="005F7827">
        <w:t>,</w:t>
      </w:r>
      <w:r>
        <w:t xml:space="preserve"> </w:t>
      </w:r>
    </w:p>
    <w:p w14:paraId="5BD98A9D" w14:textId="1880B468" w:rsidR="005F7827" w:rsidRDefault="004119A5" w:rsidP="00EC53AB">
      <w:pPr>
        <w:pStyle w:val="ListParagraph"/>
        <w:numPr>
          <w:ilvl w:val="0"/>
          <w:numId w:val="110"/>
        </w:numPr>
        <w:ind w:left="426"/>
      </w:pPr>
      <w:r>
        <w:t>an approved FDC venue</w:t>
      </w:r>
      <w:r w:rsidR="005F7827">
        <w:t>,</w:t>
      </w:r>
    </w:p>
    <w:p w14:paraId="1271E2F5" w14:textId="77777777" w:rsidR="004119A5" w:rsidRDefault="004119A5" w:rsidP="00EC53AB">
      <w:pPr>
        <w:pStyle w:val="ListParagraph"/>
        <w:numPr>
          <w:ilvl w:val="0"/>
          <w:numId w:val="110"/>
        </w:numPr>
        <w:ind w:left="426"/>
      </w:pPr>
      <w:r>
        <w:t>each part of a residence</w:t>
      </w:r>
      <w:r>
        <w:rPr>
          <w:rStyle w:val="FootnoteReference"/>
        </w:rPr>
        <w:footnoteReference w:id="136"/>
      </w:r>
      <w:r>
        <w:t xml:space="preserve"> used to provide education and care to children as part of a FDC service or used to provide access to the part of the residence used to provide that education and care.</w:t>
      </w:r>
    </w:p>
    <w:p w14:paraId="361C84B5" w14:textId="599708AF" w:rsidR="004119A5" w:rsidRDefault="004119A5" w:rsidP="004119A5">
      <w:r>
        <w:t xml:space="preserve">In practice, for FDCs operating from a residence, authorised officers across states and territories currently seek consent from the FDC educator to view or enter areas beyond the FDC service premises, if necessary to the investigation or visit. Consent is usually sought in a written format. </w:t>
      </w:r>
    </w:p>
    <w:p w14:paraId="7F1BD3F7" w14:textId="77777777" w:rsidR="004119A5" w:rsidRDefault="004119A5" w:rsidP="004119A5">
      <w:pPr>
        <w:pStyle w:val="Heading3"/>
      </w:pPr>
      <w:r>
        <w:t>What is the problem?</w:t>
      </w:r>
    </w:p>
    <w:p w14:paraId="699F9E1E" w14:textId="02C09806" w:rsidR="004119A5" w:rsidRDefault="004119A5" w:rsidP="004119A5">
      <w:r>
        <w:t>For FDCs operating from a residence, there is potential that areas of a FDC residence or property outside the FDC service premises may contain hazards to the safety, health, and wellbeing of children.</w:t>
      </w:r>
      <w:r>
        <w:rPr>
          <w:rStyle w:val="FootnoteReference"/>
        </w:rPr>
        <w:footnoteReference w:id="137"/>
      </w:r>
      <w:r w:rsidRPr="000D6E9A">
        <w:t xml:space="preserve"> </w:t>
      </w:r>
      <w:r>
        <w:t>Without provisions for an authorised officer to access areas of the residence or surrounding property outside the FDC service premises</w:t>
      </w:r>
      <w:r w:rsidRPr="00D12A99">
        <w:t xml:space="preserve"> </w:t>
      </w:r>
      <w:r>
        <w:t xml:space="preserve">that is in the possession or control of the FDC educator, the ability of Regulatory Authorities to intervene to </w:t>
      </w:r>
      <w:r w:rsidRPr="00705831">
        <w:t>preserve the safety</w:t>
      </w:r>
      <w:r>
        <w:t>,</w:t>
      </w:r>
      <w:r w:rsidRPr="00705831">
        <w:t xml:space="preserve"> health, and wellbeing of children </w:t>
      </w:r>
      <w:r>
        <w:t>is limited. If hazards are present, there is a significant potential risk that children are exposed to harm, which could be prevented with expanded entry powers.</w:t>
      </w:r>
    </w:p>
    <w:p w14:paraId="20E682B5" w14:textId="10A2CB90" w:rsidR="004119A5" w:rsidRDefault="004119A5" w:rsidP="004119A5">
      <w:r>
        <w:t>At present, authorised officers are conducting around 1,300 visits per year</w:t>
      </w:r>
      <w:r>
        <w:rPr>
          <w:rStyle w:val="FootnoteReference"/>
        </w:rPr>
        <w:footnoteReference w:id="138"/>
      </w:r>
      <w:r>
        <w:t xml:space="preserve"> to FDC services</w:t>
      </w:r>
      <w:r w:rsidR="003B7EE0">
        <w:rPr>
          <w:rStyle w:val="FootnoteReference"/>
        </w:rPr>
        <w:footnoteReference w:id="139"/>
      </w:r>
      <w:r w:rsidR="004C5CFC">
        <w:t xml:space="preserve"> </w:t>
      </w:r>
      <w:r>
        <w:t>around the country. The purposes for these visits are wide ranging and include reasons such as:</w:t>
      </w:r>
    </w:p>
    <w:p w14:paraId="561B715C" w14:textId="20ADD2A4" w:rsidR="004119A5" w:rsidRDefault="004119A5" w:rsidP="00EC53AB">
      <w:pPr>
        <w:pStyle w:val="ListParagraph"/>
        <w:numPr>
          <w:ilvl w:val="0"/>
          <w:numId w:val="91"/>
        </w:numPr>
        <w:ind w:left="426"/>
      </w:pPr>
      <w:r>
        <w:t>checking the service’s compliance with the NQF (similar to the quality checks undertaken for the rest of the sector)</w:t>
      </w:r>
      <w:r w:rsidR="005F7827">
        <w:t>,</w:t>
      </w:r>
    </w:p>
    <w:p w14:paraId="73C3B85F" w14:textId="4776B46B" w:rsidR="004119A5" w:rsidRDefault="004119A5" w:rsidP="00EC53AB">
      <w:pPr>
        <w:pStyle w:val="ListParagraph"/>
        <w:numPr>
          <w:ilvl w:val="0"/>
          <w:numId w:val="91"/>
        </w:numPr>
        <w:ind w:left="426"/>
      </w:pPr>
      <w:r>
        <w:t>responding to a complaint</w:t>
      </w:r>
      <w:r w:rsidR="005F7827">
        <w:t>,</w:t>
      </w:r>
    </w:p>
    <w:p w14:paraId="6912CFF1" w14:textId="280EE095" w:rsidR="004119A5" w:rsidRDefault="004119A5" w:rsidP="00EC53AB">
      <w:pPr>
        <w:pStyle w:val="ListParagraph"/>
        <w:numPr>
          <w:ilvl w:val="0"/>
          <w:numId w:val="91"/>
        </w:numPr>
        <w:ind w:left="426"/>
      </w:pPr>
      <w:r>
        <w:t>to respond to an incident</w:t>
      </w:r>
      <w:r w:rsidR="005F7827">
        <w:t>,</w:t>
      </w:r>
    </w:p>
    <w:p w14:paraId="0DECFE9F" w14:textId="5DCA734B" w:rsidR="004119A5" w:rsidRDefault="004119A5" w:rsidP="00EC53AB">
      <w:pPr>
        <w:pStyle w:val="ListParagraph"/>
        <w:numPr>
          <w:ilvl w:val="0"/>
          <w:numId w:val="91"/>
        </w:numPr>
        <w:ind w:left="426"/>
      </w:pPr>
      <w:r>
        <w:lastRenderedPageBreak/>
        <w:t>to undertake an investigation</w:t>
      </w:r>
      <w:r w:rsidR="005F7827">
        <w:t>,</w:t>
      </w:r>
    </w:p>
    <w:p w14:paraId="68620FC3" w14:textId="3AB5E2CE" w:rsidR="004119A5" w:rsidRDefault="004119A5" w:rsidP="00EC53AB">
      <w:pPr>
        <w:pStyle w:val="ListParagraph"/>
        <w:numPr>
          <w:ilvl w:val="0"/>
          <w:numId w:val="91"/>
        </w:numPr>
        <w:ind w:left="426"/>
      </w:pPr>
      <w:r>
        <w:t>for assessment and rating</w:t>
      </w:r>
      <w:r w:rsidR="005F7827">
        <w:t>,</w:t>
      </w:r>
    </w:p>
    <w:p w14:paraId="718D0048" w14:textId="36BD6E85" w:rsidR="004119A5" w:rsidRDefault="004119A5" w:rsidP="00EC53AB">
      <w:pPr>
        <w:pStyle w:val="ListParagraph"/>
        <w:numPr>
          <w:ilvl w:val="0"/>
          <w:numId w:val="91"/>
        </w:numPr>
        <w:ind w:left="426"/>
      </w:pPr>
      <w:r>
        <w:t>for educational purposes</w:t>
      </w:r>
      <w:r w:rsidR="005F7827">
        <w:t>,</w:t>
      </w:r>
    </w:p>
    <w:p w14:paraId="6936236B" w14:textId="2D942811" w:rsidR="004119A5" w:rsidRDefault="004119A5" w:rsidP="00EC53AB">
      <w:pPr>
        <w:pStyle w:val="ListParagraph"/>
        <w:numPr>
          <w:ilvl w:val="0"/>
          <w:numId w:val="91"/>
        </w:numPr>
        <w:ind w:left="426"/>
      </w:pPr>
      <w:r>
        <w:t>to approve a service</w:t>
      </w:r>
      <w:r w:rsidR="005F7827">
        <w:t>,</w:t>
      </w:r>
    </w:p>
    <w:p w14:paraId="66E0FB69" w14:textId="4A060EB5" w:rsidR="004119A5" w:rsidRDefault="004119A5" w:rsidP="00EC53AB">
      <w:pPr>
        <w:pStyle w:val="ListParagraph"/>
        <w:numPr>
          <w:ilvl w:val="0"/>
          <w:numId w:val="91"/>
        </w:numPr>
        <w:ind w:left="426"/>
      </w:pPr>
      <w:r>
        <w:t>for other purposes.</w:t>
      </w:r>
    </w:p>
    <w:p w14:paraId="71DE1E91" w14:textId="65E895FC" w:rsidR="004119A5" w:rsidRDefault="004119A5" w:rsidP="004119A5">
      <w:r>
        <w:t xml:space="preserve">During each of these visits, the authorised officer may not have reason to go beyond the </w:t>
      </w:r>
      <w:r w:rsidR="00F4550D">
        <w:t xml:space="preserve">FDC </w:t>
      </w:r>
      <w:r>
        <w:t xml:space="preserve">service premises or will otherwise request permission to go beyond the service premises. If denied, authorised officers cannot go beyond the service premises, even if </w:t>
      </w:r>
      <w:r w:rsidR="002C59BD">
        <w:t xml:space="preserve">a serious </w:t>
      </w:r>
      <w:r>
        <w:t xml:space="preserve">incident has occurred or they reasonably suspect </w:t>
      </w:r>
      <w:r w:rsidR="00D837DE">
        <w:t>that a serious incident has occurred.</w:t>
      </w:r>
      <w:r w:rsidR="009E5DE3">
        <w:t xml:space="preserve"> </w:t>
      </w:r>
      <w:r w:rsidR="00D837DE">
        <w:t xml:space="preserve">Additionally, authorised officers would be unable to </w:t>
      </w:r>
      <w:r w:rsidR="00E0070C">
        <w:t xml:space="preserve">assess or monitor compliance with regulation </w:t>
      </w:r>
      <w:r w:rsidR="001057C2">
        <w:t xml:space="preserve">97 for emergency evacuation compliance, </w:t>
      </w:r>
      <w:r w:rsidR="00E0070C">
        <w:t xml:space="preserve">or regulation </w:t>
      </w:r>
      <w:r w:rsidR="001057C2">
        <w:t>116 for assessing risks at an FDC service premise</w:t>
      </w:r>
      <w:r w:rsidR="00E0070C">
        <w:t>.</w:t>
      </w:r>
    </w:p>
    <w:p w14:paraId="2B81DA9D" w14:textId="77777777" w:rsidR="004119A5" w:rsidRDefault="004119A5" w:rsidP="004119A5">
      <w:r>
        <w:t xml:space="preserve">The scale and magnitude of this problem is presently unknown, as </w:t>
      </w:r>
      <w:r w:rsidRPr="00545C57">
        <w:t>there is no systematically reported evidence o</w:t>
      </w:r>
      <w:r>
        <w:t>n:</w:t>
      </w:r>
    </w:p>
    <w:p w14:paraId="2FAC7A39" w14:textId="67B27079" w:rsidR="004119A5" w:rsidRPr="00545C57" w:rsidRDefault="004119A5" w:rsidP="00EC53AB">
      <w:pPr>
        <w:pStyle w:val="ListParagraph"/>
        <w:numPr>
          <w:ilvl w:val="0"/>
          <w:numId w:val="1"/>
        </w:numPr>
        <w:ind w:left="426"/>
      </w:pPr>
      <w:r w:rsidRPr="00545C57">
        <w:t>how often authorised officers obtain written consent from FDC educators to view, enter and inspect areas of the broader residence or property beyond the FDC service premises</w:t>
      </w:r>
      <w:r w:rsidR="005F7827">
        <w:t>,</w:t>
      </w:r>
    </w:p>
    <w:p w14:paraId="06D9B799" w14:textId="7BAE2522" w:rsidR="004119A5" w:rsidRDefault="004119A5" w:rsidP="00EC53AB">
      <w:pPr>
        <w:pStyle w:val="ListParagraph"/>
        <w:numPr>
          <w:ilvl w:val="0"/>
          <w:numId w:val="1"/>
        </w:numPr>
        <w:ind w:left="426"/>
      </w:pPr>
      <w:r>
        <w:t>how often FDC educators refuse to provide consent for authorised officers to inspect areas of the broader residence or property beyond the FDC service premises</w:t>
      </w:r>
      <w:r w:rsidR="005F7827">
        <w:t>,</w:t>
      </w:r>
    </w:p>
    <w:p w14:paraId="68D80743" w14:textId="715C6E0D" w:rsidR="004119A5" w:rsidRDefault="004119A5" w:rsidP="00EC53AB">
      <w:pPr>
        <w:pStyle w:val="ListParagraph"/>
        <w:numPr>
          <w:ilvl w:val="0"/>
          <w:numId w:val="1"/>
        </w:numPr>
        <w:ind w:left="426"/>
      </w:pPr>
      <w:r>
        <w:t>how often children being educated and cared for in a FDC service enter areas outside of the service premises, and the extent to which this leads to harm</w:t>
      </w:r>
      <w:r w:rsidR="00890A2A">
        <w:t xml:space="preserve"> (other than prescribed notifications of serious incidents where children leave FDC service premises)</w:t>
      </w:r>
      <w:r>
        <w:t>.</w:t>
      </w:r>
    </w:p>
    <w:p w14:paraId="04403AAE" w14:textId="7CB29B8D" w:rsidR="00083166" w:rsidRDefault="004119A5" w:rsidP="00B74AE6">
      <w:r>
        <w:t>There have been instances where FDC residences have had significant risks to the safety, health, and wellbeing of children beyond the service premises</w:t>
      </w:r>
      <w:r w:rsidR="00A736A1">
        <w:t>, but the current powers of entry have inhibited investigation</w:t>
      </w:r>
      <w:r>
        <w:t xml:space="preserve">. In more severe cases, law enforcement </w:t>
      </w:r>
      <w:r w:rsidR="00A736A1">
        <w:t xml:space="preserve">can </w:t>
      </w:r>
      <w:r>
        <w:t xml:space="preserve">become involved in investigating such </w:t>
      </w:r>
      <w:r w:rsidR="004639A2">
        <w:t>risks</w:t>
      </w:r>
      <w:r w:rsidR="00A736A1">
        <w:t>, and police have the power to enter with a warrant</w:t>
      </w:r>
      <w:r w:rsidR="004639A2">
        <w:t xml:space="preserve">. </w:t>
      </w:r>
      <w:r w:rsidR="00FC0F47">
        <w:t>However, most incidents classified as serious incidents under the National Law do not involve criminal activity and therefore do not warrant police involvement</w:t>
      </w:r>
      <w:r w:rsidR="00AF2C54">
        <w:t>.</w:t>
      </w:r>
      <w:r w:rsidR="004639A2">
        <w:t xml:space="preserve"> </w:t>
      </w:r>
    </w:p>
    <w:p w14:paraId="429B8F2C" w14:textId="01A40507" w:rsidR="004119A5" w:rsidRDefault="00EB4295" w:rsidP="004119A5">
      <w:pPr>
        <w:pStyle w:val="Heading3"/>
      </w:pPr>
      <w:r>
        <w:t>What were the policy options consulted on?</w:t>
      </w:r>
    </w:p>
    <w:p w14:paraId="64D07229" w14:textId="6B066928" w:rsidR="004119A5" w:rsidRDefault="004119A5" w:rsidP="004119A5">
      <w:r>
        <w:t xml:space="preserve">Three options, including the status quo, a non-regulatory option, and a regulatory option are under consideration. </w:t>
      </w:r>
      <w:r w:rsidRPr="002A611E">
        <w:t xml:space="preserve">Options 2 </w:t>
      </w:r>
      <w:r>
        <w:t xml:space="preserve">and 3 </w:t>
      </w:r>
      <w:r w:rsidRPr="002A611E">
        <w:t xml:space="preserve">are not mutually exclusive, and the </w:t>
      </w:r>
      <w:r w:rsidR="004C5562">
        <w:t xml:space="preserve">recommended </w:t>
      </w:r>
      <w:r w:rsidR="004C5562">
        <w:lastRenderedPageBreak/>
        <w:t>option</w:t>
      </w:r>
      <w:r w:rsidRPr="002A611E">
        <w:t xml:space="preserve"> for these recommendations can be any combination of the proposed regulatory and non-regulatory approaches.</w:t>
      </w:r>
    </w:p>
    <w:p w14:paraId="29ADB2D9" w14:textId="4A614DE1" w:rsidR="00F60671" w:rsidRPr="00F60671" w:rsidRDefault="00F60671" w:rsidP="00F60671">
      <w:r w:rsidRPr="00F60671">
        <w:t>These options are consistent with the CRIS options, however stakeholder feedback has resulted in explicitly outlining the circumstances in which option 3 would apply, outlined further under What is the recommended option(s) and how will it be implemented?</w:t>
      </w:r>
    </w:p>
    <w:p w14:paraId="0A1509AB" w14:textId="1E99241C" w:rsidR="004119A5" w:rsidRPr="00120281" w:rsidRDefault="004119A5" w:rsidP="004119A5">
      <w:pPr>
        <w:pStyle w:val="Caption"/>
      </w:pPr>
      <w:bookmarkStart w:id="195" w:name="_Toc202887753"/>
      <w:bookmarkStart w:id="196" w:name="_Toc205884986"/>
      <w:r>
        <w:t>Table 9.</w:t>
      </w:r>
      <w:r w:rsidR="00650B54">
        <w:t>10</w:t>
      </w:r>
      <w:r>
        <w:t xml:space="preserve">: Policy options under consideration – </w:t>
      </w:r>
      <w:r w:rsidRPr="00D1760E">
        <w:t>Enabling authorised officers to access areas of a FDC residence or property, beyond the service premises, in specific instances or for specific purposes</w:t>
      </w:r>
      <w:bookmarkEnd w:id="195"/>
      <w:bookmarkEnd w:id="19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10: Policy options under consideration – Enabling authorised officers to access areas of a FDC residence or property, beyond the service premises, in specific instances or for specific purposes"/>
        <w:tblDescription w:val="This table outlines the policy options under consideration for enabling authorised officers to access areas of a FDC residence or property, beyond the service premises, in specific instances or for specific purposes."/>
      </w:tblPr>
      <w:tblGrid>
        <w:gridCol w:w="1631"/>
        <w:gridCol w:w="7379"/>
      </w:tblGrid>
      <w:tr w:rsidR="004119A5" w:rsidRPr="0052205B" w14:paraId="65FCCFD0" w14:textId="77777777" w:rsidTr="0070597C">
        <w:trPr>
          <w:tblHeader/>
        </w:trPr>
        <w:tc>
          <w:tcPr>
            <w:tcW w:w="905" w:type="pct"/>
            <w:shd w:val="clear" w:color="auto" w:fill="14233C" w:themeFill="text2"/>
          </w:tcPr>
          <w:p w14:paraId="2BB86D4E" w14:textId="77777777" w:rsidR="004119A5" w:rsidRPr="00E43AE0" w:rsidRDefault="004119A5">
            <w:pPr>
              <w:jc w:val="center"/>
              <w:rPr>
                <w:b/>
                <w:color w:val="FFFFFF" w:themeColor="background1"/>
                <w:szCs w:val="20"/>
              </w:rPr>
            </w:pPr>
            <w:r w:rsidRPr="00E43AE0">
              <w:rPr>
                <w:b/>
                <w:color w:val="FFFFFF" w:themeColor="background1"/>
                <w:szCs w:val="20"/>
              </w:rPr>
              <w:t>Option</w:t>
            </w:r>
          </w:p>
        </w:tc>
        <w:tc>
          <w:tcPr>
            <w:tcW w:w="4095" w:type="pct"/>
            <w:shd w:val="clear" w:color="auto" w:fill="14233C" w:themeFill="text2"/>
          </w:tcPr>
          <w:p w14:paraId="5D461E14" w14:textId="77777777" w:rsidR="004119A5" w:rsidRPr="00E43AE0" w:rsidRDefault="004119A5">
            <w:pPr>
              <w:jc w:val="center"/>
              <w:rPr>
                <w:b/>
                <w:color w:val="FFFFFF" w:themeColor="background1"/>
                <w:szCs w:val="20"/>
              </w:rPr>
            </w:pPr>
            <w:r w:rsidRPr="00E43AE0">
              <w:rPr>
                <w:b/>
                <w:color w:val="FFFFFF" w:themeColor="background1"/>
                <w:szCs w:val="20"/>
              </w:rPr>
              <w:t>Description</w:t>
            </w:r>
          </w:p>
        </w:tc>
      </w:tr>
      <w:tr w:rsidR="004119A5" w:rsidRPr="0052205B" w14:paraId="7024EC57" w14:textId="77777777" w:rsidTr="0070597C">
        <w:tc>
          <w:tcPr>
            <w:tcW w:w="905" w:type="pct"/>
          </w:tcPr>
          <w:p w14:paraId="2EBD43A4" w14:textId="77777777" w:rsidR="004119A5" w:rsidRPr="00E43AE0" w:rsidRDefault="004119A5">
            <w:pPr>
              <w:rPr>
                <w:szCs w:val="20"/>
              </w:rPr>
            </w:pPr>
            <w:r w:rsidRPr="00E43AE0">
              <w:rPr>
                <w:szCs w:val="20"/>
              </w:rPr>
              <w:t>1</w:t>
            </w:r>
          </w:p>
        </w:tc>
        <w:tc>
          <w:tcPr>
            <w:tcW w:w="4095" w:type="pct"/>
          </w:tcPr>
          <w:p w14:paraId="2DD8C5B1" w14:textId="77777777" w:rsidR="004119A5" w:rsidRPr="00E43AE0" w:rsidRDefault="004119A5">
            <w:pPr>
              <w:rPr>
                <w:szCs w:val="20"/>
              </w:rPr>
            </w:pPr>
            <w:r w:rsidRPr="00E43AE0">
              <w:rPr>
                <w:szCs w:val="20"/>
              </w:rPr>
              <w:t>Status quo (no change).</w:t>
            </w:r>
          </w:p>
        </w:tc>
      </w:tr>
      <w:tr w:rsidR="004119A5" w:rsidRPr="0052205B" w14:paraId="5659A541" w14:textId="77777777" w:rsidTr="0070597C">
        <w:tc>
          <w:tcPr>
            <w:tcW w:w="905" w:type="pct"/>
          </w:tcPr>
          <w:p w14:paraId="538BCC07" w14:textId="77777777" w:rsidR="004119A5" w:rsidRPr="00E43AE0" w:rsidRDefault="004119A5">
            <w:pPr>
              <w:rPr>
                <w:szCs w:val="20"/>
              </w:rPr>
            </w:pPr>
            <w:r w:rsidRPr="00E43AE0">
              <w:rPr>
                <w:szCs w:val="20"/>
              </w:rPr>
              <w:t>2</w:t>
            </w:r>
          </w:p>
        </w:tc>
        <w:tc>
          <w:tcPr>
            <w:tcW w:w="4095" w:type="pct"/>
          </w:tcPr>
          <w:p w14:paraId="351EFD4A" w14:textId="77777777" w:rsidR="004119A5" w:rsidRPr="00E43AE0" w:rsidRDefault="004119A5">
            <w:pPr>
              <w:rPr>
                <w:b/>
                <w:szCs w:val="20"/>
              </w:rPr>
            </w:pPr>
            <w:r w:rsidRPr="00E43AE0">
              <w:rPr>
                <w:b/>
                <w:szCs w:val="20"/>
              </w:rPr>
              <w:t>Non-regulatory</w:t>
            </w:r>
          </w:p>
          <w:p w14:paraId="00E7C412" w14:textId="778DD544" w:rsidR="004119A5" w:rsidRPr="00E43AE0" w:rsidRDefault="004119A5">
            <w:pPr>
              <w:rPr>
                <w:szCs w:val="20"/>
              </w:rPr>
            </w:pPr>
            <w:r w:rsidRPr="00E43AE0">
              <w:rPr>
                <w:szCs w:val="20"/>
              </w:rPr>
              <w:t>Short guidance or information sheet aimed at authorised officers, FDC approved providers and FDC educators to explain powers of entry in relation to FDC and nationally agreed practices for authorised officers’ access to areas of an FDC residence or property that are not part of the service premises.</w:t>
            </w:r>
          </w:p>
        </w:tc>
      </w:tr>
      <w:tr w:rsidR="004119A5" w:rsidRPr="0052205B" w14:paraId="7C1E5AE2" w14:textId="77777777" w:rsidTr="0070597C">
        <w:tc>
          <w:tcPr>
            <w:tcW w:w="905" w:type="pct"/>
          </w:tcPr>
          <w:p w14:paraId="482589BA" w14:textId="77777777" w:rsidR="004119A5" w:rsidRPr="00E43AE0" w:rsidRDefault="004119A5">
            <w:pPr>
              <w:rPr>
                <w:szCs w:val="20"/>
              </w:rPr>
            </w:pPr>
            <w:r w:rsidRPr="00E43AE0">
              <w:rPr>
                <w:szCs w:val="20"/>
              </w:rPr>
              <w:t>3</w:t>
            </w:r>
          </w:p>
        </w:tc>
        <w:tc>
          <w:tcPr>
            <w:tcW w:w="4095" w:type="pct"/>
          </w:tcPr>
          <w:p w14:paraId="63218513" w14:textId="77777777" w:rsidR="004119A5" w:rsidRPr="00E43AE0" w:rsidRDefault="004119A5">
            <w:pPr>
              <w:rPr>
                <w:b/>
                <w:szCs w:val="20"/>
              </w:rPr>
            </w:pPr>
            <w:r w:rsidRPr="00E43AE0">
              <w:rPr>
                <w:b/>
                <w:szCs w:val="20"/>
              </w:rPr>
              <w:t xml:space="preserve">Regulatory </w:t>
            </w:r>
          </w:p>
          <w:p w14:paraId="19462296" w14:textId="3B81C4E8" w:rsidR="004119A5" w:rsidRPr="00F60671" w:rsidRDefault="004119A5" w:rsidP="00F60671">
            <w:pPr>
              <w:rPr>
                <w:szCs w:val="20"/>
              </w:rPr>
            </w:pPr>
            <w:r w:rsidRPr="00F60671">
              <w:rPr>
                <w:szCs w:val="20"/>
              </w:rPr>
              <w:t xml:space="preserve">Amend the National Law to enable authorised officers’ access to areas of a FDC residence or property, beyond the service premises, in specific instances or for specific purposes. These instances or purposes may include: </w:t>
            </w:r>
          </w:p>
          <w:p w14:paraId="39FF9CC1" w14:textId="4F8F7B94" w:rsidR="00F60671" w:rsidRDefault="00F60671">
            <w:pPr>
              <w:pStyle w:val="ListParagraph"/>
              <w:rPr>
                <w:szCs w:val="20"/>
              </w:rPr>
            </w:pPr>
            <w:r w:rsidRPr="00F60671">
              <w:rPr>
                <w:szCs w:val="20"/>
              </w:rPr>
              <w:t>a serious incident has occurred, or the authorised officer reasonably suspects that a serious incident has occurred;</w:t>
            </w:r>
          </w:p>
          <w:p w14:paraId="32A99DB3" w14:textId="2A19C74D" w:rsidR="004119A5" w:rsidRPr="00E43AE0" w:rsidRDefault="004119A5">
            <w:pPr>
              <w:pStyle w:val="ListParagraph"/>
              <w:rPr>
                <w:szCs w:val="20"/>
              </w:rPr>
            </w:pPr>
            <w:r w:rsidRPr="00E43AE0">
              <w:rPr>
                <w:szCs w:val="20"/>
              </w:rPr>
              <w:t>to assess or monitor compliance with regulation 116;</w:t>
            </w:r>
          </w:p>
          <w:p w14:paraId="3013A143" w14:textId="77777777" w:rsidR="004119A5" w:rsidRPr="00E43AE0" w:rsidRDefault="004119A5">
            <w:pPr>
              <w:pStyle w:val="ListParagraph"/>
              <w:rPr>
                <w:szCs w:val="20"/>
              </w:rPr>
            </w:pPr>
            <w:r w:rsidRPr="00E43AE0">
              <w:rPr>
                <w:szCs w:val="20"/>
              </w:rPr>
              <w:t>to assess or monitor compliance with regulation 97.</w:t>
            </w:r>
          </w:p>
        </w:tc>
      </w:tr>
    </w:tbl>
    <w:p w14:paraId="33917E3F" w14:textId="77777777" w:rsidR="004119A5" w:rsidRDefault="004119A5" w:rsidP="004119A5"/>
    <w:p w14:paraId="1DB17FF3" w14:textId="77777777" w:rsidR="004119A5" w:rsidRDefault="004119A5" w:rsidP="004119A5">
      <w:pPr>
        <w:pStyle w:val="Heading3"/>
      </w:pPr>
      <w:r>
        <w:t>What are the impacts of each option?</w:t>
      </w:r>
    </w:p>
    <w:p w14:paraId="1FFAAF31" w14:textId="77777777" w:rsidR="00E07E52" w:rsidRPr="00083B20" w:rsidRDefault="00E07E52" w:rsidP="00E07E52">
      <w:r>
        <w:t>The sections below provide an MCA assessing the potential impacts of the proposed options on child safety outcomes, costs to stakeholders, implementation considerations, and distributional impacts. A detailed overview of the MCA framework underpinning this analy</w:t>
      </w:r>
      <w:r w:rsidRPr="001D3080">
        <w:t xml:space="preserve">sis is available in </w:t>
      </w:r>
      <w:r>
        <w:t>Chapter 4.</w:t>
      </w:r>
    </w:p>
    <w:p w14:paraId="6F1FB9C6" w14:textId="77777777" w:rsidR="00E07E52" w:rsidRDefault="00E07E52" w:rsidP="00E07E52">
      <w:pPr>
        <w:pStyle w:val="Heading4"/>
      </w:pPr>
      <w:r>
        <w:lastRenderedPageBreak/>
        <w:t xml:space="preserve">Multi-criteria analysis </w:t>
      </w:r>
    </w:p>
    <w:p w14:paraId="2F26CC01" w14:textId="2BF3F784" w:rsidR="00E07E52" w:rsidRDefault="00E07E52" w:rsidP="00E07E52">
      <w:r w:rsidRPr="00C20858">
        <w:t xml:space="preserve">In assigning </w:t>
      </w:r>
      <w:r>
        <w:t xml:space="preserve">MCA </w:t>
      </w:r>
      <w:r w:rsidRPr="00C20858">
        <w:t xml:space="preserve">scores to reflect the relative benefits and costs of each option, the score for improvement in child safety has been scaled with a zero for </w:t>
      </w:r>
      <w:r>
        <w:t>option 1</w:t>
      </w:r>
      <w:r w:rsidRPr="00C20858">
        <w:t xml:space="preserve"> representing no change, and </w:t>
      </w:r>
      <w:r>
        <w:t xml:space="preserve">score of four </w:t>
      </w:r>
      <w:r w:rsidRPr="00C20858">
        <w:t xml:space="preserve">for </w:t>
      </w:r>
      <w:r>
        <w:t>option 3,</w:t>
      </w:r>
      <w:r w:rsidRPr="00C20858">
        <w:t xml:space="preserve"> </w:t>
      </w:r>
      <w:r>
        <w:t>representing</w:t>
      </w:r>
      <w:r w:rsidRPr="00C20858">
        <w:t xml:space="preserve"> the biggest impact on child safety. Other options have been scored between these values based on the assessment of qualitative input from stakeholders. Scores for other categories relating to costs, risks, and distributional considerations have been scaled in relation to these benefits.</w:t>
      </w:r>
    </w:p>
    <w:p w14:paraId="0EA12E65" w14:textId="3CCCD953" w:rsidR="004119A5" w:rsidRDefault="004119A5" w:rsidP="004119A5">
      <w:pPr>
        <w:pStyle w:val="Caption"/>
      </w:pPr>
      <w:bookmarkStart w:id="197" w:name="_Toc202887754"/>
      <w:bookmarkStart w:id="198" w:name="_Toc205884987"/>
      <w:r>
        <w:t>Table 9.</w:t>
      </w:r>
      <w:r w:rsidR="00650B54">
        <w:t>11</w:t>
      </w:r>
      <w:r>
        <w:t xml:space="preserve">: MCA outcomes – </w:t>
      </w:r>
      <w:r w:rsidRPr="00D1760E">
        <w:t>Enabling authorised officers to access areas of a FDC residence or property, beyond the service premises, in specific instances or for specific purposes</w:t>
      </w:r>
      <w:bookmarkEnd w:id="197"/>
      <w:bookmarkEnd w:id="19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11: MCA outcomes – Enabling authorised officers to access areas of a FDC residence or property, beyond the service premises, in specific instances or for specific purposes"/>
        <w:tblDescription w:val="This table outlines the MCA outcomes for enabling authorised officers to access areas of a FDC residence or property, beyond the service premises, in specific instances or for specific purposes."/>
      </w:tblPr>
      <w:tblGrid>
        <w:gridCol w:w="2831"/>
        <w:gridCol w:w="1003"/>
        <w:gridCol w:w="1489"/>
        <w:gridCol w:w="1490"/>
        <w:gridCol w:w="2197"/>
      </w:tblGrid>
      <w:tr w:rsidR="004119A5" w14:paraId="5E69FBAA" w14:textId="77777777" w:rsidTr="0070597C">
        <w:trPr>
          <w:tblHeader/>
        </w:trPr>
        <w:tc>
          <w:tcPr>
            <w:tcW w:w="2831" w:type="dxa"/>
            <w:shd w:val="clear" w:color="auto" w:fill="14233C" w:themeFill="text2"/>
          </w:tcPr>
          <w:p w14:paraId="587D8379" w14:textId="77777777" w:rsidR="004119A5" w:rsidRPr="00E43AE0" w:rsidRDefault="004119A5">
            <w:pPr>
              <w:rPr>
                <w:b/>
                <w:color w:val="FFFFFF" w:themeColor="background1"/>
                <w:szCs w:val="20"/>
              </w:rPr>
            </w:pPr>
            <w:r w:rsidRPr="00E43AE0">
              <w:rPr>
                <w:b/>
                <w:color w:val="FFFFFF" w:themeColor="background1"/>
                <w:szCs w:val="20"/>
              </w:rPr>
              <w:t>Criteria</w:t>
            </w:r>
          </w:p>
        </w:tc>
        <w:tc>
          <w:tcPr>
            <w:tcW w:w="1003" w:type="dxa"/>
            <w:shd w:val="clear" w:color="auto" w:fill="14233C" w:themeFill="text2"/>
          </w:tcPr>
          <w:p w14:paraId="6229AE4B" w14:textId="77777777" w:rsidR="004119A5" w:rsidRPr="00E43AE0" w:rsidRDefault="004119A5">
            <w:pPr>
              <w:jc w:val="center"/>
              <w:rPr>
                <w:b/>
                <w:color w:val="FFFFFF" w:themeColor="background1"/>
                <w:szCs w:val="20"/>
              </w:rPr>
            </w:pPr>
            <w:r w:rsidRPr="00E43AE0">
              <w:rPr>
                <w:b/>
                <w:color w:val="FFFFFF" w:themeColor="background1"/>
                <w:szCs w:val="20"/>
              </w:rPr>
              <w:t>Weight</w:t>
            </w:r>
          </w:p>
        </w:tc>
        <w:tc>
          <w:tcPr>
            <w:tcW w:w="1489" w:type="dxa"/>
            <w:shd w:val="clear" w:color="auto" w:fill="14233C" w:themeFill="text2"/>
          </w:tcPr>
          <w:p w14:paraId="74105E51" w14:textId="77777777" w:rsidR="004119A5" w:rsidRPr="00E43AE0" w:rsidRDefault="004119A5">
            <w:pPr>
              <w:jc w:val="center"/>
              <w:rPr>
                <w:b/>
                <w:color w:val="FFFFFF" w:themeColor="background1"/>
                <w:szCs w:val="20"/>
              </w:rPr>
            </w:pPr>
            <w:r w:rsidRPr="00E43AE0">
              <w:rPr>
                <w:b/>
                <w:color w:val="FFFFFF" w:themeColor="background1"/>
                <w:szCs w:val="20"/>
              </w:rPr>
              <w:t>Option 1</w:t>
            </w:r>
          </w:p>
        </w:tc>
        <w:tc>
          <w:tcPr>
            <w:tcW w:w="1490" w:type="dxa"/>
            <w:shd w:val="clear" w:color="auto" w:fill="14233C" w:themeFill="text2"/>
          </w:tcPr>
          <w:p w14:paraId="32FF38EC" w14:textId="77777777" w:rsidR="004119A5" w:rsidRPr="00E43AE0" w:rsidRDefault="004119A5">
            <w:pPr>
              <w:jc w:val="center"/>
              <w:rPr>
                <w:b/>
                <w:color w:val="FFFFFF" w:themeColor="background1"/>
                <w:szCs w:val="20"/>
              </w:rPr>
            </w:pPr>
            <w:r w:rsidRPr="00E43AE0">
              <w:rPr>
                <w:b/>
                <w:color w:val="FFFFFF" w:themeColor="background1"/>
                <w:szCs w:val="20"/>
              </w:rPr>
              <w:t>Option 2</w:t>
            </w:r>
          </w:p>
        </w:tc>
        <w:tc>
          <w:tcPr>
            <w:tcW w:w="2197" w:type="dxa"/>
            <w:shd w:val="clear" w:color="auto" w:fill="14233C" w:themeFill="text2"/>
          </w:tcPr>
          <w:p w14:paraId="04377401" w14:textId="77777777" w:rsidR="004119A5" w:rsidRPr="00E43AE0" w:rsidRDefault="004119A5">
            <w:pPr>
              <w:jc w:val="center"/>
              <w:rPr>
                <w:b/>
                <w:color w:val="FFFFFF" w:themeColor="background1"/>
                <w:szCs w:val="20"/>
              </w:rPr>
            </w:pPr>
            <w:r w:rsidRPr="00E43AE0">
              <w:rPr>
                <w:b/>
                <w:color w:val="FFFFFF" w:themeColor="background1"/>
                <w:szCs w:val="20"/>
              </w:rPr>
              <w:t>Option 3</w:t>
            </w:r>
          </w:p>
        </w:tc>
      </w:tr>
      <w:tr w:rsidR="004119A5" w14:paraId="45C4BDC3" w14:textId="77777777" w:rsidTr="0070597C">
        <w:tc>
          <w:tcPr>
            <w:tcW w:w="2831" w:type="dxa"/>
          </w:tcPr>
          <w:p w14:paraId="22E89688" w14:textId="77777777" w:rsidR="004119A5" w:rsidRPr="00E43AE0" w:rsidRDefault="004119A5">
            <w:pPr>
              <w:rPr>
                <w:szCs w:val="20"/>
              </w:rPr>
            </w:pPr>
            <w:r w:rsidRPr="00E43AE0">
              <w:rPr>
                <w:szCs w:val="20"/>
              </w:rPr>
              <w:t>Improvement in child safety</w:t>
            </w:r>
          </w:p>
        </w:tc>
        <w:tc>
          <w:tcPr>
            <w:tcW w:w="1003" w:type="dxa"/>
          </w:tcPr>
          <w:p w14:paraId="4FE396DA" w14:textId="3892EF24" w:rsidR="004119A5" w:rsidRPr="00E43AE0" w:rsidRDefault="004119A5">
            <w:pPr>
              <w:jc w:val="center"/>
              <w:rPr>
                <w:szCs w:val="20"/>
              </w:rPr>
            </w:pPr>
            <w:r w:rsidRPr="00E43AE0">
              <w:rPr>
                <w:szCs w:val="20"/>
              </w:rPr>
              <w:t>50%</w:t>
            </w:r>
          </w:p>
        </w:tc>
        <w:tc>
          <w:tcPr>
            <w:tcW w:w="1489" w:type="dxa"/>
          </w:tcPr>
          <w:p w14:paraId="691F12EB" w14:textId="77777777" w:rsidR="004119A5" w:rsidRPr="00E43AE0" w:rsidRDefault="004119A5">
            <w:pPr>
              <w:jc w:val="center"/>
              <w:rPr>
                <w:szCs w:val="20"/>
              </w:rPr>
            </w:pPr>
            <w:r w:rsidRPr="00E43AE0">
              <w:rPr>
                <w:szCs w:val="20"/>
              </w:rPr>
              <w:t>0</w:t>
            </w:r>
          </w:p>
        </w:tc>
        <w:tc>
          <w:tcPr>
            <w:tcW w:w="1490" w:type="dxa"/>
          </w:tcPr>
          <w:p w14:paraId="6825A686" w14:textId="62326A52" w:rsidR="004119A5" w:rsidRPr="00196874" w:rsidRDefault="004119A5">
            <w:pPr>
              <w:jc w:val="center"/>
              <w:rPr>
                <w:szCs w:val="20"/>
              </w:rPr>
            </w:pPr>
            <w:r w:rsidRPr="00196874">
              <w:rPr>
                <w:szCs w:val="20"/>
              </w:rPr>
              <w:t>2</w:t>
            </w:r>
          </w:p>
        </w:tc>
        <w:tc>
          <w:tcPr>
            <w:tcW w:w="2197" w:type="dxa"/>
          </w:tcPr>
          <w:p w14:paraId="077244C4" w14:textId="206C7746" w:rsidR="004119A5" w:rsidRPr="00196874" w:rsidRDefault="004119A5">
            <w:pPr>
              <w:jc w:val="center"/>
              <w:rPr>
                <w:szCs w:val="20"/>
              </w:rPr>
            </w:pPr>
            <w:r w:rsidRPr="00196874">
              <w:rPr>
                <w:szCs w:val="20"/>
              </w:rPr>
              <w:t>4</w:t>
            </w:r>
          </w:p>
        </w:tc>
      </w:tr>
      <w:tr w:rsidR="004119A5" w14:paraId="07387CDC" w14:textId="77777777" w:rsidTr="0070597C">
        <w:tc>
          <w:tcPr>
            <w:tcW w:w="2831" w:type="dxa"/>
          </w:tcPr>
          <w:p w14:paraId="27B0C246" w14:textId="77777777" w:rsidR="004119A5" w:rsidRPr="00E43AE0" w:rsidRDefault="004119A5">
            <w:pPr>
              <w:rPr>
                <w:szCs w:val="20"/>
              </w:rPr>
            </w:pPr>
            <w:r w:rsidRPr="00E43AE0">
              <w:rPr>
                <w:szCs w:val="20"/>
              </w:rPr>
              <w:t>Net cost of policy option</w:t>
            </w:r>
          </w:p>
        </w:tc>
        <w:tc>
          <w:tcPr>
            <w:tcW w:w="1003" w:type="dxa"/>
          </w:tcPr>
          <w:p w14:paraId="4319C881" w14:textId="77ED1A9B" w:rsidR="004119A5" w:rsidRPr="00E43AE0" w:rsidRDefault="004119A5">
            <w:pPr>
              <w:jc w:val="center"/>
              <w:rPr>
                <w:szCs w:val="20"/>
              </w:rPr>
            </w:pPr>
            <w:r w:rsidRPr="00E43AE0">
              <w:rPr>
                <w:szCs w:val="20"/>
              </w:rPr>
              <w:t>30%</w:t>
            </w:r>
          </w:p>
        </w:tc>
        <w:tc>
          <w:tcPr>
            <w:tcW w:w="1489" w:type="dxa"/>
          </w:tcPr>
          <w:p w14:paraId="4F2DC4DE" w14:textId="77777777" w:rsidR="004119A5" w:rsidRPr="00E43AE0" w:rsidRDefault="004119A5">
            <w:pPr>
              <w:jc w:val="center"/>
              <w:rPr>
                <w:szCs w:val="20"/>
              </w:rPr>
            </w:pPr>
            <w:r w:rsidRPr="00E43AE0">
              <w:rPr>
                <w:szCs w:val="20"/>
              </w:rPr>
              <w:t>0</w:t>
            </w:r>
          </w:p>
        </w:tc>
        <w:tc>
          <w:tcPr>
            <w:tcW w:w="1490" w:type="dxa"/>
          </w:tcPr>
          <w:p w14:paraId="29E667D8" w14:textId="675EC4CA" w:rsidR="004119A5" w:rsidRPr="00196874" w:rsidRDefault="004119A5">
            <w:pPr>
              <w:jc w:val="center"/>
              <w:rPr>
                <w:szCs w:val="20"/>
              </w:rPr>
            </w:pPr>
            <w:r w:rsidRPr="00196874">
              <w:rPr>
                <w:szCs w:val="20"/>
              </w:rPr>
              <w:t>-1</w:t>
            </w:r>
          </w:p>
        </w:tc>
        <w:tc>
          <w:tcPr>
            <w:tcW w:w="2197" w:type="dxa"/>
          </w:tcPr>
          <w:p w14:paraId="072A923A" w14:textId="77B2C1EF" w:rsidR="004119A5" w:rsidRPr="00196874" w:rsidRDefault="004119A5">
            <w:pPr>
              <w:jc w:val="center"/>
              <w:rPr>
                <w:szCs w:val="20"/>
              </w:rPr>
            </w:pPr>
            <w:r w:rsidRPr="00196874">
              <w:rPr>
                <w:szCs w:val="20"/>
              </w:rPr>
              <w:t>-2</w:t>
            </w:r>
          </w:p>
        </w:tc>
      </w:tr>
      <w:tr w:rsidR="004119A5" w14:paraId="0D5EF16C" w14:textId="77777777" w:rsidTr="0070597C">
        <w:tc>
          <w:tcPr>
            <w:tcW w:w="2831" w:type="dxa"/>
          </w:tcPr>
          <w:p w14:paraId="1D1AC9D5" w14:textId="6AD9A113" w:rsidR="004119A5" w:rsidRPr="00E43AE0" w:rsidRDefault="004119A5">
            <w:pPr>
              <w:rPr>
                <w:szCs w:val="20"/>
              </w:rPr>
            </w:pPr>
            <w:r>
              <w:rPr>
                <w:szCs w:val="20"/>
              </w:rPr>
              <w:t>Implementation considerations</w:t>
            </w:r>
          </w:p>
        </w:tc>
        <w:tc>
          <w:tcPr>
            <w:tcW w:w="1003" w:type="dxa"/>
          </w:tcPr>
          <w:p w14:paraId="27BDB5EA" w14:textId="5E22A70A" w:rsidR="004119A5" w:rsidRPr="00E43AE0" w:rsidRDefault="004119A5">
            <w:pPr>
              <w:jc w:val="center"/>
              <w:rPr>
                <w:szCs w:val="20"/>
              </w:rPr>
            </w:pPr>
            <w:r w:rsidRPr="00E43AE0">
              <w:rPr>
                <w:szCs w:val="20"/>
              </w:rPr>
              <w:t>10%</w:t>
            </w:r>
          </w:p>
        </w:tc>
        <w:tc>
          <w:tcPr>
            <w:tcW w:w="1489" w:type="dxa"/>
          </w:tcPr>
          <w:p w14:paraId="33F89B10" w14:textId="77777777" w:rsidR="004119A5" w:rsidRPr="00E43AE0" w:rsidRDefault="004119A5">
            <w:pPr>
              <w:jc w:val="center"/>
              <w:rPr>
                <w:szCs w:val="20"/>
              </w:rPr>
            </w:pPr>
            <w:r w:rsidRPr="00E43AE0">
              <w:rPr>
                <w:szCs w:val="20"/>
              </w:rPr>
              <w:t>0</w:t>
            </w:r>
          </w:p>
        </w:tc>
        <w:tc>
          <w:tcPr>
            <w:tcW w:w="1490" w:type="dxa"/>
          </w:tcPr>
          <w:p w14:paraId="63619279" w14:textId="76FB7786" w:rsidR="004119A5" w:rsidRPr="00196874" w:rsidRDefault="004119A5">
            <w:pPr>
              <w:jc w:val="center"/>
              <w:rPr>
                <w:szCs w:val="20"/>
              </w:rPr>
            </w:pPr>
            <w:r w:rsidRPr="00196874">
              <w:rPr>
                <w:szCs w:val="20"/>
              </w:rPr>
              <w:t>-1</w:t>
            </w:r>
          </w:p>
        </w:tc>
        <w:tc>
          <w:tcPr>
            <w:tcW w:w="2197" w:type="dxa"/>
          </w:tcPr>
          <w:p w14:paraId="313D07BF" w14:textId="767A7B5B" w:rsidR="004119A5" w:rsidRPr="00196874" w:rsidRDefault="004119A5">
            <w:pPr>
              <w:jc w:val="center"/>
              <w:rPr>
                <w:szCs w:val="20"/>
              </w:rPr>
            </w:pPr>
            <w:r w:rsidRPr="00196874">
              <w:rPr>
                <w:szCs w:val="20"/>
              </w:rPr>
              <w:t>-5</w:t>
            </w:r>
          </w:p>
        </w:tc>
      </w:tr>
      <w:tr w:rsidR="004119A5" w14:paraId="6A532B23" w14:textId="77777777" w:rsidTr="0070597C">
        <w:tc>
          <w:tcPr>
            <w:tcW w:w="2831" w:type="dxa"/>
          </w:tcPr>
          <w:p w14:paraId="0E607735" w14:textId="77777777" w:rsidR="004119A5" w:rsidRPr="00E43AE0" w:rsidRDefault="004119A5">
            <w:pPr>
              <w:rPr>
                <w:szCs w:val="20"/>
              </w:rPr>
            </w:pPr>
            <w:r w:rsidRPr="00E43AE0">
              <w:rPr>
                <w:szCs w:val="20"/>
              </w:rPr>
              <w:t>Distributional impact</w:t>
            </w:r>
          </w:p>
        </w:tc>
        <w:tc>
          <w:tcPr>
            <w:tcW w:w="1003" w:type="dxa"/>
          </w:tcPr>
          <w:p w14:paraId="25C9DDDC" w14:textId="726F18D9" w:rsidR="004119A5" w:rsidRPr="00E43AE0" w:rsidRDefault="004119A5">
            <w:pPr>
              <w:jc w:val="center"/>
              <w:rPr>
                <w:szCs w:val="20"/>
              </w:rPr>
            </w:pPr>
            <w:r w:rsidRPr="00E43AE0">
              <w:rPr>
                <w:szCs w:val="20"/>
              </w:rPr>
              <w:t>10%</w:t>
            </w:r>
          </w:p>
        </w:tc>
        <w:tc>
          <w:tcPr>
            <w:tcW w:w="1489" w:type="dxa"/>
          </w:tcPr>
          <w:p w14:paraId="4C50FDD7" w14:textId="77777777" w:rsidR="004119A5" w:rsidRPr="00E43AE0" w:rsidRDefault="004119A5">
            <w:pPr>
              <w:jc w:val="center"/>
              <w:rPr>
                <w:szCs w:val="20"/>
              </w:rPr>
            </w:pPr>
            <w:r w:rsidRPr="00E43AE0">
              <w:rPr>
                <w:szCs w:val="20"/>
              </w:rPr>
              <w:t>0</w:t>
            </w:r>
          </w:p>
        </w:tc>
        <w:tc>
          <w:tcPr>
            <w:tcW w:w="1490" w:type="dxa"/>
          </w:tcPr>
          <w:p w14:paraId="5A26EE6E" w14:textId="17B2E465" w:rsidR="004119A5" w:rsidRPr="00196874" w:rsidRDefault="004119A5">
            <w:pPr>
              <w:jc w:val="center"/>
              <w:rPr>
                <w:szCs w:val="20"/>
              </w:rPr>
            </w:pPr>
            <w:r w:rsidRPr="00196874">
              <w:rPr>
                <w:szCs w:val="20"/>
              </w:rPr>
              <w:t>0</w:t>
            </w:r>
          </w:p>
        </w:tc>
        <w:tc>
          <w:tcPr>
            <w:tcW w:w="2197" w:type="dxa"/>
          </w:tcPr>
          <w:p w14:paraId="2295DD2F" w14:textId="0B9AB5F7" w:rsidR="004119A5" w:rsidRPr="00196874" w:rsidRDefault="004119A5">
            <w:pPr>
              <w:jc w:val="center"/>
              <w:rPr>
                <w:szCs w:val="20"/>
              </w:rPr>
            </w:pPr>
            <w:r w:rsidRPr="00196874">
              <w:rPr>
                <w:szCs w:val="20"/>
              </w:rPr>
              <w:t>-2</w:t>
            </w:r>
          </w:p>
        </w:tc>
      </w:tr>
      <w:tr w:rsidR="004119A5" w14:paraId="2BD2DE62" w14:textId="77777777" w:rsidTr="0070597C">
        <w:tc>
          <w:tcPr>
            <w:tcW w:w="2831" w:type="dxa"/>
          </w:tcPr>
          <w:p w14:paraId="13AAE078" w14:textId="7A9C447C" w:rsidR="004119A5" w:rsidRPr="00E43AE0" w:rsidRDefault="004119A5">
            <w:pPr>
              <w:rPr>
                <w:b/>
                <w:szCs w:val="20"/>
              </w:rPr>
            </w:pPr>
            <w:r w:rsidRPr="00E43AE0">
              <w:rPr>
                <w:b/>
                <w:szCs w:val="20"/>
              </w:rPr>
              <w:t>Weighted score</w:t>
            </w:r>
          </w:p>
        </w:tc>
        <w:tc>
          <w:tcPr>
            <w:tcW w:w="1003" w:type="dxa"/>
          </w:tcPr>
          <w:p w14:paraId="1D720DA6" w14:textId="77777777" w:rsidR="004119A5" w:rsidRPr="00E43AE0" w:rsidRDefault="004119A5">
            <w:pPr>
              <w:jc w:val="center"/>
              <w:rPr>
                <w:szCs w:val="20"/>
              </w:rPr>
            </w:pPr>
          </w:p>
        </w:tc>
        <w:tc>
          <w:tcPr>
            <w:tcW w:w="1489" w:type="dxa"/>
          </w:tcPr>
          <w:p w14:paraId="3B8259AB" w14:textId="77777777" w:rsidR="004119A5" w:rsidRPr="00E43AE0" w:rsidRDefault="004119A5">
            <w:pPr>
              <w:jc w:val="center"/>
              <w:rPr>
                <w:b/>
                <w:szCs w:val="20"/>
              </w:rPr>
            </w:pPr>
            <w:r w:rsidRPr="00E43AE0">
              <w:rPr>
                <w:b/>
                <w:szCs w:val="20"/>
              </w:rPr>
              <w:t>0</w:t>
            </w:r>
          </w:p>
        </w:tc>
        <w:tc>
          <w:tcPr>
            <w:tcW w:w="1490" w:type="dxa"/>
          </w:tcPr>
          <w:p w14:paraId="12B6D016" w14:textId="0F79FAF0" w:rsidR="004119A5" w:rsidRPr="00196874" w:rsidRDefault="00280F33">
            <w:pPr>
              <w:jc w:val="center"/>
              <w:rPr>
                <w:b/>
                <w:szCs w:val="20"/>
              </w:rPr>
            </w:pPr>
            <w:r>
              <w:rPr>
                <w:b/>
                <w:szCs w:val="20"/>
              </w:rPr>
              <w:t>0.6</w:t>
            </w:r>
          </w:p>
        </w:tc>
        <w:tc>
          <w:tcPr>
            <w:tcW w:w="2197" w:type="dxa"/>
          </w:tcPr>
          <w:p w14:paraId="0A59A31A" w14:textId="559C8727" w:rsidR="004119A5" w:rsidRPr="00196874" w:rsidRDefault="00280F33">
            <w:pPr>
              <w:jc w:val="center"/>
              <w:rPr>
                <w:b/>
                <w:szCs w:val="20"/>
              </w:rPr>
            </w:pPr>
            <w:r>
              <w:rPr>
                <w:b/>
                <w:szCs w:val="20"/>
              </w:rPr>
              <w:t>0.7</w:t>
            </w:r>
          </w:p>
        </w:tc>
      </w:tr>
    </w:tbl>
    <w:p w14:paraId="7D3B05EB" w14:textId="77777777" w:rsidR="004119A5" w:rsidRDefault="004119A5" w:rsidP="004119A5">
      <w:pPr>
        <w:pStyle w:val="Source"/>
      </w:pPr>
      <w:r>
        <w:t xml:space="preserve">Note: </w:t>
      </w:r>
      <w:r w:rsidRPr="009C4607">
        <w:t>Option 1 - the status quo - receives a score of zero across all criteria, as explained in Chapter 4.</w:t>
      </w:r>
    </w:p>
    <w:p w14:paraId="5272C98B" w14:textId="5C89B88E" w:rsidR="004119A5" w:rsidRDefault="004119A5" w:rsidP="004119A5">
      <w:r w:rsidRPr="001C3B7A">
        <w:t xml:space="preserve">These weighted scores show that </w:t>
      </w:r>
      <w:r>
        <w:t xml:space="preserve">all proposed changes </w:t>
      </w:r>
      <w:r w:rsidRPr="001C3B7A">
        <w:t xml:space="preserve">are expected to have a net positive impact on improvement in child safety even after accounting for costs and implementation risks. </w:t>
      </w:r>
      <w:r>
        <w:t xml:space="preserve">While option </w:t>
      </w:r>
      <w:r w:rsidR="000524FC">
        <w:t>2</w:t>
      </w:r>
      <w:r>
        <w:t xml:space="preserve"> received a lower weighted score than option </w:t>
      </w:r>
      <w:r w:rsidR="000524FC">
        <w:t>3</w:t>
      </w:r>
      <w:r>
        <w:t xml:space="preserve">, it still achieves </w:t>
      </w:r>
      <w:r w:rsidRPr="001C3B7A">
        <w:t xml:space="preserve">a net positive score, </w:t>
      </w:r>
      <w:r w:rsidR="00B2501D">
        <w:t xml:space="preserve">and </w:t>
      </w:r>
      <w:r w:rsidR="000524FC">
        <w:t xml:space="preserve">is </w:t>
      </w:r>
      <w:r w:rsidRPr="001C3B7A">
        <w:t>consistent with the preferences and objectives of the Education Ministers.</w:t>
      </w:r>
      <w:r>
        <w:t xml:space="preserve"> </w:t>
      </w:r>
      <w:r w:rsidR="00B00E7E">
        <w:t xml:space="preserve">The main reason for the higher overall score for option 3 is the higher weight placed on child safety than other criteria. </w:t>
      </w:r>
    </w:p>
    <w:p w14:paraId="4E6A94A7" w14:textId="4CC579A7" w:rsidR="004119A5" w:rsidRPr="00273D6E" w:rsidRDefault="004119A5" w:rsidP="004119A5">
      <w:r>
        <w:t>The rationale for each MCA score is outlined in the sections below.</w:t>
      </w:r>
    </w:p>
    <w:p w14:paraId="4BDA6096" w14:textId="77777777" w:rsidR="004119A5" w:rsidRDefault="004119A5" w:rsidP="004119A5">
      <w:pPr>
        <w:pStyle w:val="Heading4"/>
      </w:pPr>
      <w:r>
        <w:t xml:space="preserve">Impact on child safety </w:t>
      </w:r>
    </w:p>
    <w:p w14:paraId="0C6650FC" w14:textId="725D77E5" w:rsidR="004119A5" w:rsidRDefault="008D65A5" w:rsidP="004119A5">
      <w:r>
        <w:t>The development of guidance under o</w:t>
      </w:r>
      <w:r w:rsidR="004119A5">
        <w:t xml:space="preserve">ption 2 </w:t>
      </w:r>
      <w:r w:rsidR="004D61FB">
        <w:t>on the powers of entry of authorised officers would provide greater clarity for FDC educators, authorised officers, and Regulatory authorities.</w:t>
      </w:r>
      <w:r w:rsidR="004119A5">
        <w:t xml:space="preserve"> </w:t>
      </w:r>
      <w:r w:rsidR="00006369">
        <w:t>Clear guidance will create a shared understanding between FDC educators and authorised officers around the nationally agreed practices</w:t>
      </w:r>
      <w:r w:rsidR="00332F48">
        <w:t xml:space="preserve"> </w:t>
      </w:r>
      <w:r w:rsidR="004119A5" w:rsidDel="00332F48">
        <w:t xml:space="preserve">of </w:t>
      </w:r>
      <w:r w:rsidR="004119A5">
        <w:t xml:space="preserve">authorised officers </w:t>
      </w:r>
      <w:r w:rsidR="00332F48">
        <w:t>to view</w:t>
      </w:r>
      <w:r w:rsidR="0087265E">
        <w:t xml:space="preserve"> and enter</w:t>
      </w:r>
      <w:r w:rsidR="004119A5">
        <w:t xml:space="preserve"> areas of an FDC </w:t>
      </w:r>
      <w:r w:rsidR="0087265E">
        <w:t xml:space="preserve">residence </w:t>
      </w:r>
      <w:r w:rsidR="004119A5">
        <w:t>they are permitted to access</w:t>
      </w:r>
      <w:r w:rsidR="0087265E">
        <w:t xml:space="preserve"> under the National Law or National Regulations</w:t>
      </w:r>
      <w:r w:rsidR="004119A5">
        <w:t xml:space="preserve">. This option is non-regulatory and </w:t>
      </w:r>
      <w:r w:rsidR="0082559C">
        <w:t>would be dependent</w:t>
      </w:r>
      <w:r w:rsidR="004119A5">
        <w:t xml:space="preserve"> on authorised </w:t>
      </w:r>
      <w:r w:rsidR="004119A5">
        <w:lastRenderedPageBreak/>
        <w:t xml:space="preserve">officers’ and FDC approved providers’ uptake and access </w:t>
      </w:r>
      <w:r w:rsidR="0082559C">
        <w:t xml:space="preserve">to </w:t>
      </w:r>
      <w:r w:rsidR="004119A5">
        <w:t xml:space="preserve">the developed guidance materials. </w:t>
      </w:r>
    </w:p>
    <w:p w14:paraId="413A74DC" w14:textId="2A7A0856" w:rsidR="004119A5" w:rsidRPr="006131C2" w:rsidRDefault="004119A5" w:rsidP="004119A5">
      <w:pPr>
        <w:ind w:left="360"/>
        <w:rPr>
          <w:i/>
          <w:color w:val="A12068"/>
        </w:rPr>
      </w:pPr>
      <w:r w:rsidRPr="006131C2">
        <w:rPr>
          <w:i/>
          <w:color w:val="A12068"/>
        </w:rPr>
        <w:t>“This option would somewhat reduce the risk by improving understanding and consistency in current enforcement practices, without requiring legal changes… promotes transparency and shared understanding.</w:t>
      </w:r>
      <w:r>
        <w:rPr>
          <w:i/>
          <w:color w:val="A12068"/>
        </w:rPr>
        <w:t xml:space="preserve"> This option provides education before escalation</w:t>
      </w:r>
      <w:r w:rsidRPr="006131C2">
        <w:rPr>
          <w:i/>
          <w:color w:val="A12068"/>
        </w:rPr>
        <w:t>”</w:t>
      </w:r>
      <w:r>
        <w:rPr>
          <w:i/>
          <w:color w:val="A12068"/>
        </w:rPr>
        <w:t xml:space="preserve"> – Approved provider survey (</w:t>
      </w:r>
      <w:r w:rsidR="00FD6F5D">
        <w:rPr>
          <w:i/>
          <w:color w:val="A12068"/>
        </w:rPr>
        <w:t>FDC</w:t>
      </w:r>
      <w:r>
        <w:rPr>
          <w:i/>
          <w:color w:val="A12068"/>
        </w:rPr>
        <w:t>)</w:t>
      </w:r>
    </w:p>
    <w:p w14:paraId="70FF5C76" w14:textId="688D3B3C" w:rsidR="004119A5" w:rsidRDefault="004119A5" w:rsidP="004119A5">
      <w:r>
        <w:t xml:space="preserve">Across the approved provider survey, </w:t>
      </w:r>
      <w:r w:rsidR="00074C36">
        <w:t>‘</w:t>
      </w:r>
      <w:r>
        <w:t>somewhat reduce</w:t>
      </w:r>
      <w:r w:rsidR="00074C36">
        <w:t>’</w:t>
      </w:r>
      <w:r>
        <w:t xml:space="preserve"> was the most common response to the question about how much option 2 would reduce the risk of harm to children, and this sentiment was shared between </w:t>
      </w:r>
      <w:r w:rsidR="00074C36">
        <w:t xml:space="preserve">FDC services </w:t>
      </w:r>
      <w:r>
        <w:t xml:space="preserve">and other service types (refer to </w:t>
      </w:r>
      <w:r w:rsidRPr="004805BF">
        <w:t>Table 9</w:t>
      </w:r>
      <w:r>
        <w:t>.1</w:t>
      </w:r>
      <w:r w:rsidR="00650B54">
        <w:t>2</w:t>
      </w:r>
      <w:r>
        <w:t xml:space="preserve">). Families, parents and carers and workforce survey respondents also indicated that option 2 was only likely to somewhat reduce the risk of harm. Based on this evidence, option 2 has been assigned </w:t>
      </w:r>
      <w:r w:rsidR="003055D7">
        <w:t>an MCA</w:t>
      </w:r>
      <w:r w:rsidRPr="00731556">
        <w:t xml:space="preserve"> score of two</w:t>
      </w:r>
      <w:r>
        <w:t xml:space="preserve"> for this criterion.</w:t>
      </w:r>
    </w:p>
    <w:p w14:paraId="22BE46B9" w14:textId="269EA289" w:rsidR="004119A5" w:rsidRPr="00057988" w:rsidRDefault="004119A5" w:rsidP="004119A5">
      <w:pPr>
        <w:pStyle w:val="Caption"/>
        <w:rPr>
          <w:color w:val="006B77"/>
        </w:rPr>
      </w:pPr>
      <w:bookmarkStart w:id="199" w:name="_Toc202887755"/>
      <w:bookmarkStart w:id="200" w:name="_Toc205884988"/>
      <w:r w:rsidRPr="002A1FAF">
        <w:t>Table 9.1</w:t>
      </w:r>
      <w:r w:rsidR="00650B54">
        <w:t>2</w:t>
      </w:r>
      <w:r w:rsidRPr="002A1FAF">
        <w:t>:</w:t>
      </w:r>
      <w:r w:rsidRPr="4A193849">
        <w:t xml:space="preserve"> Approved provider responses by service type to “How much do you think each option will reduce the risk of harm to children?”</w:t>
      </w:r>
      <w:bookmarkEnd w:id="199"/>
      <w:bookmarkEnd w:id="20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12: Approved provider responses by service type to “How much do you think each option will reduce the risk of harm to children?”"/>
        <w:tblDescription w:val="This table outlines approved provider responses by service type to “How much do you think each option will reduce the risk of harm to children?”"/>
      </w:tblPr>
      <w:tblGrid>
        <w:gridCol w:w="2168"/>
        <w:gridCol w:w="1140"/>
        <w:gridCol w:w="1140"/>
        <w:gridCol w:w="1141"/>
        <w:gridCol w:w="1140"/>
        <w:gridCol w:w="1140"/>
        <w:gridCol w:w="1141"/>
      </w:tblGrid>
      <w:tr w:rsidR="004119A5" w14:paraId="0659FDD1" w14:textId="77777777" w:rsidTr="0070597C">
        <w:trPr>
          <w:trHeight w:val="739"/>
          <w:tblHeader/>
        </w:trPr>
        <w:tc>
          <w:tcPr>
            <w:tcW w:w="2168" w:type="dxa"/>
            <w:shd w:val="clear" w:color="auto" w:fill="14233C" w:themeFill="text2"/>
          </w:tcPr>
          <w:p w14:paraId="470AB24E" w14:textId="77777777" w:rsidR="004119A5" w:rsidRPr="00C2617C" w:rsidRDefault="004119A5">
            <w:pPr>
              <w:spacing w:before="120" w:after="240"/>
              <w:rPr>
                <w:rFonts w:eastAsia="Calibri" w:cs="Arial"/>
                <w:color w:val="FFFFFF" w:themeColor="background1"/>
                <w:szCs w:val="18"/>
              </w:rPr>
            </w:pPr>
          </w:p>
        </w:tc>
        <w:tc>
          <w:tcPr>
            <w:tcW w:w="2280" w:type="dxa"/>
            <w:gridSpan w:val="2"/>
            <w:shd w:val="clear" w:color="auto" w:fill="14233C" w:themeFill="text2"/>
          </w:tcPr>
          <w:p w14:paraId="14999962" w14:textId="6397FEAE" w:rsidR="004119A5" w:rsidRPr="00C2617C" w:rsidRDefault="004119A5">
            <w:pPr>
              <w:spacing w:before="120" w:after="240"/>
              <w:rPr>
                <w:rFonts w:eastAsia="Calibri" w:cs="Arial"/>
                <w:b/>
                <w:color w:val="FFFFFF" w:themeColor="background1"/>
                <w:szCs w:val="18"/>
              </w:rPr>
            </w:pPr>
            <w:r w:rsidRPr="00C2617C">
              <w:rPr>
                <w:rFonts w:eastAsia="Calibri" w:cs="Arial"/>
                <w:b/>
                <w:color w:val="FFFFFF" w:themeColor="background1"/>
                <w:szCs w:val="18"/>
              </w:rPr>
              <w:t>Option 1</w:t>
            </w:r>
          </w:p>
        </w:tc>
        <w:tc>
          <w:tcPr>
            <w:tcW w:w="2281" w:type="dxa"/>
            <w:gridSpan w:val="2"/>
            <w:shd w:val="clear" w:color="auto" w:fill="14233C" w:themeFill="text2"/>
          </w:tcPr>
          <w:p w14:paraId="3D74009E" w14:textId="3B980E72" w:rsidR="004119A5" w:rsidRPr="00C2617C" w:rsidRDefault="004119A5">
            <w:pPr>
              <w:spacing w:before="120" w:after="240"/>
              <w:rPr>
                <w:rFonts w:eastAsia="Calibri" w:cs="Arial"/>
                <w:b/>
                <w:color w:val="FFFFFF" w:themeColor="background1"/>
                <w:szCs w:val="18"/>
              </w:rPr>
            </w:pPr>
            <w:r w:rsidRPr="00C2617C">
              <w:rPr>
                <w:rFonts w:eastAsia="Calibri" w:cs="Arial"/>
                <w:b/>
                <w:color w:val="FFFFFF" w:themeColor="background1"/>
                <w:szCs w:val="18"/>
              </w:rPr>
              <w:t>Option 2</w:t>
            </w:r>
          </w:p>
        </w:tc>
        <w:tc>
          <w:tcPr>
            <w:tcW w:w="2281" w:type="dxa"/>
            <w:gridSpan w:val="2"/>
            <w:shd w:val="clear" w:color="auto" w:fill="14233C" w:themeFill="text2"/>
          </w:tcPr>
          <w:p w14:paraId="4656ADE5" w14:textId="0609CDD6" w:rsidR="004119A5" w:rsidRPr="00C2617C" w:rsidRDefault="004119A5">
            <w:pPr>
              <w:spacing w:before="120" w:after="240"/>
              <w:rPr>
                <w:rFonts w:eastAsia="Calibri" w:cs="Arial"/>
                <w:b/>
                <w:color w:val="FFFFFF" w:themeColor="background1"/>
                <w:szCs w:val="18"/>
              </w:rPr>
            </w:pPr>
            <w:r w:rsidRPr="00C2617C">
              <w:rPr>
                <w:rFonts w:eastAsia="Calibri" w:cs="Arial"/>
                <w:b/>
                <w:color w:val="FFFFFF" w:themeColor="background1"/>
                <w:szCs w:val="18"/>
              </w:rPr>
              <w:t>Option 3</w:t>
            </w:r>
          </w:p>
        </w:tc>
      </w:tr>
      <w:tr w:rsidR="004119A5" w14:paraId="58B78C4F" w14:textId="77777777" w:rsidTr="0070597C">
        <w:trPr>
          <w:trHeight w:val="739"/>
        </w:trPr>
        <w:tc>
          <w:tcPr>
            <w:tcW w:w="2168" w:type="dxa"/>
          </w:tcPr>
          <w:p w14:paraId="456AE350" w14:textId="5AF3BB99" w:rsidR="004119A5" w:rsidRPr="00C2617C" w:rsidRDefault="004119A5">
            <w:pPr>
              <w:spacing w:before="120" w:after="240"/>
              <w:rPr>
                <w:rFonts w:eastAsia="Calibri" w:cs="Arial"/>
                <w:b/>
                <w:szCs w:val="18"/>
              </w:rPr>
            </w:pPr>
            <w:r w:rsidRPr="00C2617C">
              <w:rPr>
                <w:rFonts w:eastAsia="Calibri" w:cs="Arial"/>
                <w:b/>
                <w:szCs w:val="18"/>
              </w:rPr>
              <w:t>Service type</w:t>
            </w:r>
          </w:p>
        </w:tc>
        <w:tc>
          <w:tcPr>
            <w:tcW w:w="1140" w:type="dxa"/>
          </w:tcPr>
          <w:p w14:paraId="309F4A3B" w14:textId="5FEAAA09" w:rsidR="004119A5" w:rsidRPr="00C2617C" w:rsidRDefault="004119A5">
            <w:pPr>
              <w:spacing w:before="120" w:after="240"/>
              <w:rPr>
                <w:rFonts w:eastAsia="Calibri" w:cs="Arial"/>
                <w:b/>
                <w:szCs w:val="18"/>
              </w:rPr>
            </w:pPr>
            <w:r w:rsidRPr="00C2617C">
              <w:rPr>
                <w:rFonts w:eastAsia="Calibri" w:cs="Arial"/>
                <w:b/>
                <w:szCs w:val="18"/>
              </w:rPr>
              <w:t>FDC</w:t>
            </w:r>
          </w:p>
        </w:tc>
        <w:tc>
          <w:tcPr>
            <w:tcW w:w="1140" w:type="dxa"/>
          </w:tcPr>
          <w:p w14:paraId="69EF8EED" w14:textId="6A3EF023" w:rsidR="004119A5" w:rsidRPr="00C2617C" w:rsidRDefault="004119A5">
            <w:pPr>
              <w:spacing w:before="120" w:after="240"/>
              <w:rPr>
                <w:rFonts w:eastAsia="Calibri" w:cs="Arial"/>
                <w:b/>
                <w:szCs w:val="18"/>
              </w:rPr>
            </w:pPr>
            <w:r w:rsidRPr="00C2617C">
              <w:rPr>
                <w:rFonts w:eastAsia="Calibri" w:cs="Arial"/>
                <w:b/>
                <w:szCs w:val="18"/>
              </w:rPr>
              <w:t>Other</w:t>
            </w:r>
          </w:p>
        </w:tc>
        <w:tc>
          <w:tcPr>
            <w:tcW w:w="1141" w:type="dxa"/>
          </w:tcPr>
          <w:p w14:paraId="264AFD9B" w14:textId="03763062" w:rsidR="004119A5" w:rsidRPr="00C2617C" w:rsidRDefault="004119A5">
            <w:pPr>
              <w:spacing w:before="120" w:after="240"/>
              <w:rPr>
                <w:rFonts w:eastAsia="Calibri" w:cs="Arial"/>
                <w:b/>
                <w:szCs w:val="18"/>
              </w:rPr>
            </w:pPr>
            <w:r w:rsidRPr="00C2617C">
              <w:rPr>
                <w:rFonts w:eastAsia="Calibri" w:cs="Arial"/>
                <w:b/>
                <w:szCs w:val="18"/>
              </w:rPr>
              <w:t>FDC</w:t>
            </w:r>
          </w:p>
        </w:tc>
        <w:tc>
          <w:tcPr>
            <w:tcW w:w="1140" w:type="dxa"/>
          </w:tcPr>
          <w:p w14:paraId="25EFDF2E" w14:textId="20985587" w:rsidR="004119A5" w:rsidRPr="00C2617C" w:rsidRDefault="004119A5">
            <w:pPr>
              <w:spacing w:before="120" w:after="240"/>
              <w:rPr>
                <w:rFonts w:eastAsia="Calibri" w:cs="Arial"/>
                <w:b/>
                <w:szCs w:val="18"/>
              </w:rPr>
            </w:pPr>
            <w:r w:rsidRPr="00C2617C">
              <w:rPr>
                <w:rFonts w:eastAsia="Calibri" w:cs="Arial"/>
                <w:b/>
                <w:szCs w:val="18"/>
              </w:rPr>
              <w:t>Other</w:t>
            </w:r>
          </w:p>
        </w:tc>
        <w:tc>
          <w:tcPr>
            <w:tcW w:w="1140" w:type="dxa"/>
          </w:tcPr>
          <w:p w14:paraId="7E51A034" w14:textId="60D52E4F" w:rsidR="004119A5" w:rsidRPr="00C2617C" w:rsidRDefault="004119A5">
            <w:pPr>
              <w:spacing w:before="120" w:after="240"/>
              <w:rPr>
                <w:rFonts w:eastAsia="Calibri" w:cs="Arial"/>
                <w:b/>
                <w:szCs w:val="18"/>
              </w:rPr>
            </w:pPr>
            <w:r w:rsidRPr="00C2617C">
              <w:rPr>
                <w:rFonts w:eastAsia="Calibri" w:cs="Arial"/>
                <w:b/>
                <w:szCs w:val="18"/>
              </w:rPr>
              <w:t>FDC</w:t>
            </w:r>
          </w:p>
        </w:tc>
        <w:tc>
          <w:tcPr>
            <w:tcW w:w="1141" w:type="dxa"/>
          </w:tcPr>
          <w:p w14:paraId="1C7BE972" w14:textId="0A570672" w:rsidR="004119A5" w:rsidRPr="00C2617C" w:rsidRDefault="004119A5">
            <w:pPr>
              <w:spacing w:before="120" w:after="240"/>
              <w:rPr>
                <w:rFonts w:eastAsia="Calibri" w:cs="Arial"/>
                <w:b/>
                <w:szCs w:val="18"/>
              </w:rPr>
            </w:pPr>
            <w:r w:rsidRPr="00C2617C">
              <w:rPr>
                <w:rFonts w:eastAsia="Calibri" w:cs="Arial"/>
                <w:b/>
                <w:szCs w:val="18"/>
              </w:rPr>
              <w:t>Other</w:t>
            </w:r>
          </w:p>
        </w:tc>
      </w:tr>
      <w:tr w:rsidR="004119A5" w14:paraId="71B7B2BB" w14:textId="77777777" w:rsidTr="0070597C">
        <w:trPr>
          <w:trHeight w:val="740"/>
        </w:trPr>
        <w:tc>
          <w:tcPr>
            <w:tcW w:w="2168" w:type="dxa"/>
          </w:tcPr>
          <w:p w14:paraId="148EA0FF" w14:textId="3C7474C3" w:rsidR="004119A5" w:rsidRPr="00C2617C" w:rsidRDefault="004119A5">
            <w:pPr>
              <w:spacing w:before="120" w:after="240"/>
              <w:rPr>
                <w:rFonts w:eastAsia="Calibri" w:cs="Arial"/>
                <w:szCs w:val="18"/>
              </w:rPr>
            </w:pPr>
            <w:r w:rsidRPr="00C2617C">
              <w:rPr>
                <w:rFonts w:eastAsia="Calibri" w:cs="Arial"/>
                <w:szCs w:val="18"/>
              </w:rPr>
              <w:t>Greatly reduce</w:t>
            </w:r>
          </w:p>
        </w:tc>
        <w:tc>
          <w:tcPr>
            <w:tcW w:w="1140" w:type="dxa"/>
          </w:tcPr>
          <w:p w14:paraId="3EC31880" w14:textId="730FEBAF" w:rsidR="004119A5" w:rsidRPr="00C2617C" w:rsidRDefault="004119A5">
            <w:pPr>
              <w:spacing w:before="120" w:after="240"/>
              <w:rPr>
                <w:rFonts w:eastAsia="Calibri" w:cs="Arial"/>
                <w:szCs w:val="18"/>
                <w:highlight w:val="yellow"/>
              </w:rPr>
            </w:pPr>
            <w:r w:rsidRPr="00C2617C">
              <w:rPr>
                <w:rFonts w:eastAsia="Calibri" w:cs="Arial"/>
                <w:szCs w:val="18"/>
              </w:rPr>
              <w:t>3%</w:t>
            </w:r>
          </w:p>
        </w:tc>
        <w:tc>
          <w:tcPr>
            <w:tcW w:w="1140" w:type="dxa"/>
          </w:tcPr>
          <w:p w14:paraId="5D8FB360" w14:textId="3868D5D5" w:rsidR="004119A5" w:rsidRPr="00C2617C" w:rsidRDefault="004119A5">
            <w:pPr>
              <w:spacing w:before="120" w:after="240"/>
              <w:rPr>
                <w:rFonts w:eastAsia="Calibri" w:cs="Arial"/>
                <w:szCs w:val="18"/>
                <w:highlight w:val="yellow"/>
              </w:rPr>
            </w:pPr>
            <w:r w:rsidRPr="00C2617C">
              <w:rPr>
                <w:rFonts w:eastAsia="Calibri" w:cs="Arial"/>
                <w:szCs w:val="18"/>
              </w:rPr>
              <w:t>3%</w:t>
            </w:r>
          </w:p>
        </w:tc>
        <w:tc>
          <w:tcPr>
            <w:tcW w:w="1141" w:type="dxa"/>
          </w:tcPr>
          <w:p w14:paraId="6CE151A6" w14:textId="3A3B231C" w:rsidR="004119A5" w:rsidRPr="00C2617C" w:rsidRDefault="004119A5">
            <w:pPr>
              <w:spacing w:before="120" w:after="240"/>
              <w:rPr>
                <w:rFonts w:eastAsia="Calibri" w:cs="Arial"/>
                <w:szCs w:val="18"/>
                <w:highlight w:val="yellow"/>
              </w:rPr>
            </w:pPr>
            <w:r w:rsidRPr="00C2617C">
              <w:rPr>
                <w:rFonts w:eastAsia="Calibri" w:cs="Arial"/>
                <w:szCs w:val="18"/>
              </w:rPr>
              <w:t>23%</w:t>
            </w:r>
          </w:p>
        </w:tc>
        <w:tc>
          <w:tcPr>
            <w:tcW w:w="1140" w:type="dxa"/>
          </w:tcPr>
          <w:p w14:paraId="1B063D1A" w14:textId="77A7EC1C" w:rsidR="004119A5" w:rsidRPr="00C2617C" w:rsidRDefault="004119A5">
            <w:pPr>
              <w:spacing w:before="120" w:after="240"/>
              <w:rPr>
                <w:rFonts w:eastAsia="Calibri" w:cs="Arial"/>
                <w:szCs w:val="18"/>
                <w:highlight w:val="yellow"/>
              </w:rPr>
            </w:pPr>
            <w:r w:rsidRPr="00C2617C">
              <w:rPr>
                <w:rFonts w:eastAsia="Calibri" w:cs="Arial"/>
                <w:szCs w:val="18"/>
              </w:rPr>
              <w:t>21%</w:t>
            </w:r>
          </w:p>
        </w:tc>
        <w:tc>
          <w:tcPr>
            <w:tcW w:w="1140" w:type="dxa"/>
          </w:tcPr>
          <w:p w14:paraId="5962C238" w14:textId="7DCC4B57" w:rsidR="004119A5" w:rsidRPr="00C2617C" w:rsidRDefault="004119A5">
            <w:pPr>
              <w:spacing w:before="120" w:after="240"/>
              <w:rPr>
                <w:rFonts w:eastAsia="Calibri" w:cs="Arial"/>
                <w:szCs w:val="18"/>
                <w:highlight w:val="yellow"/>
              </w:rPr>
            </w:pPr>
            <w:r w:rsidRPr="00C2617C">
              <w:rPr>
                <w:rFonts w:eastAsia="Calibri" w:cs="Arial"/>
                <w:szCs w:val="18"/>
              </w:rPr>
              <w:t>32%</w:t>
            </w:r>
          </w:p>
        </w:tc>
        <w:tc>
          <w:tcPr>
            <w:tcW w:w="1141" w:type="dxa"/>
          </w:tcPr>
          <w:p w14:paraId="3CC1CBE4" w14:textId="5E193407" w:rsidR="004119A5" w:rsidRPr="00C2617C" w:rsidRDefault="004119A5">
            <w:pPr>
              <w:spacing w:before="120" w:after="240"/>
              <w:rPr>
                <w:rFonts w:eastAsia="Calibri" w:cs="Arial"/>
                <w:szCs w:val="18"/>
                <w:highlight w:val="yellow"/>
              </w:rPr>
            </w:pPr>
            <w:r w:rsidRPr="00C2617C">
              <w:rPr>
                <w:rFonts w:eastAsia="Calibri" w:cs="Arial"/>
                <w:szCs w:val="18"/>
              </w:rPr>
              <w:t>65%</w:t>
            </w:r>
          </w:p>
        </w:tc>
      </w:tr>
      <w:tr w:rsidR="004119A5" w14:paraId="6DF4A7AA" w14:textId="77777777" w:rsidTr="0070597C">
        <w:trPr>
          <w:trHeight w:val="739"/>
        </w:trPr>
        <w:tc>
          <w:tcPr>
            <w:tcW w:w="2168" w:type="dxa"/>
          </w:tcPr>
          <w:p w14:paraId="2F50A606" w14:textId="78FE51D7" w:rsidR="004119A5" w:rsidRPr="00C2617C" w:rsidRDefault="004119A5">
            <w:pPr>
              <w:spacing w:before="120" w:after="240"/>
              <w:rPr>
                <w:rFonts w:eastAsia="Calibri" w:cs="Arial"/>
                <w:szCs w:val="18"/>
              </w:rPr>
            </w:pPr>
            <w:r w:rsidRPr="00C2617C">
              <w:rPr>
                <w:rFonts w:eastAsia="Calibri" w:cs="Arial"/>
                <w:szCs w:val="18"/>
              </w:rPr>
              <w:t>Somewhat reduce</w:t>
            </w:r>
          </w:p>
        </w:tc>
        <w:tc>
          <w:tcPr>
            <w:tcW w:w="1140" w:type="dxa"/>
          </w:tcPr>
          <w:p w14:paraId="43FDF1D9" w14:textId="07EDDED7" w:rsidR="004119A5" w:rsidRPr="00C2617C" w:rsidRDefault="004119A5">
            <w:pPr>
              <w:spacing w:before="120" w:after="240"/>
              <w:rPr>
                <w:rFonts w:eastAsia="Calibri" w:cs="Arial"/>
                <w:szCs w:val="18"/>
              </w:rPr>
            </w:pPr>
            <w:r w:rsidRPr="00C2617C">
              <w:rPr>
                <w:rFonts w:eastAsia="Calibri" w:cs="Arial"/>
                <w:szCs w:val="18"/>
              </w:rPr>
              <w:t>2%</w:t>
            </w:r>
          </w:p>
        </w:tc>
        <w:tc>
          <w:tcPr>
            <w:tcW w:w="1140" w:type="dxa"/>
          </w:tcPr>
          <w:p w14:paraId="0033D81E" w14:textId="4B8A9FF8" w:rsidR="004119A5" w:rsidRPr="00C2617C" w:rsidRDefault="004119A5">
            <w:pPr>
              <w:spacing w:before="120" w:after="240"/>
              <w:rPr>
                <w:rFonts w:eastAsia="Calibri" w:cs="Arial"/>
                <w:szCs w:val="18"/>
              </w:rPr>
            </w:pPr>
            <w:r w:rsidRPr="00C2617C">
              <w:rPr>
                <w:rFonts w:eastAsia="Calibri" w:cs="Arial"/>
                <w:szCs w:val="18"/>
              </w:rPr>
              <w:t>3%</w:t>
            </w:r>
          </w:p>
        </w:tc>
        <w:tc>
          <w:tcPr>
            <w:tcW w:w="1141" w:type="dxa"/>
          </w:tcPr>
          <w:p w14:paraId="5FF6B8E9" w14:textId="2027B9F9" w:rsidR="004119A5" w:rsidRPr="00C2617C" w:rsidRDefault="004119A5">
            <w:pPr>
              <w:spacing w:before="120" w:after="240"/>
              <w:rPr>
                <w:rFonts w:eastAsia="Calibri" w:cs="Arial"/>
                <w:szCs w:val="18"/>
              </w:rPr>
            </w:pPr>
            <w:r w:rsidRPr="00C2617C">
              <w:rPr>
                <w:rFonts w:eastAsia="Calibri" w:cs="Arial"/>
                <w:szCs w:val="18"/>
              </w:rPr>
              <w:t>46%</w:t>
            </w:r>
          </w:p>
        </w:tc>
        <w:tc>
          <w:tcPr>
            <w:tcW w:w="1140" w:type="dxa"/>
          </w:tcPr>
          <w:p w14:paraId="17209D76" w14:textId="2F1646DF" w:rsidR="004119A5" w:rsidRPr="00C2617C" w:rsidRDefault="004119A5">
            <w:pPr>
              <w:spacing w:before="120" w:after="240"/>
              <w:rPr>
                <w:rFonts w:eastAsia="Calibri" w:cs="Arial"/>
                <w:szCs w:val="18"/>
              </w:rPr>
            </w:pPr>
            <w:r w:rsidRPr="00C2617C">
              <w:rPr>
                <w:rFonts w:eastAsia="Calibri" w:cs="Arial"/>
                <w:szCs w:val="18"/>
              </w:rPr>
              <w:t>56%</w:t>
            </w:r>
          </w:p>
        </w:tc>
        <w:tc>
          <w:tcPr>
            <w:tcW w:w="1140" w:type="dxa"/>
          </w:tcPr>
          <w:p w14:paraId="59457F6C" w14:textId="04A9A272" w:rsidR="004119A5" w:rsidRPr="00C2617C" w:rsidRDefault="004119A5">
            <w:pPr>
              <w:spacing w:before="120" w:after="240"/>
              <w:rPr>
                <w:rFonts w:eastAsia="Calibri" w:cs="Arial"/>
                <w:szCs w:val="18"/>
              </w:rPr>
            </w:pPr>
            <w:r w:rsidRPr="00C2617C">
              <w:rPr>
                <w:rFonts w:eastAsia="Calibri" w:cs="Arial"/>
                <w:szCs w:val="18"/>
              </w:rPr>
              <w:t>44%</w:t>
            </w:r>
          </w:p>
        </w:tc>
        <w:tc>
          <w:tcPr>
            <w:tcW w:w="1141" w:type="dxa"/>
          </w:tcPr>
          <w:p w14:paraId="5A363DFB" w14:textId="7AC9A330" w:rsidR="004119A5" w:rsidRPr="00C2617C" w:rsidRDefault="004119A5">
            <w:pPr>
              <w:spacing w:before="120" w:after="240"/>
              <w:rPr>
                <w:rFonts w:eastAsia="Calibri" w:cs="Arial"/>
                <w:szCs w:val="18"/>
              </w:rPr>
            </w:pPr>
            <w:r w:rsidRPr="00C2617C">
              <w:rPr>
                <w:rFonts w:eastAsia="Calibri" w:cs="Arial"/>
                <w:szCs w:val="18"/>
              </w:rPr>
              <w:t>29%</w:t>
            </w:r>
          </w:p>
        </w:tc>
      </w:tr>
      <w:tr w:rsidR="004119A5" w14:paraId="0D04E773" w14:textId="77777777" w:rsidTr="0070597C">
        <w:trPr>
          <w:trHeight w:val="740"/>
        </w:trPr>
        <w:tc>
          <w:tcPr>
            <w:tcW w:w="2168" w:type="dxa"/>
          </w:tcPr>
          <w:p w14:paraId="5DD10AA9" w14:textId="5057074D" w:rsidR="004119A5" w:rsidRPr="00C2617C" w:rsidRDefault="004119A5">
            <w:pPr>
              <w:spacing w:before="120" w:after="240"/>
              <w:rPr>
                <w:rFonts w:eastAsia="Calibri" w:cs="Arial"/>
                <w:szCs w:val="18"/>
              </w:rPr>
            </w:pPr>
            <w:r w:rsidRPr="00C2617C">
              <w:rPr>
                <w:rFonts w:eastAsia="Calibri" w:cs="Arial"/>
                <w:szCs w:val="18"/>
              </w:rPr>
              <w:t>No change</w:t>
            </w:r>
          </w:p>
        </w:tc>
        <w:tc>
          <w:tcPr>
            <w:tcW w:w="1140" w:type="dxa"/>
          </w:tcPr>
          <w:p w14:paraId="3792D06F" w14:textId="248655FC" w:rsidR="004119A5" w:rsidRPr="00C2617C" w:rsidRDefault="004119A5">
            <w:pPr>
              <w:spacing w:before="120" w:after="240"/>
              <w:rPr>
                <w:rFonts w:eastAsia="Calibri" w:cs="Arial"/>
                <w:szCs w:val="18"/>
              </w:rPr>
            </w:pPr>
            <w:r w:rsidRPr="00C2617C">
              <w:rPr>
                <w:rFonts w:eastAsia="Calibri" w:cs="Arial"/>
                <w:szCs w:val="18"/>
              </w:rPr>
              <w:t>94%</w:t>
            </w:r>
          </w:p>
        </w:tc>
        <w:tc>
          <w:tcPr>
            <w:tcW w:w="1140" w:type="dxa"/>
          </w:tcPr>
          <w:p w14:paraId="16530067" w14:textId="509D6D9A" w:rsidR="004119A5" w:rsidRPr="00C2617C" w:rsidRDefault="004119A5">
            <w:pPr>
              <w:spacing w:before="120" w:after="240"/>
              <w:rPr>
                <w:rFonts w:eastAsia="Calibri" w:cs="Arial"/>
                <w:szCs w:val="18"/>
              </w:rPr>
            </w:pPr>
            <w:r w:rsidRPr="00C2617C">
              <w:rPr>
                <w:rFonts w:eastAsia="Calibri" w:cs="Arial"/>
                <w:szCs w:val="18"/>
              </w:rPr>
              <w:t>94%</w:t>
            </w:r>
          </w:p>
        </w:tc>
        <w:tc>
          <w:tcPr>
            <w:tcW w:w="1141" w:type="dxa"/>
          </w:tcPr>
          <w:p w14:paraId="09432D3D" w14:textId="42828A9B" w:rsidR="004119A5" w:rsidRPr="00C2617C" w:rsidRDefault="004119A5">
            <w:pPr>
              <w:spacing w:before="120" w:after="240"/>
              <w:rPr>
                <w:rFonts w:eastAsia="Calibri" w:cs="Arial"/>
                <w:szCs w:val="18"/>
              </w:rPr>
            </w:pPr>
            <w:r w:rsidRPr="00C2617C">
              <w:rPr>
                <w:rFonts w:eastAsia="Calibri" w:cs="Arial"/>
                <w:szCs w:val="18"/>
              </w:rPr>
              <w:t>31%</w:t>
            </w:r>
          </w:p>
        </w:tc>
        <w:tc>
          <w:tcPr>
            <w:tcW w:w="1140" w:type="dxa"/>
          </w:tcPr>
          <w:p w14:paraId="712B2B03" w14:textId="250C3819" w:rsidR="004119A5" w:rsidRPr="00C2617C" w:rsidRDefault="004119A5">
            <w:pPr>
              <w:spacing w:before="120" w:after="240"/>
              <w:rPr>
                <w:rFonts w:eastAsia="Calibri" w:cs="Arial"/>
                <w:szCs w:val="18"/>
              </w:rPr>
            </w:pPr>
            <w:r w:rsidRPr="00C2617C">
              <w:rPr>
                <w:rFonts w:eastAsia="Calibri" w:cs="Arial"/>
                <w:szCs w:val="18"/>
              </w:rPr>
              <w:t>24%</w:t>
            </w:r>
          </w:p>
        </w:tc>
        <w:tc>
          <w:tcPr>
            <w:tcW w:w="1140" w:type="dxa"/>
          </w:tcPr>
          <w:p w14:paraId="201E1897" w14:textId="60D0DE1D" w:rsidR="004119A5" w:rsidRPr="00C2617C" w:rsidRDefault="004119A5">
            <w:pPr>
              <w:spacing w:before="120" w:after="240"/>
              <w:rPr>
                <w:rFonts w:eastAsia="Calibri" w:cs="Arial"/>
                <w:szCs w:val="18"/>
              </w:rPr>
            </w:pPr>
            <w:r w:rsidRPr="00C2617C">
              <w:rPr>
                <w:rFonts w:eastAsia="Calibri" w:cs="Arial"/>
                <w:szCs w:val="18"/>
              </w:rPr>
              <w:t>24%</w:t>
            </w:r>
          </w:p>
        </w:tc>
        <w:tc>
          <w:tcPr>
            <w:tcW w:w="1141" w:type="dxa"/>
          </w:tcPr>
          <w:p w14:paraId="3DA20E21" w14:textId="47E5DFDE" w:rsidR="004119A5" w:rsidRPr="00C2617C" w:rsidRDefault="004119A5">
            <w:pPr>
              <w:spacing w:before="120" w:after="240"/>
              <w:rPr>
                <w:rFonts w:eastAsia="Calibri" w:cs="Arial"/>
                <w:szCs w:val="18"/>
              </w:rPr>
            </w:pPr>
            <w:r w:rsidRPr="00C2617C">
              <w:rPr>
                <w:rFonts w:eastAsia="Calibri" w:cs="Arial"/>
                <w:szCs w:val="18"/>
              </w:rPr>
              <w:t>6%</w:t>
            </w:r>
          </w:p>
        </w:tc>
      </w:tr>
    </w:tbl>
    <w:p w14:paraId="362EAB43" w14:textId="77777777" w:rsidR="004119A5" w:rsidRDefault="004119A5" w:rsidP="004636EF">
      <w:pPr>
        <w:pStyle w:val="Source-CSR"/>
      </w:pPr>
      <w:r w:rsidRPr="00057988">
        <w:t xml:space="preserve">Source: Approved provider survey, as of </w:t>
      </w:r>
      <w:r>
        <w:rPr>
          <w:iCs/>
        </w:rPr>
        <w:t>11</w:t>
      </w:r>
      <w:r w:rsidRPr="00B62C37">
        <w:t xml:space="preserve"> June 2025, Q</w:t>
      </w:r>
      <w:r>
        <w:t>97</w:t>
      </w:r>
      <w:r w:rsidRPr="00B62C37">
        <w:t xml:space="preserve">, </w:t>
      </w:r>
      <w:r>
        <w:t xml:space="preserve">FDC (option 1 n =35, </w:t>
      </w:r>
      <w:r w:rsidRPr="004636EF">
        <w:t>option</w:t>
      </w:r>
      <w:r>
        <w:t xml:space="preserve"> 2 n=35, option 3 n=34), Other (option 1 n =65, option 2 n=63, option 3 n=63). Note “Other” includes all service types except FDC.</w:t>
      </w:r>
    </w:p>
    <w:p w14:paraId="7A4B03F8" w14:textId="5BECFFD4" w:rsidR="004119A5" w:rsidRPr="00905866" w:rsidRDefault="004119A5" w:rsidP="00193A9F">
      <w:pPr>
        <w:pStyle w:val="Source-CSR"/>
        <w:rPr>
          <w:rFonts w:eastAsia="Calibri" w:cs="Arial"/>
          <w:color w:val="808080" w:themeColor="background1" w:themeShade="80"/>
        </w:rPr>
      </w:pPr>
      <w:r>
        <w:t>Note: Figures may not sum due to rounding.</w:t>
      </w:r>
    </w:p>
    <w:p w14:paraId="58711815" w14:textId="144E969C" w:rsidR="004119A5" w:rsidRDefault="004119A5" w:rsidP="004119A5">
      <w:r>
        <w:t>Option 3 may improve child safety through a few mechanisms.</w:t>
      </w:r>
      <w:r w:rsidR="00FA4118">
        <w:t xml:space="preserve"> </w:t>
      </w:r>
      <w:r w:rsidR="00087D48">
        <w:t>E</w:t>
      </w:r>
      <w:r>
        <w:t>xpansion of entry powers granted to authorised officers (in defined circumstances only) to areas beyond the FDC service premises may reduce risk of harm to children attending an FDC service by enabling remedial action if hazards are identified in areas beyond the service premise</w:t>
      </w:r>
      <w:r w:rsidR="000927E2">
        <w:t>s</w:t>
      </w:r>
      <w:r>
        <w:t xml:space="preserve">, or if </w:t>
      </w:r>
      <w:r w:rsidR="003E4A4B">
        <w:t xml:space="preserve">incidents </w:t>
      </w:r>
      <w:r>
        <w:t xml:space="preserve">have occurred. This is particularly relevant in situations where areas of the FDC residence or property external to FDC </w:t>
      </w:r>
      <w:r w:rsidR="000927E2">
        <w:t xml:space="preserve">service </w:t>
      </w:r>
      <w:r>
        <w:t xml:space="preserve">premises represent some hazard to the safety, health, and wellbeing of children, but where consent from the FDC educator for the authorised officer to </w:t>
      </w:r>
      <w:r>
        <w:lastRenderedPageBreak/>
        <w:t xml:space="preserve">investigate these areas cannot or will not be granted. Additionally, option 3 would enable timely investigation and inspection of relevant areas of the </w:t>
      </w:r>
      <w:r w:rsidR="000927E2">
        <w:t xml:space="preserve">FDC residence </w:t>
      </w:r>
      <w:r>
        <w:t xml:space="preserve">without delays. </w:t>
      </w:r>
    </w:p>
    <w:p w14:paraId="7EF0E958" w14:textId="57F7F497" w:rsidR="004119A5" w:rsidRDefault="004119A5" w:rsidP="004119A5">
      <w:r>
        <w:t xml:space="preserve">Approved provider </w:t>
      </w:r>
      <w:r w:rsidR="001600B6">
        <w:t>survey</w:t>
      </w:r>
      <w:r>
        <w:t xml:space="preserve"> respondents had mixed views on the extent to which harm to children might be reduced under option 3. FDCs indicated option 3 was only somewhat likely to reduce the risk of harm, while all other services indicated that option 3 could greatly reduce the risk of harm (refer to Table 9.10). Respondents to the families, parents and carers survey echoed very similar sentiment on the effectiveness of the proposed options to approved providers, while workforce survey respondents echoed similar sentiment but with a larger number of respondents indicating that option 3 could greatly reduce the risk of harm (refer to Appendix </w:t>
      </w:r>
      <w:r w:rsidR="009C42F2">
        <w:t xml:space="preserve">Chart </w:t>
      </w:r>
      <w:r>
        <w:t>12.3</w:t>
      </w:r>
      <w:r w:rsidR="009C42F2">
        <w:t>.5.</w:t>
      </w:r>
      <w:r w:rsidR="005E07D6">
        <w:t>14</w:t>
      </w:r>
      <w:r>
        <w:t>).</w:t>
      </w:r>
    </w:p>
    <w:p w14:paraId="723A99FD" w14:textId="6A916676" w:rsidR="004119A5" w:rsidRDefault="004119A5" w:rsidP="004119A5">
      <w:r>
        <w:t xml:space="preserve">Based on the balance of evidence collected, option 3 has been assigned </w:t>
      </w:r>
      <w:r w:rsidR="003055D7">
        <w:t>an MCA</w:t>
      </w:r>
      <w:r w:rsidRPr="00731556">
        <w:t xml:space="preserve"> score of four</w:t>
      </w:r>
      <w:r>
        <w:t xml:space="preserve"> for this criterion, as it is likely to be more impactful than option 2 but some respondents still believed that option 3 may have limited impact.</w:t>
      </w:r>
    </w:p>
    <w:p w14:paraId="1C99F41B" w14:textId="2B194474" w:rsidR="004119A5" w:rsidRPr="00466043" w:rsidRDefault="004119A5" w:rsidP="004119A5">
      <w:pPr>
        <w:pStyle w:val="Heading4"/>
      </w:pPr>
      <w:r w:rsidRPr="00466043">
        <w:t xml:space="preserve">Cost of </w:t>
      </w:r>
      <w:r>
        <w:t>each</w:t>
      </w:r>
      <w:r w:rsidRPr="00466043">
        <w:t xml:space="preserve"> option</w:t>
      </w:r>
    </w:p>
    <w:p w14:paraId="3C4A1F68" w14:textId="4808772E" w:rsidR="004119A5" w:rsidRDefault="004119A5" w:rsidP="004119A5">
      <w:r>
        <w:t xml:space="preserve">Under option 2, the government </w:t>
      </w:r>
      <w:r w:rsidR="001600B6">
        <w:t xml:space="preserve">may </w:t>
      </w:r>
      <w:r>
        <w:t xml:space="preserve">incur costs to develop communication materials and resources. Incremental costs will be more significant if relevant materials cannot be developed with the support of existing government resources as part of business-as-usual activities. Based on this, option 2 has been assigned </w:t>
      </w:r>
      <w:r w:rsidR="003055D7">
        <w:t>an MCA</w:t>
      </w:r>
      <w:r w:rsidRPr="0051240F">
        <w:t xml:space="preserve"> score of negative one</w:t>
      </w:r>
      <w:r>
        <w:t xml:space="preserve"> for this criterion. </w:t>
      </w:r>
    </w:p>
    <w:p w14:paraId="5995E62F" w14:textId="759C29F5" w:rsidR="00F7369F" w:rsidRDefault="004119A5" w:rsidP="00386973">
      <w:r>
        <w:t xml:space="preserve">Option 3 imposes additional costs to government for the time taken for authorised officers to enter, access and monitor compliance of the areas </w:t>
      </w:r>
      <w:r w:rsidR="001600B6">
        <w:t xml:space="preserve">beyond </w:t>
      </w:r>
      <w:r>
        <w:t xml:space="preserve">the FDC </w:t>
      </w:r>
      <w:r w:rsidR="001600B6">
        <w:t>service premises</w:t>
      </w:r>
      <w:r>
        <w:t xml:space="preserve">. </w:t>
      </w:r>
      <w:r w:rsidR="0004256E">
        <w:t>T</w:t>
      </w:r>
      <w:r w:rsidR="00AF6EBA">
        <w:t xml:space="preserve">he threshold to allow officers access </w:t>
      </w:r>
      <w:r w:rsidR="00F7369F">
        <w:t>is intended to</w:t>
      </w:r>
      <w:r w:rsidR="00602C1D">
        <w:t xml:space="preserve"> </w:t>
      </w:r>
      <w:r w:rsidR="00602C1D" w:rsidRPr="008842F3">
        <w:rPr>
          <w:b/>
          <w:bCs/>
        </w:rPr>
        <w:t>only</w:t>
      </w:r>
      <w:r w:rsidR="00AF6EBA" w:rsidRPr="008842F3">
        <w:rPr>
          <w:b/>
          <w:bCs/>
        </w:rPr>
        <w:t xml:space="preserve"> include</w:t>
      </w:r>
      <w:r w:rsidR="00AF6EBA">
        <w:t xml:space="preserve"> the following</w:t>
      </w:r>
      <w:r w:rsidR="005A3E35">
        <w:t xml:space="preserve"> specific circumstances</w:t>
      </w:r>
      <w:r w:rsidR="00AF6EBA">
        <w:t>:</w:t>
      </w:r>
      <w:r w:rsidR="007D569A">
        <w:t xml:space="preserve"> </w:t>
      </w:r>
    </w:p>
    <w:p w14:paraId="2313FC4B" w14:textId="1D857632" w:rsidR="00F7369F" w:rsidRDefault="00F7369F" w:rsidP="005F7827">
      <w:pPr>
        <w:pStyle w:val="ListParagraph"/>
        <w:ind w:left="426"/>
      </w:pPr>
      <w:r>
        <w:t>a serious incident has occurred, or the authorised officer reasonably suspects that a serious incident has occurred</w:t>
      </w:r>
    </w:p>
    <w:p w14:paraId="043861A0" w14:textId="15D4E2F8" w:rsidR="00344E3B" w:rsidRDefault="00344E3B" w:rsidP="005F7827">
      <w:pPr>
        <w:pStyle w:val="ListParagraph"/>
        <w:ind w:left="426"/>
      </w:pPr>
      <w:r>
        <w:t>to assess or monitor compliance with regulation 116 (assessments of the FDC residences and approved FDC venues)</w:t>
      </w:r>
      <w:r w:rsidR="005F7827">
        <w:t>,</w:t>
      </w:r>
    </w:p>
    <w:p w14:paraId="0205D926" w14:textId="77777777" w:rsidR="00344E3B" w:rsidRDefault="00344E3B" w:rsidP="005F7827">
      <w:pPr>
        <w:pStyle w:val="ListParagraph"/>
        <w:ind w:left="426"/>
      </w:pPr>
      <w:r>
        <w:t>to assess or monitor compliance with regulation 97 (emergency and evacuation procedures).</w:t>
      </w:r>
      <w:r>
        <w:rPr>
          <w:rStyle w:val="FootnoteReference"/>
        </w:rPr>
        <w:footnoteReference w:id="140"/>
      </w:r>
      <w:r>
        <w:t xml:space="preserve"> </w:t>
      </w:r>
    </w:p>
    <w:p w14:paraId="0E326369" w14:textId="333D86B7" w:rsidR="004119A5" w:rsidRDefault="00BD7F60" w:rsidP="004119A5">
      <w:r>
        <w:lastRenderedPageBreak/>
        <w:t xml:space="preserve">The scale of the cost hinges on the number of entrances authorised officers undertake in the areas beyond the service premises. </w:t>
      </w:r>
      <w:r w:rsidR="004119A5">
        <w:t xml:space="preserve">The costs of option 3 in financial terms are expected to exceed those imposed by option 2, however they are not expected to be significant. As such, option 3 has been assigned </w:t>
      </w:r>
      <w:r w:rsidR="003055D7">
        <w:t>an MCA</w:t>
      </w:r>
      <w:r w:rsidR="004119A5">
        <w:t xml:space="preserve"> score of negative two for this criterion. Further, option 3 also imposes non-financial costs, such as concerns for FDC residents’ privacy which are covered below in ‘implementation considerations’. </w:t>
      </w:r>
    </w:p>
    <w:p w14:paraId="1823E6D4" w14:textId="55B34273" w:rsidR="004119A5" w:rsidRDefault="004119A5" w:rsidP="004119A5">
      <w:pPr>
        <w:pStyle w:val="Heading4"/>
      </w:pPr>
      <w:r>
        <w:t>Implementation considerations</w:t>
      </w:r>
    </w:p>
    <w:p w14:paraId="508567C2" w14:textId="5E274FAD" w:rsidR="00FB0673" w:rsidRPr="00FB0673" w:rsidRDefault="00FB0673" w:rsidP="00FB0673">
      <w:r>
        <w:t>This section assigns MCA scores based on implementation considerations for the options that were consulted on from the CRIS</w:t>
      </w:r>
      <w:r w:rsidR="00FF34AF">
        <w:t>. The</w:t>
      </w:r>
      <w:r>
        <w:t xml:space="preserve"> recommended implementation of these options will alleviate some of these risks, largely b</w:t>
      </w:r>
      <w:r w:rsidR="00FF34AF">
        <w:t>y</w:t>
      </w:r>
      <w:r>
        <w:t xml:space="preserve"> specifying the exact circumstances in which entry powers are granted. These implementation considerations are outlined in </w:t>
      </w:r>
      <w:r>
        <w:rPr>
          <w:i/>
          <w:iCs/>
        </w:rPr>
        <w:t>What is the recommended option(s) and how will it be implemented?</w:t>
      </w:r>
    </w:p>
    <w:p w14:paraId="308223D1" w14:textId="32643385" w:rsidR="004119A5" w:rsidRDefault="004119A5" w:rsidP="004119A5">
      <w:r>
        <w:t xml:space="preserve">During the consultation process, stakeholders </w:t>
      </w:r>
      <w:r w:rsidR="00B578CB">
        <w:t xml:space="preserve">from the FDC sector </w:t>
      </w:r>
      <w:r>
        <w:t>noted a few concerns and risks regarding the implementation of option 3</w:t>
      </w:r>
      <w:r w:rsidR="00FF34AF">
        <w:t xml:space="preserve"> as it was described in the CRIS</w:t>
      </w:r>
      <w:r>
        <w:t>.</w:t>
      </w:r>
    </w:p>
    <w:p w14:paraId="46B8FE11" w14:textId="335A4BD3" w:rsidR="004119A5" w:rsidRDefault="004119A5" w:rsidP="004119A5">
      <w:r>
        <w:t xml:space="preserve">First, FDC </w:t>
      </w:r>
      <w:r w:rsidR="00347C6E">
        <w:t xml:space="preserve">services </w:t>
      </w:r>
      <w:r>
        <w:t xml:space="preserve">often operate </w:t>
      </w:r>
      <w:r w:rsidR="00347C6E">
        <w:t>at a</w:t>
      </w:r>
      <w:r>
        <w:t xml:space="preserve"> private home of the FDC educator that may have other residents such as the educator’s family. Option 3 may infringe on the educator’s and other residents’ privacy by entering private living areas of the FDC </w:t>
      </w:r>
      <w:r w:rsidR="00347C6E">
        <w:t xml:space="preserve">residence </w:t>
      </w:r>
      <w:r>
        <w:t>without the requirement to seek prior consent. Across consultative activity,</w:t>
      </w:r>
      <w:r w:rsidR="00C4400D">
        <w:t xml:space="preserve"> most</w:t>
      </w:r>
      <w:r>
        <w:t xml:space="preserve"> FDC </w:t>
      </w:r>
      <w:r w:rsidR="00AE4A49">
        <w:t xml:space="preserve">approved providers and educators </w:t>
      </w:r>
      <w:r>
        <w:t>agreed that option 3 intrudes on the privacy of FDC educators and their family by allowing authorised officers access to areas beyond the approved service premise</w:t>
      </w:r>
      <w:r w:rsidR="00FB5006">
        <w:t>s</w:t>
      </w:r>
      <w:r>
        <w:t xml:space="preserve">. 87% of approved providers in the survey agreed they were </w:t>
      </w:r>
      <w:r w:rsidR="00346DCA">
        <w:t>‘</w:t>
      </w:r>
      <w:r>
        <w:t>highly concerned</w:t>
      </w:r>
      <w:r w:rsidR="00346DCA">
        <w:t>’</w:t>
      </w:r>
      <w:r>
        <w:t xml:space="preserve"> or </w:t>
      </w:r>
      <w:r w:rsidR="00346DCA">
        <w:t>‘</w:t>
      </w:r>
      <w:r>
        <w:t>somewhat concerned</w:t>
      </w:r>
      <w:r w:rsidR="00346DCA">
        <w:t>’</w:t>
      </w:r>
      <w:r>
        <w:t xml:space="preserve"> that expanding the powers of entry granted to authorised officers would directly affect their right to privacy and other residents’ right to privacy (refer to Chart 9.</w:t>
      </w:r>
      <w:r w:rsidR="00C549B9">
        <w:t>8</w:t>
      </w:r>
      <w:r>
        <w:t xml:space="preserve">). </w:t>
      </w:r>
    </w:p>
    <w:p w14:paraId="41F7AD83" w14:textId="77777777" w:rsidR="004119A5" w:rsidRDefault="004119A5" w:rsidP="004119A5">
      <w:pPr>
        <w:rPr>
          <w:i/>
          <w:color w:val="A12068"/>
        </w:rPr>
      </w:pPr>
      <w:r>
        <w:rPr>
          <w:i/>
          <w:color w:val="A12068"/>
        </w:rPr>
        <w:t>“Allowing access into bedrooms, family spaces, private gardens – risks infringing on the privacy of not just the educator, but their entire household including children, and other family members. Educators may feel as though they are under constant surveillance even outside of working hours.” – Approved provider survey (FDC)</w:t>
      </w:r>
    </w:p>
    <w:p w14:paraId="55C8648A" w14:textId="77777777" w:rsidR="004119A5" w:rsidRDefault="004119A5" w:rsidP="004119A5">
      <w:r>
        <w:t xml:space="preserve">However, some stakeholders representing FDCs held different views, indicating that FDCs agree to uphold a certain standard when using a residence to provide education and care. </w:t>
      </w:r>
    </w:p>
    <w:p w14:paraId="03C5D5D5" w14:textId="77777777" w:rsidR="004119A5" w:rsidRPr="00062111" w:rsidRDefault="004119A5" w:rsidP="004119A5">
      <w:pPr>
        <w:rPr>
          <w:i/>
          <w:color w:val="A12068"/>
        </w:rPr>
      </w:pPr>
      <w:r w:rsidRPr="00062111">
        <w:rPr>
          <w:i/>
          <w:color w:val="A12068"/>
        </w:rPr>
        <w:t xml:space="preserve">“Under a service Code of Conduct, FDC service providers and all people residing in the FDC residence are required to sign a household members agreement. This agreement confirms the residents’ acknowledgement of the standards they are expected to uphold within the </w:t>
      </w:r>
      <w:r w:rsidRPr="00062111">
        <w:rPr>
          <w:i/>
          <w:color w:val="A12068"/>
        </w:rPr>
        <w:lastRenderedPageBreak/>
        <w:t xml:space="preserve">FDC residence during education and care service hours. It also confirms that the FDC residence is subject to necessary assessments to ensure compliance with relevant safety standards.” – Written submission </w:t>
      </w:r>
      <w:r>
        <w:rPr>
          <w:i/>
          <w:color w:val="A12068"/>
        </w:rPr>
        <w:t>(</w:t>
      </w:r>
      <w:r w:rsidRPr="00062111">
        <w:rPr>
          <w:i/>
          <w:color w:val="A12068"/>
        </w:rPr>
        <w:t>FDC</w:t>
      </w:r>
      <w:r>
        <w:rPr>
          <w:i/>
          <w:color w:val="A12068"/>
        </w:rPr>
        <w:t>)</w:t>
      </w:r>
    </w:p>
    <w:p w14:paraId="57A8FBBC" w14:textId="01DD601B" w:rsidR="004119A5" w:rsidRPr="00057988" w:rsidRDefault="004119A5" w:rsidP="004119A5">
      <w:pPr>
        <w:pStyle w:val="Caption"/>
      </w:pPr>
      <w:bookmarkStart w:id="201" w:name="_Toc202887756"/>
      <w:bookmarkStart w:id="202" w:name="_Toc205884989"/>
      <w:r w:rsidRPr="007666D2">
        <w:t>Chart 9.</w:t>
      </w:r>
      <w:r w:rsidR="00C549B9">
        <w:t>8</w:t>
      </w:r>
      <w:r w:rsidRPr="007666D2">
        <w:t>: Approved provider responses by service type to “To what extent are you concerned that the expansion of the powers of entry</w:t>
      </w:r>
      <w:r>
        <w:t xml:space="preserve"> granted to authorised officers would impact your right to privacy or the privacy of those living in the FDC residence?”</w:t>
      </w:r>
      <w:bookmarkEnd w:id="201"/>
      <w:bookmarkEnd w:id="202"/>
    </w:p>
    <w:p w14:paraId="08CE2D59" w14:textId="36EF75EB" w:rsidR="004119A5" w:rsidRPr="00057988" w:rsidRDefault="004119A5" w:rsidP="004119A5">
      <w:pPr>
        <w:keepNext/>
        <w:keepLines/>
        <w:spacing w:before="120"/>
        <w:rPr>
          <w:rFonts w:eastAsia="Calibri" w:cs="Arial"/>
          <w:color w:val="006B77"/>
          <w:sz w:val="17"/>
          <w:szCs w:val="17"/>
        </w:rPr>
      </w:pPr>
      <w:r>
        <w:rPr>
          <w:noProof/>
          <w14:ligatures w14:val="standardContextual"/>
        </w:rPr>
        <w:drawing>
          <wp:inline distT="0" distB="0" distL="0" distR="0" wp14:anchorId="28715DFC" wp14:editId="454EE8C9">
            <wp:extent cx="5681609" cy="1972638"/>
            <wp:effectExtent l="0" t="0" r="0" b="8890"/>
            <wp:docPr id="596418604" name="Chart 1" descr="Chart outlining approved provider responses by service type to the survey question &quot;To what extent are you concerned that the expansion of the powers of entry granted to authorised officers would impact your right to privacy or the privacy of those living in the FDC residence?&quot; Response categories include highly concerned, somewhat concerned, not concerned, and unsure/cannot comment.">
              <a:extLst xmlns:a="http://schemas.openxmlformats.org/drawingml/2006/main">
                <a:ext uri="{FF2B5EF4-FFF2-40B4-BE49-F238E27FC236}">
                  <a16:creationId xmlns:a16="http://schemas.microsoft.com/office/drawing/2014/main" id="{E1E2563D-7E61-1685-6BE3-53E1CCEAC8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8AE5ED6" w14:textId="2A1BB791" w:rsidR="004119A5" w:rsidRDefault="004119A5" w:rsidP="004636EF">
      <w:pPr>
        <w:pStyle w:val="Source-CSR"/>
      </w:pPr>
      <w:r w:rsidRPr="00057988">
        <w:t>Source: Approved provider</w:t>
      </w:r>
      <w:r>
        <w:rPr>
          <w:iCs/>
        </w:rPr>
        <w:t xml:space="preserve"> </w:t>
      </w:r>
      <w:r w:rsidRPr="00CB20D9">
        <w:rPr>
          <w:iCs/>
        </w:rPr>
        <w:t>survey</w:t>
      </w:r>
      <w:r w:rsidRPr="00057988">
        <w:rPr>
          <w:iCs/>
        </w:rPr>
        <w:t xml:space="preserve">, as of </w:t>
      </w:r>
      <w:r>
        <w:rPr>
          <w:iCs/>
        </w:rPr>
        <w:t>11</w:t>
      </w:r>
      <w:r w:rsidRPr="00B62C37">
        <w:t xml:space="preserve"> </w:t>
      </w:r>
      <w:r w:rsidRPr="004636EF">
        <w:t>June</w:t>
      </w:r>
      <w:r w:rsidRPr="00B62C37">
        <w:t xml:space="preserve"> 2025, Q36</w:t>
      </w:r>
      <w:r>
        <w:t xml:space="preserve">, n=38. Note that all respondents identified as </w:t>
      </w:r>
      <w:r w:rsidR="00FD6F5D">
        <w:t>FDCs</w:t>
      </w:r>
      <w:r>
        <w:t xml:space="preserve">. </w:t>
      </w:r>
    </w:p>
    <w:p w14:paraId="0244E82E" w14:textId="78ADFFCB" w:rsidR="004119A5" w:rsidRPr="00905866" w:rsidRDefault="004119A5" w:rsidP="00193A9F">
      <w:pPr>
        <w:pStyle w:val="Source-CSR"/>
        <w:rPr>
          <w:rFonts w:eastAsia="Calibri" w:cs="Arial"/>
          <w:color w:val="808080" w:themeColor="background1" w:themeShade="80"/>
        </w:rPr>
      </w:pPr>
      <w:r>
        <w:t>Note: Figures may not sum due to rounding.</w:t>
      </w:r>
    </w:p>
    <w:p w14:paraId="33CB9EC6" w14:textId="37F867D4" w:rsidR="004119A5" w:rsidRDefault="004119A5" w:rsidP="004119A5">
      <w:r>
        <w:t xml:space="preserve">FDC stakeholders also reported that option 3 causes increased stress due to potential disruptions and inspections to their private household and family areas, with the effect of undermining trust in the FDC sector. This has negative costs on both the FDC sector, families, and children as the FDC sector would struggle to retain and attract educators, impacting the number of flexible </w:t>
      </w:r>
      <w:r w:rsidR="00205F25">
        <w:t xml:space="preserve">child education and care </w:t>
      </w:r>
      <w:r>
        <w:t>options for families.</w:t>
      </w:r>
      <w:r w:rsidR="00900870">
        <w:t xml:space="preserve"> </w:t>
      </w:r>
    </w:p>
    <w:p w14:paraId="2596CE06" w14:textId="77777777" w:rsidR="004119A5" w:rsidRPr="00A46C21" w:rsidRDefault="004119A5" w:rsidP="004119A5">
      <w:pPr>
        <w:rPr>
          <w:i/>
          <w:color w:val="A12068"/>
        </w:rPr>
      </w:pPr>
      <w:r>
        <w:rPr>
          <w:i/>
          <w:color w:val="A12068"/>
        </w:rPr>
        <w:t>“Educators might feel their private home life is being invaded or potential for being invaded. Could result in educators leaving the sector and services losing educator numbers. This would threaten viability of the service as services need a minimum number of educators to remain in operation.” Approved provider survey (FDC)</w:t>
      </w:r>
    </w:p>
    <w:p w14:paraId="3ABE6BF8" w14:textId="1E83AA13" w:rsidR="004119A5" w:rsidRPr="007B066A" w:rsidRDefault="004119A5" w:rsidP="004119A5">
      <w:r>
        <w:t xml:space="preserve">Stakeholders also identified an implementation risk from the ambiguous phrasing of option 3 (as it currently stands). As the policy option is currently written, entry powers for “specific incidents” and “specific purposes” provides unclear boundaries for FDC stakeholders, causing concern for the potential for disruption to private areas of the FDC </w:t>
      </w:r>
      <w:r w:rsidR="004F6043">
        <w:t>residence</w:t>
      </w:r>
      <w:r>
        <w:t>. Clear legislative drafting and definitions to limit when, why, and how entry is permitted would provide clarity to the FDC sector. From the approved provider survey, FDC stakeholders noted a concern that there is a risk of disproportionate use of powers from authorised officers unless the power is narrowly and clearly defined that is supported with strict procedural safeguards.</w:t>
      </w:r>
      <w:r w:rsidR="00444A15">
        <w:t xml:space="preserve"> </w:t>
      </w:r>
    </w:p>
    <w:p w14:paraId="604142D7" w14:textId="488BC0CB" w:rsidR="004119A5" w:rsidRDefault="004119A5" w:rsidP="004119A5">
      <w:r>
        <w:lastRenderedPageBreak/>
        <w:t>Option 3 risks damaging trust and professional relationships between FDC educators and Regulatory Authorities. This could lead to less proactive engagement from FDC services to Regulatory Authorities and reluctance to seek support for fear of being unfairly scrutinised.</w:t>
      </w:r>
    </w:p>
    <w:p w14:paraId="42AE21C0" w14:textId="77777777" w:rsidR="004119A5" w:rsidRPr="002D2202" w:rsidRDefault="004119A5" w:rsidP="004119A5">
      <w:pPr>
        <w:pStyle w:val="ListParagraph"/>
        <w:numPr>
          <w:ilvl w:val="0"/>
          <w:numId w:val="0"/>
        </w:numPr>
        <w:ind w:left="360"/>
        <w:rPr>
          <w:i/>
          <w:color w:val="A12068"/>
        </w:rPr>
      </w:pPr>
      <w:r w:rsidRPr="002D2202">
        <w:rPr>
          <w:i/>
          <w:color w:val="A12068"/>
        </w:rPr>
        <w:t>“For a workforce already managing high expectations in isolated settings, this change would be viewed not as a safety improvement, but as a breach of trust and an unacceptable extension of power into personal living spaces.” – Approved provider survey (FDC)</w:t>
      </w:r>
    </w:p>
    <w:p w14:paraId="774E2B8E" w14:textId="292C006F" w:rsidR="004119A5" w:rsidRDefault="004119A5" w:rsidP="004119A5">
      <w:r>
        <w:t xml:space="preserve">Finally, several FDC stakeholders indicated that option 3 reduces the attractiveness of remaining in the FDC sector and could exacerbate the declining number of FDC services in the sector. </w:t>
      </w:r>
    </w:p>
    <w:p w14:paraId="451DC951" w14:textId="77777777" w:rsidR="004119A5" w:rsidRDefault="004119A5" w:rsidP="004119A5">
      <w:pPr>
        <w:pStyle w:val="ListParagraph"/>
        <w:numPr>
          <w:ilvl w:val="0"/>
          <w:numId w:val="0"/>
        </w:numPr>
        <w:ind w:left="360"/>
        <w:rPr>
          <w:i/>
          <w:color w:val="A12068"/>
        </w:rPr>
      </w:pPr>
      <w:r w:rsidRPr="000F007A">
        <w:rPr>
          <w:i/>
          <w:color w:val="A12068"/>
        </w:rPr>
        <w:t>“Such regulatory creep risks exacerbating educator attrition and compounding accessibility issues in an already contracting sector.”- Written Submission</w:t>
      </w:r>
    </w:p>
    <w:p w14:paraId="124A69C9" w14:textId="3D5E9C2F" w:rsidR="004119A5" w:rsidRDefault="004119A5" w:rsidP="004119A5">
      <w:pPr>
        <w:pStyle w:val="ListParagraph"/>
        <w:numPr>
          <w:ilvl w:val="0"/>
          <w:numId w:val="0"/>
        </w:numPr>
        <w:ind w:left="360"/>
        <w:rPr>
          <w:i/>
          <w:color w:val="A12068"/>
        </w:rPr>
      </w:pPr>
      <w:r w:rsidRPr="000F007A">
        <w:rPr>
          <w:i/>
          <w:color w:val="A12068"/>
        </w:rPr>
        <w:t>“We would lose FDC educators… They feel that they have the right to keep their family protected and safe, including their privacy, they consider their home is a safe place for their children. FDC is not Centre Based Care.” – Approved provider survey (FDC)</w:t>
      </w:r>
    </w:p>
    <w:p w14:paraId="7FD399E9" w14:textId="434272B1" w:rsidR="004119A5" w:rsidRDefault="004119A5" w:rsidP="004119A5">
      <w:r>
        <w:t xml:space="preserve">Based on the identified implementation risks, option 3 has been assigned </w:t>
      </w:r>
      <w:r w:rsidR="003055D7">
        <w:t>an MCA</w:t>
      </w:r>
      <w:r>
        <w:t xml:space="preserve"> score of negative five for this criterion. This is on the basis that FDC educators held high levels of concern over potential breaches to their privacy. However, if implemented in a way that reduces concerns to FDC resident’s privacy and avoids the likelihood that any human rights charters could be breached (e.g., by being very explicit on the conditions that grant the expanded entry powers), then the implementation risk would be </w:t>
      </w:r>
      <w:r w:rsidR="004F6043">
        <w:t xml:space="preserve">lower </w:t>
      </w:r>
      <w:r>
        <w:t xml:space="preserve">and may warrant a higher MCA score. </w:t>
      </w:r>
      <w:r w:rsidRPr="005E3625">
        <w:t xml:space="preserve">While negative </w:t>
      </w:r>
      <w:r>
        <w:t>five</w:t>
      </w:r>
      <w:r w:rsidRPr="005E3625">
        <w:t xml:space="preserve"> is a large score in absolute terms, this does not offset the potential benefits </w:t>
      </w:r>
      <w:r>
        <w:t xml:space="preserve">of option 3 since </w:t>
      </w:r>
      <w:r w:rsidRPr="005E3625">
        <w:t>the weight placed on implementation risks (10%) is much lower than the weight placed on child safety (50%), (see Chapter 4).</w:t>
      </w:r>
    </w:p>
    <w:p w14:paraId="274DB0D2" w14:textId="77777777" w:rsidR="004119A5" w:rsidRPr="00466043" w:rsidRDefault="004119A5" w:rsidP="004119A5">
      <w:pPr>
        <w:pStyle w:val="Heading4"/>
      </w:pPr>
      <w:r w:rsidRPr="00466043">
        <w:t>Distributional impacts</w:t>
      </w:r>
    </w:p>
    <w:p w14:paraId="6EF9E307" w14:textId="1F5D2F7F" w:rsidR="004119A5" w:rsidRDefault="004119A5" w:rsidP="004119A5">
      <w:r>
        <w:t xml:space="preserve">In consultative activities, FDC stakeholders noted a few </w:t>
      </w:r>
      <w:r w:rsidR="004F6043">
        <w:t xml:space="preserve">potential </w:t>
      </w:r>
      <w:r>
        <w:t>distributional impacts associated with option 3 including:</w:t>
      </w:r>
    </w:p>
    <w:p w14:paraId="5667D0EC" w14:textId="3E42DE3D" w:rsidR="004119A5" w:rsidRDefault="005F7827" w:rsidP="005F7827">
      <w:pPr>
        <w:pStyle w:val="ListParagraph"/>
        <w:ind w:left="426"/>
      </w:pPr>
      <w:r>
        <w:t>F</w:t>
      </w:r>
      <w:r w:rsidR="004119A5">
        <w:t xml:space="preserve">or FDC educators who share the FDC </w:t>
      </w:r>
      <w:r w:rsidR="004F6043">
        <w:t xml:space="preserve">residence </w:t>
      </w:r>
      <w:r w:rsidR="004119A5">
        <w:t>with other residents (family, or flatmates), the intrusion of privacy would extend to more people</w:t>
      </w:r>
      <w:r>
        <w:t>.</w:t>
      </w:r>
    </w:p>
    <w:p w14:paraId="20448FF0" w14:textId="74B048BB" w:rsidR="004119A5" w:rsidRDefault="005F7827" w:rsidP="005F7827">
      <w:pPr>
        <w:pStyle w:val="ListParagraph"/>
        <w:ind w:left="426"/>
      </w:pPr>
      <w:r>
        <w:t>F</w:t>
      </w:r>
      <w:r w:rsidR="004119A5">
        <w:t xml:space="preserve">or FDC services that operate on rental properties, educators may not have legal authority over all areas that are </w:t>
      </w:r>
      <w:r w:rsidR="004F6043">
        <w:t>beyond</w:t>
      </w:r>
      <w:r w:rsidR="004119A5">
        <w:t xml:space="preserve"> the FDC residence. Some remedial actions that could be identified by authorised officers (and were not identified through approved </w:t>
      </w:r>
      <w:r w:rsidR="004119A5">
        <w:lastRenderedPageBreak/>
        <w:t>provider inspections required under regulation 116) may be infeasible due to FDC educators’ inability to make changes to some areas of the landlord’s property, or neighbouring properties</w:t>
      </w:r>
      <w:r>
        <w:t>.</w:t>
      </w:r>
    </w:p>
    <w:p w14:paraId="1A3F56D5" w14:textId="29E31C28" w:rsidR="004119A5" w:rsidRDefault="005F7827" w:rsidP="005F7827">
      <w:pPr>
        <w:pStyle w:val="ListParagraph"/>
        <w:ind w:left="426"/>
      </w:pPr>
      <w:r>
        <w:t>I</w:t>
      </w:r>
      <w:r w:rsidR="004119A5">
        <w:t>n culturally diverse communities, entry of authorised officers may be sensitive for certain spaces and areas with cultural or religious significance.</w:t>
      </w:r>
    </w:p>
    <w:p w14:paraId="7716CC05" w14:textId="607ED777" w:rsidR="004119A5" w:rsidRDefault="004119A5" w:rsidP="004119A5">
      <w:r>
        <w:t xml:space="preserve">Based on these potential impacts, Option 3 has been assigned </w:t>
      </w:r>
      <w:r w:rsidR="003055D7">
        <w:t>an MCA</w:t>
      </w:r>
      <w:r w:rsidRPr="00C74B03">
        <w:t xml:space="preserve"> score of negative </w:t>
      </w:r>
      <w:r>
        <w:t xml:space="preserve">two for this criterion. No distributional impacts were identified for option 2 and it has therefore been assigned </w:t>
      </w:r>
      <w:r w:rsidR="003055D7">
        <w:t>an MCA</w:t>
      </w:r>
      <w:r>
        <w:t xml:space="preserve"> score of zero for this criterion. </w:t>
      </w:r>
    </w:p>
    <w:tbl>
      <w:tblPr>
        <w:tblW w:w="0" w:type="auto"/>
        <w:tblCellMar>
          <w:top w:w="113" w:type="dxa"/>
          <w:bottom w:w="113" w:type="dxa"/>
        </w:tblCellMar>
        <w:tblLook w:val="04A0" w:firstRow="1" w:lastRow="0" w:firstColumn="1" w:lastColumn="0" w:noHBand="0" w:noVBand="1"/>
        <w:tblCaption w:val="Box 9.2: Aboriginal and Torres Strait Islander People Stakeholder Views"/>
        <w:tblDescription w:val="This table outlines Aboriginal and Torres Strait Islander People Stakeholder Views on distributional impacts."/>
      </w:tblPr>
      <w:tblGrid>
        <w:gridCol w:w="9020"/>
      </w:tblGrid>
      <w:tr w:rsidR="004119A5" w14:paraId="0666A37C" w14:textId="77777777">
        <w:tc>
          <w:tcPr>
            <w:tcW w:w="9020" w:type="dxa"/>
            <w:tcBorders>
              <w:top w:val="nil"/>
              <w:left w:val="nil"/>
              <w:bottom w:val="nil"/>
              <w:right w:val="nil"/>
            </w:tcBorders>
            <w:shd w:val="clear" w:color="auto" w:fill="FFF2CC" w:themeFill="accent3" w:themeFillTint="33"/>
          </w:tcPr>
          <w:p w14:paraId="59F64D7B" w14:textId="040EAA69" w:rsidR="004119A5" w:rsidRPr="006B0059" w:rsidRDefault="004119A5">
            <w:pPr>
              <w:rPr>
                <w:b/>
                <w:bCs/>
                <w:szCs w:val="22"/>
              </w:rPr>
            </w:pPr>
            <w:r w:rsidRPr="006B0059">
              <w:rPr>
                <w:b/>
                <w:bCs/>
                <w:szCs w:val="22"/>
              </w:rPr>
              <w:t xml:space="preserve">Box </w:t>
            </w:r>
            <w:r>
              <w:rPr>
                <w:b/>
                <w:bCs/>
                <w:szCs w:val="22"/>
              </w:rPr>
              <w:t>9</w:t>
            </w:r>
            <w:r w:rsidRPr="006B0059">
              <w:rPr>
                <w:b/>
                <w:bCs/>
                <w:szCs w:val="22"/>
              </w:rPr>
              <w:t>.</w:t>
            </w:r>
            <w:r>
              <w:rPr>
                <w:b/>
                <w:bCs/>
                <w:szCs w:val="22"/>
              </w:rPr>
              <w:t>2</w:t>
            </w:r>
            <w:r w:rsidRPr="006B0059">
              <w:rPr>
                <w:b/>
                <w:bCs/>
                <w:szCs w:val="22"/>
              </w:rPr>
              <w:t xml:space="preserve">: </w:t>
            </w:r>
            <w:r w:rsidR="009961B4">
              <w:rPr>
                <w:b/>
                <w:bCs/>
                <w:szCs w:val="22"/>
              </w:rPr>
              <w:t>Aboriginal and Torres Strait Islander People Stakeholder Views</w:t>
            </w:r>
          </w:p>
          <w:p w14:paraId="3FB82864" w14:textId="1B43DD05" w:rsidR="004119A5" w:rsidRDefault="004119A5">
            <w:pPr>
              <w:rPr>
                <w:szCs w:val="22"/>
              </w:rPr>
            </w:pPr>
            <w:r w:rsidRPr="006E098C">
              <w:rPr>
                <w:szCs w:val="22"/>
              </w:rPr>
              <w:t>Aboriginal and Torres Strait Islander People</w:t>
            </w:r>
            <w:r>
              <w:rPr>
                <w:szCs w:val="22"/>
              </w:rPr>
              <w:t>s held similar concerns for the adoption of option 3 as they did for option 3 in Chapter 9.2. This sentiment is echoed below.</w:t>
            </w:r>
          </w:p>
          <w:p w14:paraId="59074172" w14:textId="499A4E3C" w:rsidR="004119A5" w:rsidRPr="009921A2" w:rsidRDefault="004119A5">
            <w:pPr>
              <w:rPr>
                <w:szCs w:val="22"/>
              </w:rPr>
            </w:pPr>
            <w:r>
              <w:rPr>
                <w:szCs w:val="22"/>
              </w:rPr>
              <w:t>It is understood that there are a limited number of ACCO FDC and/or Aboriginal and Torres Strait Islander operated FDC services. However, i</w:t>
            </w:r>
            <w:r w:rsidRPr="00785FCF">
              <w:rPr>
                <w:szCs w:val="22"/>
              </w:rPr>
              <w:t xml:space="preserve">n consultation with Aboriginal and Torres Strait Islander </w:t>
            </w:r>
            <w:r>
              <w:rPr>
                <w:szCs w:val="22"/>
              </w:rPr>
              <w:t>peak bodies</w:t>
            </w:r>
            <w:r w:rsidRPr="00785FCF">
              <w:rPr>
                <w:szCs w:val="22"/>
              </w:rPr>
              <w:t xml:space="preserve">, concern was raised that the perceived regulatory overreach could impact the likelihood of ACCO FDC services to open and continue operations in the future. This </w:t>
            </w:r>
            <w:r>
              <w:rPr>
                <w:szCs w:val="22"/>
              </w:rPr>
              <w:t>c</w:t>
            </w:r>
            <w:r w:rsidRPr="00785FCF">
              <w:rPr>
                <w:szCs w:val="22"/>
              </w:rPr>
              <w:t>ould reduce culturally relevant day care options, and flexible care options for families with Aboriginal or Torres Strait Islander backgrounds</w:t>
            </w:r>
            <w:r>
              <w:rPr>
                <w:szCs w:val="22"/>
              </w:rPr>
              <w:t xml:space="preserve"> in the future.</w:t>
            </w:r>
          </w:p>
        </w:tc>
      </w:tr>
    </w:tbl>
    <w:p w14:paraId="235C8E57" w14:textId="77777777" w:rsidR="004119A5" w:rsidRDefault="004119A5" w:rsidP="004119A5"/>
    <w:p w14:paraId="00E35D9F" w14:textId="41AC1E37" w:rsidR="00AE423D" w:rsidRDefault="00AE423D" w:rsidP="00AE423D">
      <w:pPr>
        <w:pStyle w:val="Heading4"/>
      </w:pPr>
      <w:r>
        <w:t xml:space="preserve">Stakeholders’ </w:t>
      </w:r>
      <w:r w:rsidR="00BF7E16">
        <w:t>preferred</w:t>
      </w:r>
      <w:r w:rsidR="004C5562">
        <w:t xml:space="preserve"> option</w:t>
      </w:r>
    </w:p>
    <w:p w14:paraId="34D7611E" w14:textId="030FF3EF" w:rsidR="00AE423D" w:rsidRDefault="00AE423D" w:rsidP="00AE423D">
      <w:r>
        <w:t xml:space="preserve">FDC services expressed strong preferences against option 3, with the most </w:t>
      </w:r>
      <w:r w:rsidR="00BF7E16">
        <w:t>preferred</w:t>
      </w:r>
      <w:r w:rsidR="004C5562">
        <w:t xml:space="preserve"> option</w:t>
      </w:r>
      <w:r>
        <w:t xml:space="preserve"> being option 2 (refer to Chart 9.</w:t>
      </w:r>
      <w:r w:rsidR="00C549B9">
        <w:t>9</w:t>
      </w:r>
      <w:r>
        <w:t>). This reflects the concerns from the FDC sector has about option 3 if it is implemented. Notably, FDC preferences differ from the broader approved providers who expressed a preferences for option 3, followed by option 2 and 3 in combination, in the survey (refer to Chart 9.1</w:t>
      </w:r>
      <w:r w:rsidR="00C549B9">
        <w:t>0</w:t>
      </w:r>
      <w:r>
        <w:t xml:space="preserve">). This diverging view between FDCs and approved providers overall is expected to be a result of the costs and implementation concerns exclusively impacting FDCs. </w:t>
      </w:r>
    </w:p>
    <w:p w14:paraId="45B58315" w14:textId="160DC409" w:rsidR="00AE423D" w:rsidRPr="00143ADC" w:rsidRDefault="00AE423D" w:rsidP="00AE423D">
      <w:pPr>
        <w:pStyle w:val="Caption"/>
      </w:pPr>
      <w:bookmarkStart w:id="203" w:name="_Toc205884990"/>
      <w:r>
        <w:rPr>
          <w:shd w:val="clear" w:color="auto" w:fill="FFFFFF"/>
        </w:rPr>
        <w:lastRenderedPageBreak/>
        <w:t>Chart 9.</w:t>
      </w:r>
      <w:r w:rsidR="00C549B9">
        <w:rPr>
          <w:shd w:val="clear" w:color="auto" w:fill="FFFFFF"/>
        </w:rPr>
        <w:t>9</w:t>
      </w:r>
      <w:r>
        <w:rPr>
          <w:shd w:val="clear" w:color="auto" w:fill="FFFFFF"/>
        </w:rPr>
        <w:t xml:space="preserve">: </w:t>
      </w:r>
      <w:r w:rsidRPr="00707854">
        <w:rPr>
          <w:shd w:val="clear" w:color="auto" w:fill="FFFFFF"/>
        </w:rPr>
        <w:t>Approved provider</w:t>
      </w:r>
      <w:r>
        <w:rPr>
          <w:shd w:val="clear" w:color="auto" w:fill="FFFFFF"/>
        </w:rPr>
        <w:t xml:space="preserve"> </w:t>
      </w:r>
      <w:r w:rsidRPr="00707854">
        <w:rPr>
          <w:shd w:val="clear" w:color="auto" w:fill="FFFFFF"/>
        </w:rPr>
        <w:t xml:space="preserve">responses to “What is your </w:t>
      </w:r>
      <w:r w:rsidR="00370AB1">
        <w:rPr>
          <w:shd w:val="clear" w:color="auto" w:fill="FFFFFF"/>
        </w:rPr>
        <w:t>preferred</w:t>
      </w:r>
      <w:r w:rsidR="004C5562">
        <w:rPr>
          <w:shd w:val="clear" w:color="auto" w:fill="FFFFFF"/>
        </w:rPr>
        <w:t xml:space="preserve"> option</w:t>
      </w:r>
      <w:r w:rsidRPr="00707854">
        <w:rPr>
          <w:shd w:val="clear" w:color="auto" w:fill="FFFFFF"/>
        </w:rPr>
        <w:t xml:space="preserve"> or combination</w:t>
      </w:r>
      <w:r w:rsidRPr="001F75DD">
        <w:rPr>
          <w:shd w:val="clear" w:color="auto" w:fill="FFFFFF"/>
        </w:rPr>
        <w:t xml:space="preserve"> of </w:t>
      </w:r>
      <w:r>
        <w:rPr>
          <w:shd w:val="clear" w:color="auto" w:fill="FFFFFF"/>
        </w:rPr>
        <w:t>options</w:t>
      </w:r>
      <w:r w:rsidRPr="001F75DD">
        <w:rPr>
          <w:shd w:val="clear" w:color="auto" w:fill="FFFFFF"/>
        </w:rPr>
        <w:t>?” </w:t>
      </w:r>
      <w:r>
        <w:rPr>
          <w:shd w:val="clear" w:color="auto" w:fill="FFFFFF"/>
        </w:rPr>
        <w:t>- FDCs</w:t>
      </w:r>
      <w:bookmarkEnd w:id="203"/>
    </w:p>
    <w:p w14:paraId="5F728588" w14:textId="77777777" w:rsidR="00AE423D" w:rsidRDefault="00AE423D" w:rsidP="00AE423D">
      <w:pPr>
        <w:rPr>
          <w:highlight w:val="yellow"/>
        </w:rPr>
      </w:pPr>
      <w:r>
        <w:rPr>
          <w:noProof/>
          <w14:ligatures w14:val="standardContextual"/>
        </w:rPr>
        <w:drawing>
          <wp:inline distT="0" distB="0" distL="0" distR="0" wp14:anchorId="36AB96B9" wp14:editId="5C7397B6">
            <wp:extent cx="5559425" cy="1645920"/>
            <wp:effectExtent l="0" t="0" r="3175" b="0"/>
            <wp:docPr id="1899603156" name="Chart 1" descr="Chart outlining approved provider responses to the survey question &quot;What is your preferred option or combination of options?&quot; - for FDCs only">
              <a:extLst xmlns:a="http://schemas.openxmlformats.org/drawingml/2006/main">
                <a:ext uri="{FF2B5EF4-FFF2-40B4-BE49-F238E27FC236}">
                  <a16:creationId xmlns:a16="http://schemas.microsoft.com/office/drawing/2014/main" id="{23F25EE2-CB15-5BF6-26BA-1CB874A8F4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779A87E" w14:textId="77777777" w:rsidR="00AE423D" w:rsidRDefault="00AE423D" w:rsidP="004636EF">
      <w:pPr>
        <w:pStyle w:val="Source-CSR"/>
        <w:rPr>
          <w:shd w:val="clear" w:color="auto" w:fill="FFFFFF"/>
        </w:rPr>
      </w:pPr>
      <w:r w:rsidRPr="009E33F2">
        <w:rPr>
          <w:shd w:val="clear" w:color="auto" w:fill="FFFFFF"/>
        </w:rPr>
        <w:t>Source: Approved provider survey</w:t>
      </w:r>
      <w:r>
        <w:rPr>
          <w:shd w:val="clear" w:color="auto" w:fill="FFFFFF"/>
        </w:rPr>
        <w:t>, responses self-identified as FDC,</w:t>
      </w:r>
      <w:r w:rsidRPr="009E33F2">
        <w:rPr>
          <w:shd w:val="clear" w:color="auto" w:fill="FFFFFF"/>
        </w:rPr>
        <w:t xml:space="preserve"> as of 11 June 2025, Q</w:t>
      </w:r>
      <w:r>
        <w:rPr>
          <w:shd w:val="clear" w:color="auto" w:fill="FFFFFF"/>
        </w:rPr>
        <w:t>121</w:t>
      </w:r>
      <w:r w:rsidRPr="009E33F2">
        <w:rPr>
          <w:shd w:val="clear" w:color="auto" w:fill="FFFFFF"/>
        </w:rPr>
        <w:t>,</w:t>
      </w:r>
      <w:r>
        <w:rPr>
          <w:shd w:val="clear" w:color="auto" w:fill="FFFFFF"/>
        </w:rPr>
        <w:t xml:space="preserve"> n=35.</w:t>
      </w:r>
    </w:p>
    <w:p w14:paraId="2141CDCE" w14:textId="77777777" w:rsidR="00AE423D" w:rsidRPr="00905866" w:rsidRDefault="00AE423D" w:rsidP="00193A9F">
      <w:pPr>
        <w:pStyle w:val="Source-CSR"/>
        <w:rPr>
          <w:rFonts w:eastAsia="Calibri" w:cs="Arial"/>
          <w:color w:val="808080" w:themeColor="background1" w:themeShade="80"/>
        </w:rPr>
      </w:pPr>
      <w:r>
        <w:t>Note: Figures may not sum due to rounding.</w:t>
      </w:r>
    </w:p>
    <w:p w14:paraId="74811E1E" w14:textId="598509FF" w:rsidR="00AE423D" w:rsidRPr="00926570" w:rsidRDefault="00AE423D" w:rsidP="00AE423D">
      <w:pPr>
        <w:pStyle w:val="Caption"/>
      </w:pPr>
      <w:bookmarkStart w:id="204" w:name="_Toc205884991"/>
      <w:r>
        <w:rPr>
          <w:shd w:val="clear" w:color="auto" w:fill="FFFFFF"/>
        </w:rPr>
        <w:t>Chart 9.1</w:t>
      </w:r>
      <w:r w:rsidR="00C549B9">
        <w:rPr>
          <w:shd w:val="clear" w:color="auto" w:fill="FFFFFF"/>
        </w:rPr>
        <w:t>0</w:t>
      </w:r>
      <w:r>
        <w:rPr>
          <w:shd w:val="clear" w:color="auto" w:fill="FFFFFF"/>
        </w:rPr>
        <w:t xml:space="preserve">: </w:t>
      </w:r>
      <w:r w:rsidRPr="00707854">
        <w:rPr>
          <w:shd w:val="clear" w:color="auto" w:fill="FFFFFF"/>
        </w:rPr>
        <w:t xml:space="preserve">Approved provider responses to “What is your </w:t>
      </w:r>
      <w:r w:rsidR="00370AB1">
        <w:rPr>
          <w:shd w:val="clear" w:color="auto" w:fill="FFFFFF"/>
        </w:rPr>
        <w:t xml:space="preserve">preferred option or </w:t>
      </w:r>
      <w:r w:rsidR="00CE406F">
        <w:rPr>
          <w:shd w:val="clear" w:color="auto" w:fill="FFFFFF"/>
        </w:rPr>
        <w:t xml:space="preserve">combination </w:t>
      </w:r>
      <w:r w:rsidR="00CE406F" w:rsidRPr="001F75DD">
        <w:rPr>
          <w:shd w:val="clear" w:color="auto" w:fill="FFFFFF"/>
        </w:rPr>
        <w:t>of</w:t>
      </w:r>
      <w:r w:rsidRPr="001F75DD">
        <w:rPr>
          <w:shd w:val="clear" w:color="auto" w:fill="FFFFFF"/>
        </w:rPr>
        <w:t xml:space="preserve"> </w:t>
      </w:r>
      <w:r>
        <w:rPr>
          <w:shd w:val="clear" w:color="auto" w:fill="FFFFFF"/>
        </w:rPr>
        <w:t>options</w:t>
      </w:r>
      <w:r w:rsidRPr="001F75DD">
        <w:rPr>
          <w:shd w:val="clear" w:color="auto" w:fill="FFFFFF"/>
        </w:rPr>
        <w:t>?” </w:t>
      </w:r>
      <w:r>
        <w:rPr>
          <w:shd w:val="clear" w:color="auto" w:fill="FFFFFF"/>
        </w:rPr>
        <w:t>– all approved providers</w:t>
      </w:r>
      <w:bookmarkEnd w:id="204"/>
    </w:p>
    <w:p w14:paraId="186D4D47" w14:textId="77777777" w:rsidR="00AE423D" w:rsidRDefault="00AE423D" w:rsidP="00AE423D">
      <w:pPr>
        <w:rPr>
          <w:highlight w:val="lightGray"/>
        </w:rPr>
      </w:pPr>
      <w:r w:rsidRPr="000B1BF5">
        <w:rPr>
          <w:noProof/>
          <w:color w:val="FFFFFF" w:themeColor="background1"/>
          <w14:ligatures w14:val="standardContextual"/>
        </w:rPr>
        <w:drawing>
          <wp:inline distT="0" distB="0" distL="0" distR="0" wp14:anchorId="7F8E33A3" wp14:editId="386DB100">
            <wp:extent cx="5727700" cy="1990725"/>
            <wp:effectExtent l="0" t="0" r="6350" b="0"/>
            <wp:docPr id="461665220" name="Chart 1" descr="Chart outlining approved provider responses to the survey question &quot;What is your preferred option or combination of options?&quot; for all approved providers">
              <a:extLst xmlns:a="http://schemas.openxmlformats.org/drawingml/2006/main">
                <a:ext uri="{FF2B5EF4-FFF2-40B4-BE49-F238E27FC236}">
                  <a16:creationId xmlns:a16="http://schemas.microsoft.com/office/drawing/2014/main" id="{5259682C-B3D1-4B77-0E92-E239268256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43A5152" w14:textId="77777777" w:rsidR="00AE423D" w:rsidRDefault="00AE423D" w:rsidP="004636EF">
      <w:pPr>
        <w:pStyle w:val="Source-CSR"/>
        <w:rPr>
          <w:rFonts w:cs="Arial"/>
          <w:color w:val="808080"/>
          <w:shd w:val="clear" w:color="auto" w:fill="FFFFFF"/>
        </w:rPr>
      </w:pPr>
      <w:r w:rsidRPr="009E33F2">
        <w:rPr>
          <w:shd w:val="clear" w:color="auto" w:fill="FFFFFF"/>
        </w:rPr>
        <w:t xml:space="preserve">Source: Approved provider survey, as of 11 June </w:t>
      </w:r>
      <w:r w:rsidRPr="004636EF">
        <w:t>2025, Q121, n=103</w:t>
      </w:r>
    </w:p>
    <w:p w14:paraId="3C4E76EE" w14:textId="77777777" w:rsidR="00AE423D" w:rsidRPr="008C65B8" w:rsidRDefault="00AE423D" w:rsidP="00193A9F">
      <w:pPr>
        <w:pStyle w:val="Source-CSR"/>
        <w:rPr>
          <w:rFonts w:eastAsia="Calibri" w:cs="Arial"/>
          <w:color w:val="808080" w:themeColor="background1" w:themeShade="80"/>
        </w:rPr>
      </w:pPr>
      <w:r>
        <w:t>Note: Figures may not sum due to rounding.</w:t>
      </w:r>
    </w:p>
    <w:p w14:paraId="29354E85" w14:textId="63318014" w:rsidR="00AE423D" w:rsidRPr="000B1BF5" w:rsidRDefault="00AE423D" w:rsidP="00AE423D">
      <w:r w:rsidRPr="000B1BF5">
        <w:t xml:space="preserve">Respondents to the workforce survey (to which a </w:t>
      </w:r>
      <w:r w:rsidR="004D73B1">
        <w:t>disproportionate</w:t>
      </w:r>
      <w:r w:rsidRPr="000B1BF5">
        <w:t xml:space="preserve"> share of members from the FDC workforce responded) expressed a strong preference for option 1. Following option 1, there was a similar number of preferences for options 2 and 3 (refer to Chart 9.1</w:t>
      </w:r>
      <w:r w:rsidR="00C549B9">
        <w:t>1</w:t>
      </w:r>
      <w:r w:rsidRPr="000B1BF5">
        <w:t xml:space="preserve">). </w:t>
      </w:r>
    </w:p>
    <w:p w14:paraId="7D1217C8" w14:textId="3DD15ADE" w:rsidR="00AE423D" w:rsidRPr="0091290E" w:rsidRDefault="00AE423D" w:rsidP="00AE423D">
      <w:pPr>
        <w:pStyle w:val="Caption"/>
      </w:pPr>
      <w:bookmarkStart w:id="205" w:name="_Toc205884992"/>
      <w:r>
        <w:lastRenderedPageBreak/>
        <w:t>Chart 9.1</w:t>
      </w:r>
      <w:r w:rsidR="00C549B9">
        <w:t>1</w:t>
      </w:r>
      <w:r>
        <w:t xml:space="preserve">: </w:t>
      </w:r>
      <w:r w:rsidRPr="0091290E">
        <w:t xml:space="preserve">Workforce responses to “What is your </w:t>
      </w:r>
      <w:r w:rsidR="00B734E0">
        <w:t xml:space="preserve">preferred option or combination </w:t>
      </w:r>
      <w:r w:rsidRPr="0091290E">
        <w:t>of options?”</w:t>
      </w:r>
      <w:bookmarkEnd w:id="205"/>
      <w:r w:rsidRPr="0091290E">
        <w:t xml:space="preserve"> </w:t>
      </w:r>
    </w:p>
    <w:p w14:paraId="3A276132" w14:textId="77777777" w:rsidR="00AE423D" w:rsidRPr="00777542" w:rsidRDefault="00AE423D" w:rsidP="00193A9F">
      <w:pPr>
        <w:pStyle w:val="Source-CSR"/>
        <w:rPr>
          <w:color w:val="808080" w:themeColor="background1" w:themeShade="80"/>
          <w:szCs w:val="10"/>
          <w:highlight w:val="yellow"/>
        </w:rPr>
      </w:pPr>
      <w:r w:rsidRPr="000B1BF5">
        <w:rPr>
          <w:noProof/>
          <w:color w:val="000000"/>
          <w14:ligatures w14:val="standardContextual"/>
        </w:rPr>
        <w:drawing>
          <wp:inline distT="0" distB="0" distL="0" distR="0" wp14:anchorId="3392913E" wp14:editId="314EFD47">
            <wp:extent cx="5625389" cy="2000250"/>
            <wp:effectExtent l="0" t="0" r="0" b="0"/>
            <wp:docPr id="418226128" name="Chart 1" descr="Chart outlining workforce responses to the survey question &quot;What is your preferred option or combination of options?&quot;">
              <a:extLst xmlns:a="http://schemas.openxmlformats.org/drawingml/2006/main">
                <a:ext uri="{FF2B5EF4-FFF2-40B4-BE49-F238E27FC236}">
                  <a16:creationId xmlns:a16="http://schemas.microsoft.com/office/drawing/2014/main" id="{F4A5ECB0-885D-89EC-D2A3-20067B402C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3C899A7" w14:textId="77777777" w:rsidR="00AE423D" w:rsidRPr="004636EF" w:rsidRDefault="00AE423D" w:rsidP="004636EF">
      <w:pPr>
        <w:pStyle w:val="Source-CSR"/>
      </w:pPr>
      <w:r w:rsidRPr="0091290E">
        <w:t>Source: Workforce survey, as of 11 June 2025, Q96, n=171. Note that if a respondent sel</w:t>
      </w:r>
      <w:r w:rsidRPr="004636EF">
        <w:t>ected a combination of options, that selection is treated as a unique preference and not double-counted in each individual option.</w:t>
      </w:r>
    </w:p>
    <w:p w14:paraId="11BB5105" w14:textId="77777777" w:rsidR="00AE423D" w:rsidRPr="00905866" w:rsidRDefault="00AE423D" w:rsidP="00976C70">
      <w:pPr>
        <w:pStyle w:val="Source-CSR"/>
        <w:rPr>
          <w:rFonts w:eastAsia="Calibri" w:cs="Arial"/>
          <w:color w:val="808080" w:themeColor="background1" w:themeShade="80"/>
        </w:rPr>
      </w:pPr>
      <w:r>
        <w:t>Note: Figures may not sum due to rounding.</w:t>
      </w:r>
    </w:p>
    <w:p w14:paraId="5A1FECE1" w14:textId="255C76BC" w:rsidR="00AE423D" w:rsidRDefault="00AE423D" w:rsidP="00AE423D">
      <w:r>
        <w:t xml:space="preserve">Families expressed a very strong preference for option 3 (refer to </w:t>
      </w:r>
      <w:r w:rsidR="00C549B9">
        <w:t>C</w:t>
      </w:r>
      <w:r>
        <w:t>hart 9.1</w:t>
      </w:r>
      <w:r w:rsidR="00C549B9">
        <w:t>2</w:t>
      </w:r>
      <w:r>
        <w:t>).</w:t>
      </w:r>
    </w:p>
    <w:p w14:paraId="15CF5932" w14:textId="28CCA1DF" w:rsidR="00AE423D" w:rsidRPr="008E7DE7" w:rsidRDefault="00AE423D" w:rsidP="00AE423D">
      <w:pPr>
        <w:pStyle w:val="Caption"/>
      </w:pPr>
      <w:bookmarkStart w:id="206" w:name="_Toc205884993"/>
      <w:r>
        <w:t>Chart 9.1</w:t>
      </w:r>
      <w:r w:rsidR="00C549B9">
        <w:t>2</w:t>
      </w:r>
      <w:r>
        <w:t xml:space="preserve">: </w:t>
      </w:r>
      <w:r w:rsidRPr="008E7DE7">
        <w:t xml:space="preserve">Family, carer, and parent responses to “What is your </w:t>
      </w:r>
      <w:r w:rsidR="00B734E0">
        <w:t xml:space="preserve">preferred option or combination </w:t>
      </w:r>
      <w:r w:rsidRPr="008E7DE7">
        <w:t>of options?”</w:t>
      </w:r>
      <w:bookmarkEnd w:id="206"/>
    </w:p>
    <w:p w14:paraId="4E9D8464" w14:textId="77777777" w:rsidR="00AE423D" w:rsidRPr="008E7DE7" w:rsidRDefault="00AE423D" w:rsidP="00AE423D">
      <w:pPr>
        <w:rPr>
          <w:noProof/>
          <w14:ligatures w14:val="standardContextual"/>
        </w:rPr>
      </w:pPr>
      <w:r w:rsidRPr="008E7DE7">
        <w:rPr>
          <w:noProof/>
          <w14:ligatures w14:val="standardContextual"/>
        </w:rPr>
        <w:drawing>
          <wp:inline distT="0" distB="0" distL="0" distR="0" wp14:anchorId="1B8AE663" wp14:editId="395F379F">
            <wp:extent cx="5676900" cy="1765004"/>
            <wp:effectExtent l="0" t="0" r="0" b="6985"/>
            <wp:docPr id="620612382" name="Chart 1" descr="Chart outlining family, carer, and parent responses to the survey question &quot;What is your preferred option or combination of options?&quot;">
              <a:extLst xmlns:a="http://schemas.openxmlformats.org/drawingml/2006/main">
                <a:ext uri="{FF2B5EF4-FFF2-40B4-BE49-F238E27FC236}">
                  <a16:creationId xmlns:a16="http://schemas.microsoft.com/office/drawing/2014/main" id="{84477381-4DEB-5C5C-10D1-12DF88AD3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BECD722" w14:textId="77777777" w:rsidR="00AE423D" w:rsidRDefault="00AE423D" w:rsidP="00976C70">
      <w:pPr>
        <w:pStyle w:val="Source-CSR"/>
        <w:rPr>
          <w:color w:val="808080" w:themeColor="background1" w:themeShade="80"/>
          <w:szCs w:val="10"/>
        </w:rPr>
      </w:pPr>
      <w:r w:rsidRPr="008E7DE7">
        <w:t xml:space="preserve">Source: Families, carers and parents </w:t>
      </w:r>
      <w:r w:rsidRPr="004636EF">
        <w:t>survey, as of 11 June 2025, Q96, n=71. Note that if a respondent selected a combination of options, that selection is treated as a unique preference and not double-counted in each individual option.</w:t>
      </w:r>
    </w:p>
    <w:p w14:paraId="4C56C12C" w14:textId="537415B4" w:rsidR="00AE423D" w:rsidRPr="00AE423D" w:rsidRDefault="00AE423D" w:rsidP="00976C70">
      <w:pPr>
        <w:pStyle w:val="Source-CSR"/>
        <w:rPr>
          <w:rFonts w:eastAsia="Calibri" w:cs="Arial"/>
          <w:color w:val="808080" w:themeColor="background1" w:themeShade="80"/>
        </w:rPr>
      </w:pPr>
      <w:r>
        <w:t>Note: Figures may not sum due to rounding.</w:t>
      </w:r>
    </w:p>
    <w:p w14:paraId="54B4AA59" w14:textId="4245A48D" w:rsidR="4917049A" w:rsidRPr="008B38CA" w:rsidRDefault="5A7543EF" w:rsidP="4917049A">
      <w:r>
        <w:t>Long form written submissions also largely supported option 3</w:t>
      </w:r>
      <w:r w:rsidR="52E55597">
        <w:t>, w</w:t>
      </w:r>
      <w:r w:rsidR="6954B3DA">
        <w:t>i</w:t>
      </w:r>
      <w:r w:rsidR="52E55597">
        <w:t xml:space="preserve">th a small number </w:t>
      </w:r>
      <w:r w:rsidR="50A8A6A0">
        <w:t>of FDC stakeholders not supporting regulatory change.</w:t>
      </w:r>
      <w:r w:rsidR="00444A15">
        <w:t xml:space="preserve"> </w:t>
      </w:r>
    </w:p>
    <w:p w14:paraId="250C8413" w14:textId="4D46670A" w:rsidR="004119A5" w:rsidRDefault="004119A5" w:rsidP="004119A5">
      <w:pPr>
        <w:pStyle w:val="Heading3"/>
      </w:pPr>
      <w:r>
        <w:t xml:space="preserve">What is the </w:t>
      </w:r>
      <w:r w:rsidR="004C5562">
        <w:t>recommended option</w:t>
      </w:r>
      <w:r>
        <w:t>(s) and how will it be implemented?</w:t>
      </w:r>
    </w:p>
    <w:p w14:paraId="4F5FAE66" w14:textId="7DB6D1FB" w:rsidR="00130129" w:rsidRDefault="006C59C2" w:rsidP="00C63C86">
      <w:r w:rsidRPr="00622BC7">
        <w:t xml:space="preserve">Option 3 </w:t>
      </w:r>
      <w:r>
        <w:t>is</w:t>
      </w:r>
      <w:r w:rsidRPr="00622BC7">
        <w:t xml:space="preserve"> the option to be provided to Education Ministers for consideration. This is on the basis that </w:t>
      </w:r>
      <w:r>
        <w:t>this option</w:t>
      </w:r>
      <w:r w:rsidRPr="00622BC7">
        <w:t xml:space="preserve"> would generate the most significant improvements to child safety even after accounting for potential implementation costs. </w:t>
      </w:r>
      <w:r w:rsidR="00290D03">
        <w:t>This</w:t>
      </w:r>
      <w:r w:rsidR="004D73B1">
        <w:t xml:space="preserve"> option was viewed to </w:t>
      </w:r>
      <w:r w:rsidR="00130129">
        <w:t>fill</w:t>
      </w:r>
      <w:r w:rsidR="004D73B1">
        <w:t xml:space="preserve"> a critical gap in Regulatory Authorities’ current </w:t>
      </w:r>
      <w:r w:rsidR="00130129">
        <w:t xml:space="preserve">powers to undertake quality and compliance checks in FDC services and to be able to investigate potential incidents pertaining to alleged or suspected breaches of the National Law or National Regulations. </w:t>
      </w:r>
    </w:p>
    <w:p w14:paraId="562155B8" w14:textId="62D01B81" w:rsidR="00C63C86" w:rsidRDefault="005A7D7F" w:rsidP="00C63C86">
      <w:r>
        <w:lastRenderedPageBreak/>
        <w:t>If the recommended option is implemented</w:t>
      </w:r>
      <w:r w:rsidR="00C63C86">
        <w:t xml:space="preserve">, governments will provide more specific guidance </w:t>
      </w:r>
      <w:r w:rsidR="009F3B21">
        <w:t>which confirms that</w:t>
      </w:r>
      <w:r w:rsidR="00C63C86">
        <w:t xml:space="preserve"> entry powers can only be exercised under the listed </w:t>
      </w:r>
      <w:r w:rsidR="00C63C86" w:rsidRPr="002523C5">
        <w:t xml:space="preserve">instances </w:t>
      </w:r>
      <w:r w:rsidR="00C63C86">
        <w:t>and</w:t>
      </w:r>
      <w:r w:rsidR="00C63C86" w:rsidRPr="002523C5">
        <w:t xml:space="preserve"> purposes </w:t>
      </w:r>
      <w:r w:rsidR="00C63C86">
        <w:t xml:space="preserve">identified. </w:t>
      </w:r>
      <w:r w:rsidR="00A142A3">
        <w:t>Specific</w:t>
      </w:r>
      <w:r w:rsidR="00C63C86">
        <w:t xml:space="preserve"> instances and specific purposes </w:t>
      </w:r>
      <w:r w:rsidR="00A142A3">
        <w:t>will</w:t>
      </w:r>
      <w:r w:rsidR="00C63C86">
        <w:t xml:space="preserve"> comprise: </w:t>
      </w:r>
    </w:p>
    <w:p w14:paraId="57E24FC8" w14:textId="5F82E47B" w:rsidR="00C63C86" w:rsidRDefault="00C63C86" w:rsidP="00EC53AB">
      <w:pPr>
        <w:pStyle w:val="ListParagraph"/>
        <w:numPr>
          <w:ilvl w:val="0"/>
          <w:numId w:val="97"/>
        </w:numPr>
        <w:ind w:left="426"/>
      </w:pPr>
      <w:r>
        <w:t>if a serious incident has occurred, or the authorised officer reasonably suspects that a serious incident has occurred</w:t>
      </w:r>
      <w:r w:rsidR="00E63CC0">
        <w:t xml:space="preserve"> (for example, if a child leaves the FDC service premises, this may need to be investigated</w:t>
      </w:r>
      <w:r w:rsidR="00853693">
        <w:t xml:space="preserve"> by an authorised officer</w:t>
      </w:r>
      <w:r w:rsidR="00E63CC0">
        <w:t>)</w:t>
      </w:r>
      <w:r w:rsidR="00E63CC0" w:rsidRPr="00E63CC0">
        <w:rPr>
          <w:rStyle w:val="FootnoteReference"/>
        </w:rPr>
        <w:t xml:space="preserve"> </w:t>
      </w:r>
      <w:r w:rsidR="00E63CC0">
        <w:rPr>
          <w:rStyle w:val="FootnoteReference"/>
        </w:rPr>
        <w:footnoteReference w:id="141"/>
      </w:r>
    </w:p>
    <w:p w14:paraId="201B80A1" w14:textId="3B8419C0" w:rsidR="00C63C86" w:rsidRDefault="00C63C86" w:rsidP="00EC53AB">
      <w:pPr>
        <w:pStyle w:val="ListParagraph"/>
        <w:numPr>
          <w:ilvl w:val="0"/>
          <w:numId w:val="97"/>
        </w:numPr>
        <w:ind w:left="426"/>
      </w:pPr>
      <w:r>
        <w:t>to assess or monitor compliance with regulation 116</w:t>
      </w:r>
      <w:r w:rsidR="00E63CC0">
        <w:t xml:space="preserve"> (for example, an authorised officer </w:t>
      </w:r>
      <w:r w:rsidR="00853693">
        <w:t>may check to see that hazards in the FDC residence are sufficiently inaccessible to children)</w:t>
      </w:r>
      <w:r w:rsidR="004F29BB">
        <w:rPr>
          <w:rStyle w:val="FootnoteReference"/>
        </w:rPr>
        <w:footnoteReference w:id="142"/>
      </w:r>
    </w:p>
    <w:p w14:paraId="010935AD" w14:textId="0518E909" w:rsidR="004119A5" w:rsidRPr="0091290E" w:rsidRDefault="00C63C86" w:rsidP="005F7827">
      <w:pPr>
        <w:pStyle w:val="ListParagraph"/>
        <w:ind w:left="426"/>
        <w:rPr>
          <w:color w:val="808080" w:themeColor="background1" w:themeShade="80"/>
          <w:sz w:val="14"/>
          <w:szCs w:val="10"/>
        </w:rPr>
      </w:pPr>
      <w:r>
        <w:t>to assess or monitor compliance with regulation 97</w:t>
      </w:r>
      <w:r w:rsidR="00853693">
        <w:t xml:space="preserve"> (for example, an authorised officer </w:t>
      </w:r>
      <w:r w:rsidR="00EB1E8E">
        <w:t>may need to physically observe evacuation routes)</w:t>
      </w:r>
      <w:r>
        <w:t>.</w:t>
      </w:r>
      <w:r>
        <w:rPr>
          <w:rStyle w:val="FootnoteReference"/>
        </w:rPr>
        <w:footnoteReference w:id="143"/>
      </w:r>
    </w:p>
    <w:p w14:paraId="7C3D87BB" w14:textId="26498726" w:rsidR="00382BA2" w:rsidRDefault="00131CAB" w:rsidP="006A476C">
      <w:pPr>
        <w:rPr>
          <w:rFonts w:eastAsia="MS Mincho" w:cs="Arial"/>
          <w:color w:val="14233C"/>
          <w:sz w:val="52"/>
          <w:szCs w:val="80"/>
          <w:lang w:val="en-GB"/>
        </w:rPr>
      </w:pPr>
      <w:r>
        <w:t xml:space="preserve">The provision of this guidance will help to alleviate the concerns around privacy breaches among FDC educators and their family members and set clear expectations around when </w:t>
      </w:r>
      <w:r w:rsidR="006A476C">
        <w:t>the expanded entry powers under option 3 can be exercised.</w:t>
      </w:r>
      <w:r w:rsidR="00382BA2">
        <w:br w:type="page"/>
      </w:r>
    </w:p>
    <w:p w14:paraId="6D4E8431" w14:textId="77777777" w:rsidR="00DD321A" w:rsidRDefault="00DD321A" w:rsidP="00DD321A">
      <w:pPr>
        <w:pStyle w:val="Heading1"/>
      </w:pPr>
      <w:bookmarkStart w:id="207" w:name="_10._Additional_recommendations"/>
      <w:bookmarkStart w:id="208" w:name="_Toc201934879"/>
      <w:bookmarkStart w:id="209" w:name="_Ref203425965"/>
      <w:bookmarkStart w:id="210" w:name="_Toc205884902"/>
      <w:bookmarkEnd w:id="207"/>
      <w:r>
        <w:lastRenderedPageBreak/>
        <w:t>10. Additional recommendations</w:t>
      </w:r>
      <w:bookmarkEnd w:id="208"/>
      <w:bookmarkEnd w:id="209"/>
      <w:bookmarkEnd w:id="210"/>
    </w:p>
    <w:p w14:paraId="7CBAEDAF" w14:textId="3C43470A" w:rsidR="00F515D3" w:rsidRPr="00166EE4" w:rsidRDefault="00F515D3" w:rsidP="00F515D3">
      <w:r w:rsidRPr="00166EE4">
        <w:t xml:space="preserve">The CSR </w:t>
      </w:r>
      <w:r>
        <w:t xml:space="preserve">introduced multiple recommendations intended to uphold </w:t>
      </w:r>
      <w:r w:rsidRPr="00166EE4">
        <w:t xml:space="preserve">child safety in education and care services. </w:t>
      </w:r>
      <w:r>
        <w:t xml:space="preserve">Recommendation 16 of the CSR proposes a supplementary child safety review informed by ongoing learning and analysis. </w:t>
      </w:r>
      <w:r w:rsidRPr="00276DC3">
        <w:t xml:space="preserve">This chapter </w:t>
      </w:r>
      <w:r>
        <w:t>outlines additional recommendations to bolster areas</w:t>
      </w:r>
      <w:r w:rsidRPr="00276DC3">
        <w:t xml:space="preserve"> in the </w:t>
      </w:r>
      <w:r>
        <w:t>education and care sector where</w:t>
      </w:r>
      <w:r w:rsidRPr="00276DC3">
        <w:t xml:space="preserve"> </w:t>
      </w:r>
      <w:r w:rsidRPr="00166EE4">
        <w:t xml:space="preserve">opportunities to strengthen </w:t>
      </w:r>
      <w:r>
        <w:t>the NQF have been identified subsequent to the publication of the</w:t>
      </w:r>
      <w:r w:rsidRPr="00166EE4">
        <w:t xml:space="preserve"> </w:t>
      </w:r>
      <w:r>
        <w:t>CSR</w:t>
      </w:r>
      <w:r w:rsidRPr="00166EE4">
        <w:t xml:space="preserve">. </w:t>
      </w:r>
    </w:p>
    <w:p w14:paraId="1B7528B7" w14:textId="323180DB" w:rsidR="00F515D3" w:rsidRPr="00166EE4" w:rsidRDefault="00F515D3" w:rsidP="00F515D3">
      <w:r w:rsidRPr="00166EE4">
        <w:t>These additional recommendations seek to:</w:t>
      </w:r>
    </w:p>
    <w:p w14:paraId="4D838932" w14:textId="66DE2C4F" w:rsidR="00F515D3" w:rsidRPr="00166EE4" w:rsidRDefault="00F515D3" w:rsidP="005F7827">
      <w:pPr>
        <w:pStyle w:val="ListParagraph"/>
        <w:ind w:left="426"/>
      </w:pPr>
      <w:r w:rsidRPr="00166EE4">
        <w:t xml:space="preserve">enable Regulatory Authorities to more </w:t>
      </w:r>
      <w:r>
        <w:t>effectively regulate</w:t>
      </w:r>
      <w:r w:rsidRPr="00166EE4">
        <w:t xml:space="preserve"> related providers;</w:t>
      </w:r>
    </w:p>
    <w:p w14:paraId="531CB117" w14:textId="1600DD2E" w:rsidR="00F515D3" w:rsidRPr="00166EE4" w:rsidRDefault="00F515D3" w:rsidP="005F7827">
      <w:pPr>
        <w:pStyle w:val="ListParagraph"/>
        <w:ind w:left="426"/>
      </w:pPr>
      <w:r w:rsidRPr="00166EE4">
        <w:t>amend the limitation period for commencing prosecution of offences under the National Law; and</w:t>
      </w:r>
    </w:p>
    <w:p w14:paraId="0EC29334" w14:textId="77777777" w:rsidR="00F515D3" w:rsidRPr="00166EE4" w:rsidRDefault="00F515D3" w:rsidP="005F7827">
      <w:pPr>
        <w:pStyle w:val="ListParagraph"/>
        <w:ind w:left="426"/>
      </w:pPr>
      <w:r w:rsidRPr="00166EE4">
        <w:t xml:space="preserve">strengthen Regulatory Authorities’ ability to regulate agency educators. </w:t>
      </w:r>
    </w:p>
    <w:p w14:paraId="5995EF2E" w14:textId="543B0205" w:rsidR="00F515D3" w:rsidRDefault="00F515D3" w:rsidP="00F515D3">
      <w:pPr>
        <w:rPr>
          <w:bCs/>
        </w:rPr>
      </w:pPr>
      <w:r w:rsidRPr="00166EE4">
        <w:t>This aims to ensure the NQF maintains a high regulatory standard, fulfilling its intended purpose and prioritising children’s safety and protection in education and care services.</w:t>
      </w:r>
    </w:p>
    <w:p w14:paraId="6F5D7DDC" w14:textId="07414BAE" w:rsidR="00F515D3" w:rsidRDefault="00F515D3" w:rsidP="00F515D3">
      <w:r>
        <w:t>The proposed reform areas discussed in this chapter are:</w:t>
      </w:r>
    </w:p>
    <w:p w14:paraId="6FDF8AA4" w14:textId="57CF43E1" w:rsidR="00F515D3" w:rsidRDefault="00F515D3" w:rsidP="005F7827">
      <w:pPr>
        <w:pStyle w:val="ListParagraph"/>
        <w:ind w:left="426"/>
      </w:pPr>
      <w:r>
        <w:t>Chapter 10.1 – Effective identification, monitoring, and regulation of ‘related providers’</w:t>
      </w:r>
      <w:r w:rsidR="005F7827">
        <w:t>,</w:t>
      </w:r>
    </w:p>
    <w:p w14:paraId="6DD6B1E2" w14:textId="3DC12B6C" w:rsidR="00F515D3" w:rsidRPr="00B92831" w:rsidRDefault="00F515D3" w:rsidP="005F7827">
      <w:pPr>
        <w:pStyle w:val="ListParagraph"/>
        <w:ind w:left="426"/>
      </w:pPr>
      <w:r>
        <w:t>Chapter 10.2 – Extending the limitation period for commencing proceedings under the National Law</w:t>
      </w:r>
      <w:r w:rsidR="005F7827">
        <w:t>,</w:t>
      </w:r>
    </w:p>
    <w:p w14:paraId="4BFC172F" w14:textId="6B872AC6" w:rsidR="00F515D3" w:rsidRPr="00B92831" w:rsidRDefault="00F515D3" w:rsidP="005F7827">
      <w:pPr>
        <w:pStyle w:val="ListParagraph"/>
        <w:ind w:left="426"/>
      </w:pPr>
      <w:r>
        <w:t>Chapter 10.3 – Improving information sharing requirements for recruitment agencies.</w:t>
      </w:r>
    </w:p>
    <w:p w14:paraId="6805A7E0" w14:textId="46671779" w:rsidR="00F515D3" w:rsidRDefault="00F515D3" w:rsidP="00F515D3">
      <w:pPr>
        <w:pStyle w:val="Heading2"/>
      </w:pPr>
      <w:bookmarkStart w:id="211" w:name="_Toc201934880"/>
      <w:bookmarkStart w:id="212" w:name="_Toc205884903"/>
      <w:r>
        <w:t>10.1 Effective identification, monitoring and regulation of ‘related providers’</w:t>
      </w:r>
      <w:bookmarkEnd w:id="211"/>
      <w:bookmarkEnd w:id="212"/>
    </w:p>
    <w:tbl>
      <w:tblPr>
        <w:tblStyle w:val="Deloittetable"/>
        <w:tblW w:w="9140" w:type="dxa"/>
        <w:tblLook w:val="04A0" w:firstRow="1" w:lastRow="0" w:firstColumn="1" w:lastColumn="0" w:noHBand="0" w:noVBand="1"/>
        <w:tblCaption w:val="Key insights - Effective identification, monitoring and regulation of ‘related providers’"/>
        <w:tblDescription w:val="This table outlines the key insights for effective identification, monitoring and regulation of ‘related providers’."/>
      </w:tblPr>
      <w:tblGrid>
        <w:gridCol w:w="9140"/>
      </w:tblGrid>
      <w:tr w:rsidR="00F65ED3" w14:paraId="1FB1B1FA" w14:textId="77777777">
        <w:trPr>
          <w:cnfStyle w:val="100000000000" w:firstRow="1" w:lastRow="0" w:firstColumn="0" w:lastColumn="0" w:oddVBand="0" w:evenVBand="0" w:oddHBand="0" w:evenHBand="0" w:firstRowFirstColumn="0" w:firstRowLastColumn="0" w:lastRowFirstColumn="0" w:lastRowLastColumn="0"/>
          <w:trHeight w:val="1641"/>
        </w:trPr>
        <w:tc>
          <w:tcPr>
            <w:tcW w:w="9140" w:type="dxa"/>
            <w:shd w:val="clear" w:color="auto" w:fill="DEE6F4" w:themeFill="text2" w:themeFillTint="1A"/>
          </w:tcPr>
          <w:p w14:paraId="3E85D88F" w14:textId="77777777" w:rsidR="00F65ED3" w:rsidRPr="005347A5" w:rsidRDefault="00F65ED3">
            <w:pPr>
              <w:rPr>
                <w:b/>
                <w:bCs/>
                <w:sz w:val="20"/>
                <w:szCs w:val="20"/>
              </w:rPr>
            </w:pPr>
            <w:r w:rsidRPr="005347A5">
              <w:rPr>
                <w:b/>
                <w:bCs/>
                <w:sz w:val="20"/>
                <w:szCs w:val="20"/>
              </w:rPr>
              <w:t xml:space="preserve">Key Insights </w:t>
            </w:r>
          </w:p>
          <w:p w14:paraId="2FD1AAE2" w14:textId="77777777" w:rsidR="00F65ED3" w:rsidRPr="00712583" w:rsidRDefault="00F65ED3">
            <w:pPr>
              <w:rPr>
                <w:i/>
                <w:szCs w:val="22"/>
              </w:rPr>
            </w:pPr>
            <w:r>
              <w:rPr>
                <w:i/>
                <w:szCs w:val="22"/>
              </w:rPr>
              <w:t>Problem</w:t>
            </w:r>
          </w:p>
          <w:p w14:paraId="569C7E15" w14:textId="77777777" w:rsidR="0054293E" w:rsidRPr="0054293E" w:rsidRDefault="00F65ED3" w:rsidP="00EC53AB">
            <w:pPr>
              <w:pStyle w:val="ListParagraph"/>
              <w:numPr>
                <w:ilvl w:val="0"/>
                <w:numId w:val="100"/>
              </w:numPr>
              <w:spacing w:before="120"/>
              <w:ind w:left="462"/>
              <w:contextualSpacing/>
              <w:rPr>
                <w:i/>
                <w:szCs w:val="20"/>
              </w:rPr>
            </w:pPr>
            <w:r w:rsidRPr="00F65ED3">
              <w:rPr>
                <w:szCs w:val="20"/>
              </w:rPr>
              <w:t xml:space="preserve">The risks to child safety can be significant when the connections or relatedness of approved providers and services is unknown to Regulatory Authorities. For example, when monitoring the compliance of a single approved provider, or when a single approved provider is seeking to expand its education and care services, the compliance history of the approved provider is known and taken into account in regulatory decision making. </w:t>
            </w:r>
          </w:p>
          <w:p w14:paraId="5B5CE1E3" w14:textId="15529B28" w:rsidR="0054293E" w:rsidRPr="0054293E" w:rsidRDefault="0054293E" w:rsidP="00EC53AB">
            <w:pPr>
              <w:pStyle w:val="ListParagraph"/>
              <w:numPr>
                <w:ilvl w:val="0"/>
                <w:numId w:val="100"/>
              </w:numPr>
              <w:spacing w:before="120"/>
              <w:ind w:left="462"/>
              <w:contextualSpacing/>
              <w:rPr>
                <w:i/>
                <w:szCs w:val="20"/>
              </w:rPr>
            </w:pPr>
            <w:r>
              <w:t>Regulatory oversight of related providers is made more challenging by ‘invisible’ transfers of service approvals, when an entity purchases a corporate provider entity.</w:t>
            </w:r>
          </w:p>
          <w:p w14:paraId="2DE4F614" w14:textId="55DCB723" w:rsidR="0054293E" w:rsidRDefault="0054293E" w:rsidP="00EC53AB">
            <w:pPr>
              <w:pStyle w:val="ListParagraph"/>
              <w:numPr>
                <w:ilvl w:val="0"/>
                <w:numId w:val="100"/>
              </w:numPr>
              <w:spacing w:before="120"/>
              <w:ind w:left="462"/>
              <w:contextualSpacing/>
              <w:rPr>
                <w:i/>
                <w:szCs w:val="20"/>
              </w:rPr>
            </w:pPr>
            <w:r>
              <w:lastRenderedPageBreak/>
              <w:t xml:space="preserve">There are also jurisdictional inconsistencies in how related providers are identified, monitored, and regulated using varying strategies and approaches. Some jurisdictions use PMCs in common to impact on licensing decisions, others address PMC failings through fitness and priority reassessments of the </w:t>
            </w:r>
            <w:r w:rsidR="00935EFD">
              <w:t>PMC</w:t>
            </w:r>
            <w:r>
              <w:t>.</w:t>
            </w:r>
          </w:p>
          <w:p w14:paraId="1714DCFC" w14:textId="4C9DC35F" w:rsidR="00F65ED3" w:rsidRPr="00F65ED3" w:rsidRDefault="00F65ED3" w:rsidP="0054293E">
            <w:pPr>
              <w:spacing w:before="120"/>
              <w:contextualSpacing/>
              <w:rPr>
                <w:i/>
                <w:szCs w:val="20"/>
              </w:rPr>
            </w:pPr>
            <w:r w:rsidRPr="00F65ED3">
              <w:rPr>
                <w:i/>
                <w:szCs w:val="20"/>
              </w:rPr>
              <w:t>Impacts of each option</w:t>
            </w:r>
          </w:p>
          <w:p w14:paraId="29E65366" w14:textId="1AE0634B" w:rsidR="00AF072A" w:rsidRPr="005C2511" w:rsidRDefault="00AF072A" w:rsidP="00EC53AB">
            <w:pPr>
              <w:pStyle w:val="ListParagraph"/>
              <w:numPr>
                <w:ilvl w:val="0"/>
                <w:numId w:val="100"/>
              </w:numPr>
              <w:tabs>
                <w:tab w:val="clear" w:pos="2835"/>
              </w:tabs>
              <w:spacing w:before="120"/>
              <w:ind w:left="462"/>
              <w:contextualSpacing/>
              <w:rPr>
                <w:szCs w:val="20"/>
              </w:rPr>
            </w:pPr>
            <w:r>
              <w:t xml:space="preserve">Overall, </w:t>
            </w:r>
            <w:r w:rsidR="00087AD0">
              <w:t>option 3A and 3B</w:t>
            </w:r>
            <w:r w:rsidRPr="00232112">
              <w:t xml:space="preserve"> is expected to result in the greatest reduction in harm to children, with </w:t>
            </w:r>
            <w:r>
              <w:t xml:space="preserve">most </w:t>
            </w:r>
            <w:r w:rsidRPr="005C363E">
              <w:t>stakeholders indicating</w:t>
            </w:r>
            <w:r w:rsidR="00C454F3">
              <w:t xml:space="preserve"> that</w:t>
            </w:r>
            <w:r w:rsidRPr="005C363E">
              <w:t xml:space="preserve"> this option would </w:t>
            </w:r>
            <w:r w:rsidR="00C454F3">
              <w:t>‘</w:t>
            </w:r>
            <w:r w:rsidRPr="005C363E">
              <w:t>greatly reduce</w:t>
            </w:r>
            <w:r w:rsidR="00C454F3">
              <w:t>’</w:t>
            </w:r>
            <w:r w:rsidRPr="005C363E">
              <w:t xml:space="preserve"> or </w:t>
            </w:r>
            <w:r w:rsidR="00C454F3">
              <w:t>‘</w:t>
            </w:r>
            <w:r w:rsidRPr="005C363E">
              <w:t>somewhat reduce</w:t>
            </w:r>
            <w:r w:rsidR="00C454F3">
              <w:t>’</w:t>
            </w:r>
            <w:r w:rsidRPr="005C363E">
              <w:t xml:space="preserve"> the likelihood of harm</w:t>
            </w:r>
            <w:r>
              <w:t>.</w:t>
            </w:r>
          </w:p>
          <w:p w14:paraId="72CCF516" w14:textId="4D2A6171" w:rsidR="00A6321A" w:rsidRDefault="00C454F3" w:rsidP="00EC53AB">
            <w:pPr>
              <w:pStyle w:val="ListParagraph"/>
              <w:numPr>
                <w:ilvl w:val="0"/>
                <w:numId w:val="100"/>
              </w:numPr>
              <w:tabs>
                <w:tab w:val="clear" w:pos="2835"/>
              </w:tabs>
              <w:spacing w:before="120"/>
              <w:ind w:left="462"/>
              <w:contextualSpacing/>
            </w:pPr>
            <w:r>
              <w:t>O</w:t>
            </w:r>
            <w:r w:rsidR="00087AD0">
              <w:t>ption 3A and 3B</w:t>
            </w:r>
            <w:r w:rsidR="005C2511">
              <w:t xml:space="preserve"> </w:t>
            </w:r>
            <w:r w:rsidR="00A6321A">
              <w:t>is</w:t>
            </w:r>
            <w:r w:rsidR="005C2511">
              <w:t xml:space="preserve"> </w:t>
            </w:r>
            <w:r w:rsidR="00A6321A">
              <w:t>expected to impose more costs, largely for Regulatory Authorities and approved providers operating with a related provider structure. These would include costs associated with:</w:t>
            </w:r>
          </w:p>
          <w:p w14:paraId="3B8D7ADF" w14:textId="77777777" w:rsidR="00A6321A" w:rsidRDefault="00A6321A" w:rsidP="00EC53AB">
            <w:pPr>
              <w:pStyle w:val="ListParagraph"/>
              <w:numPr>
                <w:ilvl w:val="1"/>
                <w:numId w:val="71"/>
              </w:numPr>
              <w:tabs>
                <w:tab w:val="clear" w:pos="2835"/>
              </w:tabs>
              <w:spacing w:before="120"/>
              <w:ind w:left="1171"/>
              <w:contextualSpacing/>
            </w:pPr>
            <w:r>
              <w:t>t</w:t>
            </w:r>
            <w:r w:rsidRPr="000D2E12">
              <w:t>raining and upskilling staff on new protocols for related provider issues</w:t>
            </w:r>
          </w:p>
          <w:p w14:paraId="4C94066D" w14:textId="77777777" w:rsidR="00A6321A" w:rsidRDefault="00A6321A" w:rsidP="00EC53AB">
            <w:pPr>
              <w:pStyle w:val="ListParagraph"/>
              <w:numPr>
                <w:ilvl w:val="1"/>
                <w:numId w:val="71"/>
              </w:numPr>
              <w:tabs>
                <w:tab w:val="clear" w:pos="2835"/>
              </w:tabs>
              <w:spacing w:before="120"/>
              <w:ind w:left="1171"/>
              <w:contextualSpacing/>
            </w:pPr>
            <w:r>
              <w:t>n</w:t>
            </w:r>
            <w:r w:rsidRPr="000D2E12">
              <w:t>otifying and recording related provider relationships in appropriate system</w:t>
            </w:r>
            <w:r>
              <w:t>s.</w:t>
            </w:r>
          </w:p>
          <w:p w14:paraId="19F87A51" w14:textId="735A8E2D" w:rsidR="00A6321A" w:rsidRPr="00362322" w:rsidRDefault="00087AD0" w:rsidP="00EC53AB">
            <w:pPr>
              <w:pStyle w:val="ListParagraph"/>
              <w:numPr>
                <w:ilvl w:val="0"/>
                <w:numId w:val="71"/>
              </w:numPr>
              <w:tabs>
                <w:tab w:val="clear" w:pos="2835"/>
              </w:tabs>
              <w:spacing w:before="120"/>
              <w:ind w:left="462"/>
              <w:contextualSpacing/>
            </w:pPr>
            <w:r>
              <w:t>Option 3A and 3B</w:t>
            </w:r>
            <w:r w:rsidR="00A6321A">
              <w:t xml:space="preserve"> was unequivocally the </w:t>
            </w:r>
            <w:r w:rsidR="00BF7E16">
              <w:t>preferred</w:t>
            </w:r>
            <w:r w:rsidR="004C5562">
              <w:t xml:space="preserve"> option</w:t>
            </w:r>
            <w:r w:rsidR="00A6321A">
              <w:t xml:space="preserve"> of stakeholders consulted and survey respondents and was agreed on by governments. </w:t>
            </w:r>
          </w:p>
          <w:p w14:paraId="3B7777E1" w14:textId="740D4483" w:rsidR="00F65ED3" w:rsidRPr="00712583" w:rsidRDefault="004C5562">
            <w:pPr>
              <w:rPr>
                <w:szCs w:val="22"/>
              </w:rPr>
            </w:pPr>
            <w:r>
              <w:rPr>
                <w:i/>
                <w:szCs w:val="22"/>
              </w:rPr>
              <w:t>Recommended option</w:t>
            </w:r>
          </w:p>
          <w:p w14:paraId="0C0B11AC" w14:textId="47D0673D" w:rsidR="00F65ED3" w:rsidRPr="00397987" w:rsidRDefault="00E772D4" w:rsidP="005F7827">
            <w:pPr>
              <w:pStyle w:val="ListParagraph"/>
              <w:ind w:left="462"/>
            </w:pPr>
            <w:r w:rsidRPr="00931972">
              <w:rPr>
                <w:szCs w:val="20"/>
              </w:rPr>
              <w:t>Based on analysis included in this DRIS, the options with the highest net benefit to be provided to Education Ministers for consideration are</w:t>
            </w:r>
            <w:r w:rsidRPr="00352F42">
              <w:rPr>
                <w:szCs w:val="20"/>
              </w:rPr>
              <w:t xml:space="preserve"> </w:t>
            </w:r>
            <w:r>
              <w:rPr>
                <w:szCs w:val="20"/>
              </w:rPr>
              <w:t>o</w:t>
            </w:r>
            <w:r w:rsidR="00352F42" w:rsidRPr="00352F42">
              <w:rPr>
                <w:szCs w:val="20"/>
              </w:rPr>
              <w:t xml:space="preserve">ptions 2, 3A and 3B. </w:t>
            </w:r>
            <w:r w:rsidR="002142F8" w:rsidRPr="002142F8">
              <w:rPr>
                <w:szCs w:val="20"/>
              </w:rPr>
              <w:t xml:space="preserve">If implementing the recommended options, state and territory governments would </w:t>
            </w:r>
            <w:r w:rsidR="00352F42" w:rsidRPr="00352F42">
              <w:rPr>
                <w:szCs w:val="20"/>
              </w:rPr>
              <w:t xml:space="preserve">develop a more explicit definition of related providers for inclusion in the National Law. Governments will also establish protocols by which related provider relationships need to be reported to Regulatory Authorities, both at the onset of the legislative change and for any mergers or acquisitions that </w:t>
            </w:r>
            <w:r w:rsidR="00C454F3">
              <w:rPr>
                <w:szCs w:val="20"/>
              </w:rPr>
              <w:t>subsequently occur</w:t>
            </w:r>
            <w:r w:rsidR="00352F42" w:rsidRPr="00352F42">
              <w:rPr>
                <w:szCs w:val="20"/>
              </w:rPr>
              <w:t>.</w:t>
            </w:r>
          </w:p>
        </w:tc>
      </w:tr>
    </w:tbl>
    <w:p w14:paraId="5C99A041" w14:textId="2EDA4CA6" w:rsidR="00F515D3" w:rsidRDefault="00F515D3" w:rsidP="00F515D3">
      <w:pPr>
        <w:spacing w:before="240"/>
      </w:pPr>
      <w:r>
        <w:lastRenderedPageBreak/>
        <w:t xml:space="preserve">There is a risk that Regulatory Authorities cannot effectively monitor compliance with the NQF when there is an increasing number of services operating under different providers approved under the NQF that are held by the same entity or with the same (or some of the same) PMCs (i.e., </w:t>
      </w:r>
      <w:r w:rsidRPr="0043508F">
        <w:t>a person upon whom the legal obligations of an education and care provider are imposed</w:t>
      </w:r>
      <w:r>
        <w:t>). Providers of this nature are referred to as ‘related providers’.</w:t>
      </w:r>
      <w:r>
        <w:rPr>
          <w:rStyle w:val="FootnoteReference"/>
        </w:rPr>
        <w:footnoteReference w:id="144"/>
      </w:r>
      <w:r>
        <w:t xml:space="preserve"> </w:t>
      </w:r>
    </w:p>
    <w:p w14:paraId="0BDC8D97" w14:textId="0541EDB6" w:rsidR="00F515D3" w:rsidRDefault="00F515D3" w:rsidP="00F515D3">
      <w:r>
        <w:t>The current structures and powers under the NQF do not reflect the actual provider structures that have evolved within the sector, do not allow Regulatory Authorities to identify systemic risks at the related provider level, and when risk is identified, do not enable appropriate action to be taken against groups of related providers.</w:t>
      </w:r>
      <w:r w:rsidRPr="00A837A1">
        <w:t xml:space="preserve"> </w:t>
      </w:r>
      <w:r>
        <w:t xml:space="preserve">The National Law is structured on the assumption of one provider approval to multiple services and is not conceptually set up to deal with groups of related providers. </w:t>
      </w:r>
    </w:p>
    <w:p w14:paraId="2CFB46E0" w14:textId="430E04D7" w:rsidR="00F515D3" w:rsidRDefault="00F515D3" w:rsidP="00F515D3">
      <w:r>
        <w:t>The National Law sets out processes for obtaining provider approvals, service approvals, and service transfers, and applies provisions for compliance tools</w:t>
      </w:r>
      <w:r>
        <w:rPr>
          <w:rStyle w:val="FootnoteReference"/>
        </w:rPr>
        <w:footnoteReference w:id="145"/>
      </w:r>
      <w:r>
        <w:t xml:space="preserve"> under this assumption. </w:t>
      </w:r>
      <w:r>
        <w:lastRenderedPageBreak/>
        <w:t>Under a related provider structure, when a quality or compliance issue exists at the system level of the related provider, enforcement action can only be taken at the level of an individual provider approval, leaving the risk across the system unaddressed.</w:t>
      </w:r>
    </w:p>
    <w:p w14:paraId="0ED9C37F" w14:textId="0D918DA6" w:rsidR="00F515D3" w:rsidRPr="00097246" w:rsidRDefault="00F515D3" w:rsidP="00F515D3">
      <w:r>
        <w:t xml:space="preserve">The NQA ITS is also not designed to easily uncover or record potential linkages between approved providers, as it records and presents information for individual approved providers only. </w:t>
      </w:r>
    </w:p>
    <w:p w14:paraId="0F5F3F7B" w14:textId="64C78D85" w:rsidR="00F515D3" w:rsidRPr="00097246" w:rsidRDefault="00F515D3" w:rsidP="00F515D3">
      <w:r>
        <w:t>A similar problem was identified under Family Assistance Law (FAL), whereby steps have already been taken to include a related provider definition. The definition introduced for FAL (refer to Appendix 12.8) provides a starting point for a potential definition that could be introduced into the National Law, with amendments to ensure it is suitable for the NQF context.</w:t>
      </w:r>
    </w:p>
    <w:p w14:paraId="19245644" w14:textId="77777777" w:rsidR="00F515D3" w:rsidRPr="00655159" w:rsidRDefault="00F515D3" w:rsidP="00F515D3">
      <w:pPr>
        <w:pStyle w:val="Heading3"/>
        <w:ind w:left="720" w:hanging="720"/>
      </w:pPr>
      <w:r>
        <w:t>What is the problem?</w:t>
      </w:r>
    </w:p>
    <w:p w14:paraId="0C40EB85" w14:textId="7F1D6A8B" w:rsidR="00F515D3" w:rsidRDefault="00F515D3" w:rsidP="00F515D3">
      <w:r>
        <w:t xml:space="preserve">The risks to child safety can be significant when the connections or relatedness of approved providers and services is unknown to Regulatory Authorities. For example, when monitoring the compliance of a single approved provider, or when a single approved provider is seeking to expand its education and care services, the compliance history of the approved provider is known and taken into account in regulatory decision making. It is, however, difficult to obtain a similar overall picture for related providers and so regulatory decisions may be made on limited and/or incomplete regulatory intelligence. There are risks to child safety if Regulatory Authorities cannot accurately assess the risk of an approved provider’s expansion if their services under a separate (but related) provider are demonstrating poor quality and/or have a history of non-compliance. </w:t>
      </w:r>
    </w:p>
    <w:p w14:paraId="46B0C06B" w14:textId="1E99242F" w:rsidR="00F515D3" w:rsidRDefault="00F515D3" w:rsidP="00F515D3">
      <w:r>
        <w:t xml:space="preserve">Regulatory oversight of related providers is made more challenging by ‘invisible’ transfers of service approvals, when an entity purchases a corporate provider entity. When an education and care service is transferred from one approved provider to another, the Regulatory Authority has oversight and ability to intervene under Part 3, Division 3 of the National Law. When ownership of the provider entity is instead transferred to another entity, the Regulatory Authority is reliant on a notification of change of </w:t>
      </w:r>
      <w:r w:rsidR="008324D6">
        <w:t>PMCs</w:t>
      </w:r>
      <w:r>
        <w:t xml:space="preserve"> if one is made. </w:t>
      </w:r>
    </w:p>
    <w:p w14:paraId="7C4AA67B" w14:textId="23F3D1E1" w:rsidR="00F515D3" w:rsidRDefault="00F515D3" w:rsidP="00F515D3">
      <w:r>
        <w:t xml:space="preserve">There are also jurisdictional inconsistencies in how related providers are identified, monitored, and regulated using varying strategies and approaches. Some jurisdictions use PMCs in common to impact on licensing decisions, others address PMC failings through fitness and priority reassessments of the </w:t>
      </w:r>
      <w:r w:rsidR="00A3032D">
        <w:t>PMC</w:t>
      </w:r>
      <w:r>
        <w:t xml:space="preserve">. Inconsistencies in how the compliance history of PMCs is taken into account by different Regulatory Authorities, as well as varying </w:t>
      </w:r>
      <w:r>
        <w:lastRenderedPageBreak/>
        <w:t>risk appetites and thresholds for compliance action, may also impact how coordinated action is taken in relation to multi-jurisdictional providers.</w:t>
      </w:r>
    </w:p>
    <w:p w14:paraId="7259CE60" w14:textId="0B09C94C" w:rsidR="00F515D3" w:rsidRDefault="00F515D3" w:rsidP="00F515D3">
      <w:r>
        <w:t xml:space="preserve">Jurisdictions have experienced tangible, real-world challenges with regulating related providers, which have </w:t>
      </w:r>
      <w:r w:rsidR="00162A03">
        <w:t>indicated</w:t>
      </w:r>
      <w:r>
        <w:t xml:space="preserve"> additional risks to child safety. These investigations have required significant manual effort for jurisdictional Regulatory Authorities to identify related providers. While these investigations have led to the identification of substantial risks to child safety across related providers’ education and care services, enforcement action has only been able to be taken at the individual approved provider level.</w:t>
      </w:r>
    </w:p>
    <w:p w14:paraId="4FA55CA7" w14:textId="21156D46" w:rsidR="00F515D3" w:rsidRDefault="00EB4295" w:rsidP="00F515D3">
      <w:pPr>
        <w:pStyle w:val="Heading3"/>
      </w:pPr>
      <w:r>
        <w:t>What were the policy options consulted on?</w:t>
      </w:r>
    </w:p>
    <w:p w14:paraId="22E1F97F" w14:textId="3A6F9248" w:rsidR="00F515D3" w:rsidRDefault="00F515D3" w:rsidP="00F515D3">
      <w:r>
        <w:t xml:space="preserve">Three options, including one non-regulatory option and one regulatory option are under consideration. </w:t>
      </w:r>
      <w:r w:rsidRPr="007A37E4">
        <w:t>Options 2</w:t>
      </w:r>
      <w:r w:rsidR="00EF5DC6">
        <w:t xml:space="preserve"> and</w:t>
      </w:r>
      <w:r w:rsidR="00667BE7">
        <w:t xml:space="preserve"> </w:t>
      </w:r>
      <w:r>
        <w:t>3</w:t>
      </w:r>
      <w:r w:rsidR="00C648E4">
        <w:t>A and 3B</w:t>
      </w:r>
      <w:r w:rsidRPr="007A37E4">
        <w:t xml:space="preserve"> are not mutually exclusive, and the </w:t>
      </w:r>
      <w:r w:rsidR="004C5562">
        <w:t>recommended option</w:t>
      </w:r>
      <w:r w:rsidRPr="007A37E4">
        <w:t xml:space="preserve"> for these recommendations can be any combination of the proposed regulatory and non-regulatory approaches.</w:t>
      </w:r>
    </w:p>
    <w:p w14:paraId="4037F85A" w14:textId="442061E6" w:rsidR="00F515D3" w:rsidRPr="002A611E" w:rsidRDefault="00F515D3" w:rsidP="00F515D3">
      <w:pPr>
        <w:pStyle w:val="Caption"/>
      </w:pPr>
      <w:bookmarkStart w:id="213" w:name="_Toc201934915"/>
      <w:bookmarkStart w:id="214" w:name="_Toc205884994"/>
      <w:r>
        <w:t xml:space="preserve">Table 10.1: Policy options under consideration – </w:t>
      </w:r>
      <w:r w:rsidRPr="00B53803">
        <w:t>Effective identification, monitoring and regulation of ‘related providers’</w:t>
      </w:r>
      <w:bookmarkEnd w:id="213"/>
      <w:bookmarkEnd w:id="21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0.1: Policy options under consideration – Effective identification, monitoring and regulation of ‘related providers’"/>
        <w:tblDescription w:val="This table outlines the policy options under consideration for effective identification, monitoring and regulation of ‘related providers’."/>
      </w:tblPr>
      <w:tblGrid>
        <w:gridCol w:w="1631"/>
        <w:gridCol w:w="7379"/>
      </w:tblGrid>
      <w:tr w:rsidR="00F515D3" w:rsidRPr="006C7A6B" w14:paraId="1E73DFE0" w14:textId="77777777" w:rsidTr="004636EF">
        <w:trPr>
          <w:tblHeader/>
        </w:trPr>
        <w:tc>
          <w:tcPr>
            <w:tcW w:w="905" w:type="pct"/>
            <w:shd w:val="clear" w:color="auto" w:fill="14233C" w:themeFill="text2"/>
          </w:tcPr>
          <w:p w14:paraId="15E05C52" w14:textId="0D7D8C1B" w:rsidR="00F515D3" w:rsidRPr="00981818" w:rsidRDefault="00F515D3">
            <w:pPr>
              <w:jc w:val="center"/>
              <w:rPr>
                <w:b/>
                <w:color w:val="FFFFFF" w:themeColor="background1"/>
                <w:szCs w:val="22"/>
              </w:rPr>
            </w:pPr>
            <w:r w:rsidRPr="00981818">
              <w:rPr>
                <w:b/>
                <w:color w:val="FFFFFF" w:themeColor="background1"/>
                <w:szCs w:val="22"/>
              </w:rPr>
              <w:t>Option</w:t>
            </w:r>
          </w:p>
        </w:tc>
        <w:tc>
          <w:tcPr>
            <w:tcW w:w="4095" w:type="pct"/>
            <w:shd w:val="clear" w:color="auto" w:fill="14233C" w:themeFill="text2"/>
          </w:tcPr>
          <w:p w14:paraId="5B426D9C" w14:textId="77777777" w:rsidR="00F515D3" w:rsidRPr="00981818" w:rsidRDefault="00F515D3">
            <w:pPr>
              <w:jc w:val="center"/>
              <w:rPr>
                <w:b/>
                <w:color w:val="FFFFFF" w:themeColor="background1"/>
                <w:szCs w:val="22"/>
              </w:rPr>
            </w:pPr>
            <w:r w:rsidRPr="00981818">
              <w:rPr>
                <w:b/>
                <w:color w:val="FFFFFF" w:themeColor="background1"/>
                <w:szCs w:val="22"/>
              </w:rPr>
              <w:t>Description</w:t>
            </w:r>
          </w:p>
        </w:tc>
      </w:tr>
      <w:tr w:rsidR="00F515D3" w14:paraId="04D7669E" w14:textId="77777777" w:rsidTr="0070597C">
        <w:trPr>
          <w:trHeight w:val="313"/>
        </w:trPr>
        <w:tc>
          <w:tcPr>
            <w:tcW w:w="905" w:type="pct"/>
          </w:tcPr>
          <w:p w14:paraId="5E6064EC" w14:textId="77777777" w:rsidR="00F515D3" w:rsidRPr="00981818" w:rsidRDefault="00F515D3">
            <w:pPr>
              <w:rPr>
                <w:szCs w:val="22"/>
              </w:rPr>
            </w:pPr>
            <w:r w:rsidRPr="00981818">
              <w:rPr>
                <w:szCs w:val="22"/>
              </w:rPr>
              <w:t>1</w:t>
            </w:r>
          </w:p>
        </w:tc>
        <w:tc>
          <w:tcPr>
            <w:tcW w:w="4095" w:type="pct"/>
          </w:tcPr>
          <w:p w14:paraId="330C95B1" w14:textId="0B566931" w:rsidR="00F515D3" w:rsidRPr="00981818" w:rsidRDefault="00F515D3">
            <w:pPr>
              <w:rPr>
                <w:szCs w:val="22"/>
              </w:rPr>
            </w:pPr>
            <w:r w:rsidRPr="00981818">
              <w:rPr>
                <w:szCs w:val="22"/>
              </w:rPr>
              <w:t>Status quo (no change).</w:t>
            </w:r>
          </w:p>
        </w:tc>
      </w:tr>
      <w:tr w:rsidR="00F515D3" w14:paraId="5C6BF986" w14:textId="77777777" w:rsidTr="0070597C">
        <w:tc>
          <w:tcPr>
            <w:tcW w:w="905" w:type="pct"/>
          </w:tcPr>
          <w:p w14:paraId="56888188" w14:textId="77777777" w:rsidR="00F515D3" w:rsidRPr="00981818" w:rsidRDefault="00F515D3">
            <w:pPr>
              <w:rPr>
                <w:szCs w:val="22"/>
              </w:rPr>
            </w:pPr>
            <w:r w:rsidRPr="00981818">
              <w:rPr>
                <w:szCs w:val="22"/>
              </w:rPr>
              <w:t>2</w:t>
            </w:r>
          </w:p>
        </w:tc>
        <w:tc>
          <w:tcPr>
            <w:tcW w:w="4095" w:type="pct"/>
          </w:tcPr>
          <w:p w14:paraId="12FAC8D7" w14:textId="77777777" w:rsidR="00F515D3" w:rsidRPr="00981818" w:rsidRDefault="00F515D3">
            <w:pPr>
              <w:rPr>
                <w:b/>
                <w:bCs/>
                <w:szCs w:val="22"/>
              </w:rPr>
            </w:pPr>
            <w:r w:rsidRPr="00981818">
              <w:rPr>
                <w:b/>
                <w:szCs w:val="22"/>
              </w:rPr>
              <w:t>Non-regulatory</w:t>
            </w:r>
          </w:p>
          <w:p w14:paraId="4DDE18D8" w14:textId="3406FB88" w:rsidR="00F515D3" w:rsidRPr="00981818" w:rsidRDefault="00F515D3">
            <w:pPr>
              <w:rPr>
                <w:szCs w:val="22"/>
              </w:rPr>
            </w:pPr>
            <w:r w:rsidRPr="00981818">
              <w:rPr>
                <w:szCs w:val="22"/>
              </w:rPr>
              <w:t>Guidance for the sector and families to improve awareness of an increase in the number of services with multiple approved providers that are being operated by a single controlling entity and/or PMCs in common.</w:t>
            </w:r>
          </w:p>
        </w:tc>
      </w:tr>
      <w:tr w:rsidR="00F515D3" w14:paraId="52CE2E15" w14:textId="77777777" w:rsidTr="0070597C">
        <w:tc>
          <w:tcPr>
            <w:tcW w:w="905" w:type="pct"/>
            <w:vMerge w:val="restart"/>
          </w:tcPr>
          <w:p w14:paraId="35506877" w14:textId="6CA1C423" w:rsidR="00F515D3" w:rsidRPr="00981818" w:rsidRDefault="00F515D3">
            <w:pPr>
              <w:rPr>
                <w:szCs w:val="22"/>
              </w:rPr>
            </w:pPr>
            <w:r w:rsidRPr="00981818">
              <w:rPr>
                <w:szCs w:val="22"/>
              </w:rPr>
              <w:t>3</w:t>
            </w:r>
          </w:p>
        </w:tc>
        <w:tc>
          <w:tcPr>
            <w:tcW w:w="4095" w:type="pct"/>
          </w:tcPr>
          <w:p w14:paraId="24A9EEE0" w14:textId="17D068B1" w:rsidR="00F515D3" w:rsidRPr="00981818" w:rsidRDefault="00F515D3">
            <w:pPr>
              <w:rPr>
                <w:b/>
                <w:szCs w:val="22"/>
              </w:rPr>
            </w:pPr>
            <w:r w:rsidRPr="00981818">
              <w:rPr>
                <w:b/>
                <w:szCs w:val="22"/>
              </w:rPr>
              <w:t>Option 3A (regulatory)</w:t>
            </w:r>
          </w:p>
          <w:p w14:paraId="68C46E73" w14:textId="39BCDB52" w:rsidR="00F515D3" w:rsidRPr="00981818" w:rsidRDefault="00F515D3">
            <w:pPr>
              <w:rPr>
                <w:szCs w:val="22"/>
              </w:rPr>
            </w:pPr>
            <w:r w:rsidRPr="00981818">
              <w:rPr>
                <w:szCs w:val="22"/>
              </w:rPr>
              <w:t>Legislative amendment to add a definition of related providers that is designed to help Regulatory Authorities efficiently and effectively identify and monitor related providers. Powers for Regulatory Authorities to take compliance and enforcement action at the related provider level would be needed, as well as requirements for providers to disclose they are related.</w:t>
            </w:r>
          </w:p>
        </w:tc>
      </w:tr>
      <w:tr w:rsidR="00F515D3" w14:paraId="55A102F5" w14:textId="77777777" w:rsidTr="0070597C">
        <w:tc>
          <w:tcPr>
            <w:tcW w:w="905" w:type="pct"/>
            <w:vMerge/>
          </w:tcPr>
          <w:p w14:paraId="4ACAC294" w14:textId="500E596F" w:rsidR="00F515D3" w:rsidRPr="00981818" w:rsidRDefault="00F515D3">
            <w:pPr>
              <w:rPr>
                <w:szCs w:val="22"/>
              </w:rPr>
            </w:pPr>
          </w:p>
        </w:tc>
        <w:tc>
          <w:tcPr>
            <w:tcW w:w="4095" w:type="pct"/>
          </w:tcPr>
          <w:p w14:paraId="4E00623F" w14:textId="7363B44A" w:rsidR="00F515D3" w:rsidRPr="00981818" w:rsidRDefault="00F515D3">
            <w:pPr>
              <w:rPr>
                <w:b/>
                <w:bCs/>
                <w:szCs w:val="22"/>
              </w:rPr>
            </w:pPr>
            <w:r w:rsidRPr="00981818">
              <w:rPr>
                <w:b/>
                <w:szCs w:val="22"/>
              </w:rPr>
              <w:t>Option 3B (regulatory)</w:t>
            </w:r>
          </w:p>
          <w:p w14:paraId="5F9797A2" w14:textId="162473DB" w:rsidR="00F515D3" w:rsidRPr="00981818" w:rsidRDefault="00F515D3">
            <w:pPr>
              <w:rPr>
                <w:szCs w:val="22"/>
              </w:rPr>
            </w:pPr>
            <w:r w:rsidRPr="00981818">
              <w:rPr>
                <w:szCs w:val="22"/>
              </w:rPr>
              <w:lastRenderedPageBreak/>
              <w:t xml:space="preserve">Legislative amendment to require notice of acquisition to the Regulatory Authority when ownership of an approved provider is transferred to another entity. </w:t>
            </w:r>
          </w:p>
        </w:tc>
      </w:tr>
    </w:tbl>
    <w:p w14:paraId="5D6576ED" w14:textId="77777777" w:rsidR="00F515D3" w:rsidRDefault="00F515D3" w:rsidP="00F515D3"/>
    <w:p w14:paraId="1737D7C6" w14:textId="77777777" w:rsidR="00F515D3" w:rsidRDefault="00F515D3" w:rsidP="00F515D3">
      <w:pPr>
        <w:pStyle w:val="Heading3"/>
      </w:pPr>
      <w:r>
        <w:t>What are the impacts of each option?</w:t>
      </w:r>
    </w:p>
    <w:p w14:paraId="20A0DFCB" w14:textId="77777777" w:rsidR="00F515D3" w:rsidRDefault="00F515D3" w:rsidP="00F515D3">
      <w:pPr>
        <w:pStyle w:val="Heading4"/>
      </w:pPr>
      <w:r>
        <w:t xml:space="preserve">Impact on child safety </w:t>
      </w:r>
    </w:p>
    <w:p w14:paraId="34439D51" w14:textId="6E87C509" w:rsidR="00F515D3" w:rsidRPr="003D7DA9" w:rsidRDefault="00F515D3" w:rsidP="00F515D3">
      <w:pPr>
        <w:rPr>
          <w:iCs/>
        </w:rPr>
      </w:pPr>
      <w:r>
        <w:rPr>
          <w:iCs/>
        </w:rPr>
        <w:t>Under</w:t>
      </w:r>
      <w:r w:rsidRPr="003D7DA9">
        <w:rPr>
          <w:iCs/>
        </w:rPr>
        <w:t xml:space="preserve"> option 2, guidance </w:t>
      </w:r>
      <w:r>
        <w:rPr>
          <w:iCs/>
        </w:rPr>
        <w:t>w</w:t>
      </w:r>
      <w:r w:rsidRPr="003D7DA9">
        <w:rPr>
          <w:iCs/>
        </w:rPr>
        <w:t xml:space="preserve">ould be provided to </w:t>
      </w:r>
      <w:r>
        <w:rPr>
          <w:iCs/>
        </w:rPr>
        <w:t>the education and care</w:t>
      </w:r>
      <w:r w:rsidRPr="003D7DA9">
        <w:rPr>
          <w:iCs/>
        </w:rPr>
        <w:t xml:space="preserve"> sector and </w:t>
      </w:r>
      <w:r>
        <w:rPr>
          <w:iCs/>
        </w:rPr>
        <w:t>to</w:t>
      </w:r>
      <w:r w:rsidRPr="003D7DA9">
        <w:rPr>
          <w:iCs/>
        </w:rPr>
        <w:t xml:space="preserve"> families regarding related providers, offering transparency and assistance </w:t>
      </w:r>
      <w:r w:rsidR="007E1AD0">
        <w:rPr>
          <w:iCs/>
        </w:rPr>
        <w:t xml:space="preserve">that may help </w:t>
      </w:r>
      <w:r w:rsidRPr="003D7DA9">
        <w:rPr>
          <w:iCs/>
        </w:rPr>
        <w:t xml:space="preserve">families and other stakeholders make decisions about </w:t>
      </w:r>
      <w:r w:rsidR="007E1AD0">
        <w:rPr>
          <w:iCs/>
        </w:rPr>
        <w:t xml:space="preserve">the appropriateness of a </w:t>
      </w:r>
      <w:r w:rsidRPr="003D7DA9">
        <w:rPr>
          <w:iCs/>
        </w:rPr>
        <w:t xml:space="preserve">service </w:t>
      </w:r>
      <w:r w:rsidR="007E1AD0">
        <w:rPr>
          <w:iCs/>
        </w:rPr>
        <w:t>provider</w:t>
      </w:r>
      <w:r w:rsidRPr="003D7DA9">
        <w:rPr>
          <w:iCs/>
        </w:rPr>
        <w:t>. However, relying solely on non-regulatory actions is unlikely to effectively address the challenges in monitoring and enforcing compliance among related providers.</w:t>
      </w:r>
      <w:r>
        <w:rPr>
          <w:iCs/>
        </w:rPr>
        <w:t xml:space="preserve"> As such, this option may not materially improve child safety outcomes.</w:t>
      </w:r>
    </w:p>
    <w:p w14:paraId="0DB0CE93" w14:textId="7458591F" w:rsidR="00F515D3" w:rsidRDefault="00F515D3" w:rsidP="00F515D3">
      <w:pPr>
        <w:rPr>
          <w:iCs/>
        </w:rPr>
      </w:pPr>
      <w:r w:rsidRPr="003D7DA9">
        <w:rPr>
          <w:iCs/>
        </w:rPr>
        <w:t xml:space="preserve">Option 3A, a regulatory approach, would provide a definition of related providers, powers </w:t>
      </w:r>
      <w:r w:rsidR="00450B2C">
        <w:rPr>
          <w:iCs/>
        </w:rPr>
        <w:t>for</w:t>
      </w:r>
      <w:r w:rsidR="00450B2C" w:rsidRPr="003D7DA9">
        <w:rPr>
          <w:iCs/>
        </w:rPr>
        <w:t xml:space="preserve"> </w:t>
      </w:r>
      <w:r w:rsidRPr="003D7DA9">
        <w:rPr>
          <w:iCs/>
        </w:rPr>
        <w:t xml:space="preserve">Regulatory Authorities </w:t>
      </w:r>
      <w:r w:rsidR="00450B2C">
        <w:rPr>
          <w:iCs/>
        </w:rPr>
        <w:t xml:space="preserve">to take compliance and enforcement action </w:t>
      </w:r>
      <w:r w:rsidRPr="003D7DA9">
        <w:rPr>
          <w:iCs/>
        </w:rPr>
        <w:t xml:space="preserve">at the related provider level and establish requirements for </w:t>
      </w:r>
      <w:r w:rsidR="00450B2C">
        <w:rPr>
          <w:iCs/>
        </w:rPr>
        <w:t>providers to disclose they are related</w:t>
      </w:r>
      <w:r w:rsidRPr="003D7DA9">
        <w:rPr>
          <w:iCs/>
        </w:rPr>
        <w:t xml:space="preserve">. </w:t>
      </w:r>
      <w:r w:rsidR="00F7317C">
        <w:rPr>
          <w:iCs/>
        </w:rPr>
        <w:t xml:space="preserve">Enacting regulatory powers at the related provider level will </w:t>
      </w:r>
      <w:r w:rsidR="003E4BAE">
        <w:rPr>
          <w:iCs/>
        </w:rPr>
        <w:t>support greater</w:t>
      </w:r>
      <w:r w:rsidR="00F7317C">
        <w:rPr>
          <w:iCs/>
        </w:rPr>
        <w:t xml:space="preserve"> monitoring and compliance for related providers effectively reducing child harm while resources are used more efficiently.</w:t>
      </w:r>
      <w:r w:rsidRPr="00BC4931">
        <w:rPr>
          <w:iCs/>
        </w:rPr>
        <w:t xml:space="preserve"> </w:t>
      </w:r>
    </w:p>
    <w:p w14:paraId="20F6EC91" w14:textId="69737733" w:rsidR="00F515D3" w:rsidRPr="003D7DA9" w:rsidRDefault="00F515D3" w:rsidP="00F515D3">
      <w:pPr>
        <w:rPr>
          <w:iCs/>
        </w:rPr>
      </w:pPr>
      <w:r>
        <w:rPr>
          <w:iCs/>
        </w:rPr>
        <w:t>Option 3B complements option 3A by</w:t>
      </w:r>
      <w:r w:rsidRPr="003D7DA9">
        <w:rPr>
          <w:iCs/>
        </w:rPr>
        <w:t xml:space="preserve"> requiring notifications to Regulatory Authorities when related provider groups are created or expanded. Mandating notifications of acquisitions to the Regulatory Authority would enhance oversight </w:t>
      </w:r>
      <w:r>
        <w:rPr>
          <w:iCs/>
        </w:rPr>
        <w:t>of related providers, reducing the time required for a Regulatory Authorities</w:t>
      </w:r>
      <w:r w:rsidRPr="003D7DA9">
        <w:rPr>
          <w:iCs/>
        </w:rPr>
        <w:t xml:space="preserve"> to </w:t>
      </w:r>
      <w:r>
        <w:rPr>
          <w:iCs/>
        </w:rPr>
        <w:t>manually identify related providers when considering compliance measures</w:t>
      </w:r>
      <w:r w:rsidRPr="003D7DA9">
        <w:rPr>
          <w:iCs/>
        </w:rPr>
        <w:t xml:space="preserve">. </w:t>
      </w:r>
    </w:p>
    <w:p w14:paraId="44E62632" w14:textId="02821F1D" w:rsidR="00F515D3" w:rsidRPr="005C363E" w:rsidRDefault="00F515D3" w:rsidP="00F515D3">
      <w:r>
        <w:t xml:space="preserve">Overall, </w:t>
      </w:r>
      <w:r w:rsidR="00087AD0">
        <w:t>option 3A and 3B</w:t>
      </w:r>
      <w:r w:rsidRPr="00232112">
        <w:t xml:space="preserve"> is expected to result in the greatest reduction in harm to children, with </w:t>
      </w:r>
      <w:r>
        <w:t xml:space="preserve">most </w:t>
      </w:r>
      <w:r w:rsidRPr="005C363E">
        <w:t xml:space="preserve">stakeholders indicating this option would </w:t>
      </w:r>
      <w:r w:rsidR="00433D0B">
        <w:t>‘</w:t>
      </w:r>
      <w:r w:rsidRPr="005C363E">
        <w:t>greatly reduce</w:t>
      </w:r>
      <w:r w:rsidR="00433D0B">
        <w:t>’</w:t>
      </w:r>
      <w:r w:rsidRPr="005C363E">
        <w:t xml:space="preserve"> or </w:t>
      </w:r>
      <w:r w:rsidR="00433D0B">
        <w:t>‘</w:t>
      </w:r>
      <w:r w:rsidRPr="005C363E">
        <w:t>somewhat reduce</w:t>
      </w:r>
      <w:r w:rsidR="00433D0B">
        <w:t>’</w:t>
      </w:r>
      <w:r w:rsidRPr="005C363E">
        <w:t xml:space="preserve"> the likelihood of harm (refer to Chart 10.1). </w:t>
      </w:r>
    </w:p>
    <w:p w14:paraId="2D70742B" w14:textId="5D11D38E" w:rsidR="00F515D3" w:rsidRDefault="00F515D3" w:rsidP="00F515D3">
      <w:pPr>
        <w:pStyle w:val="Caption"/>
      </w:pPr>
      <w:bookmarkStart w:id="215" w:name="_Toc201934916"/>
      <w:bookmarkStart w:id="216" w:name="_Toc205884995"/>
      <w:r w:rsidRPr="005C363E">
        <w:lastRenderedPageBreak/>
        <w:t xml:space="preserve">Chart 10.1: Approved provider responses to “What is your </w:t>
      </w:r>
      <w:r w:rsidR="00370AB1">
        <w:t xml:space="preserve">preferred option or </w:t>
      </w:r>
      <w:r w:rsidR="00B03B1E">
        <w:t xml:space="preserve">combination </w:t>
      </w:r>
      <w:r w:rsidR="00B03B1E" w:rsidRPr="005C363E">
        <w:t>of</w:t>
      </w:r>
      <w:r w:rsidRPr="005C363E">
        <w:t xml:space="preserve"> options?”</w:t>
      </w:r>
      <w:bookmarkEnd w:id="215"/>
      <w:bookmarkEnd w:id="216"/>
    </w:p>
    <w:p w14:paraId="0949808C" w14:textId="2350D257" w:rsidR="00F515D3" w:rsidRDefault="00F515D3" w:rsidP="00F515D3">
      <w:r>
        <w:rPr>
          <w:noProof/>
          <w14:ligatures w14:val="standardContextual"/>
        </w:rPr>
        <w:drawing>
          <wp:inline distT="0" distB="0" distL="0" distR="0" wp14:anchorId="683AF427" wp14:editId="6846D698">
            <wp:extent cx="5128270" cy="2735852"/>
            <wp:effectExtent l="0" t="0" r="0" b="7620"/>
            <wp:docPr id="49164638" name="Chart 1" descr="Chart outlining approved provider responses to the survey question &quot;What is your preferred option or combination of options?&quot;">
              <a:extLst xmlns:a="http://schemas.openxmlformats.org/drawingml/2006/main">
                <a:ext uri="{FF2B5EF4-FFF2-40B4-BE49-F238E27FC236}">
                  <a16:creationId xmlns:a16="http://schemas.microsoft.com/office/drawing/2014/main" id="{AC7769FC-8EAB-40B4-8023-090D2C14D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344B485" w14:textId="3CE4F0E0" w:rsidR="00F515D3" w:rsidRPr="00A86D88" w:rsidRDefault="00F515D3" w:rsidP="004636EF">
      <w:pPr>
        <w:pStyle w:val="Source-CSR"/>
        <w:rPr>
          <w:iCs/>
        </w:rPr>
      </w:pPr>
      <w:r w:rsidRPr="00057988">
        <w:t xml:space="preserve">Source: Approved provider survey, as of </w:t>
      </w:r>
      <w:r w:rsidRPr="00DD7069">
        <w:rPr>
          <w:iCs/>
        </w:rPr>
        <w:t>11</w:t>
      </w:r>
      <w:r w:rsidRPr="00DD7069">
        <w:t xml:space="preserve"> June </w:t>
      </w:r>
      <w:r w:rsidRPr="00A86D88">
        <w:t xml:space="preserve">2025, </w:t>
      </w:r>
      <w:r w:rsidRPr="00A86D88">
        <w:rPr>
          <w:iCs/>
        </w:rPr>
        <w:t>Q103</w:t>
      </w:r>
      <w:r w:rsidRPr="00A86D88">
        <w:t>, option 1 n=</w:t>
      </w:r>
      <w:r w:rsidRPr="00A86D88">
        <w:rPr>
          <w:iCs/>
        </w:rPr>
        <w:t>97</w:t>
      </w:r>
      <w:r w:rsidRPr="00A86D88">
        <w:t>, option 2 n=</w:t>
      </w:r>
      <w:r w:rsidRPr="00A86D88">
        <w:rPr>
          <w:iCs/>
        </w:rPr>
        <w:t>96</w:t>
      </w:r>
      <w:r w:rsidRPr="00A86D88">
        <w:t xml:space="preserve">, option </w:t>
      </w:r>
      <w:r w:rsidRPr="004636EF">
        <w:t>3</w:t>
      </w:r>
      <w:r w:rsidR="007014F5" w:rsidRPr="004636EF">
        <w:t>A</w:t>
      </w:r>
      <w:r w:rsidRPr="00A86D88">
        <w:t xml:space="preserve"> n=</w:t>
      </w:r>
      <w:r w:rsidRPr="00A86D88">
        <w:rPr>
          <w:iCs/>
        </w:rPr>
        <w:t xml:space="preserve">96, option </w:t>
      </w:r>
      <w:r w:rsidR="007014F5">
        <w:rPr>
          <w:iCs/>
        </w:rPr>
        <w:t>3B</w:t>
      </w:r>
      <w:r w:rsidRPr="00A86D88">
        <w:rPr>
          <w:iCs/>
        </w:rPr>
        <w:t xml:space="preserve"> n=95</w:t>
      </w:r>
      <w:r w:rsidRPr="00A86D88">
        <w:t>.</w:t>
      </w:r>
    </w:p>
    <w:p w14:paraId="25BE85B3" w14:textId="04A8EC07" w:rsidR="00F515D3" w:rsidRPr="00466043" w:rsidRDefault="00F515D3" w:rsidP="00F515D3">
      <w:pPr>
        <w:pStyle w:val="Heading4"/>
      </w:pPr>
      <w:r w:rsidRPr="00466043">
        <w:t xml:space="preserve">Cost of </w:t>
      </w:r>
      <w:r>
        <w:t>each</w:t>
      </w:r>
      <w:r w:rsidRPr="00466043">
        <w:t xml:space="preserve"> option</w:t>
      </w:r>
    </w:p>
    <w:p w14:paraId="5B8C7438" w14:textId="6EA20C79" w:rsidR="00F515D3" w:rsidRDefault="00F515D3" w:rsidP="00F515D3">
      <w:r>
        <w:t>The government would incur incremental costs associated with developing guidance materials under option 2. Incremental c</w:t>
      </w:r>
      <w:r w:rsidRPr="00B53153">
        <w:t>osts will be more significant if relevant materials cannot be developed with the support of existing government resources and as part of business-as-usual activities.</w:t>
      </w:r>
    </w:p>
    <w:p w14:paraId="69862D80" w14:textId="35F99F69" w:rsidR="00F515D3" w:rsidRPr="00D332CD" w:rsidRDefault="00087AD0" w:rsidP="00F515D3">
      <w:r>
        <w:t>Option</w:t>
      </w:r>
      <w:r w:rsidR="001F2836">
        <w:t>s</w:t>
      </w:r>
      <w:r>
        <w:t xml:space="preserve"> 3A and 3B</w:t>
      </w:r>
      <w:r w:rsidR="00F515D3">
        <w:t xml:space="preserve"> </w:t>
      </w:r>
      <w:r w:rsidR="001F2836">
        <w:t xml:space="preserve">are </w:t>
      </w:r>
      <w:r w:rsidR="00F515D3">
        <w:t xml:space="preserve">expected to impose more costs, largely for Regulatory Authorities and approved providers operating with a related provider structure. </w:t>
      </w:r>
    </w:p>
    <w:p w14:paraId="67683E9D" w14:textId="44655769" w:rsidR="00F515D3" w:rsidRDefault="00F515D3" w:rsidP="00F515D3">
      <w:r>
        <w:t xml:space="preserve">The costs of </w:t>
      </w:r>
      <w:r w:rsidR="00087AD0">
        <w:t>option</w:t>
      </w:r>
      <w:r w:rsidR="001F2836">
        <w:t>s</w:t>
      </w:r>
      <w:r w:rsidR="00087AD0">
        <w:t xml:space="preserve"> 3A and 3B</w:t>
      </w:r>
      <w:r w:rsidR="00161041">
        <w:t xml:space="preserve"> </w:t>
      </w:r>
      <w:r>
        <w:t xml:space="preserve">for Regulatory Authorities </w:t>
      </w:r>
      <w:r w:rsidR="001F2836">
        <w:t xml:space="preserve">are </w:t>
      </w:r>
      <w:r>
        <w:t>likely to encompass:</w:t>
      </w:r>
    </w:p>
    <w:p w14:paraId="79A38A8B" w14:textId="114779D3" w:rsidR="00F515D3" w:rsidRDefault="00F515D3" w:rsidP="00EC53AB">
      <w:pPr>
        <w:pStyle w:val="ListParagraph"/>
        <w:numPr>
          <w:ilvl w:val="0"/>
          <w:numId w:val="71"/>
        </w:numPr>
        <w:ind w:left="426"/>
      </w:pPr>
      <w:r>
        <w:t>t</w:t>
      </w:r>
      <w:r w:rsidRPr="000D2E12">
        <w:t>raining and upskilling staff on new protocols for related provider issues</w:t>
      </w:r>
      <w:r w:rsidR="005F7827">
        <w:t>,</w:t>
      </w:r>
    </w:p>
    <w:p w14:paraId="30522575" w14:textId="59C578FD" w:rsidR="00F515D3" w:rsidRPr="00D332CD" w:rsidRDefault="00F515D3" w:rsidP="00EC53AB">
      <w:pPr>
        <w:pStyle w:val="ListParagraph"/>
        <w:numPr>
          <w:ilvl w:val="0"/>
          <w:numId w:val="71"/>
        </w:numPr>
        <w:ind w:left="426"/>
      </w:pPr>
      <w:r>
        <w:t>n</w:t>
      </w:r>
      <w:r w:rsidRPr="000D2E12">
        <w:t>otifying and recording related provider relationships in appropriate systems.</w:t>
      </w:r>
    </w:p>
    <w:p w14:paraId="45D70949" w14:textId="38BDA2A2" w:rsidR="00F515D3" w:rsidRDefault="00F515D3" w:rsidP="00F515D3">
      <w:r w:rsidRPr="000D2E12">
        <w:t xml:space="preserve">Regulatory Authorities noted that investigation </w:t>
      </w:r>
      <w:r w:rsidR="00494354">
        <w:t xml:space="preserve">and monitoring </w:t>
      </w:r>
      <w:r w:rsidRPr="000D2E12">
        <w:t xml:space="preserve">costs may increase, as there could be </w:t>
      </w:r>
      <w:r>
        <w:t xml:space="preserve">additional effort expended in undertaking </w:t>
      </w:r>
      <w:r w:rsidR="00494354">
        <w:t xml:space="preserve">monitoring related provider relationships, undertaking </w:t>
      </w:r>
      <w:r>
        <w:t>investigations and issuing compliance actions to related providers. This cost might be partially offset by a reduction in effort required to identify related provider relationships.</w:t>
      </w:r>
    </w:p>
    <w:p w14:paraId="5C50777C" w14:textId="183785EE" w:rsidR="00F515D3" w:rsidRDefault="00F515D3" w:rsidP="00F515D3">
      <w:r>
        <w:t xml:space="preserve">Regulatory Authorities were consulted on these potential costs. </w:t>
      </w:r>
      <w:r w:rsidR="00472B9B">
        <w:t>While noting</w:t>
      </w:r>
      <w:r>
        <w:t xml:space="preserve"> uncertainty as to the number of related provider relationships and the extent of compliance issues among related providers, Regulatory Authorities indicated that these costs would not be prohibitive.</w:t>
      </w:r>
    </w:p>
    <w:p w14:paraId="2B3D0090" w14:textId="761BA7EA" w:rsidR="00F515D3" w:rsidRDefault="00F515D3" w:rsidP="00F515D3">
      <w:r>
        <w:lastRenderedPageBreak/>
        <w:t xml:space="preserve">For any approved providers operating </w:t>
      </w:r>
      <w:r w:rsidR="0073756B">
        <w:t xml:space="preserve">in a group of related providers, </w:t>
      </w:r>
      <w:r w:rsidR="00087AD0">
        <w:t>option 3A and 3B</w:t>
      </w:r>
      <w:r>
        <w:t xml:space="preserve"> </w:t>
      </w:r>
      <w:r w:rsidR="0073756B">
        <w:t>would</w:t>
      </w:r>
      <w:r>
        <w:t xml:space="preserve"> impose costs associated with </w:t>
      </w:r>
      <w:r w:rsidR="003F0476">
        <w:t xml:space="preserve">identifying and </w:t>
      </w:r>
      <w:r>
        <w:t xml:space="preserve">reporting this related provider relationship. There </w:t>
      </w:r>
      <w:r w:rsidR="0073756B">
        <w:t>would</w:t>
      </w:r>
      <w:r>
        <w:t xml:space="preserve"> also be additional costs for any approved provider seeking to merge with or acquire another approved provider, whereby the change in ownership is subject to reporting requirements. While the actual protocol by which related provider relationships are to be reported is yet to be determined, the cost of making these disclosures is not expected to be too onerous and is therefore not likely to impose a substantial cost. </w:t>
      </w:r>
      <w:r w:rsidR="00B42D0A">
        <w:t>Approved providers operating in a group of r</w:t>
      </w:r>
      <w:r w:rsidR="00821D3B">
        <w:t xml:space="preserve">elated providers or </w:t>
      </w:r>
      <w:r w:rsidR="00F96227">
        <w:t>those who might be</w:t>
      </w:r>
      <w:r w:rsidR="00821D3B">
        <w:t xml:space="preserve"> operating in a group of related providers will need to </w:t>
      </w:r>
      <w:r w:rsidR="00821D3B" w:rsidRPr="00821D3B">
        <w:t>understand the definition of related providers as defined in the National Law</w:t>
      </w:r>
      <w:r w:rsidR="00821D3B">
        <w:t xml:space="preserve"> in order to comply</w:t>
      </w:r>
      <w:r w:rsidR="00FD1520">
        <w:t xml:space="preserve"> with reporting requirements. </w:t>
      </w:r>
      <w:r w:rsidR="00C36459">
        <w:t>While consultation did not provide cost estimates</w:t>
      </w:r>
      <w:r w:rsidR="003539DE">
        <w:t xml:space="preserve"> </w:t>
      </w:r>
      <w:r w:rsidR="00B106FE">
        <w:t xml:space="preserve">due to the definition yet to be determined, </w:t>
      </w:r>
      <w:r w:rsidR="008A32D5">
        <w:t xml:space="preserve">there was no </w:t>
      </w:r>
      <w:r w:rsidR="00232937">
        <w:t>feedback</w:t>
      </w:r>
      <w:r w:rsidR="008A32D5">
        <w:t xml:space="preserve"> that th</w:t>
      </w:r>
      <w:r w:rsidR="00232937">
        <w:t xml:space="preserve">is cost would be onerous. </w:t>
      </w:r>
    </w:p>
    <w:p w14:paraId="5CE7D8DE" w14:textId="4C300BFE" w:rsidR="00F515D3" w:rsidRPr="00466043" w:rsidRDefault="00F515D3" w:rsidP="00F515D3">
      <w:pPr>
        <w:pStyle w:val="Heading4"/>
      </w:pPr>
      <w:r>
        <w:t xml:space="preserve">Implementation </w:t>
      </w:r>
      <w:r w:rsidR="004151E0">
        <w:t>considerations</w:t>
      </w:r>
    </w:p>
    <w:p w14:paraId="0AFA9B3C" w14:textId="1D7C831F" w:rsidR="00F515D3" w:rsidRPr="00B671BC" w:rsidRDefault="00F515D3" w:rsidP="00F515D3">
      <w:r>
        <w:rPr>
          <w:iCs/>
        </w:rPr>
        <w:t xml:space="preserve">Being non-regulatory in nature, option 2 is unlikely to realise substantial implementation risks. There is a reasonable chance that uptake of the guidance will be limited, meaning the effectiveness of this option in improving child safety risks is limited. </w:t>
      </w:r>
    </w:p>
    <w:p w14:paraId="221D595C" w14:textId="513D010B" w:rsidR="005B0A89" w:rsidRPr="00362322" w:rsidRDefault="00087AD0" w:rsidP="005B0A89">
      <w:r>
        <w:rPr>
          <w:iCs/>
        </w:rPr>
        <w:t>Option</w:t>
      </w:r>
      <w:r w:rsidR="001F2836">
        <w:rPr>
          <w:iCs/>
        </w:rPr>
        <w:t>s</w:t>
      </w:r>
      <w:r>
        <w:rPr>
          <w:iCs/>
        </w:rPr>
        <w:t xml:space="preserve"> 3A and 3B</w:t>
      </w:r>
      <w:r w:rsidR="00F515D3">
        <w:rPr>
          <w:iCs/>
        </w:rPr>
        <w:t xml:space="preserve"> </w:t>
      </w:r>
      <w:r w:rsidR="000E4B9A">
        <w:rPr>
          <w:iCs/>
        </w:rPr>
        <w:t>are</w:t>
      </w:r>
      <w:r w:rsidR="00F515D3">
        <w:rPr>
          <w:iCs/>
        </w:rPr>
        <w:t xml:space="preserve"> more likely to generate implementation risks. The most substantial risk is that the definition of related providers will need to be carefully drafted to ensure it captures all current related provider structures and is sufficiently </w:t>
      </w:r>
      <w:r w:rsidR="00B03B1E">
        <w:rPr>
          <w:iCs/>
        </w:rPr>
        <w:t>future proofed</w:t>
      </w:r>
      <w:r w:rsidR="00F515D3">
        <w:rPr>
          <w:iCs/>
        </w:rPr>
        <w:t xml:space="preserve"> as sophisticated corporate structures continue to evolve. Without carefully considered drafting, the legislated definition of related providers may not capture all related provider relationships that exist presently or may evolve in the future</w:t>
      </w:r>
      <w:r w:rsidR="005B0A89">
        <w:rPr>
          <w:iCs/>
        </w:rPr>
        <w:t>. There is a risk that approved providers will alter their corporate behaviour to avoid being classified as a related provider.</w:t>
      </w:r>
      <w:r w:rsidR="005B0A89">
        <w:t xml:space="preserve"> Some stakeholders suggested using existing definitions for related entities and corporations, including the adoption of </w:t>
      </w:r>
      <w:r w:rsidR="005B0A89" w:rsidRPr="009B0824">
        <w:t xml:space="preserve">Corporations Law definitions </w:t>
      </w:r>
      <w:r w:rsidR="005B0A89">
        <w:t>for</w:t>
      </w:r>
      <w:r w:rsidR="005B0A89" w:rsidRPr="009B0824">
        <w:t xml:space="preserve"> common control.</w:t>
      </w:r>
      <w:r w:rsidR="005B0A89">
        <w:t xml:space="preserve"> Others suggested that consideration of family relationships should be taken into account, such as a married couple being on the boards of different approved providers, noting the prevalence of this is currently unclear.</w:t>
      </w:r>
      <w:r w:rsidR="00444A15">
        <w:t xml:space="preserve"> </w:t>
      </w:r>
    </w:p>
    <w:p w14:paraId="1C6136B5" w14:textId="77777777" w:rsidR="00F515D3" w:rsidRPr="00466043" w:rsidRDefault="00F515D3" w:rsidP="00F515D3">
      <w:pPr>
        <w:pStyle w:val="Heading4"/>
      </w:pPr>
      <w:r w:rsidRPr="00466043">
        <w:t>Distributional impacts</w:t>
      </w:r>
    </w:p>
    <w:p w14:paraId="6A24CBE5" w14:textId="2FD49376" w:rsidR="00F515D3" w:rsidRDefault="00F515D3" w:rsidP="00F515D3">
      <w:r>
        <w:t xml:space="preserve">No material distributional impacts were identified for any of the proposed policy options. </w:t>
      </w:r>
      <w:r w:rsidRPr="00FF5828">
        <w:t xml:space="preserve">While </w:t>
      </w:r>
      <w:r w:rsidR="00871E70">
        <w:t>R</w:t>
      </w:r>
      <w:r w:rsidRPr="00FF5828">
        <w:t xml:space="preserve">egulatory </w:t>
      </w:r>
      <w:r w:rsidR="00871E70">
        <w:t>A</w:t>
      </w:r>
      <w:r w:rsidRPr="00FF5828">
        <w:t>uthorities are expected to incur the most costs,</w:t>
      </w:r>
      <w:r>
        <w:rPr>
          <w:rFonts w:cs="Arial"/>
          <w:color w:val="1C1C1C"/>
          <w:sz w:val="21"/>
          <w:szCs w:val="21"/>
          <w:shd w:val="clear" w:color="auto" w:fill="FFFFFF"/>
        </w:rPr>
        <w:t xml:space="preserve"> </w:t>
      </w:r>
      <w:r>
        <w:t xml:space="preserve">they did not indicate that these costs are likely to be prohibitive. The cost impact on approved providers that will need to report related provider relationships is expected to be relatively small. </w:t>
      </w:r>
    </w:p>
    <w:p w14:paraId="4F5F1B22" w14:textId="4C1932D4" w:rsidR="00F515D3" w:rsidRDefault="00F515D3" w:rsidP="00F515D3">
      <w:r>
        <w:lastRenderedPageBreak/>
        <w:t xml:space="preserve">Overall, these policy options are not expected to generate significant trade-offs for any stakeholder group. </w:t>
      </w:r>
    </w:p>
    <w:p w14:paraId="28AF4343" w14:textId="5EA3BCFA" w:rsidR="00294081" w:rsidRDefault="00294081" w:rsidP="00294081">
      <w:pPr>
        <w:pStyle w:val="Heading4"/>
      </w:pPr>
      <w:r>
        <w:t xml:space="preserve">Stakeholders’ </w:t>
      </w:r>
      <w:r w:rsidR="00BF7E16">
        <w:t>preferred</w:t>
      </w:r>
      <w:r w:rsidR="004C5562">
        <w:t xml:space="preserve"> option</w:t>
      </w:r>
    </w:p>
    <w:p w14:paraId="45E12C14" w14:textId="66B68C3C" w:rsidR="00294081" w:rsidRDefault="00294081" w:rsidP="00294081">
      <w:r w:rsidRPr="007F06A3">
        <w:t>Across</w:t>
      </w:r>
      <w:r w:rsidRPr="00837288">
        <w:t xml:space="preserve"> </w:t>
      </w:r>
      <w:r>
        <w:t>all surveys</w:t>
      </w:r>
      <w:r w:rsidRPr="00734540">
        <w:t xml:space="preserve">, </w:t>
      </w:r>
      <w:r>
        <w:t xml:space="preserve">option 3A and 3B was the </w:t>
      </w:r>
      <w:r w:rsidR="00BF7E16">
        <w:t>preferred</w:t>
      </w:r>
      <w:r w:rsidR="004C5562">
        <w:t xml:space="preserve"> option</w:t>
      </w:r>
      <w:r>
        <w:t xml:space="preserve"> for this recommendation, with some support for option 2. </w:t>
      </w:r>
      <w:r w:rsidRPr="00792685">
        <w:t xml:space="preserve">Approximately 70% of approved providers identified option 3A and 3B in their </w:t>
      </w:r>
      <w:r w:rsidR="00BF7E16">
        <w:t>preferred</w:t>
      </w:r>
      <w:r w:rsidR="004C5562">
        <w:t xml:space="preserve"> option</w:t>
      </w:r>
      <w:r w:rsidRPr="00792685">
        <w:t xml:space="preserve"> (with approximately 30% choosing option 3A and 3B only and 4</w:t>
      </w:r>
      <w:r w:rsidR="008F6E31">
        <w:t>2</w:t>
      </w:r>
      <w:r w:rsidRPr="00792685">
        <w:t xml:space="preserve">% choosing option 3A and 3B in combination with option 2, see Appendix </w:t>
      </w:r>
      <w:r w:rsidR="005E07D6">
        <w:t>Chart</w:t>
      </w:r>
      <w:r w:rsidRPr="00792685">
        <w:t xml:space="preserve"> 12.3.6</w:t>
      </w:r>
      <w:r w:rsidR="005E07D6">
        <w:t>.4</w:t>
      </w:r>
      <w:r w:rsidRPr="00792685">
        <w:t>).</w:t>
      </w:r>
      <w:r>
        <w:t xml:space="preserve"> Similarly, 44% of the education and care workforce identified option 3A and 3B as their </w:t>
      </w:r>
      <w:r w:rsidR="00BF7E16">
        <w:t>preferred</w:t>
      </w:r>
      <w:r w:rsidR="004C5562">
        <w:t xml:space="preserve"> option</w:t>
      </w:r>
      <w:r>
        <w:t xml:space="preserve"> – an additional 49% </w:t>
      </w:r>
      <w:r w:rsidR="00BF7E16">
        <w:t>preferred</w:t>
      </w:r>
      <w:r w:rsidR="004C5562">
        <w:t xml:space="preserve"> option</w:t>
      </w:r>
      <w:r>
        <w:t xml:space="preserve"> 3A and 3B in conjunction with option 2 (Appendix </w:t>
      </w:r>
      <w:r w:rsidR="005E07D6">
        <w:t xml:space="preserve">Chart </w:t>
      </w:r>
      <w:r>
        <w:t>12.3.6</w:t>
      </w:r>
      <w:r w:rsidR="005E07D6">
        <w:t>.5</w:t>
      </w:r>
      <w:r>
        <w:t xml:space="preserve">). Finally, 34% of surveyed parents, families and carers identified option 3A and 3B as their </w:t>
      </w:r>
      <w:r w:rsidR="00BF7E16">
        <w:t>preferred</w:t>
      </w:r>
      <w:r w:rsidR="004C5562">
        <w:t xml:space="preserve"> option</w:t>
      </w:r>
      <w:r>
        <w:t xml:space="preserve"> – an additional 24% </w:t>
      </w:r>
      <w:r w:rsidR="00BF7E16">
        <w:t>preferred</w:t>
      </w:r>
      <w:r w:rsidR="004C5562">
        <w:t xml:space="preserve"> option</w:t>
      </w:r>
      <w:r>
        <w:t xml:space="preserve"> 3A and 3B in conjunction with option 2 (Appendix </w:t>
      </w:r>
      <w:r w:rsidR="005E07D6">
        <w:t xml:space="preserve">Chart </w:t>
      </w:r>
      <w:r>
        <w:t>12.3.6</w:t>
      </w:r>
      <w:r w:rsidR="005E07D6">
        <w:t>.6</w:t>
      </w:r>
      <w:r>
        <w:t>).</w:t>
      </w:r>
    </w:p>
    <w:p w14:paraId="40308468" w14:textId="248DF617" w:rsidR="00294081" w:rsidRPr="00294081" w:rsidRDefault="00294081" w:rsidP="00294081">
      <w:r w:rsidRPr="00A405DF">
        <w:t xml:space="preserve">Approved providers </w:t>
      </w:r>
      <w:r>
        <w:t>in</w:t>
      </w:r>
      <w:r w:rsidRPr="00A405DF">
        <w:t xml:space="preserve"> the education and care sector were also highly supportive of </w:t>
      </w:r>
      <w:r>
        <w:t>option 3A and 3B during consultation.</w:t>
      </w:r>
      <w:r w:rsidRPr="00A405DF">
        <w:t xml:space="preserve"> </w:t>
      </w:r>
      <w:r>
        <w:t>H</w:t>
      </w:r>
      <w:r w:rsidRPr="00A405DF">
        <w:t xml:space="preserve">owever, it cannot be determined </w:t>
      </w:r>
      <w:r w:rsidR="00695351">
        <w:t>how many</w:t>
      </w:r>
      <w:r w:rsidRPr="00A405DF">
        <w:t xml:space="preserve"> approved providers that could be impacted (i.e., those operating with a related provider structure) participated in consultative activities.</w:t>
      </w:r>
      <w:r w:rsidR="00695351">
        <w:rPr>
          <w:rStyle w:val="FootnoteReference"/>
        </w:rPr>
        <w:footnoteReference w:id="146"/>
      </w:r>
      <w:r w:rsidRPr="00A405DF">
        <w:t xml:space="preserve"> Stakeholders reflected that providers </w:t>
      </w:r>
      <w:r>
        <w:t>who</w:t>
      </w:r>
      <w:r w:rsidRPr="00A405DF">
        <w:t xml:space="preserve"> may be inclined to do the wrong thing are less likely to engage in public consultation processes.</w:t>
      </w:r>
      <w:r>
        <w:t xml:space="preserve"> As a result, the overwhelming preference to adopt option 3A and 3B may not be reflective of all impacted stakeholders.</w:t>
      </w:r>
    </w:p>
    <w:p w14:paraId="3BD6B62A" w14:textId="042ED7C1" w:rsidR="00F515D3" w:rsidRDefault="00F515D3" w:rsidP="00F515D3">
      <w:pPr>
        <w:pStyle w:val="Heading3"/>
      </w:pPr>
      <w:r>
        <w:t xml:space="preserve">What is the </w:t>
      </w:r>
      <w:r w:rsidR="004C5562">
        <w:t>recommended option</w:t>
      </w:r>
      <w:r>
        <w:t>(s) and how will it be implemented?</w:t>
      </w:r>
    </w:p>
    <w:p w14:paraId="3B30602F" w14:textId="5CFAD6E3" w:rsidR="00D60B6F" w:rsidRDefault="005A7D7F" w:rsidP="00D60B6F">
      <w:r w:rsidRPr="007D27A8">
        <w:t xml:space="preserve">Based on analysis included in this DRIS, the options </w:t>
      </w:r>
      <w:r w:rsidR="00C93AC2">
        <w:t>expected to result in the greatest child safety outcomes for stakeholders</w:t>
      </w:r>
      <w:r w:rsidRPr="007D27A8">
        <w:t xml:space="preserve"> to be provided to Education Ministers for consideration</w:t>
      </w:r>
      <w:r>
        <w:t xml:space="preserve"> are</w:t>
      </w:r>
      <w:r w:rsidRPr="007D27A8">
        <w:t xml:space="preserve"> </w:t>
      </w:r>
      <w:r w:rsidR="008D53CE">
        <w:t>Options 2</w:t>
      </w:r>
      <w:r w:rsidR="00C50049">
        <w:t xml:space="preserve"> and</w:t>
      </w:r>
      <w:r w:rsidR="008D53CE">
        <w:t xml:space="preserve"> 3</w:t>
      </w:r>
      <w:r w:rsidR="00352F42">
        <w:t>A and 3B</w:t>
      </w:r>
      <w:r w:rsidR="009544B9">
        <w:t>.</w:t>
      </w:r>
      <w:r w:rsidR="009F3B21">
        <w:t xml:space="preserve"> </w:t>
      </w:r>
      <w:r w:rsidR="00F515D3">
        <w:t>Th</w:t>
      </w:r>
      <w:r>
        <w:t>ese</w:t>
      </w:r>
      <w:r w:rsidR="00F515D3">
        <w:t xml:space="preserve"> option</w:t>
      </w:r>
      <w:r>
        <w:t>s</w:t>
      </w:r>
      <w:r w:rsidR="00F515D3">
        <w:t xml:space="preserve"> </w:t>
      </w:r>
      <w:r w:rsidR="00B03B1E" w:rsidDel="005A7D7F">
        <w:t>were</w:t>
      </w:r>
      <w:r w:rsidR="00F515D3">
        <w:t xml:space="preserve"> unequivocally the </w:t>
      </w:r>
      <w:r w:rsidR="00BF7E16">
        <w:t>preferred</w:t>
      </w:r>
      <w:r w:rsidR="004C5562">
        <w:t xml:space="preserve"> option</w:t>
      </w:r>
      <w:r w:rsidR="00F515D3">
        <w:t xml:space="preserve"> of stakeholders consulted</w:t>
      </w:r>
      <w:r w:rsidR="5EAD72FA">
        <w:t xml:space="preserve">, </w:t>
      </w:r>
      <w:r w:rsidR="0DBC2F85">
        <w:t>submissions,</w:t>
      </w:r>
      <w:r w:rsidR="00F515D3">
        <w:t xml:space="preserve"> and survey respondents</w:t>
      </w:r>
      <w:r w:rsidR="00871E70">
        <w:t>.</w:t>
      </w:r>
      <w:r w:rsidR="008D53CE">
        <w:t xml:space="preserve"> </w:t>
      </w:r>
      <w:r w:rsidR="00D60B6F">
        <w:t xml:space="preserve">In implementing the </w:t>
      </w:r>
      <w:r w:rsidR="004C5562">
        <w:t>recommended option</w:t>
      </w:r>
      <w:r>
        <w:t>s</w:t>
      </w:r>
      <w:r w:rsidR="00D60B6F">
        <w:t xml:space="preserve">, </w:t>
      </w:r>
      <w:r w:rsidR="008D53CE">
        <w:t>governments will develop a more explicit</w:t>
      </w:r>
      <w:r w:rsidR="00D60B6F">
        <w:t xml:space="preserve"> definition of related providers </w:t>
      </w:r>
      <w:r w:rsidR="008D53CE">
        <w:t>for inclusion in</w:t>
      </w:r>
      <w:r w:rsidR="00D60B6F">
        <w:t xml:space="preserve"> the National Law. </w:t>
      </w:r>
      <w:r w:rsidR="00352F42">
        <w:t>Governments will also establish</w:t>
      </w:r>
      <w:r w:rsidR="00D60B6F">
        <w:t xml:space="preserve"> protocols by which related provider relationships need to be reported to Regulatory Authorities, both at the onset of the legislative change and for any mergers or acquisitions that take place. </w:t>
      </w:r>
    </w:p>
    <w:p w14:paraId="286C2399" w14:textId="7DBB67F5" w:rsidR="00F515D3" w:rsidRDefault="00F515D3" w:rsidP="00F515D3">
      <w:pPr>
        <w:pStyle w:val="Heading2"/>
      </w:pPr>
      <w:bookmarkStart w:id="217" w:name="_Toc201934881"/>
      <w:bookmarkStart w:id="218" w:name="_Toc205884904"/>
      <w:r>
        <w:lastRenderedPageBreak/>
        <w:t>10.2 Extending the limitation period for commencing proceedings under the National Law</w:t>
      </w:r>
      <w:bookmarkEnd w:id="217"/>
      <w:bookmarkEnd w:id="218"/>
    </w:p>
    <w:tbl>
      <w:tblPr>
        <w:tblStyle w:val="Deloittetable"/>
        <w:tblW w:w="9140" w:type="dxa"/>
        <w:tblLook w:val="04A0" w:firstRow="1" w:lastRow="0" w:firstColumn="1" w:lastColumn="0" w:noHBand="0" w:noVBand="1"/>
        <w:tblCaption w:val="Key insights - Extending the limitation period for commencing proceedings under the National Law"/>
        <w:tblDescription w:val="This table outlines the key insights for extending the limitation period for commencing proceedings under the National Law."/>
      </w:tblPr>
      <w:tblGrid>
        <w:gridCol w:w="9140"/>
      </w:tblGrid>
      <w:tr w:rsidR="00B11DFB" w14:paraId="3FC2E2F4" w14:textId="77777777" w:rsidTr="006A33E5">
        <w:trPr>
          <w:cnfStyle w:val="100000000000" w:firstRow="1" w:lastRow="0" w:firstColumn="0" w:lastColumn="0" w:oddVBand="0" w:evenVBand="0" w:oddHBand="0" w:evenHBand="0" w:firstRowFirstColumn="0" w:firstRowLastColumn="0" w:lastRowFirstColumn="0" w:lastRowLastColumn="0"/>
          <w:trHeight w:val="1181"/>
        </w:trPr>
        <w:tc>
          <w:tcPr>
            <w:tcW w:w="9140" w:type="dxa"/>
            <w:shd w:val="clear" w:color="auto" w:fill="DEE6F4" w:themeFill="text2" w:themeFillTint="1A"/>
          </w:tcPr>
          <w:p w14:paraId="43B2A410" w14:textId="4DB08700" w:rsidR="00B11DFB" w:rsidRPr="005347A5" w:rsidRDefault="00B11DFB">
            <w:pPr>
              <w:rPr>
                <w:b/>
                <w:bCs/>
                <w:sz w:val="20"/>
                <w:szCs w:val="20"/>
              </w:rPr>
            </w:pPr>
            <w:r w:rsidRPr="005347A5">
              <w:rPr>
                <w:b/>
                <w:bCs/>
                <w:sz w:val="20"/>
                <w:szCs w:val="20"/>
              </w:rPr>
              <w:t xml:space="preserve">Key Insights </w:t>
            </w:r>
          </w:p>
          <w:p w14:paraId="374CDDB1" w14:textId="77777777" w:rsidR="00B11DFB" w:rsidRPr="00712583" w:rsidRDefault="00B11DFB">
            <w:pPr>
              <w:rPr>
                <w:i/>
                <w:szCs w:val="22"/>
              </w:rPr>
            </w:pPr>
            <w:r>
              <w:rPr>
                <w:i/>
                <w:szCs w:val="22"/>
              </w:rPr>
              <w:t>Problem</w:t>
            </w:r>
          </w:p>
          <w:p w14:paraId="0FF9357E" w14:textId="77777777" w:rsidR="00D23B7D" w:rsidRPr="00D23B7D" w:rsidRDefault="00D23B7D" w:rsidP="00EC53AB">
            <w:pPr>
              <w:pStyle w:val="ListParagraph"/>
              <w:numPr>
                <w:ilvl w:val="0"/>
                <w:numId w:val="100"/>
              </w:numPr>
              <w:spacing w:before="120"/>
              <w:ind w:left="462"/>
              <w:contextualSpacing/>
              <w:rPr>
                <w:i/>
                <w:szCs w:val="20"/>
              </w:rPr>
            </w:pPr>
            <w:r w:rsidRPr="00D23B7D">
              <w:rPr>
                <w:szCs w:val="20"/>
              </w:rPr>
              <w:t xml:space="preserve">The current limitation period does not consider circumstances where there is a reasonable delay in reporting and investigation due to the nature of the offence, such as child abuse. This delay prevents Regulatory Authorities from commencing prosecution proceedings within the two-year limitation period. </w:t>
            </w:r>
          </w:p>
          <w:p w14:paraId="18B3EB23" w14:textId="72DBD09E" w:rsidR="00D23B7D" w:rsidRDefault="00D23B7D" w:rsidP="00EC53AB">
            <w:pPr>
              <w:pStyle w:val="ListParagraph"/>
              <w:numPr>
                <w:ilvl w:val="0"/>
                <w:numId w:val="100"/>
              </w:numPr>
              <w:spacing w:before="120"/>
              <w:ind w:left="462"/>
              <w:contextualSpacing/>
              <w:rPr>
                <w:i/>
                <w:szCs w:val="20"/>
              </w:rPr>
            </w:pPr>
            <w:r>
              <w:t>There have been matters involving serious harm to children attending an education and care service where prosecution would have been a proportionate sanction in the public interest, however prosecution did not commence because the statute of limitation had expired.</w:t>
            </w:r>
          </w:p>
          <w:p w14:paraId="5EDD7358" w14:textId="77777777" w:rsidR="00B11DFB" w:rsidRPr="000B4397" w:rsidRDefault="00B11DFB">
            <w:pPr>
              <w:spacing w:before="120"/>
              <w:contextualSpacing/>
              <w:rPr>
                <w:i/>
                <w:szCs w:val="20"/>
              </w:rPr>
            </w:pPr>
            <w:r w:rsidRPr="002B7C48">
              <w:rPr>
                <w:i/>
                <w:szCs w:val="20"/>
              </w:rPr>
              <w:t>Impacts of each option</w:t>
            </w:r>
          </w:p>
          <w:p w14:paraId="0AC3DE81" w14:textId="105639B4" w:rsidR="00DF54CF" w:rsidRPr="00DF54CF" w:rsidRDefault="00DF54CF" w:rsidP="00EC53AB">
            <w:pPr>
              <w:pStyle w:val="ListParagraph"/>
              <w:numPr>
                <w:ilvl w:val="0"/>
                <w:numId w:val="100"/>
              </w:numPr>
              <w:tabs>
                <w:tab w:val="clear" w:pos="2835"/>
              </w:tabs>
              <w:spacing w:before="120"/>
              <w:ind w:left="462"/>
              <w:contextualSpacing/>
              <w:rPr>
                <w:szCs w:val="20"/>
              </w:rPr>
            </w:pPr>
            <w:r w:rsidRPr="00DF54CF">
              <w:rPr>
                <w:szCs w:val="20"/>
              </w:rPr>
              <w:t>Stakeholder input suggests that option 2 would either ‘somewhat reduce’ or ‘greatly reduce’ the risk of harm to children, although approximately 10-20% of survey respondents indicated that they believe this option may have no impact on child safety</w:t>
            </w:r>
            <w:r>
              <w:rPr>
                <w:szCs w:val="20"/>
              </w:rPr>
              <w:t>.</w:t>
            </w:r>
            <w:r w:rsidR="00620870">
              <w:rPr>
                <w:szCs w:val="20"/>
              </w:rPr>
              <w:t xml:space="preserve"> </w:t>
            </w:r>
            <w:r w:rsidR="00620870">
              <w:t>Given the small number of instances in which the limitation period expires before an alleged offence comes to the notice of the Regulatory Authority, option 2 is unlikely to impose substantial costs on stakeholder</w:t>
            </w:r>
            <w:r w:rsidR="008D6F9B">
              <w:t>s</w:t>
            </w:r>
            <w:r w:rsidR="00620870">
              <w:t>.</w:t>
            </w:r>
          </w:p>
          <w:p w14:paraId="1FAC7B13" w14:textId="56F0732C" w:rsidR="00F300B9" w:rsidRPr="00F300B9" w:rsidRDefault="00F300B9" w:rsidP="00EC53AB">
            <w:pPr>
              <w:pStyle w:val="ListParagraph"/>
              <w:numPr>
                <w:ilvl w:val="0"/>
                <w:numId w:val="100"/>
              </w:numPr>
              <w:ind w:left="462"/>
              <w:rPr>
                <w:szCs w:val="22"/>
              </w:rPr>
            </w:pPr>
            <w:r w:rsidRPr="00F300B9">
              <w:rPr>
                <w:szCs w:val="20"/>
              </w:rPr>
              <w:t xml:space="preserve">Option 2 was unequivocally the </w:t>
            </w:r>
            <w:r w:rsidR="00BF7E16">
              <w:rPr>
                <w:szCs w:val="20"/>
              </w:rPr>
              <w:t>preferred</w:t>
            </w:r>
            <w:r w:rsidR="004C5562">
              <w:rPr>
                <w:szCs w:val="20"/>
              </w:rPr>
              <w:t xml:space="preserve"> option</w:t>
            </w:r>
            <w:r w:rsidRPr="00F300B9">
              <w:rPr>
                <w:szCs w:val="20"/>
              </w:rPr>
              <w:t xml:space="preserve"> of stakeholders. It was the overwhelming preference among all stakeholders consulted and survey respondents. </w:t>
            </w:r>
          </w:p>
          <w:p w14:paraId="74EDD81F" w14:textId="617F5572" w:rsidR="00B11DFB" w:rsidRPr="00712583" w:rsidRDefault="004C5562">
            <w:pPr>
              <w:rPr>
                <w:szCs w:val="22"/>
              </w:rPr>
            </w:pPr>
            <w:r>
              <w:rPr>
                <w:i/>
                <w:szCs w:val="22"/>
              </w:rPr>
              <w:t>Recommended option</w:t>
            </w:r>
          </w:p>
          <w:p w14:paraId="1C6A942A" w14:textId="3299765B" w:rsidR="00B11DFB" w:rsidRPr="00397987" w:rsidRDefault="00931972" w:rsidP="00EC53AB">
            <w:pPr>
              <w:pStyle w:val="ListParagraph"/>
              <w:numPr>
                <w:ilvl w:val="0"/>
                <w:numId w:val="100"/>
              </w:numPr>
              <w:tabs>
                <w:tab w:val="clear" w:pos="2835"/>
              </w:tabs>
              <w:spacing w:before="120"/>
              <w:ind w:left="462"/>
              <w:contextualSpacing/>
            </w:pPr>
            <w:r w:rsidRPr="00931972">
              <w:rPr>
                <w:szCs w:val="20"/>
              </w:rPr>
              <w:t xml:space="preserve">Based on analysis included in this DRIS, the option with the highest net benefit to be provided to Education Ministers for consideration </w:t>
            </w:r>
            <w:r w:rsidR="00E772D4">
              <w:rPr>
                <w:szCs w:val="20"/>
              </w:rPr>
              <w:t>is</w:t>
            </w:r>
            <w:r w:rsidRPr="008A10C9">
              <w:rPr>
                <w:szCs w:val="20"/>
              </w:rPr>
              <w:t xml:space="preserve"> </w:t>
            </w:r>
            <w:r>
              <w:rPr>
                <w:szCs w:val="20"/>
              </w:rPr>
              <w:t>o</w:t>
            </w:r>
            <w:r w:rsidR="007728B4" w:rsidRPr="008A10C9">
              <w:rPr>
                <w:szCs w:val="20"/>
              </w:rPr>
              <w:t xml:space="preserve">ption 2. This preference is based on the expected benefits to child safety outcomes and limited evidence of potential costs. </w:t>
            </w:r>
            <w:r w:rsidR="008D1C61" w:rsidRPr="008D1C61">
              <w:rPr>
                <w:szCs w:val="20"/>
              </w:rPr>
              <w:t xml:space="preserve">If implementing the recommended option, state and territory governments would </w:t>
            </w:r>
            <w:r w:rsidR="007728B4" w:rsidRPr="008A10C9">
              <w:rPr>
                <w:szCs w:val="20"/>
              </w:rPr>
              <w:t xml:space="preserve">develop guidance to clarify that option 2 </w:t>
            </w:r>
            <w:r w:rsidR="007728B4">
              <w:rPr>
                <w:szCs w:val="20"/>
              </w:rPr>
              <w:t>will</w:t>
            </w:r>
            <w:r w:rsidR="007728B4" w:rsidRPr="008A10C9">
              <w:rPr>
                <w:szCs w:val="20"/>
              </w:rPr>
              <w:t xml:space="preserve"> not apply to alleged offences that have already occurred (</w:t>
            </w:r>
            <w:r w:rsidR="00545793" w:rsidRPr="008A10C9">
              <w:rPr>
                <w:szCs w:val="20"/>
              </w:rPr>
              <w:t>i.e.</w:t>
            </w:r>
            <w:r w:rsidR="007728B4">
              <w:rPr>
                <w:szCs w:val="20"/>
              </w:rPr>
              <w:t xml:space="preserve"> will</w:t>
            </w:r>
            <w:r w:rsidR="007728B4" w:rsidRPr="008A10C9">
              <w:rPr>
                <w:szCs w:val="20"/>
              </w:rPr>
              <w:t xml:space="preserve"> not retrospectively apply) and </w:t>
            </w:r>
            <w:r w:rsidR="007728B4">
              <w:rPr>
                <w:szCs w:val="20"/>
              </w:rPr>
              <w:t xml:space="preserve">inform approved providers about </w:t>
            </w:r>
            <w:r w:rsidR="007728B4" w:rsidRPr="008A10C9">
              <w:rPr>
                <w:szCs w:val="20"/>
              </w:rPr>
              <w:t xml:space="preserve">the recommended record keeping practices </w:t>
            </w:r>
            <w:r w:rsidR="007728B4">
              <w:rPr>
                <w:szCs w:val="20"/>
              </w:rPr>
              <w:t>for this new requirement</w:t>
            </w:r>
            <w:r w:rsidR="007728B4" w:rsidRPr="008A10C9">
              <w:rPr>
                <w:szCs w:val="20"/>
              </w:rPr>
              <w:t>.</w:t>
            </w:r>
          </w:p>
        </w:tc>
      </w:tr>
    </w:tbl>
    <w:p w14:paraId="12021FDF" w14:textId="77777777" w:rsidR="004636EF" w:rsidRDefault="004636EF" w:rsidP="00F515D3"/>
    <w:p w14:paraId="579E616C" w14:textId="31D34B72" w:rsidR="00F515D3" w:rsidRDefault="00F515D3" w:rsidP="00F515D3">
      <w:r>
        <w:t>Under the National Law there is a two-year statute of limitations on prosecutions for offences contained in the National Law and National Regulations. This means that under section 284 of the National Law, proceedings for an offence under the National Law must commence within two years of the date of the alleged offence. This ensures that legal action is taken within a reasonable timeframe, allowing for timely resolution.</w:t>
      </w:r>
      <w:r>
        <w:rPr>
          <w:rStyle w:val="FootnoteReference"/>
        </w:rPr>
        <w:footnoteReference w:id="147"/>
      </w:r>
      <w:r>
        <w:t xml:space="preserve"> </w:t>
      </w:r>
    </w:p>
    <w:p w14:paraId="720C58F4" w14:textId="461DE836" w:rsidR="00F515D3" w:rsidRDefault="00F515D3" w:rsidP="00F515D3">
      <w:r>
        <w:lastRenderedPageBreak/>
        <w:t>The extended period recognises there are complexities involved with investigating and preparing legal action for offences under the National Law when compared to other summary offences. It also recognises that Regulatory Authorities face limited resourcing relative to law enforcement agencies.</w:t>
      </w:r>
    </w:p>
    <w:p w14:paraId="5EBD77FC" w14:textId="7A8EE018" w:rsidR="00F515D3" w:rsidRDefault="00F515D3" w:rsidP="00F515D3">
      <w:pPr>
        <w:autoSpaceDE w:val="0"/>
        <w:autoSpaceDN w:val="0"/>
        <w:adjustRightInd w:val="0"/>
      </w:pPr>
      <w:r w:rsidRPr="00250784">
        <w:t>It is proposed that Regulatory Authorities have a longer time period in which to prosecute</w:t>
      </w:r>
      <w:r>
        <w:t>, including in cases</w:t>
      </w:r>
      <w:r w:rsidRPr="00250784">
        <w:t xml:space="preserve"> where</w:t>
      </w:r>
      <w:r>
        <w:t xml:space="preserve"> </w:t>
      </w:r>
      <w:r w:rsidRPr="00250784">
        <w:t>children have suffered serious harm due to the failure of approved providers, nominated supervisors</w:t>
      </w:r>
      <w:r>
        <w:t xml:space="preserve"> </w:t>
      </w:r>
      <w:r w:rsidRPr="00250784">
        <w:t>or educators.</w:t>
      </w:r>
    </w:p>
    <w:p w14:paraId="25B0D564" w14:textId="504C9F6F" w:rsidR="00F515D3" w:rsidRPr="00167199" w:rsidRDefault="00F515D3" w:rsidP="00F515D3">
      <w:r>
        <w:t>Regulatory Authorities can commence proceedings against an approved provider for regulatory breaches,</w:t>
      </w:r>
      <w:r w:rsidRPr="00250784">
        <w:rPr>
          <w14:ligatures w14:val="standardContextual"/>
        </w:rPr>
        <w:t xml:space="preserve"> </w:t>
      </w:r>
      <w:r w:rsidRPr="00250784">
        <w:rPr>
          <w:rFonts w:cs="Arial"/>
          <w:szCs w:val="22"/>
          <w14:ligatures w14:val="standardContextual"/>
        </w:rPr>
        <w:t>such as inadequate supervision or failing to report concerns,</w:t>
      </w:r>
      <w:r w:rsidRPr="000A0E87">
        <w:rPr>
          <w:szCs w:val="22"/>
        </w:rPr>
        <w:t xml:space="preserve"> ev</w:t>
      </w:r>
      <w:r>
        <w:t>en while police proceedings against a defendant are ongoing for a criminal offence. In such cases, both proceedings occur simultaneously but address different offences arising from the same incident.</w:t>
      </w:r>
    </w:p>
    <w:p w14:paraId="66890F8F" w14:textId="77777777" w:rsidR="00F515D3" w:rsidRDefault="00F515D3" w:rsidP="00F515D3">
      <w:pPr>
        <w:pStyle w:val="Heading3"/>
      </w:pPr>
      <w:r>
        <w:t>What is the problem?</w:t>
      </w:r>
    </w:p>
    <w:p w14:paraId="02908361" w14:textId="4BC0737D" w:rsidR="00F515D3" w:rsidRDefault="00F515D3" w:rsidP="00F515D3">
      <w:r>
        <w:t xml:space="preserve">The current limitation period does not consider circumstances where there is a reasonable delay in reporting and investigation due to the nature of the offence, such as child abuse. This delay prevents Regulatory Authorities from commencing prosecution proceedings within the two-year limitation period. </w:t>
      </w:r>
    </w:p>
    <w:p w14:paraId="6A2C5718" w14:textId="79CC653F" w:rsidR="00F515D3" w:rsidRDefault="00F515D3" w:rsidP="00F515D3">
      <w:r>
        <w:t>There have been matters involving serious harm to children attending an education and care service where prosecution would have been a proportionate sanction in the public interest, however prosecution did not commence because the statute of limitation had expired. While the vast majority of alleged incidents are reported within the two year limitation period</w:t>
      </w:r>
      <w:r w:rsidR="002E5726">
        <w:t xml:space="preserve"> from the date of the alleged offence</w:t>
      </w:r>
      <w:r>
        <w:t xml:space="preserve">, some Regulatory Authorities from Australian states and territories did recall incidents in the last five years where the limitation period </w:t>
      </w:r>
      <w:r w:rsidR="00195577">
        <w:t>had expired</w:t>
      </w:r>
      <w:r>
        <w:t xml:space="preserve"> when the incident was reported.</w:t>
      </w:r>
    </w:p>
    <w:p w14:paraId="727BAA1F" w14:textId="0EBB64F1" w:rsidR="00F515D3" w:rsidRDefault="00F515D3" w:rsidP="00F515D3">
      <w:r>
        <w:t xml:space="preserve">The Royal Commission into Institutional Responses to Child Sexual Abuse found that it takes </w:t>
      </w:r>
      <w:r w:rsidR="009F39B2">
        <w:t xml:space="preserve">on average </w:t>
      </w:r>
      <w:r>
        <w:t>23.9 years for survivors to disclose childhood abuse.</w:t>
      </w:r>
      <w:r>
        <w:rPr>
          <w:rStyle w:val="FootnoteReference"/>
        </w:rPr>
        <w:footnoteReference w:id="148"/>
      </w:r>
      <w:r>
        <w:t xml:space="preserve"> These timeframes present a significant obstacle to Regulatory Authorities taking prosecution action against providers and individuals, unless the limitation period in the National Law is amended.</w:t>
      </w:r>
      <w:r>
        <w:rPr>
          <w:rStyle w:val="FootnoteReference"/>
        </w:rPr>
        <w:footnoteReference w:id="149"/>
      </w:r>
      <w:r>
        <w:t xml:space="preserve"> </w:t>
      </w:r>
    </w:p>
    <w:p w14:paraId="3B572FDA" w14:textId="445E3E6D" w:rsidR="00F515D3" w:rsidRDefault="00EB4295" w:rsidP="00F515D3">
      <w:pPr>
        <w:pStyle w:val="Heading3"/>
      </w:pPr>
      <w:r>
        <w:lastRenderedPageBreak/>
        <w:t>What were the policy options consulted on?</w:t>
      </w:r>
    </w:p>
    <w:p w14:paraId="786EFC68" w14:textId="7B027F71" w:rsidR="00F515D3" w:rsidRDefault="00F515D3" w:rsidP="00F515D3">
      <w:r>
        <w:t>Two options, including the status quo and one regulatory option are under consideration.</w:t>
      </w:r>
    </w:p>
    <w:p w14:paraId="4201C2DB" w14:textId="773A2B22" w:rsidR="00F515D3" w:rsidRPr="00F475B4" w:rsidRDefault="00F515D3" w:rsidP="00F515D3">
      <w:pPr>
        <w:pStyle w:val="Caption"/>
      </w:pPr>
      <w:bookmarkStart w:id="219" w:name="_Toc201934917"/>
      <w:bookmarkStart w:id="220" w:name="_Toc205884996"/>
      <w:r>
        <w:t xml:space="preserve">Table 10.2: Policy options under consideration – </w:t>
      </w:r>
      <w:r w:rsidRPr="00B53803">
        <w:t>Extending the limitation period for commencing proceedings under the National Law</w:t>
      </w:r>
      <w:bookmarkEnd w:id="219"/>
      <w:bookmarkEnd w:id="22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0.2: Policy options under consideration – Extending the limitation period for commencing proceedings under the National Law"/>
        <w:tblDescription w:val="The table outlines the policy options under consideration for extending the limitation period for commencing proceedings under the National Law."/>
      </w:tblPr>
      <w:tblGrid>
        <w:gridCol w:w="1631"/>
        <w:gridCol w:w="7379"/>
      </w:tblGrid>
      <w:tr w:rsidR="00F515D3" w:rsidRPr="00D8205C" w14:paraId="1002F2BF" w14:textId="77777777" w:rsidTr="004636EF">
        <w:trPr>
          <w:tblHeader/>
        </w:trPr>
        <w:tc>
          <w:tcPr>
            <w:tcW w:w="905" w:type="pct"/>
            <w:shd w:val="clear" w:color="auto" w:fill="14233C" w:themeFill="text2"/>
          </w:tcPr>
          <w:p w14:paraId="1AD3865B" w14:textId="390F90D8" w:rsidR="00F515D3" w:rsidRPr="00981818" w:rsidRDefault="00F515D3">
            <w:pPr>
              <w:jc w:val="center"/>
              <w:rPr>
                <w:b/>
                <w:color w:val="FFFFFF" w:themeColor="background1"/>
                <w:szCs w:val="22"/>
              </w:rPr>
            </w:pPr>
            <w:r w:rsidRPr="00981818">
              <w:rPr>
                <w:b/>
                <w:color w:val="FFFFFF" w:themeColor="background1"/>
                <w:szCs w:val="22"/>
              </w:rPr>
              <w:t>Option</w:t>
            </w:r>
          </w:p>
        </w:tc>
        <w:tc>
          <w:tcPr>
            <w:tcW w:w="4095" w:type="pct"/>
            <w:shd w:val="clear" w:color="auto" w:fill="14233C" w:themeFill="text2"/>
          </w:tcPr>
          <w:p w14:paraId="3FD60176" w14:textId="77777777" w:rsidR="00F515D3" w:rsidRPr="00981818" w:rsidRDefault="00F515D3">
            <w:pPr>
              <w:jc w:val="center"/>
              <w:rPr>
                <w:b/>
                <w:color w:val="FFFFFF" w:themeColor="background1"/>
                <w:szCs w:val="22"/>
              </w:rPr>
            </w:pPr>
            <w:r w:rsidRPr="00981818">
              <w:rPr>
                <w:b/>
                <w:color w:val="FFFFFF" w:themeColor="background1"/>
                <w:szCs w:val="22"/>
              </w:rPr>
              <w:t>Description</w:t>
            </w:r>
          </w:p>
        </w:tc>
      </w:tr>
      <w:tr w:rsidR="00F515D3" w14:paraId="77BEA36A" w14:textId="77777777" w:rsidTr="0070597C">
        <w:tc>
          <w:tcPr>
            <w:tcW w:w="905" w:type="pct"/>
          </w:tcPr>
          <w:p w14:paraId="5C274BEC" w14:textId="77777777" w:rsidR="00F515D3" w:rsidRPr="00981818" w:rsidRDefault="00F515D3">
            <w:pPr>
              <w:rPr>
                <w:szCs w:val="22"/>
              </w:rPr>
            </w:pPr>
            <w:r w:rsidRPr="00981818">
              <w:rPr>
                <w:szCs w:val="22"/>
              </w:rPr>
              <w:t>1</w:t>
            </w:r>
          </w:p>
        </w:tc>
        <w:tc>
          <w:tcPr>
            <w:tcW w:w="4095" w:type="pct"/>
          </w:tcPr>
          <w:p w14:paraId="6A9881F6" w14:textId="77777777" w:rsidR="00F515D3" w:rsidRPr="00981818" w:rsidRDefault="00F515D3">
            <w:pPr>
              <w:rPr>
                <w:szCs w:val="22"/>
              </w:rPr>
            </w:pPr>
            <w:r w:rsidRPr="00981818">
              <w:rPr>
                <w:szCs w:val="22"/>
              </w:rPr>
              <w:t>Status quo (no change).</w:t>
            </w:r>
          </w:p>
        </w:tc>
      </w:tr>
      <w:tr w:rsidR="00F515D3" w14:paraId="51E501AB" w14:textId="77777777" w:rsidTr="0070597C">
        <w:tc>
          <w:tcPr>
            <w:tcW w:w="905" w:type="pct"/>
          </w:tcPr>
          <w:p w14:paraId="67900CAC" w14:textId="77777777" w:rsidR="00F515D3" w:rsidRPr="00981818" w:rsidRDefault="00F515D3">
            <w:pPr>
              <w:rPr>
                <w:szCs w:val="22"/>
              </w:rPr>
            </w:pPr>
            <w:r w:rsidRPr="00981818">
              <w:rPr>
                <w:szCs w:val="22"/>
              </w:rPr>
              <w:t>2</w:t>
            </w:r>
          </w:p>
        </w:tc>
        <w:tc>
          <w:tcPr>
            <w:tcW w:w="4095" w:type="pct"/>
          </w:tcPr>
          <w:p w14:paraId="107A8967" w14:textId="77777777" w:rsidR="00F515D3" w:rsidRPr="00981818" w:rsidRDefault="00F515D3">
            <w:pPr>
              <w:rPr>
                <w:b/>
                <w:szCs w:val="22"/>
              </w:rPr>
            </w:pPr>
            <w:r w:rsidRPr="00981818">
              <w:rPr>
                <w:b/>
                <w:szCs w:val="22"/>
              </w:rPr>
              <w:t>Regulatory</w:t>
            </w:r>
          </w:p>
          <w:p w14:paraId="1C43035F" w14:textId="06BA0F21" w:rsidR="00F515D3" w:rsidRPr="00981818" w:rsidRDefault="00F515D3">
            <w:pPr>
              <w:rPr>
                <w:szCs w:val="22"/>
              </w:rPr>
            </w:pPr>
            <w:r w:rsidRPr="00981818">
              <w:rPr>
                <w:szCs w:val="22"/>
              </w:rPr>
              <w:t>Amend section 284 of the National Law so that the limitation period commences two years from the date that the alleged offence comes to the notice of the Regulatory Authority of each jurisdiction.</w:t>
            </w:r>
          </w:p>
        </w:tc>
      </w:tr>
    </w:tbl>
    <w:p w14:paraId="5378E6EF" w14:textId="77777777" w:rsidR="00F515D3" w:rsidRDefault="00F515D3" w:rsidP="00F515D3">
      <w:pPr>
        <w:pStyle w:val="Heading3"/>
      </w:pPr>
      <w:r>
        <w:t>What are the impacts of each option?</w:t>
      </w:r>
    </w:p>
    <w:p w14:paraId="6872A0E9" w14:textId="56C4BA64" w:rsidR="00F515D3" w:rsidRPr="00083B20" w:rsidRDefault="00F515D3" w:rsidP="00F515D3">
      <w:r>
        <w:t xml:space="preserve">The sections below provide a qualitative discussion on the potential impacts of the proposed options on child safety outcomes, costs to stakeholders, implementation </w:t>
      </w:r>
      <w:r w:rsidR="004151E0">
        <w:t>considerations</w:t>
      </w:r>
      <w:r>
        <w:t>, and distributional impacts, in line with the approach outlined in Chapter 4.</w:t>
      </w:r>
    </w:p>
    <w:p w14:paraId="1A57A89B" w14:textId="77777777" w:rsidR="00F515D3" w:rsidRDefault="00F515D3" w:rsidP="00F515D3">
      <w:pPr>
        <w:pStyle w:val="Heading4"/>
      </w:pPr>
      <w:r>
        <w:t xml:space="preserve">Impact on child safety </w:t>
      </w:r>
    </w:p>
    <w:p w14:paraId="6F9A33D4" w14:textId="6252B8A4" w:rsidR="00F515D3" w:rsidRPr="00805425" w:rsidRDefault="00F515D3" w:rsidP="00F515D3">
      <w:r>
        <w:t xml:space="preserve">Option 2 </w:t>
      </w:r>
      <w:r w:rsidR="002E5726">
        <w:t xml:space="preserve">amends the National Law so the limitation period would take effect two years from the date that </w:t>
      </w:r>
      <w:r>
        <w:t xml:space="preserve">the alleged offence </w:t>
      </w:r>
      <w:r w:rsidRPr="00805425">
        <w:t>comes to the notice of the relevant Regulatory Authority</w:t>
      </w:r>
      <w:r>
        <w:t xml:space="preserve">, rather than two years after the alleged offence occurs. </w:t>
      </w:r>
      <w:r w:rsidRPr="00805425">
        <w:t xml:space="preserve">This change </w:t>
      </w:r>
      <w:r w:rsidR="002E5726">
        <w:t>would</w:t>
      </w:r>
      <w:r w:rsidR="002E5726" w:rsidRPr="00805425">
        <w:t xml:space="preserve"> </w:t>
      </w:r>
      <w:r w:rsidRPr="00805425">
        <w:t xml:space="preserve">allow prosecution to occur even if there is a significant delay in reporting, and it would apply to all offences under the National Law and National Regulations. </w:t>
      </w:r>
    </w:p>
    <w:p w14:paraId="05D5D33E" w14:textId="74E6DCF7" w:rsidR="00F515D3" w:rsidRPr="00805425" w:rsidRDefault="00F515D3" w:rsidP="00F515D3">
      <w:r w:rsidRPr="00805425">
        <w:t>Th</w:t>
      </w:r>
      <w:r>
        <w:t>e proposed</w:t>
      </w:r>
      <w:r w:rsidRPr="00805425">
        <w:t xml:space="preserve"> adjustment aligns with other regulatory frameworks, which also </w:t>
      </w:r>
      <w:r>
        <w:t>have</w:t>
      </w:r>
      <w:r w:rsidRPr="00805425">
        <w:t xml:space="preserve"> a two-year limitation period and follows recent trends in Australian law to remove limitation periods for childhood sexual and physical abuse claims.</w:t>
      </w:r>
    </w:p>
    <w:p w14:paraId="7D53BDFE" w14:textId="11426C3E" w:rsidR="00F515D3" w:rsidRPr="005A0F3E" w:rsidRDefault="00F515D3" w:rsidP="00F515D3">
      <w:r>
        <w:t>Stakeholder input suggests that o</w:t>
      </w:r>
      <w:r w:rsidRPr="00EC6926">
        <w:t>ption</w:t>
      </w:r>
      <w:r w:rsidRPr="00805425">
        <w:t xml:space="preserve"> 2 </w:t>
      </w:r>
      <w:r>
        <w:t>would</w:t>
      </w:r>
      <w:r w:rsidRPr="00805425">
        <w:t xml:space="preserve"> either </w:t>
      </w:r>
      <w:r w:rsidR="002E5726">
        <w:t xml:space="preserve">‘somewhat reduce’ or ‘greatly reduce’ </w:t>
      </w:r>
      <w:r w:rsidRPr="00805425">
        <w:t xml:space="preserve">the risk of harm to children, </w:t>
      </w:r>
      <w:r>
        <w:t xml:space="preserve">although </w:t>
      </w:r>
      <w:r w:rsidRPr="00EC6926">
        <w:t>approximately</w:t>
      </w:r>
      <w:r w:rsidRPr="00805425">
        <w:t xml:space="preserve"> 10-20% of survey respondents indicated </w:t>
      </w:r>
      <w:r w:rsidRPr="00EC6926">
        <w:t xml:space="preserve">that they believe </w:t>
      </w:r>
      <w:r w:rsidRPr="00805425">
        <w:t xml:space="preserve">this option may have no </w:t>
      </w:r>
      <w:r w:rsidRPr="005A0F3E">
        <w:t>impact on child safety (refer to Chart 10.2 for approved provider survey input). Ultimately, this amendment is likely to lead to a relatively small increase in prosecutions for breaches of the National Law, however there may be a secondary benefit if potential perpetrators perceive a higher risk of prosecution and are therefore deterred from committing an offence.</w:t>
      </w:r>
    </w:p>
    <w:p w14:paraId="7D422D54" w14:textId="28C565B7" w:rsidR="00F515D3" w:rsidRDefault="00F515D3" w:rsidP="00F515D3">
      <w:pPr>
        <w:pStyle w:val="Caption"/>
      </w:pPr>
      <w:bookmarkStart w:id="221" w:name="_Toc201934918"/>
      <w:bookmarkStart w:id="222" w:name="_Toc205884997"/>
      <w:r>
        <w:rPr>
          <w:shd w:val="clear" w:color="auto" w:fill="FFFFFF"/>
        </w:rPr>
        <w:lastRenderedPageBreak/>
        <w:t>Chart 10.2 A</w:t>
      </w:r>
      <w:r w:rsidRPr="005A0F3E">
        <w:rPr>
          <w:shd w:val="clear" w:color="auto" w:fill="FFFFFF"/>
        </w:rPr>
        <w:t>pproved provider responses to “How much do you think each option will reduce the risk of harm to children?”</w:t>
      </w:r>
      <w:bookmarkEnd w:id="221"/>
      <w:bookmarkEnd w:id="222"/>
      <w:r w:rsidR="00444A15">
        <w:rPr>
          <w:shd w:val="clear" w:color="auto" w:fill="FFFFFF"/>
        </w:rPr>
        <w:t xml:space="preserve"> </w:t>
      </w:r>
    </w:p>
    <w:p w14:paraId="627A00CB" w14:textId="4F31611D" w:rsidR="00F515D3" w:rsidRPr="00EC6926" w:rsidRDefault="00F515D3" w:rsidP="00F515D3">
      <w:r>
        <w:rPr>
          <w:noProof/>
          <w14:ligatures w14:val="standardContextual"/>
        </w:rPr>
        <w:drawing>
          <wp:inline distT="0" distB="0" distL="0" distR="0" wp14:anchorId="23CA8D32" wp14:editId="7537AD4A">
            <wp:extent cx="5667375" cy="2792095"/>
            <wp:effectExtent l="0" t="0" r="0" b="8255"/>
            <wp:docPr id="1022176828"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F6EC6788-E20F-C85A-37FA-66BCAC660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BA2D122" w14:textId="045E50FD" w:rsidR="00F515D3" w:rsidRPr="00EC6926" w:rsidRDefault="00F515D3" w:rsidP="00193A9F">
      <w:pPr>
        <w:pStyle w:val="Source-CSR"/>
      </w:pPr>
      <w:r w:rsidRPr="00193A9F">
        <w:t>Source: Approved provider survey, as of 11 June 2025, Q111, option 1 n=81, option 2 n=82.</w:t>
      </w:r>
      <w:r w:rsidRPr="009E33F2">
        <w:rPr>
          <w:rFonts w:cs="Arial"/>
          <w:color w:val="808080"/>
          <w:shd w:val="clear" w:color="auto" w:fill="FFFFFF"/>
        </w:rPr>
        <w:t> </w:t>
      </w:r>
    </w:p>
    <w:p w14:paraId="0BE49ED0" w14:textId="1C28A669" w:rsidR="00F515D3" w:rsidRPr="00466043" w:rsidRDefault="00F515D3" w:rsidP="00F515D3">
      <w:pPr>
        <w:pStyle w:val="Heading4"/>
      </w:pPr>
      <w:r w:rsidRPr="00466043">
        <w:t xml:space="preserve">Cost of </w:t>
      </w:r>
      <w:r>
        <w:t>each</w:t>
      </w:r>
      <w:r w:rsidRPr="00466043">
        <w:t xml:space="preserve"> option</w:t>
      </w:r>
    </w:p>
    <w:p w14:paraId="417A26E4" w14:textId="5CC38BC8" w:rsidR="00F515D3" w:rsidRDefault="00F515D3" w:rsidP="00F515D3">
      <w:r>
        <w:t xml:space="preserve">Given the </w:t>
      </w:r>
      <w:r w:rsidR="00A70A1C">
        <w:t>small</w:t>
      </w:r>
      <w:r>
        <w:t xml:space="preserve"> number of instances in which the limitation period </w:t>
      </w:r>
      <w:r w:rsidR="00A70A1C">
        <w:t>expires before an alleged offence comes to the notice of the Regulatory Authority</w:t>
      </w:r>
      <w:r>
        <w:t>, option 2 is unlikely to impose substantial costs on any stakeholder.</w:t>
      </w:r>
      <w:r w:rsidR="00A70A1C">
        <w:t xml:space="preserve"> However, </w:t>
      </w:r>
      <w:r w:rsidRPr="004B259A">
        <w:t xml:space="preserve">Regulatory Authorities </w:t>
      </w:r>
      <w:r w:rsidR="00A70A1C">
        <w:t>may</w:t>
      </w:r>
      <w:r w:rsidR="00107E70">
        <w:t xml:space="preserve"> </w:t>
      </w:r>
      <w:r w:rsidRPr="004B259A">
        <w:t xml:space="preserve">face a larger caseload </w:t>
      </w:r>
      <w:r w:rsidR="00107E70">
        <w:t>should the proposed change result in a higher volume of proceedings.</w:t>
      </w:r>
      <w:r w:rsidRPr="004B259A">
        <w:t xml:space="preserve"> This increase in workload could also impose additional costs on the justice system, since investigations by Regulatory Authorities may lead to court cases and possible prosecutions. However, this option is not expected to incur costs for approved providers or other stakeholders, except in cases where approved providers need to provide evidence </w:t>
      </w:r>
      <w:r w:rsidR="00B30AF2">
        <w:t xml:space="preserve">or support court cases (e.g., as a witness) </w:t>
      </w:r>
      <w:r w:rsidR="00E04805">
        <w:t>in cases that would have not proceeded to commencement with the status quo limitation period.</w:t>
      </w:r>
      <w:r>
        <w:t xml:space="preserve"> </w:t>
      </w:r>
    </w:p>
    <w:p w14:paraId="7FFECE20" w14:textId="09CAB338" w:rsidR="00F515D3" w:rsidRPr="00466043" w:rsidRDefault="00F515D3" w:rsidP="00F515D3">
      <w:pPr>
        <w:pStyle w:val="Heading4"/>
      </w:pPr>
      <w:r>
        <w:t xml:space="preserve">Implementation </w:t>
      </w:r>
      <w:r w:rsidR="004151E0">
        <w:t>considerations</w:t>
      </w:r>
    </w:p>
    <w:p w14:paraId="790BBDDA" w14:textId="0C473AFE" w:rsidR="00F515D3" w:rsidRDefault="00F515D3" w:rsidP="00F515D3">
      <w:r>
        <w:t xml:space="preserve">There </w:t>
      </w:r>
      <w:r w:rsidR="00B70EFA">
        <w:t xml:space="preserve">are </w:t>
      </w:r>
      <w:r>
        <w:t xml:space="preserve">unlikely to be substantial implementation risks associated with option 2. There is a chance that the longer </w:t>
      </w:r>
      <w:r w:rsidR="00B70EFA">
        <w:t>window for prosecution</w:t>
      </w:r>
      <w:r>
        <w:t xml:space="preserve"> would reduce the likelihood that approved providers can present sufficient evidence in cases where an alleged offence is reported to a Regulatory Authority at a later date</w:t>
      </w:r>
      <w:r w:rsidR="00B70EFA">
        <w:t>.</w:t>
      </w:r>
      <w:r>
        <w:t xml:space="preserve"> </w:t>
      </w:r>
      <w:r w:rsidR="00B70EFA">
        <w:t>H</w:t>
      </w:r>
      <w:r>
        <w:t>owever</w:t>
      </w:r>
      <w:r w:rsidR="00B70EFA">
        <w:t>,</w:t>
      </w:r>
      <w:r>
        <w:t xml:space="preserve"> this risk is already present for legal proceedings under different laws, including criminal law.</w:t>
      </w:r>
      <w:r w:rsidR="00444A15">
        <w:t xml:space="preserve"> </w:t>
      </w:r>
    </w:p>
    <w:p w14:paraId="653E4480" w14:textId="77777777" w:rsidR="00F515D3" w:rsidRPr="00466043" w:rsidRDefault="00F515D3" w:rsidP="00F515D3">
      <w:pPr>
        <w:pStyle w:val="Heading4"/>
      </w:pPr>
      <w:r w:rsidRPr="00466043">
        <w:t>Distributional impacts</w:t>
      </w:r>
    </w:p>
    <w:p w14:paraId="16501A9E" w14:textId="77777777" w:rsidR="00F515D3" w:rsidRDefault="00F515D3" w:rsidP="00F515D3">
      <w:r>
        <w:lastRenderedPageBreak/>
        <w:t xml:space="preserve">Stakeholders did not identify any </w:t>
      </w:r>
      <w:r w:rsidRPr="00233462">
        <w:t xml:space="preserve">significant </w:t>
      </w:r>
      <w:r>
        <w:t xml:space="preserve">distributional impacts </w:t>
      </w:r>
      <w:r w:rsidRPr="00233462">
        <w:t xml:space="preserve">associated with this </w:t>
      </w:r>
      <w:r>
        <w:t xml:space="preserve">policy option. Regulatory Authorities are expected to be the most impacted in terms of costs, however they did not report these costs being prohibitive. The cost impact on any providers that need to provide evidence </w:t>
      </w:r>
      <w:r w:rsidRPr="00233462">
        <w:t>for investigations that might have previously been uncollected is expected to occur infrequently; however, no information was gathered regarding the magnitude of this cost.</w:t>
      </w:r>
    </w:p>
    <w:p w14:paraId="1CB34B93" w14:textId="04BE6F1D" w:rsidR="00F515D3" w:rsidRDefault="00F515D3" w:rsidP="00F515D3">
      <w:r>
        <w:t xml:space="preserve">Overall, option 2 is not expected to generate significant trade-offs for any stakeholder group. </w:t>
      </w:r>
    </w:p>
    <w:p w14:paraId="24A04176" w14:textId="461C39C8" w:rsidR="00CF293E" w:rsidRDefault="00CF293E" w:rsidP="00CF293E">
      <w:pPr>
        <w:pStyle w:val="Heading4"/>
      </w:pPr>
      <w:r>
        <w:t xml:space="preserve">Stakeholders’ </w:t>
      </w:r>
      <w:r w:rsidR="00BF7E16">
        <w:t>preferred</w:t>
      </w:r>
      <w:r w:rsidR="004C5562">
        <w:t xml:space="preserve"> option</w:t>
      </w:r>
    </w:p>
    <w:p w14:paraId="456BD921" w14:textId="3EAD5E16" w:rsidR="00CF293E" w:rsidRPr="00CF293E" w:rsidRDefault="00CF293E" w:rsidP="00CF293E">
      <w:r>
        <w:t xml:space="preserve">Among approved providers who responded to the survey, option 2 was the </w:t>
      </w:r>
      <w:r w:rsidR="00BF7E16">
        <w:t>preferred</w:t>
      </w:r>
      <w:r w:rsidR="004C5562">
        <w:t xml:space="preserve"> option</w:t>
      </w:r>
      <w:r>
        <w:t xml:space="preserve"> of 88% of respondents (Appendix </w:t>
      </w:r>
      <w:r w:rsidR="005E07D6">
        <w:t xml:space="preserve">Chart </w:t>
      </w:r>
      <w:r>
        <w:t>12.3.6</w:t>
      </w:r>
      <w:r w:rsidR="005E07D6">
        <w:t>.10</w:t>
      </w:r>
      <w:r>
        <w:t xml:space="preserve">). Similarly, 78% and 94% of workforce and family respondents </w:t>
      </w:r>
      <w:r w:rsidR="00BF7E16">
        <w:t>preferred</w:t>
      </w:r>
      <w:r w:rsidR="004C5562">
        <w:t xml:space="preserve"> option</w:t>
      </w:r>
      <w:r>
        <w:t xml:space="preserve"> 2 (Appendix </w:t>
      </w:r>
      <w:r w:rsidR="00833EC5">
        <w:t>Charts</w:t>
      </w:r>
      <w:r>
        <w:t>12.3.6</w:t>
      </w:r>
      <w:r w:rsidR="005E07D6">
        <w:t>.11</w:t>
      </w:r>
      <w:r w:rsidR="00833EC5">
        <w:t>-12</w:t>
      </w:r>
      <w:r>
        <w:t>).</w:t>
      </w:r>
      <w:r w:rsidR="7323F5DB">
        <w:t xml:space="preserve"> Nearly all </w:t>
      </w:r>
      <w:r w:rsidR="6600BC7D">
        <w:t xml:space="preserve">submissions supported option 2 across a range of respondent types. </w:t>
      </w:r>
    </w:p>
    <w:p w14:paraId="6BDE466D" w14:textId="1BFF34E8" w:rsidR="00F515D3" w:rsidRDefault="00F515D3" w:rsidP="00F515D3">
      <w:pPr>
        <w:pStyle w:val="Heading3"/>
      </w:pPr>
      <w:r>
        <w:t xml:space="preserve">What is the </w:t>
      </w:r>
      <w:r w:rsidR="004C5562">
        <w:t>recommended option</w:t>
      </w:r>
      <w:r>
        <w:t>(s) and how will it be implemented?</w:t>
      </w:r>
    </w:p>
    <w:p w14:paraId="0CB82B99" w14:textId="6E8DAC5E" w:rsidR="006F2358" w:rsidRDefault="00675C2A" w:rsidP="00D63CD5">
      <w:r w:rsidRPr="007D27A8">
        <w:t xml:space="preserve">Based on analysis included in this DRIS, the option </w:t>
      </w:r>
      <w:r w:rsidR="00BA34DE">
        <w:t>tha</w:t>
      </w:r>
      <w:r w:rsidR="006F60EC">
        <w:t>t is likely to result in</w:t>
      </w:r>
      <w:r w:rsidRPr="007D27A8">
        <w:t xml:space="preserve"> the highest net benefit to be provided to Education Ministers for consideration</w:t>
      </w:r>
      <w:r>
        <w:t xml:space="preserve"> is</w:t>
      </w:r>
      <w:r w:rsidRPr="007D27A8">
        <w:t xml:space="preserve"> </w:t>
      </w:r>
      <w:r w:rsidR="00D05935">
        <w:t>o</w:t>
      </w:r>
      <w:r w:rsidR="008A10C9">
        <w:t>ption 2</w:t>
      </w:r>
      <w:r>
        <w:t xml:space="preserve">. </w:t>
      </w:r>
      <w:r w:rsidR="008A10C9">
        <w:t>This preference is based on</w:t>
      </w:r>
      <w:r w:rsidR="00397F51">
        <w:t xml:space="preserve"> the expected benefits to child safety outcomes and limited evidence of potential costs. </w:t>
      </w:r>
      <w:r w:rsidR="0033242C">
        <w:t xml:space="preserve">This option was unequivocally the </w:t>
      </w:r>
      <w:r w:rsidR="00BF7E16">
        <w:t>preferred</w:t>
      </w:r>
      <w:r w:rsidR="0033242C">
        <w:t xml:space="preserve"> option of stakeholders consulted and survey respondents. </w:t>
      </w:r>
    </w:p>
    <w:p w14:paraId="3DB9EE88" w14:textId="58152B5D" w:rsidR="008A10C9" w:rsidRDefault="006F2358" w:rsidP="00D63CD5">
      <w:r>
        <w:t>This regulatory change will not apply retrospectively, due to the principle of legal certainty and fairness.</w:t>
      </w:r>
    </w:p>
    <w:p w14:paraId="50D0C185" w14:textId="5E84C5F0" w:rsidR="00F515D3" w:rsidRDefault="00F515D3" w:rsidP="00F515D3">
      <w:pPr>
        <w:pStyle w:val="Heading2"/>
      </w:pPr>
      <w:bookmarkStart w:id="223" w:name="_Toc201934882"/>
      <w:bookmarkStart w:id="224" w:name="_Toc205884905"/>
      <w:r>
        <w:t>10.3 Information sharing provisions for recruitment agencies</w:t>
      </w:r>
      <w:bookmarkEnd w:id="223"/>
      <w:bookmarkEnd w:id="224"/>
    </w:p>
    <w:tbl>
      <w:tblPr>
        <w:tblStyle w:val="Deloittetable"/>
        <w:tblW w:w="9140" w:type="dxa"/>
        <w:tblLook w:val="04A0" w:firstRow="1" w:lastRow="0" w:firstColumn="1" w:lastColumn="0" w:noHBand="0" w:noVBand="1"/>
        <w:tblCaption w:val="Key insights - Information sharing provisions for recruitment agencies"/>
        <w:tblDescription w:val="This table outlines the key insights for information sharing provisions for recruitment agencies."/>
      </w:tblPr>
      <w:tblGrid>
        <w:gridCol w:w="9140"/>
      </w:tblGrid>
      <w:tr w:rsidR="00B11DFB" w14:paraId="3293B9E9" w14:textId="77777777" w:rsidTr="005F7827">
        <w:trPr>
          <w:cnfStyle w:val="100000000000" w:firstRow="1" w:lastRow="0" w:firstColumn="0" w:lastColumn="0" w:oddVBand="0" w:evenVBand="0" w:oddHBand="0" w:evenHBand="0" w:firstRowFirstColumn="0" w:firstRowLastColumn="0" w:lastRowFirstColumn="0" w:lastRowLastColumn="0"/>
          <w:trHeight w:val="614"/>
        </w:trPr>
        <w:tc>
          <w:tcPr>
            <w:tcW w:w="9140" w:type="dxa"/>
            <w:shd w:val="clear" w:color="auto" w:fill="DEE6F4" w:themeFill="text2" w:themeFillTint="1A"/>
          </w:tcPr>
          <w:p w14:paraId="113268D3" w14:textId="2090768E" w:rsidR="00B11DFB" w:rsidRPr="005347A5" w:rsidRDefault="00B11DFB">
            <w:pPr>
              <w:rPr>
                <w:b/>
                <w:bCs/>
                <w:sz w:val="20"/>
                <w:szCs w:val="20"/>
              </w:rPr>
            </w:pPr>
            <w:r w:rsidRPr="005347A5">
              <w:rPr>
                <w:b/>
                <w:bCs/>
                <w:sz w:val="20"/>
                <w:szCs w:val="20"/>
              </w:rPr>
              <w:t xml:space="preserve">Key Insights </w:t>
            </w:r>
          </w:p>
          <w:p w14:paraId="55EC2D9C" w14:textId="77777777" w:rsidR="00B11DFB" w:rsidRPr="00712583" w:rsidRDefault="00B11DFB">
            <w:pPr>
              <w:rPr>
                <w:i/>
                <w:szCs w:val="22"/>
              </w:rPr>
            </w:pPr>
            <w:r>
              <w:rPr>
                <w:i/>
                <w:szCs w:val="22"/>
              </w:rPr>
              <w:t>Problem</w:t>
            </w:r>
          </w:p>
          <w:p w14:paraId="7CDBF88D" w14:textId="6CBC6149" w:rsidR="00874FCD" w:rsidRPr="00874FCD" w:rsidRDefault="00874FCD" w:rsidP="00EC53AB">
            <w:pPr>
              <w:pStyle w:val="ListParagraph"/>
              <w:numPr>
                <w:ilvl w:val="0"/>
                <w:numId w:val="100"/>
              </w:numPr>
              <w:spacing w:before="120"/>
              <w:ind w:left="462"/>
              <w:contextualSpacing/>
              <w:rPr>
                <w:i/>
                <w:szCs w:val="20"/>
              </w:rPr>
            </w:pPr>
            <w:r>
              <w:t xml:space="preserve">Where an allegation is made against an agency educator and a host provider has an incomplete staff record, Regulatory Authorities have no power to promptly obtain additional information about agency educators from recruitment agencies, such as contact details or copies of qualifications. </w:t>
            </w:r>
          </w:p>
          <w:p w14:paraId="0FC0ED78" w14:textId="77777777" w:rsidR="00174C26" w:rsidRPr="00174C26" w:rsidRDefault="00E8137F" w:rsidP="00EC53AB">
            <w:pPr>
              <w:pStyle w:val="ListParagraph"/>
              <w:numPr>
                <w:ilvl w:val="0"/>
                <w:numId w:val="100"/>
              </w:numPr>
              <w:spacing w:before="120"/>
              <w:ind w:left="462"/>
              <w:contextualSpacing/>
              <w:rPr>
                <w:i/>
                <w:szCs w:val="20"/>
              </w:rPr>
            </w:pPr>
            <w:r w:rsidRPr="00E8137F">
              <w:rPr>
                <w:szCs w:val="20"/>
              </w:rPr>
              <w:t xml:space="preserve">There is no ability for a Regulatory Authority to advise a recruitment agency that one of their employed/engaged agency educators is prohibited, nor ability for a Regulatory Authority to proactively advise a host provider that they have a prohibited agency educator working at one of their services. The Regulatory Authority is restricted to advising the relevant WWCC agency and awaiting those processes to take effect; such processes vary across jurisdictions. In the meantime, prohibited agency educators may still be working with children across multiple services. </w:t>
            </w:r>
          </w:p>
          <w:p w14:paraId="3EA1F95B" w14:textId="10906D61" w:rsidR="00B11DFB" w:rsidRPr="000B4397" w:rsidRDefault="00B11DFB" w:rsidP="00174C26">
            <w:pPr>
              <w:spacing w:before="120"/>
              <w:contextualSpacing/>
              <w:rPr>
                <w:i/>
                <w:szCs w:val="20"/>
              </w:rPr>
            </w:pPr>
            <w:r w:rsidRPr="00E8137F">
              <w:rPr>
                <w:i/>
                <w:szCs w:val="20"/>
              </w:rPr>
              <w:lastRenderedPageBreak/>
              <w:t>Impacts of each option</w:t>
            </w:r>
          </w:p>
          <w:p w14:paraId="791AF559" w14:textId="6F77535E" w:rsidR="004909C1" w:rsidRPr="00E7042E" w:rsidRDefault="004909C1" w:rsidP="00EC53AB">
            <w:pPr>
              <w:pStyle w:val="ListParagraph"/>
              <w:numPr>
                <w:ilvl w:val="0"/>
                <w:numId w:val="100"/>
              </w:numPr>
              <w:tabs>
                <w:tab w:val="clear" w:pos="2835"/>
              </w:tabs>
              <w:spacing w:before="120"/>
              <w:ind w:left="462"/>
              <w:contextualSpacing/>
              <w:rPr>
                <w:szCs w:val="20"/>
              </w:rPr>
            </w:pPr>
            <w:r w:rsidRPr="00C41034">
              <w:rPr>
                <w:szCs w:val="20"/>
              </w:rPr>
              <w:t xml:space="preserve">A significant share of stakeholders indicated that the regulatory options would </w:t>
            </w:r>
            <w:r>
              <w:rPr>
                <w:szCs w:val="20"/>
              </w:rPr>
              <w:t>‘</w:t>
            </w:r>
            <w:r w:rsidRPr="00C41034">
              <w:rPr>
                <w:szCs w:val="20"/>
              </w:rPr>
              <w:t>greatly reduce</w:t>
            </w:r>
            <w:r>
              <w:rPr>
                <w:szCs w:val="20"/>
              </w:rPr>
              <w:t>’</w:t>
            </w:r>
            <w:r w:rsidRPr="00C41034">
              <w:rPr>
                <w:szCs w:val="20"/>
              </w:rPr>
              <w:t xml:space="preserve"> the risk of harm to children, with options 3</w:t>
            </w:r>
            <w:r>
              <w:rPr>
                <w:szCs w:val="20"/>
              </w:rPr>
              <w:t>, 4 and</w:t>
            </w:r>
            <w:r w:rsidRPr="00C41034">
              <w:rPr>
                <w:szCs w:val="20"/>
              </w:rPr>
              <w:t xml:space="preserve"> 5 </w:t>
            </w:r>
            <w:r>
              <w:rPr>
                <w:szCs w:val="20"/>
              </w:rPr>
              <w:t>expected</w:t>
            </w:r>
            <w:r w:rsidRPr="00C41034">
              <w:rPr>
                <w:szCs w:val="20"/>
              </w:rPr>
              <w:t xml:space="preserve"> to more likely to result in progressively greater reductions in the risk of harm to children </w:t>
            </w:r>
            <w:r>
              <w:rPr>
                <w:szCs w:val="20"/>
              </w:rPr>
              <w:t xml:space="preserve">than option 2. </w:t>
            </w:r>
          </w:p>
          <w:p w14:paraId="1A4340E9" w14:textId="372DABCA" w:rsidR="004909C1" w:rsidRPr="00E7042E" w:rsidRDefault="004909C1" w:rsidP="00EC53AB">
            <w:pPr>
              <w:pStyle w:val="ListParagraph"/>
              <w:numPr>
                <w:ilvl w:val="0"/>
                <w:numId w:val="100"/>
              </w:numPr>
              <w:tabs>
                <w:tab w:val="clear" w:pos="2835"/>
              </w:tabs>
              <w:spacing w:before="120"/>
              <w:ind w:left="462"/>
              <w:contextualSpacing/>
              <w:rPr>
                <w:szCs w:val="20"/>
              </w:rPr>
            </w:pPr>
            <w:r>
              <w:t xml:space="preserve">Options 2, 3, 4 and 5 (all of the regulatory options associated with this reform and the non-regulatory option) are the </w:t>
            </w:r>
            <w:r w:rsidR="00BF7E16">
              <w:t>preferred</w:t>
            </w:r>
            <w:r>
              <w:t xml:space="preserve"> options. There is strong support for this suite of regulatory options as the </w:t>
            </w:r>
            <w:r w:rsidR="00BF7E16">
              <w:t>preferred</w:t>
            </w:r>
            <w:r>
              <w:t xml:space="preserve"> options for implementation from all stakeholders, including Regulatory Authorities and recruitment agencies (likely to be the two most impacted stakeholders).</w:t>
            </w:r>
          </w:p>
          <w:p w14:paraId="45548DC7" w14:textId="479DD10B" w:rsidR="00B11DFB" w:rsidRPr="00E7042E" w:rsidRDefault="004C5562" w:rsidP="00E7042E">
            <w:pPr>
              <w:spacing w:before="120"/>
              <w:contextualSpacing/>
              <w:rPr>
                <w:szCs w:val="20"/>
              </w:rPr>
            </w:pPr>
            <w:r>
              <w:rPr>
                <w:i/>
                <w:szCs w:val="22"/>
              </w:rPr>
              <w:t>Recommended option</w:t>
            </w:r>
          </w:p>
          <w:p w14:paraId="433064B1" w14:textId="0AD190B3" w:rsidR="00B11DFB" w:rsidRPr="00397987" w:rsidRDefault="00E772D4" w:rsidP="005F7827">
            <w:pPr>
              <w:pStyle w:val="ListParagraph"/>
              <w:ind w:left="462"/>
            </w:pPr>
            <w:r w:rsidRPr="00931972">
              <w:rPr>
                <w:szCs w:val="20"/>
              </w:rPr>
              <w:t>Based on analysis included in this DRIS, the options with the highest net benefit to be provided to Education Ministers for consideration are</w:t>
            </w:r>
            <w:r w:rsidRPr="00E83306">
              <w:rPr>
                <w:szCs w:val="20"/>
              </w:rPr>
              <w:t xml:space="preserve"> </w:t>
            </w:r>
            <w:r>
              <w:rPr>
                <w:szCs w:val="20"/>
              </w:rPr>
              <w:t>o</w:t>
            </w:r>
            <w:r w:rsidR="00E83306" w:rsidRPr="00E83306">
              <w:rPr>
                <w:szCs w:val="20"/>
              </w:rPr>
              <w:t>ptions 2</w:t>
            </w:r>
            <w:r w:rsidR="00D05935">
              <w:rPr>
                <w:szCs w:val="20"/>
              </w:rPr>
              <w:t>, 3, 4 and</w:t>
            </w:r>
            <w:r w:rsidR="00E83306" w:rsidRPr="00E83306">
              <w:rPr>
                <w:szCs w:val="20"/>
              </w:rPr>
              <w:t xml:space="preserve"> 5. This </w:t>
            </w:r>
            <w:r w:rsidR="00D05935">
              <w:rPr>
                <w:szCs w:val="20"/>
              </w:rPr>
              <w:t>recommendation</w:t>
            </w:r>
            <w:r w:rsidR="00D05935" w:rsidRPr="00E83306">
              <w:rPr>
                <w:szCs w:val="20"/>
              </w:rPr>
              <w:t xml:space="preserve"> </w:t>
            </w:r>
            <w:r w:rsidR="00E83306" w:rsidRPr="00E83306">
              <w:rPr>
                <w:szCs w:val="20"/>
              </w:rPr>
              <w:t>is due to the expectation that the</w:t>
            </w:r>
            <w:r w:rsidR="0080725E">
              <w:rPr>
                <w:szCs w:val="20"/>
              </w:rPr>
              <w:t xml:space="preserve">se </w:t>
            </w:r>
            <w:r w:rsidR="00E83306" w:rsidRPr="00E83306">
              <w:rPr>
                <w:szCs w:val="20"/>
              </w:rPr>
              <w:t>options will reduce the risk of harm to children and incur limited implementation costs.</w:t>
            </w:r>
          </w:p>
        </w:tc>
      </w:tr>
    </w:tbl>
    <w:p w14:paraId="0EC39D08" w14:textId="77777777" w:rsidR="004636EF" w:rsidRDefault="004636EF" w:rsidP="00F515D3"/>
    <w:p w14:paraId="0F5C5B86" w14:textId="44C32DDF" w:rsidR="00F515D3" w:rsidRDefault="00F515D3" w:rsidP="00F515D3">
      <w:r>
        <w:t xml:space="preserve">The use of educators under labour hire arrangements (agency educators) from recruitment agencies to meet prescribed staffing requirements is very common, especially given the workforce shortages across Australia. Agency educators often work across multiple services, for multiple approved providers (host providers) at minimal notice, and for very short periods of time. </w:t>
      </w:r>
    </w:p>
    <w:p w14:paraId="652FD954" w14:textId="64B1E139" w:rsidR="00F515D3" w:rsidRDefault="00F515D3" w:rsidP="00F515D3">
      <w:r w:rsidRPr="00A22616">
        <w:t xml:space="preserve">The </w:t>
      </w:r>
      <w:r>
        <w:t>CSR</w:t>
      </w:r>
      <w:r w:rsidRPr="00A22616">
        <w:t xml:space="preserve"> highlights the importance of strong recruitment processes to </w:t>
      </w:r>
      <w:r>
        <w:t>ensure e</w:t>
      </w:r>
      <w:r w:rsidRPr="00A22616">
        <w:t xml:space="preserve">ducators working with children are suitable and appropriate. </w:t>
      </w:r>
    </w:p>
    <w:p w14:paraId="77B14773" w14:textId="36D2687D" w:rsidR="00F515D3" w:rsidRDefault="00F515D3" w:rsidP="00F515D3">
      <w:pPr>
        <w:pStyle w:val="Heading3"/>
      </w:pPr>
      <w:r>
        <w:t>What is the problem?</w:t>
      </w:r>
    </w:p>
    <w:p w14:paraId="61A6C2CD" w14:textId="11F6D45E" w:rsidR="00F515D3" w:rsidRPr="005D6B9C" w:rsidRDefault="00F515D3" w:rsidP="00F515D3">
      <w:r w:rsidRPr="005D6B9C">
        <w:t>The current recruitment strategies adopted by some approved providers for agency educators are insufficiently rigorous. Additionally, recruitment agencies may not provide the same levels of oversight, vetting processes</w:t>
      </w:r>
      <w:r>
        <w:t>, mentoring, professional development,</w:t>
      </w:r>
      <w:r w:rsidRPr="005D6B9C">
        <w:t xml:space="preserve"> and ongoing monitoring of educators as approved providers do. Despite providing significant numbers of agency educators to education and care services, recruitment agencies may not be aware of required qualification and other regulatory requirements, with no accountability under the National Law and no reporting function. This potentially pose</w:t>
      </w:r>
      <w:r>
        <w:t>s</w:t>
      </w:r>
      <w:r w:rsidRPr="005D6B9C">
        <w:t xml:space="preserve"> risks </w:t>
      </w:r>
      <w:r>
        <w:t>of</w:t>
      </w:r>
      <w:r w:rsidRPr="005D6B9C">
        <w:t xml:space="preserve"> child harm.</w:t>
      </w:r>
    </w:p>
    <w:p w14:paraId="670F021B" w14:textId="77777777" w:rsidR="00F515D3" w:rsidRDefault="00F515D3" w:rsidP="00F515D3">
      <w:r>
        <w:rPr>
          <w:rFonts w:cs="Arial"/>
          <w:b/>
          <w:bCs/>
          <w:i/>
          <w:iCs/>
          <w:sz w:val="21"/>
          <w:szCs w:val="21"/>
          <w14:ligatures w14:val="standardContextual"/>
        </w:rPr>
        <w:t>Inclusion of recruitment agencies as specified persons</w:t>
      </w:r>
    </w:p>
    <w:p w14:paraId="45D0C569" w14:textId="45332BE3" w:rsidR="00F515D3" w:rsidRDefault="00F515D3" w:rsidP="00F515D3">
      <w:r>
        <w:t xml:space="preserve">Agency educators are staff members under the National Law. The National Law (section 175) requires approved providers to keep staff records, including contact information, evidence of relevant qualifications and training and documents relating to WWCCs. This practice is inconsistent across approved </w:t>
      </w:r>
      <w:r w:rsidR="00B03B1E">
        <w:t>providers,</w:t>
      </w:r>
      <w:r>
        <w:t xml:space="preserve"> and it is common for providers to keep minimal staff records for agency educators.</w:t>
      </w:r>
    </w:p>
    <w:p w14:paraId="753233CB" w14:textId="171A322F" w:rsidR="00F515D3" w:rsidRDefault="00F515D3" w:rsidP="00F515D3">
      <w:r>
        <w:lastRenderedPageBreak/>
        <w:t xml:space="preserve">Where an allegation is made against an agency educator and a host provider has an incomplete staff record, Regulatory Authorities have no power to promptly obtain additional information about agency educators from recruitment agencies, such as contact details or copies of qualifications. </w:t>
      </w:r>
    </w:p>
    <w:p w14:paraId="21F9ED1B" w14:textId="2C4EF9B3" w:rsidR="00F515D3" w:rsidRDefault="00F515D3" w:rsidP="00F515D3">
      <w:r>
        <w:t xml:space="preserve">Authorised </w:t>
      </w:r>
      <w:r w:rsidRPr="001E63C0">
        <w:t>officers</w:t>
      </w:r>
      <w:r>
        <w:t xml:space="preserve"> have the power to gather from ‘specified persons’ any relevant information required for monitoring compliance or other prescribed purposes (section 206). Further, Regulatory Authorities can, by written notice, gather relevant information from specified persons if there are reasonable grounds to suspect an offence has or may have been committed (section 215). A specified person means a person who is or has been:</w:t>
      </w:r>
    </w:p>
    <w:p w14:paraId="0C09F01D" w14:textId="77777777" w:rsidR="00F515D3" w:rsidRDefault="00F515D3" w:rsidP="00EC53AB">
      <w:pPr>
        <w:pStyle w:val="ListParagraph"/>
        <w:numPr>
          <w:ilvl w:val="0"/>
          <w:numId w:val="14"/>
        </w:numPr>
      </w:pPr>
      <w:r>
        <w:t>an approved provider, a nominated supervisor, or a staff member of, or a volunteer at, an approved education and care service; or</w:t>
      </w:r>
    </w:p>
    <w:p w14:paraId="744D5110" w14:textId="57277463" w:rsidR="00F515D3" w:rsidRDefault="00F515D3" w:rsidP="00EC53AB">
      <w:pPr>
        <w:pStyle w:val="ListParagraph"/>
        <w:numPr>
          <w:ilvl w:val="0"/>
          <w:numId w:val="14"/>
        </w:numPr>
      </w:pPr>
      <w:r>
        <w:t>a</w:t>
      </w:r>
      <w:r w:rsidR="00FD6F5D">
        <w:t>n</w:t>
      </w:r>
      <w:r>
        <w:t xml:space="preserve"> </w:t>
      </w:r>
      <w:r w:rsidR="00FD6F5D">
        <w:t>FDC</w:t>
      </w:r>
      <w:r>
        <w:t xml:space="preserve"> educator (section 206(4)).</w:t>
      </w:r>
    </w:p>
    <w:p w14:paraId="0C4E1D96" w14:textId="46C1FC19" w:rsidR="00F515D3" w:rsidRDefault="00F515D3" w:rsidP="00F515D3">
      <w:r>
        <w:t xml:space="preserve">Currently, agency educators who have worked at an education and care service are specified persons under the National Law; however, the recruitment agency through which an agency educator is engaged under labour hire arrangements </w:t>
      </w:r>
      <w:r>
        <w:rPr>
          <w:i/>
          <w:iCs/>
        </w:rPr>
        <w:t xml:space="preserve">is not </w:t>
      </w:r>
      <w:r>
        <w:t>a specified person.</w:t>
      </w:r>
    </w:p>
    <w:p w14:paraId="2BD1A882" w14:textId="77777777" w:rsidR="00F515D3" w:rsidRDefault="00F515D3" w:rsidP="00F515D3">
      <w:r>
        <w:t xml:space="preserve">Recruitment agencies subject to the </w:t>
      </w:r>
      <w:r>
        <w:rPr>
          <w:i/>
          <w:iCs/>
        </w:rPr>
        <w:t xml:space="preserve">Privacy Act 1988 </w:t>
      </w:r>
      <w:r>
        <w:t>(Cth) or equivalent, may be prevented from disclosing personal information to Regulatory Authorities, in the absence of an authorising law.</w:t>
      </w:r>
    </w:p>
    <w:p w14:paraId="5952287E" w14:textId="77777777" w:rsidR="00F515D3" w:rsidRDefault="00F515D3" w:rsidP="00F515D3">
      <w:r>
        <w:t>Without complete records or the power to obtain them from recruitment agencies, Regulatory Authorities can be hampered in their ability to promptly obtain evidence from agency educators and in their ability to take urgent action to mitigate risks to children. Through consultation, Regulatory Authorities indicated that they do encounter instances where they need to request information from recruitment agencies. Without inclusion as specified persons in the National Law, recruitment agencies are not obligated to comply.</w:t>
      </w:r>
    </w:p>
    <w:p w14:paraId="498478B2" w14:textId="77777777" w:rsidR="00F515D3" w:rsidRPr="003D120C" w:rsidRDefault="00F515D3" w:rsidP="00F515D3">
      <w:r>
        <w:rPr>
          <w:rFonts w:cs="Arial"/>
          <w:b/>
          <w:bCs/>
          <w:i/>
          <w:iCs/>
          <w:sz w:val="21"/>
          <w:szCs w:val="21"/>
          <w14:ligatures w14:val="standardContextual"/>
        </w:rPr>
        <w:t>Sharing information about prohibited educators</w:t>
      </w:r>
    </w:p>
    <w:p w14:paraId="7A17174F" w14:textId="1FA8DA66" w:rsidR="00F515D3" w:rsidRDefault="00F515D3" w:rsidP="00F515D3">
      <w:r>
        <w:t xml:space="preserve">Under section 188 of the National Law, an approved provider must not engage a person as an educator, </w:t>
      </w:r>
      <w:r w:rsidR="00FD6F5D">
        <w:t>FDC</w:t>
      </w:r>
      <w:r>
        <w:t xml:space="preserve"> educator, employee, contractor, or staff member of, or allow a person to perform volunteer services for, an education and care service if the provider knows, or ought to reasonably know, a prohibition notice</w:t>
      </w:r>
      <w:r>
        <w:rPr>
          <w:rStyle w:val="FootnoteReference"/>
        </w:rPr>
        <w:footnoteReference w:id="150"/>
      </w:r>
      <w:r>
        <w:t xml:space="preserve"> is in force under the National Law in any jurisdiction. </w:t>
      </w:r>
    </w:p>
    <w:p w14:paraId="62E618F3" w14:textId="2535B59A" w:rsidR="00F515D3" w:rsidRDefault="00F515D3" w:rsidP="00F515D3">
      <w:r>
        <w:lastRenderedPageBreak/>
        <w:t xml:space="preserve">Under the National Law, ACECQA and Regulatory Authorities are not permitted to publish information about individuals who are prohibited under section 182 or permitted to share information about prohibited educators with recruitment agencies to ensure they are no longer working with children. </w:t>
      </w:r>
    </w:p>
    <w:p w14:paraId="3C304865" w14:textId="5589F6A2" w:rsidR="00F515D3" w:rsidRPr="00D62FF7" w:rsidRDefault="00F515D3" w:rsidP="00F515D3">
      <w:r>
        <w:t xml:space="preserve">There is no ability for a Regulatory Authority to advise a recruitment agency that one of their employed/engaged agency educators is prohibited, nor ability for a Regulatory Authority to </w:t>
      </w:r>
      <w:r w:rsidRPr="00880088">
        <w:rPr>
          <w:i/>
        </w:rPr>
        <w:t>proactively</w:t>
      </w:r>
      <w:r>
        <w:t xml:space="preserve"> advise a host provider that they have a prohibited agency educator working at one of their services. The Regulatory Authority is restricted to advising the relevant WWCC agency and awaiting those processes to take effect; such processes vary across jurisdictions. In the meantime, prohibited agency educators may still be working with children across multiple services.</w:t>
      </w:r>
      <w:r w:rsidRPr="00D62FF7">
        <w:t xml:space="preserve"> </w:t>
      </w:r>
    </w:p>
    <w:p w14:paraId="229EE336" w14:textId="24A8D2C2" w:rsidR="00F515D3" w:rsidRDefault="00EB4295" w:rsidP="00F515D3">
      <w:pPr>
        <w:pStyle w:val="Heading3"/>
      </w:pPr>
      <w:r>
        <w:t>What were the policy options consulted on?</w:t>
      </w:r>
    </w:p>
    <w:p w14:paraId="3BC00E58" w14:textId="2BCF4C21" w:rsidR="00F515D3" w:rsidRDefault="00F515D3" w:rsidP="00F515D3">
      <w:r>
        <w:t xml:space="preserve">Five options, including the status quo, one non-regulatory option, and three regulatory options are under consideration. Options 2 to 5 are not mutually exclusive, and the </w:t>
      </w:r>
      <w:r w:rsidR="004C5562">
        <w:t>recommended option</w:t>
      </w:r>
      <w:r>
        <w:t xml:space="preserve"> for these recommendations can be any combination of the proposed regulatory and non-regulatory approaches. </w:t>
      </w:r>
    </w:p>
    <w:p w14:paraId="28BEC707" w14:textId="09821263" w:rsidR="00F515D3" w:rsidRDefault="00F515D3" w:rsidP="00F515D3">
      <w:r>
        <w:t xml:space="preserve">This recommendation should be considered alongside the potential policy options detailed in Chapter 7.2, </w:t>
      </w:r>
      <w:r w:rsidRPr="00A1218A">
        <w:t xml:space="preserve">so that policy options concerning sharing information about agency educators with their recruitment agency or host provider mirror policy options concerning sharing information about </w:t>
      </w:r>
      <w:r>
        <w:t xml:space="preserve">a </w:t>
      </w:r>
      <w:r w:rsidRPr="00A1218A">
        <w:t xml:space="preserve">person </w:t>
      </w:r>
      <w:r>
        <w:t xml:space="preserve">(such as whether they’re subject to a prohibition notice, suspension order, or enforceable undertaking) </w:t>
      </w:r>
      <w:r w:rsidRPr="00A1218A">
        <w:t>with that person’s approved provider.</w:t>
      </w:r>
    </w:p>
    <w:p w14:paraId="34426379" w14:textId="447BF3F1" w:rsidR="00F515D3" w:rsidRDefault="00F515D3" w:rsidP="00F515D3">
      <w:pPr>
        <w:pStyle w:val="Caption"/>
      </w:pPr>
      <w:bookmarkStart w:id="225" w:name="_Toc201934919"/>
      <w:bookmarkStart w:id="226" w:name="_Toc205884998"/>
      <w:r>
        <w:t xml:space="preserve">Table 10.3: Policy options under consideration – </w:t>
      </w:r>
      <w:r w:rsidRPr="00B53803">
        <w:t>Information sharing provisions for recruitment agencies</w:t>
      </w:r>
      <w:bookmarkEnd w:id="225"/>
      <w:bookmarkEnd w:id="22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0.3: Policy options under consideration – Information sharing provisions for recruitment agencies"/>
        <w:tblDescription w:val="This table outlines the policy options under consideration – Information sharing provisions for recruitment agencies."/>
      </w:tblPr>
      <w:tblGrid>
        <w:gridCol w:w="1631"/>
        <w:gridCol w:w="7379"/>
      </w:tblGrid>
      <w:tr w:rsidR="00F515D3" w:rsidRPr="004A1F87" w14:paraId="1FD93428" w14:textId="77777777" w:rsidTr="004636EF">
        <w:trPr>
          <w:tblHeader/>
        </w:trPr>
        <w:tc>
          <w:tcPr>
            <w:tcW w:w="905" w:type="pct"/>
            <w:shd w:val="clear" w:color="auto" w:fill="14233C" w:themeFill="text2"/>
          </w:tcPr>
          <w:p w14:paraId="51F32367" w14:textId="0AEA8386" w:rsidR="00F515D3" w:rsidRPr="00F20185" w:rsidRDefault="00F515D3">
            <w:pPr>
              <w:jc w:val="center"/>
              <w:rPr>
                <w:b/>
                <w:color w:val="FFFFFF" w:themeColor="background1"/>
                <w:szCs w:val="22"/>
              </w:rPr>
            </w:pPr>
            <w:r w:rsidRPr="00F20185">
              <w:rPr>
                <w:b/>
                <w:color w:val="FFFFFF" w:themeColor="background1"/>
                <w:szCs w:val="22"/>
              </w:rPr>
              <w:t>Option</w:t>
            </w:r>
          </w:p>
        </w:tc>
        <w:tc>
          <w:tcPr>
            <w:tcW w:w="4095" w:type="pct"/>
            <w:shd w:val="clear" w:color="auto" w:fill="14233C" w:themeFill="text2"/>
          </w:tcPr>
          <w:p w14:paraId="77A213A9" w14:textId="77777777" w:rsidR="00F515D3" w:rsidRPr="00F20185" w:rsidRDefault="00F515D3">
            <w:pPr>
              <w:jc w:val="center"/>
              <w:rPr>
                <w:b/>
                <w:color w:val="FFFFFF" w:themeColor="background1"/>
                <w:szCs w:val="22"/>
              </w:rPr>
            </w:pPr>
            <w:r w:rsidRPr="00F20185">
              <w:rPr>
                <w:b/>
                <w:color w:val="FFFFFF" w:themeColor="background1"/>
                <w:szCs w:val="22"/>
              </w:rPr>
              <w:t>Description</w:t>
            </w:r>
          </w:p>
        </w:tc>
      </w:tr>
      <w:tr w:rsidR="00F515D3" w:rsidRPr="004A1F87" w14:paraId="75F1610A" w14:textId="77777777" w:rsidTr="0070597C">
        <w:tc>
          <w:tcPr>
            <w:tcW w:w="905" w:type="pct"/>
          </w:tcPr>
          <w:p w14:paraId="6AB29C73" w14:textId="77777777" w:rsidR="00F515D3" w:rsidRPr="00F20185" w:rsidRDefault="00F515D3">
            <w:pPr>
              <w:rPr>
                <w:szCs w:val="22"/>
              </w:rPr>
            </w:pPr>
            <w:r w:rsidRPr="00F20185">
              <w:rPr>
                <w:szCs w:val="22"/>
              </w:rPr>
              <w:t>1</w:t>
            </w:r>
          </w:p>
        </w:tc>
        <w:tc>
          <w:tcPr>
            <w:tcW w:w="4095" w:type="pct"/>
          </w:tcPr>
          <w:p w14:paraId="6128D146" w14:textId="7FB83355" w:rsidR="00F515D3" w:rsidRPr="00F20185" w:rsidRDefault="00F515D3">
            <w:pPr>
              <w:rPr>
                <w:szCs w:val="22"/>
              </w:rPr>
            </w:pPr>
            <w:r w:rsidRPr="00F20185">
              <w:rPr>
                <w:szCs w:val="22"/>
              </w:rPr>
              <w:t>Status quo (no change)</w:t>
            </w:r>
          </w:p>
        </w:tc>
      </w:tr>
      <w:tr w:rsidR="00F515D3" w:rsidRPr="004A1F87" w14:paraId="1496868E" w14:textId="77777777" w:rsidTr="0070597C">
        <w:tc>
          <w:tcPr>
            <w:tcW w:w="905" w:type="pct"/>
          </w:tcPr>
          <w:p w14:paraId="4824AB14" w14:textId="77777777" w:rsidR="00F515D3" w:rsidRPr="00F20185" w:rsidRDefault="00F515D3">
            <w:pPr>
              <w:rPr>
                <w:szCs w:val="22"/>
              </w:rPr>
            </w:pPr>
            <w:r w:rsidRPr="00F20185">
              <w:rPr>
                <w:szCs w:val="22"/>
              </w:rPr>
              <w:t>2</w:t>
            </w:r>
          </w:p>
        </w:tc>
        <w:tc>
          <w:tcPr>
            <w:tcW w:w="4095" w:type="pct"/>
          </w:tcPr>
          <w:p w14:paraId="2BECB3A2" w14:textId="77777777" w:rsidR="00F515D3" w:rsidRPr="00F20185" w:rsidRDefault="00F515D3">
            <w:pPr>
              <w:rPr>
                <w:b/>
                <w:szCs w:val="22"/>
              </w:rPr>
            </w:pPr>
            <w:r w:rsidRPr="00F20185">
              <w:rPr>
                <w:b/>
                <w:szCs w:val="22"/>
              </w:rPr>
              <w:t>Non-regulatory</w:t>
            </w:r>
          </w:p>
          <w:p w14:paraId="41C3EE37" w14:textId="00A79C6F" w:rsidR="00F515D3" w:rsidRPr="00F20185" w:rsidRDefault="00F515D3">
            <w:pPr>
              <w:rPr>
                <w:szCs w:val="22"/>
              </w:rPr>
            </w:pPr>
            <w:r w:rsidRPr="00F20185">
              <w:rPr>
                <w:szCs w:val="22"/>
              </w:rPr>
              <w:t>Guidance/messaging for approved providers regarding the requirement to keep staff records for agency educators.</w:t>
            </w:r>
          </w:p>
        </w:tc>
      </w:tr>
      <w:tr w:rsidR="00F515D3" w:rsidRPr="004A1F87" w14:paraId="5815AD08" w14:textId="77777777" w:rsidTr="0070597C">
        <w:tc>
          <w:tcPr>
            <w:tcW w:w="905" w:type="pct"/>
          </w:tcPr>
          <w:p w14:paraId="6DB4AF81" w14:textId="77777777" w:rsidR="00F515D3" w:rsidRPr="00F20185" w:rsidRDefault="00F515D3">
            <w:pPr>
              <w:rPr>
                <w:szCs w:val="22"/>
              </w:rPr>
            </w:pPr>
            <w:r w:rsidRPr="00F20185">
              <w:rPr>
                <w:szCs w:val="22"/>
              </w:rPr>
              <w:t>3</w:t>
            </w:r>
          </w:p>
        </w:tc>
        <w:tc>
          <w:tcPr>
            <w:tcW w:w="4095" w:type="pct"/>
          </w:tcPr>
          <w:p w14:paraId="3FDFC0AF" w14:textId="77777777" w:rsidR="00F515D3" w:rsidRPr="00F20185" w:rsidRDefault="00F515D3">
            <w:pPr>
              <w:rPr>
                <w:b/>
                <w:szCs w:val="22"/>
              </w:rPr>
            </w:pPr>
            <w:r w:rsidRPr="00F20185">
              <w:rPr>
                <w:b/>
                <w:szCs w:val="22"/>
              </w:rPr>
              <w:t>Regulatory</w:t>
            </w:r>
          </w:p>
          <w:p w14:paraId="47BDD15D" w14:textId="7DFE3FE4" w:rsidR="00F515D3" w:rsidRPr="00F20185" w:rsidRDefault="00F515D3">
            <w:pPr>
              <w:rPr>
                <w:szCs w:val="22"/>
              </w:rPr>
            </w:pPr>
            <w:r w:rsidRPr="00F20185">
              <w:rPr>
                <w:szCs w:val="22"/>
              </w:rPr>
              <w:t>Amend section 206(4) of the National Law to include recruitment agencies supplying educators to education and care services.</w:t>
            </w:r>
          </w:p>
        </w:tc>
      </w:tr>
      <w:tr w:rsidR="00F515D3" w:rsidRPr="004A1F87" w14:paraId="64FEB2C5" w14:textId="77777777" w:rsidTr="0070597C">
        <w:tc>
          <w:tcPr>
            <w:tcW w:w="905" w:type="pct"/>
          </w:tcPr>
          <w:p w14:paraId="529BFA5A" w14:textId="77777777" w:rsidR="00F515D3" w:rsidRPr="00F20185" w:rsidRDefault="00F515D3">
            <w:pPr>
              <w:rPr>
                <w:szCs w:val="22"/>
              </w:rPr>
            </w:pPr>
            <w:r w:rsidRPr="00F20185">
              <w:rPr>
                <w:szCs w:val="22"/>
              </w:rPr>
              <w:lastRenderedPageBreak/>
              <w:t>4</w:t>
            </w:r>
          </w:p>
        </w:tc>
        <w:tc>
          <w:tcPr>
            <w:tcW w:w="4095" w:type="pct"/>
          </w:tcPr>
          <w:p w14:paraId="55EBB450" w14:textId="77777777" w:rsidR="00F515D3" w:rsidRPr="00F20185" w:rsidRDefault="00F515D3">
            <w:pPr>
              <w:rPr>
                <w:szCs w:val="22"/>
              </w:rPr>
            </w:pPr>
            <w:r w:rsidRPr="00F20185">
              <w:rPr>
                <w:b/>
                <w:szCs w:val="22"/>
              </w:rPr>
              <w:t>Regulatory</w:t>
            </w:r>
          </w:p>
          <w:p w14:paraId="44E01E7E" w14:textId="7F98B5D2" w:rsidR="00F515D3" w:rsidRPr="00F20185" w:rsidRDefault="00F515D3">
            <w:pPr>
              <w:rPr>
                <w:szCs w:val="22"/>
              </w:rPr>
            </w:pPr>
            <w:r w:rsidRPr="00F20185">
              <w:rPr>
                <w:szCs w:val="22"/>
              </w:rPr>
              <w:t>Amend section 272 of the National Law to allow a Regulatory Authority to share information about an agency educator with that person’s recruitment agency (including mirroring any amendments to section 272 regarding proactive sharing with providers) and consider whether recruitment agencies may have access to the prohibited persons register.</w:t>
            </w:r>
          </w:p>
        </w:tc>
      </w:tr>
      <w:tr w:rsidR="00F515D3" w:rsidRPr="004A1F87" w14:paraId="2FCF3F6A" w14:textId="77777777" w:rsidTr="0070597C">
        <w:tc>
          <w:tcPr>
            <w:tcW w:w="905" w:type="pct"/>
          </w:tcPr>
          <w:p w14:paraId="3B8BE08F" w14:textId="04F69AD1" w:rsidR="00F515D3" w:rsidRPr="00F20185" w:rsidRDefault="00F515D3">
            <w:pPr>
              <w:rPr>
                <w:szCs w:val="22"/>
              </w:rPr>
            </w:pPr>
            <w:r w:rsidRPr="00F20185">
              <w:rPr>
                <w:szCs w:val="22"/>
              </w:rPr>
              <w:t>5</w:t>
            </w:r>
          </w:p>
        </w:tc>
        <w:tc>
          <w:tcPr>
            <w:tcW w:w="4095" w:type="pct"/>
          </w:tcPr>
          <w:p w14:paraId="4C848831" w14:textId="77777777" w:rsidR="00F515D3" w:rsidRPr="00F20185" w:rsidRDefault="00F515D3">
            <w:pPr>
              <w:rPr>
                <w:szCs w:val="22"/>
              </w:rPr>
            </w:pPr>
            <w:r w:rsidRPr="00F20185">
              <w:rPr>
                <w:b/>
                <w:szCs w:val="22"/>
              </w:rPr>
              <w:t>Regulatory</w:t>
            </w:r>
          </w:p>
          <w:p w14:paraId="003296C9" w14:textId="633499D2" w:rsidR="00F515D3" w:rsidRPr="00F20185" w:rsidRDefault="00F515D3">
            <w:pPr>
              <w:rPr>
                <w:szCs w:val="22"/>
              </w:rPr>
            </w:pPr>
            <w:r w:rsidRPr="00F20185">
              <w:rPr>
                <w:szCs w:val="22"/>
              </w:rPr>
              <w:t>Amend section 188A of the National Law to include giving an approved provider or recruitment agency any information about the content or existence of the prohibition notice that is false or misleading in any material particular.</w:t>
            </w:r>
          </w:p>
        </w:tc>
      </w:tr>
    </w:tbl>
    <w:p w14:paraId="1A1D1818" w14:textId="77777777" w:rsidR="00F515D3" w:rsidRDefault="00F515D3" w:rsidP="00F515D3"/>
    <w:p w14:paraId="59F1833E" w14:textId="77777777" w:rsidR="00F515D3" w:rsidRDefault="00F515D3" w:rsidP="00F515D3">
      <w:pPr>
        <w:pStyle w:val="Heading3"/>
      </w:pPr>
      <w:r>
        <w:t>What are the impacts of each option?</w:t>
      </w:r>
    </w:p>
    <w:p w14:paraId="148FC848" w14:textId="542F6D7C" w:rsidR="00F515D3" w:rsidRPr="00083B20" w:rsidRDefault="00F515D3" w:rsidP="00F515D3">
      <w:r>
        <w:t xml:space="preserve">The sections below provide a qualitative discussion on the potential impacts of the proposed options on child safety outcomes, costs to stakeholders, implementation </w:t>
      </w:r>
      <w:r w:rsidR="004151E0">
        <w:t>considerations</w:t>
      </w:r>
      <w:r>
        <w:t>, and distributional impacts, in line with the approach outlined in Chapter 4.</w:t>
      </w:r>
    </w:p>
    <w:p w14:paraId="66923C69" w14:textId="77777777" w:rsidR="00F515D3" w:rsidRDefault="00F515D3" w:rsidP="00F515D3">
      <w:pPr>
        <w:pStyle w:val="Heading4"/>
      </w:pPr>
      <w:r>
        <w:t xml:space="preserve">Impact on child safety </w:t>
      </w:r>
    </w:p>
    <w:p w14:paraId="69A39508" w14:textId="15C543DF" w:rsidR="00F515D3" w:rsidRPr="00466043" w:rsidRDefault="00F515D3" w:rsidP="00F515D3">
      <w:r>
        <w:t>Option 2 has the potential to reduce the risk of harm to children</w:t>
      </w:r>
      <w:r w:rsidR="00BE4E7C">
        <w:t xml:space="preserve"> and</w:t>
      </w:r>
      <w:r>
        <w:t xml:space="preserve">, where it results in </w:t>
      </w:r>
      <w:r w:rsidR="00BE4E7C">
        <w:t xml:space="preserve">increased </w:t>
      </w:r>
      <w:r>
        <w:t xml:space="preserve">compliance among approved providers in keeping </w:t>
      </w:r>
      <w:r w:rsidR="00BE4E7C">
        <w:t>complete and compliant staff</w:t>
      </w:r>
      <w:r>
        <w:t xml:space="preserve"> records </w:t>
      </w:r>
      <w:r w:rsidR="00BE4E7C">
        <w:t>for</w:t>
      </w:r>
      <w:r>
        <w:t xml:space="preserve"> agency educators. This w</w:t>
      </w:r>
      <w:r w:rsidR="00BE4E7C">
        <w:t>ould</w:t>
      </w:r>
      <w:r>
        <w:t xml:space="preserve"> reduce the risk that an agency educator exhibits behaviours that are harmful to children and those behaviours cannot be traced to the correct educator or agency due to poor record keeping.</w:t>
      </w:r>
    </w:p>
    <w:p w14:paraId="697D0F27" w14:textId="4BC972DD" w:rsidR="00F515D3" w:rsidRDefault="00F515D3" w:rsidP="00F515D3">
      <w:r>
        <w:t xml:space="preserve">Options 3 to 5 all improve information sharing with recruitment agencies, which </w:t>
      </w:r>
      <w:r w:rsidR="00BE4E7C">
        <w:t xml:space="preserve">would </w:t>
      </w:r>
      <w:r>
        <w:t>enable Regulatory Authorities to share information on alleged incidents involving agency educators, in addition to information on prohibition notices, FDC educator suspensions, or enforceable undertakings (refer to Chapter 7.2 for more information on reforms enabling proactive information sharing). These proposed changes are expected to result in a reduction to the risk of harm to children in several ways, including:</w:t>
      </w:r>
    </w:p>
    <w:p w14:paraId="7A25F7E7" w14:textId="23246A40" w:rsidR="00F515D3" w:rsidRDefault="00F515D3" w:rsidP="00EC53AB">
      <w:pPr>
        <w:pStyle w:val="ListParagraph"/>
        <w:numPr>
          <w:ilvl w:val="0"/>
          <w:numId w:val="68"/>
        </w:numPr>
        <w:ind w:left="426"/>
      </w:pPr>
      <w:r>
        <w:lastRenderedPageBreak/>
        <w:t>improving the efficiency of investigations into agency educator conduct, through the introduction of recruitment agencies as a specified person, enabling information to be obtained from recruitment agencies</w:t>
      </w:r>
      <w:r w:rsidR="005F7827">
        <w:t>,</w:t>
      </w:r>
    </w:p>
    <w:p w14:paraId="2886CB6A" w14:textId="0A48729D" w:rsidR="00F515D3" w:rsidRDefault="00F515D3" w:rsidP="00EC53AB">
      <w:pPr>
        <w:pStyle w:val="ListParagraph"/>
        <w:numPr>
          <w:ilvl w:val="0"/>
          <w:numId w:val="68"/>
        </w:numPr>
        <w:ind w:left="426"/>
      </w:pPr>
      <w:r>
        <w:t>reducing the likelihood that a prohibited or suspended agency educator attains employment</w:t>
      </w:r>
      <w:r w:rsidR="005F7827">
        <w:t>,</w:t>
      </w:r>
    </w:p>
    <w:p w14:paraId="785C9D5A" w14:textId="18619AD9" w:rsidR="00F515D3" w:rsidRDefault="00F515D3" w:rsidP="00EC53AB">
      <w:pPr>
        <w:pStyle w:val="ListParagraph"/>
        <w:numPr>
          <w:ilvl w:val="0"/>
          <w:numId w:val="68"/>
        </w:numPr>
        <w:ind w:left="426"/>
      </w:pPr>
      <w:r>
        <w:t>reducing the likelihood that an agency educator contravenes any enforceable undertaking that applies to them</w:t>
      </w:r>
      <w:r w:rsidR="005F7827">
        <w:t>,</w:t>
      </w:r>
    </w:p>
    <w:p w14:paraId="03AD9F30" w14:textId="1C38664A" w:rsidR="00F515D3" w:rsidRDefault="00F515D3" w:rsidP="00EC53AB">
      <w:pPr>
        <w:pStyle w:val="ListParagraph"/>
        <w:numPr>
          <w:ilvl w:val="0"/>
          <w:numId w:val="68"/>
        </w:numPr>
        <w:ind w:left="426"/>
      </w:pPr>
      <w:r>
        <w:t xml:space="preserve">introducing penalties for agency educators who provide false or misleading information about a prohibition notice to an approved provider </w:t>
      </w:r>
      <w:r w:rsidRPr="00AE2131">
        <w:t>or recruitment agency</w:t>
      </w:r>
      <w:r>
        <w:t xml:space="preserve">, leading to a potential reduction in false or misleading information that is shared. </w:t>
      </w:r>
    </w:p>
    <w:p w14:paraId="177E48C7" w14:textId="4A4086A0" w:rsidR="005E6133" w:rsidRDefault="005E6133" w:rsidP="005E6133">
      <w:r>
        <w:t xml:space="preserve">Through the survey, stakeholders echoed sentiment that option 2 could ‘somewhat reduce’ the risk of harm to children. </w:t>
      </w:r>
      <w:r w:rsidRPr="00E6179B">
        <w:t xml:space="preserve">A significant share of stakeholders indicated that the regulatory options would </w:t>
      </w:r>
      <w:r>
        <w:t>‘</w:t>
      </w:r>
      <w:r w:rsidRPr="00E6179B">
        <w:t>greatly reduce</w:t>
      </w:r>
      <w:r>
        <w:t>’</w:t>
      </w:r>
      <w:r w:rsidRPr="00E6179B">
        <w:t xml:space="preserve"> the risk of harm to children</w:t>
      </w:r>
      <w:r>
        <w:t xml:space="preserve">, with </w:t>
      </w:r>
      <w:r w:rsidRPr="004C3A85">
        <w:t>options 3</w:t>
      </w:r>
      <w:r>
        <w:t>, 4 and</w:t>
      </w:r>
      <w:r w:rsidRPr="004C3A85">
        <w:t xml:space="preserve"> 5 </w:t>
      </w:r>
      <w:r>
        <w:t xml:space="preserve">to </w:t>
      </w:r>
      <w:r w:rsidRPr="004C3A85">
        <w:t>more likely result in progressively greater reductions in the risk of harm to children</w:t>
      </w:r>
      <w:r w:rsidRPr="00E6179B">
        <w:t xml:space="preserve"> (refer to Chart 10.3).</w:t>
      </w:r>
      <w:r>
        <w:t xml:space="preserve"> Despite this, a </w:t>
      </w:r>
      <w:r w:rsidR="007271B4">
        <w:t>large</w:t>
      </w:r>
      <w:r>
        <w:t xml:space="preserve"> share of stakeholders</w:t>
      </w:r>
      <w:r w:rsidR="007271B4">
        <w:t xml:space="preserve"> (between 25% and 58%)</w:t>
      </w:r>
      <w:r>
        <w:t xml:space="preserve"> also indicated that the regulatory options (options 3, 4 and 5) may only ‘somewhat reduce’ the risk of harm (refer to Chart 10.3), which may be a result of approved providers experiencing varying levels of reliance on agency educators</w:t>
      </w:r>
      <w:r w:rsidR="00960745">
        <w:t xml:space="preserve"> (for example, </w:t>
      </w:r>
      <w:r w:rsidR="0080725E">
        <w:t xml:space="preserve">there is no knowledge of </w:t>
      </w:r>
      <w:r w:rsidR="00960745">
        <w:t>services in Tasmania us</w:t>
      </w:r>
      <w:r w:rsidR="0080725E">
        <w:t>ing</w:t>
      </w:r>
      <w:r w:rsidR="00960745">
        <w:t xml:space="preserve"> agency educators)</w:t>
      </w:r>
      <w:r>
        <w:t>.</w:t>
      </w:r>
    </w:p>
    <w:p w14:paraId="42BBEE10" w14:textId="03D8291C" w:rsidR="00F515D3" w:rsidRDefault="00F515D3" w:rsidP="00F515D3">
      <w:pPr>
        <w:pStyle w:val="Caption"/>
      </w:pPr>
      <w:bookmarkStart w:id="227" w:name="_Toc201934920"/>
      <w:bookmarkStart w:id="228" w:name="_Toc205884999"/>
      <w:r>
        <w:rPr>
          <w:shd w:val="clear" w:color="auto" w:fill="FFFFFF"/>
        </w:rPr>
        <w:t>Chart 10.3: A</w:t>
      </w:r>
      <w:r w:rsidRPr="00590AFE">
        <w:rPr>
          <w:shd w:val="clear" w:color="auto" w:fill="FFFFFF"/>
        </w:rPr>
        <w:t>pproved</w:t>
      </w:r>
      <w:r w:rsidRPr="001F75DD">
        <w:rPr>
          <w:shd w:val="clear" w:color="auto" w:fill="FFFFFF"/>
        </w:rPr>
        <w:t xml:space="preserve"> provider responses to “How much do you think each option will reduce the risk of harm to children?”</w:t>
      </w:r>
      <w:bookmarkEnd w:id="227"/>
      <w:bookmarkEnd w:id="228"/>
      <w:r w:rsidR="00444A15">
        <w:rPr>
          <w:shd w:val="clear" w:color="auto" w:fill="FFFFFF"/>
        </w:rPr>
        <w:t xml:space="preserve"> </w:t>
      </w:r>
    </w:p>
    <w:p w14:paraId="488C145C" w14:textId="78740C7A" w:rsidR="00F515D3" w:rsidRDefault="00F515D3" w:rsidP="00F515D3">
      <w:r>
        <w:rPr>
          <w:noProof/>
          <w14:ligatures w14:val="standardContextual"/>
        </w:rPr>
        <w:drawing>
          <wp:inline distT="0" distB="0" distL="0" distR="0" wp14:anchorId="4C5DD3A6" wp14:editId="04336696">
            <wp:extent cx="5200650" cy="2789237"/>
            <wp:effectExtent l="0" t="0" r="0" b="0"/>
            <wp:docPr id="1469413109"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339CC345-4368-728D-013D-049DD403C3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C71CFB1" w14:textId="7A8AF717" w:rsidR="00F515D3" w:rsidRDefault="00F515D3" w:rsidP="004636EF">
      <w:pPr>
        <w:pStyle w:val="Source-CSR"/>
      </w:pPr>
      <w:r w:rsidRPr="009E33F2">
        <w:rPr>
          <w:shd w:val="clear" w:color="auto" w:fill="FFFFFF"/>
        </w:rPr>
        <w:t>Source: Approved provider survey, as of 11 June 2025, Q</w:t>
      </w:r>
      <w:r>
        <w:rPr>
          <w:shd w:val="clear" w:color="auto" w:fill="FFFFFF"/>
        </w:rPr>
        <w:t>119</w:t>
      </w:r>
      <w:r w:rsidRPr="009E33F2">
        <w:rPr>
          <w:shd w:val="clear" w:color="auto" w:fill="FFFFFF"/>
        </w:rPr>
        <w:t>, option 1 n=</w:t>
      </w:r>
      <w:r>
        <w:rPr>
          <w:shd w:val="clear" w:color="auto" w:fill="FFFFFF"/>
        </w:rPr>
        <w:t>76</w:t>
      </w:r>
      <w:r w:rsidRPr="009E33F2">
        <w:rPr>
          <w:shd w:val="clear" w:color="auto" w:fill="FFFFFF"/>
        </w:rPr>
        <w:t>, option 2 n=</w:t>
      </w:r>
      <w:r>
        <w:rPr>
          <w:shd w:val="clear" w:color="auto" w:fill="FFFFFF"/>
        </w:rPr>
        <w:t>76, option 3 n=77, option 4 n=76, option 5 n=76</w:t>
      </w:r>
      <w:r w:rsidRPr="009E33F2">
        <w:rPr>
          <w:shd w:val="clear" w:color="auto" w:fill="FFFFFF"/>
        </w:rPr>
        <w:t>. </w:t>
      </w:r>
    </w:p>
    <w:p w14:paraId="77C11BD8" w14:textId="2E3C87FB" w:rsidR="00F515D3" w:rsidRPr="00466043" w:rsidRDefault="00F515D3" w:rsidP="00F515D3">
      <w:pPr>
        <w:pStyle w:val="Heading4"/>
      </w:pPr>
      <w:r w:rsidRPr="00466043">
        <w:lastRenderedPageBreak/>
        <w:t xml:space="preserve">Cost of </w:t>
      </w:r>
      <w:r>
        <w:t>each</w:t>
      </w:r>
      <w:r w:rsidRPr="00466043">
        <w:t xml:space="preserve"> option</w:t>
      </w:r>
    </w:p>
    <w:p w14:paraId="5B493523" w14:textId="4986CCC1" w:rsidR="00F515D3" w:rsidRPr="00707510" w:rsidRDefault="00F515D3" w:rsidP="00F515D3">
      <w:r w:rsidRPr="00707510">
        <w:t xml:space="preserve">Option 2 could result in an increase in costs for approved providers, in instances where current staff records are non-compliant and the guidance results in improved </w:t>
      </w:r>
      <w:r>
        <w:t>and more time</w:t>
      </w:r>
      <w:r w:rsidR="002A28D3">
        <w:t>-</w:t>
      </w:r>
      <w:r>
        <w:t xml:space="preserve">consuming </w:t>
      </w:r>
      <w:r w:rsidRPr="00707510">
        <w:t>practices from the approved provider.</w:t>
      </w:r>
      <w:r>
        <w:t xml:space="preserve"> However, the cost of this option is subject to </w:t>
      </w:r>
      <w:r w:rsidR="005E5F4E">
        <w:t>the extent to which guidance improves compliance</w:t>
      </w:r>
      <w:r>
        <w:t>.</w:t>
      </w:r>
      <w:r w:rsidR="005E5F4E">
        <w:rPr>
          <w:rStyle w:val="FootnoteReference"/>
        </w:rPr>
        <w:footnoteReference w:id="151"/>
      </w:r>
      <w:r>
        <w:t xml:space="preserve"> </w:t>
      </w:r>
      <w:r w:rsidR="008915E7" w:rsidRPr="008915E7">
        <w:t>Under option 2, the government would incur costs to develop guidance and messaging. Incremental costs will be more significant if relevant materials cannot be developed with the support of existing government resources and as part of business-as-usual activities.</w:t>
      </w:r>
    </w:p>
    <w:p w14:paraId="3A3EC962" w14:textId="5369D151" w:rsidR="00F515D3" w:rsidRDefault="00F515D3" w:rsidP="00F515D3">
      <w:pPr>
        <w:rPr>
          <w:i/>
          <w:iCs/>
          <w:highlight w:val="magenta"/>
        </w:rPr>
      </w:pPr>
      <w:r>
        <w:t xml:space="preserve">Option 3 may generate administrative costs for </w:t>
      </w:r>
      <w:r w:rsidRPr="00AE2131">
        <w:t>recruitment agencies</w:t>
      </w:r>
      <w:r>
        <w:t xml:space="preserve">. For example, recruitment agencies may need to devote </w:t>
      </w:r>
      <w:r w:rsidR="0012066E">
        <w:t>comparatively</w:t>
      </w:r>
      <w:r w:rsidR="0012066E" w:rsidRPr="00357E8E">
        <w:t xml:space="preserve"> </w:t>
      </w:r>
      <w:r>
        <w:t>more time collecting information on agency educators – since they would need to provide any relevant information required by Regulatory Authorities</w:t>
      </w:r>
      <w:r w:rsidDel="001D6429">
        <w:t xml:space="preserve"> </w:t>
      </w:r>
      <w:r w:rsidRPr="000D0D67">
        <w:t>in certain circumstances.</w:t>
      </w:r>
      <w:r w:rsidRPr="000D0D67">
        <w:rPr>
          <w:rStyle w:val="FootnoteReference"/>
        </w:rPr>
        <w:footnoteReference w:id="152"/>
      </w:r>
      <w:r>
        <w:t xml:space="preserve"> Through consultation, recruitment agencies did not indicate that this cost would be substantial and were in favour of the reforms.</w:t>
      </w:r>
      <w:r>
        <w:rPr>
          <w:rStyle w:val="FootnoteReference"/>
        </w:rPr>
        <w:footnoteReference w:id="153"/>
      </w:r>
      <w:r>
        <w:t xml:space="preserve"> </w:t>
      </w:r>
    </w:p>
    <w:p w14:paraId="171E2716" w14:textId="6C904122" w:rsidR="00F515D3" w:rsidRDefault="00F515D3" w:rsidP="00F515D3">
      <w:r w:rsidRPr="00326491">
        <w:t xml:space="preserve">Option 4 may result in </w:t>
      </w:r>
      <w:r w:rsidRPr="00007132">
        <w:t>administrative costs for</w:t>
      </w:r>
      <w:r>
        <w:t xml:space="preserve"> </w:t>
      </w:r>
      <w:r w:rsidRPr="00007132">
        <w:t>Regulatory Authorities, as sharing prohibition or other enforcement information with recruitment agencies will require regulatory resources.</w:t>
      </w:r>
      <w:r>
        <w:t xml:space="preserve"> As outlined in Chapter 7.2, this may be a manual process for Regulatory Authorities, though the scale of the cost would depend on the frequency by which information is shared. On balance, </w:t>
      </w:r>
      <w:r w:rsidRPr="00007132">
        <w:t>Regulatory Authorities</w:t>
      </w:r>
      <w:r>
        <w:t xml:space="preserve"> were in favour of the proposed regulatory options which indicates that the potential improvement in child safety would outweigh any costs.</w:t>
      </w:r>
    </w:p>
    <w:p w14:paraId="3EB0ED53" w14:textId="5E32E032" w:rsidR="00F515D3" w:rsidRPr="00326491" w:rsidRDefault="00F515D3" w:rsidP="00F515D3">
      <w:r>
        <w:t>Option 5 is not expected to impose costs for any stakeholder.</w:t>
      </w:r>
    </w:p>
    <w:p w14:paraId="758DA6A1" w14:textId="75E82F66" w:rsidR="00F515D3" w:rsidRDefault="00F515D3" w:rsidP="00F515D3">
      <w:r>
        <w:t>In general, there was limited feedback provided on the potential costs of the policy options; however, they were not reported to impose significant or prohibitive costs for any stakeholder.</w:t>
      </w:r>
    </w:p>
    <w:p w14:paraId="311BFB2B" w14:textId="77777777" w:rsidR="004636EF" w:rsidRDefault="004636EF" w:rsidP="00F515D3"/>
    <w:p w14:paraId="502FD65B" w14:textId="77777777" w:rsidR="004636EF" w:rsidRPr="00C2752E" w:rsidRDefault="004636EF" w:rsidP="00F515D3"/>
    <w:p w14:paraId="6FB638BF" w14:textId="7861BAE1" w:rsidR="00F515D3" w:rsidRPr="00466043" w:rsidRDefault="00F515D3" w:rsidP="00F515D3">
      <w:pPr>
        <w:pStyle w:val="Heading4"/>
      </w:pPr>
      <w:r>
        <w:lastRenderedPageBreak/>
        <w:t xml:space="preserve">Implementation </w:t>
      </w:r>
      <w:r w:rsidR="004151E0">
        <w:t>considerations</w:t>
      </w:r>
    </w:p>
    <w:p w14:paraId="6B2A27C7" w14:textId="344163D5" w:rsidR="00F515D3" w:rsidRPr="009D25B1" w:rsidRDefault="00F515D3" w:rsidP="00F515D3">
      <w:r>
        <w:t xml:space="preserve">There is potential for some risks to arise through the implementation of the proposed options. The most pertinent risk is that the definition of recruitment agencies that is included in the National Law has the potential to exclude some businesses or organisational structures that are intended to be captured in the proposed reforms. As such, the definition of ‘recruitment agencies’ must be carefully considered so that it is relevant to current and future corporate structures of businesses operating in the capacity of a recruitment agency. Where this definition is insufficient, there is a risk to the implementation of options 3 to 5, which rely on recruitment agencies being sufficiently defined as a ‘specified person’ under the National Law. </w:t>
      </w:r>
    </w:p>
    <w:p w14:paraId="5410711D" w14:textId="3AAD357D" w:rsidR="00F515D3" w:rsidRPr="009D25B1" w:rsidRDefault="00F515D3" w:rsidP="00F515D3">
      <w:r>
        <w:t xml:space="preserve">Under option 2, the most likely risk is that actions outlined in the guidance material are not adopted, which would limit the effectiveness of this option in improving current </w:t>
      </w:r>
      <w:r w:rsidR="007D5EEB">
        <w:t xml:space="preserve">approved provider </w:t>
      </w:r>
      <w:r>
        <w:t xml:space="preserve">record keeping practices for agency educator information. This would reduce the effectiveness of this option in improving child safety outcomes. It is also important to consider that this guidance </w:t>
      </w:r>
      <w:r w:rsidR="00E86C1C">
        <w:t xml:space="preserve">would </w:t>
      </w:r>
      <w:r>
        <w:t xml:space="preserve">outline current regulatory requirements </w:t>
      </w:r>
      <w:r w:rsidR="00300F98">
        <w:t xml:space="preserve">that may </w:t>
      </w:r>
      <w:r>
        <w:t xml:space="preserve">not always </w:t>
      </w:r>
      <w:r w:rsidR="00300F98">
        <w:t xml:space="preserve">be </w:t>
      </w:r>
      <w:r>
        <w:t>followed in practice</w:t>
      </w:r>
      <w:r w:rsidR="00B378E2">
        <w:t>.</w:t>
      </w:r>
      <w:r>
        <w:t xml:space="preserve"> </w:t>
      </w:r>
      <w:r w:rsidR="00B378E2">
        <w:t>A</w:t>
      </w:r>
      <w:r>
        <w:t xml:space="preserve"> more targeted educational </w:t>
      </w:r>
      <w:r w:rsidRPr="00946DEA">
        <w:rPr>
          <w:szCs w:val="18"/>
        </w:rPr>
        <w:t xml:space="preserve">campaign may be required to support </w:t>
      </w:r>
      <w:r>
        <w:rPr>
          <w:szCs w:val="18"/>
        </w:rPr>
        <w:t>approved providers</w:t>
      </w:r>
      <w:r w:rsidRPr="00946DEA">
        <w:rPr>
          <w:szCs w:val="18"/>
        </w:rPr>
        <w:t xml:space="preserve"> to understand their responsibilities</w:t>
      </w:r>
      <w:r>
        <w:rPr>
          <w:szCs w:val="18"/>
        </w:rPr>
        <w:t>.</w:t>
      </w:r>
    </w:p>
    <w:p w14:paraId="2CEFC60C" w14:textId="77777777" w:rsidR="00F515D3" w:rsidRPr="00466043" w:rsidRDefault="00F515D3" w:rsidP="00F515D3">
      <w:pPr>
        <w:pStyle w:val="Heading4"/>
      </w:pPr>
      <w:r w:rsidRPr="00466043">
        <w:t>Distributional impacts</w:t>
      </w:r>
    </w:p>
    <w:p w14:paraId="36225526" w14:textId="266784D1" w:rsidR="00F515D3" w:rsidRDefault="005F6B94" w:rsidP="00F515D3">
      <w:r>
        <w:t>The combination of options</w:t>
      </w:r>
      <w:r w:rsidR="00373F4C">
        <w:t xml:space="preserve"> </w:t>
      </w:r>
      <w:r w:rsidR="00413882">
        <w:t xml:space="preserve">2, </w:t>
      </w:r>
      <w:r w:rsidR="00373F4C">
        <w:t>3</w:t>
      </w:r>
      <w:r>
        <w:t>, 4</w:t>
      </w:r>
      <w:r w:rsidR="00373F4C">
        <w:t xml:space="preserve"> and </w:t>
      </w:r>
      <w:r>
        <w:t>5</w:t>
      </w:r>
      <w:r w:rsidR="00F515D3">
        <w:t xml:space="preserve"> is likely to have the greatest impact on recruitment agencies and Regulatory Authorities; however, neither stakeholder group outlined any prohibitive costs associated with the regulatory options.</w:t>
      </w:r>
    </w:p>
    <w:p w14:paraId="493B6CE0" w14:textId="2E7EFDEC" w:rsidR="00876D4E" w:rsidRDefault="00876D4E" w:rsidP="00876D4E">
      <w:pPr>
        <w:pStyle w:val="Heading4"/>
      </w:pPr>
      <w:r>
        <w:t xml:space="preserve">Stakeholders’ </w:t>
      </w:r>
      <w:r w:rsidR="00BF7E16">
        <w:t>preferred</w:t>
      </w:r>
      <w:r w:rsidR="004C5562">
        <w:t xml:space="preserve"> option</w:t>
      </w:r>
    </w:p>
    <w:p w14:paraId="07CCA199" w14:textId="25B98255" w:rsidR="00876D4E" w:rsidRDefault="00876D4E" w:rsidP="00876D4E">
      <w:r>
        <w:t xml:space="preserve">There is strong support for this suite of options </w:t>
      </w:r>
      <w:r w:rsidR="007D07AB">
        <w:t>2, 3, 4 and 5</w:t>
      </w:r>
      <w:r>
        <w:t xml:space="preserve"> as the </w:t>
      </w:r>
      <w:r w:rsidR="00BF7E16">
        <w:t>preferred</w:t>
      </w:r>
      <w:r w:rsidR="004C5562">
        <w:t xml:space="preserve"> option</w:t>
      </w:r>
      <w:r>
        <w:t xml:space="preserve">s for implementation from all stakeholders, including Regulatory Authorities and recruitment agencies (the two stakeholder groups that would be most likely impacted by the implementation of these options). </w:t>
      </w:r>
    </w:p>
    <w:p w14:paraId="5060245A" w14:textId="28798A0F" w:rsidR="00876D4E" w:rsidRDefault="00876D4E" w:rsidP="00876D4E">
      <w:r w:rsidRPr="00BB4EC8">
        <w:t xml:space="preserve">Across </w:t>
      </w:r>
      <w:r>
        <w:t>77</w:t>
      </w:r>
      <w:r w:rsidRPr="00BB4EC8">
        <w:t xml:space="preserve"> approved provider</w:t>
      </w:r>
      <w:r>
        <w:t xml:space="preserve"> survey responses</w:t>
      </w:r>
      <w:r w:rsidRPr="00BB4EC8">
        <w:t xml:space="preserve">, the </w:t>
      </w:r>
      <w:r w:rsidR="00BF7E16">
        <w:t>preferred</w:t>
      </w:r>
      <w:r w:rsidR="004C5562">
        <w:t xml:space="preserve"> option</w:t>
      </w:r>
      <w:r w:rsidRPr="00707854">
        <w:t xml:space="preserve"> was either a combination of options 3, 4, and 5 </w:t>
      </w:r>
      <w:r>
        <w:t xml:space="preserve">(29%) </w:t>
      </w:r>
      <w:r w:rsidRPr="00707854">
        <w:t>or options 2, 3, 4, and 5 (</w:t>
      </w:r>
      <w:r>
        <w:t>another 29%</w:t>
      </w:r>
      <w:r w:rsidRPr="00707854">
        <w:t>)</w:t>
      </w:r>
      <w:r>
        <w:t xml:space="preserve"> (refer to Appendix </w:t>
      </w:r>
      <w:r w:rsidR="00833EC5">
        <w:t>Table</w:t>
      </w:r>
      <w:r>
        <w:t xml:space="preserve"> </w:t>
      </w:r>
      <w:r w:rsidR="00792FBB">
        <w:t xml:space="preserve">12.3.6.1). </w:t>
      </w:r>
      <w:r w:rsidRPr="00707854">
        <w:t>The latter includes the non-regulatory option alongside the regulatory options.</w:t>
      </w:r>
      <w:r>
        <w:t xml:space="preserve"> Similarly, across the survey to the workforce,</w:t>
      </w:r>
      <w:r w:rsidRPr="00BB4EC8">
        <w:t xml:space="preserve"> the </w:t>
      </w:r>
      <w:r w:rsidR="00BF7E16">
        <w:t>preferred</w:t>
      </w:r>
      <w:r w:rsidR="004C5562">
        <w:t xml:space="preserve"> option</w:t>
      </w:r>
      <w:r w:rsidRPr="00707854">
        <w:t xml:space="preserve"> was either a combination of options 3, 4, and 5 </w:t>
      </w:r>
      <w:r>
        <w:t xml:space="preserve">(27% of respondents) </w:t>
      </w:r>
      <w:r w:rsidRPr="00707854">
        <w:t>or options 2, 3, 4, and 5</w:t>
      </w:r>
      <w:r>
        <w:t xml:space="preserve"> (27% of respondents) (refer to Appendix </w:t>
      </w:r>
      <w:r w:rsidR="00833EC5">
        <w:t xml:space="preserve">Table </w:t>
      </w:r>
      <w:r>
        <w:t>12.3.6</w:t>
      </w:r>
      <w:r w:rsidR="00833EC5">
        <w:t>.2</w:t>
      </w:r>
      <w:r>
        <w:t xml:space="preserve">). Finally, across the survey to </w:t>
      </w:r>
      <w:r>
        <w:lastRenderedPageBreak/>
        <w:t>families, parents and carers,</w:t>
      </w:r>
      <w:r w:rsidRPr="00BB4EC8">
        <w:t xml:space="preserve"> the </w:t>
      </w:r>
      <w:r w:rsidR="00BF7E16">
        <w:t>preferred</w:t>
      </w:r>
      <w:r w:rsidR="004C5562">
        <w:t xml:space="preserve"> option</w:t>
      </w:r>
      <w:r w:rsidRPr="00707854">
        <w:t xml:space="preserve"> was either a combination of options 3, 4, and 5 </w:t>
      </w:r>
      <w:r>
        <w:t xml:space="preserve">(21% of respondents) </w:t>
      </w:r>
      <w:r w:rsidRPr="00707854">
        <w:t>or options 2, 3, 4, and 5</w:t>
      </w:r>
      <w:r>
        <w:t xml:space="preserve"> (25% of respondents) (refer to Appendix </w:t>
      </w:r>
      <w:r w:rsidR="00833EC5">
        <w:t>Table</w:t>
      </w:r>
      <w:r>
        <w:t xml:space="preserve"> 12.3.6</w:t>
      </w:r>
      <w:r w:rsidR="00833EC5">
        <w:t>.3</w:t>
      </w:r>
      <w:r>
        <w:t>).</w:t>
      </w:r>
      <w:r w:rsidR="6D613132">
        <w:t xml:space="preserve"> This was consistent with submission responses. </w:t>
      </w:r>
    </w:p>
    <w:p w14:paraId="238F594C" w14:textId="32D9AF1C" w:rsidR="00F515D3" w:rsidRDefault="00F515D3" w:rsidP="00F515D3">
      <w:pPr>
        <w:pStyle w:val="Heading3"/>
      </w:pPr>
      <w:r>
        <w:t xml:space="preserve">What is the </w:t>
      </w:r>
      <w:r w:rsidR="004C5562">
        <w:t>recommended option</w:t>
      </w:r>
      <w:r>
        <w:t>(s) and how will it be implemented?</w:t>
      </w:r>
    </w:p>
    <w:p w14:paraId="38A26578" w14:textId="222C9F00" w:rsidR="007261D8" w:rsidRPr="00D60FA5" w:rsidRDefault="00675C2A" w:rsidP="007B666B">
      <w:r w:rsidRPr="007D27A8">
        <w:t>Based on analysis included in this DRIS, the options with the highest net benefit to be provided to Education Ministers for consideration</w:t>
      </w:r>
      <w:r>
        <w:t xml:space="preserve"> are</w:t>
      </w:r>
      <w:r w:rsidRPr="007D27A8">
        <w:t xml:space="preserve"> </w:t>
      </w:r>
      <w:r w:rsidR="00B85E27">
        <w:t>o</w:t>
      </w:r>
      <w:r w:rsidR="00876D4E">
        <w:t>ptions 2</w:t>
      </w:r>
      <w:r w:rsidR="00B85E27">
        <w:t>, 3, 4, and</w:t>
      </w:r>
      <w:r w:rsidR="00876D4E">
        <w:t xml:space="preserve"> 5</w:t>
      </w:r>
      <w:r w:rsidR="003D6274">
        <w:t xml:space="preserve">. </w:t>
      </w:r>
      <w:r w:rsidR="00876D4E">
        <w:t>This preference is</w:t>
      </w:r>
      <w:r w:rsidR="00F515D3" w:rsidDel="00A646A0">
        <w:t xml:space="preserve"> </w:t>
      </w:r>
      <w:r w:rsidR="002A6C66">
        <w:t xml:space="preserve">due to </w:t>
      </w:r>
      <w:r w:rsidR="00F515D3" w:rsidDel="00A646A0">
        <w:t xml:space="preserve">the </w:t>
      </w:r>
      <w:r w:rsidR="002A6C66">
        <w:t xml:space="preserve">expectation that the regulatory options will reduce the risk of </w:t>
      </w:r>
      <w:r w:rsidR="000358FF">
        <w:t>harm to children</w:t>
      </w:r>
      <w:r w:rsidR="00E83306">
        <w:t xml:space="preserve"> and incur limited implementation costs.</w:t>
      </w:r>
    </w:p>
    <w:p w14:paraId="723649DB" w14:textId="6A0776DF" w:rsidR="004E2139" w:rsidRPr="000A49DC" w:rsidRDefault="008F214B" w:rsidP="007B666B">
      <w:pPr>
        <w:rPr>
          <w:rFonts w:eastAsia="MS Mincho" w:cs="Arial"/>
          <w:color w:val="14233C"/>
          <w:sz w:val="52"/>
          <w:szCs w:val="80"/>
          <w:lang w:val="en-GB"/>
        </w:rPr>
      </w:pPr>
      <w:r>
        <w:br w:type="page"/>
      </w:r>
    </w:p>
    <w:p w14:paraId="3DC883A7" w14:textId="4FDE7B0B" w:rsidR="00476DFD" w:rsidRDefault="007B0FEC" w:rsidP="00B3134C">
      <w:pPr>
        <w:pStyle w:val="Heading1"/>
      </w:pPr>
      <w:bookmarkStart w:id="229" w:name="_11._Implementing_and"/>
      <w:bookmarkStart w:id="230" w:name="_Ref203398471"/>
      <w:bookmarkStart w:id="231" w:name="_Toc205884906"/>
      <w:bookmarkEnd w:id="229"/>
      <w:r>
        <w:lastRenderedPageBreak/>
        <w:t>11</w:t>
      </w:r>
      <w:r w:rsidR="00B3134C">
        <w:t xml:space="preserve">. </w:t>
      </w:r>
      <w:r w:rsidR="00504D13">
        <w:t>Implementing and e</w:t>
      </w:r>
      <w:r w:rsidR="00476DFD">
        <w:t xml:space="preserve">valuating the </w:t>
      </w:r>
      <w:r w:rsidR="004C5562">
        <w:t>recommended option</w:t>
      </w:r>
      <w:r w:rsidR="00476DFD">
        <w:t>s</w:t>
      </w:r>
      <w:bookmarkEnd w:id="230"/>
      <w:bookmarkEnd w:id="231"/>
    </w:p>
    <w:p w14:paraId="4841B60A" w14:textId="1EED96A8" w:rsidR="00504D13" w:rsidRPr="00DA3A94" w:rsidRDefault="00504D13" w:rsidP="00504D13">
      <w:pPr>
        <w:pStyle w:val="Heading2"/>
      </w:pPr>
      <w:bookmarkStart w:id="232" w:name="_Toc205884907"/>
      <w:r w:rsidRPr="00DA3A94">
        <w:t xml:space="preserve">Combined impact of the </w:t>
      </w:r>
      <w:r w:rsidR="004C5562">
        <w:t>recommended option</w:t>
      </w:r>
      <w:r w:rsidRPr="00DA3A94">
        <w:t>s</w:t>
      </w:r>
      <w:bookmarkEnd w:id="232"/>
    </w:p>
    <w:p w14:paraId="0C666D5B" w14:textId="7941E95F" w:rsidR="005D30BB" w:rsidRPr="00DA3A94" w:rsidRDefault="00BB15C9" w:rsidP="005D30BB">
      <w:r w:rsidRPr="00BB15C9">
        <w:t>This section outlines potential collective or compounding impacts that go beyond the impacts of each individual reform, as heard over the consultation phase.</w:t>
      </w:r>
    </w:p>
    <w:p w14:paraId="5232752A" w14:textId="44F3862A" w:rsidR="0015220D" w:rsidRPr="00DA3A94" w:rsidRDefault="00B42167" w:rsidP="00C52BEC">
      <w:pPr>
        <w:pStyle w:val="Heading3un-numbered"/>
      </w:pPr>
      <w:r w:rsidRPr="00DA3A94">
        <w:t>A culture of child safety</w:t>
      </w:r>
    </w:p>
    <w:p w14:paraId="5E046EDA" w14:textId="0770F1D4" w:rsidR="001F1F3E" w:rsidRPr="00DA3A94" w:rsidRDefault="00B42167" w:rsidP="00226FF5">
      <w:r w:rsidRPr="00DA3A94">
        <w:t xml:space="preserve">Multiple stakeholder groups expressed the importance of </w:t>
      </w:r>
      <w:r w:rsidR="00D46D81">
        <w:t xml:space="preserve">growing and supporting </w:t>
      </w:r>
      <w:r w:rsidRPr="00DA3A94">
        <w:t xml:space="preserve">a ‘culture of child safety’ </w:t>
      </w:r>
      <w:r w:rsidR="005B3720" w:rsidRPr="00DA3A94">
        <w:t xml:space="preserve">in reducing the risk of child safety. Some spoke directly to the ways that some areas of reform could reinforce others, such as child safety training </w:t>
      </w:r>
      <w:r w:rsidR="00226FF5" w:rsidRPr="00DA3A94">
        <w:t xml:space="preserve">incorporating </w:t>
      </w:r>
      <w:r w:rsidR="00D8195E" w:rsidRPr="00DA3A94">
        <w:t>guidance around appropriate and inappropriate conduct. Others spoke to the cumulative impacts of a suite of child safety reforms.</w:t>
      </w:r>
    </w:p>
    <w:p w14:paraId="6EBA9B87" w14:textId="415BF930" w:rsidR="0015220D" w:rsidRPr="00DA3A94" w:rsidRDefault="0015220D" w:rsidP="00BB41AB">
      <w:pPr>
        <w:pStyle w:val="Heading3"/>
      </w:pPr>
      <w:r w:rsidRPr="00DA3A94">
        <w:t>Trust in the sector</w:t>
      </w:r>
    </w:p>
    <w:p w14:paraId="1D5F8604" w14:textId="3D0CA634" w:rsidR="00D8195E" w:rsidRPr="00DA3A94" w:rsidRDefault="00D8195E" w:rsidP="00D8195E">
      <w:r w:rsidRPr="00DA3A94">
        <w:t>A number of submissions, survey responses and consultation/forum participants spoke</w:t>
      </w:r>
      <w:r w:rsidR="00B871BB">
        <w:t xml:space="preserve"> </w:t>
      </w:r>
      <w:r w:rsidR="00012E67">
        <w:t xml:space="preserve">about the role for </w:t>
      </w:r>
      <w:r w:rsidR="00A44B6B">
        <w:t>this</w:t>
      </w:r>
      <w:r w:rsidR="00012E67">
        <w:t xml:space="preserve"> suite of reform</w:t>
      </w:r>
      <w:r w:rsidR="002911BD">
        <w:t>s</w:t>
      </w:r>
      <w:r w:rsidR="00012E67">
        <w:t xml:space="preserve"> to</w:t>
      </w:r>
      <w:r w:rsidR="00B871BB">
        <w:t xml:space="preserve"> </w:t>
      </w:r>
      <w:r w:rsidRPr="00DA3A94">
        <w:t>increase the public’s trust in the sector</w:t>
      </w:r>
      <w:r w:rsidR="002911BD">
        <w:t xml:space="preserve"> in respect to child safety and government priorities</w:t>
      </w:r>
      <w:r w:rsidR="004E7603" w:rsidRPr="00DA3A94">
        <w:t xml:space="preserve">. </w:t>
      </w:r>
      <w:r w:rsidR="004F0101" w:rsidRPr="00DA3A94">
        <w:t xml:space="preserve">Families, parents and carers’ trust and confidence in the safety of </w:t>
      </w:r>
      <w:r w:rsidR="004F0101">
        <w:t xml:space="preserve">education and </w:t>
      </w:r>
      <w:r w:rsidR="004F0101" w:rsidRPr="00DA3A94">
        <w:t xml:space="preserve">care services </w:t>
      </w:r>
      <w:r w:rsidR="004F0101">
        <w:t>is considered</w:t>
      </w:r>
      <w:r w:rsidR="004F0101" w:rsidRPr="00DA3A94">
        <w:t xml:space="preserve"> an important enabler </w:t>
      </w:r>
      <w:r w:rsidR="004F0101">
        <w:t>for</w:t>
      </w:r>
      <w:r w:rsidR="004F0101" w:rsidRPr="00DA3A94">
        <w:t xml:space="preserve"> access and </w:t>
      </w:r>
      <w:r w:rsidR="004F0101">
        <w:t xml:space="preserve">participation in education and care services, which can lead </w:t>
      </w:r>
      <w:r w:rsidR="004F0101" w:rsidRPr="00DA3A94">
        <w:t xml:space="preserve">to improved child outcomes. </w:t>
      </w:r>
      <w:r w:rsidR="004F0101">
        <w:t>The cumulative impact of the preferred policy options will not only increase child safety, but also respond to family, parent and carer concerns about the importance of child safety.</w:t>
      </w:r>
      <w:r w:rsidR="00444A15">
        <w:t xml:space="preserve"> </w:t>
      </w:r>
    </w:p>
    <w:p w14:paraId="6B8506DC" w14:textId="2B2020E2" w:rsidR="004E7603" w:rsidRPr="00DA3A94" w:rsidRDefault="004E7603" w:rsidP="00DC71CD">
      <w:pPr>
        <w:pStyle w:val="Quote1"/>
      </w:pPr>
      <w:r w:rsidRPr="00DA3A94">
        <w:t>“Regulatory reform</w:t>
      </w:r>
      <w:r w:rsidR="005C4F0C">
        <w:t>…</w:t>
      </w:r>
      <w:r w:rsidRPr="00DA3A94">
        <w:t xml:space="preserve">is the best practical way to ensure positive outcomes for children, and for the success of government policy objectives for a universal childcare system, including public confidence in the system.” – Written </w:t>
      </w:r>
      <w:r w:rsidR="005E60A5">
        <w:t>s</w:t>
      </w:r>
      <w:r w:rsidRPr="00DA3A94">
        <w:t xml:space="preserve">ubmission </w:t>
      </w:r>
      <w:r w:rsidR="00DC71CD">
        <w:t>response</w:t>
      </w:r>
    </w:p>
    <w:p w14:paraId="7D8BE910" w14:textId="5CA903F7" w:rsidR="00284433" w:rsidRPr="00DA3A94" w:rsidRDefault="00284433" w:rsidP="00284433">
      <w:r>
        <w:t xml:space="preserve">In addition, a number of </w:t>
      </w:r>
      <w:r w:rsidRPr="00284433">
        <w:t xml:space="preserve">submissions, survey responses and consultation/forum participants </w:t>
      </w:r>
      <w:r>
        <w:t xml:space="preserve">expressed support for </w:t>
      </w:r>
      <w:r w:rsidRPr="00284433">
        <w:t xml:space="preserve">further regulatory reforms to </w:t>
      </w:r>
      <w:r>
        <w:t>increase child safety, and further support</w:t>
      </w:r>
      <w:r w:rsidRPr="00284433">
        <w:t xml:space="preserve"> the public’s trust in the sector</w:t>
      </w:r>
      <w:r>
        <w:t>.</w:t>
      </w:r>
      <w:r w:rsidRPr="00284433">
        <w:t xml:space="preserve"> </w:t>
      </w:r>
      <w:r w:rsidR="00012E67">
        <w:t xml:space="preserve">Some spoke to the </w:t>
      </w:r>
      <w:r w:rsidR="00012E67" w:rsidRPr="00012E67">
        <w:t>limitations of proposed reforms</w:t>
      </w:r>
      <w:r w:rsidR="00012E67">
        <w:t xml:space="preserve"> in addressing challenges with trust in the sector, noting the scope of this DRIS. </w:t>
      </w:r>
      <w:r w:rsidR="002911BD" w:rsidRPr="002911BD">
        <w:t>This includes the need for stronger safeguards for children which extend beyond current arrangements which sit outside the scope of this review.</w:t>
      </w:r>
      <w:r>
        <w:t xml:space="preserve"> </w:t>
      </w:r>
    </w:p>
    <w:p w14:paraId="06731C90" w14:textId="77777777" w:rsidR="00C52BEC" w:rsidRPr="00DA3A94" w:rsidRDefault="00C52BEC" w:rsidP="00C52BEC">
      <w:pPr>
        <w:pStyle w:val="Heading3un-numbered"/>
      </w:pPr>
      <w:r w:rsidRPr="00DA3A94">
        <w:lastRenderedPageBreak/>
        <w:t>Workforce and sector impacts</w:t>
      </w:r>
    </w:p>
    <w:p w14:paraId="091B81A7" w14:textId="2B2A750D" w:rsidR="00C52BEC" w:rsidRPr="00DA3A94" w:rsidRDefault="00C52BEC" w:rsidP="00C52BEC">
      <w:r w:rsidRPr="00DA3A94">
        <w:t xml:space="preserve">Several stakeholders expressed concern over individual and collective impacts on the </w:t>
      </w:r>
      <w:r w:rsidR="00014AC2">
        <w:t>education and care</w:t>
      </w:r>
      <w:r w:rsidRPr="00DA3A94">
        <w:t xml:space="preserve"> workforce and sector resulting from regulatory changes. These were sometimes described as affecting the professional standing of </w:t>
      </w:r>
      <w:r w:rsidR="00014AC2">
        <w:t>education and care</w:t>
      </w:r>
      <w:r w:rsidRPr="00DA3A94">
        <w:t xml:space="preserve"> workforce, particularly in relation to schools and teachers, and therefore impacting motivation and desire to stay in the sector. While many stakeholders outlined the deep commitment of the large majority of the workforce to child safety, there were some concerns that in attempting to regulate for ‘a few’ individuals, the regulations could negatively impact the fulfilling nature of the work. This should be considered within the context of national workforce shortages. </w:t>
      </w:r>
    </w:p>
    <w:p w14:paraId="47771E3F" w14:textId="582920D3" w:rsidR="00C52BEC" w:rsidRPr="00DA3A94" w:rsidRDefault="00C52BEC" w:rsidP="00C52BEC">
      <w:pPr>
        <w:rPr>
          <w:lang w:val="en-GB"/>
        </w:rPr>
      </w:pPr>
      <w:r w:rsidRPr="00DA3A94">
        <w:t>All stakeholders consulted agreed that child safety is paramount. However, some stakeholders</w:t>
      </w:r>
      <w:r w:rsidR="003D0BFD" w:rsidRPr="00DA3A94">
        <w:t xml:space="preserve">, including from peak bodies and individuals from </w:t>
      </w:r>
      <w:r w:rsidR="00014AC2">
        <w:t>education and care</w:t>
      </w:r>
      <w:r w:rsidR="003D0BFD" w:rsidRPr="00DA3A94">
        <w:t xml:space="preserve"> services or providers,</w:t>
      </w:r>
      <w:r w:rsidRPr="00DA3A94">
        <w:t xml:space="preserve"> felt that </w:t>
      </w:r>
      <w:r w:rsidRPr="00DA3A94">
        <w:rPr>
          <w:lang w:val="en-GB"/>
        </w:rPr>
        <w:t xml:space="preserve">some of the proposed changes, particularly when viewed collectively, are associated with a significant regulatory impact. This was perceived in some instances to be undermining trust in educators, teachers, services and the sector as a whole to deliver safe </w:t>
      </w:r>
      <w:r w:rsidR="00014AC2">
        <w:rPr>
          <w:lang w:val="en-GB"/>
        </w:rPr>
        <w:t>education and care</w:t>
      </w:r>
      <w:r w:rsidRPr="00DA3A94">
        <w:rPr>
          <w:lang w:val="en-GB"/>
        </w:rPr>
        <w:t>. These stakeholders urged decision-makers to consider the cumulative impact for an already highly regulated sector (in comparison to similar professions), where the risk of harm may be most commonly centred in a few individuals, services or providers, and where the regulatory response could focus on those higher-risk individuals rather than the sector as a whole.</w:t>
      </w:r>
      <w:r w:rsidR="00444A15">
        <w:rPr>
          <w:lang w:val="en-GB"/>
        </w:rPr>
        <w:t xml:space="preserve"> </w:t>
      </w:r>
    </w:p>
    <w:p w14:paraId="351F9CFB" w14:textId="77777777" w:rsidR="00845A98" w:rsidRDefault="00845A98" w:rsidP="00845A98">
      <w:pPr>
        <w:rPr>
          <w:lang w:val="en-GB"/>
        </w:rPr>
      </w:pPr>
      <w:r w:rsidRPr="00DA3A94">
        <w:rPr>
          <w:lang w:val="en-GB"/>
        </w:rPr>
        <w:t xml:space="preserve">Potential negative impacts on the recruitment and retention of </w:t>
      </w:r>
      <w:r>
        <w:rPr>
          <w:lang w:val="en-GB"/>
        </w:rPr>
        <w:t>the FDC</w:t>
      </w:r>
      <w:r w:rsidRPr="00DA3A94">
        <w:rPr>
          <w:lang w:val="en-GB"/>
        </w:rPr>
        <w:t xml:space="preserve"> workforce were mentioned regularly by FDC services and providers (see below). </w:t>
      </w:r>
    </w:p>
    <w:p w14:paraId="0F37F8C0" w14:textId="4EA842CE" w:rsidR="00F948DA" w:rsidRPr="00DA3A94" w:rsidRDefault="00F948DA" w:rsidP="00F948DA">
      <w:pPr>
        <w:pStyle w:val="Quote1"/>
      </w:pPr>
      <w:r>
        <w:t>“</w:t>
      </w:r>
      <w:r w:rsidRPr="00F948DA">
        <w:t>Please don't add to our workload - many people are doing the right thing and deserve to be treated as professionals. Make things practical and simple, otherwise people will switch off or walk away</w:t>
      </w:r>
      <w:r>
        <w:t>” – Free text submission</w:t>
      </w:r>
      <w:r w:rsidR="005E60A5">
        <w:t xml:space="preserve"> response</w:t>
      </w:r>
    </w:p>
    <w:p w14:paraId="656D5443" w14:textId="304EA95E" w:rsidR="00E017D0" w:rsidRPr="00DA3A94" w:rsidRDefault="00E017D0" w:rsidP="00C52BEC">
      <w:r>
        <w:rPr>
          <w:lang w:val="en-GB"/>
        </w:rPr>
        <w:t xml:space="preserve">In addition, some </w:t>
      </w:r>
      <w:r w:rsidR="00075F36">
        <w:rPr>
          <w:lang w:val="en-GB"/>
        </w:rPr>
        <w:t>of the proposed reforms could have implications for workforce shortages, particularly the requirement to have an approved WWCC prior to providing education and care and the expansion of child protection and child safety training to a wider subset of the education and care workforce</w:t>
      </w:r>
      <w:r w:rsidR="00E7749D">
        <w:rPr>
          <w:lang w:val="en-GB"/>
        </w:rPr>
        <w:t xml:space="preserve">. The likelihood of </w:t>
      </w:r>
      <w:r w:rsidR="00A3662B">
        <w:rPr>
          <w:lang w:val="en-GB"/>
        </w:rPr>
        <w:t xml:space="preserve">workforce shortages emerging may be subject to implementation considerations, such as whether there will be sufficient implementation timeframes for the workforce to fulfil training requirements </w:t>
      </w:r>
      <w:r w:rsidR="00E372D4">
        <w:rPr>
          <w:lang w:val="en-GB"/>
        </w:rPr>
        <w:t>or whether WWCC screening agencies may be supported with additional resourcing to reduce processing times on WWCC applications.</w:t>
      </w:r>
    </w:p>
    <w:p w14:paraId="3FD04435" w14:textId="77777777" w:rsidR="00C52BEC" w:rsidRPr="00DA3A94" w:rsidRDefault="00C52BEC" w:rsidP="003D0BFD">
      <w:pPr>
        <w:pStyle w:val="Heading3un-numbered"/>
      </w:pPr>
      <w:r w:rsidRPr="00DA3A94">
        <w:lastRenderedPageBreak/>
        <w:t>Risk of over-regulation</w:t>
      </w:r>
    </w:p>
    <w:p w14:paraId="33D57F9E" w14:textId="77777777" w:rsidR="00C52BEC" w:rsidRPr="00DA3A94" w:rsidRDefault="00C52BEC" w:rsidP="00C52BEC">
      <w:r w:rsidRPr="00DA3A94">
        <w:t xml:space="preserve">Some stakeholders across individual themes noted associated ‘red tape’ with policy options. Most submissions received to date see the associated regulation and administrative burden as acceptable in the context of child safety. </w:t>
      </w:r>
    </w:p>
    <w:p w14:paraId="761EF3F3" w14:textId="478606FB" w:rsidR="00C52BEC" w:rsidRPr="00DA3A94" w:rsidRDefault="00C52BEC" w:rsidP="00C52BEC">
      <w:r w:rsidRPr="00DA3A94">
        <w:rPr>
          <w:lang w:val="en-GB"/>
        </w:rPr>
        <w:t>H</w:t>
      </w:r>
      <w:r w:rsidRPr="00DA3A94">
        <w:t xml:space="preserve">owever, others, including Aboriginal and Torres Strait Islander respondents were hesitant of strict regulations and regulatory approaches alongside </w:t>
      </w:r>
      <w:r w:rsidR="009851F6">
        <w:t xml:space="preserve">the potential that </w:t>
      </w:r>
      <w:r w:rsidR="002A589A">
        <w:t>training</w:t>
      </w:r>
      <w:r w:rsidR="00246353">
        <w:t xml:space="preserve"> and the application of regulation</w:t>
      </w:r>
      <w:r w:rsidR="002A589A">
        <w:t xml:space="preserve"> may not be </w:t>
      </w:r>
      <w:r w:rsidRPr="00DA3A94">
        <w:t>culturally informed. There was concern that regulatory powers may be used disproportionately with ‘non</w:t>
      </w:r>
      <w:r w:rsidR="002A589A">
        <w:t>-</w:t>
      </w:r>
      <w:r w:rsidRPr="00DA3A94">
        <w:t>mainstream’ services if particular care is not taken to mitigate against this.</w:t>
      </w:r>
    </w:p>
    <w:p w14:paraId="1C81A87E" w14:textId="7BC6AF49" w:rsidR="00C52BEC" w:rsidRPr="00DA3A94" w:rsidRDefault="00C52BEC" w:rsidP="00CD5C95">
      <w:pPr>
        <w:pStyle w:val="Heading3un-numbered"/>
      </w:pPr>
      <w:r w:rsidRPr="00DA3A94">
        <w:t xml:space="preserve">Impact on the </w:t>
      </w:r>
      <w:r w:rsidR="00FD6F5D">
        <w:t>FDC</w:t>
      </w:r>
      <w:r w:rsidRPr="00DA3A94">
        <w:t xml:space="preserve"> sector</w:t>
      </w:r>
    </w:p>
    <w:p w14:paraId="35299CF3" w14:textId="2950E492" w:rsidR="00C52BEC" w:rsidRPr="00DA3A94" w:rsidRDefault="00C52BEC" w:rsidP="00C52BEC">
      <w:r w:rsidRPr="00DA3A94">
        <w:t xml:space="preserve">A large number of survey responses </w:t>
      </w:r>
      <w:r w:rsidR="00905A64" w:rsidRPr="00DA3A94">
        <w:t xml:space="preserve">from FDC approved providers, services and families that attend FDC, and submissions responses from FDC peak bodies, educators and approved providers </w:t>
      </w:r>
      <w:r w:rsidRPr="00DA3A94">
        <w:t xml:space="preserve">expressed concern for the impact of proposed policy changes on the FDC sector, particularly </w:t>
      </w:r>
      <w:r w:rsidR="00CD5C95" w:rsidRPr="00DA3A94">
        <w:t xml:space="preserve">in relation to the management of digital devices and improving the safety of the physical </w:t>
      </w:r>
      <w:r w:rsidR="00905A64" w:rsidRPr="00DA3A94">
        <w:t xml:space="preserve">service </w:t>
      </w:r>
      <w:r w:rsidR="00CD5C95" w:rsidRPr="00DA3A94">
        <w:t>environment</w:t>
      </w:r>
      <w:r w:rsidRPr="00DA3A94">
        <w:t xml:space="preserve">. Comments were frequently made that FDC needs to be treated as distinct from LDC and that the policy options do not give adequate consideration to the FDC delivery model, and that: </w:t>
      </w:r>
    </w:p>
    <w:p w14:paraId="1876F271" w14:textId="6EB3845D" w:rsidR="00C52BEC" w:rsidRPr="00DA3A94" w:rsidRDefault="0015220D" w:rsidP="00EC53AB">
      <w:pPr>
        <w:numPr>
          <w:ilvl w:val="0"/>
          <w:numId w:val="98"/>
        </w:numPr>
        <w:ind w:left="426"/>
      </w:pPr>
      <w:r w:rsidRPr="00DA3A94">
        <w:t>cumulatively and individually, the proposed areas of reform</w:t>
      </w:r>
      <w:r w:rsidR="00C52BEC" w:rsidRPr="00DA3A94">
        <w:t xml:space="preserve"> may </w:t>
      </w:r>
      <w:r w:rsidR="00627B29">
        <w:t>negatively</w:t>
      </w:r>
      <w:r w:rsidR="00C52BEC" w:rsidRPr="00DA3A94">
        <w:t xml:space="preserve"> impact the home-based environment that families seek through FDC,</w:t>
      </w:r>
    </w:p>
    <w:p w14:paraId="263F9C90" w14:textId="778C713B" w:rsidR="00C52BEC" w:rsidRPr="00DA3A94" w:rsidRDefault="0015220D" w:rsidP="00EC53AB">
      <w:pPr>
        <w:numPr>
          <w:ilvl w:val="0"/>
          <w:numId w:val="98"/>
        </w:numPr>
        <w:ind w:left="426"/>
      </w:pPr>
      <w:r w:rsidRPr="00DA3A94">
        <w:t>cumulatively and individually, the proposed areas of reform</w:t>
      </w:r>
      <w:r w:rsidR="00C52BEC" w:rsidRPr="00DA3A94">
        <w:t xml:space="preserve"> may lead to the closure of FDC services, including due to unsustainable costs,</w:t>
      </w:r>
    </w:p>
    <w:p w14:paraId="71660D09" w14:textId="103F7723" w:rsidR="00C52BEC" w:rsidRPr="00DA3A94" w:rsidRDefault="00C52BEC" w:rsidP="00EC53AB">
      <w:pPr>
        <w:numPr>
          <w:ilvl w:val="0"/>
          <w:numId w:val="98"/>
        </w:numPr>
        <w:ind w:left="426"/>
      </w:pPr>
      <w:r w:rsidRPr="00DA3A94">
        <w:t xml:space="preserve">some services feel that this is a trend of intervention contributing to a national decline in FDC services, impacting family choice in the mixed market of </w:t>
      </w:r>
      <w:r w:rsidR="00014AC2">
        <w:t>education and care</w:t>
      </w:r>
      <w:r w:rsidRPr="00DA3A94">
        <w:t xml:space="preserve">. </w:t>
      </w:r>
    </w:p>
    <w:p w14:paraId="730F1278" w14:textId="77777777" w:rsidR="00C52BEC" w:rsidRPr="00DA3A94" w:rsidRDefault="00C52BEC" w:rsidP="0015220D">
      <w:pPr>
        <w:pStyle w:val="Heading3un-numbered"/>
      </w:pPr>
      <w:r w:rsidRPr="00DA3A94">
        <w:t>Impacts on volunteers and students</w:t>
      </w:r>
    </w:p>
    <w:p w14:paraId="24447DB5" w14:textId="6DCA37AE" w:rsidR="00C52BEC" w:rsidRPr="00DA3A94" w:rsidRDefault="00C52BEC" w:rsidP="00C52BEC">
      <w:r w:rsidRPr="00DA3A94">
        <w:t xml:space="preserve">The topic of volunteers came up frequently across many themes. Volunteers can range </w:t>
      </w:r>
      <w:r w:rsidR="004324FE" w:rsidRPr="00DA3A94">
        <w:t>from regular volunteers</w:t>
      </w:r>
      <w:r w:rsidRPr="00DA3A94">
        <w:t xml:space="preserve"> to one off incursion/excursion volunteers, to elders working with education and care services to adults living in FDC services.</w:t>
      </w:r>
      <w:r w:rsidRPr="00DA3A94">
        <w:rPr>
          <w:vertAlign w:val="superscript"/>
        </w:rPr>
        <w:footnoteReference w:id="154"/>
      </w:r>
      <w:r w:rsidRPr="00DA3A94">
        <w:t xml:space="preserve"> Many stakeholders urged decision makers and policy writers to consider impacts on volunteers, where regulatory burden can impact their propensity to volunteer, with potential negative impacts on children. Often the </w:t>
      </w:r>
      <w:r w:rsidRPr="00DA3A94">
        <w:lastRenderedPageBreak/>
        <w:t xml:space="preserve">idea of ‘supervision’ by trained staff was raised as a potential risk mitigation strategy, including in relation to managing digital devices, child protection and child safety, and conduct. </w:t>
      </w:r>
    </w:p>
    <w:p w14:paraId="729742D2" w14:textId="77777777" w:rsidR="00C52BEC" w:rsidRDefault="00C52BEC" w:rsidP="00C52BEC">
      <w:r w:rsidRPr="00DA3A94">
        <w:t xml:space="preserve">Some stakeholders also raised impacts on students on placement, for instance, ensuring that appropriate training and guidance are covered in courses </w:t>
      </w:r>
      <w:r w:rsidRPr="00DA3A94">
        <w:rPr>
          <w:i/>
        </w:rPr>
        <w:t>before</w:t>
      </w:r>
      <w:r w:rsidRPr="00DA3A94">
        <w:t xml:space="preserve"> placements through appropriately structuring course content and sequencing. </w:t>
      </w:r>
    </w:p>
    <w:p w14:paraId="61BE08E0" w14:textId="791C6464" w:rsidR="006B356E" w:rsidRDefault="006B356E" w:rsidP="006B356E">
      <w:pPr>
        <w:pStyle w:val="Heading3un-numbered"/>
      </w:pPr>
      <w:r w:rsidRPr="00DA3A94">
        <w:t>Impact</w:t>
      </w:r>
      <w:r>
        <w:t xml:space="preserve"> on the cost of education and care</w:t>
      </w:r>
    </w:p>
    <w:p w14:paraId="0403C57E" w14:textId="1F5D7A0D" w:rsidR="006B356E" w:rsidRPr="00DA3A94" w:rsidRDefault="00101ABE" w:rsidP="00C52BEC">
      <w:r>
        <w:t>Each option that imposes a cost for approved providers has the potential to be passe</w:t>
      </w:r>
      <w:r w:rsidR="00AC76B6">
        <w:t>d</w:t>
      </w:r>
      <w:r>
        <w:t xml:space="preserve"> through in the form of higher fees for families. </w:t>
      </w:r>
      <w:r w:rsidR="000C088E">
        <w:t>The risk of cost passthrough is high in the absence of government funding – for which decisions may be at the discretion of individual state and territory governments</w:t>
      </w:r>
      <w:r w:rsidR="00B10695">
        <w:t xml:space="preserve">. The degree to which costs for families </w:t>
      </w:r>
      <w:r w:rsidR="00657D47">
        <w:t>will increase</w:t>
      </w:r>
      <w:r w:rsidR="00E32218">
        <w:t xml:space="preserve"> </w:t>
      </w:r>
      <w:r w:rsidR="00802D7C">
        <w:t xml:space="preserve">has not been measured, </w:t>
      </w:r>
      <w:r w:rsidR="00BA2862">
        <w:t xml:space="preserve">since only a select number of costs were monetised. </w:t>
      </w:r>
    </w:p>
    <w:p w14:paraId="144FDB27" w14:textId="45071252" w:rsidR="000B539B" w:rsidRPr="00DA3A94" w:rsidRDefault="000B539B" w:rsidP="00D24F6A">
      <w:pPr>
        <w:pStyle w:val="Heading3un-numbered"/>
      </w:pPr>
      <w:r w:rsidRPr="00DA3A94">
        <w:t>Impact on regulatory burden</w:t>
      </w:r>
    </w:p>
    <w:p w14:paraId="3E439CBD" w14:textId="39F8BFBE" w:rsidR="000B539B" w:rsidRPr="00DA3A94" w:rsidRDefault="000B539B" w:rsidP="000B539B">
      <w:r w:rsidRPr="00DA3A94">
        <w:t xml:space="preserve">The </w:t>
      </w:r>
      <w:r w:rsidR="00DA3A94">
        <w:t xml:space="preserve">combined </w:t>
      </w:r>
      <w:r w:rsidR="00AE7AE5">
        <w:t>regulatory burden</w:t>
      </w:r>
      <w:r w:rsidR="00DA3A94">
        <w:t xml:space="preserve"> of the </w:t>
      </w:r>
      <w:r w:rsidR="004C5562">
        <w:t>recommended option</w:t>
      </w:r>
      <w:r w:rsidR="00DA3A94">
        <w:t>s is largely estimated to impact approved providers (businesses</w:t>
      </w:r>
      <w:r w:rsidR="0074718D">
        <w:t xml:space="preserve">, community organisations, and some government </w:t>
      </w:r>
      <w:r w:rsidR="00845A98">
        <w:t>owned</w:t>
      </w:r>
      <w:r w:rsidR="0074718D">
        <w:t xml:space="preserve"> operations</w:t>
      </w:r>
      <w:r w:rsidR="00DA3A94">
        <w:t xml:space="preserve">), however approved providers may ultimately pass on this burden to families (individuals) </w:t>
      </w:r>
      <w:r w:rsidR="00B46B42">
        <w:t>through higher prices for the provision of education and care.</w:t>
      </w:r>
    </w:p>
    <w:p w14:paraId="50455100" w14:textId="6DB49D25" w:rsidR="00B46B42" w:rsidRDefault="00B46B42" w:rsidP="000B539B">
      <w:r>
        <w:t xml:space="preserve">The combined regulatory burden </w:t>
      </w:r>
      <w:r w:rsidR="004324FE">
        <w:t>estimates</w:t>
      </w:r>
      <w:r>
        <w:t xml:space="preserve"> for all monetised costs of </w:t>
      </w:r>
      <w:r w:rsidR="004C5562">
        <w:t>recommended option</w:t>
      </w:r>
      <w:r>
        <w:t xml:space="preserve">s is provided in Table 11.1, </w:t>
      </w:r>
      <w:r w:rsidR="00AE7AE5">
        <w:t>noting</w:t>
      </w:r>
      <w:r>
        <w:t xml:space="preserve"> </w:t>
      </w:r>
      <w:r w:rsidR="00AE7AE5">
        <w:t>that for many reform areas</w:t>
      </w:r>
      <w:r w:rsidR="0053682D">
        <w:t>,</w:t>
      </w:r>
      <w:r>
        <w:t xml:space="preserve"> costs </w:t>
      </w:r>
      <w:r w:rsidR="00AE7AE5">
        <w:t xml:space="preserve">were not able to </w:t>
      </w:r>
      <w:r>
        <w:t xml:space="preserve">be monetised. As such, this regulatory burden estimate </w:t>
      </w:r>
      <w:r w:rsidR="003767F2">
        <w:t xml:space="preserve">will be lower than the regulatory burden actually imposed on the education and care sector as a result of implementing the </w:t>
      </w:r>
      <w:r w:rsidR="004C5562">
        <w:t>recommended option</w:t>
      </w:r>
      <w:r w:rsidR="003767F2">
        <w:t>s.</w:t>
      </w:r>
    </w:p>
    <w:p w14:paraId="6B1DD7A2" w14:textId="16E0A741" w:rsidR="00400A2A" w:rsidRPr="00DA3A94" w:rsidRDefault="00400A2A" w:rsidP="000B539B">
      <w:r>
        <w:t>As it stands</w:t>
      </w:r>
      <w:r w:rsidR="00845A98">
        <w:t>,</w:t>
      </w:r>
      <w:r>
        <w:t xml:space="preserve"> the regulatory burden estimates in Table 11.1 assume that the affected approved provider</w:t>
      </w:r>
      <w:r w:rsidR="00A4769E">
        <w:t xml:space="preserve"> or individual</w:t>
      </w:r>
      <w:r>
        <w:t xml:space="preserve"> will bear the cost. However, in the event that government funding is available, some of the potential costs may be borne by the government, alleviating the cost to approved providers. </w:t>
      </w:r>
      <w:r w:rsidR="00845A98">
        <w:t xml:space="preserve">At </w:t>
      </w:r>
      <w:r>
        <w:t xml:space="preserve">this stage, no decisions regarding the availability of government funding have been made, and such decisions may be at the discretion of individual state and territory governments. Any funding decisions would change who bears the regulatory burden associated with the regulatory options. </w:t>
      </w:r>
    </w:p>
    <w:p w14:paraId="458ADFAC" w14:textId="6ADF162D" w:rsidR="000B539B" w:rsidRDefault="000B539B" w:rsidP="000B539B">
      <w:pPr>
        <w:pStyle w:val="Caption"/>
      </w:pPr>
      <w:bookmarkStart w:id="233" w:name="_Toc205885000"/>
      <w:r w:rsidRPr="001D3080">
        <w:lastRenderedPageBreak/>
        <w:t xml:space="preserve">Table </w:t>
      </w:r>
      <w:r>
        <w:t>11</w:t>
      </w:r>
      <w:r w:rsidRPr="001D3080">
        <w:t>.</w:t>
      </w:r>
      <w:r>
        <w:t>1</w:t>
      </w:r>
      <w:r w:rsidRPr="001D3080">
        <w:t xml:space="preserve">: </w:t>
      </w:r>
      <w:r>
        <w:t xml:space="preserve">Regulatory burden estimate – all monetised </w:t>
      </w:r>
      <w:r w:rsidR="004C5562">
        <w:t>recommended option</w:t>
      </w:r>
      <w:r>
        <w:t>s</w:t>
      </w:r>
      <w:r w:rsidR="00031E6D">
        <w:t>, NPV 2025 to 2034, 7% discount rate</w:t>
      </w:r>
      <w:bookmarkEnd w:id="23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11.1: Regulatory burden estimate – all monetised recommended options, NPV 2025 to 2034, 7% discount rate"/>
        <w:tblDescription w:val="This table outlines the regulatory burden estimate for all monetised recommended options, NPV 2025 to 2034, 7% discount rate"/>
      </w:tblPr>
      <w:tblGrid>
        <w:gridCol w:w="1133"/>
        <w:gridCol w:w="1595"/>
        <w:gridCol w:w="1616"/>
        <w:gridCol w:w="1323"/>
        <w:gridCol w:w="1413"/>
        <w:gridCol w:w="1930"/>
      </w:tblGrid>
      <w:tr w:rsidR="00416D4D" w:rsidRPr="00AF3CB2" w:rsidDel="009459AB" w14:paraId="4E34D34C" w14:textId="77777777" w:rsidTr="00F9118F">
        <w:trPr>
          <w:trHeight w:val="595"/>
          <w:tblHeader/>
        </w:trPr>
        <w:tc>
          <w:tcPr>
            <w:tcW w:w="629" w:type="pct"/>
            <w:shd w:val="clear" w:color="auto" w:fill="14233C" w:themeFill="text2"/>
          </w:tcPr>
          <w:p w14:paraId="7BB3971B" w14:textId="77777777" w:rsidR="00000B4B" w:rsidRPr="00000B4B" w:rsidRDefault="00000B4B" w:rsidP="00F9118F">
            <w:pPr>
              <w:spacing w:after="0" w:line="276" w:lineRule="auto"/>
              <w:rPr>
                <w:b/>
                <w:color w:val="FFFFFF" w:themeColor="background1"/>
                <w:sz w:val="20"/>
                <w:szCs w:val="18"/>
              </w:rPr>
            </w:pPr>
          </w:p>
        </w:tc>
        <w:tc>
          <w:tcPr>
            <w:tcW w:w="885" w:type="pct"/>
            <w:shd w:val="clear" w:color="auto" w:fill="14233C" w:themeFill="text2"/>
          </w:tcPr>
          <w:p w14:paraId="33B8EDE8" w14:textId="77777777" w:rsidR="00000B4B" w:rsidRPr="00000B4B" w:rsidRDefault="00000B4B" w:rsidP="00F9118F">
            <w:pPr>
              <w:spacing w:after="0" w:line="276" w:lineRule="auto"/>
              <w:jc w:val="center"/>
              <w:rPr>
                <w:b/>
                <w:color w:val="FFFFFF" w:themeColor="background1"/>
                <w:sz w:val="20"/>
                <w:szCs w:val="18"/>
              </w:rPr>
            </w:pPr>
            <w:r w:rsidRPr="00000B4B">
              <w:rPr>
                <w:b/>
                <w:color w:val="FFFFFF" w:themeColor="background1"/>
                <w:sz w:val="20"/>
                <w:szCs w:val="18"/>
              </w:rPr>
              <w:t>Business</w:t>
            </w:r>
          </w:p>
        </w:tc>
        <w:tc>
          <w:tcPr>
            <w:tcW w:w="897" w:type="pct"/>
            <w:shd w:val="clear" w:color="auto" w:fill="14233C" w:themeFill="text2"/>
          </w:tcPr>
          <w:p w14:paraId="588BA3F0" w14:textId="77777777" w:rsidR="00000B4B" w:rsidRPr="00000B4B" w:rsidRDefault="00000B4B" w:rsidP="00F9118F">
            <w:pPr>
              <w:spacing w:after="0" w:line="276" w:lineRule="auto"/>
              <w:jc w:val="center"/>
              <w:rPr>
                <w:b/>
                <w:color w:val="FFFFFF" w:themeColor="background1"/>
                <w:sz w:val="20"/>
                <w:szCs w:val="18"/>
              </w:rPr>
            </w:pPr>
            <w:r w:rsidRPr="00000B4B">
              <w:rPr>
                <w:b/>
                <w:color w:val="FFFFFF" w:themeColor="background1"/>
                <w:sz w:val="20"/>
                <w:szCs w:val="18"/>
              </w:rPr>
              <w:t>Community organisations</w:t>
            </w:r>
          </w:p>
        </w:tc>
        <w:tc>
          <w:tcPr>
            <w:tcW w:w="734" w:type="pct"/>
            <w:shd w:val="clear" w:color="auto" w:fill="14233C" w:themeFill="text2"/>
          </w:tcPr>
          <w:p w14:paraId="001D130C" w14:textId="77777777" w:rsidR="00000B4B" w:rsidRPr="00000B4B" w:rsidRDefault="00000B4B" w:rsidP="00F9118F">
            <w:pPr>
              <w:spacing w:after="0" w:line="276" w:lineRule="auto"/>
              <w:jc w:val="center"/>
              <w:rPr>
                <w:b/>
                <w:color w:val="FFFFFF" w:themeColor="background1"/>
                <w:sz w:val="20"/>
                <w:szCs w:val="18"/>
              </w:rPr>
            </w:pPr>
            <w:r w:rsidRPr="00000B4B">
              <w:rPr>
                <w:b/>
                <w:color w:val="FFFFFF" w:themeColor="background1"/>
                <w:sz w:val="20"/>
                <w:szCs w:val="18"/>
              </w:rPr>
              <w:t>Individuals</w:t>
            </w:r>
          </w:p>
        </w:tc>
        <w:tc>
          <w:tcPr>
            <w:tcW w:w="784" w:type="pct"/>
            <w:shd w:val="clear" w:color="auto" w:fill="14233C" w:themeFill="text2"/>
          </w:tcPr>
          <w:p w14:paraId="3B964A2A" w14:textId="60A4D4E9" w:rsidR="00000B4B" w:rsidRPr="00000B4B" w:rsidRDefault="00000B4B" w:rsidP="00F9118F">
            <w:pPr>
              <w:spacing w:after="0" w:line="276" w:lineRule="auto"/>
              <w:jc w:val="center"/>
              <w:rPr>
                <w:b/>
                <w:color w:val="FFFFFF" w:themeColor="background1"/>
                <w:sz w:val="20"/>
                <w:szCs w:val="18"/>
              </w:rPr>
            </w:pPr>
            <w:r w:rsidRPr="00000B4B">
              <w:rPr>
                <w:b/>
                <w:color w:val="FFFFFF" w:themeColor="background1"/>
                <w:sz w:val="20"/>
                <w:szCs w:val="18"/>
              </w:rPr>
              <w:t>Government</w:t>
            </w:r>
          </w:p>
        </w:tc>
        <w:tc>
          <w:tcPr>
            <w:tcW w:w="1071" w:type="pct"/>
            <w:shd w:val="clear" w:color="auto" w:fill="14233C" w:themeFill="text2"/>
          </w:tcPr>
          <w:p w14:paraId="76705333" w14:textId="77777777" w:rsidR="00000B4B" w:rsidRPr="00000B4B" w:rsidDel="009459AB" w:rsidRDefault="00000B4B" w:rsidP="00F9118F">
            <w:pPr>
              <w:spacing w:after="0" w:line="276" w:lineRule="auto"/>
              <w:jc w:val="center"/>
              <w:rPr>
                <w:b/>
                <w:color w:val="FFFFFF" w:themeColor="background1"/>
                <w:sz w:val="20"/>
                <w:szCs w:val="18"/>
              </w:rPr>
            </w:pPr>
            <w:r w:rsidRPr="00000B4B">
              <w:rPr>
                <w:b/>
                <w:color w:val="FFFFFF" w:themeColor="background1"/>
                <w:sz w:val="20"/>
                <w:szCs w:val="18"/>
              </w:rPr>
              <w:t>Total change in costs</w:t>
            </w:r>
          </w:p>
        </w:tc>
      </w:tr>
      <w:tr w:rsidR="00000B4B" w:rsidRPr="00DA3A94" w14:paraId="63263FD3" w14:textId="77777777" w:rsidTr="00F9118F">
        <w:trPr>
          <w:trHeight w:val="288"/>
        </w:trPr>
        <w:tc>
          <w:tcPr>
            <w:tcW w:w="5000" w:type="pct"/>
            <w:gridSpan w:val="6"/>
            <w:shd w:val="clear" w:color="auto" w:fill="D9D9D9" w:themeFill="background1" w:themeFillShade="D9"/>
          </w:tcPr>
          <w:p w14:paraId="5B9AF7EE" w14:textId="77777777" w:rsidR="00000B4B" w:rsidRPr="00000B4B" w:rsidRDefault="00000B4B" w:rsidP="00F9118F">
            <w:pPr>
              <w:spacing w:after="0" w:line="276" w:lineRule="auto"/>
              <w:rPr>
                <w:i/>
                <w:sz w:val="20"/>
                <w:szCs w:val="18"/>
              </w:rPr>
            </w:pPr>
            <w:r w:rsidRPr="00000B4B">
              <w:rPr>
                <w:i/>
                <w:sz w:val="20"/>
                <w:szCs w:val="18"/>
              </w:rPr>
              <w:t>Managing the use of digital devices</w:t>
            </w:r>
          </w:p>
        </w:tc>
      </w:tr>
      <w:tr w:rsidR="00026ED4" w:rsidRPr="00DA3A94" w14:paraId="0A9007ED" w14:textId="77777777" w:rsidTr="00F9118F">
        <w:trPr>
          <w:trHeight w:val="1190"/>
        </w:trPr>
        <w:tc>
          <w:tcPr>
            <w:tcW w:w="629" w:type="pct"/>
          </w:tcPr>
          <w:p w14:paraId="4D6B5DBD" w14:textId="77777777" w:rsidR="00000B4B" w:rsidRPr="00000B4B" w:rsidRDefault="00000B4B" w:rsidP="00F9118F">
            <w:pPr>
              <w:spacing w:after="0" w:line="276" w:lineRule="auto"/>
              <w:rPr>
                <w:sz w:val="20"/>
                <w:szCs w:val="18"/>
              </w:rPr>
            </w:pPr>
            <w:r w:rsidRPr="00000B4B">
              <w:rPr>
                <w:sz w:val="20"/>
                <w:szCs w:val="18"/>
              </w:rPr>
              <w:t>Option 2 and/or option 3</w:t>
            </w:r>
            <w:r w:rsidRPr="00000B4B">
              <w:rPr>
                <w:rStyle w:val="FootnoteReference"/>
                <w:sz w:val="20"/>
                <w:szCs w:val="18"/>
              </w:rPr>
              <w:footnoteReference w:id="155"/>
            </w:r>
          </w:p>
        </w:tc>
        <w:tc>
          <w:tcPr>
            <w:tcW w:w="885" w:type="pct"/>
            <w:vAlign w:val="center"/>
          </w:tcPr>
          <w:p w14:paraId="2AF7FE91" w14:textId="399F3C60" w:rsidR="00000B4B" w:rsidRPr="00000B4B" w:rsidRDefault="00000B4B" w:rsidP="00F9118F">
            <w:pPr>
              <w:spacing w:after="0" w:line="276" w:lineRule="auto"/>
              <w:jc w:val="center"/>
              <w:rPr>
                <w:sz w:val="20"/>
                <w:szCs w:val="18"/>
              </w:rPr>
            </w:pPr>
            <w:r w:rsidRPr="00000B4B">
              <w:rPr>
                <w:rFonts w:cs="Arial"/>
                <w:color w:val="000000"/>
                <w:sz w:val="20"/>
                <w:szCs w:val="18"/>
              </w:rPr>
              <w:t>$23,445,401</w:t>
            </w:r>
          </w:p>
        </w:tc>
        <w:tc>
          <w:tcPr>
            <w:tcW w:w="897" w:type="pct"/>
            <w:vAlign w:val="center"/>
          </w:tcPr>
          <w:p w14:paraId="06EDD187" w14:textId="2CDC05B8" w:rsidR="00000B4B" w:rsidRPr="00000B4B" w:rsidRDefault="00000B4B" w:rsidP="00F9118F">
            <w:pPr>
              <w:spacing w:after="0" w:line="276" w:lineRule="auto"/>
              <w:jc w:val="center"/>
              <w:rPr>
                <w:sz w:val="20"/>
                <w:szCs w:val="18"/>
              </w:rPr>
            </w:pPr>
            <w:r w:rsidRPr="00000B4B">
              <w:rPr>
                <w:rFonts w:cs="Arial"/>
                <w:color w:val="000000"/>
                <w:sz w:val="20"/>
                <w:szCs w:val="18"/>
              </w:rPr>
              <w:t>$13,573,653</w:t>
            </w:r>
          </w:p>
        </w:tc>
        <w:tc>
          <w:tcPr>
            <w:tcW w:w="734" w:type="pct"/>
            <w:vAlign w:val="center"/>
          </w:tcPr>
          <w:p w14:paraId="6C8BDB24" w14:textId="0FD42B54" w:rsidR="00000B4B" w:rsidRPr="00000B4B" w:rsidRDefault="00000B4B" w:rsidP="00F9118F">
            <w:pPr>
              <w:spacing w:after="0" w:line="276" w:lineRule="auto"/>
              <w:jc w:val="center"/>
              <w:rPr>
                <w:sz w:val="20"/>
                <w:szCs w:val="18"/>
              </w:rPr>
            </w:pPr>
            <w:r w:rsidRPr="00000B4B">
              <w:rPr>
                <w:rFonts w:cs="Arial"/>
                <w:color w:val="000000"/>
                <w:sz w:val="20"/>
                <w:szCs w:val="18"/>
              </w:rPr>
              <w:t>-</w:t>
            </w:r>
          </w:p>
        </w:tc>
        <w:tc>
          <w:tcPr>
            <w:tcW w:w="784" w:type="pct"/>
            <w:vAlign w:val="center"/>
          </w:tcPr>
          <w:p w14:paraId="26FB40D6" w14:textId="47562075" w:rsidR="00000B4B" w:rsidRPr="00000B4B" w:rsidRDefault="00000B4B" w:rsidP="00F9118F">
            <w:pPr>
              <w:spacing w:after="0" w:line="276" w:lineRule="auto"/>
              <w:jc w:val="center"/>
              <w:rPr>
                <w:rFonts w:cs="Arial"/>
                <w:color w:val="000000"/>
                <w:sz w:val="20"/>
                <w:szCs w:val="18"/>
              </w:rPr>
            </w:pPr>
            <w:r w:rsidRPr="00000B4B">
              <w:rPr>
                <w:rFonts w:cs="Arial"/>
                <w:color w:val="000000"/>
                <w:sz w:val="20"/>
                <w:szCs w:val="18"/>
              </w:rPr>
              <w:t>$4,113,228</w:t>
            </w:r>
          </w:p>
        </w:tc>
        <w:tc>
          <w:tcPr>
            <w:tcW w:w="1071" w:type="pct"/>
            <w:vAlign w:val="center"/>
          </w:tcPr>
          <w:p w14:paraId="4C62EFA2" w14:textId="598EF3EE" w:rsidR="00000B4B" w:rsidRPr="00000B4B" w:rsidRDefault="00000B4B" w:rsidP="00F9118F">
            <w:pPr>
              <w:spacing w:after="0" w:line="276" w:lineRule="auto"/>
              <w:jc w:val="center"/>
              <w:rPr>
                <w:b/>
                <w:sz w:val="20"/>
                <w:szCs w:val="18"/>
              </w:rPr>
            </w:pPr>
            <w:r w:rsidRPr="00000B4B">
              <w:rPr>
                <w:rFonts w:cs="Arial"/>
                <w:b/>
                <w:bCs/>
                <w:color w:val="000000"/>
                <w:sz w:val="20"/>
                <w:szCs w:val="18"/>
              </w:rPr>
              <w:t>$41,132,282</w:t>
            </w:r>
          </w:p>
        </w:tc>
      </w:tr>
      <w:tr w:rsidR="00000B4B" w:rsidRPr="00DA3A94" w14:paraId="7C173E52" w14:textId="77777777" w:rsidTr="00F9118F">
        <w:trPr>
          <w:trHeight w:val="305"/>
        </w:trPr>
        <w:tc>
          <w:tcPr>
            <w:tcW w:w="5000" w:type="pct"/>
            <w:gridSpan w:val="6"/>
            <w:shd w:val="clear" w:color="auto" w:fill="D9D9D9" w:themeFill="background1" w:themeFillShade="D9"/>
          </w:tcPr>
          <w:p w14:paraId="528CBC0E" w14:textId="77777777" w:rsidR="00000B4B" w:rsidRPr="00000B4B" w:rsidRDefault="00000B4B" w:rsidP="00F9118F">
            <w:pPr>
              <w:spacing w:after="0" w:line="276" w:lineRule="auto"/>
              <w:rPr>
                <w:i/>
                <w:sz w:val="20"/>
                <w:szCs w:val="18"/>
              </w:rPr>
            </w:pPr>
            <w:r w:rsidRPr="00000B4B">
              <w:rPr>
                <w:i/>
                <w:sz w:val="20"/>
                <w:szCs w:val="18"/>
              </w:rPr>
              <w:t>Introducing mandatory child safety training</w:t>
            </w:r>
          </w:p>
        </w:tc>
      </w:tr>
      <w:tr w:rsidR="002C4023" w:rsidRPr="00DA3A94" w14:paraId="6EF56AE4" w14:textId="77777777" w:rsidTr="00F9118F">
        <w:trPr>
          <w:trHeight w:val="288"/>
        </w:trPr>
        <w:tc>
          <w:tcPr>
            <w:tcW w:w="629" w:type="pct"/>
          </w:tcPr>
          <w:p w14:paraId="22BEDCCE" w14:textId="77777777" w:rsidR="002C4023" w:rsidRPr="00000B4B" w:rsidRDefault="002C4023" w:rsidP="002C4023">
            <w:pPr>
              <w:spacing w:after="0" w:line="276" w:lineRule="auto"/>
              <w:rPr>
                <w:sz w:val="20"/>
                <w:szCs w:val="18"/>
              </w:rPr>
            </w:pPr>
            <w:r w:rsidRPr="00000B4B">
              <w:rPr>
                <w:sz w:val="20"/>
                <w:szCs w:val="18"/>
              </w:rPr>
              <w:t>Option 4</w:t>
            </w:r>
          </w:p>
        </w:tc>
        <w:tc>
          <w:tcPr>
            <w:tcW w:w="885" w:type="pct"/>
            <w:vAlign w:val="center"/>
          </w:tcPr>
          <w:p w14:paraId="0F299EFC" w14:textId="4BAA76DE" w:rsidR="002C4023" w:rsidRPr="002C4023" w:rsidRDefault="002C4023" w:rsidP="002C4023">
            <w:pPr>
              <w:spacing w:after="0" w:line="276" w:lineRule="auto"/>
              <w:jc w:val="center"/>
              <w:rPr>
                <w:sz w:val="20"/>
                <w:szCs w:val="20"/>
              </w:rPr>
            </w:pPr>
            <w:r w:rsidRPr="002C4023">
              <w:rPr>
                <w:rFonts w:cs="Arial"/>
                <w:color w:val="000000"/>
                <w:sz w:val="20"/>
                <w:szCs w:val="20"/>
              </w:rPr>
              <w:t>$3,457,248</w:t>
            </w:r>
          </w:p>
        </w:tc>
        <w:tc>
          <w:tcPr>
            <w:tcW w:w="897" w:type="pct"/>
            <w:vAlign w:val="center"/>
          </w:tcPr>
          <w:p w14:paraId="4AC4DC59" w14:textId="659EF9A3" w:rsidR="002C4023" w:rsidRPr="002C4023" w:rsidRDefault="002C4023" w:rsidP="002C4023">
            <w:pPr>
              <w:spacing w:after="0" w:line="276" w:lineRule="auto"/>
              <w:jc w:val="center"/>
              <w:rPr>
                <w:sz w:val="20"/>
                <w:szCs w:val="20"/>
              </w:rPr>
            </w:pPr>
            <w:r w:rsidRPr="002C4023">
              <w:rPr>
                <w:rFonts w:cs="Arial"/>
                <w:color w:val="000000"/>
                <w:sz w:val="20"/>
                <w:szCs w:val="20"/>
              </w:rPr>
              <w:t>$2,001,565</w:t>
            </w:r>
          </w:p>
        </w:tc>
        <w:tc>
          <w:tcPr>
            <w:tcW w:w="734" w:type="pct"/>
            <w:vAlign w:val="center"/>
          </w:tcPr>
          <w:p w14:paraId="7D462203" w14:textId="1EDBDE00" w:rsidR="002C4023" w:rsidRPr="002C4023" w:rsidRDefault="002C4023" w:rsidP="002C4023">
            <w:pPr>
              <w:spacing w:after="0" w:line="276" w:lineRule="auto"/>
              <w:jc w:val="center"/>
              <w:rPr>
                <w:sz w:val="20"/>
                <w:szCs w:val="20"/>
              </w:rPr>
            </w:pPr>
            <w:r w:rsidRPr="002C4023">
              <w:rPr>
                <w:rFonts w:cs="Arial"/>
                <w:color w:val="000000"/>
                <w:sz w:val="20"/>
                <w:szCs w:val="20"/>
              </w:rPr>
              <w:t>$3,420,473</w:t>
            </w:r>
          </w:p>
        </w:tc>
        <w:tc>
          <w:tcPr>
            <w:tcW w:w="784" w:type="pct"/>
            <w:vAlign w:val="center"/>
          </w:tcPr>
          <w:p w14:paraId="1A70FCD7" w14:textId="73E05C2C" w:rsidR="002C4023" w:rsidRPr="002C4023" w:rsidRDefault="002C4023" w:rsidP="002C4023">
            <w:pPr>
              <w:spacing w:after="0" w:line="276" w:lineRule="auto"/>
              <w:jc w:val="center"/>
              <w:rPr>
                <w:rFonts w:cs="Arial"/>
                <w:color w:val="000000"/>
                <w:sz w:val="20"/>
                <w:szCs w:val="20"/>
              </w:rPr>
            </w:pPr>
            <w:r w:rsidRPr="002C4023">
              <w:rPr>
                <w:rFonts w:cs="Arial"/>
                <w:color w:val="000000"/>
                <w:sz w:val="20"/>
                <w:szCs w:val="20"/>
              </w:rPr>
              <w:t>$606,535</w:t>
            </w:r>
          </w:p>
        </w:tc>
        <w:tc>
          <w:tcPr>
            <w:tcW w:w="1071" w:type="pct"/>
            <w:vAlign w:val="center"/>
          </w:tcPr>
          <w:p w14:paraId="0693CB93" w14:textId="013CEA57" w:rsidR="002C4023" w:rsidRPr="002C4023" w:rsidRDefault="002C4023" w:rsidP="002C4023">
            <w:pPr>
              <w:spacing w:after="0" w:line="276" w:lineRule="auto"/>
              <w:jc w:val="center"/>
              <w:rPr>
                <w:b/>
                <w:sz w:val="20"/>
                <w:szCs w:val="20"/>
              </w:rPr>
            </w:pPr>
            <w:r w:rsidRPr="002C4023">
              <w:rPr>
                <w:rFonts w:cs="Arial"/>
                <w:b/>
                <w:bCs/>
                <w:color w:val="000000"/>
                <w:sz w:val="20"/>
                <w:szCs w:val="20"/>
              </w:rPr>
              <w:t>$9,485,820</w:t>
            </w:r>
          </w:p>
        </w:tc>
      </w:tr>
      <w:tr w:rsidR="00CF620C" w:rsidRPr="00DA3A94" w14:paraId="77C34F10" w14:textId="77777777" w:rsidTr="00F9118F">
        <w:trPr>
          <w:trHeight w:val="288"/>
        </w:trPr>
        <w:tc>
          <w:tcPr>
            <w:tcW w:w="629" w:type="pct"/>
          </w:tcPr>
          <w:p w14:paraId="58129846" w14:textId="77777777" w:rsidR="00CF620C" w:rsidRPr="00000B4B" w:rsidRDefault="00CF620C" w:rsidP="00F9118F">
            <w:pPr>
              <w:spacing w:after="0" w:line="276" w:lineRule="auto"/>
              <w:rPr>
                <w:sz w:val="20"/>
                <w:szCs w:val="18"/>
              </w:rPr>
            </w:pPr>
            <w:r w:rsidRPr="00000B4B">
              <w:rPr>
                <w:sz w:val="20"/>
                <w:szCs w:val="18"/>
              </w:rPr>
              <w:t>Option 5</w:t>
            </w:r>
          </w:p>
        </w:tc>
        <w:tc>
          <w:tcPr>
            <w:tcW w:w="885" w:type="pct"/>
            <w:vAlign w:val="center"/>
          </w:tcPr>
          <w:p w14:paraId="5C68A18D" w14:textId="5EBA587E" w:rsidR="00CF620C" w:rsidRPr="00000B4B" w:rsidRDefault="00CF620C" w:rsidP="00F9118F">
            <w:pPr>
              <w:spacing w:after="0" w:line="276" w:lineRule="auto"/>
              <w:jc w:val="center"/>
              <w:rPr>
                <w:sz w:val="20"/>
                <w:szCs w:val="18"/>
              </w:rPr>
            </w:pPr>
            <w:r w:rsidRPr="00D87E60">
              <w:rPr>
                <w:rFonts w:cs="Arial"/>
                <w:color w:val="000000"/>
                <w:sz w:val="20"/>
                <w:szCs w:val="20"/>
              </w:rPr>
              <w:t>$455,406</w:t>
            </w:r>
          </w:p>
        </w:tc>
        <w:tc>
          <w:tcPr>
            <w:tcW w:w="897" w:type="pct"/>
            <w:vAlign w:val="center"/>
          </w:tcPr>
          <w:p w14:paraId="350A7C2F" w14:textId="2DE1BF9A" w:rsidR="00CF620C" w:rsidRPr="00000B4B" w:rsidRDefault="00CF620C" w:rsidP="00F9118F">
            <w:pPr>
              <w:spacing w:after="0" w:line="276" w:lineRule="auto"/>
              <w:jc w:val="center"/>
              <w:rPr>
                <w:sz w:val="20"/>
                <w:szCs w:val="18"/>
              </w:rPr>
            </w:pPr>
            <w:r w:rsidRPr="00D87E60">
              <w:rPr>
                <w:rFonts w:cs="Arial"/>
                <w:color w:val="000000"/>
                <w:sz w:val="20"/>
                <w:szCs w:val="20"/>
              </w:rPr>
              <w:t>$263,656</w:t>
            </w:r>
          </w:p>
        </w:tc>
        <w:tc>
          <w:tcPr>
            <w:tcW w:w="734" w:type="pct"/>
            <w:vAlign w:val="center"/>
          </w:tcPr>
          <w:p w14:paraId="6E4AE85E" w14:textId="48804B04" w:rsidR="00CF620C" w:rsidRPr="00000B4B" w:rsidRDefault="00CF620C" w:rsidP="00F9118F">
            <w:pPr>
              <w:spacing w:after="0" w:line="276" w:lineRule="auto"/>
              <w:jc w:val="center"/>
              <w:rPr>
                <w:sz w:val="20"/>
                <w:szCs w:val="18"/>
              </w:rPr>
            </w:pPr>
            <w:r w:rsidRPr="00D87E60">
              <w:rPr>
                <w:rFonts w:cs="Arial"/>
                <w:color w:val="000000"/>
                <w:sz w:val="20"/>
                <w:szCs w:val="20"/>
              </w:rPr>
              <w:t>-</w:t>
            </w:r>
          </w:p>
        </w:tc>
        <w:tc>
          <w:tcPr>
            <w:tcW w:w="784" w:type="pct"/>
            <w:vAlign w:val="center"/>
          </w:tcPr>
          <w:p w14:paraId="1F527773" w14:textId="6C5798A6" w:rsidR="00CF620C" w:rsidRPr="00D87E60" w:rsidRDefault="00CF620C" w:rsidP="00F9118F">
            <w:pPr>
              <w:spacing w:after="0" w:line="276" w:lineRule="auto"/>
              <w:jc w:val="center"/>
              <w:rPr>
                <w:rFonts w:cs="Arial"/>
                <w:color w:val="000000"/>
                <w:sz w:val="20"/>
                <w:szCs w:val="20"/>
              </w:rPr>
            </w:pPr>
            <w:r w:rsidRPr="00D87E60">
              <w:rPr>
                <w:rFonts w:cs="Arial"/>
                <w:color w:val="000000"/>
                <w:sz w:val="20"/>
                <w:szCs w:val="20"/>
              </w:rPr>
              <w:t>$79,896</w:t>
            </w:r>
          </w:p>
        </w:tc>
        <w:tc>
          <w:tcPr>
            <w:tcW w:w="1071" w:type="pct"/>
            <w:vAlign w:val="center"/>
          </w:tcPr>
          <w:p w14:paraId="4AC1616C" w14:textId="7CCAAAA5" w:rsidR="00CF620C" w:rsidRPr="00000B4B" w:rsidRDefault="00CF620C" w:rsidP="00F9118F">
            <w:pPr>
              <w:spacing w:after="0" w:line="276" w:lineRule="auto"/>
              <w:jc w:val="center"/>
              <w:rPr>
                <w:b/>
                <w:sz w:val="20"/>
                <w:szCs w:val="18"/>
              </w:rPr>
            </w:pPr>
            <w:r w:rsidRPr="00D87E60">
              <w:rPr>
                <w:rFonts w:cs="Arial"/>
                <w:b/>
                <w:bCs/>
                <w:color w:val="000000"/>
                <w:sz w:val="20"/>
                <w:szCs w:val="20"/>
              </w:rPr>
              <w:t>$798,957</w:t>
            </w:r>
          </w:p>
        </w:tc>
      </w:tr>
      <w:tr w:rsidR="00000B4B" w:rsidRPr="00DA3A94" w14:paraId="61113BD2" w14:textId="77777777" w:rsidTr="00F9118F">
        <w:trPr>
          <w:trHeight w:val="305"/>
        </w:trPr>
        <w:tc>
          <w:tcPr>
            <w:tcW w:w="5000" w:type="pct"/>
            <w:gridSpan w:val="6"/>
            <w:shd w:val="clear" w:color="auto" w:fill="D9D9D9" w:themeFill="background1" w:themeFillShade="D9"/>
          </w:tcPr>
          <w:p w14:paraId="1ABD090F" w14:textId="77777777" w:rsidR="00000B4B" w:rsidRPr="00000B4B" w:rsidRDefault="00000B4B" w:rsidP="00F9118F">
            <w:pPr>
              <w:spacing w:after="0" w:line="276" w:lineRule="auto"/>
              <w:rPr>
                <w:i/>
                <w:sz w:val="20"/>
                <w:szCs w:val="18"/>
              </w:rPr>
            </w:pPr>
            <w:r w:rsidRPr="00000B4B">
              <w:rPr>
                <w:i/>
                <w:sz w:val="20"/>
                <w:szCs w:val="18"/>
              </w:rPr>
              <w:t>Requiring approved providers to assess not just the FDC residence, but areas near the residence</w:t>
            </w:r>
          </w:p>
        </w:tc>
      </w:tr>
      <w:tr w:rsidR="005366D0" w:rsidRPr="00DA3A94" w14:paraId="119666A1" w14:textId="77777777" w:rsidTr="00F9118F">
        <w:trPr>
          <w:trHeight w:val="288"/>
        </w:trPr>
        <w:tc>
          <w:tcPr>
            <w:tcW w:w="629" w:type="pct"/>
          </w:tcPr>
          <w:p w14:paraId="6D30CA0B" w14:textId="77777777" w:rsidR="00000B4B" w:rsidRPr="00000B4B" w:rsidRDefault="00000B4B" w:rsidP="00F9118F">
            <w:pPr>
              <w:spacing w:after="0" w:line="276" w:lineRule="auto"/>
              <w:rPr>
                <w:sz w:val="20"/>
                <w:szCs w:val="18"/>
              </w:rPr>
            </w:pPr>
            <w:r w:rsidRPr="00000B4B">
              <w:rPr>
                <w:sz w:val="20"/>
                <w:szCs w:val="18"/>
              </w:rPr>
              <w:t>Option 3</w:t>
            </w:r>
          </w:p>
        </w:tc>
        <w:tc>
          <w:tcPr>
            <w:tcW w:w="885" w:type="pct"/>
          </w:tcPr>
          <w:p w14:paraId="03C3F146" w14:textId="0601861D" w:rsidR="00000B4B" w:rsidRPr="00000B4B" w:rsidRDefault="00000B4B" w:rsidP="00F9118F">
            <w:pPr>
              <w:spacing w:after="0" w:line="276" w:lineRule="auto"/>
              <w:jc w:val="center"/>
              <w:rPr>
                <w:sz w:val="20"/>
                <w:szCs w:val="18"/>
              </w:rPr>
            </w:pPr>
            <w:r w:rsidRPr="00000B4B">
              <w:rPr>
                <w:sz w:val="20"/>
                <w:szCs w:val="18"/>
              </w:rPr>
              <w:t>$2,948,607</w:t>
            </w:r>
          </w:p>
        </w:tc>
        <w:tc>
          <w:tcPr>
            <w:tcW w:w="897" w:type="pct"/>
          </w:tcPr>
          <w:p w14:paraId="0F0BC5DA" w14:textId="0382B7EB" w:rsidR="00000B4B" w:rsidRPr="00000B4B" w:rsidRDefault="00000B4B" w:rsidP="00F9118F">
            <w:pPr>
              <w:spacing w:after="0" w:line="276" w:lineRule="auto"/>
              <w:jc w:val="center"/>
              <w:rPr>
                <w:sz w:val="20"/>
                <w:szCs w:val="18"/>
              </w:rPr>
            </w:pPr>
            <w:r w:rsidRPr="00000B4B">
              <w:rPr>
                <w:sz w:val="20"/>
                <w:szCs w:val="18"/>
              </w:rPr>
              <w:t>-</w:t>
            </w:r>
          </w:p>
        </w:tc>
        <w:tc>
          <w:tcPr>
            <w:tcW w:w="734" w:type="pct"/>
          </w:tcPr>
          <w:p w14:paraId="51B1F13E" w14:textId="48D65A62" w:rsidR="00000B4B" w:rsidRPr="00000B4B" w:rsidRDefault="00000B4B" w:rsidP="00F9118F">
            <w:pPr>
              <w:spacing w:after="0" w:line="276" w:lineRule="auto"/>
              <w:jc w:val="center"/>
              <w:rPr>
                <w:sz w:val="20"/>
                <w:szCs w:val="18"/>
              </w:rPr>
            </w:pPr>
            <w:r w:rsidRPr="00000B4B">
              <w:rPr>
                <w:sz w:val="20"/>
                <w:szCs w:val="18"/>
              </w:rPr>
              <w:t>-</w:t>
            </w:r>
          </w:p>
        </w:tc>
        <w:tc>
          <w:tcPr>
            <w:tcW w:w="784" w:type="pct"/>
          </w:tcPr>
          <w:p w14:paraId="6504841A" w14:textId="619F5E2A" w:rsidR="00000B4B" w:rsidRPr="00000B4B" w:rsidRDefault="00000B4B" w:rsidP="00F9118F">
            <w:pPr>
              <w:spacing w:after="0" w:line="276" w:lineRule="auto"/>
              <w:jc w:val="center"/>
              <w:rPr>
                <w:sz w:val="20"/>
                <w:szCs w:val="18"/>
              </w:rPr>
            </w:pPr>
            <w:r w:rsidRPr="00000B4B">
              <w:rPr>
                <w:sz w:val="20"/>
                <w:szCs w:val="18"/>
              </w:rPr>
              <w:t>-</w:t>
            </w:r>
          </w:p>
        </w:tc>
        <w:tc>
          <w:tcPr>
            <w:tcW w:w="1071" w:type="pct"/>
          </w:tcPr>
          <w:p w14:paraId="3280C871" w14:textId="62563B4A" w:rsidR="00000B4B" w:rsidRPr="00000B4B" w:rsidRDefault="00000B4B" w:rsidP="00F9118F">
            <w:pPr>
              <w:spacing w:after="0" w:line="276" w:lineRule="auto"/>
              <w:jc w:val="center"/>
              <w:rPr>
                <w:b/>
                <w:sz w:val="20"/>
                <w:szCs w:val="18"/>
              </w:rPr>
            </w:pPr>
            <w:r w:rsidRPr="00000B4B">
              <w:rPr>
                <w:b/>
                <w:bCs/>
                <w:sz w:val="20"/>
                <w:szCs w:val="18"/>
              </w:rPr>
              <w:t>$2,948,607</w:t>
            </w:r>
          </w:p>
        </w:tc>
      </w:tr>
      <w:tr w:rsidR="005366D0" w:rsidRPr="00DA3A94" w14:paraId="1796795A" w14:textId="77777777" w:rsidTr="00F9118F">
        <w:trPr>
          <w:trHeight w:val="288"/>
        </w:trPr>
        <w:tc>
          <w:tcPr>
            <w:tcW w:w="629" w:type="pct"/>
          </w:tcPr>
          <w:p w14:paraId="51EBDE38" w14:textId="77777777" w:rsidR="00000B4B" w:rsidRPr="00000B4B" w:rsidRDefault="00000B4B" w:rsidP="00F9118F">
            <w:pPr>
              <w:spacing w:after="0" w:line="276" w:lineRule="auto"/>
              <w:rPr>
                <w:sz w:val="20"/>
                <w:szCs w:val="18"/>
              </w:rPr>
            </w:pPr>
            <w:r w:rsidRPr="00000B4B">
              <w:rPr>
                <w:sz w:val="20"/>
                <w:szCs w:val="18"/>
              </w:rPr>
              <w:t>Option 4</w:t>
            </w:r>
          </w:p>
        </w:tc>
        <w:tc>
          <w:tcPr>
            <w:tcW w:w="885" w:type="pct"/>
          </w:tcPr>
          <w:p w14:paraId="60B8D8DE" w14:textId="212D6FFC" w:rsidR="00000B4B" w:rsidRPr="00000B4B" w:rsidRDefault="00000B4B" w:rsidP="00F9118F">
            <w:pPr>
              <w:spacing w:after="0" w:line="276" w:lineRule="auto"/>
              <w:jc w:val="center"/>
              <w:rPr>
                <w:sz w:val="20"/>
                <w:szCs w:val="18"/>
              </w:rPr>
            </w:pPr>
            <w:r w:rsidRPr="00000B4B">
              <w:rPr>
                <w:sz w:val="20"/>
                <w:szCs w:val="18"/>
              </w:rPr>
              <w:t>$2,166,640</w:t>
            </w:r>
          </w:p>
        </w:tc>
        <w:tc>
          <w:tcPr>
            <w:tcW w:w="897" w:type="pct"/>
          </w:tcPr>
          <w:p w14:paraId="2E64A447" w14:textId="672DD1D0" w:rsidR="00000B4B" w:rsidRPr="00000B4B" w:rsidRDefault="00000B4B" w:rsidP="00F9118F">
            <w:pPr>
              <w:spacing w:after="0" w:line="276" w:lineRule="auto"/>
              <w:jc w:val="center"/>
              <w:rPr>
                <w:sz w:val="20"/>
                <w:szCs w:val="18"/>
              </w:rPr>
            </w:pPr>
            <w:r w:rsidRPr="00000B4B">
              <w:rPr>
                <w:sz w:val="20"/>
                <w:szCs w:val="18"/>
              </w:rPr>
              <w:t>-</w:t>
            </w:r>
          </w:p>
        </w:tc>
        <w:tc>
          <w:tcPr>
            <w:tcW w:w="734" w:type="pct"/>
          </w:tcPr>
          <w:p w14:paraId="65FEF349" w14:textId="63D70C66" w:rsidR="00000B4B" w:rsidRPr="00000B4B" w:rsidRDefault="00000B4B" w:rsidP="00F9118F">
            <w:pPr>
              <w:spacing w:after="0" w:line="276" w:lineRule="auto"/>
              <w:jc w:val="center"/>
              <w:rPr>
                <w:sz w:val="20"/>
                <w:szCs w:val="18"/>
              </w:rPr>
            </w:pPr>
            <w:r w:rsidRPr="00000B4B">
              <w:rPr>
                <w:sz w:val="20"/>
                <w:szCs w:val="18"/>
              </w:rPr>
              <w:t>-</w:t>
            </w:r>
          </w:p>
        </w:tc>
        <w:tc>
          <w:tcPr>
            <w:tcW w:w="784" w:type="pct"/>
          </w:tcPr>
          <w:p w14:paraId="26E05899" w14:textId="0B1B448E" w:rsidR="00000B4B" w:rsidRPr="00000B4B" w:rsidRDefault="00000B4B" w:rsidP="00F9118F">
            <w:pPr>
              <w:spacing w:after="0" w:line="276" w:lineRule="auto"/>
              <w:jc w:val="center"/>
              <w:rPr>
                <w:sz w:val="20"/>
                <w:szCs w:val="18"/>
              </w:rPr>
            </w:pPr>
            <w:r w:rsidRPr="00000B4B">
              <w:rPr>
                <w:sz w:val="20"/>
                <w:szCs w:val="18"/>
              </w:rPr>
              <w:t>-</w:t>
            </w:r>
          </w:p>
        </w:tc>
        <w:tc>
          <w:tcPr>
            <w:tcW w:w="1071" w:type="pct"/>
          </w:tcPr>
          <w:p w14:paraId="00C819E8" w14:textId="4C039E37" w:rsidR="00000B4B" w:rsidRPr="00000B4B" w:rsidRDefault="00000B4B" w:rsidP="00F9118F">
            <w:pPr>
              <w:spacing w:after="0" w:line="276" w:lineRule="auto"/>
              <w:jc w:val="center"/>
              <w:rPr>
                <w:b/>
                <w:sz w:val="20"/>
                <w:szCs w:val="18"/>
              </w:rPr>
            </w:pPr>
            <w:r w:rsidRPr="00000B4B">
              <w:rPr>
                <w:b/>
                <w:bCs/>
                <w:sz w:val="20"/>
                <w:szCs w:val="18"/>
              </w:rPr>
              <w:t>$2,166,640</w:t>
            </w:r>
          </w:p>
        </w:tc>
      </w:tr>
      <w:tr w:rsidR="007F50FD" w:rsidRPr="00DA3A94" w14:paraId="7F6EE9D0" w14:textId="77777777" w:rsidTr="00A40618">
        <w:trPr>
          <w:trHeight w:val="288"/>
        </w:trPr>
        <w:tc>
          <w:tcPr>
            <w:tcW w:w="629" w:type="pct"/>
          </w:tcPr>
          <w:p w14:paraId="02BA41A6" w14:textId="77777777" w:rsidR="007F50FD" w:rsidRPr="00000B4B" w:rsidRDefault="007F50FD" w:rsidP="007F50FD">
            <w:pPr>
              <w:spacing w:after="0" w:line="276" w:lineRule="auto"/>
              <w:rPr>
                <w:b/>
                <w:sz w:val="20"/>
                <w:szCs w:val="18"/>
              </w:rPr>
            </w:pPr>
            <w:r w:rsidRPr="00000B4B">
              <w:rPr>
                <w:b/>
                <w:sz w:val="20"/>
                <w:szCs w:val="18"/>
              </w:rPr>
              <w:t xml:space="preserve">Total </w:t>
            </w:r>
          </w:p>
        </w:tc>
        <w:tc>
          <w:tcPr>
            <w:tcW w:w="885" w:type="pct"/>
            <w:vAlign w:val="center"/>
          </w:tcPr>
          <w:p w14:paraId="3E753504" w14:textId="18F6C3E1" w:rsidR="007F50FD" w:rsidRPr="00333EC1" w:rsidRDefault="007F50FD" w:rsidP="007F50FD">
            <w:pPr>
              <w:spacing w:after="0" w:line="276" w:lineRule="auto"/>
              <w:jc w:val="center"/>
              <w:rPr>
                <w:b/>
                <w:bCs/>
                <w:sz w:val="20"/>
                <w:szCs w:val="18"/>
              </w:rPr>
            </w:pPr>
            <w:r w:rsidRPr="00333EC1">
              <w:rPr>
                <w:rFonts w:cs="Arial"/>
                <w:b/>
                <w:bCs/>
                <w:color w:val="000000"/>
                <w:sz w:val="20"/>
                <w:szCs w:val="20"/>
              </w:rPr>
              <w:t>$32,473,302</w:t>
            </w:r>
          </w:p>
        </w:tc>
        <w:tc>
          <w:tcPr>
            <w:tcW w:w="897" w:type="pct"/>
            <w:vAlign w:val="center"/>
          </w:tcPr>
          <w:p w14:paraId="317FA306" w14:textId="4DC55206" w:rsidR="007F50FD" w:rsidRPr="00333EC1" w:rsidRDefault="007F50FD" w:rsidP="007F50FD">
            <w:pPr>
              <w:spacing w:after="0" w:line="276" w:lineRule="auto"/>
              <w:jc w:val="center"/>
              <w:rPr>
                <w:b/>
                <w:bCs/>
                <w:sz w:val="20"/>
                <w:szCs w:val="18"/>
              </w:rPr>
            </w:pPr>
            <w:r w:rsidRPr="00333EC1">
              <w:rPr>
                <w:rFonts w:cs="Arial"/>
                <w:b/>
                <w:bCs/>
                <w:color w:val="000000"/>
                <w:sz w:val="20"/>
                <w:szCs w:val="20"/>
              </w:rPr>
              <w:t>$15,838,874</w:t>
            </w:r>
          </w:p>
        </w:tc>
        <w:tc>
          <w:tcPr>
            <w:tcW w:w="734" w:type="pct"/>
            <w:vAlign w:val="center"/>
          </w:tcPr>
          <w:p w14:paraId="089DF7B2" w14:textId="25E899DE" w:rsidR="007F50FD" w:rsidRPr="00333EC1" w:rsidRDefault="007F50FD" w:rsidP="007F50FD">
            <w:pPr>
              <w:spacing w:after="0" w:line="276" w:lineRule="auto"/>
              <w:jc w:val="center"/>
              <w:rPr>
                <w:b/>
                <w:bCs/>
                <w:sz w:val="20"/>
                <w:szCs w:val="18"/>
              </w:rPr>
            </w:pPr>
            <w:r w:rsidRPr="00333EC1">
              <w:rPr>
                <w:rFonts w:cs="Arial"/>
                <w:b/>
                <w:bCs/>
                <w:color w:val="000000"/>
                <w:sz w:val="20"/>
                <w:szCs w:val="20"/>
              </w:rPr>
              <w:t>$3,420,473</w:t>
            </w:r>
          </w:p>
        </w:tc>
        <w:tc>
          <w:tcPr>
            <w:tcW w:w="784" w:type="pct"/>
            <w:vAlign w:val="center"/>
          </w:tcPr>
          <w:p w14:paraId="2889EF62" w14:textId="28227295" w:rsidR="007F50FD" w:rsidRPr="00333EC1" w:rsidRDefault="007F50FD" w:rsidP="007F50FD">
            <w:pPr>
              <w:spacing w:after="0" w:line="276" w:lineRule="auto"/>
              <w:jc w:val="center"/>
              <w:rPr>
                <w:b/>
                <w:bCs/>
                <w:sz w:val="20"/>
                <w:szCs w:val="18"/>
              </w:rPr>
            </w:pPr>
            <w:r w:rsidRPr="00333EC1">
              <w:rPr>
                <w:rFonts w:cs="Arial"/>
                <w:b/>
                <w:bCs/>
                <w:color w:val="000000"/>
                <w:sz w:val="20"/>
                <w:szCs w:val="20"/>
              </w:rPr>
              <w:t>$4,799,659</w:t>
            </w:r>
          </w:p>
        </w:tc>
        <w:tc>
          <w:tcPr>
            <w:tcW w:w="1071" w:type="pct"/>
            <w:vAlign w:val="center"/>
          </w:tcPr>
          <w:p w14:paraId="2F342B53" w14:textId="6763A82C" w:rsidR="007F50FD" w:rsidRPr="007F50FD" w:rsidRDefault="007F50FD" w:rsidP="007F50FD">
            <w:pPr>
              <w:spacing w:after="0" w:line="276" w:lineRule="auto"/>
              <w:jc w:val="center"/>
              <w:rPr>
                <w:rFonts w:cs="Arial"/>
                <w:b/>
                <w:bCs/>
                <w:color w:val="000000"/>
                <w:szCs w:val="22"/>
              </w:rPr>
            </w:pPr>
            <w:r w:rsidRPr="007F50FD">
              <w:rPr>
                <w:rFonts w:cs="Arial"/>
                <w:b/>
                <w:bCs/>
                <w:color w:val="000000"/>
                <w:sz w:val="20"/>
                <w:szCs w:val="20"/>
              </w:rPr>
              <w:t>$56,532,306</w:t>
            </w:r>
          </w:p>
        </w:tc>
      </w:tr>
    </w:tbl>
    <w:p w14:paraId="5A05B6CE" w14:textId="214C1741" w:rsidR="00F54CED" w:rsidRDefault="009A72C1" w:rsidP="009A72C1">
      <w:pPr>
        <w:pStyle w:val="Source-CSR"/>
      </w:pPr>
      <w:r>
        <w:t>Note: Numbers may not sum due to rounding.</w:t>
      </w:r>
    </w:p>
    <w:p w14:paraId="0520B007" w14:textId="02EDB43E" w:rsidR="00F54CED" w:rsidRDefault="00F54CED" w:rsidP="00F54CED">
      <w:r>
        <w:t>Th</w:t>
      </w:r>
      <w:r w:rsidR="009F58B7">
        <w:t xml:space="preserve">is regulatory burden </w:t>
      </w:r>
      <w:r w:rsidR="00972DDC">
        <w:t xml:space="preserve">is split across Australian states and territories in a way that is roughly proportionate to the number of </w:t>
      </w:r>
      <w:r w:rsidR="00430246">
        <w:t xml:space="preserve">education and care services in each state and territory. Table </w:t>
      </w:r>
      <w:r w:rsidR="0090251C">
        <w:t>11.2</w:t>
      </w:r>
      <w:r w:rsidR="00430246">
        <w:t xml:space="preserve"> demonstrates the estimated monetised cost, by jurisdiction, noting that actual costs would be higher once the costs that could not be monetised </w:t>
      </w:r>
      <w:r w:rsidR="003346BD">
        <w:t>are accounted for.</w:t>
      </w:r>
    </w:p>
    <w:p w14:paraId="26F9A375" w14:textId="6267282E" w:rsidR="00E672D3" w:rsidRDefault="00E672D3" w:rsidP="00E672D3">
      <w:pPr>
        <w:pStyle w:val="Caption"/>
      </w:pPr>
      <w:bookmarkStart w:id="234" w:name="_Toc205885001"/>
      <w:r w:rsidRPr="001D3080">
        <w:t xml:space="preserve">Table </w:t>
      </w:r>
      <w:r>
        <w:t>11</w:t>
      </w:r>
      <w:r w:rsidRPr="001D3080">
        <w:t>.</w:t>
      </w:r>
      <w:r>
        <w:t>2</w:t>
      </w:r>
      <w:r w:rsidRPr="001D3080">
        <w:t xml:space="preserve">: </w:t>
      </w:r>
      <w:r w:rsidR="0090251C">
        <w:t>Cost by jurisdiction – all monetised recommended options</w:t>
      </w:r>
      <w:r>
        <w:t>, NPV 2025 to 2034, 7% discount rate</w:t>
      </w:r>
      <w:bookmarkEnd w:id="234"/>
    </w:p>
    <w:tbl>
      <w:tblPr>
        <w:tblW w:w="5000" w:type="pct"/>
        <w:tblLayout w:type="fixed"/>
        <w:tblLook w:val="04A0" w:firstRow="1" w:lastRow="0" w:firstColumn="1" w:lastColumn="0" w:noHBand="0" w:noVBand="1"/>
        <w:tblCaption w:val="Table 11.2: Cost by jurisdiction – all monetised recommended options, NPV 2025 to 2034, 7% discount rate"/>
        <w:tblDescription w:val="This table outlines the cost by jurisdiction for all monetised recommended options, NPV 2025 to 2034, 7% discount rate"/>
      </w:tblPr>
      <w:tblGrid>
        <w:gridCol w:w="636"/>
        <w:gridCol w:w="1906"/>
        <w:gridCol w:w="1276"/>
        <w:gridCol w:w="1559"/>
        <w:gridCol w:w="1134"/>
        <w:gridCol w:w="1134"/>
        <w:gridCol w:w="1355"/>
      </w:tblGrid>
      <w:tr w:rsidR="0055240C" w:rsidRPr="003346BD" w14:paraId="7D840E2D" w14:textId="77777777" w:rsidTr="0055240C">
        <w:trPr>
          <w:trHeight w:val="1147"/>
          <w:tblHeader/>
        </w:trPr>
        <w:tc>
          <w:tcPr>
            <w:tcW w:w="353" w:type="pct"/>
            <w:vMerge w:val="restart"/>
            <w:tcBorders>
              <w:top w:val="single" w:sz="8" w:space="0" w:color="auto"/>
              <w:left w:val="single" w:sz="8" w:space="0" w:color="auto"/>
              <w:bottom w:val="single" w:sz="8" w:space="0" w:color="000000"/>
              <w:right w:val="single" w:sz="8" w:space="0" w:color="auto"/>
            </w:tcBorders>
            <w:shd w:val="clear" w:color="auto" w:fill="14233C" w:themeFill="text2"/>
            <w:vAlign w:val="center"/>
            <w:hideMark/>
          </w:tcPr>
          <w:p w14:paraId="7157F337"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 </w:t>
            </w:r>
          </w:p>
        </w:tc>
        <w:tc>
          <w:tcPr>
            <w:tcW w:w="1059" w:type="pct"/>
            <w:tcBorders>
              <w:top w:val="single" w:sz="8" w:space="0" w:color="auto"/>
              <w:left w:val="nil"/>
              <w:bottom w:val="single" w:sz="8" w:space="0" w:color="auto"/>
              <w:right w:val="single" w:sz="8" w:space="0" w:color="auto"/>
            </w:tcBorders>
            <w:shd w:val="clear" w:color="auto" w:fill="14233C" w:themeFill="text2"/>
            <w:vAlign w:val="center"/>
            <w:hideMark/>
          </w:tcPr>
          <w:p w14:paraId="561A8016"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Managing the use of digital devices</w:t>
            </w:r>
          </w:p>
        </w:tc>
        <w:tc>
          <w:tcPr>
            <w:tcW w:w="1575" w:type="pct"/>
            <w:gridSpan w:val="2"/>
            <w:tcBorders>
              <w:top w:val="single" w:sz="8" w:space="0" w:color="auto"/>
              <w:left w:val="nil"/>
              <w:bottom w:val="single" w:sz="8" w:space="0" w:color="auto"/>
              <w:right w:val="single" w:sz="8" w:space="0" w:color="000000"/>
            </w:tcBorders>
            <w:shd w:val="clear" w:color="auto" w:fill="14233C" w:themeFill="text2"/>
            <w:vAlign w:val="center"/>
            <w:hideMark/>
          </w:tcPr>
          <w:p w14:paraId="51B0B69D"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Introducing mandatory child safety training</w:t>
            </w:r>
          </w:p>
        </w:tc>
        <w:tc>
          <w:tcPr>
            <w:tcW w:w="1260" w:type="pct"/>
            <w:gridSpan w:val="2"/>
            <w:tcBorders>
              <w:top w:val="single" w:sz="8" w:space="0" w:color="auto"/>
              <w:left w:val="nil"/>
              <w:bottom w:val="single" w:sz="8" w:space="0" w:color="auto"/>
              <w:right w:val="single" w:sz="8" w:space="0" w:color="000000"/>
            </w:tcBorders>
            <w:shd w:val="clear" w:color="auto" w:fill="14233C" w:themeFill="text2"/>
            <w:vAlign w:val="center"/>
            <w:hideMark/>
          </w:tcPr>
          <w:p w14:paraId="035A9116"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Requiring approved providers to assess not just the FDC residence, but areas near the residence</w:t>
            </w:r>
          </w:p>
        </w:tc>
        <w:tc>
          <w:tcPr>
            <w:tcW w:w="753" w:type="pct"/>
            <w:vMerge w:val="restart"/>
            <w:tcBorders>
              <w:top w:val="single" w:sz="8" w:space="0" w:color="auto"/>
              <w:left w:val="single" w:sz="8" w:space="0" w:color="auto"/>
              <w:bottom w:val="single" w:sz="8" w:space="0" w:color="000000"/>
              <w:right w:val="single" w:sz="8" w:space="0" w:color="auto"/>
            </w:tcBorders>
            <w:shd w:val="clear" w:color="auto" w:fill="14233C" w:themeFill="text2"/>
            <w:vAlign w:val="center"/>
            <w:hideMark/>
          </w:tcPr>
          <w:p w14:paraId="447CA99F"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Total</w:t>
            </w:r>
          </w:p>
        </w:tc>
      </w:tr>
      <w:tr w:rsidR="0055240C" w:rsidRPr="003346BD" w14:paraId="4902315C" w14:textId="77777777" w:rsidTr="0055240C">
        <w:trPr>
          <w:trHeight w:val="579"/>
          <w:tblHeader/>
        </w:trPr>
        <w:tc>
          <w:tcPr>
            <w:tcW w:w="353" w:type="pct"/>
            <w:vMerge/>
            <w:tcBorders>
              <w:top w:val="single" w:sz="8" w:space="0" w:color="auto"/>
              <w:left w:val="single" w:sz="8" w:space="0" w:color="auto"/>
              <w:bottom w:val="single" w:sz="8" w:space="0" w:color="000000"/>
              <w:right w:val="single" w:sz="8" w:space="0" w:color="auto"/>
            </w:tcBorders>
            <w:shd w:val="clear" w:color="auto" w:fill="14233C" w:themeFill="text2"/>
            <w:vAlign w:val="center"/>
            <w:hideMark/>
          </w:tcPr>
          <w:p w14:paraId="4E20D73F" w14:textId="77777777" w:rsidR="003346BD" w:rsidRPr="003346BD" w:rsidRDefault="003346BD" w:rsidP="00F9118F">
            <w:pPr>
              <w:spacing w:after="0" w:line="276" w:lineRule="auto"/>
              <w:rPr>
                <w:rFonts w:eastAsia="Times New Roman" w:cs="Arial"/>
                <w:b/>
                <w:bCs/>
                <w:color w:val="FFFFFF" w:themeColor="background1"/>
                <w:sz w:val="20"/>
                <w:szCs w:val="20"/>
                <w:lang w:eastAsia="en-AU"/>
              </w:rPr>
            </w:pPr>
          </w:p>
        </w:tc>
        <w:tc>
          <w:tcPr>
            <w:tcW w:w="1059" w:type="pct"/>
            <w:tcBorders>
              <w:top w:val="nil"/>
              <w:left w:val="nil"/>
              <w:bottom w:val="single" w:sz="8" w:space="0" w:color="auto"/>
              <w:right w:val="single" w:sz="8" w:space="0" w:color="auto"/>
            </w:tcBorders>
            <w:shd w:val="clear" w:color="auto" w:fill="14233C" w:themeFill="text2"/>
            <w:vAlign w:val="center"/>
            <w:hideMark/>
          </w:tcPr>
          <w:p w14:paraId="5CEE7250"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Options 2 and 3</w:t>
            </w:r>
          </w:p>
        </w:tc>
        <w:tc>
          <w:tcPr>
            <w:tcW w:w="709" w:type="pct"/>
            <w:tcBorders>
              <w:top w:val="nil"/>
              <w:left w:val="nil"/>
              <w:bottom w:val="single" w:sz="8" w:space="0" w:color="auto"/>
              <w:right w:val="single" w:sz="8" w:space="0" w:color="auto"/>
            </w:tcBorders>
            <w:shd w:val="clear" w:color="auto" w:fill="14233C" w:themeFill="text2"/>
            <w:vAlign w:val="center"/>
            <w:hideMark/>
          </w:tcPr>
          <w:p w14:paraId="42A44C84"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Option 4</w:t>
            </w:r>
          </w:p>
        </w:tc>
        <w:tc>
          <w:tcPr>
            <w:tcW w:w="866" w:type="pct"/>
            <w:tcBorders>
              <w:top w:val="nil"/>
              <w:left w:val="nil"/>
              <w:bottom w:val="single" w:sz="8" w:space="0" w:color="auto"/>
              <w:right w:val="single" w:sz="8" w:space="0" w:color="auto"/>
            </w:tcBorders>
            <w:shd w:val="clear" w:color="auto" w:fill="14233C" w:themeFill="text2"/>
            <w:vAlign w:val="center"/>
            <w:hideMark/>
          </w:tcPr>
          <w:p w14:paraId="34183B8C"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Option 5</w:t>
            </w:r>
          </w:p>
        </w:tc>
        <w:tc>
          <w:tcPr>
            <w:tcW w:w="630" w:type="pct"/>
            <w:tcBorders>
              <w:top w:val="nil"/>
              <w:left w:val="nil"/>
              <w:bottom w:val="single" w:sz="8" w:space="0" w:color="auto"/>
              <w:right w:val="single" w:sz="8" w:space="0" w:color="auto"/>
            </w:tcBorders>
            <w:shd w:val="clear" w:color="auto" w:fill="14233C" w:themeFill="text2"/>
            <w:vAlign w:val="center"/>
            <w:hideMark/>
          </w:tcPr>
          <w:p w14:paraId="20B12A4D"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Option 3</w:t>
            </w:r>
          </w:p>
        </w:tc>
        <w:tc>
          <w:tcPr>
            <w:tcW w:w="630" w:type="pct"/>
            <w:tcBorders>
              <w:top w:val="nil"/>
              <w:left w:val="nil"/>
              <w:bottom w:val="single" w:sz="8" w:space="0" w:color="auto"/>
              <w:right w:val="single" w:sz="8" w:space="0" w:color="auto"/>
            </w:tcBorders>
            <w:shd w:val="clear" w:color="auto" w:fill="14233C" w:themeFill="text2"/>
            <w:vAlign w:val="center"/>
            <w:hideMark/>
          </w:tcPr>
          <w:p w14:paraId="47B0878A" w14:textId="77777777" w:rsidR="003346BD" w:rsidRPr="003346BD" w:rsidRDefault="003346BD" w:rsidP="00F9118F">
            <w:pPr>
              <w:spacing w:after="0" w:line="276" w:lineRule="auto"/>
              <w:jc w:val="center"/>
              <w:rPr>
                <w:rFonts w:eastAsia="Times New Roman" w:cs="Arial"/>
                <w:b/>
                <w:bCs/>
                <w:color w:val="FFFFFF" w:themeColor="background1"/>
                <w:sz w:val="20"/>
                <w:szCs w:val="20"/>
                <w:lang w:eastAsia="en-AU"/>
              </w:rPr>
            </w:pPr>
            <w:r w:rsidRPr="003346BD">
              <w:rPr>
                <w:rFonts w:eastAsia="Times New Roman" w:cs="Arial"/>
                <w:b/>
                <w:bCs/>
                <w:color w:val="FFFFFF" w:themeColor="background1"/>
                <w:sz w:val="20"/>
                <w:szCs w:val="20"/>
                <w:lang w:eastAsia="en-AU"/>
              </w:rPr>
              <w:t>Option 4</w:t>
            </w:r>
          </w:p>
        </w:tc>
        <w:tc>
          <w:tcPr>
            <w:tcW w:w="753" w:type="pct"/>
            <w:vMerge/>
            <w:tcBorders>
              <w:top w:val="single" w:sz="8" w:space="0" w:color="auto"/>
              <w:left w:val="single" w:sz="8" w:space="0" w:color="auto"/>
              <w:bottom w:val="single" w:sz="8" w:space="0" w:color="000000"/>
              <w:right w:val="single" w:sz="8" w:space="0" w:color="auto"/>
            </w:tcBorders>
            <w:shd w:val="clear" w:color="auto" w:fill="14233C" w:themeFill="text2"/>
            <w:vAlign w:val="center"/>
            <w:hideMark/>
          </w:tcPr>
          <w:p w14:paraId="5A4CA27B" w14:textId="77777777" w:rsidR="003346BD" w:rsidRPr="003346BD" w:rsidRDefault="003346BD" w:rsidP="00F9118F">
            <w:pPr>
              <w:spacing w:after="0" w:line="276" w:lineRule="auto"/>
              <w:rPr>
                <w:rFonts w:eastAsia="Times New Roman" w:cs="Arial"/>
                <w:b/>
                <w:bCs/>
                <w:color w:val="FFFFFF" w:themeColor="background1"/>
                <w:sz w:val="20"/>
                <w:szCs w:val="20"/>
                <w:lang w:eastAsia="en-AU"/>
              </w:rPr>
            </w:pPr>
          </w:p>
        </w:tc>
      </w:tr>
      <w:tr w:rsidR="007664F8" w:rsidRPr="003346BD" w14:paraId="7F857CD7" w14:textId="77777777" w:rsidTr="0055240C">
        <w:trPr>
          <w:trHeight w:val="295"/>
        </w:trPr>
        <w:tc>
          <w:tcPr>
            <w:tcW w:w="353" w:type="pct"/>
            <w:tcBorders>
              <w:top w:val="nil"/>
              <w:left w:val="single" w:sz="8" w:space="0" w:color="auto"/>
              <w:bottom w:val="single" w:sz="8" w:space="0" w:color="auto"/>
              <w:right w:val="single" w:sz="8" w:space="0" w:color="auto"/>
            </w:tcBorders>
            <w:vAlign w:val="center"/>
            <w:hideMark/>
          </w:tcPr>
          <w:p w14:paraId="742C66BE"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NSW</w:t>
            </w:r>
          </w:p>
        </w:tc>
        <w:tc>
          <w:tcPr>
            <w:tcW w:w="1059" w:type="pct"/>
            <w:tcBorders>
              <w:top w:val="nil"/>
              <w:left w:val="nil"/>
              <w:bottom w:val="single" w:sz="8" w:space="0" w:color="auto"/>
              <w:right w:val="single" w:sz="8" w:space="0" w:color="auto"/>
            </w:tcBorders>
            <w:vAlign w:val="center"/>
            <w:hideMark/>
          </w:tcPr>
          <w:p w14:paraId="666E7C6F"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$13,033,706</w:t>
            </w:r>
          </w:p>
        </w:tc>
        <w:tc>
          <w:tcPr>
            <w:tcW w:w="709" w:type="pct"/>
            <w:tcBorders>
              <w:top w:val="nil"/>
              <w:left w:val="nil"/>
              <w:bottom w:val="single" w:sz="8" w:space="0" w:color="auto"/>
              <w:right w:val="single" w:sz="8" w:space="0" w:color="auto"/>
            </w:tcBorders>
            <w:vAlign w:val="center"/>
            <w:hideMark/>
          </w:tcPr>
          <w:p w14:paraId="37A8A071" w14:textId="3DB93C8A"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$3,197,068</w:t>
            </w:r>
          </w:p>
        </w:tc>
        <w:tc>
          <w:tcPr>
            <w:tcW w:w="866" w:type="pct"/>
            <w:tcBorders>
              <w:top w:val="nil"/>
              <w:left w:val="nil"/>
              <w:bottom w:val="single" w:sz="8" w:space="0" w:color="auto"/>
              <w:right w:val="single" w:sz="8" w:space="0" w:color="auto"/>
            </w:tcBorders>
            <w:vAlign w:val="center"/>
            <w:hideMark/>
          </w:tcPr>
          <w:p w14:paraId="5B1FDB07" w14:textId="0654589F"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$263,450</w:t>
            </w:r>
          </w:p>
        </w:tc>
        <w:tc>
          <w:tcPr>
            <w:tcW w:w="630" w:type="pct"/>
            <w:tcBorders>
              <w:top w:val="nil"/>
              <w:left w:val="nil"/>
              <w:bottom w:val="single" w:sz="8" w:space="0" w:color="auto"/>
              <w:right w:val="single" w:sz="8" w:space="0" w:color="auto"/>
            </w:tcBorders>
            <w:vAlign w:val="center"/>
            <w:hideMark/>
          </w:tcPr>
          <w:p w14:paraId="70227C6C"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$880,288</w:t>
            </w:r>
          </w:p>
        </w:tc>
        <w:tc>
          <w:tcPr>
            <w:tcW w:w="630" w:type="pct"/>
            <w:tcBorders>
              <w:top w:val="nil"/>
              <w:left w:val="nil"/>
              <w:bottom w:val="single" w:sz="8" w:space="0" w:color="auto"/>
              <w:right w:val="single" w:sz="8" w:space="0" w:color="auto"/>
            </w:tcBorders>
            <w:vAlign w:val="center"/>
            <w:hideMark/>
          </w:tcPr>
          <w:p w14:paraId="760C361D"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$646,837</w:t>
            </w:r>
          </w:p>
        </w:tc>
        <w:tc>
          <w:tcPr>
            <w:tcW w:w="753" w:type="pct"/>
            <w:tcBorders>
              <w:top w:val="nil"/>
              <w:left w:val="nil"/>
              <w:bottom w:val="single" w:sz="8" w:space="0" w:color="auto"/>
              <w:right w:val="single" w:sz="8" w:space="0" w:color="auto"/>
            </w:tcBorders>
            <w:vAlign w:val="center"/>
            <w:hideMark/>
          </w:tcPr>
          <w:p w14:paraId="4D84F28A" w14:textId="6CD8811C"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$18,021,349</w:t>
            </w:r>
          </w:p>
        </w:tc>
      </w:tr>
      <w:tr w:rsidR="007664F8" w:rsidRPr="003346BD" w14:paraId="76750816" w14:textId="77777777" w:rsidTr="0055240C">
        <w:trPr>
          <w:trHeight w:val="295"/>
        </w:trPr>
        <w:tc>
          <w:tcPr>
            <w:tcW w:w="353" w:type="pct"/>
            <w:tcBorders>
              <w:top w:val="nil"/>
              <w:left w:val="single" w:sz="8" w:space="0" w:color="auto"/>
              <w:bottom w:val="single" w:sz="8" w:space="0" w:color="auto"/>
              <w:right w:val="single" w:sz="8" w:space="0" w:color="auto"/>
            </w:tcBorders>
            <w:vAlign w:val="center"/>
            <w:hideMark/>
          </w:tcPr>
          <w:p w14:paraId="06028644"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VIC</w:t>
            </w:r>
          </w:p>
        </w:tc>
        <w:tc>
          <w:tcPr>
            <w:tcW w:w="1059" w:type="pct"/>
            <w:tcBorders>
              <w:top w:val="nil"/>
              <w:left w:val="nil"/>
              <w:bottom w:val="single" w:sz="8" w:space="0" w:color="auto"/>
              <w:right w:val="single" w:sz="8" w:space="0" w:color="auto"/>
            </w:tcBorders>
            <w:vAlign w:val="center"/>
            <w:hideMark/>
          </w:tcPr>
          <w:p w14:paraId="29E593D5"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$12,207,421</w:t>
            </w:r>
          </w:p>
        </w:tc>
        <w:tc>
          <w:tcPr>
            <w:tcW w:w="709" w:type="pct"/>
            <w:tcBorders>
              <w:top w:val="nil"/>
              <w:left w:val="nil"/>
              <w:bottom w:val="single" w:sz="8" w:space="0" w:color="auto"/>
              <w:right w:val="single" w:sz="8" w:space="0" w:color="auto"/>
            </w:tcBorders>
            <w:vAlign w:val="center"/>
            <w:hideMark/>
          </w:tcPr>
          <w:p w14:paraId="67650BE8" w14:textId="48DDF599"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$1,738,242</w:t>
            </w:r>
          </w:p>
        </w:tc>
        <w:tc>
          <w:tcPr>
            <w:tcW w:w="866" w:type="pct"/>
            <w:tcBorders>
              <w:top w:val="nil"/>
              <w:left w:val="nil"/>
              <w:bottom w:val="single" w:sz="8" w:space="0" w:color="auto"/>
              <w:right w:val="single" w:sz="8" w:space="0" w:color="auto"/>
            </w:tcBorders>
            <w:vAlign w:val="center"/>
            <w:hideMark/>
          </w:tcPr>
          <w:p w14:paraId="2A86BFC7" w14:textId="0623D41D"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$202,420</w:t>
            </w:r>
          </w:p>
        </w:tc>
        <w:tc>
          <w:tcPr>
            <w:tcW w:w="630" w:type="pct"/>
            <w:tcBorders>
              <w:top w:val="nil"/>
              <w:left w:val="nil"/>
              <w:bottom w:val="single" w:sz="8" w:space="0" w:color="auto"/>
              <w:right w:val="single" w:sz="8" w:space="0" w:color="auto"/>
            </w:tcBorders>
            <w:vAlign w:val="center"/>
            <w:hideMark/>
          </w:tcPr>
          <w:p w14:paraId="0E77F416"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$959,013</w:t>
            </w:r>
          </w:p>
        </w:tc>
        <w:tc>
          <w:tcPr>
            <w:tcW w:w="630" w:type="pct"/>
            <w:tcBorders>
              <w:top w:val="nil"/>
              <w:left w:val="nil"/>
              <w:bottom w:val="single" w:sz="8" w:space="0" w:color="auto"/>
              <w:right w:val="single" w:sz="8" w:space="0" w:color="auto"/>
            </w:tcBorders>
            <w:vAlign w:val="center"/>
            <w:hideMark/>
          </w:tcPr>
          <w:p w14:paraId="2ADBABB6"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$704,684</w:t>
            </w:r>
          </w:p>
        </w:tc>
        <w:tc>
          <w:tcPr>
            <w:tcW w:w="753" w:type="pct"/>
            <w:tcBorders>
              <w:top w:val="nil"/>
              <w:left w:val="nil"/>
              <w:bottom w:val="single" w:sz="8" w:space="0" w:color="auto"/>
              <w:right w:val="single" w:sz="8" w:space="0" w:color="auto"/>
            </w:tcBorders>
            <w:vAlign w:val="center"/>
            <w:hideMark/>
          </w:tcPr>
          <w:p w14:paraId="4857360A" w14:textId="278D14BC"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$15,811,780</w:t>
            </w:r>
          </w:p>
        </w:tc>
      </w:tr>
      <w:tr w:rsidR="007664F8" w:rsidRPr="003346BD" w14:paraId="6D706498" w14:textId="77777777" w:rsidTr="0055240C">
        <w:trPr>
          <w:trHeight w:val="295"/>
        </w:trPr>
        <w:tc>
          <w:tcPr>
            <w:tcW w:w="353" w:type="pct"/>
            <w:tcBorders>
              <w:top w:val="nil"/>
              <w:left w:val="single" w:sz="8" w:space="0" w:color="auto"/>
              <w:bottom w:val="single" w:sz="8" w:space="0" w:color="auto"/>
              <w:right w:val="single" w:sz="8" w:space="0" w:color="auto"/>
            </w:tcBorders>
            <w:vAlign w:val="center"/>
            <w:hideMark/>
          </w:tcPr>
          <w:p w14:paraId="0ADFA340"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QLD</w:t>
            </w:r>
          </w:p>
        </w:tc>
        <w:tc>
          <w:tcPr>
            <w:tcW w:w="1059" w:type="pct"/>
            <w:tcBorders>
              <w:top w:val="nil"/>
              <w:left w:val="nil"/>
              <w:bottom w:val="single" w:sz="8" w:space="0" w:color="auto"/>
              <w:right w:val="single" w:sz="8" w:space="0" w:color="auto"/>
            </w:tcBorders>
            <w:vAlign w:val="center"/>
            <w:hideMark/>
          </w:tcPr>
          <w:p w14:paraId="40869642"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$8,661,455</w:t>
            </w:r>
          </w:p>
        </w:tc>
        <w:tc>
          <w:tcPr>
            <w:tcW w:w="709" w:type="pct"/>
            <w:tcBorders>
              <w:top w:val="nil"/>
              <w:left w:val="nil"/>
              <w:bottom w:val="single" w:sz="8" w:space="0" w:color="auto"/>
              <w:right w:val="single" w:sz="8" w:space="0" w:color="auto"/>
            </w:tcBorders>
            <w:vAlign w:val="center"/>
            <w:hideMark/>
          </w:tcPr>
          <w:p w14:paraId="063F2AD0" w14:textId="6A612C9D"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$2,256,894</w:t>
            </w:r>
          </w:p>
        </w:tc>
        <w:tc>
          <w:tcPr>
            <w:tcW w:w="866" w:type="pct"/>
            <w:tcBorders>
              <w:top w:val="nil"/>
              <w:left w:val="nil"/>
              <w:bottom w:val="single" w:sz="8" w:space="0" w:color="auto"/>
              <w:right w:val="single" w:sz="8" w:space="0" w:color="auto"/>
            </w:tcBorders>
            <w:vAlign w:val="center"/>
            <w:hideMark/>
          </w:tcPr>
          <w:p w14:paraId="405A0FF4" w14:textId="2CF96558"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$182,840</w:t>
            </w:r>
          </w:p>
        </w:tc>
        <w:tc>
          <w:tcPr>
            <w:tcW w:w="630" w:type="pct"/>
            <w:tcBorders>
              <w:top w:val="nil"/>
              <w:left w:val="nil"/>
              <w:bottom w:val="single" w:sz="8" w:space="0" w:color="auto"/>
              <w:right w:val="single" w:sz="8" w:space="0" w:color="auto"/>
            </w:tcBorders>
            <w:vAlign w:val="center"/>
            <w:hideMark/>
          </w:tcPr>
          <w:p w14:paraId="5A22EBCA"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$679,897</w:t>
            </w:r>
          </w:p>
        </w:tc>
        <w:tc>
          <w:tcPr>
            <w:tcW w:w="630" w:type="pct"/>
            <w:tcBorders>
              <w:top w:val="nil"/>
              <w:left w:val="nil"/>
              <w:bottom w:val="single" w:sz="8" w:space="0" w:color="auto"/>
              <w:right w:val="single" w:sz="8" w:space="0" w:color="auto"/>
            </w:tcBorders>
            <w:vAlign w:val="center"/>
            <w:hideMark/>
          </w:tcPr>
          <w:p w14:paraId="08BC90A8"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$499,589</w:t>
            </w:r>
          </w:p>
        </w:tc>
        <w:tc>
          <w:tcPr>
            <w:tcW w:w="753" w:type="pct"/>
            <w:tcBorders>
              <w:top w:val="nil"/>
              <w:left w:val="nil"/>
              <w:bottom w:val="single" w:sz="8" w:space="0" w:color="auto"/>
              <w:right w:val="single" w:sz="8" w:space="0" w:color="auto"/>
            </w:tcBorders>
            <w:vAlign w:val="center"/>
            <w:hideMark/>
          </w:tcPr>
          <w:p w14:paraId="45064291" w14:textId="76B1A06E"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$12,280,676</w:t>
            </w:r>
          </w:p>
        </w:tc>
      </w:tr>
      <w:tr w:rsidR="007664F8" w:rsidRPr="003346BD" w14:paraId="1547C351" w14:textId="77777777" w:rsidTr="0055240C">
        <w:trPr>
          <w:trHeight w:val="295"/>
        </w:trPr>
        <w:tc>
          <w:tcPr>
            <w:tcW w:w="353" w:type="pct"/>
            <w:tcBorders>
              <w:top w:val="nil"/>
              <w:left w:val="single" w:sz="8" w:space="0" w:color="auto"/>
              <w:bottom w:val="single" w:sz="8" w:space="0" w:color="auto"/>
              <w:right w:val="single" w:sz="8" w:space="0" w:color="auto"/>
            </w:tcBorders>
            <w:vAlign w:val="center"/>
            <w:hideMark/>
          </w:tcPr>
          <w:p w14:paraId="24C84C99"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WA</w:t>
            </w:r>
          </w:p>
        </w:tc>
        <w:tc>
          <w:tcPr>
            <w:tcW w:w="1059" w:type="pct"/>
            <w:tcBorders>
              <w:top w:val="nil"/>
              <w:left w:val="nil"/>
              <w:bottom w:val="single" w:sz="8" w:space="0" w:color="auto"/>
              <w:right w:val="single" w:sz="8" w:space="0" w:color="auto"/>
            </w:tcBorders>
            <w:vAlign w:val="center"/>
            <w:hideMark/>
          </w:tcPr>
          <w:p w14:paraId="332F3F02"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$2,615,842</w:t>
            </w:r>
          </w:p>
        </w:tc>
        <w:tc>
          <w:tcPr>
            <w:tcW w:w="709" w:type="pct"/>
            <w:tcBorders>
              <w:top w:val="nil"/>
              <w:left w:val="nil"/>
              <w:bottom w:val="single" w:sz="8" w:space="0" w:color="auto"/>
              <w:right w:val="single" w:sz="8" w:space="0" w:color="auto"/>
            </w:tcBorders>
            <w:vAlign w:val="center"/>
            <w:hideMark/>
          </w:tcPr>
          <w:p w14:paraId="3690F6C2" w14:textId="17649666"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$1,222,573</w:t>
            </w:r>
          </w:p>
        </w:tc>
        <w:tc>
          <w:tcPr>
            <w:tcW w:w="866" w:type="pct"/>
            <w:tcBorders>
              <w:top w:val="nil"/>
              <w:left w:val="nil"/>
              <w:bottom w:val="single" w:sz="8" w:space="0" w:color="auto"/>
              <w:right w:val="single" w:sz="8" w:space="0" w:color="auto"/>
            </w:tcBorders>
            <w:vAlign w:val="center"/>
            <w:hideMark/>
          </w:tcPr>
          <w:p w14:paraId="725751CE" w14:textId="08EA730B"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$62,317</w:t>
            </w:r>
          </w:p>
        </w:tc>
        <w:tc>
          <w:tcPr>
            <w:tcW w:w="630" w:type="pct"/>
            <w:tcBorders>
              <w:top w:val="nil"/>
              <w:left w:val="nil"/>
              <w:bottom w:val="single" w:sz="8" w:space="0" w:color="auto"/>
              <w:right w:val="single" w:sz="8" w:space="0" w:color="auto"/>
            </w:tcBorders>
            <w:vAlign w:val="center"/>
            <w:hideMark/>
          </w:tcPr>
          <w:p w14:paraId="1AEA4A2B"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$214,704</w:t>
            </w:r>
          </w:p>
        </w:tc>
        <w:tc>
          <w:tcPr>
            <w:tcW w:w="630" w:type="pct"/>
            <w:tcBorders>
              <w:top w:val="nil"/>
              <w:left w:val="nil"/>
              <w:bottom w:val="single" w:sz="8" w:space="0" w:color="auto"/>
              <w:right w:val="single" w:sz="8" w:space="0" w:color="auto"/>
            </w:tcBorders>
            <w:vAlign w:val="center"/>
            <w:hideMark/>
          </w:tcPr>
          <w:p w14:paraId="292C10B0"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$157,765</w:t>
            </w:r>
          </w:p>
        </w:tc>
        <w:tc>
          <w:tcPr>
            <w:tcW w:w="753" w:type="pct"/>
            <w:tcBorders>
              <w:top w:val="nil"/>
              <w:left w:val="nil"/>
              <w:bottom w:val="single" w:sz="8" w:space="0" w:color="auto"/>
              <w:right w:val="single" w:sz="8" w:space="0" w:color="auto"/>
            </w:tcBorders>
            <w:vAlign w:val="center"/>
            <w:hideMark/>
          </w:tcPr>
          <w:p w14:paraId="1A890B34" w14:textId="254C1203"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$4,273,201</w:t>
            </w:r>
          </w:p>
        </w:tc>
      </w:tr>
      <w:tr w:rsidR="007664F8" w:rsidRPr="003346BD" w14:paraId="3BBA798A" w14:textId="77777777" w:rsidTr="0055240C">
        <w:trPr>
          <w:trHeight w:val="295"/>
        </w:trPr>
        <w:tc>
          <w:tcPr>
            <w:tcW w:w="353" w:type="pct"/>
            <w:tcBorders>
              <w:top w:val="nil"/>
              <w:left w:val="single" w:sz="8" w:space="0" w:color="auto"/>
              <w:bottom w:val="single" w:sz="8" w:space="0" w:color="auto"/>
              <w:right w:val="single" w:sz="8" w:space="0" w:color="auto"/>
            </w:tcBorders>
            <w:vAlign w:val="center"/>
            <w:hideMark/>
          </w:tcPr>
          <w:p w14:paraId="3558010B"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SA</w:t>
            </w:r>
          </w:p>
        </w:tc>
        <w:tc>
          <w:tcPr>
            <w:tcW w:w="1059" w:type="pct"/>
            <w:tcBorders>
              <w:top w:val="nil"/>
              <w:left w:val="nil"/>
              <w:bottom w:val="single" w:sz="8" w:space="0" w:color="auto"/>
              <w:right w:val="single" w:sz="8" w:space="0" w:color="auto"/>
            </w:tcBorders>
            <w:vAlign w:val="center"/>
            <w:hideMark/>
          </w:tcPr>
          <w:p w14:paraId="0C2CD858"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$2,732,273</w:t>
            </w:r>
          </w:p>
        </w:tc>
        <w:tc>
          <w:tcPr>
            <w:tcW w:w="709" w:type="pct"/>
            <w:tcBorders>
              <w:top w:val="nil"/>
              <w:left w:val="nil"/>
              <w:bottom w:val="single" w:sz="8" w:space="0" w:color="auto"/>
              <w:right w:val="single" w:sz="8" w:space="0" w:color="auto"/>
            </w:tcBorders>
            <w:vAlign w:val="center"/>
            <w:hideMark/>
          </w:tcPr>
          <w:p w14:paraId="2F74572D" w14:textId="725BCC96"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$382,610</w:t>
            </w:r>
          </w:p>
        </w:tc>
        <w:tc>
          <w:tcPr>
            <w:tcW w:w="866" w:type="pct"/>
            <w:tcBorders>
              <w:top w:val="nil"/>
              <w:left w:val="nil"/>
              <w:bottom w:val="single" w:sz="8" w:space="0" w:color="auto"/>
              <w:right w:val="single" w:sz="8" w:space="0" w:color="auto"/>
            </w:tcBorders>
            <w:vAlign w:val="center"/>
            <w:hideMark/>
          </w:tcPr>
          <w:p w14:paraId="1D411D76" w14:textId="46C48BFB"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$48,693</w:t>
            </w:r>
          </w:p>
        </w:tc>
        <w:tc>
          <w:tcPr>
            <w:tcW w:w="630" w:type="pct"/>
            <w:tcBorders>
              <w:top w:val="nil"/>
              <w:left w:val="nil"/>
              <w:bottom w:val="single" w:sz="8" w:space="0" w:color="auto"/>
              <w:right w:val="single" w:sz="8" w:space="0" w:color="auto"/>
            </w:tcBorders>
            <w:vAlign w:val="center"/>
            <w:hideMark/>
          </w:tcPr>
          <w:p w14:paraId="6613EF9D"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$121,666</w:t>
            </w:r>
          </w:p>
        </w:tc>
        <w:tc>
          <w:tcPr>
            <w:tcW w:w="630" w:type="pct"/>
            <w:tcBorders>
              <w:top w:val="nil"/>
              <w:left w:val="nil"/>
              <w:bottom w:val="single" w:sz="8" w:space="0" w:color="auto"/>
              <w:right w:val="single" w:sz="8" w:space="0" w:color="auto"/>
            </w:tcBorders>
            <w:vAlign w:val="center"/>
            <w:hideMark/>
          </w:tcPr>
          <w:p w14:paraId="25DC3945"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$89,400</w:t>
            </w:r>
          </w:p>
        </w:tc>
        <w:tc>
          <w:tcPr>
            <w:tcW w:w="753" w:type="pct"/>
            <w:tcBorders>
              <w:top w:val="nil"/>
              <w:left w:val="nil"/>
              <w:bottom w:val="single" w:sz="8" w:space="0" w:color="auto"/>
              <w:right w:val="single" w:sz="8" w:space="0" w:color="auto"/>
            </w:tcBorders>
            <w:vAlign w:val="center"/>
            <w:hideMark/>
          </w:tcPr>
          <w:p w14:paraId="0C8DE0BD" w14:textId="7D3AEED3"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$3,374,642</w:t>
            </w:r>
          </w:p>
        </w:tc>
      </w:tr>
      <w:tr w:rsidR="007664F8" w:rsidRPr="003346BD" w14:paraId="5DA58620" w14:textId="77777777" w:rsidTr="0055240C">
        <w:trPr>
          <w:trHeight w:val="295"/>
        </w:trPr>
        <w:tc>
          <w:tcPr>
            <w:tcW w:w="353" w:type="pct"/>
            <w:tcBorders>
              <w:top w:val="nil"/>
              <w:left w:val="single" w:sz="8" w:space="0" w:color="auto"/>
              <w:bottom w:val="single" w:sz="8" w:space="0" w:color="auto"/>
              <w:right w:val="single" w:sz="8" w:space="0" w:color="auto"/>
            </w:tcBorders>
            <w:vAlign w:val="center"/>
            <w:hideMark/>
          </w:tcPr>
          <w:p w14:paraId="4B17CD93"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TAS</w:t>
            </w:r>
          </w:p>
        </w:tc>
        <w:tc>
          <w:tcPr>
            <w:tcW w:w="1059" w:type="pct"/>
            <w:tcBorders>
              <w:top w:val="nil"/>
              <w:left w:val="nil"/>
              <w:bottom w:val="single" w:sz="8" w:space="0" w:color="auto"/>
              <w:right w:val="single" w:sz="8" w:space="0" w:color="auto"/>
            </w:tcBorders>
            <w:vAlign w:val="center"/>
            <w:hideMark/>
          </w:tcPr>
          <w:p w14:paraId="6B365B23"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$522,065</w:t>
            </w:r>
          </w:p>
        </w:tc>
        <w:tc>
          <w:tcPr>
            <w:tcW w:w="709" w:type="pct"/>
            <w:tcBorders>
              <w:top w:val="nil"/>
              <w:left w:val="nil"/>
              <w:bottom w:val="single" w:sz="8" w:space="0" w:color="auto"/>
              <w:right w:val="single" w:sz="8" w:space="0" w:color="auto"/>
            </w:tcBorders>
            <w:vAlign w:val="center"/>
            <w:hideMark/>
          </w:tcPr>
          <w:p w14:paraId="1F534CA5" w14:textId="58E92244"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$209,477</w:t>
            </w:r>
          </w:p>
        </w:tc>
        <w:tc>
          <w:tcPr>
            <w:tcW w:w="866" w:type="pct"/>
            <w:tcBorders>
              <w:top w:val="nil"/>
              <w:left w:val="nil"/>
              <w:bottom w:val="single" w:sz="8" w:space="0" w:color="auto"/>
              <w:right w:val="single" w:sz="8" w:space="0" w:color="auto"/>
            </w:tcBorders>
            <w:vAlign w:val="center"/>
            <w:hideMark/>
          </w:tcPr>
          <w:p w14:paraId="59B02464" w14:textId="02D4703C"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$12,122</w:t>
            </w:r>
          </w:p>
        </w:tc>
        <w:tc>
          <w:tcPr>
            <w:tcW w:w="630" w:type="pct"/>
            <w:tcBorders>
              <w:top w:val="nil"/>
              <w:left w:val="nil"/>
              <w:bottom w:val="single" w:sz="8" w:space="0" w:color="auto"/>
              <w:right w:val="single" w:sz="8" w:space="0" w:color="auto"/>
            </w:tcBorders>
            <w:vAlign w:val="center"/>
            <w:hideMark/>
          </w:tcPr>
          <w:p w14:paraId="5570F0FC"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$35,784</w:t>
            </w:r>
          </w:p>
        </w:tc>
        <w:tc>
          <w:tcPr>
            <w:tcW w:w="630" w:type="pct"/>
            <w:tcBorders>
              <w:top w:val="nil"/>
              <w:left w:val="nil"/>
              <w:bottom w:val="single" w:sz="8" w:space="0" w:color="auto"/>
              <w:right w:val="single" w:sz="8" w:space="0" w:color="auto"/>
            </w:tcBorders>
            <w:vAlign w:val="center"/>
            <w:hideMark/>
          </w:tcPr>
          <w:p w14:paraId="68D9D986"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$26,294</w:t>
            </w:r>
          </w:p>
        </w:tc>
        <w:tc>
          <w:tcPr>
            <w:tcW w:w="753" w:type="pct"/>
            <w:tcBorders>
              <w:top w:val="nil"/>
              <w:left w:val="nil"/>
              <w:bottom w:val="single" w:sz="8" w:space="0" w:color="auto"/>
              <w:right w:val="single" w:sz="8" w:space="0" w:color="auto"/>
            </w:tcBorders>
            <w:vAlign w:val="center"/>
            <w:hideMark/>
          </w:tcPr>
          <w:p w14:paraId="087ACBB1" w14:textId="2AE265FF"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$805,742</w:t>
            </w:r>
          </w:p>
        </w:tc>
      </w:tr>
      <w:tr w:rsidR="007664F8" w:rsidRPr="003346BD" w14:paraId="3D3BB068" w14:textId="77777777" w:rsidTr="0055240C">
        <w:trPr>
          <w:trHeight w:val="295"/>
        </w:trPr>
        <w:tc>
          <w:tcPr>
            <w:tcW w:w="353" w:type="pct"/>
            <w:tcBorders>
              <w:top w:val="nil"/>
              <w:left w:val="single" w:sz="8" w:space="0" w:color="auto"/>
              <w:bottom w:val="single" w:sz="8" w:space="0" w:color="auto"/>
              <w:right w:val="single" w:sz="8" w:space="0" w:color="auto"/>
            </w:tcBorders>
            <w:vAlign w:val="center"/>
            <w:hideMark/>
          </w:tcPr>
          <w:p w14:paraId="0DC75763"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ACT</w:t>
            </w:r>
          </w:p>
        </w:tc>
        <w:tc>
          <w:tcPr>
            <w:tcW w:w="1059" w:type="pct"/>
            <w:tcBorders>
              <w:top w:val="nil"/>
              <w:left w:val="nil"/>
              <w:bottom w:val="single" w:sz="8" w:space="0" w:color="auto"/>
              <w:right w:val="single" w:sz="8" w:space="0" w:color="auto"/>
            </w:tcBorders>
            <w:vAlign w:val="center"/>
            <w:hideMark/>
          </w:tcPr>
          <w:p w14:paraId="33701B4D"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$892,019</w:t>
            </w:r>
          </w:p>
        </w:tc>
        <w:tc>
          <w:tcPr>
            <w:tcW w:w="709" w:type="pct"/>
            <w:tcBorders>
              <w:top w:val="nil"/>
              <w:left w:val="nil"/>
              <w:bottom w:val="single" w:sz="8" w:space="0" w:color="auto"/>
              <w:right w:val="single" w:sz="8" w:space="0" w:color="auto"/>
            </w:tcBorders>
            <w:vAlign w:val="center"/>
            <w:hideMark/>
          </w:tcPr>
          <w:p w14:paraId="6ED4247F" w14:textId="4A6FA3F5"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$333,567</w:t>
            </w:r>
          </w:p>
        </w:tc>
        <w:tc>
          <w:tcPr>
            <w:tcW w:w="866" w:type="pct"/>
            <w:tcBorders>
              <w:top w:val="nil"/>
              <w:left w:val="nil"/>
              <w:bottom w:val="single" w:sz="8" w:space="0" w:color="auto"/>
              <w:right w:val="single" w:sz="8" w:space="0" w:color="auto"/>
            </w:tcBorders>
            <w:vAlign w:val="center"/>
            <w:hideMark/>
          </w:tcPr>
          <w:p w14:paraId="5B891FEF" w14:textId="37F1C0F3"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$18,926</w:t>
            </w:r>
          </w:p>
        </w:tc>
        <w:tc>
          <w:tcPr>
            <w:tcW w:w="630" w:type="pct"/>
            <w:tcBorders>
              <w:top w:val="nil"/>
              <w:left w:val="nil"/>
              <w:bottom w:val="single" w:sz="8" w:space="0" w:color="auto"/>
              <w:right w:val="single" w:sz="8" w:space="0" w:color="auto"/>
            </w:tcBorders>
            <w:vAlign w:val="center"/>
            <w:hideMark/>
          </w:tcPr>
          <w:p w14:paraId="369B0125"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$35,784</w:t>
            </w:r>
          </w:p>
        </w:tc>
        <w:tc>
          <w:tcPr>
            <w:tcW w:w="630" w:type="pct"/>
            <w:tcBorders>
              <w:top w:val="nil"/>
              <w:left w:val="nil"/>
              <w:bottom w:val="single" w:sz="8" w:space="0" w:color="auto"/>
              <w:right w:val="single" w:sz="8" w:space="0" w:color="auto"/>
            </w:tcBorders>
            <w:vAlign w:val="center"/>
            <w:hideMark/>
          </w:tcPr>
          <w:p w14:paraId="7387C2CD"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$26,294</w:t>
            </w:r>
          </w:p>
        </w:tc>
        <w:tc>
          <w:tcPr>
            <w:tcW w:w="753" w:type="pct"/>
            <w:tcBorders>
              <w:top w:val="nil"/>
              <w:left w:val="nil"/>
              <w:bottom w:val="single" w:sz="8" w:space="0" w:color="auto"/>
              <w:right w:val="single" w:sz="8" w:space="0" w:color="auto"/>
            </w:tcBorders>
            <w:vAlign w:val="center"/>
            <w:hideMark/>
          </w:tcPr>
          <w:p w14:paraId="3A4934EC" w14:textId="5084070A"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$1,306,590</w:t>
            </w:r>
          </w:p>
        </w:tc>
      </w:tr>
      <w:tr w:rsidR="007664F8" w:rsidRPr="003346BD" w14:paraId="3DCB1C50" w14:textId="77777777" w:rsidTr="0055240C">
        <w:trPr>
          <w:trHeight w:val="320"/>
        </w:trPr>
        <w:tc>
          <w:tcPr>
            <w:tcW w:w="353" w:type="pct"/>
            <w:tcBorders>
              <w:top w:val="nil"/>
              <w:left w:val="single" w:sz="8" w:space="0" w:color="auto"/>
              <w:bottom w:val="single" w:sz="4" w:space="0" w:color="auto"/>
              <w:right w:val="single" w:sz="8" w:space="0" w:color="auto"/>
            </w:tcBorders>
            <w:vAlign w:val="center"/>
            <w:hideMark/>
          </w:tcPr>
          <w:p w14:paraId="400D584C" w14:textId="77777777" w:rsidR="007664F8" w:rsidRPr="0055240C" w:rsidRDefault="007664F8" w:rsidP="007664F8">
            <w:pPr>
              <w:spacing w:after="0" w:line="276" w:lineRule="auto"/>
              <w:rPr>
                <w:rFonts w:eastAsia="Times New Roman" w:cs="Arial"/>
                <w:color w:val="000000"/>
                <w:sz w:val="18"/>
                <w:szCs w:val="18"/>
                <w:lang w:eastAsia="en-AU"/>
              </w:rPr>
            </w:pPr>
            <w:r w:rsidRPr="0055240C">
              <w:rPr>
                <w:rFonts w:eastAsia="Times New Roman" w:cs="Arial"/>
                <w:color w:val="000000"/>
                <w:sz w:val="18"/>
                <w:szCs w:val="18"/>
                <w:lang w:eastAsia="en-AU"/>
              </w:rPr>
              <w:t>NT</w:t>
            </w:r>
          </w:p>
        </w:tc>
        <w:tc>
          <w:tcPr>
            <w:tcW w:w="1059" w:type="pct"/>
            <w:tcBorders>
              <w:top w:val="nil"/>
              <w:left w:val="nil"/>
              <w:bottom w:val="single" w:sz="4" w:space="0" w:color="auto"/>
              <w:right w:val="single" w:sz="8" w:space="0" w:color="auto"/>
            </w:tcBorders>
            <w:vAlign w:val="center"/>
            <w:hideMark/>
          </w:tcPr>
          <w:p w14:paraId="5B0130F4"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$467,501</w:t>
            </w:r>
          </w:p>
        </w:tc>
        <w:tc>
          <w:tcPr>
            <w:tcW w:w="709" w:type="pct"/>
            <w:tcBorders>
              <w:top w:val="nil"/>
              <w:left w:val="nil"/>
              <w:bottom w:val="single" w:sz="4" w:space="0" w:color="auto"/>
              <w:right w:val="single" w:sz="8" w:space="0" w:color="auto"/>
            </w:tcBorders>
            <w:vAlign w:val="center"/>
            <w:hideMark/>
          </w:tcPr>
          <w:p w14:paraId="57BFD635" w14:textId="740EDF86"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$145,390</w:t>
            </w:r>
          </w:p>
        </w:tc>
        <w:tc>
          <w:tcPr>
            <w:tcW w:w="866" w:type="pct"/>
            <w:tcBorders>
              <w:top w:val="nil"/>
              <w:left w:val="nil"/>
              <w:bottom w:val="single" w:sz="4" w:space="0" w:color="auto"/>
              <w:right w:val="single" w:sz="8" w:space="0" w:color="auto"/>
            </w:tcBorders>
            <w:vAlign w:val="center"/>
            <w:hideMark/>
          </w:tcPr>
          <w:p w14:paraId="758999B9" w14:textId="79A21029"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color w:val="000000"/>
                <w:sz w:val="18"/>
                <w:szCs w:val="18"/>
              </w:rPr>
              <w:t>$8,189</w:t>
            </w:r>
          </w:p>
        </w:tc>
        <w:tc>
          <w:tcPr>
            <w:tcW w:w="630" w:type="pct"/>
            <w:tcBorders>
              <w:top w:val="nil"/>
              <w:left w:val="nil"/>
              <w:bottom w:val="single" w:sz="4" w:space="0" w:color="auto"/>
              <w:right w:val="single" w:sz="8" w:space="0" w:color="auto"/>
            </w:tcBorders>
            <w:vAlign w:val="center"/>
            <w:hideMark/>
          </w:tcPr>
          <w:p w14:paraId="3ADB52AE"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$21,470</w:t>
            </w:r>
          </w:p>
        </w:tc>
        <w:tc>
          <w:tcPr>
            <w:tcW w:w="630" w:type="pct"/>
            <w:tcBorders>
              <w:top w:val="nil"/>
              <w:left w:val="nil"/>
              <w:bottom w:val="single" w:sz="4" w:space="0" w:color="auto"/>
              <w:right w:val="single" w:sz="8" w:space="0" w:color="auto"/>
            </w:tcBorders>
            <w:vAlign w:val="center"/>
            <w:hideMark/>
          </w:tcPr>
          <w:p w14:paraId="0AFFBC73" w14:textId="7777777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eastAsia="Times New Roman" w:cs="Arial"/>
                <w:color w:val="000000"/>
                <w:sz w:val="18"/>
                <w:szCs w:val="18"/>
                <w:lang w:eastAsia="en-AU"/>
              </w:rPr>
              <w:t>$15,777</w:t>
            </w:r>
          </w:p>
        </w:tc>
        <w:tc>
          <w:tcPr>
            <w:tcW w:w="753" w:type="pct"/>
            <w:tcBorders>
              <w:top w:val="nil"/>
              <w:left w:val="nil"/>
              <w:bottom w:val="single" w:sz="4" w:space="0" w:color="auto"/>
              <w:right w:val="single" w:sz="8" w:space="0" w:color="auto"/>
            </w:tcBorders>
            <w:vAlign w:val="center"/>
            <w:hideMark/>
          </w:tcPr>
          <w:p w14:paraId="0FED3616" w14:textId="5952F818"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color w:val="000000"/>
                <w:sz w:val="18"/>
                <w:szCs w:val="18"/>
              </w:rPr>
              <w:t>$658,327</w:t>
            </w:r>
          </w:p>
        </w:tc>
      </w:tr>
      <w:tr w:rsidR="007664F8" w:rsidRPr="003346BD" w14:paraId="062F5BAB" w14:textId="77777777" w:rsidTr="0055240C">
        <w:trPr>
          <w:trHeight w:val="320"/>
        </w:trPr>
        <w:tc>
          <w:tcPr>
            <w:tcW w:w="353" w:type="pct"/>
            <w:tcBorders>
              <w:top w:val="single" w:sz="4" w:space="0" w:color="auto"/>
              <w:left w:val="single" w:sz="8" w:space="0" w:color="auto"/>
              <w:bottom w:val="single" w:sz="8" w:space="0" w:color="auto"/>
              <w:right w:val="single" w:sz="8" w:space="0" w:color="auto"/>
            </w:tcBorders>
            <w:vAlign w:val="center"/>
          </w:tcPr>
          <w:p w14:paraId="60BFF25F" w14:textId="43C3CA48" w:rsidR="007664F8" w:rsidRPr="0055240C" w:rsidRDefault="007664F8" w:rsidP="007664F8">
            <w:pPr>
              <w:spacing w:after="0" w:line="276" w:lineRule="auto"/>
              <w:rPr>
                <w:rFonts w:eastAsia="Times New Roman" w:cs="Arial"/>
                <w:color w:val="000000"/>
                <w:sz w:val="18"/>
                <w:szCs w:val="18"/>
                <w:lang w:eastAsia="en-AU"/>
              </w:rPr>
            </w:pPr>
            <w:r w:rsidRPr="0055240C">
              <w:rPr>
                <w:rFonts w:cs="Arial"/>
                <w:color w:val="000000"/>
                <w:sz w:val="18"/>
                <w:szCs w:val="18"/>
              </w:rPr>
              <w:t>Total</w:t>
            </w:r>
          </w:p>
        </w:tc>
        <w:tc>
          <w:tcPr>
            <w:tcW w:w="1059" w:type="pct"/>
            <w:tcBorders>
              <w:top w:val="single" w:sz="4" w:space="0" w:color="auto"/>
              <w:left w:val="nil"/>
              <w:bottom w:val="single" w:sz="8" w:space="0" w:color="auto"/>
              <w:right w:val="single" w:sz="8" w:space="0" w:color="auto"/>
            </w:tcBorders>
            <w:vAlign w:val="center"/>
          </w:tcPr>
          <w:p w14:paraId="3EC21508" w14:textId="4933F23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b/>
                <w:bCs/>
                <w:color w:val="000000"/>
                <w:sz w:val="18"/>
                <w:szCs w:val="18"/>
              </w:rPr>
              <w:t>$41,132,282</w:t>
            </w:r>
          </w:p>
        </w:tc>
        <w:tc>
          <w:tcPr>
            <w:tcW w:w="709" w:type="pct"/>
            <w:tcBorders>
              <w:top w:val="single" w:sz="4" w:space="0" w:color="auto"/>
              <w:left w:val="nil"/>
              <w:bottom w:val="single" w:sz="8" w:space="0" w:color="auto"/>
              <w:right w:val="single" w:sz="8" w:space="0" w:color="auto"/>
            </w:tcBorders>
            <w:vAlign w:val="center"/>
          </w:tcPr>
          <w:p w14:paraId="36ADAAAD" w14:textId="5F048CA7"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b/>
                <w:bCs/>
                <w:color w:val="000000"/>
                <w:sz w:val="18"/>
                <w:szCs w:val="18"/>
              </w:rPr>
              <w:t>$9,485,820</w:t>
            </w:r>
          </w:p>
        </w:tc>
        <w:tc>
          <w:tcPr>
            <w:tcW w:w="866" w:type="pct"/>
            <w:tcBorders>
              <w:top w:val="single" w:sz="4" w:space="0" w:color="auto"/>
              <w:left w:val="nil"/>
              <w:bottom w:val="single" w:sz="8" w:space="0" w:color="auto"/>
              <w:right w:val="single" w:sz="8" w:space="0" w:color="auto"/>
            </w:tcBorders>
            <w:vAlign w:val="center"/>
          </w:tcPr>
          <w:p w14:paraId="3F796F5C" w14:textId="4C94DE00"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b/>
                <w:bCs/>
                <w:color w:val="000000"/>
                <w:sz w:val="18"/>
                <w:szCs w:val="18"/>
              </w:rPr>
              <w:t>$798,957</w:t>
            </w:r>
          </w:p>
        </w:tc>
        <w:tc>
          <w:tcPr>
            <w:tcW w:w="630" w:type="pct"/>
            <w:tcBorders>
              <w:top w:val="single" w:sz="4" w:space="0" w:color="auto"/>
              <w:left w:val="nil"/>
              <w:bottom w:val="single" w:sz="8" w:space="0" w:color="auto"/>
              <w:right w:val="single" w:sz="8" w:space="0" w:color="auto"/>
            </w:tcBorders>
            <w:vAlign w:val="center"/>
          </w:tcPr>
          <w:p w14:paraId="30B20553" w14:textId="60DBDE52"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b/>
                <w:bCs/>
                <w:color w:val="000000"/>
                <w:sz w:val="18"/>
                <w:szCs w:val="18"/>
              </w:rPr>
              <w:t>$2,948,607</w:t>
            </w:r>
          </w:p>
        </w:tc>
        <w:tc>
          <w:tcPr>
            <w:tcW w:w="630" w:type="pct"/>
            <w:tcBorders>
              <w:top w:val="single" w:sz="4" w:space="0" w:color="auto"/>
              <w:left w:val="nil"/>
              <w:bottom w:val="single" w:sz="8" w:space="0" w:color="auto"/>
              <w:right w:val="single" w:sz="8" w:space="0" w:color="auto"/>
            </w:tcBorders>
            <w:vAlign w:val="center"/>
          </w:tcPr>
          <w:p w14:paraId="38830005" w14:textId="3469A456" w:rsidR="007664F8" w:rsidRPr="0055240C" w:rsidRDefault="007664F8" w:rsidP="007664F8">
            <w:pPr>
              <w:spacing w:after="0" w:line="276" w:lineRule="auto"/>
              <w:jc w:val="center"/>
              <w:rPr>
                <w:rFonts w:eastAsia="Times New Roman" w:cs="Arial"/>
                <w:color w:val="000000"/>
                <w:sz w:val="18"/>
                <w:szCs w:val="18"/>
                <w:lang w:eastAsia="en-AU"/>
              </w:rPr>
            </w:pPr>
            <w:r w:rsidRPr="0055240C">
              <w:rPr>
                <w:rFonts w:cs="Arial"/>
                <w:b/>
                <w:bCs/>
                <w:color w:val="000000"/>
                <w:sz w:val="18"/>
                <w:szCs w:val="18"/>
              </w:rPr>
              <w:t>$2,166,640</w:t>
            </w:r>
          </w:p>
        </w:tc>
        <w:tc>
          <w:tcPr>
            <w:tcW w:w="753" w:type="pct"/>
            <w:tcBorders>
              <w:top w:val="single" w:sz="4" w:space="0" w:color="auto"/>
              <w:left w:val="nil"/>
              <w:bottom w:val="single" w:sz="8" w:space="0" w:color="auto"/>
              <w:right w:val="single" w:sz="8" w:space="0" w:color="auto"/>
            </w:tcBorders>
            <w:vAlign w:val="center"/>
          </w:tcPr>
          <w:p w14:paraId="14A48281" w14:textId="06157F18" w:rsidR="007664F8" w:rsidRPr="007664F8" w:rsidRDefault="007664F8" w:rsidP="007664F8">
            <w:pPr>
              <w:spacing w:after="0" w:line="276" w:lineRule="auto"/>
              <w:jc w:val="center"/>
              <w:rPr>
                <w:rFonts w:eastAsia="Times New Roman" w:cs="Arial"/>
                <w:b/>
                <w:bCs/>
                <w:color w:val="000000"/>
                <w:sz w:val="18"/>
                <w:szCs w:val="18"/>
                <w:lang w:eastAsia="en-AU"/>
              </w:rPr>
            </w:pPr>
            <w:r w:rsidRPr="007664F8">
              <w:rPr>
                <w:rFonts w:cs="Arial"/>
                <w:b/>
                <w:bCs/>
                <w:color w:val="000000"/>
                <w:sz w:val="18"/>
                <w:szCs w:val="18"/>
              </w:rPr>
              <w:t>$56,532,306</w:t>
            </w:r>
          </w:p>
        </w:tc>
      </w:tr>
    </w:tbl>
    <w:p w14:paraId="501C5952" w14:textId="77777777" w:rsidR="009A72C1" w:rsidRDefault="009A72C1" w:rsidP="009A72C1">
      <w:pPr>
        <w:pStyle w:val="Source-CSR"/>
      </w:pPr>
      <w:r>
        <w:t>Note: Numbers may not sum due to rounding.</w:t>
      </w:r>
    </w:p>
    <w:p w14:paraId="18F58AF2" w14:textId="4D2E14FA" w:rsidR="00BB41AB" w:rsidRPr="00DA3A94" w:rsidRDefault="00BB41AB" w:rsidP="007C4025">
      <w:pPr>
        <w:pStyle w:val="Heading2"/>
      </w:pPr>
      <w:bookmarkStart w:id="235" w:name="_Toc205884908"/>
      <w:r w:rsidRPr="00DA3A94">
        <w:lastRenderedPageBreak/>
        <w:t xml:space="preserve">Implementing the </w:t>
      </w:r>
      <w:r w:rsidR="004C5562">
        <w:t>recommended option</w:t>
      </w:r>
      <w:r w:rsidRPr="00DA3A94">
        <w:t>s</w:t>
      </w:r>
      <w:bookmarkEnd w:id="235"/>
    </w:p>
    <w:p w14:paraId="79D5C69A" w14:textId="0C90A62C" w:rsidR="00F708F2" w:rsidRDefault="00281340" w:rsidP="00E74CAE">
      <w:r>
        <w:t xml:space="preserve">Implementing the </w:t>
      </w:r>
      <w:r w:rsidR="004C5562">
        <w:t>recommended option</w:t>
      </w:r>
      <w:r>
        <w:t xml:space="preserve">s will involve all </w:t>
      </w:r>
      <w:r w:rsidR="0053682D">
        <w:t xml:space="preserve">state </w:t>
      </w:r>
      <w:r>
        <w:t xml:space="preserve">and </w:t>
      </w:r>
      <w:r w:rsidR="0053682D">
        <w:t xml:space="preserve">territory </w:t>
      </w:r>
      <w:r>
        <w:t xml:space="preserve">governments, the Australian Government and ACECQA. </w:t>
      </w:r>
      <w:r w:rsidR="003D53AA">
        <w:t xml:space="preserve">In some areas of reform, phased implementation may be considered, including guidance and supporting materials developed prior to regulatory change. Multiple stakeholders emphasised the importance of not just guidance but communication materials and engagement with the sector about areas of reform and </w:t>
      </w:r>
      <w:r w:rsidR="00E12847">
        <w:t xml:space="preserve">adequate notice and transition periods. </w:t>
      </w:r>
      <w:r w:rsidR="00266571">
        <w:t xml:space="preserve">Timing for implementation </w:t>
      </w:r>
      <w:r w:rsidR="0053682D">
        <w:t xml:space="preserve">will be dependent </w:t>
      </w:r>
      <w:r w:rsidR="00266571">
        <w:t>on when legislation can be passed through Parliament</w:t>
      </w:r>
      <w:r w:rsidR="00DF42F9">
        <w:t xml:space="preserve"> in Victoria (the host jurisdiction of the National Law)</w:t>
      </w:r>
      <w:r w:rsidR="00012265">
        <w:rPr>
          <w:rStyle w:val="FootnoteReference"/>
        </w:rPr>
        <w:footnoteReference w:id="156"/>
      </w:r>
      <w:r w:rsidR="0082269D">
        <w:t>,</w:t>
      </w:r>
      <w:r w:rsidR="00876E34">
        <w:t xml:space="preserve"> </w:t>
      </w:r>
      <w:r w:rsidR="0082269D">
        <w:t>and the making of amendment regulations by the Ministerial Council.</w:t>
      </w:r>
    </w:p>
    <w:p w14:paraId="59B020CA" w14:textId="45310157" w:rsidR="009433EE" w:rsidRDefault="009433EE" w:rsidP="00E74CAE">
      <w:r>
        <w:t xml:space="preserve">To support the sector and </w:t>
      </w:r>
      <w:r w:rsidR="008A3163">
        <w:t xml:space="preserve">provide </w:t>
      </w:r>
      <w:r>
        <w:t>clear</w:t>
      </w:r>
      <w:r w:rsidR="004A6C6A">
        <w:t xml:space="preserve"> communication to the wider community</w:t>
      </w:r>
      <w:r>
        <w:t xml:space="preserve">, implementation of recommended options will be considered and aligned with implementation of further recommendations of the </w:t>
      </w:r>
      <w:r w:rsidR="00614E69">
        <w:t>CSR</w:t>
      </w:r>
      <w:r>
        <w:t xml:space="preserve"> and other national child safety policy responses currently in progress.</w:t>
      </w:r>
    </w:p>
    <w:p w14:paraId="19D51149" w14:textId="287633DB" w:rsidR="009433EE" w:rsidRDefault="009433EE" w:rsidP="00E74CAE">
      <w:r>
        <w:t>It is proposed the implementation process for the recommended options will involve all State and Territory governments, the Australian Government and ACECQA and will involve:</w:t>
      </w:r>
    </w:p>
    <w:p w14:paraId="353D8D78" w14:textId="5A9F5871" w:rsidR="009433EE" w:rsidRDefault="009433EE" w:rsidP="00EC53AB">
      <w:pPr>
        <w:pStyle w:val="ListParagraph"/>
        <w:numPr>
          <w:ilvl w:val="0"/>
          <w:numId w:val="98"/>
        </w:numPr>
        <w:ind w:left="426"/>
      </w:pPr>
      <w:r>
        <w:t>public communication of the outcomes of the Child Safety Review DRIS</w:t>
      </w:r>
    </w:p>
    <w:p w14:paraId="671C6E5E" w14:textId="77777777" w:rsidR="004A6C6A" w:rsidRDefault="004A6C6A" w:rsidP="00EC53AB">
      <w:pPr>
        <w:pStyle w:val="ListParagraph"/>
        <w:numPr>
          <w:ilvl w:val="0"/>
          <w:numId w:val="98"/>
        </w:numPr>
        <w:ind w:left="426"/>
      </w:pPr>
      <w:r>
        <w:t>changes to legislation, operational policy and administrative approaches</w:t>
      </w:r>
    </w:p>
    <w:p w14:paraId="736754CC" w14:textId="2BB78BDB" w:rsidR="004A6C6A" w:rsidRDefault="004A6C6A" w:rsidP="00EC53AB">
      <w:pPr>
        <w:pStyle w:val="ListParagraph"/>
        <w:numPr>
          <w:ilvl w:val="0"/>
          <w:numId w:val="98"/>
        </w:numPr>
        <w:ind w:left="426"/>
      </w:pPr>
      <w:r>
        <w:t xml:space="preserve">modifications to the NQA ITS (the national information </w:t>
      </w:r>
      <w:r w:rsidR="008A3163">
        <w:t xml:space="preserve">technology </w:t>
      </w:r>
      <w:r>
        <w:t>system)</w:t>
      </w:r>
    </w:p>
    <w:p w14:paraId="6FFE3B66" w14:textId="77777777" w:rsidR="004A6C6A" w:rsidRDefault="004A6C6A" w:rsidP="00EC53AB">
      <w:pPr>
        <w:pStyle w:val="ListParagraph"/>
        <w:numPr>
          <w:ilvl w:val="0"/>
          <w:numId w:val="98"/>
        </w:numPr>
        <w:ind w:left="426"/>
      </w:pPr>
      <w:r>
        <w:t>Regulatory Authority staff training and resources</w:t>
      </w:r>
    </w:p>
    <w:p w14:paraId="1399E3B9" w14:textId="76D744D1" w:rsidR="004A6C6A" w:rsidRDefault="004A6C6A" w:rsidP="00EC53AB">
      <w:pPr>
        <w:pStyle w:val="ListParagraph"/>
        <w:numPr>
          <w:ilvl w:val="0"/>
          <w:numId w:val="98"/>
        </w:numPr>
        <w:ind w:left="426"/>
      </w:pPr>
      <w:r>
        <w:t xml:space="preserve">revising national and jurisdiction-specific guidance, supports and information for the sector and the community sector preparation for compliance to regulatory requirements </w:t>
      </w:r>
    </w:p>
    <w:p w14:paraId="2E10D160" w14:textId="230EEEC4" w:rsidR="004A6C6A" w:rsidRPr="00F708F2" w:rsidRDefault="004A6C6A" w:rsidP="00EC53AB">
      <w:pPr>
        <w:pStyle w:val="ListParagraph"/>
        <w:numPr>
          <w:ilvl w:val="0"/>
          <w:numId w:val="98"/>
        </w:numPr>
        <w:ind w:left="426"/>
      </w:pPr>
      <w:r>
        <w:t xml:space="preserve"> sector preparation for compliance with changes to regulatory requirements. </w:t>
      </w:r>
    </w:p>
    <w:p w14:paraId="5A1F58D6" w14:textId="22F8AA88" w:rsidR="00504D13" w:rsidRPr="00DA3A94" w:rsidRDefault="00504D13" w:rsidP="00504D13">
      <w:pPr>
        <w:pStyle w:val="Heading2"/>
      </w:pPr>
      <w:bookmarkStart w:id="236" w:name="_Toc205884909"/>
      <w:r w:rsidRPr="00DA3A94">
        <w:t xml:space="preserve">Evaluating the </w:t>
      </w:r>
      <w:r w:rsidR="004C5562">
        <w:t>recommended option</w:t>
      </w:r>
      <w:r w:rsidRPr="00DA3A94">
        <w:t>s</w:t>
      </w:r>
      <w:bookmarkEnd w:id="236"/>
    </w:p>
    <w:p w14:paraId="60682D02" w14:textId="2443A7D9" w:rsidR="002C7ED8" w:rsidRDefault="00D01C2A" w:rsidP="002C7ED8">
      <w:r>
        <w:t xml:space="preserve">The recommended options will be monitored and evaluated over time by </w:t>
      </w:r>
      <w:r w:rsidR="00876E34">
        <w:t xml:space="preserve">governments </w:t>
      </w:r>
      <w:r>
        <w:t xml:space="preserve">and ACECQA, as part of their national oversight role in guiding the implementation and administration of the NQF and monitoring and promoting consistency in the outcomes of its implementation and administration. </w:t>
      </w:r>
      <w:r w:rsidR="002C7ED8">
        <w:t xml:space="preserve">A nested evaluation (or multi-layered evaluation) is recommended to assess both the individual impact of recommended option(s) as well as the </w:t>
      </w:r>
      <w:r w:rsidR="002C7ED8">
        <w:lastRenderedPageBreak/>
        <w:t>collective impact of implementing a series of child safety reforms on child safety</w:t>
      </w:r>
      <w:r w:rsidR="00503A64">
        <w:t xml:space="preserve"> outcomes</w:t>
      </w:r>
      <w:r w:rsidR="002C7ED8">
        <w:t xml:space="preserve">. This approach </w:t>
      </w:r>
      <w:r w:rsidR="00F16F61">
        <w:t>is</w:t>
      </w:r>
      <w:r w:rsidR="002C7ED8">
        <w:t xml:space="preserve"> suitable for multi-agency child safety reforms, where governance structures, community environments</w:t>
      </w:r>
      <w:r w:rsidR="00503A64">
        <w:t>,</w:t>
      </w:r>
      <w:r w:rsidR="002C7ED8">
        <w:t xml:space="preserve"> and provider contexts differ significantly.</w:t>
      </w:r>
      <w:r w:rsidR="000F44DE">
        <w:t xml:space="preserve"> </w:t>
      </w:r>
      <w:r w:rsidR="00F16F61">
        <w:t>Nested evaluations allow evaluators to monitor how recommended options are implemented across different settings, investigate how mechanisms of change may vary across contexts</w:t>
      </w:r>
      <w:r w:rsidR="0021124A">
        <w:t xml:space="preserve"> and integrate process</w:t>
      </w:r>
      <w:r w:rsidR="00503A64">
        <w:t>,</w:t>
      </w:r>
      <w:r w:rsidR="0021124A">
        <w:t xml:space="preserve"> and impact evaluations within one coherent framework. </w:t>
      </w:r>
    </w:p>
    <w:p w14:paraId="09FFC3C4" w14:textId="4856E8E6" w:rsidR="003E7B2A" w:rsidRDefault="004A6C6A" w:rsidP="00BC5B20">
      <w:r>
        <w:t xml:space="preserve">Noting the challenges in measuring success outlined in Chapter 2, a full evaluation plan will be developed in line with the implementation plan outlined in the section above. </w:t>
      </w:r>
      <w:r w:rsidR="00CE6145">
        <w:t>The evaluation plan will include the following components:</w:t>
      </w:r>
    </w:p>
    <w:p w14:paraId="7F266AAD" w14:textId="117B6D61" w:rsidR="00CE6145" w:rsidRDefault="00FF2123" w:rsidP="00480FE5">
      <w:pPr>
        <w:pStyle w:val="ListParagraph"/>
        <w:numPr>
          <w:ilvl w:val="0"/>
          <w:numId w:val="125"/>
        </w:numPr>
      </w:pPr>
      <w:r>
        <w:t xml:space="preserve">An overarching theory of change </w:t>
      </w:r>
      <w:r w:rsidR="00D01C2A">
        <w:t>which will explains how the series of recommended options within reform areas are expected to lead to desired outcomes</w:t>
      </w:r>
    </w:p>
    <w:p w14:paraId="1282C3D9" w14:textId="0CADE50E" w:rsidR="00D01C2A" w:rsidRDefault="00D01C2A" w:rsidP="00480FE5">
      <w:pPr>
        <w:pStyle w:val="ListParagraph"/>
        <w:numPr>
          <w:ilvl w:val="0"/>
          <w:numId w:val="125"/>
        </w:numPr>
      </w:pPr>
      <w:r>
        <w:t>A program logic model (system-level and individual program logic models) which explains the link between inputs, activities, outputs</w:t>
      </w:r>
      <w:r w:rsidR="00783F8C">
        <w:t>,</w:t>
      </w:r>
      <w:r>
        <w:t xml:space="preserve"> and outcomes (</w:t>
      </w:r>
      <w:r w:rsidR="007B2152">
        <w:t>short-, medium- and long-term</w:t>
      </w:r>
      <w:r>
        <w:t xml:space="preserve"> outcomes)</w:t>
      </w:r>
    </w:p>
    <w:p w14:paraId="0B72E74E" w14:textId="6316532E" w:rsidR="00D01C2A" w:rsidRDefault="00D01C2A" w:rsidP="00480FE5">
      <w:pPr>
        <w:pStyle w:val="ListParagraph"/>
        <w:numPr>
          <w:ilvl w:val="0"/>
          <w:numId w:val="125"/>
        </w:numPr>
      </w:pPr>
      <w:r>
        <w:t>A series of evaluation questions (see below) which define the scope and focus of the evaluation which will seek to test the assumptions within the program logic models.</w:t>
      </w:r>
    </w:p>
    <w:p w14:paraId="30F0847E" w14:textId="46535AC8" w:rsidR="00D01C2A" w:rsidRDefault="00783F8C" w:rsidP="00480FE5">
      <w:pPr>
        <w:pStyle w:val="ListParagraph"/>
        <w:numPr>
          <w:ilvl w:val="0"/>
          <w:numId w:val="125"/>
        </w:numPr>
      </w:pPr>
      <w:r>
        <w:t>A p</w:t>
      </w:r>
      <w:r w:rsidR="00D01C2A">
        <w:t>erformance indicator framework which identifies measures which will be used to determine performance against each of the evaluation questions. The framework will be informed by both qualitative and quantitative data gathered from both primary data collection and secondary data sources (see below for more information on data sources).</w:t>
      </w:r>
    </w:p>
    <w:p w14:paraId="2EA73B95" w14:textId="6B51A9AD" w:rsidR="00C70501" w:rsidRDefault="00C85FAA" w:rsidP="00C85FAA">
      <w:r>
        <w:t>The</w:t>
      </w:r>
      <w:r w:rsidR="006C24F5">
        <w:t xml:space="preserve"> nested</w:t>
      </w:r>
      <w:r>
        <w:t xml:space="preserve"> evaluation would comprise three key components:</w:t>
      </w:r>
    </w:p>
    <w:p w14:paraId="17184079" w14:textId="4BCA1B65" w:rsidR="00C85FAA" w:rsidRDefault="00C85FAA" w:rsidP="00EC53AB">
      <w:pPr>
        <w:pStyle w:val="ListParagraph"/>
        <w:numPr>
          <w:ilvl w:val="0"/>
          <w:numId w:val="121"/>
        </w:numPr>
      </w:pPr>
      <w:r>
        <w:t>A</w:t>
      </w:r>
      <w:r w:rsidR="00E26CF5">
        <w:t xml:space="preserve"> short-term</w:t>
      </w:r>
      <w:r>
        <w:t xml:space="preserve"> </w:t>
      </w:r>
      <w:r w:rsidRPr="00F31863">
        <w:rPr>
          <w:b/>
        </w:rPr>
        <w:t>process evaluation</w:t>
      </w:r>
      <w:r>
        <w:t xml:space="preserve"> to assess the fidelity of the initial implementation of recommended options</w:t>
      </w:r>
      <w:r w:rsidR="00197CE4">
        <w:t>. The process evaluation is intended</w:t>
      </w:r>
      <w:r>
        <w:t xml:space="preserve"> to identify initial enablers and barriers </w:t>
      </w:r>
      <w:r w:rsidR="002C20F1">
        <w:t>and recommend corrective actions to address any identified issues</w:t>
      </w:r>
      <w:r w:rsidR="00197CE4">
        <w:t xml:space="preserve">. </w:t>
      </w:r>
      <w:r w:rsidR="00B96CA6">
        <w:t>Formative insights regarding the implementation of proposed options may support education and care services and providers to comply with regulatory changes and support stronger uptake of non-regulatory guidance.</w:t>
      </w:r>
    </w:p>
    <w:p w14:paraId="7CC42DB1" w14:textId="3B40742B" w:rsidR="00197CE4" w:rsidRDefault="00197CE4" w:rsidP="00EC53AB">
      <w:pPr>
        <w:pStyle w:val="ListParagraph"/>
        <w:numPr>
          <w:ilvl w:val="0"/>
          <w:numId w:val="121"/>
        </w:numPr>
      </w:pPr>
      <w:r>
        <w:t>A</w:t>
      </w:r>
      <w:r w:rsidR="00E26CF5">
        <w:t xml:space="preserve"> medium-term</w:t>
      </w:r>
      <w:r>
        <w:t xml:space="preserve"> </w:t>
      </w:r>
      <w:r w:rsidRPr="00F31863">
        <w:rPr>
          <w:b/>
        </w:rPr>
        <w:t>intermediate evaluation</w:t>
      </w:r>
      <w:r>
        <w:t xml:space="preserve"> to assess the progress of recommended options in supporting the achievement of t</w:t>
      </w:r>
      <w:r w:rsidR="009807CC">
        <w:t xml:space="preserve">he short- and medium-term outcomes and contributing to the </w:t>
      </w:r>
      <w:r w:rsidR="005F56BA">
        <w:t xml:space="preserve">NQF’s key objective of ensuring the safety, health and wellbeing of all children attending an approved education and care service.  </w:t>
      </w:r>
    </w:p>
    <w:p w14:paraId="3AE1D179" w14:textId="32B56F89" w:rsidR="00BD108A" w:rsidRDefault="009C1B6B" w:rsidP="00EC53AB">
      <w:pPr>
        <w:pStyle w:val="ListParagraph"/>
        <w:numPr>
          <w:ilvl w:val="0"/>
          <w:numId w:val="121"/>
        </w:numPr>
      </w:pPr>
      <w:r>
        <w:lastRenderedPageBreak/>
        <w:t xml:space="preserve">A long-term </w:t>
      </w:r>
      <w:r w:rsidR="00E26CF5">
        <w:rPr>
          <w:b/>
          <w:bCs/>
        </w:rPr>
        <w:t>impact</w:t>
      </w:r>
      <w:r>
        <w:rPr>
          <w:b/>
        </w:rPr>
        <w:t xml:space="preserve"> </w:t>
      </w:r>
      <w:r w:rsidRPr="00F31863">
        <w:rPr>
          <w:b/>
        </w:rPr>
        <w:t>evaluation</w:t>
      </w:r>
      <w:r>
        <w:t xml:space="preserve"> to assess the overall</w:t>
      </w:r>
      <w:r w:rsidR="00C668DB">
        <w:t xml:space="preserve"> impact of recommended options in achieving its key objective</w:t>
      </w:r>
      <w:r w:rsidR="00BD108A">
        <w:t xml:space="preserve">. This is ideally tested against a counterfactual of a scenario where recommended options were not implemented.  The outcome evaluation will also assess the </w:t>
      </w:r>
      <w:r w:rsidR="0012464D">
        <w:t xml:space="preserve">value for money and cost effectiveness of recommended changes. </w:t>
      </w:r>
    </w:p>
    <w:p w14:paraId="29303D68" w14:textId="043A133F" w:rsidR="001B11CC" w:rsidRPr="00B05AB6" w:rsidRDefault="00147C73" w:rsidP="0012464D">
      <w:r w:rsidRPr="00B05AB6">
        <w:t xml:space="preserve">Consistent with the objectives of the CSR, the purpose of the evaluation is to assess the degree to which the recommended options have </w:t>
      </w:r>
      <w:r w:rsidR="00A842AA">
        <w:t>contributed to</w:t>
      </w:r>
      <w:r w:rsidRPr="00B05AB6">
        <w:t xml:space="preserve"> the </w:t>
      </w:r>
      <w:r w:rsidR="00A842AA">
        <w:t xml:space="preserve">achievement of the </w:t>
      </w:r>
      <w:r w:rsidR="00FD6B20">
        <w:t>following overarching objectives</w:t>
      </w:r>
      <w:r w:rsidR="00B05AB6" w:rsidRPr="00B05AB6">
        <w:t>:</w:t>
      </w:r>
    </w:p>
    <w:p w14:paraId="667414A5" w14:textId="15E8FE27" w:rsidR="00B05AB6" w:rsidRPr="00B05AB6" w:rsidRDefault="003E6699" w:rsidP="00EC53AB">
      <w:pPr>
        <w:pStyle w:val="ListParagraph"/>
        <w:numPr>
          <w:ilvl w:val="0"/>
          <w:numId w:val="122"/>
        </w:numPr>
      </w:pPr>
      <w:r>
        <w:t>e</w:t>
      </w:r>
      <w:r w:rsidR="006C49B2">
        <w:t xml:space="preserve">stablishment of a child safe environment to </w:t>
      </w:r>
      <w:r w:rsidR="00D47276">
        <w:t>minimise</w:t>
      </w:r>
      <w:r w:rsidR="006C49B2">
        <w:t xml:space="preserve"> the</w:t>
      </w:r>
      <w:r w:rsidR="00FD6B20">
        <w:t xml:space="preserve"> risk of harm and hazard to children attending early childhood </w:t>
      </w:r>
      <w:r w:rsidR="00D47276">
        <w:t>education and care services</w:t>
      </w:r>
    </w:p>
    <w:p w14:paraId="39AED82F" w14:textId="77777777" w:rsidR="008D5298" w:rsidRDefault="003E6699" w:rsidP="008D5298">
      <w:pPr>
        <w:pStyle w:val="ListParagraph"/>
        <w:numPr>
          <w:ilvl w:val="0"/>
          <w:numId w:val="122"/>
        </w:numPr>
      </w:pPr>
      <w:r>
        <w:t>reduced harm, abuse and neglect</w:t>
      </w:r>
      <w:r w:rsidR="008D5298">
        <w:t xml:space="preserve"> in approved early childhood education and care service settings</w:t>
      </w:r>
    </w:p>
    <w:p w14:paraId="0F3DE0C1" w14:textId="7877BDA1" w:rsidR="00D47276" w:rsidRPr="00B05AB6" w:rsidRDefault="008D5298" w:rsidP="00B05AB6">
      <w:pPr>
        <w:pStyle w:val="ListParagraph"/>
        <w:numPr>
          <w:ilvl w:val="0"/>
          <w:numId w:val="122"/>
        </w:numPr>
      </w:pPr>
      <w:r>
        <w:t>the current child s</w:t>
      </w:r>
      <w:r w:rsidR="00C2440A">
        <w:t>afety provisions and arrangements are better aligned with contemporary best practice international standards for child safe environments in early childhood education and care services settings.</w:t>
      </w:r>
    </w:p>
    <w:p w14:paraId="7946ABE3" w14:textId="390D9388" w:rsidR="00B96CA6" w:rsidRDefault="00B96CA6" w:rsidP="000C4042">
      <w:r>
        <w:t xml:space="preserve">The list of evaluation questions </w:t>
      </w:r>
      <w:r w:rsidR="00247FD5">
        <w:t xml:space="preserve">provided in </w:t>
      </w:r>
      <w:r w:rsidR="00CC65E7">
        <w:t>Table 11.3</w:t>
      </w:r>
      <w:r>
        <w:t xml:space="preserve"> are mapped to the relevant type(s) of evaluation</w:t>
      </w:r>
      <w:r w:rsidR="00247FD5">
        <w:t xml:space="preserve">. </w:t>
      </w:r>
      <w:r w:rsidR="006C24F5">
        <w:t>Evaluation questions have been</w:t>
      </w:r>
      <w:r w:rsidR="00247FD5">
        <w:t xml:space="preserve"> grouped into three </w:t>
      </w:r>
      <w:r>
        <w:t>key evaluation domain</w:t>
      </w:r>
      <w:r w:rsidR="00C42A4F">
        <w:t>s:</w:t>
      </w:r>
    </w:p>
    <w:p w14:paraId="143FF155" w14:textId="1B0F7667" w:rsidR="00C42A4F" w:rsidRDefault="005D04A1" w:rsidP="00480FE5">
      <w:pPr>
        <w:pStyle w:val="ListParagraph"/>
        <w:numPr>
          <w:ilvl w:val="0"/>
          <w:numId w:val="124"/>
        </w:numPr>
      </w:pPr>
      <w:r>
        <w:t>Design – examining the degree to which the design of the recommended option(s)</w:t>
      </w:r>
      <w:r w:rsidR="00F22C87">
        <w:t xml:space="preserve"> is appropriate to meet its</w:t>
      </w:r>
      <w:r>
        <w:t xml:space="preserve"> overarching objectives</w:t>
      </w:r>
      <w:r w:rsidR="00F22C87">
        <w:t>.</w:t>
      </w:r>
    </w:p>
    <w:p w14:paraId="39659911" w14:textId="73059641" w:rsidR="00F22C87" w:rsidRDefault="00F22C87" w:rsidP="00480FE5">
      <w:pPr>
        <w:pStyle w:val="ListParagraph"/>
        <w:numPr>
          <w:ilvl w:val="0"/>
          <w:numId w:val="124"/>
        </w:numPr>
      </w:pPr>
      <w:r>
        <w:t>Efficiency – examining the degree to which the recommended option(s) were</w:t>
      </w:r>
      <w:r w:rsidR="0092177F">
        <w:t xml:space="preserve"> implemented efficiently and effectively.</w:t>
      </w:r>
    </w:p>
    <w:p w14:paraId="27C39EF5" w14:textId="0EAE606B" w:rsidR="0092177F" w:rsidRDefault="0092177F" w:rsidP="00480FE5">
      <w:pPr>
        <w:pStyle w:val="ListParagraph"/>
        <w:numPr>
          <w:ilvl w:val="0"/>
          <w:numId w:val="124"/>
        </w:numPr>
      </w:pPr>
      <w:r>
        <w:t xml:space="preserve">Impact </w:t>
      </w:r>
      <w:r w:rsidR="00AB7F99">
        <w:t>–</w:t>
      </w:r>
      <w:r>
        <w:t xml:space="preserve"> </w:t>
      </w:r>
      <w:r w:rsidR="00AB7F99">
        <w:t xml:space="preserve">examining the degree to which the objectives of the recommended option(s) were achieved and the impact it had. This will also consider the magnitude and distribution of the impacts observed, the extent to which they could be directly attributed to the recommended option(s) and the cost effectiveness of the recommended option(s) as a whole. </w:t>
      </w:r>
    </w:p>
    <w:p w14:paraId="66978069" w14:textId="3B3E0850" w:rsidR="00C42A4F" w:rsidRPr="00C42A4F" w:rsidRDefault="00C42A4F" w:rsidP="000C4042">
      <w:pPr>
        <w:rPr>
          <w:i/>
          <w:iCs/>
          <w:color w:val="14233C" w:themeColor="text2"/>
          <w:sz w:val="18"/>
          <w:szCs w:val="18"/>
        </w:rPr>
      </w:pPr>
      <w:r w:rsidRPr="00C42A4F">
        <w:rPr>
          <w:i/>
          <w:iCs/>
          <w:color w:val="14233C" w:themeColor="text2"/>
          <w:sz w:val="18"/>
          <w:szCs w:val="18"/>
        </w:rPr>
        <w:t>Table 11.</w:t>
      </w:r>
      <w:r w:rsidR="00C30662">
        <w:rPr>
          <w:i/>
          <w:iCs/>
          <w:color w:val="14233C" w:themeColor="text2"/>
          <w:sz w:val="18"/>
          <w:szCs w:val="18"/>
        </w:rPr>
        <w:t>3</w:t>
      </w:r>
      <w:r w:rsidRPr="00C42A4F">
        <w:rPr>
          <w:i/>
          <w:iCs/>
          <w:color w:val="14233C" w:themeColor="text2"/>
          <w:sz w:val="18"/>
          <w:szCs w:val="18"/>
        </w:rPr>
        <w:t>: Evaluation questions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11.3: Evaluation questions"/>
        <w:tblDescription w:val="This table outlines potential evaluation questions."/>
      </w:tblPr>
      <w:tblGrid>
        <w:gridCol w:w="1270"/>
        <w:gridCol w:w="1458"/>
        <w:gridCol w:w="6282"/>
      </w:tblGrid>
      <w:tr w:rsidR="00247FD5" w:rsidRPr="00000B4B" w:rsidDel="009459AB" w14:paraId="693039F8" w14:textId="77777777" w:rsidTr="009076BE">
        <w:trPr>
          <w:cantSplit/>
          <w:trHeight w:val="433"/>
          <w:tblHeader/>
        </w:trPr>
        <w:tc>
          <w:tcPr>
            <w:tcW w:w="705" w:type="pct"/>
            <w:shd w:val="clear" w:color="auto" w:fill="14233C" w:themeFill="text2"/>
          </w:tcPr>
          <w:p w14:paraId="04B45139" w14:textId="38F53886" w:rsidR="00247FD5" w:rsidRPr="00000B4B" w:rsidRDefault="00247FD5" w:rsidP="009076BE">
            <w:pPr>
              <w:spacing w:line="240" w:lineRule="auto"/>
              <w:rPr>
                <w:b/>
                <w:color w:val="FFFFFF" w:themeColor="background1"/>
                <w:sz w:val="20"/>
                <w:szCs w:val="18"/>
              </w:rPr>
            </w:pPr>
            <w:r>
              <w:rPr>
                <w:b/>
                <w:color w:val="FFFFFF" w:themeColor="background1"/>
                <w:sz w:val="20"/>
                <w:szCs w:val="18"/>
              </w:rPr>
              <w:t>Evaluation domain</w:t>
            </w:r>
          </w:p>
        </w:tc>
        <w:tc>
          <w:tcPr>
            <w:tcW w:w="809" w:type="pct"/>
            <w:shd w:val="clear" w:color="auto" w:fill="14233C" w:themeFill="text2"/>
          </w:tcPr>
          <w:p w14:paraId="149C9934" w14:textId="76CE52B1" w:rsidR="00247FD5" w:rsidRPr="00000B4B" w:rsidRDefault="00247FD5" w:rsidP="009076BE">
            <w:pPr>
              <w:spacing w:line="240" w:lineRule="auto"/>
              <w:jc w:val="center"/>
              <w:rPr>
                <w:b/>
                <w:color w:val="FFFFFF" w:themeColor="background1"/>
                <w:sz w:val="20"/>
                <w:szCs w:val="18"/>
              </w:rPr>
            </w:pPr>
            <w:r>
              <w:rPr>
                <w:b/>
                <w:color w:val="FFFFFF" w:themeColor="background1"/>
                <w:sz w:val="20"/>
                <w:szCs w:val="18"/>
              </w:rPr>
              <w:t>Evaluation type</w:t>
            </w:r>
          </w:p>
        </w:tc>
        <w:tc>
          <w:tcPr>
            <w:tcW w:w="3486" w:type="pct"/>
            <w:shd w:val="clear" w:color="auto" w:fill="14233C" w:themeFill="text2"/>
          </w:tcPr>
          <w:p w14:paraId="2BB21083" w14:textId="79FEF03E" w:rsidR="00247FD5" w:rsidRPr="00000B4B" w:rsidDel="009459AB" w:rsidRDefault="00247FD5" w:rsidP="009076BE">
            <w:pPr>
              <w:spacing w:line="240" w:lineRule="auto"/>
              <w:jc w:val="center"/>
              <w:rPr>
                <w:b/>
                <w:color w:val="FFFFFF" w:themeColor="background1"/>
                <w:sz w:val="20"/>
                <w:szCs w:val="18"/>
              </w:rPr>
            </w:pPr>
            <w:r>
              <w:rPr>
                <w:b/>
                <w:color w:val="FFFFFF" w:themeColor="background1"/>
                <w:sz w:val="20"/>
                <w:szCs w:val="18"/>
              </w:rPr>
              <w:t>Evaluation question</w:t>
            </w:r>
          </w:p>
        </w:tc>
      </w:tr>
      <w:tr w:rsidR="001F2CEC" w:rsidRPr="00000B4B" w:rsidDel="009459AB" w14:paraId="78F3D295" w14:textId="77777777" w:rsidTr="009076BE">
        <w:tc>
          <w:tcPr>
            <w:tcW w:w="705" w:type="pct"/>
            <w:vMerge w:val="restart"/>
          </w:tcPr>
          <w:p w14:paraId="25C7D8FD" w14:textId="56146C09" w:rsidR="001F2CEC" w:rsidRPr="00247FD5" w:rsidRDefault="001F2CEC" w:rsidP="009076BE">
            <w:pPr>
              <w:spacing w:line="240" w:lineRule="auto"/>
              <w:rPr>
                <w:b/>
                <w:sz w:val="20"/>
                <w:szCs w:val="18"/>
              </w:rPr>
            </w:pPr>
            <w:r w:rsidRPr="00247FD5">
              <w:rPr>
                <w:b/>
                <w:sz w:val="20"/>
                <w:szCs w:val="18"/>
              </w:rPr>
              <w:t>Des</w:t>
            </w:r>
            <w:r>
              <w:rPr>
                <w:b/>
                <w:sz w:val="20"/>
                <w:szCs w:val="18"/>
              </w:rPr>
              <w:t>ign</w:t>
            </w:r>
          </w:p>
        </w:tc>
        <w:tc>
          <w:tcPr>
            <w:tcW w:w="809" w:type="pct"/>
          </w:tcPr>
          <w:p w14:paraId="7EDC30CE" w14:textId="761CE2EC" w:rsidR="001F2CEC" w:rsidRPr="00247FD5" w:rsidRDefault="001F2CEC" w:rsidP="009076BE">
            <w:pPr>
              <w:spacing w:line="240" w:lineRule="auto"/>
              <w:jc w:val="center"/>
              <w:rPr>
                <w:b/>
                <w:sz w:val="20"/>
                <w:szCs w:val="18"/>
              </w:rPr>
            </w:pPr>
            <w:r>
              <w:rPr>
                <w:b/>
                <w:sz w:val="20"/>
                <w:szCs w:val="18"/>
              </w:rPr>
              <w:t>Impact evaluation</w:t>
            </w:r>
          </w:p>
        </w:tc>
        <w:tc>
          <w:tcPr>
            <w:tcW w:w="3486" w:type="pct"/>
          </w:tcPr>
          <w:p w14:paraId="77BB58EF" w14:textId="6458E6FA" w:rsidR="001F2CEC" w:rsidRDefault="001F2CEC" w:rsidP="009076BE">
            <w:pPr>
              <w:pStyle w:val="ListParagraph"/>
              <w:numPr>
                <w:ilvl w:val="0"/>
                <w:numId w:val="123"/>
              </w:numPr>
              <w:spacing w:line="240" w:lineRule="auto"/>
              <w:rPr>
                <w:bCs/>
                <w:sz w:val="20"/>
                <w:szCs w:val="18"/>
              </w:rPr>
            </w:pPr>
            <w:r w:rsidRPr="00C730FD">
              <w:rPr>
                <w:bCs/>
                <w:sz w:val="20"/>
                <w:szCs w:val="18"/>
              </w:rPr>
              <w:t xml:space="preserve">How appropriate </w:t>
            </w:r>
            <w:r w:rsidR="00240767">
              <w:rPr>
                <w:bCs/>
                <w:sz w:val="20"/>
                <w:szCs w:val="18"/>
              </w:rPr>
              <w:t>is</w:t>
            </w:r>
            <w:r w:rsidRPr="00C730FD">
              <w:rPr>
                <w:bCs/>
                <w:sz w:val="20"/>
                <w:szCs w:val="18"/>
              </w:rPr>
              <w:t xml:space="preserve"> the design of the recommended option(s)</w:t>
            </w:r>
            <w:r>
              <w:rPr>
                <w:bCs/>
                <w:sz w:val="20"/>
                <w:szCs w:val="18"/>
              </w:rPr>
              <w:t xml:space="preserve"> in addressing the problem or opportunity?</w:t>
            </w:r>
          </w:p>
          <w:p w14:paraId="4C05993F" w14:textId="77777777" w:rsidR="001F2CEC" w:rsidRDefault="001F2CEC" w:rsidP="009076BE">
            <w:pPr>
              <w:pStyle w:val="ListParagraph"/>
              <w:numPr>
                <w:ilvl w:val="0"/>
                <w:numId w:val="123"/>
              </w:numPr>
              <w:spacing w:line="240" w:lineRule="auto"/>
              <w:rPr>
                <w:bCs/>
                <w:sz w:val="20"/>
                <w:szCs w:val="18"/>
              </w:rPr>
            </w:pPr>
            <w:r>
              <w:rPr>
                <w:bCs/>
                <w:sz w:val="20"/>
                <w:szCs w:val="18"/>
              </w:rPr>
              <w:t>To what extent have changes in the nature and magnitude of the problem during the implementation period warranted a change in the design of the recommended option(s)?</w:t>
            </w:r>
          </w:p>
          <w:p w14:paraId="64DFA4D2" w14:textId="258CE1EB" w:rsidR="001F2CEC" w:rsidRDefault="001F2CEC" w:rsidP="009076BE">
            <w:pPr>
              <w:pStyle w:val="ListParagraph"/>
              <w:numPr>
                <w:ilvl w:val="0"/>
                <w:numId w:val="123"/>
              </w:numPr>
              <w:spacing w:line="240" w:lineRule="auto"/>
              <w:rPr>
                <w:bCs/>
                <w:sz w:val="20"/>
                <w:szCs w:val="18"/>
              </w:rPr>
            </w:pPr>
            <w:r>
              <w:rPr>
                <w:bCs/>
                <w:sz w:val="20"/>
                <w:szCs w:val="18"/>
              </w:rPr>
              <w:lastRenderedPageBreak/>
              <w:t>To what extent is the rationale for government intervention via regulatory changes (for relevant reform areas) still appropriate? Why / why not?</w:t>
            </w:r>
          </w:p>
          <w:p w14:paraId="6049594D" w14:textId="58E191D6" w:rsidR="001F2CEC" w:rsidRPr="004E79B9" w:rsidRDefault="001F2CEC" w:rsidP="009076BE">
            <w:pPr>
              <w:pStyle w:val="ListParagraph"/>
              <w:numPr>
                <w:ilvl w:val="0"/>
                <w:numId w:val="123"/>
              </w:numPr>
              <w:spacing w:line="240" w:lineRule="auto"/>
              <w:rPr>
                <w:bCs/>
                <w:sz w:val="20"/>
                <w:szCs w:val="18"/>
              </w:rPr>
            </w:pPr>
            <w:r>
              <w:rPr>
                <w:bCs/>
                <w:sz w:val="20"/>
                <w:szCs w:val="18"/>
              </w:rPr>
              <w:t xml:space="preserve">To what extent do the design of recommended option(s) align with best practice international standards for child safe environments in </w:t>
            </w:r>
            <w:r w:rsidR="008A3163">
              <w:rPr>
                <w:bCs/>
                <w:sz w:val="20"/>
                <w:szCs w:val="18"/>
              </w:rPr>
              <w:t>education</w:t>
            </w:r>
            <w:r>
              <w:rPr>
                <w:bCs/>
                <w:sz w:val="20"/>
                <w:szCs w:val="18"/>
              </w:rPr>
              <w:t xml:space="preserve"> and care services settings?</w:t>
            </w:r>
          </w:p>
        </w:tc>
      </w:tr>
      <w:tr w:rsidR="001F2CEC" w:rsidRPr="00000B4B" w:rsidDel="009459AB" w14:paraId="1B38FEE7" w14:textId="77777777" w:rsidTr="009076BE">
        <w:tc>
          <w:tcPr>
            <w:tcW w:w="705" w:type="pct"/>
            <w:vMerge/>
          </w:tcPr>
          <w:p w14:paraId="3B9AD3EE" w14:textId="77777777" w:rsidR="001F2CEC" w:rsidRPr="00247FD5" w:rsidRDefault="001F2CEC" w:rsidP="009076BE">
            <w:pPr>
              <w:spacing w:line="240" w:lineRule="auto"/>
              <w:rPr>
                <w:b/>
                <w:sz w:val="20"/>
                <w:szCs w:val="18"/>
              </w:rPr>
            </w:pPr>
          </w:p>
        </w:tc>
        <w:tc>
          <w:tcPr>
            <w:tcW w:w="809" w:type="pct"/>
          </w:tcPr>
          <w:p w14:paraId="3DC13531" w14:textId="35A78497" w:rsidR="001F2CEC" w:rsidRDefault="001F2CEC" w:rsidP="009076BE">
            <w:pPr>
              <w:spacing w:line="240" w:lineRule="auto"/>
              <w:jc w:val="center"/>
              <w:rPr>
                <w:b/>
                <w:sz w:val="20"/>
                <w:szCs w:val="18"/>
              </w:rPr>
            </w:pPr>
            <w:r>
              <w:rPr>
                <w:b/>
                <w:sz w:val="20"/>
                <w:szCs w:val="18"/>
              </w:rPr>
              <w:t>All evaluations</w:t>
            </w:r>
          </w:p>
        </w:tc>
        <w:tc>
          <w:tcPr>
            <w:tcW w:w="3486" w:type="pct"/>
          </w:tcPr>
          <w:p w14:paraId="2E2EDE65" w14:textId="2589DD49" w:rsidR="001F2CEC" w:rsidRDefault="001F2CEC" w:rsidP="009076BE">
            <w:pPr>
              <w:pStyle w:val="ListParagraph"/>
              <w:numPr>
                <w:ilvl w:val="0"/>
                <w:numId w:val="123"/>
              </w:numPr>
              <w:spacing w:line="240" w:lineRule="auto"/>
              <w:rPr>
                <w:bCs/>
                <w:sz w:val="20"/>
                <w:szCs w:val="18"/>
              </w:rPr>
            </w:pPr>
            <w:r>
              <w:rPr>
                <w:bCs/>
                <w:sz w:val="20"/>
                <w:szCs w:val="18"/>
              </w:rPr>
              <w:t xml:space="preserve">To what extent </w:t>
            </w:r>
            <w:r w:rsidR="008A3163">
              <w:rPr>
                <w:bCs/>
                <w:sz w:val="20"/>
                <w:szCs w:val="18"/>
              </w:rPr>
              <w:t xml:space="preserve">are </w:t>
            </w:r>
            <w:r>
              <w:rPr>
                <w:bCs/>
                <w:sz w:val="20"/>
                <w:szCs w:val="18"/>
              </w:rPr>
              <w:t>the objectives of recommended option(s) clear and consistent?</w:t>
            </w:r>
          </w:p>
          <w:p w14:paraId="4D7A2B30" w14:textId="77777777" w:rsidR="001F2CEC" w:rsidRDefault="001F2CEC" w:rsidP="009076BE">
            <w:pPr>
              <w:pStyle w:val="ListParagraph"/>
              <w:numPr>
                <w:ilvl w:val="0"/>
                <w:numId w:val="123"/>
              </w:numPr>
              <w:spacing w:line="240" w:lineRule="auto"/>
              <w:rPr>
                <w:bCs/>
                <w:sz w:val="20"/>
                <w:szCs w:val="18"/>
              </w:rPr>
            </w:pPr>
            <w:r>
              <w:rPr>
                <w:bCs/>
                <w:sz w:val="20"/>
                <w:szCs w:val="18"/>
              </w:rPr>
              <w:t xml:space="preserve">To what extent </w:t>
            </w:r>
            <w:r w:rsidR="00240767">
              <w:rPr>
                <w:bCs/>
                <w:sz w:val="20"/>
                <w:szCs w:val="18"/>
              </w:rPr>
              <w:t>are</w:t>
            </w:r>
            <w:r>
              <w:rPr>
                <w:bCs/>
                <w:sz w:val="20"/>
                <w:szCs w:val="18"/>
              </w:rPr>
              <w:t xml:space="preserve"> there clear evidence-based links between the recommended option(s)’s inputs, activities and its expected outcomes?</w:t>
            </w:r>
          </w:p>
          <w:p w14:paraId="5B71A6C0" w14:textId="77777777" w:rsidR="001F2CEC" w:rsidRDefault="001F2CEC" w:rsidP="009076BE">
            <w:pPr>
              <w:pStyle w:val="ListParagraph"/>
              <w:numPr>
                <w:ilvl w:val="0"/>
                <w:numId w:val="123"/>
              </w:numPr>
              <w:spacing w:line="240" w:lineRule="auto"/>
              <w:rPr>
                <w:bCs/>
                <w:sz w:val="20"/>
                <w:szCs w:val="18"/>
              </w:rPr>
            </w:pPr>
            <w:r>
              <w:rPr>
                <w:bCs/>
                <w:sz w:val="20"/>
                <w:szCs w:val="18"/>
              </w:rPr>
              <w:t>To what extent were recommended option(s) adequately resourced to be implemented consistent with initial design decisions?</w:t>
            </w:r>
          </w:p>
          <w:p w14:paraId="5C456BAF" w14:textId="59C65C11" w:rsidR="001F2CEC" w:rsidRDefault="001F2CEC" w:rsidP="009076BE">
            <w:pPr>
              <w:pStyle w:val="ListParagraph"/>
              <w:numPr>
                <w:ilvl w:val="0"/>
                <w:numId w:val="123"/>
              </w:numPr>
              <w:spacing w:line="240" w:lineRule="auto"/>
              <w:rPr>
                <w:bCs/>
                <w:sz w:val="20"/>
                <w:szCs w:val="18"/>
              </w:rPr>
            </w:pPr>
            <w:r>
              <w:rPr>
                <w:bCs/>
                <w:sz w:val="20"/>
                <w:szCs w:val="18"/>
              </w:rPr>
              <w:t xml:space="preserve">Have any changes or improvements been made to the design of the recommended option(s) since its initial implementation (for example, as a result of continuous improvements or earlier evaluations)? How effective </w:t>
            </w:r>
            <w:r w:rsidR="00240767">
              <w:rPr>
                <w:bCs/>
                <w:sz w:val="20"/>
                <w:szCs w:val="18"/>
              </w:rPr>
              <w:t>are</w:t>
            </w:r>
            <w:r>
              <w:rPr>
                <w:bCs/>
                <w:sz w:val="20"/>
                <w:szCs w:val="18"/>
              </w:rPr>
              <w:t xml:space="preserve"> these changes?</w:t>
            </w:r>
            <w:r w:rsidRPr="004A74D1">
              <w:rPr>
                <w:bCs/>
                <w:sz w:val="20"/>
                <w:szCs w:val="18"/>
              </w:rPr>
              <w:t xml:space="preserve"> </w:t>
            </w:r>
          </w:p>
          <w:p w14:paraId="7633C4AA" w14:textId="77F3091B" w:rsidR="001F2CEC" w:rsidRDefault="001F2CEC" w:rsidP="009076BE">
            <w:pPr>
              <w:pStyle w:val="ListParagraph"/>
              <w:numPr>
                <w:ilvl w:val="0"/>
                <w:numId w:val="123"/>
              </w:numPr>
              <w:spacing w:line="240" w:lineRule="auto"/>
              <w:rPr>
                <w:bCs/>
                <w:sz w:val="20"/>
                <w:szCs w:val="18"/>
              </w:rPr>
            </w:pPr>
            <w:r>
              <w:rPr>
                <w:bCs/>
                <w:sz w:val="20"/>
                <w:szCs w:val="18"/>
              </w:rPr>
              <w:t xml:space="preserve">To what extent </w:t>
            </w:r>
            <w:r w:rsidR="00240767">
              <w:rPr>
                <w:bCs/>
                <w:sz w:val="20"/>
                <w:szCs w:val="18"/>
              </w:rPr>
              <w:t>are</w:t>
            </w:r>
            <w:r>
              <w:rPr>
                <w:bCs/>
                <w:sz w:val="20"/>
                <w:szCs w:val="18"/>
              </w:rPr>
              <w:t xml:space="preserve"> governance arrangements for the implementation of recommended option(s) effective?</w:t>
            </w:r>
          </w:p>
          <w:p w14:paraId="416277D9" w14:textId="0F21CCCD" w:rsidR="001F2CEC" w:rsidRDefault="00240767" w:rsidP="009076BE">
            <w:pPr>
              <w:pStyle w:val="ListParagraph"/>
              <w:numPr>
                <w:ilvl w:val="1"/>
                <w:numId w:val="123"/>
              </w:numPr>
              <w:spacing w:line="240" w:lineRule="auto"/>
              <w:rPr>
                <w:bCs/>
                <w:sz w:val="20"/>
                <w:szCs w:val="18"/>
              </w:rPr>
            </w:pPr>
            <w:r>
              <w:rPr>
                <w:bCs/>
                <w:sz w:val="20"/>
                <w:szCs w:val="18"/>
              </w:rPr>
              <w:t>Are</w:t>
            </w:r>
            <w:r w:rsidR="001F2CEC">
              <w:rPr>
                <w:bCs/>
                <w:sz w:val="20"/>
                <w:szCs w:val="18"/>
              </w:rPr>
              <w:t xml:space="preserve"> the roles and responsibilities of all parties involved in the administration of recommended option(s) clearly defined?</w:t>
            </w:r>
          </w:p>
          <w:p w14:paraId="38226993" w14:textId="10002269" w:rsidR="001F2CEC" w:rsidRPr="001F2CEC" w:rsidRDefault="00240767" w:rsidP="009076BE">
            <w:pPr>
              <w:pStyle w:val="ListParagraph"/>
              <w:numPr>
                <w:ilvl w:val="1"/>
                <w:numId w:val="123"/>
              </w:numPr>
              <w:spacing w:line="240" w:lineRule="auto"/>
              <w:rPr>
                <w:bCs/>
                <w:sz w:val="20"/>
                <w:szCs w:val="18"/>
              </w:rPr>
            </w:pPr>
            <w:r>
              <w:rPr>
                <w:bCs/>
                <w:sz w:val="20"/>
                <w:szCs w:val="18"/>
              </w:rPr>
              <w:t>Are</w:t>
            </w:r>
            <w:r w:rsidR="001F2CEC">
              <w:rPr>
                <w:bCs/>
                <w:sz w:val="20"/>
                <w:szCs w:val="18"/>
              </w:rPr>
              <w:t xml:space="preserve"> the lines of accountability clear for all parties involved in the administration of the recommended option(s)?</w:t>
            </w:r>
          </w:p>
        </w:tc>
      </w:tr>
      <w:tr w:rsidR="00240767" w:rsidRPr="00000B4B" w:rsidDel="009459AB" w14:paraId="5FDC9DD8" w14:textId="77777777" w:rsidTr="009076BE">
        <w:tc>
          <w:tcPr>
            <w:tcW w:w="705" w:type="pct"/>
            <w:vMerge w:val="restart"/>
          </w:tcPr>
          <w:p w14:paraId="1127EA26" w14:textId="37D244A8" w:rsidR="00240767" w:rsidRPr="00247FD5" w:rsidRDefault="00240767" w:rsidP="009076BE">
            <w:pPr>
              <w:spacing w:line="240" w:lineRule="auto"/>
              <w:rPr>
                <w:b/>
                <w:sz w:val="20"/>
                <w:szCs w:val="18"/>
              </w:rPr>
            </w:pPr>
            <w:r>
              <w:rPr>
                <w:b/>
                <w:sz w:val="20"/>
                <w:szCs w:val="18"/>
              </w:rPr>
              <w:t>Efficiency</w:t>
            </w:r>
          </w:p>
        </w:tc>
        <w:tc>
          <w:tcPr>
            <w:tcW w:w="809" w:type="pct"/>
          </w:tcPr>
          <w:p w14:paraId="434E6BC7" w14:textId="3C5E0E71" w:rsidR="00240767" w:rsidRDefault="00240767" w:rsidP="009076BE">
            <w:pPr>
              <w:spacing w:line="240" w:lineRule="auto"/>
              <w:jc w:val="center"/>
              <w:rPr>
                <w:b/>
                <w:sz w:val="20"/>
                <w:szCs w:val="18"/>
              </w:rPr>
            </w:pPr>
            <w:r>
              <w:rPr>
                <w:b/>
                <w:sz w:val="20"/>
                <w:szCs w:val="18"/>
              </w:rPr>
              <w:t>Process evaluation</w:t>
            </w:r>
          </w:p>
        </w:tc>
        <w:tc>
          <w:tcPr>
            <w:tcW w:w="3486" w:type="pct"/>
          </w:tcPr>
          <w:p w14:paraId="2C8A87EF" w14:textId="1C98DF53" w:rsidR="00240767" w:rsidRDefault="00240767" w:rsidP="009076BE">
            <w:pPr>
              <w:pStyle w:val="ListParagraph"/>
              <w:numPr>
                <w:ilvl w:val="0"/>
                <w:numId w:val="123"/>
              </w:numPr>
              <w:spacing w:line="240" w:lineRule="auto"/>
              <w:rPr>
                <w:bCs/>
                <w:sz w:val="20"/>
                <w:szCs w:val="18"/>
              </w:rPr>
            </w:pPr>
            <w:r>
              <w:rPr>
                <w:bCs/>
                <w:sz w:val="20"/>
                <w:szCs w:val="18"/>
              </w:rPr>
              <w:t xml:space="preserve">To what extent </w:t>
            </w:r>
            <w:r w:rsidR="00876E34">
              <w:rPr>
                <w:bCs/>
                <w:sz w:val="20"/>
                <w:szCs w:val="18"/>
              </w:rPr>
              <w:t>has</w:t>
            </w:r>
            <w:r w:rsidR="008A3163">
              <w:rPr>
                <w:bCs/>
                <w:sz w:val="20"/>
                <w:szCs w:val="18"/>
              </w:rPr>
              <w:t xml:space="preserve"> </w:t>
            </w:r>
            <w:r>
              <w:rPr>
                <w:bCs/>
                <w:sz w:val="20"/>
                <w:szCs w:val="18"/>
              </w:rPr>
              <w:t xml:space="preserve">recommended option(s) implemented </w:t>
            </w:r>
            <w:r w:rsidR="00E178F0">
              <w:rPr>
                <w:bCs/>
                <w:sz w:val="20"/>
                <w:szCs w:val="18"/>
              </w:rPr>
              <w:t xml:space="preserve">within scope, timeline and budget? </w:t>
            </w:r>
          </w:p>
          <w:p w14:paraId="32897F12" w14:textId="4DAAB1DB" w:rsidR="00240767" w:rsidRPr="00BF5214" w:rsidRDefault="00E178F0" w:rsidP="009076BE">
            <w:pPr>
              <w:pStyle w:val="ListParagraph"/>
              <w:numPr>
                <w:ilvl w:val="0"/>
                <w:numId w:val="123"/>
              </w:numPr>
              <w:spacing w:line="240" w:lineRule="auto"/>
              <w:rPr>
                <w:bCs/>
                <w:sz w:val="20"/>
                <w:szCs w:val="18"/>
              </w:rPr>
            </w:pPr>
            <w:r>
              <w:rPr>
                <w:bCs/>
                <w:sz w:val="20"/>
                <w:szCs w:val="18"/>
              </w:rPr>
              <w:t xml:space="preserve">What challenges were encountered </w:t>
            </w:r>
            <w:r w:rsidR="00BF5214">
              <w:rPr>
                <w:bCs/>
                <w:sz w:val="20"/>
                <w:szCs w:val="18"/>
              </w:rPr>
              <w:t>during implementation and what actions were taken to overcome them?</w:t>
            </w:r>
          </w:p>
        </w:tc>
      </w:tr>
      <w:tr w:rsidR="00240767" w:rsidRPr="00000B4B" w:rsidDel="009459AB" w14:paraId="0D382BFC" w14:textId="77777777" w:rsidTr="009076BE">
        <w:tc>
          <w:tcPr>
            <w:tcW w:w="705" w:type="pct"/>
            <w:vMerge/>
          </w:tcPr>
          <w:p w14:paraId="788F9804" w14:textId="77777777" w:rsidR="00240767" w:rsidRDefault="00240767" w:rsidP="009076BE">
            <w:pPr>
              <w:spacing w:line="240" w:lineRule="auto"/>
              <w:rPr>
                <w:b/>
                <w:sz w:val="20"/>
                <w:szCs w:val="18"/>
              </w:rPr>
            </w:pPr>
          </w:p>
        </w:tc>
        <w:tc>
          <w:tcPr>
            <w:tcW w:w="809" w:type="pct"/>
          </w:tcPr>
          <w:p w14:paraId="37C7CC09" w14:textId="5179B6E8" w:rsidR="00240767" w:rsidRDefault="00240767" w:rsidP="009076BE">
            <w:pPr>
              <w:spacing w:line="240" w:lineRule="auto"/>
              <w:jc w:val="center"/>
              <w:rPr>
                <w:b/>
                <w:sz w:val="20"/>
                <w:szCs w:val="18"/>
              </w:rPr>
            </w:pPr>
            <w:r>
              <w:rPr>
                <w:b/>
                <w:sz w:val="20"/>
                <w:szCs w:val="18"/>
              </w:rPr>
              <w:t>All evaluations</w:t>
            </w:r>
          </w:p>
        </w:tc>
        <w:tc>
          <w:tcPr>
            <w:tcW w:w="3486" w:type="pct"/>
          </w:tcPr>
          <w:p w14:paraId="2FCD3F45" w14:textId="3628FB97" w:rsidR="00240767" w:rsidRDefault="00240767" w:rsidP="009076BE">
            <w:pPr>
              <w:pStyle w:val="ListParagraph"/>
              <w:numPr>
                <w:ilvl w:val="0"/>
                <w:numId w:val="123"/>
              </w:numPr>
              <w:spacing w:line="240" w:lineRule="auto"/>
              <w:rPr>
                <w:bCs/>
                <w:sz w:val="20"/>
                <w:szCs w:val="18"/>
              </w:rPr>
            </w:pPr>
            <w:r>
              <w:rPr>
                <w:bCs/>
                <w:sz w:val="20"/>
                <w:szCs w:val="18"/>
              </w:rPr>
              <w:t>Are there areas in which the operations and procedures could have been more efficient? What changes or improvements have been introduced? How effective are they?</w:t>
            </w:r>
          </w:p>
          <w:p w14:paraId="08B0FAB1" w14:textId="50CBC56A" w:rsidR="00240767" w:rsidRDefault="00240767" w:rsidP="009076BE">
            <w:pPr>
              <w:pStyle w:val="ListParagraph"/>
              <w:numPr>
                <w:ilvl w:val="0"/>
                <w:numId w:val="123"/>
              </w:numPr>
              <w:spacing w:line="240" w:lineRule="auto"/>
              <w:rPr>
                <w:bCs/>
                <w:sz w:val="20"/>
                <w:szCs w:val="18"/>
              </w:rPr>
            </w:pPr>
            <w:r>
              <w:rPr>
                <w:bCs/>
                <w:sz w:val="20"/>
                <w:szCs w:val="18"/>
              </w:rPr>
              <w:t>To what extent are there clear and consistent guidelines to enable consistent implementation across different context(s) – e.g. different jurisdiction</w:t>
            </w:r>
            <w:r w:rsidR="0060571C">
              <w:rPr>
                <w:bCs/>
                <w:sz w:val="20"/>
                <w:szCs w:val="18"/>
              </w:rPr>
              <w:t>s</w:t>
            </w:r>
            <w:r>
              <w:rPr>
                <w:bCs/>
                <w:sz w:val="20"/>
                <w:szCs w:val="18"/>
              </w:rPr>
              <w:t>, provider types</w:t>
            </w:r>
          </w:p>
          <w:p w14:paraId="27177550" w14:textId="7C00C201" w:rsidR="00240767" w:rsidRDefault="00240767" w:rsidP="009076BE">
            <w:pPr>
              <w:pStyle w:val="ListParagraph"/>
              <w:numPr>
                <w:ilvl w:val="0"/>
                <w:numId w:val="123"/>
              </w:numPr>
              <w:spacing w:line="240" w:lineRule="auto"/>
              <w:rPr>
                <w:bCs/>
                <w:sz w:val="20"/>
                <w:szCs w:val="18"/>
              </w:rPr>
            </w:pPr>
            <w:r>
              <w:rPr>
                <w:bCs/>
                <w:sz w:val="20"/>
                <w:szCs w:val="18"/>
              </w:rPr>
              <w:t>What are the major risks associated with the implementation of recommended option(s)? How well have the design of recommended option(s) anticipated and mitigated these risks?</w:t>
            </w:r>
          </w:p>
          <w:p w14:paraId="3184876B" w14:textId="4DC1030B" w:rsidR="00240767" w:rsidRDefault="00240767" w:rsidP="009076BE">
            <w:pPr>
              <w:pStyle w:val="ListParagraph"/>
              <w:numPr>
                <w:ilvl w:val="0"/>
                <w:numId w:val="123"/>
              </w:numPr>
              <w:spacing w:line="240" w:lineRule="auto"/>
              <w:rPr>
                <w:bCs/>
                <w:sz w:val="20"/>
                <w:szCs w:val="18"/>
              </w:rPr>
            </w:pPr>
            <w:r>
              <w:rPr>
                <w:bCs/>
                <w:sz w:val="20"/>
                <w:szCs w:val="18"/>
              </w:rPr>
              <w:t>To what extent do the characteristics of participants (e.g. child safety training participants) match those of the recommended option(s)’s target cohort?</w:t>
            </w:r>
          </w:p>
          <w:p w14:paraId="06EB5568" w14:textId="6D9055DC" w:rsidR="00240767" w:rsidRPr="00A54A08" w:rsidRDefault="00240767" w:rsidP="009076BE">
            <w:pPr>
              <w:pStyle w:val="ListParagraph"/>
              <w:numPr>
                <w:ilvl w:val="0"/>
                <w:numId w:val="123"/>
              </w:numPr>
              <w:spacing w:line="240" w:lineRule="auto"/>
              <w:rPr>
                <w:bCs/>
                <w:sz w:val="20"/>
                <w:szCs w:val="18"/>
              </w:rPr>
            </w:pPr>
            <w:r>
              <w:rPr>
                <w:bCs/>
                <w:sz w:val="20"/>
                <w:szCs w:val="18"/>
              </w:rPr>
              <w:t>To what extent have the recommended option(s) adopted sound data collection and reporting methodologies to track the achievement of identified targets and outcomes?</w:t>
            </w:r>
          </w:p>
        </w:tc>
      </w:tr>
      <w:tr w:rsidR="0020197C" w:rsidRPr="00000B4B" w:rsidDel="009459AB" w14:paraId="4DA497A3" w14:textId="77777777" w:rsidTr="009076BE">
        <w:tc>
          <w:tcPr>
            <w:tcW w:w="705" w:type="pct"/>
            <w:vMerge w:val="restart"/>
          </w:tcPr>
          <w:p w14:paraId="79EAF2CC" w14:textId="1DB9178B" w:rsidR="0020197C" w:rsidRDefault="0020197C" w:rsidP="009076BE">
            <w:pPr>
              <w:spacing w:line="240" w:lineRule="auto"/>
              <w:rPr>
                <w:b/>
                <w:sz w:val="20"/>
                <w:szCs w:val="18"/>
              </w:rPr>
            </w:pPr>
            <w:r>
              <w:rPr>
                <w:b/>
                <w:sz w:val="20"/>
                <w:szCs w:val="18"/>
              </w:rPr>
              <w:lastRenderedPageBreak/>
              <w:t>Impact</w:t>
            </w:r>
          </w:p>
        </w:tc>
        <w:tc>
          <w:tcPr>
            <w:tcW w:w="809" w:type="pct"/>
          </w:tcPr>
          <w:p w14:paraId="45716396" w14:textId="0105E0B2" w:rsidR="0020197C" w:rsidRDefault="0020197C" w:rsidP="009076BE">
            <w:pPr>
              <w:spacing w:line="240" w:lineRule="auto"/>
              <w:jc w:val="center"/>
              <w:rPr>
                <w:b/>
                <w:sz w:val="20"/>
                <w:szCs w:val="18"/>
              </w:rPr>
            </w:pPr>
            <w:r>
              <w:rPr>
                <w:b/>
                <w:sz w:val="20"/>
                <w:szCs w:val="18"/>
              </w:rPr>
              <w:t>Process evaluation</w:t>
            </w:r>
          </w:p>
        </w:tc>
        <w:tc>
          <w:tcPr>
            <w:tcW w:w="3486" w:type="pct"/>
          </w:tcPr>
          <w:p w14:paraId="2A06457D" w14:textId="4B1AC1B0" w:rsidR="0020197C" w:rsidRDefault="0020197C" w:rsidP="009076BE">
            <w:pPr>
              <w:pStyle w:val="ListParagraph"/>
              <w:numPr>
                <w:ilvl w:val="0"/>
                <w:numId w:val="123"/>
              </w:numPr>
              <w:spacing w:line="240" w:lineRule="auto"/>
              <w:rPr>
                <w:bCs/>
                <w:sz w:val="20"/>
                <w:szCs w:val="18"/>
              </w:rPr>
            </w:pPr>
            <w:r>
              <w:rPr>
                <w:bCs/>
                <w:sz w:val="20"/>
                <w:szCs w:val="18"/>
              </w:rPr>
              <w:t>Have any issues or developments emerged that might limit the achievement of intended outcomes? If so, what actions have been taken to address them?</w:t>
            </w:r>
          </w:p>
        </w:tc>
      </w:tr>
      <w:tr w:rsidR="0020197C" w:rsidRPr="00000B4B" w:rsidDel="009459AB" w14:paraId="104D8125" w14:textId="77777777" w:rsidTr="009076BE">
        <w:tc>
          <w:tcPr>
            <w:tcW w:w="705" w:type="pct"/>
            <w:vMerge/>
          </w:tcPr>
          <w:p w14:paraId="770462D2" w14:textId="760E7A93" w:rsidR="0020197C" w:rsidRDefault="0020197C" w:rsidP="009076BE">
            <w:pPr>
              <w:spacing w:line="240" w:lineRule="auto"/>
              <w:rPr>
                <w:b/>
                <w:sz w:val="20"/>
                <w:szCs w:val="18"/>
              </w:rPr>
            </w:pPr>
          </w:p>
        </w:tc>
        <w:tc>
          <w:tcPr>
            <w:tcW w:w="809" w:type="pct"/>
          </w:tcPr>
          <w:p w14:paraId="7E4FF8DD" w14:textId="12878F88" w:rsidR="0020197C" w:rsidRDefault="0020197C" w:rsidP="009076BE">
            <w:pPr>
              <w:spacing w:line="240" w:lineRule="auto"/>
              <w:jc w:val="center"/>
              <w:rPr>
                <w:b/>
                <w:sz w:val="20"/>
                <w:szCs w:val="18"/>
              </w:rPr>
            </w:pPr>
            <w:r>
              <w:rPr>
                <w:b/>
                <w:sz w:val="20"/>
                <w:szCs w:val="18"/>
              </w:rPr>
              <w:t>Intermediate evaluation</w:t>
            </w:r>
          </w:p>
        </w:tc>
        <w:tc>
          <w:tcPr>
            <w:tcW w:w="3486" w:type="pct"/>
          </w:tcPr>
          <w:p w14:paraId="46AAB4BA" w14:textId="77777777" w:rsidR="0020197C" w:rsidRDefault="0020197C" w:rsidP="009076BE">
            <w:pPr>
              <w:pStyle w:val="ListParagraph"/>
              <w:numPr>
                <w:ilvl w:val="0"/>
                <w:numId w:val="123"/>
              </w:numPr>
              <w:spacing w:line="240" w:lineRule="auto"/>
              <w:rPr>
                <w:bCs/>
                <w:sz w:val="20"/>
                <w:szCs w:val="18"/>
              </w:rPr>
            </w:pPr>
            <w:r>
              <w:rPr>
                <w:bCs/>
                <w:sz w:val="20"/>
                <w:szCs w:val="18"/>
              </w:rPr>
              <w:t>To what extent are there early outcomes or indications of future outcome(s) being achieved as a result of the implementation of recommended option(s)?</w:t>
            </w:r>
          </w:p>
          <w:p w14:paraId="5D0B29C0" w14:textId="13EBD2AB" w:rsidR="0020197C" w:rsidRPr="0020197C" w:rsidRDefault="0020197C" w:rsidP="009076BE">
            <w:pPr>
              <w:pStyle w:val="ListParagraph"/>
              <w:numPr>
                <w:ilvl w:val="0"/>
                <w:numId w:val="123"/>
              </w:numPr>
              <w:spacing w:line="240" w:lineRule="auto"/>
              <w:rPr>
                <w:bCs/>
                <w:sz w:val="20"/>
                <w:szCs w:val="18"/>
              </w:rPr>
            </w:pPr>
            <w:r>
              <w:rPr>
                <w:bCs/>
                <w:sz w:val="20"/>
                <w:szCs w:val="18"/>
              </w:rPr>
              <w:t>What are the external factors which have impacted the achievement of intended outcomes? If so, is mitigating action required?</w:t>
            </w:r>
            <w:r w:rsidRPr="0020197C">
              <w:rPr>
                <w:bCs/>
                <w:sz w:val="20"/>
                <w:szCs w:val="18"/>
              </w:rPr>
              <w:t xml:space="preserve"> </w:t>
            </w:r>
          </w:p>
        </w:tc>
      </w:tr>
      <w:tr w:rsidR="0020197C" w:rsidRPr="00000B4B" w:rsidDel="009459AB" w14:paraId="3F66ED8A" w14:textId="77777777" w:rsidTr="009076BE">
        <w:tc>
          <w:tcPr>
            <w:tcW w:w="705" w:type="pct"/>
            <w:vMerge/>
          </w:tcPr>
          <w:p w14:paraId="510DAA99" w14:textId="77777777" w:rsidR="0020197C" w:rsidRDefault="0020197C" w:rsidP="009076BE">
            <w:pPr>
              <w:spacing w:line="240" w:lineRule="auto"/>
              <w:rPr>
                <w:b/>
                <w:sz w:val="20"/>
                <w:szCs w:val="18"/>
              </w:rPr>
            </w:pPr>
          </w:p>
        </w:tc>
        <w:tc>
          <w:tcPr>
            <w:tcW w:w="809" w:type="pct"/>
          </w:tcPr>
          <w:p w14:paraId="14567F3C" w14:textId="3ADBD502" w:rsidR="0020197C" w:rsidRDefault="0020197C" w:rsidP="009076BE">
            <w:pPr>
              <w:spacing w:line="240" w:lineRule="auto"/>
              <w:jc w:val="center"/>
              <w:rPr>
                <w:b/>
                <w:sz w:val="20"/>
                <w:szCs w:val="18"/>
              </w:rPr>
            </w:pPr>
            <w:r>
              <w:rPr>
                <w:b/>
                <w:sz w:val="20"/>
                <w:szCs w:val="18"/>
              </w:rPr>
              <w:t>Impact evaluation</w:t>
            </w:r>
          </w:p>
        </w:tc>
        <w:tc>
          <w:tcPr>
            <w:tcW w:w="3486" w:type="pct"/>
          </w:tcPr>
          <w:p w14:paraId="19F67933" w14:textId="77777777" w:rsidR="0020197C" w:rsidRDefault="00A35E42" w:rsidP="009076BE">
            <w:pPr>
              <w:pStyle w:val="ListParagraph"/>
              <w:numPr>
                <w:ilvl w:val="0"/>
                <w:numId w:val="123"/>
              </w:numPr>
              <w:spacing w:line="240" w:lineRule="auto"/>
              <w:rPr>
                <w:bCs/>
                <w:sz w:val="20"/>
                <w:szCs w:val="18"/>
              </w:rPr>
            </w:pPr>
            <w:r>
              <w:rPr>
                <w:bCs/>
                <w:sz w:val="20"/>
                <w:szCs w:val="18"/>
              </w:rPr>
              <w:t>To what extent have the recommended option(s) achieved its intended outcomes?</w:t>
            </w:r>
          </w:p>
          <w:p w14:paraId="7C8D42FF" w14:textId="77777777" w:rsidR="00A35E42" w:rsidRDefault="00A35E42" w:rsidP="009076BE">
            <w:pPr>
              <w:pStyle w:val="ListParagraph"/>
              <w:numPr>
                <w:ilvl w:val="1"/>
                <w:numId w:val="123"/>
              </w:numPr>
              <w:spacing w:line="240" w:lineRule="auto"/>
              <w:rPr>
                <w:bCs/>
                <w:sz w:val="20"/>
                <w:szCs w:val="18"/>
              </w:rPr>
            </w:pPr>
            <w:r>
              <w:rPr>
                <w:bCs/>
                <w:sz w:val="20"/>
                <w:szCs w:val="18"/>
              </w:rPr>
              <w:t>What was the magnitude of the changes that occurred?</w:t>
            </w:r>
          </w:p>
          <w:p w14:paraId="5E6E4590" w14:textId="77777777" w:rsidR="00A35E42" w:rsidRDefault="00A35E42" w:rsidP="009076BE">
            <w:pPr>
              <w:pStyle w:val="ListParagraph"/>
              <w:numPr>
                <w:ilvl w:val="1"/>
                <w:numId w:val="123"/>
              </w:numPr>
              <w:spacing w:line="240" w:lineRule="auto"/>
              <w:rPr>
                <w:bCs/>
                <w:sz w:val="20"/>
                <w:szCs w:val="18"/>
              </w:rPr>
            </w:pPr>
            <w:r>
              <w:rPr>
                <w:bCs/>
                <w:sz w:val="20"/>
                <w:szCs w:val="18"/>
              </w:rPr>
              <w:t>Did the outcomes meet the targets established for specific reform areas?</w:t>
            </w:r>
          </w:p>
          <w:p w14:paraId="4C81627C" w14:textId="77777777" w:rsidR="00A35E42" w:rsidRDefault="00A35E42" w:rsidP="009076BE">
            <w:pPr>
              <w:pStyle w:val="ListParagraph"/>
              <w:numPr>
                <w:ilvl w:val="1"/>
                <w:numId w:val="123"/>
              </w:numPr>
              <w:spacing w:line="240" w:lineRule="auto"/>
              <w:rPr>
                <w:bCs/>
                <w:sz w:val="20"/>
                <w:szCs w:val="18"/>
              </w:rPr>
            </w:pPr>
            <w:r>
              <w:rPr>
                <w:bCs/>
                <w:sz w:val="20"/>
                <w:szCs w:val="18"/>
              </w:rPr>
              <w:t>Was the reach of recommended options sufficient to realise the required scale of change?</w:t>
            </w:r>
          </w:p>
          <w:p w14:paraId="4EBB5386" w14:textId="61A9AE92" w:rsidR="00A35E42" w:rsidRDefault="00A35E42" w:rsidP="009076BE">
            <w:pPr>
              <w:pStyle w:val="ListParagraph"/>
              <w:numPr>
                <w:ilvl w:val="0"/>
                <w:numId w:val="123"/>
              </w:numPr>
              <w:spacing w:line="240" w:lineRule="auto"/>
              <w:rPr>
                <w:bCs/>
                <w:sz w:val="20"/>
                <w:szCs w:val="18"/>
              </w:rPr>
            </w:pPr>
            <w:r>
              <w:rPr>
                <w:bCs/>
                <w:sz w:val="20"/>
                <w:szCs w:val="18"/>
              </w:rPr>
              <w:t xml:space="preserve">What were the characteristics of participants and/or beneficiaries (e.g. </w:t>
            </w:r>
            <w:r w:rsidR="00A62510">
              <w:rPr>
                <w:bCs/>
                <w:sz w:val="20"/>
                <w:szCs w:val="18"/>
              </w:rPr>
              <w:t xml:space="preserve">participation by </w:t>
            </w:r>
            <w:r>
              <w:rPr>
                <w:bCs/>
                <w:sz w:val="20"/>
                <w:szCs w:val="18"/>
              </w:rPr>
              <w:t>provider type</w:t>
            </w:r>
            <w:r w:rsidR="00A62510">
              <w:rPr>
                <w:bCs/>
                <w:sz w:val="20"/>
                <w:szCs w:val="18"/>
              </w:rPr>
              <w:t xml:space="preserve"> and service location</w:t>
            </w:r>
            <w:r>
              <w:rPr>
                <w:bCs/>
                <w:sz w:val="20"/>
                <w:szCs w:val="18"/>
              </w:rPr>
              <w:t xml:space="preserve"> )?</w:t>
            </w:r>
          </w:p>
          <w:p w14:paraId="5C66F5EE" w14:textId="0E8D0953" w:rsidR="007234AA" w:rsidRDefault="007234AA" w:rsidP="009076BE">
            <w:pPr>
              <w:pStyle w:val="ListParagraph"/>
              <w:numPr>
                <w:ilvl w:val="0"/>
                <w:numId w:val="123"/>
              </w:numPr>
              <w:spacing w:line="240" w:lineRule="auto"/>
              <w:rPr>
                <w:bCs/>
                <w:sz w:val="20"/>
                <w:szCs w:val="18"/>
              </w:rPr>
            </w:pPr>
            <w:r>
              <w:rPr>
                <w:bCs/>
                <w:sz w:val="20"/>
                <w:szCs w:val="18"/>
              </w:rPr>
              <w:t xml:space="preserve">To what extent have the outcomes differed by </w:t>
            </w:r>
            <w:r w:rsidR="00A36B66">
              <w:rPr>
                <w:bCs/>
                <w:sz w:val="20"/>
                <w:szCs w:val="18"/>
              </w:rPr>
              <w:t>provider management type</w:t>
            </w:r>
            <w:r>
              <w:rPr>
                <w:bCs/>
                <w:sz w:val="20"/>
                <w:szCs w:val="18"/>
              </w:rPr>
              <w:t xml:space="preserve">, </w:t>
            </w:r>
            <w:r w:rsidR="00A36B66">
              <w:rPr>
                <w:bCs/>
                <w:sz w:val="20"/>
                <w:szCs w:val="18"/>
              </w:rPr>
              <w:t xml:space="preserve">service </w:t>
            </w:r>
            <w:r>
              <w:rPr>
                <w:bCs/>
                <w:sz w:val="20"/>
                <w:szCs w:val="18"/>
              </w:rPr>
              <w:t>type</w:t>
            </w:r>
            <w:r w:rsidR="00A36B66">
              <w:rPr>
                <w:bCs/>
                <w:sz w:val="20"/>
                <w:szCs w:val="18"/>
              </w:rPr>
              <w:t xml:space="preserve">, service location </w:t>
            </w:r>
            <w:r>
              <w:rPr>
                <w:bCs/>
                <w:sz w:val="20"/>
                <w:szCs w:val="18"/>
              </w:rPr>
              <w:t>and staff member type?</w:t>
            </w:r>
          </w:p>
          <w:p w14:paraId="0F7578C5" w14:textId="2F912231" w:rsidR="00A35E42" w:rsidRDefault="007234AA" w:rsidP="009076BE">
            <w:pPr>
              <w:pStyle w:val="ListParagraph"/>
              <w:numPr>
                <w:ilvl w:val="0"/>
                <w:numId w:val="123"/>
              </w:numPr>
              <w:spacing w:line="240" w:lineRule="auto"/>
              <w:rPr>
                <w:bCs/>
                <w:sz w:val="20"/>
                <w:szCs w:val="18"/>
              </w:rPr>
            </w:pPr>
            <w:r>
              <w:rPr>
                <w:bCs/>
                <w:sz w:val="20"/>
                <w:szCs w:val="18"/>
              </w:rPr>
              <w:t>Were any specific groups (e.g. priority population cohorts, provider types) that were negative</w:t>
            </w:r>
            <w:r w:rsidR="00F17E35">
              <w:rPr>
                <w:bCs/>
                <w:sz w:val="20"/>
                <w:szCs w:val="18"/>
              </w:rPr>
              <w:t>ly</w:t>
            </w:r>
            <w:r>
              <w:rPr>
                <w:bCs/>
                <w:sz w:val="20"/>
                <w:szCs w:val="18"/>
              </w:rPr>
              <w:t xml:space="preserve"> affected by the implementation of recommended option(s)? If so, how?</w:t>
            </w:r>
          </w:p>
          <w:p w14:paraId="51E0C30E" w14:textId="77777777" w:rsidR="007234AA" w:rsidRDefault="00F154F8" w:rsidP="009076BE">
            <w:pPr>
              <w:pStyle w:val="ListParagraph"/>
              <w:numPr>
                <w:ilvl w:val="0"/>
                <w:numId w:val="123"/>
              </w:numPr>
              <w:spacing w:line="240" w:lineRule="auto"/>
              <w:rPr>
                <w:bCs/>
                <w:sz w:val="20"/>
                <w:szCs w:val="18"/>
              </w:rPr>
            </w:pPr>
            <w:r>
              <w:rPr>
                <w:bCs/>
                <w:sz w:val="20"/>
                <w:szCs w:val="18"/>
              </w:rPr>
              <w:t>What were the key factors which supported or hindered the achievement of outcomes? What was done to reduce the impact of identified obstacles?</w:t>
            </w:r>
          </w:p>
          <w:p w14:paraId="665992F3" w14:textId="77777777" w:rsidR="00F154F8" w:rsidRDefault="00A1123D" w:rsidP="009076BE">
            <w:pPr>
              <w:pStyle w:val="ListParagraph"/>
              <w:numPr>
                <w:ilvl w:val="0"/>
                <w:numId w:val="123"/>
              </w:numPr>
              <w:spacing w:line="240" w:lineRule="auto"/>
              <w:rPr>
                <w:bCs/>
                <w:sz w:val="20"/>
                <w:szCs w:val="18"/>
              </w:rPr>
            </w:pPr>
            <w:r>
              <w:rPr>
                <w:bCs/>
                <w:sz w:val="20"/>
                <w:szCs w:val="18"/>
              </w:rPr>
              <w:t>Did the implementation of recommended options have any unintended consequences (positive or negative)? How and why did they occur?</w:t>
            </w:r>
          </w:p>
          <w:p w14:paraId="6302FEC4" w14:textId="77777777" w:rsidR="00A1123D" w:rsidRDefault="00A1123D" w:rsidP="009076BE">
            <w:pPr>
              <w:pStyle w:val="ListParagraph"/>
              <w:numPr>
                <w:ilvl w:val="1"/>
                <w:numId w:val="123"/>
              </w:numPr>
              <w:spacing w:line="240" w:lineRule="auto"/>
              <w:rPr>
                <w:bCs/>
                <w:sz w:val="20"/>
                <w:szCs w:val="18"/>
              </w:rPr>
            </w:pPr>
            <w:r>
              <w:rPr>
                <w:bCs/>
                <w:sz w:val="20"/>
                <w:szCs w:val="18"/>
              </w:rPr>
              <w:t>What action, if any, was taken to reinforce positive unintended consequences and reduce negative ones?</w:t>
            </w:r>
          </w:p>
          <w:p w14:paraId="7172FCA8" w14:textId="77777777" w:rsidR="00536DF2" w:rsidRDefault="003A2F2D" w:rsidP="009076BE">
            <w:pPr>
              <w:pStyle w:val="ListParagraph"/>
              <w:numPr>
                <w:ilvl w:val="0"/>
                <w:numId w:val="123"/>
              </w:numPr>
              <w:spacing w:line="240" w:lineRule="auto"/>
              <w:rPr>
                <w:bCs/>
                <w:sz w:val="20"/>
                <w:szCs w:val="18"/>
              </w:rPr>
            </w:pPr>
            <w:r>
              <w:rPr>
                <w:bCs/>
                <w:sz w:val="20"/>
                <w:szCs w:val="18"/>
              </w:rPr>
              <w:t>To what extent can the return on investment be quantified for the recommended option(s)?</w:t>
            </w:r>
          </w:p>
          <w:p w14:paraId="0FA8133B" w14:textId="17ACD332" w:rsidR="00DF49FB" w:rsidRDefault="00DF49FB" w:rsidP="009076BE">
            <w:pPr>
              <w:pStyle w:val="ListParagraph"/>
              <w:numPr>
                <w:ilvl w:val="1"/>
                <w:numId w:val="123"/>
              </w:numPr>
              <w:spacing w:line="240" w:lineRule="auto"/>
              <w:rPr>
                <w:bCs/>
                <w:sz w:val="20"/>
                <w:szCs w:val="18"/>
              </w:rPr>
            </w:pPr>
            <w:r>
              <w:rPr>
                <w:bCs/>
                <w:sz w:val="20"/>
                <w:szCs w:val="18"/>
              </w:rPr>
              <w:t>For recommended options where benefits and costs can be monetised, to what extent did the benefits of the recommended option(s) outweigh the costs?</w:t>
            </w:r>
          </w:p>
          <w:p w14:paraId="555BD77E" w14:textId="01CB8506" w:rsidR="003A2F2D" w:rsidRPr="00A35E42" w:rsidRDefault="003A2F2D" w:rsidP="009076BE">
            <w:pPr>
              <w:pStyle w:val="ListParagraph"/>
              <w:numPr>
                <w:ilvl w:val="0"/>
                <w:numId w:val="123"/>
              </w:numPr>
              <w:spacing w:line="240" w:lineRule="auto"/>
              <w:rPr>
                <w:bCs/>
                <w:sz w:val="20"/>
                <w:szCs w:val="18"/>
              </w:rPr>
            </w:pPr>
            <w:r>
              <w:rPr>
                <w:bCs/>
                <w:sz w:val="20"/>
                <w:szCs w:val="18"/>
              </w:rPr>
              <w:t>To what extent were the recommended option(s) cost-effective?</w:t>
            </w:r>
            <w:r w:rsidR="00DF49FB">
              <w:rPr>
                <w:bCs/>
                <w:sz w:val="20"/>
                <w:szCs w:val="18"/>
              </w:rPr>
              <w:t xml:space="preserve"> </w:t>
            </w:r>
          </w:p>
        </w:tc>
      </w:tr>
    </w:tbl>
    <w:p w14:paraId="53BA0E94" w14:textId="77777777" w:rsidR="00CC65E7" w:rsidRPr="00247FD5" w:rsidRDefault="00CC65E7" w:rsidP="00247FD5"/>
    <w:p w14:paraId="625E3F3E" w14:textId="53AB7F55" w:rsidR="0012464D" w:rsidRDefault="0012464D" w:rsidP="0012464D">
      <w:r>
        <w:t xml:space="preserve">All evaluations will adopt a mixed-methods approach which comprise </w:t>
      </w:r>
      <w:r w:rsidR="005413E4">
        <w:t xml:space="preserve">primary data collection via </w:t>
      </w:r>
      <w:r w:rsidR="005D5BE2">
        <w:t xml:space="preserve">semi-structured interviews and surveys as well as relevant secondary data sources. </w:t>
      </w:r>
      <w:r w:rsidR="00C5336F">
        <w:t>Examples of potential</w:t>
      </w:r>
      <w:r w:rsidR="00EF5615">
        <w:t xml:space="preserve"> data sources </w:t>
      </w:r>
      <w:r w:rsidR="00B96CA6">
        <w:t xml:space="preserve">are summarised in </w:t>
      </w:r>
      <w:r w:rsidR="00484C50">
        <w:t>Table 11.</w:t>
      </w:r>
      <w:r w:rsidR="00C30662">
        <w:t>4</w:t>
      </w:r>
      <w:r w:rsidR="007B2152">
        <w:t xml:space="preserve">. The parties responsible </w:t>
      </w:r>
      <w:r w:rsidR="007B2152">
        <w:lastRenderedPageBreak/>
        <w:t xml:space="preserve">for the collection of new </w:t>
      </w:r>
      <w:r w:rsidR="00477824">
        <w:t xml:space="preserve">data </w:t>
      </w:r>
      <w:r w:rsidR="001D3A75">
        <w:t xml:space="preserve">have </w:t>
      </w:r>
      <w:r w:rsidR="00477824">
        <w:t xml:space="preserve">not </w:t>
      </w:r>
      <w:r w:rsidR="001D3A75">
        <w:t xml:space="preserve">been </w:t>
      </w:r>
      <w:r w:rsidR="00477824">
        <w:t xml:space="preserve">decided at this stage but will be confirmed </w:t>
      </w:r>
      <w:r w:rsidR="007C6F85">
        <w:t>prior to implementation of recommended option(s).</w:t>
      </w:r>
    </w:p>
    <w:p w14:paraId="3F1AD759" w14:textId="7731CFFA" w:rsidR="004E2EAA" w:rsidRDefault="00484C50" w:rsidP="00BC5B20">
      <w:r>
        <w:t xml:space="preserve">As articulated in </w:t>
      </w:r>
      <w:r w:rsidR="00B66800">
        <w:t>Table 11.4</w:t>
      </w:r>
      <w:r>
        <w:t xml:space="preserve">, </w:t>
      </w:r>
      <w:r w:rsidR="00C104C7">
        <w:t xml:space="preserve">examples of </w:t>
      </w:r>
      <w:r>
        <w:t>m</w:t>
      </w:r>
      <w:r w:rsidR="004E2EAA">
        <w:t>easures of impact may include:</w:t>
      </w:r>
    </w:p>
    <w:p w14:paraId="51FA238E" w14:textId="46887F19" w:rsidR="00475A9A" w:rsidRPr="00C34B98" w:rsidRDefault="005F7827" w:rsidP="00EC53AB">
      <w:pPr>
        <w:pStyle w:val="ListParagraph"/>
        <w:numPr>
          <w:ilvl w:val="0"/>
          <w:numId w:val="98"/>
        </w:numPr>
        <w:ind w:left="426"/>
        <w:rPr>
          <w:i/>
          <w:iCs/>
        </w:rPr>
      </w:pPr>
      <w:r>
        <w:t>d</w:t>
      </w:r>
      <w:r w:rsidR="00475A9A">
        <w:t>ownloads</w:t>
      </w:r>
      <w:r w:rsidR="00010880">
        <w:t>, visits</w:t>
      </w:r>
      <w:r w:rsidR="009660D5">
        <w:t>,</w:t>
      </w:r>
      <w:r w:rsidR="00010880">
        <w:t xml:space="preserve"> and other measures of </w:t>
      </w:r>
      <w:r w:rsidR="00475A9A">
        <w:t>engagement with guidance</w:t>
      </w:r>
      <w:r w:rsidR="00010880">
        <w:t xml:space="preserve"> materials and supporting resources</w:t>
      </w:r>
    </w:p>
    <w:p w14:paraId="5D78B1C0" w14:textId="777C4CB9" w:rsidR="00C34B98" w:rsidRPr="00475A9A" w:rsidRDefault="005F7827" w:rsidP="00EC53AB">
      <w:pPr>
        <w:pStyle w:val="ListParagraph"/>
        <w:numPr>
          <w:ilvl w:val="0"/>
          <w:numId w:val="98"/>
        </w:numPr>
        <w:ind w:left="426"/>
        <w:rPr>
          <w:i/>
          <w:iCs/>
        </w:rPr>
      </w:pPr>
      <w:r>
        <w:t>c</w:t>
      </w:r>
      <w:r w:rsidR="0007006E">
        <w:t>hanges in the safety of environments, as measured through regulatory assessments</w:t>
      </w:r>
      <w:r w:rsidR="009660D5">
        <w:t xml:space="preserve"> (including through assessments </w:t>
      </w:r>
      <w:r w:rsidR="00F17E35">
        <w:t xml:space="preserve">and rating </w:t>
      </w:r>
      <w:r w:rsidR="009660D5">
        <w:t>against the NQS)</w:t>
      </w:r>
      <w:r w:rsidR="0007006E">
        <w:t xml:space="preserve">, </w:t>
      </w:r>
      <w:r w:rsidR="009660D5">
        <w:t xml:space="preserve">perceptions of the workforce and perceptions </w:t>
      </w:r>
      <w:r w:rsidR="00505000">
        <w:t>of</w:t>
      </w:r>
      <w:r w:rsidR="009660D5">
        <w:t xml:space="preserve"> families and childre</w:t>
      </w:r>
      <w:r w:rsidR="00B66800">
        <w:t>n</w:t>
      </w:r>
    </w:p>
    <w:p w14:paraId="2BF340DB" w14:textId="6447078A" w:rsidR="00476406" w:rsidRPr="00476406" w:rsidRDefault="005F7827" w:rsidP="00EC53AB">
      <w:pPr>
        <w:pStyle w:val="ListParagraph"/>
        <w:numPr>
          <w:ilvl w:val="0"/>
          <w:numId w:val="98"/>
        </w:numPr>
        <w:ind w:left="426"/>
        <w:rPr>
          <w:i/>
          <w:iCs/>
        </w:rPr>
      </w:pPr>
      <w:r>
        <w:t>c</w:t>
      </w:r>
      <w:r w:rsidR="00476406">
        <w:t>hanges in compliance data</w:t>
      </w:r>
    </w:p>
    <w:p w14:paraId="0F9826B8" w14:textId="58B80554" w:rsidR="00251F5A" w:rsidRPr="00475A9A" w:rsidRDefault="005F7827" w:rsidP="00EC53AB">
      <w:pPr>
        <w:pStyle w:val="ListParagraph"/>
        <w:numPr>
          <w:ilvl w:val="0"/>
          <w:numId w:val="98"/>
        </w:numPr>
        <w:ind w:left="426"/>
        <w:rPr>
          <w:i/>
          <w:iCs/>
        </w:rPr>
      </w:pPr>
      <w:r>
        <w:t>c</w:t>
      </w:r>
      <w:r w:rsidR="00476406">
        <w:t>hanges in the number and</w:t>
      </w:r>
      <w:r w:rsidR="00476406" w:rsidRPr="00476406">
        <w:rPr>
          <w:lang w:val="en-GB"/>
        </w:rPr>
        <w:t xml:space="preserve"> outcomes of suspension or supervision orders</w:t>
      </w:r>
    </w:p>
    <w:p w14:paraId="7ABCFF49" w14:textId="7D861F4A" w:rsidR="00F3536E" w:rsidRPr="00475A9A" w:rsidRDefault="005F7827" w:rsidP="00EC53AB">
      <w:pPr>
        <w:pStyle w:val="ListParagraph"/>
        <w:numPr>
          <w:ilvl w:val="0"/>
          <w:numId w:val="98"/>
        </w:numPr>
        <w:ind w:left="426"/>
        <w:rPr>
          <w:i/>
          <w:iCs/>
        </w:rPr>
      </w:pPr>
      <w:r>
        <w:t>a</w:t>
      </w:r>
      <w:r w:rsidR="00F3536E">
        <w:t xml:space="preserve">ssessing changes in WWCC status notifications, </w:t>
      </w:r>
      <w:r w:rsidR="009A186E">
        <w:t>enforceable undertakings</w:t>
      </w:r>
      <w:r w:rsidR="00B66800">
        <w:t xml:space="preserve">, </w:t>
      </w:r>
      <w:r w:rsidR="009A186E">
        <w:t>prohibitions and use of legislative and regulatory powers</w:t>
      </w:r>
    </w:p>
    <w:p w14:paraId="5732C972" w14:textId="1D6B5DAF" w:rsidR="00E607DE" w:rsidRPr="00475A9A" w:rsidRDefault="005F7827" w:rsidP="00EC53AB">
      <w:pPr>
        <w:pStyle w:val="ListParagraph"/>
        <w:numPr>
          <w:ilvl w:val="0"/>
          <w:numId w:val="98"/>
        </w:numPr>
        <w:ind w:left="426"/>
        <w:rPr>
          <w:i/>
          <w:iCs/>
        </w:rPr>
      </w:pPr>
      <w:r>
        <w:t>a</w:t>
      </w:r>
      <w:r w:rsidR="00E607DE">
        <w:t>ssessing changes in reports made through reportable conduct schemes, and the likelihood that these are related to regulatory changes</w:t>
      </w:r>
    </w:p>
    <w:p w14:paraId="6816183D" w14:textId="16E4AA1A" w:rsidR="004E2EAA" w:rsidRPr="004E2EAA" w:rsidRDefault="005F7827" w:rsidP="00EC53AB">
      <w:pPr>
        <w:pStyle w:val="ListParagraph"/>
        <w:numPr>
          <w:ilvl w:val="0"/>
          <w:numId w:val="98"/>
        </w:numPr>
        <w:ind w:left="426"/>
        <w:rPr>
          <w:i/>
          <w:iCs/>
        </w:rPr>
      </w:pPr>
      <w:r>
        <w:t>t</w:t>
      </w:r>
      <w:r w:rsidR="004E2EAA">
        <w:t>he number of inc</w:t>
      </w:r>
      <w:r w:rsidR="003D5F4F">
        <w:t xml:space="preserve">idents at </w:t>
      </w:r>
      <w:r w:rsidR="009A28B7">
        <w:t xml:space="preserve">education and care </w:t>
      </w:r>
      <w:r w:rsidR="003D5F4F">
        <w:t>ser</w:t>
      </w:r>
      <w:r w:rsidR="00E12595">
        <w:t>vices</w:t>
      </w:r>
      <w:r w:rsidR="003D5F4F">
        <w:t xml:space="preserve">, using </w:t>
      </w:r>
      <w:r w:rsidR="003D5F4F" w:rsidRPr="003D5F4F">
        <w:rPr>
          <w:lang w:val="en-GB"/>
        </w:rPr>
        <w:t>regulatory incident data sets</w:t>
      </w:r>
      <w:r w:rsidR="009660D5">
        <w:rPr>
          <w:lang w:val="en-GB"/>
        </w:rPr>
        <w:t>.</w:t>
      </w:r>
      <w:r w:rsidR="00444A15">
        <w:rPr>
          <w:lang w:val="en-GB"/>
        </w:rPr>
        <w:t xml:space="preserve"> </w:t>
      </w:r>
    </w:p>
    <w:p w14:paraId="1A8E1F8A" w14:textId="79AB7728" w:rsidR="00682E50" w:rsidRDefault="009C3FB5" w:rsidP="004E2139">
      <w:r>
        <w:t>It is recogni</w:t>
      </w:r>
      <w:r w:rsidR="00B66800">
        <w:t>s</w:t>
      </w:r>
      <w:r>
        <w:t xml:space="preserve">ed that the implementation of recommended options </w:t>
      </w:r>
      <w:r w:rsidR="008E0062">
        <w:t>is</w:t>
      </w:r>
      <w:r>
        <w:t xml:space="preserve"> occurring alongside other ongoing reforms occurring at a jurisdiction and </w:t>
      </w:r>
      <w:r w:rsidR="002828A4">
        <w:t xml:space="preserve">system level. </w:t>
      </w:r>
      <w:r w:rsidR="004133B1">
        <w:t xml:space="preserve">The proposed evaluation </w:t>
      </w:r>
      <w:r w:rsidR="00C04CBD">
        <w:t xml:space="preserve">will address this </w:t>
      </w:r>
      <w:r w:rsidR="006B0EA2">
        <w:t xml:space="preserve">through the development of clear baseline measurements which establishes a clear </w:t>
      </w:r>
      <w:r w:rsidR="00F41372">
        <w:t>‘</w:t>
      </w:r>
      <w:r w:rsidR="006B0EA2">
        <w:t>before</w:t>
      </w:r>
      <w:r w:rsidR="00F41372">
        <w:t>’</w:t>
      </w:r>
      <w:r w:rsidR="006B0EA2">
        <w:t xml:space="preserve"> picture,</w:t>
      </w:r>
      <w:r w:rsidR="0053422C">
        <w:t xml:space="preserve"> </w:t>
      </w:r>
      <w:r w:rsidR="00442F03">
        <w:t>establishment of multiple</w:t>
      </w:r>
      <w:r w:rsidR="0053422C">
        <w:t xml:space="preserve"> data sources to gather insights from stakeholder groups who are most directly affected by the change</w:t>
      </w:r>
      <w:r w:rsidR="00F41372">
        <w:t>,</w:t>
      </w:r>
      <w:r w:rsidR="0053422C">
        <w:t xml:space="preserve"> and </w:t>
      </w:r>
      <w:r w:rsidR="00442F03">
        <w:t xml:space="preserve">the completion of  </w:t>
      </w:r>
      <w:r w:rsidR="0053422C">
        <w:t xml:space="preserve">contextual analysis to identify confounding variables that </w:t>
      </w:r>
      <w:r w:rsidR="00442F03">
        <w:t xml:space="preserve">may </w:t>
      </w:r>
      <w:r w:rsidR="0053422C">
        <w:t xml:space="preserve">affect the achievement of outcomes. </w:t>
      </w:r>
    </w:p>
    <w:p w14:paraId="17CE3207" w14:textId="3C39183E" w:rsidR="007251B5" w:rsidRDefault="004B1858" w:rsidP="004E2139">
      <w:r>
        <w:t xml:space="preserve">Findings and recommendations from the three evaluations </w:t>
      </w:r>
      <w:r w:rsidR="002952E4">
        <w:t xml:space="preserve">(including detailed analysis of all relevant primary and secondary data) </w:t>
      </w:r>
      <w:r>
        <w:t>will be captured in the following reporting deliverables:</w:t>
      </w:r>
    </w:p>
    <w:p w14:paraId="01F3C77E" w14:textId="0A905EEC" w:rsidR="004B1858" w:rsidRDefault="004B1858" w:rsidP="00480FE5">
      <w:pPr>
        <w:pStyle w:val="ListParagraph"/>
        <w:numPr>
          <w:ilvl w:val="0"/>
          <w:numId w:val="126"/>
        </w:numPr>
      </w:pPr>
      <w:r>
        <w:t>Process evaluation report (~1 year after implementation)</w:t>
      </w:r>
    </w:p>
    <w:p w14:paraId="23AB0371" w14:textId="2B0D3068" w:rsidR="004B1858" w:rsidRDefault="004B1858" w:rsidP="00480FE5">
      <w:pPr>
        <w:pStyle w:val="ListParagraph"/>
        <w:numPr>
          <w:ilvl w:val="0"/>
          <w:numId w:val="126"/>
        </w:numPr>
      </w:pPr>
      <w:r>
        <w:t>Intermediate evaluation report (~3 years after implementation)</w:t>
      </w:r>
    </w:p>
    <w:p w14:paraId="7D96CAC0" w14:textId="5FEF2065" w:rsidR="004B1858" w:rsidRDefault="004B1858" w:rsidP="00480FE5">
      <w:pPr>
        <w:pStyle w:val="ListParagraph"/>
        <w:numPr>
          <w:ilvl w:val="0"/>
          <w:numId w:val="126"/>
        </w:numPr>
      </w:pPr>
      <w:r>
        <w:t>Impact and outcome evaluation report (~5 years after evaluation)</w:t>
      </w:r>
    </w:p>
    <w:p w14:paraId="0F9D82C2" w14:textId="01696F2A" w:rsidR="007251B5" w:rsidRDefault="00565040" w:rsidP="004E2139">
      <w:r w:rsidRPr="00BB601E">
        <w:t xml:space="preserve">The evaluation’s governance arrangements will mirror those adopted for the CSR. </w:t>
      </w:r>
      <w:r w:rsidR="001B4234" w:rsidRPr="00BB601E">
        <w:t xml:space="preserve">It is proposed to use existing and targeted mechanisms across relevant portfolios and agencies </w:t>
      </w:r>
      <w:r w:rsidR="001B4234" w:rsidRPr="00BB601E">
        <w:lastRenderedPageBreak/>
        <w:t xml:space="preserve">to ensure that this project is both time and cost efficient. The NQF Regulatory Practice Committee, the Early Childhood Policy Group, the Australian Education Senior Officials Committee and Education Ministers will be briefed on all evaluation report findings and recommendations. The </w:t>
      </w:r>
      <w:r w:rsidR="00F41372" w:rsidRPr="00BB601E">
        <w:t>Australian Education Senior Officials Committee</w:t>
      </w:r>
      <w:r w:rsidR="00F41372" w:rsidRPr="00BB601E" w:rsidDel="00F41372">
        <w:t xml:space="preserve"> </w:t>
      </w:r>
      <w:r w:rsidR="001B4234" w:rsidRPr="00BB601E">
        <w:t xml:space="preserve">will oversee the implementation of </w:t>
      </w:r>
      <w:r w:rsidR="002C7ED8">
        <w:t xml:space="preserve">evaluation </w:t>
      </w:r>
      <w:r w:rsidR="001B4234" w:rsidRPr="00BB601E">
        <w:t>recommendations</w:t>
      </w:r>
      <w:r w:rsidR="00BB601E" w:rsidRPr="00BB601E">
        <w:t>.</w:t>
      </w:r>
    </w:p>
    <w:p w14:paraId="59B321FF" w14:textId="2BC610FB" w:rsidR="00682E50" w:rsidRDefault="00682E50" w:rsidP="004E2139">
      <w:pPr>
        <w:sectPr w:rsidR="00682E50" w:rsidSect="008F214B">
          <w:headerReference w:type="first" r:id="rId65"/>
          <w:pgSz w:w="11900" w:h="16840"/>
          <w:pgMar w:top="1440" w:right="1440" w:bottom="1440" w:left="1440" w:header="709" w:footer="709" w:gutter="0"/>
          <w:cols w:space="708"/>
          <w:titlePg/>
          <w:docGrid w:linePitch="360"/>
        </w:sectPr>
      </w:pPr>
    </w:p>
    <w:p w14:paraId="79836298" w14:textId="3D424245" w:rsidR="003B7526" w:rsidRPr="00C42A4F" w:rsidRDefault="003B7526" w:rsidP="003B7526">
      <w:pPr>
        <w:rPr>
          <w:i/>
          <w:iCs/>
          <w:color w:val="14233C" w:themeColor="text2"/>
          <w:sz w:val="18"/>
          <w:szCs w:val="18"/>
        </w:rPr>
      </w:pPr>
      <w:r w:rsidRPr="00C42A4F">
        <w:rPr>
          <w:i/>
          <w:iCs/>
          <w:color w:val="14233C" w:themeColor="text2"/>
          <w:sz w:val="18"/>
          <w:szCs w:val="18"/>
        </w:rPr>
        <w:lastRenderedPageBreak/>
        <w:t>Table 11.</w:t>
      </w:r>
      <w:r w:rsidR="00C30662">
        <w:rPr>
          <w:i/>
          <w:iCs/>
          <w:color w:val="14233C" w:themeColor="text2"/>
          <w:sz w:val="18"/>
          <w:szCs w:val="18"/>
        </w:rPr>
        <w:t>4</w:t>
      </w:r>
      <w:r w:rsidRPr="00C42A4F">
        <w:rPr>
          <w:i/>
          <w:iCs/>
          <w:color w:val="14233C" w:themeColor="text2"/>
          <w:sz w:val="18"/>
          <w:szCs w:val="18"/>
        </w:rPr>
        <w:t xml:space="preserve">: </w:t>
      </w:r>
      <w:r w:rsidR="007F0EFC">
        <w:rPr>
          <w:i/>
          <w:iCs/>
          <w:color w:val="14233C" w:themeColor="text2"/>
          <w:sz w:val="18"/>
          <w:szCs w:val="18"/>
        </w:rPr>
        <w:t>Evaluation –</w:t>
      </w:r>
      <w:r w:rsidR="00490691">
        <w:rPr>
          <w:i/>
          <w:iCs/>
          <w:color w:val="14233C" w:themeColor="text2"/>
          <w:sz w:val="18"/>
          <w:szCs w:val="18"/>
        </w:rPr>
        <w:t xml:space="preserve"> Measures to report on, existing data collected, and </w:t>
      </w:r>
      <w:r w:rsidR="00F6610B">
        <w:rPr>
          <w:i/>
          <w:iCs/>
          <w:color w:val="14233C" w:themeColor="text2"/>
          <w:sz w:val="18"/>
          <w:szCs w:val="18"/>
        </w:rPr>
        <w:t>potential sources of new data</w:t>
      </w:r>
    </w:p>
    <w:p w14:paraId="5591C80F" w14:textId="7540B2F9" w:rsidR="00E44289" w:rsidRPr="00C42A4F" w:rsidRDefault="00E44289" w:rsidP="003B7526">
      <w:pPr>
        <w:rPr>
          <w:i/>
          <w:iCs/>
          <w:color w:val="14233C" w:themeColor="text2"/>
          <w:sz w:val="18"/>
          <w:szCs w:val="18"/>
        </w:rPr>
      </w:pPr>
      <w:r>
        <w:rPr>
          <w:i/>
          <w:iCs/>
          <w:color w:val="14233C" w:themeColor="text2"/>
          <w:sz w:val="18"/>
          <w:szCs w:val="18"/>
        </w:rPr>
        <w:t xml:space="preserve">Note: Measures and data sources have only been identified for options that are recommended to be provided to Education Ministers for consideration. </w:t>
      </w:r>
      <w:r w:rsidR="00DA76F7">
        <w:rPr>
          <w:i/>
          <w:iCs/>
          <w:color w:val="14233C" w:themeColor="text2"/>
          <w:sz w:val="18"/>
          <w:szCs w:val="18"/>
        </w:rPr>
        <w:t>A full description of each option is available in Appendix 12.1.</w:t>
      </w:r>
      <w:r w:rsidR="00EA5C4E">
        <w:rPr>
          <w:i/>
          <w:iCs/>
          <w:color w:val="14233C" w:themeColor="text2"/>
          <w:sz w:val="18"/>
          <w:szCs w:val="18"/>
        </w:rPr>
        <w:t xml:space="preserve"> The extent to which these measures can provide a robust assessment of impact will in some cases depend on the specific drafting of legislation, regulation or other instruments. This is because the specific drafting can determine what types of non-compliance are recorded in current datasets and to what level of detail. </w:t>
      </w:r>
    </w:p>
    <w:p w14:paraId="223718C6" w14:textId="43EA1F1E" w:rsidR="003A6CA3" w:rsidRPr="003A6CA3" w:rsidRDefault="007A7C2E" w:rsidP="007A7C2E">
      <w:pPr>
        <w:pStyle w:val="Heading4"/>
        <w:rPr>
          <w:lang w:val="en-GB"/>
        </w:rPr>
      </w:pPr>
      <w:r>
        <w:rPr>
          <w:lang w:val="en-GB"/>
        </w:rPr>
        <w:t>Managing the use of digital devices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645"/>
        <w:gridCol w:w="7047"/>
        <w:gridCol w:w="2291"/>
        <w:gridCol w:w="2967"/>
      </w:tblGrid>
      <w:tr w:rsidR="002F79C7" w:rsidRPr="00AA5FCA" w14:paraId="66774B92" w14:textId="0D9B8C9D" w:rsidTr="00454C42">
        <w:trPr>
          <w:trHeight w:val="431"/>
          <w:tblHeader/>
        </w:trPr>
        <w:tc>
          <w:tcPr>
            <w:tcW w:w="0" w:type="auto"/>
            <w:shd w:val="clear" w:color="auto" w:fill="14233C" w:themeFill="text2"/>
            <w:vAlign w:val="center"/>
          </w:tcPr>
          <w:p w14:paraId="24130D0B" w14:textId="77777777" w:rsidR="002F79C7" w:rsidRPr="002F79C7" w:rsidRDefault="002F79C7">
            <w:pPr>
              <w:spacing w:line="240" w:lineRule="auto"/>
              <w:rPr>
                <w:b/>
                <w:color w:val="FFFFFF" w:themeColor="background1"/>
                <w:szCs w:val="20"/>
              </w:rPr>
            </w:pPr>
            <w:r w:rsidRPr="002F79C7">
              <w:rPr>
                <w:b/>
                <w:color w:val="FFFFFF" w:themeColor="background1"/>
                <w:szCs w:val="20"/>
              </w:rPr>
              <w:t>Option</w:t>
            </w:r>
          </w:p>
        </w:tc>
        <w:tc>
          <w:tcPr>
            <w:tcW w:w="7047" w:type="dxa"/>
            <w:shd w:val="clear" w:color="auto" w:fill="14233C" w:themeFill="text2"/>
            <w:vAlign w:val="center"/>
          </w:tcPr>
          <w:p w14:paraId="64554A4A" w14:textId="17423A66" w:rsidR="002F79C7" w:rsidRDefault="002F79C7" w:rsidP="00DA76F7">
            <w:pPr>
              <w:spacing w:line="240" w:lineRule="auto"/>
              <w:rPr>
                <w:b/>
                <w:szCs w:val="22"/>
                <w:lang w:val="en-GB"/>
              </w:rPr>
            </w:pPr>
            <w:r>
              <w:rPr>
                <w:b/>
                <w:szCs w:val="22"/>
                <w:lang w:val="en-GB"/>
              </w:rPr>
              <w:t>Measures</w:t>
            </w:r>
          </w:p>
        </w:tc>
        <w:tc>
          <w:tcPr>
            <w:tcW w:w="2291" w:type="dxa"/>
            <w:shd w:val="clear" w:color="auto" w:fill="14233C" w:themeFill="text2"/>
            <w:vAlign w:val="center"/>
          </w:tcPr>
          <w:p w14:paraId="28ABEB86" w14:textId="06DF3293" w:rsidR="002F79C7" w:rsidRPr="000876F6" w:rsidRDefault="002F79C7">
            <w:pPr>
              <w:spacing w:line="240" w:lineRule="auto"/>
              <w:rPr>
                <w:rFonts w:cs="Arial"/>
                <w:b/>
                <w:color w:val="FFFFFF" w:themeColor="background1"/>
                <w:szCs w:val="22"/>
              </w:rPr>
            </w:pPr>
            <w:r>
              <w:rPr>
                <w:b/>
                <w:szCs w:val="22"/>
                <w:lang w:val="en-GB"/>
              </w:rPr>
              <w:t>Existing data sources</w:t>
            </w:r>
          </w:p>
        </w:tc>
        <w:tc>
          <w:tcPr>
            <w:tcW w:w="0" w:type="auto"/>
            <w:shd w:val="clear" w:color="auto" w:fill="14233C" w:themeFill="text2"/>
          </w:tcPr>
          <w:p w14:paraId="236E22F3" w14:textId="07B89825" w:rsidR="002F79C7" w:rsidRDefault="002F79C7">
            <w:pPr>
              <w:spacing w:line="240" w:lineRule="auto"/>
              <w:rPr>
                <w:b/>
                <w:szCs w:val="22"/>
                <w:lang w:val="en-GB"/>
              </w:rPr>
            </w:pPr>
            <w:r>
              <w:rPr>
                <w:b/>
                <w:szCs w:val="22"/>
                <w:lang w:val="en-GB"/>
              </w:rPr>
              <w:t>New data sources (to be collected)</w:t>
            </w:r>
          </w:p>
        </w:tc>
      </w:tr>
      <w:tr w:rsidR="00757BE3" w:rsidRPr="00AA5FCA" w14:paraId="4484CEA8" w14:textId="23949464" w:rsidTr="00454C42">
        <w:trPr>
          <w:trHeight w:val="1724"/>
        </w:trPr>
        <w:tc>
          <w:tcPr>
            <w:tcW w:w="0" w:type="auto"/>
            <w:vAlign w:val="center"/>
          </w:tcPr>
          <w:p w14:paraId="6BD0CC26" w14:textId="5A67F428" w:rsidR="00757BE3" w:rsidRPr="002F79C7" w:rsidRDefault="00757BE3" w:rsidP="00757BE3">
            <w:pPr>
              <w:spacing w:line="240" w:lineRule="auto"/>
              <w:rPr>
                <w:b/>
                <w:szCs w:val="20"/>
              </w:rPr>
            </w:pPr>
            <w:r w:rsidRPr="002F79C7">
              <w:rPr>
                <w:b/>
                <w:szCs w:val="20"/>
              </w:rPr>
              <w:t>Option 2 (Regulatory)</w:t>
            </w:r>
          </w:p>
        </w:tc>
        <w:tc>
          <w:tcPr>
            <w:tcW w:w="7047" w:type="dxa"/>
          </w:tcPr>
          <w:p w14:paraId="272EC093" w14:textId="5FEFF150" w:rsidR="00757BE3" w:rsidRPr="006631BF" w:rsidRDefault="00757BE3" w:rsidP="00951F0E">
            <w:pPr>
              <w:pStyle w:val="ListParagraph"/>
              <w:numPr>
                <w:ilvl w:val="0"/>
                <w:numId w:val="127"/>
              </w:numPr>
              <w:spacing w:line="240" w:lineRule="auto"/>
              <w:rPr>
                <w:rFonts w:cs="Arial"/>
                <w:bCs/>
                <w:szCs w:val="22"/>
              </w:rPr>
            </w:pPr>
            <w:r>
              <w:rPr>
                <w:rFonts w:cs="Arial"/>
                <w:bCs/>
                <w:szCs w:val="22"/>
              </w:rPr>
              <w:t xml:space="preserve">Compliance data - </w:t>
            </w:r>
            <w:r w:rsidRPr="006631BF">
              <w:rPr>
                <w:rFonts w:cs="Arial"/>
                <w:bCs/>
                <w:szCs w:val="22"/>
              </w:rPr>
              <w:t>Number of providers who utilise service-issued digital devices when taking images or videos of children while providing education and care</w:t>
            </w:r>
          </w:p>
          <w:p w14:paraId="54E6F01C" w14:textId="620C667E" w:rsidR="00757BE3" w:rsidRPr="00CD4A97" w:rsidRDefault="00CF0A31" w:rsidP="00951F0E">
            <w:pPr>
              <w:pStyle w:val="ListParagraph"/>
              <w:numPr>
                <w:ilvl w:val="0"/>
                <w:numId w:val="127"/>
              </w:numPr>
              <w:spacing w:line="240" w:lineRule="auto"/>
              <w:rPr>
                <w:rFonts w:cs="Arial"/>
                <w:bCs/>
                <w:szCs w:val="22"/>
              </w:rPr>
            </w:pPr>
            <w:r>
              <w:rPr>
                <w:rFonts w:cs="Arial"/>
                <w:bCs/>
                <w:szCs w:val="22"/>
              </w:rPr>
              <w:t>Number of instances of non-compliance</w:t>
            </w:r>
            <w:r w:rsidR="00757BE3" w:rsidRPr="00CD4A97">
              <w:rPr>
                <w:rFonts w:cs="Arial"/>
                <w:bCs/>
                <w:szCs w:val="22"/>
              </w:rPr>
              <w:t xml:space="preserve">, by </w:t>
            </w:r>
            <w:r w:rsidR="0013039D">
              <w:rPr>
                <w:rFonts w:cs="Arial"/>
                <w:bCs/>
                <w:szCs w:val="22"/>
              </w:rPr>
              <w:t>provider management type, service type and service location</w:t>
            </w:r>
          </w:p>
          <w:p w14:paraId="5D9A4A84" w14:textId="10C4E736" w:rsidR="00757BE3" w:rsidRPr="007A19A1" w:rsidRDefault="007A6FB3" w:rsidP="00951F0E">
            <w:pPr>
              <w:pStyle w:val="ListParagraph"/>
              <w:numPr>
                <w:ilvl w:val="0"/>
                <w:numId w:val="127"/>
              </w:numPr>
              <w:spacing w:line="240" w:lineRule="auto"/>
              <w:rPr>
                <w:rFonts w:cs="Arial"/>
                <w:b/>
                <w:szCs w:val="22"/>
              </w:rPr>
            </w:pPr>
            <w:r>
              <w:t>Regulatory Authorities and approved providers report r</w:t>
            </w:r>
            <w:r w:rsidR="00757BE3">
              <w:t>educed likelihood that images and videos of children attending education and care services are handled inappropriately</w:t>
            </w:r>
          </w:p>
          <w:p w14:paraId="7BE911F9" w14:textId="6CF824F4" w:rsidR="00757BE3" w:rsidRPr="00A02190" w:rsidRDefault="007A6FB3" w:rsidP="00951F0E">
            <w:pPr>
              <w:pStyle w:val="ListParagraph"/>
              <w:numPr>
                <w:ilvl w:val="0"/>
                <w:numId w:val="127"/>
              </w:numPr>
              <w:spacing w:line="240" w:lineRule="auto"/>
              <w:rPr>
                <w:rFonts w:cs="Arial"/>
                <w:szCs w:val="22"/>
              </w:rPr>
            </w:pPr>
            <w:r>
              <w:rPr>
                <w:rFonts w:cs="Arial"/>
              </w:rPr>
              <w:t>Approved providers report i</w:t>
            </w:r>
            <w:r w:rsidR="00757BE3" w:rsidRPr="00A02190">
              <w:rPr>
                <w:rFonts w:cs="Arial"/>
              </w:rPr>
              <w:t>mproved oversight on the storage, disposal and nature of digital content generated in services</w:t>
            </w:r>
          </w:p>
          <w:p w14:paraId="776D3DB6" w14:textId="06AE93C3" w:rsidR="00757BE3" w:rsidRPr="000876F6" w:rsidRDefault="007A6FB3" w:rsidP="00951F0E">
            <w:pPr>
              <w:pStyle w:val="ListParagraph"/>
              <w:numPr>
                <w:ilvl w:val="0"/>
                <w:numId w:val="127"/>
              </w:numPr>
              <w:spacing w:line="240" w:lineRule="auto"/>
              <w:rPr>
                <w:rFonts w:cs="Arial"/>
                <w:b/>
                <w:szCs w:val="22"/>
              </w:rPr>
            </w:pPr>
            <w:r>
              <w:rPr>
                <w:rFonts w:cs="Arial"/>
                <w:bCs/>
              </w:rPr>
              <w:t>Approved providers report r</w:t>
            </w:r>
            <w:r w:rsidR="00757BE3" w:rsidRPr="00A02190">
              <w:rPr>
                <w:rFonts w:cs="Arial"/>
                <w:bCs/>
              </w:rPr>
              <w:t>educed likelihood that personal devices are used inappropriately in education and care services settings</w:t>
            </w:r>
          </w:p>
        </w:tc>
        <w:tc>
          <w:tcPr>
            <w:tcW w:w="2291" w:type="dxa"/>
          </w:tcPr>
          <w:p w14:paraId="7BAA04BD" w14:textId="4FB1798A" w:rsidR="00757BE3" w:rsidRPr="00951F0E" w:rsidRDefault="00E859A8" w:rsidP="00951F0E">
            <w:pPr>
              <w:pStyle w:val="ListParagraph"/>
              <w:numPr>
                <w:ilvl w:val="0"/>
                <w:numId w:val="143"/>
              </w:numPr>
              <w:spacing w:line="240" w:lineRule="auto"/>
              <w:ind w:left="283" w:hanging="283"/>
              <w:rPr>
                <w:rFonts w:cs="Arial"/>
                <w:b/>
                <w:szCs w:val="22"/>
              </w:rPr>
            </w:pPr>
            <w:r w:rsidRPr="00951F0E">
              <w:rPr>
                <w:lang w:val="en-GB"/>
              </w:rPr>
              <w:t>Survey data on National Model Code and Guideline adoption</w:t>
            </w:r>
            <w:r w:rsidRPr="00951F0E" w:rsidDel="00C973BC">
              <w:rPr>
                <w:lang w:val="en-GB"/>
              </w:rPr>
              <w:t xml:space="preserve"> </w:t>
            </w:r>
          </w:p>
        </w:tc>
        <w:tc>
          <w:tcPr>
            <w:tcW w:w="0" w:type="auto"/>
          </w:tcPr>
          <w:p w14:paraId="7EAA8DE4" w14:textId="5D5CEC68" w:rsidR="00757BE3" w:rsidRDefault="00757BE3" w:rsidP="00951F0E">
            <w:pPr>
              <w:pStyle w:val="ListParagraph"/>
              <w:numPr>
                <w:ilvl w:val="0"/>
                <w:numId w:val="127"/>
              </w:numPr>
              <w:spacing w:line="240" w:lineRule="auto"/>
              <w:rPr>
                <w:szCs w:val="22"/>
                <w:lang w:val="en-GB"/>
              </w:rPr>
            </w:pPr>
            <w:r>
              <w:rPr>
                <w:szCs w:val="22"/>
                <w:lang w:val="en-GB"/>
              </w:rPr>
              <w:t>Survey to approved providers</w:t>
            </w:r>
          </w:p>
          <w:p w14:paraId="577B8BB2" w14:textId="77777777" w:rsidR="001E00C8" w:rsidRPr="001E00C8" w:rsidRDefault="001E00C8" w:rsidP="00951F0E">
            <w:pPr>
              <w:pStyle w:val="ListParagraph"/>
              <w:numPr>
                <w:ilvl w:val="0"/>
                <w:numId w:val="127"/>
              </w:numPr>
              <w:spacing w:line="240" w:lineRule="auto"/>
              <w:rPr>
                <w:lang w:val="en-GB"/>
              </w:rPr>
            </w:pPr>
            <w:r w:rsidRPr="001E00C8">
              <w:rPr>
                <w:lang w:val="en-GB"/>
              </w:rPr>
              <w:t>Survey to education and care workforce</w:t>
            </w:r>
          </w:p>
          <w:p w14:paraId="3AE6F3DF" w14:textId="63B963DB" w:rsidR="00757BE3" w:rsidRDefault="00757BE3" w:rsidP="00951F0E">
            <w:pPr>
              <w:pStyle w:val="ListParagraph"/>
              <w:numPr>
                <w:ilvl w:val="0"/>
                <w:numId w:val="127"/>
              </w:numPr>
              <w:spacing w:line="240" w:lineRule="auto"/>
              <w:rPr>
                <w:szCs w:val="22"/>
                <w:lang w:val="en-GB"/>
              </w:rPr>
            </w:pPr>
            <w:r>
              <w:rPr>
                <w:szCs w:val="22"/>
                <w:lang w:val="en-GB"/>
              </w:rPr>
              <w:t>Survey to parents / carers</w:t>
            </w:r>
          </w:p>
          <w:p w14:paraId="4502A54E" w14:textId="77777777" w:rsidR="00757BE3" w:rsidRDefault="00757BE3" w:rsidP="00951F0E">
            <w:pPr>
              <w:pStyle w:val="ListParagraph"/>
              <w:numPr>
                <w:ilvl w:val="0"/>
                <w:numId w:val="127"/>
              </w:numPr>
              <w:spacing w:line="240" w:lineRule="auto"/>
              <w:rPr>
                <w:szCs w:val="22"/>
                <w:lang w:val="en-GB"/>
              </w:rPr>
            </w:pPr>
            <w:r>
              <w:rPr>
                <w:szCs w:val="22"/>
                <w:lang w:val="en-GB"/>
              </w:rPr>
              <w:t>Stakeholder consultation with Regulatory Authorities</w:t>
            </w:r>
          </w:p>
          <w:p w14:paraId="160D7767" w14:textId="537189D9" w:rsidR="0004511A" w:rsidRPr="00955D39" w:rsidRDefault="0004511A" w:rsidP="00951F0E">
            <w:pPr>
              <w:pStyle w:val="ListParagraph"/>
              <w:numPr>
                <w:ilvl w:val="0"/>
                <w:numId w:val="127"/>
              </w:numPr>
              <w:spacing w:line="240" w:lineRule="auto"/>
              <w:rPr>
                <w:szCs w:val="22"/>
                <w:lang w:val="en-GB"/>
              </w:rPr>
            </w:pPr>
            <w:r w:rsidRPr="0004511A">
              <w:rPr>
                <w:szCs w:val="22"/>
                <w:lang w:val="en-GB"/>
              </w:rPr>
              <w:t xml:space="preserve">Compliance data (e.g. confirmed breaches and compliance action taken) on new </w:t>
            </w:r>
            <w:r>
              <w:rPr>
                <w:szCs w:val="22"/>
                <w:lang w:val="en-GB"/>
              </w:rPr>
              <w:t>requirement</w:t>
            </w:r>
            <w:r w:rsidR="00E859A8">
              <w:rPr>
                <w:szCs w:val="22"/>
                <w:lang w:val="en-GB"/>
              </w:rPr>
              <w:t>s</w:t>
            </w:r>
          </w:p>
        </w:tc>
      </w:tr>
      <w:tr w:rsidR="00757BE3" w:rsidRPr="00AA5FCA" w14:paraId="0EB5CE80" w14:textId="0002785C" w:rsidTr="00454C42">
        <w:trPr>
          <w:trHeight w:val="656"/>
        </w:trPr>
        <w:tc>
          <w:tcPr>
            <w:tcW w:w="0" w:type="auto"/>
            <w:vAlign w:val="center"/>
          </w:tcPr>
          <w:p w14:paraId="35F8DEF8" w14:textId="1403EC3E" w:rsidR="00757BE3" w:rsidRPr="002F79C7" w:rsidRDefault="00757BE3" w:rsidP="00757BE3">
            <w:pPr>
              <w:spacing w:line="240" w:lineRule="auto"/>
              <w:rPr>
                <w:b/>
                <w:szCs w:val="20"/>
              </w:rPr>
            </w:pPr>
            <w:r w:rsidRPr="002F79C7">
              <w:rPr>
                <w:b/>
                <w:szCs w:val="20"/>
              </w:rPr>
              <w:t>Option 3 (Regulatory)</w:t>
            </w:r>
          </w:p>
        </w:tc>
        <w:tc>
          <w:tcPr>
            <w:tcW w:w="7047" w:type="dxa"/>
          </w:tcPr>
          <w:p w14:paraId="333AD0B1" w14:textId="726761B3" w:rsidR="00757BE3" w:rsidRPr="006631BF" w:rsidRDefault="00757BE3" w:rsidP="00951F0E">
            <w:pPr>
              <w:pStyle w:val="ListParagraph"/>
              <w:numPr>
                <w:ilvl w:val="0"/>
                <w:numId w:val="128"/>
              </w:numPr>
              <w:spacing w:line="240" w:lineRule="auto"/>
              <w:rPr>
                <w:rFonts w:cs="Arial"/>
                <w:b/>
                <w:szCs w:val="22"/>
              </w:rPr>
            </w:pPr>
            <w:r>
              <w:rPr>
                <w:rFonts w:cs="Arial"/>
                <w:bCs/>
                <w:szCs w:val="22"/>
              </w:rPr>
              <w:t>Compliance data - Number of approved providers that have implemented policies that ban the possession of personal devices during the provision of education and care and working directly with children</w:t>
            </w:r>
          </w:p>
          <w:p w14:paraId="3A067937" w14:textId="77777777" w:rsidR="007A6FB3" w:rsidRPr="00CD4A97" w:rsidRDefault="00757BE3" w:rsidP="007A6FB3">
            <w:pPr>
              <w:pStyle w:val="ListParagraph"/>
              <w:numPr>
                <w:ilvl w:val="0"/>
                <w:numId w:val="127"/>
              </w:numPr>
              <w:spacing w:line="240" w:lineRule="auto"/>
              <w:rPr>
                <w:rFonts w:cs="Arial"/>
                <w:bCs/>
                <w:szCs w:val="22"/>
              </w:rPr>
            </w:pPr>
            <w:r w:rsidRPr="00CD4A97">
              <w:rPr>
                <w:rFonts w:cs="Arial"/>
                <w:bCs/>
                <w:szCs w:val="22"/>
              </w:rPr>
              <w:lastRenderedPageBreak/>
              <w:t xml:space="preserve">Non-compliance data - Number of penalties for non-compliance, by </w:t>
            </w:r>
            <w:r w:rsidR="007A6FB3">
              <w:rPr>
                <w:rFonts w:cs="Arial"/>
                <w:bCs/>
                <w:szCs w:val="22"/>
              </w:rPr>
              <w:t>provider management type, service type and service location</w:t>
            </w:r>
          </w:p>
          <w:p w14:paraId="68941D86" w14:textId="11B2675A" w:rsidR="00757BE3" w:rsidRPr="000876F6" w:rsidRDefault="007A6FB3" w:rsidP="00951F0E">
            <w:pPr>
              <w:pStyle w:val="ListParagraph"/>
              <w:numPr>
                <w:ilvl w:val="0"/>
                <w:numId w:val="128"/>
              </w:numPr>
              <w:spacing w:line="240" w:lineRule="auto"/>
              <w:rPr>
                <w:rFonts w:cs="Arial"/>
                <w:b/>
                <w:szCs w:val="22"/>
              </w:rPr>
            </w:pPr>
            <w:r>
              <w:rPr>
                <w:rFonts w:cs="Arial"/>
                <w:bCs/>
                <w:szCs w:val="22"/>
              </w:rPr>
              <w:t xml:space="preserve">Approved providers and Regulatory Authorities report </w:t>
            </w:r>
            <w:r>
              <w:rPr>
                <w:rFonts w:cs="Arial"/>
                <w:bCs/>
              </w:rPr>
              <w:t>r</w:t>
            </w:r>
            <w:r w:rsidR="00757BE3" w:rsidRPr="00A02190">
              <w:rPr>
                <w:rFonts w:cs="Arial"/>
                <w:bCs/>
              </w:rPr>
              <w:t>educed likelihood that personal devices are used inappropriately in education and care services setting</w:t>
            </w:r>
            <w:r w:rsidR="00757BE3">
              <w:rPr>
                <w:rFonts w:cs="Arial"/>
                <w:bCs/>
              </w:rPr>
              <w:t>s</w:t>
            </w:r>
          </w:p>
        </w:tc>
        <w:tc>
          <w:tcPr>
            <w:tcW w:w="2291" w:type="dxa"/>
          </w:tcPr>
          <w:p w14:paraId="40B584D6" w14:textId="66908284" w:rsidR="00757BE3" w:rsidRPr="00951F0E" w:rsidRDefault="00E859A8" w:rsidP="00951F0E">
            <w:pPr>
              <w:pStyle w:val="ListParagraph"/>
              <w:numPr>
                <w:ilvl w:val="0"/>
                <w:numId w:val="143"/>
              </w:numPr>
              <w:spacing w:line="240" w:lineRule="auto"/>
              <w:ind w:left="283" w:hanging="283"/>
              <w:rPr>
                <w:rFonts w:cs="Arial"/>
                <w:b/>
                <w:szCs w:val="22"/>
              </w:rPr>
            </w:pPr>
            <w:r w:rsidRPr="00951F0E">
              <w:rPr>
                <w:lang w:val="en-GB"/>
              </w:rPr>
              <w:lastRenderedPageBreak/>
              <w:t>Survey data on National Model Code and Guideline adoption</w:t>
            </w:r>
            <w:r w:rsidRPr="00951F0E" w:rsidDel="00C973BC">
              <w:rPr>
                <w:lang w:val="en-GB"/>
              </w:rPr>
              <w:t xml:space="preserve"> </w:t>
            </w:r>
          </w:p>
        </w:tc>
        <w:tc>
          <w:tcPr>
            <w:tcW w:w="0" w:type="auto"/>
          </w:tcPr>
          <w:p w14:paraId="20516353" w14:textId="7B29D3F7" w:rsidR="00757BE3" w:rsidRDefault="00757BE3" w:rsidP="00951F0E">
            <w:pPr>
              <w:pStyle w:val="ListParagraph"/>
              <w:numPr>
                <w:ilvl w:val="0"/>
                <w:numId w:val="127"/>
              </w:numPr>
              <w:spacing w:line="240" w:lineRule="auto"/>
              <w:rPr>
                <w:szCs w:val="22"/>
                <w:lang w:val="en-GB"/>
              </w:rPr>
            </w:pPr>
            <w:r>
              <w:rPr>
                <w:szCs w:val="22"/>
                <w:lang w:val="en-GB"/>
              </w:rPr>
              <w:t>Survey to approved providers</w:t>
            </w:r>
          </w:p>
          <w:p w14:paraId="51D4E680" w14:textId="77777777" w:rsidR="001E00C8" w:rsidRPr="001E00C8" w:rsidRDefault="001E00C8" w:rsidP="00951F0E">
            <w:pPr>
              <w:pStyle w:val="ListParagraph"/>
              <w:numPr>
                <w:ilvl w:val="0"/>
                <w:numId w:val="127"/>
              </w:numPr>
              <w:spacing w:line="240" w:lineRule="auto"/>
              <w:rPr>
                <w:lang w:val="en-GB"/>
              </w:rPr>
            </w:pPr>
            <w:r w:rsidRPr="001E00C8">
              <w:rPr>
                <w:lang w:val="en-GB"/>
              </w:rPr>
              <w:t>Survey to education and care workforce</w:t>
            </w:r>
          </w:p>
          <w:p w14:paraId="2D7B1F9E" w14:textId="17C516F6" w:rsidR="00757BE3" w:rsidRDefault="00757BE3" w:rsidP="00951F0E">
            <w:pPr>
              <w:pStyle w:val="ListParagraph"/>
              <w:numPr>
                <w:ilvl w:val="0"/>
                <w:numId w:val="127"/>
              </w:numPr>
              <w:spacing w:line="240" w:lineRule="auto"/>
              <w:rPr>
                <w:szCs w:val="22"/>
                <w:lang w:val="en-GB"/>
              </w:rPr>
            </w:pPr>
            <w:r>
              <w:rPr>
                <w:szCs w:val="22"/>
                <w:lang w:val="en-GB"/>
              </w:rPr>
              <w:lastRenderedPageBreak/>
              <w:t>Survey to parents / carers</w:t>
            </w:r>
          </w:p>
          <w:p w14:paraId="2C5CB209" w14:textId="77777777" w:rsidR="00757BE3" w:rsidRDefault="00757BE3" w:rsidP="00951F0E">
            <w:pPr>
              <w:pStyle w:val="ListParagraph"/>
              <w:numPr>
                <w:ilvl w:val="0"/>
                <w:numId w:val="127"/>
              </w:numPr>
              <w:spacing w:line="240" w:lineRule="auto"/>
              <w:rPr>
                <w:szCs w:val="22"/>
                <w:lang w:val="en-GB"/>
              </w:rPr>
            </w:pPr>
            <w:r>
              <w:rPr>
                <w:szCs w:val="22"/>
                <w:lang w:val="en-GB"/>
              </w:rPr>
              <w:t>Stakeholder consultation with Regulatory Authorities</w:t>
            </w:r>
          </w:p>
          <w:p w14:paraId="79D01D96" w14:textId="2A4400AF" w:rsidR="00E859A8" w:rsidRPr="00711B11" w:rsidRDefault="00E859A8" w:rsidP="00951F0E">
            <w:pPr>
              <w:pStyle w:val="ListParagraph"/>
              <w:numPr>
                <w:ilvl w:val="0"/>
                <w:numId w:val="127"/>
              </w:numPr>
              <w:spacing w:line="240" w:lineRule="auto"/>
              <w:rPr>
                <w:szCs w:val="22"/>
                <w:lang w:val="en-GB"/>
              </w:rPr>
            </w:pPr>
            <w:r w:rsidRPr="0004511A">
              <w:rPr>
                <w:szCs w:val="22"/>
                <w:lang w:val="en-GB"/>
              </w:rPr>
              <w:t xml:space="preserve">Compliance data (e.g. confirmed breaches and compliance action taken) on new </w:t>
            </w:r>
            <w:r>
              <w:rPr>
                <w:szCs w:val="22"/>
                <w:lang w:val="en-GB"/>
              </w:rPr>
              <w:t>requirements</w:t>
            </w:r>
          </w:p>
        </w:tc>
      </w:tr>
    </w:tbl>
    <w:p w14:paraId="7F829CAE" w14:textId="5CB0C64A" w:rsidR="007171FE" w:rsidRPr="00D942EF" w:rsidRDefault="007171FE" w:rsidP="007171FE">
      <w:pPr>
        <w:pStyle w:val="Heading4"/>
        <w:rPr>
          <w:lang w:val="en-GB"/>
        </w:rPr>
      </w:pPr>
      <w:r>
        <w:rPr>
          <w:lang w:val="en-GB"/>
        </w:rPr>
        <w:lastRenderedPageBreak/>
        <w:t>Child Safety Training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754"/>
        <w:gridCol w:w="6925"/>
        <w:gridCol w:w="1976"/>
        <w:gridCol w:w="3295"/>
      </w:tblGrid>
      <w:tr w:rsidR="002F79C7" w:rsidRPr="002D5851" w14:paraId="03055489" w14:textId="54751DFB" w:rsidTr="00757BE3">
        <w:trPr>
          <w:tblHeader/>
        </w:trPr>
        <w:tc>
          <w:tcPr>
            <w:tcW w:w="0" w:type="auto"/>
            <w:shd w:val="clear" w:color="auto" w:fill="14233C" w:themeFill="text2"/>
            <w:vAlign w:val="center"/>
          </w:tcPr>
          <w:p w14:paraId="1DA7DA16" w14:textId="77777777" w:rsidR="002F79C7" w:rsidRPr="002D5851" w:rsidRDefault="002F79C7">
            <w:pPr>
              <w:spacing w:line="240" w:lineRule="auto"/>
              <w:rPr>
                <w:b/>
                <w:color w:val="FFFFFF" w:themeColor="background1"/>
                <w:szCs w:val="22"/>
              </w:rPr>
            </w:pPr>
            <w:r w:rsidRPr="002D5851">
              <w:rPr>
                <w:b/>
                <w:color w:val="FFFFFF" w:themeColor="background1"/>
                <w:szCs w:val="22"/>
              </w:rPr>
              <w:t>Option</w:t>
            </w:r>
          </w:p>
        </w:tc>
        <w:tc>
          <w:tcPr>
            <w:tcW w:w="6925" w:type="dxa"/>
            <w:shd w:val="clear" w:color="auto" w:fill="14233C" w:themeFill="text2"/>
            <w:vAlign w:val="center"/>
          </w:tcPr>
          <w:p w14:paraId="439A7269" w14:textId="48EEE733" w:rsidR="002F79C7" w:rsidRDefault="002F79C7" w:rsidP="00DA76F7">
            <w:pPr>
              <w:spacing w:line="240" w:lineRule="auto"/>
              <w:rPr>
                <w:b/>
                <w:szCs w:val="22"/>
                <w:lang w:val="en-GB"/>
              </w:rPr>
            </w:pPr>
            <w:r>
              <w:rPr>
                <w:b/>
                <w:szCs w:val="22"/>
                <w:lang w:val="en-GB"/>
              </w:rPr>
              <w:t>Measures</w:t>
            </w:r>
          </w:p>
        </w:tc>
        <w:tc>
          <w:tcPr>
            <w:tcW w:w="1976" w:type="dxa"/>
            <w:shd w:val="clear" w:color="auto" w:fill="14233C" w:themeFill="text2"/>
            <w:vAlign w:val="center"/>
          </w:tcPr>
          <w:p w14:paraId="2A791AC9" w14:textId="77CF95CC" w:rsidR="002F79C7" w:rsidRPr="002D5851" w:rsidRDefault="002F79C7">
            <w:pPr>
              <w:spacing w:line="240" w:lineRule="auto"/>
              <w:rPr>
                <w:b/>
                <w:color w:val="FFFFFF" w:themeColor="background1"/>
                <w:szCs w:val="22"/>
              </w:rPr>
            </w:pPr>
            <w:r>
              <w:rPr>
                <w:b/>
                <w:szCs w:val="22"/>
                <w:lang w:val="en-GB"/>
              </w:rPr>
              <w:t>Existing data sources</w:t>
            </w:r>
          </w:p>
        </w:tc>
        <w:tc>
          <w:tcPr>
            <w:tcW w:w="0" w:type="auto"/>
            <w:shd w:val="clear" w:color="auto" w:fill="14233C" w:themeFill="text2"/>
          </w:tcPr>
          <w:p w14:paraId="2C0BFC81" w14:textId="6A634124" w:rsidR="002F79C7" w:rsidRDefault="00591835">
            <w:pPr>
              <w:spacing w:line="240" w:lineRule="auto"/>
              <w:rPr>
                <w:b/>
                <w:szCs w:val="22"/>
                <w:lang w:val="en-GB"/>
              </w:rPr>
            </w:pPr>
            <w:r>
              <w:rPr>
                <w:b/>
                <w:szCs w:val="22"/>
                <w:lang w:val="en-GB"/>
              </w:rPr>
              <w:t>New data sources (to be collected)</w:t>
            </w:r>
          </w:p>
        </w:tc>
      </w:tr>
      <w:tr w:rsidR="00757BE3" w:rsidRPr="002D5851" w14:paraId="1FBF48FB" w14:textId="1158B4F9" w:rsidTr="0089138D">
        <w:tc>
          <w:tcPr>
            <w:tcW w:w="0" w:type="auto"/>
            <w:vAlign w:val="center"/>
          </w:tcPr>
          <w:p w14:paraId="3C90ABCF" w14:textId="7CC6E20F" w:rsidR="00757BE3" w:rsidRPr="002D5851" w:rsidRDefault="00757BE3" w:rsidP="00757BE3">
            <w:pPr>
              <w:spacing w:line="240" w:lineRule="auto"/>
              <w:rPr>
                <w:szCs w:val="22"/>
              </w:rPr>
            </w:pPr>
            <w:r w:rsidRPr="002F79C7">
              <w:rPr>
                <w:b/>
                <w:szCs w:val="20"/>
              </w:rPr>
              <w:t xml:space="preserve">Option </w:t>
            </w:r>
            <w:r>
              <w:rPr>
                <w:b/>
                <w:szCs w:val="20"/>
              </w:rPr>
              <w:t>4</w:t>
            </w:r>
            <w:r w:rsidRPr="002F79C7">
              <w:rPr>
                <w:b/>
                <w:szCs w:val="20"/>
              </w:rPr>
              <w:t xml:space="preserve"> (Regulatory)</w:t>
            </w:r>
          </w:p>
        </w:tc>
        <w:tc>
          <w:tcPr>
            <w:tcW w:w="6925" w:type="dxa"/>
          </w:tcPr>
          <w:p w14:paraId="50972A3E" w14:textId="0433A225" w:rsidR="00757BE3" w:rsidRDefault="00757BE3" w:rsidP="00757BE3">
            <w:pPr>
              <w:pStyle w:val="ListParagraph"/>
              <w:numPr>
                <w:ilvl w:val="0"/>
                <w:numId w:val="129"/>
              </w:numPr>
              <w:spacing w:line="240" w:lineRule="auto"/>
              <w:rPr>
                <w:szCs w:val="22"/>
                <w:lang w:val="en-GB"/>
              </w:rPr>
            </w:pPr>
            <w:r>
              <w:rPr>
                <w:szCs w:val="22"/>
                <w:lang w:val="en-GB"/>
              </w:rPr>
              <w:t xml:space="preserve">Compliance data - Number of staff members who have completed child protection training (by staff member type, </w:t>
            </w:r>
            <w:r w:rsidR="007A6FB3">
              <w:rPr>
                <w:szCs w:val="22"/>
                <w:lang w:val="en-GB"/>
              </w:rPr>
              <w:t>service type, provider management type and service location</w:t>
            </w:r>
            <w:r>
              <w:rPr>
                <w:szCs w:val="22"/>
                <w:lang w:val="en-GB"/>
              </w:rPr>
              <w:t>)</w:t>
            </w:r>
          </w:p>
          <w:p w14:paraId="79D905B5" w14:textId="4BE00CA1" w:rsidR="00757BE3" w:rsidRDefault="007A6FB3" w:rsidP="00757BE3">
            <w:pPr>
              <w:pStyle w:val="ListParagraph"/>
              <w:numPr>
                <w:ilvl w:val="0"/>
                <w:numId w:val="129"/>
              </w:numPr>
              <w:spacing w:line="240" w:lineRule="auto"/>
              <w:rPr>
                <w:szCs w:val="22"/>
                <w:lang w:val="en-GB"/>
              </w:rPr>
            </w:pPr>
            <w:r>
              <w:rPr>
                <w:szCs w:val="22"/>
                <w:lang w:val="en-GB"/>
              </w:rPr>
              <w:t>Evidence of i</w:t>
            </w:r>
            <w:r w:rsidR="00757BE3">
              <w:rPr>
                <w:szCs w:val="22"/>
                <w:lang w:val="en-GB"/>
              </w:rPr>
              <w:t xml:space="preserve">mproved national consistency in child protection training approaches </w:t>
            </w:r>
          </w:p>
          <w:p w14:paraId="135873E0" w14:textId="6D515640" w:rsidR="00757BE3" w:rsidRDefault="007A6FB3" w:rsidP="00757BE3">
            <w:pPr>
              <w:pStyle w:val="ListParagraph"/>
              <w:numPr>
                <w:ilvl w:val="0"/>
                <w:numId w:val="129"/>
              </w:numPr>
              <w:spacing w:line="240" w:lineRule="auto"/>
              <w:rPr>
                <w:szCs w:val="22"/>
                <w:lang w:val="en-GB"/>
              </w:rPr>
            </w:pPr>
            <w:r>
              <w:rPr>
                <w:szCs w:val="22"/>
                <w:lang w:val="en-GB"/>
              </w:rPr>
              <w:t xml:space="preserve">Evidence of improved </w:t>
            </w:r>
            <w:r w:rsidR="00757BE3">
              <w:rPr>
                <w:szCs w:val="22"/>
                <w:lang w:val="en-GB"/>
              </w:rPr>
              <w:t>workplace culture on the collective responsibilities of all staff members to keep children safe</w:t>
            </w:r>
          </w:p>
          <w:p w14:paraId="28E31E58" w14:textId="6466C651" w:rsidR="00757BE3" w:rsidRDefault="007A6FB3" w:rsidP="00757BE3">
            <w:pPr>
              <w:pStyle w:val="ListParagraph"/>
              <w:numPr>
                <w:ilvl w:val="0"/>
                <w:numId w:val="129"/>
              </w:numPr>
              <w:spacing w:line="240" w:lineRule="auto"/>
              <w:rPr>
                <w:szCs w:val="22"/>
                <w:lang w:val="en-GB"/>
              </w:rPr>
            </w:pPr>
            <w:r>
              <w:rPr>
                <w:szCs w:val="22"/>
                <w:lang w:val="en-GB"/>
              </w:rPr>
              <w:t xml:space="preserve">Evidence of improved </w:t>
            </w:r>
            <w:r w:rsidR="00757BE3">
              <w:rPr>
                <w:szCs w:val="22"/>
                <w:lang w:val="en-GB"/>
              </w:rPr>
              <w:t>understanding on the role and obligations of staff member</w:t>
            </w:r>
            <w:r>
              <w:rPr>
                <w:szCs w:val="22"/>
                <w:lang w:val="en-GB"/>
              </w:rPr>
              <w:t>s</w:t>
            </w:r>
            <w:r w:rsidR="00757BE3">
              <w:rPr>
                <w:szCs w:val="22"/>
                <w:lang w:val="en-GB"/>
              </w:rPr>
              <w:t xml:space="preserve"> to respond to signs of child </w:t>
            </w:r>
            <w:r w:rsidR="008F57C8">
              <w:rPr>
                <w:szCs w:val="22"/>
                <w:lang w:val="en-GB"/>
              </w:rPr>
              <w:t>maltreatment</w:t>
            </w:r>
          </w:p>
          <w:p w14:paraId="44CCC657" w14:textId="55D2EF03" w:rsidR="00757BE3" w:rsidRPr="002D5851" w:rsidRDefault="00757BE3" w:rsidP="00757BE3">
            <w:pPr>
              <w:pStyle w:val="ListParagraph"/>
              <w:numPr>
                <w:ilvl w:val="0"/>
                <w:numId w:val="129"/>
              </w:numPr>
              <w:spacing w:line="240" w:lineRule="auto"/>
              <w:rPr>
                <w:szCs w:val="22"/>
                <w:lang w:val="en-GB"/>
              </w:rPr>
            </w:pPr>
            <w:r>
              <w:rPr>
                <w:szCs w:val="22"/>
                <w:lang w:val="en-GB"/>
              </w:rPr>
              <w:lastRenderedPageBreak/>
              <w:t xml:space="preserve">Staff members </w:t>
            </w:r>
            <w:r w:rsidR="007A6FB3">
              <w:rPr>
                <w:szCs w:val="22"/>
                <w:lang w:val="en-GB"/>
              </w:rPr>
              <w:t xml:space="preserve">report </w:t>
            </w:r>
            <w:r>
              <w:rPr>
                <w:szCs w:val="22"/>
                <w:lang w:val="en-GB"/>
              </w:rPr>
              <w:t>improved knowledge skills, awareness and ability to keep children safe</w:t>
            </w:r>
            <w:r w:rsidR="007A6FB3">
              <w:rPr>
                <w:szCs w:val="22"/>
                <w:lang w:val="en-GB"/>
              </w:rPr>
              <w:t xml:space="preserve"> as a direct result of child protection training received</w:t>
            </w:r>
          </w:p>
        </w:tc>
        <w:tc>
          <w:tcPr>
            <w:tcW w:w="1976" w:type="dxa"/>
          </w:tcPr>
          <w:p w14:paraId="5F7828BA" w14:textId="74DB6470" w:rsidR="00757BE3" w:rsidRPr="00C809C1" w:rsidRDefault="00C809C1" w:rsidP="00C809C1">
            <w:pPr>
              <w:pStyle w:val="ListParagraph"/>
              <w:numPr>
                <w:ilvl w:val="0"/>
                <w:numId w:val="129"/>
              </w:numPr>
              <w:spacing w:line="240" w:lineRule="auto"/>
              <w:rPr>
                <w:b/>
                <w:szCs w:val="22"/>
              </w:rPr>
            </w:pPr>
            <w:r w:rsidRPr="00C809C1">
              <w:rPr>
                <w:lang w:val="en-GB"/>
              </w:rPr>
              <w:lastRenderedPageBreak/>
              <w:t xml:space="preserve">Compliance data on </w:t>
            </w:r>
            <w:r w:rsidR="00054815">
              <w:rPr>
                <w:lang w:val="en-GB"/>
              </w:rPr>
              <w:t xml:space="preserve">section </w:t>
            </w:r>
            <w:r w:rsidRPr="00C809C1">
              <w:rPr>
                <w:lang w:val="en-GB"/>
              </w:rPr>
              <w:t>162A</w:t>
            </w:r>
            <w:r w:rsidRPr="00C809C1" w:rsidDel="007E5C62">
              <w:rPr>
                <w:highlight w:val="yellow"/>
                <w:lang w:val="en-GB"/>
              </w:rPr>
              <w:t xml:space="preserve"> </w:t>
            </w:r>
          </w:p>
        </w:tc>
        <w:tc>
          <w:tcPr>
            <w:tcW w:w="0" w:type="auto"/>
          </w:tcPr>
          <w:p w14:paraId="5163ECB7" w14:textId="77777777" w:rsidR="001E00C8" w:rsidRPr="001E00C8" w:rsidRDefault="001E00C8" w:rsidP="001E00C8">
            <w:pPr>
              <w:pStyle w:val="ListParagraph"/>
              <w:numPr>
                <w:ilvl w:val="0"/>
                <w:numId w:val="127"/>
              </w:numPr>
              <w:spacing w:line="240" w:lineRule="auto"/>
              <w:rPr>
                <w:lang w:val="en-GB"/>
              </w:rPr>
            </w:pPr>
            <w:r w:rsidRPr="001E00C8">
              <w:rPr>
                <w:lang w:val="en-GB"/>
              </w:rPr>
              <w:t>Survey to education and care workforce</w:t>
            </w:r>
          </w:p>
          <w:p w14:paraId="7DF1A406" w14:textId="45A945D9" w:rsidR="00757BE3" w:rsidRDefault="00757BE3" w:rsidP="00757BE3">
            <w:pPr>
              <w:pStyle w:val="ListParagraph"/>
              <w:numPr>
                <w:ilvl w:val="0"/>
                <w:numId w:val="127"/>
              </w:numPr>
              <w:spacing w:line="240" w:lineRule="auto"/>
              <w:rPr>
                <w:szCs w:val="22"/>
                <w:lang w:val="en-GB"/>
              </w:rPr>
            </w:pPr>
            <w:r>
              <w:rPr>
                <w:szCs w:val="22"/>
                <w:lang w:val="en-GB"/>
              </w:rPr>
              <w:t>Survey to approved providers</w:t>
            </w:r>
          </w:p>
          <w:p w14:paraId="1DD03A8B" w14:textId="77777777" w:rsidR="00757BE3" w:rsidRDefault="00757BE3" w:rsidP="00757BE3">
            <w:pPr>
              <w:pStyle w:val="ListParagraph"/>
              <w:numPr>
                <w:ilvl w:val="0"/>
                <w:numId w:val="127"/>
              </w:numPr>
              <w:spacing w:line="240" w:lineRule="auto"/>
              <w:rPr>
                <w:szCs w:val="22"/>
                <w:lang w:val="en-GB"/>
              </w:rPr>
            </w:pPr>
            <w:r>
              <w:rPr>
                <w:szCs w:val="22"/>
                <w:lang w:val="en-GB"/>
              </w:rPr>
              <w:t>Survey to parents / carers</w:t>
            </w:r>
          </w:p>
          <w:p w14:paraId="13236CE2" w14:textId="72BED579" w:rsidR="00757BE3" w:rsidRPr="002D5851" w:rsidRDefault="00757BE3" w:rsidP="00757BE3">
            <w:pPr>
              <w:pStyle w:val="ListParagraph"/>
              <w:numPr>
                <w:ilvl w:val="0"/>
                <w:numId w:val="127"/>
              </w:numPr>
              <w:spacing w:line="240" w:lineRule="auto"/>
              <w:rPr>
                <w:szCs w:val="22"/>
                <w:lang w:val="en-GB"/>
              </w:rPr>
            </w:pPr>
            <w:r>
              <w:rPr>
                <w:szCs w:val="22"/>
                <w:lang w:val="en-GB"/>
              </w:rPr>
              <w:t xml:space="preserve">Stakeholder consultation with </w:t>
            </w:r>
            <w:r w:rsidRPr="006606BC">
              <w:rPr>
                <w:szCs w:val="22"/>
                <w:lang w:val="en-GB"/>
              </w:rPr>
              <w:t xml:space="preserve">Regulatory Authorities and </w:t>
            </w:r>
            <w:r>
              <w:rPr>
                <w:szCs w:val="22"/>
                <w:lang w:val="en-GB"/>
              </w:rPr>
              <w:t>training providers</w:t>
            </w:r>
            <w:r w:rsidRPr="006606BC">
              <w:rPr>
                <w:szCs w:val="22"/>
                <w:lang w:val="en-GB"/>
              </w:rPr>
              <w:t xml:space="preserve"> </w:t>
            </w:r>
          </w:p>
        </w:tc>
      </w:tr>
      <w:tr w:rsidR="00757BE3" w:rsidRPr="002D5851" w14:paraId="141C257A" w14:textId="16BAA8A7" w:rsidTr="0089138D">
        <w:tc>
          <w:tcPr>
            <w:tcW w:w="0" w:type="auto"/>
            <w:vAlign w:val="center"/>
          </w:tcPr>
          <w:p w14:paraId="085F7DC2" w14:textId="1FA91ACB" w:rsidR="00757BE3" w:rsidRPr="002D5851" w:rsidRDefault="00757BE3" w:rsidP="00757BE3">
            <w:pPr>
              <w:spacing w:line="240" w:lineRule="auto"/>
              <w:rPr>
                <w:szCs w:val="22"/>
              </w:rPr>
            </w:pPr>
            <w:r w:rsidRPr="002F79C7">
              <w:rPr>
                <w:b/>
                <w:szCs w:val="20"/>
              </w:rPr>
              <w:t xml:space="preserve">Option </w:t>
            </w:r>
            <w:r>
              <w:rPr>
                <w:b/>
                <w:szCs w:val="20"/>
              </w:rPr>
              <w:t>5</w:t>
            </w:r>
            <w:r w:rsidRPr="002F79C7">
              <w:rPr>
                <w:b/>
                <w:szCs w:val="20"/>
              </w:rPr>
              <w:t xml:space="preserve"> (Regulatory)</w:t>
            </w:r>
          </w:p>
        </w:tc>
        <w:tc>
          <w:tcPr>
            <w:tcW w:w="6925" w:type="dxa"/>
            <w:vAlign w:val="center"/>
          </w:tcPr>
          <w:p w14:paraId="712B3674" w14:textId="559D27CC" w:rsidR="00757BE3" w:rsidRPr="00AA27F1" w:rsidRDefault="005A6679" w:rsidP="00757BE3">
            <w:pPr>
              <w:pStyle w:val="ListParagraph"/>
              <w:numPr>
                <w:ilvl w:val="0"/>
                <w:numId w:val="131"/>
              </w:numPr>
              <w:spacing w:line="240" w:lineRule="auto"/>
              <w:rPr>
                <w:szCs w:val="22"/>
                <w:lang w:val="en-GB"/>
              </w:rPr>
            </w:pPr>
            <w:r>
              <w:t xml:space="preserve">Number of </w:t>
            </w:r>
            <w:r w:rsidR="00757BE3">
              <w:t xml:space="preserve">staff members (including those who do not work with directly with children) </w:t>
            </w:r>
            <w:r>
              <w:t>who have reported improved</w:t>
            </w:r>
            <w:r w:rsidR="00757BE3">
              <w:t xml:space="preserve"> awareness and understanding of current child protection laws and their obligations under it</w:t>
            </w:r>
          </w:p>
          <w:p w14:paraId="7A4EF7F1" w14:textId="090C9E12" w:rsidR="00757BE3" w:rsidRPr="00AA27F1" w:rsidRDefault="00757BE3" w:rsidP="00757BE3">
            <w:pPr>
              <w:pStyle w:val="ListParagraph"/>
              <w:numPr>
                <w:ilvl w:val="0"/>
                <w:numId w:val="131"/>
              </w:numPr>
              <w:spacing w:line="240" w:lineRule="auto"/>
              <w:rPr>
                <w:szCs w:val="22"/>
                <w:lang w:val="en-GB"/>
              </w:rPr>
            </w:pPr>
            <w:r>
              <w:rPr>
                <w:lang w:val="en-GB"/>
              </w:rPr>
              <w:t xml:space="preserve">Staff members </w:t>
            </w:r>
            <w:r w:rsidR="007A6FB3">
              <w:rPr>
                <w:lang w:val="en-GB"/>
              </w:rPr>
              <w:t xml:space="preserve">report </w:t>
            </w:r>
            <w:r>
              <w:rPr>
                <w:lang w:val="en-GB"/>
              </w:rPr>
              <w:t>improved ability to recognise signs of child maltreatment</w:t>
            </w:r>
          </w:p>
          <w:p w14:paraId="2BEE69DF" w14:textId="4418CDAA" w:rsidR="00757BE3" w:rsidRPr="002D5851" w:rsidRDefault="00757BE3" w:rsidP="00757BE3">
            <w:pPr>
              <w:pStyle w:val="ListParagraph"/>
              <w:numPr>
                <w:ilvl w:val="0"/>
                <w:numId w:val="131"/>
              </w:numPr>
              <w:spacing w:line="240" w:lineRule="auto"/>
              <w:rPr>
                <w:szCs w:val="22"/>
                <w:lang w:val="en-GB"/>
              </w:rPr>
            </w:pPr>
            <w:r>
              <w:rPr>
                <w:lang w:val="en-GB"/>
              </w:rPr>
              <w:t xml:space="preserve">Staff members </w:t>
            </w:r>
            <w:r w:rsidR="007A6FB3">
              <w:rPr>
                <w:lang w:val="en-GB"/>
              </w:rPr>
              <w:t xml:space="preserve">report </w:t>
            </w:r>
            <w:r>
              <w:rPr>
                <w:lang w:val="en-GB"/>
              </w:rPr>
              <w:t>improved ability to respond and report instances of child maltreatment</w:t>
            </w:r>
          </w:p>
        </w:tc>
        <w:tc>
          <w:tcPr>
            <w:tcW w:w="1976" w:type="dxa"/>
          </w:tcPr>
          <w:p w14:paraId="1FF1A38D" w14:textId="7E5BDAD1" w:rsidR="00757BE3" w:rsidRPr="00951F0E" w:rsidRDefault="00AC00CC" w:rsidP="00951F0E">
            <w:pPr>
              <w:pStyle w:val="ListParagraph"/>
              <w:numPr>
                <w:ilvl w:val="0"/>
                <w:numId w:val="131"/>
              </w:numPr>
              <w:spacing w:line="240" w:lineRule="auto"/>
              <w:rPr>
                <w:b/>
                <w:szCs w:val="22"/>
              </w:rPr>
            </w:pPr>
            <w:r w:rsidRPr="00622A5A">
              <w:rPr>
                <w:lang w:val="en-GB"/>
              </w:rPr>
              <w:t xml:space="preserve">Compliance data on </w:t>
            </w:r>
            <w:r w:rsidR="00054815">
              <w:rPr>
                <w:lang w:val="en-GB"/>
              </w:rPr>
              <w:t>regulation</w:t>
            </w:r>
            <w:r w:rsidRPr="00622A5A">
              <w:rPr>
                <w:lang w:val="en-GB"/>
              </w:rPr>
              <w:t xml:space="preserve"> 84</w:t>
            </w:r>
          </w:p>
        </w:tc>
        <w:tc>
          <w:tcPr>
            <w:tcW w:w="0" w:type="auto"/>
          </w:tcPr>
          <w:p w14:paraId="1A8A055E" w14:textId="77777777" w:rsidR="001E00C8" w:rsidRPr="001E00C8" w:rsidRDefault="001E00C8" w:rsidP="001E00C8">
            <w:pPr>
              <w:pStyle w:val="ListParagraph"/>
              <w:numPr>
                <w:ilvl w:val="0"/>
                <w:numId w:val="127"/>
              </w:numPr>
              <w:spacing w:line="240" w:lineRule="auto"/>
              <w:rPr>
                <w:lang w:val="en-GB"/>
              </w:rPr>
            </w:pPr>
            <w:r w:rsidRPr="001E00C8">
              <w:rPr>
                <w:lang w:val="en-GB"/>
              </w:rPr>
              <w:t>Survey to education and care workforce</w:t>
            </w:r>
          </w:p>
          <w:p w14:paraId="3AC7C08E" w14:textId="77777777" w:rsidR="00757BE3" w:rsidRDefault="00757BE3" w:rsidP="00757BE3">
            <w:pPr>
              <w:pStyle w:val="ListParagraph"/>
              <w:numPr>
                <w:ilvl w:val="0"/>
                <w:numId w:val="127"/>
              </w:numPr>
              <w:spacing w:line="240" w:lineRule="auto"/>
              <w:rPr>
                <w:szCs w:val="22"/>
                <w:lang w:val="en-GB"/>
              </w:rPr>
            </w:pPr>
            <w:r>
              <w:rPr>
                <w:szCs w:val="22"/>
                <w:lang w:val="en-GB"/>
              </w:rPr>
              <w:t>Survey to approved providers</w:t>
            </w:r>
          </w:p>
          <w:p w14:paraId="11E4D82D" w14:textId="294AEC47" w:rsidR="007A6FB3" w:rsidRPr="002D5851" w:rsidRDefault="007A6FB3" w:rsidP="00757BE3">
            <w:pPr>
              <w:pStyle w:val="ListParagraph"/>
              <w:numPr>
                <w:ilvl w:val="0"/>
                <w:numId w:val="127"/>
              </w:numPr>
              <w:spacing w:line="240" w:lineRule="auto"/>
              <w:rPr>
                <w:szCs w:val="22"/>
                <w:lang w:val="en-GB"/>
              </w:rPr>
            </w:pPr>
            <w:r>
              <w:rPr>
                <w:szCs w:val="22"/>
                <w:lang w:val="en-GB"/>
              </w:rPr>
              <w:t>Survey to education and care workforce</w:t>
            </w:r>
          </w:p>
        </w:tc>
      </w:tr>
      <w:tr w:rsidR="00757BE3" w:rsidRPr="002D5851" w14:paraId="7B5C2EC1" w14:textId="717509EF" w:rsidTr="00757BE3">
        <w:tc>
          <w:tcPr>
            <w:tcW w:w="0" w:type="auto"/>
            <w:vAlign w:val="center"/>
          </w:tcPr>
          <w:p w14:paraId="16D67737" w14:textId="24E69045" w:rsidR="00757BE3" w:rsidRPr="002D5851" w:rsidRDefault="00757BE3" w:rsidP="00757BE3">
            <w:pPr>
              <w:spacing w:line="240" w:lineRule="auto"/>
              <w:rPr>
                <w:szCs w:val="22"/>
              </w:rPr>
            </w:pPr>
            <w:r w:rsidRPr="002F79C7">
              <w:rPr>
                <w:b/>
                <w:szCs w:val="20"/>
              </w:rPr>
              <w:t xml:space="preserve">Option </w:t>
            </w:r>
            <w:r>
              <w:rPr>
                <w:b/>
                <w:szCs w:val="20"/>
              </w:rPr>
              <w:t>6</w:t>
            </w:r>
            <w:r w:rsidRPr="002F79C7">
              <w:rPr>
                <w:b/>
                <w:szCs w:val="20"/>
              </w:rPr>
              <w:t xml:space="preserve"> (Regulatory)</w:t>
            </w:r>
          </w:p>
        </w:tc>
        <w:tc>
          <w:tcPr>
            <w:tcW w:w="6925" w:type="dxa"/>
          </w:tcPr>
          <w:p w14:paraId="71E290A4" w14:textId="0476A38E" w:rsidR="00136E4B" w:rsidRDefault="00136E4B" w:rsidP="00757BE3">
            <w:pPr>
              <w:pStyle w:val="ListParagraph"/>
              <w:numPr>
                <w:ilvl w:val="0"/>
                <w:numId w:val="2"/>
              </w:numPr>
              <w:spacing w:line="240" w:lineRule="auto"/>
              <w:rPr>
                <w:szCs w:val="22"/>
                <w:lang w:val="en-GB"/>
              </w:rPr>
            </w:pPr>
            <w:r>
              <w:rPr>
                <w:szCs w:val="22"/>
                <w:lang w:val="en-GB"/>
              </w:rPr>
              <w:t>Number of staff members who have completed child safety training</w:t>
            </w:r>
          </w:p>
          <w:p w14:paraId="7F6C8099" w14:textId="26FAFC15" w:rsidR="00757BE3" w:rsidRDefault="005A6679" w:rsidP="00757BE3">
            <w:pPr>
              <w:pStyle w:val="ListParagraph"/>
              <w:numPr>
                <w:ilvl w:val="0"/>
                <w:numId w:val="2"/>
              </w:numPr>
              <w:spacing w:line="240" w:lineRule="auto"/>
              <w:rPr>
                <w:szCs w:val="22"/>
                <w:lang w:val="en-GB"/>
              </w:rPr>
            </w:pPr>
            <w:r>
              <w:rPr>
                <w:szCs w:val="22"/>
                <w:lang w:val="en-GB"/>
              </w:rPr>
              <w:t>Number of s</w:t>
            </w:r>
            <w:r w:rsidR="00757BE3">
              <w:rPr>
                <w:szCs w:val="22"/>
                <w:lang w:val="en-GB"/>
              </w:rPr>
              <w:t xml:space="preserve">taff members </w:t>
            </w:r>
            <w:r>
              <w:rPr>
                <w:szCs w:val="22"/>
                <w:lang w:val="en-GB"/>
              </w:rPr>
              <w:t xml:space="preserve">who have reported </w:t>
            </w:r>
            <w:r w:rsidR="00757BE3">
              <w:rPr>
                <w:szCs w:val="22"/>
                <w:lang w:val="en-GB"/>
              </w:rPr>
              <w:t>improved knowledge and capability in maintaining child safety</w:t>
            </w:r>
          </w:p>
          <w:p w14:paraId="54407651" w14:textId="05A584A7" w:rsidR="00757BE3" w:rsidRDefault="007A6FB3" w:rsidP="00757BE3">
            <w:pPr>
              <w:pStyle w:val="ListParagraph"/>
              <w:numPr>
                <w:ilvl w:val="0"/>
                <w:numId w:val="2"/>
              </w:numPr>
              <w:spacing w:line="240" w:lineRule="auto"/>
              <w:rPr>
                <w:szCs w:val="22"/>
                <w:lang w:val="en-GB"/>
              </w:rPr>
            </w:pPr>
            <w:r>
              <w:rPr>
                <w:szCs w:val="22"/>
                <w:lang w:val="en-GB"/>
              </w:rPr>
              <w:t>Evidence of i</w:t>
            </w:r>
            <w:r w:rsidR="00757BE3">
              <w:rPr>
                <w:szCs w:val="22"/>
                <w:lang w:val="en-GB"/>
              </w:rPr>
              <w:t>mproved quality and national consistency in the delivery of child safety training in ECEC settings</w:t>
            </w:r>
          </w:p>
          <w:p w14:paraId="6BF7EB62" w14:textId="39DEB809" w:rsidR="00757BE3" w:rsidRPr="00AE70B6" w:rsidRDefault="007A6FB3" w:rsidP="00757BE3">
            <w:pPr>
              <w:pStyle w:val="ListParagraph"/>
              <w:numPr>
                <w:ilvl w:val="0"/>
                <w:numId w:val="2"/>
              </w:numPr>
              <w:spacing w:line="240" w:lineRule="auto"/>
              <w:rPr>
                <w:szCs w:val="22"/>
                <w:lang w:val="en-GB"/>
              </w:rPr>
            </w:pPr>
            <w:r>
              <w:t>Evidence that t</w:t>
            </w:r>
            <w:r w:rsidR="00757BE3">
              <w:t>he currency of child safety knowledge and capability across the sector is maintained, including knowledge of evolving risks such as those presented by technological advancement</w:t>
            </w:r>
          </w:p>
          <w:p w14:paraId="0C1328A8" w14:textId="3047020B" w:rsidR="00757BE3" w:rsidRPr="00D805E7" w:rsidRDefault="007A6FB3" w:rsidP="00757BE3">
            <w:pPr>
              <w:pStyle w:val="ListParagraph"/>
              <w:numPr>
                <w:ilvl w:val="0"/>
                <w:numId w:val="2"/>
              </w:numPr>
              <w:spacing w:line="240" w:lineRule="auto"/>
              <w:rPr>
                <w:szCs w:val="22"/>
                <w:lang w:val="en-GB"/>
              </w:rPr>
            </w:pPr>
            <w:r>
              <w:t>Evidence of i</w:t>
            </w:r>
            <w:r w:rsidR="00757BE3">
              <w:t xml:space="preserve">mproved workplace culture in the sector which prioritises child safety </w:t>
            </w:r>
          </w:p>
          <w:p w14:paraId="0C1960CE" w14:textId="2F26327E" w:rsidR="00757BE3" w:rsidRPr="002D5851" w:rsidRDefault="00757BE3" w:rsidP="00757BE3">
            <w:pPr>
              <w:pStyle w:val="ListParagraph"/>
              <w:numPr>
                <w:ilvl w:val="0"/>
                <w:numId w:val="2"/>
              </w:numPr>
              <w:spacing w:line="240" w:lineRule="auto"/>
              <w:rPr>
                <w:szCs w:val="22"/>
                <w:lang w:val="en-GB"/>
              </w:rPr>
            </w:pPr>
            <w:r>
              <w:t xml:space="preserve">Staff members </w:t>
            </w:r>
            <w:r w:rsidR="007A6FB3">
              <w:t xml:space="preserve">report </w:t>
            </w:r>
            <w:r w:rsidR="00A91729">
              <w:t>improved</w:t>
            </w:r>
            <w:r>
              <w:t xml:space="preserve"> ability to detect and response to signs of child harm, abuse, neglect or maltreatment  </w:t>
            </w:r>
          </w:p>
        </w:tc>
        <w:tc>
          <w:tcPr>
            <w:tcW w:w="1976" w:type="dxa"/>
          </w:tcPr>
          <w:p w14:paraId="398340DD" w14:textId="3C3962C9" w:rsidR="00757BE3" w:rsidRPr="002D5851" w:rsidRDefault="00622A5A" w:rsidP="00757BE3">
            <w:pPr>
              <w:spacing w:line="240" w:lineRule="auto"/>
              <w:rPr>
                <w:b/>
                <w:szCs w:val="22"/>
              </w:rPr>
            </w:pPr>
            <w:r w:rsidRPr="00622A5A">
              <w:rPr>
                <w:lang w:val="en-GB"/>
              </w:rPr>
              <w:t>None identified</w:t>
            </w:r>
          </w:p>
        </w:tc>
        <w:tc>
          <w:tcPr>
            <w:tcW w:w="0" w:type="auto"/>
          </w:tcPr>
          <w:p w14:paraId="6733CA21" w14:textId="77777777" w:rsidR="00757BE3" w:rsidRDefault="00757BE3" w:rsidP="00757BE3">
            <w:pPr>
              <w:pStyle w:val="ListParagraph"/>
              <w:numPr>
                <w:ilvl w:val="0"/>
                <w:numId w:val="127"/>
              </w:numPr>
              <w:spacing w:line="240" w:lineRule="auto"/>
              <w:rPr>
                <w:szCs w:val="22"/>
                <w:lang w:val="en-GB"/>
              </w:rPr>
            </w:pPr>
            <w:r>
              <w:rPr>
                <w:szCs w:val="22"/>
                <w:lang w:val="en-GB"/>
              </w:rPr>
              <w:t xml:space="preserve">Survey to educators </w:t>
            </w:r>
          </w:p>
          <w:p w14:paraId="4C9DAFF9" w14:textId="77777777" w:rsidR="00757BE3" w:rsidRDefault="00757BE3" w:rsidP="00757BE3">
            <w:pPr>
              <w:pStyle w:val="ListParagraph"/>
              <w:numPr>
                <w:ilvl w:val="0"/>
                <w:numId w:val="127"/>
              </w:numPr>
              <w:spacing w:line="240" w:lineRule="auto"/>
              <w:rPr>
                <w:szCs w:val="22"/>
                <w:lang w:val="en-GB"/>
              </w:rPr>
            </w:pPr>
            <w:r>
              <w:rPr>
                <w:szCs w:val="22"/>
                <w:lang w:val="en-GB"/>
              </w:rPr>
              <w:t>Survey to approved providers</w:t>
            </w:r>
          </w:p>
          <w:p w14:paraId="1D52528E" w14:textId="77777777" w:rsidR="001E00C8" w:rsidRPr="001E00C8" w:rsidRDefault="001E00C8" w:rsidP="001E00C8">
            <w:pPr>
              <w:pStyle w:val="ListParagraph"/>
              <w:numPr>
                <w:ilvl w:val="0"/>
                <w:numId w:val="127"/>
              </w:numPr>
              <w:spacing w:line="240" w:lineRule="auto"/>
              <w:rPr>
                <w:lang w:val="en-GB"/>
              </w:rPr>
            </w:pPr>
            <w:r w:rsidRPr="001E00C8">
              <w:rPr>
                <w:lang w:val="en-GB"/>
              </w:rPr>
              <w:t>Survey to education and care workforce</w:t>
            </w:r>
          </w:p>
          <w:p w14:paraId="3275CEC5" w14:textId="77777777" w:rsidR="00757BE3" w:rsidRDefault="00757BE3" w:rsidP="00757BE3">
            <w:pPr>
              <w:pStyle w:val="ListParagraph"/>
              <w:numPr>
                <w:ilvl w:val="0"/>
                <w:numId w:val="127"/>
              </w:numPr>
              <w:spacing w:line="240" w:lineRule="auto"/>
              <w:rPr>
                <w:szCs w:val="22"/>
                <w:lang w:val="en-GB"/>
              </w:rPr>
            </w:pPr>
            <w:r>
              <w:rPr>
                <w:szCs w:val="22"/>
                <w:lang w:val="en-GB"/>
              </w:rPr>
              <w:t>Stakeholder consultation with Regulatory Authorities and training providers</w:t>
            </w:r>
          </w:p>
          <w:p w14:paraId="1ADD95B4" w14:textId="1DABC2FC" w:rsidR="006606BC" w:rsidRDefault="000B50CC" w:rsidP="001E00C8">
            <w:pPr>
              <w:pStyle w:val="ListParagraph"/>
              <w:numPr>
                <w:ilvl w:val="0"/>
                <w:numId w:val="127"/>
              </w:numPr>
              <w:spacing w:line="240" w:lineRule="auto"/>
              <w:rPr>
                <w:szCs w:val="22"/>
                <w:lang w:val="en-GB"/>
              </w:rPr>
            </w:pPr>
            <w:r w:rsidRPr="000B50CC">
              <w:rPr>
                <w:szCs w:val="22"/>
                <w:lang w:val="en-GB"/>
              </w:rPr>
              <w:t xml:space="preserve">Compliance data on </w:t>
            </w:r>
            <w:r w:rsidR="00D82D39">
              <w:rPr>
                <w:szCs w:val="22"/>
                <w:lang w:val="en-GB"/>
              </w:rPr>
              <w:t xml:space="preserve">new law and regulatory provisions </w:t>
            </w:r>
          </w:p>
          <w:p w14:paraId="320B088A" w14:textId="18A15F21" w:rsidR="000B50CC" w:rsidRPr="00622A5A" w:rsidRDefault="00D82D39" w:rsidP="00622A5A">
            <w:pPr>
              <w:pStyle w:val="ListParagraph"/>
              <w:numPr>
                <w:ilvl w:val="0"/>
                <w:numId w:val="127"/>
              </w:numPr>
              <w:spacing w:line="240" w:lineRule="auto"/>
              <w:rPr>
                <w:szCs w:val="22"/>
                <w:lang w:val="en-GB"/>
              </w:rPr>
            </w:pPr>
            <w:r>
              <w:rPr>
                <w:szCs w:val="22"/>
                <w:lang w:val="en-GB"/>
              </w:rPr>
              <w:t>Information on completion of new training</w:t>
            </w:r>
          </w:p>
        </w:tc>
      </w:tr>
    </w:tbl>
    <w:p w14:paraId="1A7AA577" w14:textId="77777777" w:rsidR="003B7526" w:rsidRDefault="003B7526" w:rsidP="003B7526">
      <w:pPr>
        <w:spacing w:line="240" w:lineRule="auto"/>
        <w:rPr>
          <w:lang w:val="en-GB"/>
        </w:rPr>
      </w:pPr>
    </w:p>
    <w:p w14:paraId="70F30ABF" w14:textId="77777777" w:rsidR="003B7526" w:rsidRPr="007A6FB3" w:rsidRDefault="003B7526" w:rsidP="007A6FB3">
      <w:pPr>
        <w:spacing w:after="160" w:line="259" w:lineRule="auto"/>
        <w:rPr>
          <w:rFonts w:cs="Arial"/>
          <w:b/>
          <w:bCs/>
          <w:i/>
          <w:iCs/>
          <w:color w:val="006B77"/>
          <w:szCs w:val="20"/>
          <w:lang w:val="en-GB"/>
        </w:rPr>
      </w:pPr>
      <w:r w:rsidRPr="007A6FB3">
        <w:rPr>
          <w:rFonts w:cs="Arial"/>
          <w:b/>
          <w:bCs/>
          <w:i/>
          <w:iCs/>
          <w:color w:val="006B77"/>
          <w:szCs w:val="20"/>
          <w:lang w:val="en-GB"/>
        </w:rPr>
        <w:t>Responding to educator and staff member conduct - Making inappropriate conduct an offence</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739"/>
        <w:gridCol w:w="6636"/>
        <w:gridCol w:w="1430"/>
        <w:gridCol w:w="4145"/>
      </w:tblGrid>
      <w:tr w:rsidR="0000712B" w:rsidRPr="002D5851" w14:paraId="2DD7E571" w14:textId="03CF7456" w:rsidTr="00591835">
        <w:trPr>
          <w:tblHeader/>
        </w:trPr>
        <w:tc>
          <w:tcPr>
            <w:tcW w:w="0" w:type="auto"/>
            <w:shd w:val="clear" w:color="auto" w:fill="14233C" w:themeFill="text2"/>
            <w:vAlign w:val="center"/>
          </w:tcPr>
          <w:p w14:paraId="36F04197" w14:textId="77777777" w:rsidR="00DA76F7" w:rsidRPr="002D5851" w:rsidRDefault="00DA76F7" w:rsidP="00591835">
            <w:pPr>
              <w:spacing w:line="240" w:lineRule="auto"/>
              <w:rPr>
                <w:b/>
                <w:color w:val="FFFFFF" w:themeColor="background1"/>
                <w:szCs w:val="22"/>
              </w:rPr>
            </w:pPr>
            <w:r w:rsidRPr="002D5851">
              <w:rPr>
                <w:b/>
                <w:color w:val="FFFFFF" w:themeColor="background1"/>
                <w:szCs w:val="22"/>
              </w:rPr>
              <w:t>Option</w:t>
            </w:r>
          </w:p>
        </w:tc>
        <w:tc>
          <w:tcPr>
            <w:tcW w:w="0" w:type="auto"/>
            <w:shd w:val="clear" w:color="auto" w:fill="14233C" w:themeFill="text2"/>
            <w:vAlign w:val="center"/>
          </w:tcPr>
          <w:p w14:paraId="3B90674E" w14:textId="3C3AC4A9" w:rsidR="00DA76F7" w:rsidRPr="002D5851" w:rsidRDefault="00DA76F7" w:rsidP="00591835">
            <w:pPr>
              <w:spacing w:line="240" w:lineRule="auto"/>
              <w:rPr>
                <w:b/>
                <w:color w:val="FFFFFF" w:themeColor="background1"/>
                <w:szCs w:val="22"/>
              </w:rPr>
            </w:pPr>
            <w:r>
              <w:rPr>
                <w:b/>
                <w:szCs w:val="22"/>
                <w:lang w:val="en-GB"/>
              </w:rPr>
              <w:t>Measures</w:t>
            </w:r>
          </w:p>
        </w:tc>
        <w:tc>
          <w:tcPr>
            <w:tcW w:w="0" w:type="auto"/>
            <w:shd w:val="clear" w:color="auto" w:fill="14233C" w:themeFill="text2"/>
            <w:vAlign w:val="center"/>
          </w:tcPr>
          <w:p w14:paraId="5702220F" w14:textId="35976295" w:rsidR="00DA76F7" w:rsidRDefault="00DA76F7" w:rsidP="00591835">
            <w:pPr>
              <w:spacing w:line="240" w:lineRule="auto"/>
              <w:rPr>
                <w:b/>
                <w:szCs w:val="22"/>
                <w:lang w:val="en-GB"/>
              </w:rPr>
            </w:pPr>
            <w:r>
              <w:rPr>
                <w:b/>
                <w:szCs w:val="22"/>
                <w:lang w:val="en-GB"/>
              </w:rPr>
              <w:t>Existing data sources</w:t>
            </w:r>
          </w:p>
        </w:tc>
        <w:tc>
          <w:tcPr>
            <w:tcW w:w="0" w:type="auto"/>
            <w:shd w:val="clear" w:color="auto" w:fill="14233C" w:themeFill="text2"/>
          </w:tcPr>
          <w:p w14:paraId="5456EBF3" w14:textId="61640E9E" w:rsidR="00DA76F7" w:rsidRDefault="00591835" w:rsidP="00591835">
            <w:pPr>
              <w:spacing w:line="240" w:lineRule="auto"/>
              <w:rPr>
                <w:b/>
                <w:szCs w:val="22"/>
                <w:lang w:val="en-GB"/>
              </w:rPr>
            </w:pPr>
            <w:r>
              <w:rPr>
                <w:b/>
                <w:szCs w:val="22"/>
                <w:lang w:val="en-GB"/>
              </w:rPr>
              <w:t>New data sources (to be collected)</w:t>
            </w:r>
          </w:p>
        </w:tc>
      </w:tr>
      <w:tr w:rsidR="0000712B" w:rsidRPr="002D5851" w14:paraId="59722F62" w14:textId="0CF6962F" w:rsidTr="00591835">
        <w:tc>
          <w:tcPr>
            <w:tcW w:w="0" w:type="auto"/>
            <w:vAlign w:val="center"/>
          </w:tcPr>
          <w:p w14:paraId="140A1964" w14:textId="3C1AC94B" w:rsidR="00757BE3" w:rsidRPr="002D5851" w:rsidRDefault="00757BE3" w:rsidP="00591835">
            <w:pPr>
              <w:spacing w:line="240" w:lineRule="auto"/>
              <w:rPr>
                <w:szCs w:val="22"/>
              </w:rPr>
            </w:pPr>
            <w:r w:rsidRPr="002F79C7">
              <w:rPr>
                <w:b/>
                <w:szCs w:val="20"/>
              </w:rPr>
              <w:t xml:space="preserve">Option </w:t>
            </w:r>
            <w:r>
              <w:rPr>
                <w:b/>
                <w:szCs w:val="20"/>
              </w:rPr>
              <w:t>2</w:t>
            </w:r>
            <w:r w:rsidRPr="002F79C7">
              <w:rPr>
                <w:b/>
                <w:szCs w:val="20"/>
              </w:rPr>
              <w:t xml:space="preserve"> </w:t>
            </w:r>
            <w:r w:rsidR="007A6FB3">
              <w:rPr>
                <w:b/>
                <w:szCs w:val="20"/>
              </w:rPr>
              <w:br/>
            </w:r>
            <w:r w:rsidRPr="002F79C7">
              <w:rPr>
                <w:b/>
                <w:szCs w:val="20"/>
              </w:rPr>
              <w:t>(</w:t>
            </w:r>
            <w:r>
              <w:rPr>
                <w:b/>
                <w:szCs w:val="20"/>
              </w:rPr>
              <w:t>Non-r</w:t>
            </w:r>
            <w:r w:rsidRPr="002F79C7">
              <w:rPr>
                <w:b/>
                <w:szCs w:val="20"/>
              </w:rPr>
              <w:t>egulatory)</w:t>
            </w:r>
          </w:p>
        </w:tc>
        <w:tc>
          <w:tcPr>
            <w:tcW w:w="0" w:type="auto"/>
          </w:tcPr>
          <w:p w14:paraId="5859CDA1" w14:textId="77777777" w:rsidR="00757BE3" w:rsidRDefault="00757BE3" w:rsidP="00591835">
            <w:pPr>
              <w:pStyle w:val="ListParagraph"/>
              <w:numPr>
                <w:ilvl w:val="0"/>
                <w:numId w:val="133"/>
              </w:numPr>
              <w:spacing w:line="240" w:lineRule="auto"/>
              <w:rPr>
                <w:bCs/>
                <w:szCs w:val="22"/>
              </w:rPr>
            </w:pPr>
            <w:r>
              <w:rPr>
                <w:bCs/>
                <w:szCs w:val="22"/>
              </w:rPr>
              <w:t>Number of approved providers who adopt recommended</w:t>
            </w:r>
            <w:r w:rsidRPr="00AA30C5">
              <w:rPr>
                <w:bCs/>
                <w:szCs w:val="22"/>
              </w:rPr>
              <w:t xml:space="preserve"> guidance to address appropriate and inappropriate conduct within contracts of employment and Code of Conduct</w:t>
            </w:r>
          </w:p>
          <w:p w14:paraId="2D39A04D" w14:textId="04870B4B" w:rsidR="00757BE3" w:rsidRDefault="007A6FB3" w:rsidP="00591835">
            <w:pPr>
              <w:pStyle w:val="ListParagraph"/>
              <w:numPr>
                <w:ilvl w:val="0"/>
                <w:numId w:val="133"/>
              </w:numPr>
              <w:spacing w:line="240" w:lineRule="auto"/>
              <w:rPr>
                <w:bCs/>
                <w:szCs w:val="22"/>
              </w:rPr>
            </w:pPr>
            <w:r>
              <w:rPr>
                <w:bCs/>
                <w:szCs w:val="22"/>
              </w:rPr>
              <w:t>S</w:t>
            </w:r>
            <w:r w:rsidR="00757BE3">
              <w:rPr>
                <w:bCs/>
                <w:szCs w:val="22"/>
              </w:rPr>
              <w:t xml:space="preserve">ector stakeholders (including parents / carers) </w:t>
            </w:r>
            <w:r>
              <w:rPr>
                <w:bCs/>
                <w:szCs w:val="22"/>
              </w:rPr>
              <w:t xml:space="preserve">report </w:t>
            </w:r>
            <w:r w:rsidR="00757BE3">
              <w:rPr>
                <w:bCs/>
                <w:szCs w:val="22"/>
              </w:rPr>
              <w:t>improved awareness and understanding of what constitutes appropriate and inappropriate behaviours in the providers’ Code of Conduct</w:t>
            </w:r>
          </w:p>
          <w:p w14:paraId="006CA97E" w14:textId="77777777" w:rsidR="00757BE3" w:rsidRPr="00087C5B" w:rsidRDefault="00757BE3" w:rsidP="00591835">
            <w:pPr>
              <w:pStyle w:val="ListParagraph"/>
              <w:numPr>
                <w:ilvl w:val="0"/>
                <w:numId w:val="133"/>
              </w:numPr>
              <w:spacing w:line="240" w:lineRule="auto"/>
              <w:rPr>
                <w:szCs w:val="22"/>
              </w:rPr>
            </w:pPr>
            <w:r w:rsidRPr="005942D6">
              <w:rPr>
                <w:bCs/>
                <w:szCs w:val="22"/>
              </w:rPr>
              <w:t>Reduced risk and instances of staff member engaging in inappropriate conduct</w:t>
            </w:r>
          </w:p>
          <w:p w14:paraId="1EBD2647" w14:textId="6C6BDFCB" w:rsidR="00087C5B" w:rsidRPr="00AA30C5" w:rsidRDefault="00087C5B" w:rsidP="00591835">
            <w:pPr>
              <w:pStyle w:val="ListParagraph"/>
              <w:numPr>
                <w:ilvl w:val="0"/>
                <w:numId w:val="133"/>
              </w:numPr>
              <w:spacing w:line="240" w:lineRule="auto"/>
              <w:rPr>
                <w:szCs w:val="22"/>
              </w:rPr>
            </w:pPr>
            <w:r>
              <w:rPr>
                <w:bCs/>
                <w:szCs w:val="22"/>
              </w:rPr>
              <w:t>Number of downloads of guidance materials</w:t>
            </w:r>
          </w:p>
        </w:tc>
        <w:tc>
          <w:tcPr>
            <w:tcW w:w="0" w:type="auto"/>
          </w:tcPr>
          <w:p w14:paraId="63D40919" w14:textId="3C2AEAA9" w:rsidR="00757BE3" w:rsidRPr="003A4716" w:rsidRDefault="00A77F99" w:rsidP="00591835">
            <w:pPr>
              <w:spacing w:line="240" w:lineRule="auto"/>
              <w:rPr>
                <w:szCs w:val="22"/>
              </w:rPr>
            </w:pPr>
            <w:r>
              <w:rPr>
                <w:lang w:val="en-GB"/>
              </w:rPr>
              <w:t>None identified</w:t>
            </w:r>
          </w:p>
        </w:tc>
        <w:tc>
          <w:tcPr>
            <w:tcW w:w="0" w:type="auto"/>
          </w:tcPr>
          <w:p w14:paraId="1278291E" w14:textId="77777777" w:rsidR="00757BE3" w:rsidRPr="0065772B" w:rsidRDefault="00757BE3" w:rsidP="00591835">
            <w:pPr>
              <w:pStyle w:val="ListParagraph"/>
              <w:numPr>
                <w:ilvl w:val="0"/>
                <w:numId w:val="133"/>
              </w:numPr>
              <w:spacing w:line="240" w:lineRule="auto"/>
              <w:rPr>
                <w:szCs w:val="22"/>
              </w:rPr>
            </w:pPr>
            <w:r w:rsidRPr="0065772B">
              <w:rPr>
                <w:szCs w:val="22"/>
                <w:lang w:val="en-GB"/>
              </w:rPr>
              <w:t>Survey to approved providers</w:t>
            </w:r>
          </w:p>
          <w:p w14:paraId="0183331C" w14:textId="77777777" w:rsidR="001E00C8" w:rsidRPr="001E00C8" w:rsidRDefault="001E00C8" w:rsidP="001E00C8">
            <w:pPr>
              <w:pStyle w:val="ListParagraph"/>
              <w:numPr>
                <w:ilvl w:val="0"/>
                <w:numId w:val="133"/>
              </w:numPr>
              <w:spacing w:line="240" w:lineRule="auto"/>
              <w:rPr>
                <w:lang w:val="en-GB"/>
              </w:rPr>
            </w:pPr>
            <w:r w:rsidRPr="001E00C8">
              <w:rPr>
                <w:lang w:val="en-GB"/>
              </w:rPr>
              <w:t>Survey to education and care workforce</w:t>
            </w:r>
          </w:p>
          <w:p w14:paraId="70DFF890" w14:textId="77777777" w:rsidR="00757BE3" w:rsidRPr="00D952BF" w:rsidRDefault="00757BE3" w:rsidP="00591835">
            <w:pPr>
              <w:pStyle w:val="ListParagraph"/>
              <w:numPr>
                <w:ilvl w:val="0"/>
                <w:numId w:val="133"/>
              </w:numPr>
              <w:spacing w:line="240" w:lineRule="auto"/>
              <w:rPr>
                <w:szCs w:val="22"/>
              </w:rPr>
            </w:pPr>
            <w:r>
              <w:rPr>
                <w:szCs w:val="22"/>
                <w:lang w:val="en-GB"/>
              </w:rPr>
              <w:t>Survey to parents/carers</w:t>
            </w:r>
          </w:p>
          <w:p w14:paraId="5F79D578" w14:textId="77777777" w:rsidR="00D952BF" w:rsidRPr="00D952BF" w:rsidRDefault="00D952BF" w:rsidP="00D952BF">
            <w:pPr>
              <w:pStyle w:val="ListParagraph"/>
              <w:numPr>
                <w:ilvl w:val="0"/>
                <w:numId w:val="133"/>
              </w:numPr>
              <w:spacing w:line="240" w:lineRule="auto"/>
              <w:rPr>
                <w:szCs w:val="22"/>
              </w:rPr>
            </w:pPr>
            <w:r w:rsidRPr="00D952BF">
              <w:rPr>
                <w:szCs w:val="22"/>
              </w:rPr>
              <w:t>Data on engagement/download of new resources if housed on ACECQA website</w:t>
            </w:r>
          </w:p>
          <w:p w14:paraId="172B5355" w14:textId="4039BA81" w:rsidR="00D952BF" w:rsidRPr="003A4716" w:rsidRDefault="00D952BF" w:rsidP="00D952BF">
            <w:pPr>
              <w:pStyle w:val="ListParagraph"/>
              <w:numPr>
                <w:ilvl w:val="0"/>
                <w:numId w:val="133"/>
              </w:numPr>
              <w:spacing w:line="240" w:lineRule="auto"/>
              <w:rPr>
                <w:szCs w:val="22"/>
              </w:rPr>
            </w:pPr>
            <w:r w:rsidRPr="00D952BF">
              <w:rPr>
                <w:szCs w:val="22"/>
              </w:rPr>
              <w:t xml:space="preserve">Compliance data on </w:t>
            </w:r>
            <w:r w:rsidR="00054815">
              <w:rPr>
                <w:szCs w:val="22"/>
              </w:rPr>
              <w:t>regulation</w:t>
            </w:r>
            <w:r w:rsidRPr="00D952BF">
              <w:rPr>
                <w:szCs w:val="22"/>
              </w:rPr>
              <w:t>168(2</w:t>
            </w:r>
            <w:r>
              <w:rPr>
                <w:szCs w:val="22"/>
              </w:rPr>
              <w:t>)</w:t>
            </w:r>
          </w:p>
        </w:tc>
      </w:tr>
      <w:tr w:rsidR="0000712B" w:rsidRPr="002D5851" w14:paraId="2DD93BEF" w14:textId="6612CEAF" w:rsidTr="00591835">
        <w:tc>
          <w:tcPr>
            <w:tcW w:w="0" w:type="auto"/>
            <w:vAlign w:val="center"/>
          </w:tcPr>
          <w:p w14:paraId="0C90A848" w14:textId="3016D795" w:rsidR="00757BE3" w:rsidRPr="002D5851" w:rsidRDefault="00757BE3" w:rsidP="00591835">
            <w:pPr>
              <w:spacing w:line="240" w:lineRule="auto"/>
              <w:rPr>
                <w:szCs w:val="22"/>
              </w:rPr>
            </w:pPr>
            <w:r w:rsidRPr="002F79C7">
              <w:rPr>
                <w:b/>
                <w:szCs w:val="20"/>
              </w:rPr>
              <w:t xml:space="preserve">Option </w:t>
            </w:r>
            <w:r>
              <w:rPr>
                <w:b/>
                <w:szCs w:val="20"/>
              </w:rPr>
              <w:t>3</w:t>
            </w:r>
            <w:r w:rsidRPr="002F79C7">
              <w:rPr>
                <w:b/>
                <w:szCs w:val="20"/>
              </w:rPr>
              <w:t xml:space="preserve"> (Regulatory)</w:t>
            </w:r>
          </w:p>
        </w:tc>
        <w:tc>
          <w:tcPr>
            <w:tcW w:w="0" w:type="auto"/>
          </w:tcPr>
          <w:p w14:paraId="7979013B" w14:textId="09BD6B1D" w:rsidR="0000712B" w:rsidRPr="0000712B" w:rsidRDefault="0000712B" w:rsidP="00591835">
            <w:pPr>
              <w:pStyle w:val="ListParagraph"/>
              <w:numPr>
                <w:ilvl w:val="0"/>
                <w:numId w:val="135"/>
              </w:numPr>
              <w:spacing w:line="240" w:lineRule="auto"/>
              <w:rPr>
                <w:bCs/>
                <w:szCs w:val="22"/>
              </w:rPr>
            </w:pPr>
            <w:r w:rsidRPr="0000712B">
              <w:rPr>
                <w:bCs/>
                <w:szCs w:val="22"/>
              </w:rPr>
              <w:t>Number of instances of non-compliance with regulatory change</w:t>
            </w:r>
          </w:p>
          <w:p w14:paraId="186A8BCC" w14:textId="4BC8FF02" w:rsidR="00757BE3" w:rsidRPr="00520154" w:rsidRDefault="00321F9A" w:rsidP="00591835">
            <w:pPr>
              <w:pStyle w:val="ListParagraph"/>
              <w:numPr>
                <w:ilvl w:val="0"/>
                <w:numId w:val="135"/>
              </w:numPr>
              <w:spacing w:line="240" w:lineRule="auto"/>
              <w:rPr>
                <w:b/>
                <w:szCs w:val="22"/>
              </w:rPr>
            </w:pPr>
            <w:r>
              <w:rPr>
                <w:bCs/>
                <w:szCs w:val="22"/>
              </w:rPr>
              <w:t xml:space="preserve">Number of instances </w:t>
            </w:r>
            <w:r w:rsidR="00757BE3">
              <w:rPr>
                <w:bCs/>
                <w:szCs w:val="22"/>
              </w:rPr>
              <w:t xml:space="preserve">Regulatory Authorities </w:t>
            </w:r>
            <w:r w:rsidR="0000712B">
              <w:rPr>
                <w:bCs/>
                <w:szCs w:val="22"/>
              </w:rPr>
              <w:t>reported</w:t>
            </w:r>
            <w:r>
              <w:rPr>
                <w:bCs/>
                <w:szCs w:val="22"/>
              </w:rPr>
              <w:t xml:space="preserve"> improved</w:t>
            </w:r>
            <w:r w:rsidR="00757BE3">
              <w:rPr>
                <w:bCs/>
                <w:szCs w:val="22"/>
              </w:rPr>
              <w:t xml:space="preserve"> ability to address a greater range of inappropriate behaviours which have the potential to cause physical, emotional and/or psychological harm to a child</w:t>
            </w:r>
          </w:p>
          <w:p w14:paraId="64B620B8" w14:textId="07B7BBD4" w:rsidR="00757BE3" w:rsidRPr="00520154" w:rsidRDefault="00763287" w:rsidP="00591835">
            <w:pPr>
              <w:pStyle w:val="ListParagraph"/>
              <w:numPr>
                <w:ilvl w:val="0"/>
                <w:numId w:val="135"/>
              </w:numPr>
              <w:spacing w:line="240" w:lineRule="auto"/>
              <w:rPr>
                <w:b/>
                <w:szCs w:val="22"/>
              </w:rPr>
            </w:pPr>
            <w:r>
              <w:rPr>
                <w:bCs/>
                <w:szCs w:val="22"/>
              </w:rPr>
              <w:t>Evidence that approved pr</w:t>
            </w:r>
            <w:r w:rsidR="00757BE3">
              <w:rPr>
                <w:bCs/>
                <w:szCs w:val="22"/>
              </w:rPr>
              <w:t xml:space="preserve">oviders uphold a higher standard of conduct among the education and care workforce, as evidenced by changes to Code of Conduct </w:t>
            </w:r>
          </w:p>
          <w:p w14:paraId="0FCFAAEF" w14:textId="2EAD5BA7" w:rsidR="00757BE3" w:rsidRDefault="00763287" w:rsidP="00591835">
            <w:pPr>
              <w:pStyle w:val="ListParagraph"/>
              <w:numPr>
                <w:ilvl w:val="0"/>
                <w:numId w:val="135"/>
              </w:numPr>
              <w:spacing w:line="240" w:lineRule="auto"/>
              <w:rPr>
                <w:bCs/>
                <w:szCs w:val="22"/>
              </w:rPr>
            </w:pPr>
            <w:r>
              <w:rPr>
                <w:szCs w:val="22"/>
              </w:rPr>
              <w:t>Evidence of r</w:t>
            </w:r>
            <w:r w:rsidR="00757BE3" w:rsidRPr="005942D6">
              <w:rPr>
                <w:szCs w:val="22"/>
              </w:rPr>
              <w:t xml:space="preserve">educed risk </w:t>
            </w:r>
            <w:r w:rsidR="00757BE3" w:rsidRPr="005942D6">
              <w:rPr>
                <w:bCs/>
                <w:szCs w:val="22"/>
              </w:rPr>
              <w:t xml:space="preserve">and instances </w:t>
            </w:r>
            <w:r w:rsidR="00757BE3" w:rsidRPr="005942D6">
              <w:rPr>
                <w:szCs w:val="22"/>
              </w:rPr>
              <w:t xml:space="preserve">of staff member engaging in </w:t>
            </w:r>
            <w:r w:rsidR="00757BE3" w:rsidRPr="005942D6">
              <w:rPr>
                <w:bCs/>
                <w:szCs w:val="22"/>
              </w:rPr>
              <w:t>inappropriate conduct</w:t>
            </w:r>
          </w:p>
          <w:p w14:paraId="0B1E8B78" w14:textId="4BA1F2E1" w:rsidR="00757BE3" w:rsidRPr="0065772B" w:rsidRDefault="004E3DF0" w:rsidP="00591835">
            <w:pPr>
              <w:pStyle w:val="ListParagraph"/>
              <w:numPr>
                <w:ilvl w:val="0"/>
                <w:numId w:val="135"/>
              </w:numPr>
              <w:spacing w:line="240" w:lineRule="auto"/>
              <w:rPr>
                <w:szCs w:val="22"/>
              </w:rPr>
            </w:pPr>
            <w:r>
              <w:rPr>
                <w:bCs/>
                <w:szCs w:val="22"/>
              </w:rPr>
              <w:lastRenderedPageBreak/>
              <w:t>Evidence of i</w:t>
            </w:r>
            <w:r w:rsidR="00757BE3">
              <w:rPr>
                <w:bCs/>
                <w:szCs w:val="22"/>
              </w:rPr>
              <w:t>mproved sector clarity and more consistent expectations of what constitutes inappropriate conduct, leading to adoption of higher standards of conduct across the sector.</w:t>
            </w:r>
          </w:p>
        </w:tc>
        <w:tc>
          <w:tcPr>
            <w:tcW w:w="0" w:type="auto"/>
          </w:tcPr>
          <w:p w14:paraId="7CBA8A5E" w14:textId="532E4894" w:rsidR="00757BE3" w:rsidRPr="00680113" w:rsidRDefault="0068253D" w:rsidP="00591835">
            <w:pPr>
              <w:spacing w:line="240" w:lineRule="auto"/>
              <w:rPr>
                <w:szCs w:val="22"/>
              </w:rPr>
            </w:pPr>
            <w:r>
              <w:rPr>
                <w:lang w:val="en-GB"/>
              </w:rPr>
              <w:lastRenderedPageBreak/>
              <w:t>None identified</w:t>
            </w:r>
          </w:p>
        </w:tc>
        <w:tc>
          <w:tcPr>
            <w:tcW w:w="0" w:type="auto"/>
          </w:tcPr>
          <w:p w14:paraId="5C6C0C64" w14:textId="77777777" w:rsidR="00757BE3" w:rsidRPr="0065772B" w:rsidRDefault="00757BE3" w:rsidP="00591835">
            <w:pPr>
              <w:pStyle w:val="ListParagraph"/>
              <w:numPr>
                <w:ilvl w:val="0"/>
                <w:numId w:val="133"/>
              </w:numPr>
              <w:spacing w:line="240" w:lineRule="auto"/>
              <w:rPr>
                <w:szCs w:val="22"/>
              </w:rPr>
            </w:pPr>
            <w:r w:rsidRPr="0065772B">
              <w:rPr>
                <w:szCs w:val="22"/>
                <w:lang w:val="en-GB"/>
              </w:rPr>
              <w:t>Survey to approved providers</w:t>
            </w:r>
          </w:p>
          <w:p w14:paraId="79CABB27" w14:textId="77777777" w:rsidR="001E00C8" w:rsidRPr="001E00C8" w:rsidRDefault="001E00C8" w:rsidP="001E00C8">
            <w:pPr>
              <w:pStyle w:val="ListParagraph"/>
              <w:numPr>
                <w:ilvl w:val="0"/>
                <w:numId w:val="133"/>
              </w:numPr>
              <w:spacing w:line="240" w:lineRule="auto"/>
              <w:rPr>
                <w:lang w:val="en-GB"/>
              </w:rPr>
            </w:pPr>
            <w:r w:rsidRPr="001E00C8">
              <w:rPr>
                <w:lang w:val="en-GB"/>
              </w:rPr>
              <w:t>Survey to education and care workforce</w:t>
            </w:r>
          </w:p>
          <w:p w14:paraId="4DCE0FC2" w14:textId="77777777" w:rsidR="00757BE3" w:rsidRPr="0068253D" w:rsidRDefault="00757BE3" w:rsidP="00591835">
            <w:pPr>
              <w:pStyle w:val="ListParagraph"/>
              <w:numPr>
                <w:ilvl w:val="0"/>
                <w:numId w:val="133"/>
              </w:numPr>
              <w:spacing w:line="240" w:lineRule="auto"/>
              <w:rPr>
                <w:szCs w:val="22"/>
              </w:rPr>
            </w:pPr>
            <w:r>
              <w:rPr>
                <w:szCs w:val="22"/>
                <w:lang w:val="en-GB"/>
              </w:rPr>
              <w:t>Survey to parents/carers</w:t>
            </w:r>
          </w:p>
          <w:p w14:paraId="67505E3D" w14:textId="28B2D417" w:rsidR="0068253D" w:rsidRPr="0068253D" w:rsidRDefault="0068253D" w:rsidP="0068253D">
            <w:pPr>
              <w:pStyle w:val="ListParagraph"/>
              <w:numPr>
                <w:ilvl w:val="0"/>
                <w:numId w:val="133"/>
              </w:numPr>
              <w:spacing w:line="240" w:lineRule="auto"/>
              <w:rPr>
                <w:szCs w:val="22"/>
              </w:rPr>
            </w:pPr>
            <w:r w:rsidRPr="0068253D">
              <w:rPr>
                <w:szCs w:val="22"/>
              </w:rPr>
              <w:t xml:space="preserve">Compliance data on </w:t>
            </w:r>
            <w:r>
              <w:rPr>
                <w:szCs w:val="22"/>
              </w:rPr>
              <w:t>new requirement</w:t>
            </w:r>
          </w:p>
          <w:p w14:paraId="4318F756" w14:textId="76340F81" w:rsidR="0068253D" w:rsidRPr="00680113" w:rsidRDefault="0068253D" w:rsidP="0068253D">
            <w:pPr>
              <w:pStyle w:val="ListParagraph"/>
              <w:numPr>
                <w:ilvl w:val="0"/>
                <w:numId w:val="133"/>
              </w:numPr>
              <w:spacing w:line="240" w:lineRule="auto"/>
              <w:rPr>
                <w:szCs w:val="22"/>
              </w:rPr>
            </w:pPr>
            <w:r w:rsidRPr="0068253D">
              <w:rPr>
                <w:szCs w:val="22"/>
              </w:rPr>
              <w:t xml:space="preserve">Notification of </w:t>
            </w:r>
            <w:r>
              <w:rPr>
                <w:szCs w:val="22"/>
              </w:rPr>
              <w:t>c</w:t>
            </w:r>
            <w:r w:rsidRPr="0068253D">
              <w:rPr>
                <w:szCs w:val="22"/>
              </w:rPr>
              <w:t>omplaint</w:t>
            </w:r>
            <w:r>
              <w:rPr>
                <w:szCs w:val="22"/>
              </w:rPr>
              <w:t xml:space="preserve"> </w:t>
            </w:r>
            <w:r w:rsidRPr="0068253D">
              <w:rPr>
                <w:szCs w:val="22"/>
              </w:rPr>
              <w:t xml:space="preserve">/ </w:t>
            </w:r>
            <w:r>
              <w:rPr>
                <w:szCs w:val="22"/>
              </w:rPr>
              <w:t>a</w:t>
            </w:r>
            <w:r w:rsidRPr="0068253D">
              <w:rPr>
                <w:szCs w:val="22"/>
              </w:rPr>
              <w:t>llegation</w:t>
            </w:r>
            <w:r>
              <w:rPr>
                <w:szCs w:val="22"/>
              </w:rPr>
              <w:t xml:space="preserve"> </w:t>
            </w:r>
            <w:r w:rsidRPr="0068253D">
              <w:rPr>
                <w:szCs w:val="22"/>
              </w:rPr>
              <w:t>/</w:t>
            </w:r>
            <w:r>
              <w:rPr>
                <w:szCs w:val="22"/>
              </w:rPr>
              <w:t xml:space="preserve"> i</w:t>
            </w:r>
            <w:r w:rsidRPr="0068253D">
              <w:rPr>
                <w:szCs w:val="22"/>
              </w:rPr>
              <w:t>ncident data related to the new offence</w:t>
            </w:r>
          </w:p>
        </w:tc>
      </w:tr>
    </w:tbl>
    <w:p w14:paraId="58B3843F" w14:textId="25D01E4F" w:rsidR="00AF4412" w:rsidRDefault="00AF4412" w:rsidP="0000712B">
      <w:pPr>
        <w:spacing w:line="240" w:lineRule="auto"/>
        <w:rPr>
          <w:lang w:val="en-GB"/>
        </w:rPr>
      </w:pPr>
    </w:p>
    <w:p w14:paraId="1A652778" w14:textId="7D91AD55" w:rsidR="003B7526" w:rsidRPr="000A6307" w:rsidRDefault="0000712B" w:rsidP="0000712B">
      <w:pPr>
        <w:spacing w:line="240" w:lineRule="auto"/>
        <w:rPr>
          <w:rFonts w:cs="Arial"/>
          <w:b/>
          <w:bCs/>
          <w:i/>
          <w:iCs/>
          <w:color w:val="006B77"/>
          <w:szCs w:val="20"/>
          <w:lang w:val="en-GB"/>
        </w:rPr>
      </w:pPr>
      <w:r w:rsidRPr="000A6307">
        <w:rPr>
          <w:rFonts w:cs="Arial"/>
          <w:b/>
          <w:bCs/>
          <w:i/>
          <w:iCs/>
          <w:color w:val="006B77"/>
          <w:szCs w:val="20"/>
          <w:lang w:val="en-GB"/>
        </w:rPr>
        <w:t>R</w:t>
      </w:r>
      <w:r w:rsidR="003B7526" w:rsidRPr="000A6307">
        <w:rPr>
          <w:rFonts w:cs="Arial"/>
          <w:b/>
          <w:bCs/>
          <w:i/>
          <w:iCs/>
          <w:color w:val="006B77"/>
          <w:szCs w:val="20"/>
          <w:lang w:val="en-GB"/>
        </w:rPr>
        <w:t>esponding to educator and staff member conduct - Enhancing Regulatory Authorities’ ability to share information with approved providers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79"/>
        <w:gridCol w:w="7601"/>
        <w:gridCol w:w="1636"/>
        <w:gridCol w:w="2834"/>
      </w:tblGrid>
      <w:tr w:rsidR="00DA76F7" w:rsidRPr="002D5851" w14:paraId="3FD0A7E8" w14:textId="32B7A53B" w:rsidTr="00DA76F7">
        <w:trPr>
          <w:tblHeader/>
        </w:trPr>
        <w:tc>
          <w:tcPr>
            <w:tcW w:w="0" w:type="auto"/>
            <w:shd w:val="clear" w:color="auto" w:fill="14233C" w:themeFill="text2"/>
            <w:vAlign w:val="center"/>
          </w:tcPr>
          <w:p w14:paraId="35A7E3A9" w14:textId="77777777" w:rsidR="00DA76F7" w:rsidRPr="002D5851" w:rsidRDefault="00DA76F7">
            <w:pPr>
              <w:spacing w:line="240" w:lineRule="auto"/>
              <w:rPr>
                <w:b/>
                <w:color w:val="FFFFFF" w:themeColor="background1"/>
                <w:szCs w:val="22"/>
              </w:rPr>
            </w:pPr>
            <w:r w:rsidRPr="002D5851">
              <w:rPr>
                <w:b/>
                <w:color w:val="FFFFFF" w:themeColor="background1"/>
                <w:szCs w:val="22"/>
              </w:rPr>
              <w:t>Option</w:t>
            </w:r>
          </w:p>
        </w:tc>
        <w:tc>
          <w:tcPr>
            <w:tcW w:w="0" w:type="auto"/>
            <w:shd w:val="clear" w:color="auto" w:fill="14233C" w:themeFill="text2"/>
            <w:vAlign w:val="center"/>
          </w:tcPr>
          <w:p w14:paraId="13410104" w14:textId="68BEF1E7" w:rsidR="00DA76F7" w:rsidRPr="002D5851" w:rsidRDefault="00DA76F7" w:rsidP="00DA76F7">
            <w:pPr>
              <w:spacing w:line="240" w:lineRule="auto"/>
              <w:rPr>
                <w:b/>
                <w:color w:val="FFFFFF" w:themeColor="background1"/>
                <w:szCs w:val="22"/>
              </w:rPr>
            </w:pPr>
            <w:r>
              <w:rPr>
                <w:b/>
                <w:szCs w:val="22"/>
                <w:lang w:val="en-GB"/>
              </w:rPr>
              <w:t>Measures</w:t>
            </w:r>
          </w:p>
        </w:tc>
        <w:tc>
          <w:tcPr>
            <w:tcW w:w="0" w:type="auto"/>
            <w:shd w:val="clear" w:color="auto" w:fill="14233C" w:themeFill="text2"/>
            <w:vAlign w:val="center"/>
          </w:tcPr>
          <w:p w14:paraId="6EB0AF58" w14:textId="00531878" w:rsidR="00DA76F7" w:rsidRDefault="00DA76F7" w:rsidP="00C60D62">
            <w:pPr>
              <w:spacing w:line="240" w:lineRule="auto"/>
              <w:rPr>
                <w:b/>
                <w:szCs w:val="22"/>
                <w:lang w:val="en-GB"/>
              </w:rPr>
            </w:pPr>
            <w:r>
              <w:rPr>
                <w:b/>
                <w:szCs w:val="22"/>
                <w:lang w:val="en-GB"/>
              </w:rPr>
              <w:t>Existing data sources</w:t>
            </w:r>
          </w:p>
        </w:tc>
        <w:tc>
          <w:tcPr>
            <w:tcW w:w="0" w:type="auto"/>
            <w:shd w:val="clear" w:color="auto" w:fill="14233C" w:themeFill="text2"/>
          </w:tcPr>
          <w:p w14:paraId="7F14E308" w14:textId="38343868" w:rsidR="00DA76F7" w:rsidRDefault="00591835" w:rsidP="00C60D62">
            <w:pPr>
              <w:spacing w:line="240" w:lineRule="auto"/>
              <w:rPr>
                <w:b/>
                <w:szCs w:val="22"/>
                <w:lang w:val="en-GB"/>
              </w:rPr>
            </w:pPr>
            <w:r>
              <w:rPr>
                <w:b/>
                <w:szCs w:val="22"/>
                <w:lang w:val="en-GB"/>
              </w:rPr>
              <w:t>New data sources (to be collected)</w:t>
            </w:r>
          </w:p>
        </w:tc>
      </w:tr>
      <w:tr w:rsidR="00FF2EFF" w:rsidRPr="002D5851" w14:paraId="56978EB5" w14:textId="5BF96AB1" w:rsidTr="00DA76F7">
        <w:tc>
          <w:tcPr>
            <w:tcW w:w="0" w:type="auto"/>
            <w:vAlign w:val="center"/>
          </w:tcPr>
          <w:p w14:paraId="0958ABDD" w14:textId="4664CA78" w:rsidR="00FF2EFF" w:rsidRPr="002D5851" w:rsidRDefault="00FF2EFF" w:rsidP="00FF2EFF">
            <w:pPr>
              <w:spacing w:line="240" w:lineRule="auto"/>
              <w:rPr>
                <w:szCs w:val="22"/>
              </w:rPr>
            </w:pPr>
            <w:r w:rsidRPr="002F79C7">
              <w:rPr>
                <w:b/>
                <w:szCs w:val="20"/>
              </w:rPr>
              <w:t xml:space="preserve">Option </w:t>
            </w:r>
            <w:r>
              <w:rPr>
                <w:b/>
                <w:szCs w:val="20"/>
              </w:rPr>
              <w:t>3</w:t>
            </w:r>
            <w:r w:rsidRPr="002F79C7">
              <w:rPr>
                <w:b/>
                <w:szCs w:val="20"/>
              </w:rPr>
              <w:t xml:space="preserve"> (Regulatory)</w:t>
            </w:r>
          </w:p>
        </w:tc>
        <w:tc>
          <w:tcPr>
            <w:tcW w:w="0" w:type="auto"/>
            <w:vAlign w:val="center"/>
          </w:tcPr>
          <w:p w14:paraId="0002639A" w14:textId="4C1DD299" w:rsidR="00FF2EFF" w:rsidRDefault="00FF2EFF" w:rsidP="00FF2EFF">
            <w:pPr>
              <w:pStyle w:val="ListParagraph"/>
              <w:numPr>
                <w:ilvl w:val="0"/>
                <w:numId w:val="137"/>
              </w:numPr>
              <w:spacing w:line="240" w:lineRule="auto"/>
              <w:rPr>
                <w:bCs/>
                <w:szCs w:val="22"/>
              </w:rPr>
            </w:pPr>
            <w:r>
              <w:rPr>
                <w:bCs/>
                <w:szCs w:val="22"/>
              </w:rPr>
              <w:t>Evidence that providers undertake more comprehensive pre-employment checks (e.g. undertaking prohibition checks / suspension checks for FDC educators)</w:t>
            </w:r>
          </w:p>
          <w:p w14:paraId="4B558903" w14:textId="566FC03C" w:rsidR="00FF2EFF" w:rsidRPr="00996A8A" w:rsidRDefault="00FF2EFF" w:rsidP="00FF2EFF">
            <w:pPr>
              <w:pStyle w:val="ListParagraph"/>
              <w:numPr>
                <w:ilvl w:val="0"/>
                <w:numId w:val="137"/>
              </w:numPr>
              <w:spacing w:line="240" w:lineRule="auto"/>
              <w:rPr>
                <w:bCs/>
                <w:szCs w:val="22"/>
              </w:rPr>
            </w:pPr>
            <w:r>
              <w:rPr>
                <w:bCs/>
                <w:szCs w:val="22"/>
              </w:rPr>
              <w:t xml:space="preserve">Approved providers have improved awareness of prohibitions or suspensions (for FDC educators) </w:t>
            </w:r>
          </w:p>
          <w:p w14:paraId="3762710B" w14:textId="01B1E825" w:rsidR="00FF2EFF" w:rsidRPr="002D5851" w:rsidRDefault="00FF2EFF" w:rsidP="00FF2EFF">
            <w:pPr>
              <w:pStyle w:val="ListParagraph"/>
              <w:numPr>
                <w:ilvl w:val="0"/>
                <w:numId w:val="137"/>
              </w:numPr>
              <w:spacing w:line="240" w:lineRule="auto"/>
              <w:rPr>
                <w:b/>
                <w:szCs w:val="22"/>
              </w:rPr>
            </w:pPr>
            <w:r w:rsidRPr="00996A8A">
              <w:rPr>
                <w:bCs/>
                <w:szCs w:val="22"/>
              </w:rPr>
              <w:t>Reduced risk and instances of unsuitable individuals being employed in the ECEC sector</w:t>
            </w:r>
            <w:r>
              <w:rPr>
                <w:bCs/>
                <w:szCs w:val="22"/>
              </w:rPr>
              <w:t xml:space="preserve"> as a result of more proactive information sharing with approved providers</w:t>
            </w:r>
          </w:p>
        </w:tc>
        <w:tc>
          <w:tcPr>
            <w:tcW w:w="0" w:type="auto"/>
          </w:tcPr>
          <w:p w14:paraId="0D7BBEA7" w14:textId="748CE491" w:rsidR="00FF2EFF" w:rsidRPr="002D5851" w:rsidRDefault="00FF2EFF" w:rsidP="00FF2EFF">
            <w:pPr>
              <w:spacing w:line="240" w:lineRule="auto"/>
              <w:rPr>
                <w:szCs w:val="22"/>
                <w:lang w:val="en-GB"/>
              </w:rPr>
            </w:pPr>
            <w:r>
              <w:rPr>
                <w:lang w:val="en-GB"/>
              </w:rPr>
              <w:t>None identified</w:t>
            </w:r>
          </w:p>
        </w:tc>
        <w:tc>
          <w:tcPr>
            <w:tcW w:w="0" w:type="auto"/>
          </w:tcPr>
          <w:p w14:paraId="65071A16" w14:textId="77777777" w:rsidR="00FF2EFF" w:rsidRDefault="00FF2EFF" w:rsidP="00FF2EFF">
            <w:pPr>
              <w:pStyle w:val="ListParagraph"/>
              <w:numPr>
                <w:ilvl w:val="0"/>
                <w:numId w:val="137"/>
              </w:numPr>
              <w:spacing w:line="240" w:lineRule="auto"/>
              <w:rPr>
                <w:szCs w:val="22"/>
                <w:lang w:val="en-GB"/>
              </w:rPr>
            </w:pPr>
            <w:r>
              <w:rPr>
                <w:szCs w:val="22"/>
                <w:lang w:val="en-GB"/>
              </w:rPr>
              <w:t xml:space="preserve">Survey of approved providers </w:t>
            </w:r>
          </w:p>
          <w:p w14:paraId="456D7A4B" w14:textId="77777777" w:rsidR="00FF2EFF" w:rsidRDefault="00FF2EFF" w:rsidP="00FF2EFF">
            <w:pPr>
              <w:pStyle w:val="ListParagraph"/>
              <w:numPr>
                <w:ilvl w:val="0"/>
                <w:numId w:val="137"/>
              </w:numPr>
              <w:spacing w:line="240" w:lineRule="auto"/>
              <w:rPr>
                <w:szCs w:val="22"/>
                <w:lang w:val="en-GB"/>
              </w:rPr>
            </w:pPr>
            <w:r>
              <w:rPr>
                <w:szCs w:val="22"/>
                <w:lang w:val="en-GB"/>
              </w:rPr>
              <w:t>Consultation with Regulatory Authorities</w:t>
            </w:r>
          </w:p>
          <w:p w14:paraId="0BA00A42" w14:textId="4BE3569C" w:rsidR="00FF2EFF" w:rsidRPr="0046682B" w:rsidRDefault="00FF2EFF" w:rsidP="0046682B">
            <w:pPr>
              <w:spacing w:line="240" w:lineRule="auto"/>
              <w:rPr>
                <w:szCs w:val="22"/>
                <w:lang w:val="en-GB"/>
              </w:rPr>
            </w:pPr>
          </w:p>
        </w:tc>
      </w:tr>
      <w:tr w:rsidR="00FF2EFF" w:rsidRPr="002D5851" w14:paraId="748707C8" w14:textId="0D802E61" w:rsidTr="00DA76F7">
        <w:tc>
          <w:tcPr>
            <w:tcW w:w="0" w:type="auto"/>
            <w:vAlign w:val="center"/>
          </w:tcPr>
          <w:p w14:paraId="0F4A9C2F" w14:textId="6B7A4169" w:rsidR="00FF2EFF" w:rsidRPr="002D5851" w:rsidRDefault="00FF2EFF" w:rsidP="00FF2EFF">
            <w:pPr>
              <w:spacing w:line="240" w:lineRule="auto"/>
              <w:rPr>
                <w:szCs w:val="22"/>
              </w:rPr>
            </w:pPr>
            <w:r w:rsidRPr="002F79C7">
              <w:rPr>
                <w:b/>
                <w:szCs w:val="20"/>
              </w:rPr>
              <w:t xml:space="preserve">Option </w:t>
            </w:r>
            <w:r>
              <w:rPr>
                <w:b/>
                <w:szCs w:val="20"/>
              </w:rPr>
              <w:t>4</w:t>
            </w:r>
            <w:r w:rsidRPr="002F79C7">
              <w:rPr>
                <w:b/>
                <w:szCs w:val="20"/>
              </w:rPr>
              <w:t xml:space="preserve"> (Regulatory)</w:t>
            </w:r>
          </w:p>
        </w:tc>
        <w:tc>
          <w:tcPr>
            <w:tcW w:w="0" w:type="auto"/>
            <w:vAlign w:val="center"/>
          </w:tcPr>
          <w:p w14:paraId="11146C89" w14:textId="3F6471E7" w:rsidR="00FF2EFF" w:rsidRDefault="00FF2EFF" w:rsidP="00FF2EFF">
            <w:pPr>
              <w:pStyle w:val="ListParagraph"/>
              <w:numPr>
                <w:ilvl w:val="0"/>
                <w:numId w:val="138"/>
              </w:numPr>
              <w:spacing w:line="240" w:lineRule="auto"/>
              <w:rPr>
                <w:bCs/>
                <w:szCs w:val="22"/>
              </w:rPr>
            </w:pPr>
            <w:r>
              <w:rPr>
                <w:bCs/>
                <w:szCs w:val="22"/>
              </w:rPr>
              <w:t>Evidence that providers undertake more comprehensive pre-employment checks (e.g. requesting information on a person’s enforceable undertaking)</w:t>
            </w:r>
          </w:p>
          <w:p w14:paraId="6437DEA0" w14:textId="50D8E6D0" w:rsidR="00FF2EFF" w:rsidRPr="00996A8A" w:rsidRDefault="00FF2EFF" w:rsidP="00FF2EFF">
            <w:pPr>
              <w:pStyle w:val="ListParagraph"/>
              <w:numPr>
                <w:ilvl w:val="0"/>
                <w:numId w:val="138"/>
              </w:numPr>
              <w:spacing w:line="240" w:lineRule="auto"/>
              <w:rPr>
                <w:bCs/>
                <w:szCs w:val="22"/>
              </w:rPr>
            </w:pPr>
            <w:r>
              <w:rPr>
                <w:bCs/>
                <w:szCs w:val="22"/>
              </w:rPr>
              <w:t>Approved providers have improved awareness of a person’s enforceable undertaking</w:t>
            </w:r>
          </w:p>
          <w:p w14:paraId="072D6BA3" w14:textId="4E649F5A" w:rsidR="00FF2EFF" w:rsidRPr="002D5851" w:rsidRDefault="00FF2EFF" w:rsidP="00FF2EFF">
            <w:pPr>
              <w:pStyle w:val="ListParagraph"/>
              <w:numPr>
                <w:ilvl w:val="0"/>
                <w:numId w:val="138"/>
              </w:numPr>
              <w:spacing w:line="240" w:lineRule="auto"/>
              <w:rPr>
                <w:b/>
                <w:szCs w:val="22"/>
              </w:rPr>
            </w:pPr>
            <w:r w:rsidRPr="00996A8A">
              <w:rPr>
                <w:bCs/>
                <w:szCs w:val="22"/>
              </w:rPr>
              <w:lastRenderedPageBreak/>
              <w:t>Reduced risk and instances of unsuitable individuals being employed in the ECEC sector</w:t>
            </w:r>
            <w:r>
              <w:rPr>
                <w:bCs/>
                <w:szCs w:val="22"/>
              </w:rPr>
              <w:t xml:space="preserve"> as a result of more proactive information sharing with approved providers</w:t>
            </w:r>
          </w:p>
        </w:tc>
        <w:tc>
          <w:tcPr>
            <w:tcW w:w="0" w:type="auto"/>
          </w:tcPr>
          <w:p w14:paraId="73977AFE" w14:textId="3D252FE8" w:rsidR="00FF2EFF" w:rsidRPr="002D5851" w:rsidRDefault="00FF2EFF" w:rsidP="00FF2EFF">
            <w:pPr>
              <w:spacing w:line="240" w:lineRule="auto"/>
              <w:rPr>
                <w:szCs w:val="22"/>
                <w:lang w:val="en-GB"/>
              </w:rPr>
            </w:pPr>
            <w:r>
              <w:rPr>
                <w:lang w:val="en-GB"/>
              </w:rPr>
              <w:lastRenderedPageBreak/>
              <w:t>None identified</w:t>
            </w:r>
          </w:p>
        </w:tc>
        <w:tc>
          <w:tcPr>
            <w:tcW w:w="0" w:type="auto"/>
          </w:tcPr>
          <w:p w14:paraId="004C75C3" w14:textId="77777777" w:rsidR="00FF2EFF" w:rsidRDefault="00FF2EFF" w:rsidP="00FF2EFF">
            <w:pPr>
              <w:pStyle w:val="ListParagraph"/>
              <w:numPr>
                <w:ilvl w:val="0"/>
                <w:numId w:val="137"/>
              </w:numPr>
              <w:spacing w:line="240" w:lineRule="auto"/>
              <w:rPr>
                <w:szCs w:val="22"/>
                <w:lang w:val="en-GB"/>
              </w:rPr>
            </w:pPr>
            <w:r>
              <w:rPr>
                <w:szCs w:val="22"/>
                <w:lang w:val="en-GB"/>
              </w:rPr>
              <w:t xml:space="preserve">Survey of approved providers </w:t>
            </w:r>
          </w:p>
          <w:p w14:paraId="236C2E8D" w14:textId="77777777" w:rsidR="00FF2EFF" w:rsidRDefault="00FF2EFF" w:rsidP="00FF2EFF">
            <w:pPr>
              <w:pStyle w:val="ListParagraph"/>
              <w:numPr>
                <w:ilvl w:val="0"/>
                <w:numId w:val="137"/>
              </w:numPr>
              <w:spacing w:line="240" w:lineRule="auto"/>
              <w:rPr>
                <w:szCs w:val="22"/>
                <w:lang w:val="en-GB"/>
              </w:rPr>
            </w:pPr>
            <w:r>
              <w:rPr>
                <w:szCs w:val="22"/>
                <w:lang w:val="en-GB"/>
              </w:rPr>
              <w:t>Consultation with Regulatory Authorities</w:t>
            </w:r>
          </w:p>
          <w:p w14:paraId="4FD8793E" w14:textId="57873577" w:rsidR="00FF2EFF" w:rsidRPr="002D5851" w:rsidRDefault="00557E44" w:rsidP="00FF2EFF">
            <w:pPr>
              <w:pStyle w:val="ListParagraph"/>
              <w:numPr>
                <w:ilvl w:val="0"/>
                <w:numId w:val="137"/>
              </w:numPr>
              <w:spacing w:line="240" w:lineRule="auto"/>
              <w:rPr>
                <w:szCs w:val="22"/>
                <w:lang w:val="en-GB"/>
              </w:rPr>
            </w:pPr>
            <w:r>
              <w:rPr>
                <w:szCs w:val="22"/>
                <w:lang w:val="en-GB"/>
              </w:rPr>
              <w:t>N</w:t>
            </w:r>
            <w:r w:rsidR="00FF2EFF">
              <w:rPr>
                <w:szCs w:val="22"/>
                <w:lang w:val="en-GB"/>
              </w:rPr>
              <w:t>umber of disclosures</w:t>
            </w:r>
          </w:p>
        </w:tc>
      </w:tr>
    </w:tbl>
    <w:p w14:paraId="7B426D01" w14:textId="77777777" w:rsidR="003B7526" w:rsidRPr="007B0FEC" w:rsidRDefault="003B7526" w:rsidP="003B7526">
      <w:pPr>
        <w:spacing w:line="240" w:lineRule="auto"/>
        <w:rPr>
          <w:lang w:val="en-GB"/>
        </w:rPr>
      </w:pPr>
    </w:p>
    <w:p w14:paraId="3E5CA830" w14:textId="40F09889" w:rsidR="003B7526" w:rsidRDefault="003B7526" w:rsidP="00AF4412">
      <w:pPr>
        <w:spacing w:after="160" w:line="259" w:lineRule="auto"/>
        <w:rPr>
          <w:lang w:val="en-GB"/>
        </w:rPr>
      </w:pPr>
      <w:r>
        <w:rPr>
          <w:lang w:val="en-GB"/>
        </w:rPr>
        <w:t xml:space="preserve">Responding to educator and staff member conduct - </w:t>
      </w:r>
      <w:r w:rsidRPr="00305588">
        <w:rPr>
          <w:lang w:val="en-GB"/>
        </w:rPr>
        <w:t>Expansion of regulatory responses to educator and staff member conduct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735"/>
        <w:gridCol w:w="6340"/>
        <w:gridCol w:w="1276"/>
        <w:gridCol w:w="4599"/>
      </w:tblGrid>
      <w:tr w:rsidR="00DA76F7" w:rsidRPr="002D5851" w14:paraId="1D05E028" w14:textId="49D75862" w:rsidTr="00AF4412">
        <w:trPr>
          <w:tblHeader/>
        </w:trPr>
        <w:tc>
          <w:tcPr>
            <w:tcW w:w="0" w:type="auto"/>
            <w:shd w:val="clear" w:color="auto" w:fill="14233C" w:themeFill="text2"/>
          </w:tcPr>
          <w:p w14:paraId="03AD17C7" w14:textId="77777777" w:rsidR="00DA76F7" w:rsidRPr="002D5851" w:rsidRDefault="00DA76F7">
            <w:pPr>
              <w:spacing w:line="240" w:lineRule="auto"/>
              <w:rPr>
                <w:b/>
                <w:color w:val="FFFFFF" w:themeColor="background1"/>
                <w:szCs w:val="22"/>
              </w:rPr>
            </w:pPr>
            <w:r w:rsidRPr="002D5851">
              <w:rPr>
                <w:b/>
                <w:color w:val="FFFFFF" w:themeColor="background1"/>
                <w:szCs w:val="22"/>
              </w:rPr>
              <w:t>Option</w:t>
            </w:r>
          </w:p>
        </w:tc>
        <w:tc>
          <w:tcPr>
            <w:tcW w:w="6340" w:type="dxa"/>
            <w:shd w:val="clear" w:color="auto" w:fill="14233C" w:themeFill="text2"/>
          </w:tcPr>
          <w:p w14:paraId="1D6DEC10" w14:textId="6E7B1189" w:rsidR="00DA76F7" w:rsidRPr="002D5851" w:rsidRDefault="00DA76F7">
            <w:pPr>
              <w:spacing w:line="240" w:lineRule="auto"/>
              <w:rPr>
                <w:b/>
                <w:color w:val="FFFFFF" w:themeColor="background1"/>
                <w:szCs w:val="22"/>
              </w:rPr>
            </w:pPr>
            <w:r>
              <w:rPr>
                <w:b/>
                <w:szCs w:val="22"/>
                <w:lang w:val="en-GB"/>
              </w:rPr>
              <w:t>Measures</w:t>
            </w:r>
          </w:p>
        </w:tc>
        <w:tc>
          <w:tcPr>
            <w:tcW w:w="1276" w:type="dxa"/>
            <w:shd w:val="clear" w:color="auto" w:fill="14233C" w:themeFill="text2"/>
          </w:tcPr>
          <w:p w14:paraId="22EF3005" w14:textId="025CADDC" w:rsidR="00DA76F7" w:rsidRDefault="00DA76F7" w:rsidP="00C60D62">
            <w:pPr>
              <w:spacing w:line="240" w:lineRule="auto"/>
              <w:rPr>
                <w:b/>
                <w:szCs w:val="22"/>
                <w:lang w:val="en-GB"/>
              </w:rPr>
            </w:pPr>
            <w:r>
              <w:rPr>
                <w:b/>
                <w:szCs w:val="22"/>
                <w:lang w:val="en-GB"/>
              </w:rPr>
              <w:t>Existing data sources</w:t>
            </w:r>
          </w:p>
        </w:tc>
        <w:tc>
          <w:tcPr>
            <w:tcW w:w="4599" w:type="dxa"/>
            <w:shd w:val="clear" w:color="auto" w:fill="14233C" w:themeFill="text2"/>
          </w:tcPr>
          <w:p w14:paraId="4FAB5BBC" w14:textId="791AF04B" w:rsidR="00DA76F7" w:rsidRDefault="00591835" w:rsidP="00C60D62">
            <w:pPr>
              <w:spacing w:line="240" w:lineRule="auto"/>
              <w:rPr>
                <w:b/>
                <w:szCs w:val="22"/>
                <w:lang w:val="en-GB"/>
              </w:rPr>
            </w:pPr>
            <w:r>
              <w:rPr>
                <w:b/>
                <w:szCs w:val="22"/>
                <w:lang w:val="en-GB"/>
              </w:rPr>
              <w:t>New data sources (to be collected)</w:t>
            </w:r>
          </w:p>
        </w:tc>
      </w:tr>
      <w:tr w:rsidR="007C1DAF" w:rsidRPr="002D5851" w14:paraId="735F4A6D" w14:textId="2FA9C272" w:rsidTr="00AF4412">
        <w:tc>
          <w:tcPr>
            <w:tcW w:w="0" w:type="auto"/>
            <w:vAlign w:val="center"/>
          </w:tcPr>
          <w:p w14:paraId="06972E3D" w14:textId="198153D3" w:rsidR="007C1DAF" w:rsidRPr="002D5851" w:rsidRDefault="007C1DAF" w:rsidP="007C1DAF">
            <w:pPr>
              <w:spacing w:line="240" w:lineRule="auto"/>
              <w:rPr>
                <w:szCs w:val="22"/>
              </w:rPr>
            </w:pPr>
            <w:r w:rsidRPr="002F79C7">
              <w:rPr>
                <w:b/>
                <w:szCs w:val="20"/>
              </w:rPr>
              <w:t xml:space="preserve">Option </w:t>
            </w:r>
            <w:r>
              <w:rPr>
                <w:b/>
                <w:szCs w:val="20"/>
              </w:rPr>
              <w:t>3</w:t>
            </w:r>
            <w:r w:rsidRPr="002F79C7">
              <w:rPr>
                <w:b/>
                <w:szCs w:val="20"/>
              </w:rPr>
              <w:t xml:space="preserve"> (Regulatory)</w:t>
            </w:r>
          </w:p>
        </w:tc>
        <w:tc>
          <w:tcPr>
            <w:tcW w:w="6340" w:type="dxa"/>
            <w:vAlign w:val="center"/>
          </w:tcPr>
          <w:p w14:paraId="0D0D11C7" w14:textId="1C017ED7" w:rsidR="000A6307" w:rsidRPr="00C02D4C" w:rsidRDefault="000A6307" w:rsidP="007C1DAF">
            <w:pPr>
              <w:pStyle w:val="ListParagraph"/>
              <w:numPr>
                <w:ilvl w:val="0"/>
                <w:numId w:val="139"/>
              </w:numPr>
              <w:spacing w:line="240" w:lineRule="auto"/>
              <w:rPr>
                <w:bCs/>
                <w:szCs w:val="22"/>
              </w:rPr>
            </w:pPr>
            <w:r w:rsidRPr="00C02D4C">
              <w:rPr>
                <w:bCs/>
                <w:szCs w:val="22"/>
              </w:rPr>
              <w:t>Number of instances of non-compliance with regulation</w:t>
            </w:r>
            <w:r w:rsidR="00C02D4C" w:rsidRPr="00C02D4C">
              <w:rPr>
                <w:bCs/>
                <w:szCs w:val="22"/>
              </w:rPr>
              <w:t xml:space="preserve"> (e.g. number of suspension orders issued by provider management type, service type and service location)</w:t>
            </w:r>
          </w:p>
          <w:p w14:paraId="4915FC53" w14:textId="751505CA" w:rsidR="007C1DAF" w:rsidRPr="00C02D4C" w:rsidRDefault="007C1DAF" w:rsidP="007C1DAF">
            <w:pPr>
              <w:pStyle w:val="ListParagraph"/>
              <w:numPr>
                <w:ilvl w:val="0"/>
                <w:numId w:val="139"/>
              </w:numPr>
              <w:spacing w:line="240" w:lineRule="auto"/>
              <w:rPr>
                <w:bCs/>
                <w:szCs w:val="22"/>
              </w:rPr>
            </w:pPr>
            <w:r w:rsidRPr="00C02D4C">
              <w:rPr>
                <w:bCs/>
                <w:szCs w:val="22"/>
              </w:rPr>
              <w:t xml:space="preserve">More rapid regulatory responses to non-compliant or alleged non-compliant conduct where the threshold of risk for prohibition is not met </w:t>
            </w:r>
          </w:p>
          <w:p w14:paraId="271745FC" w14:textId="77777777" w:rsidR="007C1DAF" w:rsidRPr="00C02D4C" w:rsidRDefault="007C1DAF" w:rsidP="007C1DAF">
            <w:pPr>
              <w:pStyle w:val="ListParagraph"/>
              <w:numPr>
                <w:ilvl w:val="0"/>
                <w:numId w:val="139"/>
              </w:numPr>
              <w:spacing w:line="240" w:lineRule="auto"/>
              <w:rPr>
                <w:bCs/>
                <w:szCs w:val="22"/>
              </w:rPr>
            </w:pPr>
            <w:r w:rsidRPr="00C02D4C">
              <w:rPr>
                <w:bCs/>
                <w:szCs w:val="22"/>
              </w:rPr>
              <w:t>Evidence that approved providers take more rapid and effective action to manage potential risks of non-compliant behaviours.</w:t>
            </w:r>
          </w:p>
          <w:p w14:paraId="7217B1DC" w14:textId="0559CA48" w:rsidR="007C1DAF" w:rsidRPr="00C02D4C" w:rsidRDefault="007C1DAF" w:rsidP="007C1DAF">
            <w:pPr>
              <w:pStyle w:val="ListParagraph"/>
              <w:numPr>
                <w:ilvl w:val="0"/>
                <w:numId w:val="139"/>
              </w:numPr>
              <w:spacing w:line="240" w:lineRule="auto"/>
              <w:rPr>
                <w:bCs/>
                <w:szCs w:val="22"/>
              </w:rPr>
            </w:pPr>
            <w:r w:rsidRPr="00C02D4C">
              <w:rPr>
                <w:bCs/>
                <w:szCs w:val="22"/>
              </w:rPr>
              <w:t xml:space="preserve">Reduced likelihood of educators, staff members and volunteers engaging in inappropriate behaviour </w:t>
            </w:r>
          </w:p>
          <w:p w14:paraId="06A7EDED" w14:textId="249D3955" w:rsidR="007C1DAF" w:rsidRPr="00C02D4C" w:rsidRDefault="007C1DAF" w:rsidP="007C1DAF">
            <w:pPr>
              <w:pStyle w:val="ListParagraph"/>
              <w:numPr>
                <w:ilvl w:val="0"/>
                <w:numId w:val="139"/>
              </w:numPr>
              <w:spacing w:line="240" w:lineRule="auto"/>
              <w:rPr>
                <w:bCs/>
                <w:szCs w:val="22"/>
              </w:rPr>
            </w:pPr>
            <w:r w:rsidRPr="00C02D4C">
              <w:rPr>
                <w:bCs/>
                <w:szCs w:val="22"/>
              </w:rPr>
              <w:t xml:space="preserve">Approved providers establish clearer expectation or implement additional monitoring processes to deter instances of inappropriate conduct. </w:t>
            </w:r>
          </w:p>
        </w:tc>
        <w:tc>
          <w:tcPr>
            <w:tcW w:w="1276" w:type="dxa"/>
          </w:tcPr>
          <w:p w14:paraId="1864B297" w14:textId="77D4EF3C" w:rsidR="007C1DAF" w:rsidRPr="00757BE3" w:rsidRDefault="007C1DAF" w:rsidP="007C1DAF">
            <w:pPr>
              <w:spacing w:line="240" w:lineRule="auto"/>
              <w:ind w:left="66"/>
              <w:rPr>
                <w:szCs w:val="22"/>
                <w:lang w:val="en-GB"/>
              </w:rPr>
            </w:pPr>
            <w:r>
              <w:rPr>
                <w:lang w:val="en-GB"/>
              </w:rPr>
              <w:t>None identified</w:t>
            </w:r>
          </w:p>
        </w:tc>
        <w:tc>
          <w:tcPr>
            <w:tcW w:w="4599" w:type="dxa"/>
          </w:tcPr>
          <w:p w14:paraId="56D48080" w14:textId="77777777" w:rsidR="007C1DAF" w:rsidRDefault="007C1DAF" w:rsidP="007C1DAF">
            <w:pPr>
              <w:pStyle w:val="ListParagraph"/>
              <w:numPr>
                <w:ilvl w:val="0"/>
                <w:numId w:val="137"/>
              </w:numPr>
              <w:spacing w:line="240" w:lineRule="auto"/>
              <w:rPr>
                <w:szCs w:val="22"/>
                <w:lang w:val="en-GB"/>
              </w:rPr>
            </w:pPr>
            <w:r>
              <w:rPr>
                <w:szCs w:val="22"/>
                <w:lang w:val="en-GB"/>
              </w:rPr>
              <w:t xml:space="preserve">Survey of approved providers </w:t>
            </w:r>
          </w:p>
          <w:p w14:paraId="33549168" w14:textId="77777777" w:rsidR="007C1DAF" w:rsidRPr="001E00C8" w:rsidRDefault="007C1DAF" w:rsidP="007C1DAF">
            <w:pPr>
              <w:pStyle w:val="ListParagraph"/>
              <w:numPr>
                <w:ilvl w:val="0"/>
                <w:numId w:val="137"/>
              </w:numPr>
              <w:spacing w:line="240" w:lineRule="auto"/>
              <w:rPr>
                <w:lang w:val="en-GB"/>
              </w:rPr>
            </w:pPr>
            <w:r w:rsidRPr="001E00C8">
              <w:rPr>
                <w:lang w:val="en-GB"/>
              </w:rPr>
              <w:t>Survey to education and care workforce</w:t>
            </w:r>
          </w:p>
          <w:p w14:paraId="71FEF639" w14:textId="77777777" w:rsidR="007C1DAF" w:rsidRDefault="007C1DAF" w:rsidP="007C1DAF">
            <w:pPr>
              <w:pStyle w:val="ListParagraph"/>
              <w:numPr>
                <w:ilvl w:val="0"/>
                <w:numId w:val="137"/>
              </w:numPr>
              <w:spacing w:line="240" w:lineRule="auto"/>
              <w:rPr>
                <w:szCs w:val="22"/>
                <w:lang w:val="en-GB"/>
              </w:rPr>
            </w:pPr>
            <w:r>
              <w:rPr>
                <w:szCs w:val="22"/>
                <w:lang w:val="en-GB"/>
              </w:rPr>
              <w:t>Consultation with Regulatory Authorities</w:t>
            </w:r>
          </w:p>
          <w:p w14:paraId="24A20485" w14:textId="77777777" w:rsidR="007C1DAF" w:rsidRDefault="007C1DAF" w:rsidP="007C1DAF">
            <w:pPr>
              <w:pStyle w:val="ListParagraph"/>
              <w:numPr>
                <w:ilvl w:val="0"/>
                <w:numId w:val="137"/>
              </w:numPr>
              <w:spacing w:line="240" w:lineRule="auto"/>
              <w:rPr>
                <w:szCs w:val="22"/>
                <w:lang w:val="en-GB"/>
              </w:rPr>
            </w:pPr>
            <w:r w:rsidRPr="00B94339">
              <w:rPr>
                <w:szCs w:val="22"/>
                <w:lang w:val="en-GB"/>
              </w:rPr>
              <w:t>Compliance action data – Suspension notice/order</w:t>
            </w:r>
          </w:p>
          <w:p w14:paraId="62E19AA4" w14:textId="0D010C55" w:rsidR="00406FAB" w:rsidRPr="002D5851" w:rsidRDefault="00406FAB" w:rsidP="007C1DAF">
            <w:pPr>
              <w:pStyle w:val="ListParagraph"/>
              <w:numPr>
                <w:ilvl w:val="0"/>
                <w:numId w:val="137"/>
              </w:numPr>
              <w:spacing w:line="240" w:lineRule="auto"/>
              <w:rPr>
                <w:szCs w:val="22"/>
                <w:lang w:val="en-GB"/>
              </w:rPr>
            </w:pPr>
            <w:r>
              <w:rPr>
                <w:szCs w:val="22"/>
                <w:lang w:val="en-GB"/>
              </w:rPr>
              <w:t>Compliance data on show cause processes</w:t>
            </w:r>
          </w:p>
        </w:tc>
      </w:tr>
      <w:tr w:rsidR="007C1DAF" w:rsidRPr="002D5851" w14:paraId="78938C30" w14:textId="004E8C05" w:rsidTr="00AF4412">
        <w:tc>
          <w:tcPr>
            <w:tcW w:w="0" w:type="auto"/>
            <w:vAlign w:val="center"/>
          </w:tcPr>
          <w:p w14:paraId="29B733AE" w14:textId="117992C2" w:rsidR="007C1DAF" w:rsidRPr="002D5851" w:rsidRDefault="007C1DAF" w:rsidP="007C1DAF">
            <w:pPr>
              <w:spacing w:line="240" w:lineRule="auto"/>
              <w:rPr>
                <w:szCs w:val="22"/>
              </w:rPr>
            </w:pPr>
            <w:r w:rsidRPr="002F79C7">
              <w:rPr>
                <w:b/>
                <w:szCs w:val="20"/>
              </w:rPr>
              <w:t xml:space="preserve">Option </w:t>
            </w:r>
            <w:r>
              <w:rPr>
                <w:b/>
                <w:szCs w:val="20"/>
              </w:rPr>
              <w:t>4</w:t>
            </w:r>
            <w:r w:rsidRPr="002F79C7">
              <w:rPr>
                <w:b/>
                <w:szCs w:val="20"/>
              </w:rPr>
              <w:t xml:space="preserve"> (Regulatory)</w:t>
            </w:r>
          </w:p>
        </w:tc>
        <w:tc>
          <w:tcPr>
            <w:tcW w:w="6340" w:type="dxa"/>
            <w:vAlign w:val="center"/>
          </w:tcPr>
          <w:p w14:paraId="11EAEFC2" w14:textId="39D9E5D8" w:rsidR="00924CB7" w:rsidRPr="00C02D4C" w:rsidRDefault="00924CB7" w:rsidP="00924CB7">
            <w:pPr>
              <w:pStyle w:val="ListParagraph"/>
              <w:numPr>
                <w:ilvl w:val="0"/>
                <w:numId w:val="140"/>
              </w:numPr>
              <w:spacing w:line="240" w:lineRule="auto"/>
              <w:rPr>
                <w:bCs/>
                <w:szCs w:val="22"/>
              </w:rPr>
            </w:pPr>
            <w:r w:rsidRPr="00C02D4C">
              <w:rPr>
                <w:bCs/>
                <w:szCs w:val="22"/>
              </w:rPr>
              <w:t xml:space="preserve">Number of instances of non-compliance with regulation (e.g. number of </w:t>
            </w:r>
            <w:r>
              <w:rPr>
                <w:bCs/>
                <w:szCs w:val="22"/>
              </w:rPr>
              <w:t>supervision</w:t>
            </w:r>
            <w:r w:rsidRPr="00C02D4C">
              <w:rPr>
                <w:bCs/>
                <w:szCs w:val="22"/>
              </w:rPr>
              <w:t xml:space="preserve"> orders issued by provider management type, service type and service location)</w:t>
            </w:r>
          </w:p>
          <w:p w14:paraId="0FB8D8B8" w14:textId="6B7E7A15" w:rsidR="007C1DAF" w:rsidRPr="00185E98" w:rsidRDefault="007C1DAF" w:rsidP="00924CB7">
            <w:pPr>
              <w:pStyle w:val="ListParagraph"/>
              <w:numPr>
                <w:ilvl w:val="0"/>
                <w:numId w:val="140"/>
              </w:numPr>
              <w:spacing w:line="240" w:lineRule="auto"/>
              <w:rPr>
                <w:b/>
                <w:szCs w:val="22"/>
              </w:rPr>
            </w:pPr>
            <w:r>
              <w:rPr>
                <w:bCs/>
                <w:szCs w:val="22"/>
              </w:rPr>
              <w:lastRenderedPageBreak/>
              <w:t xml:space="preserve">Regulatory Authorities </w:t>
            </w:r>
            <w:r w:rsidR="00C02D4C">
              <w:rPr>
                <w:bCs/>
                <w:szCs w:val="22"/>
              </w:rPr>
              <w:t xml:space="preserve">reported </w:t>
            </w:r>
            <w:r>
              <w:rPr>
                <w:bCs/>
                <w:szCs w:val="22"/>
              </w:rPr>
              <w:t xml:space="preserve">improved ability to hold approved providers accountable for supervising educators, staff members or volunteers who pose a risk to children at a level that falls short of the threshold for prohibition. </w:t>
            </w:r>
          </w:p>
          <w:p w14:paraId="536ECBD7" w14:textId="77777777" w:rsidR="007C1DAF" w:rsidRPr="00185E98" w:rsidRDefault="007C1DAF" w:rsidP="00924CB7">
            <w:pPr>
              <w:pStyle w:val="ListParagraph"/>
              <w:numPr>
                <w:ilvl w:val="0"/>
                <w:numId w:val="140"/>
              </w:numPr>
              <w:spacing w:line="240" w:lineRule="auto"/>
              <w:rPr>
                <w:b/>
                <w:szCs w:val="22"/>
              </w:rPr>
            </w:pPr>
            <w:r>
              <w:rPr>
                <w:bCs/>
                <w:szCs w:val="22"/>
              </w:rPr>
              <w:t>Evidence that approved providers take more rapid and effective action to manage potential risks of non-compliant behaviours.</w:t>
            </w:r>
          </w:p>
          <w:p w14:paraId="73BD4C90" w14:textId="77777777" w:rsidR="007C1DAF" w:rsidRPr="00C9095E" w:rsidRDefault="007C1DAF" w:rsidP="00924CB7">
            <w:pPr>
              <w:pStyle w:val="ListParagraph"/>
              <w:numPr>
                <w:ilvl w:val="0"/>
                <w:numId w:val="140"/>
              </w:numPr>
              <w:spacing w:line="240" w:lineRule="auto"/>
              <w:rPr>
                <w:b/>
                <w:szCs w:val="22"/>
              </w:rPr>
            </w:pPr>
            <w:r>
              <w:rPr>
                <w:bCs/>
                <w:szCs w:val="22"/>
              </w:rPr>
              <w:t>Reduced likelihood of educators, staff members and volunteers engaging in inappropriate behaviour</w:t>
            </w:r>
          </w:p>
          <w:p w14:paraId="0AB2632E" w14:textId="6E1E688B" w:rsidR="007C1DAF" w:rsidRPr="00DA76F7" w:rsidRDefault="000C2F18" w:rsidP="00924CB7">
            <w:pPr>
              <w:pStyle w:val="ListParagraph"/>
              <w:numPr>
                <w:ilvl w:val="0"/>
                <w:numId w:val="140"/>
              </w:numPr>
              <w:spacing w:line="240" w:lineRule="auto"/>
              <w:rPr>
                <w:b/>
                <w:szCs w:val="22"/>
              </w:rPr>
            </w:pPr>
            <w:r>
              <w:rPr>
                <w:bCs/>
                <w:szCs w:val="22"/>
              </w:rPr>
              <w:t>Evidence that a</w:t>
            </w:r>
            <w:r w:rsidR="007C1DAF" w:rsidRPr="00C9095E">
              <w:rPr>
                <w:bCs/>
                <w:szCs w:val="22"/>
              </w:rPr>
              <w:t xml:space="preserve">pproved providers establish clearer expectation or implement additional monitoring processes to deter instances of inappropriate conduct. </w:t>
            </w:r>
          </w:p>
        </w:tc>
        <w:tc>
          <w:tcPr>
            <w:tcW w:w="1276" w:type="dxa"/>
          </w:tcPr>
          <w:p w14:paraId="4512BC88" w14:textId="31F5C408" w:rsidR="007C1DAF" w:rsidRPr="002D5851" w:rsidRDefault="007C1DAF" w:rsidP="007C1DAF">
            <w:pPr>
              <w:spacing w:line="240" w:lineRule="auto"/>
              <w:rPr>
                <w:szCs w:val="22"/>
                <w:lang w:val="en-GB"/>
              </w:rPr>
            </w:pPr>
            <w:r>
              <w:rPr>
                <w:lang w:val="en-GB"/>
              </w:rPr>
              <w:lastRenderedPageBreak/>
              <w:t>None identified</w:t>
            </w:r>
          </w:p>
        </w:tc>
        <w:tc>
          <w:tcPr>
            <w:tcW w:w="4599" w:type="dxa"/>
          </w:tcPr>
          <w:p w14:paraId="5DAE880A" w14:textId="77777777" w:rsidR="007C1DAF" w:rsidRDefault="007C1DAF" w:rsidP="007C1DAF">
            <w:pPr>
              <w:pStyle w:val="ListParagraph"/>
              <w:numPr>
                <w:ilvl w:val="0"/>
                <w:numId w:val="137"/>
              </w:numPr>
              <w:spacing w:line="240" w:lineRule="auto"/>
              <w:rPr>
                <w:szCs w:val="22"/>
                <w:lang w:val="en-GB"/>
              </w:rPr>
            </w:pPr>
            <w:r>
              <w:rPr>
                <w:szCs w:val="22"/>
                <w:lang w:val="en-GB"/>
              </w:rPr>
              <w:t xml:space="preserve">Survey of approved providers </w:t>
            </w:r>
          </w:p>
          <w:p w14:paraId="6AE37A0B" w14:textId="77777777" w:rsidR="007C1DAF" w:rsidRPr="001E00C8" w:rsidRDefault="007C1DAF" w:rsidP="007C1DAF">
            <w:pPr>
              <w:pStyle w:val="ListParagraph"/>
              <w:numPr>
                <w:ilvl w:val="0"/>
                <w:numId w:val="137"/>
              </w:numPr>
              <w:spacing w:line="240" w:lineRule="auto"/>
              <w:rPr>
                <w:lang w:val="en-GB"/>
              </w:rPr>
            </w:pPr>
            <w:r w:rsidRPr="001E00C8">
              <w:rPr>
                <w:lang w:val="en-GB"/>
              </w:rPr>
              <w:t>Survey to education and care workforce</w:t>
            </w:r>
          </w:p>
          <w:p w14:paraId="4FD54F8D" w14:textId="77777777" w:rsidR="007C1DAF" w:rsidRDefault="007C1DAF" w:rsidP="007C1DAF">
            <w:pPr>
              <w:pStyle w:val="ListParagraph"/>
              <w:numPr>
                <w:ilvl w:val="0"/>
                <w:numId w:val="137"/>
              </w:numPr>
              <w:spacing w:line="240" w:lineRule="auto"/>
              <w:rPr>
                <w:szCs w:val="22"/>
                <w:lang w:val="en-GB"/>
              </w:rPr>
            </w:pPr>
            <w:r w:rsidRPr="00C9095E">
              <w:rPr>
                <w:szCs w:val="22"/>
                <w:lang w:val="en-GB"/>
              </w:rPr>
              <w:lastRenderedPageBreak/>
              <w:t>Consultation with Regulatory Authorities</w:t>
            </w:r>
          </w:p>
          <w:p w14:paraId="175885BD" w14:textId="77777777" w:rsidR="007C1DAF" w:rsidRPr="00406FAB" w:rsidRDefault="007C1DAF" w:rsidP="007C1DAF">
            <w:pPr>
              <w:pStyle w:val="ListParagraph"/>
              <w:numPr>
                <w:ilvl w:val="0"/>
                <w:numId w:val="137"/>
              </w:numPr>
              <w:spacing w:line="240" w:lineRule="auto"/>
              <w:rPr>
                <w:szCs w:val="22"/>
                <w:lang w:val="en-GB"/>
              </w:rPr>
            </w:pPr>
            <w:r w:rsidRPr="006B2753">
              <w:rPr>
                <w:szCs w:val="22"/>
              </w:rPr>
              <w:t xml:space="preserve">Compliance action data – </w:t>
            </w:r>
            <w:r>
              <w:rPr>
                <w:szCs w:val="22"/>
              </w:rPr>
              <w:t>Supervision</w:t>
            </w:r>
            <w:r w:rsidRPr="006B2753">
              <w:rPr>
                <w:szCs w:val="22"/>
              </w:rPr>
              <w:t xml:space="preserve"> order</w:t>
            </w:r>
          </w:p>
          <w:p w14:paraId="4228429C" w14:textId="3A0F62FA" w:rsidR="00406FAB" w:rsidRPr="002D5851" w:rsidRDefault="00406FAB" w:rsidP="007C1DAF">
            <w:pPr>
              <w:pStyle w:val="ListParagraph"/>
              <w:numPr>
                <w:ilvl w:val="0"/>
                <w:numId w:val="137"/>
              </w:numPr>
              <w:spacing w:line="240" w:lineRule="auto"/>
              <w:rPr>
                <w:szCs w:val="22"/>
                <w:lang w:val="en-GB"/>
              </w:rPr>
            </w:pPr>
            <w:r>
              <w:rPr>
                <w:szCs w:val="22"/>
                <w:lang w:val="en-GB"/>
              </w:rPr>
              <w:t>Compliance data on show cause processes</w:t>
            </w:r>
          </w:p>
        </w:tc>
      </w:tr>
      <w:tr w:rsidR="007C1DAF" w:rsidRPr="002D5851" w14:paraId="103F98C0" w14:textId="778CF57F" w:rsidTr="00AF4412">
        <w:tc>
          <w:tcPr>
            <w:tcW w:w="0" w:type="auto"/>
          </w:tcPr>
          <w:p w14:paraId="4F75FB48" w14:textId="6BBF11B4" w:rsidR="007C1DAF" w:rsidRPr="000876F6" w:rsidRDefault="007C1DAF" w:rsidP="00924CB7">
            <w:pPr>
              <w:spacing w:line="240" w:lineRule="auto"/>
              <w:rPr>
                <w:rFonts w:cs="Arial"/>
                <w:szCs w:val="22"/>
              </w:rPr>
            </w:pPr>
            <w:r w:rsidRPr="002F79C7">
              <w:rPr>
                <w:b/>
                <w:szCs w:val="20"/>
              </w:rPr>
              <w:lastRenderedPageBreak/>
              <w:t xml:space="preserve">Option </w:t>
            </w:r>
            <w:r>
              <w:rPr>
                <w:b/>
                <w:szCs w:val="20"/>
              </w:rPr>
              <w:t>5</w:t>
            </w:r>
            <w:r w:rsidRPr="002F79C7">
              <w:rPr>
                <w:b/>
                <w:szCs w:val="20"/>
              </w:rPr>
              <w:t xml:space="preserve"> (Regulatory)</w:t>
            </w:r>
          </w:p>
        </w:tc>
        <w:tc>
          <w:tcPr>
            <w:tcW w:w="6340" w:type="dxa"/>
          </w:tcPr>
          <w:p w14:paraId="1CCB3278" w14:textId="1F9D9283" w:rsidR="007C1DAF" w:rsidRDefault="007C1DAF" w:rsidP="00924CB7">
            <w:pPr>
              <w:pStyle w:val="ListParagraph"/>
              <w:numPr>
                <w:ilvl w:val="0"/>
                <w:numId w:val="141"/>
              </w:numPr>
              <w:spacing w:line="240" w:lineRule="auto"/>
              <w:rPr>
                <w:rFonts w:cs="Arial"/>
                <w:szCs w:val="22"/>
                <w:lang w:val="en-GB"/>
              </w:rPr>
            </w:pPr>
            <w:r>
              <w:rPr>
                <w:rFonts w:cs="Arial"/>
                <w:szCs w:val="22"/>
                <w:lang w:val="en-GB"/>
              </w:rPr>
              <w:t xml:space="preserve">Staff members who undertake mandatory training / re-training </w:t>
            </w:r>
            <w:r w:rsidR="00CD13B0">
              <w:rPr>
                <w:rFonts w:cs="Arial"/>
                <w:szCs w:val="22"/>
                <w:lang w:val="en-GB"/>
              </w:rPr>
              <w:t xml:space="preserve">report </w:t>
            </w:r>
            <w:r>
              <w:rPr>
                <w:rFonts w:cs="Arial"/>
                <w:szCs w:val="22"/>
                <w:lang w:val="en-GB"/>
              </w:rPr>
              <w:t xml:space="preserve">improved awareness of inappropriate conduct and how to minimise the likelihood of it reoccurring. </w:t>
            </w:r>
          </w:p>
          <w:p w14:paraId="3F47C5FF" w14:textId="77777777" w:rsidR="007C1DAF" w:rsidRDefault="007C1DAF" w:rsidP="00924CB7">
            <w:pPr>
              <w:pStyle w:val="ListParagraph"/>
              <w:numPr>
                <w:ilvl w:val="0"/>
                <w:numId w:val="141"/>
              </w:numPr>
              <w:spacing w:line="240" w:lineRule="auto"/>
              <w:rPr>
                <w:rFonts w:cs="Arial"/>
                <w:szCs w:val="22"/>
                <w:lang w:val="en-GB"/>
              </w:rPr>
            </w:pPr>
            <w:r>
              <w:rPr>
                <w:rFonts w:cs="Arial"/>
                <w:szCs w:val="22"/>
                <w:lang w:val="en-GB"/>
              </w:rPr>
              <w:t xml:space="preserve">Evidence that staff members who complete mandatory training do not cause further harm to children </w:t>
            </w:r>
          </w:p>
          <w:p w14:paraId="6C2CDDA3" w14:textId="6CD5FC21" w:rsidR="007C1DAF" w:rsidRPr="000876F6" w:rsidRDefault="007C1DAF" w:rsidP="00924CB7">
            <w:pPr>
              <w:pStyle w:val="ListParagraph"/>
              <w:numPr>
                <w:ilvl w:val="0"/>
                <w:numId w:val="0"/>
              </w:numPr>
              <w:spacing w:line="240" w:lineRule="auto"/>
              <w:ind w:left="360"/>
              <w:rPr>
                <w:rFonts w:cs="Arial"/>
                <w:szCs w:val="22"/>
                <w:lang w:val="en-GB"/>
              </w:rPr>
            </w:pPr>
          </w:p>
        </w:tc>
        <w:tc>
          <w:tcPr>
            <w:tcW w:w="1276" w:type="dxa"/>
          </w:tcPr>
          <w:p w14:paraId="31C44991" w14:textId="6C5D070D" w:rsidR="007C1DAF" w:rsidRPr="002D5851" w:rsidRDefault="007C1DAF" w:rsidP="00924CB7">
            <w:pPr>
              <w:spacing w:line="240" w:lineRule="auto"/>
              <w:rPr>
                <w:szCs w:val="22"/>
                <w:lang w:val="en-GB"/>
              </w:rPr>
            </w:pPr>
            <w:r>
              <w:rPr>
                <w:lang w:val="en-GB"/>
              </w:rPr>
              <w:t>None identified</w:t>
            </w:r>
          </w:p>
        </w:tc>
        <w:tc>
          <w:tcPr>
            <w:tcW w:w="4599" w:type="dxa"/>
          </w:tcPr>
          <w:p w14:paraId="1BB4F0B7" w14:textId="7F82700E" w:rsidR="007C1DAF" w:rsidRDefault="007C1DAF" w:rsidP="00924CB7">
            <w:pPr>
              <w:pStyle w:val="ListParagraph"/>
              <w:numPr>
                <w:ilvl w:val="0"/>
                <w:numId w:val="137"/>
              </w:numPr>
              <w:spacing w:line="240" w:lineRule="auto"/>
              <w:rPr>
                <w:szCs w:val="22"/>
                <w:lang w:val="en-GB"/>
              </w:rPr>
            </w:pPr>
            <w:r>
              <w:rPr>
                <w:szCs w:val="22"/>
                <w:lang w:val="en-GB"/>
              </w:rPr>
              <w:t>Survey of selected approved providers with staff members who have completed mandatory training / re-training</w:t>
            </w:r>
          </w:p>
          <w:p w14:paraId="675EBF6E" w14:textId="440EFCBC" w:rsidR="007C1DAF" w:rsidRDefault="007C1DAF" w:rsidP="00924CB7">
            <w:pPr>
              <w:pStyle w:val="ListParagraph"/>
              <w:numPr>
                <w:ilvl w:val="0"/>
                <w:numId w:val="137"/>
              </w:numPr>
              <w:spacing w:line="240" w:lineRule="auto"/>
              <w:rPr>
                <w:szCs w:val="22"/>
                <w:lang w:val="en-GB"/>
              </w:rPr>
            </w:pPr>
            <w:r>
              <w:rPr>
                <w:szCs w:val="22"/>
                <w:lang w:val="en-GB"/>
              </w:rPr>
              <w:t xml:space="preserve">Survey of selected individuals who have completed mandatory training / re-training </w:t>
            </w:r>
          </w:p>
          <w:p w14:paraId="6C96BE4F" w14:textId="35306DF5" w:rsidR="007C1DAF" w:rsidRDefault="007C1DAF" w:rsidP="00924CB7">
            <w:pPr>
              <w:pStyle w:val="ListParagraph"/>
              <w:numPr>
                <w:ilvl w:val="0"/>
                <w:numId w:val="137"/>
              </w:numPr>
              <w:spacing w:line="240" w:lineRule="auto"/>
              <w:rPr>
                <w:szCs w:val="22"/>
                <w:lang w:val="en-GB"/>
              </w:rPr>
            </w:pPr>
            <w:r>
              <w:rPr>
                <w:szCs w:val="22"/>
                <w:lang w:val="en-GB"/>
              </w:rPr>
              <w:t>Consultation with Regulatory Authorities and selected training providers</w:t>
            </w:r>
          </w:p>
          <w:p w14:paraId="0A8C8A1A" w14:textId="085498A3" w:rsidR="00406FAB" w:rsidRPr="00406FAB" w:rsidRDefault="007C1DAF" w:rsidP="00924CB7">
            <w:pPr>
              <w:pStyle w:val="ListParagraph"/>
              <w:numPr>
                <w:ilvl w:val="0"/>
                <w:numId w:val="137"/>
              </w:numPr>
              <w:spacing w:line="240" w:lineRule="auto"/>
              <w:rPr>
                <w:szCs w:val="22"/>
                <w:lang w:val="en-GB"/>
              </w:rPr>
            </w:pPr>
            <w:r w:rsidRPr="007C1DAF">
              <w:rPr>
                <w:szCs w:val="22"/>
              </w:rPr>
              <w:t xml:space="preserve">Compliance action data – </w:t>
            </w:r>
            <w:r>
              <w:rPr>
                <w:szCs w:val="22"/>
              </w:rPr>
              <w:t xml:space="preserve">Training </w:t>
            </w:r>
            <w:r w:rsidRPr="007C1DAF">
              <w:rPr>
                <w:szCs w:val="22"/>
              </w:rPr>
              <w:t>order</w:t>
            </w:r>
          </w:p>
          <w:p w14:paraId="01D4EB1F" w14:textId="30B9612E" w:rsidR="007C1DAF" w:rsidRPr="00406FAB" w:rsidRDefault="00406FAB" w:rsidP="00924CB7">
            <w:pPr>
              <w:pStyle w:val="ListParagraph"/>
              <w:numPr>
                <w:ilvl w:val="0"/>
                <w:numId w:val="137"/>
              </w:numPr>
              <w:spacing w:line="240" w:lineRule="auto"/>
              <w:rPr>
                <w:szCs w:val="22"/>
                <w:lang w:val="en-GB"/>
              </w:rPr>
            </w:pPr>
            <w:r>
              <w:rPr>
                <w:szCs w:val="22"/>
                <w:lang w:val="en-GB"/>
              </w:rPr>
              <w:t>Compliance data on show cause processes</w:t>
            </w:r>
          </w:p>
        </w:tc>
      </w:tr>
    </w:tbl>
    <w:p w14:paraId="72D3ABD4" w14:textId="77777777" w:rsidR="003B7526" w:rsidRPr="007B0FEC" w:rsidRDefault="003B7526" w:rsidP="003B7526">
      <w:pPr>
        <w:spacing w:line="240" w:lineRule="auto"/>
        <w:rPr>
          <w:lang w:val="en-GB"/>
        </w:rPr>
      </w:pPr>
    </w:p>
    <w:p w14:paraId="205ABD70" w14:textId="77777777" w:rsidR="003B7526" w:rsidRDefault="003B7526" w:rsidP="00AF4412">
      <w:pPr>
        <w:pStyle w:val="Heading4"/>
        <w:rPr>
          <w:lang w:val="en-GB"/>
        </w:rPr>
      </w:pPr>
      <w:r>
        <w:rPr>
          <w:lang w:val="en-GB"/>
        </w:rPr>
        <w:lastRenderedPageBreak/>
        <w:t xml:space="preserve">Working with Children Checks (WWCC) - </w:t>
      </w:r>
      <w:r w:rsidRPr="00305588">
        <w:rPr>
          <w:lang w:val="en-GB"/>
        </w:rPr>
        <w:t>Requiring an approved WWCC prior to commencing paid or volunteer work at an education and care service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57"/>
        <w:gridCol w:w="6497"/>
        <w:gridCol w:w="1716"/>
        <w:gridCol w:w="3880"/>
      </w:tblGrid>
      <w:tr w:rsidR="00EE33A5" w:rsidRPr="002D5851" w14:paraId="1D0C1A87" w14:textId="48B39D72" w:rsidTr="00EE33A5">
        <w:trPr>
          <w:tblHeader/>
        </w:trPr>
        <w:tc>
          <w:tcPr>
            <w:tcW w:w="0" w:type="auto"/>
            <w:shd w:val="clear" w:color="auto" w:fill="14233C" w:themeFill="text2"/>
            <w:vAlign w:val="center"/>
          </w:tcPr>
          <w:p w14:paraId="542232E0" w14:textId="77777777" w:rsidR="00EE33A5" w:rsidRPr="002D5851" w:rsidRDefault="00EE33A5">
            <w:pPr>
              <w:spacing w:line="240" w:lineRule="auto"/>
              <w:rPr>
                <w:b/>
                <w:color w:val="FFFFFF" w:themeColor="background1"/>
                <w:szCs w:val="22"/>
              </w:rPr>
            </w:pPr>
            <w:r w:rsidRPr="002D5851">
              <w:rPr>
                <w:b/>
                <w:color w:val="FFFFFF" w:themeColor="background1"/>
                <w:szCs w:val="22"/>
              </w:rPr>
              <w:t>Option</w:t>
            </w:r>
          </w:p>
        </w:tc>
        <w:tc>
          <w:tcPr>
            <w:tcW w:w="0" w:type="auto"/>
            <w:shd w:val="clear" w:color="auto" w:fill="14233C" w:themeFill="text2"/>
            <w:vAlign w:val="center"/>
          </w:tcPr>
          <w:p w14:paraId="7ABF6ED7" w14:textId="605CA144" w:rsidR="00EE33A5" w:rsidRPr="002D5851" w:rsidRDefault="00EE33A5" w:rsidP="00EE33A5">
            <w:pPr>
              <w:spacing w:line="240" w:lineRule="auto"/>
              <w:rPr>
                <w:b/>
                <w:color w:val="FFFFFF" w:themeColor="background1"/>
                <w:szCs w:val="22"/>
              </w:rPr>
            </w:pPr>
            <w:r>
              <w:rPr>
                <w:b/>
                <w:szCs w:val="22"/>
                <w:lang w:val="en-GB"/>
              </w:rPr>
              <w:t>Measures</w:t>
            </w:r>
          </w:p>
        </w:tc>
        <w:tc>
          <w:tcPr>
            <w:tcW w:w="0" w:type="auto"/>
            <w:shd w:val="clear" w:color="auto" w:fill="14233C" w:themeFill="text2"/>
            <w:vAlign w:val="center"/>
          </w:tcPr>
          <w:p w14:paraId="323E9876" w14:textId="5CA3AA3C" w:rsidR="00EE33A5" w:rsidRDefault="00EE33A5" w:rsidP="00812564">
            <w:pPr>
              <w:spacing w:line="240" w:lineRule="auto"/>
              <w:rPr>
                <w:b/>
                <w:szCs w:val="22"/>
                <w:lang w:val="en-GB"/>
              </w:rPr>
            </w:pPr>
            <w:r>
              <w:rPr>
                <w:b/>
                <w:szCs w:val="22"/>
                <w:lang w:val="en-GB"/>
              </w:rPr>
              <w:t>Existing data sources</w:t>
            </w:r>
          </w:p>
        </w:tc>
        <w:tc>
          <w:tcPr>
            <w:tcW w:w="0" w:type="auto"/>
            <w:shd w:val="clear" w:color="auto" w:fill="14233C" w:themeFill="text2"/>
          </w:tcPr>
          <w:p w14:paraId="4CF7A9A4" w14:textId="30706D39" w:rsidR="00EE33A5" w:rsidRDefault="00591835" w:rsidP="00812564">
            <w:pPr>
              <w:spacing w:line="240" w:lineRule="auto"/>
              <w:rPr>
                <w:b/>
                <w:szCs w:val="22"/>
                <w:lang w:val="en-GB"/>
              </w:rPr>
            </w:pPr>
            <w:r>
              <w:rPr>
                <w:b/>
                <w:szCs w:val="22"/>
                <w:lang w:val="en-GB"/>
              </w:rPr>
              <w:t>New data sources (to be collected)</w:t>
            </w:r>
          </w:p>
        </w:tc>
      </w:tr>
      <w:tr w:rsidR="00E94BC6" w:rsidRPr="002D5851" w14:paraId="69A784B0" w14:textId="713A45AA" w:rsidTr="00EE33A5">
        <w:tc>
          <w:tcPr>
            <w:tcW w:w="0" w:type="auto"/>
            <w:vAlign w:val="center"/>
          </w:tcPr>
          <w:p w14:paraId="760F9AFE" w14:textId="641AEC89" w:rsidR="00E94BC6" w:rsidRPr="002D5851" w:rsidRDefault="00E94BC6" w:rsidP="00E94BC6">
            <w:pPr>
              <w:spacing w:line="240" w:lineRule="auto"/>
              <w:rPr>
                <w:szCs w:val="22"/>
              </w:rPr>
            </w:pPr>
            <w:r w:rsidRPr="002F79C7">
              <w:rPr>
                <w:b/>
                <w:szCs w:val="20"/>
              </w:rPr>
              <w:t xml:space="preserve">Option </w:t>
            </w:r>
            <w:r>
              <w:rPr>
                <w:b/>
                <w:szCs w:val="20"/>
              </w:rPr>
              <w:t>2</w:t>
            </w:r>
            <w:r w:rsidRPr="002F79C7">
              <w:rPr>
                <w:b/>
                <w:szCs w:val="20"/>
              </w:rPr>
              <w:t xml:space="preserve"> (</w:t>
            </w:r>
            <w:r>
              <w:rPr>
                <w:b/>
                <w:szCs w:val="20"/>
              </w:rPr>
              <w:t>Non-r</w:t>
            </w:r>
            <w:r w:rsidRPr="002F79C7">
              <w:rPr>
                <w:b/>
                <w:szCs w:val="20"/>
              </w:rPr>
              <w:t>egulatory)</w:t>
            </w:r>
          </w:p>
        </w:tc>
        <w:tc>
          <w:tcPr>
            <w:tcW w:w="0" w:type="auto"/>
          </w:tcPr>
          <w:p w14:paraId="143B05BD" w14:textId="7B0A625C" w:rsidR="00E94BC6" w:rsidRPr="00A90A69" w:rsidRDefault="00E94BC6" w:rsidP="00E94BC6">
            <w:pPr>
              <w:pStyle w:val="ListParagraph"/>
              <w:numPr>
                <w:ilvl w:val="0"/>
                <w:numId w:val="56"/>
              </w:numPr>
              <w:spacing w:line="240" w:lineRule="auto"/>
              <w:rPr>
                <w:b/>
                <w:szCs w:val="22"/>
              </w:rPr>
            </w:pPr>
            <w:r>
              <w:rPr>
                <w:bCs/>
                <w:szCs w:val="22"/>
              </w:rPr>
              <w:t xml:space="preserve">Approved providers </w:t>
            </w:r>
            <w:r w:rsidR="00CD13B0">
              <w:rPr>
                <w:bCs/>
                <w:szCs w:val="22"/>
              </w:rPr>
              <w:t xml:space="preserve">report </w:t>
            </w:r>
            <w:r>
              <w:rPr>
                <w:bCs/>
                <w:szCs w:val="22"/>
              </w:rPr>
              <w:t>improved understanding on WWCC requirements, including differences in requirements for multi-jurisdictional providers</w:t>
            </w:r>
          </w:p>
          <w:p w14:paraId="7E03F6D4" w14:textId="0FCCE799" w:rsidR="00E94BC6" w:rsidRPr="00621EF5" w:rsidRDefault="00E56B08" w:rsidP="00E94BC6">
            <w:pPr>
              <w:pStyle w:val="ListParagraph"/>
              <w:numPr>
                <w:ilvl w:val="0"/>
                <w:numId w:val="56"/>
              </w:numPr>
              <w:spacing w:line="240" w:lineRule="auto"/>
              <w:rPr>
                <w:b/>
                <w:szCs w:val="22"/>
              </w:rPr>
            </w:pPr>
            <w:r>
              <w:rPr>
                <w:bCs/>
                <w:szCs w:val="22"/>
              </w:rPr>
              <w:t>Evidence that approved providers adopt</w:t>
            </w:r>
            <w:r w:rsidR="00E94BC6">
              <w:rPr>
                <w:bCs/>
                <w:szCs w:val="22"/>
              </w:rPr>
              <w:t xml:space="preserve"> ‘best practice’ </w:t>
            </w:r>
            <w:r>
              <w:rPr>
                <w:bCs/>
                <w:szCs w:val="22"/>
              </w:rPr>
              <w:t xml:space="preserve">approaches </w:t>
            </w:r>
            <w:r w:rsidR="00E94BC6">
              <w:rPr>
                <w:bCs/>
                <w:szCs w:val="22"/>
              </w:rPr>
              <w:t xml:space="preserve">regarding WWCCs </w:t>
            </w:r>
          </w:p>
          <w:p w14:paraId="7D075B7C" w14:textId="7BAF1218" w:rsidR="00E94BC6" w:rsidRDefault="00E94BC6" w:rsidP="00E94BC6">
            <w:pPr>
              <w:pStyle w:val="ListParagraph"/>
              <w:numPr>
                <w:ilvl w:val="0"/>
                <w:numId w:val="56"/>
              </w:numPr>
              <w:spacing w:line="240" w:lineRule="auto"/>
              <w:rPr>
                <w:bCs/>
                <w:szCs w:val="22"/>
              </w:rPr>
            </w:pPr>
            <w:r w:rsidRPr="00625EE9">
              <w:rPr>
                <w:bCs/>
                <w:szCs w:val="22"/>
              </w:rPr>
              <w:t>Reduction in the number of staff</w:t>
            </w:r>
            <w:r>
              <w:rPr>
                <w:bCs/>
                <w:szCs w:val="22"/>
              </w:rPr>
              <w:t xml:space="preserve"> and volunteers</w:t>
            </w:r>
            <w:r w:rsidRPr="00625EE9">
              <w:rPr>
                <w:bCs/>
                <w:szCs w:val="22"/>
              </w:rPr>
              <w:t xml:space="preserve"> who are allowed to commence in a role prior to their WWCC being on file with an approved provider</w:t>
            </w:r>
          </w:p>
          <w:p w14:paraId="37A90166" w14:textId="0656210D" w:rsidR="00E94BC6" w:rsidRPr="0086082C" w:rsidRDefault="00E94BC6" w:rsidP="00E94BC6">
            <w:pPr>
              <w:pStyle w:val="ListParagraph"/>
              <w:numPr>
                <w:ilvl w:val="0"/>
                <w:numId w:val="56"/>
              </w:numPr>
              <w:spacing w:line="240" w:lineRule="auto"/>
              <w:rPr>
                <w:bCs/>
                <w:szCs w:val="22"/>
              </w:rPr>
            </w:pPr>
            <w:r>
              <w:rPr>
                <w:bCs/>
                <w:szCs w:val="22"/>
              </w:rPr>
              <w:t>Number of downloads of guidance materials</w:t>
            </w:r>
            <w:r w:rsidRPr="0086082C">
              <w:rPr>
                <w:bCs/>
                <w:szCs w:val="22"/>
              </w:rPr>
              <w:t xml:space="preserve"> </w:t>
            </w:r>
          </w:p>
        </w:tc>
        <w:tc>
          <w:tcPr>
            <w:tcW w:w="0" w:type="auto"/>
          </w:tcPr>
          <w:p w14:paraId="18BED742" w14:textId="711F5556" w:rsidR="00E94BC6" w:rsidRPr="00757BE3" w:rsidRDefault="00E94BC6" w:rsidP="00E94BC6">
            <w:pPr>
              <w:spacing w:line="240" w:lineRule="auto"/>
              <w:ind w:left="360"/>
              <w:rPr>
                <w:szCs w:val="22"/>
                <w:lang w:val="en-GB"/>
              </w:rPr>
            </w:pPr>
            <w:r>
              <w:rPr>
                <w:lang w:val="en-GB"/>
              </w:rPr>
              <w:t>None identified</w:t>
            </w:r>
          </w:p>
        </w:tc>
        <w:tc>
          <w:tcPr>
            <w:tcW w:w="0" w:type="auto"/>
          </w:tcPr>
          <w:p w14:paraId="40F5600F" w14:textId="77777777" w:rsidR="00E94BC6" w:rsidRDefault="00E94BC6" w:rsidP="000E0B1F">
            <w:pPr>
              <w:pStyle w:val="ListParagraph"/>
              <w:spacing w:line="240" w:lineRule="auto"/>
              <w:rPr>
                <w:lang w:val="en-GB"/>
              </w:rPr>
            </w:pPr>
            <w:r>
              <w:rPr>
                <w:lang w:val="en-GB"/>
              </w:rPr>
              <w:t xml:space="preserve">Survey to approved providers </w:t>
            </w:r>
          </w:p>
          <w:p w14:paraId="207308A7" w14:textId="77777777" w:rsidR="00E94BC6" w:rsidRDefault="00E94BC6" w:rsidP="000E0B1F">
            <w:pPr>
              <w:pStyle w:val="ListParagraph"/>
              <w:spacing w:line="240" w:lineRule="auto"/>
              <w:rPr>
                <w:lang w:val="en-GB"/>
              </w:rPr>
            </w:pPr>
            <w:r>
              <w:rPr>
                <w:lang w:val="en-GB"/>
              </w:rPr>
              <w:t>Consultation with Regulatory Authorities</w:t>
            </w:r>
          </w:p>
          <w:p w14:paraId="07B0003D" w14:textId="1234B171" w:rsidR="000E0B1F" w:rsidRPr="000E0B1F" w:rsidRDefault="000E0B1F" w:rsidP="000E0B1F">
            <w:pPr>
              <w:pStyle w:val="ListParagraph"/>
              <w:spacing w:line="240" w:lineRule="auto"/>
            </w:pPr>
            <w:r w:rsidRPr="00D952BF">
              <w:t>Data on engagement/</w:t>
            </w:r>
            <w:r w:rsidR="00BB0D00">
              <w:t xml:space="preserve"> </w:t>
            </w:r>
            <w:r w:rsidRPr="00D952BF">
              <w:t>download of new resources if housed on ACECQA website</w:t>
            </w:r>
          </w:p>
          <w:p w14:paraId="6B859843" w14:textId="77777777" w:rsidR="00E94BC6" w:rsidRDefault="00E94BC6" w:rsidP="00E94BC6">
            <w:pPr>
              <w:spacing w:line="240" w:lineRule="auto"/>
              <w:rPr>
                <w:szCs w:val="22"/>
                <w:lang w:val="en-GB"/>
              </w:rPr>
            </w:pPr>
          </w:p>
        </w:tc>
      </w:tr>
      <w:tr w:rsidR="00E94BC6" w:rsidRPr="002D5851" w14:paraId="5B904205" w14:textId="51E12B8C" w:rsidTr="00EE33A5">
        <w:tc>
          <w:tcPr>
            <w:tcW w:w="0" w:type="auto"/>
            <w:vAlign w:val="center"/>
          </w:tcPr>
          <w:p w14:paraId="5A9A3D96" w14:textId="313EACCA" w:rsidR="00E94BC6" w:rsidRPr="002D5851" w:rsidRDefault="00E94BC6" w:rsidP="00E94BC6">
            <w:pPr>
              <w:spacing w:line="240" w:lineRule="auto"/>
              <w:rPr>
                <w:szCs w:val="22"/>
              </w:rPr>
            </w:pPr>
            <w:r w:rsidRPr="002F79C7">
              <w:rPr>
                <w:b/>
                <w:szCs w:val="20"/>
              </w:rPr>
              <w:t xml:space="preserve">Option </w:t>
            </w:r>
            <w:r>
              <w:rPr>
                <w:b/>
                <w:szCs w:val="20"/>
              </w:rPr>
              <w:t>3</w:t>
            </w:r>
            <w:r w:rsidRPr="002F79C7">
              <w:rPr>
                <w:b/>
                <w:szCs w:val="20"/>
              </w:rPr>
              <w:t xml:space="preserve"> (Regulatory)</w:t>
            </w:r>
          </w:p>
        </w:tc>
        <w:tc>
          <w:tcPr>
            <w:tcW w:w="0" w:type="auto"/>
            <w:vAlign w:val="center"/>
          </w:tcPr>
          <w:p w14:paraId="53A0CA60" w14:textId="42DD9A98" w:rsidR="00E94BC6" w:rsidRDefault="00E56B08" w:rsidP="00E94BC6">
            <w:pPr>
              <w:pStyle w:val="ListParagraph"/>
              <w:numPr>
                <w:ilvl w:val="0"/>
                <w:numId w:val="56"/>
              </w:numPr>
              <w:spacing w:line="240" w:lineRule="auto"/>
              <w:rPr>
                <w:bCs/>
                <w:szCs w:val="22"/>
              </w:rPr>
            </w:pPr>
            <w:r>
              <w:rPr>
                <w:bCs/>
                <w:szCs w:val="22"/>
              </w:rPr>
              <w:t>Evidence of i</w:t>
            </w:r>
            <w:r w:rsidR="00E94BC6">
              <w:rPr>
                <w:bCs/>
                <w:szCs w:val="22"/>
              </w:rPr>
              <w:t>mproved national consistency and clarity of WWCC requirements in the education and care sector, whereby no one can work or volunteer in a service until they have received their WWCC</w:t>
            </w:r>
          </w:p>
          <w:p w14:paraId="0E023906" w14:textId="3EA4CEDD" w:rsidR="00E94BC6" w:rsidRDefault="00E94BC6" w:rsidP="00E94BC6">
            <w:pPr>
              <w:pStyle w:val="ListParagraph"/>
              <w:numPr>
                <w:ilvl w:val="0"/>
                <w:numId w:val="56"/>
              </w:numPr>
              <w:spacing w:line="240" w:lineRule="auto"/>
              <w:rPr>
                <w:bCs/>
                <w:szCs w:val="22"/>
              </w:rPr>
            </w:pPr>
            <w:r w:rsidRPr="00625EE9">
              <w:rPr>
                <w:bCs/>
                <w:szCs w:val="22"/>
              </w:rPr>
              <w:t>Reduction in the number of staff</w:t>
            </w:r>
            <w:r>
              <w:rPr>
                <w:bCs/>
                <w:szCs w:val="22"/>
              </w:rPr>
              <w:t xml:space="preserve"> and volunteers</w:t>
            </w:r>
            <w:r w:rsidRPr="00625EE9">
              <w:rPr>
                <w:bCs/>
                <w:szCs w:val="22"/>
              </w:rPr>
              <w:t xml:space="preserve"> who are allowed to commence in a role prior to their WWCC being on file with an approved provider</w:t>
            </w:r>
          </w:p>
          <w:p w14:paraId="55DEB345" w14:textId="206CBF91" w:rsidR="00E94BC6" w:rsidRPr="00D343B9" w:rsidRDefault="00E94BC6" w:rsidP="00E94BC6">
            <w:pPr>
              <w:pStyle w:val="ListParagraph"/>
              <w:numPr>
                <w:ilvl w:val="0"/>
                <w:numId w:val="56"/>
              </w:numPr>
              <w:spacing w:line="240" w:lineRule="auto"/>
              <w:rPr>
                <w:bCs/>
                <w:szCs w:val="22"/>
              </w:rPr>
            </w:pPr>
            <w:r>
              <w:rPr>
                <w:bCs/>
                <w:szCs w:val="22"/>
              </w:rPr>
              <w:t xml:space="preserve">The sector wide practice of completing WWCC as part of pre-employment screening contributes to reduced risk of unsuitable individual(s) being able to work in an education and care setting </w:t>
            </w:r>
          </w:p>
        </w:tc>
        <w:tc>
          <w:tcPr>
            <w:tcW w:w="0" w:type="auto"/>
          </w:tcPr>
          <w:p w14:paraId="64C89B67" w14:textId="268CDE07" w:rsidR="00E94BC6" w:rsidRPr="00757BE3" w:rsidRDefault="00E94BC6" w:rsidP="00E94BC6">
            <w:pPr>
              <w:spacing w:line="240" w:lineRule="auto"/>
              <w:ind w:left="360"/>
              <w:rPr>
                <w:szCs w:val="22"/>
                <w:lang w:val="en-GB"/>
              </w:rPr>
            </w:pPr>
            <w:r>
              <w:rPr>
                <w:lang w:val="en-GB"/>
              </w:rPr>
              <w:t>None identified</w:t>
            </w:r>
          </w:p>
        </w:tc>
        <w:tc>
          <w:tcPr>
            <w:tcW w:w="0" w:type="auto"/>
          </w:tcPr>
          <w:p w14:paraId="61DFD976" w14:textId="77777777" w:rsidR="00E94BC6" w:rsidRDefault="00E94BC6" w:rsidP="00E94BC6">
            <w:pPr>
              <w:pStyle w:val="ListParagraph"/>
              <w:numPr>
                <w:ilvl w:val="0"/>
                <w:numId w:val="56"/>
              </w:numPr>
              <w:spacing w:line="240" w:lineRule="auto"/>
              <w:rPr>
                <w:lang w:val="en-GB"/>
              </w:rPr>
            </w:pPr>
            <w:r>
              <w:rPr>
                <w:lang w:val="en-GB"/>
              </w:rPr>
              <w:t>Survey to approved providers</w:t>
            </w:r>
          </w:p>
          <w:p w14:paraId="7F79FC78" w14:textId="09B0E222" w:rsidR="00E94BC6" w:rsidRPr="001E00C8" w:rsidRDefault="00E94BC6" w:rsidP="00E94BC6">
            <w:pPr>
              <w:pStyle w:val="ListParagraph"/>
              <w:numPr>
                <w:ilvl w:val="0"/>
                <w:numId w:val="56"/>
              </w:numPr>
              <w:spacing w:line="240" w:lineRule="auto"/>
              <w:rPr>
                <w:lang w:val="en-GB"/>
              </w:rPr>
            </w:pPr>
            <w:r w:rsidRPr="001E00C8">
              <w:rPr>
                <w:lang w:val="en-GB"/>
              </w:rPr>
              <w:t>Survey to education and care workforce</w:t>
            </w:r>
          </w:p>
          <w:p w14:paraId="09281DEF" w14:textId="41B93A80" w:rsidR="00E94BC6" w:rsidRDefault="00E94BC6" w:rsidP="00E94BC6">
            <w:pPr>
              <w:pStyle w:val="ListParagraph"/>
              <w:numPr>
                <w:ilvl w:val="0"/>
                <w:numId w:val="56"/>
              </w:numPr>
              <w:spacing w:line="240" w:lineRule="auto"/>
              <w:rPr>
                <w:lang w:val="en-GB"/>
              </w:rPr>
            </w:pPr>
            <w:r>
              <w:rPr>
                <w:lang w:val="en-GB"/>
              </w:rPr>
              <w:t>Consultation with Regulatory Authorities</w:t>
            </w:r>
            <w:r w:rsidRPr="001E00C8">
              <w:rPr>
                <w:lang w:val="en-GB"/>
              </w:rPr>
              <w:t xml:space="preserve"> and WWCC screening agencies</w:t>
            </w:r>
          </w:p>
          <w:p w14:paraId="4B350409" w14:textId="4DE4CDE1" w:rsidR="00052737" w:rsidRDefault="00052737" w:rsidP="00E94BC6">
            <w:pPr>
              <w:pStyle w:val="ListParagraph"/>
              <w:numPr>
                <w:ilvl w:val="0"/>
                <w:numId w:val="56"/>
              </w:numPr>
              <w:spacing w:line="240" w:lineRule="auto"/>
              <w:rPr>
                <w:lang w:val="en-GB"/>
              </w:rPr>
            </w:pPr>
            <w:r>
              <w:rPr>
                <w:lang w:val="en-GB"/>
              </w:rPr>
              <w:t>Compliance data on new requirement</w:t>
            </w:r>
          </w:p>
          <w:p w14:paraId="027E979E" w14:textId="77777777" w:rsidR="00E94BC6" w:rsidRDefault="00E94BC6" w:rsidP="00E94BC6">
            <w:pPr>
              <w:spacing w:line="240" w:lineRule="auto"/>
              <w:rPr>
                <w:szCs w:val="22"/>
                <w:lang w:val="en-GB"/>
              </w:rPr>
            </w:pPr>
          </w:p>
        </w:tc>
      </w:tr>
    </w:tbl>
    <w:p w14:paraId="48419F7E" w14:textId="77777777" w:rsidR="003B7526" w:rsidRDefault="003B7526" w:rsidP="003B7526">
      <w:pPr>
        <w:spacing w:after="160" w:line="259" w:lineRule="auto"/>
        <w:rPr>
          <w:rFonts w:cs="Arial"/>
          <w:b/>
          <w:bCs/>
          <w:i/>
          <w:iCs/>
          <w:color w:val="006B77"/>
          <w:szCs w:val="20"/>
          <w:lang w:val="en-GB"/>
        </w:rPr>
      </w:pPr>
      <w:r>
        <w:rPr>
          <w:lang w:val="en-GB"/>
        </w:rPr>
        <w:br w:type="page"/>
      </w:r>
    </w:p>
    <w:p w14:paraId="18909146" w14:textId="77777777" w:rsidR="003B7526" w:rsidRDefault="003B7526" w:rsidP="003B7526">
      <w:pPr>
        <w:pStyle w:val="Heading4"/>
        <w:spacing w:line="240" w:lineRule="auto"/>
        <w:rPr>
          <w:lang w:val="en-GB"/>
        </w:rPr>
      </w:pPr>
      <w:r>
        <w:rPr>
          <w:lang w:val="en-GB"/>
        </w:rPr>
        <w:lastRenderedPageBreak/>
        <w:t xml:space="preserve">Working with Children Checks (WWCC) - </w:t>
      </w:r>
      <w:r w:rsidRPr="00305588">
        <w:rPr>
          <w:lang w:val="en-GB"/>
        </w:rPr>
        <w:t>Requiring approved providers and Regulatory Authorities to be notified about changes in WWCC status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43"/>
        <w:gridCol w:w="7098"/>
        <w:gridCol w:w="1637"/>
        <w:gridCol w:w="3372"/>
      </w:tblGrid>
      <w:tr w:rsidR="00390CAA" w:rsidRPr="002D5851" w14:paraId="1DD4127F" w14:textId="3E4029E5" w:rsidTr="00EE33A5">
        <w:trPr>
          <w:tblHeader/>
        </w:trPr>
        <w:tc>
          <w:tcPr>
            <w:tcW w:w="0" w:type="auto"/>
            <w:shd w:val="clear" w:color="auto" w:fill="14233C" w:themeFill="text2"/>
            <w:vAlign w:val="center"/>
          </w:tcPr>
          <w:p w14:paraId="7D21DE80" w14:textId="77777777" w:rsidR="00EE33A5" w:rsidRPr="002D5851" w:rsidRDefault="00EE33A5">
            <w:pPr>
              <w:spacing w:line="240" w:lineRule="auto"/>
              <w:rPr>
                <w:b/>
                <w:color w:val="FFFFFF" w:themeColor="background1"/>
                <w:szCs w:val="22"/>
              </w:rPr>
            </w:pPr>
            <w:r w:rsidRPr="002D5851">
              <w:rPr>
                <w:b/>
                <w:color w:val="FFFFFF" w:themeColor="background1"/>
                <w:szCs w:val="22"/>
              </w:rPr>
              <w:t>Option</w:t>
            </w:r>
          </w:p>
        </w:tc>
        <w:tc>
          <w:tcPr>
            <w:tcW w:w="0" w:type="auto"/>
            <w:shd w:val="clear" w:color="auto" w:fill="14233C" w:themeFill="text2"/>
            <w:vAlign w:val="center"/>
          </w:tcPr>
          <w:p w14:paraId="208B5F4F" w14:textId="209CF95A" w:rsidR="00EE33A5" w:rsidRPr="002D5851" w:rsidRDefault="00EE33A5" w:rsidP="00EE33A5">
            <w:pPr>
              <w:spacing w:line="240" w:lineRule="auto"/>
              <w:rPr>
                <w:b/>
                <w:color w:val="FFFFFF" w:themeColor="background1"/>
                <w:szCs w:val="22"/>
              </w:rPr>
            </w:pPr>
            <w:r>
              <w:rPr>
                <w:b/>
                <w:szCs w:val="22"/>
                <w:lang w:val="en-GB"/>
              </w:rPr>
              <w:t>Measures</w:t>
            </w:r>
          </w:p>
        </w:tc>
        <w:tc>
          <w:tcPr>
            <w:tcW w:w="0" w:type="auto"/>
            <w:shd w:val="clear" w:color="auto" w:fill="14233C" w:themeFill="text2"/>
          </w:tcPr>
          <w:p w14:paraId="4F1BC115" w14:textId="5085C2D1" w:rsidR="00EE33A5" w:rsidRDefault="00EE33A5">
            <w:pPr>
              <w:spacing w:line="240" w:lineRule="auto"/>
              <w:rPr>
                <w:b/>
                <w:szCs w:val="22"/>
                <w:lang w:val="en-GB"/>
              </w:rPr>
            </w:pPr>
            <w:r>
              <w:rPr>
                <w:b/>
                <w:szCs w:val="22"/>
                <w:lang w:val="en-GB"/>
              </w:rPr>
              <w:t>Existing data sources</w:t>
            </w:r>
          </w:p>
        </w:tc>
        <w:tc>
          <w:tcPr>
            <w:tcW w:w="0" w:type="auto"/>
            <w:shd w:val="clear" w:color="auto" w:fill="14233C" w:themeFill="text2"/>
          </w:tcPr>
          <w:p w14:paraId="0BCF176F" w14:textId="5850559F" w:rsidR="00EE33A5" w:rsidRDefault="00591835">
            <w:pPr>
              <w:spacing w:line="240" w:lineRule="auto"/>
              <w:rPr>
                <w:b/>
                <w:szCs w:val="22"/>
                <w:lang w:val="en-GB"/>
              </w:rPr>
            </w:pPr>
            <w:r>
              <w:rPr>
                <w:b/>
                <w:szCs w:val="22"/>
                <w:lang w:val="en-GB"/>
              </w:rPr>
              <w:t>New data sources (to be collected)</w:t>
            </w:r>
          </w:p>
        </w:tc>
      </w:tr>
      <w:tr w:rsidR="00390CAA" w:rsidRPr="002D5851" w14:paraId="08C02AD4" w14:textId="28F82084" w:rsidTr="00EE33A5">
        <w:tc>
          <w:tcPr>
            <w:tcW w:w="0" w:type="auto"/>
            <w:vAlign w:val="center"/>
          </w:tcPr>
          <w:p w14:paraId="2A4BC22C" w14:textId="1CF1896F" w:rsidR="00052737" w:rsidRPr="002D5851" w:rsidRDefault="00052737" w:rsidP="00052737">
            <w:pPr>
              <w:spacing w:line="240" w:lineRule="auto"/>
              <w:rPr>
                <w:szCs w:val="22"/>
              </w:rPr>
            </w:pPr>
            <w:r w:rsidRPr="002F79C7">
              <w:rPr>
                <w:b/>
                <w:szCs w:val="20"/>
              </w:rPr>
              <w:t xml:space="preserve">Option </w:t>
            </w:r>
            <w:r>
              <w:rPr>
                <w:b/>
                <w:szCs w:val="20"/>
              </w:rPr>
              <w:t>2</w:t>
            </w:r>
            <w:r w:rsidRPr="002F79C7">
              <w:rPr>
                <w:b/>
                <w:szCs w:val="20"/>
              </w:rPr>
              <w:t xml:space="preserve"> (</w:t>
            </w:r>
            <w:r>
              <w:rPr>
                <w:b/>
                <w:szCs w:val="20"/>
              </w:rPr>
              <w:t>Non-r</w:t>
            </w:r>
            <w:r w:rsidRPr="002F79C7">
              <w:rPr>
                <w:b/>
                <w:szCs w:val="20"/>
              </w:rPr>
              <w:t>egulatory)</w:t>
            </w:r>
          </w:p>
        </w:tc>
        <w:tc>
          <w:tcPr>
            <w:tcW w:w="0" w:type="auto"/>
          </w:tcPr>
          <w:p w14:paraId="1893C4DB" w14:textId="5E1E773A" w:rsidR="00052737" w:rsidRPr="009A7061" w:rsidRDefault="00390CAA" w:rsidP="00052737">
            <w:pPr>
              <w:pStyle w:val="ListParagraph"/>
              <w:numPr>
                <w:ilvl w:val="0"/>
                <w:numId w:val="56"/>
              </w:numPr>
              <w:spacing w:line="240" w:lineRule="auto"/>
              <w:rPr>
                <w:b/>
                <w:szCs w:val="22"/>
              </w:rPr>
            </w:pPr>
            <w:r>
              <w:rPr>
                <w:bCs/>
                <w:szCs w:val="22"/>
              </w:rPr>
              <w:t>Evidence of more approved providers</w:t>
            </w:r>
            <w:r w:rsidR="00052737">
              <w:rPr>
                <w:bCs/>
                <w:szCs w:val="22"/>
              </w:rPr>
              <w:t xml:space="preserve"> </w:t>
            </w:r>
            <w:r>
              <w:rPr>
                <w:bCs/>
                <w:szCs w:val="22"/>
              </w:rPr>
              <w:t>adopting</w:t>
            </w:r>
            <w:r w:rsidR="00052737">
              <w:rPr>
                <w:bCs/>
                <w:szCs w:val="22"/>
              </w:rPr>
              <w:t xml:space="preserve"> ‘best practice’ approaches – including increased instances of providers checking WWCC status every six months (in jurisdictions where approved providers are not already notified by the relevant WWCC agency) and confirmation of a WWCC record in staff files prior to working in a service for all staff and volunteers. </w:t>
            </w:r>
          </w:p>
          <w:p w14:paraId="474224C6" w14:textId="6D6A73F5" w:rsidR="00052737" w:rsidRPr="009A7061" w:rsidRDefault="00052737" w:rsidP="00052737">
            <w:pPr>
              <w:pStyle w:val="ListParagraph"/>
              <w:numPr>
                <w:ilvl w:val="0"/>
                <w:numId w:val="56"/>
              </w:numPr>
              <w:spacing w:line="240" w:lineRule="auto"/>
              <w:rPr>
                <w:b/>
                <w:szCs w:val="22"/>
              </w:rPr>
            </w:pPr>
            <w:r>
              <w:rPr>
                <w:bCs/>
                <w:szCs w:val="22"/>
              </w:rPr>
              <w:t xml:space="preserve">Evidence of compliance with jurisdictional WWCC requirements </w:t>
            </w:r>
          </w:p>
          <w:p w14:paraId="12CCD532" w14:textId="7BA9B69D" w:rsidR="00052737" w:rsidRPr="00621EF5" w:rsidRDefault="00052737" w:rsidP="00052737">
            <w:pPr>
              <w:pStyle w:val="ListParagraph"/>
              <w:numPr>
                <w:ilvl w:val="0"/>
                <w:numId w:val="56"/>
              </w:numPr>
              <w:spacing w:line="240" w:lineRule="auto"/>
              <w:rPr>
                <w:szCs w:val="22"/>
              </w:rPr>
            </w:pPr>
            <w:r w:rsidRPr="0086082C">
              <w:rPr>
                <w:bCs/>
                <w:szCs w:val="22"/>
              </w:rPr>
              <w:t>Reduction in the number of WWCC status changes that are unknown to approved providers and/or the Regulatory Authority</w:t>
            </w:r>
          </w:p>
          <w:p w14:paraId="524D4E8B" w14:textId="77777777" w:rsidR="00052737" w:rsidRDefault="00052737" w:rsidP="00052737">
            <w:pPr>
              <w:pStyle w:val="ListParagraph"/>
              <w:numPr>
                <w:ilvl w:val="0"/>
                <w:numId w:val="56"/>
              </w:numPr>
              <w:spacing w:line="240" w:lineRule="auto"/>
              <w:rPr>
                <w:szCs w:val="22"/>
              </w:rPr>
            </w:pPr>
            <w:r w:rsidRPr="00625EE9">
              <w:rPr>
                <w:bCs/>
                <w:szCs w:val="22"/>
              </w:rPr>
              <w:t>Reduction in the number of staff</w:t>
            </w:r>
            <w:r>
              <w:rPr>
                <w:bCs/>
                <w:szCs w:val="22"/>
              </w:rPr>
              <w:t xml:space="preserve"> and volunteers</w:t>
            </w:r>
            <w:r w:rsidRPr="00625EE9">
              <w:rPr>
                <w:bCs/>
                <w:szCs w:val="22"/>
              </w:rPr>
              <w:t xml:space="preserve"> who are allowed to commence in a role prior to their WWCC being on file with an approved provider</w:t>
            </w:r>
          </w:p>
          <w:p w14:paraId="1A31EF90" w14:textId="216013A2" w:rsidR="00052737" w:rsidRPr="00625EE9" w:rsidRDefault="00052737" w:rsidP="00052737">
            <w:pPr>
              <w:pStyle w:val="ListParagraph"/>
              <w:numPr>
                <w:ilvl w:val="0"/>
                <w:numId w:val="56"/>
              </w:numPr>
              <w:spacing w:line="240" w:lineRule="auto"/>
            </w:pPr>
            <w:r>
              <w:rPr>
                <w:bCs/>
                <w:szCs w:val="22"/>
              </w:rPr>
              <w:t>Number of downloads of guidance materials</w:t>
            </w:r>
          </w:p>
        </w:tc>
        <w:tc>
          <w:tcPr>
            <w:tcW w:w="0" w:type="auto"/>
          </w:tcPr>
          <w:p w14:paraId="5815003F" w14:textId="7495932C" w:rsidR="00052737" w:rsidRPr="00757BE3" w:rsidRDefault="00052737" w:rsidP="00052737">
            <w:pPr>
              <w:spacing w:line="240" w:lineRule="auto"/>
              <w:ind w:left="360"/>
              <w:rPr>
                <w:szCs w:val="22"/>
                <w:lang w:val="en-GB"/>
              </w:rPr>
            </w:pPr>
            <w:r>
              <w:rPr>
                <w:lang w:val="en-GB"/>
              </w:rPr>
              <w:t>None identified</w:t>
            </w:r>
          </w:p>
        </w:tc>
        <w:tc>
          <w:tcPr>
            <w:tcW w:w="0" w:type="auto"/>
          </w:tcPr>
          <w:p w14:paraId="3DD12390" w14:textId="77777777" w:rsidR="00052737" w:rsidRDefault="00052737" w:rsidP="00052737">
            <w:pPr>
              <w:pStyle w:val="ListParagraph"/>
              <w:spacing w:line="240" w:lineRule="auto"/>
              <w:rPr>
                <w:lang w:val="en-GB"/>
              </w:rPr>
            </w:pPr>
            <w:r>
              <w:rPr>
                <w:lang w:val="en-GB"/>
              </w:rPr>
              <w:t xml:space="preserve">Survey to approved providers </w:t>
            </w:r>
          </w:p>
          <w:p w14:paraId="3143B541" w14:textId="31EDDCEB" w:rsidR="00052737" w:rsidRDefault="00052737" w:rsidP="00052737">
            <w:pPr>
              <w:pStyle w:val="ListParagraph"/>
              <w:spacing w:line="240" w:lineRule="auto"/>
              <w:rPr>
                <w:lang w:val="en-GB"/>
              </w:rPr>
            </w:pPr>
            <w:r>
              <w:rPr>
                <w:lang w:val="en-GB"/>
              </w:rPr>
              <w:t>Consultation with Regulatory Authorities and WWCC screening agencies</w:t>
            </w:r>
          </w:p>
          <w:p w14:paraId="04AACBFD" w14:textId="3ECA772A" w:rsidR="00052737" w:rsidRPr="00052737" w:rsidRDefault="00052737" w:rsidP="00052737">
            <w:pPr>
              <w:pStyle w:val="ListParagraph"/>
              <w:spacing w:line="240" w:lineRule="auto"/>
            </w:pPr>
            <w:r w:rsidRPr="00D952BF">
              <w:t>Data on engagement/</w:t>
            </w:r>
            <w:r w:rsidR="00BB0D00">
              <w:t xml:space="preserve"> </w:t>
            </w:r>
            <w:r w:rsidRPr="00D952BF">
              <w:t>download of new resources if housed on ACECQA website</w:t>
            </w:r>
          </w:p>
          <w:p w14:paraId="72E69EF0" w14:textId="77777777" w:rsidR="00052737" w:rsidRPr="009E7694" w:rsidRDefault="00052737" w:rsidP="00052737">
            <w:pPr>
              <w:spacing w:line="240" w:lineRule="auto"/>
              <w:rPr>
                <w:szCs w:val="22"/>
                <w:lang w:val="en-GB"/>
              </w:rPr>
            </w:pPr>
          </w:p>
        </w:tc>
      </w:tr>
      <w:tr w:rsidR="00390CAA" w:rsidRPr="002D5851" w14:paraId="29582633" w14:textId="4FCA66E7" w:rsidTr="00EE33A5">
        <w:tc>
          <w:tcPr>
            <w:tcW w:w="0" w:type="auto"/>
            <w:vAlign w:val="center"/>
          </w:tcPr>
          <w:p w14:paraId="4F37AD61" w14:textId="7DAB46E7" w:rsidR="00052737" w:rsidRPr="002D5851" w:rsidRDefault="00052737" w:rsidP="00052737">
            <w:pPr>
              <w:spacing w:line="240" w:lineRule="auto"/>
              <w:rPr>
                <w:szCs w:val="22"/>
              </w:rPr>
            </w:pPr>
            <w:r w:rsidRPr="002F79C7">
              <w:rPr>
                <w:b/>
                <w:szCs w:val="20"/>
              </w:rPr>
              <w:t xml:space="preserve">Option </w:t>
            </w:r>
            <w:r>
              <w:rPr>
                <w:b/>
                <w:szCs w:val="20"/>
              </w:rPr>
              <w:t>3A and 3B</w:t>
            </w:r>
            <w:r w:rsidRPr="002F79C7">
              <w:rPr>
                <w:b/>
                <w:szCs w:val="20"/>
              </w:rPr>
              <w:t xml:space="preserve"> (Regulatory)</w:t>
            </w:r>
          </w:p>
        </w:tc>
        <w:tc>
          <w:tcPr>
            <w:tcW w:w="0" w:type="auto"/>
          </w:tcPr>
          <w:p w14:paraId="52BEF2E2" w14:textId="0B5461AF" w:rsidR="00052737" w:rsidRPr="00CF3EA4" w:rsidRDefault="00052737" w:rsidP="00052737">
            <w:pPr>
              <w:pStyle w:val="ListParagraph"/>
              <w:numPr>
                <w:ilvl w:val="0"/>
                <w:numId w:val="114"/>
              </w:numPr>
              <w:spacing w:line="240" w:lineRule="auto"/>
              <w:ind w:left="321" w:hanging="321"/>
              <w:rPr>
                <w:b/>
                <w:szCs w:val="22"/>
              </w:rPr>
            </w:pPr>
            <w:r>
              <w:rPr>
                <w:szCs w:val="22"/>
                <w:lang w:val="en-GB"/>
              </w:rPr>
              <w:t>[For option 3A] Improved understanding among centre-based staff and FDC educators of their obligations to report WWCC status changes</w:t>
            </w:r>
          </w:p>
          <w:p w14:paraId="7577B14B" w14:textId="6455FA74" w:rsidR="00052737" w:rsidRPr="00625EE9" w:rsidRDefault="00052737" w:rsidP="00052737">
            <w:pPr>
              <w:pStyle w:val="ListParagraph"/>
              <w:numPr>
                <w:ilvl w:val="0"/>
                <w:numId w:val="114"/>
              </w:numPr>
              <w:spacing w:line="240" w:lineRule="auto"/>
              <w:ind w:left="321" w:hanging="321"/>
              <w:rPr>
                <w:b/>
                <w:szCs w:val="22"/>
              </w:rPr>
            </w:pPr>
            <w:r>
              <w:rPr>
                <w:szCs w:val="22"/>
                <w:lang w:val="en-GB"/>
              </w:rPr>
              <w:t>[For option 3A] Improved reporting of WWCC status changes among staff and volunteers</w:t>
            </w:r>
          </w:p>
          <w:p w14:paraId="6DAB12B5" w14:textId="53A1587E" w:rsidR="00052737" w:rsidRPr="00625EE9" w:rsidRDefault="00052737" w:rsidP="00052737">
            <w:pPr>
              <w:pStyle w:val="ListParagraph"/>
              <w:numPr>
                <w:ilvl w:val="0"/>
                <w:numId w:val="114"/>
              </w:numPr>
              <w:spacing w:line="240" w:lineRule="auto"/>
              <w:ind w:left="321" w:hanging="283"/>
              <w:rPr>
                <w:b/>
                <w:szCs w:val="22"/>
              </w:rPr>
            </w:pPr>
            <w:r>
              <w:rPr>
                <w:szCs w:val="22"/>
                <w:lang w:val="en-GB"/>
              </w:rPr>
              <w:t>[For option 3B] Increased reporting of WWCC status changes from approved providers to Regulatory Authorities</w:t>
            </w:r>
          </w:p>
          <w:p w14:paraId="181A6721" w14:textId="77777777" w:rsidR="00052737" w:rsidRPr="001E00C8" w:rsidRDefault="00052737" w:rsidP="00052737">
            <w:pPr>
              <w:pStyle w:val="ListParagraph"/>
              <w:numPr>
                <w:ilvl w:val="0"/>
                <w:numId w:val="114"/>
              </w:numPr>
              <w:spacing w:line="240" w:lineRule="auto"/>
              <w:ind w:left="321" w:hanging="283"/>
              <w:rPr>
                <w:szCs w:val="22"/>
              </w:rPr>
            </w:pPr>
            <w:r w:rsidRPr="000C0C94">
              <w:rPr>
                <w:bCs/>
                <w:szCs w:val="22"/>
              </w:rPr>
              <w:t>Reduction in the number of WWCC status changes that are unknown to approved providers and/or the Regulatory Authority</w:t>
            </w:r>
          </w:p>
          <w:p w14:paraId="1CCD98A0" w14:textId="51D0E587" w:rsidR="00052737" w:rsidRPr="002B48D5" w:rsidRDefault="00D63F03" w:rsidP="00052737">
            <w:pPr>
              <w:pStyle w:val="ListParagraph"/>
              <w:numPr>
                <w:ilvl w:val="0"/>
                <w:numId w:val="114"/>
              </w:numPr>
              <w:spacing w:line="240" w:lineRule="auto"/>
              <w:ind w:left="321" w:hanging="283"/>
              <w:rPr>
                <w:szCs w:val="22"/>
              </w:rPr>
            </w:pPr>
            <w:r>
              <w:rPr>
                <w:szCs w:val="22"/>
              </w:rPr>
              <w:lastRenderedPageBreak/>
              <w:t>Evidence that a</w:t>
            </w:r>
            <w:r w:rsidR="00052737">
              <w:rPr>
                <w:szCs w:val="22"/>
              </w:rPr>
              <w:t>pproved providers are able to make more rapid and informed decisions due to information on WWCC status changes</w:t>
            </w:r>
          </w:p>
          <w:p w14:paraId="013AF81C" w14:textId="4D052358" w:rsidR="00052737" w:rsidRPr="001E00C8" w:rsidRDefault="00D63F03" w:rsidP="00052737">
            <w:pPr>
              <w:pStyle w:val="ListParagraph"/>
              <w:numPr>
                <w:ilvl w:val="0"/>
                <w:numId w:val="114"/>
              </w:numPr>
              <w:spacing w:line="240" w:lineRule="auto"/>
              <w:ind w:left="321" w:hanging="283"/>
              <w:rPr>
                <w:szCs w:val="22"/>
              </w:rPr>
            </w:pPr>
            <w:r>
              <w:rPr>
                <w:bCs/>
                <w:szCs w:val="22"/>
              </w:rPr>
              <w:t xml:space="preserve">Evidence that </w:t>
            </w:r>
            <w:r w:rsidR="00052737">
              <w:rPr>
                <w:bCs/>
                <w:szCs w:val="22"/>
              </w:rPr>
              <w:t xml:space="preserve">Regulatory Authorities are able to undertake more rapid evaluation of potential risks presented by staff member(s) who experienced a change in WWCC status, leading to more rapid regulatory responses </w:t>
            </w:r>
          </w:p>
          <w:p w14:paraId="58114385" w14:textId="560256BD" w:rsidR="00052737" w:rsidRPr="000C0C94" w:rsidRDefault="00052737" w:rsidP="00052737">
            <w:pPr>
              <w:pStyle w:val="ListParagraph"/>
              <w:numPr>
                <w:ilvl w:val="0"/>
                <w:numId w:val="114"/>
              </w:numPr>
              <w:spacing w:line="240" w:lineRule="auto"/>
              <w:ind w:left="321" w:hanging="283"/>
              <w:rPr>
                <w:bCs/>
                <w:szCs w:val="22"/>
              </w:rPr>
            </w:pPr>
            <w:r>
              <w:rPr>
                <w:szCs w:val="22"/>
              </w:rPr>
              <w:t xml:space="preserve">Evidence that regulatory changes have reduced the risk of unsuitable individuals </w:t>
            </w:r>
            <w:r w:rsidR="00390CAA">
              <w:rPr>
                <w:szCs w:val="22"/>
              </w:rPr>
              <w:t xml:space="preserve">being </w:t>
            </w:r>
            <w:r>
              <w:rPr>
                <w:szCs w:val="22"/>
              </w:rPr>
              <w:t>employed in education and care settings</w:t>
            </w:r>
          </w:p>
        </w:tc>
        <w:tc>
          <w:tcPr>
            <w:tcW w:w="0" w:type="auto"/>
          </w:tcPr>
          <w:p w14:paraId="7B1ED8DD" w14:textId="36877767" w:rsidR="00052737" w:rsidRPr="00757BE3" w:rsidRDefault="00052737" w:rsidP="00052737">
            <w:pPr>
              <w:spacing w:line="240" w:lineRule="auto"/>
              <w:ind w:left="360"/>
              <w:rPr>
                <w:szCs w:val="22"/>
                <w:lang w:val="en-GB"/>
              </w:rPr>
            </w:pPr>
            <w:r>
              <w:rPr>
                <w:lang w:val="en-GB"/>
              </w:rPr>
              <w:lastRenderedPageBreak/>
              <w:t>None identified</w:t>
            </w:r>
          </w:p>
        </w:tc>
        <w:tc>
          <w:tcPr>
            <w:tcW w:w="0" w:type="auto"/>
          </w:tcPr>
          <w:p w14:paraId="39FC5239" w14:textId="77777777" w:rsidR="00052737" w:rsidRDefault="00052737" w:rsidP="00052737">
            <w:pPr>
              <w:pStyle w:val="ListParagraph"/>
              <w:spacing w:line="240" w:lineRule="auto"/>
              <w:rPr>
                <w:lang w:val="en-GB"/>
              </w:rPr>
            </w:pPr>
            <w:r>
              <w:rPr>
                <w:lang w:val="en-GB"/>
              </w:rPr>
              <w:t xml:space="preserve">Survey to approved providers </w:t>
            </w:r>
          </w:p>
          <w:p w14:paraId="5BCF2059" w14:textId="77777777" w:rsidR="00052737" w:rsidRPr="00DA7C87" w:rsidRDefault="00052737" w:rsidP="00052737">
            <w:pPr>
              <w:pStyle w:val="ListParagraph"/>
              <w:spacing w:line="240" w:lineRule="auto"/>
              <w:rPr>
                <w:szCs w:val="22"/>
                <w:lang w:val="en-GB"/>
              </w:rPr>
            </w:pPr>
            <w:r>
              <w:rPr>
                <w:lang w:val="en-GB"/>
              </w:rPr>
              <w:t>Survey to education and care workforce</w:t>
            </w:r>
          </w:p>
          <w:p w14:paraId="697B85A2" w14:textId="77777777" w:rsidR="00052737" w:rsidRPr="00BB0D00" w:rsidRDefault="00052737" w:rsidP="00052737">
            <w:pPr>
              <w:pStyle w:val="ListParagraph"/>
              <w:spacing w:line="240" w:lineRule="auto"/>
              <w:rPr>
                <w:szCs w:val="22"/>
                <w:lang w:val="en-GB"/>
              </w:rPr>
            </w:pPr>
            <w:r>
              <w:rPr>
                <w:lang w:val="en-GB"/>
              </w:rPr>
              <w:t>Consultation with Regulatory Authorities</w:t>
            </w:r>
          </w:p>
          <w:p w14:paraId="541F6632" w14:textId="32C683AD" w:rsidR="00BB0D00" w:rsidRPr="009E7694" w:rsidRDefault="00BB0D00" w:rsidP="0046682B">
            <w:pPr>
              <w:pStyle w:val="ListParagraph"/>
              <w:numPr>
                <w:ilvl w:val="0"/>
                <w:numId w:val="0"/>
              </w:numPr>
              <w:spacing w:line="240" w:lineRule="auto"/>
              <w:ind w:left="720"/>
              <w:rPr>
                <w:szCs w:val="22"/>
                <w:lang w:val="en-GB"/>
              </w:rPr>
            </w:pPr>
          </w:p>
        </w:tc>
      </w:tr>
    </w:tbl>
    <w:p w14:paraId="35BE470C" w14:textId="77777777" w:rsidR="003B7526" w:rsidRDefault="003B7526" w:rsidP="003B7526">
      <w:pPr>
        <w:spacing w:line="240" w:lineRule="auto"/>
        <w:rPr>
          <w:lang w:val="en-GB"/>
        </w:rPr>
      </w:pPr>
    </w:p>
    <w:p w14:paraId="7814328E" w14:textId="77777777" w:rsidR="008A4A48" w:rsidRDefault="008A4A48">
      <w:pPr>
        <w:spacing w:after="160" w:line="259" w:lineRule="auto"/>
        <w:rPr>
          <w:rFonts w:cs="Arial"/>
          <w:b/>
          <w:bCs/>
          <w:i/>
          <w:iCs/>
          <w:color w:val="006B77"/>
          <w:szCs w:val="20"/>
          <w:lang w:val="en-GB"/>
        </w:rPr>
      </w:pPr>
      <w:r>
        <w:rPr>
          <w:lang w:val="en-GB"/>
        </w:rPr>
        <w:br w:type="page"/>
      </w:r>
    </w:p>
    <w:p w14:paraId="5FB86D00" w14:textId="59BE6421" w:rsidR="003B7526" w:rsidRDefault="003B7526" w:rsidP="003B7526">
      <w:pPr>
        <w:pStyle w:val="Heading4"/>
        <w:spacing w:line="240" w:lineRule="auto"/>
        <w:rPr>
          <w:lang w:val="en-GB"/>
        </w:rPr>
      </w:pPr>
      <w:r>
        <w:rPr>
          <w:lang w:val="en-GB"/>
        </w:rPr>
        <w:lastRenderedPageBreak/>
        <w:t xml:space="preserve">Improving safety of the physical service environment - </w:t>
      </w:r>
      <w:r w:rsidRPr="007A4EB0">
        <w:rPr>
          <w:lang w:val="en-GB"/>
        </w:rPr>
        <w:t>Service and temporary waivers for the design of premises (to facilitate supervision of children)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76"/>
        <w:gridCol w:w="5135"/>
        <w:gridCol w:w="2907"/>
        <w:gridCol w:w="4032"/>
      </w:tblGrid>
      <w:tr w:rsidR="000C1AEE" w:rsidRPr="002D5851" w14:paraId="102521AD" w14:textId="240F3529" w:rsidTr="00BB0D00">
        <w:trPr>
          <w:tblHeader/>
        </w:trPr>
        <w:tc>
          <w:tcPr>
            <w:tcW w:w="0" w:type="auto"/>
            <w:shd w:val="clear" w:color="auto" w:fill="14233C" w:themeFill="text2"/>
            <w:vAlign w:val="center"/>
          </w:tcPr>
          <w:p w14:paraId="413A8A71" w14:textId="77777777" w:rsidR="00EE33A5" w:rsidRPr="002D5851" w:rsidRDefault="00EE33A5" w:rsidP="00AD3ED2">
            <w:pPr>
              <w:spacing w:line="240" w:lineRule="auto"/>
              <w:rPr>
                <w:b/>
                <w:color w:val="FFFFFF" w:themeColor="background1"/>
                <w:szCs w:val="22"/>
              </w:rPr>
            </w:pPr>
            <w:r w:rsidRPr="002D5851">
              <w:rPr>
                <w:b/>
                <w:color w:val="FFFFFF" w:themeColor="background1"/>
                <w:szCs w:val="22"/>
              </w:rPr>
              <w:t>Option</w:t>
            </w:r>
          </w:p>
        </w:tc>
        <w:tc>
          <w:tcPr>
            <w:tcW w:w="0" w:type="auto"/>
            <w:shd w:val="clear" w:color="auto" w:fill="14233C" w:themeFill="text2"/>
            <w:vAlign w:val="center"/>
          </w:tcPr>
          <w:p w14:paraId="458EBE3E" w14:textId="75F35960" w:rsidR="00EE33A5" w:rsidRPr="002D5851" w:rsidRDefault="00EE33A5" w:rsidP="00EE33A5">
            <w:pPr>
              <w:spacing w:line="240" w:lineRule="auto"/>
              <w:rPr>
                <w:b/>
                <w:color w:val="FFFFFF" w:themeColor="background1"/>
                <w:szCs w:val="22"/>
              </w:rPr>
            </w:pPr>
            <w:r>
              <w:rPr>
                <w:b/>
                <w:szCs w:val="22"/>
                <w:lang w:val="en-GB"/>
              </w:rPr>
              <w:t>Measures</w:t>
            </w:r>
          </w:p>
        </w:tc>
        <w:tc>
          <w:tcPr>
            <w:tcW w:w="2907" w:type="dxa"/>
            <w:shd w:val="clear" w:color="auto" w:fill="14233C" w:themeFill="text2"/>
          </w:tcPr>
          <w:p w14:paraId="5108B520" w14:textId="13847F33" w:rsidR="00EE33A5" w:rsidRDefault="00EE33A5" w:rsidP="00E44289">
            <w:pPr>
              <w:spacing w:line="240" w:lineRule="auto"/>
              <w:rPr>
                <w:b/>
                <w:szCs w:val="22"/>
                <w:lang w:val="en-GB"/>
              </w:rPr>
            </w:pPr>
            <w:r>
              <w:rPr>
                <w:b/>
                <w:szCs w:val="22"/>
                <w:lang w:val="en-GB"/>
              </w:rPr>
              <w:t>Existing data sources</w:t>
            </w:r>
          </w:p>
        </w:tc>
        <w:tc>
          <w:tcPr>
            <w:tcW w:w="4032" w:type="dxa"/>
            <w:shd w:val="clear" w:color="auto" w:fill="14233C" w:themeFill="text2"/>
          </w:tcPr>
          <w:p w14:paraId="2B2AA473" w14:textId="13B8BAC7" w:rsidR="00EE33A5" w:rsidRDefault="00591835" w:rsidP="00E44289">
            <w:pPr>
              <w:spacing w:line="240" w:lineRule="auto"/>
              <w:rPr>
                <w:b/>
                <w:szCs w:val="22"/>
                <w:lang w:val="en-GB"/>
              </w:rPr>
            </w:pPr>
            <w:r>
              <w:rPr>
                <w:b/>
                <w:szCs w:val="22"/>
                <w:lang w:val="en-GB"/>
              </w:rPr>
              <w:t>New data sources (to be collected)</w:t>
            </w:r>
          </w:p>
        </w:tc>
      </w:tr>
      <w:tr w:rsidR="000C1AEE" w:rsidRPr="002D5851" w14:paraId="2CF2A54C" w14:textId="0A6875EC" w:rsidTr="00BB0D00">
        <w:tc>
          <w:tcPr>
            <w:tcW w:w="0" w:type="auto"/>
            <w:vAlign w:val="center"/>
          </w:tcPr>
          <w:p w14:paraId="230691D9" w14:textId="30E2245C" w:rsidR="00EE33A5" w:rsidRPr="002D5851" w:rsidRDefault="00EE33A5" w:rsidP="00EE33A5">
            <w:pPr>
              <w:spacing w:line="240" w:lineRule="auto"/>
              <w:rPr>
                <w:szCs w:val="22"/>
              </w:rPr>
            </w:pPr>
            <w:r w:rsidRPr="002F79C7">
              <w:rPr>
                <w:b/>
                <w:szCs w:val="20"/>
              </w:rPr>
              <w:t xml:space="preserve">Option </w:t>
            </w:r>
            <w:r>
              <w:rPr>
                <w:b/>
                <w:szCs w:val="20"/>
              </w:rPr>
              <w:t>2</w:t>
            </w:r>
            <w:r w:rsidRPr="002F79C7">
              <w:rPr>
                <w:b/>
                <w:szCs w:val="20"/>
              </w:rPr>
              <w:t xml:space="preserve"> (</w:t>
            </w:r>
            <w:r>
              <w:rPr>
                <w:b/>
                <w:szCs w:val="20"/>
              </w:rPr>
              <w:t>Non-r</w:t>
            </w:r>
            <w:r w:rsidRPr="002F79C7">
              <w:rPr>
                <w:b/>
                <w:szCs w:val="20"/>
              </w:rPr>
              <w:t>egulatory)</w:t>
            </w:r>
          </w:p>
        </w:tc>
        <w:tc>
          <w:tcPr>
            <w:tcW w:w="0" w:type="auto"/>
          </w:tcPr>
          <w:p w14:paraId="0447BBE9" w14:textId="04B656B9" w:rsidR="00E31CD9" w:rsidRPr="00E31CD9" w:rsidRDefault="00053463" w:rsidP="00E31CD9">
            <w:pPr>
              <w:pStyle w:val="ListParagraph"/>
              <w:numPr>
                <w:ilvl w:val="0"/>
                <w:numId w:val="114"/>
              </w:numPr>
              <w:spacing w:line="240" w:lineRule="auto"/>
              <w:ind w:left="357" w:hanging="357"/>
              <w:rPr>
                <w:b/>
                <w:szCs w:val="22"/>
              </w:rPr>
            </w:pPr>
            <w:r>
              <w:rPr>
                <w:bCs/>
                <w:szCs w:val="22"/>
              </w:rPr>
              <w:t>Evidence of i</w:t>
            </w:r>
            <w:r w:rsidR="00E31CD9">
              <w:rPr>
                <w:bCs/>
                <w:szCs w:val="22"/>
              </w:rPr>
              <w:t>ncreased uptake of voluntary guidance, leading to modifications in premise design to facilitate supervision of children at all times</w:t>
            </w:r>
          </w:p>
          <w:p w14:paraId="278E4443" w14:textId="54240042" w:rsidR="00EE33A5" w:rsidRPr="00EB7975" w:rsidRDefault="00315F21" w:rsidP="00E31CD9">
            <w:pPr>
              <w:pStyle w:val="ListParagraph"/>
              <w:numPr>
                <w:ilvl w:val="0"/>
                <w:numId w:val="114"/>
              </w:numPr>
              <w:spacing w:line="240" w:lineRule="auto"/>
              <w:ind w:left="357" w:hanging="357"/>
              <w:rPr>
                <w:b/>
                <w:szCs w:val="22"/>
              </w:rPr>
            </w:pPr>
            <w:r>
              <w:rPr>
                <w:bCs/>
                <w:szCs w:val="22"/>
                <w:lang w:val="en-GB"/>
              </w:rPr>
              <w:t>Staff members report</w:t>
            </w:r>
            <w:r w:rsidR="00E31CD9">
              <w:rPr>
                <w:bCs/>
                <w:szCs w:val="22"/>
                <w:lang w:val="en-GB"/>
              </w:rPr>
              <w:t xml:space="preserve"> improved</w:t>
            </w:r>
            <w:r w:rsidR="00EE33A5" w:rsidRPr="001D39BE">
              <w:rPr>
                <w:bCs/>
                <w:szCs w:val="22"/>
                <w:lang w:val="en-GB"/>
              </w:rPr>
              <w:t xml:space="preserve"> capacity to supervise children at all times</w:t>
            </w:r>
          </w:p>
          <w:p w14:paraId="1B126D2A" w14:textId="432DF9CB" w:rsidR="00EB7975" w:rsidRPr="00923E68" w:rsidRDefault="00EB7975" w:rsidP="00E31CD9">
            <w:pPr>
              <w:pStyle w:val="ListParagraph"/>
              <w:numPr>
                <w:ilvl w:val="0"/>
                <w:numId w:val="114"/>
              </w:numPr>
              <w:spacing w:line="240" w:lineRule="auto"/>
              <w:ind w:left="357" w:hanging="357"/>
              <w:rPr>
                <w:b/>
                <w:szCs w:val="22"/>
              </w:rPr>
            </w:pPr>
            <w:r>
              <w:rPr>
                <w:bCs/>
                <w:szCs w:val="22"/>
              </w:rPr>
              <w:t>Number of downloads of guidance materials</w:t>
            </w:r>
          </w:p>
        </w:tc>
        <w:tc>
          <w:tcPr>
            <w:tcW w:w="2907" w:type="dxa"/>
          </w:tcPr>
          <w:p w14:paraId="23ED2706" w14:textId="7E7A5E24" w:rsidR="00EE33A5" w:rsidRPr="00923E68" w:rsidRDefault="0046682B" w:rsidP="0046682B">
            <w:pPr>
              <w:pStyle w:val="ListParagraph"/>
              <w:numPr>
                <w:ilvl w:val="0"/>
                <w:numId w:val="0"/>
              </w:numPr>
              <w:spacing w:line="240" w:lineRule="auto"/>
              <w:ind w:left="389"/>
              <w:rPr>
                <w:szCs w:val="22"/>
                <w:lang w:val="en-GB"/>
              </w:rPr>
            </w:pPr>
            <w:r>
              <w:rPr>
                <w:szCs w:val="22"/>
                <w:lang w:val="en-GB"/>
              </w:rPr>
              <w:t>None identified</w:t>
            </w:r>
          </w:p>
        </w:tc>
        <w:tc>
          <w:tcPr>
            <w:tcW w:w="4032" w:type="dxa"/>
          </w:tcPr>
          <w:p w14:paraId="48B0B7B8" w14:textId="042AD7E5" w:rsidR="00EE33A5" w:rsidRDefault="00EE33A5" w:rsidP="00EF3719">
            <w:pPr>
              <w:pStyle w:val="ListParagraph"/>
              <w:numPr>
                <w:ilvl w:val="0"/>
                <w:numId w:val="114"/>
              </w:numPr>
              <w:spacing w:line="240" w:lineRule="auto"/>
              <w:ind w:left="456" w:hanging="425"/>
              <w:rPr>
                <w:szCs w:val="22"/>
                <w:lang w:val="en-GB"/>
              </w:rPr>
            </w:pPr>
            <w:r>
              <w:rPr>
                <w:szCs w:val="22"/>
                <w:lang w:val="en-GB"/>
              </w:rPr>
              <w:t xml:space="preserve">Survey to </w:t>
            </w:r>
            <w:r w:rsidR="00315F21">
              <w:rPr>
                <w:szCs w:val="22"/>
                <w:lang w:val="en-GB"/>
              </w:rPr>
              <w:t>approved providers</w:t>
            </w:r>
          </w:p>
          <w:p w14:paraId="3FC2844B" w14:textId="77777777" w:rsidR="00EE33A5" w:rsidRDefault="00EE33A5" w:rsidP="00EF3719">
            <w:pPr>
              <w:pStyle w:val="ListParagraph"/>
              <w:numPr>
                <w:ilvl w:val="0"/>
                <w:numId w:val="114"/>
              </w:numPr>
              <w:spacing w:line="240" w:lineRule="auto"/>
              <w:ind w:left="456" w:hanging="425"/>
              <w:rPr>
                <w:szCs w:val="22"/>
                <w:lang w:val="en-GB"/>
              </w:rPr>
            </w:pPr>
            <w:r>
              <w:rPr>
                <w:szCs w:val="22"/>
                <w:lang w:val="en-GB"/>
              </w:rPr>
              <w:t>Consultation with Regulatory Authorities</w:t>
            </w:r>
          </w:p>
          <w:p w14:paraId="6621CB05" w14:textId="0FF1D328" w:rsidR="00BB0D00" w:rsidRPr="00BB0D00" w:rsidRDefault="00BB0D00" w:rsidP="00EF3719">
            <w:pPr>
              <w:pStyle w:val="ListParagraph"/>
              <w:numPr>
                <w:ilvl w:val="0"/>
                <w:numId w:val="114"/>
              </w:numPr>
              <w:spacing w:line="240" w:lineRule="auto"/>
              <w:ind w:left="456" w:hanging="425"/>
            </w:pPr>
            <w:r w:rsidRPr="00D952BF">
              <w:t>Data on engagement/</w:t>
            </w:r>
            <w:r>
              <w:t xml:space="preserve"> </w:t>
            </w:r>
            <w:r w:rsidRPr="00D952BF">
              <w:t>download of new resources if housed on ACECQA website</w:t>
            </w:r>
          </w:p>
        </w:tc>
      </w:tr>
      <w:tr w:rsidR="000C1AEE" w:rsidRPr="002D5851" w14:paraId="5BC2D5B5" w14:textId="70975502" w:rsidTr="00BB0D00">
        <w:tc>
          <w:tcPr>
            <w:tcW w:w="0" w:type="auto"/>
            <w:vAlign w:val="center"/>
          </w:tcPr>
          <w:p w14:paraId="73BC218F" w14:textId="7AA91F97" w:rsidR="00EE33A5" w:rsidRPr="002D5851" w:rsidRDefault="00EE33A5" w:rsidP="00EE33A5">
            <w:pPr>
              <w:spacing w:line="240" w:lineRule="auto"/>
              <w:rPr>
                <w:szCs w:val="22"/>
              </w:rPr>
            </w:pPr>
            <w:r w:rsidRPr="002F79C7">
              <w:rPr>
                <w:b/>
                <w:szCs w:val="20"/>
              </w:rPr>
              <w:t xml:space="preserve">Option </w:t>
            </w:r>
            <w:r>
              <w:rPr>
                <w:b/>
                <w:szCs w:val="20"/>
              </w:rPr>
              <w:t>3</w:t>
            </w:r>
            <w:r w:rsidRPr="002F79C7">
              <w:rPr>
                <w:b/>
                <w:szCs w:val="20"/>
              </w:rPr>
              <w:t xml:space="preserve"> (Regulatory)</w:t>
            </w:r>
          </w:p>
        </w:tc>
        <w:tc>
          <w:tcPr>
            <w:tcW w:w="0" w:type="auto"/>
          </w:tcPr>
          <w:p w14:paraId="6E7D1150" w14:textId="0A4E3F53" w:rsidR="00EE33A5" w:rsidRPr="00A7687A" w:rsidRDefault="000C1AEE" w:rsidP="00E31CD9">
            <w:pPr>
              <w:pStyle w:val="ListParagraph"/>
              <w:numPr>
                <w:ilvl w:val="0"/>
                <w:numId w:val="114"/>
              </w:numPr>
              <w:spacing w:line="240" w:lineRule="auto"/>
              <w:ind w:left="357" w:hanging="357"/>
              <w:rPr>
                <w:b/>
                <w:szCs w:val="22"/>
              </w:rPr>
            </w:pPr>
            <w:r>
              <w:rPr>
                <w:szCs w:val="22"/>
                <w:lang w:val="en-GB"/>
              </w:rPr>
              <w:t xml:space="preserve">Reduced </w:t>
            </w:r>
            <w:r w:rsidR="00315F21">
              <w:rPr>
                <w:szCs w:val="22"/>
                <w:lang w:val="en-GB"/>
              </w:rPr>
              <w:t>application and reliance</w:t>
            </w:r>
            <w:r w:rsidR="00EE33A5">
              <w:rPr>
                <w:szCs w:val="22"/>
                <w:lang w:val="en-GB"/>
              </w:rPr>
              <w:t xml:space="preserve"> on regulation 115 waivers</w:t>
            </w:r>
          </w:p>
          <w:p w14:paraId="753852AD" w14:textId="6D53F8E8" w:rsidR="00315F21" w:rsidRPr="00315F21" w:rsidRDefault="00315F21" w:rsidP="00E31CD9">
            <w:pPr>
              <w:pStyle w:val="ListParagraph"/>
              <w:numPr>
                <w:ilvl w:val="0"/>
                <w:numId w:val="114"/>
              </w:numPr>
              <w:spacing w:line="240" w:lineRule="auto"/>
              <w:ind w:left="357" w:hanging="357"/>
              <w:rPr>
                <w:bCs/>
                <w:szCs w:val="22"/>
              </w:rPr>
            </w:pPr>
            <w:r w:rsidRPr="00315F21">
              <w:rPr>
                <w:bCs/>
                <w:szCs w:val="22"/>
              </w:rPr>
              <w:t>Increased number of providers who adopt service design that facilitates the supervision of children at all times</w:t>
            </w:r>
          </w:p>
          <w:p w14:paraId="0C02A00D" w14:textId="1E446361" w:rsidR="00EE33A5" w:rsidRPr="001D39BE" w:rsidRDefault="00315F21" w:rsidP="00E31CD9">
            <w:pPr>
              <w:pStyle w:val="ListParagraph"/>
              <w:numPr>
                <w:ilvl w:val="0"/>
                <w:numId w:val="114"/>
              </w:numPr>
              <w:spacing w:line="240" w:lineRule="auto"/>
              <w:ind w:left="357" w:hanging="357"/>
              <w:rPr>
                <w:bCs/>
                <w:szCs w:val="22"/>
              </w:rPr>
            </w:pPr>
            <w:r>
              <w:rPr>
                <w:bCs/>
                <w:szCs w:val="22"/>
                <w:lang w:val="en-GB"/>
              </w:rPr>
              <w:t>Staff members report improved</w:t>
            </w:r>
            <w:r w:rsidRPr="00E31CD9">
              <w:rPr>
                <w:bCs/>
                <w:szCs w:val="22"/>
                <w:lang w:val="en-GB"/>
              </w:rPr>
              <w:t xml:space="preserve"> capacity to supervise children at all times</w:t>
            </w:r>
          </w:p>
        </w:tc>
        <w:tc>
          <w:tcPr>
            <w:tcW w:w="2907" w:type="dxa"/>
          </w:tcPr>
          <w:p w14:paraId="40342856" w14:textId="71EDCA1B" w:rsidR="00EE33A5" w:rsidRDefault="006363AB" w:rsidP="00EF3719">
            <w:pPr>
              <w:pStyle w:val="ListParagraph"/>
              <w:numPr>
                <w:ilvl w:val="0"/>
                <w:numId w:val="114"/>
              </w:numPr>
              <w:spacing w:line="240" w:lineRule="auto"/>
              <w:ind w:left="389" w:hanging="389"/>
              <w:rPr>
                <w:szCs w:val="22"/>
                <w:lang w:val="en-GB"/>
              </w:rPr>
            </w:pPr>
            <w:r>
              <w:rPr>
                <w:szCs w:val="22"/>
                <w:lang w:val="en-GB"/>
              </w:rPr>
              <w:t xml:space="preserve">Compliance </w:t>
            </w:r>
            <w:r w:rsidR="00EE33A5">
              <w:rPr>
                <w:szCs w:val="22"/>
                <w:lang w:val="en-GB"/>
              </w:rPr>
              <w:t>data on regulation 115 waiver</w:t>
            </w:r>
            <w:r w:rsidR="008E2D95">
              <w:rPr>
                <w:szCs w:val="22"/>
                <w:lang w:val="en-GB"/>
              </w:rPr>
              <w:t xml:space="preserve"> and temporary</w:t>
            </w:r>
            <w:r w:rsidR="00EE33A5">
              <w:rPr>
                <w:szCs w:val="22"/>
                <w:lang w:val="en-GB"/>
              </w:rPr>
              <w:t xml:space="preserve"> reliance </w:t>
            </w:r>
          </w:p>
          <w:p w14:paraId="437118D1" w14:textId="77777777" w:rsidR="00EE33A5" w:rsidRDefault="00EE33A5" w:rsidP="00EF3719">
            <w:pPr>
              <w:pStyle w:val="ListParagraph"/>
              <w:numPr>
                <w:ilvl w:val="0"/>
                <w:numId w:val="114"/>
              </w:numPr>
              <w:spacing w:line="240" w:lineRule="auto"/>
              <w:ind w:left="389" w:hanging="389"/>
              <w:rPr>
                <w:szCs w:val="22"/>
                <w:lang w:val="en-GB"/>
              </w:rPr>
            </w:pPr>
            <w:r>
              <w:rPr>
                <w:szCs w:val="22"/>
                <w:lang w:val="en-GB"/>
              </w:rPr>
              <w:t>Number of breaches of adequate supervision</w:t>
            </w:r>
          </w:p>
          <w:p w14:paraId="6E9286C9" w14:textId="64D1CF62" w:rsidR="00EE33A5" w:rsidRPr="00923E68" w:rsidRDefault="00EE33A5" w:rsidP="00EF3719">
            <w:pPr>
              <w:pStyle w:val="ListParagraph"/>
              <w:numPr>
                <w:ilvl w:val="0"/>
                <w:numId w:val="114"/>
              </w:numPr>
              <w:spacing w:line="240" w:lineRule="auto"/>
              <w:ind w:left="389" w:hanging="389"/>
              <w:rPr>
                <w:szCs w:val="22"/>
                <w:lang w:val="en-GB"/>
              </w:rPr>
            </w:pPr>
            <w:r>
              <w:rPr>
                <w:szCs w:val="22"/>
                <w:lang w:val="en-GB"/>
              </w:rPr>
              <w:t>Number of regulation 115 breaches</w:t>
            </w:r>
          </w:p>
        </w:tc>
        <w:tc>
          <w:tcPr>
            <w:tcW w:w="4032" w:type="dxa"/>
          </w:tcPr>
          <w:p w14:paraId="6432AA4B" w14:textId="77777777" w:rsidR="00EE33A5" w:rsidRDefault="00EE33A5" w:rsidP="00EF3719">
            <w:pPr>
              <w:pStyle w:val="ListParagraph"/>
              <w:numPr>
                <w:ilvl w:val="0"/>
                <w:numId w:val="114"/>
              </w:numPr>
              <w:spacing w:line="240" w:lineRule="auto"/>
              <w:ind w:left="456" w:hanging="425"/>
              <w:rPr>
                <w:szCs w:val="22"/>
                <w:lang w:val="en-GB"/>
              </w:rPr>
            </w:pPr>
            <w:r>
              <w:rPr>
                <w:szCs w:val="22"/>
                <w:lang w:val="en-GB"/>
              </w:rPr>
              <w:t>Survey to approved providers</w:t>
            </w:r>
          </w:p>
          <w:p w14:paraId="3E92BBD3" w14:textId="031949B9" w:rsidR="00EE33A5" w:rsidRPr="00923E68" w:rsidRDefault="00EE33A5" w:rsidP="00EF3719">
            <w:pPr>
              <w:pStyle w:val="ListParagraph"/>
              <w:numPr>
                <w:ilvl w:val="0"/>
                <w:numId w:val="114"/>
              </w:numPr>
              <w:spacing w:line="240" w:lineRule="auto"/>
              <w:ind w:left="456" w:hanging="425"/>
              <w:rPr>
                <w:szCs w:val="22"/>
                <w:lang w:val="en-GB"/>
              </w:rPr>
            </w:pPr>
            <w:r>
              <w:rPr>
                <w:szCs w:val="22"/>
                <w:lang w:val="en-GB"/>
              </w:rPr>
              <w:t>Consultation with Regulatory Authorities</w:t>
            </w:r>
          </w:p>
        </w:tc>
      </w:tr>
    </w:tbl>
    <w:p w14:paraId="7243DF8A" w14:textId="77777777" w:rsidR="003B7526" w:rsidRPr="007B0FEC" w:rsidRDefault="003B7526" w:rsidP="003B7526">
      <w:pPr>
        <w:spacing w:line="240" w:lineRule="auto"/>
        <w:rPr>
          <w:lang w:val="en-GB"/>
        </w:rPr>
      </w:pPr>
    </w:p>
    <w:p w14:paraId="30E3AC8A" w14:textId="77777777" w:rsidR="003B7526" w:rsidRDefault="003B7526" w:rsidP="003B7526">
      <w:pPr>
        <w:pStyle w:val="Heading4"/>
        <w:spacing w:line="240" w:lineRule="auto"/>
        <w:rPr>
          <w:lang w:val="en-GB"/>
        </w:rPr>
      </w:pPr>
      <w:r>
        <w:rPr>
          <w:lang w:val="en-GB"/>
        </w:rPr>
        <w:t xml:space="preserve">Improving safety of the physical service environment - </w:t>
      </w:r>
      <w:r w:rsidRPr="00616742">
        <w:rPr>
          <w:lang w:val="en-GB"/>
        </w:rPr>
        <w:t>Requiring approved providers to assess not just the FDC residence, but areas near the residence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73"/>
        <w:gridCol w:w="4926"/>
        <w:gridCol w:w="2835"/>
        <w:gridCol w:w="4316"/>
      </w:tblGrid>
      <w:tr w:rsidR="00FA6DEC" w:rsidRPr="002D5851" w14:paraId="6768287E" w14:textId="4CFCBAE5" w:rsidTr="001171FA">
        <w:trPr>
          <w:tblHeader/>
        </w:trPr>
        <w:tc>
          <w:tcPr>
            <w:tcW w:w="0" w:type="auto"/>
            <w:shd w:val="clear" w:color="auto" w:fill="14233C" w:themeFill="text2"/>
            <w:vAlign w:val="center"/>
          </w:tcPr>
          <w:p w14:paraId="295F0A44" w14:textId="77777777" w:rsidR="00FA6DEC" w:rsidRPr="002D5851" w:rsidRDefault="00FA6DEC" w:rsidP="00AD3ED2">
            <w:pPr>
              <w:spacing w:line="240" w:lineRule="auto"/>
              <w:rPr>
                <w:b/>
                <w:color w:val="FFFFFF" w:themeColor="background1"/>
                <w:szCs w:val="22"/>
              </w:rPr>
            </w:pPr>
            <w:r w:rsidRPr="002D5851">
              <w:rPr>
                <w:b/>
                <w:color w:val="FFFFFF" w:themeColor="background1"/>
                <w:szCs w:val="22"/>
              </w:rPr>
              <w:t>Option</w:t>
            </w:r>
          </w:p>
        </w:tc>
        <w:tc>
          <w:tcPr>
            <w:tcW w:w="4926" w:type="dxa"/>
            <w:shd w:val="clear" w:color="auto" w:fill="14233C" w:themeFill="text2"/>
            <w:vAlign w:val="center"/>
          </w:tcPr>
          <w:p w14:paraId="7A3F3F31" w14:textId="5406D9BA" w:rsidR="00FA6DEC" w:rsidRPr="002D5851" w:rsidRDefault="00FA6DEC" w:rsidP="00FA6DEC">
            <w:pPr>
              <w:spacing w:line="240" w:lineRule="auto"/>
              <w:rPr>
                <w:b/>
                <w:color w:val="FFFFFF" w:themeColor="background1"/>
                <w:szCs w:val="22"/>
              </w:rPr>
            </w:pPr>
            <w:r>
              <w:rPr>
                <w:b/>
                <w:szCs w:val="22"/>
                <w:lang w:val="en-GB"/>
              </w:rPr>
              <w:t>Measures</w:t>
            </w:r>
          </w:p>
        </w:tc>
        <w:tc>
          <w:tcPr>
            <w:tcW w:w="2835" w:type="dxa"/>
            <w:shd w:val="clear" w:color="auto" w:fill="14233C" w:themeFill="text2"/>
          </w:tcPr>
          <w:p w14:paraId="4FBE06F4" w14:textId="7704D0F0" w:rsidR="00FA6DEC" w:rsidRDefault="00FA6DEC" w:rsidP="007B356C">
            <w:pPr>
              <w:spacing w:line="240" w:lineRule="auto"/>
              <w:rPr>
                <w:b/>
                <w:szCs w:val="22"/>
                <w:lang w:val="en-GB"/>
              </w:rPr>
            </w:pPr>
            <w:r>
              <w:rPr>
                <w:b/>
                <w:szCs w:val="22"/>
                <w:lang w:val="en-GB"/>
              </w:rPr>
              <w:t>Existing data sources</w:t>
            </w:r>
          </w:p>
        </w:tc>
        <w:tc>
          <w:tcPr>
            <w:tcW w:w="4316" w:type="dxa"/>
            <w:shd w:val="clear" w:color="auto" w:fill="14233C" w:themeFill="text2"/>
          </w:tcPr>
          <w:p w14:paraId="68AC4EC0" w14:textId="25DBA94F" w:rsidR="00FA6DEC" w:rsidRDefault="00591835" w:rsidP="007B356C">
            <w:pPr>
              <w:spacing w:line="240" w:lineRule="auto"/>
              <w:rPr>
                <w:b/>
                <w:szCs w:val="22"/>
                <w:lang w:val="en-GB"/>
              </w:rPr>
            </w:pPr>
            <w:r>
              <w:rPr>
                <w:b/>
                <w:szCs w:val="22"/>
                <w:lang w:val="en-GB"/>
              </w:rPr>
              <w:t>New data sources (to be collected)</w:t>
            </w:r>
          </w:p>
        </w:tc>
      </w:tr>
      <w:tr w:rsidR="00FA6DEC" w:rsidRPr="002D5851" w14:paraId="43AC45EF" w14:textId="05A8BA70" w:rsidTr="001171FA">
        <w:tc>
          <w:tcPr>
            <w:tcW w:w="0" w:type="auto"/>
            <w:vAlign w:val="center"/>
          </w:tcPr>
          <w:p w14:paraId="237290BB" w14:textId="76FB1563" w:rsidR="00FA6DEC" w:rsidRPr="002D5851" w:rsidRDefault="00FA6DEC" w:rsidP="00EE33A5">
            <w:pPr>
              <w:spacing w:line="240" w:lineRule="auto"/>
              <w:rPr>
                <w:szCs w:val="22"/>
              </w:rPr>
            </w:pPr>
            <w:r w:rsidRPr="002F79C7">
              <w:rPr>
                <w:b/>
                <w:szCs w:val="20"/>
              </w:rPr>
              <w:t xml:space="preserve">Option </w:t>
            </w:r>
            <w:r>
              <w:rPr>
                <w:b/>
                <w:szCs w:val="20"/>
              </w:rPr>
              <w:t>3</w:t>
            </w:r>
            <w:r w:rsidRPr="002F79C7">
              <w:rPr>
                <w:b/>
                <w:szCs w:val="20"/>
              </w:rPr>
              <w:t xml:space="preserve"> (Regulatory)</w:t>
            </w:r>
          </w:p>
        </w:tc>
        <w:tc>
          <w:tcPr>
            <w:tcW w:w="4926" w:type="dxa"/>
            <w:vAlign w:val="center"/>
          </w:tcPr>
          <w:p w14:paraId="03A69325" w14:textId="3DE97327" w:rsidR="00487061" w:rsidRDefault="00487061" w:rsidP="00315F21">
            <w:pPr>
              <w:pStyle w:val="ListParagraph"/>
              <w:numPr>
                <w:ilvl w:val="0"/>
                <w:numId w:val="134"/>
              </w:numPr>
              <w:spacing w:line="240" w:lineRule="auto"/>
              <w:ind w:left="357" w:hanging="357"/>
              <w:rPr>
                <w:szCs w:val="22"/>
              </w:rPr>
            </w:pPr>
            <w:r>
              <w:rPr>
                <w:szCs w:val="22"/>
              </w:rPr>
              <w:t xml:space="preserve">Evidence of changes in risk assessments and mitigation practices among FDC providers to </w:t>
            </w:r>
            <w:r w:rsidR="000D796A">
              <w:rPr>
                <w:szCs w:val="22"/>
              </w:rPr>
              <w:t>assess all areas of the residence</w:t>
            </w:r>
          </w:p>
          <w:p w14:paraId="2497EB11" w14:textId="4A6F6AF0" w:rsidR="000D796A" w:rsidRPr="00487061" w:rsidRDefault="00D63F03" w:rsidP="00315F21">
            <w:pPr>
              <w:pStyle w:val="ListParagraph"/>
              <w:numPr>
                <w:ilvl w:val="0"/>
                <w:numId w:val="134"/>
              </w:numPr>
              <w:spacing w:line="240" w:lineRule="auto"/>
              <w:ind w:left="357" w:hanging="357"/>
              <w:rPr>
                <w:szCs w:val="22"/>
              </w:rPr>
            </w:pPr>
            <w:r>
              <w:rPr>
                <w:szCs w:val="22"/>
              </w:rPr>
              <w:lastRenderedPageBreak/>
              <w:t>Evidence of i</w:t>
            </w:r>
            <w:r w:rsidR="000D796A">
              <w:rPr>
                <w:szCs w:val="22"/>
              </w:rPr>
              <w:t>mproved clarity among approved providers on the definition for ‘areas near the residence that may be accessible to children’, leading to improved risk assessment and mitigation practices</w:t>
            </w:r>
          </w:p>
          <w:p w14:paraId="7716E06A" w14:textId="2F666037" w:rsidR="00FA6DEC" w:rsidRPr="00C935DA" w:rsidRDefault="00053463" w:rsidP="000D796A">
            <w:pPr>
              <w:pStyle w:val="ListParagraph"/>
              <w:numPr>
                <w:ilvl w:val="0"/>
                <w:numId w:val="134"/>
              </w:numPr>
              <w:spacing w:line="240" w:lineRule="auto"/>
              <w:ind w:left="357" w:hanging="357"/>
              <w:rPr>
                <w:szCs w:val="22"/>
              </w:rPr>
            </w:pPr>
            <w:r>
              <w:rPr>
                <w:szCs w:val="22"/>
              </w:rPr>
              <w:t>Evidence of reduced</w:t>
            </w:r>
            <w:r w:rsidRPr="00C935DA">
              <w:rPr>
                <w:szCs w:val="22"/>
              </w:rPr>
              <w:t xml:space="preserve"> </w:t>
            </w:r>
            <w:r w:rsidR="00FA6DEC" w:rsidRPr="00C935DA">
              <w:rPr>
                <w:szCs w:val="22"/>
              </w:rPr>
              <w:t>instances of harm to children from risks in the wider FDC residence or areas around the residence</w:t>
            </w:r>
          </w:p>
        </w:tc>
        <w:tc>
          <w:tcPr>
            <w:tcW w:w="2835" w:type="dxa"/>
          </w:tcPr>
          <w:p w14:paraId="6AAB5C1F" w14:textId="1E5FF4C5" w:rsidR="00FA6DEC" w:rsidRDefault="00AE589A" w:rsidP="00EF3719">
            <w:pPr>
              <w:pStyle w:val="ListParagraph"/>
              <w:numPr>
                <w:ilvl w:val="0"/>
                <w:numId w:val="134"/>
              </w:numPr>
              <w:spacing w:line="240" w:lineRule="auto"/>
              <w:ind w:left="316" w:hanging="284"/>
              <w:rPr>
                <w:szCs w:val="22"/>
                <w:lang w:val="en-GB"/>
              </w:rPr>
            </w:pPr>
            <w:r>
              <w:rPr>
                <w:szCs w:val="22"/>
                <w:lang w:val="en-GB"/>
              </w:rPr>
              <w:lastRenderedPageBreak/>
              <w:t>Number of reported</w:t>
            </w:r>
            <w:r w:rsidR="00FA6DEC">
              <w:rPr>
                <w:szCs w:val="22"/>
                <w:lang w:val="en-GB"/>
              </w:rPr>
              <w:t xml:space="preserve"> harmful incidents that have occurred at FDCs</w:t>
            </w:r>
          </w:p>
          <w:p w14:paraId="72BE4FA9" w14:textId="34BFAD5A" w:rsidR="00DC1520" w:rsidRPr="009D6396" w:rsidRDefault="00DC1520" w:rsidP="00EF3719">
            <w:pPr>
              <w:pStyle w:val="ListParagraph"/>
              <w:numPr>
                <w:ilvl w:val="0"/>
                <w:numId w:val="134"/>
              </w:numPr>
              <w:spacing w:line="240" w:lineRule="auto"/>
              <w:ind w:left="316" w:hanging="284"/>
              <w:rPr>
                <w:szCs w:val="22"/>
                <w:lang w:val="en-GB"/>
              </w:rPr>
            </w:pPr>
            <w:r>
              <w:rPr>
                <w:szCs w:val="22"/>
                <w:lang w:val="en-GB"/>
              </w:rPr>
              <w:lastRenderedPageBreak/>
              <w:t>Number of incidents where a child has left the FDC premises</w:t>
            </w:r>
          </w:p>
        </w:tc>
        <w:tc>
          <w:tcPr>
            <w:tcW w:w="4316" w:type="dxa"/>
          </w:tcPr>
          <w:p w14:paraId="3298D383" w14:textId="623DEFD9" w:rsidR="00FA6DEC" w:rsidRDefault="00FA6DEC" w:rsidP="00EF3719">
            <w:pPr>
              <w:pStyle w:val="ListParagraph"/>
              <w:numPr>
                <w:ilvl w:val="0"/>
                <w:numId w:val="134"/>
              </w:numPr>
              <w:spacing w:line="240" w:lineRule="auto"/>
              <w:ind w:left="316" w:hanging="284"/>
              <w:rPr>
                <w:szCs w:val="22"/>
                <w:lang w:val="en-GB"/>
              </w:rPr>
            </w:pPr>
            <w:r>
              <w:rPr>
                <w:szCs w:val="22"/>
                <w:lang w:val="en-GB"/>
              </w:rPr>
              <w:lastRenderedPageBreak/>
              <w:t xml:space="preserve">Survey to </w:t>
            </w:r>
            <w:r w:rsidR="00487061">
              <w:rPr>
                <w:szCs w:val="22"/>
                <w:lang w:val="en-GB"/>
              </w:rPr>
              <w:t>FDC providers</w:t>
            </w:r>
          </w:p>
          <w:p w14:paraId="40E1FAC4" w14:textId="77777777" w:rsidR="00776786" w:rsidRDefault="00FA6DEC" w:rsidP="00EF3719">
            <w:pPr>
              <w:pStyle w:val="ListParagraph"/>
              <w:numPr>
                <w:ilvl w:val="0"/>
                <w:numId w:val="134"/>
              </w:numPr>
              <w:spacing w:line="240" w:lineRule="auto"/>
              <w:ind w:left="316" w:hanging="284"/>
              <w:rPr>
                <w:szCs w:val="22"/>
                <w:lang w:val="en-GB"/>
              </w:rPr>
            </w:pPr>
            <w:r>
              <w:rPr>
                <w:szCs w:val="22"/>
                <w:lang w:val="en-GB"/>
              </w:rPr>
              <w:t>Survey to FDC workforce</w:t>
            </w:r>
          </w:p>
          <w:p w14:paraId="49280BCF" w14:textId="77777777" w:rsidR="00FA6DEC" w:rsidRDefault="000D796A" w:rsidP="00EF3719">
            <w:pPr>
              <w:pStyle w:val="ListParagraph"/>
              <w:numPr>
                <w:ilvl w:val="0"/>
                <w:numId w:val="134"/>
              </w:numPr>
              <w:spacing w:line="240" w:lineRule="auto"/>
              <w:ind w:left="316" w:hanging="284"/>
              <w:rPr>
                <w:szCs w:val="22"/>
                <w:lang w:val="en-GB"/>
              </w:rPr>
            </w:pPr>
            <w:r>
              <w:rPr>
                <w:szCs w:val="22"/>
                <w:lang w:val="en-GB"/>
              </w:rPr>
              <w:t>Consultation with Regulatory Authorities</w:t>
            </w:r>
          </w:p>
          <w:p w14:paraId="4E10CBB7" w14:textId="11542A67" w:rsidR="00E844FF" w:rsidRPr="00C935DA" w:rsidRDefault="00E844FF" w:rsidP="00EF3719">
            <w:pPr>
              <w:pStyle w:val="ListParagraph"/>
              <w:numPr>
                <w:ilvl w:val="0"/>
                <w:numId w:val="134"/>
              </w:numPr>
              <w:spacing w:line="240" w:lineRule="auto"/>
              <w:ind w:left="316" w:hanging="284"/>
              <w:rPr>
                <w:szCs w:val="22"/>
                <w:lang w:val="en-GB"/>
              </w:rPr>
            </w:pPr>
            <w:r>
              <w:rPr>
                <w:szCs w:val="22"/>
                <w:lang w:val="en-GB"/>
              </w:rPr>
              <w:lastRenderedPageBreak/>
              <w:t xml:space="preserve">Compliance data on </w:t>
            </w:r>
            <w:r w:rsidR="00054815">
              <w:rPr>
                <w:szCs w:val="22"/>
                <w:lang w:val="en-GB"/>
              </w:rPr>
              <w:t>r</w:t>
            </w:r>
            <w:r>
              <w:rPr>
                <w:szCs w:val="22"/>
                <w:lang w:val="en-GB"/>
              </w:rPr>
              <w:t>egulation 116</w:t>
            </w:r>
          </w:p>
        </w:tc>
      </w:tr>
      <w:tr w:rsidR="00FA6DEC" w:rsidRPr="002D5851" w14:paraId="48F92B15" w14:textId="208B914B" w:rsidTr="001171FA">
        <w:tc>
          <w:tcPr>
            <w:tcW w:w="0" w:type="auto"/>
            <w:vAlign w:val="center"/>
          </w:tcPr>
          <w:p w14:paraId="4303AC61" w14:textId="7D274034" w:rsidR="00FA6DEC" w:rsidRPr="002D5851" w:rsidRDefault="00FA6DEC" w:rsidP="00EE33A5">
            <w:pPr>
              <w:spacing w:line="240" w:lineRule="auto"/>
              <w:rPr>
                <w:szCs w:val="22"/>
              </w:rPr>
            </w:pPr>
            <w:r w:rsidRPr="002F79C7">
              <w:rPr>
                <w:b/>
                <w:szCs w:val="20"/>
              </w:rPr>
              <w:lastRenderedPageBreak/>
              <w:t xml:space="preserve">Option </w:t>
            </w:r>
            <w:r>
              <w:rPr>
                <w:b/>
                <w:szCs w:val="20"/>
              </w:rPr>
              <w:t>4</w:t>
            </w:r>
            <w:r w:rsidRPr="002F79C7">
              <w:rPr>
                <w:b/>
                <w:szCs w:val="20"/>
              </w:rPr>
              <w:t xml:space="preserve"> (Regulatory)</w:t>
            </w:r>
          </w:p>
        </w:tc>
        <w:tc>
          <w:tcPr>
            <w:tcW w:w="4926" w:type="dxa"/>
          </w:tcPr>
          <w:p w14:paraId="22F276C3" w14:textId="0585EE75" w:rsidR="00800F3E" w:rsidRPr="00800F3E" w:rsidRDefault="00053463" w:rsidP="00315F21">
            <w:pPr>
              <w:pStyle w:val="ListParagraph"/>
              <w:numPr>
                <w:ilvl w:val="0"/>
                <w:numId w:val="134"/>
              </w:numPr>
              <w:spacing w:line="240" w:lineRule="auto"/>
              <w:ind w:left="357" w:hanging="357"/>
              <w:rPr>
                <w:szCs w:val="22"/>
              </w:rPr>
            </w:pPr>
            <w:r>
              <w:rPr>
                <w:szCs w:val="22"/>
              </w:rPr>
              <w:t>Evidence of i</w:t>
            </w:r>
            <w:r w:rsidR="00800F3E">
              <w:rPr>
                <w:szCs w:val="22"/>
              </w:rPr>
              <w:t>mproved understanding among all sector stakeholders (approved provider, Regulatory Authorities, parents / carers) on the boundaries of the FDC service premises</w:t>
            </w:r>
          </w:p>
          <w:p w14:paraId="142ACCA2" w14:textId="7E19B520" w:rsidR="00FA6DEC" w:rsidRPr="00841336" w:rsidRDefault="00053463" w:rsidP="0034641B">
            <w:pPr>
              <w:pStyle w:val="ListParagraph"/>
              <w:numPr>
                <w:ilvl w:val="0"/>
                <w:numId w:val="134"/>
              </w:numPr>
              <w:spacing w:line="240" w:lineRule="auto"/>
              <w:ind w:left="357" w:hanging="357"/>
              <w:rPr>
                <w:szCs w:val="22"/>
              </w:rPr>
            </w:pPr>
            <w:r>
              <w:rPr>
                <w:szCs w:val="22"/>
              </w:rPr>
              <w:t>Evidence of r</w:t>
            </w:r>
            <w:r w:rsidR="00C1472C">
              <w:rPr>
                <w:szCs w:val="22"/>
              </w:rPr>
              <w:t>educed</w:t>
            </w:r>
            <w:r w:rsidR="00800F3E">
              <w:rPr>
                <w:szCs w:val="22"/>
              </w:rPr>
              <w:t xml:space="preserve"> </w:t>
            </w:r>
            <w:r w:rsidR="0034641B">
              <w:rPr>
                <w:szCs w:val="22"/>
              </w:rPr>
              <w:t>risk and incidences</w:t>
            </w:r>
            <w:r w:rsidR="00800F3E">
              <w:rPr>
                <w:szCs w:val="22"/>
              </w:rPr>
              <w:t xml:space="preserve"> of child harm occurring </w:t>
            </w:r>
            <w:r w:rsidR="0034641B">
              <w:rPr>
                <w:szCs w:val="22"/>
              </w:rPr>
              <w:t xml:space="preserve">at unapproved areas of the FDC residences or areas near the FDC residence. </w:t>
            </w:r>
            <w:r w:rsidR="00C1472C">
              <w:rPr>
                <w:szCs w:val="22"/>
              </w:rPr>
              <w:t xml:space="preserve"> </w:t>
            </w:r>
          </w:p>
        </w:tc>
        <w:tc>
          <w:tcPr>
            <w:tcW w:w="2835" w:type="dxa"/>
          </w:tcPr>
          <w:p w14:paraId="649A6F34" w14:textId="77777777" w:rsidR="00FA6DEC" w:rsidRDefault="00D542B4" w:rsidP="00D542B4">
            <w:pPr>
              <w:pStyle w:val="ListParagraph"/>
              <w:numPr>
                <w:ilvl w:val="0"/>
                <w:numId w:val="134"/>
              </w:numPr>
              <w:spacing w:line="240" w:lineRule="auto"/>
              <w:ind w:left="316" w:hanging="316"/>
              <w:rPr>
                <w:szCs w:val="22"/>
                <w:lang w:val="en-GB"/>
              </w:rPr>
            </w:pPr>
            <w:r>
              <w:rPr>
                <w:szCs w:val="22"/>
                <w:lang w:val="en-GB"/>
              </w:rPr>
              <w:t>Number of reported harmful incidents that have occurred at FDCs</w:t>
            </w:r>
          </w:p>
          <w:p w14:paraId="77F4D006" w14:textId="42C0A90D" w:rsidR="00D542B4" w:rsidRPr="002D5851" w:rsidRDefault="00D542B4" w:rsidP="00D542B4">
            <w:pPr>
              <w:pStyle w:val="ListParagraph"/>
              <w:numPr>
                <w:ilvl w:val="0"/>
                <w:numId w:val="134"/>
              </w:numPr>
              <w:spacing w:line="240" w:lineRule="auto"/>
              <w:ind w:left="316" w:hanging="316"/>
              <w:rPr>
                <w:szCs w:val="22"/>
                <w:lang w:val="en-GB"/>
              </w:rPr>
            </w:pPr>
            <w:r>
              <w:rPr>
                <w:szCs w:val="22"/>
                <w:lang w:val="en-GB"/>
              </w:rPr>
              <w:t xml:space="preserve">Number of </w:t>
            </w:r>
            <w:r w:rsidR="008C013D">
              <w:rPr>
                <w:szCs w:val="22"/>
                <w:lang w:val="en-GB"/>
              </w:rPr>
              <w:t>incidents where</w:t>
            </w:r>
            <w:r>
              <w:rPr>
                <w:szCs w:val="22"/>
                <w:lang w:val="en-GB"/>
              </w:rPr>
              <w:t xml:space="preserve"> a child has left the FDC premises</w:t>
            </w:r>
          </w:p>
        </w:tc>
        <w:tc>
          <w:tcPr>
            <w:tcW w:w="4316" w:type="dxa"/>
          </w:tcPr>
          <w:p w14:paraId="341BCC3F" w14:textId="77777777" w:rsidR="00FA6DEC" w:rsidRDefault="00FA6DEC" w:rsidP="00EF3719">
            <w:pPr>
              <w:pStyle w:val="ListParagraph"/>
              <w:numPr>
                <w:ilvl w:val="0"/>
                <w:numId w:val="134"/>
              </w:numPr>
              <w:spacing w:line="240" w:lineRule="auto"/>
              <w:ind w:left="316" w:hanging="284"/>
              <w:rPr>
                <w:szCs w:val="22"/>
                <w:lang w:val="en-GB"/>
              </w:rPr>
            </w:pPr>
            <w:r>
              <w:rPr>
                <w:szCs w:val="22"/>
                <w:lang w:val="en-GB"/>
              </w:rPr>
              <w:t xml:space="preserve">Survey to approved providers </w:t>
            </w:r>
          </w:p>
          <w:p w14:paraId="5AFB06BF" w14:textId="77777777" w:rsidR="00FA6DEC" w:rsidRDefault="00FA6DEC" w:rsidP="00EF3719">
            <w:pPr>
              <w:pStyle w:val="ListParagraph"/>
              <w:numPr>
                <w:ilvl w:val="0"/>
                <w:numId w:val="134"/>
              </w:numPr>
              <w:spacing w:line="240" w:lineRule="auto"/>
              <w:ind w:left="316" w:hanging="284"/>
              <w:rPr>
                <w:szCs w:val="22"/>
                <w:lang w:val="en-GB"/>
              </w:rPr>
            </w:pPr>
            <w:r w:rsidRPr="000A13DC">
              <w:rPr>
                <w:szCs w:val="22"/>
                <w:lang w:val="en-GB"/>
              </w:rPr>
              <w:t>Survey to FDC workforce</w:t>
            </w:r>
          </w:p>
          <w:p w14:paraId="51163459" w14:textId="77777777" w:rsidR="00776786" w:rsidRDefault="00FA6DEC" w:rsidP="00EF3719">
            <w:pPr>
              <w:pStyle w:val="ListParagraph"/>
              <w:numPr>
                <w:ilvl w:val="0"/>
                <w:numId w:val="134"/>
              </w:numPr>
              <w:spacing w:line="240" w:lineRule="auto"/>
              <w:ind w:left="316" w:hanging="284"/>
              <w:rPr>
                <w:szCs w:val="22"/>
                <w:lang w:val="en-GB"/>
              </w:rPr>
            </w:pPr>
            <w:r>
              <w:rPr>
                <w:szCs w:val="22"/>
                <w:lang w:val="en-GB"/>
              </w:rPr>
              <w:t>Survey to parents / carers</w:t>
            </w:r>
          </w:p>
          <w:p w14:paraId="52F932EB" w14:textId="1CCD6664" w:rsidR="00FA6DEC" w:rsidRPr="000A13DC" w:rsidRDefault="000D796A" w:rsidP="00EF3719">
            <w:pPr>
              <w:pStyle w:val="ListParagraph"/>
              <w:numPr>
                <w:ilvl w:val="0"/>
                <w:numId w:val="134"/>
              </w:numPr>
              <w:spacing w:line="240" w:lineRule="auto"/>
              <w:ind w:left="316" w:hanging="284"/>
              <w:rPr>
                <w:szCs w:val="22"/>
                <w:lang w:val="en-GB"/>
              </w:rPr>
            </w:pPr>
            <w:r>
              <w:rPr>
                <w:szCs w:val="22"/>
                <w:lang w:val="en-GB"/>
              </w:rPr>
              <w:t>Consultation with Regulatory Authorities</w:t>
            </w:r>
          </w:p>
        </w:tc>
      </w:tr>
    </w:tbl>
    <w:p w14:paraId="19F6A25E" w14:textId="77777777" w:rsidR="003B7526" w:rsidRDefault="003B7526" w:rsidP="003B7526">
      <w:pPr>
        <w:pStyle w:val="Heading4"/>
        <w:spacing w:line="240" w:lineRule="auto"/>
        <w:rPr>
          <w:lang w:val="en-GB"/>
        </w:rPr>
      </w:pPr>
      <w:r>
        <w:rPr>
          <w:lang w:val="en-GB"/>
        </w:rPr>
        <w:t xml:space="preserve">Improving safety of the physical service environment - </w:t>
      </w:r>
      <w:r w:rsidRPr="00616742">
        <w:rPr>
          <w:lang w:val="en-GB"/>
        </w:rPr>
        <w:t>Enabling authorised officers to access areas of a FDC residence or property, beyond the service premises, in specific instances or for specific purposes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30"/>
        <w:gridCol w:w="4969"/>
        <w:gridCol w:w="2835"/>
        <w:gridCol w:w="4316"/>
      </w:tblGrid>
      <w:tr w:rsidR="00FA6DEC" w:rsidRPr="002D5851" w14:paraId="3019B5DB" w14:textId="778AE86F" w:rsidTr="001171FA">
        <w:trPr>
          <w:tblHeader/>
        </w:trPr>
        <w:tc>
          <w:tcPr>
            <w:tcW w:w="0" w:type="auto"/>
            <w:shd w:val="clear" w:color="auto" w:fill="14233C" w:themeFill="text2"/>
            <w:vAlign w:val="center"/>
          </w:tcPr>
          <w:p w14:paraId="25BFAC8B" w14:textId="77777777" w:rsidR="00FA6DEC" w:rsidRPr="002D5851" w:rsidRDefault="00FA6DEC" w:rsidP="00AD3ED2">
            <w:pPr>
              <w:spacing w:line="240" w:lineRule="auto"/>
              <w:rPr>
                <w:b/>
                <w:color w:val="FFFFFF" w:themeColor="background1"/>
                <w:szCs w:val="22"/>
              </w:rPr>
            </w:pPr>
            <w:r w:rsidRPr="002D5851">
              <w:rPr>
                <w:b/>
                <w:color w:val="FFFFFF" w:themeColor="background1"/>
                <w:szCs w:val="22"/>
              </w:rPr>
              <w:t>Option</w:t>
            </w:r>
          </w:p>
        </w:tc>
        <w:tc>
          <w:tcPr>
            <w:tcW w:w="4969" w:type="dxa"/>
            <w:shd w:val="clear" w:color="auto" w:fill="14233C" w:themeFill="text2"/>
            <w:vAlign w:val="center"/>
          </w:tcPr>
          <w:p w14:paraId="6C345E7C" w14:textId="44CC4660" w:rsidR="00FA6DEC" w:rsidRPr="002D5851" w:rsidRDefault="00FA6DEC" w:rsidP="00FA6DEC">
            <w:pPr>
              <w:spacing w:line="240" w:lineRule="auto"/>
              <w:rPr>
                <w:b/>
                <w:color w:val="FFFFFF" w:themeColor="background1"/>
                <w:szCs w:val="22"/>
              </w:rPr>
            </w:pPr>
            <w:r>
              <w:rPr>
                <w:b/>
                <w:szCs w:val="22"/>
                <w:lang w:val="en-GB"/>
              </w:rPr>
              <w:t>Measures</w:t>
            </w:r>
          </w:p>
        </w:tc>
        <w:tc>
          <w:tcPr>
            <w:tcW w:w="2835" w:type="dxa"/>
            <w:shd w:val="clear" w:color="auto" w:fill="14233C" w:themeFill="text2"/>
          </w:tcPr>
          <w:p w14:paraId="5CA2EA14" w14:textId="03744C73" w:rsidR="00FA6DEC" w:rsidRDefault="00FA6DEC" w:rsidP="007B356C">
            <w:pPr>
              <w:spacing w:line="240" w:lineRule="auto"/>
              <w:rPr>
                <w:b/>
                <w:szCs w:val="22"/>
                <w:lang w:val="en-GB"/>
              </w:rPr>
            </w:pPr>
            <w:r>
              <w:rPr>
                <w:b/>
                <w:szCs w:val="22"/>
                <w:lang w:val="en-GB"/>
              </w:rPr>
              <w:t>Existing data sources</w:t>
            </w:r>
          </w:p>
        </w:tc>
        <w:tc>
          <w:tcPr>
            <w:tcW w:w="4316" w:type="dxa"/>
            <w:shd w:val="clear" w:color="auto" w:fill="14233C" w:themeFill="text2"/>
          </w:tcPr>
          <w:p w14:paraId="35E926F2" w14:textId="6BB4A9F6" w:rsidR="00FA6DEC" w:rsidRDefault="00591835" w:rsidP="007B356C">
            <w:pPr>
              <w:spacing w:line="240" w:lineRule="auto"/>
              <w:rPr>
                <w:b/>
                <w:szCs w:val="22"/>
                <w:lang w:val="en-GB"/>
              </w:rPr>
            </w:pPr>
            <w:r>
              <w:rPr>
                <w:b/>
                <w:szCs w:val="22"/>
                <w:lang w:val="en-GB"/>
              </w:rPr>
              <w:t>New data sources (to be collected)</w:t>
            </w:r>
          </w:p>
        </w:tc>
      </w:tr>
      <w:tr w:rsidR="00FA6DEC" w:rsidRPr="002D5851" w14:paraId="5576C86A" w14:textId="3F0F0837" w:rsidTr="001171FA">
        <w:tc>
          <w:tcPr>
            <w:tcW w:w="0" w:type="auto"/>
            <w:vAlign w:val="center"/>
          </w:tcPr>
          <w:p w14:paraId="194C836F" w14:textId="0CE94173" w:rsidR="00FA6DEC" w:rsidRPr="002D5851" w:rsidRDefault="00FA6DEC">
            <w:pPr>
              <w:spacing w:line="240" w:lineRule="auto"/>
              <w:rPr>
                <w:szCs w:val="22"/>
              </w:rPr>
            </w:pPr>
            <w:r w:rsidRPr="002F79C7">
              <w:rPr>
                <w:b/>
                <w:szCs w:val="20"/>
              </w:rPr>
              <w:t xml:space="preserve">Option </w:t>
            </w:r>
            <w:r>
              <w:rPr>
                <w:b/>
                <w:szCs w:val="20"/>
              </w:rPr>
              <w:t>3</w:t>
            </w:r>
            <w:r w:rsidRPr="002F79C7">
              <w:rPr>
                <w:b/>
                <w:szCs w:val="20"/>
              </w:rPr>
              <w:t xml:space="preserve"> (Regulatory)</w:t>
            </w:r>
          </w:p>
        </w:tc>
        <w:tc>
          <w:tcPr>
            <w:tcW w:w="4969" w:type="dxa"/>
          </w:tcPr>
          <w:p w14:paraId="0CE71EA2" w14:textId="6B808EA6" w:rsidR="00776786" w:rsidRPr="00F979FE" w:rsidRDefault="00FA6DEC" w:rsidP="00AE589A">
            <w:pPr>
              <w:pStyle w:val="ListParagraph"/>
              <w:spacing w:line="240" w:lineRule="auto"/>
              <w:ind w:left="357" w:hanging="357"/>
              <w:rPr>
                <w:b/>
                <w:szCs w:val="22"/>
              </w:rPr>
            </w:pPr>
            <w:r>
              <w:rPr>
                <w:lang w:val="en-GB"/>
              </w:rPr>
              <w:t>Reduced circumstances in which an authorised officer cannot fulfil their role in checking compliance in the wider FDC residence and investigating alleged incidents</w:t>
            </w:r>
          </w:p>
          <w:p w14:paraId="0189F7A9" w14:textId="3B46766D" w:rsidR="00F979FE" w:rsidRPr="007B5A0E" w:rsidRDefault="00053463" w:rsidP="00AE589A">
            <w:pPr>
              <w:pStyle w:val="ListParagraph"/>
              <w:spacing w:line="240" w:lineRule="auto"/>
              <w:ind w:left="357" w:hanging="357"/>
              <w:rPr>
                <w:bCs/>
                <w:szCs w:val="22"/>
              </w:rPr>
            </w:pPr>
            <w:r>
              <w:rPr>
                <w:bCs/>
                <w:lang w:val="en-GB"/>
              </w:rPr>
              <w:t>Evidence of more</w:t>
            </w:r>
            <w:r w:rsidRPr="007B5A0E">
              <w:rPr>
                <w:bCs/>
                <w:lang w:val="en-GB"/>
              </w:rPr>
              <w:t xml:space="preserve"> </w:t>
            </w:r>
            <w:r w:rsidR="0012687C" w:rsidRPr="007B5A0E">
              <w:rPr>
                <w:bCs/>
                <w:lang w:val="en-GB"/>
              </w:rPr>
              <w:t xml:space="preserve">rapid regulatory responses if hazards are identified in areas beyond the </w:t>
            </w:r>
            <w:r w:rsidR="0012687C" w:rsidRPr="007B5A0E">
              <w:rPr>
                <w:bCs/>
                <w:lang w:val="en-GB"/>
              </w:rPr>
              <w:lastRenderedPageBreak/>
              <w:t>service premises, or if incidents ha</w:t>
            </w:r>
            <w:r w:rsidR="00F832AA">
              <w:rPr>
                <w:bCs/>
                <w:lang w:val="en-GB"/>
              </w:rPr>
              <w:t>v</w:t>
            </w:r>
            <w:r w:rsidR="0012687C" w:rsidRPr="007B5A0E">
              <w:rPr>
                <w:bCs/>
                <w:lang w:val="en-GB"/>
              </w:rPr>
              <w:t>e occurred.</w:t>
            </w:r>
          </w:p>
          <w:p w14:paraId="166C57F3" w14:textId="75D1206E" w:rsidR="00FA6DEC" w:rsidRPr="002D5851" w:rsidRDefault="007B5A0E" w:rsidP="007B5A0E">
            <w:pPr>
              <w:pStyle w:val="ListParagraph"/>
              <w:spacing w:line="240" w:lineRule="auto"/>
              <w:ind w:left="357" w:hanging="357"/>
              <w:rPr>
                <w:b/>
                <w:szCs w:val="22"/>
              </w:rPr>
            </w:pPr>
            <w:r w:rsidRPr="007B5A0E">
              <w:rPr>
                <w:bCs/>
              </w:rPr>
              <w:t>Regulatory Authorities are able to undertake more timely investigation and inspection of relevant areas of FDC areas</w:t>
            </w:r>
          </w:p>
        </w:tc>
        <w:tc>
          <w:tcPr>
            <w:tcW w:w="2835" w:type="dxa"/>
          </w:tcPr>
          <w:p w14:paraId="2F8286A9" w14:textId="77777777" w:rsidR="00FA6DEC" w:rsidRDefault="00FA6DEC" w:rsidP="006D06DB">
            <w:pPr>
              <w:pStyle w:val="ListParagraph"/>
              <w:numPr>
                <w:ilvl w:val="0"/>
                <w:numId w:val="136"/>
              </w:numPr>
              <w:spacing w:line="240" w:lineRule="auto"/>
              <w:ind w:left="457" w:hanging="425"/>
              <w:rPr>
                <w:szCs w:val="22"/>
                <w:lang w:val="en-GB"/>
              </w:rPr>
            </w:pPr>
            <w:r>
              <w:rPr>
                <w:szCs w:val="22"/>
                <w:lang w:val="en-GB"/>
              </w:rPr>
              <w:lastRenderedPageBreak/>
              <w:t>Number of times an authorised officers has visited an FDC</w:t>
            </w:r>
          </w:p>
          <w:p w14:paraId="30BF7E95" w14:textId="77777777" w:rsidR="00FA6DEC" w:rsidRDefault="00FA6DEC" w:rsidP="006D06DB">
            <w:pPr>
              <w:pStyle w:val="ListParagraph"/>
              <w:numPr>
                <w:ilvl w:val="0"/>
                <w:numId w:val="136"/>
              </w:numPr>
              <w:spacing w:line="240" w:lineRule="auto"/>
              <w:ind w:left="457" w:hanging="425"/>
              <w:rPr>
                <w:szCs w:val="22"/>
                <w:lang w:val="en-GB"/>
              </w:rPr>
            </w:pPr>
            <w:r>
              <w:rPr>
                <w:szCs w:val="22"/>
                <w:lang w:val="en-GB"/>
              </w:rPr>
              <w:t>Purpose of visits to FDCs</w:t>
            </w:r>
          </w:p>
          <w:p w14:paraId="7982A248" w14:textId="539CC4F0" w:rsidR="006D06DB" w:rsidRPr="006D06DB" w:rsidRDefault="006D06DB" w:rsidP="006D06DB">
            <w:pPr>
              <w:pStyle w:val="ListParagraph"/>
              <w:numPr>
                <w:ilvl w:val="0"/>
                <w:numId w:val="136"/>
              </w:numPr>
              <w:spacing w:line="240" w:lineRule="auto"/>
              <w:ind w:left="457" w:hanging="425"/>
              <w:rPr>
                <w:szCs w:val="22"/>
                <w:lang w:val="en-GB"/>
              </w:rPr>
            </w:pPr>
            <w:r w:rsidRPr="006D06DB">
              <w:rPr>
                <w:szCs w:val="22"/>
                <w:lang w:val="en-GB"/>
              </w:rPr>
              <w:t xml:space="preserve">FDC compliance data (including breach </w:t>
            </w:r>
            <w:r w:rsidRPr="006D06DB">
              <w:rPr>
                <w:szCs w:val="22"/>
                <w:lang w:val="en-GB"/>
              </w:rPr>
              <w:lastRenderedPageBreak/>
              <w:t>data) on r</w:t>
            </w:r>
            <w:r w:rsidR="00054815">
              <w:rPr>
                <w:szCs w:val="22"/>
                <w:lang w:val="en-GB"/>
              </w:rPr>
              <w:t xml:space="preserve">egulation </w:t>
            </w:r>
            <w:r w:rsidRPr="006D06DB">
              <w:rPr>
                <w:szCs w:val="22"/>
                <w:lang w:val="en-GB"/>
              </w:rPr>
              <w:t>116 and r</w:t>
            </w:r>
            <w:r w:rsidR="00054815">
              <w:rPr>
                <w:szCs w:val="22"/>
                <w:lang w:val="en-GB"/>
              </w:rPr>
              <w:t xml:space="preserve">egulation </w:t>
            </w:r>
            <w:r w:rsidRPr="006D06DB">
              <w:rPr>
                <w:szCs w:val="22"/>
                <w:lang w:val="en-GB"/>
              </w:rPr>
              <w:t>97</w:t>
            </w:r>
          </w:p>
          <w:p w14:paraId="686A73A4" w14:textId="5918FC41" w:rsidR="006D06DB" w:rsidRDefault="006D06DB" w:rsidP="006D06DB">
            <w:pPr>
              <w:pStyle w:val="ListParagraph"/>
              <w:numPr>
                <w:ilvl w:val="0"/>
                <w:numId w:val="136"/>
              </w:numPr>
              <w:spacing w:line="240" w:lineRule="auto"/>
              <w:ind w:left="457" w:hanging="425"/>
              <w:rPr>
                <w:szCs w:val="22"/>
                <w:lang w:val="en-GB"/>
              </w:rPr>
            </w:pPr>
            <w:r w:rsidRPr="006D06DB">
              <w:rPr>
                <w:szCs w:val="22"/>
                <w:lang w:val="en-GB"/>
              </w:rPr>
              <w:t>FDC compliance data (including breach data) on s</w:t>
            </w:r>
            <w:r w:rsidR="00054815">
              <w:rPr>
                <w:szCs w:val="22"/>
                <w:lang w:val="en-GB"/>
              </w:rPr>
              <w:t xml:space="preserve">ection </w:t>
            </w:r>
            <w:r w:rsidRPr="006D06DB">
              <w:rPr>
                <w:szCs w:val="22"/>
                <w:lang w:val="en-GB"/>
              </w:rPr>
              <w:t xml:space="preserve">165 and </w:t>
            </w:r>
            <w:r w:rsidR="00054815">
              <w:rPr>
                <w:szCs w:val="22"/>
                <w:lang w:val="en-GB"/>
              </w:rPr>
              <w:t xml:space="preserve">section </w:t>
            </w:r>
            <w:r w:rsidRPr="006D06DB">
              <w:rPr>
                <w:szCs w:val="22"/>
                <w:lang w:val="en-GB"/>
              </w:rPr>
              <w:t>167</w:t>
            </w:r>
          </w:p>
          <w:p w14:paraId="05757BE8" w14:textId="27B72B50" w:rsidR="009724B3" w:rsidRPr="007F352E" w:rsidRDefault="009724B3" w:rsidP="006D06DB">
            <w:pPr>
              <w:pStyle w:val="ListParagraph"/>
              <w:numPr>
                <w:ilvl w:val="0"/>
                <w:numId w:val="136"/>
              </w:numPr>
              <w:spacing w:line="240" w:lineRule="auto"/>
              <w:ind w:left="457" w:hanging="425"/>
              <w:rPr>
                <w:szCs w:val="22"/>
                <w:lang w:val="en-GB"/>
              </w:rPr>
            </w:pPr>
            <w:r w:rsidRPr="009724B3">
              <w:rPr>
                <w:szCs w:val="22"/>
                <w:lang w:val="en-GB"/>
              </w:rPr>
              <w:t>Notifications - Serious Incident data from FDC</w:t>
            </w:r>
          </w:p>
        </w:tc>
        <w:tc>
          <w:tcPr>
            <w:tcW w:w="4316" w:type="dxa"/>
          </w:tcPr>
          <w:p w14:paraId="0F150A96" w14:textId="77777777" w:rsidR="00FA6DEC" w:rsidRDefault="00FA6DEC" w:rsidP="008060F0">
            <w:pPr>
              <w:pStyle w:val="ListParagraph"/>
              <w:numPr>
                <w:ilvl w:val="0"/>
                <w:numId w:val="136"/>
              </w:numPr>
              <w:spacing w:line="240" w:lineRule="auto"/>
              <w:rPr>
                <w:szCs w:val="22"/>
                <w:lang w:val="en-GB"/>
              </w:rPr>
            </w:pPr>
            <w:r>
              <w:rPr>
                <w:szCs w:val="22"/>
                <w:lang w:val="en-GB"/>
              </w:rPr>
              <w:lastRenderedPageBreak/>
              <w:t xml:space="preserve">Survey to approved providers </w:t>
            </w:r>
          </w:p>
          <w:p w14:paraId="59DDC60E" w14:textId="69274C0D" w:rsidR="00FA6DEC" w:rsidRPr="008060F0" w:rsidRDefault="00FA6DEC" w:rsidP="008060F0">
            <w:pPr>
              <w:pStyle w:val="ListParagraph"/>
              <w:numPr>
                <w:ilvl w:val="0"/>
                <w:numId w:val="136"/>
              </w:numPr>
              <w:spacing w:line="240" w:lineRule="auto"/>
              <w:rPr>
                <w:szCs w:val="22"/>
                <w:lang w:val="en-GB"/>
              </w:rPr>
            </w:pPr>
            <w:r>
              <w:rPr>
                <w:szCs w:val="22"/>
                <w:lang w:val="en-GB"/>
              </w:rPr>
              <w:t>Consultation with Regulatory Authorities</w:t>
            </w:r>
          </w:p>
        </w:tc>
      </w:tr>
    </w:tbl>
    <w:p w14:paraId="48F35AC1" w14:textId="77777777" w:rsidR="003B7526" w:rsidRDefault="003B7526" w:rsidP="003B7526">
      <w:pPr>
        <w:pStyle w:val="Heading4"/>
        <w:spacing w:line="240" w:lineRule="auto"/>
        <w:rPr>
          <w:lang w:val="en-GB"/>
        </w:rPr>
      </w:pPr>
      <w:r>
        <w:rPr>
          <w:lang w:val="en-GB"/>
        </w:rPr>
        <w:t xml:space="preserve">Additional recommendations - </w:t>
      </w:r>
      <w:r w:rsidRPr="0052487F">
        <w:rPr>
          <w:lang w:val="en-GB"/>
        </w:rPr>
        <w:t>Effective identification, monitoring and regulation of ‘related providers’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38"/>
        <w:gridCol w:w="4961"/>
        <w:gridCol w:w="2835"/>
        <w:gridCol w:w="4316"/>
      </w:tblGrid>
      <w:tr w:rsidR="00FA6DEC" w:rsidRPr="00616742" w14:paraId="5B9D5B20" w14:textId="592F0FC4" w:rsidTr="007B5A0E">
        <w:trPr>
          <w:tblHeader/>
        </w:trPr>
        <w:tc>
          <w:tcPr>
            <w:tcW w:w="1838" w:type="dxa"/>
            <w:shd w:val="clear" w:color="auto" w:fill="14233C" w:themeFill="text2"/>
            <w:vAlign w:val="center"/>
          </w:tcPr>
          <w:p w14:paraId="3AED8C8F" w14:textId="77777777" w:rsidR="00FA6DEC" w:rsidRPr="00616742" w:rsidRDefault="00FA6DEC" w:rsidP="00AD3ED2">
            <w:pPr>
              <w:spacing w:line="240" w:lineRule="auto"/>
              <w:rPr>
                <w:b/>
                <w:color w:val="FFFFFF" w:themeColor="background1"/>
                <w:szCs w:val="22"/>
              </w:rPr>
            </w:pPr>
            <w:r w:rsidRPr="00616742">
              <w:rPr>
                <w:b/>
                <w:color w:val="FFFFFF" w:themeColor="background1"/>
                <w:szCs w:val="22"/>
              </w:rPr>
              <w:t>Option</w:t>
            </w:r>
          </w:p>
        </w:tc>
        <w:tc>
          <w:tcPr>
            <w:tcW w:w="4961" w:type="dxa"/>
            <w:shd w:val="clear" w:color="auto" w:fill="14233C" w:themeFill="text2"/>
            <w:vAlign w:val="center"/>
          </w:tcPr>
          <w:p w14:paraId="24869F63" w14:textId="6C658719" w:rsidR="00FA6DEC" w:rsidRPr="00616742" w:rsidRDefault="00FA6DEC" w:rsidP="00FA6DEC">
            <w:pPr>
              <w:spacing w:line="240" w:lineRule="auto"/>
              <w:rPr>
                <w:b/>
                <w:color w:val="FFFFFF" w:themeColor="background1"/>
                <w:szCs w:val="22"/>
              </w:rPr>
            </w:pPr>
            <w:r>
              <w:rPr>
                <w:b/>
                <w:szCs w:val="22"/>
                <w:lang w:val="en-GB"/>
              </w:rPr>
              <w:t>Measures</w:t>
            </w:r>
          </w:p>
        </w:tc>
        <w:tc>
          <w:tcPr>
            <w:tcW w:w="2835" w:type="dxa"/>
            <w:shd w:val="clear" w:color="auto" w:fill="14233C" w:themeFill="text2"/>
          </w:tcPr>
          <w:p w14:paraId="116A408B" w14:textId="2DD141C8" w:rsidR="00FA6DEC" w:rsidRDefault="00FA6DEC" w:rsidP="007B356C">
            <w:pPr>
              <w:spacing w:line="240" w:lineRule="auto"/>
              <w:rPr>
                <w:b/>
                <w:szCs w:val="22"/>
                <w:lang w:val="en-GB"/>
              </w:rPr>
            </w:pPr>
            <w:r>
              <w:rPr>
                <w:b/>
                <w:szCs w:val="22"/>
                <w:lang w:val="en-GB"/>
              </w:rPr>
              <w:t>Existing data sources</w:t>
            </w:r>
          </w:p>
        </w:tc>
        <w:tc>
          <w:tcPr>
            <w:tcW w:w="4316" w:type="dxa"/>
            <w:shd w:val="clear" w:color="auto" w:fill="14233C" w:themeFill="text2"/>
          </w:tcPr>
          <w:p w14:paraId="34F73A5D" w14:textId="0DFCB65B" w:rsidR="00FA6DEC" w:rsidRDefault="00591835" w:rsidP="007B356C">
            <w:pPr>
              <w:spacing w:line="240" w:lineRule="auto"/>
              <w:rPr>
                <w:b/>
                <w:szCs w:val="22"/>
                <w:lang w:val="en-GB"/>
              </w:rPr>
            </w:pPr>
            <w:r>
              <w:rPr>
                <w:b/>
                <w:szCs w:val="22"/>
                <w:lang w:val="en-GB"/>
              </w:rPr>
              <w:t>New data sources (to be collected)</w:t>
            </w:r>
          </w:p>
        </w:tc>
      </w:tr>
      <w:tr w:rsidR="003A2AAE" w:rsidRPr="00616742" w14:paraId="0A334D09" w14:textId="23A7E162" w:rsidTr="007B5A0E">
        <w:tc>
          <w:tcPr>
            <w:tcW w:w="1838" w:type="dxa"/>
            <w:vAlign w:val="center"/>
          </w:tcPr>
          <w:p w14:paraId="4637EF48" w14:textId="32EC86AB" w:rsidR="003A2AAE" w:rsidRPr="00616742" w:rsidRDefault="003A2AAE" w:rsidP="003A2AAE">
            <w:pPr>
              <w:spacing w:line="240" w:lineRule="auto"/>
              <w:rPr>
                <w:szCs w:val="22"/>
              </w:rPr>
            </w:pPr>
            <w:r w:rsidRPr="002F79C7">
              <w:rPr>
                <w:b/>
                <w:szCs w:val="20"/>
              </w:rPr>
              <w:t xml:space="preserve">Option </w:t>
            </w:r>
            <w:r>
              <w:rPr>
                <w:b/>
                <w:szCs w:val="20"/>
              </w:rPr>
              <w:t>2</w:t>
            </w:r>
            <w:r w:rsidRPr="002F79C7">
              <w:rPr>
                <w:b/>
                <w:szCs w:val="20"/>
              </w:rPr>
              <w:t xml:space="preserve"> (</w:t>
            </w:r>
            <w:r>
              <w:rPr>
                <w:b/>
                <w:szCs w:val="20"/>
              </w:rPr>
              <w:t>Non-r</w:t>
            </w:r>
            <w:r w:rsidRPr="002F79C7">
              <w:rPr>
                <w:b/>
                <w:szCs w:val="20"/>
              </w:rPr>
              <w:t>egulatory)</w:t>
            </w:r>
          </w:p>
        </w:tc>
        <w:tc>
          <w:tcPr>
            <w:tcW w:w="4961" w:type="dxa"/>
          </w:tcPr>
          <w:p w14:paraId="7FD94AAF" w14:textId="54645F01" w:rsidR="003A2AAE" w:rsidRPr="00F16B8E" w:rsidRDefault="003A2AAE" w:rsidP="003A2AAE">
            <w:pPr>
              <w:pStyle w:val="ListParagraph"/>
              <w:numPr>
                <w:ilvl w:val="0"/>
                <w:numId w:val="114"/>
              </w:numPr>
              <w:spacing w:line="240" w:lineRule="auto"/>
              <w:ind w:left="357" w:hanging="357"/>
              <w:rPr>
                <w:szCs w:val="22"/>
              </w:rPr>
            </w:pPr>
            <w:r>
              <w:rPr>
                <w:szCs w:val="22"/>
                <w:lang w:val="en-GB"/>
              </w:rPr>
              <w:t>Improved uptake of developed guidance on related providers</w:t>
            </w:r>
          </w:p>
          <w:p w14:paraId="65689A72" w14:textId="299D7B09" w:rsidR="003A2AAE" w:rsidRDefault="003A2AAE" w:rsidP="003A2AAE">
            <w:pPr>
              <w:pStyle w:val="ListParagraph"/>
              <w:numPr>
                <w:ilvl w:val="0"/>
                <w:numId w:val="114"/>
              </w:numPr>
              <w:spacing w:line="240" w:lineRule="auto"/>
              <w:ind w:left="357" w:hanging="357"/>
              <w:rPr>
                <w:szCs w:val="22"/>
              </w:rPr>
            </w:pPr>
            <w:r>
              <w:rPr>
                <w:szCs w:val="22"/>
              </w:rPr>
              <w:t>The improved transparency on related providers enable parents/carers to make more informed decisions on the appropriateness of a service provider</w:t>
            </w:r>
          </w:p>
          <w:p w14:paraId="2DE01FDE" w14:textId="01806E42" w:rsidR="003A2AAE" w:rsidRPr="00C36948" w:rsidRDefault="003A2AAE" w:rsidP="003A2AAE">
            <w:pPr>
              <w:pStyle w:val="ListParagraph"/>
              <w:numPr>
                <w:ilvl w:val="0"/>
                <w:numId w:val="114"/>
              </w:numPr>
              <w:spacing w:line="240" w:lineRule="auto"/>
              <w:ind w:left="357" w:hanging="357"/>
              <w:rPr>
                <w:szCs w:val="22"/>
              </w:rPr>
            </w:pPr>
            <w:r>
              <w:rPr>
                <w:bCs/>
                <w:szCs w:val="22"/>
              </w:rPr>
              <w:t>Number of downloads of guidance materials</w:t>
            </w:r>
          </w:p>
        </w:tc>
        <w:tc>
          <w:tcPr>
            <w:tcW w:w="2835" w:type="dxa"/>
          </w:tcPr>
          <w:p w14:paraId="333F3A10" w14:textId="4E8B6D2B" w:rsidR="003A2AAE" w:rsidRPr="00757BE3" w:rsidRDefault="003A2AAE" w:rsidP="003A2AAE">
            <w:pPr>
              <w:spacing w:line="240" w:lineRule="auto"/>
              <w:ind w:left="360"/>
              <w:rPr>
                <w:szCs w:val="22"/>
                <w:lang w:val="en-GB"/>
              </w:rPr>
            </w:pPr>
            <w:r>
              <w:rPr>
                <w:lang w:val="en-GB"/>
              </w:rPr>
              <w:t>None identified</w:t>
            </w:r>
          </w:p>
        </w:tc>
        <w:tc>
          <w:tcPr>
            <w:tcW w:w="4316" w:type="dxa"/>
          </w:tcPr>
          <w:p w14:paraId="4DA9C083" w14:textId="77777777" w:rsidR="003A2AAE" w:rsidRDefault="003A2AAE" w:rsidP="003A2AAE">
            <w:pPr>
              <w:pStyle w:val="ListParagraph"/>
              <w:numPr>
                <w:ilvl w:val="0"/>
                <w:numId w:val="114"/>
              </w:numPr>
              <w:spacing w:line="240" w:lineRule="auto"/>
              <w:rPr>
                <w:szCs w:val="22"/>
                <w:lang w:val="en-GB"/>
              </w:rPr>
            </w:pPr>
            <w:r>
              <w:rPr>
                <w:szCs w:val="22"/>
                <w:lang w:val="en-GB"/>
              </w:rPr>
              <w:t>Survey to parents / carers</w:t>
            </w:r>
          </w:p>
          <w:p w14:paraId="73BC0E97" w14:textId="3CF67B62" w:rsidR="003A2AAE" w:rsidRPr="00022317" w:rsidRDefault="003A2AAE" w:rsidP="003A2AAE">
            <w:pPr>
              <w:pStyle w:val="ListParagraph"/>
              <w:numPr>
                <w:ilvl w:val="0"/>
                <w:numId w:val="114"/>
              </w:numPr>
              <w:spacing w:line="240" w:lineRule="auto"/>
              <w:rPr>
                <w:szCs w:val="22"/>
                <w:lang w:val="en-GB"/>
              </w:rPr>
            </w:pPr>
            <w:r>
              <w:rPr>
                <w:szCs w:val="22"/>
                <w:lang w:val="en-GB"/>
              </w:rPr>
              <w:t>Data on engagement/ download of new resources if housed on ACECQA website</w:t>
            </w:r>
          </w:p>
        </w:tc>
      </w:tr>
      <w:tr w:rsidR="003A2AAE" w:rsidRPr="00616742" w14:paraId="556DA845" w14:textId="1FB8EF92" w:rsidTr="007B5A0E">
        <w:tc>
          <w:tcPr>
            <w:tcW w:w="1838" w:type="dxa"/>
            <w:vAlign w:val="center"/>
          </w:tcPr>
          <w:p w14:paraId="6D1F0D63" w14:textId="1985E1A9" w:rsidR="003A2AAE" w:rsidRPr="00616742" w:rsidRDefault="003A2AAE" w:rsidP="003A2AAE">
            <w:pPr>
              <w:spacing w:line="240" w:lineRule="auto"/>
              <w:rPr>
                <w:szCs w:val="22"/>
              </w:rPr>
            </w:pPr>
            <w:r w:rsidRPr="002F79C7">
              <w:rPr>
                <w:b/>
                <w:szCs w:val="20"/>
              </w:rPr>
              <w:t xml:space="preserve">Option </w:t>
            </w:r>
            <w:r>
              <w:rPr>
                <w:b/>
                <w:szCs w:val="20"/>
              </w:rPr>
              <w:t>3A and 3B</w:t>
            </w:r>
            <w:r w:rsidRPr="002F79C7">
              <w:rPr>
                <w:b/>
                <w:szCs w:val="20"/>
              </w:rPr>
              <w:t xml:space="preserve"> (Regulatory)</w:t>
            </w:r>
          </w:p>
        </w:tc>
        <w:tc>
          <w:tcPr>
            <w:tcW w:w="4961" w:type="dxa"/>
          </w:tcPr>
          <w:p w14:paraId="7A1D37F5" w14:textId="533BBAA5" w:rsidR="003A2AAE" w:rsidRPr="009677D6" w:rsidRDefault="003A2AAE" w:rsidP="003A2AAE">
            <w:pPr>
              <w:pStyle w:val="ListParagraph"/>
              <w:numPr>
                <w:ilvl w:val="0"/>
                <w:numId w:val="114"/>
              </w:numPr>
              <w:spacing w:line="240" w:lineRule="auto"/>
              <w:ind w:left="357" w:hanging="357"/>
              <w:rPr>
                <w:b/>
                <w:szCs w:val="22"/>
              </w:rPr>
            </w:pPr>
            <w:r>
              <w:rPr>
                <w:bCs/>
                <w:szCs w:val="22"/>
              </w:rPr>
              <w:t>Regulatory Authorities are able to take more rapid regulatory responses (e.g. compliance and enforcement action) at the related provider level</w:t>
            </w:r>
          </w:p>
          <w:p w14:paraId="450549D3" w14:textId="68FD477C" w:rsidR="003A2AAE" w:rsidRPr="00C36948" w:rsidRDefault="003A2AAE" w:rsidP="003A2AAE">
            <w:pPr>
              <w:pStyle w:val="ListParagraph"/>
              <w:spacing w:line="240" w:lineRule="auto"/>
              <w:ind w:left="357" w:hanging="357"/>
              <w:rPr>
                <w:b/>
                <w:szCs w:val="22"/>
              </w:rPr>
            </w:pPr>
            <w:r w:rsidRPr="009677D6">
              <w:rPr>
                <w:bCs/>
                <w:szCs w:val="22"/>
              </w:rPr>
              <w:t xml:space="preserve">Improved sector transparency on the prevalence of related providers due to </w:t>
            </w:r>
            <w:r>
              <w:rPr>
                <w:szCs w:val="22"/>
              </w:rPr>
              <w:lastRenderedPageBreak/>
              <w:t>i</w:t>
            </w:r>
            <w:r w:rsidRPr="009677D6">
              <w:rPr>
                <w:szCs w:val="22"/>
              </w:rPr>
              <w:t>ncreased</w:t>
            </w:r>
            <w:r w:rsidRPr="00C36948">
              <w:rPr>
                <w:szCs w:val="22"/>
              </w:rPr>
              <w:t xml:space="preserve"> reporting of related provider relationships to Regulatory Authorities</w:t>
            </w:r>
            <w:r w:rsidRPr="00C36948">
              <w:rPr>
                <w:b/>
                <w:szCs w:val="22"/>
              </w:rPr>
              <w:t xml:space="preserve"> </w:t>
            </w:r>
          </w:p>
          <w:p w14:paraId="0AD30B0B" w14:textId="38997C14" w:rsidR="003A2AAE" w:rsidRPr="00C36948" w:rsidRDefault="003A2AAE" w:rsidP="003A2AAE">
            <w:pPr>
              <w:pStyle w:val="ListParagraph"/>
              <w:numPr>
                <w:ilvl w:val="0"/>
                <w:numId w:val="114"/>
              </w:numPr>
              <w:spacing w:line="240" w:lineRule="auto"/>
              <w:ind w:left="357" w:hanging="357"/>
              <w:rPr>
                <w:b/>
                <w:szCs w:val="22"/>
              </w:rPr>
            </w:pPr>
            <w:r>
              <w:rPr>
                <w:bCs/>
                <w:szCs w:val="22"/>
              </w:rPr>
              <w:t>Evidence that awareness of related provider relationships contribute to reduction in child harm</w:t>
            </w:r>
          </w:p>
          <w:p w14:paraId="351A8504" w14:textId="43998649" w:rsidR="003A2AAE" w:rsidRPr="00616742" w:rsidRDefault="003A2AAE" w:rsidP="003A2AAE">
            <w:pPr>
              <w:pStyle w:val="ListParagraph"/>
              <w:numPr>
                <w:ilvl w:val="0"/>
                <w:numId w:val="114"/>
              </w:numPr>
              <w:spacing w:line="240" w:lineRule="auto"/>
              <w:ind w:left="357" w:hanging="357"/>
              <w:rPr>
                <w:b/>
                <w:szCs w:val="22"/>
              </w:rPr>
            </w:pPr>
            <w:r>
              <w:rPr>
                <w:bCs/>
                <w:szCs w:val="22"/>
              </w:rPr>
              <w:t>Regulatory Authorities report more efficient evaluation and regulatory responses due to reduced time taken to identify related provider relationships</w:t>
            </w:r>
          </w:p>
        </w:tc>
        <w:tc>
          <w:tcPr>
            <w:tcW w:w="2835" w:type="dxa"/>
          </w:tcPr>
          <w:p w14:paraId="40610E4C" w14:textId="3CB2CED9" w:rsidR="003A2AAE" w:rsidRPr="00757BE3" w:rsidRDefault="003A2AAE" w:rsidP="003A2AAE">
            <w:pPr>
              <w:spacing w:line="240" w:lineRule="auto"/>
              <w:ind w:left="360"/>
              <w:rPr>
                <w:szCs w:val="22"/>
                <w:lang w:val="en-GB"/>
              </w:rPr>
            </w:pPr>
            <w:r>
              <w:rPr>
                <w:lang w:val="en-GB"/>
              </w:rPr>
              <w:lastRenderedPageBreak/>
              <w:t>None identified</w:t>
            </w:r>
          </w:p>
        </w:tc>
        <w:tc>
          <w:tcPr>
            <w:tcW w:w="4316" w:type="dxa"/>
          </w:tcPr>
          <w:p w14:paraId="7B4DAD6D" w14:textId="77777777" w:rsidR="003A2AAE" w:rsidRDefault="003A2AAE" w:rsidP="003A2AAE">
            <w:pPr>
              <w:pStyle w:val="ListParagraph"/>
              <w:numPr>
                <w:ilvl w:val="0"/>
                <w:numId w:val="130"/>
              </w:numPr>
              <w:spacing w:line="240" w:lineRule="auto"/>
              <w:rPr>
                <w:szCs w:val="22"/>
                <w:lang w:val="en-GB"/>
              </w:rPr>
            </w:pPr>
            <w:r w:rsidRPr="00C36948">
              <w:rPr>
                <w:szCs w:val="22"/>
                <w:lang w:val="en-GB"/>
              </w:rPr>
              <w:t>Number of reported related provider relationships</w:t>
            </w:r>
          </w:p>
          <w:p w14:paraId="3316DF75" w14:textId="77777777" w:rsidR="003A2AAE" w:rsidRDefault="003A2AAE" w:rsidP="003A2AAE">
            <w:pPr>
              <w:pStyle w:val="ListParagraph"/>
              <w:numPr>
                <w:ilvl w:val="0"/>
                <w:numId w:val="130"/>
              </w:numPr>
              <w:spacing w:line="240" w:lineRule="auto"/>
              <w:rPr>
                <w:szCs w:val="22"/>
                <w:lang w:val="en-GB"/>
              </w:rPr>
            </w:pPr>
            <w:r>
              <w:rPr>
                <w:szCs w:val="22"/>
                <w:lang w:val="en-GB"/>
              </w:rPr>
              <w:t>Number of related provider compliance actions taken</w:t>
            </w:r>
          </w:p>
          <w:p w14:paraId="45F7A190" w14:textId="77777777" w:rsidR="003A2AAE" w:rsidRDefault="003A2AAE" w:rsidP="003A2AAE">
            <w:pPr>
              <w:pStyle w:val="ListParagraph"/>
              <w:numPr>
                <w:ilvl w:val="0"/>
                <w:numId w:val="130"/>
              </w:numPr>
              <w:spacing w:line="240" w:lineRule="auto"/>
              <w:rPr>
                <w:szCs w:val="22"/>
                <w:lang w:val="en-GB"/>
              </w:rPr>
            </w:pPr>
            <w:r>
              <w:rPr>
                <w:szCs w:val="22"/>
                <w:lang w:val="en-GB"/>
              </w:rPr>
              <w:t xml:space="preserve">Number of related providers created through acquisitions </w:t>
            </w:r>
          </w:p>
          <w:p w14:paraId="33DDCCB0" w14:textId="77777777" w:rsidR="003A2AAE" w:rsidRDefault="003A2AAE" w:rsidP="003A2AAE">
            <w:pPr>
              <w:pStyle w:val="ListParagraph"/>
              <w:numPr>
                <w:ilvl w:val="0"/>
                <w:numId w:val="130"/>
              </w:numPr>
              <w:spacing w:line="240" w:lineRule="auto"/>
              <w:rPr>
                <w:szCs w:val="22"/>
                <w:lang w:val="en-GB"/>
              </w:rPr>
            </w:pPr>
            <w:r>
              <w:rPr>
                <w:szCs w:val="22"/>
                <w:lang w:val="en-GB"/>
              </w:rPr>
              <w:lastRenderedPageBreak/>
              <w:t xml:space="preserve">Consultation with Regulatory Authorities </w:t>
            </w:r>
          </w:p>
          <w:p w14:paraId="0EFDE4CD" w14:textId="77777777" w:rsidR="003A2AAE" w:rsidRDefault="003A2AAE" w:rsidP="003A2AAE">
            <w:pPr>
              <w:pStyle w:val="ListParagraph"/>
              <w:numPr>
                <w:ilvl w:val="0"/>
                <w:numId w:val="130"/>
              </w:numPr>
              <w:spacing w:line="240" w:lineRule="auto"/>
              <w:rPr>
                <w:szCs w:val="22"/>
                <w:lang w:val="en-GB"/>
              </w:rPr>
            </w:pPr>
            <w:r>
              <w:rPr>
                <w:szCs w:val="22"/>
                <w:lang w:val="en-GB"/>
              </w:rPr>
              <w:t>Survey to approved providers</w:t>
            </w:r>
          </w:p>
          <w:p w14:paraId="1F820728" w14:textId="1149DF52" w:rsidR="003A2AAE" w:rsidRPr="00C36948" w:rsidRDefault="003A2AAE" w:rsidP="003A2AAE">
            <w:pPr>
              <w:pStyle w:val="ListParagraph"/>
              <w:numPr>
                <w:ilvl w:val="0"/>
                <w:numId w:val="130"/>
              </w:numPr>
              <w:spacing w:line="240" w:lineRule="auto"/>
              <w:rPr>
                <w:szCs w:val="22"/>
                <w:lang w:val="en-GB"/>
              </w:rPr>
            </w:pPr>
            <w:r>
              <w:rPr>
                <w:szCs w:val="22"/>
                <w:lang w:val="en-GB"/>
              </w:rPr>
              <w:t>Survey to parents / carers</w:t>
            </w:r>
          </w:p>
        </w:tc>
      </w:tr>
    </w:tbl>
    <w:p w14:paraId="24FABA02" w14:textId="77777777" w:rsidR="003B7526" w:rsidRDefault="003B7526" w:rsidP="003B7526">
      <w:pPr>
        <w:pStyle w:val="Heading4"/>
        <w:spacing w:line="240" w:lineRule="auto"/>
        <w:rPr>
          <w:lang w:val="en-GB"/>
        </w:rPr>
      </w:pPr>
      <w:r>
        <w:rPr>
          <w:lang w:val="en-GB"/>
        </w:rPr>
        <w:lastRenderedPageBreak/>
        <w:t xml:space="preserve">Additional recommendations - </w:t>
      </w:r>
      <w:r w:rsidRPr="008B5645">
        <w:rPr>
          <w:lang w:val="en-GB"/>
        </w:rPr>
        <w:t>Extending the limitation period for commencing proceedings under the National Law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1838"/>
        <w:gridCol w:w="4961"/>
        <w:gridCol w:w="3119"/>
        <w:gridCol w:w="4032"/>
      </w:tblGrid>
      <w:tr w:rsidR="00FA6DEC" w:rsidRPr="00616742" w14:paraId="478FA339" w14:textId="7F3F30DA" w:rsidTr="005C1996">
        <w:trPr>
          <w:tblHeader/>
        </w:trPr>
        <w:tc>
          <w:tcPr>
            <w:tcW w:w="1838" w:type="dxa"/>
            <w:shd w:val="clear" w:color="auto" w:fill="14233C" w:themeFill="text2"/>
            <w:vAlign w:val="center"/>
          </w:tcPr>
          <w:p w14:paraId="41BEA2B0" w14:textId="77777777" w:rsidR="00FA6DEC" w:rsidRPr="00616742" w:rsidRDefault="00FA6DEC" w:rsidP="00AD3ED2">
            <w:pPr>
              <w:spacing w:line="240" w:lineRule="auto"/>
              <w:rPr>
                <w:b/>
                <w:color w:val="FFFFFF" w:themeColor="background1"/>
                <w:szCs w:val="22"/>
              </w:rPr>
            </w:pPr>
            <w:r w:rsidRPr="00616742">
              <w:rPr>
                <w:b/>
                <w:color w:val="FFFFFF" w:themeColor="background1"/>
                <w:szCs w:val="22"/>
              </w:rPr>
              <w:t>Option</w:t>
            </w:r>
          </w:p>
        </w:tc>
        <w:tc>
          <w:tcPr>
            <w:tcW w:w="4961" w:type="dxa"/>
            <w:shd w:val="clear" w:color="auto" w:fill="14233C" w:themeFill="text2"/>
            <w:vAlign w:val="center"/>
          </w:tcPr>
          <w:p w14:paraId="03B4BBA7" w14:textId="5E9265D8" w:rsidR="00FA6DEC" w:rsidRPr="00616742" w:rsidRDefault="00FA6DEC" w:rsidP="00FA6DEC">
            <w:pPr>
              <w:spacing w:line="240" w:lineRule="auto"/>
              <w:rPr>
                <w:b/>
                <w:color w:val="FFFFFF" w:themeColor="background1"/>
                <w:szCs w:val="22"/>
              </w:rPr>
            </w:pPr>
            <w:r>
              <w:rPr>
                <w:b/>
                <w:szCs w:val="22"/>
                <w:lang w:val="en-GB"/>
              </w:rPr>
              <w:t>Measures</w:t>
            </w:r>
          </w:p>
        </w:tc>
        <w:tc>
          <w:tcPr>
            <w:tcW w:w="3119" w:type="dxa"/>
            <w:shd w:val="clear" w:color="auto" w:fill="14233C" w:themeFill="text2"/>
            <w:vAlign w:val="center"/>
          </w:tcPr>
          <w:p w14:paraId="08A0D2A7" w14:textId="7DD71C9D" w:rsidR="00FA6DEC" w:rsidDel="00AD3ED2" w:rsidRDefault="00FA6DEC" w:rsidP="00AD3ED2">
            <w:pPr>
              <w:spacing w:line="240" w:lineRule="auto"/>
              <w:rPr>
                <w:b/>
                <w:szCs w:val="22"/>
                <w:lang w:val="en-GB"/>
              </w:rPr>
            </w:pPr>
            <w:r>
              <w:rPr>
                <w:b/>
                <w:szCs w:val="22"/>
                <w:lang w:val="en-GB"/>
              </w:rPr>
              <w:t>Existing data sources</w:t>
            </w:r>
          </w:p>
        </w:tc>
        <w:tc>
          <w:tcPr>
            <w:tcW w:w="4032" w:type="dxa"/>
            <w:shd w:val="clear" w:color="auto" w:fill="14233C" w:themeFill="text2"/>
          </w:tcPr>
          <w:p w14:paraId="36421BEC" w14:textId="0FC2AFF9" w:rsidR="00FA6DEC" w:rsidDel="00AD3ED2" w:rsidRDefault="00591835" w:rsidP="00AD3ED2">
            <w:pPr>
              <w:spacing w:line="240" w:lineRule="auto"/>
              <w:rPr>
                <w:b/>
                <w:szCs w:val="22"/>
                <w:lang w:val="en-GB"/>
              </w:rPr>
            </w:pPr>
            <w:r>
              <w:rPr>
                <w:b/>
                <w:szCs w:val="22"/>
                <w:lang w:val="en-GB"/>
              </w:rPr>
              <w:t>New data sources (to be collected)</w:t>
            </w:r>
          </w:p>
        </w:tc>
      </w:tr>
      <w:tr w:rsidR="00FA6DEC" w:rsidRPr="00616742" w14:paraId="6BA397D8" w14:textId="5B9479CB" w:rsidTr="005C1996">
        <w:tc>
          <w:tcPr>
            <w:tcW w:w="1838" w:type="dxa"/>
            <w:vAlign w:val="center"/>
          </w:tcPr>
          <w:p w14:paraId="7EB9C64C" w14:textId="3159FF0A" w:rsidR="00FA6DEC" w:rsidRPr="00616742" w:rsidRDefault="00FA6DEC">
            <w:pPr>
              <w:spacing w:line="240" w:lineRule="auto"/>
              <w:rPr>
                <w:szCs w:val="22"/>
              </w:rPr>
            </w:pPr>
            <w:r w:rsidRPr="002F79C7">
              <w:rPr>
                <w:b/>
                <w:szCs w:val="20"/>
              </w:rPr>
              <w:t xml:space="preserve">Option </w:t>
            </w:r>
            <w:r>
              <w:rPr>
                <w:b/>
                <w:szCs w:val="20"/>
              </w:rPr>
              <w:t>2</w:t>
            </w:r>
            <w:r w:rsidRPr="002F79C7">
              <w:rPr>
                <w:b/>
                <w:szCs w:val="20"/>
              </w:rPr>
              <w:t xml:space="preserve"> (</w:t>
            </w:r>
            <w:r>
              <w:rPr>
                <w:b/>
                <w:szCs w:val="20"/>
              </w:rPr>
              <w:t>R</w:t>
            </w:r>
            <w:r w:rsidRPr="002F79C7">
              <w:rPr>
                <w:b/>
                <w:szCs w:val="20"/>
              </w:rPr>
              <w:t>egulatory)</w:t>
            </w:r>
          </w:p>
        </w:tc>
        <w:tc>
          <w:tcPr>
            <w:tcW w:w="4961" w:type="dxa"/>
          </w:tcPr>
          <w:p w14:paraId="5E4A837F" w14:textId="1939F95C" w:rsidR="00FA6DEC" w:rsidRPr="00C6721E" w:rsidRDefault="00EA1EDA" w:rsidP="00985CA8">
            <w:pPr>
              <w:pStyle w:val="ListParagraph"/>
              <w:numPr>
                <w:ilvl w:val="0"/>
                <w:numId w:val="114"/>
              </w:numPr>
              <w:spacing w:line="240" w:lineRule="auto"/>
              <w:ind w:left="357" w:hanging="357"/>
              <w:rPr>
                <w:b/>
                <w:szCs w:val="22"/>
              </w:rPr>
            </w:pPr>
            <w:r>
              <w:rPr>
                <w:bCs/>
                <w:szCs w:val="22"/>
              </w:rPr>
              <w:t>All sector stakeholders (</w:t>
            </w:r>
            <w:r w:rsidR="00924CB7">
              <w:rPr>
                <w:bCs/>
                <w:szCs w:val="22"/>
              </w:rPr>
              <w:t xml:space="preserve">Regulatory Authorities, </w:t>
            </w:r>
            <w:r w:rsidR="005C1996">
              <w:rPr>
                <w:bCs/>
                <w:szCs w:val="22"/>
              </w:rPr>
              <w:t>parents / carers</w:t>
            </w:r>
            <w:r>
              <w:rPr>
                <w:bCs/>
                <w:szCs w:val="22"/>
              </w:rPr>
              <w:t xml:space="preserve">, staff members and </w:t>
            </w:r>
            <w:r w:rsidR="00D63F03">
              <w:rPr>
                <w:bCs/>
                <w:szCs w:val="22"/>
              </w:rPr>
              <w:t xml:space="preserve">approved </w:t>
            </w:r>
            <w:r w:rsidR="005C1996">
              <w:rPr>
                <w:bCs/>
                <w:szCs w:val="22"/>
              </w:rPr>
              <w:t>providers</w:t>
            </w:r>
            <w:r>
              <w:rPr>
                <w:bCs/>
                <w:szCs w:val="22"/>
              </w:rPr>
              <w:t xml:space="preserve">) </w:t>
            </w:r>
            <w:r w:rsidR="005C1996">
              <w:rPr>
                <w:bCs/>
                <w:szCs w:val="22"/>
              </w:rPr>
              <w:t>report improved</w:t>
            </w:r>
            <w:r w:rsidR="00924CB7">
              <w:rPr>
                <w:bCs/>
                <w:szCs w:val="22"/>
              </w:rPr>
              <w:t xml:space="preserve"> </w:t>
            </w:r>
            <w:r w:rsidR="00392B3F">
              <w:rPr>
                <w:bCs/>
                <w:szCs w:val="22"/>
              </w:rPr>
              <w:t>ability t</w:t>
            </w:r>
            <w:r w:rsidR="00EF0F71">
              <w:rPr>
                <w:bCs/>
                <w:szCs w:val="22"/>
              </w:rPr>
              <w:t xml:space="preserve">o commence proceedings under the National Law for offences </w:t>
            </w:r>
            <w:r w:rsidR="00985CA8">
              <w:rPr>
                <w:bCs/>
                <w:szCs w:val="22"/>
              </w:rPr>
              <w:t>or alleged offences</w:t>
            </w:r>
          </w:p>
        </w:tc>
        <w:tc>
          <w:tcPr>
            <w:tcW w:w="3119" w:type="dxa"/>
          </w:tcPr>
          <w:p w14:paraId="6BD5571B" w14:textId="1C39A8F0" w:rsidR="00FA6DEC" w:rsidRPr="003835A3" w:rsidDel="00AD3ED2" w:rsidRDefault="003835A3" w:rsidP="003835A3">
            <w:pPr>
              <w:pStyle w:val="ListParagraph"/>
              <w:numPr>
                <w:ilvl w:val="0"/>
                <w:numId w:val="114"/>
              </w:numPr>
              <w:spacing w:line="240" w:lineRule="auto"/>
              <w:ind w:left="316" w:hanging="284"/>
              <w:rPr>
                <w:szCs w:val="22"/>
                <w:lang w:val="en-GB"/>
              </w:rPr>
            </w:pPr>
            <w:r w:rsidRPr="003835A3">
              <w:rPr>
                <w:szCs w:val="22"/>
                <w:lang w:val="en-GB"/>
              </w:rPr>
              <w:t>Average time between alleged offence and the provision of notice to Regulatory Authorities</w:t>
            </w:r>
          </w:p>
        </w:tc>
        <w:tc>
          <w:tcPr>
            <w:tcW w:w="4032" w:type="dxa"/>
          </w:tcPr>
          <w:p w14:paraId="626C4B8C" w14:textId="77777777" w:rsidR="00FA6DEC" w:rsidRDefault="003835A3" w:rsidP="003835A3">
            <w:pPr>
              <w:pStyle w:val="ListParagraph"/>
              <w:numPr>
                <w:ilvl w:val="0"/>
                <w:numId w:val="114"/>
              </w:numPr>
              <w:spacing w:line="240" w:lineRule="auto"/>
              <w:rPr>
                <w:szCs w:val="22"/>
                <w:lang w:val="en-GB"/>
              </w:rPr>
            </w:pPr>
            <w:r>
              <w:rPr>
                <w:szCs w:val="22"/>
                <w:lang w:val="en-GB"/>
              </w:rPr>
              <w:t xml:space="preserve">Consultation with Regulatory Authorities </w:t>
            </w:r>
          </w:p>
          <w:p w14:paraId="5354C9A1" w14:textId="77777777" w:rsidR="00D63F03" w:rsidRDefault="00D63F03" w:rsidP="003835A3">
            <w:pPr>
              <w:pStyle w:val="ListParagraph"/>
              <w:numPr>
                <w:ilvl w:val="0"/>
                <w:numId w:val="114"/>
              </w:numPr>
              <w:spacing w:line="240" w:lineRule="auto"/>
              <w:rPr>
                <w:szCs w:val="22"/>
                <w:lang w:val="en-GB"/>
              </w:rPr>
            </w:pPr>
            <w:r>
              <w:rPr>
                <w:szCs w:val="22"/>
                <w:lang w:val="en-GB"/>
              </w:rPr>
              <w:t>Survey to parents / carers</w:t>
            </w:r>
          </w:p>
          <w:p w14:paraId="773D375F" w14:textId="77777777" w:rsidR="00D63F03" w:rsidRDefault="00D63F03" w:rsidP="003835A3">
            <w:pPr>
              <w:pStyle w:val="ListParagraph"/>
              <w:numPr>
                <w:ilvl w:val="0"/>
                <w:numId w:val="114"/>
              </w:numPr>
              <w:spacing w:line="240" w:lineRule="auto"/>
              <w:rPr>
                <w:szCs w:val="22"/>
                <w:lang w:val="en-GB"/>
              </w:rPr>
            </w:pPr>
            <w:r>
              <w:rPr>
                <w:szCs w:val="22"/>
                <w:lang w:val="en-GB"/>
              </w:rPr>
              <w:t>Survey to approved providers</w:t>
            </w:r>
          </w:p>
          <w:p w14:paraId="6A113AF5" w14:textId="5AD913FC" w:rsidR="00EA1EDA" w:rsidRPr="003835A3" w:rsidDel="00AD3ED2" w:rsidRDefault="00EA1EDA" w:rsidP="003835A3">
            <w:pPr>
              <w:pStyle w:val="ListParagraph"/>
              <w:numPr>
                <w:ilvl w:val="0"/>
                <w:numId w:val="114"/>
              </w:numPr>
              <w:spacing w:line="240" w:lineRule="auto"/>
              <w:rPr>
                <w:szCs w:val="22"/>
                <w:lang w:val="en-GB"/>
              </w:rPr>
            </w:pPr>
            <w:r>
              <w:rPr>
                <w:szCs w:val="22"/>
                <w:lang w:val="en-GB"/>
              </w:rPr>
              <w:t>Survey to education and care workforce</w:t>
            </w:r>
          </w:p>
        </w:tc>
      </w:tr>
    </w:tbl>
    <w:p w14:paraId="2220684E" w14:textId="77777777" w:rsidR="00557E44" w:rsidRDefault="00557E44" w:rsidP="004D7173">
      <w:pPr>
        <w:rPr>
          <w:szCs w:val="22"/>
          <w:lang w:val="en-GB"/>
        </w:rPr>
      </w:pPr>
    </w:p>
    <w:p w14:paraId="62B71370" w14:textId="77777777" w:rsidR="00557E44" w:rsidRDefault="00557E44">
      <w:pPr>
        <w:spacing w:after="160" w:line="259" w:lineRule="auto"/>
        <w:rPr>
          <w:rFonts w:cs="Arial"/>
          <w:b/>
          <w:bCs/>
          <w:i/>
          <w:iCs/>
          <w:color w:val="006B77"/>
          <w:szCs w:val="22"/>
          <w:lang w:val="en-GB"/>
        </w:rPr>
      </w:pPr>
      <w:r>
        <w:rPr>
          <w:szCs w:val="22"/>
          <w:lang w:val="en-GB"/>
        </w:rPr>
        <w:br w:type="page"/>
      </w:r>
    </w:p>
    <w:p w14:paraId="7E052B35" w14:textId="77777777" w:rsidR="003B7526" w:rsidRPr="000876F6" w:rsidRDefault="003B7526" w:rsidP="003B7526">
      <w:pPr>
        <w:pStyle w:val="Heading4"/>
        <w:spacing w:line="240" w:lineRule="auto"/>
        <w:rPr>
          <w:szCs w:val="22"/>
          <w:lang w:val="en-GB"/>
        </w:rPr>
      </w:pPr>
      <w:r w:rsidRPr="000876F6">
        <w:rPr>
          <w:szCs w:val="22"/>
          <w:lang w:val="en-GB"/>
        </w:rPr>
        <w:lastRenderedPageBreak/>
        <w:t>Additional recommendations - Information sharing provisions for recruitment agencies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4: Evaluation – Measures to report on, existing data collected, and potential sources of new data"/>
        <w:tblDescription w:val="This table outlines evaluation measures to report on, existing data collected, and potential sources of new data."/>
      </w:tblPr>
      <w:tblGrid>
        <w:gridCol w:w="2055"/>
        <w:gridCol w:w="6445"/>
        <w:gridCol w:w="1701"/>
        <w:gridCol w:w="3749"/>
      </w:tblGrid>
      <w:tr w:rsidR="00FA6DEC" w:rsidRPr="000876F6" w14:paraId="3DE94433" w14:textId="0F0BF087" w:rsidTr="00AF4412">
        <w:trPr>
          <w:tblHeader/>
        </w:trPr>
        <w:tc>
          <w:tcPr>
            <w:tcW w:w="0" w:type="auto"/>
            <w:shd w:val="clear" w:color="auto" w:fill="14233C" w:themeFill="text2"/>
            <w:vAlign w:val="center"/>
          </w:tcPr>
          <w:p w14:paraId="27578645" w14:textId="77777777" w:rsidR="00FA6DEC" w:rsidRPr="000876F6" w:rsidRDefault="00FA6DEC" w:rsidP="00AD3ED2">
            <w:pPr>
              <w:spacing w:line="240" w:lineRule="auto"/>
              <w:rPr>
                <w:rFonts w:cs="Arial"/>
                <w:b/>
                <w:color w:val="FFFFFF" w:themeColor="background1"/>
                <w:szCs w:val="22"/>
              </w:rPr>
            </w:pPr>
            <w:r w:rsidRPr="000876F6">
              <w:rPr>
                <w:rFonts w:cs="Arial"/>
                <w:b/>
                <w:color w:val="FFFFFF" w:themeColor="background1"/>
                <w:szCs w:val="22"/>
              </w:rPr>
              <w:t>Option</w:t>
            </w:r>
          </w:p>
        </w:tc>
        <w:tc>
          <w:tcPr>
            <w:tcW w:w="6445" w:type="dxa"/>
            <w:shd w:val="clear" w:color="auto" w:fill="14233C" w:themeFill="text2"/>
          </w:tcPr>
          <w:p w14:paraId="5A20F87A" w14:textId="7F448188" w:rsidR="00FA6DEC" w:rsidRPr="000876F6" w:rsidRDefault="00FA6DEC" w:rsidP="00AD3ED2">
            <w:pPr>
              <w:spacing w:line="240" w:lineRule="auto"/>
              <w:rPr>
                <w:rFonts w:cs="Arial"/>
                <w:b/>
                <w:color w:val="FFFFFF" w:themeColor="background1"/>
                <w:szCs w:val="22"/>
              </w:rPr>
            </w:pPr>
            <w:r>
              <w:rPr>
                <w:b/>
                <w:szCs w:val="22"/>
                <w:lang w:val="en-GB"/>
              </w:rPr>
              <w:t>Measures</w:t>
            </w:r>
          </w:p>
        </w:tc>
        <w:tc>
          <w:tcPr>
            <w:tcW w:w="1701" w:type="dxa"/>
            <w:shd w:val="clear" w:color="auto" w:fill="14233C" w:themeFill="text2"/>
            <w:vAlign w:val="center"/>
          </w:tcPr>
          <w:p w14:paraId="1D4CDD68" w14:textId="77D7F271" w:rsidR="00FA6DEC" w:rsidDel="00AD3ED2" w:rsidRDefault="00FA6DEC" w:rsidP="00AD3ED2">
            <w:pPr>
              <w:spacing w:line="240" w:lineRule="auto"/>
              <w:rPr>
                <w:b/>
                <w:szCs w:val="22"/>
                <w:lang w:val="en-GB"/>
              </w:rPr>
            </w:pPr>
            <w:r>
              <w:rPr>
                <w:b/>
                <w:szCs w:val="22"/>
                <w:lang w:val="en-GB"/>
              </w:rPr>
              <w:t>Existing data sources</w:t>
            </w:r>
          </w:p>
        </w:tc>
        <w:tc>
          <w:tcPr>
            <w:tcW w:w="3749" w:type="dxa"/>
            <w:shd w:val="clear" w:color="auto" w:fill="14233C" w:themeFill="text2"/>
          </w:tcPr>
          <w:p w14:paraId="581712D4" w14:textId="678611DB" w:rsidR="00FA6DEC" w:rsidDel="00AD3ED2" w:rsidRDefault="00591835" w:rsidP="00AD3ED2">
            <w:pPr>
              <w:spacing w:line="240" w:lineRule="auto"/>
              <w:rPr>
                <w:b/>
                <w:szCs w:val="22"/>
                <w:lang w:val="en-GB"/>
              </w:rPr>
            </w:pPr>
            <w:r>
              <w:rPr>
                <w:b/>
                <w:szCs w:val="22"/>
                <w:lang w:val="en-GB"/>
              </w:rPr>
              <w:t>New data sources (to be collected)</w:t>
            </w:r>
          </w:p>
        </w:tc>
      </w:tr>
      <w:tr w:rsidR="00054815" w:rsidRPr="000876F6" w14:paraId="68181A66" w14:textId="7F96DC90" w:rsidTr="00AF4412">
        <w:tc>
          <w:tcPr>
            <w:tcW w:w="0" w:type="auto"/>
            <w:vAlign w:val="center"/>
          </w:tcPr>
          <w:p w14:paraId="4B61EE6D" w14:textId="022A35FF" w:rsidR="00054815" w:rsidRPr="000876F6" w:rsidRDefault="00054815" w:rsidP="00054815">
            <w:pPr>
              <w:spacing w:line="240" w:lineRule="auto"/>
              <w:rPr>
                <w:rFonts w:cs="Arial"/>
                <w:szCs w:val="22"/>
              </w:rPr>
            </w:pPr>
            <w:r>
              <w:rPr>
                <w:rFonts w:cs="Arial"/>
                <w:b/>
                <w:bCs/>
                <w:szCs w:val="22"/>
              </w:rPr>
              <w:t>Option 2 (Non-regulatory)</w:t>
            </w:r>
          </w:p>
        </w:tc>
        <w:tc>
          <w:tcPr>
            <w:tcW w:w="6445" w:type="dxa"/>
          </w:tcPr>
          <w:p w14:paraId="15D66436" w14:textId="452DEF1D" w:rsidR="00054815" w:rsidRPr="00EB7975" w:rsidRDefault="005C1996" w:rsidP="00054815">
            <w:pPr>
              <w:pStyle w:val="ListParagraph"/>
              <w:numPr>
                <w:ilvl w:val="0"/>
                <w:numId w:val="132"/>
              </w:numPr>
              <w:spacing w:line="240" w:lineRule="auto"/>
              <w:ind w:left="357" w:hanging="357"/>
              <w:rPr>
                <w:rFonts w:cs="Arial"/>
                <w:b/>
                <w:szCs w:val="22"/>
              </w:rPr>
            </w:pPr>
            <w:r>
              <w:rPr>
                <w:rFonts w:cs="Arial"/>
                <w:szCs w:val="22"/>
                <w:lang w:val="en-GB"/>
              </w:rPr>
              <w:t>Evidence of approved providers improving</w:t>
            </w:r>
            <w:r w:rsidR="00054815" w:rsidRPr="00480FE5">
              <w:rPr>
                <w:rFonts w:cs="Arial"/>
                <w:szCs w:val="22"/>
                <w:lang w:val="en-GB"/>
              </w:rPr>
              <w:t xml:space="preserve"> record keeping practices regarding the use of agency educators</w:t>
            </w:r>
          </w:p>
          <w:p w14:paraId="16AC391F" w14:textId="5CCF16C6" w:rsidR="00054815" w:rsidRPr="00480FE5" w:rsidRDefault="00054815" w:rsidP="00054815">
            <w:pPr>
              <w:pStyle w:val="ListParagraph"/>
              <w:numPr>
                <w:ilvl w:val="0"/>
                <w:numId w:val="132"/>
              </w:numPr>
              <w:spacing w:line="240" w:lineRule="auto"/>
              <w:ind w:left="357" w:hanging="357"/>
              <w:rPr>
                <w:rFonts w:cs="Arial"/>
                <w:b/>
                <w:szCs w:val="22"/>
              </w:rPr>
            </w:pPr>
            <w:r>
              <w:rPr>
                <w:bCs/>
                <w:szCs w:val="22"/>
              </w:rPr>
              <w:t>Number of downloads of guidance materials</w:t>
            </w:r>
          </w:p>
        </w:tc>
        <w:tc>
          <w:tcPr>
            <w:tcW w:w="1701" w:type="dxa"/>
          </w:tcPr>
          <w:p w14:paraId="42891B9C" w14:textId="55B7BDF9" w:rsidR="00054815" w:rsidRPr="00757BE3" w:rsidDel="00AD3ED2" w:rsidRDefault="00054815" w:rsidP="00054815">
            <w:pPr>
              <w:spacing w:line="240" w:lineRule="auto"/>
              <w:ind w:left="360"/>
              <w:rPr>
                <w:rFonts w:cs="Arial"/>
                <w:szCs w:val="22"/>
                <w:lang w:val="en-GB"/>
              </w:rPr>
            </w:pPr>
            <w:r>
              <w:rPr>
                <w:lang w:val="en-GB"/>
              </w:rPr>
              <w:t>None identified</w:t>
            </w:r>
          </w:p>
        </w:tc>
        <w:tc>
          <w:tcPr>
            <w:tcW w:w="3749" w:type="dxa"/>
          </w:tcPr>
          <w:p w14:paraId="3DFA0595" w14:textId="7F0445FD" w:rsidR="00054815" w:rsidRDefault="00054815" w:rsidP="00054815">
            <w:pPr>
              <w:pStyle w:val="ListParagraph"/>
              <w:numPr>
                <w:ilvl w:val="0"/>
                <w:numId w:val="130"/>
              </w:numPr>
              <w:spacing w:line="240" w:lineRule="auto"/>
              <w:rPr>
                <w:szCs w:val="22"/>
                <w:lang w:val="en-GB"/>
              </w:rPr>
            </w:pPr>
            <w:r>
              <w:rPr>
                <w:szCs w:val="22"/>
                <w:lang w:val="en-GB"/>
              </w:rPr>
              <w:t>Survey to approved providers</w:t>
            </w:r>
          </w:p>
          <w:p w14:paraId="7ABE5F88" w14:textId="7463E2CF" w:rsidR="00054815" w:rsidRDefault="00054815" w:rsidP="00054815">
            <w:pPr>
              <w:pStyle w:val="ListParagraph"/>
              <w:numPr>
                <w:ilvl w:val="0"/>
                <w:numId w:val="130"/>
              </w:numPr>
              <w:spacing w:line="240" w:lineRule="auto"/>
              <w:rPr>
                <w:szCs w:val="22"/>
                <w:lang w:val="en-GB"/>
              </w:rPr>
            </w:pPr>
            <w:r>
              <w:rPr>
                <w:szCs w:val="22"/>
                <w:lang w:val="en-GB"/>
              </w:rPr>
              <w:t>Data on engagement/ download of new resources if housed on ACECQA website</w:t>
            </w:r>
          </w:p>
          <w:p w14:paraId="59987EB7" w14:textId="77777777" w:rsidR="00054815" w:rsidRPr="000876F6" w:rsidDel="00AD3ED2" w:rsidRDefault="00054815" w:rsidP="00054815">
            <w:pPr>
              <w:spacing w:line="240" w:lineRule="auto"/>
              <w:rPr>
                <w:rFonts w:cs="Arial"/>
                <w:szCs w:val="22"/>
                <w:lang w:val="en-GB"/>
              </w:rPr>
            </w:pPr>
          </w:p>
        </w:tc>
      </w:tr>
      <w:tr w:rsidR="00054815" w:rsidRPr="000876F6" w14:paraId="613C77F2" w14:textId="7679C333" w:rsidTr="00AF4412">
        <w:tc>
          <w:tcPr>
            <w:tcW w:w="0" w:type="auto"/>
            <w:vAlign w:val="center"/>
          </w:tcPr>
          <w:p w14:paraId="7FB9A779" w14:textId="71FB4FEE" w:rsidR="00054815" w:rsidRPr="000876F6" w:rsidRDefault="00054815" w:rsidP="00054815">
            <w:pPr>
              <w:spacing w:line="240" w:lineRule="auto"/>
              <w:rPr>
                <w:rFonts w:cs="Arial"/>
                <w:szCs w:val="22"/>
              </w:rPr>
            </w:pPr>
            <w:r w:rsidRPr="002F79C7">
              <w:rPr>
                <w:b/>
                <w:szCs w:val="20"/>
              </w:rPr>
              <w:t xml:space="preserve">Option </w:t>
            </w:r>
            <w:r>
              <w:rPr>
                <w:b/>
                <w:szCs w:val="20"/>
              </w:rPr>
              <w:t>3</w:t>
            </w:r>
            <w:r w:rsidRPr="002F79C7">
              <w:rPr>
                <w:b/>
                <w:szCs w:val="20"/>
              </w:rPr>
              <w:t xml:space="preserve"> (Regulatory)</w:t>
            </w:r>
          </w:p>
        </w:tc>
        <w:tc>
          <w:tcPr>
            <w:tcW w:w="6445" w:type="dxa"/>
            <w:vMerge w:val="restart"/>
          </w:tcPr>
          <w:p w14:paraId="050CD063" w14:textId="0E3B0873" w:rsidR="00054815" w:rsidRPr="007B503C" w:rsidRDefault="005C1996" w:rsidP="00637F15">
            <w:pPr>
              <w:pStyle w:val="ListParagraph"/>
              <w:spacing w:line="240" w:lineRule="auto"/>
              <w:ind w:left="357" w:hanging="357"/>
              <w:rPr>
                <w:bCs/>
              </w:rPr>
            </w:pPr>
            <w:r>
              <w:rPr>
                <w:bCs/>
              </w:rPr>
              <w:t>Evidence of i</w:t>
            </w:r>
            <w:r w:rsidR="00054815" w:rsidRPr="007B503C">
              <w:rPr>
                <w:bCs/>
              </w:rPr>
              <w:t>mproved information sharing between Regulatory Authorities and recruitment agencies on alleged incidents involving agency educations</w:t>
            </w:r>
          </w:p>
          <w:p w14:paraId="356B1B09" w14:textId="7892C60F" w:rsidR="00054815" w:rsidRPr="007B503C" w:rsidRDefault="00054815" w:rsidP="00637F15">
            <w:pPr>
              <w:pStyle w:val="ListParagraph"/>
              <w:spacing w:line="240" w:lineRule="auto"/>
              <w:ind w:left="357" w:hanging="357"/>
              <w:rPr>
                <w:bCs/>
              </w:rPr>
            </w:pPr>
            <w:r w:rsidRPr="007B503C">
              <w:rPr>
                <w:bCs/>
              </w:rPr>
              <w:t>Regulatory Authorities report improved efficiency of investigations into agency educator conduct</w:t>
            </w:r>
          </w:p>
          <w:p w14:paraId="52F2E18A" w14:textId="09BFE040" w:rsidR="00054815" w:rsidRPr="007B503C" w:rsidRDefault="005C1996" w:rsidP="00637F15">
            <w:pPr>
              <w:pStyle w:val="ListParagraph"/>
              <w:spacing w:line="240" w:lineRule="auto"/>
              <w:ind w:left="357" w:hanging="357"/>
              <w:rPr>
                <w:b/>
              </w:rPr>
            </w:pPr>
            <w:r>
              <w:rPr>
                <w:lang w:val="en-GB"/>
              </w:rPr>
              <w:t>Evidence of i</w:t>
            </w:r>
            <w:r w:rsidR="00054815" w:rsidRPr="0047169E">
              <w:rPr>
                <w:lang w:val="en-GB"/>
              </w:rPr>
              <w:t xml:space="preserve">mprovement in record keeping practices </w:t>
            </w:r>
            <w:r w:rsidR="00054815">
              <w:rPr>
                <w:lang w:val="en-GB"/>
              </w:rPr>
              <w:t>among recruitment agencies and approved providers on</w:t>
            </w:r>
            <w:r w:rsidR="00054815" w:rsidRPr="0047169E">
              <w:rPr>
                <w:lang w:val="en-GB"/>
              </w:rPr>
              <w:t xml:space="preserve"> agency educators</w:t>
            </w:r>
          </w:p>
          <w:p w14:paraId="1A33A714" w14:textId="696FD033" w:rsidR="005C1996" w:rsidRDefault="00054815" w:rsidP="00637F15">
            <w:pPr>
              <w:pStyle w:val="ListParagraph"/>
              <w:spacing w:line="240" w:lineRule="auto"/>
              <w:ind w:left="357" w:hanging="357"/>
            </w:pPr>
            <w:r>
              <w:t>Evidence that improved information sharing practices reduce the likelihood that a prohibited or suspended agency educator attains employment</w:t>
            </w:r>
          </w:p>
          <w:p w14:paraId="379FE4AB" w14:textId="50F2F021" w:rsidR="005C1996" w:rsidRDefault="00054815" w:rsidP="005C1996">
            <w:pPr>
              <w:pStyle w:val="ListParagraph"/>
              <w:spacing w:line="240" w:lineRule="auto"/>
              <w:ind w:left="357" w:hanging="357"/>
            </w:pPr>
            <w:r>
              <w:t>Evidence that improved information sharing practices reduce the likelihood of agency educators contravening any enforceable undertaking that applies to them</w:t>
            </w:r>
          </w:p>
          <w:p w14:paraId="77D27E19" w14:textId="12F2FF03" w:rsidR="00054815" w:rsidRPr="005C1996" w:rsidRDefault="005C1996" w:rsidP="005C1996">
            <w:pPr>
              <w:pStyle w:val="ListParagraph"/>
              <w:spacing w:line="240" w:lineRule="auto"/>
              <w:ind w:left="357" w:hanging="357"/>
              <w:rPr>
                <w:b/>
              </w:rPr>
            </w:pPr>
            <w:r>
              <w:t>Evidence of r</w:t>
            </w:r>
            <w:r w:rsidR="00054815">
              <w:t>educed likelihood of agency educators providing false or misleading information about a prohibition notice to an approved provider or recruitment agency</w:t>
            </w:r>
          </w:p>
        </w:tc>
        <w:tc>
          <w:tcPr>
            <w:tcW w:w="1701" w:type="dxa"/>
            <w:vMerge w:val="restart"/>
          </w:tcPr>
          <w:p w14:paraId="59982AE7" w14:textId="677923D6" w:rsidR="00054815" w:rsidRPr="00757BE3" w:rsidDel="00AD3ED2" w:rsidRDefault="00054815" w:rsidP="00054815">
            <w:pPr>
              <w:spacing w:line="240" w:lineRule="auto"/>
              <w:ind w:left="360"/>
              <w:rPr>
                <w:rFonts w:cs="Arial"/>
                <w:szCs w:val="22"/>
                <w:lang w:val="en-GB"/>
              </w:rPr>
            </w:pPr>
            <w:r>
              <w:rPr>
                <w:lang w:val="en-GB"/>
              </w:rPr>
              <w:t>None identified</w:t>
            </w:r>
          </w:p>
        </w:tc>
        <w:tc>
          <w:tcPr>
            <w:tcW w:w="3749" w:type="dxa"/>
            <w:vMerge w:val="restart"/>
          </w:tcPr>
          <w:p w14:paraId="55349BBD" w14:textId="77777777" w:rsidR="00054815" w:rsidRDefault="00054815" w:rsidP="00054815">
            <w:pPr>
              <w:pStyle w:val="ListParagraph"/>
              <w:numPr>
                <w:ilvl w:val="0"/>
                <w:numId w:val="130"/>
              </w:numPr>
              <w:spacing w:line="240" w:lineRule="auto"/>
              <w:rPr>
                <w:rFonts w:cs="Arial"/>
                <w:szCs w:val="22"/>
                <w:lang w:val="en-GB"/>
              </w:rPr>
            </w:pPr>
            <w:r>
              <w:rPr>
                <w:rFonts w:cs="Arial"/>
                <w:szCs w:val="22"/>
                <w:lang w:val="en-GB"/>
              </w:rPr>
              <w:t xml:space="preserve">Survey to recruitment agencies </w:t>
            </w:r>
          </w:p>
          <w:p w14:paraId="4122519A" w14:textId="0C92415A" w:rsidR="00054815" w:rsidRDefault="00054815" w:rsidP="00054815">
            <w:pPr>
              <w:pStyle w:val="ListParagraph"/>
              <w:numPr>
                <w:ilvl w:val="0"/>
                <w:numId w:val="130"/>
              </w:numPr>
              <w:spacing w:line="240" w:lineRule="auto"/>
              <w:rPr>
                <w:rFonts w:cs="Arial"/>
                <w:szCs w:val="22"/>
                <w:lang w:val="en-GB"/>
              </w:rPr>
            </w:pPr>
            <w:r>
              <w:rPr>
                <w:rFonts w:cs="Arial"/>
                <w:szCs w:val="22"/>
                <w:lang w:val="en-GB"/>
              </w:rPr>
              <w:t>Consultation with Regulatory Authorities</w:t>
            </w:r>
          </w:p>
          <w:p w14:paraId="7EE33897" w14:textId="77777777" w:rsidR="00054815" w:rsidRDefault="00054815" w:rsidP="00054815">
            <w:pPr>
              <w:pStyle w:val="ListParagraph"/>
              <w:numPr>
                <w:ilvl w:val="0"/>
                <w:numId w:val="130"/>
              </w:numPr>
              <w:spacing w:line="240" w:lineRule="auto"/>
              <w:rPr>
                <w:rFonts w:cs="Arial"/>
                <w:szCs w:val="22"/>
                <w:lang w:val="en-GB"/>
              </w:rPr>
            </w:pPr>
            <w:r>
              <w:rPr>
                <w:rFonts w:cs="Arial"/>
                <w:szCs w:val="22"/>
                <w:lang w:val="en-GB"/>
              </w:rPr>
              <w:t>Survey to approved providers</w:t>
            </w:r>
          </w:p>
          <w:p w14:paraId="384275D0" w14:textId="429D6275" w:rsidR="00054815" w:rsidRPr="00480FE5" w:rsidDel="00AD3ED2" w:rsidRDefault="00054815" w:rsidP="00054815">
            <w:pPr>
              <w:pStyle w:val="ListParagraph"/>
              <w:numPr>
                <w:ilvl w:val="0"/>
                <w:numId w:val="130"/>
              </w:numPr>
              <w:spacing w:line="240" w:lineRule="auto"/>
              <w:rPr>
                <w:rFonts w:cs="Arial"/>
                <w:szCs w:val="22"/>
                <w:lang w:val="en-GB"/>
              </w:rPr>
            </w:pPr>
            <w:r>
              <w:rPr>
                <w:szCs w:val="22"/>
                <w:lang w:val="en-GB"/>
              </w:rPr>
              <w:t>Compliance data on section 118A</w:t>
            </w:r>
          </w:p>
        </w:tc>
      </w:tr>
      <w:tr w:rsidR="00FA6DEC" w:rsidRPr="000876F6" w14:paraId="246947C3" w14:textId="1AB7FE3D" w:rsidTr="00AF4412">
        <w:tc>
          <w:tcPr>
            <w:tcW w:w="0" w:type="auto"/>
            <w:vAlign w:val="center"/>
          </w:tcPr>
          <w:p w14:paraId="67D26A49" w14:textId="13B6E89B" w:rsidR="00FA6DEC" w:rsidRPr="000876F6" w:rsidRDefault="00FA6DEC" w:rsidP="00FA6DEC">
            <w:pPr>
              <w:spacing w:line="240" w:lineRule="auto"/>
              <w:rPr>
                <w:rFonts w:cs="Arial"/>
                <w:szCs w:val="22"/>
              </w:rPr>
            </w:pPr>
            <w:r w:rsidRPr="002F79C7">
              <w:rPr>
                <w:b/>
                <w:szCs w:val="20"/>
              </w:rPr>
              <w:t xml:space="preserve">Option </w:t>
            </w:r>
            <w:r>
              <w:rPr>
                <w:b/>
                <w:szCs w:val="20"/>
              </w:rPr>
              <w:t>4</w:t>
            </w:r>
            <w:r w:rsidRPr="002F79C7">
              <w:rPr>
                <w:b/>
                <w:szCs w:val="20"/>
              </w:rPr>
              <w:t xml:space="preserve"> (Regulatory)</w:t>
            </w:r>
          </w:p>
        </w:tc>
        <w:tc>
          <w:tcPr>
            <w:tcW w:w="6445" w:type="dxa"/>
            <w:vMerge/>
            <w:vAlign w:val="center"/>
          </w:tcPr>
          <w:p w14:paraId="69740ED1" w14:textId="4D12C9E4" w:rsidR="00FA6DEC" w:rsidRPr="000876F6" w:rsidRDefault="00FA6DEC" w:rsidP="00FA6DEC">
            <w:pPr>
              <w:spacing w:line="240" w:lineRule="auto"/>
              <w:rPr>
                <w:rFonts w:cs="Arial"/>
                <w:szCs w:val="22"/>
                <w:lang w:val="en-GB"/>
              </w:rPr>
            </w:pPr>
          </w:p>
        </w:tc>
        <w:tc>
          <w:tcPr>
            <w:tcW w:w="1701" w:type="dxa"/>
            <w:vMerge/>
          </w:tcPr>
          <w:p w14:paraId="3FC12AC0" w14:textId="77777777" w:rsidR="00FA6DEC" w:rsidRPr="000876F6" w:rsidDel="00AD3ED2" w:rsidRDefault="00FA6DEC" w:rsidP="00FA6DEC">
            <w:pPr>
              <w:spacing w:line="240" w:lineRule="auto"/>
              <w:rPr>
                <w:rFonts w:cs="Arial"/>
                <w:szCs w:val="22"/>
                <w:lang w:val="en-GB"/>
              </w:rPr>
            </w:pPr>
          </w:p>
        </w:tc>
        <w:tc>
          <w:tcPr>
            <w:tcW w:w="3749" w:type="dxa"/>
            <w:vMerge/>
          </w:tcPr>
          <w:p w14:paraId="1FA11938" w14:textId="77777777" w:rsidR="00FA6DEC" w:rsidRPr="000876F6" w:rsidDel="00AD3ED2" w:rsidRDefault="00FA6DEC" w:rsidP="00FA6DEC">
            <w:pPr>
              <w:spacing w:line="240" w:lineRule="auto"/>
              <w:rPr>
                <w:rFonts w:cs="Arial"/>
                <w:szCs w:val="22"/>
                <w:lang w:val="en-GB"/>
              </w:rPr>
            </w:pPr>
          </w:p>
        </w:tc>
      </w:tr>
      <w:tr w:rsidR="00FA6DEC" w:rsidRPr="000876F6" w14:paraId="648FF9BC" w14:textId="223CABD3" w:rsidTr="00AF4412">
        <w:tc>
          <w:tcPr>
            <w:tcW w:w="0" w:type="auto"/>
            <w:vAlign w:val="center"/>
          </w:tcPr>
          <w:p w14:paraId="75F2C387" w14:textId="6B063F73" w:rsidR="00FA6DEC" w:rsidRPr="000876F6" w:rsidRDefault="00FA6DEC" w:rsidP="00FA6DEC">
            <w:pPr>
              <w:spacing w:line="240" w:lineRule="auto"/>
              <w:rPr>
                <w:rFonts w:cs="Arial"/>
                <w:szCs w:val="22"/>
              </w:rPr>
            </w:pPr>
            <w:r w:rsidRPr="002F79C7">
              <w:rPr>
                <w:b/>
                <w:szCs w:val="20"/>
              </w:rPr>
              <w:t xml:space="preserve">Option </w:t>
            </w:r>
            <w:r>
              <w:rPr>
                <w:b/>
                <w:szCs w:val="20"/>
              </w:rPr>
              <w:t>5</w:t>
            </w:r>
            <w:r w:rsidRPr="002F79C7">
              <w:rPr>
                <w:b/>
                <w:szCs w:val="20"/>
              </w:rPr>
              <w:t xml:space="preserve"> (Regulatory)</w:t>
            </w:r>
          </w:p>
        </w:tc>
        <w:tc>
          <w:tcPr>
            <w:tcW w:w="6445" w:type="dxa"/>
            <w:vMerge/>
            <w:vAlign w:val="center"/>
          </w:tcPr>
          <w:p w14:paraId="407F092E" w14:textId="67A6E0E6" w:rsidR="00FA6DEC" w:rsidRPr="000876F6" w:rsidRDefault="00FA6DEC" w:rsidP="00FA6DEC">
            <w:pPr>
              <w:spacing w:line="240" w:lineRule="auto"/>
              <w:rPr>
                <w:rFonts w:cs="Arial"/>
                <w:szCs w:val="22"/>
                <w:lang w:val="en-GB"/>
              </w:rPr>
            </w:pPr>
          </w:p>
        </w:tc>
        <w:tc>
          <w:tcPr>
            <w:tcW w:w="1701" w:type="dxa"/>
            <w:vMerge/>
          </w:tcPr>
          <w:p w14:paraId="019B63E2" w14:textId="77777777" w:rsidR="00FA6DEC" w:rsidRPr="000876F6" w:rsidDel="00AD3ED2" w:rsidRDefault="00FA6DEC" w:rsidP="00FA6DEC">
            <w:pPr>
              <w:spacing w:line="240" w:lineRule="auto"/>
              <w:rPr>
                <w:rFonts w:cs="Arial"/>
                <w:szCs w:val="22"/>
                <w:lang w:val="en-GB"/>
              </w:rPr>
            </w:pPr>
          </w:p>
        </w:tc>
        <w:tc>
          <w:tcPr>
            <w:tcW w:w="3749" w:type="dxa"/>
            <w:vMerge/>
          </w:tcPr>
          <w:p w14:paraId="0C988A02" w14:textId="77777777" w:rsidR="00FA6DEC" w:rsidRPr="000876F6" w:rsidDel="00AD3ED2" w:rsidRDefault="00FA6DEC" w:rsidP="00FA6DEC">
            <w:pPr>
              <w:spacing w:line="240" w:lineRule="auto"/>
              <w:rPr>
                <w:rFonts w:cs="Arial"/>
                <w:szCs w:val="22"/>
                <w:lang w:val="en-GB"/>
              </w:rPr>
            </w:pPr>
          </w:p>
        </w:tc>
      </w:tr>
    </w:tbl>
    <w:p w14:paraId="44DBCEAD" w14:textId="4AC44FB8" w:rsidR="007A7C2E" w:rsidRDefault="007A7C2E">
      <w:pPr>
        <w:spacing w:after="160" w:line="259" w:lineRule="auto"/>
        <w:sectPr w:rsidR="007A7C2E" w:rsidSect="007E30F1">
          <w:headerReference w:type="first" r:id="rId66"/>
          <w:pgSz w:w="16840" w:h="11900" w:orient="landscape"/>
          <w:pgMar w:top="1440" w:right="1440" w:bottom="1440" w:left="1440" w:header="709" w:footer="709" w:gutter="0"/>
          <w:cols w:space="708"/>
          <w:titlePg/>
          <w:docGrid w:linePitch="360"/>
        </w:sectPr>
      </w:pPr>
    </w:p>
    <w:p w14:paraId="6BE83EFA" w14:textId="2CBA179F" w:rsidR="007B503C" w:rsidRDefault="007A7C2E" w:rsidP="007A7C2E">
      <w:pPr>
        <w:pStyle w:val="Heading2"/>
        <w:rPr>
          <w:lang w:val="en-GB"/>
        </w:rPr>
      </w:pPr>
      <w:bookmarkStart w:id="237" w:name="_Toc205884910"/>
      <w:r>
        <w:rPr>
          <w:lang w:val="en-GB"/>
        </w:rPr>
        <w:lastRenderedPageBreak/>
        <w:t>Next steps</w:t>
      </w:r>
      <w:bookmarkEnd w:id="237"/>
    </w:p>
    <w:p w14:paraId="7DF4D397" w14:textId="77777777" w:rsidR="00AD449C" w:rsidRDefault="00AD449C" w:rsidP="00AD449C">
      <w:pPr>
        <w:rPr>
          <w:lang w:val="en-GB"/>
        </w:rPr>
      </w:pPr>
      <w:r>
        <w:rPr>
          <w:lang w:val="en-GB"/>
        </w:rPr>
        <w:t xml:space="preserve">This DRIS will be endorsed by the Child Safety Review Group, followed by the </w:t>
      </w:r>
      <w:r w:rsidRPr="00BB601E">
        <w:t>Australian Education Senior Officials Committee</w:t>
      </w:r>
      <w:r>
        <w:rPr>
          <w:lang w:val="en-GB"/>
        </w:rPr>
        <w:t xml:space="preserve">, before it is presented to Education Ministers for decision making. </w:t>
      </w:r>
    </w:p>
    <w:p w14:paraId="4F88F2AC" w14:textId="0F2DC23A" w:rsidR="007A7C2E" w:rsidRDefault="00AD449C" w:rsidP="007A7C2E">
      <w:pPr>
        <w:rPr>
          <w:lang w:val="en-GB"/>
        </w:rPr>
      </w:pPr>
      <w:r>
        <w:rPr>
          <w:lang w:val="en-GB"/>
        </w:rPr>
        <w:t xml:space="preserve">Education Ministers convene in mid-August 2025 where they will be presented with the DRIS to make a decision on the implementation of the </w:t>
      </w:r>
      <w:r w:rsidR="002B380F">
        <w:rPr>
          <w:lang w:val="en-GB"/>
        </w:rPr>
        <w:t xml:space="preserve">recommended </w:t>
      </w:r>
      <w:r>
        <w:rPr>
          <w:lang w:val="en-GB"/>
        </w:rPr>
        <w:t xml:space="preserve">options. The options that are agreed on by Education Ministers will proceed to legislation through the Victorian Parliament, as the host jurisdiction of the National Law. The timeframes for legislative amendments to take effect will be determined by Education Ministers. </w:t>
      </w:r>
    </w:p>
    <w:p w14:paraId="3675AADC" w14:textId="665E914F" w:rsidR="00AD449C" w:rsidRDefault="0001223C" w:rsidP="00AD449C">
      <w:pPr>
        <w:pStyle w:val="Caption"/>
        <w:rPr>
          <w:lang w:val="en-GB"/>
        </w:rPr>
      </w:pPr>
      <w:bookmarkStart w:id="238" w:name="_Toc205885002"/>
      <w:r>
        <w:rPr>
          <w:lang w:val="en-GB"/>
        </w:rPr>
        <w:t>Table</w:t>
      </w:r>
      <w:r w:rsidR="00AD449C">
        <w:rPr>
          <w:lang w:val="en-GB"/>
        </w:rPr>
        <w:t xml:space="preserve"> 11.</w:t>
      </w:r>
      <w:r>
        <w:rPr>
          <w:lang w:val="en-GB"/>
        </w:rPr>
        <w:t>5</w:t>
      </w:r>
      <w:r w:rsidR="00AD449C">
        <w:rPr>
          <w:lang w:val="en-GB"/>
        </w:rPr>
        <w:t xml:space="preserve">: </w:t>
      </w:r>
      <w:r>
        <w:rPr>
          <w:lang w:val="en-GB"/>
        </w:rPr>
        <w:t>Status of the impact analysis at each major decision point</w:t>
      </w:r>
      <w:bookmarkEnd w:id="2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5: Status of the impact analysis at each major decision point"/>
        <w:tblDescription w:val="This table outlines the status of the impact analysis at each major decision point."/>
      </w:tblPr>
      <w:tblGrid>
        <w:gridCol w:w="3256"/>
        <w:gridCol w:w="1984"/>
        <w:gridCol w:w="3770"/>
      </w:tblGrid>
      <w:tr w:rsidR="0001223C" w14:paraId="7DAC9AF4" w14:textId="77777777" w:rsidTr="00151F51">
        <w:trPr>
          <w:tblHeader/>
        </w:trPr>
        <w:tc>
          <w:tcPr>
            <w:tcW w:w="1807" w:type="pct"/>
            <w:shd w:val="clear" w:color="auto" w:fill="14233C" w:themeFill="text2"/>
            <w:vAlign w:val="center"/>
          </w:tcPr>
          <w:p w14:paraId="44488309" w14:textId="1CD3F54A" w:rsidR="0001223C" w:rsidRPr="002D5851" w:rsidRDefault="0001223C">
            <w:pPr>
              <w:spacing w:line="240" w:lineRule="auto"/>
              <w:rPr>
                <w:b/>
                <w:color w:val="FFFFFF" w:themeColor="background1"/>
                <w:szCs w:val="22"/>
              </w:rPr>
            </w:pPr>
            <w:r>
              <w:rPr>
                <w:b/>
                <w:color w:val="FFFFFF" w:themeColor="background1"/>
                <w:szCs w:val="22"/>
              </w:rPr>
              <w:t>Decision point</w:t>
            </w:r>
          </w:p>
        </w:tc>
        <w:tc>
          <w:tcPr>
            <w:tcW w:w="1101" w:type="pct"/>
            <w:shd w:val="clear" w:color="auto" w:fill="14233C" w:themeFill="text2"/>
            <w:vAlign w:val="center"/>
          </w:tcPr>
          <w:p w14:paraId="2CD7B6DA" w14:textId="240A26BC" w:rsidR="0001223C" w:rsidRPr="002D5851" w:rsidRDefault="0001223C">
            <w:pPr>
              <w:spacing w:line="240" w:lineRule="auto"/>
              <w:rPr>
                <w:b/>
                <w:color w:val="FFFFFF" w:themeColor="background1"/>
                <w:szCs w:val="22"/>
              </w:rPr>
            </w:pPr>
            <w:r>
              <w:rPr>
                <w:b/>
                <w:szCs w:val="22"/>
                <w:lang w:val="en-GB"/>
              </w:rPr>
              <w:t>Timeframe</w:t>
            </w:r>
          </w:p>
        </w:tc>
        <w:tc>
          <w:tcPr>
            <w:tcW w:w="2092" w:type="pct"/>
            <w:shd w:val="clear" w:color="auto" w:fill="14233C" w:themeFill="text2"/>
            <w:vAlign w:val="center"/>
          </w:tcPr>
          <w:p w14:paraId="6A8EA714" w14:textId="0F3EE598" w:rsidR="0001223C" w:rsidRDefault="0001223C">
            <w:pPr>
              <w:spacing w:line="240" w:lineRule="auto"/>
              <w:rPr>
                <w:b/>
                <w:szCs w:val="22"/>
                <w:lang w:val="en-GB"/>
              </w:rPr>
            </w:pPr>
            <w:r>
              <w:rPr>
                <w:b/>
                <w:szCs w:val="22"/>
                <w:lang w:val="en-GB"/>
              </w:rPr>
              <w:t xml:space="preserve">Status of the </w:t>
            </w:r>
            <w:r w:rsidR="0033666F">
              <w:rPr>
                <w:b/>
                <w:szCs w:val="22"/>
                <w:lang w:val="en-GB"/>
              </w:rPr>
              <w:t xml:space="preserve">regulatory </w:t>
            </w:r>
            <w:r>
              <w:rPr>
                <w:b/>
                <w:szCs w:val="22"/>
                <w:lang w:val="en-GB"/>
              </w:rPr>
              <w:t>impact analysis</w:t>
            </w:r>
          </w:p>
        </w:tc>
      </w:tr>
      <w:tr w:rsidR="00B62745" w:rsidRPr="00757BE3" w14:paraId="7C6EA112" w14:textId="77777777" w:rsidTr="00151F51">
        <w:tc>
          <w:tcPr>
            <w:tcW w:w="1807" w:type="pct"/>
            <w:vAlign w:val="center"/>
          </w:tcPr>
          <w:p w14:paraId="61C18A09" w14:textId="07D3413A" w:rsidR="00B62745" w:rsidRPr="002D5851" w:rsidRDefault="00B62745" w:rsidP="00B62745">
            <w:pPr>
              <w:spacing w:line="240" w:lineRule="auto"/>
              <w:rPr>
                <w:szCs w:val="22"/>
              </w:rPr>
            </w:pPr>
            <w:r>
              <w:rPr>
                <w:szCs w:val="22"/>
              </w:rPr>
              <w:t>Development of the Child Safety Review</w:t>
            </w:r>
          </w:p>
        </w:tc>
        <w:tc>
          <w:tcPr>
            <w:tcW w:w="1101" w:type="pct"/>
          </w:tcPr>
          <w:p w14:paraId="51921CAB" w14:textId="46A5D678" w:rsidR="00B62745" w:rsidRPr="0001223C" w:rsidRDefault="00B62745" w:rsidP="00B62745">
            <w:pPr>
              <w:spacing w:line="240" w:lineRule="auto"/>
              <w:rPr>
                <w:bCs/>
                <w:szCs w:val="22"/>
              </w:rPr>
            </w:pPr>
            <w:r>
              <w:rPr>
                <w:bCs/>
                <w:szCs w:val="22"/>
              </w:rPr>
              <w:t>March to December 2023</w:t>
            </w:r>
          </w:p>
        </w:tc>
        <w:tc>
          <w:tcPr>
            <w:tcW w:w="2092" w:type="pct"/>
          </w:tcPr>
          <w:p w14:paraId="6D62A55C" w14:textId="2EFECCE0" w:rsidR="00B62745" w:rsidRPr="00757BE3" w:rsidRDefault="00DC212A" w:rsidP="00B62745">
            <w:pPr>
              <w:spacing w:line="240" w:lineRule="auto"/>
              <w:ind w:left="360"/>
              <w:rPr>
                <w:szCs w:val="22"/>
                <w:lang w:val="en-GB"/>
              </w:rPr>
            </w:pPr>
            <w:r>
              <w:rPr>
                <w:szCs w:val="22"/>
                <w:lang w:val="en-GB"/>
              </w:rPr>
              <w:t>Undeveloped</w:t>
            </w:r>
          </w:p>
        </w:tc>
      </w:tr>
      <w:tr w:rsidR="00B62745" w:rsidRPr="00757BE3" w14:paraId="14404BB1" w14:textId="77777777" w:rsidTr="00151F51">
        <w:tc>
          <w:tcPr>
            <w:tcW w:w="1807" w:type="pct"/>
            <w:vAlign w:val="center"/>
          </w:tcPr>
          <w:p w14:paraId="1B3BA4CA" w14:textId="0B293945" w:rsidR="00B62745" w:rsidRDefault="00B62745" w:rsidP="00B62745">
            <w:pPr>
              <w:spacing w:line="240" w:lineRule="auto"/>
              <w:rPr>
                <w:szCs w:val="22"/>
              </w:rPr>
            </w:pPr>
            <w:r>
              <w:rPr>
                <w:szCs w:val="22"/>
              </w:rPr>
              <w:t>Education Minister agreement on Child Safety Review recommendations</w:t>
            </w:r>
          </w:p>
        </w:tc>
        <w:tc>
          <w:tcPr>
            <w:tcW w:w="1101" w:type="pct"/>
          </w:tcPr>
          <w:p w14:paraId="5A2DAC54" w14:textId="181001EE" w:rsidR="00B62745" w:rsidRPr="0001223C" w:rsidRDefault="00B62745" w:rsidP="00B62745">
            <w:pPr>
              <w:spacing w:line="240" w:lineRule="auto"/>
              <w:rPr>
                <w:bCs/>
                <w:szCs w:val="22"/>
              </w:rPr>
            </w:pPr>
            <w:r>
              <w:rPr>
                <w:bCs/>
                <w:szCs w:val="22"/>
              </w:rPr>
              <w:t>February 2024</w:t>
            </w:r>
          </w:p>
        </w:tc>
        <w:tc>
          <w:tcPr>
            <w:tcW w:w="2092" w:type="pct"/>
          </w:tcPr>
          <w:p w14:paraId="2538EF47" w14:textId="1DB61CAC" w:rsidR="00B62745" w:rsidRDefault="00B62745" w:rsidP="00B62745">
            <w:pPr>
              <w:spacing w:line="240" w:lineRule="auto"/>
              <w:ind w:left="360"/>
              <w:rPr>
                <w:szCs w:val="22"/>
                <w:lang w:val="en-GB"/>
              </w:rPr>
            </w:pPr>
            <w:r>
              <w:rPr>
                <w:szCs w:val="22"/>
                <w:lang w:val="en-GB"/>
              </w:rPr>
              <w:t>Undeveloped</w:t>
            </w:r>
          </w:p>
        </w:tc>
      </w:tr>
      <w:tr w:rsidR="00B62745" w:rsidRPr="00757BE3" w14:paraId="049B02E8" w14:textId="77777777" w:rsidTr="00151F51">
        <w:tc>
          <w:tcPr>
            <w:tcW w:w="1807" w:type="pct"/>
            <w:vAlign w:val="center"/>
          </w:tcPr>
          <w:p w14:paraId="2825BACB" w14:textId="6E76B8D7" w:rsidR="00B62745" w:rsidRDefault="00B62745" w:rsidP="00B62745">
            <w:pPr>
              <w:spacing w:line="240" w:lineRule="auto"/>
              <w:rPr>
                <w:szCs w:val="22"/>
              </w:rPr>
            </w:pPr>
            <w:r>
              <w:rPr>
                <w:szCs w:val="22"/>
              </w:rPr>
              <w:t xml:space="preserve">Child Safety Group endorsement of policy options to inform development of CRIS </w:t>
            </w:r>
          </w:p>
        </w:tc>
        <w:tc>
          <w:tcPr>
            <w:tcW w:w="1101" w:type="pct"/>
          </w:tcPr>
          <w:p w14:paraId="4A7BC647" w14:textId="5B9DFF73" w:rsidR="00B62745" w:rsidRPr="008448FD" w:rsidRDefault="00B62745" w:rsidP="00B62745">
            <w:pPr>
              <w:spacing w:line="240" w:lineRule="auto"/>
              <w:rPr>
                <w:bCs/>
                <w:szCs w:val="22"/>
              </w:rPr>
            </w:pPr>
            <w:r w:rsidRPr="008448FD">
              <w:rPr>
                <w:bCs/>
                <w:szCs w:val="22"/>
              </w:rPr>
              <w:t>November 2024</w:t>
            </w:r>
          </w:p>
        </w:tc>
        <w:tc>
          <w:tcPr>
            <w:tcW w:w="2092" w:type="pct"/>
          </w:tcPr>
          <w:p w14:paraId="0972650B" w14:textId="575DB59E" w:rsidR="00B62745" w:rsidRDefault="00B62745" w:rsidP="00B62745">
            <w:pPr>
              <w:spacing w:line="240" w:lineRule="auto"/>
              <w:ind w:left="360"/>
              <w:rPr>
                <w:szCs w:val="22"/>
                <w:lang w:val="en-GB"/>
              </w:rPr>
            </w:pPr>
            <w:r>
              <w:rPr>
                <w:szCs w:val="22"/>
                <w:lang w:val="en-GB"/>
              </w:rPr>
              <w:t>Undeveloped</w:t>
            </w:r>
          </w:p>
        </w:tc>
      </w:tr>
      <w:tr w:rsidR="00B62745" w:rsidRPr="00757BE3" w14:paraId="15459DBF" w14:textId="77777777" w:rsidTr="00151F51">
        <w:tc>
          <w:tcPr>
            <w:tcW w:w="1807" w:type="pct"/>
            <w:vAlign w:val="center"/>
          </w:tcPr>
          <w:p w14:paraId="65268E76" w14:textId="410D5C3E" w:rsidR="00B62745" w:rsidRDefault="00B62745" w:rsidP="00B62745">
            <w:pPr>
              <w:spacing w:line="240" w:lineRule="auto"/>
              <w:rPr>
                <w:szCs w:val="22"/>
              </w:rPr>
            </w:pPr>
            <w:r w:rsidRPr="00BB601E">
              <w:t>Australian Education Senior Officials Committee</w:t>
            </w:r>
            <w:r>
              <w:t xml:space="preserve"> endorsement of policy options to inform development of CRIS </w:t>
            </w:r>
          </w:p>
        </w:tc>
        <w:tc>
          <w:tcPr>
            <w:tcW w:w="1101" w:type="pct"/>
          </w:tcPr>
          <w:p w14:paraId="1334271A" w14:textId="38989B4E" w:rsidR="00B62745" w:rsidRPr="008448FD" w:rsidRDefault="00B62745" w:rsidP="00B62745">
            <w:pPr>
              <w:spacing w:line="240" w:lineRule="auto"/>
              <w:rPr>
                <w:bCs/>
                <w:szCs w:val="22"/>
              </w:rPr>
            </w:pPr>
            <w:r w:rsidRPr="008448FD">
              <w:rPr>
                <w:bCs/>
                <w:szCs w:val="22"/>
              </w:rPr>
              <w:t>February 2025</w:t>
            </w:r>
          </w:p>
        </w:tc>
        <w:tc>
          <w:tcPr>
            <w:tcW w:w="2092" w:type="pct"/>
          </w:tcPr>
          <w:p w14:paraId="52CCC8F1" w14:textId="518ABE93" w:rsidR="00B62745" w:rsidRDefault="00B62745" w:rsidP="00B62745">
            <w:pPr>
              <w:spacing w:line="240" w:lineRule="auto"/>
              <w:ind w:left="360"/>
              <w:rPr>
                <w:szCs w:val="22"/>
                <w:lang w:val="en-GB"/>
              </w:rPr>
            </w:pPr>
            <w:r>
              <w:rPr>
                <w:szCs w:val="22"/>
                <w:lang w:val="en-GB"/>
              </w:rPr>
              <w:t>Undeveloped</w:t>
            </w:r>
          </w:p>
        </w:tc>
      </w:tr>
      <w:tr w:rsidR="00B62745" w:rsidRPr="00757BE3" w14:paraId="4C7D79DF" w14:textId="77777777" w:rsidTr="00151F51">
        <w:tc>
          <w:tcPr>
            <w:tcW w:w="1807" w:type="pct"/>
            <w:vAlign w:val="center"/>
          </w:tcPr>
          <w:p w14:paraId="0033655C" w14:textId="6980DE05" w:rsidR="00B62745" w:rsidRDefault="00B62745" w:rsidP="00B62745">
            <w:pPr>
              <w:spacing w:line="240" w:lineRule="auto"/>
              <w:rPr>
                <w:szCs w:val="22"/>
              </w:rPr>
            </w:pPr>
            <w:r>
              <w:t xml:space="preserve">Education Ministers  </w:t>
            </w:r>
            <w:r w:rsidR="007248C7">
              <w:t xml:space="preserve">agreed </w:t>
            </w:r>
            <w:r>
              <w:t xml:space="preserve">policy options to inform development of CRIS </w:t>
            </w:r>
          </w:p>
        </w:tc>
        <w:tc>
          <w:tcPr>
            <w:tcW w:w="1101" w:type="pct"/>
          </w:tcPr>
          <w:p w14:paraId="4EC420DC" w14:textId="5C1D7305" w:rsidR="00B62745" w:rsidRPr="008448FD" w:rsidRDefault="00B62745" w:rsidP="00B62745">
            <w:pPr>
              <w:spacing w:line="240" w:lineRule="auto"/>
              <w:rPr>
                <w:bCs/>
                <w:szCs w:val="22"/>
              </w:rPr>
            </w:pPr>
            <w:r w:rsidRPr="008448FD">
              <w:rPr>
                <w:bCs/>
                <w:szCs w:val="22"/>
              </w:rPr>
              <w:t>February 2025</w:t>
            </w:r>
          </w:p>
        </w:tc>
        <w:tc>
          <w:tcPr>
            <w:tcW w:w="2092" w:type="pct"/>
          </w:tcPr>
          <w:p w14:paraId="552D78BB" w14:textId="70D2697F" w:rsidR="00B62745" w:rsidRDefault="00B62745" w:rsidP="00B62745">
            <w:pPr>
              <w:spacing w:line="240" w:lineRule="auto"/>
              <w:ind w:left="360"/>
              <w:rPr>
                <w:szCs w:val="22"/>
                <w:lang w:val="en-GB"/>
              </w:rPr>
            </w:pPr>
            <w:r>
              <w:rPr>
                <w:szCs w:val="22"/>
                <w:lang w:val="en-GB"/>
              </w:rPr>
              <w:t>Undeveloped</w:t>
            </w:r>
          </w:p>
        </w:tc>
      </w:tr>
      <w:tr w:rsidR="00C14D76" w:rsidRPr="00757BE3" w14:paraId="53214C56" w14:textId="77777777" w:rsidTr="00151F51">
        <w:tc>
          <w:tcPr>
            <w:tcW w:w="1807" w:type="pct"/>
            <w:vAlign w:val="center"/>
          </w:tcPr>
          <w:p w14:paraId="544561B3" w14:textId="2F9F3AB0" w:rsidR="00C14D76" w:rsidRDefault="00C14D76" w:rsidP="0033666F">
            <w:pPr>
              <w:spacing w:line="240" w:lineRule="auto"/>
              <w:rPr>
                <w:szCs w:val="22"/>
              </w:rPr>
            </w:pPr>
            <w:r>
              <w:rPr>
                <w:szCs w:val="22"/>
              </w:rPr>
              <w:t>Pre-CRIS consultation</w:t>
            </w:r>
          </w:p>
        </w:tc>
        <w:tc>
          <w:tcPr>
            <w:tcW w:w="1101" w:type="pct"/>
            <w:vAlign w:val="center"/>
          </w:tcPr>
          <w:p w14:paraId="04C1F09D" w14:textId="1A2D379F" w:rsidR="00C14D76" w:rsidRPr="0001223C" w:rsidRDefault="00E121E6" w:rsidP="0033666F">
            <w:pPr>
              <w:spacing w:line="240" w:lineRule="auto"/>
              <w:rPr>
                <w:bCs/>
                <w:szCs w:val="22"/>
              </w:rPr>
            </w:pPr>
            <w:r>
              <w:rPr>
                <w:bCs/>
                <w:szCs w:val="22"/>
              </w:rPr>
              <w:t>March 2025</w:t>
            </w:r>
          </w:p>
        </w:tc>
        <w:tc>
          <w:tcPr>
            <w:tcW w:w="2092" w:type="pct"/>
          </w:tcPr>
          <w:p w14:paraId="1F386FAF" w14:textId="3E724D9A" w:rsidR="00C14D76" w:rsidRPr="00757BE3" w:rsidRDefault="00757ECD" w:rsidP="0033666F">
            <w:pPr>
              <w:spacing w:line="240" w:lineRule="auto"/>
              <w:ind w:left="360"/>
              <w:rPr>
                <w:szCs w:val="22"/>
                <w:lang w:val="en-GB"/>
              </w:rPr>
            </w:pPr>
            <w:r>
              <w:rPr>
                <w:szCs w:val="22"/>
                <w:lang w:val="en-GB"/>
              </w:rPr>
              <w:t>CRIS in development</w:t>
            </w:r>
          </w:p>
        </w:tc>
      </w:tr>
      <w:tr w:rsidR="0065540F" w:rsidRPr="00757BE3" w14:paraId="2203F185" w14:textId="77777777" w:rsidTr="00151F51">
        <w:tc>
          <w:tcPr>
            <w:tcW w:w="1807" w:type="pct"/>
            <w:vAlign w:val="center"/>
          </w:tcPr>
          <w:p w14:paraId="1092D2BA" w14:textId="0FB8C8C8" w:rsidR="0065540F" w:rsidRDefault="0065540F" w:rsidP="0033666F">
            <w:pPr>
              <w:spacing w:line="240" w:lineRule="auto"/>
              <w:rPr>
                <w:szCs w:val="22"/>
              </w:rPr>
            </w:pPr>
            <w:r>
              <w:rPr>
                <w:szCs w:val="22"/>
              </w:rPr>
              <w:t xml:space="preserve">Child Safety Review Group </w:t>
            </w:r>
            <w:r>
              <w:t>endorsement of the CRIS</w:t>
            </w:r>
          </w:p>
        </w:tc>
        <w:tc>
          <w:tcPr>
            <w:tcW w:w="1101" w:type="pct"/>
            <w:vAlign w:val="center"/>
          </w:tcPr>
          <w:p w14:paraId="6BAAE7E9" w14:textId="4095B628" w:rsidR="0065540F" w:rsidRPr="0001223C" w:rsidRDefault="00E121E6" w:rsidP="0033666F">
            <w:pPr>
              <w:spacing w:line="240" w:lineRule="auto"/>
              <w:rPr>
                <w:bCs/>
                <w:szCs w:val="22"/>
              </w:rPr>
            </w:pPr>
            <w:r>
              <w:rPr>
                <w:bCs/>
                <w:szCs w:val="22"/>
              </w:rPr>
              <w:t>April 2025</w:t>
            </w:r>
          </w:p>
        </w:tc>
        <w:tc>
          <w:tcPr>
            <w:tcW w:w="2092" w:type="pct"/>
          </w:tcPr>
          <w:p w14:paraId="168FB448" w14:textId="5609A0D2" w:rsidR="0065540F" w:rsidRDefault="0065540F" w:rsidP="0033666F">
            <w:pPr>
              <w:spacing w:line="240" w:lineRule="auto"/>
              <w:ind w:left="360"/>
              <w:rPr>
                <w:szCs w:val="22"/>
                <w:lang w:val="en-GB"/>
              </w:rPr>
            </w:pPr>
            <w:r>
              <w:rPr>
                <w:szCs w:val="22"/>
                <w:lang w:val="en-GB"/>
              </w:rPr>
              <w:t xml:space="preserve">CRIS developed, </w:t>
            </w:r>
            <w:r w:rsidR="00151F51">
              <w:rPr>
                <w:szCs w:val="22"/>
                <w:lang w:val="en-GB"/>
              </w:rPr>
              <w:t>awaiting OIA assessment</w:t>
            </w:r>
          </w:p>
        </w:tc>
      </w:tr>
      <w:tr w:rsidR="00151F51" w:rsidRPr="00757BE3" w14:paraId="5BE9CC73" w14:textId="77777777" w:rsidTr="00151F51">
        <w:tc>
          <w:tcPr>
            <w:tcW w:w="1807" w:type="pct"/>
            <w:vAlign w:val="center"/>
          </w:tcPr>
          <w:p w14:paraId="2F6B6521" w14:textId="318C6460" w:rsidR="00151F51" w:rsidRDefault="00151F51" w:rsidP="0033666F">
            <w:pPr>
              <w:spacing w:line="240" w:lineRule="auto"/>
              <w:rPr>
                <w:szCs w:val="22"/>
              </w:rPr>
            </w:pPr>
            <w:r w:rsidRPr="00BB601E">
              <w:t>Australian Education Senior Officials Committee</w:t>
            </w:r>
            <w:r>
              <w:t xml:space="preserve"> endorsement of the CRIS</w:t>
            </w:r>
          </w:p>
        </w:tc>
        <w:tc>
          <w:tcPr>
            <w:tcW w:w="1101" w:type="pct"/>
            <w:vAlign w:val="center"/>
          </w:tcPr>
          <w:p w14:paraId="46135C88" w14:textId="5B6CCC7A" w:rsidR="00151F51" w:rsidRPr="0001223C" w:rsidRDefault="00E121E6" w:rsidP="0033666F">
            <w:pPr>
              <w:spacing w:line="240" w:lineRule="auto"/>
              <w:rPr>
                <w:bCs/>
                <w:szCs w:val="22"/>
              </w:rPr>
            </w:pPr>
            <w:r>
              <w:rPr>
                <w:bCs/>
                <w:szCs w:val="22"/>
              </w:rPr>
              <w:t>April 2025</w:t>
            </w:r>
          </w:p>
        </w:tc>
        <w:tc>
          <w:tcPr>
            <w:tcW w:w="2092" w:type="pct"/>
          </w:tcPr>
          <w:p w14:paraId="6FD1BA6D" w14:textId="1EA02445" w:rsidR="00151F51" w:rsidRDefault="00151F51" w:rsidP="0033666F">
            <w:pPr>
              <w:spacing w:line="240" w:lineRule="auto"/>
              <w:ind w:left="360"/>
              <w:rPr>
                <w:szCs w:val="22"/>
                <w:lang w:val="en-GB"/>
              </w:rPr>
            </w:pPr>
            <w:r>
              <w:rPr>
                <w:szCs w:val="22"/>
                <w:lang w:val="en-GB"/>
              </w:rPr>
              <w:t>CRIS developed and assessed as compliant by OIA</w:t>
            </w:r>
          </w:p>
        </w:tc>
      </w:tr>
      <w:tr w:rsidR="00C14D76" w:rsidRPr="00757BE3" w14:paraId="58622D2B" w14:textId="77777777" w:rsidTr="00151F51">
        <w:tc>
          <w:tcPr>
            <w:tcW w:w="1807" w:type="pct"/>
            <w:vAlign w:val="center"/>
          </w:tcPr>
          <w:p w14:paraId="7422C166" w14:textId="582959B2" w:rsidR="00C14D76" w:rsidRPr="002D5851" w:rsidRDefault="00C14D76" w:rsidP="0033666F">
            <w:pPr>
              <w:spacing w:line="240" w:lineRule="auto"/>
              <w:rPr>
                <w:szCs w:val="22"/>
              </w:rPr>
            </w:pPr>
            <w:r>
              <w:rPr>
                <w:szCs w:val="22"/>
              </w:rPr>
              <w:t>Public consultation</w:t>
            </w:r>
          </w:p>
        </w:tc>
        <w:tc>
          <w:tcPr>
            <w:tcW w:w="1101" w:type="pct"/>
            <w:vAlign w:val="center"/>
          </w:tcPr>
          <w:p w14:paraId="74626069" w14:textId="70A4C1EE" w:rsidR="00C14D76" w:rsidRPr="0001223C" w:rsidRDefault="00E121E6" w:rsidP="0033666F">
            <w:pPr>
              <w:spacing w:line="240" w:lineRule="auto"/>
              <w:rPr>
                <w:bCs/>
                <w:szCs w:val="22"/>
              </w:rPr>
            </w:pPr>
            <w:r>
              <w:rPr>
                <w:bCs/>
                <w:szCs w:val="22"/>
              </w:rPr>
              <w:t>April to June 2025</w:t>
            </w:r>
          </w:p>
        </w:tc>
        <w:tc>
          <w:tcPr>
            <w:tcW w:w="2092" w:type="pct"/>
          </w:tcPr>
          <w:p w14:paraId="7D198DCF" w14:textId="0BD51C35" w:rsidR="00C14D76" w:rsidRPr="00757BE3" w:rsidRDefault="00C14D76" w:rsidP="0033666F">
            <w:pPr>
              <w:spacing w:line="240" w:lineRule="auto"/>
              <w:ind w:left="360"/>
              <w:rPr>
                <w:szCs w:val="22"/>
                <w:lang w:val="en-GB"/>
              </w:rPr>
            </w:pPr>
            <w:r>
              <w:rPr>
                <w:szCs w:val="22"/>
                <w:lang w:val="en-GB"/>
              </w:rPr>
              <w:t>CRIS developed</w:t>
            </w:r>
            <w:r w:rsidR="00757ECD">
              <w:rPr>
                <w:szCs w:val="22"/>
                <w:lang w:val="en-GB"/>
              </w:rPr>
              <w:t xml:space="preserve"> and approved by OIA</w:t>
            </w:r>
            <w:r w:rsidR="00022116">
              <w:rPr>
                <w:szCs w:val="22"/>
                <w:lang w:val="en-GB"/>
              </w:rPr>
              <w:t>, input from this phase were used to inform the DRIS</w:t>
            </w:r>
          </w:p>
        </w:tc>
      </w:tr>
      <w:tr w:rsidR="00151F51" w:rsidRPr="00757BE3" w14:paraId="03B89D87" w14:textId="77777777" w:rsidTr="00151F51">
        <w:tc>
          <w:tcPr>
            <w:tcW w:w="1807" w:type="pct"/>
            <w:vAlign w:val="center"/>
          </w:tcPr>
          <w:p w14:paraId="54FC57F6" w14:textId="2E589290" w:rsidR="00151F51" w:rsidRDefault="00151F51" w:rsidP="0033666F">
            <w:pPr>
              <w:spacing w:line="240" w:lineRule="auto"/>
              <w:rPr>
                <w:szCs w:val="22"/>
              </w:rPr>
            </w:pPr>
            <w:r>
              <w:rPr>
                <w:szCs w:val="22"/>
              </w:rPr>
              <w:t xml:space="preserve">Child Safety Review Group </w:t>
            </w:r>
            <w:r>
              <w:t>endorsement of the DRIS</w:t>
            </w:r>
          </w:p>
        </w:tc>
        <w:tc>
          <w:tcPr>
            <w:tcW w:w="1101" w:type="pct"/>
            <w:vAlign w:val="center"/>
          </w:tcPr>
          <w:p w14:paraId="6FC75D25" w14:textId="68C74D73" w:rsidR="00151F51" w:rsidRPr="0001223C" w:rsidRDefault="00E121E6" w:rsidP="0033666F">
            <w:pPr>
              <w:spacing w:line="240" w:lineRule="auto"/>
              <w:rPr>
                <w:bCs/>
                <w:szCs w:val="22"/>
              </w:rPr>
            </w:pPr>
            <w:r>
              <w:rPr>
                <w:bCs/>
                <w:szCs w:val="22"/>
              </w:rPr>
              <w:t>August 2025</w:t>
            </w:r>
          </w:p>
        </w:tc>
        <w:tc>
          <w:tcPr>
            <w:tcW w:w="2092" w:type="pct"/>
          </w:tcPr>
          <w:p w14:paraId="4E4D3A0B" w14:textId="57BAA503" w:rsidR="00151F51" w:rsidRDefault="00834DCA" w:rsidP="0033666F">
            <w:pPr>
              <w:spacing w:line="240" w:lineRule="auto"/>
              <w:ind w:left="360"/>
              <w:rPr>
                <w:szCs w:val="22"/>
                <w:lang w:val="en-GB"/>
              </w:rPr>
            </w:pPr>
            <w:r>
              <w:rPr>
                <w:szCs w:val="22"/>
                <w:lang w:val="en-GB"/>
              </w:rPr>
              <w:t>DRIS developed, awaiting OIA assessment</w:t>
            </w:r>
          </w:p>
        </w:tc>
      </w:tr>
      <w:tr w:rsidR="00151F51" w:rsidRPr="00757BE3" w14:paraId="7B881C27" w14:textId="77777777" w:rsidTr="00151F51">
        <w:tc>
          <w:tcPr>
            <w:tcW w:w="1807" w:type="pct"/>
            <w:vAlign w:val="center"/>
          </w:tcPr>
          <w:p w14:paraId="212D3252" w14:textId="6490B8AF" w:rsidR="00151F51" w:rsidRDefault="00151F51" w:rsidP="0033666F">
            <w:pPr>
              <w:spacing w:line="240" w:lineRule="auto"/>
              <w:rPr>
                <w:szCs w:val="22"/>
              </w:rPr>
            </w:pPr>
            <w:r w:rsidRPr="00BB601E">
              <w:lastRenderedPageBreak/>
              <w:t>Australian Education Senior Officials Committee</w:t>
            </w:r>
            <w:r>
              <w:t xml:space="preserve"> endorsement of the DRIS</w:t>
            </w:r>
          </w:p>
        </w:tc>
        <w:tc>
          <w:tcPr>
            <w:tcW w:w="1101" w:type="pct"/>
            <w:vAlign w:val="center"/>
          </w:tcPr>
          <w:p w14:paraId="5DF04370" w14:textId="7141D4DB" w:rsidR="00151F51" w:rsidRPr="0001223C" w:rsidRDefault="00E121E6" w:rsidP="0033666F">
            <w:pPr>
              <w:spacing w:line="240" w:lineRule="auto"/>
              <w:rPr>
                <w:bCs/>
                <w:szCs w:val="22"/>
              </w:rPr>
            </w:pPr>
            <w:r>
              <w:rPr>
                <w:bCs/>
                <w:szCs w:val="22"/>
              </w:rPr>
              <w:t>August 2025</w:t>
            </w:r>
          </w:p>
        </w:tc>
        <w:tc>
          <w:tcPr>
            <w:tcW w:w="2092" w:type="pct"/>
          </w:tcPr>
          <w:p w14:paraId="6557FCBF" w14:textId="11BA9137" w:rsidR="00151F51" w:rsidRDefault="00E121E6" w:rsidP="0033666F">
            <w:pPr>
              <w:spacing w:line="240" w:lineRule="auto"/>
              <w:ind w:left="360"/>
              <w:rPr>
                <w:szCs w:val="22"/>
                <w:lang w:val="en-GB"/>
              </w:rPr>
            </w:pPr>
            <w:r>
              <w:rPr>
                <w:szCs w:val="22"/>
                <w:lang w:val="en-GB"/>
              </w:rPr>
              <w:t>DRIS developed and approved by OIA</w:t>
            </w:r>
          </w:p>
        </w:tc>
      </w:tr>
      <w:tr w:rsidR="0033666F" w:rsidRPr="00757BE3" w14:paraId="65A4B6AF" w14:textId="77777777" w:rsidTr="00151F51">
        <w:tc>
          <w:tcPr>
            <w:tcW w:w="1807" w:type="pct"/>
            <w:vAlign w:val="center"/>
          </w:tcPr>
          <w:p w14:paraId="1A331FC6" w14:textId="5975B1C2" w:rsidR="0033666F" w:rsidRPr="002D5851" w:rsidRDefault="00151F51" w:rsidP="0033666F">
            <w:pPr>
              <w:spacing w:line="240" w:lineRule="auto"/>
              <w:rPr>
                <w:szCs w:val="22"/>
              </w:rPr>
            </w:pPr>
            <w:r>
              <w:rPr>
                <w:szCs w:val="22"/>
              </w:rPr>
              <w:t xml:space="preserve">DRIS presented to </w:t>
            </w:r>
            <w:r w:rsidR="00757ECD">
              <w:rPr>
                <w:szCs w:val="22"/>
              </w:rPr>
              <w:t xml:space="preserve">Education Ministers </w:t>
            </w:r>
          </w:p>
        </w:tc>
        <w:tc>
          <w:tcPr>
            <w:tcW w:w="1101" w:type="pct"/>
            <w:vAlign w:val="center"/>
          </w:tcPr>
          <w:p w14:paraId="3656C074" w14:textId="3E29E60C" w:rsidR="0033666F" w:rsidRPr="0001223C" w:rsidRDefault="00E121E6" w:rsidP="0033666F">
            <w:pPr>
              <w:spacing w:line="240" w:lineRule="auto"/>
              <w:rPr>
                <w:bCs/>
                <w:szCs w:val="22"/>
              </w:rPr>
            </w:pPr>
            <w:r>
              <w:rPr>
                <w:bCs/>
                <w:szCs w:val="22"/>
              </w:rPr>
              <w:t>August 2025</w:t>
            </w:r>
          </w:p>
        </w:tc>
        <w:tc>
          <w:tcPr>
            <w:tcW w:w="2092" w:type="pct"/>
          </w:tcPr>
          <w:p w14:paraId="3921ED98" w14:textId="042B1862" w:rsidR="0033666F" w:rsidRPr="00757BE3" w:rsidRDefault="00E121E6" w:rsidP="0033666F">
            <w:pPr>
              <w:spacing w:line="240" w:lineRule="auto"/>
              <w:ind w:left="360"/>
              <w:rPr>
                <w:szCs w:val="22"/>
                <w:lang w:val="en-GB"/>
              </w:rPr>
            </w:pPr>
            <w:r>
              <w:rPr>
                <w:szCs w:val="22"/>
                <w:lang w:val="en-GB"/>
              </w:rPr>
              <w:t>DRIS developed and approved by OIA</w:t>
            </w:r>
          </w:p>
        </w:tc>
      </w:tr>
    </w:tbl>
    <w:p w14:paraId="1273315C" w14:textId="77777777" w:rsidR="007A7C2E" w:rsidRDefault="007A7C2E">
      <w:pPr>
        <w:spacing w:after="160" w:line="259" w:lineRule="auto"/>
        <w:rPr>
          <w:lang w:val="en-GB"/>
        </w:rPr>
      </w:pPr>
    </w:p>
    <w:p w14:paraId="6B3FFB5B" w14:textId="77777777" w:rsidR="0001223C" w:rsidRDefault="0001223C">
      <w:pPr>
        <w:spacing w:after="160" w:line="259" w:lineRule="auto"/>
        <w:rPr>
          <w:rFonts w:eastAsia="MS Mincho" w:cs="Arial"/>
          <w:color w:val="14233C"/>
          <w:sz w:val="80"/>
          <w:szCs w:val="80"/>
          <w:lang w:val="en-GB"/>
        </w:rPr>
        <w:sectPr w:rsidR="0001223C" w:rsidSect="007A7C2E">
          <w:pgSz w:w="11900" w:h="16840"/>
          <w:pgMar w:top="1440" w:right="1440" w:bottom="1440" w:left="1440" w:header="709" w:footer="709" w:gutter="0"/>
          <w:cols w:space="708"/>
          <w:titlePg/>
          <w:docGrid w:linePitch="360"/>
        </w:sectPr>
      </w:pPr>
    </w:p>
    <w:p w14:paraId="7408825D" w14:textId="0B097A7E" w:rsidR="00EA48B9" w:rsidRDefault="001171FA" w:rsidP="001171FA">
      <w:pPr>
        <w:pStyle w:val="Title1"/>
      </w:pPr>
      <w:r>
        <w:lastRenderedPageBreak/>
        <w:t>1</w:t>
      </w:r>
      <w:r w:rsidR="007B0FEC">
        <w:t>2</w:t>
      </w:r>
      <w:r w:rsidR="00EA48B9">
        <w:t xml:space="preserve">. </w:t>
      </w:r>
      <w:r w:rsidR="00C641A1">
        <w:t>Appendix</w:t>
      </w:r>
    </w:p>
    <w:p w14:paraId="50B535C7" w14:textId="4D02C5D7" w:rsidR="007B0FEC" w:rsidRDefault="007B0FEC" w:rsidP="007B0FEC">
      <w:pPr>
        <w:pStyle w:val="Heading2"/>
        <w:rPr>
          <w:lang w:val="en-GB"/>
        </w:rPr>
      </w:pPr>
      <w:bookmarkStart w:id="239" w:name="_Ref203399077"/>
      <w:bookmarkStart w:id="240" w:name="_Toc205884911"/>
      <w:r>
        <w:rPr>
          <w:lang w:val="en-GB"/>
        </w:rPr>
        <w:t xml:space="preserve">12.1 List of </w:t>
      </w:r>
      <w:r w:rsidR="004C5562">
        <w:rPr>
          <w:lang w:val="en-GB"/>
        </w:rPr>
        <w:t>recommended option</w:t>
      </w:r>
      <w:r>
        <w:rPr>
          <w:lang w:val="en-GB"/>
        </w:rPr>
        <w:t>s</w:t>
      </w:r>
      <w:bookmarkEnd w:id="239"/>
      <w:bookmarkEnd w:id="240"/>
    </w:p>
    <w:p w14:paraId="5C204634" w14:textId="49CF5A2E" w:rsidR="00A33E9A" w:rsidRPr="00A33E9A" w:rsidRDefault="00A33E9A" w:rsidP="00A33E9A">
      <w:pPr>
        <w:rPr>
          <w:lang w:val="en-GB"/>
        </w:rPr>
      </w:pPr>
      <w:r>
        <w:rPr>
          <w:lang w:val="en-GB"/>
        </w:rPr>
        <w:t xml:space="preserve">This appendix outlines </w:t>
      </w:r>
      <w:r w:rsidR="00345782">
        <w:rPr>
          <w:lang w:val="en-GB"/>
        </w:rPr>
        <w:t xml:space="preserve">a summary of all </w:t>
      </w:r>
      <w:r>
        <w:rPr>
          <w:lang w:val="en-GB"/>
        </w:rPr>
        <w:t xml:space="preserve">policy options, </w:t>
      </w:r>
      <w:r w:rsidR="00345782">
        <w:rPr>
          <w:lang w:val="en-GB"/>
        </w:rPr>
        <w:t>including</w:t>
      </w:r>
      <w:r>
        <w:rPr>
          <w:lang w:val="en-GB"/>
        </w:rPr>
        <w:t xml:space="preserve"> </w:t>
      </w:r>
      <w:r w:rsidR="004C5562">
        <w:rPr>
          <w:lang w:val="en-GB"/>
        </w:rPr>
        <w:t>recommended option</w:t>
      </w:r>
      <w:r w:rsidR="00345782">
        <w:rPr>
          <w:lang w:val="en-GB"/>
        </w:rPr>
        <w:t>s</w:t>
      </w:r>
      <w:r>
        <w:rPr>
          <w:lang w:val="en-GB"/>
        </w:rPr>
        <w:t xml:space="preserve"> </w:t>
      </w:r>
      <w:r w:rsidR="00345782">
        <w:rPr>
          <w:lang w:val="en-GB"/>
        </w:rPr>
        <w:t>to</w:t>
      </w:r>
      <w:r>
        <w:rPr>
          <w:lang w:val="en-GB"/>
        </w:rPr>
        <w:t xml:space="preserve"> be provided to Education Ministers for consideration</w:t>
      </w:r>
      <w:r w:rsidR="00FD2E2C">
        <w:rPr>
          <w:lang w:val="en-GB"/>
        </w:rPr>
        <w:t>, as well as the options that are not recommended for implementation</w:t>
      </w:r>
      <w:r>
        <w:rPr>
          <w:lang w:val="en-GB"/>
        </w:rPr>
        <w:t xml:space="preserve">. </w:t>
      </w:r>
    </w:p>
    <w:p w14:paraId="207829BD" w14:textId="77777777" w:rsidR="006B1EBE" w:rsidRPr="00D942EF" w:rsidRDefault="006B1EBE" w:rsidP="006B1EBE">
      <w:pPr>
        <w:pStyle w:val="Heading4"/>
        <w:rPr>
          <w:lang w:val="en-GB"/>
        </w:rPr>
      </w:pPr>
      <w:r>
        <w:rPr>
          <w:lang w:val="en-GB"/>
        </w:rPr>
        <w:t>Managing the use of digital devices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managing the use of digital devices"/>
      </w:tblPr>
      <w:tblGrid>
        <w:gridCol w:w="1392"/>
        <w:gridCol w:w="7533"/>
        <w:gridCol w:w="5025"/>
      </w:tblGrid>
      <w:tr w:rsidR="006E5D86" w:rsidRPr="00AA5FCA" w14:paraId="045D0071" w14:textId="6B5909E4" w:rsidTr="003217E8">
        <w:trPr>
          <w:trHeight w:val="431"/>
          <w:tblHeader/>
        </w:trPr>
        <w:tc>
          <w:tcPr>
            <w:tcW w:w="499" w:type="pct"/>
            <w:shd w:val="clear" w:color="auto" w:fill="14233C" w:themeFill="text2"/>
            <w:vAlign w:val="center"/>
          </w:tcPr>
          <w:p w14:paraId="27EDEA47" w14:textId="77777777" w:rsidR="006E5D86" w:rsidRPr="00D67534" w:rsidRDefault="006E5D86" w:rsidP="00DE37FD">
            <w:pPr>
              <w:spacing w:line="240" w:lineRule="auto"/>
              <w:rPr>
                <w:b/>
                <w:color w:val="FFFFFF" w:themeColor="background1"/>
                <w:szCs w:val="20"/>
              </w:rPr>
            </w:pPr>
            <w:r w:rsidRPr="00D67534">
              <w:rPr>
                <w:b/>
                <w:color w:val="FFFFFF" w:themeColor="background1"/>
                <w:szCs w:val="20"/>
              </w:rPr>
              <w:t>Option</w:t>
            </w:r>
          </w:p>
        </w:tc>
        <w:tc>
          <w:tcPr>
            <w:tcW w:w="2700" w:type="pct"/>
            <w:shd w:val="clear" w:color="auto" w:fill="14233C" w:themeFill="text2"/>
            <w:vAlign w:val="center"/>
          </w:tcPr>
          <w:p w14:paraId="6D417CC8" w14:textId="77777777" w:rsidR="006E5D86" w:rsidRPr="00D67534" w:rsidRDefault="006E5D86" w:rsidP="00DE37FD">
            <w:pPr>
              <w:spacing w:line="240" w:lineRule="auto"/>
              <w:rPr>
                <w:b/>
                <w:color w:val="FFFFFF" w:themeColor="background1"/>
                <w:szCs w:val="20"/>
              </w:rPr>
            </w:pPr>
            <w:r w:rsidRPr="00D67534">
              <w:rPr>
                <w:b/>
                <w:color w:val="FFFFFF" w:themeColor="background1"/>
                <w:szCs w:val="20"/>
              </w:rPr>
              <w:t>Description</w:t>
            </w:r>
          </w:p>
        </w:tc>
        <w:tc>
          <w:tcPr>
            <w:tcW w:w="1801" w:type="pct"/>
            <w:shd w:val="clear" w:color="auto" w:fill="14233C" w:themeFill="text2"/>
            <w:vAlign w:val="center"/>
          </w:tcPr>
          <w:p w14:paraId="5F0DB6AE" w14:textId="0D5D32EF" w:rsidR="006E5D86" w:rsidRPr="000876F6" w:rsidRDefault="00FD2E2C" w:rsidP="00DE37FD">
            <w:pPr>
              <w:spacing w:line="240" w:lineRule="auto"/>
              <w:rPr>
                <w:rFonts w:cs="Arial"/>
                <w:b/>
                <w:color w:val="FFFFFF" w:themeColor="background1"/>
                <w:szCs w:val="22"/>
              </w:rPr>
            </w:pPr>
            <w:r>
              <w:rPr>
                <w:b/>
                <w:szCs w:val="22"/>
                <w:lang w:val="en-GB"/>
              </w:rPr>
              <w:t>Implementation approach</w:t>
            </w:r>
          </w:p>
        </w:tc>
      </w:tr>
      <w:tr w:rsidR="006E5D86" w:rsidRPr="00AA5FCA" w14:paraId="58029BEE" w14:textId="1FFCB496" w:rsidTr="003217E8">
        <w:trPr>
          <w:trHeight w:val="3568"/>
        </w:trPr>
        <w:tc>
          <w:tcPr>
            <w:tcW w:w="499" w:type="pct"/>
            <w:vAlign w:val="center"/>
          </w:tcPr>
          <w:p w14:paraId="7EE6A538" w14:textId="77777777" w:rsidR="006E5D86" w:rsidRPr="00D67534" w:rsidRDefault="006E5D86" w:rsidP="00DE37FD">
            <w:pPr>
              <w:spacing w:line="240" w:lineRule="auto"/>
              <w:rPr>
                <w:szCs w:val="20"/>
              </w:rPr>
            </w:pPr>
            <w:r w:rsidRPr="00D67534">
              <w:rPr>
                <w:szCs w:val="20"/>
              </w:rPr>
              <w:t>1</w:t>
            </w:r>
          </w:p>
        </w:tc>
        <w:tc>
          <w:tcPr>
            <w:tcW w:w="2700" w:type="pct"/>
            <w:vAlign w:val="center"/>
          </w:tcPr>
          <w:p w14:paraId="715D620E" w14:textId="3008AC62" w:rsidR="006E5D86" w:rsidRPr="00D67534" w:rsidRDefault="006E5D86" w:rsidP="00DE37FD">
            <w:pPr>
              <w:spacing w:line="240" w:lineRule="auto"/>
              <w:rPr>
                <w:b/>
                <w:szCs w:val="20"/>
              </w:rPr>
            </w:pPr>
            <w:r w:rsidRPr="00D67534">
              <w:rPr>
                <w:b/>
                <w:szCs w:val="20"/>
              </w:rPr>
              <w:t xml:space="preserve">Status quo (no change) </w:t>
            </w:r>
          </w:p>
          <w:p w14:paraId="2687B816" w14:textId="57C9EC43" w:rsidR="006E5D86" w:rsidRPr="00D67534" w:rsidRDefault="006E5D86" w:rsidP="00DE37FD">
            <w:pPr>
              <w:spacing w:line="240" w:lineRule="auto"/>
              <w:rPr>
                <w:szCs w:val="20"/>
              </w:rPr>
            </w:pPr>
            <w:r w:rsidRPr="00D67534">
              <w:rPr>
                <w:szCs w:val="20"/>
              </w:rPr>
              <w:t xml:space="preserve">The status quo includes recent guidance for the education and care sector and a regulatory amendment proceeding to implementation in response to the CSR. In particular, it includes: </w:t>
            </w:r>
          </w:p>
          <w:p w14:paraId="3FADE75A" w14:textId="7879BD2C" w:rsidR="006E5D86" w:rsidRPr="00D67534" w:rsidRDefault="006E5D86" w:rsidP="00DE37FD">
            <w:pPr>
              <w:pStyle w:val="ListParagraph"/>
              <w:spacing w:line="240" w:lineRule="auto"/>
              <w:rPr>
                <w:szCs w:val="20"/>
              </w:rPr>
            </w:pPr>
            <w:r w:rsidRPr="00D67534">
              <w:rPr>
                <w:szCs w:val="20"/>
              </w:rPr>
              <w:t xml:space="preserve">National Model Code and Guidelines </w:t>
            </w:r>
          </w:p>
          <w:p w14:paraId="0D914CDA" w14:textId="715B4455" w:rsidR="006E5D86" w:rsidRPr="00D67534" w:rsidRDefault="006E5D86" w:rsidP="00DE37FD">
            <w:pPr>
              <w:pStyle w:val="ListParagraph"/>
              <w:spacing w:line="240" w:lineRule="auto"/>
              <w:rPr>
                <w:szCs w:val="20"/>
              </w:rPr>
            </w:pPr>
            <w:r w:rsidRPr="00D67534">
              <w:rPr>
                <w:szCs w:val="20"/>
              </w:rPr>
              <w:t xml:space="preserve">Development of the NQF Online Safety Guide </w:t>
            </w:r>
          </w:p>
          <w:p w14:paraId="1A3E02EA" w14:textId="77777777" w:rsidR="006E5D86" w:rsidRPr="00D67534" w:rsidRDefault="006E5D86" w:rsidP="00DE37FD">
            <w:pPr>
              <w:pStyle w:val="ListParagraph"/>
              <w:spacing w:line="240" w:lineRule="auto"/>
              <w:rPr>
                <w:szCs w:val="20"/>
              </w:rPr>
            </w:pPr>
            <w:r w:rsidRPr="00D67534">
              <w:rPr>
                <w:szCs w:val="20"/>
              </w:rPr>
              <w:t>Amendments to regulation 168 of the National Regulations.</w:t>
            </w:r>
          </w:p>
        </w:tc>
        <w:tc>
          <w:tcPr>
            <w:tcW w:w="1801" w:type="pct"/>
            <w:vAlign w:val="center"/>
          </w:tcPr>
          <w:p w14:paraId="79A4F808" w14:textId="2A8A8783" w:rsidR="006E5D86" w:rsidRPr="00F23837" w:rsidRDefault="006E5D86" w:rsidP="00DE37FD">
            <w:pPr>
              <w:spacing w:line="240" w:lineRule="auto"/>
              <w:rPr>
                <w:lang w:val="en-GB"/>
              </w:rPr>
            </w:pPr>
            <w:r w:rsidRPr="00760C2A">
              <w:rPr>
                <w:lang w:val="en-GB"/>
              </w:rPr>
              <w:t>Not</w:t>
            </w:r>
            <w:r w:rsidR="000B7F88">
              <w:rPr>
                <w:lang w:val="en-GB"/>
              </w:rPr>
              <w:t xml:space="preserve"> to be</w:t>
            </w:r>
            <w:r w:rsidRPr="00760C2A">
              <w:rPr>
                <w:lang w:val="en-GB"/>
              </w:rPr>
              <w:t xml:space="preserve"> implemented</w:t>
            </w:r>
          </w:p>
        </w:tc>
      </w:tr>
      <w:tr w:rsidR="003217E8" w:rsidRPr="00AA5FCA" w14:paraId="4AB5BF76" w14:textId="482EBE0D" w:rsidTr="003217E8">
        <w:trPr>
          <w:trHeight w:val="1724"/>
        </w:trPr>
        <w:tc>
          <w:tcPr>
            <w:tcW w:w="499" w:type="pct"/>
            <w:shd w:val="clear" w:color="auto" w:fill="EDF5D7" w:themeFill="accent5" w:themeFillTint="33"/>
            <w:vAlign w:val="center"/>
          </w:tcPr>
          <w:p w14:paraId="7724D9E4" w14:textId="77777777" w:rsidR="003217E8" w:rsidRPr="00D67534" w:rsidRDefault="003217E8" w:rsidP="003217E8">
            <w:pPr>
              <w:spacing w:line="240" w:lineRule="auto"/>
              <w:rPr>
                <w:szCs w:val="20"/>
              </w:rPr>
            </w:pPr>
            <w:r w:rsidRPr="00D67534">
              <w:rPr>
                <w:szCs w:val="20"/>
              </w:rPr>
              <w:lastRenderedPageBreak/>
              <w:t>2</w:t>
            </w:r>
          </w:p>
        </w:tc>
        <w:tc>
          <w:tcPr>
            <w:tcW w:w="2700" w:type="pct"/>
            <w:shd w:val="clear" w:color="auto" w:fill="EDF5D7" w:themeFill="accent5" w:themeFillTint="33"/>
            <w:vAlign w:val="center"/>
          </w:tcPr>
          <w:p w14:paraId="28A774FE" w14:textId="77777777" w:rsidR="003217E8" w:rsidRPr="00D67534" w:rsidRDefault="003217E8" w:rsidP="003217E8">
            <w:pPr>
              <w:spacing w:line="240" w:lineRule="auto"/>
              <w:rPr>
                <w:b/>
                <w:szCs w:val="20"/>
              </w:rPr>
            </w:pPr>
            <w:r w:rsidRPr="00D67534">
              <w:rPr>
                <w:b/>
                <w:szCs w:val="20"/>
              </w:rPr>
              <w:t xml:space="preserve">Regulatory </w:t>
            </w:r>
          </w:p>
          <w:p w14:paraId="3B3FEDBE" w14:textId="77777777" w:rsidR="003217E8" w:rsidRPr="00D67534" w:rsidRDefault="003217E8" w:rsidP="003217E8">
            <w:pPr>
              <w:spacing w:line="240" w:lineRule="auto"/>
              <w:rPr>
                <w:szCs w:val="20"/>
              </w:rPr>
            </w:pPr>
            <w:r w:rsidRPr="00D67534">
              <w:rPr>
                <w:szCs w:val="20"/>
              </w:rPr>
              <w:t>Amend the National Law and National Regulations to enact standalone provisions to mandate that:</w:t>
            </w:r>
          </w:p>
          <w:p w14:paraId="1E907814" w14:textId="77777777" w:rsidR="003217E8" w:rsidRPr="00D67534" w:rsidRDefault="003217E8" w:rsidP="003217E8">
            <w:pPr>
              <w:pStyle w:val="ListParagraph"/>
              <w:spacing w:line="240" w:lineRule="auto"/>
              <w:rPr>
                <w:szCs w:val="20"/>
              </w:rPr>
            </w:pPr>
            <w:r w:rsidRPr="00D67534">
              <w:rPr>
                <w:szCs w:val="20"/>
              </w:rPr>
              <w:t>Only service-issued digital devices can be used when taking images or videos of children while providing education and care.</w:t>
            </w:r>
          </w:p>
          <w:p w14:paraId="275B59E1" w14:textId="77777777" w:rsidR="003217E8" w:rsidRDefault="003217E8" w:rsidP="003217E8">
            <w:pPr>
              <w:spacing w:line="240" w:lineRule="auto"/>
              <w:rPr>
                <w:szCs w:val="20"/>
              </w:rPr>
            </w:pPr>
            <w:r w:rsidRPr="00D67534">
              <w:rPr>
                <w:szCs w:val="20"/>
              </w:rPr>
              <w:t>This amendment would be an offence provision with a penalty attached.</w:t>
            </w:r>
            <w:r>
              <w:rPr>
                <w:szCs w:val="20"/>
              </w:rPr>
              <w:t xml:space="preserve"> </w:t>
            </w:r>
          </w:p>
          <w:p w14:paraId="225FA7D1" w14:textId="3116A2F7" w:rsidR="003217E8" w:rsidRPr="00D67534" w:rsidRDefault="003217E8" w:rsidP="003217E8">
            <w:pPr>
              <w:spacing w:line="240" w:lineRule="auto"/>
              <w:rPr>
                <w:szCs w:val="20"/>
              </w:rPr>
            </w:pPr>
            <w:r>
              <w:rPr>
                <w:szCs w:val="20"/>
              </w:rPr>
              <w:t>This will apply to approved providers, nominated supervisors, family day care educators and educators.</w:t>
            </w:r>
          </w:p>
        </w:tc>
        <w:tc>
          <w:tcPr>
            <w:tcW w:w="1801" w:type="pct"/>
            <w:shd w:val="clear" w:color="auto" w:fill="EDF5D7" w:themeFill="accent5" w:themeFillTint="33"/>
            <w:vAlign w:val="center"/>
          </w:tcPr>
          <w:p w14:paraId="60F30079" w14:textId="4C76B6AC" w:rsidR="003217E8" w:rsidRPr="000876F6" w:rsidRDefault="003217E8" w:rsidP="003217E8">
            <w:pPr>
              <w:spacing w:line="240" w:lineRule="auto"/>
              <w:rPr>
                <w:rFonts w:cs="Arial"/>
                <w:b/>
                <w:szCs w:val="22"/>
              </w:rPr>
            </w:pPr>
            <w:r w:rsidRPr="00955D39">
              <w:rPr>
                <w:szCs w:val="22"/>
                <w:lang w:val="en-GB"/>
              </w:rPr>
              <w:t>To be implemented in full</w:t>
            </w:r>
          </w:p>
        </w:tc>
      </w:tr>
      <w:tr w:rsidR="003217E8" w:rsidRPr="00AA5FCA" w14:paraId="73B2D159" w14:textId="2E91DE26" w:rsidTr="003217E8">
        <w:trPr>
          <w:trHeight w:val="372"/>
        </w:trPr>
        <w:tc>
          <w:tcPr>
            <w:tcW w:w="499" w:type="pct"/>
            <w:shd w:val="clear" w:color="auto" w:fill="EDF5D7" w:themeFill="accent5" w:themeFillTint="33"/>
            <w:vAlign w:val="center"/>
          </w:tcPr>
          <w:p w14:paraId="397EF719" w14:textId="77777777" w:rsidR="003217E8" w:rsidRPr="00D67534" w:rsidRDefault="003217E8" w:rsidP="003217E8">
            <w:pPr>
              <w:spacing w:line="240" w:lineRule="auto"/>
              <w:rPr>
                <w:szCs w:val="20"/>
              </w:rPr>
            </w:pPr>
            <w:r w:rsidRPr="00D67534">
              <w:rPr>
                <w:szCs w:val="20"/>
              </w:rPr>
              <w:t>3</w:t>
            </w:r>
          </w:p>
        </w:tc>
        <w:tc>
          <w:tcPr>
            <w:tcW w:w="2700" w:type="pct"/>
            <w:shd w:val="clear" w:color="auto" w:fill="EDF5D7" w:themeFill="accent5" w:themeFillTint="33"/>
            <w:vAlign w:val="center"/>
          </w:tcPr>
          <w:p w14:paraId="723C1F81" w14:textId="77777777" w:rsidR="003217E8" w:rsidRPr="00D67534" w:rsidRDefault="003217E8" w:rsidP="003217E8">
            <w:pPr>
              <w:spacing w:line="240" w:lineRule="auto"/>
              <w:rPr>
                <w:b/>
                <w:szCs w:val="20"/>
              </w:rPr>
            </w:pPr>
            <w:r w:rsidRPr="00D67534">
              <w:rPr>
                <w:b/>
                <w:szCs w:val="20"/>
              </w:rPr>
              <w:t xml:space="preserve">Regulatory </w:t>
            </w:r>
          </w:p>
          <w:p w14:paraId="079186D6" w14:textId="4B77BA23" w:rsidR="003217E8" w:rsidRPr="00D67534" w:rsidRDefault="003217E8" w:rsidP="003217E8">
            <w:pPr>
              <w:spacing w:line="240" w:lineRule="auto"/>
              <w:rPr>
                <w:szCs w:val="20"/>
              </w:rPr>
            </w:pPr>
            <w:r w:rsidRPr="00D67534">
              <w:rPr>
                <w:szCs w:val="20"/>
              </w:rPr>
              <w:t xml:space="preserve">Amend the National Law and National Regulations to enact standalone provisions for all </w:t>
            </w:r>
            <w:r w:rsidR="00FD2E2C">
              <w:rPr>
                <w:szCs w:val="20"/>
              </w:rPr>
              <w:t>centre-based</w:t>
            </w:r>
            <w:r w:rsidRPr="00D67534">
              <w:rPr>
                <w:szCs w:val="20"/>
              </w:rPr>
              <w:t xml:space="preserve"> services to mandate that other than in the case of defined exempt circumstances:</w:t>
            </w:r>
          </w:p>
          <w:p w14:paraId="74EE73AA" w14:textId="4B2CBD36" w:rsidR="003217E8" w:rsidRPr="00D67534" w:rsidRDefault="003217E8" w:rsidP="003217E8">
            <w:pPr>
              <w:pStyle w:val="ListParagraph"/>
              <w:spacing w:line="240" w:lineRule="auto"/>
              <w:rPr>
                <w:szCs w:val="20"/>
              </w:rPr>
            </w:pPr>
            <w:r w:rsidRPr="00D67534">
              <w:rPr>
                <w:szCs w:val="20"/>
              </w:rPr>
              <w:t xml:space="preserve">personal devices that can take images or videos (such as tablets, phones, digital cameras, and smart watches) and personal storage and file transfer media (such as SD cards, USB drives, hard drives, and cloud storage) cannot be in the possession of any person while providing education and care and working directly with children. </w:t>
            </w:r>
          </w:p>
          <w:p w14:paraId="7AD83C3D" w14:textId="77777777" w:rsidR="003217E8" w:rsidRDefault="003217E8" w:rsidP="003217E8">
            <w:pPr>
              <w:spacing w:line="240" w:lineRule="auto"/>
              <w:rPr>
                <w:szCs w:val="20"/>
              </w:rPr>
            </w:pPr>
            <w:r w:rsidRPr="00D67534">
              <w:rPr>
                <w:szCs w:val="20"/>
              </w:rPr>
              <w:t>This amendment would be an offence provision with a penalty attached.</w:t>
            </w:r>
          </w:p>
          <w:p w14:paraId="5A68708E" w14:textId="0FD25371" w:rsidR="003217E8" w:rsidRPr="00D67534" w:rsidRDefault="003217E8" w:rsidP="003217E8">
            <w:pPr>
              <w:spacing w:line="240" w:lineRule="auto"/>
              <w:rPr>
                <w:szCs w:val="20"/>
              </w:rPr>
            </w:pPr>
            <w:r>
              <w:rPr>
                <w:szCs w:val="20"/>
              </w:rPr>
              <w:t>This will apply to centre</w:t>
            </w:r>
            <w:r w:rsidR="004803B8">
              <w:rPr>
                <w:szCs w:val="20"/>
              </w:rPr>
              <w:t>-</w:t>
            </w:r>
            <w:r>
              <w:rPr>
                <w:szCs w:val="20"/>
              </w:rPr>
              <w:t>based, approved providers, nominated supervisors, and educators.</w:t>
            </w:r>
          </w:p>
        </w:tc>
        <w:tc>
          <w:tcPr>
            <w:tcW w:w="1801" w:type="pct"/>
            <w:shd w:val="clear" w:color="auto" w:fill="EDF5D7" w:themeFill="accent5" w:themeFillTint="33"/>
            <w:vAlign w:val="center"/>
          </w:tcPr>
          <w:p w14:paraId="446778DA" w14:textId="12D7BF90" w:rsidR="003217E8" w:rsidRPr="000876F6" w:rsidRDefault="007A7D7C" w:rsidP="003217E8">
            <w:pPr>
              <w:spacing w:line="240" w:lineRule="auto"/>
              <w:rPr>
                <w:rFonts w:cs="Arial"/>
                <w:b/>
                <w:szCs w:val="22"/>
              </w:rPr>
            </w:pPr>
            <w:r w:rsidRPr="007A7D7C">
              <w:rPr>
                <w:szCs w:val="22"/>
              </w:rPr>
              <w:t>To be implemented in centre-based settings only, with excursions to be included as an exempt circumstance, and other potential exemptions to be considered.</w:t>
            </w:r>
          </w:p>
        </w:tc>
      </w:tr>
    </w:tbl>
    <w:p w14:paraId="12CD5E74" w14:textId="77777777" w:rsidR="006E5D86" w:rsidRDefault="006E5D86" w:rsidP="006542E6">
      <w:pPr>
        <w:spacing w:line="240" w:lineRule="auto"/>
        <w:rPr>
          <w:lang w:val="en-GB"/>
        </w:rPr>
      </w:pPr>
    </w:p>
    <w:p w14:paraId="421F7B20" w14:textId="77777777" w:rsidR="00274773" w:rsidRDefault="00274773" w:rsidP="00274773">
      <w:pPr>
        <w:rPr>
          <w:lang w:val="en-GB"/>
        </w:rPr>
      </w:pPr>
    </w:p>
    <w:p w14:paraId="5D4065C9" w14:textId="77777777" w:rsidR="00444C9D" w:rsidRDefault="00444C9D" w:rsidP="00274773">
      <w:pPr>
        <w:rPr>
          <w:lang w:val="en-GB"/>
        </w:rPr>
      </w:pPr>
    </w:p>
    <w:p w14:paraId="6E42802C" w14:textId="29E22990" w:rsidR="006E5D86" w:rsidRDefault="00444C9D" w:rsidP="006542E6">
      <w:pPr>
        <w:pStyle w:val="Heading4"/>
        <w:spacing w:line="240" w:lineRule="auto"/>
        <w:rPr>
          <w:lang w:val="en-GB"/>
        </w:rPr>
      </w:pPr>
      <w:r>
        <w:rPr>
          <w:lang w:val="en-GB"/>
        </w:rPr>
        <w:lastRenderedPageBreak/>
        <w:t>Introducing mandatory c</w:t>
      </w:r>
      <w:r w:rsidR="00F23837">
        <w:rPr>
          <w:lang w:val="en-GB"/>
        </w:rPr>
        <w:t xml:space="preserve">hild </w:t>
      </w:r>
      <w:r>
        <w:rPr>
          <w:lang w:val="en-GB"/>
        </w:rPr>
        <w:t>s</w:t>
      </w:r>
      <w:r w:rsidR="00F23837">
        <w:rPr>
          <w:lang w:val="en-GB"/>
        </w:rPr>
        <w:t xml:space="preserve">afety </w:t>
      </w:r>
      <w:r>
        <w:rPr>
          <w:lang w:val="en-GB"/>
        </w:rPr>
        <w:t>t</w:t>
      </w:r>
      <w:r w:rsidR="00F23837">
        <w:rPr>
          <w:lang w:val="en-GB"/>
        </w:rPr>
        <w:t>raining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introducing mandatory child safety training."/>
      </w:tblPr>
      <w:tblGrid>
        <w:gridCol w:w="1390"/>
        <w:gridCol w:w="6280"/>
        <w:gridCol w:w="6280"/>
      </w:tblGrid>
      <w:tr w:rsidR="002D5851" w:rsidRPr="002D5851" w14:paraId="0691B75E" w14:textId="5623CED1" w:rsidTr="00B31437">
        <w:trPr>
          <w:tblHeader/>
        </w:trPr>
        <w:tc>
          <w:tcPr>
            <w:tcW w:w="498" w:type="pct"/>
            <w:shd w:val="clear" w:color="auto" w:fill="14233C" w:themeFill="text2"/>
            <w:vAlign w:val="center"/>
          </w:tcPr>
          <w:p w14:paraId="5EA8E82F" w14:textId="77777777" w:rsidR="002D5851" w:rsidRPr="002D5851" w:rsidRDefault="002D5851" w:rsidP="00DE37FD">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10E043B2" w14:textId="77777777" w:rsidR="002D5851" w:rsidRPr="002D5851" w:rsidRDefault="002D5851" w:rsidP="00DE37FD">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36C2170C" w14:textId="1E404B25" w:rsidR="002D5851" w:rsidRPr="002D5851" w:rsidRDefault="00FD2E2C" w:rsidP="00DE37FD">
            <w:pPr>
              <w:spacing w:line="240" w:lineRule="auto"/>
              <w:rPr>
                <w:b/>
                <w:color w:val="FFFFFF" w:themeColor="background1"/>
                <w:szCs w:val="22"/>
              </w:rPr>
            </w:pPr>
            <w:r>
              <w:rPr>
                <w:b/>
                <w:szCs w:val="22"/>
                <w:lang w:val="en-GB"/>
              </w:rPr>
              <w:t>Implementation approach</w:t>
            </w:r>
          </w:p>
        </w:tc>
      </w:tr>
      <w:tr w:rsidR="002D5851" w:rsidRPr="002D5851" w14:paraId="7AAADFE9" w14:textId="468D5E04" w:rsidTr="00B31437">
        <w:tc>
          <w:tcPr>
            <w:tcW w:w="498" w:type="pct"/>
            <w:vAlign w:val="center"/>
          </w:tcPr>
          <w:p w14:paraId="1F34515D" w14:textId="77777777" w:rsidR="002D5851" w:rsidRPr="002D5851" w:rsidRDefault="002D5851" w:rsidP="00DE37FD">
            <w:pPr>
              <w:spacing w:line="240" w:lineRule="auto"/>
              <w:rPr>
                <w:szCs w:val="22"/>
              </w:rPr>
            </w:pPr>
            <w:r w:rsidRPr="002D5851">
              <w:rPr>
                <w:szCs w:val="22"/>
              </w:rPr>
              <w:t>1</w:t>
            </w:r>
          </w:p>
        </w:tc>
        <w:tc>
          <w:tcPr>
            <w:tcW w:w="2251" w:type="pct"/>
            <w:vAlign w:val="center"/>
          </w:tcPr>
          <w:p w14:paraId="352229D0" w14:textId="77777777" w:rsidR="002D5851" w:rsidRPr="002D5851" w:rsidRDefault="002D5851" w:rsidP="00DE37FD">
            <w:pPr>
              <w:spacing w:line="240" w:lineRule="auto"/>
              <w:rPr>
                <w:szCs w:val="22"/>
              </w:rPr>
            </w:pPr>
            <w:r w:rsidRPr="002D5851">
              <w:rPr>
                <w:szCs w:val="22"/>
              </w:rPr>
              <w:t>Status quo (no change).</w:t>
            </w:r>
          </w:p>
        </w:tc>
        <w:tc>
          <w:tcPr>
            <w:tcW w:w="2251" w:type="pct"/>
            <w:vAlign w:val="center"/>
          </w:tcPr>
          <w:p w14:paraId="385C8882" w14:textId="7D434F03" w:rsidR="002D5851" w:rsidRPr="002D5851" w:rsidRDefault="002D5851" w:rsidP="00DE37FD">
            <w:pPr>
              <w:spacing w:line="240" w:lineRule="auto"/>
              <w:rPr>
                <w:szCs w:val="22"/>
              </w:rPr>
            </w:pPr>
            <w:r w:rsidRPr="002D5851">
              <w:rPr>
                <w:szCs w:val="22"/>
              </w:rPr>
              <w:t>Not to be implemented</w:t>
            </w:r>
          </w:p>
        </w:tc>
      </w:tr>
      <w:tr w:rsidR="002D5851" w:rsidRPr="002D5851" w14:paraId="6F242A0F" w14:textId="41C9A4A5" w:rsidTr="00B31437">
        <w:tc>
          <w:tcPr>
            <w:tcW w:w="498" w:type="pct"/>
            <w:vAlign w:val="center"/>
          </w:tcPr>
          <w:p w14:paraId="085CD533" w14:textId="77777777" w:rsidR="002D5851" w:rsidRPr="002D5851" w:rsidRDefault="002D5851" w:rsidP="00DE37FD">
            <w:pPr>
              <w:spacing w:line="240" w:lineRule="auto"/>
              <w:rPr>
                <w:szCs w:val="22"/>
              </w:rPr>
            </w:pPr>
            <w:r w:rsidRPr="002D5851">
              <w:rPr>
                <w:szCs w:val="22"/>
              </w:rPr>
              <w:t>2</w:t>
            </w:r>
          </w:p>
        </w:tc>
        <w:tc>
          <w:tcPr>
            <w:tcW w:w="2251" w:type="pct"/>
            <w:vAlign w:val="center"/>
          </w:tcPr>
          <w:p w14:paraId="6C6BBA33" w14:textId="77777777" w:rsidR="002D5851" w:rsidRPr="002D5851" w:rsidRDefault="002D5851" w:rsidP="00DE37FD">
            <w:pPr>
              <w:spacing w:line="240" w:lineRule="auto"/>
              <w:rPr>
                <w:szCs w:val="22"/>
              </w:rPr>
            </w:pPr>
            <w:r w:rsidRPr="002D5851">
              <w:rPr>
                <w:b/>
                <w:szCs w:val="22"/>
              </w:rPr>
              <w:t>Non-regulatory</w:t>
            </w:r>
          </w:p>
          <w:p w14:paraId="7BD32AF6" w14:textId="77777777" w:rsidR="002D5851" w:rsidRPr="002D5851" w:rsidRDefault="002D5851" w:rsidP="00DE37FD">
            <w:pPr>
              <w:spacing w:line="240" w:lineRule="auto"/>
              <w:rPr>
                <w:szCs w:val="22"/>
              </w:rPr>
            </w:pPr>
            <w:r w:rsidRPr="002D5851">
              <w:rPr>
                <w:szCs w:val="22"/>
              </w:rPr>
              <w:t>Improved, nationally consistent resource and training guidance materials that can be provided to Registered Training Organisations and Higher Education institutions to insert into courses.</w:t>
            </w:r>
          </w:p>
        </w:tc>
        <w:tc>
          <w:tcPr>
            <w:tcW w:w="2251" w:type="pct"/>
            <w:vAlign w:val="center"/>
          </w:tcPr>
          <w:p w14:paraId="6FBE2F45" w14:textId="1A3B12BD" w:rsidR="002D5851" w:rsidRPr="002D5851" w:rsidRDefault="002D5851" w:rsidP="00DE37FD">
            <w:pPr>
              <w:spacing w:line="240" w:lineRule="auto"/>
              <w:rPr>
                <w:b/>
                <w:szCs w:val="22"/>
              </w:rPr>
            </w:pPr>
            <w:r w:rsidRPr="002D5851">
              <w:rPr>
                <w:szCs w:val="22"/>
              </w:rPr>
              <w:t>Not to be implemented</w:t>
            </w:r>
          </w:p>
        </w:tc>
      </w:tr>
      <w:tr w:rsidR="002D5851" w:rsidRPr="002D5851" w14:paraId="7217E561" w14:textId="2A82048B" w:rsidTr="00B31437">
        <w:tc>
          <w:tcPr>
            <w:tcW w:w="498" w:type="pct"/>
            <w:vAlign w:val="center"/>
          </w:tcPr>
          <w:p w14:paraId="596E63AE" w14:textId="77777777" w:rsidR="002D5851" w:rsidRPr="002D5851" w:rsidRDefault="002D5851" w:rsidP="00DE37FD">
            <w:pPr>
              <w:spacing w:line="240" w:lineRule="auto"/>
              <w:rPr>
                <w:szCs w:val="22"/>
              </w:rPr>
            </w:pPr>
            <w:r w:rsidRPr="002D5851">
              <w:rPr>
                <w:szCs w:val="22"/>
              </w:rPr>
              <w:t>3</w:t>
            </w:r>
          </w:p>
        </w:tc>
        <w:tc>
          <w:tcPr>
            <w:tcW w:w="2251" w:type="pct"/>
            <w:vAlign w:val="center"/>
          </w:tcPr>
          <w:p w14:paraId="7AF2E924" w14:textId="77777777" w:rsidR="002D5851" w:rsidRPr="002D5851" w:rsidRDefault="002D5851" w:rsidP="00DE37FD">
            <w:pPr>
              <w:spacing w:line="240" w:lineRule="auto"/>
              <w:rPr>
                <w:szCs w:val="22"/>
              </w:rPr>
            </w:pPr>
            <w:r w:rsidRPr="002D5851">
              <w:rPr>
                <w:b/>
                <w:szCs w:val="22"/>
              </w:rPr>
              <w:t>Regulatory</w:t>
            </w:r>
          </w:p>
          <w:p w14:paraId="53E70F99" w14:textId="77777777" w:rsidR="002D5851" w:rsidRPr="002D5851" w:rsidRDefault="002D5851" w:rsidP="00DE37FD">
            <w:pPr>
              <w:spacing w:line="240" w:lineRule="auto"/>
              <w:rPr>
                <w:szCs w:val="22"/>
              </w:rPr>
            </w:pPr>
            <w:r w:rsidRPr="002D5851">
              <w:rPr>
                <w:szCs w:val="22"/>
              </w:rPr>
              <w:t>Amend section 162A of the National Law to require nominated supervisors, persons in day-to-day charge and FDC coordinators to complete child protection training, removing the dependency on other jurisdictional law or government protocol.</w:t>
            </w:r>
          </w:p>
          <w:p w14:paraId="624E54CB" w14:textId="77777777" w:rsidR="002D5851" w:rsidRPr="002D5851" w:rsidRDefault="002D5851" w:rsidP="00DE37FD">
            <w:pPr>
              <w:spacing w:line="240" w:lineRule="auto"/>
              <w:rPr>
                <w:szCs w:val="22"/>
              </w:rPr>
            </w:pPr>
            <w:r w:rsidRPr="002D5851">
              <w:rPr>
                <w:szCs w:val="22"/>
              </w:rPr>
              <w:t>This would be supported by publication of an approved list of child protection training for the purposes of compliance with this section, as for first aid training (made up of national or state accredited units of competency or short courses) through amendment to regulation 137.</w:t>
            </w:r>
          </w:p>
        </w:tc>
        <w:tc>
          <w:tcPr>
            <w:tcW w:w="2251" w:type="pct"/>
            <w:vAlign w:val="center"/>
          </w:tcPr>
          <w:p w14:paraId="58F5063C" w14:textId="674A9ED2" w:rsidR="002D5851" w:rsidRPr="002D5851" w:rsidRDefault="002D5851" w:rsidP="00DE37FD">
            <w:pPr>
              <w:spacing w:line="240" w:lineRule="auto"/>
              <w:rPr>
                <w:b/>
                <w:szCs w:val="22"/>
              </w:rPr>
            </w:pPr>
            <w:r w:rsidRPr="002D5851">
              <w:rPr>
                <w:szCs w:val="22"/>
              </w:rPr>
              <w:t>Not to be implemented</w:t>
            </w:r>
          </w:p>
        </w:tc>
      </w:tr>
      <w:tr w:rsidR="00662AEF" w:rsidRPr="002D5851" w14:paraId="7EDF035C" w14:textId="15E29B3F" w:rsidTr="00B31437">
        <w:tc>
          <w:tcPr>
            <w:tcW w:w="498" w:type="pct"/>
            <w:shd w:val="clear" w:color="auto" w:fill="EDF5D7" w:themeFill="accent5" w:themeFillTint="33"/>
            <w:vAlign w:val="center"/>
          </w:tcPr>
          <w:p w14:paraId="19C7C130" w14:textId="77777777" w:rsidR="00662AEF" w:rsidRPr="002D5851" w:rsidRDefault="00662AEF" w:rsidP="00662AEF">
            <w:pPr>
              <w:spacing w:line="240" w:lineRule="auto"/>
              <w:rPr>
                <w:szCs w:val="22"/>
              </w:rPr>
            </w:pPr>
            <w:r w:rsidRPr="002D5851">
              <w:rPr>
                <w:szCs w:val="22"/>
              </w:rPr>
              <w:t>4</w:t>
            </w:r>
          </w:p>
        </w:tc>
        <w:tc>
          <w:tcPr>
            <w:tcW w:w="2251" w:type="pct"/>
            <w:shd w:val="clear" w:color="auto" w:fill="EDF5D7" w:themeFill="accent5" w:themeFillTint="33"/>
            <w:vAlign w:val="center"/>
          </w:tcPr>
          <w:p w14:paraId="17F62B04" w14:textId="77777777" w:rsidR="00662AEF" w:rsidRPr="002D5851" w:rsidRDefault="00662AEF" w:rsidP="00662AEF">
            <w:pPr>
              <w:spacing w:line="240" w:lineRule="auto"/>
              <w:rPr>
                <w:szCs w:val="22"/>
              </w:rPr>
            </w:pPr>
            <w:r w:rsidRPr="002D5851">
              <w:rPr>
                <w:b/>
                <w:szCs w:val="22"/>
              </w:rPr>
              <w:t>Regulatory</w:t>
            </w:r>
          </w:p>
          <w:p w14:paraId="59DCF91D" w14:textId="77777777" w:rsidR="00662AEF" w:rsidRPr="002D5851" w:rsidRDefault="00662AEF" w:rsidP="00662AEF">
            <w:pPr>
              <w:spacing w:line="240" w:lineRule="auto"/>
              <w:rPr>
                <w:szCs w:val="22"/>
              </w:rPr>
            </w:pPr>
            <w:r w:rsidRPr="002D5851">
              <w:rPr>
                <w:szCs w:val="22"/>
              </w:rPr>
              <w:t>Amend section 162A of the National Law to require staff who work with children, including FDC educators, volunteers and students, in addition to nominated supervisors, persons in day-to-day charge and FDC coordinators, to complete child protection training, removing the dependency on other jurisdictional law or government protocol.</w:t>
            </w:r>
          </w:p>
          <w:p w14:paraId="6EF9C3F2" w14:textId="1406149A" w:rsidR="00662AEF" w:rsidRPr="002D5851" w:rsidRDefault="00662AEF" w:rsidP="00662AEF">
            <w:pPr>
              <w:spacing w:line="240" w:lineRule="auto"/>
              <w:rPr>
                <w:szCs w:val="22"/>
              </w:rPr>
            </w:pPr>
            <w:r w:rsidRPr="002D5851">
              <w:rPr>
                <w:szCs w:val="22"/>
              </w:rPr>
              <w:t xml:space="preserve">This would be supported by publication of an approved list of child protection training for the purposes of compliance with </w:t>
            </w:r>
            <w:r w:rsidRPr="002D5851">
              <w:rPr>
                <w:szCs w:val="22"/>
              </w:rPr>
              <w:lastRenderedPageBreak/>
              <w:t>this section, as for first aid training (made up of national or state accredited units of competency or short courses) through amendment to regulation 137.</w:t>
            </w:r>
          </w:p>
        </w:tc>
        <w:tc>
          <w:tcPr>
            <w:tcW w:w="2251" w:type="pct"/>
            <w:shd w:val="clear" w:color="auto" w:fill="EDF5D7" w:themeFill="accent5" w:themeFillTint="33"/>
            <w:vAlign w:val="center"/>
          </w:tcPr>
          <w:p w14:paraId="316A759D" w14:textId="33188F67" w:rsidR="00662AEF" w:rsidRPr="002D5851" w:rsidRDefault="00662AEF" w:rsidP="00662AEF">
            <w:pPr>
              <w:spacing w:line="240" w:lineRule="auto"/>
              <w:rPr>
                <w:b/>
                <w:szCs w:val="22"/>
              </w:rPr>
            </w:pPr>
            <w:r w:rsidRPr="002D5851">
              <w:rPr>
                <w:szCs w:val="22"/>
                <w:lang w:val="en-GB"/>
              </w:rPr>
              <w:lastRenderedPageBreak/>
              <w:t>To be implemented in full</w:t>
            </w:r>
          </w:p>
        </w:tc>
      </w:tr>
      <w:tr w:rsidR="00662AEF" w:rsidRPr="002D5851" w14:paraId="4B60AB9B" w14:textId="4BFA8A80" w:rsidTr="00B31437">
        <w:tc>
          <w:tcPr>
            <w:tcW w:w="498" w:type="pct"/>
            <w:shd w:val="clear" w:color="auto" w:fill="EDF5D7" w:themeFill="accent5" w:themeFillTint="33"/>
            <w:vAlign w:val="center"/>
          </w:tcPr>
          <w:p w14:paraId="4C90E8B7" w14:textId="77777777" w:rsidR="00662AEF" w:rsidRPr="002D5851" w:rsidRDefault="00662AEF" w:rsidP="00662AEF">
            <w:pPr>
              <w:spacing w:line="240" w:lineRule="auto"/>
              <w:rPr>
                <w:szCs w:val="22"/>
              </w:rPr>
            </w:pPr>
            <w:r w:rsidRPr="002D5851">
              <w:rPr>
                <w:szCs w:val="22"/>
              </w:rPr>
              <w:t>5</w:t>
            </w:r>
          </w:p>
        </w:tc>
        <w:tc>
          <w:tcPr>
            <w:tcW w:w="2251" w:type="pct"/>
            <w:shd w:val="clear" w:color="auto" w:fill="EDF5D7" w:themeFill="accent5" w:themeFillTint="33"/>
            <w:vAlign w:val="center"/>
          </w:tcPr>
          <w:p w14:paraId="34EC85A9" w14:textId="77777777" w:rsidR="00662AEF" w:rsidRPr="002D5851" w:rsidRDefault="00662AEF" w:rsidP="00662AEF">
            <w:pPr>
              <w:spacing w:line="240" w:lineRule="auto"/>
              <w:rPr>
                <w:szCs w:val="22"/>
              </w:rPr>
            </w:pPr>
            <w:r w:rsidRPr="002D5851">
              <w:rPr>
                <w:b/>
                <w:szCs w:val="22"/>
              </w:rPr>
              <w:t>Regulatory</w:t>
            </w:r>
          </w:p>
          <w:p w14:paraId="70D081FA" w14:textId="4E476BF1" w:rsidR="00662AEF" w:rsidRPr="002D5851" w:rsidRDefault="00662AEF" w:rsidP="00662AEF">
            <w:pPr>
              <w:spacing w:line="240" w:lineRule="auto"/>
              <w:rPr>
                <w:szCs w:val="22"/>
              </w:rPr>
            </w:pPr>
            <w:r>
              <w:rPr>
                <w:szCs w:val="22"/>
              </w:rPr>
              <w:t xml:space="preserve">To expand the requirement in </w:t>
            </w:r>
            <w:r w:rsidRPr="002D5851">
              <w:rPr>
                <w:szCs w:val="22"/>
              </w:rPr>
              <w:t>regulation 84 so that all staff and volunteers, whether or not they work with children, must be made aware of:</w:t>
            </w:r>
          </w:p>
          <w:p w14:paraId="0A174F02" w14:textId="77777777" w:rsidR="00662AEF" w:rsidRPr="002D5851" w:rsidRDefault="00662AEF" w:rsidP="00662AEF">
            <w:pPr>
              <w:pStyle w:val="ListParagraph"/>
              <w:numPr>
                <w:ilvl w:val="0"/>
                <w:numId w:val="2"/>
              </w:numPr>
              <w:spacing w:line="240" w:lineRule="auto"/>
              <w:rPr>
                <w:szCs w:val="22"/>
              </w:rPr>
            </w:pPr>
            <w:r w:rsidRPr="002D5851">
              <w:rPr>
                <w:szCs w:val="22"/>
              </w:rPr>
              <w:t>existence and application of the current child protection law</w:t>
            </w:r>
          </w:p>
          <w:p w14:paraId="3B3EA484" w14:textId="77777777" w:rsidR="00662AEF" w:rsidRPr="002D5851" w:rsidRDefault="00662AEF" w:rsidP="00662AEF">
            <w:pPr>
              <w:pStyle w:val="ListParagraph"/>
              <w:numPr>
                <w:ilvl w:val="0"/>
                <w:numId w:val="2"/>
              </w:numPr>
              <w:spacing w:line="240" w:lineRule="auto"/>
              <w:rPr>
                <w:szCs w:val="22"/>
              </w:rPr>
            </w:pPr>
            <w:r w:rsidRPr="002D5851">
              <w:rPr>
                <w:szCs w:val="22"/>
              </w:rPr>
              <w:t>any obligations that the person may have under that law.</w:t>
            </w:r>
          </w:p>
          <w:p w14:paraId="5F834E53" w14:textId="15C5E91D" w:rsidR="00662AEF" w:rsidRPr="002D5851" w:rsidRDefault="00662AEF" w:rsidP="00662AEF">
            <w:pPr>
              <w:spacing w:line="240" w:lineRule="auto"/>
              <w:rPr>
                <w:szCs w:val="22"/>
              </w:rPr>
            </w:pPr>
            <w:r w:rsidRPr="002D5851">
              <w:rPr>
                <w:szCs w:val="22"/>
              </w:rPr>
              <w:t>(i.e. remove the limitation to staff who work with children)</w:t>
            </w:r>
          </w:p>
        </w:tc>
        <w:tc>
          <w:tcPr>
            <w:tcW w:w="2251" w:type="pct"/>
            <w:shd w:val="clear" w:color="auto" w:fill="EDF5D7" w:themeFill="accent5" w:themeFillTint="33"/>
            <w:vAlign w:val="center"/>
          </w:tcPr>
          <w:p w14:paraId="65A025B1" w14:textId="504223D4" w:rsidR="00662AEF" w:rsidRPr="002D5851" w:rsidRDefault="00662AEF" w:rsidP="00662AEF">
            <w:pPr>
              <w:spacing w:line="240" w:lineRule="auto"/>
              <w:rPr>
                <w:b/>
                <w:szCs w:val="22"/>
              </w:rPr>
            </w:pPr>
            <w:r w:rsidRPr="002D5851">
              <w:rPr>
                <w:szCs w:val="22"/>
                <w:lang w:val="en-GB"/>
              </w:rPr>
              <w:t>To be implemented in full</w:t>
            </w:r>
          </w:p>
        </w:tc>
      </w:tr>
      <w:tr w:rsidR="00662AEF" w:rsidRPr="002D5851" w14:paraId="4290CDAE" w14:textId="209B9ABB" w:rsidTr="00B31437">
        <w:tc>
          <w:tcPr>
            <w:tcW w:w="498" w:type="pct"/>
            <w:shd w:val="clear" w:color="auto" w:fill="EDF5D7" w:themeFill="accent5" w:themeFillTint="33"/>
            <w:vAlign w:val="center"/>
          </w:tcPr>
          <w:p w14:paraId="56A430E6" w14:textId="77777777" w:rsidR="00662AEF" w:rsidRPr="002D5851" w:rsidRDefault="00662AEF" w:rsidP="00662AEF">
            <w:pPr>
              <w:spacing w:line="240" w:lineRule="auto"/>
              <w:rPr>
                <w:szCs w:val="22"/>
              </w:rPr>
            </w:pPr>
            <w:r w:rsidRPr="002D5851">
              <w:rPr>
                <w:szCs w:val="22"/>
              </w:rPr>
              <w:t>6</w:t>
            </w:r>
          </w:p>
        </w:tc>
        <w:tc>
          <w:tcPr>
            <w:tcW w:w="2251" w:type="pct"/>
            <w:shd w:val="clear" w:color="auto" w:fill="EDF5D7" w:themeFill="accent5" w:themeFillTint="33"/>
            <w:vAlign w:val="center"/>
          </w:tcPr>
          <w:p w14:paraId="7A85F919" w14:textId="77777777" w:rsidR="00662AEF" w:rsidRPr="002D5851" w:rsidRDefault="00662AEF" w:rsidP="00662AEF">
            <w:pPr>
              <w:spacing w:line="240" w:lineRule="auto"/>
              <w:rPr>
                <w:szCs w:val="22"/>
              </w:rPr>
            </w:pPr>
            <w:r w:rsidRPr="002D5851">
              <w:rPr>
                <w:b/>
                <w:szCs w:val="22"/>
              </w:rPr>
              <w:t>Regulatory</w:t>
            </w:r>
          </w:p>
          <w:p w14:paraId="00B236E9" w14:textId="77777777" w:rsidR="00662AEF" w:rsidRPr="002D5851" w:rsidRDefault="00662AEF" w:rsidP="00662AEF">
            <w:pPr>
              <w:spacing w:line="240" w:lineRule="auto"/>
              <w:rPr>
                <w:szCs w:val="22"/>
              </w:rPr>
            </w:pPr>
            <w:r w:rsidRPr="002D5851">
              <w:rPr>
                <w:szCs w:val="22"/>
              </w:rPr>
              <w:t>Legislative change to require:</w:t>
            </w:r>
          </w:p>
          <w:p w14:paraId="4FF141D0" w14:textId="77777777" w:rsidR="00662AEF" w:rsidRPr="002D5851" w:rsidRDefault="00662AEF" w:rsidP="00662AEF">
            <w:pPr>
              <w:pStyle w:val="ListParagraph"/>
              <w:numPr>
                <w:ilvl w:val="0"/>
                <w:numId w:val="119"/>
              </w:numPr>
              <w:spacing w:line="240" w:lineRule="auto"/>
              <w:rPr>
                <w:szCs w:val="22"/>
              </w:rPr>
            </w:pPr>
            <w:r w:rsidRPr="002D5851">
              <w:rPr>
                <w:szCs w:val="22"/>
              </w:rPr>
              <w:t>Mandatory child safety training.</w:t>
            </w:r>
          </w:p>
          <w:p w14:paraId="7576B91A" w14:textId="0A7B40E2" w:rsidR="00662AEF" w:rsidRPr="002D5851" w:rsidRDefault="00662AEF" w:rsidP="00662AEF">
            <w:pPr>
              <w:spacing w:line="240" w:lineRule="auto"/>
              <w:rPr>
                <w:szCs w:val="22"/>
              </w:rPr>
            </w:pPr>
            <w:r w:rsidRPr="002D5851">
              <w:rPr>
                <w:szCs w:val="22"/>
              </w:rPr>
              <w:t>Which is nationally consistent</w:t>
            </w:r>
            <w:r>
              <w:rPr>
                <w:szCs w:val="22"/>
              </w:rPr>
              <w:t>, approved</w:t>
            </w:r>
            <w:r w:rsidR="00FD2E2C">
              <w:rPr>
                <w:szCs w:val="22"/>
              </w:rPr>
              <w:t>,</w:t>
            </w:r>
            <w:r w:rsidRPr="002D5851">
              <w:rPr>
                <w:szCs w:val="22"/>
              </w:rPr>
              <w:t xml:space="preserve"> of a high quality, and tailored for all people involved in the provision of education and care services (including people who do not directly work with children), with a requirement to complete refresher training every two years.</w:t>
            </w:r>
          </w:p>
          <w:p w14:paraId="66A81F5E" w14:textId="77777777" w:rsidR="00662AEF" w:rsidRPr="002D5851" w:rsidRDefault="00662AEF" w:rsidP="00662AEF">
            <w:pPr>
              <w:spacing w:line="240" w:lineRule="auto"/>
              <w:rPr>
                <w:szCs w:val="22"/>
              </w:rPr>
            </w:pPr>
            <w:r w:rsidRPr="002D5851">
              <w:rPr>
                <w:szCs w:val="22"/>
              </w:rPr>
              <w:t>This change should be subject to governments undertaking further research, costing and impact analysis of any proposed training and the implementation approach.</w:t>
            </w:r>
          </w:p>
          <w:p w14:paraId="5AC83BFA" w14:textId="77777777" w:rsidR="00662AEF" w:rsidRPr="002D5851" w:rsidRDefault="00662AEF" w:rsidP="00662AEF">
            <w:pPr>
              <w:spacing w:line="240" w:lineRule="auto"/>
              <w:rPr>
                <w:szCs w:val="22"/>
              </w:rPr>
            </w:pPr>
            <w:r w:rsidRPr="002D5851">
              <w:rPr>
                <w:szCs w:val="22"/>
              </w:rPr>
              <w:t>Mandatory child safety training may feature matters including, but not limited to:</w:t>
            </w:r>
          </w:p>
          <w:p w14:paraId="4EB1D610" w14:textId="77777777" w:rsidR="00662AEF" w:rsidRPr="002D5851" w:rsidRDefault="00662AEF" w:rsidP="00662AEF">
            <w:pPr>
              <w:pStyle w:val="ListParagraph"/>
              <w:numPr>
                <w:ilvl w:val="0"/>
                <w:numId w:val="2"/>
              </w:numPr>
              <w:spacing w:line="240" w:lineRule="auto"/>
              <w:rPr>
                <w:szCs w:val="22"/>
              </w:rPr>
            </w:pPr>
            <w:r w:rsidRPr="002D5851">
              <w:rPr>
                <w:szCs w:val="22"/>
              </w:rPr>
              <w:lastRenderedPageBreak/>
              <w:t>creating a child safe culture in education and care services</w:t>
            </w:r>
          </w:p>
          <w:p w14:paraId="176E0167" w14:textId="77777777" w:rsidR="00662AEF" w:rsidRPr="002D5851" w:rsidRDefault="00662AEF" w:rsidP="00662AEF">
            <w:pPr>
              <w:pStyle w:val="ListParagraph"/>
              <w:numPr>
                <w:ilvl w:val="0"/>
                <w:numId w:val="2"/>
              </w:numPr>
              <w:spacing w:line="240" w:lineRule="auto"/>
              <w:rPr>
                <w:szCs w:val="22"/>
              </w:rPr>
            </w:pPr>
            <w:r w:rsidRPr="002D5851">
              <w:rPr>
                <w:szCs w:val="22"/>
              </w:rPr>
              <w:t>identifying, reporting, and responding to child maltreatment through trauma informed practice</w:t>
            </w:r>
          </w:p>
          <w:p w14:paraId="72387ADF" w14:textId="77777777" w:rsidR="00662AEF" w:rsidRPr="002D5851" w:rsidRDefault="00662AEF" w:rsidP="00662AEF">
            <w:pPr>
              <w:pStyle w:val="ListParagraph"/>
              <w:numPr>
                <w:ilvl w:val="0"/>
                <w:numId w:val="2"/>
              </w:numPr>
              <w:spacing w:line="240" w:lineRule="auto"/>
              <w:rPr>
                <w:szCs w:val="22"/>
              </w:rPr>
            </w:pPr>
            <w:r w:rsidRPr="002D5851">
              <w:rPr>
                <w:szCs w:val="22"/>
              </w:rPr>
              <w:t>differences in behaviour and responding appropriately, along with identifying grooming behaviour in children and adults around them</w:t>
            </w:r>
          </w:p>
          <w:p w14:paraId="7BCEAE86" w14:textId="77777777" w:rsidR="00662AEF" w:rsidRPr="002D5851" w:rsidRDefault="00662AEF" w:rsidP="00662AEF">
            <w:pPr>
              <w:pStyle w:val="ListParagraph"/>
              <w:numPr>
                <w:ilvl w:val="0"/>
                <w:numId w:val="2"/>
              </w:numPr>
              <w:spacing w:line="240" w:lineRule="auto"/>
              <w:rPr>
                <w:szCs w:val="22"/>
              </w:rPr>
            </w:pPr>
            <w:r w:rsidRPr="002D5851">
              <w:rPr>
                <w:szCs w:val="22"/>
              </w:rPr>
              <w:t>understanding the difference between developmentally expected sexual behaviour and concerning or harmful behaviour by children or between children</w:t>
            </w:r>
          </w:p>
          <w:p w14:paraId="5FEDD853" w14:textId="5146AB82" w:rsidR="00662AEF" w:rsidRPr="002D5851" w:rsidRDefault="00662AEF" w:rsidP="00662AEF">
            <w:pPr>
              <w:pStyle w:val="ListParagraph"/>
              <w:numPr>
                <w:ilvl w:val="0"/>
                <w:numId w:val="2"/>
              </w:numPr>
              <w:spacing w:line="240" w:lineRule="auto"/>
              <w:rPr>
                <w:szCs w:val="22"/>
              </w:rPr>
            </w:pPr>
            <w:r w:rsidRPr="002D5851">
              <w:rPr>
                <w:szCs w:val="22"/>
              </w:rPr>
              <w:t>effective supervision and behaviour guidance, including the offence of using inappropriate discipline, and potentially inappropriate conduct (refer to Chapter 7.1).</w:t>
            </w:r>
          </w:p>
        </w:tc>
        <w:tc>
          <w:tcPr>
            <w:tcW w:w="2251" w:type="pct"/>
            <w:shd w:val="clear" w:color="auto" w:fill="EDF5D7" w:themeFill="accent5" w:themeFillTint="33"/>
            <w:vAlign w:val="center"/>
          </w:tcPr>
          <w:p w14:paraId="0C8BB800" w14:textId="14656BD0" w:rsidR="00662AEF" w:rsidRPr="002D5851" w:rsidRDefault="00662AEF" w:rsidP="00662AEF">
            <w:pPr>
              <w:spacing w:line="240" w:lineRule="auto"/>
              <w:rPr>
                <w:b/>
                <w:szCs w:val="22"/>
              </w:rPr>
            </w:pPr>
            <w:r w:rsidRPr="002D5851">
              <w:rPr>
                <w:szCs w:val="22"/>
                <w:lang w:val="en-GB"/>
              </w:rPr>
              <w:lastRenderedPageBreak/>
              <w:t>To be</w:t>
            </w:r>
            <w:r w:rsidRPr="002D5851">
              <w:rPr>
                <w:szCs w:val="22"/>
              </w:rPr>
              <w:t xml:space="preserve"> implemented in full</w:t>
            </w:r>
          </w:p>
        </w:tc>
      </w:tr>
    </w:tbl>
    <w:p w14:paraId="79C7F1AE" w14:textId="77777777" w:rsidR="006E5D86" w:rsidRDefault="006E5D86" w:rsidP="006542E6">
      <w:pPr>
        <w:spacing w:line="240" w:lineRule="auto"/>
        <w:rPr>
          <w:lang w:val="en-GB"/>
        </w:rPr>
      </w:pPr>
    </w:p>
    <w:p w14:paraId="3C9B3F5A" w14:textId="77777777" w:rsidR="006542E6" w:rsidRDefault="006542E6">
      <w:pPr>
        <w:spacing w:after="160" w:line="259" w:lineRule="auto"/>
        <w:rPr>
          <w:rFonts w:cs="Arial"/>
          <w:b/>
          <w:bCs/>
          <w:i/>
          <w:iCs/>
          <w:color w:val="006B77"/>
          <w:szCs w:val="20"/>
          <w:lang w:val="en-GB"/>
        </w:rPr>
      </w:pPr>
      <w:r>
        <w:rPr>
          <w:lang w:val="en-GB"/>
        </w:rPr>
        <w:br w:type="page"/>
      </w:r>
    </w:p>
    <w:p w14:paraId="363451B5" w14:textId="3D129394" w:rsidR="00657E7D" w:rsidRDefault="00657E7D" w:rsidP="006542E6">
      <w:pPr>
        <w:pStyle w:val="Heading4"/>
        <w:spacing w:line="240" w:lineRule="auto"/>
        <w:rPr>
          <w:lang w:val="en-GB"/>
        </w:rPr>
      </w:pPr>
      <w:r>
        <w:rPr>
          <w:lang w:val="en-GB"/>
        </w:rPr>
        <w:lastRenderedPageBreak/>
        <w:t>Responding to educator and staff member conduct</w:t>
      </w:r>
      <w:r w:rsidR="00DB4246">
        <w:rPr>
          <w:lang w:val="en-GB"/>
        </w:rPr>
        <w:t xml:space="preserve"> - </w:t>
      </w:r>
      <w:r w:rsidR="00DB4246" w:rsidRPr="00DB4246">
        <w:rPr>
          <w:lang w:val="en-GB"/>
        </w:rPr>
        <w:t>Making inappropriate conduct an offence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responding to educator and staff member conduct - Making inappropriate conduct an offence"/>
      </w:tblPr>
      <w:tblGrid>
        <w:gridCol w:w="1390"/>
        <w:gridCol w:w="6280"/>
        <w:gridCol w:w="6280"/>
      </w:tblGrid>
      <w:tr w:rsidR="00657E7D" w:rsidRPr="002D5851" w14:paraId="6F31C63E" w14:textId="77777777" w:rsidTr="00B31437">
        <w:trPr>
          <w:tblHeader/>
        </w:trPr>
        <w:tc>
          <w:tcPr>
            <w:tcW w:w="498" w:type="pct"/>
            <w:shd w:val="clear" w:color="auto" w:fill="14233C" w:themeFill="text2"/>
            <w:vAlign w:val="center"/>
          </w:tcPr>
          <w:p w14:paraId="102F586F" w14:textId="77777777" w:rsidR="00657E7D" w:rsidRPr="002D5851" w:rsidRDefault="00657E7D"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03605F56" w14:textId="77777777" w:rsidR="00657E7D" w:rsidRPr="002D5851" w:rsidRDefault="00657E7D"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233624E2" w14:textId="28F1362C" w:rsidR="00657E7D" w:rsidRPr="002D5851" w:rsidRDefault="00FD2E2C" w:rsidP="006542E6">
            <w:pPr>
              <w:spacing w:line="240" w:lineRule="auto"/>
              <w:rPr>
                <w:b/>
                <w:color w:val="FFFFFF" w:themeColor="background1"/>
                <w:szCs w:val="22"/>
              </w:rPr>
            </w:pPr>
            <w:r>
              <w:rPr>
                <w:b/>
                <w:szCs w:val="22"/>
                <w:lang w:val="en-GB"/>
              </w:rPr>
              <w:t>Implementation approach</w:t>
            </w:r>
          </w:p>
        </w:tc>
      </w:tr>
      <w:tr w:rsidR="00657E7D" w:rsidRPr="002D5851" w14:paraId="6476A930" w14:textId="77777777" w:rsidTr="00B31437">
        <w:tc>
          <w:tcPr>
            <w:tcW w:w="498" w:type="pct"/>
            <w:vAlign w:val="center"/>
          </w:tcPr>
          <w:p w14:paraId="638F380D" w14:textId="77777777" w:rsidR="00657E7D" w:rsidRPr="002D5851" w:rsidRDefault="00657E7D" w:rsidP="006542E6">
            <w:pPr>
              <w:spacing w:line="240" w:lineRule="auto"/>
              <w:rPr>
                <w:szCs w:val="22"/>
              </w:rPr>
            </w:pPr>
            <w:r w:rsidRPr="002D5851">
              <w:rPr>
                <w:szCs w:val="22"/>
              </w:rPr>
              <w:t>1</w:t>
            </w:r>
          </w:p>
        </w:tc>
        <w:tc>
          <w:tcPr>
            <w:tcW w:w="2251" w:type="pct"/>
          </w:tcPr>
          <w:p w14:paraId="08662A8F" w14:textId="77777777" w:rsidR="00657E7D" w:rsidRPr="002D5851" w:rsidRDefault="00657E7D" w:rsidP="006542E6">
            <w:pPr>
              <w:spacing w:line="240" w:lineRule="auto"/>
              <w:rPr>
                <w:szCs w:val="22"/>
              </w:rPr>
            </w:pPr>
            <w:r w:rsidRPr="002D5851">
              <w:rPr>
                <w:szCs w:val="22"/>
              </w:rPr>
              <w:t>Status quo (no change).</w:t>
            </w:r>
          </w:p>
        </w:tc>
        <w:tc>
          <w:tcPr>
            <w:tcW w:w="2251" w:type="pct"/>
            <w:vAlign w:val="center"/>
          </w:tcPr>
          <w:p w14:paraId="527B6FA3" w14:textId="34BBC70A" w:rsidR="00657E7D" w:rsidRPr="002D5851" w:rsidRDefault="00657E7D" w:rsidP="006542E6">
            <w:pPr>
              <w:spacing w:line="240" w:lineRule="auto"/>
              <w:rPr>
                <w:szCs w:val="22"/>
              </w:rPr>
            </w:pPr>
            <w:r w:rsidRPr="002D5851">
              <w:rPr>
                <w:szCs w:val="22"/>
              </w:rPr>
              <w:t>Not to be implemented</w:t>
            </w:r>
          </w:p>
        </w:tc>
      </w:tr>
      <w:tr w:rsidR="000D65FB" w:rsidRPr="002D5851" w14:paraId="5C7FB291" w14:textId="77777777" w:rsidTr="00B31437">
        <w:tc>
          <w:tcPr>
            <w:tcW w:w="498" w:type="pct"/>
            <w:shd w:val="clear" w:color="auto" w:fill="EDF5D7" w:themeFill="accent5" w:themeFillTint="33"/>
            <w:vAlign w:val="center"/>
          </w:tcPr>
          <w:p w14:paraId="374582A3" w14:textId="77777777" w:rsidR="000D65FB" w:rsidRPr="002D5851" w:rsidRDefault="000D65FB" w:rsidP="000D65FB">
            <w:pPr>
              <w:spacing w:line="240" w:lineRule="auto"/>
              <w:rPr>
                <w:szCs w:val="22"/>
              </w:rPr>
            </w:pPr>
            <w:r w:rsidRPr="002D5851">
              <w:rPr>
                <w:szCs w:val="22"/>
              </w:rPr>
              <w:t>2</w:t>
            </w:r>
          </w:p>
        </w:tc>
        <w:tc>
          <w:tcPr>
            <w:tcW w:w="2251" w:type="pct"/>
            <w:shd w:val="clear" w:color="auto" w:fill="EDF5D7" w:themeFill="accent5" w:themeFillTint="33"/>
          </w:tcPr>
          <w:p w14:paraId="13C1BD86" w14:textId="77777777" w:rsidR="000D65FB" w:rsidRPr="00006D1E" w:rsidRDefault="000D65FB" w:rsidP="000D65FB">
            <w:pPr>
              <w:spacing w:line="240" w:lineRule="auto"/>
              <w:ind w:left="360" w:hanging="360"/>
              <w:rPr>
                <w:b/>
                <w:szCs w:val="20"/>
              </w:rPr>
            </w:pPr>
            <w:r w:rsidRPr="002D5851">
              <w:rPr>
                <w:b/>
                <w:szCs w:val="22"/>
              </w:rPr>
              <w:t>Non-regulatory</w:t>
            </w:r>
          </w:p>
          <w:p w14:paraId="309A76D5" w14:textId="57E79D88" w:rsidR="000D65FB" w:rsidRPr="002D5851" w:rsidRDefault="000D65FB" w:rsidP="000D65FB">
            <w:pPr>
              <w:spacing w:line="240" w:lineRule="auto"/>
              <w:rPr>
                <w:szCs w:val="22"/>
              </w:rPr>
            </w:pPr>
            <w:r w:rsidRPr="00006D1E">
              <w:rPr>
                <w:szCs w:val="20"/>
              </w:rPr>
              <w:t xml:space="preserve">Develop more communications and resources on encouraging approved providers to address appropriate and inappropriate conduct within their contracts of employment, </w:t>
            </w:r>
            <w:r>
              <w:rPr>
                <w:szCs w:val="20"/>
              </w:rPr>
              <w:t>Code of Conduct</w:t>
            </w:r>
            <w:r w:rsidRPr="00006D1E">
              <w:rPr>
                <w:szCs w:val="20"/>
              </w:rPr>
              <w:t xml:space="preserve"> and policies and procedures required under regulation 168(2) of the National Regulations.</w:t>
            </w:r>
          </w:p>
        </w:tc>
        <w:tc>
          <w:tcPr>
            <w:tcW w:w="2251" w:type="pct"/>
            <w:shd w:val="clear" w:color="auto" w:fill="EDF5D7" w:themeFill="accent5" w:themeFillTint="33"/>
          </w:tcPr>
          <w:p w14:paraId="30CDA6AB" w14:textId="762F6EA8" w:rsidR="000D65FB" w:rsidRPr="002D5851" w:rsidRDefault="000D65FB" w:rsidP="000D65FB">
            <w:pPr>
              <w:spacing w:line="240" w:lineRule="auto"/>
              <w:rPr>
                <w:b/>
                <w:szCs w:val="22"/>
              </w:rPr>
            </w:pPr>
            <w:r w:rsidRPr="003A4716">
              <w:rPr>
                <w:szCs w:val="22"/>
              </w:rPr>
              <w:t>To</w:t>
            </w:r>
            <w:r w:rsidRPr="002D5851">
              <w:rPr>
                <w:szCs w:val="22"/>
              </w:rPr>
              <w:t xml:space="preserve"> be implemented</w:t>
            </w:r>
            <w:r w:rsidRPr="003A4716">
              <w:rPr>
                <w:szCs w:val="22"/>
              </w:rPr>
              <w:t xml:space="preserve"> in full</w:t>
            </w:r>
          </w:p>
        </w:tc>
      </w:tr>
      <w:tr w:rsidR="000D65FB" w:rsidRPr="002D5851" w14:paraId="313F8EDB" w14:textId="77777777" w:rsidTr="00B31437">
        <w:tc>
          <w:tcPr>
            <w:tcW w:w="498" w:type="pct"/>
            <w:shd w:val="clear" w:color="auto" w:fill="EDF5D7" w:themeFill="accent5" w:themeFillTint="33"/>
            <w:vAlign w:val="center"/>
          </w:tcPr>
          <w:p w14:paraId="29F24EF7" w14:textId="77777777" w:rsidR="000D65FB" w:rsidRPr="002D5851" w:rsidRDefault="000D65FB" w:rsidP="000D65FB">
            <w:pPr>
              <w:spacing w:line="240" w:lineRule="auto"/>
              <w:rPr>
                <w:szCs w:val="22"/>
              </w:rPr>
            </w:pPr>
            <w:r w:rsidRPr="002D5851">
              <w:rPr>
                <w:szCs w:val="22"/>
              </w:rPr>
              <w:t>3</w:t>
            </w:r>
          </w:p>
        </w:tc>
        <w:tc>
          <w:tcPr>
            <w:tcW w:w="2251" w:type="pct"/>
            <w:shd w:val="clear" w:color="auto" w:fill="EDF5D7" w:themeFill="accent5" w:themeFillTint="33"/>
          </w:tcPr>
          <w:p w14:paraId="25787B0B" w14:textId="77777777" w:rsidR="000D65FB" w:rsidRPr="00006D1E" w:rsidRDefault="000D65FB" w:rsidP="000D65FB">
            <w:pPr>
              <w:spacing w:line="240" w:lineRule="auto"/>
              <w:rPr>
                <w:b/>
                <w:szCs w:val="20"/>
              </w:rPr>
            </w:pPr>
            <w:r w:rsidRPr="002D5851">
              <w:rPr>
                <w:b/>
                <w:szCs w:val="22"/>
              </w:rPr>
              <w:t>Regulatory</w:t>
            </w:r>
          </w:p>
          <w:p w14:paraId="1A1517D6" w14:textId="77777777" w:rsidR="000D65FB" w:rsidRPr="00006D1E" w:rsidRDefault="000D65FB" w:rsidP="000D65FB">
            <w:pPr>
              <w:spacing w:line="240" w:lineRule="auto"/>
              <w:rPr>
                <w:szCs w:val="20"/>
              </w:rPr>
            </w:pPr>
            <w:r w:rsidRPr="00006D1E">
              <w:rPr>
                <w:szCs w:val="20"/>
              </w:rPr>
              <w:t xml:space="preserve">Amend the National Law to introduce ‘inappropriate conduct’ as an offence applicable to approved providers, nominated supervisors, educators, other staff members, volunteers and FDC educators as follows: </w:t>
            </w:r>
          </w:p>
          <w:p w14:paraId="3640211E" w14:textId="77777777" w:rsidR="000D65FB" w:rsidRPr="00006D1E" w:rsidRDefault="000D65FB" w:rsidP="000D65FB">
            <w:pPr>
              <w:spacing w:line="240" w:lineRule="auto"/>
              <w:rPr>
                <w:i/>
                <w:szCs w:val="20"/>
              </w:rPr>
            </w:pPr>
            <w:r w:rsidRPr="00006D1E">
              <w:rPr>
                <w:i/>
                <w:szCs w:val="20"/>
              </w:rPr>
              <w:t>The approved provider and a nominated supervisor must ensure that no child being educated and cared for by the service is subjected to any form of inappropriate conduct:</w:t>
            </w:r>
          </w:p>
          <w:p w14:paraId="55435476" w14:textId="77777777" w:rsidR="000D65FB" w:rsidRPr="00006D1E" w:rsidRDefault="000D65FB" w:rsidP="000D65FB">
            <w:pPr>
              <w:spacing w:line="240" w:lineRule="auto"/>
              <w:rPr>
                <w:szCs w:val="20"/>
              </w:rPr>
            </w:pPr>
            <w:r w:rsidRPr="00006D1E">
              <w:rPr>
                <w:szCs w:val="20"/>
              </w:rPr>
              <w:t xml:space="preserve">and </w:t>
            </w:r>
          </w:p>
          <w:p w14:paraId="6A9D8DA1" w14:textId="0B9B0615" w:rsidR="000D65FB" w:rsidRPr="002D5851" w:rsidRDefault="000D65FB" w:rsidP="000D65FB">
            <w:pPr>
              <w:spacing w:line="240" w:lineRule="auto"/>
              <w:rPr>
                <w:szCs w:val="22"/>
              </w:rPr>
            </w:pPr>
            <w:r w:rsidRPr="00006D1E">
              <w:rPr>
                <w:i/>
                <w:szCs w:val="20"/>
              </w:rPr>
              <w:t xml:space="preserve">A staff member of, or volunteer at an education and care service, or FDC educator must not subject any child being educated and cared for by the service to any form of inappropriate conduct. </w:t>
            </w:r>
          </w:p>
        </w:tc>
        <w:tc>
          <w:tcPr>
            <w:tcW w:w="2251" w:type="pct"/>
            <w:shd w:val="clear" w:color="auto" w:fill="EDF5D7" w:themeFill="accent5" w:themeFillTint="33"/>
          </w:tcPr>
          <w:p w14:paraId="394F460F" w14:textId="5544FE43" w:rsidR="000D65FB" w:rsidRPr="002D5851" w:rsidRDefault="000D65FB" w:rsidP="000D65FB">
            <w:pPr>
              <w:spacing w:line="240" w:lineRule="auto"/>
              <w:rPr>
                <w:b/>
                <w:szCs w:val="22"/>
              </w:rPr>
            </w:pPr>
            <w:r w:rsidRPr="00680113">
              <w:rPr>
                <w:szCs w:val="22"/>
              </w:rPr>
              <w:t xml:space="preserve">To be implemented in full, with definition of inappropriate conduct to be </w:t>
            </w:r>
            <w:r>
              <w:rPr>
                <w:szCs w:val="22"/>
              </w:rPr>
              <w:t>determined</w:t>
            </w:r>
          </w:p>
        </w:tc>
      </w:tr>
    </w:tbl>
    <w:p w14:paraId="4B1EA177" w14:textId="77777777" w:rsidR="006E5D86" w:rsidRPr="006E5D86" w:rsidRDefault="006E5D86" w:rsidP="006542E6">
      <w:pPr>
        <w:spacing w:line="240" w:lineRule="auto"/>
        <w:rPr>
          <w:lang w:val="en-GB"/>
        </w:rPr>
      </w:pPr>
    </w:p>
    <w:p w14:paraId="6B71B507" w14:textId="77777777" w:rsidR="008B695D" w:rsidRDefault="008B695D">
      <w:pPr>
        <w:spacing w:after="160" w:line="259" w:lineRule="auto"/>
        <w:rPr>
          <w:rFonts w:cs="Arial"/>
          <w:b/>
          <w:bCs/>
          <w:i/>
          <w:iCs/>
          <w:color w:val="006B77"/>
          <w:szCs w:val="20"/>
          <w:lang w:val="en-GB"/>
        </w:rPr>
      </w:pPr>
      <w:r>
        <w:rPr>
          <w:lang w:val="en-GB"/>
        </w:rPr>
        <w:br w:type="page"/>
      </w:r>
    </w:p>
    <w:p w14:paraId="71FAC585" w14:textId="288E0565" w:rsidR="00D0363D" w:rsidRDefault="00D0363D" w:rsidP="006542E6">
      <w:pPr>
        <w:pStyle w:val="Heading4"/>
        <w:spacing w:line="240" w:lineRule="auto"/>
        <w:rPr>
          <w:lang w:val="en-GB"/>
        </w:rPr>
      </w:pPr>
      <w:r>
        <w:rPr>
          <w:lang w:val="en-GB"/>
        </w:rPr>
        <w:lastRenderedPageBreak/>
        <w:t xml:space="preserve">Responding to educator and staff member conduct - </w:t>
      </w:r>
      <w:r w:rsidR="00305588" w:rsidRPr="00305588">
        <w:rPr>
          <w:lang w:val="en-GB"/>
        </w:rPr>
        <w:t>Enhancing Regulatory Authorities’ ability to share information with approved providers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responding to educator and staff member conduct - Enhancing Regulatory Authorities’ ability to share information with approved providers"/>
      </w:tblPr>
      <w:tblGrid>
        <w:gridCol w:w="1390"/>
        <w:gridCol w:w="6280"/>
        <w:gridCol w:w="6280"/>
      </w:tblGrid>
      <w:tr w:rsidR="00D0363D" w:rsidRPr="002D5851" w14:paraId="24ADCA2A" w14:textId="77777777" w:rsidTr="00B31437">
        <w:trPr>
          <w:tblHeader/>
        </w:trPr>
        <w:tc>
          <w:tcPr>
            <w:tcW w:w="498" w:type="pct"/>
            <w:shd w:val="clear" w:color="auto" w:fill="14233C" w:themeFill="text2"/>
            <w:vAlign w:val="center"/>
          </w:tcPr>
          <w:p w14:paraId="3C78758E" w14:textId="77777777" w:rsidR="00D0363D" w:rsidRPr="002D5851" w:rsidRDefault="00D0363D"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74429456" w14:textId="77777777" w:rsidR="00D0363D" w:rsidRPr="002D5851" w:rsidRDefault="00D0363D"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39419995" w14:textId="547B2EE8" w:rsidR="00D0363D" w:rsidRPr="002D5851" w:rsidRDefault="00FD2E2C" w:rsidP="006542E6">
            <w:pPr>
              <w:spacing w:line="240" w:lineRule="auto"/>
              <w:rPr>
                <w:b/>
                <w:color w:val="FFFFFF" w:themeColor="background1"/>
                <w:szCs w:val="22"/>
              </w:rPr>
            </w:pPr>
            <w:r>
              <w:rPr>
                <w:b/>
                <w:szCs w:val="22"/>
                <w:lang w:val="en-GB"/>
              </w:rPr>
              <w:t>Implementation approach</w:t>
            </w:r>
          </w:p>
        </w:tc>
      </w:tr>
      <w:tr w:rsidR="00D0363D" w:rsidRPr="002D5851" w14:paraId="12F30698" w14:textId="77777777" w:rsidTr="00B31437">
        <w:tc>
          <w:tcPr>
            <w:tcW w:w="498" w:type="pct"/>
            <w:vAlign w:val="center"/>
          </w:tcPr>
          <w:p w14:paraId="3A31695A" w14:textId="77777777" w:rsidR="00D0363D" w:rsidRPr="002D5851" w:rsidRDefault="00D0363D" w:rsidP="006542E6">
            <w:pPr>
              <w:spacing w:line="240" w:lineRule="auto"/>
              <w:rPr>
                <w:szCs w:val="22"/>
              </w:rPr>
            </w:pPr>
            <w:r w:rsidRPr="002D5851">
              <w:rPr>
                <w:szCs w:val="22"/>
              </w:rPr>
              <w:t>1</w:t>
            </w:r>
          </w:p>
        </w:tc>
        <w:tc>
          <w:tcPr>
            <w:tcW w:w="2251" w:type="pct"/>
          </w:tcPr>
          <w:p w14:paraId="14A36F19" w14:textId="77777777" w:rsidR="00D0363D" w:rsidRPr="002D5851" w:rsidRDefault="00D0363D" w:rsidP="006542E6">
            <w:pPr>
              <w:spacing w:line="240" w:lineRule="auto"/>
              <w:rPr>
                <w:szCs w:val="22"/>
              </w:rPr>
            </w:pPr>
            <w:r w:rsidRPr="002D5851">
              <w:rPr>
                <w:szCs w:val="22"/>
              </w:rPr>
              <w:t>Status quo (no change).</w:t>
            </w:r>
          </w:p>
        </w:tc>
        <w:tc>
          <w:tcPr>
            <w:tcW w:w="2251" w:type="pct"/>
            <w:vAlign w:val="center"/>
          </w:tcPr>
          <w:p w14:paraId="5CE9DDE8" w14:textId="0EA153F7" w:rsidR="00D0363D" w:rsidRPr="002D5851" w:rsidRDefault="00D0363D" w:rsidP="006542E6">
            <w:pPr>
              <w:spacing w:line="240" w:lineRule="auto"/>
              <w:rPr>
                <w:szCs w:val="22"/>
              </w:rPr>
            </w:pPr>
            <w:r w:rsidRPr="002D5851">
              <w:rPr>
                <w:szCs w:val="22"/>
              </w:rPr>
              <w:t>Not to be implemented</w:t>
            </w:r>
          </w:p>
        </w:tc>
      </w:tr>
      <w:tr w:rsidR="00D0363D" w:rsidRPr="002D5851" w14:paraId="07CE8C6A" w14:textId="77777777" w:rsidTr="00B31437">
        <w:tc>
          <w:tcPr>
            <w:tcW w:w="498" w:type="pct"/>
            <w:vAlign w:val="center"/>
          </w:tcPr>
          <w:p w14:paraId="1050AB9F" w14:textId="77777777" w:rsidR="00D0363D" w:rsidRPr="002D5851" w:rsidRDefault="00D0363D" w:rsidP="006542E6">
            <w:pPr>
              <w:spacing w:line="240" w:lineRule="auto"/>
              <w:rPr>
                <w:szCs w:val="22"/>
              </w:rPr>
            </w:pPr>
            <w:r w:rsidRPr="002D5851">
              <w:rPr>
                <w:szCs w:val="22"/>
              </w:rPr>
              <w:t>2</w:t>
            </w:r>
          </w:p>
        </w:tc>
        <w:tc>
          <w:tcPr>
            <w:tcW w:w="2251" w:type="pct"/>
          </w:tcPr>
          <w:p w14:paraId="30A13C5D" w14:textId="77777777" w:rsidR="00305588" w:rsidRPr="00006D1E" w:rsidRDefault="00305588" w:rsidP="006542E6">
            <w:pPr>
              <w:spacing w:line="240" w:lineRule="auto"/>
              <w:rPr>
                <w:b/>
                <w:szCs w:val="22"/>
              </w:rPr>
            </w:pPr>
            <w:r w:rsidRPr="00006D1E">
              <w:rPr>
                <w:b/>
                <w:szCs w:val="22"/>
              </w:rPr>
              <w:t xml:space="preserve">Non-regulatory </w:t>
            </w:r>
          </w:p>
          <w:p w14:paraId="553C8C5E" w14:textId="34958EF5" w:rsidR="00D0363D" w:rsidRPr="002D5851" w:rsidRDefault="00305588" w:rsidP="006542E6">
            <w:pPr>
              <w:spacing w:line="240" w:lineRule="auto"/>
              <w:rPr>
                <w:szCs w:val="22"/>
              </w:rPr>
            </w:pPr>
            <w:r w:rsidRPr="00006D1E">
              <w:rPr>
                <w:szCs w:val="22"/>
              </w:rPr>
              <w:t>Develop more communications on the current process for accessing the NQA ITS solution that provides an approved provider with the ability to perform an initial check and subsequent prohibition checks.</w:t>
            </w:r>
          </w:p>
        </w:tc>
        <w:tc>
          <w:tcPr>
            <w:tcW w:w="2251" w:type="pct"/>
            <w:vAlign w:val="center"/>
          </w:tcPr>
          <w:p w14:paraId="0EE1CEFE" w14:textId="5E1EE1CD" w:rsidR="00D0363D" w:rsidRPr="002D5851" w:rsidRDefault="00D0363D" w:rsidP="006542E6">
            <w:pPr>
              <w:spacing w:line="240" w:lineRule="auto"/>
              <w:rPr>
                <w:b/>
                <w:szCs w:val="22"/>
              </w:rPr>
            </w:pPr>
            <w:r w:rsidRPr="002D5851">
              <w:rPr>
                <w:szCs w:val="22"/>
              </w:rPr>
              <w:t>Not to be implemented</w:t>
            </w:r>
          </w:p>
        </w:tc>
      </w:tr>
      <w:tr w:rsidR="00D0363D" w:rsidRPr="002D5851" w14:paraId="183E7081" w14:textId="77777777" w:rsidTr="00B31437">
        <w:tc>
          <w:tcPr>
            <w:tcW w:w="498" w:type="pct"/>
            <w:shd w:val="clear" w:color="auto" w:fill="EDF5D7" w:themeFill="accent5" w:themeFillTint="33"/>
            <w:vAlign w:val="center"/>
          </w:tcPr>
          <w:p w14:paraId="19ED8372" w14:textId="77777777" w:rsidR="00D0363D" w:rsidRPr="002D5851" w:rsidRDefault="00D0363D" w:rsidP="006542E6">
            <w:pPr>
              <w:spacing w:line="240" w:lineRule="auto"/>
              <w:rPr>
                <w:szCs w:val="22"/>
              </w:rPr>
            </w:pPr>
            <w:r w:rsidRPr="002D5851">
              <w:rPr>
                <w:szCs w:val="22"/>
              </w:rPr>
              <w:t>3</w:t>
            </w:r>
          </w:p>
        </w:tc>
        <w:tc>
          <w:tcPr>
            <w:tcW w:w="2251" w:type="pct"/>
            <w:shd w:val="clear" w:color="auto" w:fill="EDF5D7" w:themeFill="accent5" w:themeFillTint="33"/>
          </w:tcPr>
          <w:p w14:paraId="47D86416" w14:textId="77777777" w:rsidR="00D0363D" w:rsidRPr="00006D1E" w:rsidRDefault="00D0363D" w:rsidP="006542E6">
            <w:pPr>
              <w:spacing w:line="240" w:lineRule="auto"/>
              <w:rPr>
                <w:b/>
                <w:szCs w:val="22"/>
              </w:rPr>
            </w:pPr>
            <w:r w:rsidRPr="002D5851">
              <w:rPr>
                <w:b/>
                <w:szCs w:val="22"/>
              </w:rPr>
              <w:t>Regulatory</w:t>
            </w:r>
          </w:p>
          <w:p w14:paraId="1C0654C5" w14:textId="3830412A" w:rsidR="00D0363D" w:rsidRPr="002D5851" w:rsidRDefault="00305588" w:rsidP="006542E6">
            <w:pPr>
              <w:spacing w:line="240" w:lineRule="auto"/>
              <w:rPr>
                <w:szCs w:val="22"/>
              </w:rPr>
            </w:pPr>
            <w:r w:rsidRPr="00006D1E">
              <w:rPr>
                <w:szCs w:val="22"/>
              </w:rPr>
              <w:t>Amend section 272 of the National Law to allow the Regulatory Authority to share information about a prohibited person or suspended FDC educator with that person’s current approved provider, without a request from the approved provider.</w:t>
            </w:r>
          </w:p>
        </w:tc>
        <w:tc>
          <w:tcPr>
            <w:tcW w:w="2251" w:type="pct"/>
            <w:shd w:val="clear" w:color="auto" w:fill="EDF5D7" w:themeFill="accent5" w:themeFillTint="33"/>
            <w:vAlign w:val="center"/>
          </w:tcPr>
          <w:p w14:paraId="39EEC669" w14:textId="61C962B7" w:rsidR="00D0363D" w:rsidRPr="002D5851" w:rsidRDefault="00305588" w:rsidP="006542E6">
            <w:pPr>
              <w:spacing w:line="240" w:lineRule="auto"/>
              <w:rPr>
                <w:b/>
                <w:szCs w:val="22"/>
              </w:rPr>
            </w:pPr>
            <w:r w:rsidRPr="002D5851">
              <w:rPr>
                <w:szCs w:val="22"/>
                <w:lang w:val="en-GB"/>
              </w:rPr>
              <w:t>To</w:t>
            </w:r>
            <w:r w:rsidR="00D0363D" w:rsidRPr="002D5851">
              <w:rPr>
                <w:szCs w:val="22"/>
                <w:lang w:val="en-GB"/>
              </w:rPr>
              <w:t xml:space="preserve"> be implemented</w:t>
            </w:r>
            <w:r w:rsidRPr="002D5851">
              <w:rPr>
                <w:szCs w:val="22"/>
                <w:lang w:val="en-GB"/>
              </w:rPr>
              <w:t xml:space="preserve"> in full</w:t>
            </w:r>
          </w:p>
        </w:tc>
      </w:tr>
      <w:tr w:rsidR="00D0363D" w:rsidRPr="002D5851" w14:paraId="360383D9" w14:textId="77777777" w:rsidTr="00B31437">
        <w:tc>
          <w:tcPr>
            <w:tcW w:w="498" w:type="pct"/>
            <w:shd w:val="clear" w:color="auto" w:fill="EDF5D7" w:themeFill="accent5" w:themeFillTint="33"/>
            <w:vAlign w:val="center"/>
          </w:tcPr>
          <w:p w14:paraId="2E6ECDD8" w14:textId="77777777" w:rsidR="00D0363D" w:rsidRPr="002D5851" w:rsidRDefault="00D0363D" w:rsidP="006542E6">
            <w:pPr>
              <w:spacing w:line="240" w:lineRule="auto"/>
              <w:rPr>
                <w:szCs w:val="22"/>
              </w:rPr>
            </w:pPr>
            <w:r w:rsidRPr="002D5851">
              <w:rPr>
                <w:szCs w:val="22"/>
              </w:rPr>
              <w:t>4</w:t>
            </w:r>
          </w:p>
        </w:tc>
        <w:tc>
          <w:tcPr>
            <w:tcW w:w="2251" w:type="pct"/>
            <w:shd w:val="clear" w:color="auto" w:fill="EDF5D7" w:themeFill="accent5" w:themeFillTint="33"/>
          </w:tcPr>
          <w:p w14:paraId="6BDBAE29" w14:textId="77777777" w:rsidR="00D0363D" w:rsidRPr="00006D1E" w:rsidRDefault="00D0363D" w:rsidP="006542E6">
            <w:pPr>
              <w:spacing w:line="240" w:lineRule="auto"/>
              <w:rPr>
                <w:b/>
                <w:szCs w:val="22"/>
              </w:rPr>
            </w:pPr>
            <w:r w:rsidRPr="002D5851">
              <w:rPr>
                <w:b/>
                <w:szCs w:val="22"/>
              </w:rPr>
              <w:t>Regulatory</w:t>
            </w:r>
          </w:p>
          <w:p w14:paraId="749DB77E" w14:textId="35EF00FA" w:rsidR="00D0363D" w:rsidRPr="002D5851" w:rsidRDefault="00305588" w:rsidP="006542E6">
            <w:pPr>
              <w:spacing w:line="240" w:lineRule="auto"/>
              <w:rPr>
                <w:szCs w:val="22"/>
              </w:rPr>
            </w:pPr>
            <w:r w:rsidRPr="00006D1E">
              <w:rPr>
                <w:szCs w:val="22"/>
              </w:rPr>
              <w:t>Amend the National Law to allow a Regulatory Authority to share information about a person’s current enforceable undertaking with that person’s current approved provider, without a request.</w:t>
            </w:r>
          </w:p>
        </w:tc>
        <w:tc>
          <w:tcPr>
            <w:tcW w:w="2251" w:type="pct"/>
            <w:shd w:val="clear" w:color="auto" w:fill="EDF5D7" w:themeFill="accent5" w:themeFillTint="33"/>
            <w:vAlign w:val="center"/>
          </w:tcPr>
          <w:p w14:paraId="619541A0" w14:textId="05DD003E" w:rsidR="00D0363D" w:rsidRPr="002D5851" w:rsidRDefault="00D0363D" w:rsidP="006542E6">
            <w:pPr>
              <w:spacing w:line="240" w:lineRule="auto"/>
              <w:rPr>
                <w:b/>
                <w:szCs w:val="22"/>
              </w:rPr>
            </w:pPr>
            <w:r w:rsidRPr="002D5851">
              <w:rPr>
                <w:szCs w:val="22"/>
                <w:lang w:val="en-GB"/>
              </w:rPr>
              <w:t>To be implemented in full</w:t>
            </w:r>
          </w:p>
        </w:tc>
      </w:tr>
    </w:tbl>
    <w:p w14:paraId="1C00EBE1" w14:textId="388A7F88" w:rsidR="007B0FEC" w:rsidRPr="007B0FEC" w:rsidRDefault="007B0FEC" w:rsidP="006542E6">
      <w:pPr>
        <w:spacing w:line="240" w:lineRule="auto"/>
        <w:rPr>
          <w:lang w:val="en-GB"/>
        </w:rPr>
      </w:pPr>
    </w:p>
    <w:p w14:paraId="6D1D4004" w14:textId="51894AF1" w:rsidR="00305588" w:rsidRDefault="00305588" w:rsidP="006542E6">
      <w:pPr>
        <w:pStyle w:val="Heading4"/>
        <w:spacing w:line="240" w:lineRule="auto"/>
        <w:rPr>
          <w:lang w:val="en-GB"/>
        </w:rPr>
      </w:pPr>
      <w:r>
        <w:rPr>
          <w:lang w:val="en-GB"/>
        </w:rPr>
        <w:t xml:space="preserve">Responding to educator and staff member conduct - </w:t>
      </w:r>
      <w:r w:rsidRPr="00305588">
        <w:rPr>
          <w:lang w:val="en-GB"/>
        </w:rPr>
        <w:t>Expansion of regulatory responses to educator and staff member conduct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responding to educator and staff member conduct - Expansion of regulatory responses to educator and staff member conduct"/>
      </w:tblPr>
      <w:tblGrid>
        <w:gridCol w:w="1390"/>
        <w:gridCol w:w="6280"/>
        <w:gridCol w:w="6280"/>
      </w:tblGrid>
      <w:tr w:rsidR="00305588" w:rsidRPr="002D5851" w14:paraId="0FD4F374" w14:textId="77777777" w:rsidTr="00B31437">
        <w:trPr>
          <w:tblHeader/>
        </w:trPr>
        <w:tc>
          <w:tcPr>
            <w:tcW w:w="498" w:type="pct"/>
            <w:shd w:val="clear" w:color="auto" w:fill="14233C" w:themeFill="text2"/>
            <w:vAlign w:val="center"/>
          </w:tcPr>
          <w:p w14:paraId="162DBB3D" w14:textId="77777777" w:rsidR="00305588" w:rsidRPr="002D5851" w:rsidRDefault="00305588"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7374C848" w14:textId="77777777" w:rsidR="00305588" w:rsidRPr="002D5851" w:rsidRDefault="00305588"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62346A0A" w14:textId="2595CE64" w:rsidR="00305588" w:rsidRPr="002D5851" w:rsidRDefault="00FD2E2C" w:rsidP="006542E6">
            <w:pPr>
              <w:spacing w:line="240" w:lineRule="auto"/>
              <w:rPr>
                <w:b/>
                <w:color w:val="FFFFFF" w:themeColor="background1"/>
                <w:szCs w:val="22"/>
              </w:rPr>
            </w:pPr>
            <w:r>
              <w:rPr>
                <w:b/>
                <w:szCs w:val="22"/>
                <w:lang w:val="en-GB"/>
              </w:rPr>
              <w:t>Implementation approach</w:t>
            </w:r>
          </w:p>
        </w:tc>
      </w:tr>
      <w:tr w:rsidR="00305588" w:rsidRPr="002D5851" w14:paraId="7E19416E" w14:textId="77777777" w:rsidTr="00B31437">
        <w:tc>
          <w:tcPr>
            <w:tcW w:w="498" w:type="pct"/>
            <w:vAlign w:val="center"/>
          </w:tcPr>
          <w:p w14:paraId="778C593E" w14:textId="77777777" w:rsidR="00305588" w:rsidRPr="002D5851" w:rsidRDefault="00305588" w:rsidP="006542E6">
            <w:pPr>
              <w:spacing w:line="240" w:lineRule="auto"/>
              <w:rPr>
                <w:szCs w:val="22"/>
              </w:rPr>
            </w:pPr>
            <w:r w:rsidRPr="002D5851">
              <w:rPr>
                <w:szCs w:val="22"/>
              </w:rPr>
              <w:t>1</w:t>
            </w:r>
          </w:p>
        </w:tc>
        <w:tc>
          <w:tcPr>
            <w:tcW w:w="2251" w:type="pct"/>
          </w:tcPr>
          <w:p w14:paraId="5E4890E3" w14:textId="70980E41" w:rsidR="00305588" w:rsidRPr="002D5851" w:rsidRDefault="00305588" w:rsidP="006542E6">
            <w:pPr>
              <w:spacing w:line="240" w:lineRule="auto"/>
              <w:rPr>
                <w:szCs w:val="22"/>
              </w:rPr>
            </w:pPr>
            <w:r w:rsidRPr="00006D1E">
              <w:rPr>
                <w:szCs w:val="20"/>
              </w:rPr>
              <w:t>Status quo (no change).</w:t>
            </w:r>
          </w:p>
        </w:tc>
        <w:tc>
          <w:tcPr>
            <w:tcW w:w="2251" w:type="pct"/>
            <w:vAlign w:val="center"/>
          </w:tcPr>
          <w:p w14:paraId="20EB4DED" w14:textId="0A5F045F" w:rsidR="00305588" w:rsidRPr="002D5851" w:rsidRDefault="00305588" w:rsidP="006542E6">
            <w:pPr>
              <w:spacing w:line="240" w:lineRule="auto"/>
              <w:rPr>
                <w:szCs w:val="22"/>
              </w:rPr>
            </w:pPr>
            <w:r w:rsidRPr="002D5851">
              <w:rPr>
                <w:szCs w:val="22"/>
              </w:rPr>
              <w:t>Not to be implemented</w:t>
            </w:r>
          </w:p>
        </w:tc>
      </w:tr>
      <w:tr w:rsidR="00305588" w:rsidRPr="002D5851" w14:paraId="1676BEFE" w14:textId="77777777" w:rsidTr="00B31437">
        <w:tc>
          <w:tcPr>
            <w:tcW w:w="498" w:type="pct"/>
            <w:vAlign w:val="center"/>
          </w:tcPr>
          <w:p w14:paraId="29F00BFA" w14:textId="77777777" w:rsidR="00305588" w:rsidRPr="002D5851" w:rsidRDefault="00305588" w:rsidP="006542E6">
            <w:pPr>
              <w:spacing w:line="240" w:lineRule="auto"/>
              <w:rPr>
                <w:szCs w:val="22"/>
              </w:rPr>
            </w:pPr>
            <w:r w:rsidRPr="002D5851">
              <w:rPr>
                <w:szCs w:val="22"/>
              </w:rPr>
              <w:t>2</w:t>
            </w:r>
          </w:p>
        </w:tc>
        <w:tc>
          <w:tcPr>
            <w:tcW w:w="2251" w:type="pct"/>
          </w:tcPr>
          <w:p w14:paraId="735ED653" w14:textId="77777777" w:rsidR="00305588" w:rsidRPr="00006D1E" w:rsidRDefault="00305588" w:rsidP="006542E6">
            <w:pPr>
              <w:spacing w:line="240" w:lineRule="auto"/>
              <w:ind w:left="360" w:hanging="360"/>
              <w:rPr>
                <w:b/>
                <w:szCs w:val="20"/>
              </w:rPr>
            </w:pPr>
            <w:r w:rsidRPr="00006D1E">
              <w:rPr>
                <w:b/>
                <w:szCs w:val="20"/>
              </w:rPr>
              <w:t>Non-regulatory</w:t>
            </w:r>
          </w:p>
          <w:p w14:paraId="4DDC63F7" w14:textId="18511901" w:rsidR="00305588" w:rsidRPr="002D5851" w:rsidRDefault="00305588" w:rsidP="006542E6">
            <w:pPr>
              <w:spacing w:line="240" w:lineRule="auto"/>
              <w:rPr>
                <w:szCs w:val="22"/>
              </w:rPr>
            </w:pPr>
            <w:r w:rsidRPr="00006D1E">
              <w:rPr>
                <w:szCs w:val="20"/>
              </w:rPr>
              <w:lastRenderedPageBreak/>
              <w:t xml:space="preserve">Develop more communications and guidance to encourage approved providers to address appropriate and inappropriate conduct within their contracts of employment and their required </w:t>
            </w:r>
            <w:r>
              <w:rPr>
                <w:szCs w:val="20"/>
              </w:rPr>
              <w:t>Code of Conduct</w:t>
            </w:r>
            <w:r w:rsidRPr="00006D1E">
              <w:rPr>
                <w:szCs w:val="20"/>
              </w:rPr>
              <w:t xml:space="preserve"> and policies and procedures under regulation 168(2) of the National Regulations.</w:t>
            </w:r>
          </w:p>
        </w:tc>
        <w:tc>
          <w:tcPr>
            <w:tcW w:w="2251" w:type="pct"/>
            <w:vAlign w:val="center"/>
          </w:tcPr>
          <w:p w14:paraId="1AF3CFC7" w14:textId="7A376CAD" w:rsidR="00305588" w:rsidRPr="002D5851" w:rsidRDefault="00305588" w:rsidP="006542E6">
            <w:pPr>
              <w:spacing w:line="240" w:lineRule="auto"/>
              <w:rPr>
                <w:b/>
                <w:szCs w:val="22"/>
              </w:rPr>
            </w:pPr>
            <w:r w:rsidRPr="002D5851">
              <w:rPr>
                <w:szCs w:val="22"/>
              </w:rPr>
              <w:lastRenderedPageBreak/>
              <w:t>Not to be implemented</w:t>
            </w:r>
          </w:p>
        </w:tc>
      </w:tr>
      <w:tr w:rsidR="008C74D6" w:rsidRPr="002D5851" w14:paraId="6D03609E" w14:textId="77777777" w:rsidTr="00B31437">
        <w:tc>
          <w:tcPr>
            <w:tcW w:w="498" w:type="pct"/>
            <w:shd w:val="clear" w:color="auto" w:fill="EDF5D7" w:themeFill="accent5" w:themeFillTint="33"/>
            <w:vAlign w:val="center"/>
          </w:tcPr>
          <w:p w14:paraId="6489C481" w14:textId="77777777" w:rsidR="008C74D6" w:rsidRPr="002D5851" w:rsidRDefault="008C74D6" w:rsidP="008C74D6">
            <w:pPr>
              <w:spacing w:line="240" w:lineRule="auto"/>
              <w:rPr>
                <w:szCs w:val="22"/>
              </w:rPr>
            </w:pPr>
            <w:r w:rsidRPr="002D5851">
              <w:rPr>
                <w:szCs w:val="22"/>
              </w:rPr>
              <w:t>3</w:t>
            </w:r>
          </w:p>
        </w:tc>
        <w:tc>
          <w:tcPr>
            <w:tcW w:w="2251" w:type="pct"/>
            <w:shd w:val="clear" w:color="auto" w:fill="EDF5D7" w:themeFill="accent5" w:themeFillTint="33"/>
          </w:tcPr>
          <w:p w14:paraId="699EAA1B" w14:textId="77777777" w:rsidR="008C74D6" w:rsidRPr="00006D1E" w:rsidRDefault="008C74D6" w:rsidP="008C74D6">
            <w:pPr>
              <w:spacing w:line="240" w:lineRule="auto"/>
              <w:rPr>
                <w:b/>
                <w:szCs w:val="20"/>
              </w:rPr>
            </w:pPr>
            <w:r w:rsidRPr="00006D1E">
              <w:rPr>
                <w:b/>
                <w:szCs w:val="20"/>
              </w:rPr>
              <w:t>Regulatory</w:t>
            </w:r>
          </w:p>
          <w:p w14:paraId="06F0C76C" w14:textId="77777777" w:rsidR="008C74D6" w:rsidRPr="00006D1E" w:rsidRDefault="008C74D6" w:rsidP="008C74D6">
            <w:pPr>
              <w:spacing w:line="240" w:lineRule="auto"/>
              <w:rPr>
                <w:szCs w:val="20"/>
              </w:rPr>
            </w:pPr>
            <w:r w:rsidRPr="00006D1E">
              <w:rPr>
                <w:szCs w:val="20"/>
              </w:rPr>
              <w:t xml:space="preserve">Amend the National Law to enable the Regulatory Authority to impose: </w:t>
            </w:r>
          </w:p>
          <w:p w14:paraId="5E1F2624" w14:textId="77777777" w:rsidR="008C74D6" w:rsidRPr="00006D1E" w:rsidRDefault="008C74D6" w:rsidP="008C74D6">
            <w:pPr>
              <w:spacing w:line="240" w:lineRule="auto"/>
              <w:rPr>
                <w:i/>
                <w:szCs w:val="20"/>
              </w:rPr>
            </w:pPr>
            <w:r w:rsidRPr="00006D1E">
              <w:rPr>
                <w:i/>
                <w:szCs w:val="20"/>
              </w:rPr>
              <w:t xml:space="preserve">a suspension notice/order </w:t>
            </w:r>
            <w:r>
              <w:rPr>
                <w:i/>
                <w:szCs w:val="20"/>
              </w:rPr>
              <w:t xml:space="preserve">on approved providers </w:t>
            </w:r>
            <w:r w:rsidRPr="00006D1E">
              <w:rPr>
                <w:i/>
                <w:szCs w:val="20"/>
              </w:rPr>
              <w:t xml:space="preserve">from providing education and care to children for a specified period of time, applicable to educators, other staff members and volunteers, where a certain threshold of risk has been met </w:t>
            </w:r>
          </w:p>
          <w:p w14:paraId="6C071DD9" w14:textId="77777777" w:rsidR="008C74D6" w:rsidRPr="00006D1E" w:rsidRDefault="008C74D6" w:rsidP="008C74D6">
            <w:pPr>
              <w:spacing w:line="240" w:lineRule="auto"/>
              <w:rPr>
                <w:szCs w:val="20"/>
              </w:rPr>
            </w:pPr>
            <w:r w:rsidRPr="00006D1E">
              <w:rPr>
                <w:szCs w:val="20"/>
              </w:rPr>
              <w:t xml:space="preserve">to address an alleged contravention or contravention of the National Law, where the person does not pose an unacceptable risk of harm to children. </w:t>
            </w:r>
          </w:p>
          <w:p w14:paraId="1EF5C048" w14:textId="2D4F7190" w:rsidR="008C74D6" w:rsidRPr="002D5851" w:rsidRDefault="008C74D6" w:rsidP="008C74D6">
            <w:pPr>
              <w:spacing w:line="240" w:lineRule="auto"/>
              <w:rPr>
                <w:szCs w:val="22"/>
              </w:rPr>
            </w:pPr>
            <w:r w:rsidRPr="00006D1E">
              <w:rPr>
                <w:szCs w:val="20"/>
              </w:rPr>
              <w:t xml:space="preserve">A show cause process </w:t>
            </w:r>
            <w:r>
              <w:rPr>
                <w:szCs w:val="20"/>
              </w:rPr>
              <w:t>may</w:t>
            </w:r>
            <w:r w:rsidRPr="00006D1E">
              <w:rPr>
                <w:szCs w:val="20"/>
              </w:rPr>
              <w:t xml:space="preserve"> apply and the action would be internally and externally reviewable.</w:t>
            </w:r>
          </w:p>
        </w:tc>
        <w:tc>
          <w:tcPr>
            <w:tcW w:w="2251" w:type="pct"/>
            <w:shd w:val="clear" w:color="auto" w:fill="EDF5D7" w:themeFill="accent5" w:themeFillTint="33"/>
            <w:vAlign w:val="center"/>
          </w:tcPr>
          <w:p w14:paraId="1D268919" w14:textId="79DCC2E9" w:rsidR="008C74D6" w:rsidRPr="00875314" w:rsidRDefault="008C74D6" w:rsidP="008C74D6">
            <w:pPr>
              <w:spacing w:line="240" w:lineRule="auto"/>
              <w:rPr>
                <w:bCs/>
                <w:szCs w:val="22"/>
              </w:rPr>
            </w:pPr>
            <w:r w:rsidRPr="002D5851">
              <w:rPr>
                <w:szCs w:val="22"/>
                <w:lang w:val="en-GB"/>
              </w:rPr>
              <w:t xml:space="preserve">To be implemented </w:t>
            </w:r>
            <w:r>
              <w:rPr>
                <w:szCs w:val="22"/>
                <w:lang w:val="en-GB"/>
              </w:rPr>
              <w:t>with the suspension order being imposed on approved providers in relation to a named educator/s.</w:t>
            </w:r>
            <w:r>
              <w:rPr>
                <w:szCs w:val="22"/>
                <w:lang w:val="en-GB"/>
              </w:rPr>
              <w:br/>
            </w:r>
            <w:r>
              <w:rPr>
                <w:b/>
                <w:szCs w:val="22"/>
              </w:rPr>
              <w:br/>
            </w:r>
            <w:r w:rsidRPr="00875314">
              <w:rPr>
                <w:bCs/>
                <w:szCs w:val="22"/>
              </w:rPr>
              <w:t>Suspension without show cause will be available in situations involving immediate risk to children.</w:t>
            </w:r>
          </w:p>
          <w:p w14:paraId="6C6DCD3D" w14:textId="387ACA1B" w:rsidR="00152A02" w:rsidRPr="00875314" w:rsidRDefault="00152A02" w:rsidP="00152A02">
            <w:pPr>
              <w:spacing w:line="240" w:lineRule="auto"/>
              <w:rPr>
                <w:bCs/>
                <w:szCs w:val="22"/>
              </w:rPr>
            </w:pPr>
            <w:r w:rsidRPr="00875314">
              <w:rPr>
                <w:bCs/>
                <w:szCs w:val="22"/>
              </w:rPr>
              <w:t>The threshold for imposing a suspension order will be consistent with the existing threshold for suspension of FDC educators</w:t>
            </w:r>
            <w:r w:rsidR="00C759D3" w:rsidRPr="00875314">
              <w:rPr>
                <w:bCs/>
                <w:szCs w:val="22"/>
              </w:rPr>
              <w:t>:</w:t>
            </w:r>
            <w:r w:rsidRPr="00875314">
              <w:rPr>
                <w:bCs/>
                <w:szCs w:val="22"/>
              </w:rPr>
              <w:t xml:space="preserve"> </w:t>
            </w:r>
          </w:p>
          <w:p w14:paraId="54DE3E28" w14:textId="150ED53C" w:rsidR="008C74D6" w:rsidRPr="002D5851" w:rsidRDefault="00152A02" w:rsidP="008C74D6">
            <w:pPr>
              <w:spacing w:line="240" w:lineRule="auto"/>
              <w:rPr>
                <w:b/>
                <w:szCs w:val="22"/>
              </w:rPr>
            </w:pPr>
            <w:r w:rsidRPr="00875314">
              <w:rPr>
                <w:bCs/>
                <w:szCs w:val="22"/>
              </w:rPr>
              <w:t>If the Regulatory Authority is satisfied that because of the conduct of, or the inadequacy of the service provided by, an educator (a) the approved provider or a nominated supervisor of the service is not complying with any provision of this Law; or (b) there is a risk to the safety, health or wellbeing of children being educated and cared for by the educator.</w:t>
            </w:r>
          </w:p>
        </w:tc>
      </w:tr>
      <w:tr w:rsidR="008C74D6" w:rsidRPr="002D5851" w14:paraId="0255EE27" w14:textId="77777777" w:rsidTr="00B31437">
        <w:tc>
          <w:tcPr>
            <w:tcW w:w="498" w:type="pct"/>
            <w:shd w:val="clear" w:color="auto" w:fill="EDF5D7" w:themeFill="accent5" w:themeFillTint="33"/>
            <w:vAlign w:val="center"/>
          </w:tcPr>
          <w:p w14:paraId="359E704E" w14:textId="77777777" w:rsidR="008C74D6" w:rsidRPr="002D5851" w:rsidRDefault="008C74D6" w:rsidP="008C74D6">
            <w:pPr>
              <w:spacing w:line="240" w:lineRule="auto"/>
              <w:rPr>
                <w:szCs w:val="22"/>
              </w:rPr>
            </w:pPr>
            <w:r w:rsidRPr="002D5851">
              <w:rPr>
                <w:szCs w:val="22"/>
              </w:rPr>
              <w:t>4</w:t>
            </w:r>
          </w:p>
        </w:tc>
        <w:tc>
          <w:tcPr>
            <w:tcW w:w="2251" w:type="pct"/>
            <w:shd w:val="clear" w:color="auto" w:fill="EDF5D7" w:themeFill="accent5" w:themeFillTint="33"/>
          </w:tcPr>
          <w:p w14:paraId="72F756F5" w14:textId="77777777" w:rsidR="008C74D6" w:rsidRPr="00006D1E" w:rsidRDefault="008C74D6" w:rsidP="008C74D6">
            <w:pPr>
              <w:spacing w:line="240" w:lineRule="auto"/>
              <w:rPr>
                <w:b/>
                <w:szCs w:val="20"/>
              </w:rPr>
            </w:pPr>
            <w:r w:rsidRPr="00006D1E">
              <w:rPr>
                <w:b/>
                <w:szCs w:val="20"/>
              </w:rPr>
              <w:t>Regulatory</w:t>
            </w:r>
          </w:p>
          <w:p w14:paraId="15CFDA3C" w14:textId="77777777" w:rsidR="008C74D6" w:rsidRPr="00006D1E" w:rsidRDefault="008C74D6" w:rsidP="008C74D6">
            <w:pPr>
              <w:spacing w:line="240" w:lineRule="auto"/>
              <w:rPr>
                <w:szCs w:val="20"/>
              </w:rPr>
            </w:pPr>
            <w:r w:rsidRPr="00006D1E">
              <w:rPr>
                <w:szCs w:val="20"/>
              </w:rPr>
              <w:t xml:space="preserve">Amend the National Law to enable the Regulatory Authority to impose: </w:t>
            </w:r>
          </w:p>
          <w:p w14:paraId="61F3F28E" w14:textId="77777777" w:rsidR="008C74D6" w:rsidRPr="00006D1E" w:rsidRDefault="008C74D6" w:rsidP="008C74D6">
            <w:pPr>
              <w:spacing w:line="240" w:lineRule="auto"/>
              <w:rPr>
                <w:i/>
                <w:szCs w:val="20"/>
              </w:rPr>
            </w:pPr>
            <w:r w:rsidRPr="00006D1E">
              <w:rPr>
                <w:i/>
                <w:szCs w:val="20"/>
              </w:rPr>
              <w:t xml:space="preserve">a supervision order on approved providers, applicable where a staff member or volunteer has contravened the National Law and where that contravention also sits with the approved provider (for example, section 166 – Offence to use inappropriate discipline and any new offence provision under Chapter 7.1). </w:t>
            </w:r>
          </w:p>
          <w:p w14:paraId="66AD2BB8" w14:textId="77777777" w:rsidR="008C74D6" w:rsidRPr="00006D1E" w:rsidRDefault="008C74D6" w:rsidP="008C74D6">
            <w:pPr>
              <w:spacing w:line="240" w:lineRule="auto"/>
              <w:rPr>
                <w:szCs w:val="20"/>
              </w:rPr>
            </w:pPr>
            <w:r w:rsidRPr="00006D1E">
              <w:rPr>
                <w:szCs w:val="20"/>
              </w:rPr>
              <w:lastRenderedPageBreak/>
              <w:t>This is to keep approved providers accountable in addressing conduct that contravenes the National Law but the person does not pose an unacceptable risk of harm to children.</w:t>
            </w:r>
          </w:p>
          <w:p w14:paraId="3836B18A" w14:textId="728EC3A1" w:rsidR="008C74D6" w:rsidRPr="002D5851" w:rsidRDefault="008C74D6" w:rsidP="008C74D6">
            <w:pPr>
              <w:spacing w:line="240" w:lineRule="auto"/>
              <w:rPr>
                <w:szCs w:val="22"/>
              </w:rPr>
            </w:pPr>
            <w:r w:rsidRPr="00006D1E">
              <w:rPr>
                <w:szCs w:val="20"/>
              </w:rPr>
              <w:t xml:space="preserve">A show cause process </w:t>
            </w:r>
            <w:r>
              <w:rPr>
                <w:szCs w:val="20"/>
              </w:rPr>
              <w:t>may</w:t>
            </w:r>
            <w:r w:rsidRPr="00006D1E">
              <w:rPr>
                <w:szCs w:val="20"/>
              </w:rPr>
              <w:t xml:space="preserve"> apply and the action would be internally and externally reviewable.</w:t>
            </w:r>
          </w:p>
        </w:tc>
        <w:tc>
          <w:tcPr>
            <w:tcW w:w="2251" w:type="pct"/>
            <w:shd w:val="clear" w:color="auto" w:fill="EDF5D7" w:themeFill="accent5" w:themeFillTint="33"/>
            <w:vAlign w:val="center"/>
          </w:tcPr>
          <w:p w14:paraId="2545D054" w14:textId="252E6F6A" w:rsidR="008C74D6" w:rsidRPr="00875314" w:rsidRDefault="008C74D6" w:rsidP="008C74D6">
            <w:pPr>
              <w:spacing w:line="240" w:lineRule="auto"/>
              <w:rPr>
                <w:szCs w:val="22"/>
              </w:rPr>
            </w:pPr>
            <w:r w:rsidRPr="00875314">
              <w:rPr>
                <w:szCs w:val="22"/>
                <w:lang w:val="en-GB"/>
              </w:rPr>
              <w:lastRenderedPageBreak/>
              <w:t>To be implemented in full.</w:t>
            </w:r>
            <w:r w:rsidR="00875314" w:rsidRPr="00875314">
              <w:rPr>
                <w:szCs w:val="22"/>
                <w:lang w:val="en-GB"/>
              </w:rPr>
              <w:t xml:space="preserve"> </w:t>
            </w:r>
            <w:r w:rsidRPr="00875314">
              <w:rPr>
                <w:szCs w:val="22"/>
                <w:lang w:val="en-GB"/>
              </w:rPr>
              <w:t>As with suspension orders, the supervision order will be imposed on approved providers in relation to a named educator/s.</w:t>
            </w:r>
            <w:r w:rsidRPr="00875314">
              <w:rPr>
                <w:szCs w:val="22"/>
                <w:lang w:val="en-GB"/>
              </w:rPr>
              <w:br/>
            </w:r>
            <w:r w:rsidRPr="00875314">
              <w:rPr>
                <w:szCs w:val="22"/>
              </w:rPr>
              <w:br/>
              <w:t>Supervision without show cause will be available in situations involving immediate risk to children.</w:t>
            </w:r>
          </w:p>
        </w:tc>
      </w:tr>
      <w:tr w:rsidR="008C74D6" w:rsidRPr="002D5851" w14:paraId="24DC61A4" w14:textId="77777777" w:rsidTr="00B31437">
        <w:tc>
          <w:tcPr>
            <w:tcW w:w="498" w:type="pct"/>
            <w:shd w:val="clear" w:color="auto" w:fill="EDF5D7" w:themeFill="accent5" w:themeFillTint="33"/>
            <w:vAlign w:val="center"/>
          </w:tcPr>
          <w:p w14:paraId="66447995" w14:textId="34FEB08F" w:rsidR="008C74D6" w:rsidRPr="000876F6" w:rsidRDefault="008C74D6" w:rsidP="008C74D6">
            <w:pPr>
              <w:spacing w:line="240" w:lineRule="auto"/>
              <w:rPr>
                <w:rFonts w:cs="Arial"/>
                <w:szCs w:val="22"/>
              </w:rPr>
            </w:pPr>
            <w:r w:rsidRPr="000876F6">
              <w:rPr>
                <w:rFonts w:cs="Arial"/>
                <w:szCs w:val="22"/>
              </w:rPr>
              <w:t>5</w:t>
            </w:r>
          </w:p>
        </w:tc>
        <w:tc>
          <w:tcPr>
            <w:tcW w:w="2251" w:type="pct"/>
            <w:shd w:val="clear" w:color="auto" w:fill="EDF5D7" w:themeFill="accent5" w:themeFillTint="33"/>
          </w:tcPr>
          <w:p w14:paraId="26D2ECE2" w14:textId="77777777" w:rsidR="008C74D6" w:rsidRPr="00006D1E" w:rsidRDefault="008C74D6" w:rsidP="008C74D6">
            <w:pPr>
              <w:spacing w:line="240" w:lineRule="auto"/>
              <w:rPr>
                <w:b/>
                <w:szCs w:val="20"/>
              </w:rPr>
            </w:pPr>
            <w:r w:rsidRPr="00006D1E">
              <w:rPr>
                <w:b/>
                <w:szCs w:val="20"/>
              </w:rPr>
              <w:t>Regulatory</w:t>
            </w:r>
          </w:p>
          <w:p w14:paraId="04D6639C" w14:textId="77777777" w:rsidR="008C74D6" w:rsidRPr="00006D1E" w:rsidRDefault="008C74D6" w:rsidP="008C74D6">
            <w:pPr>
              <w:spacing w:line="240" w:lineRule="auto"/>
              <w:rPr>
                <w:szCs w:val="20"/>
              </w:rPr>
            </w:pPr>
            <w:r w:rsidRPr="00006D1E">
              <w:rPr>
                <w:szCs w:val="20"/>
              </w:rPr>
              <w:t xml:space="preserve">Amend the National Law to enable the Regulatory Authority to impose: </w:t>
            </w:r>
          </w:p>
          <w:p w14:paraId="2FB8126B" w14:textId="77777777" w:rsidR="008C74D6" w:rsidRPr="00006D1E" w:rsidRDefault="008C74D6" w:rsidP="008C74D6">
            <w:pPr>
              <w:spacing w:line="240" w:lineRule="auto"/>
              <w:rPr>
                <w:i/>
                <w:szCs w:val="20"/>
              </w:rPr>
            </w:pPr>
            <w:r w:rsidRPr="00006D1E">
              <w:rPr>
                <w:i/>
                <w:szCs w:val="20"/>
              </w:rPr>
              <w:t xml:space="preserve">mandatory training/re-training for staff members (with the staff member paying for the cost of any training/re-training). </w:t>
            </w:r>
          </w:p>
          <w:p w14:paraId="43A755EF" w14:textId="77777777" w:rsidR="008C74D6" w:rsidRPr="00006D1E" w:rsidRDefault="008C74D6" w:rsidP="008C74D6">
            <w:pPr>
              <w:spacing w:line="240" w:lineRule="auto"/>
              <w:rPr>
                <w:szCs w:val="20"/>
              </w:rPr>
            </w:pPr>
            <w:r w:rsidRPr="00006D1E">
              <w:rPr>
                <w:szCs w:val="20"/>
              </w:rPr>
              <w:t>to address staff member conduct that contravenes the National Law but the staff member does not pose an unacceptable risk of harm to children</w:t>
            </w:r>
            <w:r>
              <w:rPr>
                <w:szCs w:val="20"/>
              </w:rPr>
              <w:t>. The individual educator will be subject to the mandatory training order.</w:t>
            </w:r>
            <w:r w:rsidRPr="00006D1E">
              <w:rPr>
                <w:szCs w:val="20"/>
              </w:rPr>
              <w:t xml:space="preserve"> </w:t>
            </w:r>
          </w:p>
          <w:p w14:paraId="6BF94116" w14:textId="7F6542D5" w:rsidR="008C74D6" w:rsidRPr="000876F6" w:rsidRDefault="008C74D6" w:rsidP="008C74D6">
            <w:pPr>
              <w:spacing w:line="240" w:lineRule="auto"/>
              <w:rPr>
                <w:rFonts w:cs="Arial"/>
                <w:b/>
                <w:szCs w:val="22"/>
              </w:rPr>
            </w:pPr>
            <w:r w:rsidRPr="00006D1E">
              <w:rPr>
                <w:szCs w:val="20"/>
              </w:rPr>
              <w:t>A show cause process</w:t>
            </w:r>
            <w:r w:rsidR="00875314">
              <w:rPr>
                <w:szCs w:val="20"/>
              </w:rPr>
              <w:t xml:space="preserve"> </w:t>
            </w:r>
            <w:r>
              <w:rPr>
                <w:szCs w:val="20"/>
              </w:rPr>
              <w:t xml:space="preserve">would </w:t>
            </w:r>
            <w:r w:rsidRPr="00006D1E">
              <w:rPr>
                <w:szCs w:val="20"/>
              </w:rPr>
              <w:t>apply and the action would be internally and externally reviewable.</w:t>
            </w:r>
          </w:p>
        </w:tc>
        <w:tc>
          <w:tcPr>
            <w:tcW w:w="2251" w:type="pct"/>
            <w:shd w:val="clear" w:color="auto" w:fill="EDF5D7" w:themeFill="accent5" w:themeFillTint="33"/>
            <w:vAlign w:val="center"/>
          </w:tcPr>
          <w:p w14:paraId="5442E1C7" w14:textId="2A8E12A1" w:rsidR="008C74D6" w:rsidRPr="000876F6" w:rsidRDefault="008C74D6" w:rsidP="008C74D6">
            <w:pPr>
              <w:spacing w:line="240" w:lineRule="auto"/>
              <w:rPr>
                <w:rFonts w:cs="Arial"/>
                <w:szCs w:val="22"/>
                <w:lang w:val="en-GB"/>
              </w:rPr>
            </w:pPr>
            <w:r w:rsidRPr="002D5851">
              <w:rPr>
                <w:szCs w:val="22"/>
                <w:lang w:val="en-GB"/>
              </w:rPr>
              <w:t>To be implemented in full</w:t>
            </w:r>
            <w:r>
              <w:rPr>
                <w:szCs w:val="22"/>
                <w:lang w:val="en-GB"/>
              </w:rPr>
              <w:br/>
            </w:r>
            <w:r>
              <w:rPr>
                <w:rFonts w:cs="Arial"/>
                <w:szCs w:val="22"/>
                <w:lang w:val="en-GB"/>
              </w:rPr>
              <w:br/>
            </w:r>
          </w:p>
        </w:tc>
      </w:tr>
    </w:tbl>
    <w:p w14:paraId="605367FD" w14:textId="77777777" w:rsidR="006542E6" w:rsidRDefault="006542E6">
      <w:pPr>
        <w:spacing w:after="160" w:line="259" w:lineRule="auto"/>
        <w:rPr>
          <w:rFonts w:cs="Arial"/>
          <w:b/>
          <w:bCs/>
          <w:i/>
          <w:iCs/>
          <w:color w:val="006B77"/>
          <w:szCs w:val="20"/>
          <w:lang w:val="en-GB"/>
        </w:rPr>
      </w:pPr>
      <w:r>
        <w:rPr>
          <w:lang w:val="en-GB"/>
        </w:rPr>
        <w:br w:type="page"/>
      </w:r>
    </w:p>
    <w:p w14:paraId="3B187D4F" w14:textId="7D0E1191" w:rsidR="00305588" w:rsidRDefault="00305588" w:rsidP="006542E6">
      <w:pPr>
        <w:pStyle w:val="Heading4"/>
        <w:spacing w:line="240" w:lineRule="auto"/>
        <w:rPr>
          <w:lang w:val="en-GB"/>
        </w:rPr>
      </w:pPr>
      <w:r>
        <w:rPr>
          <w:lang w:val="en-GB"/>
        </w:rPr>
        <w:lastRenderedPageBreak/>
        <w:t xml:space="preserve">Working with Children Checks (WWCC) - </w:t>
      </w:r>
      <w:r w:rsidRPr="00305588">
        <w:rPr>
          <w:lang w:val="en-GB"/>
        </w:rPr>
        <w:t>Requiring an approved WWCC prior to commencing paid or volunteer work at an education and care service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working with Children Checks (WWCC) - Requiring an approved WWCC prior to commencing paid or volunteer work at an education and care service"/>
      </w:tblPr>
      <w:tblGrid>
        <w:gridCol w:w="1390"/>
        <w:gridCol w:w="6280"/>
        <w:gridCol w:w="6280"/>
      </w:tblGrid>
      <w:tr w:rsidR="00305588" w:rsidRPr="002D5851" w14:paraId="6F30DD15" w14:textId="77777777" w:rsidTr="00B31437">
        <w:trPr>
          <w:tblHeader/>
        </w:trPr>
        <w:tc>
          <w:tcPr>
            <w:tcW w:w="498" w:type="pct"/>
            <w:shd w:val="clear" w:color="auto" w:fill="14233C" w:themeFill="text2"/>
            <w:vAlign w:val="center"/>
          </w:tcPr>
          <w:p w14:paraId="358C0E60" w14:textId="77777777" w:rsidR="00305588" w:rsidRPr="002D5851" w:rsidRDefault="00305588"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59104813" w14:textId="77777777" w:rsidR="00305588" w:rsidRPr="002D5851" w:rsidRDefault="00305588"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60A9DA84" w14:textId="14BF8F97" w:rsidR="00305588" w:rsidRPr="002D5851" w:rsidRDefault="00FD2E2C" w:rsidP="006542E6">
            <w:pPr>
              <w:spacing w:line="240" w:lineRule="auto"/>
              <w:rPr>
                <w:b/>
                <w:color w:val="FFFFFF" w:themeColor="background1"/>
                <w:szCs w:val="22"/>
              </w:rPr>
            </w:pPr>
            <w:r>
              <w:rPr>
                <w:b/>
                <w:szCs w:val="22"/>
                <w:lang w:val="en-GB"/>
              </w:rPr>
              <w:t>Implementation approach</w:t>
            </w:r>
          </w:p>
        </w:tc>
      </w:tr>
      <w:tr w:rsidR="00305588" w:rsidRPr="002D5851" w14:paraId="05BD09F8" w14:textId="77777777" w:rsidTr="00B31437">
        <w:tc>
          <w:tcPr>
            <w:tcW w:w="498" w:type="pct"/>
            <w:vAlign w:val="center"/>
          </w:tcPr>
          <w:p w14:paraId="409E5462" w14:textId="77777777" w:rsidR="00305588" w:rsidRPr="002D5851" w:rsidRDefault="00305588" w:rsidP="006542E6">
            <w:pPr>
              <w:spacing w:line="240" w:lineRule="auto"/>
              <w:rPr>
                <w:szCs w:val="22"/>
              </w:rPr>
            </w:pPr>
            <w:r w:rsidRPr="002D5851">
              <w:rPr>
                <w:szCs w:val="22"/>
              </w:rPr>
              <w:t>1</w:t>
            </w:r>
          </w:p>
        </w:tc>
        <w:tc>
          <w:tcPr>
            <w:tcW w:w="2251" w:type="pct"/>
          </w:tcPr>
          <w:p w14:paraId="151800DB" w14:textId="7DCD8483" w:rsidR="00305588" w:rsidRPr="002D5851" w:rsidRDefault="00305588" w:rsidP="006542E6">
            <w:pPr>
              <w:spacing w:line="240" w:lineRule="auto"/>
              <w:rPr>
                <w:szCs w:val="22"/>
              </w:rPr>
            </w:pPr>
            <w:r w:rsidRPr="00006D1E">
              <w:rPr>
                <w:szCs w:val="22"/>
              </w:rPr>
              <w:t>Status quo (no change).</w:t>
            </w:r>
          </w:p>
        </w:tc>
        <w:tc>
          <w:tcPr>
            <w:tcW w:w="2251" w:type="pct"/>
            <w:vAlign w:val="center"/>
          </w:tcPr>
          <w:p w14:paraId="54E58F73" w14:textId="77777777" w:rsidR="00305588" w:rsidRPr="002D5851" w:rsidRDefault="00305588" w:rsidP="006542E6">
            <w:pPr>
              <w:spacing w:line="240" w:lineRule="auto"/>
              <w:rPr>
                <w:szCs w:val="22"/>
              </w:rPr>
            </w:pPr>
            <w:r w:rsidRPr="002D5851">
              <w:rPr>
                <w:szCs w:val="22"/>
              </w:rPr>
              <w:t>Not to be implemented.</w:t>
            </w:r>
          </w:p>
        </w:tc>
      </w:tr>
      <w:tr w:rsidR="00305588" w:rsidRPr="002D5851" w14:paraId="1045AB99" w14:textId="77777777" w:rsidTr="00B31437">
        <w:tc>
          <w:tcPr>
            <w:tcW w:w="498" w:type="pct"/>
            <w:shd w:val="clear" w:color="auto" w:fill="EDF5D7" w:themeFill="accent5" w:themeFillTint="33"/>
            <w:vAlign w:val="center"/>
          </w:tcPr>
          <w:p w14:paraId="403424BE" w14:textId="77777777" w:rsidR="00305588" w:rsidRPr="002D5851" w:rsidRDefault="00305588" w:rsidP="006542E6">
            <w:pPr>
              <w:spacing w:line="240" w:lineRule="auto"/>
              <w:rPr>
                <w:szCs w:val="22"/>
              </w:rPr>
            </w:pPr>
            <w:r w:rsidRPr="002D5851">
              <w:rPr>
                <w:szCs w:val="22"/>
              </w:rPr>
              <w:t>2</w:t>
            </w:r>
          </w:p>
        </w:tc>
        <w:tc>
          <w:tcPr>
            <w:tcW w:w="2251" w:type="pct"/>
            <w:shd w:val="clear" w:color="auto" w:fill="EDF5D7" w:themeFill="accent5" w:themeFillTint="33"/>
          </w:tcPr>
          <w:p w14:paraId="772D8F76" w14:textId="77777777" w:rsidR="00305588" w:rsidRPr="00006D1E" w:rsidRDefault="00305588" w:rsidP="006542E6">
            <w:pPr>
              <w:spacing w:line="240" w:lineRule="auto"/>
              <w:ind w:left="360" w:hanging="360"/>
              <w:rPr>
                <w:b/>
                <w:szCs w:val="22"/>
              </w:rPr>
            </w:pPr>
            <w:r w:rsidRPr="00006D1E">
              <w:rPr>
                <w:b/>
                <w:szCs w:val="22"/>
              </w:rPr>
              <w:t>Non-regulatory</w:t>
            </w:r>
          </w:p>
          <w:p w14:paraId="29E5A777" w14:textId="77777777" w:rsidR="00305588" w:rsidRPr="00006D1E" w:rsidRDefault="00305588" w:rsidP="006542E6">
            <w:pPr>
              <w:spacing w:line="240" w:lineRule="auto"/>
              <w:rPr>
                <w:szCs w:val="22"/>
              </w:rPr>
            </w:pPr>
            <w:r w:rsidRPr="00006D1E">
              <w:rPr>
                <w:szCs w:val="22"/>
              </w:rPr>
              <w:t>Additional guidance about WWCC and teacher registration/accreditation requirements and the importance of WWCCs in conjunction with the implementation of child safety training (refer to Chapter 6). The guidance should include recommended ‘best practice’ approaches.</w:t>
            </w:r>
          </w:p>
          <w:p w14:paraId="6A5654F9" w14:textId="77777777" w:rsidR="00305588" w:rsidRPr="00006D1E" w:rsidRDefault="00305588" w:rsidP="006542E6">
            <w:pPr>
              <w:pStyle w:val="ListParagraph"/>
              <w:numPr>
                <w:ilvl w:val="0"/>
                <w:numId w:val="0"/>
              </w:numPr>
              <w:spacing w:line="240" w:lineRule="auto"/>
              <w:rPr>
                <w:szCs w:val="22"/>
              </w:rPr>
            </w:pPr>
            <w:r w:rsidRPr="00006D1E">
              <w:rPr>
                <w:szCs w:val="22"/>
              </w:rPr>
              <w:t>Guidance to include the following recommended best practice approaches:</w:t>
            </w:r>
          </w:p>
          <w:p w14:paraId="59187242" w14:textId="6BDD83F4" w:rsidR="00E34F9C" w:rsidRPr="00006D1E" w:rsidRDefault="00305588" w:rsidP="00EC53AB">
            <w:pPr>
              <w:pStyle w:val="ListParagraph"/>
              <w:numPr>
                <w:ilvl w:val="0"/>
                <w:numId w:val="55"/>
              </w:numPr>
              <w:spacing w:line="240" w:lineRule="auto"/>
              <w:rPr>
                <w:szCs w:val="22"/>
              </w:rPr>
            </w:pPr>
            <w:r w:rsidRPr="00006D1E">
              <w:rPr>
                <w:szCs w:val="22"/>
              </w:rPr>
              <w:t>confirmation of a WWCC record in staff file prior to working in a service (all staff and volunteers)</w:t>
            </w:r>
          </w:p>
          <w:p w14:paraId="5F317A56" w14:textId="56DA6E71" w:rsidR="00305588" w:rsidRPr="002D5851" w:rsidRDefault="00305588" w:rsidP="00EC53AB">
            <w:pPr>
              <w:pStyle w:val="ListParagraph"/>
              <w:numPr>
                <w:ilvl w:val="0"/>
                <w:numId w:val="55"/>
              </w:numPr>
              <w:spacing w:line="240" w:lineRule="auto"/>
              <w:rPr>
                <w:szCs w:val="22"/>
              </w:rPr>
            </w:pPr>
            <w:r w:rsidRPr="00006D1E">
              <w:rPr>
                <w:szCs w:val="22"/>
              </w:rPr>
              <w:t xml:space="preserve">check WWCC status every 6 months (in jurisdictions where approved providers are not already notified by the relevant WWCC agency). </w:t>
            </w:r>
          </w:p>
        </w:tc>
        <w:tc>
          <w:tcPr>
            <w:tcW w:w="2251" w:type="pct"/>
            <w:shd w:val="clear" w:color="auto" w:fill="EDF5D7" w:themeFill="accent5" w:themeFillTint="33"/>
            <w:vAlign w:val="center"/>
          </w:tcPr>
          <w:p w14:paraId="082F0E56" w14:textId="37F643C8" w:rsidR="00305588" w:rsidRPr="002D5851" w:rsidRDefault="007A1FF0" w:rsidP="006542E6">
            <w:pPr>
              <w:spacing w:line="240" w:lineRule="auto"/>
              <w:rPr>
                <w:b/>
                <w:szCs w:val="22"/>
              </w:rPr>
            </w:pPr>
            <w:r>
              <w:rPr>
                <w:szCs w:val="22"/>
                <w:lang w:val="en-GB"/>
              </w:rPr>
              <w:t>To be implemented in full</w:t>
            </w:r>
          </w:p>
        </w:tc>
      </w:tr>
      <w:tr w:rsidR="00305588" w:rsidRPr="002D5851" w14:paraId="5A23ECEA" w14:textId="77777777" w:rsidTr="007A1FF0">
        <w:tc>
          <w:tcPr>
            <w:tcW w:w="498" w:type="pct"/>
            <w:shd w:val="clear" w:color="auto" w:fill="EDF5D7" w:themeFill="accent5" w:themeFillTint="33"/>
            <w:vAlign w:val="center"/>
          </w:tcPr>
          <w:p w14:paraId="5BD4C274" w14:textId="77777777" w:rsidR="00305588" w:rsidRPr="002D5851" w:rsidRDefault="00305588" w:rsidP="006542E6">
            <w:pPr>
              <w:spacing w:line="240" w:lineRule="auto"/>
              <w:rPr>
                <w:szCs w:val="22"/>
              </w:rPr>
            </w:pPr>
            <w:r w:rsidRPr="002D5851">
              <w:rPr>
                <w:szCs w:val="22"/>
              </w:rPr>
              <w:t>3</w:t>
            </w:r>
          </w:p>
        </w:tc>
        <w:tc>
          <w:tcPr>
            <w:tcW w:w="2251" w:type="pct"/>
            <w:shd w:val="clear" w:color="auto" w:fill="EDF5D7" w:themeFill="accent5" w:themeFillTint="33"/>
          </w:tcPr>
          <w:p w14:paraId="2FED8F7E" w14:textId="77777777" w:rsidR="00305588" w:rsidRPr="00006D1E" w:rsidRDefault="00305588" w:rsidP="006542E6">
            <w:pPr>
              <w:spacing w:line="240" w:lineRule="auto"/>
              <w:rPr>
                <w:b/>
                <w:szCs w:val="22"/>
              </w:rPr>
            </w:pPr>
            <w:r w:rsidRPr="00006D1E">
              <w:rPr>
                <w:b/>
                <w:szCs w:val="22"/>
              </w:rPr>
              <w:t xml:space="preserve">Regulatory </w:t>
            </w:r>
          </w:p>
          <w:p w14:paraId="045723E7" w14:textId="47A6AF23" w:rsidR="00305588" w:rsidRPr="00E51CDB" w:rsidRDefault="00305588" w:rsidP="006542E6">
            <w:pPr>
              <w:spacing w:line="240" w:lineRule="auto"/>
              <w:rPr>
                <w:iCs/>
                <w:szCs w:val="22"/>
              </w:rPr>
            </w:pPr>
            <w:r w:rsidRPr="00E51CDB">
              <w:rPr>
                <w:rFonts w:cs="Arial"/>
                <w:iCs/>
                <w:szCs w:val="22"/>
              </w:rPr>
              <w:t>Jurisdiction specific National Regulation amendment in WA, the ACT and the NT to require that an approved provider of an education and care service must ensure that staff, students, and volunteers of that service hold a valid WWCC before they can be engaged/commence their roles. In addition, a jurisdiction specific National Regulation amendment in NSW will clarify this same requirement beyond doubt.</w:t>
            </w:r>
          </w:p>
        </w:tc>
        <w:tc>
          <w:tcPr>
            <w:tcW w:w="2251" w:type="pct"/>
            <w:shd w:val="clear" w:color="auto" w:fill="EDF5D7" w:themeFill="accent5" w:themeFillTint="33"/>
            <w:vAlign w:val="center"/>
          </w:tcPr>
          <w:p w14:paraId="1E08FECE" w14:textId="7D931C9B" w:rsidR="00305588" w:rsidRPr="002D5851" w:rsidRDefault="007A1FF0" w:rsidP="006542E6">
            <w:pPr>
              <w:spacing w:line="240" w:lineRule="auto"/>
              <w:rPr>
                <w:b/>
                <w:szCs w:val="22"/>
              </w:rPr>
            </w:pPr>
            <w:r>
              <w:rPr>
                <w:szCs w:val="22"/>
                <w:lang w:val="en-GB"/>
              </w:rPr>
              <w:t>To be implemented in full</w:t>
            </w:r>
            <w:r w:rsidR="00305588">
              <w:rPr>
                <w:szCs w:val="22"/>
                <w:lang w:val="en-GB"/>
              </w:rPr>
              <w:t xml:space="preserve"> </w:t>
            </w:r>
          </w:p>
        </w:tc>
      </w:tr>
    </w:tbl>
    <w:p w14:paraId="1C78FF38" w14:textId="77777777" w:rsidR="006542E6" w:rsidRDefault="006542E6">
      <w:pPr>
        <w:spacing w:after="160" w:line="259" w:lineRule="auto"/>
        <w:rPr>
          <w:rFonts w:cs="Arial"/>
          <w:b/>
          <w:bCs/>
          <w:i/>
          <w:iCs/>
          <w:color w:val="006B77"/>
          <w:szCs w:val="20"/>
          <w:lang w:val="en-GB"/>
        </w:rPr>
      </w:pPr>
      <w:r>
        <w:rPr>
          <w:lang w:val="en-GB"/>
        </w:rPr>
        <w:br w:type="page"/>
      </w:r>
    </w:p>
    <w:p w14:paraId="57395652" w14:textId="2501949F" w:rsidR="00305588" w:rsidRDefault="00305588" w:rsidP="006542E6">
      <w:pPr>
        <w:pStyle w:val="Heading4"/>
        <w:spacing w:line="240" w:lineRule="auto"/>
        <w:rPr>
          <w:lang w:val="en-GB"/>
        </w:rPr>
      </w:pPr>
      <w:r>
        <w:rPr>
          <w:lang w:val="en-GB"/>
        </w:rPr>
        <w:lastRenderedPageBreak/>
        <w:t xml:space="preserve">Working with Children Checks (WWCC) - </w:t>
      </w:r>
      <w:r w:rsidRPr="00305588">
        <w:rPr>
          <w:lang w:val="en-GB"/>
        </w:rPr>
        <w:t>Requiring approved providers and Regulatory Authorities to be notified about changes in WWCC status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working with Children Checks (WWCC) - Requiring approved providers and Regulatory Authorities to be notified about changes in WWCC status"/>
      </w:tblPr>
      <w:tblGrid>
        <w:gridCol w:w="1390"/>
        <w:gridCol w:w="6280"/>
        <w:gridCol w:w="6280"/>
      </w:tblGrid>
      <w:tr w:rsidR="00305588" w:rsidRPr="002D5851" w14:paraId="4EF5B16C" w14:textId="77777777" w:rsidTr="00B31437">
        <w:trPr>
          <w:tblHeader/>
        </w:trPr>
        <w:tc>
          <w:tcPr>
            <w:tcW w:w="498" w:type="pct"/>
            <w:shd w:val="clear" w:color="auto" w:fill="14233C" w:themeFill="text2"/>
            <w:vAlign w:val="center"/>
          </w:tcPr>
          <w:p w14:paraId="4DB163BA" w14:textId="77777777" w:rsidR="00305588" w:rsidRPr="002D5851" w:rsidRDefault="00305588"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294BAB8A" w14:textId="77777777" w:rsidR="00305588" w:rsidRPr="002D5851" w:rsidRDefault="00305588"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5700A639" w14:textId="204CB7EE" w:rsidR="00305588" w:rsidRPr="002D5851" w:rsidRDefault="00FD2E2C" w:rsidP="006542E6">
            <w:pPr>
              <w:spacing w:line="240" w:lineRule="auto"/>
              <w:rPr>
                <w:b/>
                <w:color w:val="FFFFFF" w:themeColor="background1"/>
                <w:szCs w:val="22"/>
              </w:rPr>
            </w:pPr>
            <w:r>
              <w:rPr>
                <w:b/>
                <w:szCs w:val="22"/>
                <w:lang w:val="en-GB"/>
              </w:rPr>
              <w:t>Implementation approach</w:t>
            </w:r>
          </w:p>
        </w:tc>
      </w:tr>
      <w:tr w:rsidR="006152A8" w:rsidRPr="002D5851" w14:paraId="45D4C876" w14:textId="77777777" w:rsidTr="00B31437">
        <w:tc>
          <w:tcPr>
            <w:tcW w:w="498" w:type="pct"/>
            <w:vAlign w:val="center"/>
          </w:tcPr>
          <w:p w14:paraId="42A45879" w14:textId="77777777" w:rsidR="006152A8" w:rsidRPr="002D5851" w:rsidRDefault="006152A8" w:rsidP="006542E6">
            <w:pPr>
              <w:spacing w:line="240" w:lineRule="auto"/>
              <w:rPr>
                <w:szCs w:val="22"/>
              </w:rPr>
            </w:pPr>
            <w:r w:rsidRPr="002D5851">
              <w:rPr>
                <w:szCs w:val="22"/>
              </w:rPr>
              <w:t>1</w:t>
            </w:r>
          </w:p>
        </w:tc>
        <w:tc>
          <w:tcPr>
            <w:tcW w:w="2251" w:type="pct"/>
          </w:tcPr>
          <w:p w14:paraId="35E2E470" w14:textId="77777777" w:rsidR="006152A8" w:rsidRPr="002D5851" w:rsidRDefault="006152A8" w:rsidP="006542E6">
            <w:pPr>
              <w:spacing w:line="240" w:lineRule="auto"/>
              <w:rPr>
                <w:szCs w:val="22"/>
              </w:rPr>
            </w:pPr>
            <w:r w:rsidRPr="00006D1E">
              <w:rPr>
                <w:szCs w:val="22"/>
              </w:rPr>
              <w:t>Status quo (no change).</w:t>
            </w:r>
          </w:p>
        </w:tc>
        <w:tc>
          <w:tcPr>
            <w:tcW w:w="2251" w:type="pct"/>
            <w:vAlign w:val="center"/>
          </w:tcPr>
          <w:p w14:paraId="5C62654B" w14:textId="32E51FF3" w:rsidR="006152A8" w:rsidRPr="002D5851" w:rsidRDefault="006152A8" w:rsidP="006542E6">
            <w:pPr>
              <w:spacing w:line="240" w:lineRule="auto"/>
              <w:rPr>
                <w:szCs w:val="22"/>
              </w:rPr>
            </w:pPr>
            <w:r w:rsidRPr="002D5851">
              <w:rPr>
                <w:szCs w:val="22"/>
              </w:rPr>
              <w:t>Not to be implemented</w:t>
            </w:r>
          </w:p>
        </w:tc>
      </w:tr>
      <w:tr w:rsidR="006152A8" w:rsidRPr="002D5851" w14:paraId="036C1125" w14:textId="77777777" w:rsidTr="00B31437">
        <w:tc>
          <w:tcPr>
            <w:tcW w:w="498" w:type="pct"/>
            <w:shd w:val="clear" w:color="auto" w:fill="EDF5D7" w:themeFill="accent5" w:themeFillTint="33"/>
            <w:vAlign w:val="center"/>
          </w:tcPr>
          <w:p w14:paraId="0F1B2505" w14:textId="77777777" w:rsidR="006152A8" w:rsidRPr="002D5851" w:rsidRDefault="006152A8" w:rsidP="006542E6">
            <w:pPr>
              <w:spacing w:line="240" w:lineRule="auto"/>
              <w:rPr>
                <w:szCs w:val="22"/>
              </w:rPr>
            </w:pPr>
            <w:r w:rsidRPr="002D5851">
              <w:rPr>
                <w:szCs w:val="22"/>
              </w:rPr>
              <w:t>2</w:t>
            </w:r>
          </w:p>
        </w:tc>
        <w:tc>
          <w:tcPr>
            <w:tcW w:w="2251" w:type="pct"/>
            <w:shd w:val="clear" w:color="auto" w:fill="EDF5D7" w:themeFill="accent5" w:themeFillTint="33"/>
          </w:tcPr>
          <w:p w14:paraId="1F67F59A" w14:textId="77777777" w:rsidR="006152A8" w:rsidRPr="00006D1E" w:rsidRDefault="006152A8" w:rsidP="006542E6">
            <w:pPr>
              <w:spacing w:line="240" w:lineRule="auto"/>
              <w:ind w:left="360" w:hanging="360"/>
              <w:rPr>
                <w:b/>
                <w:szCs w:val="22"/>
              </w:rPr>
            </w:pPr>
            <w:r w:rsidRPr="00006D1E">
              <w:rPr>
                <w:b/>
                <w:szCs w:val="22"/>
              </w:rPr>
              <w:t>Non-regulatory</w:t>
            </w:r>
          </w:p>
          <w:p w14:paraId="3CF4A0DB" w14:textId="2F4091DD" w:rsidR="006152A8" w:rsidRPr="00006D1E" w:rsidRDefault="006152A8" w:rsidP="006542E6">
            <w:pPr>
              <w:spacing w:line="240" w:lineRule="auto"/>
              <w:rPr>
                <w:szCs w:val="22"/>
              </w:rPr>
            </w:pPr>
            <w:r w:rsidRPr="00006D1E">
              <w:rPr>
                <w:szCs w:val="22"/>
              </w:rPr>
              <w:t>Additional guidance</w:t>
            </w:r>
            <w:r w:rsidRPr="00006D1E">
              <w:rPr>
                <w:b/>
                <w:szCs w:val="22"/>
              </w:rPr>
              <w:t xml:space="preserve"> </w:t>
            </w:r>
            <w:r w:rsidRPr="00006D1E">
              <w:rPr>
                <w:szCs w:val="22"/>
              </w:rPr>
              <w:t>about current WWCC and teacher registration/accreditation notification requirements and the importance of WWCCs in conjunction with the implementation of child safety training (refer to Chapter 6)</w:t>
            </w:r>
            <w:r w:rsidR="0072613D">
              <w:rPr>
                <w:szCs w:val="22"/>
              </w:rPr>
              <w:t>.</w:t>
            </w:r>
          </w:p>
          <w:p w14:paraId="0FCBCB07" w14:textId="77777777" w:rsidR="006152A8" w:rsidRPr="00006D1E" w:rsidRDefault="006152A8" w:rsidP="006542E6">
            <w:pPr>
              <w:spacing w:line="240" w:lineRule="auto"/>
              <w:rPr>
                <w:szCs w:val="22"/>
              </w:rPr>
            </w:pPr>
            <w:r w:rsidRPr="00006D1E">
              <w:rPr>
                <w:szCs w:val="22"/>
              </w:rPr>
              <w:t>Guidance to include the following recommended ‘best practice’ approaches:</w:t>
            </w:r>
          </w:p>
          <w:p w14:paraId="5EBDDBCA" w14:textId="3C67482D" w:rsidR="00B447C7" w:rsidRPr="00006D1E" w:rsidRDefault="006152A8" w:rsidP="00EC53AB">
            <w:pPr>
              <w:pStyle w:val="ListParagraph"/>
              <w:numPr>
                <w:ilvl w:val="0"/>
                <w:numId w:val="56"/>
              </w:numPr>
              <w:spacing w:line="240" w:lineRule="auto"/>
              <w:rPr>
                <w:szCs w:val="22"/>
              </w:rPr>
            </w:pPr>
            <w:r w:rsidRPr="00006D1E">
              <w:rPr>
                <w:szCs w:val="22"/>
              </w:rPr>
              <w:t>confirmation of a WWCC record in staff files prior to working in a service (all staff and volunteers)</w:t>
            </w:r>
          </w:p>
          <w:p w14:paraId="4302333E" w14:textId="49BB7C82" w:rsidR="006152A8" w:rsidRPr="002D5851" w:rsidRDefault="006152A8" w:rsidP="00EC53AB">
            <w:pPr>
              <w:pStyle w:val="ListParagraph"/>
              <w:numPr>
                <w:ilvl w:val="0"/>
                <w:numId w:val="56"/>
              </w:numPr>
              <w:spacing w:line="240" w:lineRule="auto"/>
              <w:rPr>
                <w:szCs w:val="22"/>
              </w:rPr>
            </w:pPr>
            <w:r w:rsidRPr="00006D1E">
              <w:rPr>
                <w:szCs w:val="22"/>
              </w:rPr>
              <w:t>check WWCC status every six months (in jurisdictions where approved providers are not already notified by the relevant WWCC agency).</w:t>
            </w:r>
          </w:p>
        </w:tc>
        <w:tc>
          <w:tcPr>
            <w:tcW w:w="2251" w:type="pct"/>
            <w:shd w:val="clear" w:color="auto" w:fill="EDF5D7" w:themeFill="accent5" w:themeFillTint="33"/>
            <w:vAlign w:val="center"/>
          </w:tcPr>
          <w:p w14:paraId="4674A1B2" w14:textId="3851F336" w:rsidR="006152A8" w:rsidRPr="002D5851" w:rsidRDefault="006152A8" w:rsidP="006542E6">
            <w:pPr>
              <w:spacing w:line="240" w:lineRule="auto"/>
              <w:rPr>
                <w:b/>
                <w:szCs w:val="22"/>
              </w:rPr>
            </w:pPr>
            <w:r w:rsidRPr="009E7694">
              <w:rPr>
                <w:szCs w:val="22"/>
                <w:lang w:val="en-GB"/>
              </w:rPr>
              <w:t>To be implemented in full</w:t>
            </w:r>
            <w:r w:rsidRPr="009E7694" w:rsidDel="00F92707">
              <w:rPr>
                <w:szCs w:val="22"/>
                <w:lang w:val="en-GB"/>
              </w:rPr>
              <w:t xml:space="preserve"> </w:t>
            </w:r>
          </w:p>
        </w:tc>
      </w:tr>
      <w:tr w:rsidR="006152A8" w:rsidRPr="002D5851" w14:paraId="764F8066" w14:textId="77777777" w:rsidTr="00B31437">
        <w:tc>
          <w:tcPr>
            <w:tcW w:w="498" w:type="pct"/>
            <w:shd w:val="clear" w:color="auto" w:fill="EDF5D7" w:themeFill="accent5" w:themeFillTint="33"/>
            <w:vAlign w:val="center"/>
          </w:tcPr>
          <w:p w14:paraId="63DA65FF" w14:textId="742961B3" w:rsidR="006152A8" w:rsidRPr="002D5851" w:rsidRDefault="006152A8" w:rsidP="006542E6">
            <w:pPr>
              <w:spacing w:line="240" w:lineRule="auto"/>
              <w:rPr>
                <w:szCs w:val="22"/>
              </w:rPr>
            </w:pPr>
            <w:r w:rsidRPr="002D5851">
              <w:rPr>
                <w:szCs w:val="22"/>
              </w:rPr>
              <w:t>3</w:t>
            </w:r>
            <w:r>
              <w:rPr>
                <w:szCs w:val="22"/>
              </w:rPr>
              <w:t>A and 3B</w:t>
            </w:r>
          </w:p>
        </w:tc>
        <w:tc>
          <w:tcPr>
            <w:tcW w:w="2251" w:type="pct"/>
            <w:shd w:val="clear" w:color="auto" w:fill="EDF5D7" w:themeFill="accent5" w:themeFillTint="33"/>
          </w:tcPr>
          <w:p w14:paraId="75B835AD" w14:textId="77777777" w:rsidR="006152A8" w:rsidRPr="00006D1E" w:rsidRDefault="006152A8" w:rsidP="006542E6">
            <w:pPr>
              <w:spacing w:line="240" w:lineRule="auto"/>
              <w:rPr>
                <w:b/>
                <w:szCs w:val="22"/>
              </w:rPr>
            </w:pPr>
            <w:r w:rsidRPr="00006D1E">
              <w:rPr>
                <w:b/>
                <w:szCs w:val="22"/>
              </w:rPr>
              <w:t>Regulatory</w:t>
            </w:r>
          </w:p>
          <w:p w14:paraId="36F01420" w14:textId="77777777" w:rsidR="006152A8" w:rsidRPr="00006D1E" w:rsidRDefault="006152A8" w:rsidP="006542E6">
            <w:pPr>
              <w:spacing w:line="240" w:lineRule="auto"/>
              <w:rPr>
                <w:szCs w:val="22"/>
              </w:rPr>
            </w:pPr>
            <w:r w:rsidRPr="00006D1E">
              <w:rPr>
                <w:szCs w:val="22"/>
              </w:rPr>
              <w:t xml:space="preserve">Amend the National Regulations and National Law </w:t>
            </w:r>
          </w:p>
          <w:p w14:paraId="3340E738" w14:textId="372E230F" w:rsidR="006152A8" w:rsidRPr="00006D1E" w:rsidRDefault="00EA65CC" w:rsidP="006542E6">
            <w:pPr>
              <w:pStyle w:val="ListParagraph"/>
              <w:spacing w:line="240" w:lineRule="auto"/>
              <w:rPr>
                <w:szCs w:val="22"/>
              </w:rPr>
            </w:pPr>
            <w:r>
              <w:rPr>
                <w:szCs w:val="22"/>
              </w:rPr>
              <w:t xml:space="preserve">3A: </w:t>
            </w:r>
            <w:r w:rsidR="006152A8" w:rsidRPr="00006D1E">
              <w:rPr>
                <w:szCs w:val="22"/>
              </w:rPr>
              <w:t>New requirement for all centre-based staff and FDC educators to notify their approved provider of a change in WWCC or teacher registration/accreditation status (in NSW, TAS, ACT and NT only).</w:t>
            </w:r>
          </w:p>
          <w:p w14:paraId="5BF30FC8" w14:textId="77777777" w:rsidR="006152A8" w:rsidRPr="00006D1E" w:rsidRDefault="006152A8" w:rsidP="006542E6">
            <w:pPr>
              <w:spacing w:line="240" w:lineRule="auto"/>
              <w:rPr>
                <w:b/>
                <w:szCs w:val="22"/>
              </w:rPr>
            </w:pPr>
            <w:r w:rsidRPr="00006D1E">
              <w:rPr>
                <w:b/>
                <w:szCs w:val="22"/>
              </w:rPr>
              <w:t xml:space="preserve">and </w:t>
            </w:r>
          </w:p>
          <w:p w14:paraId="119A1A07" w14:textId="1711B4CE" w:rsidR="006152A8" w:rsidRPr="002D5851" w:rsidRDefault="00EA65CC" w:rsidP="00EC53AB">
            <w:pPr>
              <w:pStyle w:val="ListParagraph"/>
              <w:numPr>
                <w:ilvl w:val="0"/>
                <w:numId w:val="114"/>
              </w:numPr>
              <w:spacing w:line="240" w:lineRule="auto"/>
              <w:rPr>
                <w:szCs w:val="22"/>
              </w:rPr>
            </w:pPr>
            <w:r w:rsidRPr="00EA65CC">
              <w:rPr>
                <w:szCs w:val="22"/>
              </w:rPr>
              <w:t xml:space="preserve">3B: </w:t>
            </w:r>
            <w:r w:rsidR="006152A8" w:rsidRPr="00006D1E">
              <w:rPr>
                <w:szCs w:val="22"/>
              </w:rPr>
              <w:t xml:space="preserve">New requirement for approved providers to notify the Regulatory Authority of a change in WWCC or teacher registration/accreditation status for all staff with penalties/offences for non-compliance, (in all </w:t>
            </w:r>
            <w:r w:rsidR="006152A8" w:rsidRPr="00006D1E">
              <w:rPr>
                <w:szCs w:val="22"/>
              </w:rPr>
              <w:lastRenderedPageBreak/>
              <w:t>jurisdictions except QLD and WA</w:t>
            </w:r>
            <w:r w:rsidR="006152A8">
              <w:t xml:space="preserve">. </w:t>
            </w:r>
            <w:r w:rsidR="006152A8" w:rsidRPr="00006D1E">
              <w:rPr>
                <w:szCs w:val="22"/>
              </w:rPr>
              <w:t>Also, an exemption in SA in instances where changes to WWCC status is directly communicated to the Regulatory Authority).</w:t>
            </w:r>
          </w:p>
        </w:tc>
        <w:tc>
          <w:tcPr>
            <w:tcW w:w="2251" w:type="pct"/>
            <w:shd w:val="clear" w:color="auto" w:fill="EDF5D7" w:themeFill="accent5" w:themeFillTint="33"/>
            <w:vAlign w:val="center"/>
          </w:tcPr>
          <w:p w14:paraId="5FE52F2B" w14:textId="4A7C5018" w:rsidR="006152A8" w:rsidRPr="002D5851" w:rsidRDefault="006152A8" w:rsidP="006542E6">
            <w:pPr>
              <w:spacing w:line="240" w:lineRule="auto"/>
              <w:rPr>
                <w:b/>
                <w:szCs w:val="22"/>
              </w:rPr>
            </w:pPr>
            <w:r w:rsidRPr="009E7694">
              <w:rPr>
                <w:szCs w:val="22"/>
                <w:lang w:val="en-GB"/>
              </w:rPr>
              <w:lastRenderedPageBreak/>
              <w:t>To be implemented in full</w:t>
            </w:r>
          </w:p>
        </w:tc>
      </w:tr>
    </w:tbl>
    <w:p w14:paraId="62FDCBF4" w14:textId="77777777" w:rsidR="00305588" w:rsidRDefault="00305588" w:rsidP="006542E6">
      <w:pPr>
        <w:spacing w:line="240" w:lineRule="auto"/>
        <w:rPr>
          <w:lang w:val="en-GB"/>
        </w:rPr>
      </w:pPr>
    </w:p>
    <w:p w14:paraId="116C376E" w14:textId="64560556" w:rsidR="006152A8" w:rsidRDefault="007A4EB0" w:rsidP="006542E6">
      <w:pPr>
        <w:pStyle w:val="Heading4"/>
        <w:spacing w:line="240" w:lineRule="auto"/>
        <w:rPr>
          <w:lang w:val="en-GB"/>
        </w:rPr>
      </w:pPr>
      <w:r>
        <w:rPr>
          <w:lang w:val="en-GB"/>
        </w:rPr>
        <w:t xml:space="preserve">Improving safety of the physical service environment - </w:t>
      </w:r>
      <w:r w:rsidRPr="007A4EB0">
        <w:rPr>
          <w:lang w:val="en-GB"/>
        </w:rPr>
        <w:t>Service and temporary waivers for the design of premises (to facilitate supervision of children)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policy options for improving safety of the physical service environment - Service and temporary waivers for the design of premises (to facilitate supervision of children)"/>
      </w:tblPr>
      <w:tblGrid>
        <w:gridCol w:w="1390"/>
        <w:gridCol w:w="6280"/>
        <w:gridCol w:w="6280"/>
      </w:tblGrid>
      <w:tr w:rsidR="006152A8" w:rsidRPr="002D5851" w14:paraId="244F1F75" w14:textId="77777777" w:rsidTr="00B31437">
        <w:trPr>
          <w:tblHeader/>
        </w:trPr>
        <w:tc>
          <w:tcPr>
            <w:tcW w:w="498" w:type="pct"/>
            <w:shd w:val="clear" w:color="auto" w:fill="14233C" w:themeFill="text2"/>
            <w:vAlign w:val="center"/>
          </w:tcPr>
          <w:p w14:paraId="7F972A5C" w14:textId="77777777" w:rsidR="006152A8" w:rsidRPr="002D5851" w:rsidRDefault="006152A8"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6540FC7D" w14:textId="77777777" w:rsidR="006152A8" w:rsidRPr="002D5851" w:rsidRDefault="006152A8"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09232500" w14:textId="323D7CFB" w:rsidR="006152A8" w:rsidRPr="002D5851" w:rsidRDefault="00FD2E2C" w:rsidP="006542E6">
            <w:pPr>
              <w:spacing w:line="240" w:lineRule="auto"/>
              <w:rPr>
                <w:b/>
                <w:color w:val="FFFFFF" w:themeColor="background1"/>
                <w:szCs w:val="22"/>
              </w:rPr>
            </w:pPr>
            <w:r>
              <w:rPr>
                <w:b/>
                <w:szCs w:val="22"/>
                <w:lang w:val="en-GB"/>
              </w:rPr>
              <w:t>Implementation approach</w:t>
            </w:r>
          </w:p>
        </w:tc>
      </w:tr>
      <w:tr w:rsidR="006152A8" w:rsidRPr="002D5851" w14:paraId="1CC5CE95" w14:textId="77777777" w:rsidTr="00B31437">
        <w:tc>
          <w:tcPr>
            <w:tcW w:w="498" w:type="pct"/>
            <w:vAlign w:val="center"/>
          </w:tcPr>
          <w:p w14:paraId="0A7696A9" w14:textId="77777777" w:rsidR="006152A8" w:rsidRPr="002D5851" w:rsidRDefault="006152A8" w:rsidP="006542E6">
            <w:pPr>
              <w:spacing w:line="240" w:lineRule="auto"/>
              <w:rPr>
                <w:szCs w:val="22"/>
              </w:rPr>
            </w:pPr>
            <w:r w:rsidRPr="002D5851">
              <w:rPr>
                <w:szCs w:val="22"/>
              </w:rPr>
              <w:t>1</w:t>
            </w:r>
          </w:p>
        </w:tc>
        <w:tc>
          <w:tcPr>
            <w:tcW w:w="2251" w:type="pct"/>
          </w:tcPr>
          <w:p w14:paraId="027E8BFE" w14:textId="77777777" w:rsidR="006152A8" w:rsidRPr="002D5851" w:rsidRDefault="006152A8" w:rsidP="006542E6">
            <w:pPr>
              <w:spacing w:line="240" w:lineRule="auto"/>
              <w:rPr>
                <w:szCs w:val="22"/>
              </w:rPr>
            </w:pPr>
            <w:r w:rsidRPr="00006D1E">
              <w:rPr>
                <w:szCs w:val="20"/>
              </w:rPr>
              <w:t>Status quo (no change).</w:t>
            </w:r>
          </w:p>
        </w:tc>
        <w:tc>
          <w:tcPr>
            <w:tcW w:w="2251" w:type="pct"/>
            <w:vAlign w:val="center"/>
          </w:tcPr>
          <w:p w14:paraId="4BCD4466" w14:textId="1B0768D9" w:rsidR="006152A8" w:rsidRPr="002D5851" w:rsidRDefault="006152A8" w:rsidP="006542E6">
            <w:pPr>
              <w:spacing w:line="240" w:lineRule="auto"/>
              <w:rPr>
                <w:szCs w:val="22"/>
              </w:rPr>
            </w:pPr>
            <w:r w:rsidRPr="002D5851">
              <w:rPr>
                <w:szCs w:val="22"/>
              </w:rPr>
              <w:t>Not to be implemented</w:t>
            </w:r>
          </w:p>
        </w:tc>
      </w:tr>
      <w:tr w:rsidR="006152A8" w:rsidRPr="002D5851" w14:paraId="7BCEA06F" w14:textId="77777777" w:rsidTr="00B31437">
        <w:tc>
          <w:tcPr>
            <w:tcW w:w="498" w:type="pct"/>
            <w:shd w:val="clear" w:color="auto" w:fill="EDF5D7" w:themeFill="accent5" w:themeFillTint="33"/>
            <w:vAlign w:val="center"/>
          </w:tcPr>
          <w:p w14:paraId="6B92E638" w14:textId="77777777" w:rsidR="006152A8" w:rsidRPr="002D5851" w:rsidRDefault="006152A8" w:rsidP="006542E6">
            <w:pPr>
              <w:spacing w:line="240" w:lineRule="auto"/>
              <w:rPr>
                <w:szCs w:val="22"/>
              </w:rPr>
            </w:pPr>
            <w:r w:rsidRPr="002D5851">
              <w:rPr>
                <w:szCs w:val="22"/>
              </w:rPr>
              <w:t>2</w:t>
            </w:r>
          </w:p>
        </w:tc>
        <w:tc>
          <w:tcPr>
            <w:tcW w:w="2251" w:type="pct"/>
            <w:shd w:val="clear" w:color="auto" w:fill="EDF5D7" w:themeFill="accent5" w:themeFillTint="33"/>
          </w:tcPr>
          <w:p w14:paraId="7D96E61B" w14:textId="77777777" w:rsidR="006152A8" w:rsidRPr="00006D1E" w:rsidRDefault="006152A8" w:rsidP="006542E6">
            <w:pPr>
              <w:spacing w:line="240" w:lineRule="auto"/>
              <w:rPr>
                <w:b/>
                <w:szCs w:val="20"/>
              </w:rPr>
            </w:pPr>
            <w:r w:rsidRPr="00006D1E">
              <w:rPr>
                <w:b/>
                <w:szCs w:val="20"/>
              </w:rPr>
              <w:t>Non-regulatory</w:t>
            </w:r>
          </w:p>
          <w:p w14:paraId="21068C14" w14:textId="6FEBE45F" w:rsidR="006152A8" w:rsidRPr="002D5851" w:rsidRDefault="007A4EB0" w:rsidP="006542E6">
            <w:pPr>
              <w:spacing w:line="240" w:lineRule="auto"/>
              <w:rPr>
                <w:szCs w:val="22"/>
              </w:rPr>
            </w:pPr>
            <w:r w:rsidRPr="00FE35B2">
              <w:rPr>
                <w:szCs w:val="20"/>
              </w:rPr>
              <w:t>Providing guidance to promote the importance of designing and maintaining premises in a way that facilitates supervision of children at all times.</w:t>
            </w:r>
          </w:p>
        </w:tc>
        <w:tc>
          <w:tcPr>
            <w:tcW w:w="2251" w:type="pct"/>
            <w:shd w:val="clear" w:color="auto" w:fill="EDF5D7" w:themeFill="accent5" w:themeFillTint="33"/>
            <w:vAlign w:val="center"/>
          </w:tcPr>
          <w:p w14:paraId="13388EE5" w14:textId="2ED7A35B" w:rsidR="006152A8" w:rsidRPr="002D5851" w:rsidRDefault="007A4EB0" w:rsidP="006542E6">
            <w:pPr>
              <w:spacing w:line="240" w:lineRule="auto"/>
              <w:rPr>
                <w:b/>
                <w:szCs w:val="22"/>
              </w:rPr>
            </w:pPr>
            <w:r w:rsidRPr="002D5851">
              <w:rPr>
                <w:szCs w:val="22"/>
                <w:lang w:val="en-GB"/>
              </w:rPr>
              <w:t>To</w:t>
            </w:r>
            <w:r w:rsidR="006152A8" w:rsidRPr="002D5851">
              <w:rPr>
                <w:szCs w:val="22"/>
                <w:lang w:val="en-GB"/>
              </w:rPr>
              <w:t xml:space="preserve"> be implemented</w:t>
            </w:r>
            <w:r w:rsidRPr="002D5851">
              <w:rPr>
                <w:szCs w:val="22"/>
                <w:lang w:val="en-GB"/>
              </w:rPr>
              <w:t xml:space="preserve"> in full</w:t>
            </w:r>
            <w:r w:rsidR="006152A8">
              <w:rPr>
                <w:szCs w:val="22"/>
                <w:lang w:val="en-GB"/>
              </w:rPr>
              <w:t>.</w:t>
            </w:r>
          </w:p>
        </w:tc>
      </w:tr>
      <w:tr w:rsidR="006152A8" w:rsidRPr="002D5851" w14:paraId="50C1B313" w14:textId="77777777" w:rsidTr="00B31437">
        <w:tc>
          <w:tcPr>
            <w:tcW w:w="498" w:type="pct"/>
            <w:shd w:val="clear" w:color="auto" w:fill="EDF5D7" w:themeFill="accent5" w:themeFillTint="33"/>
            <w:vAlign w:val="center"/>
          </w:tcPr>
          <w:p w14:paraId="40EDB9D6" w14:textId="77777777" w:rsidR="006152A8" w:rsidRPr="002D5851" w:rsidRDefault="006152A8" w:rsidP="006542E6">
            <w:pPr>
              <w:spacing w:line="240" w:lineRule="auto"/>
              <w:rPr>
                <w:szCs w:val="22"/>
              </w:rPr>
            </w:pPr>
            <w:r w:rsidRPr="002D5851">
              <w:rPr>
                <w:szCs w:val="22"/>
              </w:rPr>
              <w:t>3</w:t>
            </w:r>
          </w:p>
        </w:tc>
        <w:tc>
          <w:tcPr>
            <w:tcW w:w="2251" w:type="pct"/>
            <w:shd w:val="clear" w:color="auto" w:fill="EDF5D7" w:themeFill="accent5" w:themeFillTint="33"/>
          </w:tcPr>
          <w:p w14:paraId="7AFF15CA" w14:textId="77777777" w:rsidR="006152A8" w:rsidRPr="00006D1E" w:rsidRDefault="006152A8" w:rsidP="006542E6">
            <w:pPr>
              <w:spacing w:line="240" w:lineRule="auto"/>
              <w:rPr>
                <w:b/>
                <w:szCs w:val="20"/>
              </w:rPr>
            </w:pPr>
            <w:r w:rsidRPr="00006D1E">
              <w:rPr>
                <w:b/>
                <w:szCs w:val="20"/>
              </w:rPr>
              <w:t>Regulatory</w:t>
            </w:r>
          </w:p>
          <w:p w14:paraId="56BA040C" w14:textId="77777777" w:rsidR="007A4EB0" w:rsidRPr="00FE35B2" w:rsidRDefault="007A4EB0" w:rsidP="006542E6">
            <w:pPr>
              <w:spacing w:line="240" w:lineRule="auto"/>
              <w:rPr>
                <w:szCs w:val="20"/>
              </w:rPr>
            </w:pPr>
            <w:r w:rsidRPr="00FE35B2">
              <w:rPr>
                <w:szCs w:val="20"/>
              </w:rPr>
              <w:t>Amend the National Regulations to remove the ability to apply for service waivers of regulation 115. This option means the ability to apply for a temporary waiver of regulation 115 remains in place for short-term emergent circumstances, with suitable risk mitigation required.</w:t>
            </w:r>
          </w:p>
          <w:p w14:paraId="27ED8A24" w14:textId="393A2284" w:rsidR="006152A8" w:rsidRPr="002D5851" w:rsidRDefault="007A4EB0" w:rsidP="006542E6">
            <w:pPr>
              <w:spacing w:line="240" w:lineRule="auto"/>
              <w:rPr>
                <w:szCs w:val="22"/>
              </w:rPr>
            </w:pPr>
            <w:r w:rsidRPr="00FE35B2">
              <w:rPr>
                <w:szCs w:val="20"/>
              </w:rPr>
              <w:t>This amendment will have no impact on existing regulation 115 waivers.</w:t>
            </w:r>
          </w:p>
        </w:tc>
        <w:tc>
          <w:tcPr>
            <w:tcW w:w="2251" w:type="pct"/>
            <w:shd w:val="clear" w:color="auto" w:fill="EDF5D7" w:themeFill="accent5" w:themeFillTint="33"/>
            <w:vAlign w:val="center"/>
          </w:tcPr>
          <w:p w14:paraId="5ED94890" w14:textId="77777777" w:rsidR="006152A8" w:rsidRPr="002D5851" w:rsidRDefault="006152A8" w:rsidP="006542E6">
            <w:pPr>
              <w:spacing w:line="240" w:lineRule="auto"/>
              <w:rPr>
                <w:b/>
                <w:szCs w:val="22"/>
              </w:rPr>
            </w:pPr>
            <w:r w:rsidRPr="002D5851">
              <w:rPr>
                <w:szCs w:val="22"/>
                <w:lang w:val="en-GB"/>
              </w:rPr>
              <w:t>To be implemented in full</w:t>
            </w:r>
            <w:r>
              <w:rPr>
                <w:szCs w:val="22"/>
                <w:lang w:val="en-GB"/>
              </w:rPr>
              <w:t>.</w:t>
            </w:r>
          </w:p>
        </w:tc>
      </w:tr>
      <w:tr w:rsidR="006152A8" w:rsidRPr="002D5851" w14:paraId="371C98EA" w14:textId="77777777" w:rsidTr="00B31437">
        <w:tc>
          <w:tcPr>
            <w:tcW w:w="498" w:type="pct"/>
            <w:vAlign w:val="center"/>
          </w:tcPr>
          <w:p w14:paraId="31FFB5EC" w14:textId="77777777" w:rsidR="006152A8" w:rsidRPr="002D5851" w:rsidRDefault="006152A8" w:rsidP="006542E6">
            <w:pPr>
              <w:spacing w:line="240" w:lineRule="auto"/>
              <w:rPr>
                <w:szCs w:val="22"/>
              </w:rPr>
            </w:pPr>
            <w:r w:rsidRPr="002D5851">
              <w:rPr>
                <w:szCs w:val="22"/>
              </w:rPr>
              <w:t>4</w:t>
            </w:r>
          </w:p>
        </w:tc>
        <w:tc>
          <w:tcPr>
            <w:tcW w:w="2251" w:type="pct"/>
          </w:tcPr>
          <w:p w14:paraId="39F2E64B" w14:textId="77777777" w:rsidR="006152A8" w:rsidRPr="00006D1E" w:rsidRDefault="006152A8" w:rsidP="006542E6">
            <w:pPr>
              <w:spacing w:line="240" w:lineRule="auto"/>
              <w:rPr>
                <w:b/>
                <w:szCs w:val="20"/>
              </w:rPr>
            </w:pPr>
            <w:r w:rsidRPr="00006D1E">
              <w:rPr>
                <w:b/>
                <w:szCs w:val="20"/>
              </w:rPr>
              <w:t>Regulatory</w:t>
            </w:r>
          </w:p>
          <w:p w14:paraId="4A160B0E" w14:textId="77777777" w:rsidR="007A4EB0" w:rsidRPr="00FE35B2" w:rsidRDefault="007A4EB0" w:rsidP="006542E6">
            <w:pPr>
              <w:spacing w:line="240" w:lineRule="auto"/>
              <w:rPr>
                <w:szCs w:val="20"/>
              </w:rPr>
            </w:pPr>
            <w:r w:rsidRPr="00FE35B2">
              <w:rPr>
                <w:szCs w:val="20"/>
              </w:rPr>
              <w:t>Amend the National Regulations to remove the ability to apply for service and temporary waivers of regulation 115.</w:t>
            </w:r>
          </w:p>
          <w:p w14:paraId="04471DAE" w14:textId="4AB2EA0F" w:rsidR="006152A8" w:rsidRPr="002D5851" w:rsidRDefault="007A4EB0" w:rsidP="006542E6">
            <w:pPr>
              <w:spacing w:line="240" w:lineRule="auto"/>
              <w:rPr>
                <w:szCs w:val="22"/>
              </w:rPr>
            </w:pPr>
            <w:r w:rsidRPr="00FE35B2">
              <w:rPr>
                <w:szCs w:val="20"/>
              </w:rPr>
              <w:t>This amendment will have no impact on existing regulation 115 waivers.</w:t>
            </w:r>
          </w:p>
        </w:tc>
        <w:tc>
          <w:tcPr>
            <w:tcW w:w="2251" w:type="pct"/>
            <w:vAlign w:val="center"/>
          </w:tcPr>
          <w:p w14:paraId="374A43EC" w14:textId="064E0FD2" w:rsidR="006152A8" w:rsidRPr="002D5851" w:rsidRDefault="007A4EB0" w:rsidP="006542E6">
            <w:pPr>
              <w:spacing w:line="240" w:lineRule="auto"/>
              <w:rPr>
                <w:b/>
                <w:szCs w:val="22"/>
              </w:rPr>
            </w:pPr>
            <w:r w:rsidRPr="002D5851">
              <w:rPr>
                <w:szCs w:val="22"/>
              </w:rPr>
              <w:t>Not to</w:t>
            </w:r>
            <w:r w:rsidR="006152A8" w:rsidRPr="002D5851">
              <w:rPr>
                <w:szCs w:val="22"/>
              </w:rPr>
              <w:t xml:space="preserve"> be implemented</w:t>
            </w:r>
          </w:p>
        </w:tc>
      </w:tr>
    </w:tbl>
    <w:p w14:paraId="08A1234A" w14:textId="77777777" w:rsidR="006152A8" w:rsidRPr="007B0FEC" w:rsidRDefault="006152A8" w:rsidP="006542E6">
      <w:pPr>
        <w:spacing w:line="240" w:lineRule="auto"/>
        <w:rPr>
          <w:lang w:val="en-GB"/>
        </w:rPr>
      </w:pPr>
    </w:p>
    <w:p w14:paraId="138C484C" w14:textId="15FD546E" w:rsidR="00616742" w:rsidRDefault="00616742" w:rsidP="006542E6">
      <w:pPr>
        <w:pStyle w:val="Heading4"/>
        <w:spacing w:line="240" w:lineRule="auto"/>
        <w:rPr>
          <w:lang w:val="en-GB"/>
        </w:rPr>
      </w:pPr>
      <w:r>
        <w:rPr>
          <w:lang w:val="en-GB"/>
        </w:rPr>
        <w:t xml:space="preserve">Improving safety of the physical service environment - </w:t>
      </w:r>
      <w:r w:rsidRPr="00616742">
        <w:rPr>
          <w:lang w:val="en-GB"/>
        </w:rPr>
        <w:t>Requiring approved providers to assess not just the FDC residence, but areas near the residence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the policy options for improving safety of the physical service environment - Requiring approved providers to assess not just the FDC residence, but areas near the residence."/>
      </w:tblPr>
      <w:tblGrid>
        <w:gridCol w:w="1390"/>
        <w:gridCol w:w="6280"/>
        <w:gridCol w:w="6280"/>
      </w:tblGrid>
      <w:tr w:rsidR="00616742" w:rsidRPr="002D5851" w14:paraId="67BAEA54" w14:textId="77777777" w:rsidTr="00B31437">
        <w:trPr>
          <w:tblHeader/>
        </w:trPr>
        <w:tc>
          <w:tcPr>
            <w:tcW w:w="498" w:type="pct"/>
            <w:shd w:val="clear" w:color="auto" w:fill="14233C" w:themeFill="text2"/>
            <w:vAlign w:val="center"/>
          </w:tcPr>
          <w:p w14:paraId="07BE520C" w14:textId="77777777" w:rsidR="00616742" w:rsidRPr="002D5851" w:rsidRDefault="00616742"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2B5E3FF2" w14:textId="77777777" w:rsidR="00616742" w:rsidRPr="002D5851" w:rsidRDefault="00616742"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59C7F97C" w14:textId="53865E5F" w:rsidR="00616742" w:rsidRPr="002D5851" w:rsidRDefault="00FD2E2C" w:rsidP="006542E6">
            <w:pPr>
              <w:spacing w:line="240" w:lineRule="auto"/>
              <w:rPr>
                <w:b/>
                <w:color w:val="FFFFFF" w:themeColor="background1"/>
                <w:szCs w:val="22"/>
              </w:rPr>
            </w:pPr>
            <w:r>
              <w:rPr>
                <w:b/>
                <w:szCs w:val="22"/>
                <w:lang w:val="en-GB"/>
              </w:rPr>
              <w:t>Implementation approach</w:t>
            </w:r>
          </w:p>
        </w:tc>
      </w:tr>
      <w:tr w:rsidR="00616742" w:rsidRPr="002D5851" w14:paraId="718109C1" w14:textId="77777777" w:rsidTr="00B31437">
        <w:tc>
          <w:tcPr>
            <w:tcW w:w="498" w:type="pct"/>
            <w:vAlign w:val="center"/>
          </w:tcPr>
          <w:p w14:paraId="08BC8205" w14:textId="77777777" w:rsidR="00616742" w:rsidRPr="002D5851" w:rsidRDefault="00616742" w:rsidP="006542E6">
            <w:pPr>
              <w:spacing w:line="240" w:lineRule="auto"/>
              <w:rPr>
                <w:szCs w:val="22"/>
              </w:rPr>
            </w:pPr>
            <w:r w:rsidRPr="002D5851">
              <w:rPr>
                <w:szCs w:val="22"/>
              </w:rPr>
              <w:t>1</w:t>
            </w:r>
          </w:p>
        </w:tc>
        <w:tc>
          <w:tcPr>
            <w:tcW w:w="2251" w:type="pct"/>
          </w:tcPr>
          <w:p w14:paraId="42D4A3B4" w14:textId="43E4DB29" w:rsidR="00616742" w:rsidRPr="002D5851" w:rsidRDefault="00616742" w:rsidP="006542E6">
            <w:pPr>
              <w:spacing w:line="240" w:lineRule="auto"/>
              <w:rPr>
                <w:szCs w:val="22"/>
              </w:rPr>
            </w:pPr>
            <w:r w:rsidRPr="00B911AA">
              <w:rPr>
                <w:szCs w:val="20"/>
              </w:rPr>
              <w:t>Status quo (no change).</w:t>
            </w:r>
          </w:p>
        </w:tc>
        <w:tc>
          <w:tcPr>
            <w:tcW w:w="2251" w:type="pct"/>
            <w:vAlign w:val="center"/>
          </w:tcPr>
          <w:p w14:paraId="7298F878" w14:textId="7BC1AD99" w:rsidR="00616742" w:rsidRPr="002D5851" w:rsidRDefault="00616742" w:rsidP="006542E6">
            <w:pPr>
              <w:spacing w:line="240" w:lineRule="auto"/>
              <w:rPr>
                <w:szCs w:val="22"/>
              </w:rPr>
            </w:pPr>
            <w:r w:rsidRPr="002D5851">
              <w:rPr>
                <w:szCs w:val="22"/>
              </w:rPr>
              <w:t>Not to be implemented</w:t>
            </w:r>
          </w:p>
        </w:tc>
      </w:tr>
      <w:tr w:rsidR="00616742" w:rsidRPr="002D5851" w14:paraId="0FB9A4DE" w14:textId="77777777" w:rsidTr="00B82088">
        <w:tc>
          <w:tcPr>
            <w:tcW w:w="498" w:type="pct"/>
            <w:vAlign w:val="center"/>
          </w:tcPr>
          <w:p w14:paraId="7E601C2F" w14:textId="77777777" w:rsidR="00616742" w:rsidRPr="002D5851" w:rsidRDefault="00616742" w:rsidP="006542E6">
            <w:pPr>
              <w:spacing w:line="240" w:lineRule="auto"/>
              <w:rPr>
                <w:szCs w:val="22"/>
              </w:rPr>
            </w:pPr>
            <w:r w:rsidRPr="002D5851">
              <w:rPr>
                <w:szCs w:val="22"/>
              </w:rPr>
              <w:t>2</w:t>
            </w:r>
          </w:p>
        </w:tc>
        <w:tc>
          <w:tcPr>
            <w:tcW w:w="2251" w:type="pct"/>
          </w:tcPr>
          <w:p w14:paraId="7BFD030D" w14:textId="77777777" w:rsidR="00616742" w:rsidRPr="00B911AA" w:rsidRDefault="00616742" w:rsidP="006542E6">
            <w:pPr>
              <w:spacing w:line="240" w:lineRule="auto"/>
              <w:rPr>
                <w:b/>
                <w:szCs w:val="20"/>
              </w:rPr>
            </w:pPr>
            <w:r w:rsidRPr="00B911AA">
              <w:rPr>
                <w:b/>
                <w:szCs w:val="20"/>
              </w:rPr>
              <w:t>Non-regulatory</w:t>
            </w:r>
          </w:p>
          <w:p w14:paraId="7AA54D3F" w14:textId="346B0DE6" w:rsidR="00616742" w:rsidRPr="002D5851" w:rsidRDefault="00616742" w:rsidP="006542E6">
            <w:pPr>
              <w:spacing w:line="240" w:lineRule="auto"/>
              <w:rPr>
                <w:szCs w:val="22"/>
              </w:rPr>
            </w:pPr>
            <w:r w:rsidRPr="00B911AA">
              <w:rPr>
                <w:szCs w:val="20"/>
              </w:rPr>
              <w:t>Provide more explicit national guidance to FDC approved providers on their obligations under the current regulation 116, including the areas to be assessed and risk assessment/mitigations to prevent children from accessing areas beyond the FDC service premises, and consideration of risks near the residence other than water hazards.</w:t>
            </w:r>
          </w:p>
        </w:tc>
        <w:tc>
          <w:tcPr>
            <w:tcW w:w="2251" w:type="pct"/>
            <w:vAlign w:val="center"/>
          </w:tcPr>
          <w:p w14:paraId="32916AC4" w14:textId="27B3C0CC" w:rsidR="00616742" w:rsidRPr="002D5851" w:rsidRDefault="00BE6334" w:rsidP="006542E6">
            <w:pPr>
              <w:spacing w:line="240" w:lineRule="auto"/>
              <w:rPr>
                <w:b/>
                <w:szCs w:val="22"/>
              </w:rPr>
            </w:pPr>
            <w:r w:rsidRPr="002D5851">
              <w:rPr>
                <w:szCs w:val="22"/>
              </w:rPr>
              <w:t>Not to be implemented</w:t>
            </w:r>
            <w:r w:rsidRPr="002D5851">
              <w:rPr>
                <w:szCs w:val="22"/>
                <w:lang w:val="en-GB"/>
              </w:rPr>
              <w:t xml:space="preserve"> </w:t>
            </w:r>
          </w:p>
        </w:tc>
      </w:tr>
      <w:tr w:rsidR="00616742" w:rsidRPr="002D5851" w14:paraId="3DA80EC0" w14:textId="77777777" w:rsidTr="00B31437">
        <w:tc>
          <w:tcPr>
            <w:tcW w:w="498" w:type="pct"/>
            <w:shd w:val="clear" w:color="auto" w:fill="EDF5D7" w:themeFill="accent5" w:themeFillTint="33"/>
            <w:vAlign w:val="center"/>
          </w:tcPr>
          <w:p w14:paraId="5FF68CF2" w14:textId="77777777" w:rsidR="00616742" w:rsidRPr="002D5851" w:rsidRDefault="00616742" w:rsidP="006542E6">
            <w:pPr>
              <w:spacing w:line="240" w:lineRule="auto"/>
              <w:rPr>
                <w:szCs w:val="22"/>
              </w:rPr>
            </w:pPr>
            <w:r w:rsidRPr="002D5851">
              <w:rPr>
                <w:szCs w:val="22"/>
              </w:rPr>
              <w:t>3</w:t>
            </w:r>
          </w:p>
        </w:tc>
        <w:tc>
          <w:tcPr>
            <w:tcW w:w="2251" w:type="pct"/>
            <w:shd w:val="clear" w:color="auto" w:fill="EDF5D7" w:themeFill="accent5" w:themeFillTint="33"/>
          </w:tcPr>
          <w:p w14:paraId="48225ABE" w14:textId="77777777" w:rsidR="00616742" w:rsidRPr="00B911AA" w:rsidRDefault="00616742" w:rsidP="006542E6">
            <w:pPr>
              <w:spacing w:line="240" w:lineRule="auto"/>
              <w:rPr>
                <w:b/>
                <w:szCs w:val="20"/>
              </w:rPr>
            </w:pPr>
            <w:r w:rsidRPr="00B911AA">
              <w:rPr>
                <w:b/>
                <w:szCs w:val="20"/>
              </w:rPr>
              <w:t>Regulatory</w:t>
            </w:r>
          </w:p>
          <w:p w14:paraId="761E6A74" w14:textId="69000B74" w:rsidR="00616742" w:rsidRPr="002D5851" w:rsidRDefault="00616742" w:rsidP="006542E6">
            <w:pPr>
              <w:spacing w:line="240" w:lineRule="auto"/>
              <w:rPr>
                <w:szCs w:val="22"/>
              </w:rPr>
            </w:pPr>
            <w:r w:rsidRPr="00B911AA">
              <w:rPr>
                <w:szCs w:val="20"/>
              </w:rPr>
              <w:t xml:space="preserve">Amend the National Regulations (regulation 116) to </w:t>
            </w:r>
            <w:r w:rsidRPr="009A4D50">
              <w:rPr>
                <w:iCs/>
                <w:szCs w:val="20"/>
              </w:rPr>
              <w:t>explicitly require assessment</w:t>
            </w:r>
            <w:r w:rsidRPr="00B911AA">
              <w:rPr>
                <w:szCs w:val="20"/>
              </w:rPr>
              <w:t xml:space="preserve"> of not just the FDC residence but areas near the residence that may be accessible to children. Changes to apply to new assessments and each annual reassessment (not retrospectively), both of which are undertaken by approved providers.</w:t>
            </w:r>
          </w:p>
        </w:tc>
        <w:tc>
          <w:tcPr>
            <w:tcW w:w="2251" w:type="pct"/>
            <w:shd w:val="clear" w:color="auto" w:fill="EDF5D7" w:themeFill="accent5" w:themeFillTint="33"/>
            <w:vAlign w:val="center"/>
          </w:tcPr>
          <w:p w14:paraId="07E6D5E3" w14:textId="35F816F8" w:rsidR="00616742" w:rsidRPr="002D5851" w:rsidRDefault="00616742" w:rsidP="006542E6">
            <w:pPr>
              <w:spacing w:line="240" w:lineRule="auto"/>
              <w:rPr>
                <w:b/>
                <w:szCs w:val="22"/>
              </w:rPr>
            </w:pPr>
            <w:r w:rsidRPr="002D5851">
              <w:rPr>
                <w:szCs w:val="22"/>
                <w:lang w:val="en-GB"/>
              </w:rPr>
              <w:t>To be implemented in full</w:t>
            </w:r>
          </w:p>
        </w:tc>
      </w:tr>
      <w:tr w:rsidR="00616742" w:rsidRPr="002D5851" w14:paraId="66FC82FA" w14:textId="77777777" w:rsidTr="00BE6334">
        <w:tc>
          <w:tcPr>
            <w:tcW w:w="498" w:type="pct"/>
            <w:shd w:val="clear" w:color="auto" w:fill="EDF5D7" w:themeFill="accent5" w:themeFillTint="33"/>
            <w:vAlign w:val="center"/>
          </w:tcPr>
          <w:p w14:paraId="734AB8CF" w14:textId="77777777" w:rsidR="00616742" w:rsidRPr="002D5851" w:rsidRDefault="00616742" w:rsidP="006542E6">
            <w:pPr>
              <w:spacing w:line="240" w:lineRule="auto"/>
              <w:rPr>
                <w:szCs w:val="22"/>
              </w:rPr>
            </w:pPr>
            <w:r w:rsidRPr="002D5851">
              <w:rPr>
                <w:szCs w:val="22"/>
              </w:rPr>
              <w:t>4</w:t>
            </w:r>
          </w:p>
        </w:tc>
        <w:tc>
          <w:tcPr>
            <w:tcW w:w="2251" w:type="pct"/>
            <w:shd w:val="clear" w:color="auto" w:fill="EDF5D7" w:themeFill="accent5" w:themeFillTint="33"/>
          </w:tcPr>
          <w:p w14:paraId="64B73A98" w14:textId="77777777" w:rsidR="00616742" w:rsidRPr="00B911AA" w:rsidRDefault="00616742" w:rsidP="006542E6">
            <w:pPr>
              <w:spacing w:line="240" w:lineRule="auto"/>
              <w:rPr>
                <w:b/>
                <w:szCs w:val="20"/>
              </w:rPr>
            </w:pPr>
            <w:r w:rsidRPr="00B911AA">
              <w:rPr>
                <w:b/>
                <w:szCs w:val="20"/>
              </w:rPr>
              <w:t xml:space="preserve">Regulatory </w:t>
            </w:r>
          </w:p>
          <w:p w14:paraId="41CA1824" w14:textId="644FC15E" w:rsidR="00616742" w:rsidRPr="002D5851" w:rsidRDefault="00616742" w:rsidP="006542E6">
            <w:pPr>
              <w:spacing w:line="240" w:lineRule="auto"/>
              <w:rPr>
                <w:szCs w:val="22"/>
              </w:rPr>
            </w:pPr>
            <w:r w:rsidRPr="00B911AA">
              <w:rPr>
                <w:szCs w:val="20"/>
              </w:rPr>
              <w:t xml:space="preserve">Amend the National Regulations (e.g. regulation 116) to </w:t>
            </w:r>
            <w:r w:rsidRPr="00B911AA">
              <w:rPr>
                <w:i/>
                <w:szCs w:val="20"/>
              </w:rPr>
              <w:t>formalise an approval process</w:t>
            </w:r>
            <w:r w:rsidRPr="00B911AA">
              <w:rPr>
                <w:szCs w:val="20"/>
              </w:rPr>
              <w:t xml:space="preserve"> for the FDC service premises, as part of the FDC residence i.e. explicit requirement for approval from the approved provider to confirm areas that are used as the FDC service premises. This approval would apply to new FDC service premises. For existing premises, the approval should be confirmed or amended at each annual assessment undertaken by approved providers.</w:t>
            </w:r>
          </w:p>
        </w:tc>
        <w:tc>
          <w:tcPr>
            <w:tcW w:w="2251" w:type="pct"/>
            <w:shd w:val="clear" w:color="auto" w:fill="EDF5D7" w:themeFill="accent5" w:themeFillTint="33"/>
            <w:vAlign w:val="center"/>
          </w:tcPr>
          <w:p w14:paraId="010CE6BD" w14:textId="5A6AA448" w:rsidR="00616742" w:rsidRPr="002D5851" w:rsidRDefault="00BE6334" w:rsidP="006542E6">
            <w:pPr>
              <w:spacing w:line="240" w:lineRule="auto"/>
              <w:rPr>
                <w:b/>
                <w:szCs w:val="22"/>
              </w:rPr>
            </w:pPr>
            <w:r w:rsidRPr="002D5851">
              <w:rPr>
                <w:szCs w:val="22"/>
                <w:lang w:val="en-GB"/>
              </w:rPr>
              <w:t>To be implemented in full</w:t>
            </w:r>
          </w:p>
        </w:tc>
      </w:tr>
    </w:tbl>
    <w:p w14:paraId="023ADEA7" w14:textId="2563B588" w:rsidR="00616742" w:rsidRDefault="00616742" w:rsidP="006542E6">
      <w:pPr>
        <w:pStyle w:val="Heading4"/>
        <w:spacing w:line="240" w:lineRule="auto"/>
        <w:rPr>
          <w:lang w:val="en-GB"/>
        </w:rPr>
      </w:pPr>
      <w:r>
        <w:rPr>
          <w:lang w:val="en-GB"/>
        </w:rPr>
        <w:lastRenderedPageBreak/>
        <w:t xml:space="preserve">Improving safety of the physical service environment - </w:t>
      </w:r>
      <w:r w:rsidRPr="00616742">
        <w:rPr>
          <w:lang w:val="en-GB"/>
        </w:rPr>
        <w:t>Enabling authorised officers to access areas of a FDC residence or property, beyond the service premises, in specific instances or for specific purposes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 table outlines the policy options for improving safety of the physical service environment - Enabling authorised officers to access areas of a FDC residence or property, beyond the service premises, in specific instances or for specific purposes"/>
      </w:tblPr>
      <w:tblGrid>
        <w:gridCol w:w="1390"/>
        <w:gridCol w:w="6280"/>
        <w:gridCol w:w="6280"/>
      </w:tblGrid>
      <w:tr w:rsidR="00616742" w:rsidRPr="002D5851" w14:paraId="6D7DAEDE" w14:textId="77777777" w:rsidTr="00B31437">
        <w:trPr>
          <w:tblHeader/>
        </w:trPr>
        <w:tc>
          <w:tcPr>
            <w:tcW w:w="498" w:type="pct"/>
            <w:shd w:val="clear" w:color="auto" w:fill="14233C" w:themeFill="text2"/>
            <w:vAlign w:val="center"/>
          </w:tcPr>
          <w:p w14:paraId="277C66E4" w14:textId="77777777" w:rsidR="00616742" w:rsidRPr="002D5851" w:rsidRDefault="00616742" w:rsidP="006542E6">
            <w:pPr>
              <w:spacing w:line="240" w:lineRule="auto"/>
              <w:rPr>
                <w:b/>
                <w:color w:val="FFFFFF" w:themeColor="background1"/>
                <w:szCs w:val="22"/>
              </w:rPr>
            </w:pPr>
            <w:r w:rsidRPr="002D5851">
              <w:rPr>
                <w:b/>
                <w:color w:val="FFFFFF" w:themeColor="background1"/>
                <w:szCs w:val="22"/>
              </w:rPr>
              <w:t>Option</w:t>
            </w:r>
          </w:p>
        </w:tc>
        <w:tc>
          <w:tcPr>
            <w:tcW w:w="2251" w:type="pct"/>
            <w:shd w:val="clear" w:color="auto" w:fill="14233C" w:themeFill="text2"/>
            <w:vAlign w:val="center"/>
          </w:tcPr>
          <w:p w14:paraId="6A83F179" w14:textId="77777777" w:rsidR="00616742" w:rsidRPr="002D5851" w:rsidRDefault="00616742" w:rsidP="006542E6">
            <w:pPr>
              <w:spacing w:line="240" w:lineRule="auto"/>
              <w:rPr>
                <w:b/>
                <w:color w:val="FFFFFF" w:themeColor="background1"/>
                <w:szCs w:val="22"/>
              </w:rPr>
            </w:pPr>
            <w:r w:rsidRPr="002D5851">
              <w:rPr>
                <w:b/>
                <w:color w:val="FFFFFF" w:themeColor="background1"/>
                <w:szCs w:val="22"/>
              </w:rPr>
              <w:t>Description</w:t>
            </w:r>
          </w:p>
        </w:tc>
        <w:tc>
          <w:tcPr>
            <w:tcW w:w="2251" w:type="pct"/>
            <w:shd w:val="clear" w:color="auto" w:fill="14233C" w:themeFill="text2"/>
            <w:vAlign w:val="center"/>
          </w:tcPr>
          <w:p w14:paraId="62D3AC16" w14:textId="626EA220" w:rsidR="00616742" w:rsidRPr="002D5851" w:rsidRDefault="00FD2E2C" w:rsidP="006542E6">
            <w:pPr>
              <w:spacing w:line="240" w:lineRule="auto"/>
              <w:rPr>
                <w:b/>
                <w:color w:val="FFFFFF" w:themeColor="background1"/>
                <w:szCs w:val="22"/>
              </w:rPr>
            </w:pPr>
            <w:r>
              <w:rPr>
                <w:b/>
                <w:szCs w:val="22"/>
                <w:lang w:val="en-GB"/>
              </w:rPr>
              <w:t>Implementation approach</w:t>
            </w:r>
          </w:p>
        </w:tc>
      </w:tr>
      <w:tr w:rsidR="00616742" w:rsidRPr="002D5851" w14:paraId="2E7482CD" w14:textId="77777777" w:rsidTr="00B31437">
        <w:tc>
          <w:tcPr>
            <w:tcW w:w="498" w:type="pct"/>
            <w:vAlign w:val="center"/>
          </w:tcPr>
          <w:p w14:paraId="09AA638D" w14:textId="77777777" w:rsidR="00616742" w:rsidRPr="002D5851" w:rsidRDefault="00616742" w:rsidP="006542E6">
            <w:pPr>
              <w:spacing w:line="240" w:lineRule="auto"/>
              <w:rPr>
                <w:szCs w:val="22"/>
              </w:rPr>
            </w:pPr>
            <w:r w:rsidRPr="002D5851">
              <w:rPr>
                <w:szCs w:val="22"/>
              </w:rPr>
              <w:t>1</w:t>
            </w:r>
          </w:p>
        </w:tc>
        <w:tc>
          <w:tcPr>
            <w:tcW w:w="2251" w:type="pct"/>
          </w:tcPr>
          <w:p w14:paraId="68B9D716" w14:textId="6621E267" w:rsidR="00616742" w:rsidRPr="002D5851" w:rsidRDefault="00616742" w:rsidP="006542E6">
            <w:pPr>
              <w:spacing w:line="240" w:lineRule="auto"/>
              <w:rPr>
                <w:szCs w:val="22"/>
              </w:rPr>
            </w:pPr>
            <w:r w:rsidRPr="00E43AE0">
              <w:rPr>
                <w:szCs w:val="20"/>
              </w:rPr>
              <w:t>Status quo (no change).</w:t>
            </w:r>
          </w:p>
        </w:tc>
        <w:tc>
          <w:tcPr>
            <w:tcW w:w="2251" w:type="pct"/>
            <w:vAlign w:val="center"/>
          </w:tcPr>
          <w:p w14:paraId="3C7D500B" w14:textId="482D3692" w:rsidR="00616742" w:rsidRPr="002D5851" w:rsidRDefault="00616742" w:rsidP="006542E6">
            <w:pPr>
              <w:spacing w:line="240" w:lineRule="auto"/>
              <w:rPr>
                <w:szCs w:val="22"/>
              </w:rPr>
            </w:pPr>
            <w:r w:rsidRPr="002D5851">
              <w:rPr>
                <w:szCs w:val="22"/>
              </w:rPr>
              <w:t>Not to be implemented</w:t>
            </w:r>
          </w:p>
        </w:tc>
      </w:tr>
      <w:tr w:rsidR="00616742" w:rsidRPr="002D5851" w14:paraId="5CD8CC66" w14:textId="77777777" w:rsidTr="00B31437">
        <w:tc>
          <w:tcPr>
            <w:tcW w:w="498" w:type="pct"/>
            <w:vAlign w:val="center"/>
          </w:tcPr>
          <w:p w14:paraId="46CAACEB" w14:textId="77777777" w:rsidR="00616742" w:rsidRPr="002D5851" w:rsidRDefault="00616742" w:rsidP="006542E6">
            <w:pPr>
              <w:spacing w:line="240" w:lineRule="auto"/>
              <w:rPr>
                <w:szCs w:val="22"/>
              </w:rPr>
            </w:pPr>
            <w:r w:rsidRPr="002D5851">
              <w:rPr>
                <w:szCs w:val="22"/>
              </w:rPr>
              <w:t>2</w:t>
            </w:r>
          </w:p>
        </w:tc>
        <w:tc>
          <w:tcPr>
            <w:tcW w:w="2251" w:type="pct"/>
          </w:tcPr>
          <w:p w14:paraId="5187EC50" w14:textId="77777777" w:rsidR="00616742" w:rsidRPr="00E43AE0" w:rsidRDefault="00616742" w:rsidP="006542E6">
            <w:pPr>
              <w:spacing w:line="240" w:lineRule="auto"/>
              <w:rPr>
                <w:b/>
                <w:szCs w:val="20"/>
              </w:rPr>
            </w:pPr>
            <w:r w:rsidRPr="00E43AE0">
              <w:rPr>
                <w:b/>
                <w:szCs w:val="20"/>
              </w:rPr>
              <w:t>Non-regulatory</w:t>
            </w:r>
          </w:p>
          <w:p w14:paraId="2656B780" w14:textId="6681A615" w:rsidR="00616742" w:rsidRPr="002D5851" w:rsidRDefault="00616742" w:rsidP="006542E6">
            <w:pPr>
              <w:spacing w:line="240" w:lineRule="auto"/>
              <w:rPr>
                <w:szCs w:val="22"/>
              </w:rPr>
            </w:pPr>
            <w:r w:rsidRPr="00E43AE0">
              <w:rPr>
                <w:szCs w:val="20"/>
              </w:rPr>
              <w:t>Short guidance or information sheet aimed at authorised officers, FDC approved providers and FDC educators to explain powers of entry in relation to FDC and nationally agreed practices for authorised officers’ access to areas of an FDC residence or property that are not part of the service premises.</w:t>
            </w:r>
          </w:p>
        </w:tc>
        <w:tc>
          <w:tcPr>
            <w:tcW w:w="2251" w:type="pct"/>
            <w:vAlign w:val="center"/>
          </w:tcPr>
          <w:p w14:paraId="67CA7434" w14:textId="099365C5" w:rsidR="00616742" w:rsidRPr="002D5851" w:rsidRDefault="00616742" w:rsidP="006542E6">
            <w:pPr>
              <w:spacing w:line="240" w:lineRule="auto"/>
              <w:rPr>
                <w:b/>
                <w:szCs w:val="22"/>
              </w:rPr>
            </w:pPr>
            <w:r w:rsidRPr="002D5851">
              <w:rPr>
                <w:szCs w:val="22"/>
              </w:rPr>
              <w:t>Not to be implemented</w:t>
            </w:r>
          </w:p>
        </w:tc>
      </w:tr>
      <w:tr w:rsidR="00616742" w:rsidRPr="002D5851" w14:paraId="4B23EC8A" w14:textId="77777777" w:rsidTr="00B31437">
        <w:tc>
          <w:tcPr>
            <w:tcW w:w="498" w:type="pct"/>
            <w:shd w:val="clear" w:color="auto" w:fill="EDF5D7" w:themeFill="accent5" w:themeFillTint="33"/>
            <w:vAlign w:val="center"/>
          </w:tcPr>
          <w:p w14:paraId="04265946" w14:textId="77777777" w:rsidR="00616742" w:rsidRPr="002D5851" w:rsidRDefault="00616742" w:rsidP="006542E6">
            <w:pPr>
              <w:spacing w:line="240" w:lineRule="auto"/>
              <w:rPr>
                <w:szCs w:val="22"/>
              </w:rPr>
            </w:pPr>
            <w:r w:rsidRPr="002D5851">
              <w:rPr>
                <w:szCs w:val="22"/>
              </w:rPr>
              <w:t>3</w:t>
            </w:r>
          </w:p>
        </w:tc>
        <w:tc>
          <w:tcPr>
            <w:tcW w:w="2251" w:type="pct"/>
            <w:shd w:val="clear" w:color="auto" w:fill="EDF5D7" w:themeFill="accent5" w:themeFillTint="33"/>
          </w:tcPr>
          <w:p w14:paraId="517780E8" w14:textId="77777777" w:rsidR="00616742" w:rsidRPr="00E43AE0" w:rsidRDefault="00616742" w:rsidP="006542E6">
            <w:pPr>
              <w:spacing w:line="240" w:lineRule="auto"/>
              <w:rPr>
                <w:b/>
                <w:szCs w:val="20"/>
              </w:rPr>
            </w:pPr>
            <w:r w:rsidRPr="00E43AE0">
              <w:rPr>
                <w:b/>
                <w:szCs w:val="20"/>
              </w:rPr>
              <w:t xml:space="preserve">Regulatory </w:t>
            </w:r>
          </w:p>
          <w:p w14:paraId="70993858" w14:textId="2836A2F2" w:rsidR="00616742" w:rsidRPr="00E43AE0" w:rsidRDefault="00616742" w:rsidP="006542E6">
            <w:pPr>
              <w:spacing w:line="240" w:lineRule="auto"/>
              <w:rPr>
                <w:szCs w:val="20"/>
              </w:rPr>
            </w:pPr>
            <w:r w:rsidRPr="00E43AE0">
              <w:rPr>
                <w:szCs w:val="20"/>
              </w:rPr>
              <w:t xml:space="preserve">Amend the National Law to enable authorised officers’ access to areas of a FDC residence or property, beyond the service premises, in specific instances or for specific purposes. </w:t>
            </w:r>
            <w:r w:rsidR="0083299E" w:rsidRPr="0083299E">
              <w:rPr>
                <w:szCs w:val="20"/>
              </w:rPr>
              <w:t>The specific instances or purposes are:</w:t>
            </w:r>
          </w:p>
          <w:p w14:paraId="41136FAB" w14:textId="77777777" w:rsidR="00616742" w:rsidRPr="00E43AE0" w:rsidRDefault="00616742" w:rsidP="006542E6">
            <w:pPr>
              <w:pStyle w:val="ListParagraph"/>
              <w:spacing w:line="240" w:lineRule="auto"/>
              <w:rPr>
                <w:szCs w:val="20"/>
              </w:rPr>
            </w:pPr>
            <w:r w:rsidRPr="00E43AE0">
              <w:rPr>
                <w:szCs w:val="20"/>
              </w:rPr>
              <w:t xml:space="preserve">a serious incident has occurred, or the authorised officer reasonably suspects that a serious incident has occurred; </w:t>
            </w:r>
          </w:p>
          <w:p w14:paraId="4379EE92" w14:textId="10F14627" w:rsidR="00445035" w:rsidRPr="00E43AE0" w:rsidRDefault="00616742" w:rsidP="006542E6">
            <w:pPr>
              <w:pStyle w:val="ListParagraph"/>
              <w:spacing w:line="240" w:lineRule="auto"/>
              <w:rPr>
                <w:szCs w:val="20"/>
              </w:rPr>
            </w:pPr>
            <w:r w:rsidRPr="00E43AE0">
              <w:rPr>
                <w:szCs w:val="20"/>
              </w:rPr>
              <w:t>to assess or monitor compliance with regulation 116;</w:t>
            </w:r>
          </w:p>
          <w:p w14:paraId="5AF79930" w14:textId="7295B12C" w:rsidR="00616742" w:rsidRPr="002D5851" w:rsidRDefault="00616742" w:rsidP="006542E6">
            <w:pPr>
              <w:pStyle w:val="ListParagraph"/>
              <w:spacing w:line="240" w:lineRule="auto"/>
              <w:rPr>
                <w:szCs w:val="22"/>
              </w:rPr>
            </w:pPr>
            <w:r w:rsidRPr="00E43AE0">
              <w:rPr>
                <w:szCs w:val="20"/>
              </w:rPr>
              <w:t>to assess or monitor compliance with regulation 97.</w:t>
            </w:r>
          </w:p>
        </w:tc>
        <w:tc>
          <w:tcPr>
            <w:tcW w:w="2251" w:type="pct"/>
            <w:shd w:val="clear" w:color="auto" w:fill="EDF5D7" w:themeFill="accent5" w:themeFillTint="33"/>
            <w:vAlign w:val="center"/>
          </w:tcPr>
          <w:p w14:paraId="67BCA572" w14:textId="5315F8CD" w:rsidR="00616742" w:rsidRPr="002D5851" w:rsidRDefault="00616742" w:rsidP="006542E6">
            <w:pPr>
              <w:spacing w:line="240" w:lineRule="auto"/>
              <w:rPr>
                <w:b/>
                <w:szCs w:val="22"/>
              </w:rPr>
            </w:pPr>
            <w:r w:rsidRPr="002D5851">
              <w:rPr>
                <w:szCs w:val="22"/>
                <w:lang w:val="en-GB"/>
              </w:rPr>
              <w:t>To be implemented in full</w:t>
            </w:r>
          </w:p>
        </w:tc>
      </w:tr>
    </w:tbl>
    <w:p w14:paraId="594164F8" w14:textId="77777777" w:rsidR="00616742" w:rsidRDefault="00616742" w:rsidP="006542E6">
      <w:pPr>
        <w:pStyle w:val="Heading4"/>
        <w:spacing w:line="240" w:lineRule="auto"/>
        <w:rPr>
          <w:lang w:val="en-GB"/>
        </w:rPr>
      </w:pPr>
      <w:r>
        <w:rPr>
          <w:lang w:val="en-GB"/>
        </w:rPr>
        <w:t xml:space="preserve">Additional recommendations - </w:t>
      </w:r>
      <w:r w:rsidRPr="0052487F">
        <w:rPr>
          <w:lang w:val="en-GB"/>
        </w:rPr>
        <w:t>Effective identification, monitoring and regulation of ‘related providers’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the policy options for additional recommendations - Effective identification, monitoring and regulation of ‘related providers’"/>
      </w:tblPr>
      <w:tblGrid>
        <w:gridCol w:w="1390"/>
        <w:gridCol w:w="6280"/>
        <w:gridCol w:w="6280"/>
      </w:tblGrid>
      <w:tr w:rsidR="00616742" w:rsidRPr="00616742" w14:paraId="28CACEE5" w14:textId="77777777" w:rsidTr="00B31437">
        <w:trPr>
          <w:tblHeader/>
        </w:trPr>
        <w:tc>
          <w:tcPr>
            <w:tcW w:w="498" w:type="pct"/>
            <w:shd w:val="clear" w:color="auto" w:fill="14233C" w:themeFill="text2"/>
            <w:vAlign w:val="center"/>
          </w:tcPr>
          <w:p w14:paraId="03B94271" w14:textId="77777777" w:rsidR="00616742" w:rsidRPr="00616742" w:rsidRDefault="00616742" w:rsidP="006542E6">
            <w:pPr>
              <w:spacing w:line="240" w:lineRule="auto"/>
              <w:rPr>
                <w:b/>
                <w:color w:val="FFFFFF" w:themeColor="background1"/>
                <w:szCs w:val="22"/>
              </w:rPr>
            </w:pPr>
            <w:r w:rsidRPr="00616742">
              <w:rPr>
                <w:b/>
                <w:color w:val="FFFFFF" w:themeColor="background1"/>
                <w:szCs w:val="22"/>
              </w:rPr>
              <w:t>Option</w:t>
            </w:r>
          </w:p>
        </w:tc>
        <w:tc>
          <w:tcPr>
            <w:tcW w:w="2251" w:type="pct"/>
            <w:shd w:val="clear" w:color="auto" w:fill="14233C" w:themeFill="text2"/>
            <w:vAlign w:val="center"/>
          </w:tcPr>
          <w:p w14:paraId="75369BED" w14:textId="77777777" w:rsidR="00616742" w:rsidRPr="00616742" w:rsidRDefault="00616742" w:rsidP="006542E6">
            <w:pPr>
              <w:spacing w:line="240" w:lineRule="auto"/>
              <w:rPr>
                <w:b/>
                <w:color w:val="FFFFFF" w:themeColor="background1"/>
                <w:szCs w:val="22"/>
              </w:rPr>
            </w:pPr>
            <w:r w:rsidRPr="00616742">
              <w:rPr>
                <w:b/>
                <w:color w:val="FFFFFF" w:themeColor="background1"/>
                <w:szCs w:val="22"/>
              </w:rPr>
              <w:t>Description</w:t>
            </w:r>
          </w:p>
        </w:tc>
        <w:tc>
          <w:tcPr>
            <w:tcW w:w="2251" w:type="pct"/>
            <w:shd w:val="clear" w:color="auto" w:fill="14233C" w:themeFill="text2"/>
            <w:vAlign w:val="center"/>
          </w:tcPr>
          <w:p w14:paraId="4B08B9C0" w14:textId="65FAED31" w:rsidR="00616742" w:rsidRPr="00616742" w:rsidRDefault="00FD2E2C" w:rsidP="006542E6">
            <w:pPr>
              <w:spacing w:line="240" w:lineRule="auto"/>
              <w:rPr>
                <w:b/>
                <w:color w:val="FFFFFF" w:themeColor="background1"/>
                <w:szCs w:val="22"/>
              </w:rPr>
            </w:pPr>
            <w:r>
              <w:rPr>
                <w:b/>
                <w:szCs w:val="22"/>
                <w:lang w:val="en-GB"/>
              </w:rPr>
              <w:t>Implementation approach</w:t>
            </w:r>
          </w:p>
        </w:tc>
      </w:tr>
      <w:tr w:rsidR="00616742" w:rsidRPr="00616742" w14:paraId="1814AEEF" w14:textId="77777777" w:rsidTr="00B31437">
        <w:tc>
          <w:tcPr>
            <w:tcW w:w="498" w:type="pct"/>
            <w:vAlign w:val="center"/>
          </w:tcPr>
          <w:p w14:paraId="0770005C" w14:textId="77777777" w:rsidR="00616742" w:rsidRPr="00616742" w:rsidRDefault="00616742" w:rsidP="006542E6">
            <w:pPr>
              <w:spacing w:line="240" w:lineRule="auto"/>
              <w:rPr>
                <w:szCs w:val="22"/>
              </w:rPr>
            </w:pPr>
            <w:r w:rsidRPr="00616742">
              <w:rPr>
                <w:szCs w:val="22"/>
              </w:rPr>
              <w:t>1</w:t>
            </w:r>
          </w:p>
        </w:tc>
        <w:tc>
          <w:tcPr>
            <w:tcW w:w="2251" w:type="pct"/>
          </w:tcPr>
          <w:p w14:paraId="6ECA82BD" w14:textId="0BE126B7" w:rsidR="00616742" w:rsidRPr="00616742" w:rsidRDefault="00616742" w:rsidP="006542E6">
            <w:pPr>
              <w:spacing w:line="240" w:lineRule="auto"/>
              <w:rPr>
                <w:szCs w:val="22"/>
              </w:rPr>
            </w:pPr>
            <w:r w:rsidRPr="00616742">
              <w:rPr>
                <w:szCs w:val="22"/>
              </w:rPr>
              <w:t>Status quo (no change).</w:t>
            </w:r>
          </w:p>
        </w:tc>
        <w:tc>
          <w:tcPr>
            <w:tcW w:w="2251" w:type="pct"/>
            <w:vAlign w:val="center"/>
          </w:tcPr>
          <w:p w14:paraId="6A068B23" w14:textId="0CF6B6FA" w:rsidR="00616742" w:rsidRPr="00616742" w:rsidRDefault="00616742" w:rsidP="006542E6">
            <w:pPr>
              <w:spacing w:line="240" w:lineRule="auto"/>
              <w:rPr>
                <w:szCs w:val="22"/>
              </w:rPr>
            </w:pPr>
            <w:r w:rsidRPr="00616742">
              <w:rPr>
                <w:szCs w:val="22"/>
              </w:rPr>
              <w:t>Not to be implemented</w:t>
            </w:r>
          </w:p>
        </w:tc>
      </w:tr>
      <w:tr w:rsidR="00616742" w:rsidRPr="00616742" w14:paraId="0324802B" w14:textId="77777777" w:rsidTr="00B31437">
        <w:tc>
          <w:tcPr>
            <w:tcW w:w="498" w:type="pct"/>
            <w:shd w:val="clear" w:color="auto" w:fill="EDF5D7" w:themeFill="accent5" w:themeFillTint="33"/>
            <w:vAlign w:val="center"/>
          </w:tcPr>
          <w:p w14:paraId="6C87CBE8" w14:textId="77777777" w:rsidR="00616742" w:rsidRPr="00616742" w:rsidRDefault="00616742" w:rsidP="006542E6">
            <w:pPr>
              <w:spacing w:line="240" w:lineRule="auto"/>
              <w:rPr>
                <w:szCs w:val="22"/>
              </w:rPr>
            </w:pPr>
            <w:r w:rsidRPr="00616742">
              <w:rPr>
                <w:szCs w:val="22"/>
              </w:rPr>
              <w:t>2</w:t>
            </w:r>
          </w:p>
        </w:tc>
        <w:tc>
          <w:tcPr>
            <w:tcW w:w="2251" w:type="pct"/>
            <w:shd w:val="clear" w:color="auto" w:fill="EDF5D7" w:themeFill="accent5" w:themeFillTint="33"/>
          </w:tcPr>
          <w:p w14:paraId="45E98DAE" w14:textId="77777777" w:rsidR="00616742" w:rsidRPr="00616742" w:rsidRDefault="00616742" w:rsidP="006542E6">
            <w:pPr>
              <w:spacing w:line="240" w:lineRule="auto"/>
              <w:rPr>
                <w:b/>
                <w:szCs w:val="22"/>
              </w:rPr>
            </w:pPr>
            <w:r w:rsidRPr="00616742">
              <w:rPr>
                <w:b/>
                <w:szCs w:val="22"/>
              </w:rPr>
              <w:t>Non-regulatory</w:t>
            </w:r>
          </w:p>
          <w:p w14:paraId="7C06E0B5" w14:textId="383003BC" w:rsidR="00616742" w:rsidRPr="00616742" w:rsidRDefault="00180DB6" w:rsidP="006542E6">
            <w:pPr>
              <w:spacing w:line="240" w:lineRule="auto"/>
              <w:rPr>
                <w:szCs w:val="22"/>
              </w:rPr>
            </w:pPr>
            <w:r w:rsidRPr="00180DB6">
              <w:rPr>
                <w:szCs w:val="22"/>
              </w:rPr>
              <w:lastRenderedPageBreak/>
              <w:t>Guidance for the sector and families to improve awareness of an increase in the number of services delivered by approved providers that are operated by a single controlling entity and/or have PMCs in common.</w:t>
            </w:r>
          </w:p>
        </w:tc>
        <w:tc>
          <w:tcPr>
            <w:tcW w:w="2251" w:type="pct"/>
            <w:shd w:val="clear" w:color="auto" w:fill="EDF5D7" w:themeFill="accent5" w:themeFillTint="33"/>
            <w:vAlign w:val="center"/>
          </w:tcPr>
          <w:p w14:paraId="2EE786A0" w14:textId="6FD65AE0" w:rsidR="00616742" w:rsidRPr="00616742" w:rsidRDefault="00616742" w:rsidP="006542E6">
            <w:pPr>
              <w:spacing w:line="240" w:lineRule="auto"/>
              <w:rPr>
                <w:b/>
                <w:szCs w:val="22"/>
              </w:rPr>
            </w:pPr>
            <w:r w:rsidRPr="00616742">
              <w:rPr>
                <w:szCs w:val="22"/>
                <w:lang w:val="en-GB"/>
              </w:rPr>
              <w:lastRenderedPageBreak/>
              <w:t>To be implemented in full</w:t>
            </w:r>
          </w:p>
        </w:tc>
      </w:tr>
      <w:tr w:rsidR="00616742" w:rsidRPr="00616742" w14:paraId="577499E4" w14:textId="77777777" w:rsidTr="00B31437">
        <w:tc>
          <w:tcPr>
            <w:tcW w:w="498" w:type="pct"/>
            <w:shd w:val="clear" w:color="auto" w:fill="EDF5D7" w:themeFill="accent5" w:themeFillTint="33"/>
            <w:vAlign w:val="center"/>
          </w:tcPr>
          <w:p w14:paraId="2A55B582" w14:textId="3A85834E" w:rsidR="00616742" w:rsidRPr="00616742" w:rsidRDefault="00616742" w:rsidP="006542E6">
            <w:pPr>
              <w:spacing w:line="240" w:lineRule="auto"/>
              <w:rPr>
                <w:szCs w:val="22"/>
              </w:rPr>
            </w:pPr>
            <w:r w:rsidRPr="00616742">
              <w:rPr>
                <w:szCs w:val="22"/>
              </w:rPr>
              <w:t>3A</w:t>
            </w:r>
          </w:p>
        </w:tc>
        <w:tc>
          <w:tcPr>
            <w:tcW w:w="2251" w:type="pct"/>
            <w:shd w:val="clear" w:color="auto" w:fill="EDF5D7" w:themeFill="accent5" w:themeFillTint="33"/>
          </w:tcPr>
          <w:p w14:paraId="2CD80842" w14:textId="77777777" w:rsidR="00616742" w:rsidRPr="00616742" w:rsidRDefault="00616742" w:rsidP="006542E6">
            <w:pPr>
              <w:spacing w:line="240" w:lineRule="auto"/>
              <w:rPr>
                <w:b/>
                <w:szCs w:val="22"/>
              </w:rPr>
            </w:pPr>
            <w:r w:rsidRPr="00616742">
              <w:rPr>
                <w:b/>
                <w:szCs w:val="22"/>
              </w:rPr>
              <w:t>Option 3A (regulatory)</w:t>
            </w:r>
          </w:p>
          <w:p w14:paraId="67E193E8" w14:textId="76C19015" w:rsidR="00616742" w:rsidRPr="00616742" w:rsidRDefault="00616742" w:rsidP="006542E6">
            <w:pPr>
              <w:spacing w:line="240" w:lineRule="auto"/>
              <w:rPr>
                <w:szCs w:val="22"/>
              </w:rPr>
            </w:pPr>
            <w:r w:rsidRPr="00616742">
              <w:rPr>
                <w:szCs w:val="22"/>
              </w:rPr>
              <w:t>Legislative amendment to add a definition of related providers that is designed to help Regulatory Authorities efficiently and effectively identify and monitor related providers. Powers for Regulatory Authorities to take compliance and enforcement action at the related provider level would be needed, as well as requirements for providers to disclose they are related.</w:t>
            </w:r>
          </w:p>
        </w:tc>
        <w:tc>
          <w:tcPr>
            <w:tcW w:w="2251" w:type="pct"/>
            <w:shd w:val="clear" w:color="auto" w:fill="EDF5D7" w:themeFill="accent5" w:themeFillTint="33"/>
            <w:vAlign w:val="center"/>
          </w:tcPr>
          <w:p w14:paraId="53F41FCB" w14:textId="0D693D36" w:rsidR="00616742" w:rsidRPr="00616742" w:rsidRDefault="00616742" w:rsidP="006542E6">
            <w:pPr>
              <w:spacing w:line="240" w:lineRule="auto"/>
              <w:rPr>
                <w:b/>
                <w:szCs w:val="22"/>
              </w:rPr>
            </w:pPr>
            <w:r w:rsidRPr="00616742">
              <w:rPr>
                <w:szCs w:val="22"/>
                <w:lang w:val="en-GB"/>
              </w:rPr>
              <w:t>To be implemented in full</w:t>
            </w:r>
          </w:p>
        </w:tc>
      </w:tr>
      <w:tr w:rsidR="00616742" w:rsidRPr="00616742" w14:paraId="4CBD9230" w14:textId="77777777" w:rsidTr="00B31437">
        <w:tc>
          <w:tcPr>
            <w:tcW w:w="498" w:type="pct"/>
            <w:shd w:val="clear" w:color="auto" w:fill="EDF5D7" w:themeFill="accent5" w:themeFillTint="33"/>
            <w:vAlign w:val="center"/>
          </w:tcPr>
          <w:p w14:paraId="15D3F286" w14:textId="167FC2C6" w:rsidR="00616742" w:rsidRPr="00616742" w:rsidRDefault="00616742" w:rsidP="006542E6">
            <w:pPr>
              <w:spacing w:line="240" w:lineRule="auto"/>
              <w:rPr>
                <w:szCs w:val="22"/>
              </w:rPr>
            </w:pPr>
            <w:r w:rsidRPr="00616742">
              <w:rPr>
                <w:szCs w:val="22"/>
              </w:rPr>
              <w:t>3B</w:t>
            </w:r>
          </w:p>
        </w:tc>
        <w:tc>
          <w:tcPr>
            <w:tcW w:w="2251" w:type="pct"/>
            <w:shd w:val="clear" w:color="auto" w:fill="EDF5D7" w:themeFill="accent5" w:themeFillTint="33"/>
          </w:tcPr>
          <w:p w14:paraId="7AC17A19" w14:textId="77777777" w:rsidR="00616742" w:rsidRPr="00616742" w:rsidRDefault="00616742" w:rsidP="006542E6">
            <w:pPr>
              <w:spacing w:line="240" w:lineRule="auto"/>
              <w:rPr>
                <w:b/>
                <w:szCs w:val="22"/>
              </w:rPr>
            </w:pPr>
            <w:r w:rsidRPr="00616742">
              <w:rPr>
                <w:b/>
                <w:szCs w:val="22"/>
              </w:rPr>
              <w:t>Option 3B (regulatory)</w:t>
            </w:r>
          </w:p>
          <w:p w14:paraId="7F0BB7B2" w14:textId="6B7616AD" w:rsidR="00616742" w:rsidRPr="00616742" w:rsidRDefault="00616742" w:rsidP="006542E6">
            <w:pPr>
              <w:spacing w:line="240" w:lineRule="auto"/>
              <w:rPr>
                <w:b/>
                <w:szCs w:val="22"/>
              </w:rPr>
            </w:pPr>
            <w:r w:rsidRPr="00616742">
              <w:rPr>
                <w:szCs w:val="22"/>
              </w:rPr>
              <w:t xml:space="preserve">Legislative amendment to require notice of acquisition to the Regulatory Authority when ownership of an approved provider is transferred to another entity. </w:t>
            </w:r>
          </w:p>
        </w:tc>
        <w:tc>
          <w:tcPr>
            <w:tcW w:w="2251" w:type="pct"/>
            <w:shd w:val="clear" w:color="auto" w:fill="EDF5D7" w:themeFill="accent5" w:themeFillTint="33"/>
            <w:vAlign w:val="center"/>
          </w:tcPr>
          <w:p w14:paraId="7F9330A1" w14:textId="195E0195" w:rsidR="00616742" w:rsidRPr="00616742" w:rsidRDefault="00616742" w:rsidP="006542E6">
            <w:pPr>
              <w:spacing w:line="240" w:lineRule="auto"/>
              <w:rPr>
                <w:szCs w:val="22"/>
                <w:lang w:val="en-GB"/>
              </w:rPr>
            </w:pPr>
            <w:r w:rsidRPr="00616742">
              <w:rPr>
                <w:szCs w:val="22"/>
                <w:lang w:val="en-GB"/>
              </w:rPr>
              <w:t>To be implemented in full</w:t>
            </w:r>
          </w:p>
        </w:tc>
      </w:tr>
    </w:tbl>
    <w:p w14:paraId="34B047C0" w14:textId="0063AADE" w:rsidR="008B5645" w:rsidRDefault="008B5645" w:rsidP="006542E6">
      <w:pPr>
        <w:pStyle w:val="Heading4"/>
        <w:spacing w:line="240" w:lineRule="auto"/>
        <w:rPr>
          <w:lang w:val="en-GB"/>
        </w:rPr>
      </w:pPr>
      <w:r>
        <w:rPr>
          <w:lang w:val="en-GB"/>
        </w:rPr>
        <w:t xml:space="preserve">Additional recommendations - </w:t>
      </w:r>
      <w:r w:rsidRPr="008B5645">
        <w:rPr>
          <w:lang w:val="en-GB"/>
        </w:rPr>
        <w:t>Extending the limitation period for commencing proceedings under the National Law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te policy options for additional recommendations - Extending the limitation period for commencing proceedings under the National Law"/>
      </w:tblPr>
      <w:tblGrid>
        <w:gridCol w:w="1390"/>
        <w:gridCol w:w="6280"/>
        <w:gridCol w:w="6280"/>
      </w:tblGrid>
      <w:tr w:rsidR="008B5645" w:rsidRPr="00616742" w14:paraId="436A07BD" w14:textId="77777777" w:rsidTr="00B31437">
        <w:trPr>
          <w:tblHeader/>
        </w:trPr>
        <w:tc>
          <w:tcPr>
            <w:tcW w:w="498" w:type="pct"/>
            <w:shd w:val="clear" w:color="auto" w:fill="14233C" w:themeFill="text2"/>
            <w:vAlign w:val="center"/>
          </w:tcPr>
          <w:p w14:paraId="69BD6A49" w14:textId="77777777" w:rsidR="008B5645" w:rsidRPr="00616742" w:rsidRDefault="008B5645" w:rsidP="006542E6">
            <w:pPr>
              <w:spacing w:line="240" w:lineRule="auto"/>
              <w:rPr>
                <w:b/>
                <w:color w:val="FFFFFF" w:themeColor="background1"/>
                <w:szCs w:val="22"/>
              </w:rPr>
            </w:pPr>
            <w:r w:rsidRPr="00616742">
              <w:rPr>
                <w:b/>
                <w:color w:val="FFFFFF" w:themeColor="background1"/>
                <w:szCs w:val="22"/>
              </w:rPr>
              <w:t>Option</w:t>
            </w:r>
          </w:p>
        </w:tc>
        <w:tc>
          <w:tcPr>
            <w:tcW w:w="2251" w:type="pct"/>
            <w:shd w:val="clear" w:color="auto" w:fill="14233C" w:themeFill="text2"/>
            <w:vAlign w:val="center"/>
          </w:tcPr>
          <w:p w14:paraId="22A3750C" w14:textId="77777777" w:rsidR="008B5645" w:rsidRPr="00616742" w:rsidRDefault="008B5645" w:rsidP="006542E6">
            <w:pPr>
              <w:spacing w:line="240" w:lineRule="auto"/>
              <w:rPr>
                <w:b/>
                <w:color w:val="FFFFFF" w:themeColor="background1"/>
                <w:szCs w:val="22"/>
              </w:rPr>
            </w:pPr>
            <w:r w:rsidRPr="00616742">
              <w:rPr>
                <w:b/>
                <w:color w:val="FFFFFF" w:themeColor="background1"/>
                <w:szCs w:val="22"/>
              </w:rPr>
              <w:t>Description</w:t>
            </w:r>
          </w:p>
        </w:tc>
        <w:tc>
          <w:tcPr>
            <w:tcW w:w="2251" w:type="pct"/>
            <w:shd w:val="clear" w:color="auto" w:fill="14233C" w:themeFill="text2"/>
            <w:vAlign w:val="center"/>
          </w:tcPr>
          <w:p w14:paraId="73CE10DE" w14:textId="178D3DF1" w:rsidR="008B5645" w:rsidRPr="00616742" w:rsidRDefault="00FD2E2C" w:rsidP="006542E6">
            <w:pPr>
              <w:spacing w:line="240" w:lineRule="auto"/>
              <w:rPr>
                <w:b/>
                <w:color w:val="FFFFFF" w:themeColor="background1"/>
                <w:szCs w:val="22"/>
              </w:rPr>
            </w:pPr>
            <w:r>
              <w:rPr>
                <w:b/>
                <w:szCs w:val="22"/>
                <w:lang w:val="en-GB"/>
              </w:rPr>
              <w:t>Implementation approach</w:t>
            </w:r>
          </w:p>
        </w:tc>
      </w:tr>
      <w:tr w:rsidR="000876F6" w:rsidRPr="00616742" w14:paraId="489FD11A" w14:textId="77777777" w:rsidTr="00B31437">
        <w:tc>
          <w:tcPr>
            <w:tcW w:w="498" w:type="pct"/>
            <w:vAlign w:val="center"/>
          </w:tcPr>
          <w:p w14:paraId="55B7B780" w14:textId="77777777" w:rsidR="000876F6" w:rsidRPr="00616742" w:rsidRDefault="000876F6" w:rsidP="006542E6">
            <w:pPr>
              <w:spacing w:line="240" w:lineRule="auto"/>
              <w:rPr>
                <w:szCs w:val="22"/>
              </w:rPr>
            </w:pPr>
            <w:r w:rsidRPr="00616742">
              <w:rPr>
                <w:szCs w:val="22"/>
              </w:rPr>
              <w:t>1</w:t>
            </w:r>
          </w:p>
        </w:tc>
        <w:tc>
          <w:tcPr>
            <w:tcW w:w="2251" w:type="pct"/>
          </w:tcPr>
          <w:p w14:paraId="04077B2D" w14:textId="77777777" w:rsidR="000876F6" w:rsidRPr="00616742" w:rsidRDefault="000876F6" w:rsidP="006542E6">
            <w:pPr>
              <w:spacing w:line="240" w:lineRule="auto"/>
              <w:rPr>
                <w:szCs w:val="22"/>
              </w:rPr>
            </w:pPr>
            <w:r w:rsidRPr="00616742">
              <w:rPr>
                <w:szCs w:val="22"/>
              </w:rPr>
              <w:t>Status quo (no change).</w:t>
            </w:r>
          </w:p>
        </w:tc>
        <w:tc>
          <w:tcPr>
            <w:tcW w:w="2251" w:type="pct"/>
            <w:vAlign w:val="center"/>
          </w:tcPr>
          <w:p w14:paraId="2E0D2060" w14:textId="466F771D" w:rsidR="000876F6" w:rsidRPr="00616742" w:rsidRDefault="000876F6" w:rsidP="006542E6">
            <w:pPr>
              <w:spacing w:line="240" w:lineRule="auto"/>
              <w:rPr>
                <w:szCs w:val="22"/>
              </w:rPr>
            </w:pPr>
            <w:r w:rsidRPr="00616742">
              <w:rPr>
                <w:szCs w:val="22"/>
              </w:rPr>
              <w:t>Not to be implemented</w:t>
            </w:r>
          </w:p>
        </w:tc>
      </w:tr>
      <w:tr w:rsidR="000876F6" w:rsidRPr="00616742" w14:paraId="24E92BED" w14:textId="77777777" w:rsidTr="00B31437">
        <w:tc>
          <w:tcPr>
            <w:tcW w:w="498" w:type="pct"/>
            <w:shd w:val="clear" w:color="auto" w:fill="EDF5D7" w:themeFill="accent5" w:themeFillTint="33"/>
            <w:vAlign w:val="center"/>
          </w:tcPr>
          <w:p w14:paraId="36259E33" w14:textId="77777777" w:rsidR="000876F6" w:rsidRPr="00616742" w:rsidRDefault="000876F6" w:rsidP="006542E6">
            <w:pPr>
              <w:spacing w:line="240" w:lineRule="auto"/>
              <w:rPr>
                <w:szCs w:val="22"/>
              </w:rPr>
            </w:pPr>
            <w:r w:rsidRPr="00616742">
              <w:rPr>
                <w:szCs w:val="22"/>
              </w:rPr>
              <w:t>2</w:t>
            </w:r>
          </w:p>
        </w:tc>
        <w:tc>
          <w:tcPr>
            <w:tcW w:w="2251" w:type="pct"/>
            <w:shd w:val="clear" w:color="auto" w:fill="EDF5D7" w:themeFill="accent5" w:themeFillTint="33"/>
          </w:tcPr>
          <w:p w14:paraId="08276F60" w14:textId="77777777" w:rsidR="000876F6" w:rsidRPr="000876F6" w:rsidRDefault="000876F6" w:rsidP="006542E6">
            <w:pPr>
              <w:spacing w:line="240" w:lineRule="auto"/>
              <w:rPr>
                <w:rFonts w:cs="Arial"/>
                <w:b/>
                <w:szCs w:val="22"/>
              </w:rPr>
            </w:pPr>
            <w:r w:rsidRPr="000876F6">
              <w:rPr>
                <w:rFonts w:cs="Arial"/>
                <w:b/>
                <w:szCs w:val="22"/>
              </w:rPr>
              <w:t>Regulatory</w:t>
            </w:r>
          </w:p>
          <w:p w14:paraId="255BF3BF" w14:textId="7809BE1A" w:rsidR="000876F6" w:rsidRPr="00616742" w:rsidRDefault="000876F6" w:rsidP="006542E6">
            <w:pPr>
              <w:spacing w:line="240" w:lineRule="auto"/>
              <w:rPr>
                <w:szCs w:val="22"/>
              </w:rPr>
            </w:pPr>
            <w:r w:rsidRPr="000876F6">
              <w:rPr>
                <w:rFonts w:cs="Arial"/>
                <w:szCs w:val="22"/>
              </w:rPr>
              <w:t xml:space="preserve">Amend section 284 of the National Law so that the limitation period </w:t>
            </w:r>
            <w:r w:rsidR="00791356">
              <w:rPr>
                <w:rFonts w:cs="Arial"/>
                <w:szCs w:val="22"/>
              </w:rPr>
              <w:t>ends</w:t>
            </w:r>
            <w:r w:rsidR="00791356" w:rsidRPr="000876F6">
              <w:rPr>
                <w:rFonts w:cs="Arial"/>
                <w:szCs w:val="22"/>
              </w:rPr>
              <w:t xml:space="preserve"> </w:t>
            </w:r>
            <w:r w:rsidRPr="000876F6">
              <w:rPr>
                <w:rFonts w:cs="Arial"/>
                <w:szCs w:val="22"/>
              </w:rPr>
              <w:t xml:space="preserve">two years from the date that the alleged offence comes to the notice of the Regulatory Authority </w:t>
            </w:r>
            <w:r w:rsidR="0039587D">
              <w:rPr>
                <w:rFonts w:cs="Arial"/>
                <w:szCs w:val="22"/>
              </w:rPr>
              <w:t>in the</w:t>
            </w:r>
            <w:r w:rsidR="0039587D" w:rsidRPr="000876F6">
              <w:rPr>
                <w:rFonts w:cs="Arial"/>
                <w:szCs w:val="22"/>
              </w:rPr>
              <w:t xml:space="preserve"> </w:t>
            </w:r>
            <w:r w:rsidRPr="000876F6">
              <w:rPr>
                <w:rFonts w:cs="Arial"/>
                <w:szCs w:val="22"/>
              </w:rPr>
              <w:t>jurisdiction</w:t>
            </w:r>
            <w:r w:rsidR="0039587D">
              <w:rPr>
                <w:rFonts w:cs="Arial"/>
                <w:szCs w:val="22"/>
              </w:rPr>
              <w:t xml:space="preserve"> in which the offence is committed</w:t>
            </w:r>
            <w:r w:rsidRPr="000876F6">
              <w:rPr>
                <w:rFonts w:cs="Arial"/>
                <w:szCs w:val="22"/>
              </w:rPr>
              <w:t>.</w:t>
            </w:r>
          </w:p>
        </w:tc>
        <w:tc>
          <w:tcPr>
            <w:tcW w:w="2251" w:type="pct"/>
            <w:shd w:val="clear" w:color="auto" w:fill="EDF5D7" w:themeFill="accent5" w:themeFillTint="33"/>
            <w:vAlign w:val="center"/>
          </w:tcPr>
          <w:p w14:paraId="53A2BAE8" w14:textId="28CEDFE3" w:rsidR="000876F6" w:rsidRPr="00616742" w:rsidRDefault="0065492E" w:rsidP="006542E6">
            <w:pPr>
              <w:spacing w:line="240" w:lineRule="auto"/>
              <w:rPr>
                <w:b/>
                <w:szCs w:val="22"/>
              </w:rPr>
            </w:pPr>
            <w:r w:rsidRPr="0065492E">
              <w:rPr>
                <w:szCs w:val="22"/>
                <w:lang w:val="en-GB"/>
              </w:rPr>
              <w:t>To be implemented in full, noting that the change in legislation will apply retrospectively, subject to legal advice on jurisdiction specific implications.</w:t>
            </w:r>
          </w:p>
        </w:tc>
      </w:tr>
    </w:tbl>
    <w:p w14:paraId="7D904676" w14:textId="1595E252" w:rsidR="000876F6" w:rsidRPr="000876F6" w:rsidRDefault="000876F6" w:rsidP="006542E6">
      <w:pPr>
        <w:pStyle w:val="Heading4"/>
        <w:spacing w:line="240" w:lineRule="auto"/>
        <w:rPr>
          <w:szCs w:val="22"/>
          <w:lang w:val="en-GB"/>
        </w:rPr>
      </w:pPr>
      <w:r w:rsidRPr="000876F6">
        <w:rPr>
          <w:szCs w:val="22"/>
          <w:lang w:val="en-GB"/>
        </w:rPr>
        <w:t>Additional recommendations - Information sharing provisions for recruitment agencies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ummary of all policy options"/>
        <w:tblDescription w:val="This table outlines the policy options for additional recommendations - Information sharing provisions for recruitment agencies"/>
      </w:tblPr>
      <w:tblGrid>
        <w:gridCol w:w="1390"/>
        <w:gridCol w:w="6280"/>
        <w:gridCol w:w="6280"/>
      </w:tblGrid>
      <w:tr w:rsidR="000876F6" w:rsidRPr="000876F6" w14:paraId="313349D2" w14:textId="77777777" w:rsidTr="00B31437">
        <w:trPr>
          <w:tblHeader/>
        </w:trPr>
        <w:tc>
          <w:tcPr>
            <w:tcW w:w="498" w:type="pct"/>
            <w:shd w:val="clear" w:color="auto" w:fill="14233C" w:themeFill="text2"/>
            <w:vAlign w:val="center"/>
          </w:tcPr>
          <w:p w14:paraId="22EC149B" w14:textId="77777777" w:rsidR="000876F6" w:rsidRPr="000876F6" w:rsidRDefault="000876F6" w:rsidP="006542E6">
            <w:pPr>
              <w:spacing w:line="240" w:lineRule="auto"/>
              <w:rPr>
                <w:rFonts w:cs="Arial"/>
                <w:b/>
                <w:color w:val="FFFFFF" w:themeColor="background1"/>
                <w:szCs w:val="22"/>
              </w:rPr>
            </w:pPr>
            <w:r w:rsidRPr="000876F6">
              <w:rPr>
                <w:rFonts w:cs="Arial"/>
                <w:b/>
                <w:color w:val="FFFFFF" w:themeColor="background1"/>
                <w:szCs w:val="22"/>
              </w:rPr>
              <w:lastRenderedPageBreak/>
              <w:t>Option</w:t>
            </w:r>
          </w:p>
        </w:tc>
        <w:tc>
          <w:tcPr>
            <w:tcW w:w="2251" w:type="pct"/>
            <w:shd w:val="clear" w:color="auto" w:fill="14233C" w:themeFill="text2"/>
            <w:vAlign w:val="center"/>
          </w:tcPr>
          <w:p w14:paraId="55DF3BF9" w14:textId="77777777" w:rsidR="000876F6" w:rsidRPr="000876F6" w:rsidRDefault="000876F6" w:rsidP="006542E6">
            <w:pPr>
              <w:spacing w:line="240" w:lineRule="auto"/>
              <w:rPr>
                <w:rFonts w:cs="Arial"/>
                <w:b/>
                <w:color w:val="FFFFFF" w:themeColor="background1"/>
                <w:szCs w:val="22"/>
              </w:rPr>
            </w:pPr>
            <w:r w:rsidRPr="000876F6">
              <w:rPr>
                <w:rFonts w:cs="Arial"/>
                <w:b/>
                <w:color w:val="FFFFFF" w:themeColor="background1"/>
                <w:szCs w:val="22"/>
              </w:rPr>
              <w:t>Description</w:t>
            </w:r>
          </w:p>
        </w:tc>
        <w:tc>
          <w:tcPr>
            <w:tcW w:w="2251" w:type="pct"/>
            <w:shd w:val="clear" w:color="auto" w:fill="14233C" w:themeFill="text2"/>
            <w:vAlign w:val="center"/>
          </w:tcPr>
          <w:p w14:paraId="700CAC1A" w14:textId="78CE5018" w:rsidR="000876F6" w:rsidRPr="000876F6" w:rsidRDefault="00FD2E2C" w:rsidP="006542E6">
            <w:pPr>
              <w:spacing w:line="240" w:lineRule="auto"/>
              <w:rPr>
                <w:rFonts w:cs="Arial"/>
                <w:b/>
                <w:color w:val="FFFFFF" w:themeColor="background1"/>
                <w:szCs w:val="22"/>
              </w:rPr>
            </w:pPr>
            <w:r>
              <w:rPr>
                <w:b/>
                <w:szCs w:val="22"/>
                <w:lang w:val="en-GB"/>
              </w:rPr>
              <w:t>Implementation approach</w:t>
            </w:r>
          </w:p>
        </w:tc>
      </w:tr>
      <w:tr w:rsidR="000876F6" w:rsidRPr="000876F6" w14:paraId="56D19A15" w14:textId="77777777" w:rsidTr="00B31437">
        <w:tc>
          <w:tcPr>
            <w:tcW w:w="498" w:type="pct"/>
            <w:vAlign w:val="center"/>
          </w:tcPr>
          <w:p w14:paraId="17A3D82E" w14:textId="77777777" w:rsidR="000876F6" w:rsidRPr="000876F6" w:rsidRDefault="000876F6" w:rsidP="006542E6">
            <w:pPr>
              <w:spacing w:line="240" w:lineRule="auto"/>
              <w:rPr>
                <w:rFonts w:cs="Arial"/>
                <w:szCs w:val="22"/>
              </w:rPr>
            </w:pPr>
            <w:r w:rsidRPr="000876F6">
              <w:rPr>
                <w:rFonts w:cs="Arial"/>
                <w:szCs w:val="22"/>
              </w:rPr>
              <w:t>1</w:t>
            </w:r>
          </w:p>
        </w:tc>
        <w:tc>
          <w:tcPr>
            <w:tcW w:w="2251" w:type="pct"/>
          </w:tcPr>
          <w:p w14:paraId="03A91CDB" w14:textId="210967CF" w:rsidR="000876F6" w:rsidRPr="000876F6" w:rsidRDefault="000876F6" w:rsidP="006542E6">
            <w:pPr>
              <w:spacing w:line="240" w:lineRule="auto"/>
              <w:rPr>
                <w:rFonts w:cs="Arial"/>
                <w:szCs w:val="22"/>
              </w:rPr>
            </w:pPr>
            <w:r w:rsidRPr="000876F6">
              <w:rPr>
                <w:rFonts w:cs="Arial"/>
                <w:szCs w:val="22"/>
              </w:rPr>
              <w:t>Status quo (no change)</w:t>
            </w:r>
          </w:p>
        </w:tc>
        <w:tc>
          <w:tcPr>
            <w:tcW w:w="2251" w:type="pct"/>
            <w:vAlign w:val="center"/>
          </w:tcPr>
          <w:p w14:paraId="09C49D42" w14:textId="5D262491" w:rsidR="000876F6" w:rsidRPr="000876F6" w:rsidRDefault="000876F6" w:rsidP="006542E6">
            <w:pPr>
              <w:spacing w:line="240" w:lineRule="auto"/>
              <w:rPr>
                <w:rFonts w:cs="Arial"/>
                <w:szCs w:val="22"/>
              </w:rPr>
            </w:pPr>
            <w:r w:rsidRPr="000876F6">
              <w:rPr>
                <w:rFonts w:cs="Arial"/>
                <w:szCs w:val="22"/>
              </w:rPr>
              <w:t>Not to be implemented</w:t>
            </w:r>
          </w:p>
        </w:tc>
      </w:tr>
      <w:tr w:rsidR="008B2EF2" w:rsidRPr="000876F6" w14:paraId="28267959" w14:textId="77777777" w:rsidTr="00B31437">
        <w:tc>
          <w:tcPr>
            <w:tcW w:w="498" w:type="pct"/>
            <w:shd w:val="clear" w:color="auto" w:fill="EDF5D7" w:themeFill="accent5" w:themeFillTint="33"/>
            <w:vAlign w:val="center"/>
          </w:tcPr>
          <w:p w14:paraId="4210FECE" w14:textId="77777777" w:rsidR="008B2EF2" w:rsidRPr="000876F6" w:rsidRDefault="008B2EF2" w:rsidP="008B2EF2">
            <w:pPr>
              <w:spacing w:line="240" w:lineRule="auto"/>
              <w:rPr>
                <w:rFonts w:cs="Arial"/>
                <w:szCs w:val="22"/>
              </w:rPr>
            </w:pPr>
            <w:r w:rsidRPr="000876F6">
              <w:rPr>
                <w:rFonts w:cs="Arial"/>
                <w:szCs w:val="22"/>
              </w:rPr>
              <w:t>2</w:t>
            </w:r>
          </w:p>
        </w:tc>
        <w:tc>
          <w:tcPr>
            <w:tcW w:w="2251" w:type="pct"/>
            <w:shd w:val="clear" w:color="auto" w:fill="EDF5D7" w:themeFill="accent5" w:themeFillTint="33"/>
          </w:tcPr>
          <w:p w14:paraId="01867365" w14:textId="77777777" w:rsidR="008B2EF2" w:rsidRPr="000876F6" w:rsidRDefault="008B2EF2" w:rsidP="008B2EF2">
            <w:pPr>
              <w:spacing w:line="240" w:lineRule="auto"/>
              <w:rPr>
                <w:rFonts w:cs="Arial"/>
                <w:b/>
                <w:szCs w:val="22"/>
              </w:rPr>
            </w:pPr>
            <w:r w:rsidRPr="000876F6">
              <w:rPr>
                <w:rFonts w:cs="Arial"/>
                <w:b/>
                <w:szCs w:val="22"/>
              </w:rPr>
              <w:t>Non-regulatory</w:t>
            </w:r>
          </w:p>
          <w:p w14:paraId="64E55CA1" w14:textId="367D2C49" w:rsidR="008B2EF2" w:rsidRPr="000876F6" w:rsidRDefault="008B2EF2" w:rsidP="008B2EF2">
            <w:pPr>
              <w:spacing w:line="240" w:lineRule="auto"/>
              <w:rPr>
                <w:rFonts w:cs="Arial"/>
                <w:szCs w:val="22"/>
              </w:rPr>
            </w:pPr>
            <w:r w:rsidRPr="000876F6">
              <w:rPr>
                <w:rFonts w:cs="Arial"/>
                <w:szCs w:val="22"/>
              </w:rPr>
              <w:t>Guidance/messaging for approved providers regarding the requirement to keep staff records for agency educators.</w:t>
            </w:r>
          </w:p>
        </w:tc>
        <w:tc>
          <w:tcPr>
            <w:tcW w:w="2251" w:type="pct"/>
            <w:shd w:val="clear" w:color="auto" w:fill="EDF5D7" w:themeFill="accent5" w:themeFillTint="33"/>
            <w:vAlign w:val="center"/>
          </w:tcPr>
          <w:p w14:paraId="4E1F7709" w14:textId="7B18C60E" w:rsidR="008B2EF2" w:rsidRPr="000876F6" w:rsidRDefault="008B2EF2" w:rsidP="008B2EF2">
            <w:pPr>
              <w:spacing w:line="240" w:lineRule="auto"/>
              <w:rPr>
                <w:rFonts w:cs="Arial"/>
                <w:b/>
                <w:szCs w:val="22"/>
              </w:rPr>
            </w:pPr>
            <w:r w:rsidRPr="000876F6">
              <w:rPr>
                <w:rFonts w:cs="Arial"/>
                <w:szCs w:val="22"/>
                <w:lang w:val="en-GB"/>
              </w:rPr>
              <w:t>To be implemented in full</w:t>
            </w:r>
          </w:p>
        </w:tc>
      </w:tr>
      <w:tr w:rsidR="008B2EF2" w:rsidRPr="000876F6" w14:paraId="20BFA8E5" w14:textId="77777777" w:rsidTr="00B31437">
        <w:tc>
          <w:tcPr>
            <w:tcW w:w="498" w:type="pct"/>
            <w:shd w:val="clear" w:color="auto" w:fill="EDF5D7" w:themeFill="accent5" w:themeFillTint="33"/>
            <w:vAlign w:val="center"/>
          </w:tcPr>
          <w:p w14:paraId="670A2671" w14:textId="36FDC6E3" w:rsidR="008B2EF2" w:rsidRPr="000876F6" w:rsidRDefault="008B2EF2" w:rsidP="008B2EF2">
            <w:pPr>
              <w:spacing w:line="240" w:lineRule="auto"/>
              <w:rPr>
                <w:rFonts w:cs="Arial"/>
                <w:szCs w:val="22"/>
              </w:rPr>
            </w:pPr>
            <w:r w:rsidRPr="000876F6">
              <w:rPr>
                <w:rFonts w:cs="Arial"/>
                <w:szCs w:val="22"/>
              </w:rPr>
              <w:t>3</w:t>
            </w:r>
          </w:p>
        </w:tc>
        <w:tc>
          <w:tcPr>
            <w:tcW w:w="2251" w:type="pct"/>
            <w:shd w:val="clear" w:color="auto" w:fill="EDF5D7" w:themeFill="accent5" w:themeFillTint="33"/>
          </w:tcPr>
          <w:p w14:paraId="0C2EE656" w14:textId="77777777" w:rsidR="008B2EF2" w:rsidRPr="000876F6" w:rsidRDefault="008B2EF2" w:rsidP="008B2EF2">
            <w:pPr>
              <w:spacing w:line="240" w:lineRule="auto"/>
              <w:rPr>
                <w:rFonts w:cs="Arial"/>
                <w:b/>
                <w:szCs w:val="22"/>
              </w:rPr>
            </w:pPr>
            <w:r w:rsidRPr="000876F6">
              <w:rPr>
                <w:rFonts w:cs="Arial"/>
                <w:b/>
                <w:szCs w:val="22"/>
              </w:rPr>
              <w:t>Regulatory</w:t>
            </w:r>
          </w:p>
          <w:p w14:paraId="24BE4090" w14:textId="1A36892C" w:rsidR="008B2EF2" w:rsidRPr="000876F6" w:rsidRDefault="008B2EF2" w:rsidP="008B2EF2">
            <w:pPr>
              <w:spacing w:line="240" w:lineRule="auto"/>
              <w:rPr>
                <w:rFonts w:cs="Arial"/>
                <w:szCs w:val="22"/>
              </w:rPr>
            </w:pPr>
            <w:r w:rsidRPr="000876F6">
              <w:rPr>
                <w:rFonts w:cs="Arial"/>
                <w:szCs w:val="22"/>
              </w:rPr>
              <w:t>Amend section 206(4) of the National Law to include recruitment agencies supplying educators to education and care services.</w:t>
            </w:r>
            <w:r>
              <w:rPr>
                <w:rFonts w:cs="Arial"/>
                <w:szCs w:val="22"/>
              </w:rPr>
              <w:t xml:space="preserve"> </w:t>
            </w:r>
            <w:r w:rsidR="001A0C47" w:rsidRPr="001A0C47">
              <w:rPr>
                <w:rFonts w:cs="Arial"/>
                <w:szCs w:val="22"/>
              </w:rPr>
              <w:t>Recruitment agencies would be added to the list of specified persons</w:t>
            </w:r>
            <w:r w:rsidR="001A0C47">
              <w:rPr>
                <w:rFonts w:cs="Arial"/>
                <w:szCs w:val="22"/>
              </w:rPr>
              <w:t xml:space="preserve"> under the National Law</w:t>
            </w:r>
            <w:r w:rsidR="00D3753E">
              <w:rPr>
                <w:rFonts w:cs="Arial"/>
                <w:szCs w:val="22"/>
              </w:rPr>
              <w:t xml:space="preserve"> that can be required by written notice to provide information specified in that notice.</w:t>
            </w:r>
            <w:r w:rsidR="00120E23">
              <w:rPr>
                <w:rFonts w:cs="Arial"/>
                <w:szCs w:val="22"/>
              </w:rPr>
              <w:t xml:space="preserve"> </w:t>
            </w:r>
          </w:p>
        </w:tc>
        <w:tc>
          <w:tcPr>
            <w:tcW w:w="2251" w:type="pct"/>
            <w:shd w:val="clear" w:color="auto" w:fill="EDF5D7" w:themeFill="accent5" w:themeFillTint="33"/>
            <w:vAlign w:val="center"/>
          </w:tcPr>
          <w:p w14:paraId="31BFA8E8" w14:textId="28CA3C39" w:rsidR="008B2EF2" w:rsidRPr="000876F6" w:rsidRDefault="008B2EF2" w:rsidP="008B2EF2">
            <w:pPr>
              <w:spacing w:line="240" w:lineRule="auto"/>
              <w:rPr>
                <w:rFonts w:cs="Arial"/>
                <w:b/>
                <w:szCs w:val="22"/>
              </w:rPr>
            </w:pPr>
            <w:r w:rsidRPr="000876F6">
              <w:rPr>
                <w:rFonts w:cs="Arial"/>
                <w:szCs w:val="22"/>
                <w:lang w:val="en-GB"/>
              </w:rPr>
              <w:t>To be implemented in full</w:t>
            </w:r>
          </w:p>
        </w:tc>
      </w:tr>
      <w:tr w:rsidR="008B2EF2" w:rsidRPr="000876F6" w14:paraId="082E0307" w14:textId="77777777" w:rsidTr="00B31437">
        <w:tc>
          <w:tcPr>
            <w:tcW w:w="498" w:type="pct"/>
            <w:shd w:val="clear" w:color="auto" w:fill="EDF5D7" w:themeFill="accent5" w:themeFillTint="33"/>
            <w:vAlign w:val="center"/>
          </w:tcPr>
          <w:p w14:paraId="73BF2025" w14:textId="54F2B088" w:rsidR="008B2EF2" w:rsidRPr="000876F6" w:rsidRDefault="008B2EF2" w:rsidP="008B2EF2">
            <w:pPr>
              <w:spacing w:line="240" w:lineRule="auto"/>
              <w:rPr>
                <w:rFonts w:cs="Arial"/>
                <w:szCs w:val="22"/>
              </w:rPr>
            </w:pPr>
            <w:r w:rsidRPr="000876F6">
              <w:rPr>
                <w:rFonts w:cs="Arial"/>
                <w:szCs w:val="22"/>
              </w:rPr>
              <w:t>4</w:t>
            </w:r>
          </w:p>
        </w:tc>
        <w:tc>
          <w:tcPr>
            <w:tcW w:w="2251" w:type="pct"/>
            <w:shd w:val="clear" w:color="auto" w:fill="EDF5D7" w:themeFill="accent5" w:themeFillTint="33"/>
          </w:tcPr>
          <w:p w14:paraId="7F70EDF7" w14:textId="77777777" w:rsidR="008B2EF2" w:rsidRPr="000876F6" w:rsidRDefault="008B2EF2" w:rsidP="008B2EF2">
            <w:pPr>
              <w:spacing w:line="240" w:lineRule="auto"/>
              <w:rPr>
                <w:rFonts w:cs="Arial"/>
                <w:szCs w:val="22"/>
              </w:rPr>
            </w:pPr>
            <w:r w:rsidRPr="000876F6">
              <w:rPr>
                <w:rFonts w:cs="Arial"/>
                <w:b/>
                <w:szCs w:val="22"/>
              </w:rPr>
              <w:t>Regulatory</w:t>
            </w:r>
          </w:p>
          <w:p w14:paraId="0D4849DC" w14:textId="6C4AF3BB" w:rsidR="008B2EF2" w:rsidRPr="000876F6" w:rsidRDefault="008B2EF2" w:rsidP="008B2EF2">
            <w:pPr>
              <w:spacing w:line="240" w:lineRule="auto"/>
              <w:rPr>
                <w:rFonts w:cs="Arial"/>
                <w:b/>
                <w:szCs w:val="22"/>
              </w:rPr>
            </w:pPr>
            <w:r w:rsidRPr="000876F6">
              <w:rPr>
                <w:rFonts w:cs="Arial"/>
                <w:szCs w:val="22"/>
              </w:rPr>
              <w:t>Amend section 272 of the National Law to allow a Regulatory Authority to share information about an agency educator with that person’s recruitment agency (including mirroring any amendments to section 272 regarding proactive sharing with providers) and consider whether recruitment agencies may have access to the prohibited persons register.</w:t>
            </w:r>
          </w:p>
        </w:tc>
        <w:tc>
          <w:tcPr>
            <w:tcW w:w="2251" w:type="pct"/>
            <w:shd w:val="clear" w:color="auto" w:fill="EDF5D7" w:themeFill="accent5" w:themeFillTint="33"/>
            <w:vAlign w:val="center"/>
          </w:tcPr>
          <w:p w14:paraId="29464767" w14:textId="12753C6E" w:rsidR="008B2EF2" w:rsidRPr="000876F6" w:rsidRDefault="008B2EF2" w:rsidP="008B2EF2">
            <w:pPr>
              <w:spacing w:line="240" w:lineRule="auto"/>
              <w:rPr>
                <w:rFonts w:cs="Arial"/>
                <w:szCs w:val="22"/>
                <w:lang w:val="en-GB"/>
              </w:rPr>
            </w:pPr>
            <w:r w:rsidRPr="000876F6">
              <w:rPr>
                <w:rFonts w:cs="Arial"/>
                <w:szCs w:val="22"/>
                <w:lang w:val="en-GB"/>
              </w:rPr>
              <w:t>To be implemented in full</w:t>
            </w:r>
          </w:p>
        </w:tc>
      </w:tr>
      <w:tr w:rsidR="008B2EF2" w:rsidRPr="000876F6" w14:paraId="0376BF58" w14:textId="77777777" w:rsidTr="00B31437">
        <w:tc>
          <w:tcPr>
            <w:tcW w:w="498" w:type="pct"/>
            <w:shd w:val="clear" w:color="auto" w:fill="EDF5D7" w:themeFill="accent5" w:themeFillTint="33"/>
            <w:vAlign w:val="center"/>
          </w:tcPr>
          <w:p w14:paraId="4B07F1C5" w14:textId="250CE0F8" w:rsidR="008B2EF2" w:rsidRPr="000876F6" w:rsidRDefault="008B2EF2" w:rsidP="008B2EF2">
            <w:pPr>
              <w:spacing w:line="240" w:lineRule="auto"/>
              <w:rPr>
                <w:rFonts w:cs="Arial"/>
                <w:szCs w:val="22"/>
              </w:rPr>
            </w:pPr>
            <w:r>
              <w:rPr>
                <w:rFonts w:cs="Arial"/>
                <w:szCs w:val="22"/>
              </w:rPr>
              <w:t>5</w:t>
            </w:r>
          </w:p>
        </w:tc>
        <w:tc>
          <w:tcPr>
            <w:tcW w:w="2251" w:type="pct"/>
            <w:shd w:val="clear" w:color="auto" w:fill="EDF5D7" w:themeFill="accent5" w:themeFillTint="33"/>
          </w:tcPr>
          <w:p w14:paraId="47C26CC4" w14:textId="77777777" w:rsidR="008B2EF2" w:rsidRPr="000876F6" w:rsidRDefault="008B2EF2" w:rsidP="008B2EF2">
            <w:pPr>
              <w:spacing w:line="240" w:lineRule="auto"/>
              <w:rPr>
                <w:rFonts w:cs="Arial"/>
                <w:szCs w:val="22"/>
              </w:rPr>
            </w:pPr>
            <w:r w:rsidRPr="000876F6">
              <w:rPr>
                <w:rFonts w:cs="Arial"/>
                <w:b/>
                <w:szCs w:val="22"/>
              </w:rPr>
              <w:t>Regulatory</w:t>
            </w:r>
          </w:p>
          <w:p w14:paraId="0AD2E91D" w14:textId="584FCA45" w:rsidR="008B2EF2" w:rsidRPr="000876F6" w:rsidRDefault="008B2EF2" w:rsidP="008B2EF2">
            <w:pPr>
              <w:spacing w:line="240" w:lineRule="auto"/>
              <w:rPr>
                <w:rFonts w:cs="Arial"/>
                <w:b/>
                <w:szCs w:val="22"/>
              </w:rPr>
            </w:pPr>
            <w:r w:rsidRPr="000876F6">
              <w:rPr>
                <w:rFonts w:cs="Arial"/>
                <w:szCs w:val="22"/>
              </w:rPr>
              <w:t xml:space="preserve">Amend section 188A of the National Law to </w:t>
            </w:r>
            <w:r w:rsidR="001A0C47">
              <w:rPr>
                <w:rFonts w:cs="Arial"/>
                <w:szCs w:val="22"/>
              </w:rPr>
              <w:t>m</w:t>
            </w:r>
            <w:r w:rsidR="001A0C47" w:rsidRPr="001A0C47">
              <w:rPr>
                <w:rFonts w:cs="Arial"/>
                <w:szCs w:val="22"/>
              </w:rPr>
              <w:t>ake it an offence for anyone subject to a prohibition notice to give a recruitment agency false or misleading information about the content or existence of the prohibition notice.</w:t>
            </w:r>
          </w:p>
        </w:tc>
        <w:tc>
          <w:tcPr>
            <w:tcW w:w="2251" w:type="pct"/>
            <w:shd w:val="clear" w:color="auto" w:fill="EDF5D7" w:themeFill="accent5" w:themeFillTint="33"/>
            <w:vAlign w:val="center"/>
          </w:tcPr>
          <w:p w14:paraId="3852D05B" w14:textId="77777777" w:rsidR="008B2EF2" w:rsidRDefault="008B2EF2" w:rsidP="008B2EF2">
            <w:pPr>
              <w:spacing w:line="240" w:lineRule="auto"/>
              <w:rPr>
                <w:rFonts w:cs="Arial"/>
                <w:szCs w:val="22"/>
                <w:lang w:val="en-GB"/>
              </w:rPr>
            </w:pPr>
            <w:r w:rsidRPr="000876F6">
              <w:rPr>
                <w:rFonts w:cs="Arial"/>
                <w:szCs w:val="22"/>
                <w:lang w:val="en-GB"/>
              </w:rPr>
              <w:t>To be implemented in full</w:t>
            </w:r>
          </w:p>
          <w:p w14:paraId="5845A924" w14:textId="73059ED2" w:rsidR="008B2EF2" w:rsidRPr="000876F6" w:rsidRDefault="008B2EF2" w:rsidP="008B2EF2">
            <w:pPr>
              <w:spacing w:line="240" w:lineRule="auto"/>
              <w:rPr>
                <w:rFonts w:cs="Arial"/>
                <w:szCs w:val="22"/>
                <w:lang w:val="en-GB"/>
              </w:rPr>
            </w:pPr>
          </w:p>
        </w:tc>
      </w:tr>
    </w:tbl>
    <w:p w14:paraId="27261C57" w14:textId="77777777" w:rsidR="007B0FEC" w:rsidRPr="000876F6" w:rsidRDefault="007B0FEC">
      <w:pPr>
        <w:spacing w:after="160" w:line="259" w:lineRule="auto"/>
        <w:rPr>
          <w:rFonts w:eastAsia="MS Mincho" w:cs="Arial"/>
          <w:color w:val="14233C"/>
          <w:szCs w:val="22"/>
          <w:lang w:val="en-GB"/>
        </w:rPr>
      </w:pPr>
      <w:r>
        <w:br w:type="page"/>
      </w:r>
    </w:p>
    <w:p w14:paraId="1E55262A" w14:textId="24658B08" w:rsidR="00D749A4" w:rsidRDefault="007A67CF" w:rsidP="005230F8">
      <w:pPr>
        <w:pStyle w:val="Heading2"/>
        <w:rPr>
          <w:lang w:val="en-GB"/>
        </w:rPr>
      </w:pPr>
      <w:bookmarkStart w:id="241" w:name="_Toc205884912"/>
      <w:r>
        <w:rPr>
          <w:lang w:val="en-GB"/>
        </w:rPr>
        <w:lastRenderedPageBreak/>
        <w:t>1</w:t>
      </w:r>
      <w:r w:rsidR="007B0FEC">
        <w:rPr>
          <w:lang w:val="en-GB"/>
        </w:rPr>
        <w:t>2</w:t>
      </w:r>
      <w:r>
        <w:rPr>
          <w:lang w:val="en-GB"/>
        </w:rPr>
        <w:t>.</w:t>
      </w:r>
      <w:r w:rsidR="007B0FEC">
        <w:rPr>
          <w:lang w:val="en-GB"/>
        </w:rPr>
        <w:t>2</w:t>
      </w:r>
      <w:r>
        <w:rPr>
          <w:lang w:val="en-GB"/>
        </w:rPr>
        <w:t xml:space="preserve"> </w:t>
      </w:r>
      <w:r w:rsidR="00411BBF">
        <w:rPr>
          <w:lang w:val="en-GB"/>
        </w:rPr>
        <w:t>Evolution</w:t>
      </w:r>
      <w:r w:rsidR="00AB5DDE">
        <w:rPr>
          <w:lang w:val="en-GB"/>
        </w:rPr>
        <w:t xml:space="preserve"> of CSR recommendations to the proposed options</w:t>
      </w:r>
      <w:bookmarkEnd w:id="241"/>
    </w:p>
    <w:p w14:paraId="429502AC" w14:textId="344B4E5D" w:rsidR="007E30F1" w:rsidRPr="007E30F1" w:rsidRDefault="009D265A" w:rsidP="00274773">
      <w:pPr>
        <w:pStyle w:val="CaptionChart"/>
      </w:pPr>
      <w:r>
        <w:t xml:space="preserve">Appendix </w:t>
      </w:r>
      <w:r w:rsidR="007E30F1" w:rsidRPr="00A7514E">
        <w:t xml:space="preserve">Table </w:t>
      </w:r>
      <w:r w:rsidR="00274773">
        <w:t>12.2.1</w:t>
      </w:r>
      <w:r w:rsidR="007E30F1" w:rsidRPr="00A7514E">
        <w:t xml:space="preserve">: </w:t>
      </w:r>
      <w:r w:rsidR="007E30F1" w:rsidRPr="00FD1897">
        <w:t>Overview of</w:t>
      </w:r>
      <w:r w:rsidR="007E30F1" w:rsidRPr="00A7514E">
        <w:t xml:space="preserve"> </w:t>
      </w:r>
      <w:r w:rsidR="007E30F1">
        <w:t xml:space="preserve">CSR recommendations and </w:t>
      </w:r>
      <w:r w:rsidR="001632BF">
        <w:t>proposed options</w:t>
      </w:r>
      <w:r w:rsidR="007E30F1">
        <w:t xml:space="preserve"> </w:t>
      </w:r>
    </w:p>
    <w:tbl>
      <w:tblPr>
        <w:tblpPr w:leftFromText="180" w:rightFromText="180" w:vertAnchor="text" w:tblpX="421" w:tblpY="1"/>
        <w:tblOverlap w:val="never"/>
        <w:tblW w:w="5000" w:type="pct"/>
        <w:tblLook w:val="04A0" w:firstRow="1" w:lastRow="0" w:firstColumn="1" w:lastColumn="0" w:noHBand="0" w:noVBand="1"/>
        <w:tblCaption w:val="Appendix Table 12.2.1: Overview of CSR recommendations and proposed options "/>
        <w:tblDescription w:val="This table provides an overview of CSR recommendations and proposed options."/>
      </w:tblPr>
      <w:tblGrid>
        <w:gridCol w:w="4958"/>
        <w:gridCol w:w="6378"/>
        <w:gridCol w:w="2614"/>
      </w:tblGrid>
      <w:tr w:rsidR="00D1136E" w:rsidRPr="007E30F1" w14:paraId="6EBD412F" w14:textId="77777777" w:rsidTr="00090040">
        <w:trPr>
          <w:tblHeader/>
        </w:trPr>
        <w:tc>
          <w:tcPr>
            <w:tcW w:w="1777" w:type="pct"/>
            <w:tcBorders>
              <w:top w:val="single" w:sz="4" w:space="0" w:color="auto"/>
              <w:left w:val="single" w:sz="4" w:space="0" w:color="auto"/>
              <w:bottom w:val="single" w:sz="4" w:space="0" w:color="auto"/>
              <w:right w:val="single" w:sz="4" w:space="0" w:color="auto"/>
            </w:tcBorders>
            <w:shd w:val="clear" w:color="auto" w:fill="14233C" w:themeFill="text2"/>
            <w:vAlign w:val="center"/>
            <w:hideMark/>
          </w:tcPr>
          <w:p w14:paraId="6783BDF4" w14:textId="123699E4" w:rsidR="00D1136E" w:rsidRPr="00633296" w:rsidRDefault="00D1136E">
            <w:pPr>
              <w:spacing w:after="0" w:line="240" w:lineRule="auto"/>
              <w:jc w:val="center"/>
              <w:rPr>
                <w:rFonts w:ascii="Calibri" w:hAnsi="Calibri"/>
                <w:b/>
                <w:bCs/>
                <w:color w:val="FFFFFF" w:themeColor="background1"/>
                <w:sz w:val="18"/>
                <w:szCs w:val="18"/>
              </w:rPr>
            </w:pPr>
            <w:r w:rsidRPr="00633296">
              <w:rPr>
                <w:b/>
                <w:bCs/>
                <w:color w:val="FFFFFF" w:themeColor="background1"/>
                <w:sz w:val="18"/>
                <w:szCs w:val="18"/>
              </w:rPr>
              <w:t xml:space="preserve">CSR </w:t>
            </w:r>
            <w:r w:rsidR="00E02EC4" w:rsidRPr="00633296">
              <w:rPr>
                <w:b/>
                <w:bCs/>
                <w:color w:val="FFFFFF" w:themeColor="background1"/>
                <w:sz w:val="18"/>
                <w:szCs w:val="18"/>
              </w:rPr>
              <w:t>r</w:t>
            </w:r>
            <w:r w:rsidRPr="00633296">
              <w:rPr>
                <w:b/>
                <w:bCs/>
                <w:color w:val="FFFFFF" w:themeColor="background1"/>
                <w:sz w:val="18"/>
                <w:szCs w:val="18"/>
              </w:rPr>
              <w:t>ecommendation</w:t>
            </w:r>
          </w:p>
        </w:tc>
        <w:tc>
          <w:tcPr>
            <w:tcW w:w="2286" w:type="pct"/>
            <w:tcBorders>
              <w:top w:val="single" w:sz="4" w:space="0" w:color="auto"/>
              <w:left w:val="single" w:sz="4" w:space="0" w:color="auto"/>
              <w:bottom w:val="single" w:sz="4" w:space="0" w:color="auto"/>
              <w:right w:val="single" w:sz="4" w:space="0" w:color="auto"/>
            </w:tcBorders>
            <w:shd w:val="clear" w:color="auto" w:fill="14233C" w:themeFill="text2"/>
            <w:vAlign w:val="center"/>
            <w:hideMark/>
          </w:tcPr>
          <w:p w14:paraId="5F56B561" w14:textId="17001942" w:rsidR="00D1136E" w:rsidRPr="00633296" w:rsidRDefault="00D1136E" w:rsidP="001E7CD2">
            <w:pPr>
              <w:spacing w:after="0" w:line="240" w:lineRule="auto"/>
              <w:jc w:val="center"/>
              <w:rPr>
                <w:b/>
                <w:bCs/>
                <w:color w:val="FFFFFF" w:themeColor="background1"/>
                <w:sz w:val="18"/>
                <w:szCs w:val="18"/>
              </w:rPr>
            </w:pPr>
            <w:r w:rsidRPr="00633296">
              <w:rPr>
                <w:b/>
                <w:bCs/>
                <w:color w:val="FFFFFF" w:themeColor="background1"/>
                <w:sz w:val="18"/>
                <w:szCs w:val="18"/>
              </w:rPr>
              <w:t xml:space="preserve">Summary of </w:t>
            </w:r>
            <w:r w:rsidR="006A554F" w:rsidRPr="00633296">
              <w:rPr>
                <w:b/>
                <w:bCs/>
                <w:color w:val="FFFFFF" w:themeColor="background1"/>
                <w:sz w:val="18"/>
                <w:szCs w:val="18"/>
              </w:rPr>
              <w:t xml:space="preserve">proposed </w:t>
            </w:r>
            <w:r w:rsidRPr="00633296">
              <w:rPr>
                <w:b/>
                <w:bCs/>
                <w:color w:val="FFFFFF" w:themeColor="background1"/>
                <w:sz w:val="18"/>
                <w:szCs w:val="18"/>
              </w:rPr>
              <w:t>policy options</w:t>
            </w:r>
            <w:r w:rsidRPr="00633296">
              <w:rPr>
                <w:rStyle w:val="FootnoteReference"/>
                <w:b/>
                <w:bCs/>
                <w:color w:val="FFFFFF" w:themeColor="background1"/>
                <w:sz w:val="18"/>
                <w:szCs w:val="18"/>
              </w:rPr>
              <w:footnoteReference w:id="157"/>
            </w:r>
          </w:p>
        </w:tc>
        <w:tc>
          <w:tcPr>
            <w:tcW w:w="937" w:type="pct"/>
            <w:tcBorders>
              <w:top w:val="single" w:sz="4" w:space="0" w:color="auto"/>
              <w:left w:val="single" w:sz="4" w:space="0" w:color="auto"/>
              <w:bottom w:val="single" w:sz="4" w:space="0" w:color="auto"/>
              <w:right w:val="single" w:sz="4" w:space="0" w:color="auto"/>
            </w:tcBorders>
            <w:shd w:val="clear" w:color="auto" w:fill="14233C" w:themeFill="text2"/>
            <w:vAlign w:val="center"/>
            <w:hideMark/>
          </w:tcPr>
          <w:p w14:paraId="1C792641" w14:textId="79D5B391" w:rsidR="00D1136E" w:rsidRPr="00633296" w:rsidRDefault="001E7CD2">
            <w:pPr>
              <w:spacing w:after="0" w:line="240" w:lineRule="auto"/>
              <w:jc w:val="center"/>
              <w:rPr>
                <w:b/>
                <w:bCs/>
                <w:color w:val="FFFFFF" w:themeColor="background1"/>
                <w:sz w:val="18"/>
                <w:szCs w:val="18"/>
              </w:rPr>
            </w:pPr>
            <w:r w:rsidRPr="00633296">
              <w:rPr>
                <w:b/>
                <w:bCs/>
                <w:color w:val="FFFFFF" w:themeColor="background1"/>
                <w:sz w:val="18"/>
                <w:szCs w:val="18"/>
              </w:rPr>
              <w:t>Clarification of changes</w:t>
            </w:r>
          </w:p>
        </w:tc>
      </w:tr>
      <w:tr w:rsidR="005F1A1B" w:rsidRPr="007E30F1" w14:paraId="64B98EC5" w14:textId="77777777" w:rsidTr="00090040">
        <w:tc>
          <w:tcPr>
            <w:tcW w:w="1777" w:type="pct"/>
            <w:tcBorders>
              <w:top w:val="single" w:sz="4" w:space="0" w:color="auto"/>
              <w:left w:val="single" w:sz="4" w:space="0" w:color="auto"/>
              <w:bottom w:val="single" w:sz="4" w:space="0" w:color="auto"/>
              <w:right w:val="single" w:sz="4" w:space="0" w:color="auto"/>
            </w:tcBorders>
          </w:tcPr>
          <w:p w14:paraId="6D7AA367"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Recommendation 2.1</w:t>
            </w:r>
          </w:p>
          <w:p w14:paraId="14DBA606"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Removal of building waivers</w:t>
            </w:r>
          </w:p>
          <w:p w14:paraId="497CF48B" w14:textId="77777777" w:rsidR="005F1A1B" w:rsidRPr="00633296" w:rsidRDefault="005F1A1B" w:rsidP="005F1A1B">
            <w:pPr>
              <w:spacing w:after="0" w:line="240" w:lineRule="auto"/>
              <w:rPr>
                <w:rFonts w:cs="Calibri"/>
                <w:b/>
                <w:bCs/>
                <w:sz w:val="18"/>
                <w:szCs w:val="18"/>
              </w:rPr>
            </w:pPr>
          </w:p>
          <w:p w14:paraId="59BE5375" w14:textId="77777777" w:rsidR="005F1A1B" w:rsidRPr="00633296" w:rsidRDefault="005F1A1B" w:rsidP="005F1A1B">
            <w:pPr>
              <w:spacing w:after="0" w:line="240" w:lineRule="auto"/>
              <w:rPr>
                <w:rFonts w:cs="Calibri"/>
                <w:sz w:val="18"/>
                <w:szCs w:val="18"/>
              </w:rPr>
            </w:pPr>
            <w:r w:rsidRPr="00633296">
              <w:rPr>
                <w:rFonts w:cs="Calibri"/>
                <w:sz w:val="18"/>
                <w:szCs w:val="18"/>
              </w:rPr>
              <w:t>Remove the ability to apply for a waiver of Reg 115, except in exceptional circumstances.</w:t>
            </w:r>
          </w:p>
          <w:p w14:paraId="75949CF9" w14:textId="77777777" w:rsidR="005F1A1B" w:rsidRPr="00633296" w:rsidRDefault="005F1A1B" w:rsidP="005F1A1B">
            <w:pPr>
              <w:spacing w:after="0" w:line="240" w:lineRule="auto"/>
              <w:rPr>
                <w:rFonts w:cs="Calibri"/>
                <w:b/>
                <w:bCs/>
                <w:sz w:val="18"/>
                <w:szCs w:val="18"/>
              </w:rPr>
            </w:pPr>
          </w:p>
          <w:p w14:paraId="6156E4C1" w14:textId="77777777" w:rsidR="005F1A1B" w:rsidRPr="00633296" w:rsidRDefault="005F1A1B" w:rsidP="005F1A1B">
            <w:pPr>
              <w:spacing w:after="0" w:line="240" w:lineRule="auto"/>
              <w:rPr>
                <w:rFonts w:cs="Calibri"/>
                <w:sz w:val="18"/>
                <w:szCs w:val="18"/>
              </w:rPr>
            </w:pPr>
            <w:r w:rsidRPr="00633296">
              <w:rPr>
                <w:rFonts w:cs="Calibri"/>
                <w:sz w:val="18"/>
                <w:szCs w:val="18"/>
              </w:rPr>
              <w:t>[Regulation 115 - Approved provider of a centre-based service must ensure the premises (including toilets and nappy change facilities) are designed and maintained to facilitate supervision of children at all times.]</w:t>
            </w:r>
          </w:p>
        </w:tc>
        <w:tc>
          <w:tcPr>
            <w:tcW w:w="2286" w:type="pct"/>
            <w:tcBorders>
              <w:top w:val="single" w:sz="4" w:space="0" w:color="auto"/>
              <w:left w:val="single" w:sz="4" w:space="0" w:color="auto"/>
              <w:bottom w:val="single" w:sz="4" w:space="0" w:color="auto"/>
              <w:right w:val="single" w:sz="4" w:space="0" w:color="auto"/>
            </w:tcBorders>
            <w:hideMark/>
          </w:tcPr>
          <w:p w14:paraId="78A8A216" w14:textId="77777777" w:rsidR="005F1A1B" w:rsidRPr="00633296" w:rsidRDefault="005F1A1B" w:rsidP="00EC53AB">
            <w:pPr>
              <w:pStyle w:val="ListParagraph"/>
              <w:numPr>
                <w:ilvl w:val="0"/>
                <w:numId w:val="27"/>
              </w:numPr>
              <w:tabs>
                <w:tab w:val="clear" w:pos="2835"/>
              </w:tabs>
              <w:spacing w:after="0" w:line="240" w:lineRule="auto"/>
              <w:contextualSpacing/>
              <w:rPr>
                <w:rFonts w:eastAsia="Aptos" w:cs="Calibri"/>
                <w:sz w:val="18"/>
                <w:szCs w:val="18"/>
              </w:rPr>
            </w:pPr>
            <w:r w:rsidRPr="00633296">
              <w:rPr>
                <w:rFonts w:eastAsia="Aptos" w:cs="Calibri"/>
                <w:sz w:val="18"/>
                <w:szCs w:val="18"/>
              </w:rPr>
              <w:t>No change/status quo.</w:t>
            </w:r>
          </w:p>
          <w:p w14:paraId="785F29DD" w14:textId="1D792333" w:rsidR="005F1A1B" w:rsidRPr="00633296" w:rsidRDefault="005F1A1B" w:rsidP="00EC53AB">
            <w:pPr>
              <w:pStyle w:val="ListParagraph"/>
              <w:numPr>
                <w:ilvl w:val="0"/>
                <w:numId w:val="27"/>
              </w:numPr>
              <w:tabs>
                <w:tab w:val="clear" w:pos="2835"/>
              </w:tabs>
              <w:spacing w:after="0" w:line="240" w:lineRule="auto"/>
              <w:contextualSpacing/>
              <w:rPr>
                <w:rFonts w:eastAsia="Aptos" w:cs="Calibri"/>
                <w:sz w:val="18"/>
                <w:szCs w:val="18"/>
              </w:rPr>
            </w:pPr>
            <w:r w:rsidRPr="00633296">
              <w:rPr>
                <w:rFonts w:eastAsia="Aptos" w:cs="Calibri"/>
                <w:sz w:val="18"/>
                <w:szCs w:val="18"/>
              </w:rPr>
              <w:t>Non-regulatory: Providing guidance to promote the importance of designing and maintain</w:t>
            </w:r>
            <w:r w:rsidR="000417AF">
              <w:rPr>
                <w:rFonts w:eastAsia="Aptos" w:cs="Calibri"/>
                <w:sz w:val="18"/>
                <w:szCs w:val="18"/>
              </w:rPr>
              <w:t>ing</w:t>
            </w:r>
            <w:r w:rsidRPr="00633296">
              <w:rPr>
                <w:rFonts w:eastAsia="Aptos" w:cs="Calibri"/>
                <w:sz w:val="18"/>
                <w:szCs w:val="18"/>
              </w:rPr>
              <w:t xml:space="preserve"> premises in a way that facilitates supervision of children at all times. </w:t>
            </w:r>
          </w:p>
          <w:p w14:paraId="75D5F77F" w14:textId="77777777" w:rsidR="005F1A1B" w:rsidRPr="00633296" w:rsidRDefault="005F1A1B" w:rsidP="00EC53AB">
            <w:pPr>
              <w:pStyle w:val="ListParagraph"/>
              <w:numPr>
                <w:ilvl w:val="0"/>
                <w:numId w:val="27"/>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the National Regulations to remove the ability to apply for a </w:t>
            </w:r>
            <w:r w:rsidRPr="00633296">
              <w:rPr>
                <w:rFonts w:eastAsia="Aptos" w:cs="Calibri"/>
                <w:i/>
                <w:iCs/>
                <w:sz w:val="18"/>
                <w:szCs w:val="18"/>
              </w:rPr>
              <w:t>service</w:t>
            </w:r>
            <w:r w:rsidRPr="00633296">
              <w:rPr>
                <w:rFonts w:eastAsia="Aptos" w:cs="Calibri"/>
                <w:sz w:val="18"/>
                <w:szCs w:val="18"/>
              </w:rPr>
              <w:t xml:space="preserve"> waiver of regulation 115.</w:t>
            </w:r>
          </w:p>
          <w:p w14:paraId="173434F7" w14:textId="557D4DF8" w:rsidR="005F1A1B" w:rsidRPr="00633296" w:rsidRDefault="005F1A1B" w:rsidP="00EC53AB">
            <w:pPr>
              <w:pStyle w:val="ListParagraph"/>
              <w:numPr>
                <w:ilvl w:val="0"/>
                <w:numId w:val="27"/>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the National Regulations to remove the ability to apply for </w:t>
            </w:r>
            <w:r w:rsidRPr="00633296">
              <w:rPr>
                <w:rFonts w:eastAsia="Aptos" w:cs="Calibri"/>
                <w:i/>
                <w:iCs/>
                <w:sz w:val="18"/>
                <w:szCs w:val="18"/>
              </w:rPr>
              <w:t>service and temporary</w:t>
            </w:r>
            <w:r w:rsidRPr="00633296">
              <w:rPr>
                <w:rFonts w:eastAsia="Aptos" w:cs="Calibri"/>
                <w:sz w:val="18"/>
                <w:szCs w:val="18"/>
              </w:rPr>
              <w:t xml:space="preserve"> waivers of regulation 115.</w:t>
            </w:r>
          </w:p>
        </w:tc>
        <w:tc>
          <w:tcPr>
            <w:tcW w:w="937" w:type="pct"/>
            <w:tcBorders>
              <w:top w:val="single" w:sz="4" w:space="0" w:color="auto"/>
              <w:left w:val="single" w:sz="4" w:space="0" w:color="auto"/>
              <w:bottom w:val="single" w:sz="4" w:space="0" w:color="auto"/>
              <w:right w:val="single" w:sz="4" w:space="0" w:color="auto"/>
            </w:tcBorders>
          </w:tcPr>
          <w:p w14:paraId="48E09A4F" w14:textId="77777777" w:rsidR="005F1A1B" w:rsidRPr="00633296" w:rsidRDefault="005F1A1B" w:rsidP="00EC53AB">
            <w:pPr>
              <w:pStyle w:val="ListParagraph"/>
              <w:numPr>
                <w:ilvl w:val="0"/>
                <w:numId w:val="28"/>
              </w:numPr>
              <w:tabs>
                <w:tab w:val="clear" w:pos="2835"/>
              </w:tabs>
              <w:spacing w:after="0" w:line="240" w:lineRule="auto"/>
              <w:contextualSpacing/>
              <w:rPr>
                <w:rFonts w:cs="Calibri"/>
                <w:sz w:val="18"/>
                <w:szCs w:val="18"/>
              </w:rPr>
            </w:pPr>
            <w:r w:rsidRPr="00633296">
              <w:rPr>
                <w:rFonts w:cs="Calibri"/>
                <w:sz w:val="18"/>
                <w:szCs w:val="18"/>
              </w:rPr>
              <w:t>Additional options proposed for RIA.</w:t>
            </w:r>
          </w:p>
          <w:p w14:paraId="43C7D816" w14:textId="281D81CF" w:rsidR="005F1A1B" w:rsidRPr="00633296" w:rsidRDefault="005F1A1B" w:rsidP="00EC53AB">
            <w:pPr>
              <w:pStyle w:val="ListParagraph"/>
              <w:numPr>
                <w:ilvl w:val="0"/>
                <w:numId w:val="28"/>
              </w:numPr>
              <w:tabs>
                <w:tab w:val="clear" w:pos="2835"/>
              </w:tabs>
              <w:spacing w:after="0" w:line="240" w:lineRule="auto"/>
              <w:contextualSpacing/>
              <w:rPr>
                <w:sz w:val="18"/>
                <w:szCs w:val="18"/>
              </w:rPr>
            </w:pPr>
            <w:r w:rsidRPr="00633296">
              <w:rPr>
                <w:rFonts w:cs="Calibri"/>
                <w:sz w:val="18"/>
                <w:szCs w:val="18"/>
              </w:rPr>
              <w:t xml:space="preserve">CSR recommendation is option 4. </w:t>
            </w:r>
          </w:p>
        </w:tc>
      </w:tr>
      <w:tr w:rsidR="005F1A1B" w:rsidRPr="007E30F1" w14:paraId="43246EE4" w14:textId="77777777" w:rsidTr="00090040">
        <w:trPr>
          <w:trHeight w:val="300"/>
        </w:trPr>
        <w:tc>
          <w:tcPr>
            <w:tcW w:w="1777" w:type="pct"/>
            <w:tcBorders>
              <w:top w:val="single" w:sz="4" w:space="0" w:color="auto"/>
              <w:left w:val="single" w:sz="4" w:space="0" w:color="auto"/>
              <w:bottom w:val="single" w:sz="4" w:space="0" w:color="auto"/>
              <w:right w:val="single" w:sz="4" w:space="0" w:color="auto"/>
            </w:tcBorders>
          </w:tcPr>
          <w:p w14:paraId="3DA7000C"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Recommendation 2.3 &amp; 2.4 Management of electronic devices</w:t>
            </w:r>
          </w:p>
          <w:p w14:paraId="4AB99617" w14:textId="77777777" w:rsidR="005F1A1B" w:rsidRPr="00633296" w:rsidRDefault="005F1A1B" w:rsidP="005F1A1B">
            <w:pPr>
              <w:spacing w:after="0" w:line="240" w:lineRule="auto"/>
              <w:rPr>
                <w:rFonts w:cs="Calibri"/>
                <w:b/>
                <w:bCs/>
                <w:sz w:val="18"/>
                <w:szCs w:val="18"/>
              </w:rPr>
            </w:pPr>
          </w:p>
          <w:p w14:paraId="4CBFC001" w14:textId="77777777" w:rsidR="005F1A1B" w:rsidRPr="00633296" w:rsidRDefault="005F1A1B" w:rsidP="005F1A1B">
            <w:pPr>
              <w:spacing w:after="0" w:line="240" w:lineRule="auto"/>
              <w:rPr>
                <w:b/>
                <w:sz w:val="18"/>
                <w:szCs w:val="18"/>
              </w:rPr>
            </w:pPr>
            <w:r w:rsidRPr="00633296">
              <w:rPr>
                <w:b/>
                <w:bCs/>
                <w:sz w:val="18"/>
                <w:szCs w:val="18"/>
              </w:rPr>
              <w:t xml:space="preserve">Recommendation 2.3 </w:t>
            </w:r>
          </w:p>
          <w:p w14:paraId="7335C36C" w14:textId="77777777" w:rsidR="005F1A1B" w:rsidRPr="00633296" w:rsidRDefault="005F1A1B" w:rsidP="005F1A1B">
            <w:pPr>
              <w:spacing w:after="0" w:line="240" w:lineRule="auto"/>
              <w:rPr>
                <w:sz w:val="18"/>
                <w:szCs w:val="18"/>
              </w:rPr>
            </w:pPr>
            <w:r w:rsidRPr="00633296">
              <w:rPr>
                <w:sz w:val="18"/>
                <w:szCs w:val="18"/>
              </w:rPr>
              <w:t>Amend the National Regulations to mandate only service-issued /approved devices may be used in centre-based services when taking images or videos of children, with further requirements for approved providers to have strict controls in place for the appropriate storage and retention of images.</w:t>
            </w:r>
          </w:p>
          <w:p w14:paraId="7096F700" w14:textId="77777777" w:rsidR="005F1A1B" w:rsidRPr="00633296" w:rsidRDefault="005F1A1B" w:rsidP="005F1A1B">
            <w:pPr>
              <w:spacing w:after="0" w:line="240" w:lineRule="auto"/>
              <w:rPr>
                <w:sz w:val="18"/>
                <w:szCs w:val="18"/>
              </w:rPr>
            </w:pPr>
            <w:r w:rsidRPr="00633296">
              <w:rPr>
                <w:sz w:val="18"/>
                <w:szCs w:val="18"/>
              </w:rPr>
              <w:t xml:space="preserve">and </w:t>
            </w:r>
          </w:p>
          <w:p w14:paraId="6A8EA313" w14:textId="77777777" w:rsidR="005F1A1B" w:rsidRPr="00633296" w:rsidRDefault="005F1A1B" w:rsidP="005F1A1B">
            <w:pPr>
              <w:spacing w:after="0" w:line="240" w:lineRule="auto"/>
              <w:rPr>
                <w:b/>
                <w:bCs/>
                <w:sz w:val="18"/>
                <w:szCs w:val="18"/>
              </w:rPr>
            </w:pPr>
            <w:r w:rsidRPr="00633296">
              <w:rPr>
                <w:b/>
                <w:bCs/>
                <w:sz w:val="18"/>
                <w:szCs w:val="18"/>
              </w:rPr>
              <w:t>Recommendation 2.4</w:t>
            </w:r>
          </w:p>
          <w:p w14:paraId="7D12F547" w14:textId="2F338DE3" w:rsidR="005F1A1B" w:rsidRPr="00633296" w:rsidRDefault="005F1A1B" w:rsidP="005F1A1B">
            <w:pPr>
              <w:spacing w:after="0" w:line="240" w:lineRule="auto"/>
              <w:rPr>
                <w:sz w:val="18"/>
                <w:szCs w:val="18"/>
              </w:rPr>
            </w:pPr>
            <w:r w:rsidRPr="00633296">
              <w:rPr>
                <w:sz w:val="18"/>
                <w:szCs w:val="18"/>
              </w:rPr>
              <w:t>Amend the National Regulations so that anyone who is working or engaged in a centre-based service in any capacity is prohibited from having personal electronic devices that can take images or video, such as tablets and phones, on their person whilst with children.</w:t>
            </w:r>
          </w:p>
        </w:tc>
        <w:tc>
          <w:tcPr>
            <w:tcW w:w="2286" w:type="pct"/>
            <w:tcBorders>
              <w:top w:val="single" w:sz="4" w:space="0" w:color="auto"/>
              <w:left w:val="single" w:sz="4" w:space="0" w:color="auto"/>
              <w:bottom w:val="single" w:sz="4" w:space="0" w:color="auto"/>
              <w:right w:val="single" w:sz="4" w:space="0" w:color="auto"/>
            </w:tcBorders>
          </w:tcPr>
          <w:p w14:paraId="1626384A" w14:textId="77777777" w:rsidR="005F1A1B" w:rsidRPr="00633296" w:rsidRDefault="005F1A1B" w:rsidP="005F1A1B">
            <w:pPr>
              <w:spacing w:after="0" w:line="240" w:lineRule="auto"/>
              <w:rPr>
                <w:i/>
                <w:iCs/>
                <w:sz w:val="18"/>
                <w:szCs w:val="18"/>
              </w:rPr>
            </w:pPr>
            <w:r w:rsidRPr="00633296">
              <w:rPr>
                <w:i/>
                <w:iCs/>
                <w:sz w:val="18"/>
                <w:szCs w:val="18"/>
              </w:rPr>
              <w:t>[Joint implementation of Recs 2.3 &amp; 2.4]</w:t>
            </w:r>
          </w:p>
          <w:p w14:paraId="534A2CC6" w14:textId="77777777" w:rsidR="005F1A1B" w:rsidRPr="00633296" w:rsidRDefault="005F1A1B" w:rsidP="00EC53AB">
            <w:pPr>
              <w:pStyle w:val="ListParagraph"/>
              <w:numPr>
                <w:ilvl w:val="0"/>
                <w:numId w:val="29"/>
              </w:numPr>
              <w:tabs>
                <w:tab w:val="clear" w:pos="2835"/>
              </w:tabs>
              <w:spacing w:after="0" w:line="240" w:lineRule="auto"/>
              <w:contextualSpacing/>
              <w:rPr>
                <w:rFonts w:eastAsia="Aptos" w:cs="Calibri"/>
                <w:sz w:val="18"/>
                <w:szCs w:val="18"/>
              </w:rPr>
            </w:pPr>
            <w:r w:rsidRPr="00633296">
              <w:rPr>
                <w:rFonts w:eastAsia="Aptos" w:cs="Calibri"/>
                <w:sz w:val="18"/>
                <w:szCs w:val="18"/>
              </w:rPr>
              <w:t>No change/status quo.</w:t>
            </w:r>
          </w:p>
          <w:p w14:paraId="5FA4831E" w14:textId="77777777" w:rsidR="005F1A1B" w:rsidRPr="00633296" w:rsidRDefault="005F1A1B" w:rsidP="00EC53AB">
            <w:pPr>
              <w:pStyle w:val="ListParagraph"/>
              <w:numPr>
                <w:ilvl w:val="0"/>
                <w:numId w:val="29"/>
              </w:numPr>
              <w:tabs>
                <w:tab w:val="clear" w:pos="2835"/>
              </w:tabs>
              <w:spacing w:after="0" w:line="240" w:lineRule="auto"/>
              <w:contextualSpacing/>
              <w:rPr>
                <w:rFonts w:cs="Calibri"/>
                <w:sz w:val="18"/>
                <w:szCs w:val="18"/>
              </w:rPr>
            </w:pPr>
            <w:r w:rsidRPr="00633296">
              <w:rPr>
                <w:rFonts w:cs="Calibri"/>
                <w:sz w:val="18"/>
                <w:szCs w:val="18"/>
              </w:rPr>
              <w:t>Regulatory: Amend the National Law/Regulations to enact standalone provisions to mandate that only service issued digital devices can be used when taking images/video of children whilst providing education and care. This amendment would be an offence provision with a penalty attached.</w:t>
            </w:r>
          </w:p>
          <w:p w14:paraId="4546F1E9" w14:textId="77777777" w:rsidR="005F1A1B" w:rsidRPr="00633296" w:rsidRDefault="005F1A1B" w:rsidP="00EC53AB">
            <w:pPr>
              <w:pStyle w:val="ListParagraph"/>
              <w:numPr>
                <w:ilvl w:val="0"/>
                <w:numId w:val="29"/>
              </w:numPr>
              <w:tabs>
                <w:tab w:val="clear" w:pos="2835"/>
              </w:tabs>
              <w:spacing w:after="0" w:line="240" w:lineRule="auto"/>
              <w:contextualSpacing/>
              <w:rPr>
                <w:rFonts w:cs="Calibri"/>
                <w:sz w:val="18"/>
                <w:szCs w:val="18"/>
              </w:rPr>
            </w:pPr>
            <w:r w:rsidRPr="00633296">
              <w:rPr>
                <w:rFonts w:cs="Calibri"/>
                <w:sz w:val="18"/>
                <w:szCs w:val="18"/>
              </w:rPr>
              <w:t>Regulatory: Amend the National Law/Regulations to enact standalone provisions for all education and care services (including FDC settings) to mandate that other than in the case of defined exempt circumstances, personal devices that can take images or videos (such as tablets, phones, digital cameras, and smart watches) and personal storage and file transfer media (such as SD cards, USB drives, hard drives and cloud storage) cannot be in the possession of any person while providing education and care and working directly with children. Including penalties for non-compliance (i.e. create offence provisions). This amendment would be an offence provision with a penalty attached.</w:t>
            </w:r>
          </w:p>
          <w:p w14:paraId="3633E13D" w14:textId="77777777" w:rsidR="005F1A1B" w:rsidRPr="00633296" w:rsidRDefault="005F1A1B" w:rsidP="005F1A1B">
            <w:pPr>
              <w:spacing w:after="0" w:line="240" w:lineRule="auto"/>
              <w:rPr>
                <w:rFonts w:cs="Calibri"/>
                <w:sz w:val="18"/>
                <w:szCs w:val="18"/>
              </w:rPr>
            </w:pPr>
          </w:p>
        </w:tc>
        <w:tc>
          <w:tcPr>
            <w:tcW w:w="937" w:type="pct"/>
            <w:tcBorders>
              <w:top w:val="single" w:sz="4" w:space="0" w:color="auto"/>
              <w:left w:val="single" w:sz="4" w:space="0" w:color="auto"/>
              <w:bottom w:val="single" w:sz="4" w:space="0" w:color="auto"/>
              <w:right w:val="single" w:sz="4" w:space="0" w:color="auto"/>
            </w:tcBorders>
            <w:hideMark/>
          </w:tcPr>
          <w:p w14:paraId="45D2CD8D" w14:textId="2C59BA33" w:rsidR="005F1A1B" w:rsidRPr="00633296" w:rsidRDefault="005F1A1B" w:rsidP="00EC53AB">
            <w:pPr>
              <w:pStyle w:val="ListParagraph"/>
              <w:numPr>
                <w:ilvl w:val="0"/>
                <w:numId w:val="30"/>
              </w:numPr>
              <w:tabs>
                <w:tab w:val="clear" w:pos="2835"/>
              </w:tabs>
              <w:spacing w:after="0" w:line="240" w:lineRule="auto"/>
              <w:contextualSpacing/>
              <w:rPr>
                <w:sz w:val="18"/>
                <w:szCs w:val="18"/>
              </w:rPr>
            </w:pPr>
            <w:r w:rsidRPr="00633296">
              <w:rPr>
                <w:rFonts w:cs="Calibri"/>
                <w:sz w:val="18"/>
                <w:szCs w:val="18"/>
              </w:rPr>
              <w:t xml:space="preserve">No change </w:t>
            </w:r>
            <w:r w:rsidRPr="00633296">
              <w:rPr>
                <w:rFonts w:cs="Calibri"/>
                <w:sz w:val="18"/>
                <w:szCs w:val="18"/>
                <w:u w:val="single"/>
              </w:rPr>
              <w:t>except</w:t>
            </w:r>
            <w:r w:rsidRPr="00633296">
              <w:rPr>
                <w:rFonts w:cs="Calibri"/>
                <w:sz w:val="18"/>
                <w:szCs w:val="18"/>
              </w:rPr>
              <w:t xml:space="preserve"> the inclusion of FDC settings in both options to consider if in scope for delivery. </w:t>
            </w:r>
          </w:p>
        </w:tc>
      </w:tr>
      <w:tr w:rsidR="005F1A1B" w:rsidRPr="007E30F1" w14:paraId="54AD40D6" w14:textId="77777777" w:rsidTr="00090040">
        <w:tc>
          <w:tcPr>
            <w:tcW w:w="1777" w:type="pct"/>
            <w:tcBorders>
              <w:top w:val="single" w:sz="4" w:space="0" w:color="auto"/>
              <w:left w:val="single" w:sz="4" w:space="0" w:color="auto"/>
              <w:bottom w:val="single" w:sz="4" w:space="0" w:color="auto"/>
              <w:right w:val="single" w:sz="4" w:space="0" w:color="auto"/>
            </w:tcBorders>
          </w:tcPr>
          <w:p w14:paraId="67BF0468"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Recommendation 4.2</w:t>
            </w:r>
          </w:p>
          <w:p w14:paraId="2618F2FC" w14:textId="77777777" w:rsidR="005F1A1B" w:rsidRPr="00633296" w:rsidRDefault="005F1A1B" w:rsidP="005F1A1B">
            <w:pPr>
              <w:spacing w:after="0" w:line="240" w:lineRule="auto"/>
              <w:rPr>
                <w:rFonts w:eastAsia="Aptos" w:cs="Calibri"/>
                <w:b/>
                <w:bCs/>
                <w:color w:val="000000" w:themeColor="text1"/>
                <w:sz w:val="18"/>
                <w:szCs w:val="18"/>
              </w:rPr>
            </w:pPr>
            <w:r w:rsidRPr="00633296">
              <w:rPr>
                <w:rFonts w:eastAsia="Aptos" w:cs="Calibri"/>
                <w:b/>
                <w:bCs/>
                <w:color w:val="000000" w:themeColor="text1"/>
                <w:sz w:val="18"/>
                <w:szCs w:val="18"/>
              </w:rPr>
              <w:t>Areas of access in FDC</w:t>
            </w:r>
          </w:p>
          <w:p w14:paraId="262E61EC" w14:textId="77777777" w:rsidR="005F1A1B" w:rsidRPr="00633296" w:rsidRDefault="005F1A1B" w:rsidP="005F1A1B">
            <w:pPr>
              <w:spacing w:after="0" w:line="240" w:lineRule="auto"/>
              <w:rPr>
                <w:rFonts w:eastAsia="Aptos" w:cs="Calibri"/>
                <w:color w:val="000000" w:themeColor="text1"/>
                <w:sz w:val="18"/>
                <w:szCs w:val="18"/>
              </w:rPr>
            </w:pPr>
          </w:p>
          <w:p w14:paraId="5C6F734C" w14:textId="77777777" w:rsidR="005F1A1B" w:rsidRPr="00633296" w:rsidRDefault="005F1A1B" w:rsidP="005F1A1B">
            <w:pPr>
              <w:spacing w:after="0" w:line="240" w:lineRule="auto"/>
              <w:rPr>
                <w:rFonts w:eastAsia="Aptos" w:cs="Calibri"/>
                <w:color w:val="000000" w:themeColor="text1"/>
                <w:sz w:val="18"/>
                <w:szCs w:val="18"/>
              </w:rPr>
            </w:pPr>
            <w:r w:rsidRPr="00633296">
              <w:rPr>
                <w:rFonts w:eastAsia="Aptos" w:cs="Calibri"/>
                <w:color w:val="000000" w:themeColor="text1"/>
                <w:sz w:val="18"/>
                <w:szCs w:val="18"/>
              </w:rPr>
              <w:lastRenderedPageBreak/>
              <w:t>Require approved providers to conduct risk assessments on all areas of an FDC during the initial assessment and all subsequent visits and approvals of all areas of the residence and place (expand National Regulation 116).</w:t>
            </w:r>
          </w:p>
          <w:p w14:paraId="3AA71F46" w14:textId="77777777" w:rsidR="005F1A1B" w:rsidRPr="00633296" w:rsidRDefault="005F1A1B" w:rsidP="005F1A1B">
            <w:pPr>
              <w:spacing w:after="0" w:line="240" w:lineRule="auto"/>
              <w:rPr>
                <w:rFonts w:cs="Calibri"/>
                <w:b/>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6E693B74" w14:textId="77777777" w:rsidR="005F1A1B" w:rsidRPr="00633296" w:rsidRDefault="005F1A1B" w:rsidP="00EC53AB">
            <w:pPr>
              <w:pStyle w:val="ListParagraph"/>
              <w:numPr>
                <w:ilvl w:val="0"/>
                <w:numId w:val="31"/>
              </w:numPr>
              <w:tabs>
                <w:tab w:val="clear" w:pos="2835"/>
              </w:tabs>
              <w:spacing w:after="0" w:line="240" w:lineRule="auto"/>
              <w:contextualSpacing/>
              <w:rPr>
                <w:rFonts w:eastAsia="Aptos" w:cs="Calibri"/>
                <w:sz w:val="18"/>
                <w:szCs w:val="18"/>
              </w:rPr>
            </w:pPr>
            <w:r w:rsidRPr="00633296">
              <w:rPr>
                <w:rFonts w:eastAsia="Aptos" w:cs="Calibri"/>
                <w:sz w:val="18"/>
                <w:szCs w:val="18"/>
              </w:rPr>
              <w:lastRenderedPageBreak/>
              <w:t>No change/status quo.</w:t>
            </w:r>
          </w:p>
          <w:p w14:paraId="561ACF18" w14:textId="77777777" w:rsidR="005F1A1B" w:rsidRPr="00633296" w:rsidRDefault="005F1A1B" w:rsidP="00EC53AB">
            <w:pPr>
              <w:pStyle w:val="ListParagraph"/>
              <w:numPr>
                <w:ilvl w:val="0"/>
                <w:numId w:val="31"/>
              </w:numPr>
              <w:tabs>
                <w:tab w:val="clear" w:pos="2835"/>
              </w:tabs>
              <w:spacing w:after="0" w:line="240" w:lineRule="auto"/>
              <w:contextualSpacing/>
              <w:rPr>
                <w:rFonts w:eastAsia="Aptos" w:cs="Calibri"/>
                <w:sz w:val="18"/>
                <w:szCs w:val="18"/>
              </w:rPr>
            </w:pPr>
            <w:r w:rsidRPr="00633296">
              <w:rPr>
                <w:rFonts w:eastAsia="Aptos" w:cs="Calibri"/>
                <w:sz w:val="18"/>
                <w:szCs w:val="18"/>
              </w:rPr>
              <w:t>Non-regulatory: Guidance to FDC approved providers on obligations under the current National Regulations (reg 116).</w:t>
            </w:r>
          </w:p>
          <w:p w14:paraId="5D87B298" w14:textId="77777777" w:rsidR="005F1A1B" w:rsidRPr="00633296" w:rsidRDefault="005F1A1B" w:rsidP="00EC53AB">
            <w:pPr>
              <w:pStyle w:val="ListParagraph"/>
              <w:numPr>
                <w:ilvl w:val="0"/>
                <w:numId w:val="31"/>
              </w:numPr>
              <w:tabs>
                <w:tab w:val="clear" w:pos="2835"/>
              </w:tabs>
              <w:spacing w:after="0" w:line="240" w:lineRule="auto"/>
              <w:contextualSpacing/>
              <w:rPr>
                <w:rFonts w:eastAsia="Aptos" w:cs="Calibri"/>
                <w:sz w:val="18"/>
                <w:szCs w:val="18"/>
              </w:rPr>
            </w:pPr>
            <w:r w:rsidRPr="00633296">
              <w:rPr>
                <w:rFonts w:eastAsia="Aptos" w:cs="Calibri"/>
                <w:sz w:val="18"/>
                <w:szCs w:val="18"/>
              </w:rPr>
              <w:lastRenderedPageBreak/>
              <w:t xml:space="preserve">Regulatory: Amend the National Regulations (reg 116) to explicitly require </w:t>
            </w:r>
            <w:r w:rsidRPr="00633296">
              <w:rPr>
                <w:rFonts w:eastAsia="Aptos" w:cs="Calibri"/>
                <w:sz w:val="18"/>
                <w:szCs w:val="18"/>
                <w:u w:val="single"/>
              </w:rPr>
              <w:t>assessment</w:t>
            </w:r>
            <w:r w:rsidRPr="00633296">
              <w:rPr>
                <w:rFonts w:eastAsia="Aptos" w:cs="Calibri"/>
                <w:sz w:val="18"/>
                <w:szCs w:val="18"/>
              </w:rPr>
              <w:t xml:space="preserve"> of not just the FDC residence but areas near the residence that may be accessible to children. These changes would apply to new assessments and the next annual reassessment (not retrospectively).</w:t>
            </w:r>
          </w:p>
          <w:p w14:paraId="0A4663D7" w14:textId="750DE254" w:rsidR="005F1A1B" w:rsidRPr="00633296" w:rsidRDefault="005F1A1B" w:rsidP="00EC53AB">
            <w:pPr>
              <w:pStyle w:val="ListParagraph"/>
              <w:numPr>
                <w:ilvl w:val="0"/>
                <w:numId w:val="31"/>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the National Regulations (e.g. reg 116) to formalise an approval process for the FDC service premises, as part of the FDC residence, i.e., explicitly require </w:t>
            </w:r>
            <w:r w:rsidRPr="00633296">
              <w:rPr>
                <w:rFonts w:eastAsia="Aptos" w:cs="Calibri"/>
                <w:sz w:val="18"/>
                <w:szCs w:val="18"/>
                <w:u w:val="single"/>
              </w:rPr>
              <w:t>approval</w:t>
            </w:r>
            <w:r w:rsidRPr="00633296">
              <w:rPr>
                <w:rFonts w:eastAsia="Aptos" w:cs="Calibri"/>
                <w:sz w:val="18"/>
                <w:szCs w:val="18"/>
              </w:rPr>
              <w:t xml:space="preserve"> from the approved provider to confirm areas that are used as the FDC service premises. For existing premises, the approval should be confirmed or amended at the next annual assessment.</w:t>
            </w:r>
          </w:p>
        </w:tc>
        <w:tc>
          <w:tcPr>
            <w:tcW w:w="937" w:type="pct"/>
            <w:tcBorders>
              <w:top w:val="single" w:sz="4" w:space="0" w:color="auto"/>
              <w:left w:val="single" w:sz="4" w:space="0" w:color="auto"/>
              <w:bottom w:val="single" w:sz="4" w:space="0" w:color="auto"/>
              <w:right w:val="single" w:sz="4" w:space="0" w:color="auto"/>
            </w:tcBorders>
          </w:tcPr>
          <w:p w14:paraId="4970D7B7" w14:textId="77777777" w:rsidR="005F1A1B" w:rsidRPr="00633296" w:rsidRDefault="005F1A1B" w:rsidP="00EC53AB">
            <w:pPr>
              <w:pStyle w:val="ListParagraph"/>
              <w:numPr>
                <w:ilvl w:val="0"/>
                <w:numId w:val="28"/>
              </w:numPr>
              <w:tabs>
                <w:tab w:val="clear" w:pos="2835"/>
              </w:tabs>
              <w:spacing w:after="0" w:line="240" w:lineRule="auto"/>
              <w:contextualSpacing/>
              <w:rPr>
                <w:rFonts w:cs="Calibri"/>
                <w:sz w:val="18"/>
                <w:szCs w:val="18"/>
              </w:rPr>
            </w:pPr>
            <w:r w:rsidRPr="00633296">
              <w:rPr>
                <w:rFonts w:cs="Calibri"/>
                <w:sz w:val="18"/>
                <w:szCs w:val="18"/>
              </w:rPr>
              <w:lastRenderedPageBreak/>
              <w:t>Additional options proposed for RIA.</w:t>
            </w:r>
          </w:p>
          <w:p w14:paraId="54FBA31C" w14:textId="14051FB9" w:rsidR="005F1A1B" w:rsidRPr="00633296" w:rsidRDefault="005F1A1B" w:rsidP="00EC53AB">
            <w:pPr>
              <w:pStyle w:val="ListParagraph"/>
              <w:numPr>
                <w:ilvl w:val="0"/>
                <w:numId w:val="28"/>
              </w:numPr>
              <w:tabs>
                <w:tab w:val="clear" w:pos="2835"/>
              </w:tabs>
              <w:spacing w:after="0" w:line="240" w:lineRule="auto"/>
              <w:contextualSpacing/>
              <w:rPr>
                <w:rFonts w:cs="Calibri"/>
                <w:sz w:val="18"/>
                <w:szCs w:val="18"/>
              </w:rPr>
            </w:pPr>
            <w:r w:rsidRPr="00633296">
              <w:rPr>
                <w:rFonts w:cs="Calibri"/>
                <w:sz w:val="18"/>
                <w:szCs w:val="18"/>
              </w:rPr>
              <w:lastRenderedPageBreak/>
              <w:t>The CSR recommendation is split between options 3 and 4.</w:t>
            </w:r>
          </w:p>
        </w:tc>
      </w:tr>
      <w:tr w:rsidR="005F1A1B" w:rsidRPr="007E30F1" w14:paraId="2728B4A6" w14:textId="77777777" w:rsidTr="00090040">
        <w:tc>
          <w:tcPr>
            <w:tcW w:w="1777" w:type="pct"/>
            <w:tcBorders>
              <w:top w:val="single" w:sz="4" w:space="0" w:color="auto"/>
              <w:left w:val="single" w:sz="4" w:space="0" w:color="auto"/>
              <w:bottom w:val="single" w:sz="4" w:space="0" w:color="auto"/>
              <w:right w:val="single" w:sz="4" w:space="0" w:color="auto"/>
            </w:tcBorders>
          </w:tcPr>
          <w:p w14:paraId="159D3F84"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lastRenderedPageBreak/>
              <w:t>Recommendation 5</w:t>
            </w:r>
          </w:p>
          <w:p w14:paraId="4C9A6266" w14:textId="239EC544" w:rsidR="005F1A1B" w:rsidRPr="00633296" w:rsidRDefault="005F1A1B" w:rsidP="005F1A1B">
            <w:pPr>
              <w:spacing w:after="0" w:line="240" w:lineRule="auto"/>
              <w:rPr>
                <w:rFonts w:eastAsia="Aptos" w:cs="Calibri"/>
                <w:b/>
                <w:bCs/>
                <w:color w:val="000000" w:themeColor="text1"/>
                <w:sz w:val="18"/>
                <w:szCs w:val="18"/>
              </w:rPr>
            </w:pPr>
            <w:r w:rsidRPr="00633296">
              <w:rPr>
                <w:rFonts w:eastAsia="Aptos" w:cs="Calibri"/>
                <w:b/>
                <w:bCs/>
                <w:color w:val="000000" w:themeColor="text1"/>
                <w:sz w:val="18"/>
                <w:szCs w:val="18"/>
              </w:rPr>
              <w:t xml:space="preserve">Areas of access in FDCs </w:t>
            </w:r>
          </w:p>
          <w:p w14:paraId="59BDCCC7" w14:textId="77777777" w:rsidR="005F1A1B" w:rsidRPr="00633296" w:rsidRDefault="005F1A1B" w:rsidP="005F1A1B">
            <w:pPr>
              <w:spacing w:after="0" w:line="240" w:lineRule="auto"/>
              <w:rPr>
                <w:rFonts w:eastAsia="Aptos" w:cs="Calibri"/>
                <w:color w:val="000000" w:themeColor="text1"/>
                <w:sz w:val="18"/>
                <w:szCs w:val="18"/>
              </w:rPr>
            </w:pPr>
          </w:p>
          <w:p w14:paraId="6165D372" w14:textId="77777777" w:rsidR="005F1A1B" w:rsidRPr="00633296" w:rsidRDefault="005F1A1B" w:rsidP="005F1A1B">
            <w:pPr>
              <w:spacing w:after="0" w:line="240" w:lineRule="auto"/>
              <w:rPr>
                <w:rFonts w:eastAsia="Calibri" w:cs="Calibri"/>
                <w:sz w:val="18"/>
                <w:szCs w:val="18"/>
              </w:rPr>
            </w:pPr>
            <w:r w:rsidRPr="00633296">
              <w:rPr>
                <w:rFonts w:eastAsia="Aptos" w:cs="Calibri"/>
                <w:color w:val="000000" w:themeColor="text1"/>
                <w:sz w:val="18"/>
                <w:szCs w:val="18"/>
              </w:rPr>
              <w:t>Amend the powers of entry in the National Law to enable authorised officers’ access to all areas of an FDC residence and venue, not just the area being used as part of the approved service (service premises).</w:t>
            </w:r>
          </w:p>
          <w:p w14:paraId="1A6D9E7F" w14:textId="77777777" w:rsidR="005F1A1B" w:rsidRPr="00633296" w:rsidRDefault="005F1A1B" w:rsidP="005F1A1B">
            <w:pPr>
              <w:spacing w:after="0" w:line="240" w:lineRule="auto"/>
              <w:rPr>
                <w:rFonts w:cs="Calibri"/>
                <w:b/>
                <w:sz w:val="18"/>
                <w:szCs w:val="18"/>
              </w:rPr>
            </w:pPr>
          </w:p>
          <w:p w14:paraId="7A663F0E" w14:textId="77777777" w:rsidR="005F1A1B" w:rsidRPr="00633296" w:rsidRDefault="005F1A1B" w:rsidP="005F1A1B">
            <w:pPr>
              <w:spacing w:after="0" w:line="240" w:lineRule="auto"/>
              <w:rPr>
                <w:rFonts w:cs="Calibri"/>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22E5BC2F" w14:textId="77777777" w:rsidR="005F1A1B" w:rsidRPr="00633296" w:rsidRDefault="005F1A1B" w:rsidP="00EC53AB">
            <w:pPr>
              <w:pStyle w:val="ListParagraph"/>
              <w:numPr>
                <w:ilvl w:val="0"/>
                <w:numId w:val="32"/>
              </w:numPr>
              <w:tabs>
                <w:tab w:val="clear" w:pos="2835"/>
              </w:tabs>
              <w:spacing w:after="0" w:line="240" w:lineRule="auto"/>
              <w:contextualSpacing/>
              <w:rPr>
                <w:rFonts w:eastAsia="Aptos" w:cs="Calibri"/>
                <w:sz w:val="18"/>
                <w:szCs w:val="18"/>
              </w:rPr>
            </w:pPr>
            <w:r w:rsidRPr="00633296">
              <w:rPr>
                <w:rFonts w:eastAsia="Aptos" w:cs="Calibri"/>
                <w:sz w:val="18"/>
                <w:szCs w:val="18"/>
              </w:rPr>
              <w:t>No change, status quo.</w:t>
            </w:r>
          </w:p>
          <w:p w14:paraId="62710E38" w14:textId="77777777" w:rsidR="005F1A1B" w:rsidRPr="00633296" w:rsidRDefault="005F1A1B" w:rsidP="00EC53AB">
            <w:pPr>
              <w:pStyle w:val="ListParagraph"/>
              <w:numPr>
                <w:ilvl w:val="0"/>
                <w:numId w:val="32"/>
              </w:numPr>
              <w:tabs>
                <w:tab w:val="clear" w:pos="2835"/>
              </w:tabs>
              <w:spacing w:after="0" w:line="240" w:lineRule="auto"/>
              <w:contextualSpacing/>
              <w:rPr>
                <w:rFonts w:eastAsia="Aptos" w:cs="Calibri"/>
                <w:sz w:val="18"/>
                <w:szCs w:val="18"/>
              </w:rPr>
            </w:pPr>
            <w:r w:rsidRPr="00633296">
              <w:rPr>
                <w:rFonts w:eastAsia="Aptos" w:cs="Calibri"/>
                <w:sz w:val="18"/>
                <w:szCs w:val="18"/>
              </w:rPr>
              <w:t>Non-regulatory: Short guidance or information sheet aimed at authorised officers, FDC approved providers and FDC educators to explain powers of entry and nationally agreed practices.</w:t>
            </w:r>
          </w:p>
          <w:p w14:paraId="24FF8B3A" w14:textId="05B2E0C8" w:rsidR="005F1A1B" w:rsidRPr="00633296" w:rsidRDefault="005F1A1B" w:rsidP="00EC53AB">
            <w:pPr>
              <w:pStyle w:val="ListParagraph"/>
              <w:numPr>
                <w:ilvl w:val="0"/>
                <w:numId w:val="32"/>
              </w:numPr>
              <w:tabs>
                <w:tab w:val="clear" w:pos="2835"/>
              </w:tabs>
              <w:spacing w:after="0" w:line="240" w:lineRule="auto"/>
              <w:contextualSpacing/>
              <w:rPr>
                <w:rFonts w:eastAsia="Aptos" w:cs="Calibri"/>
                <w:sz w:val="18"/>
                <w:szCs w:val="18"/>
              </w:rPr>
            </w:pPr>
            <w:r w:rsidRPr="00633296">
              <w:rPr>
                <w:rFonts w:eastAsia="Aptos" w:cs="Calibri"/>
                <w:sz w:val="18"/>
                <w:szCs w:val="18"/>
              </w:rPr>
              <w:t>Regulatory: Amend the National Law to enable authorised officers’ access to areas of a FDC residence or property, beyond the service premises, in specific instances or for specific purposes which may include: a serious incident has occurred/ suspected to have occurred; to assess or monitor compliance with reg 116; and to assess or monitor compliance with reg 97.</w:t>
            </w:r>
          </w:p>
        </w:tc>
        <w:tc>
          <w:tcPr>
            <w:tcW w:w="937" w:type="pct"/>
            <w:tcBorders>
              <w:top w:val="single" w:sz="4" w:space="0" w:color="auto"/>
              <w:left w:val="single" w:sz="4" w:space="0" w:color="auto"/>
              <w:bottom w:val="single" w:sz="4" w:space="0" w:color="auto"/>
              <w:right w:val="single" w:sz="4" w:space="0" w:color="auto"/>
            </w:tcBorders>
            <w:hideMark/>
          </w:tcPr>
          <w:p w14:paraId="0C9765CA" w14:textId="7A1F4416" w:rsidR="005F1A1B" w:rsidRPr="00633296" w:rsidRDefault="005F1A1B" w:rsidP="00EC53AB">
            <w:pPr>
              <w:pStyle w:val="ListParagraph"/>
              <w:numPr>
                <w:ilvl w:val="0"/>
                <w:numId w:val="33"/>
              </w:numPr>
              <w:tabs>
                <w:tab w:val="clear" w:pos="2835"/>
              </w:tabs>
              <w:spacing w:after="0" w:line="240" w:lineRule="auto"/>
              <w:contextualSpacing/>
              <w:rPr>
                <w:rFonts w:eastAsia="Aptos" w:cs="Calibri"/>
                <w:color w:val="000000" w:themeColor="text1"/>
                <w:sz w:val="18"/>
                <w:szCs w:val="18"/>
              </w:rPr>
            </w:pPr>
            <w:r w:rsidRPr="00633296">
              <w:rPr>
                <w:rFonts w:eastAsia="Aptos" w:cs="Calibri"/>
                <w:color w:val="000000" w:themeColor="text1"/>
                <w:sz w:val="18"/>
                <w:szCs w:val="18"/>
              </w:rPr>
              <w:t xml:space="preserve">Additional options proposed for </w:t>
            </w:r>
            <w:r w:rsidR="00063A51">
              <w:rPr>
                <w:rFonts w:eastAsia="Aptos" w:cs="Calibri"/>
                <w:color w:val="000000" w:themeColor="text1"/>
                <w:sz w:val="18"/>
                <w:szCs w:val="18"/>
              </w:rPr>
              <w:t>the RIS</w:t>
            </w:r>
            <w:r w:rsidR="00063A51" w:rsidRPr="00633296">
              <w:rPr>
                <w:rFonts w:eastAsia="Aptos" w:cs="Calibri"/>
                <w:color w:val="000000" w:themeColor="text1"/>
                <w:sz w:val="18"/>
                <w:szCs w:val="18"/>
              </w:rPr>
              <w:t xml:space="preserve"> </w:t>
            </w:r>
            <w:r w:rsidRPr="00633296">
              <w:rPr>
                <w:rFonts w:eastAsia="Aptos" w:cs="Calibri"/>
                <w:color w:val="000000" w:themeColor="text1"/>
                <w:sz w:val="18"/>
                <w:szCs w:val="18"/>
              </w:rPr>
              <w:t xml:space="preserve">with CSR recommendation amended to seek access only for ‘specified instances’ as described in option 3. </w:t>
            </w:r>
          </w:p>
        </w:tc>
      </w:tr>
      <w:tr w:rsidR="005F1A1B" w:rsidRPr="007E30F1" w14:paraId="5F5DC26E" w14:textId="77777777" w:rsidTr="00090040">
        <w:tc>
          <w:tcPr>
            <w:tcW w:w="1777" w:type="pct"/>
            <w:tcBorders>
              <w:top w:val="single" w:sz="4" w:space="0" w:color="auto"/>
              <w:left w:val="single" w:sz="4" w:space="0" w:color="auto"/>
              <w:bottom w:val="single" w:sz="4" w:space="0" w:color="auto"/>
              <w:right w:val="single" w:sz="4" w:space="0" w:color="auto"/>
            </w:tcBorders>
          </w:tcPr>
          <w:p w14:paraId="5FA71BF8"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Recommendation 9.1</w:t>
            </w:r>
          </w:p>
          <w:p w14:paraId="28E8E6DE" w14:textId="49C6051E" w:rsidR="005F1A1B" w:rsidRPr="00633296" w:rsidRDefault="005F1A1B" w:rsidP="005F1A1B">
            <w:pPr>
              <w:spacing w:after="0" w:line="240" w:lineRule="auto"/>
              <w:rPr>
                <w:rFonts w:cs="Calibri"/>
                <w:b/>
                <w:bCs/>
                <w:sz w:val="18"/>
                <w:szCs w:val="18"/>
              </w:rPr>
            </w:pPr>
            <w:r w:rsidRPr="00633296">
              <w:rPr>
                <w:rFonts w:cs="Calibri"/>
                <w:b/>
                <w:bCs/>
                <w:sz w:val="18"/>
                <w:szCs w:val="18"/>
              </w:rPr>
              <w:t>WWCCs</w:t>
            </w:r>
          </w:p>
          <w:p w14:paraId="09ED8A19" w14:textId="77777777" w:rsidR="005F1A1B" w:rsidRPr="00633296" w:rsidRDefault="005F1A1B" w:rsidP="005F1A1B">
            <w:pPr>
              <w:spacing w:after="0" w:line="240" w:lineRule="auto"/>
              <w:rPr>
                <w:rFonts w:cs="Calibri"/>
                <w:b/>
                <w:bCs/>
                <w:sz w:val="18"/>
                <w:szCs w:val="18"/>
              </w:rPr>
            </w:pPr>
          </w:p>
          <w:p w14:paraId="78D7A470" w14:textId="77777777" w:rsidR="005F1A1B" w:rsidRPr="00633296" w:rsidRDefault="005F1A1B" w:rsidP="005F1A1B">
            <w:pPr>
              <w:spacing w:after="0" w:line="240" w:lineRule="auto"/>
              <w:rPr>
                <w:rFonts w:eastAsia="Calibri" w:cs="Calibri"/>
                <w:sz w:val="18"/>
                <w:szCs w:val="18"/>
              </w:rPr>
            </w:pPr>
            <w:r w:rsidRPr="00633296">
              <w:rPr>
                <w:rFonts w:eastAsia="Aptos" w:cs="Calibri"/>
                <w:color w:val="000000" w:themeColor="text1"/>
                <w:sz w:val="18"/>
                <w:szCs w:val="18"/>
              </w:rPr>
              <w:t>Clarifying beyond doubt that an approved provider cannot allow a person to commence work or volunteer in an approved education and care service without a current WWCC or confirmed teacher registration/accreditation.</w:t>
            </w:r>
          </w:p>
          <w:p w14:paraId="03CC6835" w14:textId="77777777" w:rsidR="005F1A1B" w:rsidRPr="00633296" w:rsidRDefault="005F1A1B" w:rsidP="005F1A1B">
            <w:pPr>
              <w:spacing w:after="0" w:line="240" w:lineRule="auto"/>
              <w:rPr>
                <w:rFonts w:cs="Calibri"/>
                <w:sz w:val="18"/>
                <w:szCs w:val="18"/>
              </w:rPr>
            </w:pPr>
          </w:p>
          <w:p w14:paraId="53C6751F" w14:textId="77777777" w:rsidR="005F1A1B" w:rsidRPr="00633296" w:rsidRDefault="005F1A1B" w:rsidP="005F1A1B">
            <w:pPr>
              <w:spacing w:after="0" w:line="240" w:lineRule="auto"/>
              <w:rPr>
                <w:rFonts w:cs="Calibri"/>
                <w:sz w:val="18"/>
                <w:szCs w:val="18"/>
              </w:rPr>
            </w:pPr>
          </w:p>
          <w:p w14:paraId="7F88051E" w14:textId="77777777" w:rsidR="005F1A1B" w:rsidRPr="00633296" w:rsidRDefault="005F1A1B" w:rsidP="005F1A1B">
            <w:pPr>
              <w:spacing w:after="0" w:line="240" w:lineRule="auto"/>
              <w:rPr>
                <w:rFonts w:cs="Calibri"/>
                <w:sz w:val="18"/>
                <w:szCs w:val="18"/>
              </w:rPr>
            </w:pPr>
          </w:p>
          <w:p w14:paraId="20394E74" w14:textId="77777777" w:rsidR="005F1A1B" w:rsidRPr="00633296" w:rsidRDefault="005F1A1B" w:rsidP="005F1A1B">
            <w:pPr>
              <w:spacing w:after="0" w:line="240" w:lineRule="auto"/>
              <w:rPr>
                <w:rFonts w:cs="Calibri"/>
                <w:sz w:val="18"/>
                <w:szCs w:val="18"/>
              </w:rPr>
            </w:pPr>
          </w:p>
          <w:p w14:paraId="51838A09" w14:textId="77777777" w:rsidR="005F1A1B" w:rsidRPr="00633296" w:rsidRDefault="005F1A1B" w:rsidP="005F1A1B">
            <w:pPr>
              <w:spacing w:after="0" w:line="240" w:lineRule="auto"/>
              <w:rPr>
                <w:rFonts w:cs="Calibri"/>
                <w:sz w:val="18"/>
                <w:szCs w:val="18"/>
              </w:rPr>
            </w:pPr>
          </w:p>
          <w:p w14:paraId="3E536990" w14:textId="77777777" w:rsidR="005F1A1B" w:rsidRPr="00633296" w:rsidRDefault="005F1A1B" w:rsidP="005F1A1B">
            <w:pPr>
              <w:spacing w:after="0" w:line="240" w:lineRule="auto"/>
              <w:rPr>
                <w:rFonts w:cs="Calibri"/>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0C72C541" w14:textId="77777777" w:rsidR="005F1A1B" w:rsidRPr="00633296" w:rsidRDefault="005F1A1B" w:rsidP="00EC53AB">
            <w:pPr>
              <w:pStyle w:val="ListParagraph"/>
              <w:numPr>
                <w:ilvl w:val="0"/>
                <w:numId w:val="34"/>
              </w:numPr>
              <w:tabs>
                <w:tab w:val="clear" w:pos="2835"/>
              </w:tabs>
              <w:spacing w:after="0" w:line="240" w:lineRule="auto"/>
              <w:contextualSpacing/>
              <w:rPr>
                <w:rFonts w:cs="Calibri"/>
                <w:sz w:val="18"/>
                <w:szCs w:val="18"/>
              </w:rPr>
            </w:pPr>
            <w:r w:rsidRPr="00633296">
              <w:rPr>
                <w:rFonts w:cs="Calibri"/>
                <w:sz w:val="18"/>
                <w:szCs w:val="18"/>
              </w:rPr>
              <w:t>No change, status quo.</w:t>
            </w:r>
          </w:p>
          <w:p w14:paraId="2A060DA1" w14:textId="1C83F076" w:rsidR="005F1A1B" w:rsidRPr="00633296" w:rsidRDefault="005F1A1B" w:rsidP="00EC53AB">
            <w:pPr>
              <w:pStyle w:val="ListParagraph"/>
              <w:numPr>
                <w:ilvl w:val="0"/>
                <w:numId w:val="34"/>
              </w:numPr>
              <w:tabs>
                <w:tab w:val="clear" w:pos="2835"/>
              </w:tabs>
              <w:spacing w:after="0" w:line="240" w:lineRule="auto"/>
              <w:contextualSpacing/>
              <w:rPr>
                <w:rFonts w:cs="Calibri"/>
                <w:sz w:val="18"/>
                <w:szCs w:val="18"/>
              </w:rPr>
            </w:pPr>
            <w:r w:rsidRPr="00633296">
              <w:rPr>
                <w:rFonts w:cs="Calibri"/>
                <w:sz w:val="18"/>
                <w:szCs w:val="18"/>
              </w:rPr>
              <w:t xml:space="preserve">A Non-regulatory: Additional guidance about WWCC and teacher registration/ accreditation requirements and the importance of WWCCs in conjunction with the implementation </w:t>
            </w:r>
            <w:r w:rsidR="004324FE" w:rsidRPr="00633296">
              <w:rPr>
                <w:rFonts w:cs="Calibri"/>
                <w:sz w:val="18"/>
                <w:szCs w:val="18"/>
              </w:rPr>
              <w:t>of child</w:t>
            </w:r>
            <w:r w:rsidRPr="00633296">
              <w:rPr>
                <w:rFonts w:cs="Calibri"/>
                <w:sz w:val="18"/>
                <w:szCs w:val="18"/>
              </w:rPr>
              <w:t xml:space="preserve"> safety training. Guidance to include best practice approaches.</w:t>
            </w:r>
          </w:p>
          <w:p w14:paraId="6D1A8941" w14:textId="608D2039" w:rsidR="005F1A1B" w:rsidRPr="00633296" w:rsidRDefault="005F1A1B" w:rsidP="00EC53AB">
            <w:pPr>
              <w:pStyle w:val="ListParagraph"/>
              <w:numPr>
                <w:ilvl w:val="0"/>
                <w:numId w:val="34"/>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Jurisdiction specific National Regulation amendment in </w:t>
            </w:r>
            <w:r w:rsidR="00A0013F">
              <w:rPr>
                <w:rFonts w:eastAsia="Aptos" w:cs="Calibri"/>
                <w:sz w:val="18"/>
                <w:szCs w:val="18"/>
              </w:rPr>
              <w:t>WA, NT and ACT</w:t>
            </w:r>
            <w:r w:rsidRPr="00633296">
              <w:rPr>
                <w:rFonts w:eastAsia="Aptos" w:cs="Calibri"/>
                <w:sz w:val="18"/>
                <w:szCs w:val="18"/>
              </w:rPr>
              <w:t xml:space="preserve"> to require that an approved provider of an education and care service must ensure that staff, students, and volunteers of that service hold a valid WWCC before they can be engaged/commence their roles. In addition, a jurisdiction specific National Regulation amendment in NSW will clarify this same requirement beyond doubt. </w:t>
            </w:r>
          </w:p>
        </w:tc>
        <w:tc>
          <w:tcPr>
            <w:tcW w:w="937" w:type="pct"/>
            <w:tcBorders>
              <w:top w:val="single" w:sz="4" w:space="0" w:color="auto"/>
              <w:left w:val="single" w:sz="4" w:space="0" w:color="auto"/>
              <w:bottom w:val="single" w:sz="4" w:space="0" w:color="auto"/>
              <w:right w:val="single" w:sz="4" w:space="0" w:color="auto"/>
            </w:tcBorders>
            <w:hideMark/>
          </w:tcPr>
          <w:p w14:paraId="470D84FD" w14:textId="77777777" w:rsidR="005F1A1B" w:rsidRPr="00633296" w:rsidRDefault="005F1A1B" w:rsidP="00EC53AB">
            <w:pPr>
              <w:pStyle w:val="ListParagraph"/>
              <w:numPr>
                <w:ilvl w:val="0"/>
                <w:numId w:val="35"/>
              </w:numPr>
              <w:tabs>
                <w:tab w:val="clear" w:pos="2835"/>
              </w:tabs>
              <w:spacing w:after="0" w:line="240" w:lineRule="auto"/>
              <w:contextualSpacing/>
              <w:rPr>
                <w:rFonts w:eastAsia="Aptos" w:cs="Calibri"/>
                <w:color w:val="000000" w:themeColor="text1"/>
                <w:sz w:val="18"/>
                <w:szCs w:val="18"/>
              </w:rPr>
            </w:pPr>
            <w:r w:rsidRPr="00633296">
              <w:rPr>
                <w:rFonts w:eastAsia="Aptos" w:cs="Calibri"/>
                <w:color w:val="000000" w:themeColor="text1"/>
                <w:sz w:val="18"/>
                <w:szCs w:val="18"/>
              </w:rPr>
              <w:t xml:space="preserve">All options are additional or different to the CSR recommendation. </w:t>
            </w:r>
          </w:p>
          <w:p w14:paraId="449D3DEF" w14:textId="46F6738E" w:rsidR="005F1A1B" w:rsidRPr="00633296" w:rsidRDefault="005F1A1B" w:rsidP="005F1A1B">
            <w:pPr>
              <w:pStyle w:val="ListParagraph"/>
              <w:numPr>
                <w:ilvl w:val="0"/>
                <w:numId w:val="0"/>
              </w:numPr>
              <w:tabs>
                <w:tab w:val="clear" w:pos="2835"/>
              </w:tabs>
              <w:spacing w:after="0" w:line="240" w:lineRule="auto"/>
              <w:ind w:left="360"/>
              <w:contextualSpacing/>
              <w:rPr>
                <w:rFonts w:eastAsia="Aptos" w:cs="Calibri"/>
                <w:color w:val="000000" w:themeColor="text1"/>
                <w:sz w:val="18"/>
                <w:szCs w:val="18"/>
              </w:rPr>
            </w:pPr>
          </w:p>
        </w:tc>
      </w:tr>
      <w:tr w:rsidR="005F1A1B" w:rsidRPr="007E30F1" w14:paraId="02182474" w14:textId="77777777" w:rsidTr="00090040">
        <w:tc>
          <w:tcPr>
            <w:tcW w:w="1777" w:type="pct"/>
            <w:tcBorders>
              <w:top w:val="single" w:sz="4" w:space="0" w:color="auto"/>
              <w:left w:val="single" w:sz="4" w:space="0" w:color="auto"/>
              <w:bottom w:val="single" w:sz="4" w:space="0" w:color="auto"/>
              <w:right w:val="single" w:sz="4" w:space="0" w:color="auto"/>
            </w:tcBorders>
          </w:tcPr>
          <w:p w14:paraId="2AF8D02D"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Recommendation 9.2</w:t>
            </w:r>
          </w:p>
          <w:p w14:paraId="26571C80" w14:textId="7C272DEB" w:rsidR="005F1A1B" w:rsidRPr="00633296" w:rsidRDefault="005F1A1B" w:rsidP="005F1A1B">
            <w:pPr>
              <w:spacing w:after="0" w:line="240" w:lineRule="auto"/>
              <w:rPr>
                <w:rFonts w:cs="Calibri"/>
                <w:b/>
                <w:bCs/>
                <w:sz w:val="18"/>
                <w:szCs w:val="18"/>
              </w:rPr>
            </w:pPr>
            <w:r w:rsidRPr="00633296">
              <w:rPr>
                <w:rFonts w:cs="Calibri"/>
                <w:b/>
                <w:bCs/>
                <w:sz w:val="18"/>
                <w:szCs w:val="18"/>
              </w:rPr>
              <w:t>WWCCs</w:t>
            </w:r>
          </w:p>
          <w:p w14:paraId="76ED1F48" w14:textId="77777777" w:rsidR="005F1A1B" w:rsidRPr="00633296" w:rsidRDefault="005F1A1B" w:rsidP="005F1A1B">
            <w:pPr>
              <w:spacing w:after="0" w:line="240" w:lineRule="auto"/>
              <w:rPr>
                <w:rFonts w:cs="Calibri"/>
                <w:b/>
                <w:bCs/>
                <w:sz w:val="18"/>
                <w:szCs w:val="18"/>
              </w:rPr>
            </w:pPr>
          </w:p>
          <w:p w14:paraId="01D6039F" w14:textId="081ABE2D" w:rsidR="005F1A1B" w:rsidRPr="00633296" w:rsidRDefault="005F1A1B" w:rsidP="005F1A1B">
            <w:pPr>
              <w:spacing w:after="0" w:line="240" w:lineRule="auto"/>
              <w:rPr>
                <w:rFonts w:cs="Calibri"/>
                <w:sz w:val="18"/>
                <w:szCs w:val="18"/>
              </w:rPr>
            </w:pPr>
            <w:r w:rsidRPr="00633296">
              <w:rPr>
                <w:rFonts w:eastAsia="Aptos" w:cs="Calibri"/>
                <w:color w:val="000000" w:themeColor="text1"/>
                <w:sz w:val="18"/>
                <w:szCs w:val="18"/>
              </w:rPr>
              <w:t xml:space="preserve">Requiring all staff regardless of roles/service types to notify their approved provider of a change in status to their </w:t>
            </w:r>
            <w:r w:rsidRPr="00633296">
              <w:rPr>
                <w:rFonts w:eastAsia="Aptos" w:cs="Calibri"/>
                <w:color w:val="000000" w:themeColor="text1"/>
                <w:sz w:val="18"/>
                <w:szCs w:val="18"/>
              </w:rPr>
              <w:lastRenderedPageBreak/>
              <w:t>WWCC or teacher registration/accreditation obligations and the approved provider to notify the Regulatory Authority.</w:t>
            </w:r>
            <w:r w:rsidR="00444A15">
              <w:rPr>
                <w:rFonts w:eastAsia="Aptos" w:cs="Calibri"/>
                <w:color w:val="000000" w:themeColor="text1"/>
                <w:sz w:val="18"/>
                <w:szCs w:val="18"/>
              </w:rPr>
              <w:t xml:space="preserve"> </w:t>
            </w:r>
          </w:p>
          <w:p w14:paraId="0A55A4FC" w14:textId="77777777" w:rsidR="005F1A1B" w:rsidRPr="00633296" w:rsidRDefault="005F1A1B" w:rsidP="005F1A1B">
            <w:pPr>
              <w:spacing w:after="0" w:line="240" w:lineRule="auto"/>
              <w:rPr>
                <w:rFonts w:cs="Calibri"/>
                <w:b/>
                <w:bCs/>
                <w:sz w:val="18"/>
                <w:szCs w:val="18"/>
              </w:rPr>
            </w:pPr>
          </w:p>
          <w:p w14:paraId="12A71033" w14:textId="77777777" w:rsidR="005F1A1B" w:rsidRPr="00633296" w:rsidRDefault="005F1A1B" w:rsidP="005F1A1B">
            <w:pPr>
              <w:spacing w:after="0" w:line="240" w:lineRule="auto"/>
              <w:rPr>
                <w:rFonts w:cs="Calibri"/>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308880B5" w14:textId="77777777" w:rsidR="005F1A1B" w:rsidRPr="00633296" w:rsidRDefault="005F1A1B" w:rsidP="00EC53AB">
            <w:pPr>
              <w:pStyle w:val="ListParagraph"/>
              <w:numPr>
                <w:ilvl w:val="0"/>
                <w:numId w:val="36"/>
              </w:numPr>
              <w:tabs>
                <w:tab w:val="clear" w:pos="2835"/>
              </w:tabs>
              <w:spacing w:after="0" w:line="240" w:lineRule="auto"/>
              <w:contextualSpacing/>
              <w:rPr>
                <w:rFonts w:cs="Calibri"/>
                <w:sz w:val="18"/>
                <w:szCs w:val="18"/>
              </w:rPr>
            </w:pPr>
            <w:r w:rsidRPr="00633296">
              <w:rPr>
                <w:rFonts w:cs="Calibri"/>
                <w:sz w:val="18"/>
                <w:szCs w:val="18"/>
              </w:rPr>
              <w:lastRenderedPageBreak/>
              <w:t>No change, status quo.</w:t>
            </w:r>
          </w:p>
          <w:p w14:paraId="7FBE7C83" w14:textId="77777777" w:rsidR="005F1A1B" w:rsidRPr="00633296" w:rsidRDefault="005F1A1B" w:rsidP="00EC53AB">
            <w:pPr>
              <w:pStyle w:val="ListParagraph"/>
              <w:numPr>
                <w:ilvl w:val="0"/>
                <w:numId w:val="36"/>
              </w:numPr>
              <w:tabs>
                <w:tab w:val="clear" w:pos="2835"/>
              </w:tabs>
              <w:spacing w:after="0" w:line="240" w:lineRule="auto"/>
              <w:contextualSpacing/>
              <w:rPr>
                <w:rFonts w:cs="Calibri"/>
                <w:sz w:val="18"/>
                <w:szCs w:val="18"/>
              </w:rPr>
            </w:pPr>
            <w:r w:rsidRPr="00633296">
              <w:rPr>
                <w:rFonts w:cs="Calibri"/>
                <w:sz w:val="18"/>
                <w:szCs w:val="18"/>
              </w:rPr>
              <w:t>Non-regulatory: Additional guidance about current WWCC and teacher registration/ accreditation notification requirements and the importance of WWCCs in conjunction with the implementation of child safety training. Guidance to include best practice approaches.</w:t>
            </w:r>
          </w:p>
          <w:p w14:paraId="49BBA8D9" w14:textId="77777777" w:rsidR="005F1A1B" w:rsidRPr="00633296" w:rsidRDefault="005F1A1B" w:rsidP="00EC53AB">
            <w:pPr>
              <w:pStyle w:val="ListParagraph"/>
              <w:numPr>
                <w:ilvl w:val="0"/>
                <w:numId w:val="36"/>
              </w:numPr>
              <w:tabs>
                <w:tab w:val="clear" w:pos="2835"/>
              </w:tabs>
              <w:spacing w:after="0" w:line="240" w:lineRule="auto"/>
              <w:contextualSpacing/>
              <w:rPr>
                <w:rFonts w:cs="Calibri"/>
                <w:sz w:val="18"/>
                <w:szCs w:val="18"/>
              </w:rPr>
            </w:pPr>
            <w:r w:rsidRPr="00633296">
              <w:rPr>
                <w:rFonts w:cs="Calibri"/>
                <w:sz w:val="18"/>
                <w:szCs w:val="18"/>
              </w:rPr>
              <w:lastRenderedPageBreak/>
              <w:t>Regulatory:</w:t>
            </w:r>
          </w:p>
          <w:p w14:paraId="3F495F07" w14:textId="77777777" w:rsidR="005F1A1B" w:rsidRPr="00633296" w:rsidRDefault="005F1A1B" w:rsidP="00EC53AB">
            <w:pPr>
              <w:pStyle w:val="ListParagraph"/>
              <w:numPr>
                <w:ilvl w:val="0"/>
                <w:numId w:val="37"/>
              </w:numPr>
              <w:tabs>
                <w:tab w:val="clear" w:pos="2835"/>
              </w:tabs>
              <w:spacing w:after="0" w:line="240" w:lineRule="auto"/>
              <w:contextualSpacing/>
              <w:rPr>
                <w:rFonts w:cs="Calibri"/>
                <w:sz w:val="18"/>
                <w:szCs w:val="18"/>
              </w:rPr>
            </w:pPr>
            <w:r w:rsidRPr="00633296">
              <w:rPr>
                <w:rFonts w:cs="Calibri"/>
                <w:sz w:val="18"/>
                <w:szCs w:val="18"/>
              </w:rPr>
              <w:t xml:space="preserve">New requirement for all centre-based staff (and FDC educators) to notify their approved provider of a change in WWCC or teacher registration/ accreditation status (in NSW, TAS, ACT and NT </w:t>
            </w:r>
            <w:r w:rsidRPr="00633296">
              <w:rPr>
                <w:rFonts w:cs="Calibri"/>
                <w:sz w:val="18"/>
                <w:szCs w:val="18"/>
                <w:u w:val="single"/>
              </w:rPr>
              <w:t>only).</w:t>
            </w:r>
          </w:p>
          <w:p w14:paraId="7CCF7358" w14:textId="77777777" w:rsidR="005F1A1B" w:rsidRPr="00633296" w:rsidRDefault="005F1A1B" w:rsidP="005F1A1B">
            <w:pPr>
              <w:spacing w:after="0" w:line="240" w:lineRule="auto"/>
              <w:ind w:left="720"/>
              <w:rPr>
                <w:rFonts w:cs="Calibri"/>
                <w:sz w:val="18"/>
                <w:szCs w:val="18"/>
                <w:u w:val="single"/>
              </w:rPr>
            </w:pPr>
            <w:r w:rsidRPr="00633296">
              <w:rPr>
                <w:rFonts w:cs="Calibri"/>
                <w:sz w:val="18"/>
                <w:szCs w:val="18"/>
                <w:u w:val="single"/>
              </w:rPr>
              <w:t>and</w:t>
            </w:r>
          </w:p>
          <w:p w14:paraId="577A3253" w14:textId="178BC5BC" w:rsidR="005F1A1B" w:rsidRPr="00633296" w:rsidRDefault="005F1A1B" w:rsidP="00EC53AB">
            <w:pPr>
              <w:pStyle w:val="ListParagraph"/>
              <w:numPr>
                <w:ilvl w:val="0"/>
                <w:numId w:val="37"/>
              </w:numPr>
              <w:tabs>
                <w:tab w:val="clear" w:pos="2835"/>
              </w:tabs>
              <w:spacing w:after="0" w:line="240" w:lineRule="auto"/>
              <w:contextualSpacing/>
              <w:rPr>
                <w:rFonts w:cs="Calibri"/>
                <w:sz w:val="18"/>
                <w:szCs w:val="18"/>
              </w:rPr>
            </w:pPr>
            <w:r w:rsidRPr="00633296">
              <w:rPr>
                <w:rFonts w:cs="Calibri"/>
                <w:sz w:val="18"/>
                <w:szCs w:val="18"/>
              </w:rPr>
              <w:t xml:space="preserve">New requirement for approved providers to notify the RA of a change in WWCC or teacher registration/ accreditation status for all staff with penalties/offences for non-compliance (in all jurisdictions except </w:t>
            </w:r>
            <w:r w:rsidR="00CC60DE">
              <w:rPr>
                <w:rFonts w:cs="Calibri"/>
                <w:sz w:val="18"/>
                <w:szCs w:val="18"/>
              </w:rPr>
              <w:t>QLD</w:t>
            </w:r>
            <w:r w:rsidRPr="00633296">
              <w:rPr>
                <w:rFonts w:cs="Calibri"/>
                <w:sz w:val="18"/>
                <w:szCs w:val="18"/>
              </w:rPr>
              <w:t xml:space="preserve"> and </w:t>
            </w:r>
            <w:r w:rsidR="00CC60DE">
              <w:rPr>
                <w:rFonts w:cs="Calibri"/>
                <w:sz w:val="18"/>
                <w:szCs w:val="18"/>
              </w:rPr>
              <w:t>WA</w:t>
            </w:r>
            <w:r w:rsidRPr="00633296">
              <w:rPr>
                <w:rFonts w:cs="Calibri"/>
                <w:sz w:val="18"/>
                <w:szCs w:val="18"/>
              </w:rPr>
              <w:t xml:space="preserve"> and including an exemption in </w:t>
            </w:r>
            <w:r w:rsidR="00CC60DE">
              <w:rPr>
                <w:rFonts w:cs="Calibri"/>
                <w:sz w:val="18"/>
                <w:szCs w:val="18"/>
              </w:rPr>
              <w:t>SA</w:t>
            </w:r>
            <w:r w:rsidRPr="00633296">
              <w:rPr>
                <w:rFonts w:cs="Calibri"/>
                <w:sz w:val="18"/>
                <w:szCs w:val="18"/>
              </w:rPr>
              <w:t xml:space="preserve"> in instances where the change to WWCC status is directly communicated with the RA.</w:t>
            </w:r>
          </w:p>
        </w:tc>
        <w:tc>
          <w:tcPr>
            <w:tcW w:w="937" w:type="pct"/>
            <w:tcBorders>
              <w:top w:val="single" w:sz="4" w:space="0" w:color="auto"/>
              <w:left w:val="single" w:sz="4" w:space="0" w:color="auto"/>
              <w:bottom w:val="single" w:sz="4" w:space="0" w:color="auto"/>
              <w:right w:val="single" w:sz="4" w:space="0" w:color="auto"/>
            </w:tcBorders>
            <w:hideMark/>
          </w:tcPr>
          <w:p w14:paraId="3CBB8CDF" w14:textId="2B6048AF" w:rsidR="005F1A1B" w:rsidRPr="00633296" w:rsidRDefault="005F1A1B" w:rsidP="00EC53AB">
            <w:pPr>
              <w:pStyle w:val="ListParagraph"/>
              <w:numPr>
                <w:ilvl w:val="0"/>
                <w:numId w:val="38"/>
              </w:numPr>
              <w:tabs>
                <w:tab w:val="clear" w:pos="2835"/>
              </w:tabs>
              <w:spacing w:after="0" w:line="240" w:lineRule="auto"/>
              <w:contextualSpacing/>
              <w:rPr>
                <w:sz w:val="18"/>
                <w:szCs w:val="18"/>
              </w:rPr>
            </w:pPr>
            <w:r w:rsidRPr="00633296">
              <w:rPr>
                <w:rFonts w:eastAsia="Aptos" w:cs="Calibri"/>
                <w:color w:val="000000" w:themeColor="text1"/>
                <w:sz w:val="18"/>
                <w:szCs w:val="18"/>
              </w:rPr>
              <w:lastRenderedPageBreak/>
              <w:t>All options are additional or different to the CSR Review recommendation.</w:t>
            </w:r>
          </w:p>
        </w:tc>
      </w:tr>
      <w:tr w:rsidR="005F1A1B" w:rsidRPr="007E30F1" w14:paraId="4C3371A2" w14:textId="77777777" w:rsidTr="00090040">
        <w:tc>
          <w:tcPr>
            <w:tcW w:w="1777" w:type="pct"/>
            <w:tcBorders>
              <w:top w:val="single" w:sz="4" w:space="0" w:color="auto"/>
              <w:left w:val="single" w:sz="4" w:space="0" w:color="auto"/>
              <w:bottom w:val="single" w:sz="4" w:space="0" w:color="auto"/>
              <w:right w:val="single" w:sz="4" w:space="0" w:color="auto"/>
            </w:tcBorders>
          </w:tcPr>
          <w:p w14:paraId="733B16A8"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 xml:space="preserve">Recommendation 10 </w:t>
            </w:r>
          </w:p>
          <w:p w14:paraId="3CE124CB"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Inappropriate conduct</w:t>
            </w:r>
          </w:p>
          <w:p w14:paraId="244D5099" w14:textId="77777777" w:rsidR="005F1A1B" w:rsidRPr="00633296" w:rsidRDefault="005F1A1B" w:rsidP="005F1A1B">
            <w:pPr>
              <w:spacing w:after="0" w:line="240" w:lineRule="auto"/>
              <w:rPr>
                <w:rStyle w:val="normaltextrun"/>
                <w:rFonts w:eastAsia="Aptos" w:cs="Calibri"/>
                <w:color w:val="000000" w:themeColor="text1"/>
                <w:sz w:val="18"/>
                <w:szCs w:val="18"/>
              </w:rPr>
            </w:pPr>
          </w:p>
          <w:p w14:paraId="4519B0AF" w14:textId="77777777" w:rsidR="005F1A1B" w:rsidRPr="006E4127" w:rsidRDefault="005F1A1B" w:rsidP="005F1A1B">
            <w:pPr>
              <w:spacing w:after="0" w:line="240" w:lineRule="auto"/>
              <w:rPr>
                <w:rFonts w:eastAsia="Aptos" w:cs="Calibri"/>
                <w:color w:val="000000" w:themeColor="text1"/>
                <w:sz w:val="18"/>
                <w:szCs w:val="18"/>
              </w:rPr>
            </w:pPr>
            <w:r w:rsidRPr="006E4127">
              <w:rPr>
                <w:sz w:val="18"/>
                <w:szCs w:val="18"/>
              </w:rPr>
              <w:t>Expand section 166 of the National Law (inappropriate discipline – corporal punishment and unreasonable discipline) to include inappropriate interactions as an offence.</w:t>
            </w:r>
          </w:p>
          <w:p w14:paraId="059BFEC6" w14:textId="77777777" w:rsidR="005F1A1B" w:rsidRPr="00633296" w:rsidRDefault="005F1A1B" w:rsidP="005F1A1B">
            <w:pPr>
              <w:spacing w:after="0" w:line="240" w:lineRule="auto"/>
              <w:rPr>
                <w:rFonts w:cs="Calibri"/>
                <w:sz w:val="18"/>
                <w:szCs w:val="18"/>
              </w:rPr>
            </w:pPr>
            <w:r w:rsidRPr="00633296">
              <w:rPr>
                <w:rFonts w:cs="Calibri"/>
                <w:sz w:val="18"/>
                <w:szCs w:val="18"/>
              </w:rPr>
              <w:t xml:space="preserve"> </w:t>
            </w:r>
          </w:p>
          <w:p w14:paraId="4C899333"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Note: To be read in conjunction with Recs 11A and 11B.</w:t>
            </w:r>
          </w:p>
          <w:p w14:paraId="54E0D7E1" w14:textId="77777777" w:rsidR="005F1A1B" w:rsidRPr="00633296" w:rsidRDefault="005F1A1B" w:rsidP="005F1A1B">
            <w:pPr>
              <w:spacing w:after="0" w:line="240" w:lineRule="auto"/>
              <w:rPr>
                <w:rFonts w:cs="Calibri"/>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73BBD38D" w14:textId="77777777" w:rsidR="005F1A1B" w:rsidRPr="00633296" w:rsidRDefault="005F1A1B" w:rsidP="00EC53AB">
            <w:pPr>
              <w:pStyle w:val="ListParagraph"/>
              <w:numPr>
                <w:ilvl w:val="0"/>
                <w:numId w:val="39"/>
              </w:numPr>
              <w:tabs>
                <w:tab w:val="clear" w:pos="2835"/>
              </w:tabs>
              <w:spacing w:after="0" w:line="240" w:lineRule="auto"/>
              <w:contextualSpacing/>
              <w:rPr>
                <w:rFonts w:cs="Calibri"/>
                <w:sz w:val="18"/>
                <w:szCs w:val="18"/>
              </w:rPr>
            </w:pPr>
            <w:r w:rsidRPr="00633296">
              <w:rPr>
                <w:rFonts w:cs="Calibri"/>
                <w:sz w:val="18"/>
                <w:szCs w:val="18"/>
              </w:rPr>
              <w:t>No change, status quo.</w:t>
            </w:r>
          </w:p>
          <w:p w14:paraId="07AFCC40" w14:textId="211A055F" w:rsidR="005F1A1B" w:rsidRPr="00633296" w:rsidRDefault="005F1A1B" w:rsidP="00EC53AB">
            <w:pPr>
              <w:pStyle w:val="ListParagraph"/>
              <w:numPr>
                <w:ilvl w:val="0"/>
                <w:numId w:val="39"/>
              </w:numPr>
              <w:tabs>
                <w:tab w:val="clear" w:pos="2835"/>
              </w:tabs>
              <w:spacing w:after="0" w:line="240" w:lineRule="auto"/>
              <w:contextualSpacing/>
              <w:rPr>
                <w:rFonts w:cs="Calibri"/>
                <w:sz w:val="18"/>
                <w:szCs w:val="18"/>
              </w:rPr>
            </w:pPr>
            <w:r w:rsidRPr="00633296">
              <w:rPr>
                <w:rFonts w:cs="Calibri"/>
                <w:sz w:val="18"/>
                <w:szCs w:val="18"/>
              </w:rPr>
              <w:t xml:space="preserve">Non-regulatory: Develop more communications and resources encouraging approved providers to address appropriate and inappropriate conduct within their contracts of employment, </w:t>
            </w:r>
            <w:r w:rsidR="00B35BCC">
              <w:rPr>
                <w:rFonts w:cs="Calibri"/>
                <w:sz w:val="18"/>
                <w:szCs w:val="18"/>
              </w:rPr>
              <w:t>Code of Conduct</w:t>
            </w:r>
            <w:r w:rsidRPr="00633296">
              <w:rPr>
                <w:rFonts w:cs="Calibri"/>
                <w:sz w:val="18"/>
                <w:szCs w:val="18"/>
              </w:rPr>
              <w:t xml:space="preserve"> and policies and procedures under regulation168(2) of the National Regulations.</w:t>
            </w:r>
          </w:p>
          <w:p w14:paraId="7E3B68D2" w14:textId="77777777" w:rsidR="005F1A1B" w:rsidRPr="00633296" w:rsidRDefault="005F1A1B" w:rsidP="00EC53AB">
            <w:pPr>
              <w:pStyle w:val="ListParagraph"/>
              <w:numPr>
                <w:ilvl w:val="0"/>
                <w:numId w:val="39"/>
              </w:numPr>
              <w:tabs>
                <w:tab w:val="clear" w:pos="2835"/>
              </w:tabs>
              <w:spacing w:after="0" w:line="240" w:lineRule="auto"/>
              <w:contextualSpacing/>
              <w:rPr>
                <w:rFonts w:cs="Calibri"/>
                <w:sz w:val="18"/>
                <w:szCs w:val="18"/>
              </w:rPr>
            </w:pPr>
            <w:r w:rsidRPr="00633296">
              <w:rPr>
                <w:rFonts w:cs="Calibri"/>
                <w:sz w:val="18"/>
                <w:szCs w:val="18"/>
              </w:rPr>
              <w:t>Regulatory: Amend the National Law to introduce ‘inappropriate conduct’ as an offence applicable to approved providers, nominated supervisors, educators, other staff members and FDC educators as follows:</w:t>
            </w:r>
          </w:p>
          <w:p w14:paraId="48313B9F" w14:textId="77777777" w:rsidR="005F1A1B" w:rsidRPr="00633296" w:rsidRDefault="005F1A1B" w:rsidP="005F1A1B">
            <w:pPr>
              <w:spacing w:after="0" w:line="240" w:lineRule="auto"/>
              <w:ind w:left="360"/>
              <w:rPr>
                <w:rFonts w:cs="Calibri"/>
                <w:sz w:val="18"/>
                <w:szCs w:val="18"/>
              </w:rPr>
            </w:pPr>
            <w:r w:rsidRPr="00633296">
              <w:rPr>
                <w:rFonts w:cs="Calibri"/>
                <w:sz w:val="18"/>
                <w:szCs w:val="18"/>
              </w:rPr>
              <w:t>The approved provider and a nominated supervisor must ensure that no child being educated and cared for by the service is subjected to any form of inappropriate conduct:</w:t>
            </w:r>
          </w:p>
          <w:p w14:paraId="23C91C01" w14:textId="77777777" w:rsidR="005F1A1B" w:rsidRPr="00633296" w:rsidRDefault="005F1A1B" w:rsidP="005F1A1B">
            <w:pPr>
              <w:spacing w:after="0" w:line="240" w:lineRule="auto"/>
              <w:ind w:left="360"/>
              <w:rPr>
                <w:rFonts w:cs="Calibri"/>
                <w:sz w:val="18"/>
                <w:szCs w:val="18"/>
                <w:u w:val="single"/>
              </w:rPr>
            </w:pPr>
            <w:r w:rsidRPr="00633296">
              <w:rPr>
                <w:rFonts w:cs="Calibri"/>
                <w:sz w:val="18"/>
                <w:szCs w:val="18"/>
                <w:u w:val="single"/>
              </w:rPr>
              <w:t>and</w:t>
            </w:r>
          </w:p>
          <w:p w14:paraId="3764B2A0" w14:textId="5E695DDE" w:rsidR="005F1A1B" w:rsidRPr="00633296" w:rsidRDefault="005F1A1B" w:rsidP="005F1A1B">
            <w:pPr>
              <w:spacing w:after="0" w:line="240" w:lineRule="auto"/>
              <w:ind w:left="360"/>
              <w:rPr>
                <w:rFonts w:cs="Calibri"/>
                <w:sz w:val="18"/>
                <w:szCs w:val="18"/>
              </w:rPr>
            </w:pPr>
            <w:r w:rsidRPr="00633296">
              <w:rPr>
                <w:rFonts w:cs="Calibri"/>
                <w:sz w:val="18"/>
                <w:szCs w:val="18"/>
              </w:rPr>
              <w:t>A staff member of, or volunteer at an education and care service, or FDC educator must not subject any child being educated and cared for by the service to any form of inappropriate conduct.</w:t>
            </w:r>
          </w:p>
        </w:tc>
        <w:tc>
          <w:tcPr>
            <w:tcW w:w="937" w:type="pct"/>
            <w:tcBorders>
              <w:top w:val="single" w:sz="4" w:space="0" w:color="auto"/>
              <w:left w:val="single" w:sz="4" w:space="0" w:color="auto"/>
              <w:bottom w:val="single" w:sz="4" w:space="0" w:color="auto"/>
              <w:right w:val="single" w:sz="4" w:space="0" w:color="auto"/>
            </w:tcBorders>
          </w:tcPr>
          <w:p w14:paraId="10DEBE33" w14:textId="3FDBB29C" w:rsidR="005F1A1B" w:rsidRPr="00633296" w:rsidRDefault="005F1A1B" w:rsidP="00EC53AB">
            <w:pPr>
              <w:pStyle w:val="ListParagraph"/>
              <w:numPr>
                <w:ilvl w:val="0"/>
                <w:numId w:val="38"/>
              </w:numPr>
              <w:tabs>
                <w:tab w:val="clear" w:pos="2835"/>
              </w:tabs>
              <w:spacing w:after="0" w:line="240" w:lineRule="auto"/>
              <w:contextualSpacing/>
              <w:rPr>
                <w:sz w:val="18"/>
                <w:szCs w:val="18"/>
              </w:rPr>
            </w:pPr>
            <w:r w:rsidRPr="00633296">
              <w:rPr>
                <w:rFonts w:eastAsia="Aptos" w:cs="Calibri"/>
                <w:color w:val="000000" w:themeColor="text1"/>
                <w:sz w:val="18"/>
                <w:szCs w:val="18"/>
              </w:rPr>
              <w:t>All options are additional or different to the CSR recommendation.</w:t>
            </w:r>
          </w:p>
        </w:tc>
      </w:tr>
      <w:tr w:rsidR="005F1A1B" w:rsidRPr="007E30F1" w14:paraId="35C851CC" w14:textId="77777777" w:rsidTr="00090040">
        <w:trPr>
          <w:trHeight w:val="1544"/>
        </w:trPr>
        <w:tc>
          <w:tcPr>
            <w:tcW w:w="1777" w:type="pct"/>
            <w:tcBorders>
              <w:top w:val="single" w:sz="4" w:space="0" w:color="auto"/>
              <w:left w:val="single" w:sz="4" w:space="0" w:color="auto"/>
              <w:bottom w:val="single" w:sz="4" w:space="0" w:color="auto"/>
              <w:right w:val="single" w:sz="4" w:space="0" w:color="auto"/>
            </w:tcBorders>
          </w:tcPr>
          <w:p w14:paraId="6C9B3C26"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Recommendation 11(A)</w:t>
            </w:r>
          </w:p>
          <w:p w14:paraId="1A5F7804"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 xml:space="preserve">Information Sharing </w:t>
            </w:r>
          </w:p>
          <w:p w14:paraId="5B8BEED1" w14:textId="77777777" w:rsidR="005F1A1B" w:rsidRPr="00633296" w:rsidRDefault="005F1A1B" w:rsidP="005F1A1B">
            <w:pPr>
              <w:spacing w:after="0" w:line="240" w:lineRule="auto"/>
              <w:rPr>
                <w:rFonts w:cs="Calibri"/>
                <w:b/>
                <w:sz w:val="18"/>
                <w:szCs w:val="18"/>
              </w:rPr>
            </w:pPr>
          </w:p>
          <w:p w14:paraId="2255BF10" w14:textId="77777777" w:rsidR="005F1A1B" w:rsidRPr="00633296" w:rsidRDefault="005F1A1B" w:rsidP="005F1A1B">
            <w:pPr>
              <w:spacing w:after="0" w:line="240" w:lineRule="auto"/>
              <w:rPr>
                <w:rFonts w:eastAsia="Aptos" w:cs="Calibri"/>
                <w:color w:val="000000" w:themeColor="text1"/>
                <w:sz w:val="18"/>
                <w:szCs w:val="18"/>
              </w:rPr>
            </w:pPr>
            <w:r w:rsidRPr="00633296">
              <w:rPr>
                <w:rFonts w:eastAsia="Aptos" w:cs="Calibri"/>
                <w:b/>
                <w:bCs/>
                <w:i/>
                <w:iCs/>
                <w:color w:val="000000" w:themeColor="text1"/>
                <w:sz w:val="18"/>
                <w:szCs w:val="18"/>
              </w:rPr>
              <w:t>The original CSR Review recommendation 11 has been separated into two parts, Rec 11(A) and Rec 11(B)</w:t>
            </w:r>
          </w:p>
          <w:p w14:paraId="4E8F9B4F" w14:textId="77777777" w:rsidR="005F1A1B" w:rsidRPr="00633296" w:rsidRDefault="005F1A1B" w:rsidP="005F1A1B">
            <w:pPr>
              <w:spacing w:after="0" w:line="240" w:lineRule="auto"/>
              <w:rPr>
                <w:rFonts w:eastAsia="Aptos" w:cs="Calibri"/>
                <w:color w:val="000000" w:themeColor="text1"/>
                <w:sz w:val="18"/>
                <w:szCs w:val="18"/>
                <w:u w:val="single"/>
              </w:rPr>
            </w:pPr>
          </w:p>
          <w:p w14:paraId="7645FF03" w14:textId="77777777" w:rsidR="005F1A1B" w:rsidRPr="00633296" w:rsidRDefault="005F1A1B" w:rsidP="005F1A1B">
            <w:pPr>
              <w:spacing w:after="0" w:line="240" w:lineRule="auto"/>
              <w:rPr>
                <w:rFonts w:eastAsia="Aptos" w:cs="Calibri"/>
                <w:color w:val="000000" w:themeColor="text1"/>
                <w:sz w:val="18"/>
                <w:szCs w:val="18"/>
              </w:rPr>
            </w:pPr>
            <w:r w:rsidRPr="00633296">
              <w:rPr>
                <w:rFonts w:eastAsia="Aptos" w:cs="Calibri"/>
                <w:color w:val="000000" w:themeColor="text1"/>
                <w:sz w:val="18"/>
                <w:szCs w:val="18"/>
              </w:rPr>
              <w:t xml:space="preserve">Consider enhancing the ability to prohibit and share information e.g. enabling the RA to share information about a prohibition with a prospective educator’s approved provider, without a request being received from the approved provider. </w:t>
            </w:r>
          </w:p>
          <w:p w14:paraId="765503B5" w14:textId="77777777" w:rsidR="005F1A1B" w:rsidRPr="00633296" w:rsidRDefault="005F1A1B" w:rsidP="005F1A1B">
            <w:pPr>
              <w:spacing w:after="0" w:line="240" w:lineRule="auto"/>
              <w:rPr>
                <w:rFonts w:eastAsia="Aptos" w:cs="Calibri"/>
                <w:color w:val="000000" w:themeColor="text1"/>
                <w:sz w:val="18"/>
                <w:szCs w:val="18"/>
              </w:rPr>
            </w:pPr>
          </w:p>
          <w:p w14:paraId="367C2D11" w14:textId="77777777" w:rsidR="005F1A1B" w:rsidRPr="00633296" w:rsidRDefault="005F1A1B" w:rsidP="005F1A1B">
            <w:pPr>
              <w:spacing w:after="0" w:line="240" w:lineRule="auto"/>
              <w:rPr>
                <w:rFonts w:cs="Calibri"/>
                <w:b/>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23BB0E28" w14:textId="77777777" w:rsidR="005F1A1B" w:rsidRPr="00633296" w:rsidRDefault="005F1A1B" w:rsidP="00EC53AB">
            <w:pPr>
              <w:pStyle w:val="ListParagraph"/>
              <w:numPr>
                <w:ilvl w:val="0"/>
                <w:numId w:val="40"/>
              </w:numPr>
              <w:tabs>
                <w:tab w:val="clear" w:pos="2835"/>
              </w:tabs>
              <w:spacing w:after="0" w:line="240" w:lineRule="auto"/>
              <w:contextualSpacing/>
              <w:rPr>
                <w:rFonts w:eastAsia="Aptos" w:cs="Calibri"/>
                <w:sz w:val="18"/>
                <w:szCs w:val="18"/>
              </w:rPr>
            </w:pPr>
            <w:r w:rsidRPr="00633296">
              <w:rPr>
                <w:rFonts w:eastAsia="Aptos" w:cs="Calibri"/>
                <w:sz w:val="18"/>
                <w:szCs w:val="18"/>
              </w:rPr>
              <w:lastRenderedPageBreak/>
              <w:t>No change, status quo.</w:t>
            </w:r>
          </w:p>
          <w:p w14:paraId="5A1AD066" w14:textId="77777777" w:rsidR="005F1A1B" w:rsidRPr="00633296" w:rsidRDefault="005F1A1B" w:rsidP="00EC53AB">
            <w:pPr>
              <w:pStyle w:val="ListParagraph"/>
              <w:numPr>
                <w:ilvl w:val="0"/>
                <w:numId w:val="40"/>
              </w:numPr>
              <w:tabs>
                <w:tab w:val="clear" w:pos="2835"/>
              </w:tabs>
              <w:spacing w:after="0" w:line="240" w:lineRule="auto"/>
              <w:contextualSpacing/>
              <w:rPr>
                <w:rFonts w:eastAsia="Aptos" w:cs="Calibri"/>
                <w:sz w:val="18"/>
                <w:szCs w:val="18"/>
              </w:rPr>
            </w:pPr>
            <w:r w:rsidRPr="00633296">
              <w:rPr>
                <w:rFonts w:eastAsia="Aptos" w:cs="Calibri"/>
                <w:sz w:val="18"/>
                <w:szCs w:val="18"/>
              </w:rPr>
              <w:t>Non-regulatory: Develop more communications on the current process for accessing the NQA ITS solution that provides an approved provider with the ability to perform an initial check</w:t>
            </w:r>
            <w:r w:rsidRPr="00633296">
              <w:rPr>
                <w:rFonts w:eastAsia="Aptos" w:cs="Calibri"/>
                <w:sz w:val="18"/>
                <w:szCs w:val="18"/>
                <w:u w:val="single"/>
              </w:rPr>
              <w:t xml:space="preserve"> and</w:t>
            </w:r>
            <w:r w:rsidRPr="00633296">
              <w:rPr>
                <w:rFonts w:eastAsia="Aptos" w:cs="Calibri"/>
                <w:sz w:val="18"/>
                <w:szCs w:val="18"/>
              </w:rPr>
              <w:t xml:space="preserve"> subsequent prohibition checks. </w:t>
            </w:r>
          </w:p>
          <w:p w14:paraId="51B9B7EA" w14:textId="77777777" w:rsidR="005F1A1B" w:rsidRPr="00633296" w:rsidRDefault="005F1A1B" w:rsidP="00EC53AB">
            <w:pPr>
              <w:pStyle w:val="ListParagraph"/>
              <w:numPr>
                <w:ilvl w:val="0"/>
                <w:numId w:val="40"/>
              </w:numPr>
              <w:tabs>
                <w:tab w:val="clear" w:pos="2835"/>
              </w:tabs>
              <w:spacing w:after="0" w:line="240" w:lineRule="auto"/>
              <w:contextualSpacing/>
              <w:rPr>
                <w:rFonts w:eastAsia="Aptos" w:cs="Calibri"/>
                <w:sz w:val="18"/>
                <w:szCs w:val="18"/>
              </w:rPr>
            </w:pPr>
            <w:r w:rsidRPr="00633296">
              <w:rPr>
                <w:rFonts w:eastAsia="Aptos" w:cs="Calibri"/>
                <w:sz w:val="18"/>
                <w:szCs w:val="18"/>
              </w:rPr>
              <w:t>Regulatory: Amend s272 of National Law to allow the RA to share information about a prohibited person or suspected FDC educator with that person’s current approved provider, without a request from the approved provider.</w:t>
            </w:r>
          </w:p>
          <w:p w14:paraId="7F570336" w14:textId="77CFFBDC" w:rsidR="005F1A1B" w:rsidRPr="00633296" w:rsidRDefault="005F1A1B" w:rsidP="00EC53AB">
            <w:pPr>
              <w:pStyle w:val="ListParagraph"/>
              <w:numPr>
                <w:ilvl w:val="0"/>
                <w:numId w:val="40"/>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National Law to allow the RA to share information about a person’s current enforceable undertaking with that person’s current approved provider, without a request. </w:t>
            </w:r>
          </w:p>
        </w:tc>
        <w:tc>
          <w:tcPr>
            <w:tcW w:w="937" w:type="pct"/>
            <w:tcBorders>
              <w:top w:val="single" w:sz="4" w:space="0" w:color="auto"/>
              <w:left w:val="single" w:sz="4" w:space="0" w:color="auto"/>
              <w:bottom w:val="single" w:sz="4" w:space="0" w:color="auto"/>
              <w:right w:val="single" w:sz="4" w:space="0" w:color="auto"/>
            </w:tcBorders>
            <w:hideMark/>
          </w:tcPr>
          <w:p w14:paraId="563B235C" w14:textId="2E023E4C" w:rsidR="005F1A1B" w:rsidRPr="00633296" w:rsidRDefault="005F1A1B" w:rsidP="00EC53AB">
            <w:pPr>
              <w:pStyle w:val="ListParagraph"/>
              <w:numPr>
                <w:ilvl w:val="0"/>
                <w:numId w:val="41"/>
              </w:numPr>
              <w:tabs>
                <w:tab w:val="clear" w:pos="2835"/>
              </w:tabs>
              <w:spacing w:after="0" w:line="240" w:lineRule="auto"/>
              <w:contextualSpacing/>
              <w:rPr>
                <w:rFonts w:eastAsia="Aptos" w:cs="Calibri"/>
                <w:color w:val="000000" w:themeColor="text1"/>
                <w:sz w:val="18"/>
                <w:szCs w:val="18"/>
              </w:rPr>
            </w:pPr>
            <w:r w:rsidRPr="00633296">
              <w:rPr>
                <w:rFonts w:eastAsia="Aptos" w:cs="Calibri"/>
                <w:color w:val="000000" w:themeColor="text1"/>
                <w:sz w:val="18"/>
                <w:szCs w:val="18"/>
              </w:rPr>
              <w:t>All options are additional or different to the CSR recommendation.</w:t>
            </w:r>
          </w:p>
        </w:tc>
      </w:tr>
      <w:tr w:rsidR="005F1A1B" w:rsidRPr="007E30F1" w14:paraId="16768B94" w14:textId="77777777" w:rsidTr="00090040">
        <w:trPr>
          <w:trHeight w:val="300"/>
        </w:trPr>
        <w:tc>
          <w:tcPr>
            <w:tcW w:w="1777" w:type="pct"/>
            <w:tcBorders>
              <w:top w:val="single" w:sz="4" w:space="0" w:color="auto"/>
              <w:left w:val="single" w:sz="4" w:space="0" w:color="auto"/>
              <w:bottom w:val="single" w:sz="4" w:space="0" w:color="auto"/>
              <w:right w:val="single" w:sz="4" w:space="0" w:color="auto"/>
            </w:tcBorders>
          </w:tcPr>
          <w:p w14:paraId="60F6BCA0" w14:textId="77777777" w:rsidR="005F1A1B" w:rsidRPr="00633296" w:rsidRDefault="005F1A1B" w:rsidP="005F1A1B">
            <w:pPr>
              <w:spacing w:after="0" w:line="240" w:lineRule="auto"/>
              <w:rPr>
                <w:rFonts w:cs="Calibri"/>
                <w:b/>
                <w:bCs/>
                <w:sz w:val="18"/>
                <w:szCs w:val="18"/>
                <w:highlight w:val="yellow"/>
              </w:rPr>
            </w:pPr>
            <w:r w:rsidRPr="00633296">
              <w:rPr>
                <w:rFonts w:cs="Calibri"/>
                <w:b/>
                <w:bCs/>
                <w:sz w:val="18"/>
                <w:szCs w:val="18"/>
              </w:rPr>
              <w:t>Recommendation 11 (B) Enforceable Undertakings</w:t>
            </w:r>
          </w:p>
          <w:p w14:paraId="74AF24D5" w14:textId="77777777" w:rsidR="005F1A1B" w:rsidRPr="00633296" w:rsidRDefault="005F1A1B" w:rsidP="005F1A1B">
            <w:pPr>
              <w:spacing w:after="0" w:line="240" w:lineRule="auto"/>
              <w:rPr>
                <w:rFonts w:eastAsia="Aptos" w:cs="Calibri"/>
                <w:color w:val="000000" w:themeColor="text1"/>
                <w:sz w:val="18"/>
                <w:szCs w:val="18"/>
                <w:u w:val="single"/>
              </w:rPr>
            </w:pPr>
          </w:p>
          <w:p w14:paraId="7E24EFFE" w14:textId="77777777" w:rsidR="005F1A1B" w:rsidRPr="00633296" w:rsidRDefault="005F1A1B" w:rsidP="005F1A1B">
            <w:pPr>
              <w:spacing w:after="0" w:line="240" w:lineRule="auto"/>
              <w:rPr>
                <w:rFonts w:eastAsia="Aptos" w:cs="Calibri"/>
                <w:color w:val="000000" w:themeColor="text1"/>
                <w:sz w:val="18"/>
                <w:szCs w:val="18"/>
              </w:rPr>
            </w:pPr>
            <w:r w:rsidRPr="00633296">
              <w:rPr>
                <w:rFonts w:eastAsia="Aptos" w:cs="Calibri"/>
                <w:color w:val="000000" w:themeColor="text1"/>
                <w:sz w:val="18"/>
                <w:szCs w:val="18"/>
              </w:rPr>
              <w:t>Potential expansion of the use of enforceable undertakings with educators, including in situations where the threshold for prohibition is not met, could be used as another risk management strategy.</w:t>
            </w:r>
          </w:p>
          <w:p w14:paraId="6A17E3C6" w14:textId="77777777" w:rsidR="005F1A1B" w:rsidRPr="00633296" w:rsidRDefault="005F1A1B" w:rsidP="005F1A1B">
            <w:pPr>
              <w:spacing w:after="0" w:line="240" w:lineRule="auto"/>
              <w:rPr>
                <w:rFonts w:eastAsia="Aptos" w:cs="Calibri"/>
                <w:color w:val="000000" w:themeColor="text1"/>
                <w:sz w:val="18"/>
                <w:szCs w:val="18"/>
              </w:rPr>
            </w:pPr>
          </w:p>
          <w:p w14:paraId="318A108D" w14:textId="75B4EEFC" w:rsidR="005F1A1B" w:rsidRPr="00633296" w:rsidRDefault="005F1A1B" w:rsidP="005F1A1B">
            <w:pPr>
              <w:spacing w:after="0" w:line="240" w:lineRule="auto"/>
              <w:rPr>
                <w:rFonts w:eastAsia="Aptos" w:cs="Calibri"/>
                <w:color w:val="000000" w:themeColor="text1"/>
                <w:sz w:val="18"/>
                <w:szCs w:val="18"/>
              </w:rPr>
            </w:pPr>
            <w:r w:rsidRPr="00633296">
              <w:rPr>
                <w:rFonts w:eastAsia="Aptos" w:cs="Calibri"/>
                <w:color w:val="000000" w:themeColor="text1"/>
                <w:sz w:val="18"/>
                <w:szCs w:val="18"/>
              </w:rPr>
              <w:t>(An enforceable undertaking is an agreement between the Regulatory Authority and an individual educator who agrees to undertake or refrain from certain actions to comply with National Law.)</w:t>
            </w:r>
          </w:p>
          <w:p w14:paraId="18A9C119" w14:textId="77777777" w:rsidR="005F1A1B" w:rsidRPr="00633296" w:rsidRDefault="005F1A1B" w:rsidP="005F1A1B">
            <w:pPr>
              <w:spacing w:after="0" w:line="240" w:lineRule="auto"/>
              <w:rPr>
                <w:rFonts w:cs="Calibri"/>
                <w:b/>
                <w:sz w:val="18"/>
                <w:szCs w:val="18"/>
                <w:highlight w:val="yellow"/>
              </w:rPr>
            </w:pPr>
          </w:p>
          <w:p w14:paraId="4361A7AF" w14:textId="77777777" w:rsidR="005F1A1B" w:rsidRPr="00633296" w:rsidRDefault="005F1A1B" w:rsidP="005F1A1B">
            <w:pPr>
              <w:spacing w:after="0" w:line="240" w:lineRule="auto"/>
              <w:rPr>
                <w:rFonts w:cs="Calibri"/>
                <w:b/>
                <w:bCs/>
                <w:sz w:val="18"/>
                <w:szCs w:val="18"/>
                <w:highlight w:val="yellow"/>
              </w:rPr>
            </w:pPr>
          </w:p>
          <w:p w14:paraId="146AC8FB" w14:textId="77777777" w:rsidR="005F1A1B" w:rsidRPr="00633296" w:rsidRDefault="005F1A1B" w:rsidP="005F1A1B">
            <w:pPr>
              <w:spacing w:after="0" w:line="240" w:lineRule="auto"/>
              <w:rPr>
                <w:rFonts w:cs="Calibri"/>
                <w:b/>
                <w:bCs/>
                <w:sz w:val="18"/>
                <w:szCs w:val="18"/>
                <w:highlight w:val="yellow"/>
              </w:rPr>
            </w:pPr>
          </w:p>
          <w:p w14:paraId="5FAD07F1" w14:textId="77777777" w:rsidR="005F1A1B" w:rsidRPr="00633296" w:rsidRDefault="005F1A1B" w:rsidP="005F1A1B">
            <w:pPr>
              <w:spacing w:after="0" w:line="240" w:lineRule="auto"/>
              <w:rPr>
                <w:rFonts w:cs="Calibri"/>
                <w:b/>
                <w:bCs/>
                <w:sz w:val="18"/>
                <w:szCs w:val="18"/>
                <w:highlight w:val="yellow"/>
              </w:rPr>
            </w:pPr>
          </w:p>
          <w:p w14:paraId="0C16A2B0" w14:textId="77777777" w:rsidR="005F1A1B" w:rsidRPr="00633296" w:rsidRDefault="005F1A1B" w:rsidP="005F1A1B">
            <w:pPr>
              <w:spacing w:after="0" w:line="240" w:lineRule="auto"/>
              <w:rPr>
                <w:rFonts w:cs="Calibri"/>
                <w:b/>
                <w:bCs/>
                <w:sz w:val="18"/>
                <w:szCs w:val="18"/>
                <w:highlight w:val="yellow"/>
              </w:rPr>
            </w:pPr>
          </w:p>
        </w:tc>
        <w:tc>
          <w:tcPr>
            <w:tcW w:w="2286" w:type="pct"/>
            <w:tcBorders>
              <w:top w:val="single" w:sz="4" w:space="0" w:color="auto"/>
              <w:left w:val="single" w:sz="4" w:space="0" w:color="auto"/>
              <w:bottom w:val="single" w:sz="4" w:space="0" w:color="auto"/>
              <w:right w:val="single" w:sz="4" w:space="0" w:color="auto"/>
            </w:tcBorders>
            <w:hideMark/>
          </w:tcPr>
          <w:p w14:paraId="69619823" w14:textId="77777777" w:rsidR="005F1A1B" w:rsidRPr="00633296" w:rsidRDefault="005F1A1B" w:rsidP="00EC53AB">
            <w:pPr>
              <w:pStyle w:val="ListParagraph"/>
              <w:numPr>
                <w:ilvl w:val="0"/>
                <w:numId w:val="42"/>
              </w:numPr>
              <w:tabs>
                <w:tab w:val="clear" w:pos="2835"/>
              </w:tabs>
              <w:spacing w:after="0" w:line="240" w:lineRule="auto"/>
              <w:contextualSpacing/>
              <w:rPr>
                <w:rFonts w:eastAsia="Aptos" w:cs="Calibri"/>
                <w:sz w:val="18"/>
                <w:szCs w:val="18"/>
              </w:rPr>
            </w:pPr>
            <w:r w:rsidRPr="00633296">
              <w:rPr>
                <w:rFonts w:eastAsia="Aptos" w:cs="Calibri"/>
                <w:sz w:val="18"/>
                <w:szCs w:val="18"/>
              </w:rPr>
              <w:t>No change, status quo.</w:t>
            </w:r>
          </w:p>
          <w:p w14:paraId="6016648F" w14:textId="7E4CDF1B" w:rsidR="005F1A1B" w:rsidRPr="00633296" w:rsidRDefault="005F1A1B" w:rsidP="00EC53AB">
            <w:pPr>
              <w:pStyle w:val="ListParagraph"/>
              <w:numPr>
                <w:ilvl w:val="0"/>
                <w:numId w:val="42"/>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Non-regulatory: Develop more communication and guidance to encourage approved providers to address appropriate and inappropriate conduct within their contracts of employment and their required </w:t>
            </w:r>
            <w:r w:rsidR="00B35BCC">
              <w:rPr>
                <w:rFonts w:eastAsia="Aptos" w:cs="Calibri"/>
                <w:sz w:val="18"/>
                <w:szCs w:val="18"/>
              </w:rPr>
              <w:t>Code of Conduct</w:t>
            </w:r>
            <w:r w:rsidRPr="00633296">
              <w:rPr>
                <w:rFonts w:eastAsia="Aptos" w:cs="Calibri"/>
                <w:sz w:val="18"/>
                <w:szCs w:val="18"/>
              </w:rPr>
              <w:t xml:space="preserve"> and policies and procedures under regulation 168(2) of National Regulations.</w:t>
            </w:r>
          </w:p>
          <w:p w14:paraId="561CA6BA" w14:textId="77777777" w:rsidR="005F1A1B" w:rsidRPr="00633296" w:rsidRDefault="005F1A1B" w:rsidP="00EC53AB">
            <w:pPr>
              <w:pStyle w:val="ListParagraph"/>
              <w:numPr>
                <w:ilvl w:val="0"/>
                <w:numId w:val="42"/>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the National Law to enable RAs to impose a suspension notice/order from providing education and care to children for a specified period of time, applicable to educators, other staff members and volunteers, where a certain threshold of risk has been met to address an alleged contravention of contravention of the National Law, where the person does not pose an unacceptable risk of harm to children, A show cause process would apply and the action would be internally and externally reviewed. </w:t>
            </w:r>
          </w:p>
          <w:p w14:paraId="2435132D" w14:textId="77777777" w:rsidR="005F1A1B" w:rsidRPr="00633296" w:rsidRDefault="005F1A1B" w:rsidP="00EC53AB">
            <w:pPr>
              <w:pStyle w:val="ListParagraph"/>
              <w:numPr>
                <w:ilvl w:val="0"/>
                <w:numId w:val="42"/>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the National Law to enable the RA to impose a supervision order on approved providers, applicable where a staff member or volunteer has contravened the National Law </w:t>
            </w:r>
            <w:r w:rsidRPr="00633296">
              <w:rPr>
                <w:rFonts w:eastAsia="Aptos" w:cs="Calibri"/>
                <w:sz w:val="18"/>
                <w:szCs w:val="18"/>
                <w:u w:val="single"/>
              </w:rPr>
              <w:t>and</w:t>
            </w:r>
            <w:r w:rsidRPr="00633296">
              <w:rPr>
                <w:rFonts w:eastAsia="Aptos" w:cs="Calibri"/>
                <w:sz w:val="18"/>
                <w:szCs w:val="18"/>
              </w:rPr>
              <w:t xml:space="preserve"> where that contravention also sits with the approved provider. This is to keep approved providers accountable in addressing conduct that contravenes the National Law but the person does not pose an unacceptable risk of harm to children. A show cause process would apply and the action would be internally and externally reviewed. </w:t>
            </w:r>
          </w:p>
          <w:p w14:paraId="7E16C041" w14:textId="30F2E52C" w:rsidR="005F1A1B" w:rsidRPr="00633296" w:rsidRDefault="005F1A1B" w:rsidP="00EC53AB">
            <w:pPr>
              <w:pStyle w:val="ListParagraph"/>
              <w:numPr>
                <w:ilvl w:val="0"/>
                <w:numId w:val="42"/>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the National Law to enable the RA to impose mandatory training/re-training for staff members (with the staff member paying for the cost of any training/re-training) to address staff member conduct that contravenes the National Law but the staff member does not pose an unacceptable risk of harm to children. A show cause process would apply and the action would be internally and externally reviewed. </w:t>
            </w:r>
          </w:p>
        </w:tc>
        <w:tc>
          <w:tcPr>
            <w:tcW w:w="937" w:type="pct"/>
            <w:tcBorders>
              <w:top w:val="single" w:sz="4" w:space="0" w:color="auto"/>
              <w:left w:val="single" w:sz="4" w:space="0" w:color="auto"/>
              <w:bottom w:val="single" w:sz="4" w:space="0" w:color="auto"/>
              <w:right w:val="single" w:sz="4" w:space="0" w:color="auto"/>
            </w:tcBorders>
          </w:tcPr>
          <w:p w14:paraId="49DA8695" w14:textId="77777777" w:rsidR="005F1A1B" w:rsidRPr="00633296" w:rsidRDefault="005F1A1B" w:rsidP="00EC53AB">
            <w:pPr>
              <w:pStyle w:val="ListParagraph"/>
              <w:numPr>
                <w:ilvl w:val="0"/>
                <w:numId w:val="43"/>
              </w:numPr>
              <w:tabs>
                <w:tab w:val="clear" w:pos="2835"/>
              </w:tabs>
              <w:spacing w:after="0" w:line="240" w:lineRule="auto"/>
              <w:contextualSpacing/>
              <w:rPr>
                <w:rFonts w:eastAsia="Aptos" w:cs="Calibri"/>
                <w:color w:val="000000" w:themeColor="text1"/>
                <w:sz w:val="18"/>
                <w:szCs w:val="18"/>
              </w:rPr>
            </w:pPr>
            <w:r w:rsidRPr="00633296">
              <w:rPr>
                <w:rFonts w:eastAsia="Aptos" w:cs="Calibri"/>
                <w:color w:val="000000" w:themeColor="text1"/>
                <w:sz w:val="18"/>
                <w:szCs w:val="18"/>
              </w:rPr>
              <w:t>All options are additional or different to the CSR recommendation.</w:t>
            </w:r>
          </w:p>
          <w:p w14:paraId="7AE0A067" w14:textId="77777777" w:rsidR="005F1A1B" w:rsidRPr="00633296" w:rsidRDefault="005F1A1B" w:rsidP="005F1A1B">
            <w:pPr>
              <w:spacing w:after="0" w:line="240" w:lineRule="auto"/>
              <w:contextualSpacing/>
              <w:rPr>
                <w:rFonts w:eastAsia="Aptos" w:cs="Calibri"/>
                <w:color w:val="000000" w:themeColor="text1"/>
                <w:sz w:val="18"/>
                <w:szCs w:val="18"/>
              </w:rPr>
            </w:pPr>
          </w:p>
        </w:tc>
      </w:tr>
      <w:tr w:rsidR="005F1A1B" w:rsidRPr="007E30F1" w14:paraId="65EF59AC" w14:textId="77777777" w:rsidTr="00090040">
        <w:trPr>
          <w:trHeight w:val="300"/>
        </w:trPr>
        <w:tc>
          <w:tcPr>
            <w:tcW w:w="1777" w:type="pct"/>
            <w:tcBorders>
              <w:top w:val="single" w:sz="4" w:space="0" w:color="auto"/>
              <w:left w:val="single" w:sz="4" w:space="0" w:color="auto"/>
              <w:bottom w:val="single" w:sz="4" w:space="0" w:color="auto"/>
              <w:right w:val="single" w:sz="4" w:space="0" w:color="auto"/>
            </w:tcBorders>
          </w:tcPr>
          <w:p w14:paraId="5CD55F7E"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Recommendation 12</w:t>
            </w:r>
          </w:p>
          <w:p w14:paraId="00BD3D7E"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Mandatory child safety training</w:t>
            </w:r>
          </w:p>
          <w:p w14:paraId="76ECC0A5" w14:textId="77777777" w:rsidR="005F1A1B" w:rsidRPr="00633296" w:rsidRDefault="005F1A1B" w:rsidP="005F1A1B">
            <w:pPr>
              <w:spacing w:after="0" w:line="240" w:lineRule="auto"/>
              <w:rPr>
                <w:rFonts w:cs="Calibri"/>
                <w:b/>
                <w:bCs/>
                <w:sz w:val="18"/>
                <w:szCs w:val="18"/>
              </w:rPr>
            </w:pPr>
          </w:p>
          <w:p w14:paraId="73A76AC8" w14:textId="77777777" w:rsidR="005F1A1B" w:rsidRPr="00633296" w:rsidRDefault="005F1A1B" w:rsidP="005F1A1B">
            <w:pPr>
              <w:spacing w:after="0" w:line="240" w:lineRule="auto"/>
              <w:rPr>
                <w:rFonts w:eastAsia="Aptos" w:cs="Calibri"/>
                <w:color w:val="000000" w:themeColor="text1"/>
                <w:sz w:val="18"/>
                <w:szCs w:val="18"/>
              </w:rPr>
            </w:pPr>
            <w:r w:rsidRPr="00633296">
              <w:rPr>
                <w:rFonts w:eastAsia="Aptos" w:cs="Calibri"/>
                <w:color w:val="000000" w:themeColor="text1"/>
                <w:sz w:val="18"/>
                <w:szCs w:val="18"/>
              </w:rPr>
              <w:lastRenderedPageBreak/>
              <w:t xml:space="preserve">Amend s162A of the National Law to require mandatory child safe training for any Approved Providers, Persons with Management or Control (PMCs), nominated supervisors and staff who work with children, including volunteers. </w:t>
            </w:r>
          </w:p>
          <w:p w14:paraId="78B87529" w14:textId="77777777" w:rsidR="005F1A1B" w:rsidRPr="00633296" w:rsidRDefault="005F1A1B" w:rsidP="005F1A1B">
            <w:pPr>
              <w:spacing w:after="0" w:line="240" w:lineRule="auto"/>
              <w:rPr>
                <w:rFonts w:eastAsia="Aptos" w:cs="Calibri"/>
                <w:color w:val="000000" w:themeColor="text1"/>
                <w:sz w:val="18"/>
                <w:szCs w:val="18"/>
              </w:rPr>
            </w:pPr>
          </w:p>
          <w:p w14:paraId="5773A57F" w14:textId="69848CA7" w:rsidR="005F1A1B" w:rsidRPr="00633296" w:rsidRDefault="005F1A1B" w:rsidP="005F1A1B">
            <w:pPr>
              <w:spacing w:after="0" w:line="240" w:lineRule="auto"/>
              <w:rPr>
                <w:rFonts w:eastAsia="Aptos" w:cs="Calibri"/>
                <w:color w:val="000000" w:themeColor="text1"/>
                <w:sz w:val="18"/>
                <w:szCs w:val="18"/>
              </w:rPr>
            </w:pPr>
            <w:r w:rsidRPr="00633296">
              <w:rPr>
                <w:rFonts w:eastAsia="Aptos" w:cs="Calibri"/>
                <w:color w:val="000000" w:themeColor="text1"/>
                <w:sz w:val="18"/>
                <w:szCs w:val="18"/>
              </w:rPr>
              <w:t>Describes four topics that must be included to be provided through a combination of pre-service qualifications and in-service professional development (micro-credentials) with a refresher course every two years.</w:t>
            </w:r>
          </w:p>
          <w:p w14:paraId="0AA0DFDE" w14:textId="77777777" w:rsidR="005F1A1B" w:rsidRPr="00633296" w:rsidRDefault="005F1A1B" w:rsidP="005F1A1B">
            <w:pPr>
              <w:spacing w:after="0" w:line="240" w:lineRule="auto"/>
              <w:rPr>
                <w:rFonts w:cs="Calibri"/>
                <w:b/>
                <w:sz w:val="18"/>
                <w:szCs w:val="18"/>
              </w:rPr>
            </w:pPr>
          </w:p>
          <w:p w14:paraId="58B8FC3F" w14:textId="77777777" w:rsidR="005F1A1B" w:rsidRPr="00633296" w:rsidRDefault="005F1A1B" w:rsidP="005F1A1B">
            <w:pPr>
              <w:spacing w:after="0" w:line="240" w:lineRule="auto"/>
              <w:rPr>
                <w:rFonts w:cs="Calibri"/>
                <w:b/>
                <w:bCs/>
                <w:sz w:val="18"/>
                <w:szCs w:val="18"/>
              </w:rPr>
            </w:pPr>
          </w:p>
          <w:p w14:paraId="4BB1EA5B" w14:textId="77777777" w:rsidR="005F1A1B" w:rsidRPr="00633296" w:rsidRDefault="005F1A1B" w:rsidP="005F1A1B">
            <w:pPr>
              <w:spacing w:after="0" w:line="240" w:lineRule="auto"/>
              <w:rPr>
                <w:rFonts w:cs="Calibri"/>
                <w:b/>
                <w:bCs/>
                <w:sz w:val="18"/>
                <w:szCs w:val="18"/>
              </w:rPr>
            </w:pPr>
          </w:p>
          <w:p w14:paraId="03788D5D" w14:textId="77777777" w:rsidR="005F1A1B" w:rsidRPr="00633296" w:rsidRDefault="005F1A1B" w:rsidP="005F1A1B">
            <w:pPr>
              <w:spacing w:after="0" w:line="240" w:lineRule="auto"/>
              <w:rPr>
                <w:rFonts w:cs="Calibri"/>
                <w:b/>
                <w:bCs/>
                <w:sz w:val="18"/>
                <w:szCs w:val="18"/>
              </w:rPr>
            </w:pPr>
          </w:p>
          <w:p w14:paraId="42D3D644" w14:textId="77777777" w:rsidR="005F1A1B" w:rsidRPr="00633296" w:rsidRDefault="005F1A1B" w:rsidP="005F1A1B">
            <w:pPr>
              <w:spacing w:after="0" w:line="240" w:lineRule="auto"/>
              <w:rPr>
                <w:rFonts w:cs="Calibri"/>
                <w:b/>
                <w:bCs/>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55328212" w14:textId="77777777" w:rsidR="005F1A1B" w:rsidRPr="00633296" w:rsidRDefault="005F1A1B" w:rsidP="00EC53AB">
            <w:pPr>
              <w:pStyle w:val="ListParagraph"/>
              <w:numPr>
                <w:ilvl w:val="0"/>
                <w:numId w:val="44"/>
              </w:numPr>
              <w:tabs>
                <w:tab w:val="clear" w:pos="2835"/>
              </w:tabs>
              <w:spacing w:after="0" w:line="240" w:lineRule="auto"/>
              <w:contextualSpacing/>
              <w:rPr>
                <w:rFonts w:eastAsia="Aptos" w:cs="Calibri"/>
                <w:sz w:val="18"/>
                <w:szCs w:val="18"/>
              </w:rPr>
            </w:pPr>
            <w:r w:rsidRPr="00633296">
              <w:rPr>
                <w:rFonts w:eastAsia="Aptos" w:cs="Calibri"/>
                <w:sz w:val="18"/>
                <w:szCs w:val="18"/>
              </w:rPr>
              <w:lastRenderedPageBreak/>
              <w:t xml:space="preserve">No change, status quo. </w:t>
            </w:r>
          </w:p>
          <w:p w14:paraId="0DB4BD64" w14:textId="77777777" w:rsidR="005F1A1B" w:rsidRPr="00633296" w:rsidRDefault="005F1A1B" w:rsidP="00EC53AB">
            <w:pPr>
              <w:pStyle w:val="ListParagraph"/>
              <w:numPr>
                <w:ilvl w:val="0"/>
                <w:numId w:val="44"/>
              </w:numPr>
              <w:tabs>
                <w:tab w:val="clear" w:pos="2835"/>
              </w:tabs>
              <w:spacing w:after="0" w:line="240" w:lineRule="auto"/>
              <w:contextualSpacing/>
              <w:rPr>
                <w:rFonts w:eastAsia="Aptos" w:cs="Calibri"/>
                <w:sz w:val="18"/>
                <w:szCs w:val="18"/>
              </w:rPr>
            </w:pPr>
            <w:r w:rsidRPr="00633296">
              <w:rPr>
                <w:rFonts w:eastAsia="Aptos" w:cs="Calibri"/>
                <w:sz w:val="18"/>
                <w:szCs w:val="18"/>
              </w:rPr>
              <w:lastRenderedPageBreak/>
              <w:t>Non-regulatory: Improved, nationally consistent resource and training guidance materials to provide to Registered Training Organisations (RTOs) and Higher Education institutions to insert into courses.</w:t>
            </w:r>
          </w:p>
          <w:p w14:paraId="69D2586D" w14:textId="77777777" w:rsidR="005F1A1B" w:rsidRPr="00633296" w:rsidRDefault="005F1A1B" w:rsidP="00EC53AB">
            <w:pPr>
              <w:pStyle w:val="ListParagraph"/>
              <w:numPr>
                <w:ilvl w:val="0"/>
                <w:numId w:val="44"/>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s162A of the National Law to </w:t>
            </w:r>
            <w:r w:rsidRPr="00633296">
              <w:rPr>
                <w:rFonts w:eastAsia="Aptos" w:cs="Calibri"/>
                <w:i/>
                <w:iCs/>
                <w:sz w:val="18"/>
                <w:szCs w:val="18"/>
              </w:rPr>
              <w:t>require nominated supervisors, persons in day-to-day charge and FDC coordinators</w:t>
            </w:r>
            <w:r w:rsidRPr="00633296">
              <w:rPr>
                <w:rFonts w:eastAsia="Aptos" w:cs="Calibri"/>
                <w:sz w:val="18"/>
                <w:szCs w:val="18"/>
              </w:rPr>
              <w:t xml:space="preserve"> to complete child protection training. This would be supported by publication of approved list of child protection training with an amendment to reg 137.</w:t>
            </w:r>
          </w:p>
          <w:p w14:paraId="45974928" w14:textId="77777777" w:rsidR="005F1A1B" w:rsidRPr="00633296" w:rsidRDefault="005F1A1B" w:rsidP="00EC53AB">
            <w:pPr>
              <w:pStyle w:val="ListParagraph"/>
              <w:numPr>
                <w:ilvl w:val="0"/>
                <w:numId w:val="44"/>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s162A of the National Law to require </w:t>
            </w:r>
            <w:r w:rsidRPr="00633296">
              <w:rPr>
                <w:rFonts w:eastAsia="Aptos" w:cs="Calibri"/>
                <w:i/>
                <w:iCs/>
                <w:sz w:val="18"/>
                <w:szCs w:val="18"/>
              </w:rPr>
              <w:t>staff who work with children including FDC educators, volunteers and students</w:t>
            </w:r>
            <w:r w:rsidRPr="00633296">
              <w:rPr>
                <w:rFonts w:eastAsia="Aptos" w:cs="Calibri"/>
                <w:sz w:val="18"/>
                <w:szCs w:val="18"/>
              </w:rPr>
              <w:t xml:space="preserve"> to complete child protection training. </w:t>
            </w:r>
          </w:p>
          <w:p w14:paraId="57DE4B29" w14:textId="77777777" w:rsidR="005F1A1B" w:rsidRPr="00633296" w:rsidRDefault="005F1A1B" w:rsidP="005F1A1B">
            <w:pPr>
              <w:spacing w:after="0" w:line="240" w:lineRule="auto"/>
              <w:ind w:left="319"/>
              <w:rPr>
                <w:rFonts w:eastAsia="Aptos" w:cs="Calibri"/>
                <w:sz w:val="18"/>
                <w:szCs w:val="18"/>
              </w:rPr>
            </w:pPr>
            <w:r w:rsidRPr="00633296">
              <w:rPr>
                <w:rFonts w:eastAsia="Aptos" w:cs="Calibri"/>
                <w:sz w:val="18"/>
                <w:szCs w:val="18"/>
              </w:rPr>
              <w:t>This would be supported by publication of approved list of child protection training with an amendment to reg 137.</w:t>
            </w:r>
          </w:p>
          <w:p w14:paraId="05F6569D" w14:textId="77777777" w:rsidR="005F1A1B" w:rsidRPr="00633296" w:rsidRDefault="005F1A1B" w:rsidP="00EC53AB">
            <w:pPr>
              <w:pStyle w:val="ListParagraph"/>
              <w:numPr>
                <w:ilvl w:val="0"/>
                <w:numId w:val="44"/>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Amend reg 84 so all staff and volunteers (whether or not they work with children) </w:t>
            </w:r>
            <w:r w:rsidRPr="00633296">
              <w:rPr>
                <w:rFonts w:eastAsia="Aptos" w:cs="Calibri"/>
                <w:i/>
                <w:iCs/>
                <w:sz w:val="18"/>
                <w:szCs w:val="18"/>
              </w:rPr>
              <w:t>must be made aware</w:t>
            </w:r>
            <w:r w:rsidRPr="00633296">
              <w:rPr>
                <w:rFonts w:eastAsia="Aptos" w:cs="Calibri"/>
                <w:sz w:val="18"/>
                <w:szCs w:val="18"/>
              </w:rPr>
              <w:t xml:space="preserve"> of the existence and application and obligations of current child protection law.</w:t>
            </w:r>
          </w:p>
          <w:p w14:paraId="1DE3E20E" w14:textId="43D55466" w:rsidR="005F1A1B" w:rsidRPr="00633296" w:rsidRDefault="005F1A1B" w:rsidP="00EC53AB">
            <w:pPr>
              <w:pStyle w:val="ListParagraph"/>
              <w:numPr>
                <w:ilvl w:val="0"/>
                <w:numId w:val="44"/>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Legislative change to require mandatory child safety training, which is nationally consistent, of a high quality and tailored </w:t>
            </w:r>
            <w:r w:rsidRPr="00633296">
              <w:rPr>
                <w:rFonts w:eastAsia="Aptos" w:cs="Calibri"/>
                <w:i/>
                <w:iCs/>
                <w:sz w:val="18"/>
                <w:szCs w:val="18"/>
              </w:rPr>
              <w:t>for all people involved in the provision of education and care services</w:t>
            </w:r>
            <w:r w:rsidRPr="00633296">
              <w:rPr>
                <w:rFonts w:eastAsia="Aptos" w:cs="Calibri"/>
                <w:sz w:val="18"/>
                <w:szCs w:val="18"/>
              </w:rPr>
              <w:t xml:space="preserve"> (including people who do not directly work with children) with a requirement to complete refresher training every two years. </w:t>
            </w:r>
          </w:p>
        </w:tc>
        <w:tc>
          <w:tcPr>
            <w:tcW w:w="937" w:type="pct"/>
            <w:tcBorders>
              <w:top w:val="single" w:sz="4" w:space="0" w:color="auto"/>
              <w:left w:val="single" w:sz="4" w:space="0" w:color="auto"/>
              <w:bottom w:val="single" w:sz="4" w:space="0" w:color="auto"/>
              <w:right w:val="single" w:sz="4" w:space="0" w:color="auto"/>
            </w:tcBorders>
          </w:tcPr>
          <w:p w14:paraId="6D801696" w14:textId="7E302549" w:rsidR="005F1A1B" w:rsidRPr="00633296" w:rsidRDefault="005F1A1B" w:rsidP="00EC53AB">
            <w:pPr>
              <w:pStyle w:val="ListParagraph"/>
              <w:numPr>
                <w:ilvl w:val="0"/>
                <w:numId w:val="45"/>
              </w:numPr>
              <w:tabs>
                <w:tab w:val="clear" w:pos="2835"/>
              </w:tabs>
              <w:spacing w:after="0" w:line="240" w:lineRule="auto"/>
              <w:contextualSpacing/>
              <w:rPr>
                <w:sz w:val="18"/>
                <w:szCs w:val="18"/>
              </w:rPr>
            </w:pPr>
            <w:r w:rsidRPr="00633296">
              <w:rPr>
                <w:rFonts w:eastAsia="Aptos" w:cs="Calibri"/>
                <w:color w:val="000000" w:themeColor="text1"/>
                <w:sz w:val="18"/>
                <w:szCs w:val="18"/>
              </w:rPr>
              <w:lastRenderedPageBreak/>
              <w:t>All options are additional or different to the CSR recommendation.</w:t>
            </w:r>
          </w:p>
        </w:tc>
      </w:tr>
      <w:tr w:rsidR="005F1A1B" w:rsidRPr="007E30F1" w14:paraId="2346034D" w14:textId="77777777" w:rsidTr="00090040">
        <w:trPr>
          <w:trHeight w:val="300"/>
        </w:trPr>
        <w:tc>
          <w:tcPr>
            <w:tcW w:w="1777" w:type="pct"/>
            <w:tcBorders>
              <w:top w:val="single" w:sz="4" w:space="0" w:color="auto"/>
              <w:left w:val="single" w:sz="4" w:space="0" w:color="auto"/>
              <w:bottom w:val="single" w:sz="4" w:space="0" w:color="auto"/>
              <w:right w:val="single" w:sz="4" w:space="0" w:color="auto"/>
            </w:tcBorders>
          </w:tcPr>
          <w:p w14:paraId="2A500BF4"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 xml:space="preserve">Additional Recommendation AR1 </w:t>
            </w:r>
          </w:p>
          <w:p w14:paraId="5BE75BC4"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Related providers</w:t>
            </w:r>
          </w:p>
          <w:p w14:paraId="55B85D05" w14:textId="77777777" w:rsidR="005F1A1B" w:rsidRPr="00633296" w:rsidRDefault="005F1A1B" w:rsidP="005F1A1B">
            <w:pPr>
              <w:spacing w:after="0" w:line="240" w:lineRule="auto"/>
              <w:rPr>
                <w:rFonts w:cs="Calibri"/>
                <w:b/>
                <w:bCs/>
                <w:sz w:val="18"/>
                <w:szCs w:val="18"/>
              </w:rPr>
            </w:pPr>
          </w:p>
          <w:p w14:paraId="1CD57B76" w14:textId="3468AB7D" w:rsidR="005F1A1B" w:rsidRPr="00633296" w:rsidRDefault="005F1A1B" w:rsidP="005F1A1B">
            <w:pPr>
              <w:spacing w:after="0" w:line="240" w:lineRule="auto"/>
              <w:rPr>
                <w:rFonts w:cs="Calibri"/>
                <w:sz w:val="18"/>
                <w:szCs w:val="18"/>
              </w:rPr>
            </w:pPr>
            <w:r w:rsidRPr="00633296">
              <w:rPr>
                <w:sz w:val="18"/>
                <w:szCs w:val="18"/>
              </w:rPr>
              <w:t>Increasing Regulatory Authority powers to identify, investigate and take appropriate action to address systemic child safety risks with services operating under multiple provider approvals.</w:t>
            </w:r>
          </w:p>
        </w:tc>
        <w:tc>
          <w:tcPr>
            <w:tcW w:w="2286" w:type="pct"/>
            <w:tcBorders>
              <w:top w:val="single" w:sz="4" w:space="0" w:color="auto"/>
              <w:left w:val="single" w:sz="4" w:space="0" w:color="auto"/>
              <w:bottom w:val="single" w:sz="4" w:space="0" w:color="auto"/>
              <w:right w:val="single" w:sz="4" w:space="0" w:color="auto"/>
            </w:tcBorders>
            <w:hideMark/>
          </w:tcPr>
          <w:p w14:paraId="36527532" w14:textId="77777777" w:rsidR="005F1A1B" w:rsidRPr="00633296" w:rsidRDefault="005F1A1B" w:rsidP="00EC53AB">
            <w:pPr>
              <w:pStyle w:val="ListParagraph"/>
              <w:numPr>
                <w:ilvl w:val="0"/>
                <w:numId w:val="46"/>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No change, status quo. </w:t>
            </w:r>
          </w:p>
          <w:p w14:paraId="1466DEA1" w14:textId="77777777" w:rsidR="005F1A1B" w:rsidRPr="00633296" w:rsidRDefault="005F1A1B" w:rsidP="00EC53AB">
            <w:pPr>
              <w:pStyle w:val="ListParagraph"/>
              <w:numPr>
                <w:ilvl w:val="0"/>
                <w:numId w:val="46"/>
              </w:numPr>
              <w:tabs>
                <w:tab w:val="clear" w:pos="2835"/>
              </w:tabs>
              <w:spacing w:after="0" w:line="240" w:lineRule="auto"/>
              <w:contextualSpacing/>
              <w:rPr>
                <w:rFonts w:eastAsia="Aptos" w:cs="Calibri"/>
                <w:sz w:val="18"/>
                <w:szCs w:val="18"/>
              </w:rPr>
            </w:pPr>
            <w:r w:rsidRPr="00633296">
              <w:rPr>
                <w:rFonts w:eastAsia="Aptos" w:cs="Calibri"/>
                <w:sz w:val="18"/>
                <w:szCs w:val="18"/>
              </w:rPr>
              <w:t>Non-regulatory: Guidance for the sector and families to improve awareness of an increase in the number of services with multiple approved providers that are being operated by a single controlling entity and/or Persons with Management or Control (PMCs) in common.</w:t>
            </w:r>
          </w:p>
          <w:p w14:paraId="49777A57" w14:textId="77777777" w:rsidR="005F1A1B" w:rsidRPr="00633296" w:rsidRDefault="005F1A1B" w:rsidP="00EC53AB">
            <w:pPr>
              <w:pStyle w:val="ListParagraph"/>
              <w:numPr>
                <w:ilvl w:val="0"/>
                <w:numId w:val="46"/>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Regulatory: </w:t>
            </w:r>
          </w:p>
          <w:p w14:paraId="079D29C2" w14:textId="77777777" w:rsidR="005F1A1B" w:rsidRPr="00633296" w:rsidRDefault="005F1A1B" w:rsidP="00EC53AB">
            <w:pPr>
              <w:pStyle w:val="ListParagraph"/>
              <w:numPr>
                <w:ilvl w:val="0"/>
                <w:numId w:val="47"/>
              </w:numPr>
              <w:tabs>
                <w:tab w:val="clear" w:pos="2835"/>
              </w:tabs>
              <w:spacing w:after="0" w:line="240" w:lineRule="auto"/>
              <w:contextualSpacing/>
              <w:rPr>
                <w:rFonts w:eastAsia="Aptos" w:cs="Calibri"/>
                <w:sz w:val="18"/>
                <w:szCs w:val="18"/>
              </w:rPr>
            </w:pPr>
            <w:r w:rsidRPr="00633296">
              <w:rPr>
                <w:rFonts w:eastAsia="Aptos" w:cs="Calibri"/>
                <w:sz w:val="18"/>
                <w:szCs w:val="18"/>
              </w:rPr>
              <w:t>Legislative amendment to add a definition of related providers to help RA efficiently and effectively identify and monitor related providers. Powers for RAs to take compliance and enforcement action at the related provider level would be needed, as well as requirements for providers to disclose they are related.</w:t>
            </w:r>
          </w:p>
          <w:p w14:paraId="15C70C71" w14:textId="540C97CC" w:rsidR="005F1A1B" w:rsidRPr="00633296" w:rsidRDefault="005F1A1B" w:rsidP="00EC53AB">
            <w:pPr>
              <w:pStyle w:val="ListParagraph"/>
              <w:numPr>
                <w:ilvl w:val="0"/>
                <w:numId w:val="47"/>
              </w:numPr>
              <w:tabs>
                <w:tab w:val="clear" w:pos="2835"/>
              </w:tabs>
              <w:spacing w:after="0" w:line="240" w:lineRule="auto"/>
              <w:contextualSpacing/>
              <w:rPr>
                <w:rFonts w:eastAsia="Aptos" w:cs="Calibri"/>
                <w:sz w:val="18"/>
                <w:szCs w:val="18"/>
              </w:rPr>
            </w:pPr>
            <w:r w:rsidRPr="00633296">
              <w:rPr>
                <w:rFonts w:eastAsia="Aptos" w:cs="Calibri"/>
                <w:sz w:val="18"/>
                <w:szCs w:val="18"/>
              </w:rPr>
              <w:t xml:space="preserve">Legislative amendment to require notice of acquisition to the Regulatory Authority when ownership of an approved provider is transferred to another entity. </w:t>
            </w:r>
          </w:p>
        </w:tc>
        <w:tc>
          <w:tcPr>
            <w:tcW w:w="937" w:type="pct"/>
            <w:tcBorders>
              <w:top w:val="single" w:sz="4" w:space="0" w:color="auto"/>
              <w:left w:val="single" w:sz="4" w:space="0" w:color="auto"/>
              <w:bottom w:val="single" w:sz="4" w:space="0" w:color="auto"/>
              <w:right w:val="single" w:sz="4" w:space="0" w:color="auto"/>
            </w:tcBorders>
          </w:tcPr>
          <w:p w14:paraId="103507AC" w14:textId="77777777" w:rsidR="005F1A1B" w:rsidRPr="00633296" w:rsidRDefault="005F1A1B" w:rsidP="00EC53AB">
            <w:pPr>
              <w:pStyle w:val="ListParagraph"/>
              <w:numPr>
                <w:ilvl w:val="0"/>
                <w:numId w:val="48"/>
              </w:numPr>
              <w:tabs>
                <w:tab w:val="clear" w:pos="2835"/>
              </w:tabs>
              <w:spacing w:after="0" w:line="240" w:lineRule="auto"/>
              <w:contextualSpacing/>
              <w:rPr>
                <w:rFonts w:eastAsia="Aptos" w:cs="Calibri"/>
                <w:color w:val="000000" w:themeColor="text1"/>
                <w:sz w:val="18"/>
                <w:szCs w:val="18"/>
              </w:rPr>
            </w:pPr>
            <w:r w:rsidRPr="00633296">
              <w:rPr>
                <w:rFonts w:eastAsia="Aptos" w:cs="Calibri"/>
                <w:color w:val="000000" w:themeColor="text1"/>
                <w:sz w:val="18"/>
                <w:szCs w:val="18"/>
              </w:rPr>
              <w:t>This additional recommendation was identified subsequent to the publication of the CSR.</w:t>
            </w:r>
          </w:p>
          <w:p w14:paraId="6B70D9C7" w14:textId="77777777" w:rsidR="005F1A1B" w:rsidRPr="00633296" w:rsidRDefault="005F1A1B" w:rsidP="005F1A1B">
            <w:pPr>
              <w:spacing w:after="0" w:line="240" w:lineRule="auto"/>
              <w:rPr>
                <w:rFonts w:eastAsia="Aptos" w:cs="Calibri"/>
                <w:color w:val="000000" w:themeColor="text1"/>
                <w:sz w:val="18"/>
                <w:szCs w:val="18"/>
              </w:rPr>
            </w:pPr>
          </w:p>
          <w:p w14:paraId="635F8A0C" w14:textId="77777777" w:rsidR="005F1A1B" w:rsidRPr="00633296" w:rsidRDefault="005F1A1B" w:rsidP="005F1A1B">
            <w:pPr>
              <w:spacing w:after="0" w:line="240" w:lineRule="auto"/>
              <w:rPr>
                <w:rFonts w:eastAsia="Aptos" w:cs="Calibri"/>
                <w:color w:val="000000" w:themeColor="text1"/>
                <w:sz w:val="18"/>
                <w:szCs w:val="18"/>
              </w:rPr>
            </w:pPr>
          </w:p>
          <w:p w14:paraId="633FD7C8" w14:textId="77777777" w:rsidR="005F1A1B" w:rsidRPr="00633296" w:rsidRDefault="005F1A1B" w:rsidP="005F1A1B">
            <w:pPr>
              <w:spacing w:after="0" w:line="240" w:lineRule="auto"/>
              <w:rPr>
                <w:rFonts w:eastAsia="Aptos" w:cs="Calibri"/>
                <w:color w:val="000000" w:themeColor="text1"/>
                <w:sz w:val="18"/>
                <w:szCs w:val="18"/>
              </w:rPr>
            </w:pPr>
          </w:p>
        </w:tc>
      </w:tr>
      <w:tr w:rsidR="005F1A1B" w:rsidRPr="007E30F1" w14:paraId="39640C9E" w14:textId="77777777" w:rsidTr="00090040">
        <w:trPr>
          <w:trHeight w:val="300"/>
        </w:trPr>
        <w:tc>
          <w:tcPr>
            <w:tcW w:w="1777" w:type="pct"/>
            <w:tcBorders>
              <w:top w:val="single" w:sz="4" w:space="0" w:color="auto"/>
              <w:left w:val="single" w:sz="4" w:space="0" w:color="auto"/>
              <w:bottom w:val="single" w:sz="4" w:space="0" w:color="auto"/>
              <w:right w:val="single" w:sz="4" w:space="0" w:color="auto"/>
            </w:tcBorders>
          </w:tcPr>
          <w:p w14:paraId="4FF96D2D"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t>Additional Recommendation AR2</w:t>
            </w:r>
          </w:p>
          <w:p w14:paraId="2EDE26C6" w14:textId="77777777" w:rsidR="005F1A1B" w:rsidRPr="00633296" w:rsidRDefault="005F1A1B" w:rsidP="005F1A1B">
            <w:pPr>
              <w:spacing w:after="0" w:line="240" w:lineRule="auto"/>
              <w:rPr>
                <w:b/>
                <w:sz w:val="18"/>
                <w:szCs w:val="18"/>
              </w:rPr>
            </w:pPr>
            <w:r w:rsidRPr="00633296">
              <w:rPr>
                <w:b/>
                <w:bCs/>
                <w:sz w:val="18"/>
                <w:szCs w:val="18"/>
              </w:rPr>
              <w:t>Extend limitation period</w:t>
            </w:r>
          </w:p>
          <w:p w14:paraId="1B824217" w14:textId="77777777" w:rsidR="005F1A1B" w:rsidRPr="00633296" w:rsidRDefault="005F1A1B" w:rsidP="005F1A1B">
            <w:pPr>
              <w:spacing w:after="0" w:line="240" w:lineRule="auto"/>
              <w:rPr>
                <w:b/>
                <w:bCs/>
                <w:sz w:val="18"/>
                <w:szCs w:val="18"/>
              </w:rPr>
            </w:pPr>
          </w:p>
          <w:p w14:paraId="6F2E1CC2" w14:textId="77777777" w:rsidR="005F1A1B" w:rsidRPr="00633296" w:rsidRDefault="005F1A1B" w:rsidP="005F1A1B">
            <w:pPr>
              <w:spacing w:after="0" w:line="240" w:lineRule="auto"/>
              <w:rPr>
                <w:sz w:val="18"/>
                <w:szCs w:val="18"/>
              </w:rPr>
            </w:pPr>
            <w:r w:rsidRPr="00633296">
              <w:rPr>
                <w:sz w:val="18"/>
                <w:szCs w:val="18"/>
              </w:rPr>
              <w:lastRenderedPageBreak/>
              <w:t>Extend the limitation period for offences within the National Law and National Regulations (primarily cases of physical or sexual abuse) to ensure prosecution can be undertaken.</w:t>
            </w:r>
          </w:p>
          <w:p w14:paraId="5712255A" w14:textId="77777777" w:rsidR="005F1A1B" w:rsidRPr="00633296" w:rsidRDefault="005F1A1B" w:rsidP="005F1A1B">
            <w:pPr>
              <w:spacing w:after="0" w:line="240" w:lineRule="auto"/>
              <w:rPr>
                <w:rFonts w:cs="Calibri"/>
                <w:sz w:val="18"/>
                <w:szCs w:val="18"/>
              </w:rPr>
            </w:pPr>
          </w:p>
          <w:p w14:paraId="6E2FD6AB" w14:textId="572BA0F6" w:rsidR="005F1A1B" w:rsidRPr="00633296" w:rsidRDefault="005F1A1B" w:rsidP="005F1A1B">
            <w:pPr>
              <w:spacing w:after="0" w:line="240" w:lineRule="auto"/>
              <w:rPr>
                <w:rFonts w:cs="Calibri"/>
                <w:sz w:val="18"/>
                <w:szCs w:val="18"/>
              </w:rPr>
            </w:pPr>
            <w:r w:rsidRPr="00633296">
              <w:rPr>
                <w:rFonts w:cs="Calibri"/>
                <w:sz w:val="18"/>
                <w:szCs w:val="18"/>
              </w:rPr>
              <w:t xml:space="preserve">[This would change the time when the limitation period commences from the date the </w:t>
            </w:r>
            <w:r w:rsidR="00014AC2">
              <w:rPr>
                <w:rFonts w:cs="Calibri"/>
                <w:sz w:val="18"/>
                <w:szCs w:val="18"/>
              </w:rPr>
              <w:t>education and care</w:t>
            </w:r>
            <w:r w:rsidRPr="00633296">
              <w:rPr>
                <w:rFonts w:cs="Calibri"/>
                <w:sz w:val="18"/>
                <w:szCs w:val="18"/>
              </w:rPr>
              <w:t xml:space="preserve"> Regulatory </w:t>
            </w:r>
            <w:r w:rsidR="004324FE" w:rsidRPr="00633296">
              <w:rPr>
                <w:rFonts w:cs="Calibri"/>
                <w:sz w:val="18"/>
                <w:szCs w:val="18"/>
              </w:rPr>
              <w:t>Authority is</w:t>
            </w:r>
            <w:r w:rsidRPr="00633296">
              <w:rPr>
                <w:rFonts w:cs="Calibri"/>
                <w:sz w:val="18"/>
                <w:szCs w:val="18"/>
              </w:rPr>
              <w:t xml:space="preserve"> aware of the alleged offence.]</w:t>
            </w:r>
          </w:p>
          <w:p w14:paraId="3C4B4A51" w14:textId="77777777" w:rsidR="005F1A1B" w:rsidRPr="00633296" w:rsidRDefault="005F1A1B" w:rsidP="005F1A1B">
            <w:pPr>
              <w:spacing w:after="0" w:line="240" w:lineRule="auto"/>
              <w:rPr>
                <w:rFonts w:cs="Calibri"/>
                <w:b/>
                <w:bCs/>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3AC65DC1" w14:textId="77777777" w:rsidR="005F1A1B" w:rsidRPr="00633296" w:rsidRDefault="005F1A1B" w:rsidP="00EC53AB">
            <w:pPr>
              <w:pStyle w:val="ListParagraph"/>
              <w:numPr>
                <w:ilvl w:val="0"/>
                <w:numId w:val="49"/>
              </w:numPr>
              <w:tabs>
                <w:tab w:val="clear" w:pos="2835"/>
              </w:tabs>
              <w:spacing w:after="0" w:line="240" w:lineRule="auto"/>
              <w:contextualSpacing/>
              <w:rPr>
                <w:rFonts w:eastAsia="Aptos" w:cs="Calibri"/>
                <w:sz w:val="18"/>
                <w:szCs w:val="18"/>
              </w:rPr>
            </w:pPr>
            <w:r w:rsidRPr="00633296">
              <w:rPr>
                <w:rFonts w:eastAsia="Aptos" w:cs="Calibri"/>
                <w:sz w:val="18"/>
                <w:szCs w:val="18"/>
              </w:rPr>
              <w:lastRenderedPageBreak/>
              <w:t>No change, status quo.</w:t>
            </w:r>
          </w:p>
          <w:p w14:paraId="670788A8" w14:textId="77777777" w:rsidR="005F1A1B" w:rsidRPr="00633296" w:rsidRDefault="005F1A1B" w:rsidP="00EC53AB">
            <w:pPr>
              <w:pStyle w:val="ListParagraph"/>
              <w:numPr>
                <w:ilvl w:val="0"/>
                <w:numId w:val="49"/>
              </w:numPr>
              <w:tabs>
                <w:tab w:val="clear" w:pos="2835"/>
              </w:tabs>
              <w:spacing w:after="0" w:line="240" w:lineRule="auto"/>
              <w:contextualSpacing/>
              <w:rPr>
                <w:rFonts w:eastAsia="Aptos" w:cs="Calibri"/>
                <w:sz w:val="18"/>
                <w:szCs w:val="18"/>
              </w:rPr>
            </w:pPr>
            <w:r w:rsidRPr="00633296">
              <w:rPr>
                <w:rFonts w:eastAsia="Aptos" w:cs="Calibri"/>
                <w:sz w:val="18"/>
                <w:szCs w:val="18"/>
              </w:rPr>
              <w:t>Regulatory: Amend s284 of the National Law so that the limitation period commences two years from the date that the alleged offence comes to the notice of the RA of each jurisdiction.</w:t>
            </w:r>
          </w:p>
          <w:p w14:paraId="17284516" w14:textId="09A64E12" w:rsidR="005F1A1B" w:rsidRPr="00684864" w:rsidRDefault="005F1A1B" w:rsidP="00684864">
            <w:pPr>
              <w:spacing w:after="0" w:line="240" w:lineRule="auto"/>
              <w:ind w:left="360" w:hanging="360"/>
              <w:rPr>
                <w:rFonts w:eastAsia="Aptos" w:cs="Calibri"/>
                <w:sz w:val="18"/>
                <w:szCs w:val="18"/>
              </w:rPr>
            </w:pPr>
          </w:p>
        </w:tc>
        <w:tc>
          <w:tcPr>
            <w:tcW w:w="937" w:type="pct"/>
            <w:tcBorders>
              <w:top w:val="single" w:sz="4" w:space="0" w:color="auto"/>
              <w:left w:val="single" w:sz="4" w:space="0" w:color="auto"/>
              <w:bottom w:val="single" w:sz="4" w:space="0" w:color="auto"/>
              <w:right w:val="single" w:sz="4" w:space="0" w:color="auto"/>
            </w:tcBorders>
            <w:hideMark/>
          </w:tcPr>
          <w:p w14:paraId="124D4530" w14:textId="105A851D" w:rsidR="005F1A1B" w:rsidRPr="00633296" w:rsidRDefault="005F1A1B" w:rsidP="00EC53AB">
            <w:pPr>
              <w:pStyle w:val="ListParagraph"/>
              <w:numPr>
                <w:ilvl w:val="0"/>
                <w:numId w:val="50"/>
              </w:numPr>
              <w:tabs>
                <w:tab w:val="clear" w:pos="2835"/>
              </w:tabs>
              <w:spacing w:after="0" w:line="240" w:lineRule="auto"/>
              <w:contextualSpacing/>
              <w:rPr>
                <w:rFonts w:eastAsia="Aptos" w:cs="Calibri"/>
                <w:color w:val="000000" w:themeColor="text1"/>
                <w:sz w:val="18"/>
                <w:szCs w:val="18"/>
              </w:rPr>
            </w:pPr>
            <w:r w:rsidRPr="00633296">
              <w:rPr>
                <w:rFonts w:eastAsia="Aptos" w:cs="Calibri"/>
                <w:color w:val="000000" w:themeColor="text1"/>
                <w:sz w:val="18"/>
                <w:szCs w:val="18"/>
              </w:rPr>
              <w:lastRenderedPageBreak/>
              <w:t xml:space="preserve">This additional recommendation was identified subsequent to </w:t>
            </w:r>
            <w:r w:rsidRPr="00633296">
              <w:rPr>
                <w:rFonts w:eastAsia="Aptos" w:cs="Calibri"/>
                <w:color w:val="000000" w:themeColor="text1"/>
                <w:sz w:val="18"/>
                <w:szCs w:val="18"/>
              </w:rPr>
              <w:lastRenderedPageBreak/>
              <w:t xml:space="preserve">the publication of the CSR. </w:t>
            </w:r>
          </w:p>
        </w:tc>
      </w:tr>
      <w:tr w:rsidR="005F1A1B" w:rsidRPr="007E30F1" w14:paraId="4884C904" w14:textId="77777777" w:rsidTr="00090040">
        <w:trPr>
          <w:trHeight w:val="300"/>
        </w:trPr>
        <w:tc>
          <w:tcPr>
            <w:tcW w:w="1777" w:type="pct"/>
            <w:tcBorders>
              <w:top w:val="single" w:sz="4" w:space="0" w:color="auto"/>
              <w:left w:val="single" w:sz="4" w:space="0" w:color="auto"/>
              <w:bottom w:val="single" w:sz="4" w:space="0" w:color="auto"/>
              <w:right w:val="single" w:sz="4" w:space="0" w:color="auto"/>
            </w:tcBorders>
          </w:tcPr>
          <w:p w14:paraId="4E44DC7E" w14:textId="77777777" w:rsidR="005F1A1B" w:rsidRPr="00633296" w:rsidRDefault="005F1A1B" w:rsidP="005F1A1B">
            <w:pPr>
              <w:spacing w:after="0" w:line="240" w:lineRule="auto"/>
              <w:rPr>
                <w:rFonts w:cs="Calibri"/>
                <w:b/>
                <w:bCs/>
                <w:sz w:val="18"/>
                <w:szCs w:val="18"/>
              </w:rPr>
            </w:pPr>
            <w:r w:rsidRPr="00633296">
              <w:rPr>
                <w:rFonts w:cs="Calibri"/>
                <w:b/>
                <w:bCs/>
                <w:sz w:val="18"/>
                <w:szCs w:val="18"/>
              </w:rPr>
              <w:lastRenderedPageBreak/>
              <w:t>Additional Recommendation AR3</w:t>
            </w:r>
          </w:p>
          <w:p w14:paraId="42CBB879" w14:textId="77777777" w:rsidR="005F1A1B" w:rsidRPr="00633296" w:rsidRDefault="005F1A1B" w:rsidP="005F1A1B">
            <w:pPr>
              <w:spacing w:after="0" w:line="240" w:lineRule="auto"/>
              <w:rPr>
                <w:b/>
                <w:sz w:val="18"/>
                <w:szCs w:val="18"/>
              </w:rPr>
            </w:pPr>
            <w:r w:rsidRPr="00633296">
              <w:rPr>
                <w:b/>
                <w:bCs/>
                <w:sz w:val="18"/>
                <w:szCs w:val="18"/>
              </w:rPr>
              <w:t>Recruitment agencies</w:t>
            </w:r>
          </w:p>
          <w:p w14:paraId="1C70C69C" w14:textId="77777777" w:rsidR="005F1A1B" w:rsidRPr="00633296" w:rsidRDefault="005F1A1B" w:rsidP="005F1A1B">
            <w:pPr>
              <w:spacing w:after="0" w:line="240" w:lineRule="auto"/>
              <w:rPr>
                <w:sz w:val="18"/>
                <w:szCs w:val="18"/>
              </w:rPr>
            </w:pPr>
          </w:p>
          <w:p w14:paraId="2D80218B" w14:textId="77777777" w:rsidR="005F1A1B" w:rsidRPr="00633296" w:rsidRDefault="005F1A1B" w:rsidP="005F1A1B">
            <w:pPr>
              <w:spacing w:after="0" w:line="240" w:lineRule="auto"/>
              <w:rPr>
                <w:sz w:val="18"/>
                <w:szCs w:val="18"/>
              </w:rPr>
            </w:pPr>
            <w:r w:rsidRPr="00633296">
              <w:rPr>
                <w:sz w:val="18"/>
                <w:szCs w:val="18"/>
              </w:rPr>
              <w:t>Ensuring Regulatory Authorities (RA) have the appropriate powers to engage with recruitment agencies, including the ability to access staff records and share information regarding with agencies regarding prohibited persons.</w:t>
            </w:r>
          </w:p>
          <w:p w14:paraId="2793A74A" w14:textId="77777777" w:rsidR="005F1A1B" w:rsidRPr="00633296" w:rsidRDefault="005F1A1B" w:rsidP="005F1A1B">
            <w:pPr>
              <w:spacing w:after="0" w:line="240" w:lineRule="auto"/>
              <w:rPr>
                <w:rFonts w:cs="Calibri"/>
                <w:b/>
                <w:bCs/>
                <w:sz w:val="18"/>
                <w:szCs w:val="18"/>
              </w:rPr>
            </w:pPr>
          </w:p>
        </w:tc>
        <w:tc>
          <w:tcPr>
            <w:tcW w:w="2286" w:type="pct"/>
            <w:tcBorders>
              <w:top w:val="single" w:sz="4" w:space="0" w:color="auto"/>
              <w:left w:val="single" w:sz="4" w:space="0" w:color="auto"/>
              <w:bottom w:val="single" w:sz="4" w:space="0" w:color="auto"/>
              <w:right w:val="single" w:sz="4" w:space="0" w:color="auto"/>
            </w:tcBorders>
            <w:hideMark/>
          </w:tcPr>
          <w:p w14:paraId="48FEAB44" w14:textId="77777777" w:rsidR="005F1A1B" w:rsidRPr="00633296" w:rsidRDefault="005F1A1B" w:rsidP="00EC53AB">
            <w:pPr>
              <w:pStyle w:val="ListParagraph"/>
              <w:numPr>
                <w:ilvl w:val="0"/>
                <w:numId w:val="51"/>
              </w:numPr>
              <w:tabs>
                <w:tab w:val="clear" w:pos="2835"/>
              </w:tabs>
              <w:spacing w:after="0" w:line="240" w:lineRule="auto"/>
              <w:contextualSpacing/>
              <w:rPr>
                <w:rFonts w:eastAsia="Aptos" w:cs="Calibri"/>
                <w:sz w:val="18"/>
                <w:szCs w:val="18"/>
              </w:rPr>
            </w:pPr>
            <w:r w:rsidRPr="00633296">
              <w:rPr>
                <w:rFonts w:eastAsia="Aptos" w:cs="Calibri"/>
                <w:sz w:val="18"/>
                <w:szCs w:val="18"/>
              </w:rPr>
              <w:t>No change, status quo.</w:t>
            </w:r>
          </w:p>
          <w:p w14:paraId="6CFD3886" w14:textId="77777777" w:rsidR="005F1A1B" w:rsidRPr="00633296" w:rsidRDefault="005F1A1B" w:rsidP="00EC53AB">
            <w:pPr>
              <w:pStyle w:val="ListParagraph"/>
              <w:numPr>
                <w:ilvl w:val="0"/>
                <w:numId w:val="51"/>
              </w:numPr>
              <w:tabs>
                <w:tab w:val="clear" w:pos="2835"/>
              </w:tabs>
              <w:spacing w:after="0" w:line="240" w:lineRule="auto"/>
              <w:contextualSpacing/>
              <w:rPr>
                <w:rFonts w:eastAsia="Aptos" w:cs="Calibri"/>
                <w:sz w:val="18"/>
                <w:szCs w:val="18"/>
              </w:rPr>
            </w:pPr>
            <w:r w:rsidRPr="00633296">
              <w:rPr>
                <w:rFonts w:eastAsia="Aptos" w:cs="Calibri"/>
                <w:sz w:val="18"/>
                <w:szCs w:val="18"/>
              </w:rPr>
              <w:t>Non-regulatory: Guidance/messaging for approved providers regarding the requirement to keep staff records for agency educators.</w:t>
            </w:r>
          </w:p>
          <w:p w14:paraId="496E714D" w14:textId="77777777" w:rsidR="005F1A1B" w:rsidRPr="00633296" w:rsidRDefault="005F1A1B" w:rsidP="00EC53AB">
            <w:pPr>
              <w:pStyle w:val="ListParagraph"/>
              <w:numPr>
                <w:ilvl w:val="0"/>
                <w:numId w:val="51"/>
              </w:numPr>
              <w:tabs>
                <w:tab w:val="clear" w:pos="2835"/>
              </w:tabs>
              <w:spacing w:after="0" w:line="240" w:lineRule="auto"/>
              <w:contextualSpacing/>
              <w:rPr>
                <w:rFonts w:eastAsia="Aptos" w:cs="Calibri"/>
                <w:sz w:val="18"/>
                <w:szCs w:val="18"/>
              </w:rPr>
            </w:pPr>
            <w:r w:rsidRPr="00633296">
              <w:rPr>
                <w:rFonts w:eastAsia="Aptos" w:cs="Calibri"/>
                <w:sz w:val="18"/>
                <w:szCs w:val="18"/>
              </w:rPr>
              <w:t>Regulatory: Amend s206 (4) of the National Law to include recruitment agencies supplying educators to education and care services.</w:t>
            </w:r>
          </w:p>
          <w:p w14:paraId="2CFD844B" w14:textId="77777777" w:rsidR="005F1A1B" w:rsidRPr="00633296" w:rsidRDefault="005F1A1B" w:rsidP="00EC53AB">
            <w:pPr>
              <w:pStyle w:val="ListParagraph"/>
              <w:numPr>
                <w:ilvl w:val="0"/>
                <w:numId w:val="51"/>
              </w:numPr>
              <w:tabs>
                <w:tab w:val="clear" w:pos="2835"/>
              </w:tabs>
              <w:spacing w:after="0" w:line="240" w:lineRule="auto"/>
              <w:contextualSpacing/>
              <w:rPr>
                <w:rFonts w:eastAsia="Aptos" w:cs="Calibri"/>
                <w:sz w:val="18"/>
                <w:szCs w:val="18"/>
                <w:u w:val="single"/>
              </w:rPr>
            </w:pPr>
            <w:r w:rsidRPr="00633296">
              <w:rPr>
                <w:rFonts w:eastAsia="Aptos" w:cs="Calibri"/>
                <w:sz w:val="18"/>
                <w:szCs w:val="18"/>
              </w:rPr>
              <w:t xml:space="preserve">Regulatory: Amend s272 of the National Law to allow a RA to share information about an agency educator with that person’s recruitment agency (including mirroring any amendments to s272 regarding proactive sharing with providers) </w:t>
            </w:r>
            <w:r w:rsidRPr="00633296">
              <w:rPr>
                <w:rFonts w:eastAsia="Aptos" w:cs="Calibri"/>
                <w:sz w:val="18"/>
                <w:szCs w:val="18"/>
                <w:u w:val="single"/>
              </w:rPr>
              <w:t xml:space="preserve">and </w:t>
            </w:r>
            <w:r w:rsidRPr="00633296">
              <w:rPr>
                <w:rFonts w:eastAsia="Aptos" w:cs="Calibri"/>
                <w:sz w:val="18"/>
                <w:szCs w:val="18"/>
              </w:rPr>
              <w:t>consider whether recruitment agencies may have access to the prohibited persons register.</w:t>
            </w:r>
          </w:p>
          <w:p w14:paraId="19C21B4E" w14:textId="254D0861" w:rsidR="005F1A1B" w:rsidRPr="00633296" w:rsidRDefault="005F1A1B" w:rsidP="00EC53AB">
            <w:pPr>
              <w:pStyle w:val="ListParagraph"/>
              <w:numPr>
                <w:ilvl w:val="0"/>
                <w:numId w:val="51"/>
              </w:numPr>
              <w:tabs>
                <w:tab w:val="clear" w:pos="2835"/>
              </w:tabs>
              <w:spacing w:after="0" w:line="240" w:lineRule="auto"/>
              <w:contextualSpacing/>
              <w:rPr>
                <w:rFonts w:eastAsia="Aptos" w:cs="Calibri"/>
                <w:sz w:val="18"/>
                <w:szCs w:val="18"/>
              </w:rPr>
            </w:pPr>
            <w:r w:rsidRPr="00633296">
              <w:rPr>
                <w:rFonts w:eastAsia="Aptos" w:cs="Calibri"/>
                <w:sz w:val="18"/>
                <w:szCs w:val="18"/>
              </w:rPr>
              <w:t>Regulatory: Amend s188A of the National Law to include giving an approved provider or recruitment agency any information about the content or existence of the prohibition notice that is false or misleading in any material particular.</w:t>
            </w:r>
          </w:p>
        </w:tc>
        <w:tc>
          <w:tcPr>
            <w:tcW w:w="937" w:type="pct"/>
            <w:tcBorders>
              <w:top w:val="single" w:sz="4" w:space="0" w:color="auto"/>
              <w:left w:val="single" w:sz="4" w:space="0" w:color="auto"/>
              <w:bottom w:val="single" w:sz="4" w:space="0" w:color="auto"/>
              <w:right w:val="single" w:sz="4" w:space="0" w:color="auto"/>
            </w:tcBorders>
            <w:hideMark/>
          </w:tcPr>
          <w:p w14:paraId="375EBCFB" w14:textId="1857505B" w:rsidR="005F1A1B" w:rsidRPr="00633296" w:rsidRDefault="005F1A1B" w:rsidP="00EC53AB">
            <w:pPr>
              <w:pStyle w:val="ListParagraph"/>
              <w:numPr>
                <w:ilvl w:val="0"/>
                <w:numId w:val="50"/>
              </w:numPr>
              <w:tabs>
                <w:tab w:val="clear" w:pos="2835"/>
              </w:tabs>
              <w:spacing w:after="0" w:line="240" w:lineRule="auto"/>
              <w:contextualSpacing/>
              <w:rPr>
                <w:rFonts w:eastAsia="Aptos" w:cs="Calibri"/>
                <w:color w:val="000000" w:themeColor="text1"/>
                <w:sz w:val="18"/>
                <w:szCs w:val="18"/>
              </w:rPr>
            </w:pPr>
            <w:r w:rsidRPr="00633296">
              <w:rPr>
                <w:rFonts w:eastAsia="Aptos" w:cs="Calibri"/>
                <w:color w:val="000000" w:themeColor="text1"/>
                <w:sz w:val="18"/>
                <w:szCs w:val="18"/>
              </w:rPr>
              <w:t>This additional recommendation was identified subsequent to the publication of the CSR</w:t>
            </w:r>
            <w:r w:rsidRPr="00633296">
              <w:rPr>
                <w:sz w:val="18"/>
                <w:szCs w:val="18"/>
              </w:rPr>
              <w:t>.</w:t>
            </w:r>
            <w:r w:rsidRPr="00633296">
              <w:rPr>
                <w:rFonts w:eastAsia="Aptos" w:cs="Calibri"/>
                <w:color w:val="000000" w:themeColor="text1"/>
                <w:sz w:val="18"/>
                <w:szCs w:val="18"/>
              </w:rPr>
              <w:t xml:space="preserve"> </w:t>
            </w:r>
          </w:p>
        </w:tc>
      </w:tr>
    </w:tbl>
    <w:p w14:paraId="0CBE75EF" w14:textId="77777777" w:rsidR="00E15194" w:rsidRPr="00E15194" w:rsidRDefault="00E15194" w:rsidP="00E15194">
      <w:pPr>
        <w:rPr>
          <w:lang w:val="en-GB"/>
        </w:rPr>
      </w:pPr>
    </w:p>
    <w:p w14:paraId="6495EB26" w14:textId="77777777" w:rsidR="004C0726" w:rsidRDefault="004C0726">
      <w:pPr>
        <w:spacing w:after="160" w:line="259" w:lineRule="auto"/>
        <w:rPr>
          <w:lang w:val="en-GB"/>
        </w:rPr>
        <w:sectPr w:rsidR="004C0726" w:rsidSect="007E30F1">
          <w:pgSz w:w="16840" w:h="11900" w:orient="landscape"/>
          <w:pgMar w:top="1440" w:right="1440" w:bottom="1440" w:left="1440" w:header="709" w:footer="709" w:gutter="0"/>
          <w:cols w:space="708"/>
          <w:titlePg/>
          <w:docGrid w:linePitch="360"/>
        </w:sectPr>
      </w:pPr>
    </w:p>
    <w:p w14:paraId="605C7C8B" w14:textId="4FE64EEF" w:rsidR="00FB5B62" w:rsidRPr="00777542" w:rsidRDefault="00531B84" w:rsidP="00531B84">
      <w:pPr>
        <w:pStyle w:val="Heading2"/>
        <w:rPr>
          <w:highlight w:val="yellow"/>
        </w:rPr>
      </w:pPr>
      <w:bookmarkStart w:id="242" w:name="_10.2__"/>
      <w:bookmarkStart w:id="243" w:name="_Toc205884913"/>
      <w:bookmarkEnd w:id="242"/>
      <w:r>
        <w:lastRenderedPageBreak/>
        <w:t xml:space="preserve">12.3 </w:t>
      </w:r>
      <w:r w:rsidR="00FB5B62" w:rsidRPr="00E413A3">
        <w:t>Survey findings</w:t>
      </w:r>
      <w:bookmarkEnd w:id="243"/>
    </w:p>
    <w:p w14:paraId="21201D95" w14:textId="77777777" w:rsidR="00B06A57" w:rsidRDefault="00B06A57" w:rsidP="00B06A57">
      <w:r>
        <w:t>The public consultation phase included the distribution of three surveys:</w:t>
      </w:r>
    </w:p>
    <w:p w14:paraId="681B9F4A" w14:textId="77777777" w:rsidR="00B06A57" w:rsidRDefault="00B06A57" w:rsidP="00B06A57">
      <w:pPr>
        <w:pStyle w:val="ListBullet"/>
        <w:ind w:left="426"/>
      </w:pPr>
      <w:r>
        <w:t>a survey for approved providers, persons with management or control (PMCs) or nominated supervisors,</w:t>
      </w:r>
    </w:p>
    <w:p w14:paraId="06BAC2A3" w14:textId="77777777" w:rsidR="00B06A57" w:rsidRDefault="00B06A57" w:rsidP="00B06A57">
      <w:pPr>
        <w:pStyle w:val="ListBullet"/>
        <w:ind w:left="426"/>
      </w:pPr>
      <w:r>
        <w:t>a survey for the education and care workforce,</w:t>
      </w:r>
    </w:p>
    <w:p w14:paraId="45C99825" w14:textId="77777777" w:rsidR="00B06A57" w:rsidRDefault="00B06A57" w:rsidP="00B06A57">
      <w:pPr>
        <w:pStyle w:val="ListBullet"/>
        <w:ind w:left="426"/>
      </w:pPr>
      <w:r>
        <w:t>a survey for families, parents, and carers.</w:t>
      </w:r>
    </w:p>
    <w:p w14:paraId="61DE8E5E" w14:textId="77777777" w:rsidR="00B06A57" w:rsidRPr="00EF2C06" w:rsidRDefault="00B06A57" w:rsidP="00B06A57">
      <w:r>
        <w:t xml:space="preserve">Each survey was open from 5 May 2025 to 11 June 2025, for a period of five weeks and three days. The survey links were distributed through ACECQA and jurisdictions. Services and providers who participated in information webinars and forums were also encouraged to distribute the </w:t>
      </w:r>
      <w:r w:rsidRPr="000F7FF0">
        <w:t>education and care</w:t>
      </w:r>
      <w:r>
        <w:t xml:space="preserve"> workforce survey link through internal newsletters or by staff contacting individual services. These services were also able to distribute the families survey through online links and printed Quick Response (QR) codes. Telephone surveys were available on request. For additional reference, </w:t>
      </w:r>
      <w:r w:rsidRPr="000147F4">
        <w:t>16</w:t>
      </w:r>
      <w:r>
        <w:t xml:space="preserve"> approved provider survey respondents reported that they provided services that are outside the scope of the NQF. This survey question was not asked in the workforce or families, parents and carers surveys. </w:t>
      </w:r>
    </w:p>
    <w:p w14:paraId="32089E91" w14:textId="77777777" w:rsidR="00B06A57" w:rsidRDefault="00B06A57" w:rsidP="00B06A57">
      <w:r>
        <w:t>The final number of responses for each survey are as follows:</w:t>
      </w:r>
    </w:p>
    <w:p w14:paraId="0FB7E22B" w14:textId="77777777" w:rsidR="00B06A57" w:rsidRPr="00BE3953" w:rsidRDefault="00B06A57" w:rsidP="00EC53AB">
      <w:pPr>
        <w:pStyle w:val="NoSpacing"/>
        <w:numPr>
          <w:ilvl w:val="0"/>
          <w:numId w:val="94"/>
        </w:numPr>
        <w:spacing w:line="360" w:lineRule="auto"/>
        <w:ind w:left="426"/>
      </w:pPr>
      <w:r>
        <w:t>295 approved provider surveys completed,</w:t>
      </w:r>
    </w:p>
    <w:p w14:paraId="1C6C35A9" w14:textId="77777777" w:rsidR="00B06A57" w:rsidRPr="00BE3953" w:rsidRDefault="00B06A57" w:rsidP="00EC53AB">
      <w:pPr>
        <w:pStyle w:val="NoSpacing"/>
        <w:numPr>
          <w:ilvl w:val="0"/>
          <w:numId w:val="94"/>
        </w:numPr>
        <w:spacing w:line="360" w:lineRule="auto"/>
        <w:ind w:left="426"/>
      </w:pPr>
      <w:r>
        <w:t>522 workforce surveys completed,</w:t>
      </w:r>
    </w:p>
    <w:p w14:paraId="2B332F51" w14:textId="5F506536" w:rsidR="00B06A57" w:rsidRDefault="00B06A57" w:rsidP="00EC53AB">
      <w:pPr>
        <w:pStyle w:val="ListParagraph"/>
        <w:numPr>
          <w:ilvl w:val="0"/>
          <w:numId w:val="94"/>
        </w:numPr>
        <w:ind w:left="426"/>
      </w:pPr>
      <w:r>
        <w:t>190 family, carer and parent surveys completed.</w:t>
      </w:r>
    </w:p>
    <w:p w14:paraId="2990F376" w14:textId="77777777" w:rsidR="00777542" w:rsidRPr="00761FD2" w:rsidRDefault="00777542" w:rsidP="00777542">
      <w:r w:rsidRPr="00761FD2">
        <w:t>This section includes thematic charts and tables from all three surveys on the following survey questions:</w:t>
      </w:r>
    </w:p>
    <w:p w14:paraId="38D8B9AE" w14:textId="77777777" w:rsidR="00777542" w:rsidRPr="00761FD2" w:rsidRDefault="00777542" w:rsidP="00EC53AB">
      <w:pPr>
        <w:pStyle w:val="ListParagraph"/>
        <w:numPr>
          <w:ilvl w:val="0"/>
          <w:numId w:val="111"/>
        </w:numPr>
        <w:tabs>
          <w:tab w:val="clear" w:pos="2835"/>
        </w:tabs>
        <w:spacing w:before="120"/>
        <w:ind w:left="426"/>
        <w:contextualSpacing/>
      </w:pPr>
      <w:r w:rsidRPr="00761FD2">
        <w:t>How much do you think each option will reduce the risk of harm to children?</w:t>
      </w:r>
    </w:p>
    <w:p w14:paraId="6D580A72" w14:textId="2A6ED050" w:rsidR="00777542" w:rsidRPr="00761FD2" w:rsidRDefault="00777542" w:rsidP="00EC53AB">
      <w:pPr>
        <w:pStyle w:val="ListParagraph"/>
        <w:numPr>
          <w:ilvl w:val="0"/>
          <w:numId w:val="111"/>
        </w:numPr>
        <w:tabs>
          <w:tab w:val="clear" w:pos="2835"/>
        </w:tabs>
        <w:spacing w:before="120"/>
        <w:ind w:left="426"/>
        <w:contextualSpacing/>
      </w:pPr>
      <w:r w:rsidRPr="00761FD2">
        <w:t xml:space="preserve">What is your </w:t>
      </w:r>
      <w:r w:rsidR="00370AB1">
        <w:t xml:space="preserve">preferred option or </w:t>
      </w:r>
      <w:r w:rsidR="004324FE">
        <w:t xml:space="preserve">combination </w:t>
      </w:r>
      <w:r w:rsidR="004324FE" w:rsidRPr="00761FD2">
        <w:t>of</w:t>
      </w:r>
      <w:r w:rsidRPr="00761FD2">
        <w:t xml:space="preserve"> options?</w:t>
      </w:r>
    </w:p>
    <w:p w14:paraId="6A492F5E" w14:textId="0DBF1B21" w:rsidR="00065831" w:rsidRPr="00761FD2" w:rsidRDefault="0027593A" w:rsidP="00065831">
      <w:pPr>
        <w:spacing w:before="120"/>
        <w:contextualSpacing/>
      </w:pPr>
      <w:r>
        <w:t>This appendix</w:t>
      </w:r>
      <w:r w:rsidRPr="00761FD2">
        <w:t xml:space="preserve"> </w:t>
      </w:r>
      <w:r w:rsidR="00065831" w:rsidRPr="00761FD2">
        <w:t xml:space="preserve">also includes additional questions and </w:t>
      </w:r>
      <w:r w:rsidR="00077598" w:rsidRPr="00761FD2">
        <w:t xml:space="preserve">cuts of responses where relevant to the recommendation. </w:t>
      </w:r>
    </w:p>
    <w:p w14:paraId="6595A721" w14:textId="783A4F99" w:rsidR="00777542" w:rsidRPr="00761FD2" w:rsidRDefault="00777542" w:rsidP="00777542">
      <w:r w:rsidRPr="00761FD2">
        <w:t>Charts are group</w:t>
      </w:r>
      <w:r w:rsidR="00E413F8">
        <w:t>ed</w:t>
      </w:r>
      <w:r w:rsidRPr="00761FD2">
        <w:t xml:space="preserve"> by theme and recommendation, with responses from each survey included in these sections. </w:t>
      </w:r>
    </w:p>
    <w:p w14:paraId="39399699" w14:textId="77777777" w:rsidR="00777542" w:rsidRPr="00761FD2" w:rsidRDefault="00777542" w:rsidP="00777542">
      <w:r w:rsidRPr="00761FD2">
        <w:t>There are a number of factors that should be considered when interpreting the data in this Appendix:</w:t>
      </w:r>
    </w:p>
    <w:p w14:paraId="71533DDA" w14:textId="77777777" w:rsidR="00777542" w:rsidRPr="00761FD2" w:rsidRDefault="00777542" w:rsidP="00EC53AB">
      <w:pPr>
        <w:pStyle w:val="ListParagraph"/>
        <w:numPr>
          <w:ilvl w:val="0"/>
          <w:numId w:val="112"/>
        </w:numPr>
        <w:tabs>
          <w:tab w:val="clear" w:pos="2835"/>
        </w:tabs>
        <w:spacing w:before="120"/>
        <w:ind w:left="426"/>
        <w:contextualSpacing/>
      </w:pPr>
      <w:r w:rsidRPr="00761FD2">
        <w:t xml:space="preserve">As none of the themed survey questions were forced response, the denominators of different elements of the same question may differ. For example, in a question that asks what the reduction in risk of harm may be for each policy option, a respondent would be </w:t>
      </w:r>
      <w:r w:rsidRPr="00761FD2">
        <w:lastRenderedPageBreak/>
        <w:t xml:space="preserve">able to answer for some of the policy options, and not others. To clarify this, the precise number of respondents for each policy option has been placed as a note below each chart, where relevant. </w:t>
      </w:r>
    </w:p>
    <w:p w14:paraId="7A059FBD" w14:textId="0496FC45" w:rsidR="00DF45E4" w:rsidRPr="00761FD2" w:rsidRDefault="00DF45E4" w:rsidP="00EC53AB">
      <w:pPr>
        <w:pStyle w:val="ListParagraph"/>
        <w:numPr>
          <w:ilvl w:val="0"/>
          <w:numId w:val="112"/>
        </w:numPr>
        <w:tabs>
          <w:tab w:val="clear" w:pos="2835"/>
        </w:tabs>
        <w:spacing w:before="120"/>
        <w:ind w:left="426"/>
        <w:contextualSpacing/>
      </w:pPr>
      <w:r>
        <w:t xml:space="preserve">Respondents were able to select multiple of some demographic categories, including jurisdiction, service type, and role. </w:t>
      </w:r>
    </w:p>
    <w:p w14:paraId="2178BEF8" w14:textId="3532A779" w:rsidR="00777542" w:rsidRPr="00761FD2" w:rsidRDefault="00777542" w:rsidP="00EC53AB">
      <w:pPr>
        <w:pStyle w:val="ListParagraph"/>
        <w:numPr>
          <w:ilvl w:val="0"/>
          <w:numId w:val="112"/>
        </w:numPr>
        <w:tabs>
          <w:tab w:val="clear" w:pos="2835"/>
        </w:tabs>
        <w:spacing w:before="120"/>
        <w:ind w:left="426"/>
        <w:contextualSpacing/>
      </w:pPr>
      <w:r w:rsidRPr="00761FD2">
        <w:t xml:space="preserve">The data in this appendix is as of </w:t>
      </w:r>
      <w:r w:rsidR="00077598" w:rsidRPr="00761FD2">
        <w:t>11</w:t>
      </w:r>
      <w:r w:rsidRPr="00761FD2">
        <w:t xml:space="preserve"> June 2025</w:t>
      </w:r>
      <w:r w:rsidR="004F392E">
        <w:t xml:space="preserve"> and represents all completed surveys</w:t>
      </w:r>
      <w:r w:rsidRPr="00761FD2">
        <w:t xml:space="preserve">. </w:t>
      </w:r>
    </w:p>
    <w:p w14:paraId="304303CA" w14:textId="6C4882F1" w:rsidR="00777542" w:rsidRPr="00DA4F42" w:rsidRDefault="00814624" w:rsidP="0006355A">
      <w:pPr>
        <w:pStyle w:val="Heading3"/>
      </w:pPr>
      <w:bookmarkStart w:id="244" w:name="_Hlk199950099"/>
      <w:r>
        <w:t xml:space="preserve">12.3.1 </w:t>
      </w:r>
      <w:r w:rsidR="00777542" w:rsidRPr="00DA4F42">
        <w:t>Managing the use of digital devices</w:t>
      </w:r>
    </w:p>
    <w:p w14:paraId="15F5321B" w14:textId="77777777" w:rsidR="00777542" w:rsidRPr="00DA4F42" w:rsidRDefault="00777542" w:rsidP="00777542">
      <w:pPr>
        <w:pStyle w:val="Heading4un-numbered"/>
      </w:pPr>
      <w:r w:rsidRPr="00DA4F42">
        <w:t>Managing the use of digital devices – Reduction of the risk of harm</w:t>
      </w:r>
    </w:p>
    <w:p w14:paraId="7A8FE17D" w14:textId="41AF7B9E" w:rsidR="00777542" w:rsidRPr="00F64B5C" w:rsidRDefault="00B2433C" w:rsidP="002538E3">
      <w:pPr>
        <w:pStyle w:val="CaptionChart"/>
      </w:pPr>
      <w:bookmarkStart w:id="245" w:name="_Toc200656061"/>
      <w:bookmarkStart w:id="246" w:name="_Toc200657404"/>
      <w:r>
        <w:t>A</w:t>
      </w:r>
      <w:r w:rsidR="007B4D62">
        <w:t xml:space="preserve">ppendix </w:t>
      </w:r>
      <w:r w:rsidR="00B94850">
        <w:t xml:space="preserve">Chart 12.3.1.1 </w:t>
      </w:r>
      <w:r w:rsidR="00777542" w:rsidRPr="00F64B5C">
        <w:t>Approved provider responses to “How much do you think each option will reduce the risk of harm to children?”</w:t>
      </w:r>
      <w:bookmarkEnd w:id="245"/>
      <w:bookmarkEnd w:id="246"/>
    </w:p>
    <w:p w14:paraId="7CCA74A3" w14:textId="642CC006" w:rsidR="00777542" w:rsidRPr="00F64B5C" w:rsidRDefault="00F64B5C" w:rsidP="00777542">
      <w:pPr>
        <w:jc w:val="center"/>
      </w:pPr>
      <w:r w:rsidRPr="00F64B5C">
        <w:rPr>
          <w:noProof/>
          <w14:ligatures w14:val="standardContextual"/>
        </w:rPr>
        <w:drawing>
          <wp:inline distT="0" distB="0" distL="0" distR="0" wp14:anchorId="23CFA03D" wp14:editId="682208D6">
            <wp:extent cx="5727700" cy="1624965"/>
            <wp:effectExtent l="0" t="0" r="6350" b="0"/>
            <wp:docPr id="1549159236"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AEF7C4DF-2506-B76A-A30F-E6EC4C806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DE997B5" w14:textId="1DC30E6F" w:rsidR="00777542" w:rsidRPr="00F64B5C" w:rsidRDefault="00777542" w:rsidP="00777542">
      <w:pPr>
        <w:pStyle w:val="Source"/>
      </w:pPr>
      <w:r w:rsidRPr="00F64B5C">
        <w:t xml:space="preserve">Source: Approved provider survey, as of </w:t>
      </w:r>
      <w:r w:rsidR="00B4719A">
        <w:t>11</w:t>
      </w:r>
      <w:r w:rsidRPr="00F64B5C">
        <w:t xml:space="preserve"> June 2025, Q17, option 1 n=</w:t>
      </w:r>
      <w:r w:rsidR="00F64B5C">
        <w:t>220</w:t>
      </w:r>
      <w:r w:rsidRPr="00F64B5C">
        <w:t>, option 2 n=</w:t>
      </w:r>
      <w:r w:rsidR="00F64B5C">
        <w:t>217</w:t>
      </w:r>
      <w:r w:rsidRPr="00F64B5C">
        <w:t>, option 3 n=</w:t>
      </w:r>
      <w:r w:rsidR="00F64B5C">
        <w:t>219</w:t>
      </w:r>
      <w:r w:rsidRPr="00F64B5C">
        <w:t>.</w:t>
      </w:r>
    </w:p>
    <w:p w14:paraId="056DFCC2" w14:textId="700C85CF" w:rsidR="00777542" w:rsidRPr="00DA4F42" w:rsidRDefault="007B4D62" w:rsidP="00777542">
      <w:pPr>
        <w:pStyle w:val="CaptionChart"/>
        <w:numPr>
          <w:ilvl w:val="7"/>
          <w:numId w:val="0"/>
        </w:numPr>
      </w:pPr>
      <w:bookmarkStart w:id="247" w:name="_Toc200656062"/>
      <w:bookmarkStart w:id="248" w:name="_Toc200657405"/>
      <w:r>
        <w:t xml:space="preserve">Appendix Chart 12.3.1.2 </w:t>
      </w:r>
      <w:r w:rsidR="00777542" w:rsidRPr="00DA4F42">
        <w:t>Workforce responses to “How much do you think each option will reduce the risk of harm to children?”</w:t>
      </w:r>
      <w:bookmarkEnd w:id="247"/>
      <w:bookmarkEnd w:id="248"/>
    </w:p>
    <w:p w14:paraId="678657A5" w14:textId="1144421C" w:rsidR="00777542" w:rsidRPr="00DA4F42" w:rsidRDefault="00DF249B" w:rsidP="00777542">
      <w:pPr>
        <w:pStyle w:val="Source"/>
      </w:pPr>
      <w:r w:rsidRPr="00DA4F42">
        <w:rPr>
          <w:noProof/>
          <w14:ligatures w14:val="standardContextual"/>
        </w:rPr>
        <w:drawing>
          <wp:inline distT="0" distB="0" distL="0" distR="0" wp14:anchorId="02A8DBD5" wp14:editId="2AA60892">
            <wp:extent cx="5427878" cy="1909267"/>
            <wp:effectExtent l="0" t="0" r="1905" b="0"/>
            <wp:docPr id="459083986" name="Chart 1" descr="Chart outlining workforce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A609B29A-8AD9-07B3-608A-301B7E89E5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7DD457C" w14:textId="10CC8EC0" w:rsidR="00777542" w:rsidRPr="00DA4F42" w:rsidRDefault="00777542" w:rsidP="00777542">
      <w:pPr>
        <w:pStyle w:val="Source"/>
      </w:pPr>
      <w:r w:rsidRPr="00DA4F42">
        <w:t xml:space="preserve">Source: Workforce survey, as of </w:t>
      </w:r>
      <w:r w:rsidR="003B4898" w:rsidRPr="00DA4F42">
        <w:t>11</w:t>
      </w:r>
      <w:r w:rsidRPr="00DA4F42">
        <w:t xml:space="preserve"> June 2025, Q13, option 1 n=</w:t>
      </w:r>
      <w:r w:rsidR="003B4898" w:rsidRPr="00DA4F42">
        <w:t>377</w:t>
      </w:r>
      <w:r w:rsidRPr="00DA4F42">
        <w:t>, option 2 n=</w:t>
      </w:r>
      <w:r w:rsidR="003B4898" w:rsidRPr="00DA4F42">
        <w:t>366</w:t>
      </w:r>
      <w:r w:rsidRPr="00DA4F42">
        <w:t>, option 3 n=</w:t>
      </w:r>
      <w:r w:rsidR="003B4898" w:rsidRPr="00DA4F42">
        <w:t>363</w:t>
      </w:r>
      <w:r w:rsidRPr="00DA4F42">
        <w:t>.</w:t>
      </w:r>
    </w:p>
    <w:p w14:paraId="6EBF7924" w14:textId="47E7A03F" w:rsidR="00777542" w:rsidRPr="00CE6754" w:rsidRDefault="00E57169" w:rsidP="00777542">
      <w:pPr>
        <w:pStyle w:val="CaptionChart"/>
        <w:numPr>
          <w:ilvl w:val="7"/>
          <w:numId w:val="0"/>
        </w:numPr>
      </w:pPr>
      <w:bookmarkStart w:id="249" w:name="_Toc200656063"/>
      <w:bookmarkStart w:id="250" w:name="_Toc200657406"/>
      <w:r>
        <w:lastRenderedPageBreak/>
        <w:t xml:space="preserve">Appendix Chart 12.3.1.3 </w:t>
      </w:r>
      <w:r w:rsidR="00777542" w:rsidRPr="00CE6754">
        <w:t>Family, carer and parent responses to “How much do you think each option will reduce the risk of harm to children?”</w:t>
      </w:r>
      <w:bookmarkEnd w:id="249"/>
      <w:bookmarkEnd w:id="250"/>
    </w:p>
    <w:p w14:paraId="7AB276A1" w14:textId="2ADD2A4B" w:rsidR="00862FE8" w:rsidRPr="00CE6754" w:rsidRDefault="00862FE8" w:rsidP="00777542">
      <w:pPr>
        <w:pStyle w:val="Source"/>
        <w:rPr>
          <w:noProof/>
          <w14:ligatures w14:val="standardContextual"/>
        </w:rPr>
      </w:pPr>
      <w:r w:rsidRPr="00CE6754">
        <w:rPr>
          <w:noProof/>
          <w14:ligatures w14:val="standardContextual"/>
        </w:rPr>
        <w:drawing>
          <wp:inline distT="0" distB="0" distL="0" distR="0" wp14:anchorId="01AC362C" wp14:editId="21A02340">
            <wp:extent cx="5727700" cy="1987550"/>
            <wp:effectExtent l="0" t="0" r="6350" b="0"/>
            <wp:docPr id="897611100" name="Chart 1" descr="Chart outlining family, carer and parent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6BD8D195-8567-1D4E-5201-1B9CC8FD6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29744C7" w14:textId="1FDBEC5C" w:rsidR="00777542" w:rsidRPr="00CE6754" w:rsidRDefault="00777542" w:rsidP="00777542">
      <w:pPr>
        <w:pStyle w:val="Source"/>
      </w:pPr>
      <w:r w:rsidRPr="00CE6754">
        <w:t xml:space="preserve">Source: Families, carers and parents survey, as of </w:t>
      </w:r>
      <w:r w:rsidR="00B4719A">
        <w:t>11</w:t>
      </w:r>
      <w:r w:rsidRPr="00CE6754">
        <w:t xml:space="preserve"> June 2025, Q17, option 1 n=</w:t>
      </w:r>
      <w:r w:rsidR="00CE6754">
        <w:t>123</w:t>
      </w:r>
      <w:r w:rsidRPr="00CE6754">
        <w:t>, option 2 n=</w:t>
      </w:r>
      <w:r w:rsidR="00CE6754">
        <w:t>121</w:t>
      </w:r>
      <w:r w:rsidRPr="00CE6754">
        <w:t>, option 3 n=</w:t>
      </w:r>
      <w:r w:rsidR="00CE6754">
        <w:t>120</w:t>
      </w:r>
      <w:r w:rsidRPr="00CE6754">
        <w:t>.</w:t>
      </w:r>
    </w:p>
    <w:p w14:paraId="403652F2" w14:textId="20ACE84B" w:rsidR="00777542" w:rsidRPr="00DC0B2C" w:rsidRDefault="00777542" w:rsidP="00777542">
      <w:pPr>
        <w:pStyle w:val="Heading4un-numbered"/>
      </w:pPr>
      <w:r w:rsidRPr="00DC0B2C">
        <w:t xml:space="preserve">Managing the use of digital devices – </w:t>
      </w:r>
      <w:r w:rsidR="00370AB1">
        <w:t xml:space="preserve">Preferred option or combination </w:t>
      </w:r>
      <w:r w:rsidRPr="00DC0B2C">
        <w:t>of options</w:t>
      </w:r>
    </w:p>
    <w:p w14:paraId="7F18E0C8" w14:textId="6AE33C14" w:rsidR="00777542" w:rsidRPr="0019032E" w:rsidRDefault="00E57169" w:rsidP="00777542">
      <w:pPr>
        <w:pStyle w:val="CaptionChart"/>
        <w:numPr>
          <w:ilvl w:val="7"/>
          <w:numId w:val="0"/>
        </w:numPr>
      </w:pPr>
      <w:r>
        <w:t>Appendix Chart 12.3.1.4</w:t>
      </w:r>
      <w:r w:rsidR="00777542" w:rsidRPr="0019032E">
        <w:t xml:space="preserve"> </w:t>
      </w:r>
      <w:bookmarkStart w:id="251" w:name="_Toc200656064"/>
      <w:bookmarkStart w:id="252" w:name="_Toc200657407"/>
      <w:r w:rsidR="00777542" w:rsidRPr="0019032E">
        <w:t xml:space="preserve">Approved provider responses to “What is your </w:t>
      </w:r>
      <w:r w:rsidR="00B734E0">
        <w:t xml:space="preserve">preferred option or combination </w:t>
      </w:r>
      <w:r w:rsidR="00777542" w:rsidRPr="0019032E">
        <w:t>of options?”</w:t>
      </w:r>
      <w:bookmarkEnd w:id="251"/>
      <w:bookmarkEnd w:id="252"/>
    </w:p>
    <w:p w14:paraId="787454CF" w14:textId="766922EF" w:rsidR="00777542" w:rsidRPr="0019032E" w:rsidRDefault="0019032E" w:rsidP="00777542">
      <w:r w:rsidRPr="0019032E">
        <w:rPr>
          <w:noProof/>
          <w14:ligatures w14:val="standardContextual"/>
        </w:rPr>
        <w:drawing>
          <wp:inline distT="0" distB="0" distL="0" distR="0" wp14:anchorId="27E7DE2A" wp14:editId="47B22887">
            <wp:extent cx="5727700" cy="1502410"/>
            <wp:effectExtent l="0" t="0" r="6350" b="2540"/>
            <wp:docPr id="172661546" name="Chart 1" descr="Chart outlining approved provider survey responses to the survey question &quot;What is your preferred option or combination of options?&quot;">
              <a:extLst xmlns:a="http://schemas.openxmlformats.org/drawingml/2006/main">
                <a:ext uri="{FF2B5EF4-FFF2-40B4-BE49-F238E27FC236}">
                  <a16:creationId xmlns:a16="http://schemas.microsoft.com/office/drawing/2014/main" id="{50CFD833-E1FF-6325-FC54-23CF68A603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1E688A8" w14:textId="120B3BA1" w:rsidR="00777542" w:rsidRPr="0019032E" w:rsidRDefault="00777542" w:rsidP="00976C70">
      <w:pPr>
        <w:pStyle w:val="Source-CSR"/>
      </w:pPr>
      <w:r w:rsidRPr="0019032E">
        <w:t xml:space="preserve">Source: Approved provider survey, as of </w:t>
      </w:r>
      <w:r w:rsidR="005051C2" w:rsidRPr="00636B94">
        <w:t>11</w:t>
      </w:r>
      <w:r w:rsidRPr="00636B94">
        <w:t xml:space="preserve"> June 2025, Q17, n=</w:t>
      </w:r>
      <w:r w:rsidR="006F2AC1" w:rsidRPr="00636B94">
        <w:t>208</w:t>
      </w:r>
      <w:r w:rsidRPr="00636B94">
        <w:t xml:space="preserve"> respondents. Note that if a respondent selected a combination of options, that selection is treated as a unique preference and not double-counted in the singular options. </w:t>
      </w:r>
    </w:p>
    <w:p w14:paraId="24154776" w14:textId="421FDC1E" w:rsidR="00777542" w:rsidRPr="0001253C" w:rsidRDefault="00716FC6" w:rsidP="00777542">
      <w:pPr>
        <w:pStyle w:val="CaptionChart"/>
        <w:numPr>
          <w:ilvl w:val="7"/>
          <w:numId w:val="0"/>
        </w:numPr>
      </w:pPr>
      <w:r>
        <w:t>Appendix Chart 12.3.1.5</w:t>
      </w:r>
      <w:r w:rsidR="00777542" w:rsidRPr="0001253C">
        <w:t xml:space="preserve"> </w:t>
      </w:r>
      <w:bookmarkStart w:id="253" w:name="_Toc200656065"/>
      <w:bookmarkStart w:id="254" w:name="_Toc200657408"/>
      <w:r w:rsidR="00777542" w:rsidRPr="0001253C">
        <w:t xml:space="preserve">Workforce responses to “What is your </w:t>
      </w:r>
      <w:r w:rsidR="00B734E0">
        <w:t xml:space="preserve">preferred option or combination </w:t>
      </w:r>
      <w:r w:rsidR="00777542" w:rsidRPr="0001253C">
        <w:t>of options?”</w:t>
      </w:r>
      <w:bookmarkEnd w:id="253"/>
      <w:bookmarkEnd w:id="254"/>
    </w:p>
    <w:p w14:paraId="5F6336B5" w14:textId="068D5C53" w:rsidR="00777542" w:rsidRPr="0001253C" w:rsidRDefault="0001253C" w:rsidP="00777542">
      <w:pPr>
        <w:rPr>
          <w:color w:val="808080" w:themeColor="background1" w:themeShade="80"/>
          <w:sz w:val="14"/>
          <w:szCs w:val="10"/>
        </w:rPr>
      </w:pPr>
      <w:r w:rsidRPr="0001253C">
        <w:rPr>
          <w:noProof/>
          <w14:ligatures w14:val="standardContextual"/>
        </w:rPr>
        <w:drawing>
          <wp:inline distT="0" distB="0" distL="0" distR="0" wp14:anchorId="781B8C54" wp14:editId="08736753">
            <wp:extent cx="5676595" cy="2092147"/>
            <wp:effectExtent l="0" t="0" r="635" b="3810"/>
            <wp:docPr id="930322281" name="Chart 1" descr="Chart outlining workforce responses to the survey question &quot;What is your preferred option or combination of options&quot;&#10;">
              <a:extLst xmlns:a="http://schemas.openxmlformats.org/drawingml/2006/main">
                <a:ext uri="{FF2B5EF4-FFF2-40B4-BE49-F238E27FC236}">
                  <a16:creationId xmlns:a16="http://schemas.microsoft.com/office/drawing/2014/main" id="{E7887F83-2975-39DE-9C89-96A5B049C5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C36AA79" w14:textId="18E25D7F" w:rsidR="00777542" w:rsidRPr="00636B94" w:rsidRDefault="00777542" w:rsidP="00976C70">
      <w:pPr>
        <w:pStyle w:val="Source-CSR"/>
      </w:pPr>
      <w:r w:rsidRPr="0001253C">
        <w:t xml:space="preserve">Source: Approved provider survey, as of </w:t>
      </w:r>
      <w:r w:rsidR="00B4719A" w:rsidRPr="00636B94">
        <w:t>11</w:t>
      </w:r>
      <w:r w:rsidRPr="00636B94">
        <w:t xml:space="preserve"> June 2025, Q15, n=</w:t>
      </w:r>
      <w:r w:rsidR="0001253C" w:rsidRPr="00636B94">
        <w:t>343</w:t>
      </w:r>
      <w:r w:rsidRPr="00636B94">
        <w:t>. Note that if a respondent selected a combination of options, that selection is treated as a unique preference and not double-counted in the singular options.</w:t>
      </w:r>
    </w:p>
    <w:p w14:paraId="5836D34D" w14:textId="198B261A" w:rsidR="00777542" w:rsidRPr="0022586F" w:rsidRDefault="00716FC6" w:rsidP="00777542">
      <w:pPr>
        <w:pStyle w:val="CaptionChart"/>
        <w:numPr>
          <w:ilvl w:val="7"/>
          <w:numId w:val="0"/>
        </w:numPr>
      </w:pPr>
      <w:r>
        <w:lastRenderedPageBreak/>
        <w:t>Appendix Chart 12.3.1.6</w:t>
      </w:r>
      <w:r w:rsidR="00777542" w:rsidRPr="0022586F">
        <w:t xml:space="preserve"> </w:t>
      </w:r>
      <w:bookmarkStart w:id="255" w:name="_Toc200656066"/>
      <w:bookmarkStart w:id="256" w:name="_Toc200657409"/>
      <w:r w:rsidR="00777542" w:rsidRPr="0022586F">
        <w:t xml:space="preserve">Family, carer, and parent responses to “What is your </w:t>
      </w:r>
      <w:r w:rsidR="00B734E0">
        <w:t xml:space="preserve">preferred option or combination </w:t>
      </w:r>
      <w:r w:rsidR="00777542" w:rsidRPr="0022586F">
        <w:t>of options?”</w:t>
      </w:r>
      <w:bookmarkEnd w:id="255"/>
      <w:bookmarkEnd w:id="256"/>
    </w:p>
    <w:p w14:paraId="4A5507D0" w14:textId="7097192A" w:rsidR="00777542" w:rsidRPr="0022586F" w:rsidRDefault="006F3D4D" w:rsidP="00777542">
      <w:pPr>
        <w:rPr>
          <w:color w:val="808080" w:themeColor="background1" w:themeShade="80"/>
          <w:sz w:val="14"/>
          <w:szCs w:val="10"/>
        </w:rPr>
      </w:pPr>
      <w:r w:rsidRPr="0022586F">
        <w:rPr>
          <w:noProof/>
          <w14:ligatures w14:val="standardContextual"/>
        </w:rPr>
        <w:drawing>
          <wp:inline distT="0" distB="0" distL="0" distR="0" wp14:anchorId="6FAD5C69" wp14:editId="080273E9">
            <wp:extent cx="5629910" cy="1809750"/>
            <wp:effectExtent l="0" t="0" r="8890" b="0"/>
            <wp:docPr id="1944845089" name="Chart 1" descr="Chart outlining family, carer, and parent responses to the survey question &quot;What is your preferred option or combination of options?&quot;">
              <a:extLst xmlns:a="http://schemas.openxmlformats.org/drawingml/2006/main">
                <a:ext uri="{FF2B5EF4-FFF2-40B4-BE49-F238E27FC236}">
                  <a16:creationId xmlns:a16="http://schemas.microsoft.com/office/drawing/2014/main" id="{2EACD1FF-73D2-54C0-0FC1-44332D3ECA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B19A468" w14:textId="5728ED0A" w:rsidR="00777542" w:rsidRPr="0022586F" w:rsidRDefault="00777542" w:rsidP="00976C70">
      <w:pPr>
        <w:pStyle w:val="Source-CSR"/>
      </w:pPr>
      <w:r w:rsidRPr="0022586F">
        <w:t xml:space="preserve">Source: Approved provider survey, as of </w:t>
      </w:r>
      <w:r w:rsidR="005051C2" w:rsidRPr="00636B94">
        <w:t>11</w:t>
      </w:r>
      <w:r w:rsidRPr="00636B94">
        <w:t xml:space="preserve"> June 2025, Q15, n=</w:t>
      </w:r>
      <w:r w:rsidR="00CE6754" w:rsidRPr="00636B94">
        <w:t>109</w:t>
      </w:r>
      <w:r w:rsidRPr="00636B94">
        <w:t>. Note that if a respondent selected a combination of options, that selection is treated as a unique preference and not double-counted in the singular options.</w:t>
      </w:r>
    </w:p>
    <w:p w14:paraId="61C50E8F" w14:textId="77777777" w:rsidR="00777542" w:rsidRPr="00777542" w:rsidRDefault="00777542" w:rsidP="00777542">
      <w:pPr>
        <w:spacing w:after="160" w:line="259" w:lineRule="auto"/>
        <w:rPr>
          <w:rFonts w:eastAsiaTheme="majorEastAsia" w:cstheme="majorBidi"/>
          <w:bCs/>
          <w:color w:val="006B77" w:themeColor="accent1"/>
          <w:sz w:val="32"/>
          <w:szCs w:val="26"/>
          <w:highlight w:val="yellow"/>
        </w:rPr>
      </w:pPr>
      <w:r w:rsidRPr="00777542">
        <w:rPr>
          <w:highlight w:val="yellow"/>
        </w:rPr>
        <w:br w:type="page"/>
      </w:r>
    </w:p>
    <w:p w14:paraId="5FCC698D" w14:textId="5207BA30" w:rsidR="00777542" w:rsidRPr="00DA4F42" w:rsidRDefault="00890113" w:rsidP="00890113">
      <w:pPr>
        <w:pStyle w:val="Heading3"/>
      </w:pPr>
      <w:bookmarkStart w:id="257" w:name="_12.3.2_Child_safety"/>
      <w:bookmarkEnd w:id="257"/>
      <w:r>
        <w:lastRenderedPageBreak/>
        <w:t xml:space="preserve">12.3.2 </w:t>
      </w:r>
      <w:r w:rsidR="00777542" w:rsidRPr="00DA4F42">
        <w:t>Child safety training</w:t>
      </w:r>
    </w:p>
    <w:p w14:paraId="3FFA2BC0" w14:textId="77777777" w:rsidR="00777542" w:rsidRPr="00DA4F42" w:rsidRDefault="00777542" w:rsidP="00777542">
      <w:pPr>
        <w:pStyle w:val="Heading4un-numbered"/>
      </w:pPr>
      <w:r w:rsidRPr="00DA4F42">
        <w:t>Introducing mandatory child safety training – Reduction of the risk of harm</w:t>
      </w:r>
    </w:p>
    <w:p w14:paraId="734D2D9C" w14:textId="16687F3C" w:rsidR="007B4D62" w:rsidRPr="00F64B5C" w:rsidRDefault="007B4D62" w:rsidP="007B4D62">
      <w:pPr>
        <w:pStyle w:val="CaptionChart"/>
      </w:pPr>
      <w:bookmarkStart w:id="258" w:name="_Hlk200475775"/>
      <w:r>
        <w:t>Appendix Chart 12.3.</w:t>
      </w:r>
      <w:r w:rsidR="00716FC6">
        <w:t>2</w:t>
      </w:r>
      <w:r>
        <w:t>.1</w:t>
      </w:r>
      <w:r w:rsidR="00777542" w:rsidRPr="00E63C90">
        <w:t xml:space="preserve"> </w:t>
      </w:r>
      <w:bookmarkStart w:id="259" w:name="_Toc200656067"/>
      <w:bookmarkStart w:id="260" w:name="_Toc200657410"/>
      <w:r w:rsidR="00777542" w:rsidRPr="00E63C90">
        <w:t>Approved provider responses to “How much do you think each option will reduce the risk of harm to children?”</w:t>
      </w:r>
    </w:p>
    <w:bookmarkEnd w:id="259"/>
    <w:bookmarkEnd w:id="260"/>
    <w:p w14:paraId="29BC1062" w14:textId="1B13A408" w:rsidR="00777542" w:rsidRPr="00E63C90" w:rsidRDefault="00E63C90" w:rsidP="00777542">
      <w:pPr>
        <w:pStyle w:val="Source"/>
      </w:pPr>
      <w:r w:rsidRPr="00E63C90">
        <w:rPr>
          <w:noProof/>
          <w14:ligatures w14:val="standardContextual"/>
        </w:rPr>
        <w:drawing>
          <wp:inline distT="0" distB="0" distL="0" distR="0" wp14:anchorId="5B88853F" wp14:editId="27457550">
            <wp:extent cx="5727700" cy="3037840"/>
            <wp:effectExtent l="0" t="0" r="6350" b="0"/>
            <wp:docPr id="578933432" name="Chart 1" descr="Chart outlining approved provider responses to the survey question &quot;How much do you think each option will reduce the risk of harm to children?&quot; ">
              <a:extLst xmlns:a="http://schemas.openxmlformats.org/drawingml/2006/main">
                <a:ext uri="{FF2B5EF4-FFF2-40B4-BE49-F238E27FC236}">
                  <a16:creationId xmlns:a16="http://schemas.microsoft.com/office/drawing/2014/main" id="{C422E4F6-3D03-8E17-DD6E-4F3A4C4FA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00777542" w:rsidRPr="00E63C90">
        <w:t xml:space="preserve"> </w:t>
      </w:r>
    </w:p>
    <w:p w14:paraId="2ECD3B9F" w14:textId="5EA7A88F" w:rsidR="00777542" w:rsidRPr="00E63C90" w:rsidRDefault="00777542" w:rsidP="00777542">
      <w:pPr>
        <w:pStyle w:val="Source"/>
      </w:pPr>
      <w:r w:rsidRPr="00E63C90">
        <w:t xml:space="preserve">Source: Approved provider survey, as of </w:t>
      </w:r>
      <w:r w:rsidR="005051C2">
        <w:t>11</w:t>
      </w:r>
      <w:r w:rsidRPr="00E63C90">
        <w:t xml:space="preserve"> June 2025, Q27, option 1 n=1</w:t>
      </w:r>
      <w:r w:rsidR="00E63C90">
        <w:t>90</w:t>
      </w:r>
      <w:r w:rsidRPr="00E63C90">
        <w:t>, option 2 n=1</w:t>
      </w:r>
      <w:r w:rsidR="00E63C90">
        <w:t>90</w:t>
      </w:r>
      <w:r w:rsidRPr="00E63C90">
        <w:t>, option 3 n=1</w:t>
      </w:r>
      <w:r w:rsidR="00E63C90">
        <w:t>91</w:t>
      </w:r>
      <w:r w:rsidRPr="00E63C90">
        <w:t>, option 4 n=1</w:t>
      </w:r>
      <w:r w:rsidR="00E63C90">
        <w:t>91</w:t>
      </w:r>
      <w:r w:rsidRPr="00E63C90">
        <w:t>, option 5 n=1</w:t>
      </w:r>
      <w:r w:rsidR="00E63C90">
        <w:t>91</w:t>
      </w:r>
      <w:r w:rsidRPr="00E63C90">
        <w:t>, option 6 n=1</w:t>
      </w:r>
      <w:r w:rsidR="00E63C90">
        <w:t>90</w:t>
      </w:r>
      <w:r w:rsidRPr="00E63C90">
        <w:t>.</w:t>
      </w:r>
    </w:p>
    <w:bookmarkEnd w:id="258"/>
    <w:p w14:paraId="12B18947" w14:textId="7C2AE689" w:rsidR="00E57169" w:rsidRPr="00DA4F42" w:rsidRDefault="00E57169" w:rsidP="00E57169">
      <w:pPr>
        <w:pStyle w:val="CaptionChart"/>
        <w:numPr>
          <w:ilvl w:val="7"/>
          <w:numId w:val="0"/>
        </w:numPr>
      </w:pPr>
      <w:r>
        <w:t>Appendix Chart 12.3.</w:t>
      </w:r>
      <w:r w:rsidR="00716FC6">
        <w:t>2</w:t>
      </w:r>
      <w:r>
        <w:t>.2</w:t>
      </w:r>
      <w:r w:rsidR="00777542" w:rsidRPr="00785867">
        <w:t xml:space="preserve"> </w:t>
      </w:r>
      <w:bookmarkStart w:id="261" w:name="_Toc200656068"/>
      <w:bookmarkStart w:id="262" w:name="_Toc200657411"/>
      <w:r w:rsidR="00777542" w:rsidRPr="00785867">
        <w:t>Workforce responses to “How much do you think each option will reduce the risk of harm to children?”</w:t>
      </w:r>
    </w:p>
    <w:bookmarkEnd w:id="261"/>
    <w:bookmarkEnd w:id="262"/>
    <w:p w14:paraId="2EEE931D" w14:textId="597A88F4" w:rsidR="00777542" w:rsidRPr="00785867" w:rsidRDefault="009B536F" w:rsidP="00777542">
      <w:pPr>
        <w:pStyle w:val="Source"/>
      </w:pPr>
      <w:r w:rsidRPr="00785867">
        <w:rPr>
          <w:noProof/>
          <w14:ligatures w14:val="standardContextual"/>
        </w:rPr>
        <w:drawing>
          <wp:inline distT="0" distB="0" distL="0" distR="0" wp14:anchorId="4CE4E0B7" wp14:editId="63178708">
            <wp:extent cx="5661965" cy="2721254"/>
            <wp:effectExtent l="0" t="0" r="15240" b="3175"/>
            <wp:docPr id="1755167294" name="Chart 1" descr="Chart outlining workforce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AF3BC09C-26CC-2CCD-C0EA-D359D22ED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18E921C" w14:textId="23A85284" w:rsidR="00777542" w:rsidRPr="00785867" w:rsidRDefault="00777542" w:rsidP="00777542">
      <w:pPr>
        <w:pStyle w:val="Source"/>
      </w:pPr>
      <w:r w:rsidRPr="00785867">
        <w:t xml:space="preserve">Source: Workforce survey, as of </w:t>
      </w:r>
      <w:r w:rsidR="00B4719A">
        <w:t>11</w:t>
      </w:r>
      <w:r w:rsidRPr="00785867">
        <w:t xml:space="preserve"> June 2025, Q23, option 1 n= </w:t>
      </w:r>
      <w:r w:rsidR="00785867" w:rsidRPr="00785867">
        <w:t>200</w:t>
      </w:r>
      <w:r w:rsidRPr="00785867">
        <w:t>, option 2 n=</w:t>
      </w:r>
      <w:r w:rsidR="00785867" w:rsidRPr="00785867">
        <w:t>202</w:t>
      </w:r>
      <w:r w:rsidRPr="00785867">
        <w:t>, option 3 n=</w:t>
      </w:r>
      <w:r w:rsidR="00785867" w:rsidRPr="00785867">
        <w:t>200</w:t>
      </w:r>
      <w:r w:rsidRPr="00785867">
        <w:t>, option 4 n=</w:t>
      </w:r>
      <w:r w:rsidR="009B536F" w:rsidRPr="00785867">
        <w:t>201</w:t>
      </w:r>
      <w:r w:rsidRPr="00785867">
        <w:t>, option 5 n=</w:t>
      </w:r>
      <w:r w:rsidR="009B536F" w:rsidRPr="00785867">
        <w:t>202</w:t>
      </w:r>
      <w:r w:rsidRPr="00785867">
        <w:t>, option 6 n=</w:t>
      </w:r>
      <w:r w:rsidR="009B536F" w:rsidRPr="00785867">
        <w:t>201</w:t>
      </w:r>
      <w:r w:rsidRPr="00785867">
        <w:t>.</w:t>
      </w:r>
    </w:p>
    <w:p w14:paraId="37886723" w14:textId="71C9EDB3" w:rsidR="00E57169" w:rsidRPr="00CE6754" w:rsidRDefault="00E57169" w:rsidP="00E57169">
      <w:pPr>
        <w:pStyle w:val="CaptionChart"/>
        <w:numPr>
          <w:ilvl w:val="7"/>
          <w:numId w:val="0"/>
        </w:numPr>
      </w:pPr>
      <w:r>
        <w:lastRenderedPageBreak/>
        <w:t>Appendix Chart 12.3.</w:t>
      </w:r>
      <w:r w:rsidR="00F43795">
        <w:t>2</w:t>
      </w:r>
      <w:r>
        <w:t xml:space="preserve">.3 </w:t>
      </w:r>
      <w:r w:rsidRPr="00CE6754">
        <w:t>Family, carer and parent responses to “How much do you think each option will reduce the risk of harm to children?”</w:t>
      </w:r>
    </w:p>
    <w:p w14:paraId="6BF8B9DA" w14:textId="55DA329F" w:rsidR="00777542" w:rsidRPr="0022586F" w:rsidRDefault="00ED5B6D" w:rsidP="00777542">
      <w:pPr>
        <w:pStyle w:val="Source"/>
      </w:pPr>
      <w:r w:rsidRPr="0022586F">
        <w:rPr>
          <w:noProof/>
          <w14:ligatures w14:val="standardContextual"/>
        </w:rPr>
        <w:drawing>
          <wp:inline distT="0" distB="0" distL="0" distR="0" wp14:anchorId="2ED4F367" wp14:editId="4B46A45F">
            <wp:extent cx="5520906" cy="2251494"/>
            <wp:effectExtent l="0" t="0" r="3810" b="0"/>
            <wp:docPr id="1504790168" name="Chart 1" descr="Chart outlining family, carer, and parent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E21E9D8F-AADB-31C1-BEDA-0C9413740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29C19EF" w14:textId="77777777" w:rsidR="005051C2" w:rsidRDefault="00777542" w:rsidP="005051C2">
      <w:pPr>
        <w:pStyle w:val="Source"/>
      </w:pPr>
      <w:r w:rsidRPr="0022586F">
        <w:t xml:space="preserve">Source: Families, carers and parents survey, as of </w:t>
      </w:r>
      <w:r w:rsidR="005051C2">
        <w:t>11</w:t>
      </w:r>
      <w:r w:rsidRPr="0022586F">
        <w:t xml:space="preserve"> June 2025, Q27, </w:t>
      </w:r>
      <w:r w:rsidR="0022586F" w:rsidRPr="0022586F">
        <w:t>Option 1 n = 88</w:t>
      </w:r>
      <w:r w:rsidRPr="0022586F">
        <w:t>,</w:t>
      </w:r>
      <w:r w:rsidR="0022586F" w:rsidRPr="0022586F">
        <w:t xml:space="preserve"> options 2-5</w:t>
      </w:r>
      <w:r w:rsidRPr="0022586F">
        <w:t xml:space="preserve"> n=</w:t>
      </w:r>
      <w:r w:rsidR="0022586F" w:rsidRPr="0022586F">
        <w:t>87</w:t>
      </w:r>
      <w:r w:rsidRPr="0022586F">
        <w:t>.</w:t>
      </w:r>
    </w:p>
    <w:p w14:paraId="2E838B5B" w14:textId="092D67E3" w:rsidR="00777542" w:rsidRPr="00785867" w:rsidRDefault="00777542" w:rsidP="00777542">
      <w:pPr>
        <w:pStyle w:val="Heading4un-numbered"/>
      </w:pPr>
      <w:r w:rsidRPr="00785867">
        <w:t xml:space="preserve">Introducing mandatory child safety training – </w:t>
      </w:r>
      <w:r w:rsidR="00370AB1">
        <w:t xml:space="preserve">Preferred option or combination </w:t>
      </w:r>
      <w:r w:rsidRPr="00785867">
        <w:t>of options</w:t>
      </w:r>
    </w:p>
    <w:p w14:paraId="711F22F7" w14:textId="7B3B3DC8" w:rsidR="00E57169" w:rsidRPr="0019032E" w:rsidRDefault="00E57169" w:rsidP="00E57169">
      <w:pPr>
        <w:pStyle w:val="CaptionChart"/>
        <w:numPr>
          <w:ilvl w:val="7"/>
          <w:numId w:val="0"/>
        </w:numPr>
      </w:pPr>
      <w:r>
        <w:t>Appendix Table 12.3.</w:t>
      </w:r>
      <w:r w:rsidR="00F43795">
        <w:t>2</w:t>
      </w:r>
      <w:r>
        <w:t>.1</w:t>
      </w:r>
      <w:r w:rsidRPr="0019032E">
        <w:t xml:space="preserve"> Approved provider responses to “What is your </w:t>
      </w:r>
      <w:r w:rsidR="00B734E0">
        <w:t xml:space="preserve">preferred option or combination </w:t>
      </w:r>
      <w:r w:rsidRPr="0019032E">
        <w:t>of options?”</w:t>
      </w:r>
    </w:p>
    <w:tbl>
      <w:tblPr>
        <w:tblStyle w:val="Box1"/>
        <w:tblW w:w="8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694"/>
        <w:gridCol w:w="2835"/>
      </w:tblGrid>
      <w:tr w:rsidR="00777542" w:rsidRPr="00777542" w14:paraId="1D0E016B" w14:textId="77777777" w:rsidTr="00492936">
        <w:trPr>
          <w:cnfStyle w:val="100000000000" w:firstRow="1" w:lastRow="0" w:firstColumn="0" w:lastColumn="0" w:oddVBand="0" w:evenVBand="0" w:oddHBand="0" w:evenHBand="0" w:firstRowFirstColumn="0" w:firstRowLastColumn="0" w:lastRowFirstColumn="0" w:lastRowLastColumn="0"/>
          <w:trHeight w:val="284"/>
        </w:trPr>
        <w:tc>
          <w:tcPr>
            <w:tcW w:w="2835" w:type="dxa"/>
            <w:tcBorders>
              <w:top w:val="single" w:sz="4" w:space="0" w:color="auto"/>
              <w:left w:val="single" w:sz="4" w:space="0" w:color="auto"/>
              <w:bottom w:val="single" w:sz="4" w:space="0" w:color="auto"/>
              <w:right w:val="single" w:sz="4" w:space="0" w:color="auto"/>
            </w:tcBorders>
            <w:noWrap/>
            <w:hideMark/>
          </w:tcPr>
          <w:p w14:paraId="39A79D88" w14:textId="5B8A6237" w:rsidR="00777542" w:rsidRPr="00E413A3" w:rsidRDefault="00370AB1">
            <w:pPr>
              <w:spacing w:after="0" w:line="240" w:lineRule="auto"/>
              <w:jc w:val="right"/>
              <w:rPr>
                <w:rFonts w:eastAsia="Times New Roman" w:cs="Arial"/>
                <w:b/>
                <w:color w:val="000000"/>
                <w:sz w:val="22"/>
                <w:szCs w:val="22"/>
                <w:lang w:eastAsia="en-AU"/>
              </w:rPr>
            </w:pPr>
            <w:r>
              <w:rPr>
                <w:rFonts w:eastAsia="Times New Roman" w:cs="Arial"/>
                <w:b/>
                <w:color w:val="000000"/>
                <w:sz w:val="22"/>
                <w:szCs w:val="22"/>
                <w:lang w:eastAsia="en-AU"/>
              </w:rPr>
              <w:t xml:space="preserve">Preferred option or combination </w:t>
            </w:r>
            <w:r w:rsidR="00777542" w:rsidRPr="00E413A3">
              <w:rPr>
                <w:rFonts w:eastAsia="Times New Roman" w:cs="Arial"/>
                <w:b/>
                <w:color w:val="000000"/>
                <w:sz w:val="22"/>
                <w:szCs w:val="22"/>
                <w:lang w:eastAsia="en-AU"/>
              </w:rPr>
              <w:t>of options</w:t>
            </w:r>
          </w:p>
        </w:tc>
        <w:tc>
          <w:tcPr>
            <w:tcW w:w="2694" w:type="dxa"/>
            <w:tcBorders>
              <w:top w:val="single" w:sz="4" w:space="0" w:color="auto"/>
              <w:left w:val="single" w:sz="4" w:space="0" w:color="auto"/>
              <w:bottom w:val="single" w:sz="4" w:space="0" w:color="auto"/>
              <w:right w:val="single" w:sz="4" w:space="0" w:color="auto"/>
            </w:tcBorders>
            <w:noWrap/>
            <w:hideMark/>
          </w:tcPr>
          <w:p w14:paraId="6E532CF1" w14:textId="77777777" w:rsidR="00777542" w:rsidRPr="00E413A3" w:rsidRDefault="00777542">
            <w:pPr>
              <w:spacing w:after="0" w:line="240" w:lineRule="auto"/>
              <w:jc w:val="right"/>
              <w:rPr>
                <w:rFonts w:eastAsia="Times New Roman" w:cs="Arial"/>
                <w:b/>
                <w:color w:val="000000"/>
                <w:sz w:val="22"/>
                <w:szCs w:val="22"/>
                <w:lang w:eastAsia="en-AU"/>
              </w:rPr>
            </w:pPr>
            <w:r w:rsidRPr="00E413A3">
              <w:rPr>
                <w:rFonts w:eastAsia="Times New Roman" w:cs="Arial"/>
                <w:b/>
                <w:color w:val="000000"/>
                <w:sz w:val="22"/>
                <w:szCs w:val="22"/>
                <w:lang w:eastAsia="en-AU"/>
              </w:rPr>
              <w:t>Number of responses</w:t>
            </w:r>
          </w:p>
        </w:tc>
        <w:tc>
          <w:tcPr>
            <w:tcW w:w="2835" w:type="dxa"/>
            <w:tcBorders>
              <w:top w:val="single" w:sz="4" w:space="0" w:color="auto"/>
              <w:left w:val="single" w:sz="4" w:space="0" w:color="auto"/>
              <w:bottom w:val="single" w:sz="4" w:space="0" w:color="auto"/>
              <w:right w:val="single" w:sz="4" w:space="0" w:color="auto"/>
            </w:tcBorders>
            <w:noWrap/>
            <w:hideMark/>
          </w:tcPr>
          <w:p w14:paraId="07EFFEC8" w14:textId="77777777" w:rsidR="00777542" w:rsidRPr="00E413A3" w:rsidRDefault="00777542">
            <w:pPr>
              <w:spacing w:after="0" w:line="240" w:lineRule="auto"/>
              <w:jc w:val="right"/>
              <w:rPr>
                <w:rFonts w:eastAsia="Times New Roman" w:cs="Arial"/>
                <w:b/>
                <w:color w:val="000000"/>
                <w:sz w:val="22"/>
                <w:szCs w:val="22"/>
                <w:lang w:eastAsia="en-AU"/>
              </w:rPr>
            </w:pPr>
            <w:r w:rsidRPr="00E413A3">
              <w:rPr>
                <w:rFonts w:eastAsia="Times New Roman" w:cs="Arial"/>
                <w:b/>
                <w:color w:val="000000"/>
                <w:sz w:val="22"/>
                <w:szCs w:val="22"/>
                <w:lang w:eastAsia="en-AU"/>
              </w:rPr>
              <w:t>Proportion of respondents</w:t>
            </w:r>
          </w:p>
        </w:tc>
      </w:tr>
      <w:tr w:rsidR="00D4708E" w:rsidRPr="00777542" w14:paraId="428E49BB" w14:textId="77777777" w:rsidTr="00492936">
        <w:trPr>
          <w:trHeight w:val="299"/>
        </w:trPr>
        <w:tc>
          <w:tcPr>
            <w:tcW w:w="2835" w:type="dxa"/>
            <w:tcBorders>
              <w:top w:val="single" w:sz="4" w:space="0" w:color="auto"/>
            </w:tcBorders>
            <w:shd w:val="clear" w:color="auto" w:fill="F2F2F2" w:themeFill="background1" w:themeFillShade="F2"/>
            <w:noWrap/>
            <w:hideMark/>
          </w:tcPr>
          <w:p w14:paraId="3D5939A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1</w:t>
            </w:r>
          </w:p>
        </w:tc>
        <w:tc>
          <w:tcPr>
            <w:tcW w:w="2694" w:type="dxa"/>
            <w:tcBorders>
              <w:top w:val="single" w:sz="4" w:space="0" w:color="auto"/>
            </w:tcBorders>
            <w:shd w:val="clear" w:color="auto" w:fill="F2F2F2" w:themeFill="background1" w:themeFillShade="F2"/>
            <w:noWrap/>
            <w:hideMark/>
          </w:tcPr>
          <w:p w14:paraId="2305254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3</w:t>
            </w:r>
          </w:p>
        </w:tc>
        <w:tc>
          <w:tcPr>
            <w:tcW w:w="2835" w:type="dxa"/>
            <w:tcBorders>
              <w:top w:val="single" w:sz="4" w:space="0" w:color="auto"/>
            </w:tcBorders>
            <w:shd w:val="clear" w:color="auto" w:fill="F2F2F2" w:themeFill="background1" w:themeFillShade="F2"/>
            <w:noWrap/>
            <w:hideMark/>
          </w:tcPr>
          <w:p w14:paraId="17736FA2"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2%</w:t>
            </w:r>
          </w:p>
        </w:tc>
      </w:tr>
      <w:tr w:rsidR="00777542" w:rsidRPr="00777542" w14:paraId="2DF5DA91" w14:textId="77777777" w:rsidTr="00B31437">
        <w:trPr>
          <w:trHeight w:val="314"/>
        </w:trPr>
        <w:tc>
          <w:tcPr>
            <w:tcW w:w="2835" w:type="dxa"/>
            <w:shd w:val="clear" w:color="auto" w:fill="F2F2F2" w:themeFill="background1" w:themeFillShade="F2"/>
            <w:noWrap/>
            <w:hideMark/>
          </w:tcPr>
          <w:p w14:paraId="67AF6765"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2</w:t>
            </w:r>
          </w:p>
        </w:tc>
        <w:tc>
          <w:tcPr>
            <w:tcW w:w="2694" w:type="dxa"/>
            <w:shd w:val="clear" w:color="auto" w:fill="F2F2F2" w:themeFill="background1" w:themeFillShade="F2"/>
            <w:noWrap/>
            <w:hideMark/>
          </w:tcPr>
          <w:p w14:paraId="4F1E6D13"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2</w:t>
            </w:r>
          </w:p>
        </w:tc>
        <w:tc>
          <w:tcPr>
            <w:tcW w:w="2835" w:type="dxa"/>
            <w:shd w:val="clear" w:color="auto" w:fill="F2F2F2" w:themeFill="background1" w:themeFillShade="F2"/>
            <w:noWrap/>
            <w:hideMark/>
          </w:tcPr>
          <w:p w14:paraId="5D4B5482"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1%</w:t>
            </w:r>
          </w:p>
        </w:tc>
      </w:tr>
      <w:tr w:rsidR="00777542" w:rsidRPr="00777542" w14:paraId="57912FF5" w14:textId="77777777" w:rsidTr="00B31437">
        <w:trPr>
          <w:trHeight w:val="284"/>
        </w:trPr>
        <w:tc>
          <w:tcPr>
            <w:tcW w:w="2835" w:type="dxa"/>
            <w:shd w:val="clear" w:color="auto" w:fill="F2F2F2" w:themeFill="background1" w:themeFillShade="F2"/>
            <w:noWrap/>
            <w:hideMark/>
          </w:tcPr>
          <w:p w14:paraId="4BCEB043"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3</w:t>
            </w:r>
          </w:p>
        </w:tc>
        <w:tc>
          <w:tcPr>
            <w:tcW w:w="2694" w:type="dxa"/>
            <w:shd w:val="clear" w:color="auto" w:fill="F2F2F2" w:themeFill="background1" w:themeFillShade="F2"/>
            <w:noWrap/>
            <w:hideMark/>
          </w:tcPr>
          <w:p w14:paraId="534CCE09" w14:textId="54359DBB"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9</w:t>
            </w:r>
          </w:p>
        </w:tc>
        <w:tc>
          <w:tcPr>
            <w:tcW w:w="2835" w:type="dxa"/>
            <w:shd w:val="clear" w:color="auto" w:fill="F2F2F2" w:themeFill="background1" w:themeFillShade="F2"/>
            <w:noWrap/>
            <w:hideMark/>
          </w:tcPr>
          <w:p w14:paraId="448904FD" w14:textId="6004E6C4"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5</w:t>
            </w:r>
            <w:r w:rsidR="00777542" w:rsidRPr="00E413A3">
              <w:rPr>
                <w:rFonts w:cs="Arial"/>
                <w:sz w:val="22"/>
                <w:szCs w:val="22"/>
              </w:rPr>
              <w:t>%</w:t>
            </w:r>
          </w:p>
        </w:tc>
      </w:tr>
      <w:tr w:rsidR="00777542" w:rsidRPr="00777542" w14:paraId="31FC73F2" w14:textId="77777777" w:rsidTr="00B31437">
        <w:trPr>
          <w:trHeight w:val="299"/>
        </w:trPr>
        <w:tc>
          <w:tcPr>
            <w:tcW w:w="2835" w:type="dxa"/>
            <w:shd w:val="clear" w:color="auto" w:fill="F2F2F2" w:themeFill="background1" w:themeFillShade="F2"/>
            <w:noWrap/>
            <w:hideMark/>
          </w:tcPr>
          <w:p w14:paraId="77E99FDE"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4</w:t>
            </w:r>
          </w:p>
        </w:tc>
        <w:tc>
          <w:tcPr>
            <w:tcW w:w="2694" w:type="dxa"/>
            <w:shd w:val="clear" w:color="auto" w:fill="F2F2F2" w:themeFill="background1" w:themeFillShade="F2"/>
            <w:noWrap/>
            <w:hideMark/>
          </w:tcPr>
          <w:p w14:paraId="58A70DFE" w14:textId="593FA5A4"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10</w:t>
            </w:r>
          </w:p>
        </w:tc>
        <w:tc>
          <w:tcPr>
            <w:tcW w:w="2835" w:type="dxa"/>
            <w:shd w:val="clear" w:color="auto" w:fill="F2F2F2" w:themeFill="background1" w:themeFillShade="F2"/>
            <w:noWrap/>
            <w:hideMark/>
          </w:tcPr>
          <w:p w14:paraId="1BD0BD57"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5%</w:t>
            </w:r>
          </w:p>
        </w:tc>
      </w:tr>
      <w:tr w:rsidR="00777542" w:rsidRPr="00777542" w14:paraId="0BD1BC1C" w14:textId="77777777" w:rsidTr="00B31437">
        <w:trPr>
          <w:trHeight w:val="284"/>
        </w:trPr>
        <w:tc>
          <w:tcPr>
            <w:tcW w:w="2835" w:type="dxa"/>
            <w:shd w:val="clear" w:color="auto" w:fill="F2F2F2" w:themeFill="background1" w:themeFillShade="F2"/>
            <w:noWrap/>
            <w:hideMark/>
          </w:tcPr>
          <w:p w14:paraId="3CF8CD60"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5</w:t>
            </w:r>
          </w:p>
        </w:tc>
        <w:tc>
          <w:tcPr>
            <w:tcW w:w="2694" w:type="dxa"/>
            <w:shd w:val="clear" w:color="auto" w:fill="F2F2F2" w:themeFill="background1" w:themeFillShade="F2"/>
            <w:noWrap/>
            <w:hideMark/>
          </w:tcPr>
          <w:p w14:paraId="2FEBBA23" w14:textId="6DFE2B35"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3</w:t>
            </w:r>
          </w:p>
        </w:tc>
        <w:tc>
          <w:tcPr>
            <w:tcW w:w="2835" w:type="dxa"/>
            <w:shd w:val="clear" w:color="auto" w:fill="F2F2F2" w:themeFill="background1" w:themeFillShade="F2"/>
            <w:noWrap/>
            <w:hideMark/>
          </w:tcPr>
          <w:p w14:paraId="01509787" w14:textId="2489AD5B"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2</w:t>
            </w:r>
            <w:r w:rsidR="00777542" w:rsidRPr="00E413A3">
              <w:rPr>
                <w:rFonts w:cs="Arial"/>
                <w:sz w:val="22"/>
                <w:szCs w:val="22"/>
              </w:rPr>
              <w:t>%</w:t>
            </w:r>
          </w:p>
        </w:tc>
      </w:tr>
      <w:tr w:rsidR="00777542" w:rsidRPr="00777542" w14:paraId="16903E7D" w14:textId="77777777" w:rsidTr="00B31437">
        <w:trPr>
          <w:trHeight w:val="284"/>
        </w:trPr>
        <w:tc>
          <w:tcPr>
            <w:tcW w:w="2835" w:type="dxa"/>
            <w:shd w:val="clear" w:color="auto" w:fill="EDF5D7" w:themeFill="accent5" w:themeFillTint="33"/>
            <w:noWrap/>
            <w:hideMark/>
          </w:tcPr>
          <w:p w14:paraId="082A3C2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6</w:t>
            </w:r>
          </w:p>
        </w:tc>
        <w:tc>
          <w:tcPr>
            <w:tcW w:w="2694" w:type="dxa"/>
            <w:shd w:val="clear" w:color="auto" w:fill="EDF5D7" w:themeFill="accent5" w:themeFillTint="33"/>
            <w:noWrap/>
            <w:hideMark/>
          </w:tcPr>
          <w:p w14:paraId="5751F85F" w14:textId="48955AE9"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36</w:t>
            </w:r>
          </w:p>
        </w:tc>
        <w:tc>
          <w:tcPr>
            <w:tcW w:w="2835" w:type="dxa"/>
            <w:shd w:val="clear" w:color="auto" w:fill="EDF5D7" w:themeFill="accent5" w:themeFillTint="33"/>
            <w:noWrap/>
            <w:hideMark/>
          </w:tcPr>
          <w:p w14:paraId="7EB23B0C" w14:textId="78642EEF"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19</w:t>
            </w:r>
            <w:r w:rsidR="00777542" w:rsidRPr="00E413A3">
              <w:rPr>
                <w:rFonts w:cs="Arial"/>
                <w:sz w:val="22"/>
                <w:szCs w:val="22"/>
              </w:rPr>
              <w:t>%</w:t>
            </w:r>
          </w:p>
        </w:tc>
      </w:tr>
      <w:tr w:rsidR="00777542" w:rsidRPr="00777542" w14:paraId="57254F0E" w14:textId="77777777" w:rsidTr="00B31437">
        <w:trPr>
          <w:trHeight w:val="284"/>
        </w:trPr>
        <w:tc>
          <w:tcPr>
            <w:tcW w:w="2835" w:type="dxa"/>
            <w:shd w:val="clear" w:color="auto" w:fill="F2F2F2" w:themeFill="background1" w:themeFillShade="F2"/>
            <w:noWrap/>
            <w:hideMark/>
          </w:tcPr>
          <w:p w14:paraId="36B9F017"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3</w:t>
            </w:r>
          </w:p>
        </w:tc>
        <w:tc>
          <w:tcPr>
            <w:tcW w:w="2694" w:type="dxa"/>
            <w:shd w:val="clear" w:color="auto" w:fill="F2F2F2" w:themeFill="background1" w:themeFillShade="F2"/>
            <w:noWrap/>
            <w:hideMark/>
          </w:tcPr>
          <w:p w14:paraId="163C826B" w14:textId="0668AC28"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8</w:t>
            </w:r>
          </w:p>
        </w:tc>
        <w:tc>
          <w:tcPr>
            <w:tcW w:w="2835" w:type="dxa"/>
            <w:shd w:val="clear" w:color="auto" w:fill="F2F2F2" w:themeFill="background1" w:themeFillShade="F2"/>
            <w:noWrap/>
            <w:hideMark/>
          </w:tcPr>
          <w:p w14:paraId="2A63F11A"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4%</w:t>
            </w:r>
          </w:p>
        </w:tc>
      </w:tr>
      <w:tr w:rsidR="00777542" w:rsidRPr="00777542" w14:paraId="425815F3" w14:textId="77777777" w:rsidTr="00B31437">
        <w:trPr>
          <w:trHeight w:val="284"/>
        </w:trPr>
        <w:tc>
          <w:tcPr>
            <w:tcW w:w="2835" w:type="dxa"/>
            <w:shd w:val="clear" w:color="auto" w:fill="F2F2F2" w:themeFill="background1" w:themeFillShade="F2"/>
            <w:noWrap/>
            <w:hideMark/>
          </w:tcPr>
          <w:p w14:paraId="4D56B968"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4</w:t>
            </w:r>
          </w:p>
        </w:tc>
        <w:tc>
          <w:tcPr>
            <w:tcW w:w="2694" w:type="dxa"/>
            <w:shd w:val="clear" w:color="auto" w:fill="F2F2F2" w:themeFill="background1" w:themeFillShade="F2"/>
            <w:noWrap/>
            <w:hideMark/>
          </w:tcPr>
          <w:p w14:paraId="1313A526" w14:textId="43C95B43"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8</w:t>
            </w:r>
          </w:p>
        </w:tc>
        <w:tc>
          <w:tcPr>
            <w:tcW w:w="2835" w:type="dxa"/>
            <w:shd w:val="clear" w:color="auto" w:fill="F2F2F2" w:themeFill="background1" w:themeFillShade="F2"/>
            <w:noWrap/>
            <w:hideMark/>
          </w:tcPr>
          <w:p w14:paraId="73B35887" w14:textId="1DC0862E"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4</w:t>
            </w:r>
            <w:r w:rsidR="00777542" w:rsidRPr="00E413A3">
              <w:rPr>
                <w:rFonts w:cs="Arial"/>
                <w:sz w:val="22"/>
                <w:szCs w:val="22"/>
              </w:rPr>
              <w:t>%</w:t>
            </w:r>
          </w:p>
        </w:tc>
      </w:tr>
      <w:tr w:rsidR="00777542" w:rsidRPr="00777542" w14:paraId="16AB8CDB" w14:textId="77777777" w:rsidTr="00B31437">
        <w:trPr>
          <w:trHeight w:val="284"/>
        </w:trPr>
        <w:tc>
          <w:tcPr>
            <w:tcW w:w="2835" w:type="dxa"/>
            <w:shd w:val="clear" w:color="auto" w:fill="F2F2F2" w:themeFill="background1" w:themeFillShade="F2"/>
            <w:noWrap/>
            <w:hideMark/>
          </w:tcPr>
          <w:p w14:paraId="484EDC20"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5</w:t>
            </w:r>
          </w:p>
        </w:tc>
        <w:tc>
          <w:tcPr>
            <w:tcW w:w="2694" w:type="dxa"/>
            <w:shd w:val="clear" w:color="auto" w:fill="F2F2F2" w:themeFill="background1" w:themeFillShade="F2"/>
            <w:noWrap/>
            <w:hideMark/>
          </w:tcPr>
          <w:p w14:paraId="145F9118"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2</w:t>
            </w:r>
          </w:p>
        </w:tc>
        <w:tc>
          <w:tcPr>
            <w:tcW w:w="2835" w:type="dxa"/>
            <w:shd w:val="clear" w:color="auto" w:fill="F2F2F2" w:themeFill="background1" w:themeFillShade="F2"/>
            <w:noWrap/>
            <w:hideMark/>
          </w:tcPr>
          <w:p w14:paraId="314DF48D"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1%</w:t>
            </w:r>
          </w:p>
        </w:tc>
      </w:tr>
      <w:tr w:rsidR="00777542" w:rsidRPr="00777542" w14:paraId="4EC42C18" w14:textId="77777777" w:rsidTr="00B31437">
        <w:trPr>
          <w:trHeight w:val="284"/>
        </w:trPr>
        <w:tc>
          <w:tcPr>
            <w:tcW w:w="2835" w:type="dxa"/>
            <w:shd w:val="clear" w:color="auto" w:fill="F2F2F2" w:themeFill="background1" w:themeFillShade="F2"/>
            <w:noWrap/>
            <w:hideMark/>
          </w:tcPr>
          <w:p w14:paraId="4E4779E9"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6</w:t>
            </w:r>
          </w:p>
        </w:tc>
        <w:tc>
          <w:tcPr>
            <w:tcW w:w="2694" w:type="dxa"/>
            <w:shd w:val="clear" w:color="auto" w:fill="F2F2F2" w:themeFill="background1" w:themeFillShade="F2"/>
            <w:noWrap/>
            <w:hideMark/>
          </w:tcPr>
          <w:p w14:paraId="271CBD02"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1</w:t>
            </w:r>
          </w:p>
        </w:tc>
        <w:tc>
          <w:tcPr>
            <w:tcW w:w="2835" w:type="dxa"/>
            <w:shd w:val="clear" w:color="auto" w:fill="F2F2F2" w:themeFill="background1" w:themeFillShade="F2"/>
            <w:noWrap/>
            <w:hideMark/>
          </w:tcPr>
          <w:p w14:paraId="148BB5A5"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1%</w:t>
            </w:r>
          </w:p>
        </w:tc>
      </w:tr>
      <w:tr w:rsidR="00777542" w:rsidRPr="00777542" w14:paraId="1A912C9E" w14:textId="77777777" w:rsidTr="00B31437">
        <w:trPr>
          <w:trHeight w:val="284"/>
        </w:trPr>
        <w:tc>
          <w:tcPr>
            <w:tcW w:w="2835" w:type="dxa"/>
            <w:shd w:val="clear" w:color="auto" w:fill="F2F2F2" w:themeFill="background1" w:themeFillShade="F2"/>
            <w:noWrap/>
            <w:hideMark/>
          </w:tcPr>
          <w:p w14:paraId="56DC748D"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3 and 5</w:t>
            </w:r>
          </w:p>
        </w:tc>
        <w:tc>
          <w:tcPr>
            <w:tcW w:w="2694" w:type="dxa"/>
            <w:shd w:val="clear" w:color="auto" w:fill="F2F2F2" w:themeFill="background1" w:themeFillShade="F2"/>
            <w:noWrap/>
            <w:hideMark/>
          </w:tcPr>
          <w:p w14:paraId="62702B46"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0</w:t>
            </w:r>
          </w:p>
        </w:tc>
        <w:tc>
          <w:tcPr>
            <w:tcW w:w="2835" w:type="dxa"/>
            <w:shd w:val="clear" w:color="auto" w:fill="F2F2F2" w:themeFill="background1" w:themeFillShade="F2"/>
            <w:noWrap/>
            <w:hideMark/>
          </w:tcPr>
          <w:p w14:paraId="04390568"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0%</w:t>
            </w:r>
          </w:p>
        </w:tc>
      </w:tr>
      <w:tr w:rsidR="00777542" w:rsidRPr="00777542" w14:paraId="238969FD" w14:textId="77777777" w:rsidTr="00B31437">
        <w:trPr>
          <w:trHeight w:val="284"/>
        </w:trPr>
        <w:tc>
          <w:tcPr>
            <w:tcW w:w="2835" w:type="dxa"/>
            <w:shd w:val="clear" w:color="auto" w:fill="F2F2F2" w:themeFill="background1" w:themeFillShade="F2"/>
            <w:noWrap/>
            <w:hideMark/>
          </w:tcPr>
          <w:p w14:paraId="4E6967F7"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3 and 6</w:t>
            </w:r>
          </w:p>
        </w:tc>
        <w:tc>
          <w:tcPr>
            <w:tcW w:w="2694" w:type="dxa"/>
            <w:shd w:val="clear" w:color="auto" w:fill="F2F2F2" w:themeFill="background1" w:themeFillShade="F2"/>
            <w:noWrap/>
            <w:hideMark/>
          </w:tcPr>
          <w:p w14:paraId="3CC63BE8"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9</w:t>
            </w:r>
          </w:p>
        </w:tc>
        <w:tc>
          <w:tcPr>
            <w:tcW w:w="2835" w:type="dxa"/>
            <w:shd w:val="clear" w:color="auto" w:fill="F2F2F2" w:themeFill="background1" w:themeFillShade="F2"/>
            <w:noWrap/>
            <w:hideMark/>
          </w:tcPr>
          <w:p w14:paraId="1BF51092" w14:textId="7F19AB7D"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5</w:t>
            </w:r>
            <w:r w:rsidR="00777542" w:rsidRPr="00E413A3">
              <w:rPr>
                <w:rFonts w:cs="Arial"/>
                <w:sz w:val="22"/>
                <w:szCs w:val="22"/>
              </w:rPr>
              <w:t>%</w:t>
            </w:r>
          </w:p>
        </w:tc>
      </w:tr>
      <w:tr w:rsidR="00777542" w:rsidRPr="00777542" w14:paraId="014DE467" w14:textId="77777777" w:rsidTr="00B31437">
        <w:trPr>
          <w:trHeight w:val="284"/>
        </w:trPr>
        <w:tc>
          <w:tcPr>
            <w:tcW w:w="2835" w:type="dxa"/>
            <w:shd w:val="clear" w:color="auto" w:fill="F2F2F2" w:themeFill="background1" w:themeFillShade="F2"/>
            <w:noWrap/>
            <w:hideMark/>
          </w:tcPr>
          <w:p w14:paraId="69B3C42F"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4 and 5</w:t>
            </w:r>
          </w:p>
        </w:tc>
        <w:tc>
          <w:tcPr>
            <w:tcW w:w="2694" w:type="dxa"/>
            <w:shd w:val="clear" w:color="auto" w:fill="F2F2F2" w:themeFill="background1" w:themeFillShade="F2"/>
            <w:noWrap/>
            <w:hideMark/>
          </w:tcPr>
          <w:p w14:paraId="307A1E89"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6</w:t>
            </w:r>
          </w:p>
        </w:tc>
        <w:tc>
          <w:tcPr>
            <w:tcW w:w="2835" w:type="dxa"/>
            <w:shd w:val="clear" w:color="auto" w:fill="F2F2F2" w:themeFill="background1" w:themeFillShade="F2"/>
            <w:noWrap/>
            <w:hideMark/>
          </w:tcPr>
          <w:p w14:paraId="57F230FB" w14:textId="0A4CB314"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3</w:t>
            </w:r>
            <w:r w:rsidR="00777542" w:rsidRPr="00E413A3">
              <w:rPr>
                <w:rFonts w:cs="Arial"/>
                <w:sz w:val="22"/>
                <w:szCs w:val="22"/>
              </w:rPr>
              <w:t>%</w:t>
            </w:r>
          </w:p>
        </w:tc>
      </w:tr>
      <w:tr w:rsidR="00777542" w:rsidRPr="00777542" w14:paraId="165D1EDF" w14:textId="77777777" w:rsidTr="00B31437">
        <w:trPr>
          <w:trHeight w:val="284"/>
        </w:trPr>
        <w:tc>
          <w:tcPr>
            <w:tcW w:w="2835" w:type="dxa"/>
            <w:shd w:val="clear" w:color="auto" w:fill="EDF5D7" w:themeFill="accent5" w:themeFillTint="33"/>
            <w:noWrap/>
            <w:hideMark/>
          </w:tcPr>
          <w:p w14:paraId="24400761"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4 and 6</w:t>
            </w:r>
          </w:p>
        </w:tc>
        <w:tc>
          <w:tcPr>
            <w:tcW w:w="2694" w:type="dxa"/>
            <w:shd w:val="clear" w:color="auto" w:fill="EDF5D7" w:themeFill="accent5" w:themeFillTint="33"/>
            <w:noWrap/>
            <w:hideMark/>
          </w:tcPr>
          <w:p w14:paraId="4767E46A" w14:textId="09888A1A"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30</w:t>
            </w:r>
          </w:p>
        </w:tc>
        <w:tc>
          <w:tcPr>
            <w:tcW w:w="2835" w:type="dxa"/>
            <w:shd w:val="clear" w:color="auto" w:fill="EDF5D7" w:themeFill="accent5" w:themeFillTint="33"/>
            <w:noWrap/>
            <w:hideMark/>
          </w:tcPr>
          <w:p w14:paraId="77B2831E" w14:textId="27259E2D"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16</w:t>
            </w:r>
            <w:r w:rsidR="00777542" w:rsidRPr="00E413A3">
              <w:rPr>
                <w:rFonts w:cs="Arial"/>
                <w:sz w:val="22"/>
                <w:szCs w:val="22"/>
              </w:rPr>
              <w:t>%</w:t>
            </w:r>
          </w:p>
        </w:tc>
      </w:tr>
      <w:tr w:rsidR="00777542" w:rsidRPr="00777542" w14:paraId="1DFA3E19" w14:textId="77777777" w:rsidTr="00B31437">
        <w:trPr>
          <w:trHeight w:val="284"/>
        </w:trPr>
        <w:tc>
          <w:tcPr>
            <w:tcW w:w="2835" w:type="dxa"/>
            <w:shd w:val="clear" w:color="auto" w:fill="F2F2F2" w:themeFill="background1" w:themeFillShade="F2"/>
            <w:noWrap/>
            <w:hideMark/>
          </w:tcPr>
          <w:p w14:paraId="0D7605FD"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5 and 6</w:t>
            </w:r>
          </w:p>
        </w:tc>
        <w:tc>
          <w:tcPr>
            <w:tcW w:w="2694" w:type="dxa"/>
            <w:shd w:val="clear" w:color="auto" w:fill="F2F2F2" w:themeFill="background1" w:themeFillShade="F2"/>
            <w:noWrap/>
            <w:hideMark/>
          </w:tcPr>
          <w:p w14:paraId="03D07E80" w14:textId="39EF1748"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6</w:t>
            </w:r>
          </w:p>
        </w:tc>
        <w:tc>
          <w:tcPr>
            <w:tcW w:w="2835" w:type="dxa"/>
            <w:shd w:val="clear" w:color="auto" w:fill="F2F2F2" w:themeFill="background1" w:themeFillShade="F2"/>
            <w:noWrap/>
            <w:hideMark/>
          </w:tcPr>
          <w:p w14:paraId="7091A1D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3%</w:t>
            </w:r>
          </w:p>
        </w:tc>
      </w:tr>
      <w:tr w:rsidR="00777542" w:rsidRPr="00777542" w14:paraId="00BAA133" w14:textId="77777777" w:rsidTr="00B31437">
        <w:trPr>
          <w:trHeight w:val="284"/>
        </w:trPr>
        <w:tc>
          <w:tcPr>
            <w:tcW w:w="2835" w:type="dxa"/>
            <w:shd w:val="clear" w:color="auto" w:fill="F2F2F2" w:themeFill="background1" w:themeFillShade="F2"/>
            <w:noWrap/>
            <w:hideMark/>
          </w:tcPr>
          <w:p w14:paraId="242D1721"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3 and 5</w:t>
            </w:r>
          </w:p>
        </w:tc>
        <w:tc>
          <w:tcPr>
            <w:tcW w:w="2694" w:type="dxa"/>
            <w:shd w:val="clear" w:color="auto" w:fill="F2F2F2" w:themeFill="background1" w:themeFillShade="F2"/>
            <w:noWrap/>
            <w:hideMark/>
          </w:tcPr>
          <w:p w14:paraId="70DD22DA" w14:textId="755439D7"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4</w:t>
            </w:r>
          </w:p>
        </w:tc>
        <w:tc>
          <w:tcPr>
            <w:tcW w:w="2835" w:type="dxa"/>
            <w:shd w:val="clear" w:color="auto" w:fill="F2F2F2" w:themeFill="background1" w:themeFillShade="F2"/>
            <w:noWrap/>
            <w:hideMark/>
          </w:tcPr>
          <w:p w14:paraId="6E8F0B8A"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2%</w:t>
            </w:r>
          </w:p>
        </w:tc>
      </w:tr>
      <w:tr w:rsidR="00777542" w:rsidRPr="00777542" w14:paraId="0D76AE99" w14:textId="77777777" w:rsidTr="00B31437">
        <w:trPr>
          <w:trHeight w:val="284"/>
        </w:trPr>
        <w:tc>
          <w:tcPr>
            <w:tcW w:w="2835" w:type="dxa"/>
            <w:shd w:val="clear" w:color="auto" w:fill="F2F2F2" w:themeFill="background1" w:themeFillShade="F2"/>
            <w:noWrap/>
            <w:hideMark/>
          </w:tcPr>
          <w:p w14:paraId="12C6E2F1"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lastRenderedPageBreak/>
              <w:t>Options 2, 3 and 6</w:t>
            </w:r>
          </w:p>
        </w:tc>
        <w:tc>
          <w:tcPr>
            <w:tcW w:w="2694" w:type="dxa"/>
            <w:shd w:val="clear" w:color="auto" w:fill="F2F2F2" w:themeFill="background1" w:themeFillShade="F2"/>
            <w:noWrap/>
            <w:hideMark/>
          </w:tcPr>
          <w:p w14:paraId="72FD00FB"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0</w:t>
            </w:r>
          </w:p>
        </w:tc>
        <w:tc>
          <w:tcPr>
            <w:tcW w:w="2835" w:type="dxa"/>
            <w:shd w:val="clear" w:color="auto" w:fill="F2F2F2" w:themeFill="background1" w:themeFillShade="F2"/>
            <w:noWrap/>
            <w:hideMark/>
          </w:tcPr>
          <w:p w14:paraId="6F1B82D2"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0%</w:t>
            </w:r>
          </w:p>
        </w:tc>
      </w:tr>
      <w:tr w:rsidR="00777542" w:rsidRPr="00777542" w14:paraId="696D4A94" w14:textId="77777777" w:rsidTr="00B31437">
        <w:trPr>
          <w:trHeight w:val="284"/>
        </w:trPr>
        <w:tc>
          <w:tcPr>
            <w:tcW w:w="2835" w:type="dxa"/>
            <w:shd w:val="clear" w:color="auto" w:fill="F2F2F2" w:themeFill="background1" w:themeFillShade="F2"/>
            <w:noWrap/>
            <w:hideMark/>
          </w:tcPr>
          <w:p w14:paraId="1D14E43F"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4 and 5</w:t>
            </w:r>
          </w:p>
        </w:tc>
        <w:tc>
          <w:tcPr>
            <w:tcW w:w="2694" w:type="dxa"/>
            <w:shd w:val="clear" w:color="auto" w:fill="F2F2F2" w:themeFill="background1" w:themeFillShade="F2"/>
            <w:noWrap/>
            <w:hideMark/>
          </w:tcPr>
          <w:p w14:paraId="4585155C"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1</w:t>
            </w:r>
          </w:p>
        </w:tc>
        <w:tc>
          <w:tcPr>
            <w:tcW w:w="2835" w:type="dxa"/>
            <w:shd w:val="clear" w:color="auto" w:fill="F2F2F2" w:themeFill="background1" w:themeFillShade="F2"/>
            <w:noWrap/>
            <w:hideMark/>
          </w:tcPr>
          <w:p w14:paraId="1D914769"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1%</w:t>
            </w:r>
          </w:p>
        </w:tc>
      </w:tr>
      <w:tr w:rsidR="00777542" w:rsidRPr="00777542" w14:paraId="344A551B" w14:textId="77777777" w:rsidTr="00B31437">
        <w:trPr>
          <w:trHeight w:val="284"/>
        </w:trPr>
        <w:tc>
          <w:tcPr>
            <w:tcW w:w="2835" w:type="dxa"/>
            <w:shd w:val="clear" w:color="auto" w:fill="F2F2F2" w:themeFill="background1" w:themeFillShade="F2"/>
            <w:noWrap/>
            <w:hideMark/>
          </w:tcPr>
          <w:p w14:paraId="20D2FBE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4 and 6</w:t>
            </w:r>
          </w:p>
        </w:tc>
        <w:tc>
          <w:tcPr>
            <w:tcW w:w="2694" w:type="dxa"/>
            <w:shd w:val="clear" w:color="auto" w:fill="F2F2F2" w:themeFill="background1" w:themeFillShade="F2"/>
            <w:noWrap/>
            <w:hideMark/>
          </w:tcPr>
          <w:p w14:paraId="5916116C" w14:textId="7213628D"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8</w:t>
            </w:r>
          </w:p>
        </w:tc>
        <w:tc>
          <w:tcPr>
            <w:tcW w:w="2835" w:type="dxa"/>
            <w:shd w:val="clear" w:color="auto" w:fill="F2F2F2" w:themeFill="background1" w:themeFillShade="F2"/>
            <w:noWrap/>
            <w:hideMark/>
          </w:tcPr>
          <w:p w14:paraId="3EA753E5"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4%</w:t>
            </w:r>
          </w:p>
        </w:tc>
      </w:tr>
      <w:tr w:rsidR="00777542" w:rsidRPr="00777542" w14:paraId="4CC4FD5C" w14:textId="77777777" w:rsidTr="00B31437">
        <w:trPr>
          <w:trHeight w:val="284"/>
        </w:trPr>
        <w:tc>
          <w:tcPr>
            <w:tcW w:w="2835" w:type="dxa"/>
            <w:shd w:val="clear" w:color="auto" w:fill="F2F2F2" w:themeFill="background1" w:themeFillShade="F2"/>
            <w:noWrap/>
            <w:hideMark/>
          </w:tcPr>
          <w:p w14:paraId="22AFA947"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5 and 6</w:t>
            </w:r>
          </w:p>
        </w:tc>
        <w:tc>
          <w:tcPr>
            <w:tcW w:w="2694" w:type="dxa"/>
            <w:shd w:val="clear" w:color="auto" w:fill="F2F2F2" w:themeFill="background1" w:themeFillShade="F2"/>
            <w:noWrap/>
            <w:hideMark/>
          </w:tcPr>
          <w:p w14:paraId="47FDD2AC" w14:textId="178086D1"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10</w:t>
            </w:r>
          </w:p>
        </w:tc>
        <w:tc>
          <w:tcPr>
            <w:tcW w:w="2835" w:type="dxa"/>
            <w:shd w:val="clear" w:color="auto" w:fill="F2F2F2" w:themeFill="background1" w:themeFillShade="F2"/>
            <w:noWrap/>
            <w:hideMark/>
          </w:tcPr>
          <w:p w14:paraId="6F87EE11" w14:textId="55C5F009"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5</w:t>
            </w:r>
            <w:r w:rsidR="00777542" w:rsidRPr="00E413A3">
              <w:rPr>
                <w:rFonts w:cs="Arial"/>
                <w:sz w:val="22"/>
                <w:szCs w:val="22"/>
              </w:rPr>
              <w:t>%</w:t>
            </w:r>
          </w:p>
        </w:tc>
      </w:tr>
      <w:tr w:rsidR="00777542" w:rsidRPr="00777542" w14:paraId="69A7E92A" w14:textId="77777777" w:rsidTr="00B31437">
        <w:trPr>
          <w:trHeight w:val="284"/>
        </w:trPr>
        <w:tc>
          <w:tcPr>
            <w:tcW w:w="2835" w:type="dxa"/>
            <w:shd w:val="clear" w:color="auto" w:fill="F2F2F2" w:themeFill="background1" w:themeFillShade="F2"/>
            <w:noWrap/>
            <w:hideMark/>
          </w:tcPr>
          <w:p w14:paraId="3C387D93"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3, 5 and 6</w:t>
            </w:r>
          </w:p>
        </w:tc>
        <w:tc>
          <w:tcPr>
            <w:tcW w:w="2694" w:type="dxa"/>
            <w:shd w:val="clear" w:color="auto" w:fill="F2F2F2" w:themeFill="background1" w:themeFillShade="F2"/>
            <w:noWrap/>
            <w:hideMark/>
          </w:tcPr>
          <w:p w14:paraId="5E36515C" w14:textId="15707A54"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2</w:t>
            </w:r>
          </w:p>
        </w:tc>
        <w:tc>
          <w:tcPr>
            <w:tcW w:w="2835" w:type="dxa"/>
            <w:shd w:val="clear" w:color="auto" w:fill="F2F2F2" w:themeFill="background1" w:themeFillShade="F2"/>
            <w:noWrap/>
            <w:hideMark/>
          </w:tcPr>
          <w:p w14:paraId="64DC11E8"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1%</w:t>
            </w:r>
          </w:p>
        </w:tc>
      </w:tr>
      <w:tr w:rsidR="00777542" w:rsidRPr="00777542" w14:paraId="225BF6FA" w14:textId="77777777" w:rsidTr="00B31437">
        <w:trPr>
          <w:trHeight w:val="284"/>
        </w:trPr>
        <w:tc>
          <w:tcPr>
            <w:tcW w:w="2835" w:type="dxa"/>
            <w:shd w:val="clear" w:color="auto" w:fill="F2F2F2" w:themeFill="background1" w:themeFillShade="F2"/>
            <w:noWrap/>
            <w:hideMark/>
          </w:tcPr>
          <w:p w14:paraId="69A8E212"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4, 5 and 6</w:t>
            </w:r>
          </w:p>
        </w:tc>
        <w:tc>
          <w:tcPr>
            <w:tcW w:w="2694" w:type="dxa"/>
            <w:shd w:val="clear" w:color="auto" w:fill="F2F2F2" w:themeFill="background1" w:themeFillShade="F2"/>
            <w:noWrap/>
            <w:hideMark/>
          </w:tcPr>
          <w:p w14:paraId="0EF5C95F"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cs="Arial"/>
                <w:sz w:val="22"/>
                <w:szCs w:val="22"/>
              </w:rPr>
              <w:t>4</w:t>
            </w:r>
          </w:p>
        </w:tc>
        <w:tc>
          <w:tcPr>
            <w:tcW w:w="2835" w:type="dxa"/>
            <w:shd w:val="clear" w:color="auto" w:fill="F2F2F2" w:themeFill="background1" w:themeFillShade="F2"/>
            <w:noWrap/>
            <w:hideMark/>
          </w:tcPr>
          <w:p w14:paraId="063B0C85" w14:textId="0E206624"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2</w:t>
            </w:r>
            <w:r w:rsidR="00777542" w:rsidRPr="00E413A3">
              <w:rPr>
                <w:rFonts w:cs="Arial"/>
                <w:sz w:val="22"/>
                <w:szCs w:val="22"/>
              </w:rPr>
              <w:t>%</w:t>
            </w:r>
          </w:p>
        </w:tc>
      </w:tr>
      <w:tr w:rsidR="00777542" w:rsidRPr="00777542" w14:paraId="7C3E9FD9" w14:textId="77777777" w:rsidTr="00B31437">
        <w:trPr>
          <w:trHeight w:val="284"/>
        </w:trPr>
        <w:tc>
          <w:tcPr>
            <w:tcW w:w="2835" w:type="dxa"/>
            <w:shd w:val="clear" w:color="auto" w:fill="F2F2F2" w:themeFill="background1" w:themeFillShade="F2"/>
            <w:noWrap/>
            <w:hideMark/>
          </w:tcPr>
          <w:p w14:paraId="3D1E9230"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 xml:space="preserve">Options 2, 3, 5 and 6 </w:t>
            </w:r>
          </w:p>
        </w:tc>
        <w:tc>
          <w:tcPr>
            <w:tcW w:w="2694" w:type="dxa"/>
            <w:shd w:val="clear" w:color="auto" w:fill="F2F2F2" w:themeFill="background1" w:themeFillShade="F2"/>
            <w:noWrap/>
            <w:hideMark/>
          </w:tcPr>
          <w:p w14:paraId="58DB0C36" w14:textId="3CA12BA8"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3</w:t>
            </w:r>
          </w:p>
        </w:tc>
        <w:tc>
          <w:tcPr>
            <w:tcW w:w="2835" w:type="dxa"/>
            <w:shd w:val="clear" w:color="auto" w:fill="F2F2F2" w:themeFill="background1" w:themeFillShade="F2"/>
            <w:noWrap/>
            <w:hideMark/>
          </w:tcPr>
          <w:p w14:paraId="6670461C" w14:textId="471B457B"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2</w:t>
            </w:r>
            <w:r w:rsidR="00777542" w:rsidRPr="00E413A3">
              <w:rPr>
                <w:rFonts w:cs="Arial"/>
                <w:sz w:val="22"/>
                <w:szCs w:val="22"/>
              </w:rPr>
              <w:t>%</w:t>
            </w:r>
          </w:p>
        </w:tc>
      </w:tr>
      <w:tr w:rsidR="00777542" w:rsidRPr="00777542" w14:paraId="3DDC6362" w14:textId="77777777" w:rsidTr="00B31437">
        <w:trPr>
          <w:trHeight w:val="284"/>
        </w:trPr>
        <w:tc>
          <w:tcPr>
            <w:tcW w:w="2835" w:type="dxa"/>
            <w:shd w:val="clear" w:color="auto" w:fill="EDF5D7" w:themeFill="accent5" w:themeFillTint="33"/>
            <w:noWrap/>
            <w:hideMark/>
          </w:tcPr>
          <w:p w14:paraId="09873575"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4, 5 and 6</w:t>
            </w:r>
          </w:p>
        </w:tc>
        <w:tc>
          <w:tcPr>
            <w:tcW w:w="2694" w:type="dxa"/>
            <w:shd w:val="clear" w:color="auto" w:fill="EDF5D7" w:themeFill="accent5" w:themeFillTint="33"/>
            <w:noWrap/>
            <w:hideMark/>
          </w:tcPr>
          <w:p w14:paraId="231A7317" w14:textId="0A1E0BA6"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23</w:t>
            </w:r>
          </w:p>
        </w:tc>
        <w:tc>
          <w:tcPr>
            <w:tcW w:w="2835" w:type="dxa"/>
            <w:shd w:val="clear" w:color="auto" w:fill="EDF5D7" w:themeFill="accent5" w:themeFillTint="33"/>
            <w:noWrap/>
            <w:hideMark/>
          </w:tcPr>
          <w:p w14:paraId="48BE0BED" w14:textId="635B31AB" w:rsidR="00777542" w:rsidRPr="00E413A3" w:rsidRDefault="002418F9">
            <w:pPr>
              <w:spacing w:after="0" w:line="240" w:lineRule="auto"/>
              <w:jc w:val="right"/>
              <w:rPr>
                <w:rFonts w:eastAsia="Times New Roman" w:cs="Arial"/>
                <w:color w:val="000000"/>
                <w:sz w:val="22"/>
                <w:szCs w:val="22"/>
                <w:lang w:eastAsia="en-AU"/>
              </w:rPr>
            </w:pPr>
            <w:r w:rsidRPr="00E413A3">
              <w:rPr>
                <w:rFonts w:cs="Arial"/>
                <w:sz w:val="22"/>
                <w:szCs w:val="22"/>
              </w:rPr>
              <w:t>12</w:t>
            </w:r>
            <w:r w:rsidR="00777542" w:rsidRPr="00E413A3">
              <w:rPr>
                <w:rFonts w:cs="Arial"/>
                <w:sz w:val="22"/>
                <w:szCs w:val="22"/>
              </w:rPr>
              <w:t>%</w:t>
            </w:r>
          </w:p>
        </w:tc>
      </w:tr>
    </w:tbl>
    <w:p w14:paraId="4ADD69BD" w14:textId="77777777" w:rsidR="00777542" w:rsidRPr="002418F9" w:rsidRDefault="00777542" w:rsidP="00777542"/>
    <w:p w14:paraId="2B2E47E9" w14:textId="712FE255" w:rsidR="00777542" w:rsidRPr="002418F9" w:rsidRDefault="00777542" w:rsidP="00976C70">
      <w:pPr>
        <w:pStyle w:val="Source-CSR"/>
      </w:pPr>
      <w:r w:rsidRPr="002418F9">
        <w:t xml:space="preserve"> Source: Approved provider survey, as of </w:t>
      </w:r>
      <w:r w:rsidR="005051C2" w:rsidRPr="00636B94">
        <w:t>11</w:t>
      </w:r>
      <w:r w:rsidRPr="00636B94">
        <w:t xml:space="preserve"> June 2025, Q25, n=</w:t>
      </w:r>
      <w:r w:rsidR="002418F9" w:rsidRPr="00636B94">
        <w:t>188</w:t>
      </w:r>
      <w:r w:rsidRPr="00636B94">
        <w:t xml:space="preserve"> unique respondents. The three popular options or combination of options are highlighted in green. Note that if a respondent selected a combination of options, that selection is treated as a unique preference and not double-counted in the singular options. </w:t>
      </w:r>
    </w:p>
    <w:p w14:paraId="29897DBA" w14:textId="3EA78FC7" w:rsidR="00777542" w:rsidRPr="00B530C9" w:rsidRDefault="00F43795" w:rsidP="00777542">
      <w:pPr>
        <w:pStyle w:val="CaptionChart"/>
        <w:numPr>
          <w:ilvl w:val="7"/>
          <w:numId w:val="0"/>
        </w:numPr>
      </w:pPr>
      <w:r w:rsidRPr="00FE2E00">
        <w:t xml:space="preserve">Appendix Table 12.3.2.2 </w:t>
      </w:r>
      <w:bookmarkStart w:id="263" w:name="_Toc200656071"/>
      <w:bookmarkStart w:id="264" w:name="_Toc200657414"/>
      <w:r w:rsidR="00777542" w:rsidRPr="00B530C9">
        <w:t xml:space="preserve">Workforce responses to “What is your </w:t>
      </w:r>
      <w:r w:rsidR="00B734E0">
        <w:t xml:space="preserve">preferred option or combination </w:t>
      </w:r>
      <w:r w:rsidR="00777542" w:rsidRPr="00B530C9">
        <w:t>of options?” – Recommendation 2.1</w:t>
      </w:r>
      <w:bookmarkEnd w:id="263"/>
      <w:bookmarkEnd w:id="264"/>
    </w:p>
    <w:tbl>
      <w:tblPr>
        <w:tblStyle w:val="Box1"/>
        <w:tblW w:w="8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8"/>
        <w:gridCol w:w="2079"/>
        <w:gridCol w:w="2417"/>
      </w:tblGrid>
      <w:tr w:rsidR="00777542" w:rsidRPr="00777542" w14:paraId="0CF5F47C" w14:textId="77777777" w:rsidTr="00492936">
        <w:trPr>
          <w:cnfStyle w:val="100000000000" w:firstRow="1" w:lastRow="0" w:firstColumn="0" w:lastColumn="0" w:oddVBand="0" w:evenVBand="0" w:oddHBand="0" w:evenHBand="0" w:firstRowFirstColumn="0" w:firstRowLastColumn="0" w:lastRowFirstColumn="0" w:lastRowLastColumn="0"/>
          <w:trHeight w:val="313"/>
        </w:trPr>
        <w:tc>
          <w:tcPr>
            <w:tcW w:w="4108" w:type="dxa"/>
            <w:tcBorders>
              <w:top w:val="single" w:sz="4" w:space="0" w:color="auto"/>
              <w:left w:val="single" w:sz="4" w:space="0" w:color="auto"/>
              <w:bottom w:val="single" w:sz="4" w:space="0" w:color="auto"/>
              <w:right w:val="single" w:sz="4" w:space="0" w:color="auto"/>
            </w:tcBorders>
            <w:noWrap/>
            <w:hideMark/>
          </w:tcPr>
          <w:p w14:paraId="1AA9185F" w14:textId="6303B223" w:rsidR="00777542" w:rsidRPr="00E413A3" w:rsidRDefault="00370AB1">
            <w:pPr>
              <w:spacing w:after="0" w:line="240" w:lineRule="auto"/>
              <w:jc w:val="right"/>
              <w:rPr>
                <w:rFonts w:eastAsia="Times New Roman" w:cs="Arial"/>
                <w:b/>
                <w:color w:val="000000"/>
                <w:sz w:val="22"/>
                <w:szCs w:val="22"/>
                <w:lang w:eastAsia="en-AU"/>
              </w:rPr>
            </w:pPr>
            <w:r>
              <w:rPr>
                <w:rFonts w:eastAsia="Times New Roman" w:cs="Arial"/>
                <w:b/>
                <w:color w:val="000000"/>
                <w:sz w:val="22"/>
                <w:szCs w:val="22"/>
                <w:lang w:eastAsia="en-AU"/>
              </w:rPr>
              <w:t xml:space="preserve">Preferred option or combination </w:t>
            </w:r>
            <w:r w:rsidR="00777542" w:rsidRPr="00E413A3">
              <w:rPr>
                <w:rFonts w:eastAsia="Times New Roman" w:cs="Arial"/>
                <w:b/>
                <w:color w:val="000000"/>
                <w:sz w:val="22"/>
                <w:szCs w:val="22"/>
                <w:lang w:eastAsia="en-AU"/>
              </w:rPr>
              <w:t>of options</w:t>
            </w:r>
          </w:p>
        </w:tc>
        <w:tc>
          <w:tcPr>
            <w:tcW w:w="2079" w:type="dxa"/>
            <w:tcBorders>
              <w:top w:val="single" w:sz="4" w:space="0" w:color="auto"/>
              <w:left w:val="single" w:sz="4" w:space="0" w:color="auto"/>
              <w:bottom w:val="single" w:sz="4" w:space="0" w:color="auto"/>
              <w:right w:val="single" w:sz="4" w:space="0" w:color="auto"/>
            </w:tcBorders>
            <w:noWrap/>
            <w:hideMark/>
          </w:tcPr>
          <w:p w14:paraId="6418B925" w14:textId="77777777" w:rsidR="00777542" w:rsidRPr="00E413A3" w:rsidRDefault="00777542">
            <w:pPr>
              <w:spacing w:after="0" w:line="240" w:lineRule="auto"/>
              <w:jc w:val="right"/>
              <w:rPr>
                <w:rFonts w:eastAsia="Times New Roman" w:cs="Arial"/>
                <w:b/>
                <w:color w:val="000000"/>
                <w:sz w:val="22"/>
                <w:szCs w:val="22"/>
                <w:lang w:eastAsia="en-AU"/>
              </w:rPr>
            </w:pPr>
            <w:r w:rsidRPr="00E413A3">
              <w:rPr>
                <w:rFonts w:eastAsia="Times New Roman" w:cs="Arial"/>
                <w:b/>
                <w:color w:val="000000"/>
                <w:sz w:val="22"/>
                <w:szCs w:val="22"/>
                <w:lang w:eastAsia="en-AU"/>
              </w:rPr>
              <w:t>Number of responses</w:t>
            </w:r>
          </w:p>
        </w:tc>
        <w:tc>
          <w:tcPr>
            <w:tcW w:w="2417" w:type="dxa"/>
            <w:tcBorders>
              <w:top w:val="single" w:sz="4" w:space="0" w:color="auto"/>
              <w:left w:val="single" w:sz="4" w:space="0" w:color="auto"/>
              <w:bottom w:val="single" w:sz="4" w:space="0" w:color="auto"/>
              <w:right w:val="single" w:sz="4" w:space="0" w:color="auto"/>
            </w:tcBorders>
            <w:noWrap/>
            <w:hideMark/>
          </w:tcPr>
          <w:p w14:paraId="2383A8F8" w14:textId="77777777" w:rsidR="00777542" w:rsidRPr="00E413A3" w:rsidRDefault="00777542">
            <w:pPr>
              <w:spacing w:after="0" w:line="240" w:lineRule="auto"/>
              <w:jc w:val="right"/>
              <w:rPr>
                <w:rFonts w:eastAsia="Times New Roman" w:cs="Arial"/>
                <w:b/>
                <w:color w:val="000000"/>
                <w:sz w:val="22"/>
                <w:szCs w:val="22"/>
                <w:lang w:eastAsia="en-AU"/>
              </w:rPr>
            </w:pPr>
            <w:r w:rsidRPr="00E413A3">
              <w:rPr>
                <w:rFonts w:eastAsia="Times New Roman" w:cs="Arial"/>
                <w:b/>
                <w:color w:val="000000"/>
                <w:sz w:val="22"/>
                <w:szCs w:val="22"/>
                <w:lang w:eastAsia="en-AU"/>
              </w:rPr>
              <w:t>Proportion of respondents</w:t>
            </w:r>
          </w:p>
        </w:tc>
      </w:tr>
      <w:tr w:rsidR="00D4708E" w:rsidRPr="00777542" w14:paraId="76B9E352" w14:textId="77777777" w:rsidTr="00492936">
        <w:trPr>
          <w:trHeight w:val="298"/>
        </w:trPr>
        <w:tc>
          <w:tcPr>
            <w:tcW w:w="4108" w:type="dxa"/>
            <w:tcBorders>
              <w:top w:val="single" w:sz="4" w:space="0" w:color="auto"/>
            </w:tcBorders>
            <w:shd w:val="clear" w:color="auto" w:fill="F2F2F2" w:themeFill="background1" w:themeFillShade="F2"/>
            <w:noWrap/>
            <w:hideMark/>
          </w:tcPr>
          <w:p w14:paraId="52B0E9F9"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1</w:t>
            </w:r>
          </w:p>
        </w:tc>
        <w:tc>
          <w:tcPr>
            <w:tcW w:w="2079" w:type="dxa"/>
            <w:tcBorders>
              <w:top w:val="single" w:sz="4" w:space="0" w:color="auto"/>
            </w:tcBorders>
            <w:shd w:val="clear" w:color="auto" w:fill="F2F2F2" w:themeFill="background1" w:themeFillShade="F2"/>
            <w:noWrap/>
            <w:vAlign w:val="bottom"/>
            <w:hideMark/>
          </w:tcPr>
          <w:p w14:paraId="680CE6BF" w14:textId="0B47C5F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9</w:t>
            </w:r>
          </w:p>
        </w:tc>
        <w:tc>
          <w:tcPr>
            <w:tcW w:w="2417" w:type="dxa"/>
            <w:tcBorders>
              <w:top w:val="single" w:sz="4" w:space="0" w:color="auto"/>
            </w:tcBorders>
            <w:shd w:val="clear" w:color="auto" w:fill="F2F2F2" w:themeFill="background1" w:themeFillShade="F2"/>
            <w:noWrap/>
            <w:vAlign w:val="bottom"/>
            <w:hideMark/>
          </w:tcPr>
          <w:p w14:paraId="51FD1FCD" w14:textId="4A569CB1"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5</w:t>
            </w:r>
            <w:r w:rsidR="00777542" w:rsidRPr="00E413A3">
              <w:rPr>
                <w:rFonts w:cs="Arial"/>
                <w:color w:val="000000"/>
                <w:sz w:val="22"/>
                <w:szCs w:val="22"/>
              </w:rPr>
              <w:t>%</w:t>
            </w:r>
          </w:p>
        </w:tc>
      </w:tr>
      <w:tr w:rsidR="00D4708E" w:rsidRPr="00777542" w14:paraId="6AA260E7" w14:textId="77777777" w:rsidTr="00B31437">
        <w:trPr>
          <w:trHeight w:val="298"/>
        </w:trPr>
        <w:tc>
          <w:tcPr>
            <w:tcW w:w="4108" w:type="dxa"/>
            <w:shd w:val="clear" w:color="auto" w:fill="F2F2F2" w:themeFill="background1" w:themeFillShade="F2"/>
            <w:noWrap/>
            <w:hideMark/>
          </w:tcPr>
          <w:p w14:paraId="5452B78D"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2</w:t>
            </w:r>
          </w:p>
        </w:tc>
        <w:tc>
          <w:tcPr>
            <w:tcW w:w="2079" w:type="dxa"/>
            <w:shd w:val="clear" w:color="auto" w:fill="F2F2F2" w:themeFill="background1" w:themeFillShade="F2"/>
            <w:noWrap/>
            <w:vAlign w:val="bottom"/>
            <w:hideMark/>
          </w:tcPr>
          <w:p w14:paraId="04587252" w14:textId="03793681"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1</w:t>
            </w:r>
          </w:p>
        </w:tc>
        <w:tc>
          <w:tcPr>
            <w:tcW w:w="2417" w:type="dxa"/>
            <w:shd w:val="clear" w:color="auto" w:fill="F2F2F2" w:themeFill="background1" w:themeFillShade="F2"/>
            <w:noWrap/>
            <w:vAlign w:val="bottom"/>
            <w:hideMark/>
          </w:tcPr>
          <w:p w14:paraId="50265BF3" w14:textId="3891624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1</w:t>
            </w:r>
            <w:r w:rsidR="00777542" w:rsidRPr="00E413A3">
              <w:rPr>
                <w:rFonts w:cs="Arial"/>
                <w:color w:val="000000"/>
                <w:sz w:val="22"/>
                <w:szCs w:val="22"/>
              </w:rPr>
              <w:t>%</w:t>
            </w:r>
          </w:p>
        </w:tc>
      </w:tr>
      <w:tr w:rsidR="00D4708E" w:rsidRPr="00777542" w14:paraId="04A8E7F6" w14:textId="77777777" w:rsidTr="00B31437">
        <w:trPr>
          <w:trHeight w:val="298"/>
        </w:trPr>
        <w:tc>
          <w:tcPr>
            <w:tcW w:w="4108" w:type="dxa"/>
            <w:shd w:val="clear" w:color="auto" w:fill="F2F2F2" w:themeFill="background1" w:themeFillShade="F2"/>
            <w:noWrap/>
            <w:hideMark/>
          </w:tcPr>
          <w:p w14:paraId="726C5FC6"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3</w:t>
            </w:r>
          </w:p>
        </w:tc>
        <w:tc>
          <w:tcPr>
            <w:tcW w:w="2079" w:type="dxa"/>
            <w:shd w:val="clear" w:color="auto" w:fill="F2F2F2" w:themeFill="background1" w:themeFillShade="F2"/>
            <w:noWrap/>
            <w:vAlign w:val="bottom"/>
            <w:hideMark/>
          </w:tcPr>
          <w:p w14:paraId="42A31150" w14:textId="64CE5E3F"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13</w:t>
            </w:r>
          </w:p>
        </w:tc>
        <w:tc>
          <w:tcPr>
            <w:tcW w:w="2417" w:type="dxa"/>
            <w:shd w:val="clear" w:color="auto" w:fill="F2F2F2" w:themeFill="background1" w:themeFillShade="F2"/>
            <w:noWrap/>
            <w:vAlign w:val="bottom"/>
            <w:hideMark/>
          </w:tcPr>
          <w:p w14:paraId="04DBF093" w14:textId="688DF47E"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7</w:t>
            </w:r>
            <w:r w:rsidR="00777542" w:rsidRPr="00E413A3">
              <w:rPr>
                <w:rFonts w:cs="Arial"/>
                <w:color w:val="000000"/>
                <w:sz w:val="22"/>
                <w:szCs w:val="22"/>
              </w:rPr>
              <w:t>%</w:t>
            </w:r>
          </w:p>
        </w:tc>
      </w:tr>
      <w:tr w:rsidR="00D4708E" w:rsidRPr="00777542" w14:paraId="46DBC800" w14:textId="77777777" w:rsidTr="00B31437">
        <w:trPr>
          <w:trHeight w:val="298"/>
        </w:trPr>
        <w:tc>
          <w:tcPr>
            <w:tcW w:w="4108" w:type="dxa"/>
            <w:shd w:val="clear" w:color="auto" w:fill="F2F2F2" w:themeFill="background1" w:themeFillShade="F2"/>
            <w:noWrap/>
            <w:hideMark/>
          </w:tcPr>
          <w:p w14:paraId="5ED7707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4</w:t>
            </w:r>
          </w:p>
        </w:tc>
        <w:tc>
          <w:tcPr>
            <w:tcW w:w="2079" w:type="dxa"/>
            <w:shd w:val="clear" w:color="auto" w:fill="F2F2F2" w:themeFill="background1" w:themeFillShade="F2"/>
            <w:noWrap/>
            <w:vAlign w:val="bottom"/>
            <w:hideMark/>
          </w:tcPr>
          <w:p w14:paraId="0A01F2CD" w14:textId="20BD2564"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7</w:t>
            </w:r>
          </w:p>
        </w:tc>
        <w:tc>
          <w:tcPr>
            <w:tcW w:w="2417" w:type="dxa"/>
            <w:shd w:val="clear" w:color="auto" w:fill="F2F2F2" w:themeFill="background1" w:themeFillShade="F2"/>
            <w:noWrap/>
            <w:vAlign w:val="bottom"/>
            <w:hideMark/>
          </w:tcPr>
          <w:p w14:paraId="07CC6217" w14:textId="090956D5"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4</w:t>
            </w:r>
            <w:r w:rsidR="00777542" w:rsidRPr="00E413A3">
              <w:rPr>
                <w:rFonts w:cs="Arial"/>
                <w:color w:val="000000"/>
                <w:sz w:val="22"/>
                <w:szCs w:val="22"/>
              </w:rPr>
              <w:t>%</w:t>
            </w:r>
          </w:p>
        </w:tc>
      </w:tr>
      <w:tr w:rsidR="00D4708E" w:rsidRPr="00777542" w14:paraId="138C11A2" w14:textId="77777777" w:rsidTr="00B31437">
        <w:trPr>
          <w:trHeight w:val="298"/>
        </w:trPr>
        <w:tc>
          <w:tcPr>
            <w:tcW w:w="4108" w:type="dxa"/>
            <w:shd w:val="clear" w:color="auto" w:fill="F2F2F2" w:themeFill="background1" w:themeFillShade="F2"/>
            <w:noWrap/>
            <w:hideMark/>
          </w:tcPr>
          <w:p w14:paraId="789471F3"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5</w:t>
            </w:r>
          </w:p>
        </w:tc>
        <w:tc>
          <w:tcPr>
            <w:tcW w:w="2079" w:type="dxa"/>
            <w:shd w:val="clear" w:color="auto" w:fill="F2F2F2" w:themeFill="background1" w:themeFillShade="F2"/>
            <w:noWrap/>
            <w:vAlign w:val="bottom"/>
            <w:hideMark/>
          </w:tcPr>
          <w:p w14:paraId="71E48231" w14:textId="411C8A0F"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w:t>
            </w:r>
          </w:p>
        </w:tc>
        <w:tc>
          <w:tcPr>
            <w:tcW w:w="2417" w:type="dxa"/>
            <w:shd w:val="clear" w:color="auto" w:fill="F2F2F2" w:themeFill="background1" w:themeFillShade="F2"/>
            <w:noWrap/>
            <w:vAlign w:val="bottom"/>
            <w:hideMark/>
          </w:tcPr>
          <w:p w14:paraId="66638902" w14:textId="52CE2BFD"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2</w:t>
            </w:r>
            <w:r w:rsidR="00777542" w:rsidRPr="00E413A3">
              <w:rPr>
                <w:rFonts w:cs="Arial"/>
                <w:color w:val="000000"/>
                <w:sz w:val="22"/>
                <w:szCs w:val="22"/>
              </w:rPr>
              <w:t>%</w:t>
            </w:r>
          </w:p>
        </w:tc>
      </w:tr>
      <w:tr w:rsidR="00D4708E" w:rsidRPr="00777542" w14:paraId="5B253665" w14:textId="77777777" w:rsidTr="00B31437">
        <w:trPr>
          <w:trHeight w:val="298"/>
        </w:trPr>
        <w:tc>
          <w:tcPr>
            <w:tcW w:w="4108" w:type="dxa"/>
            <w:shd w:val="clear" w:color="auto" w:fill="EDF5D7" w:themeFill="accent5" w:themeFillTint="33"/>
            <w:noWrap/>
            <w:hideMark/>
          </w:tcPr>
          <w:p w14:paraId="7F8D29A6"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 6</w:t>
            </w:r>
          </w:p>
        </w:tc>
        <w:tc>
          <w:tcPr>
            <w:tcW w:w="2079" w:type="dxa"/>
            <w:shd w:val="clear" w:color="auto" w:fill="EDF5D7" w:themeFill="accent5" w:themeFillTint="33"/>
            <w:noWrap/>
            <w:vAlign w:val="bottom"/>
            <w:hideMark/>
          </w:tcPr>
          <w:p w14:paraId="6583AF2D" w14:textId="53F1B402"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31</w:t>
            </w:r>
          </w:p>
        </w:tc>
        <w:tc>
          <w:tcPr>
            <w:tcW w:w="2417" w:type="dxa"/>
            <w:shd w:val="clear" w:color="auto" w:fill="EDF5D7" w:themeFill="accent5" w:themeFillTint="33"/>
            <w:noWrap/>
            <w:vAlign w:val="bottom"/>
            <w:hideMark/>
          </w:tcPr>
          <w:p w14:paraId="07E44484" w14:textId="0A00E54C"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17</w:t>
            </w:r>
            <w:r w:rsidR="00777542" w:rsidRPr="00E413A3">
              <w:rPr>
                <w:rFonts w:cs="Arial"/>
                <w:color w:val="000000"/>
                <w:sz w:val="22"/>
                <w:szCs w:val="22"/>
              </w:rPr>
              <w:t>%</w:t>
            </w:r>
          </w:p>
        </w:tc>
      </w:tr>
      <w:tr w:rsidR="00D4708E" w:rsidRPr="00777542" w14:paraId="5CF386E5" w14:textId="77777777" w:rsidTr="00B31437">
        <w:trPr>
          <w:trHeight w:val="298"/>
        </w:trPr>
        <w:tc>
          <w:tcPr>
            <w:tcW w:w="4108" w:type="dxa"/>
            <w:shd w:val="clear" w:color="auto" w:fill="F2F2F2" w:themeFill="background1" w:themeFillShade="F2"/>
            <w:noWrap/>
            <w:hideMark/>
          </w:tcPr>
          <w:p w14:paraId="3DA4B49B"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3</w:t>
            </w:r>
          </w:p>
        </w:tc>
        <w:tc>
          <w:tcPr>
            <w:tcW w:w="2079" w:type="dxa"/>
            <w:shd w:val="clear" w:color="auto" w:fill="F2F2F2" w:themeFill="background1" w:themeFillShade="F2"/>
            <w:noWrap/>
            <w:vAlign w:val="bottom"/>
            <w:hideMark/>
          </w:tcPr>
          <w:p w14:paraId="72B17812" w14:textId="67B126A0"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6</w:t>
            </w:r>
          </w:p>
        </w:tc>
        <w:tc>
          <w:tcPr>
            <w:tcW w:w="2417" w:type="dxa"/>
            <w:shd w:val="clear" w:color="auto" w:fill="F2F2F2" w:themeFill="background1" w:themeFillShade="F2"/>
            <w:noWrap/>
            <w:vAlign w:val="bottom"/>
            <w:hideMark/>
          </w:tcPr>
          <w:p w14:paraId="1D583B9C" w14:textId="7D3A04B1"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w:t>
            </w:r>
            <w:r w:rsidR="00777542" w:rsidRPr="00E413A3">
              <w:rPr>
                <w:rFonts w:cs="Arial"/>
                <w:color w:val="000000"/>
                <w:sz w:val="22"/>
                <w:szCs w:val="22"/>
              </w:rPr>
              <w:t>%</w:t>
            </w:r>
          </w:p>
        </w:tc>
      </w:tr>
      <w:tr w:rsidR="00D4708E" w:rsidRPr="00777542" w14:paraId="5010BB2C" w14:textId="77777777" w:rsidTr="00B31437">
        <w:trPr>
          <w:trHeight w:val="298"/>
        </w:trPr>
        <w:tc>
          <w:tcPr>
            <w:tcW w:w="4108" w:type="dxa"/>
            <w:shd w:val="clear" w:color="auto" w:fill="F2F2F2" w:themeFill="background1" w:themeFillShade="F2"/>
            <w:noWrap/>
            <w:hideMark/>
          </w:tcPr>
          <w:p w14:paraId="058AD40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4</w:t>
            </w:r>
          </w:p>
        </w:tc>
        <w:tc>
          <w:tcPr>
            <w:tcW w:w="2079" w:type="dxa"/>
            <w:shd w:val="clear" w:color="auto" w:fill="F2F2F2" w:themeFill="background1" w:themeFillShade="F2"/>
            <w:noWrap/>
            <w:vAlign w:val="bottom"/>
            <w:hideMark/>
          </w:tcPr>
          <w:p w14:paraId="39F4423E" w14:textId="779692FD"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8</w:t>
            </w:r>
          </w:p>
        </w:tc>
        <w:tc>
          <w:tcPr>
            <w:tcW w:w="2417" w:type="dxa"/>
            <w:shd w:val="clear" w:color="auto" w:fill="F2F2F2" w:themeFill="background1" w:themeFillShade="F2"/>
            <w:noWrap/>
            <w:vAlign w:val="bottom"/>
            <w:hideMark/>
          </w:tcPr>
          <w:p w14:paraId="6A9E257A" w14:textId="08CA68CD"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4%</w:t>
            </w:r>
          </w:p>
        </w:tc>
      </w:tr>
      <w:tr w:rsidR="00D4708E" w:rsidRPr="00777542" w14:paraId="4E333137" w14:textId="77777777" w:rsidTr="00B31437">
        <w:trPr>
          <w:trHeight w:val="298"/>
        </w:trPr>
        <w:tc>
          <w:tcPr>
            <w:tcW w:w="4108" w:type="dxa"/>
            <w:shd w:val="clear" w:color="auto" w:fill="F2F2F2" w:themeFill="background1" w:themeFillShade="F2"/>
            <w:noWrap/>
            <w:hideMark/>
          </w:tcPr>
          <w:p w14:paraId="2CE95882"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5</w:t>
            </w:r>
          </w:p>
        </w:tc>
        <w:tc>
          <w:tcPr>
            <w:tcW w:w="2079" w:type="dxa"/>
            <w:shd w:val="clear" w:color="auto" w:fill="F2F2F2" w:themeFill="background1" w:themeFillShade="F2"/>
            <w:noWrap/>
            <w:vAlign w:val="bottom"/>
            <w:hideMark/>
          </w:tcPr>
          <w:p w14:paraId="0EF53EAF" w14:textId="5802F4AA"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1</w:t>
            </w:r>
          </w:p>
        </w:tc>
        <w:tc>
          <w:tcPr>
            <w:tcW w:w="2417" w:type="dxa"/>
            <w:shd w:val="clear" w:color="auto" w:fill="F2F2F2" w:themeFill="background1" w:themeFillShade="F2"/>
            <w:noWrap/>
            <w:vAlign w:val="bottom"/>
            <w:hideMark/>
          </w:tcPr>
          <w:p w14:paraId="71726FAD" w14:textId="00E52B92"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1%</w:t>
            </w:r>
          </w:p>
        </w:tc>
      </w:tr>
      <w:tr w:rsidR="00D4708E" w:rsidRPr="00777542" w14:paraId="39F69174" w14:textId="77777777" w:rsidTr="00B31437">
        <w:trPr>
          <w:trHeight w:val="298"/>
        </w:trPr>
        <w:tc>
          <w:tcPr>
            <w:tcW w:w="4108" w:type="dxa"/>
            <w:shd w:val="clear" w:color="auto" w:fill="F2F2F2" w:themeFill="background1" w:themeFillShade="F2"/>
            <w:noWrap/>
            <w:hideMark/>
          </w:tcPr>
          <w:p w14:paraId="1CF3DE14"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and 6</w:t>
            </w:r>
          </w:p>
        </w:tc>
        <w:tc>
          <w:tcPr>
            <w:tcW w:w="2079" w:type="dxa"/>
            <w:shd w:val="clear" w:color="auto" w:fill="F2F2F2" w:themeFill="background1" w:themeFillShade="F2"/>
            <w:noWrap/>
            <w:vAlign w:val="bottom"/>
            <w:hideMark/>
          </w:tcPr>
          <w:p w14:paraId="529B6999" w14:textId="1389B2C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4</w:t>
            </w:r>
          </w:p>
        </w:tc>
        <w:tc>
          <w:tcPr>
            <w:tcW w:w="2417" w:type="dxa"/>
            <w:shd w:val="clear" w:color="auto" w:fill="F2F2F2" w:themeFill="background1" w:themeFillShade="F2"/>
            <w:noWrap/>
            <w:vAlign w:val="bottom"/>
            <w:hideMark/>
          </w:tcPr>
          <w:p w14:paraId="2F2F0599" w14:textId="2CB56ED5"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2</w:t>
            </w:r>
            <w:r w:rsidR="00777542" w:rsidRPr="00E413A3">
              <w:rPr>
                <w:rFonts w:cs="Arial"/>
                <w:color w:val="000000"/>
                <w:sz w:val="22"/>
                <w:szCs w:val="22"/>
              </w:rPr>
              <w:t>%</w:t>
            </w:r>
          </w:p>
        </w:tc>
      </w:tr>
      <w:tr w:rsidR="00D4708E" w:rsidRPr="00777542" w14:paraId="250BF58E" w14:textId="77777777" w:rsidTr="00B31437">
        <w:trPr>
          <w:trHeight w:val="298"/>
        </w:trPr>
        <w:tc>
          <w:tcPr>
            <w:tcW w:w="4108" w:type="dxa"/>
            <w:shd w:val="clear" w:color="auto" w:fill="F2F2F2" w:themeFill="background1" w:themeFillShade="F2"/>
            <w:noWrap/>
            <w:hideMark/>
          </w:tcPr>
          <w:p w14:paraId="4336E4EF"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3 and 5</w:t>
            </w:r>
          </w:p>
        </w:tc>
        <w:tc>
          <w:tcPr>
            <w:tcW w:w="2079" w:type="dxa"/>
            <w:shd w:val="clear" w:color="auto" w:fill="F2F2F2" w:themeFill="background1" w:themeFillShade="F2"/>
            <w:noWrap/>
            <w:vAlign w:val="bottom"/>
            <w:hideMark/>
          </w:tcPr>
          <w:p w14:paraId="2BF97DD7" w14:textId="396C1CA0"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5</w:t>
            </w:r>
          </w:p>
        </w:tc>
        <w:tc>
          <w:tcPr>
            <w:tcW w:w="2417" w:type="dxa"/>
            <w:shd w:val="clear" w:color="auto" w:fill="F2F2F2" w:themeFill="background1" w:themeFillShade="F2"/>
            <w:noWrap/>
            <w:vAlign w:val="bottom"/>
            <w:hideMark/>
          </w:tcPr>
          <w:p w14:paraId="1D5D72DB" w14:textId="3A7AEC81"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w:t>
            </w:r>
            <w:r w:rsidR="00777542" w:rsidRPr="00E413A3">
              <w:rPr>
                <w:rFonts w:cs="Arial"/>
                <w:color w:val="000000"/>
                <w:sz w:val="22"/>
                <w:szCs w:val="22"/>
              </w:rPr>
              <w:t>%</w:t>
            </w:r>
          </w:p>
        </w:tc>
      </w:tr>
      <w:tr w:rsidR="00D4708E" w:rsidRPr="00777542" w14:paraId="2A884526" w14:textId="77777777" w:rsidTr="00B31437">
        <w:trPr>
          <w:trHeight w:val="298"/>
        </w:trPr>
        <w:tc>
          <w:tcPr>
            <w:tcW w:w="4108" w:type="dxa"/>
            <w:shd w:val="clear" w:color="auto" w:fill="F2F2F2" w:themeFill="background1" w:themeFillShade="F2"/>
            <w:noWrap/>
            <w:hideMark/>
          </w:tcPr>
          <w:p w14:paraId="56D812B0"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3 and 6</w:t>
            </w:r>
          </w:p>
        </w:tc>
        <w:tc>
          <w:tcPr>
            <w:tcW w:w="2079" w:type="dxa"/>
            <w:shd w:val="clear" w:color="auto" w:fill="F2F2F2" w:themeFill="background1" w:themeFillShade="F2"/>
            <w:noWrap/>
            <w:vAlign w:val="bottom"/>
            <w:hideMark/>
          </w:tcPr>
          <w:p w14:paraId="3A51DC6E" w14:textId="7C070613"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4</w:t>
            </w:r>
          </w:p>
        </w:tc>
        <w:tc>
          <w:tcPr>
            <w:tcW w:w="2417" w:type="dxa"/>
            <w:shd w:val="clear" w:color="auto" w:fill="F2F2F2" w:themeFill="background1" w:themeFillShade="F2"/>
            <w:noWrap/>
            <w:vAlign w:val="bottom"/>
            <w:hideMark/>
          </w:tcPr>
          <w:p w14:paraId="7182306A" w14:textId="560E5C24"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2%</w:t>
            </w:r>
          </w:p>
        </w:tc>
      </w:tr>
      <w:tr w:rsidR="00D4708E" w:rsidRPr="00777542" w14:paraId="4B8769E7" w14:textId="77777777" w:rsidTr="00B31437">
        <w:trPr>
          <w:trHeight w:val="298"/>
        </w:trPr>
        <w:tc>
          <w:tcPr>
            <w:tcW w:w="4108" w:type="dxa"/>
            <w:shd w:val="clear" w:color="auto" w:fill="F2F2F2" w:themeFill="background1" w:themeFillShade="F2"/>
            <w:noWrap/>
            <w:hideMark/>
          </w:tcPr>
          <w:p w14:paraId="48D19959"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4 and 5</w:t>
            </w:r>
          </w:p>
        </w:tc>
        <w:tc>
          <w:tcPr>
            <w:tcW w:w="2079" w:type="dxa"/>
            <w:shd w:val="clear" w:color="auto" w:fill="F2F2F2" w:themeFill="background1" w:themeFillShade="F2"/>
            <w:noWrap/>
            <w:vAlign w:val="bottom"/>
            <w:hideMark/>
          </w:tcPr>
          <w:p w14:paraId="2BF4BD4E" w14:textId="7464F47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w:t>
            </w:r>
          </w:p>
        </w:tc>
        <w:tc>
          <w:tcPr>
            <w:tcW w:w="2417" w:type="dxa"/>
            <w:shd w:val="clear" w:color="auto" w:fill="F2F2F2" w:themeFill="background1" w:themeFillShade="F2"/>
            <w:noWrap/>
            <w:vAlign w:val="bottom"/>
            <w:hideMark/>
          </w:tcPr>
          <w:p w14:paraId="670F283C" w14:textId="165E2B56"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2</w:t>
            </w:r>
            <w:r w:rsidR="00777542" w:rsidRPr="00E413A3">
              <w:rPr>
                <w:rFonts w:cs="Arial"/>
                <w:color w:val="000000"/>
                <w:sz w:val="22"/>
                <w:szCs w:val="22"/>
              </w:rPr>
              <w:t>%</w:t>
            </w:r>
          </w:p>
        </w:tc>
      </w:tr>
      <w:tr w:rsidR="00D4708E" w:rsidRPr="00777542" w14:paraId="5B473953" w14:textId="77777777" w:rsidTr="00B31437">
        <w:trPr>
          <w:trHeight w:val="298"/>
        </w:trPr>
        <w:tc>
          <w:tcPr>
            <w:tcW w:w="4108" w:type="dxa"/>
            <w:shd w:val="clear" w:color="auto" w:fill="EDF5D7" w:themeFill="accent5" w:themeFillTint="33"/>
            <w:noWrap/>
            <w:hideMark/>
          </w:tcPr>
          <w:p w14:paraId="24F6902C"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4 and 6</w:t>
            </w:r>
          </w:p>
        </w:tc>
        <w:tc>
          <w:tcPr>
            <w:tcW w:w="2079" w:type="dxa"/>
            <w:shd w:val="clear" w:color="auto" w:fill="EDF5D7" w:themeFill="accent5" w:themeFillTint="33"/>
            <w:noWrap/>
            <w:vAlign w:val="bottom"/>
            <w:hideMark/>
          </w:tcPr>
          <w:p w14:paraId="2205A5E1" w14:textId="6CBF6A7C"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22</w:t>
            </w:r>
          </w:p>
        </w:tc>
        <w:tc>
          <w:tcPr>
            <w:tcW w:w="2417" w:type="dxa"/>
            <w:shd w:val="clear" w:color="auto" w:fill="EDF5D7" w:themeFill="accent5" w:themeFillTint="33"/>
            <w:noWrap/>
            <w:vAlign w:val="bottom"/>
            <w:hideMark/>
          </w:tcPr>
          <w:p w14:paraId="4DB95D90" w14:textId="6C9082B8"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12</w:t>
            </w:r>
            <w:r w:rsidR="00777542" w:rsidRPr="00E413A3">
              <w:rPr>
                <w:rFonts w:cs="Arial"/>
                <w:color w:val="000000"/>
                <w:sz w:val="22"/>
                <w:szCs w:val="22"/>
              </w:rPr>
              <w:t>%</w:t>
            </w:r>
          </w:p>
        </w:tc>
      </w:tr>
      <w:tr w:rsidR="00D4708E" w:rsidRPr="00777542" w14:paraId="2D416C51" w14:textId="77777777" w:rsidTr="00B31437">
        <w:trPr>
          <w:trHeight w:val="298"/>
        </w:trPr>
        <w:tc>
          <w:tcPr>
            <w:tcW w:w="4108" w:type="dxa"/>
            <w:shd w:val="clear" w:color="auto" w:fill="F2F2F2" w:themeFill="background1" w:themeFillShade="F2"/>
            <w:noWrap/>
            <w:hideMark/>
          </w:tcPr>
          <w:p w14:paraId="566F0117"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5 and 6</w:t>
            </w:r>
          </w:p>
        </w:tc>
        <w:tc>
          <w:tcPr>
            <w:tcW w:w="2079" w:type="dxa"/>
            <w:shd w:val="clear" w:color="auto" w:fill="F2F2F2" w:themeFill="background1" w:themeFillShade="F2"/>
            <w:noWrap/>
            <w:vAlign w:val="bottom"/>
            <w:hideMark/>
          </w:tcPr>
          <w:p w14:paraId="7B89A452" w14:textId="68F743B9"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6</w:t>
            </w:r>
          </w:p>
        </w:tc>
        <w:tc>
          <w:tcPr>
            <w:tcW w:w="2417" w:type="dxa"/>
            <w:shd w:val="clear" w:color="auto" w:fill="F2F2F2" w:themeFill="background1" w:themeFillShade="F2"/>
            <w:noWrap/>
            <w:vAlign w:val="bottom"/>
            <w:hideMark/>
          </w:tcPr>
          <w:p w14:paraId="6A71DD3D" w14:textId="76AAECD1"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w:t>
            </w:r>
            <w:r w:rsidR="00777542" w:rsidRPr="00E413A3">
              <w:rPr>
                <w:rFonts w:cs="Arial"/>
                <w:color w:val="000000"/>
                <w:sz w:val="22"/>
                <w:szCs w:val="22"/>
              </w:rPr>
              <w:t>%</w:t>
            </w:r>
          </w:p>
        </w:tc>
      </w:tr>
      <w:tr w:rsidR="00D4708E" w:rsidRPr="00777542" w14:paraId="1B133B76" w14:textId="77777777" w:rsidTr="00B31437">
        <w:trPr>
          <w:trHeight w:val="298"/>
        </w:trPr>
        <w:tc>
          <w:tcPr>
            <w:tcW w:w="4108" w:type="dxa"/>
            <w:shd w:val="clear" w:color="auto" w:fill="F2F2F2" w:themeFill="background1" w:themeFillShade="F2"/>
            <w:noWrap/>
            <w:hideMark/>
          </w:tcPr>
          <w:p w14:paraId="41E51C45"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3 and 5</w:t>
            </w:r>
          </w:p>
        </w:tc>
        <w:tc>
          <w:tcPr>
            <w:tcW w:w="2079" w:type="dxa"/>
            <w:shd w:val="clear" w:color="auto" w:fill="F2F2F2" w:themeFill="background1" w:themeFillShade="F2"/>
            <w:noWrap/>
            <w:vAlign w:val="bottom"/>
            <w:hideMark/>
          </w:tcPr>
          <w:p w14:paraId="0D7A496D" w14:textId="7BA1FDF1"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1</w:t>
            </w:r>
          </w:p>
        </w:tc>
        <w:tc>
          <w:tcPr>
            <w:tcW w:w="2417" w:type="dxa"/>
            <w:shd w:val="clear" w:color="auto" w:fill="F2F2F2" w:themeFill="background1" w:themeFillShade="F2"/>
            <w:noWrap/>
            <w:vAlign w:val="bottom"/>
            <w:hideMark/>
          </w:tcPr>
          <w:p w14:paraId="275FA394" w14:textId="34B4FB83"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1%</w:t>
            </w:r>
          </w:p>
        </w:tc>
      </w:tr>
      <w:tr w:rsidR="00D4708E" w:rsidRPr="00777542" w14:paraId="0BB772E5" w14:textId="77777777" w:rsidTr="00B31437">
        <w:trPr>
          <w:trHeight w:val="298"/>
        </w:trPr>
        <w:tc>
          <w:tcPr>
            <w:tcW w:w="4108" w:type="dxa"/>
            <w:shd w:val="clear" w:color="auto" w:fill="F2F2F2" w:themeFill="background1" w:themeFillShade="F2"/>
            <w:noWrap/>
            <w:hideMark/>
          </w:tcPr>
          <w:p w14:paraId="4BDCD769"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3 and 6</w:t>
            </w:r>
          </w:p>
        </w:tc>
        <w:tc>
          <w:tcPr>
            <w:tcW w:w="2079" w:type="dxa"/>
            <w:shd w:val="clear" w:color="auto" w:fill="F2F2F2" w:themeFill="background1" w:themeFillShade="F2"/>
            <w:noWrap/>
            <w:vAlign w:val="bottom"/>
            <w:hideMark/>
          </w:tcPr>
          <w:p w14:paraId="7240C42A" w14:textId="0AE7C2E8"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4</w:t>
            </w:r>
          </w:p>
        </w:tc>
        <w:tc>
          <w:tcPr>
            <w:tcW w:w="2417" w:type="dxa"/>
            <w:shd w:val="clear" w:color="auto" w:fill="F2F2F2" w:themeFill="background1" w:themeFillShade="F2"/>
            <w:noWrap/>
            <w:vAlign w:val="bottom"/>
            <w:hideMark/>
          </w:tcPr>
          <w:p w14:paraId="39B2641D" w14:textId="6F3AD189"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2%</w:t>
            </w:r>
          </w:p>
        </w:tc>
      </w:tr>
      <w:tr w:rsidR="00D4708E" w:rsidRPr="00777542" w14:paraId="48DEE722" w14:textId="77777777" w:rsidTr="00B31437">
        <w:trPr>
          <w:trHeight w:val="298"/>
        </w:trPr>
        <w:tc>
          <w:tcPr>
            <w:tcW w:w="4108" w:type="dxa"/>
            <w:shd w:val="clear" w:color="auto" w:fill="F2F2F2" w:themeFill="background1" w:themeFillShade="F2"/>
            <w:noWrap/>
            <w:hideMark/>
          </w:tcPr>
          <w:p w14:paraId="17BF842D"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lastRenderedPageBreak/>
              <w:t>Options 2, 4 and 5</w:t>
            </w:r>
          </w:p>
        </w:tc>
        <w:tc>
          <w:tcPr>
            <w:tcW w:w="2079" w:type="dxa"/>
            <w:shd w:val="clear" w:color="auto" w:fill="F2F2F2" w:themeFill="background1" w:themeFillShade="F2"/>
            <w:noWrap/>
            <w:vAlign w:val="bottom"/>
            <w:hideMark/>
          </w:tcPr>
          <w:p w14:paraId="293E62AE" w14:textId="1CF173B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5</w:t>
            </w:r>
          </w:p>
        </w:tc>
        <w:tc>
          <w:tcPr>
            <w:tcW w:w="2417" w:type="dxa"/>
            <w:shd w:val="clear" w:color="auto" w:fill="F2F2F2" w:themeFill="background1" w:themeFillShade="F2"/>
            <w:noWrap/>
            <w:vAlign w:val="bottom"/>
            <w:hideMark/>
          </w:tcPr>
          <w:p w14:paraId="595C66C1" w14:textId="4CBE2EF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w:t>
            </w:r>
            <w:r w:rsidR="00777542" w:rsidRPr="00E413A3">
              <w:rPr>
                <w:rFonts w:cs="Arial"/>
                <w:color w:val="000000"/>
                <w:sz w:val="22"/>
                <w:szCs w:val="22"/>
              </w:rPr>
              <w:t>%</w:t>
            </w:r>
          </w:p>
        </w:tc>
      </w:tr>
      <w:tr w:rsidR="00D4708E" w:rsidRPr="00777542" w14:paraId="3EDDE35D" w14:textId="77777777" w:rsidTr="00B31437">
        <w:trPr>
          <w:trHeight w:val="298"/>
        </w:trPr>
        <w:tc>
          <w:tcPr>
            <w:tcW w:w="4108" w:type="dxa"/>
            <w:shd w:val="clear" w:color="auto" w:fill="F2F2F2" w:themeFill="background1" w:themeFillShade="F2"/>
            <w:noWrap/>
            <w:hideMark/>
          </w:tcPr>
          <w:p w14:paraId="2A55E835"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4 and 6</w:t>
            </w:r>
          </w:p>
        </w:tc>
        <w:tc>
          <w:tcPr>
            <w:tcW w:w="2079" w:type="dxa"/>
            <w:shd w:val="clear" w:color="auto" w:fill="F2F2F2" w:themeFill="background1" w:themeFillShade="F2"/>
            <w:noWrap/>
            <w:vAlign w:val="bottom"/>
            <w:hideMark/>
          </w:tcPr>
          <w:p w14:paraId="3CB9FF76" w14:textId="7515D3B2"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6</w:t>
            </w:r>
          </w:p>
        </w:tc>
        <w:tc>
          <w:tcPr>
            <w:tcW w:w="2417" w:type="dxa"/>
            <w:shd w:val="clear" w:color="auto" w:fill="F2F2F2" w:themeFill="background1" w:themeFillShade="F2"/>
            <w:noWrap/>
            <w:vAlign w:val="bottom"/>
            <w:hideMark/>
          </w:tcPr>
          <w:p w14:paraId="468A3346" w14:textId="504EE855"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3</w:t>
            </w:r>
            <w:r w:rsidR="00777542" w:rsidRPr="00E413A3">
              <w:rPr>
                <w:rFonts w:cs="Arial"/>
                <w:color w:val="000000"/>
                <w:sz w:val="22"/>
                <w:szCs w:val="22"/>
              </w:rPr>
              <w:t>%</w:t>
            </w:r>
          </w:p>
        </w:tc>
      </w:tr>
      <w:tr w:rsidR="00D4708E" w:rsidRPr="00777542" w14:paraId="5DBDBD1F" w14:textId="77777777" w:rsidTr="00B31437">
        <w:trPr>
          <w:trHeight w:val="298"/>
        </w:trPr>
        <w:tc>
          <w:tcPr>
            <w:tcW w:w="4108" w:type="dxa"/>
            <w:shd w:val="clear" w:color="auto" w:fill="F2F2F2" w:themeFill="background1" w:themeFillShade="F2"/>
            <w:noWrap/>
            <w:hideMark/>
          </w:tcPr>
          <w:p w14:paraId="616845F1"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5 and 6</w:t>
            </w:r>
          </w:p>
        </w:tc>
        <w:tc>
          <w:tcPr>
            <w:tcW w:w="2079" w:type="dxa"/>
            <w:shd w:val="clear" w:color="auto" w:fill="F2F2F2" w:themeFill="background1" w:themeFillShade="F2"/>
            <w:noWrap/>
            <w:vAlign w:val="bottom"/>
            <w:hideMark/>
          </w:tcPr>
          <w:p w14:paraId="7850229D" w14:textId="25FFB583"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13</w:t>
            </w:r>
          </w:p>
        </w:tc>
        <w:tc>
          <w:tcPr>
            <w:tcW w:w="2417" w:type="dxa"/>
            <w:shd w:val="clear" w:color="auto" w:fill="F2F2F2" w:themeFill="background1" w:themeFillShade="F2"/>
            <w:noWrap/>
            <w:vAlign w:val="bottom"/>
            <w:hideMark/>
          </w:tcPr>
          <w:p w14:paraId="354CC8BD" w14:textId="6C8493D4"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7</w:t>
            </w:r>
            <w:r w:rsidR="00777542" w:rsidRPr="00E413A3">
              <w:rPr>
                <w:rFonts w:cs="Arial"/>
                <w:color w:val="000000"/>
                <w:sz w:val="22"/>
                <w:szCs w:val="22"/>
              </w:rPr>
              <w:t>%</w:t>
            </w:r>
          </w:p>
        </w:tc>
      </w:tr>
      <w:tr w:rsidR="00D4708E" w:rsidRPr="00777542" w14:paraId="44C7D012" w14:textId="77777777" w:rsidTr="00B31437">
        <w:trPr>
          <w:trHeight w:val="298"/>
        </w:trPr>
        <w:tc>
          <w:tcPr>
            <w:tcW w:w="4108" w:type="dxa"/>
            <w:shd w:val="clear" w:color="auto" w:fill="F2F2F2" w:themeFill="background1" w:themeFillShade="F2"/>
            <w:noWrap/>
            <w:hideMark/>
          </w:tcPr>
          <w:p w14:paraId="530D2C85"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3, 5 and 6</w:t>
            </w:r>
          </w:p>
        </w:tc>
        <w:tc>
          <w:tcPr>
            <w:tcW w:w="2079" w:type="dxa"/>
            <w:shd w:val="clear" w:color="auto" w:fill="F2F2F2" w:themeFill="background1" w:themeFillShade="F2"/>
            <w:noWrap/>
            <w:vAlign w:val="bottom"/>
            <w:hideMark/>
          </w:tcPr>
          <w:p w14:paraId="3B71D77D" w14:textId="5D585E94"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2</w:t>
            </w:r>
          </w:p>
        </w:tc>
        <w:tc>
          <w:tcPr>
            <w:tcW w:w="2417" w:type="dxa"/>
            <w:shd w:val="clear" w:color="auto" w:fill="F2F2F2" w:themeFill="background1" w:themeFillShade="F2"/>
            <w:noWrap/>
            <w:vAlign w:val="bottom"/>
            <w:hideMark/>
          </w:tcPr>
          <w:p w14:paraId="1964A2D7" w14:textId="54647CD5"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1%</w:t>
            </w:r>
          </w:p>
        </w:tc>
      </w:tr>
      <w:tr w:rsidR="00D4708E" w:rsidRPr="00777542" w14:paraId="3D015801" w14:textId="77777777" w:rsidTr="00B31437">
        <w:trPr>
          <w:trHeight w:val="298"/>
        </w:trPr>
        <w:tc>
          <w:tcPr>
            <w:tcW w:w="4108" w:type="dxa"/>
            <w:shd w:val="clear" w:color="auto" w:fill="F2F2F2" w:themeFill="background1" w:themeFillShade="F2"/>
            <w:noWrap/>
            <w:hideMark/>
          </w:tcPr>
          <w:p w14:paraId="408624B2"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4, 5 and 6</w:t>
            </w:r>
          </w:p>
        </w:tc>
        <w:tc>
          <w:tcPr>
            <w:tcW w:w="2079" w:type="dxa"/>
            <w:shd w:val="clear" w:color="auto" w:fill="F2F2F2" w:themeFill="background1" w:themeFillShade="F2"/>
            <w:noWrap/>
            <w:vAlign w:val="bottom"/>
            <w:hideMark/>
          </w:tcPr>
          <w:p w14:paraId="753A988D" w14:textId="174CF468"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8</w:t>
            </w:r>
          </w:p>
        </w:tc>
        <w:tc>
          <w:tcPr>
            <w:tcW w:w="2417" w:type="dxa"/>
            <w:shd w:val="clear" w:color="auto" w:fill="F2F2F2" w:themeFill="background1" w:themeFillShade="F2"/>
            <w:noWrap/>
            <w:vAlign w:val="bottom"/>
            <w:hideMark/>
          </w:tcPr>
          <w:p w14:paraId="63FB5BE5" w14:textId="4DE5789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4</w:t>
            </w:r>
            <w:r w:rsidR="00777542" w:rsidRPr="00E413A3">
              <w:rPr>
                <w:rFonts w:cs="Arial"/>
                <w:color w:val="000000"/>
                <w:sz w:val="22"/>
                <w:szCs w:val="22"/>
              </w:rPr>
              <w:t>%</w:t>
            </w:r>
          </w:p>
        </w:tc>
      </w:tr>
      <w:tr w:rsidR="00D4708E" w:rsidRPr="00777542" w14:paraId="4D014AB3" w14:textId="77777777" w:rsidTr="00B31437">
        <w:trPr>
          <w:trHeight w:val="298"/>
        </w:trPr>
        <w:tc>
          <w:tcPr>
            <w:tcW w:w="4108" w:type="dxa"/>
            <w:shd w:val="clear" w:color="auto" w:fill="F2F2F2" w:themeFill="background1" w:themeFillShade="F2"/>
            <w:noWrap/>
            <w:hideMark/>
          </w:tcPr>
          <w:p w14:paraId="7799E2D8"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 xml:space="preserve">Options 2, 3, 5 and 6 </w:t>
            </w:r>
          </w:p>
        </w:tc>
        <w:tc>
          <w:tcPr>
            <w:tcW w:w="2079" w:type="dxa"/>
            <w:shd w:val="clear" w:color="auto" w:fill="F2F2F2" w:themeFill="background1" w:themeFillShade="F2"/>
            <w:noWrap/>
            <w:vAlign w:val="bottom"/>
            <w:hideMark/>
          </w:tcPr>
          <w:p w14:paraId="65A0796B" w14:textId="6E6A2E25"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4</w:t>
            </w:r>
          </w:p>
        </w:tc>
        <w:tc>
          <w:tcPr>
            <w:tcW w:w="2417" w:type="dxa"/>
            <w:shd w:val="clear" w:color="auto" w:fill="F2F2F2" w:themeFill="background1" w:themeFillShade="F2"/>
            <w:noWrap/>
            <w:vAlign w:val="bottom"/>
            <w:hideMark/>
          </w:tcPr>
          <w:p w14:paraId="585EEEF0" w14:textId="16824397" w:rsidR="00777542" w:rsidRPr="00E413A3" w:rsidRDefault="00777542">
            <w:pPr>
              <w:spacing w:after="0" w:line="240" w:lineRule="auto"/>
              <w:jc w:val="right"/>
              <w:rPr>
                <w:rFonts w:eastAsia="Times New Roman" w:cs="Arial"/>
                <w:color w:val="000000"/>
                <w:sz w:val="22"/>
                <w:szCs w:val="22"/>
                <w:lang w:eastAsia="en-AU"/>
              </w:rPr>
            </w:pPr>
            <w:r w:rsidRPr="00E413A3">
              <w:rPr>
                <w:rFonts w:cs="Arial"/>
                <w:color w:val="000000"/>
                <w:sz w:val="22"/>
                <w:szCs w:val="22"/>
              </w:rPr>
              <w:t>2%</w:t>
            </w:r>
          </w:p>
        </w:tc>
      </w:tr>
      <w:tr w:rsidR="00D4708E" w:rsidRPr="00777542" w14:paraId="531C5591" w14:textId="77777777" w:rsidTr="00B31437">
        <w:trPr>
          <w:trHeight w:val="298"/>
        </w:trPr>
        <w:tc>
          <w:tcPr>
            <w:tcW w:w="4108" w:type="dxa"/>
            <w:shd w:val="clear" w:color="auto" w:fill="EDF5D7" w:themeFill="accent5" w:themeFillTint="33"/>
            <w:noWrap/>
            <w:hideMark/>
          </w:tcPr>
          <w:p w14:paraId="459B82E1" w14:textId="77777777" w:rsidR="00777542" w:rsidRPr="00E413A3" w:rsidRDefault="00777542">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Options 2, 4, 5 and 6</w:t>
            </w:r>
          </w:p>
        </w:tc>
        <w:tc>
          <w:tcPr>
            <w:tcW w:w="2079" w:type="dxa"/>
            <w:shd w:val="clear" w:color="auto" w:fill="EDF5D7" w:themeFill="accent5" w:themeFillTint="33"/>
            <w:noWrap/>
            <w:vAlign w:val="bottom"/>
            <w:hideMark/>
          </w:tcPr>
          <w:p w14:paraId="79F8C102" w14:textId="0D1B8B6A"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20</w:t>
            </w:r>
          </w:p>
        </w:tc>
        <w:tc>
          <w:tcPr>
            <w:tcW w:w="2417" w:type="dxa"/>
            <w:shd w:val="clear" w:color="auto" w:fill="EDF5D7" w:themeFill="accent5" w:themeFillTint="33"/>
            <w:noWrap/>
            <w:vAlign w:val="bottom"/>
            <w:hideMark/>
          </w:tcPr>
          <w:p w14:paraId="571170AC" w14:textId="05CFB1CB" w:rsidR="00777542" w:rsidRPr="00E413A3" w:rsidRDefault="001F24F1">
            <w:pPr>
              <w:spacing w:after="0" w:line="240" w:lineRule="auto"/>
              <w:jc w:val="right"/>
              <w:rPr>
                <w:rFonts w:eastAsia="Times New Roman" w:cs="Arial"/>
                <w:color w:val="000000"/>
                <w:sz w:val="22"/>
                <w:szCs w:val="22"/>
                <w:lang w:eastAsia="en-AU"/>
              </w:rPr>
            </w:pPr>
            <w:r w:rsidRPr="00E413A3">
              <w:rPr>
                <w:rFonts w:cs="Arial"/>
                <w:color w:val="000000"/>
                <w:sz w:val="22"/>
                <w:szCs w:val="22"/>
              </w:rPr>
              <w:t>11</w:t>
            </w:r>
            <w:r w:rsidR="00777542" w:rsidRPr="00E413A3">
              <w:rPr>
                <w:rFonts w:cs="Arial"/>
                <w:color w:val="000000"/>
                <w:sz w:val="22"/>
                <w:szCs w:val="22"/>
              </w:rPr>
              <w:t>%</w:t>
            </w:r>
          </w:p>
        </w:tc>
      </w:tr>
    </w:tbl>
    <w:p w14:paraId="010B88C7" w14:textId="5C2B6EB0" w:rsidR="00777542" w:rsidRPr="00B530C9" w:rsidRDefault="00777542" w:rsidP="00976C70">
      <w:pPr>
        <w:pStyle w:val="Source-CSR"/>
      </w:pPr>
      <w:r w:rsidRPr="00B530C9">
        <w:t xml:space="preserve">Source: Workforce survey, as of </w:t>
      </w:r>
      <w:r w:rsidR="00B4719A" w:rsidRPr="00636B94">
        <w:t>11</w:t>
      </w:r>
      <w:r w:rsidRPr="00636B94">
        <w:t xml:space="preserve"> June 2025, Q25, n=1</w:t>
      </w:r>
      <w:r w:rsidR="00B4719A" w:rsidRPr="00636B94">
        <w:t>86</w:t>
      </w:r>
      <w:r w:rsidRPr="00636B94">
        <w:t xml:space="preserve">. The three popular options or combination of options are highlighted in green. Note that if a respondent selected a combination of options, that selection is treated as a unique preference and not double-counted in the singular options. </w:t>
      </w:r>
      <w:r w:rsidR="00EC4E52" w:rsidRPr="00636B94">
        <w:t xml:space="preserve">Note that these percentages do not add to 100% due to rounding. </w:t>
      </w:r>
    </w:p>
    <w:p w14:paraId="328AD964" w14:textId="77777777" w:rsidR="00777542" w:rsidRPr="00777542" w:rsidRDefault="00777542" w:rsidP="00777542">
      <w:pPr>
        <w:rPr>
          <w:color w:val="808080" w:themeColor="background1" w:themeShade="80"/>
          <w:sz w:val="14"/>
          <w:szCs w:val="10"/>
          <w:highlight w:val="yellow"/>
        </w:rPr>
      </w:pPr>
    </w:p>
    <w:p w14:paraId="13C2936B" w14:textId="6B49FD11" w:rsidR="00777542" w:rsidRPr="007D5C96" w:rsidRDefault="00F43795" w:rsidP="00777542">
      <w:pPr>
        <w:pStyle w:val="CaptionChart"/>
        <w:numPr>
          <w:ilvl w:val="7"/>
          <w:numId w:val="0"/>
        </w:numPr>
      </w:pPr>
      <w:r>
        <w:t>Appendix Table 12.3.2.3</w:t>
      </w:r>
      <w:r w:rsidR="00777542" w:rsidRPr="005051C2">
        <w:t xml:space="preserve"> </w:t>
      </w:r>
      <w:bookmarkStart w:id="265" w:name="_Toc200656072"/>
      <w:bookmarkStart w:id="266" w:name="_Toc200657415"/>
      <w:r w:rsidR="00777542" w:rsidRPr="007D5C96">
        <w:t xml:space="preserve">Family, carer, and parent responses to “What is your </w:t>
      </w:r>
      <w:r w:rsidR="00B734E0">
        <w:t xml:space="preserve">preferred option or combination </w:t>
      </w:r>
      <w:r w:rsidR="00777542" w:rsidRPr="007D5C96">
        <w:t>of options?” – Recommendation 2.1</w:t>
      </w:r>
      <w:bookmarkEnd w:id="265"/>
      <w:bookmarkEnd w:id="266"/>
    </w:p>
    <w:tbl>
      <w:tblPr>
        <w:tblStyle w:val="Box1"/>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2039"/>
        <w:gridCol w:w="2387"/>
      </w:tblGrid>
      <w:tr w:rsidR="00756646" w:rsidRPr="007D5C96" w14:paraId="1D17C0F5" w14:textId="77777777" w:rsidTr="00492936">
        <w:trPr>
          <w:cnfStyle w:val="100000000000" w:firstRow="1" w:lastRow="0" w:firstColumn="0" w:lastColumn="0" w:oddVBand="0" w:evenVBand="0" w:oddHBand="0" w:evenHBand="0" w:firstRowFirstColumn="0" w:firstRowLastColumn="0" w:lastRowFirstColumn="0" w:lastRowLastColumn="0"/>
          <w:trHeight w:val="84"/>
        </w:trPr>
        <w:tc>
          <w:tcPr>
            <w:tcW w:w="3985" w:type="dxa"/>
            <w:noWrap/>
            <w:hideMark/>
          </w:tcPr>
          <w:p w14:paraId="2A9E36CB" w14:textId="5E4A3D55" w:rsidR="00777542" w:rsidRPr="00E413A3" w:rsidRDefault="00370AB1">
            <w:pPr>
              <w:spacing w:after="0" w:line="240" w:lineRule="auto"/>
              <w:jc w:val="right"/>
              <w:rPr>
                <w:rFonts w:eastAsia="Times New Roman" w:cs="Arial"/>
                <w:b/>
                <w:color w:val="000000"/>
                <w:sz w:val="22"/>
                <w:szCs w:val="22"/>
                <w:lang w:eastAsia="en-AU"/>
              </w:rPr>
            </w:pPr>
            <w:r>
              <w:rPr>
                <w:rFonts w:eastAsia="Times New Roman" w:cs="Arial"/>
                <w:b/>
                <w:color w:val="000000"/>
                <w:sz w:val="22"/>
                <w:szCs w:val="22"/>
                <w:lang w:eastAsia="en-AU"/>
              </w:rPr>
              <w:t xml:space="preserve">Preferred option or combination </w:t>
            </w:r>
            <w:r w:rsidR="00777542" w:rsidRPr="00E413A3">
              <w:rPr>
                <w:rFonts w:eastAsia="Times New Roman" w:cs="Arial"/>
                <w:b/>
                <w:color w:val="000000"/>
                <w:sz w:val="22"/>
                <w:szCs w:val="22"/>
                <w:lang w:eastAsia="en-AU"/>
              </w:rPr>
              <w:t>of options</w:t>
            </w:r>
          </w:p>
        </w:tc>
        <w:tc>
          <w:tcPr>
            <w:tcW w:w="2039" w:type="dxa"/>
            <w:noWrap/>
            <w:hideMark/>
          </w:tcPr>
          <w:p w14:paraId="12A8CD72" w14:textId="77777777" w:rsidR="00777542" w:rsidRPr="00E413A3" w:rsidRDefault="00777542">
            <w:pPr>
              <w:spacing w:after="0" w:line="240" w:lineRule="auto"/>
              <w:jc w:val="right"/>
              <w:rPr>
                <w:rFonts w:eastAsia="Times New Roman" w:cs="Arial"/>
                <w:b/>
                <w:color w:val="000000"/>
                <w:sz w:val="22"/>
                <w:szCs w:val="22"/>
                <w:lang w:eastAsia="en-AU"/>
              </w:rPr>
            </w:pPr>
            <w:r w:rsidRPr="00E413A3">
              <w:rPr>
                <w:rFonts w:eastAsia="Times New Roman" w:cs="Arial"/>
                <w:b/>
                <w:color w:val="000000"/>
                <w:sz w:val="22"/>
                <w:szCs w:val="22"/>
                <w:lang w:eastAsia="en-AU"/>
              </w:rPr>
              <w:t>Number of responses</w:t>
            </w:r>
          </w:p>
        </w:tc>
        <w:tc>
          <w:tcPr>
            <w:tcW w:w="2387" w:type="dxa"/>
            <w:noWrap/>
            <w:hideMark/>
          </w:tcPr>
          <w:p w14:paraId="70DE5961" w14:textId="77777777" w:rsidR="00777542" w:rsidRPr="00E413A3" w:rsidRDefault="00777542">
            <w:pPr>
              <w:spacing w:after="0" w:line="240" w:lineRule="auto"/>
              <w:jc w:val="right"/>
              <w:rPr>
                <w:rFonts w:eastAsia="Times New Roman" w:cs="Arial"/>
                <w:b/>
                <w:color w:val="000000"/>
                <w:sz w:val="22"/>
                <w:szCs w:val="22"/>
                <w:lang w:eastAsia="en-AU"/>
              </w:rPr>
            </w:pPr>
            <w:r w:rsidRPr="00E413A3">
              <w:rPr>
                <w:rFonts w:eastAsia="Times New Roman" w:cs="Arial"/>
                <w:b/>
                <w:color w:val="000000"/>
                <w:sz w:val="22"/>
                <w:szCs w:val="22"/>
                <w:lang w:eastAsia="en-AU"/>
              </w:rPr>
              <w:t>Proportion of respondents</w:t>
            </w:r>
          </w:p>
        </w:tc>
      </w:tr>
      <w:tr w:rsidR="00BA4553" w:rsidRPr="007D5C96" w14:paraId="2B5B7C6E" w14:textId="77777777" w:rsidTr="00492936">
        <w:trPr>
          <w:trHeight w:val="85"/>
        </w:trPr>
        <w:tc>
          <w:tcPr>
            <w:tcW w:w="3985" w:type="dxa"/>
            <w:shd w:val="clear" w:color="auto" w:fill="F2F2F2" w:themeFill="background1" w:themeFillShade="F2"/>
            <w:noWrap/>
            <w:hideMark/>
          </w:tcPr>
          <w:p w14:paraId="335249A7" w14:textId="24444AED"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 1</w:t>
            </w:r>
          </w:p>
        </w:tc>
        <w:tc>
          <w:tcPr>
            <w:tcW w:w="2039" w:type="dxa"/>
            <w:shd w:val="clear" w:color="auto" w:fill="F2F2F2" w:themeFill="background1" w:themeFillShade="F2"/>
            <w:noWrap/>
            <w:hideMark/>
          </w:tcPr>
          <w:p w14:paraId="76E04C8E" w14:textId="3FC8BA4A"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3</w:t>
            </w:r>
          </w:p>
        </w:tc>
        <w:tc>
          <w:tcPr>
            <w:tcW w:w="2387" w:type="dxa"/>
            <w:shd w:val="clear" w:color="auto" w:fill="F2F2F2" w:themeFill="background1" w:themeFillShade="F2"/>
            <w:noWrap/>
            <w:hideMark/>
          </w:tcPr>
          <w:p w14:paraId="15E5C8F8" w14:textId="09D7625E"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4</w:t>
            </w:r>
            <w:r w:rsidR="00777542" w:rsidRPr="00E413A3">
              <w:rPr>
                <w:sz w:val="22"/>
                <w:szCs w:val="22"/>
              </w:rPr>
              <w:t>%</w:t>
            </w:r>
          </w:p>
        </w:tc>
      </w:tr>
      <w:tr w:rsidR="00BA4553" w:rsidRPr="007D5C96" w14:paraId="5B6655BF" w14:textId="77777777" w:rsidTr="00492936">
        <w:trPr>
          <w:trHeight w:val="84"/>
        </w:trPr>
        <w:tc>
          <w:tcPr>
            <w:tcW w:w="3985" w:type="dxa"/>
            <w:shd w:val="clear" w:color="auto" w:fill="F2F2F2" w:themeFill="background1" w:themeFillShade="F2"/>
            <w:noWrap/>
            <w:hideMark/>
          </w:tcPr>
          <w:p w14:paraId="6FC1537C" w14:textId="4BEEE2FB"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 2</w:t>
            </w:r>
          </w:p>
        </w:tc>
        <w:tc>
          <w:tcPr>
            <w:tcW w:w="2039" w:type="dxa"/>
            <w:shd w:val="clear" w:color="auto" w:fill="F2F2F2" w:themeFill="background1" w:themeFillShade="F2"/>
            <w:noWrap/>
            <w:hideMark/>
          </w:tcPr>
          <w:p w14:paraId="66ACBFD8" w14:textId="16B23F9C"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1</w:t>
            </w:r>
          </w:p>
        </w:tc>
        <w:tc>
          <w:tcPr>
            <w:tcW w:w="2387" w:type="dxa"/>
            <w:shd w:val="clear" w:color="auto" w:fill="F2F2F2" w:themeFill="background1" w:themeFillShade="F2"/>
            <w:noWrap/>
            <w:hideMark/>
          </w:tcPr>
          <w:p w14:paraId="0C48AECB" w14:textId="3DE6FB1D"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r w:rsidR="00777542" w:rsidRPr="00E413A3">
              <w:rPr>
                <w:sz w:val="22"/>
                <w:szCs w:val="22"/>
              </w:rPr>
              <w:t>%</w:t>
            </w:r>
          </w:p>
        </w:tc>
      </w:tr>
      <w:tr w:rsidR="00BA4553" w:rsidRPr="007D5C96" w14:paraId="352FB4D1" w14:textId="77777777" w:rsidTr="00492936">
        <w:trPr>
          <w:trHeight w:val="84"/>
        </w:trPr>
        <w:tc>
          <w:tcPr>
            <w:tcW w:w="3985" w:type="dxa"/>
            <w:shd w:val="clear" w:color="auto" w:fill="F2F2F2" w:themeFill="background1" w:themeFillShade="F2"/>
            <w:noWrap/>
            <w:hideMark/>
          </w:tcPr>
          <w:p w14:paraId="7FF45C78" w14:textId="658FE49D"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 3</w:t>
            </w:r>
          </w:p>
        </w:tc>
        <w:tc>
          <w:tcPr>
            <w:tcW w:w="2039" w:type="dxa"/>
            <w:shd w:val="clear" w:color="auto" w:fill="F2F2F2" w:themeFill="background1" w:themeFillShade="F2"/>
            <w:noWrap/>
            <w:hideMark/>
          </w:tcPr>
          <w:p w14:paraId="5C8C70DC" w14:textId="745D76C0"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2</w:t>
            </w:r>
          </w:p>
        </w:tc>
        <w:tc>
          <w:tcPr>
            <w:tcW w:w="2387" w:type="dxa"/>
            <w:shd w:val="clear" w:color="auto" w:fill="F2F2F2" w:themeFill="background1" w:themeFillShade="F2"/>
            <w:noWrap/>
            <w:hideMark/>
          </w:tcPr>
          <w:p w14:paraId="12D29F23" w14:textId="10F6BD9A"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3</w:t>
            </w:r>
            <w:r w:rsidR="00777542" w:rsidRPr="00E413A3">
              <w:rPr>
                <w:sz w:val="22"/>
                <w:szCs w:val="22"/>
              </w:rPr>
              <w:t>%</w:t>
            </w:r>
          </w:p>
        </w:tc>
      </w:tr>
      <w:tr w:rsidR="00BA4553" w:rsidRPr="007D5C96" w14:paraId="73A9D4DB" w14:textId="77777777" w:rsidTr="00492936">
        <w:trPr>
          <w:trHeight w:val="84"/>
        </w:trPr>
        <w:tc>
          <w:tcPr>
            <w:tcW w:w="3985" w:type="dxa"/>
            <w:shd w:val="clear" w:color="auto" w:fill="F2F2F2" w:themeFill="background1" w:themeFillShade="F2"/>
            <w:noWrap/>
            <w:hideMark/>
          </w:tcPr>
          <w:p w14:paraId="02388B20" w14:textId="4656C07B"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 4</w:t>
            </w:r>
          </w:p>
        </w:tc>
        <w:tc>
          <w:tcPr>
            <w:tcW w:w="2039" w:type="dxa"/>
            <w:shd w:val="clear" w:color="auto" w:fill="F2F2F2" w:themeFill="background1" w:themeFillShade="F2"/>
            <w:noWrap/>
            <w:hideMark/>
          </w:tcPr>
          <w:p w14:paraId="4E3DEBE5" w14:textId="22079777"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2</w:t>
            </w:r>
          </w:p>
        </w:tc>
        <w:tc>
          <w:tcPr>
            <w:tcW w:w="2387" w:type="dxa"/>
            <w:shd w:val="clear" w:color="auto" w:fill="F2F2F2" w:themeFill="background1" w:themeFillShade="F2"/>
            <w:noWrap/>
            <w:hideMark/>
          </w:tcPr>
          <w:p w14:paraId="388F7C8C" w14:textId="78BA8A1B"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3</w:t>
            </w:r>
            <w:r w:rsidR="00777542" w:rsidRPr="00E413A3">
              <w:rPr>
                <w:sz w:val="22"/>
                <w:szCs w:val="22"/>
              </w:rPr>
              <w:t>%</w:t>
            </w:r>
          </w:p>
        </w:tc>
      </w:tr>
      <w:tr w:rsidR="00BA4553" w:rsidRPr="007D5C96" w14:paraId="0807D989" w14:textId="77777777" w:rsidTr="00492936">
        <w:trPr>
          <w:trHeight w:val="84"/>
        </w:trPr>
        <w:tc>
          <w:tcPr>
            <w:tcW w:w="3985" w:type="dxa"/>
            <w:shd w:val="clear" w:color="auto" w:fill="F2F2F2" w:themeFill="background1" w:themeFillShade="F2"/>
            <w:noWrap/>
            <w:hideMark/>
          </w:tcPr>
          <w:p w14:paraId="5557D922" w14:textId="6CD5837F"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 5</w:t>
            </w:r>
          </w:p>
        </w:tc>
        <w:tc>
          <w:tcPr>
            <w:tcW w:w="2039" w:type="dxa"/>
            <w:shd w:val="clear" w:color="auto" w:fill="F2F2F2" w:themeFill="background1" w:themeFillShade="F2"/>
            <w:noWrap/>
            <w:hideMark/>
          </w:tcPr>
          <w:p w14:paraId="2631C5B2" w14:textId="0847C9F1"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2</w:t>
            </w:r>
          </w:p>
        </w:tc>
        <w:tc>
          <w:tcPr>
            <w:tcW w:w="2387" w:type="dxa"/>
            <w:shd w:val="clear" w:color="auto" w:fill="F2F2F2" w:themeFill="background1" w:themeFillShade="F2"/>
            <w:noWrap/>
            <w:hideMark/>
          </w:tcPr>
          <w:p w14:paraId="5E79F70F" w14:textId="31104209"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3%</w:t>
            </w:r>
          </w:p>
        </w:tc>
      </w:tr>
      <w:tr w:rsidR="00BA4553" w:rsidRPr="007D5C96" w14:paraId="435D48F1" w14:textId="77777777" w:rsidTr="00492936">
        <w:trPr>
          <w:trHeight w:val="84"/>
        </w:trPr>
        <w:tc>
          <w:tcPr>
            <w:tcW w:w="3985" w:type="dxa"/>
            <w:shd w:val="clear" w:color="auto" w:fill="EDF5D7" w:themeFill="accent5" w:themeFillTint="33"/>
            <w:noWrap/>
            <w:hideMark/>
          </w:tcPr>
          <w:p w14:paraId="30312381" w14:textId="4E43C89D"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 6</w:t>
            </w:r>
          </w:p>
        </w:tc>
        <w:tc>
          <w:tcPr>
            <w:tcW w:w="2039" w:type="dxa"/>
            <w:shd w:val="clear" w:color="auto" w:fill="EDF5D7" w:themeFill="accent5" w:themeFillTint="33"/>
            <w:noWrap/>
            <w:hideMark/>
          </w:tcPr>
          <w:p w14:paraId="682BD152" w14:textId="12297AB3"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18</w:t>
            </w:r>
          </w:p>
        </w:tc>
        <w:tc>
          <w:tcPr>
            <w:tcW w:w="2387" w:type="dxa"/>
            <w:shd w:val="clear" w:color="auto" w:fill="EDF5D7" w:themeFill="accent5" w:themeFillTint="33"/>
            <w:noWrap/>
            <w:hideMark/>
          </w:tcPr>
          <w:p w14:paraId="740A1F3C" w14:textId="3DEE7F71"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23</w:t>
            </w:r>
            <w:r w:rsidR="00777542" w:rsidRPr="00E413A3">
              <w:rPr>
                <w:sz w:val="22"/>
                <w:szCs w:val="22"/>
              </w:rPr>
              <w:t>%</w:t>
            </w:r>
          </w:p>
        </w:tc>
      </w:tr>
      <w:tr w:rsidR="00BA4553" w:rsidRPr="007D5C96" w14:paraId="0682DD05" w14:textId="77777777" w:rsidTr="00492936">
        <w:trPr>
          <w:trHeight w:val="84"/>
        </w:trPr>
        <w:tc>
          <w:tcPr>
            <w:tcW w:w="3985" w:type="dxa"/>
            <w:shd w:val="clear" w:color="auto" w:fill="F2F2F2" w:themeFill="background1" w:themeFillShade="F2"/>
            <w:noWrap/>
            <w:hideMark/>
          </w:tcPr>
          <w:p w14:paraId="6CC42109" w14:textId="54370CB3"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and 3</w:t>
            </w:r>
          </w:p>
        </w:tc>
        <w:tc>
          <w:tcPr>
            <w:tcW w:w="2039" w:type="dxa"/>
            <w:shd w:val="clear" w:color="auto" w:fill="F2F2F2" w:themeFill="background1" w:themeFillShade="F2"/>
            <w:noWrap/>
            <w:hideMark/>
          </w:tcPr>
          <w:p w14:paraId="3B344E28" w14:textId="14C9578D"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2</w:t>
            </w:r>
          </w:p>
        </w:tc>
        <w:tc>
          <w:tcPr>
            <w:tcW w:w="2387" w:type="dxa"/>
            <w:shd w:val="clear" w:color="auto" w:fill="F2F2F2" w:themeFill="background1" w:themeFillShade="F2"/>
            <w:noWrap/>
            <w:hideMark/>
          </w:tcPr>
          <w:p w14:paraId="60A71FFB" w14:textId="5FDD4DCC"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3%</w:t>
            </w:r>
          </w:p>
        </w:tc>
      </w:tr>
      <w:tr w:rsidR="00BA4553" w:rsidRPr="007D5C96" w14:paraId="750F78EA" w14:textId="77777777" w:rsidTr="00492936">
        <w:trPr>
          <w:trHeight w:val="84"/>
        </w:trPr>
        <w:tc>
          <w:tcPr>
            <w:tcW w:w="3985" w:type="dxa"/>
            <w:shd w:val="clear" w:color="auto" w:fill="F2F2F2" w:themeFill="background1" w:themeFillShade="F2"/>
            <w:noWrap/>
            <w:hideMark/>
          </w:tcPr>
          <w:p w14:paraId="6565AD74" w14:textId="0681C3CC"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and 4</w:t>
            </w:r>
          </w:p>
        </w:tc>
        <w:tc>
          <w:tcPr>
            <w:tcW w:w="2039" w:type="dxa"/>
            <w:shd w:val="clear" w:color="auto" w:fill="F2F2F2" w:themeFill="background1" w:themeFillShade="F2"/>
            <w:noWrap/>
            <w:hideMark/>
          </w:tcPr>
          <w:p w14:paraId="08BC3487" w14:textId="4B517F68"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1</w:t>
            </w:r>
          </w:p>
        </w:tc>
        <w:tc>
          <w:tcPr>
            <w:tcW w:w="2387" w:type="dxa"/>
            <w:shd w:val="clear" w:color="auto" w:fill="F2F2F2" w:themeFill="background1" w:themeFillShade="F2"/>
            <w:noWrap/>
            <w:hideMark/>
          </w:tcPr>
          <w:p w14:paraId="3737DC69" w14:textId="3BB86F2D"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r w:rsidR="00777542" w:rsidRPr="00E413A3">
              <w:rPr>
                <w:sz w:val="22"/>
                <w:szCs w:val="22"/>
              </w:rPr>
              <w:t>%</w:t>
            </w:r>
          </w:p>
        </w:tc>
      </w:tr>
      <w:tr w:rsidR="00BA4553" w:rsidRPr="007D5C96" w14:paraId="190D4F9F" w14:textId="77777777" w:rsidTr="00492936">
        <w:trPr>
          <w:trHeight w:val="84"/>
        </w:trPr>
        <w:tc>
          <w:tcPr>
            <w:tcW w:w="3985" w:type="dxa"/>
            <w:shd w:val="clear" w:color="auto" w:fill="F2F2F2" w:themeFill="background1" w:themeFillShade="F2"/>
            <w:noWrap/>
            <w:hideMark/>
          </w:tcPr>
          <w:p w14:paraId="6D9EA1DD" w14:textId="3736F11D"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and 5</w:t>
            </w:r>
          </w:p>
        </w:tc>
        <w:tc>
          <w:tcPr>
            <w:tcW w:w="2039" w:type="dxa"/>
            <w:shd w:val="clear" w:color="auto" w:fill="F2F2F2" w:themeFill="background1" w:themeFillShade="F2"/>
            <w:noWrap/>
            <w:hideMark/>
          </w:tcPr>
          <w:p w14:paraId="79B49B09" w14:textId="33ABFC05"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c>
          <w:tcPr>
            <w:tcW w:w="2387" w:type="dxa"/>
            <w:shd w:val="clear" w:color="auto" w:fill="F2F2F2" w:themeFill="background1" w:themeFillShade="F2"/>
            <w:noWrap/>
            <w:hideMark/>
          </w:tcPr>
          <w:p w14:paraId="20AC9CEF" w14:textId="7EBF9F4B"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r>
      <w:tr w:rsidR="00BA4553" w:rsidRPr="007D5C96" w14:paraId="1D4760CE" w14:textId="77777777" w:rsidTr="00492936">
        <w:trPr>
          <w:trHeight w:val="84"/>
        </w:trPr>
        <w:tc>
          <w:tcPr>
            <w:tcW w:w="3985" w:type="dxa"/>
            <w:shd w:val="clear" w:color="auto" w:fill="F2F2F2" w:themeFill="background1" w:themeFillShade="F2"/>
            <w:noWrap/>
            <w:hideMark/>
          </w:tcPr>
          <w:p w14:paraId="2EB45596" w14:textId="270DED57"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and 6</w:t>
            </w:r>
          </w:p>
        </w:tc>
        <w:tc>
          <w:tcPr>
            <w:tcW w:w="2039" w:type="dxa"/>
            <w:shd w:val="clear" w:color="auto" w:fill="F2F2F2" w:themeFill="background1" w:themeFillShade="F2"/>
            <w:noWrap/>
            <w:hideMark/>
          </w:tcPr>
          <w:p w14:paraId="574438A1" w14:textId="0DCC6DDC"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1</w:t>
            </w:r>
          </w:p>
        </w:tc>
        <w:tc>
          <w:tcPr>
            <w:tcW w:w="2387" w:type="dxa"/>
            <w:shd w:val="clear" w:color="auto" w:fill="F2F2F2" w:themeFill="background1" w:themeFillShade="F2"/>
            <w:noWrap/>
            <w:hideMark/>
          </w:tcPr>
          <w:p w14:paraId="6F3D49DC" w14:textId="585A5FDA"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r w:rsidR="00777542" w:rsidRPr="00E413A3">
              <w:rPr>
                <w:sz w:val="22"/>
                <w:szCs w:val="22"/>
              </w:rPr>
              <w:t>%</w:t>
            </w:r>
          </w:p>
        </w:tc>
      </w:tr>
      <w:tr w:rsidR="00BA4553" w:rsidRPr="007D5C96" w14:paraId="38D7A48C" w14:textId="77777777" w:rsidTr="00492936">
        <w:trPr>
          <w:trHeight w:val="84"/>
        </w:trPr>
        <w:tc>
          <w:tcPr>
            <w:tcW w:w="3985" w:type="dxa"/>
            <w:shd w:val="clear" w:color="auto" w:fill="F2F2F2" w:themeFill="background1" w:themeFillShade="F2"/>
            <w:noWrap/>
            <w:hideMark/>
          </w:tcPr>
          <w:p w14:paraId="56597742" w14:textId="381628C8"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3 and 5</w:t>
            </w:r>
          </w:p>
        </w:tc>
        <w:tc>
          <w:tcPr>
            <w:tcW w:w="2039" w:type="dxa"/>
            <w:shd w:val="clear" w:color="auto" w:fill="F2F2F2" w:themeFill="background1" w:themeFillShade="F2"/>
            <w:noWrap/>
            <w:hideMark/>
          </w:tcPr>
          <w:p w14:paraId="4140F033" w14:textId="11998DE2"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p>
        </w:tc>
        <w:tc>
          <w:tcPr>
            <w:tcW w:w="2387" w:type="dxa"/>
            <w:shd w:val="clear" w:color="auto" w:fill="F2F2F2" w:themeFill="background1" w:themeFillShade="F2"/>
            <w:noWrap/>
            <w:hideMark/>
          </w:tcPr>
          <w:p w14:paraId="734BAA78" w14:textId="448D34D6"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r w:rsidR="00777542" w:rsidRPr="00E413A3">
              <w:rPr>
                <w:sz w:val="22"/>
                <w:szCs w:val="22"/>
              </w:rPr>
              <w:t>%</w:t>
            </w:r>
          </w:p>
        </w:tc>
      </w:tr>
      <w:tr w:rsidR="00BA4553" w:rsidRPr="007D5C96" w14:paraId="6230734C" w14:textId="77777777" w:rsidTr="00492936">
        <w:trPr>
          <w:trHeight w:val="84"/>
        </w:trPr>
        <w:tc>
          <w:tcPr>
            <w:tcW w:w="3985" w:type="dxa"/>
            <w:shd w:val="clear" w:color="auto" w:fill="F2F2F2" w:themeFill="background1" w:themeFillShade="F2"/>
            <w:noWrap/>
            <w:hideMark/>
          </w:tcPr>
          <w:p w14:paraId="43D05884" w14:textId="042DD214"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3 and 6</w:t>
            </w:r>
          </w:p>
        </w:tc>
        <w:tc>
          <w:tcPr>
            <w:tcW w:w="2039" w:type="dxa"/>
            <w:shd w:val="clear" w:color="auto" w:fill="F2F2F2" w:themeFill="background1" w:themeFillShade="F2"/>
            <w:noWrap/>
            <w:hideMark/>
          </w:tcPr>
          <w:p w14:paraId="2AE088A3" w14:textId="10A2BBCC"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p>
        </w:tc>
        <w:tc>
          <w:tcPr>
            <w:tcW w:w="2387" w:type="dxa"/>
            <w:shd w:val="clear" w:color="auto" w:fill="F2F2F2" w:themeFill="background1" w:themeFillShade="F2"/>
            <w:noWrap/>
            <w:hideMark/>
          </w:tcPr>
          <w:p w14:paraId="02E6900A" w14:textId="22A7853B"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r w:rsidR="00777542" w:rsidRPr="00E413A3">
              <w:rPr>
                <w:sz w:val="22"/>
                <w:szCs w:val="22"/>
              </w:rPr>
              <w:t>%</w:t>
            </w:r>
          </w:p>
        </w:tc>
      </w:tr>
      <w:tr w:rsidR="00BA4553" w:rsidRPr="007D5C96" w14:paraId="2811F601" w14:textId="77777777" w:rsidTr="00492936">
        <w:trPr>
          <w:trHeight w:val="84"/>
        </w:trPr>
        <w:tc>
          <w:tcPr>
            <w:tcW w:w="3985" w:type="dxa"/>
            <w:shd w:val="clear" w:color="auto" w:fill="F2F2F2" w:themeFill="background1" w:themeFillShade="F2"/>
            <w:noWrap/>
            <w:hideMark/>
          </w:tcPr>
          <w:p w14:paraId="77C41621" w14:textId="441475D9"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4 and 5</w:t>
            </w:r>
          </w:p>
        </w:tc>
        <w:tc>
          <w:tcPr>
            <w:tcW w:w="2039" w:type="dxa"/>
            <w:shd w:val="clear" w:color="auto" w:fill="F2F2F2" w:themeFill="background1" w:themeFillShade="F2"/>
            <w:noWrap/>
            <w:hideMark/>
          </w:tcPr>
          <w:p w14:paraId="3891F9EF" w14:textId="10EC90D0"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c>
          <w:tcPr>
            <w:tcW w:w="2387" w:type="dxa"/>
            <w:shd w:val="clear" w:color="auto" w:fill="F2F2F2" w:themeFill="background1" w:themeFillShade="F2"/>
            <w:noWrap/>
            <w:hideMark/>
          </w:tcPr>
          <w:p w14:paraId="532E08BC" w14:textId="5F6A0A2E"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r>
      <w:tr w:rsidR="00BA4553" w:rsidRPr="007D5C96" w14:paraId="63A02404" w14:textId="77777777" w:rsidTr="00492936">
        <w:trPr>
          <w:trHeight w:val="84"/>
        </w:trPr>
        <w:tc>
          <w:tcPr>
            <w:tcW w:w="3985" w:type="dxa"/>
            <w:shd w:val="clear" w:color="auto" w:fill="EDF5D7" w:themeFill="accent5" w:themeFillTint="33"/>
            <w:noWrap/>
            <w:hideMark/>
          </w:tcPr>
          <w:p w14:paraId="541758CE" w14:textId="0ACF3FC2"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4 and 6</w:t>
            </w:r>
          </w:p>
        </w:tc>
        <w:tc>
          <w:tcPr>
            <w:tcW w:w="2039" w:type="dxa"/>
            <w:shd w:val="clear" w:color="auto" w:fill="EDF5D7" w:themeFill="accent5" w:themeFillTint="33"/>
            <w:noWrap/>
            <w:hideMark/>
          </w:tcPr>
          <w:p w14:paraId="1EB6CBE0" w14:textId="2C5BBB5C"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12</w:t>
            </w:r>
          </w:p>
        </w:tc>
        <w:tc>
          <w:tcPr>
            <w:tcW w:w="2387" w:type="dxa"/>
            <w:shd w:val="clear" w:color="auto" w:fill="EDF5D7" w:themeFill="accent5" w:themeFillTint="33"/>
            <w:noWrap/>
            <w:hideMark/>
          </w:tcPr>
          <w:p w14:paraId="65B81F92" w14:textId="76A9ACF0"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16</w:t>
            </w:r>
            <w:r w:rsidR="00777542" w:rsidRPr="00E413A3">
              <w:rPr>
                <w:sz w:val="22"/>
                <w:szCs w:val="22"/>
              </w:rPr>
              <w:t>%</w:t>
            </w:r>
          </w:p>
        </w:tc>
      </w:tr>
      <w:tr w:rsidR="00BA4553" w:rsidRPr="007D5C96" w14:paraId="47845135" w14:textId="77777777" w:rsidTr="00492936">
        <w:trPr>
          <w:trHeight w:val="84"/>
        </w:trPr>
        <w:tc>
          <w:tcPr>
            <w:tcW w:w="3985" w:type="dxa"/>
            <w:shd w:val="clear" w:color="auto" w:fill="F2F2F2" w:themeFill="background1" w:themeFillShade="F2"/>
            <w:noWrap/>
            <w:hideMark/>
          </w:tcPr>
          <w:p w14:paraId="11929096" w14:textId="7FDE21DF"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5 and 6</w:t>
            </w:r>
          </w:p>
        </w:tc>
        <w:tc>
          <w:tcPr>
            <w:tcW w:w="2039" w:type="dxa"/>
            <w:shd w:val="clear" w:color="auto" w:fill="F2F2F2" w:themeFill="background1" w:themeFillShade="F2"/>
            <w:noWrap/>
            <w:hideMark/>
          </w:tcPr>
          <w:p w14:paraId="3EC189E2" w14:textId="631CE657"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4</w:t>
            </w:r>
          </w:p>
        </w:tc>
        <w:tc>
          <w:tcPr>
            <w:tcW w:w="2387" w:type="dxa"/>
            <w:shd w:val="clear" w:color="auto" w:fill="F2F2F2" w:themeFill="background1" w:themeFillShade="F2"/>
            <w:noWrap/>
            <w:hideMark/>
          </w:tcPr>
          <w:p w14:paraId="21D37034" w14:textId="11985BD5"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5%</w:t>
            </w:r>
          </w:p>
        </w:tc>
      </w:tr>
      <w:tr w:rsidR="00BA4553" w:rsidRPr="007D5C96" w14:paraId="06CD2E07" w14:textId="77777777" w:rsidTr="00492936">
        <w:trPr>
          <w:trHeight w:val="84"/>
        </w:trPr>
        <w:tc>
          <w:tcPr>
            <w:tcW w:w="3985" w:type="dxa"/>
            <w:shd w:val="clear" w:color="auto" w:fill="F2F2F2" w:themeFill="background1" w:themeFillShade="F2"/>
            <w:noWrap/>
            <w:hideMark/>
          </w:tcPr>
          <w:p w14:paraId="3A2C41AF" w14:textId="4C23CB08"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3 and 5</w:t>
            </w:r>
          </w:p>
        </w:tc>
        <w:tc>
          <w:tcPr>
            <w:tcW w:w="2039" w:type="dxa"/>
            <w:shd w:val="clear" w:color="auto" w:fill="F2F2F2" w:themeFill="background1" w:themeFillShade="F2"/>
            <w:noWrap/>
            <w:hideMark/>
          </w:tcPr>
          <w:p w14:paraId="4EE0B1D6" w14:textId="2D4D63D9"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2</w:t>
            </w:r>
          </w:p>
        </w:tc>
        <w:tc>
          <w:tcPr>
            <w:tcW w:w="2387" w:type="dxa"/>
            <w:shd w:val="clear" w:color="auto" w:fill="F2F2F2" w:themeFill="background1" w:themeFillShade="F2"/>
            <w:noWrap/>
            <w:hideMark/>
          </w:tcPr>
          <w:p w14:paraId="1D1341BA" w14:textId="441F7F4F"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3%</w:t>
            </w:r>
          </w:p>
        </w:tc>
      </w:tr>
      <w:tr w:rsidR="00BA4553" w:rsidRPr="007D5C96" w14:paraId="30B6A588" w14:textId="77777777" w:rsidTr="00492936">
        <w:trPr>
          <w:trHeight w:val="84"/>
        </w:trPr>
        <w:tc>
          <w:tcPr>
            <w:tcW w:w="3985" w:type="dxa"/>
            <w:shd w:val="clear" w:color="auto" w:fill="F2F2F2" w:themeFill="background1" w:themeFillShade="F2"/>
            <w:noWrap/>
            <w:hideMark/>
          </w:tcPr>
          <w:p w14:paraId="086B7187" w14:textId="19DCDC25"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3 and 6</w:t>
            </w:r>
          </w:p>
        </w:tc>
        <w:tc>
          <w:tcPr>
            <w:tcW w:w="2039" w:type="dxa"/>
            <w:shd w:val="clear" w:color="auto" w:fill="F2F2F2" w:themeFill="background1" w:themeFillShade="F2"/>
            <w:noWrap/>
            <w:hideMark/>
          </w:tcPr>
          <w:p w14:paraId="1CEEF740" w14:textId="2AF27BD7"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c>
          <w:tcPr>
            <w:tcW w:w="2387" w:type="dxa"/>
            <w:shd w:val="clear" w:color="auto" w:fill="F2F2F2" w:themeFill="background1" w:themeFillShade="F2"/>
            <w:noWrap/>
            <w:hideMark/>
          </w:tcPr>
          <w:p w14:paraId="1690165D" w14:textId="2C030434"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r>
      <w:tr w:rsidR="00BA4553" w:rsidRPr="007D5C96" w14:paraId="6BFFDF6D" w14:textId="77777777" w:rsidTr="00492936">
        <w:trPr>
          <w:trHeight w:val="84"/>
        </w:trPr>
        <w:tc>
          <w:tcPr>
            <w:tcW w:w="3985" w:type="dxa"/>
            <w:shd w:val="clear" w:color="auto" w:fill="F2F2F2" w:themeFill="background1" w:themeFillShade="F2"/>
            <w:noWrap/>
            <w:hideMark/>
          </w:tcPr>
          <w:p w14:paraId="69F931A3" w14:textId="414DA96A"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4 and 5</w:t>
            </w:r>
          </w:p>
        </w:tc>
        <w:tc>
          <w:tcPr>
            <w:tcW w:w="2039" w:type="dxa"/>
            <w:shd w:val="clear" w:color="auto" w:fill="F2F2F2" w:themeFill="background1" w:themeFillShade="F2"/>
            <w:noWrap/>
            <w:hideMark/>
          </w:tcPr>
          <w:p w14:paraId="17F23540" w14:textId="6B39C49D"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1</w:t>
            </w:r>
          </w:p>
        </w:tc>
        <w:tc>
          <w:tcPr>
            <w:tcW w:w="2387" w:type="dxa"/>
            <w:shd w:val="clear" w:color="auto" w:fill="F2F2F2" w:themeFill="background1" w:themeFillShade="F2"/>
            <w:noWrap/>
            <w:hideMark/>
          </w:tcPr>
          <w:p w14:paraId="41F19577" w14:textId="73885AF2"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r w:rsidR="00777542" w:rsidRPr="00E413A3">
              <w:rPr>
                <w:sz w:val="22"/>
                <w:szCs w:val="22"/>
              </w:rPr>
              <w:t>%</w:t>
            </w:r>
          </w:p>
        </w:tc>
      </w:tr>
      <w:tr w:rsidR="00BA4553" w:rsidRPr="007D5C96" w14:paraId="31374BEE" w14:textId="77777777" w:rsidTr="00492936">
        <w:trPr>
          <w:trHeight w:val="84"/>
        </w:trPr>
        <w:tc>
          <w:tcPr>
            <w:tcW w:w="3985" w:type="dxa"/>
            <w:shd w:val="clear" w:color="auto" w:fill="F2F2F2" w:themeFill="background1" w:themeFillShade="F2"/>
            <w:noWrap/>
            <w:hideMark/>
          </w:tcPr>
          <w:p w14:paraId="522B59B3" w14:textId="4EDDF945"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4 and 6</w:t>
            </w:r>
          </w:p>
        </w:tc>
        <w:tc>
          <w:tcPr>
            <w:tcW w:w="2039" w:type="dxa"/>
            <w:shd w:val="clear" w:color="auto" w:fill="F2F2F2" w:themeFill="background1" w:themeFillShade="F2"/>
            <w:noWrap/>
            <w:hideMark/>
          </w:tcPr>
          <w:p w14:paraId="641D00AA" w14:textId="76163B41"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4</w:t>
            </w:r>
          </w:p>
        </w:tc>
        <w:tc>
          <w:tcPr>
            <w:tcW w:w="2387" w:type="dxa"/>
            <w:shd w:val="clear" w:color="auto" w:fill="F2F2F2" w:themeFill="background1" w:themeFillShade="F2"/>
            <w:noWrap/>
            <w:hideMark/>
          </w:tcPr>
          <w:p w14:paraId="47AF7564" w14:textId="77A8894B"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5</w:t>
            </w:r>
            <w:r w:rsidR="00777542" w:rsidRPr="00E413A3">
              <w:rPr>
                <w:sz w:val="22"/>
                <w:szCs w:val="22"/>
              </w:rPr>
              <w:t>%</w:t>
            </w:r>
          </w:p>
        </w:tc>
      </w:tr>
      <w:tr w:rsidR="00BA4553" w:rsidRPr="007D5C96" w14:paraId="33369474" w14:textId="77777777" w:rsidTr="00492936">
        <w:trPr>
          <w:trHeight w:val="84"/>
        </w:trPr>
        <w:tc>
          <w:tcPr>
            <w:tcW w:w="3985" w:type="dxa"/>
            <w:shd w:val="clear" w:color="auto" w:fill="F2F2F2" w:themeFill="background1" w:themeFillShade="F2"/>
            <w:noWrap/>
            <w:hideMark/>
          </w:tcPr>
          <w:p w14:paraId="3168B1B1" w14:textId="23B4E4A0"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5 and 6</w:t>
            </w:r>
          </w:p>
        </w:tc>
        <w:tc>
          <w:tcPr>
            <w:tcW w:w="2039" w:type="dxa"/>
            <w:shd w:val="clear" w:color="auto" w:fill="F2F2F2" w:themeFill="background1" w:themeFillShade="F2"/>
            <w:noWrap/>
            <w:hideMark/>
          </w:tcPr>
          <w:p w14:paraId="1875B10A" w14:textId="1F90284B"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2</w:t>
            </w:r>
          </w:p>
        </w:tc>
        <w:tc>
          <w:tcPr>
            <w:tcW w:w="2387" w:type="dxa"/>
            <w:shd w:val="clear" w:color="auto" w:fill="F2F2F2" w:themeFill="background1" w:themeFillShade="F2"/>
            <w:noWrap/>
            <w:hideMark/>
          </w:tcPr>
          <w:p w14:paraId="76158906" w14:textId="11513EEE"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3%</w:t>
            </w:r>
          </w:p>
        </w:tc>
      </w:tr>
      <w:tr w:rsidR="00BA4553" w:rsidRPr="007D5C96" w14:paraId="533588FF" w14:textId="77777777" w:rsidTr="00492936">
        <w:trPr>
          <w:trHeight w:val="84"/>
        </w:trPr>
        <w:tc>
          <w:tcPr>
            <w:tcW w:w="3985" w:type="dxa"/>
            <w:shd w:val="clear" w:color="auto" w:fill="F2F2F2" w:themeFill="background1" w:themeFillShade="F2"/>
            <w:noWrap/>
            <w:hideMark/>
          </w:tcPr>
          <w:p w14:paraId="4FEA07EC" w14:textId="7FD83794"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3, 5 and 6</w:t>
            </w:r>
          </w:p>
        </w:tc>
        <w:tc>
          <w:tcPr>
            <w:tcW w:w="2039" w:type="dxa"/>
            <w:shd w:val="clear" w:color="auto" w:fill="F2F2F2" w:themeFill="background1" w:themeFillShade="F2"/>
            <w:noWrap/>
            <w:hideMark/>
          </w:tcPr>
          <w:p w14:paraId="603EC425" w14:textId="3AB1FC15"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1</w:t>
            </w:r>
          </w:p>
        </w:tc>
        <w:tc>
          <w:tcPr>
            <w:tcW w:w="2387" w:type="dxa"/>
            <w:shd w:val="clear" w:color="auto" w:fill="F2F2F2" w:themeFill="background1" w:themeFillShade="F2"/>
            <w:noWrap/>
            <w:hideMark/>
          </w:tcPr>
          <w:p w14:paraId="62F7B05B" w14:textId="4EFDFE80"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w:t>
            </w:r>
            <w:r w:rsidR="00777542" w:rsidRPr="00E413A3">
              <w:rPr>
                <w:sz w:val="22"/>
                <w:szCs w:val="22"/>
              </w:rPr>
              <w:t>%</w:t>
            </w:r>
          </w:p>
        </w:tc>
      </w:tr>
      <w:tr w:rsidR="00BA4553" w:rsidRPr="007D5C96" w14:paraId="631E3BD8" w14:textId="77777777" w:rsidTr="00492936">
        <w:trPr>
          <w:trHeight w:val="84"/>
        </w:trPr>
        <w:tc>
          <w:tcPr>
            <w:tcW w:w="3985" w:type="dxa"/>
            <w:shd w:val="clear" w:color="auto" w:fill="F2F2F2" w:themeFill="background1" w:themeFillShade="F2"/>
            <w:noWrap/>
            <w:hideMark/>
          </w:tcPr>
          <w:p w14:paraId="47D574BB" w14:textId="43A5885B"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lastRenderedPageBreak/>
              <w:t>Options 4, 5 and 6</w:t>
            </w:r>
          </w:p>
        </w:tc>
        <w:tc>
          <w:tcPr>
            <w:tcW w:w="2039" w:type="dxa"/>
            <w:shd w:val="clear" w:color="auto" w:fill="F2F2F2" w:themeFill="background1" w:themeFillShade="F2"/>
            <w:noWrap/>
            <w:hideMark/>
          </w:tcPr>
          <w:p w14:paraId="62EBF875" w14:textId="2A2664C2"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4</w:t>
            </w:r>
          </w:p>
        </w:tc>
        <w:tc>
          <w:tcPr>
            <w:tcW w:w="2387" w:type="dxa"/>
            <w:shd w:val="clear" w:color="auto" w:fill="F2F2F2" w:themeFill="background1" w:themeFillShade="F2"/>
            <w:noWrap/>
            <w:hideMark/>
          </w:tcPr>
          <w:p w14:paraId="11A78822" w14:textId="3918B15D"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5%</w:t>
            </w:r>
          </w:p>
        </w:tc>
      </w:tr>
      <w:tr w:rsidR="00BA4553" w:rsidRPr="007D5C96" w14:paraId="3C90EF42" w14:textId="77777777" w:rsidTr="00492936">
        <w:trPr>
          <w:trHeight w:val="84"/>
        </w:trPr>
        <w:tc>
          <w:tcPr>
            <w:tcW w:w="3985" w:type="dxa"/>
            <w:shd w:val="clear" w:color="auto" w:fill="F2F2F2" w:themeFill="background1" w:themeFillShade="F2"/>
            <w:noWrap/>
            <w:hideMark/>
          </w:tcPr>
          <w:p w14:paraId="19EAAFDA" w14:textId="0C0AC6B2"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 xml:space="preserve">Options 2, 3, 5 and 6 </w:t>
            </w:r>
          </w:p>
        </w:tc>
        <w:tc>
          <w:tcPr>
            <w:tcW w:w="2039" w:type="dxa"/>
            <w:shd w:val="clear" w:color="auto" w:fill="F2F2F2" w:themeFill="background1" w:themeFillShade="F2"/>
            <w:noWrap/>
            <w:hideMark/>
          </w:tcPr>
          <w:p w14:paraId="5B6904A0" w14:textId="759F3197"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c>
          <w:tcPr>
            <w:tcW w:w="2387" w:type="dxa"/>
            <w:shd w:val="clear" w:color="auto" w:fill="F2F2F2" w:themeFill="background1" w:themeFillShade="F2"/>
            <w:noWrap/>
            <w:hideMark/>
          </w:tcPr>
          <w:p w14:paraId="66E3646F" w14:textId="2DC9ACF6"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0%</w:t>
            </w:r>
          </w:p>
        </w:tc>
      </w:tr>
      <w:tr w:rsidR="00BA4553" w:rsidRPr="007D5C96" w14:paraId="1F4C491F" w14:textId="77777777" w:rsidTr="00492936">
        <w:trPr>
          <w:trHeight w:val="84"/>
        </w:trPr>
        <w:tc>
          <w:tcPr>
            <w:tcW w:w="3985" w:type="dxa"/>
            <w:shd w:val="clear" w:color="auto" w:fill="EDF5D7" w:themeFill="accent5" w:themeFillTint="33"/>
            <w:noWrap/>
            <w:hideMark/>
          </w:tcPr>
          <w:p w14:paraId="1F379743" w14:textId="05FBE873"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Options 2, 4, 5 and 6</w:t>
            </w:r>
          </w:p>
        </w:tc>
        <w:tc>
          <w:tcPr>
            <w:tcW w:w="2039" w:type="dxa"/>
            <w:shd w:val="clear" w:color="auto" w:fill="EDF5D7" w:themeFill="accent5" w:themeFillTint="33"/>
            <w:noWrap/>
            <w:hideMark/>
          </w:tcPr>
          <w:p w14:paraId="32B2A87A" w14:textId="2D75B3C9" w:rsidR="00777542" w:rsidRPr="00E413A3" w:rsidRDefault="006B081E">
            <w:pPr>
              <w:spacing w:after="0" w:line="240" w:lineRule="auto"/>
              <w:jc w:val="right"/>
              <w:rPr>
                <w:rFonts w:eastAsia="Times New Roman" w:cs="Arial"/>
                <w:color w:val="000000"/>
                <w:sz w:val="22"/>
                <w:szCs w:val="22"/>
                <w:lang w:eastAsia="en-AU"/>
              </w:rPr>
            </w:pPr>
            <w:r w:rsidRPr="00E413A3">
              <w:rPr>
                <w:sz w:val="22"/>
                <w:szCs w:val="22"/>
              </w:rPr>
              <w:t>13</w:t>
            </w:r>
          </w:p>
        </w:tc>
        <w:tc>
          <w:tcPr>
            <w:tcW w:w="2387" w:type="dxa"/>
            <w:shd w:val="clear" w:color="auto" w:fill="EDF5D7" w:themeFill="accent5" w:themeFillTint="33"/>
            <w:noWrap/>
            <w:hideMark/>
          </w:tcPr>
          <w:p w14:paraId="0AF62092" w14:textId="7A1F9B26" w:rsidR="00777542" w:rsidRPr="00E413A3" w:rsidRDefault="00777542">
            <w:pPr>
              <w:spacing w:after="0" w:line="240" w:lineRule="auto"/>
              <w:jc w:val="right"/>
              <w:rPr>
                <w:rFonts w:eastAsia="Times New Roman" w:cs="Arial"/>
                <w:color w:val="000000"/>
                <w:sz w:val="22"/>
                <w:szCs w:val="22"/>
                <w:lang w:eastAsia="en-AU"/>
              </w:rPr>
            </w:pPr>
            <w:r w:rsidRPr="00E413A3">
              <w:rPr>
                <w:sz w:val="22"/>
                <w:szCs w:val="22"/>
              </w:rPr>
              <w:t>17%</w:t>
            </w:r>
          </w:p>
        </w:tc>
      </w:tr>
    </w:tbl>
    <w:p w14:paraId="4C9DFA0F" w14:textId="2BDA93DD" w:rsidR="00777542" w:rsidRPr="007D5C96" w:rsidRDefault="00777542" w:rsidP="00976C70">
      <w:pPr>
        <w:pStyle w:val="Source-CSR"/>
      </w:pPr>
      <w:r w:rsidRPr="007D5C96">
        <w:t xml:space="preserve">Source: Families, carers and parents survey, as of </w:t>
      </w:r>
      <w:r w:rsidR="005051C2" w:rsidRPr="00636B94">
        <w:t>11</w:t>
      </w:r>
      <w:r w:rsidRPr="00636B94">
        <w:t xml:space="preserve"> June 2025, Q29, n=</w:t>
      </w:r>
      <w:r w:rsidR="007D5C96" w:rsidRPr="00636B94">
        <w:t>77</w:t>
      </w:r>
      <w:r w:rsidRPr="00636B94">
        <w:t xml:space="preserve"> unique respondents. The three popular options or combination of options are highlighted in green. Note that if a respondent selected a combination of options, that selection is treated as a unique preference and not double-counted in the singular options. </w:t>
      </w:r>
    </w:p>
    <w:p w14:paraId="638EFC72" w14:textId="77777777" w:rsidR="00777542" w:rsidRPr="007D5C96" w:rsidRDefault="00777542" w:rsidP="00777542"/>
    <w:p w14:paraId="7F7789EF" w14:textId="77777777" w:rsidR="00777542" w:rsidRPr="007D5C96" w:rsidRDefault="00777542" w:rsidP="00777542"/>
    <w:p w14:paraId="27F3A4F0" w14:textId="77777777" w:rsidR="00777542" w:rsidRPr="00777542" w:rsidRDefault="00777542" w:rsidP="00777542">
      <w:pPr>
        <w:rPr>
          <w:highlight w:val="yellow"/>
        </w:rPr>
      </w:pPr>
    </w:p>
    <w:p w14:paraId="711BB3F1" w14:textId="77777777" w:rsidR="0099357D" w:rsidRDefault="0099357D">
      <w:pPr>
        <w:spacing w:after="160" w:line="259" w:lineRule="auto"/>
        <w:rPr>
          <w:rFonts w:cs="Arial"/>
          <w:bCs/>
          <w:color w:val="006B77"/>
          <w:sz w:val="28"/>
          <w:szCs w:val="28"/>
        </w:rPr>
      </w:pPr>
      <w:r>
        <w:br w:type="page"/>
      </w:r>
    </w:p>
    <w:p w14:paraId="490B62A1" w14:textId="6F753F2B" w:rsidR="00777542" w:rsidRPr="00B4719A" w:rsidRDefault="00890113" w:rsidP="00890113">
      <w:pPr>
        <w:pStyle w:val="Heading3"/>
      </w:pPr>
      <w:bookmarkStart w:id="267" w:name="_12.3.3_Responding_to"/>
      <w:bookmarkEnd w:id="267"/>
      <w:r>
        <w:lastRenderedPageBreak/>
        <w:t xml:space="preserve">12.3.3 </w:t>
      </w:r>
      <w:r w:rsidR="00777542" w:rsidRPr="00B4719A">
        <w:t>Responding to educator and staff member conduct</w:t>
      </w:r>
    </w:p>
    <w:p w14:paraId="54D3935A" w14:textId="77777777" w:rsidR="00777542" w:rsidRPr="00B4719A" w:rsidRDefault="00777542" w:rsidP="00777542">
      <w:pPr>
        <w:pStyle w:val="Heading4un-numbered"/>
      </w:pPr>
      <w:r w:rsidRPr="00B4719A">
        <w:t>Making inappropriate conduct an offence – Reduction of the risk of harm</w:t>
      </w:r>
    </w:p>
    <w:p w14:paraId="6A13E476" w14:textId="31B48FFE" w:rsidR="007B4D62" w:rsidRPr="00F64B5C" w:rsidRDefault="007B4D62" w:rsidP="007B4D62">
      <w:pPr>
        <w:pStyle w:val="CaptionChart"/>
      </w:pPr>
      <w:r>
        <w:t>Appendix Chart 12.3.</w:t>
      </w:r>
      <w:r w:rsidR="0099357D">
        <w:t>3</w:t>
      </w:r>
      <w:r>
        <w:t>.1</w:t>
      </w:r>
      <w:r w:rsidR="00777542" w:rsidRPr="006C5ADB">
        <w:t xml:space="preserve"> </w:t>
      </w:r>
      <w:bookmarkStart w:id="268" w:name="_Toc200656073"/>
      <w:bookmarkStart w:id="269" w:name="_Toc200657416"/>
      <w:r w:rsidR="00777542" w:rsidRPr="006C5ADB">
        <w:t>Approved provider responses to “How much do you think each option will reduce the risk of harm to children?”</w:t>
      </w:r>
    </w:p>
    <w:bookmarkEnd w:id="268"/>
    <w:bookmarkEnd w:id="269"/>
    <w:p w14:paraId="598EA63F" w14:textId="4705BDCD" w:rsidR="00777542" w:rsidRPr="006C5ADB" w:rsidRDefault="006C5ADB" w:rsidP="00777542">
      <w:pPr>
        <w:pStyle w:val="Source"/>
      </w:pPr>
      <w:r w:rsidRPr="006C5ADB">
        <w:rPr>
          <w:noProof/>
          <w14:ligatures w14:val="standardContextual"/>
        </w:rPr>
        <w:drawing>
          <wp:inline distT="0" distB="0" distL="0" distR="0" wp14:anchorId="424F311F" wp14:editId="659C8C50">
            <wp:extent cx="4965700" cy="2779173"/>
            <wp:effectExtent l="0" t="0" r="6350" b="2540"/>
            <wp:docPr id="431280269"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BDB99A8E-5370-22C9-6C99-4BE63AEA7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08CAE9B" w14:textId="3DC76193" w:rsidR="00777542" w:rsidRPr="006C5ADB" w:rsidRDefault="00777542" w:rsidP="00777542">
      <w:pPr>
        <w:pStyle w:val="Source"/>
      </w:pPr>
      <w:r w:rsidRPr="006C5ADB">
        <w:t xml:space="preserve">Source: Approved provider survey, as of </w:t>
      </w:r>
      <w:r w:rsidR="005051C2">
        <w:t>11</w:t>
      </w:r>
      <w:r w:rsidRPr="006C5ADB">
        <w:t xml:space="preserve"> June 2025, Q36, option 1 n=1</w:t>
      </w:r>
      <w:r w:rsidR="006C5ADB">
        <w:t>61</w:t>
      </w:r>
      <w:r w:rsidRPr="006C5ADB">
        <w:t>, option 2 n=1</w:t>
      </w:r>
      <w:r w:rsidR="006C5ADB">
        <w:t>62</w:t>
      </w:r>
      <w:r w:rsidRPr="006C5ADB">
        <w:t>, option 3 n=1</w:t>
      </w:r>
      <w:r w:rsidR="006C5ADB">
        <w:t>60</w:t>
      </w:r>
      <w:r w:rsidRPr="006C5ADB">
        <w:t>.</w:t>
      </w:r>
    </w:p>
    <w:p w14:paraId="7594A00A" w14:textId="2DB40323" w:rsidR="00E57169" w:rsidRPr="00DA4F42" w:rsidRDefault="00E57169" w:rsidP="00E57169">
      <w:pPr>
        <w:pStyle w:val="CaptionChart"/>
        <w:numPr>
          <w:ilvl w:val="7"/>
          <w:numId w:val="0"/>
        </w:numPr>
      </w:pPr>
      <w:r>
        <w:t>Appendix Chart 12.3.</w:t>
      </w:r>
      <w:r w:rsidR="0099357D">
        <w:t>3</w:t>
      </w:r>
      <w:r>
        <w:t>.2</w:t>
      </w:r>
      <w:r w:rsidR="00777542" w:rsidRPr="006E7064">
        <w:t xml:space="preserve"> </w:t>
      </w:r>
      <w:bookmarkStart w:id="270" w:name="_Toc200656074"/>
      <w:bookmarkStart w:id="271" w:name="_Toc200657417"/>
      <w:r w:rsidR="00777542" w:rsidRPr="006E7064">
        <w:t>Workforce responses to “How much do you think each option will reduce the risk of harm to children?”</w:t>
      </w:r>
    </w:p>
    <w:bookmarkEnd w:id="270"/>
    <w:bookmarkEnd w:id="271"/>
    <w:p w14:paraId="3E1090FD" w14:textId="4787967A" w:rsidR="00777542" w:rsidRPr="006E7064" w:rsidRDefault="0039603B" w:rsidP="00777542">
      <w:pPr>
        <w:pStyle w:val="Source"/>
      </w:pPr>
      <w:r w:rsidRPr="006E7064">
        <w:rPr>
          <w:noProof/>
          <w14:ligatures w14:val="standardContextual"/>
        </w:rPr>
        <w:drawing>
          <wp:inline distT="0" distB="0" distL="0" distR="0" wp14:anchorId="37A49B37" wp14:editId="1D26ED5D">
            <wp:extent cx="5296205" cy="2867559"/>
            <wp:effectExtent l="0" t="0" r="0" b="9525"/>
            <wp:docPr id="1708207840" name="Chart 1" descr="Chart outlining workforce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A24C2A33-2DA4-1B4E-48E2-04ECCF9B34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C970271" w14:textId="2468C7A1" w:rsidR="00777542" w:rsidRPr="006E7064" w:rsidRDefault="00777542" w:rsidP="00777542">
      <w:pPr>
        <w:pStyle w:val="Source"/>
      </w:pPr>
      <w:r w:rsidRPr="006E7064">
        <w:t xml:space="preserve">Source: Workforce survey, as of </w:t>
      </w:r>
      <w:r w:rsidR="006E7064" w:rsidRPr="006E7064">
        <w:t>11</w:t>
      </w:r>
      <w:r w:rsidRPr="006E7064">
        <w:t xml:space="preserve"> June 2025, Q32, option 1 n=</w:t>
      </w:r>
      <w:r w:rsidR="006E7064" w:rsidRPr="006E7064">
        <w:t>173</w:t>
      </w:r>
      <w:r w:rsidRPr="006E7064">
        <w:t>, option 2 n=</w:t>
      </w:r>
      <w:r w:rsidR="006E7064" w:rsidRPr="006E7064">
        <w:t>168</w:t>
      </w:r>
      <w:r w:rsidRPr="006E7064">
        <w:t>, option 3 n=</w:t>
      </w:r>
      <w:r w:rsidR="006E7064" w:rsidRPr="006E7064">
        <w:t>166</w:t>
      </w:r>
      <w:r w:rsidRPr="006E7064">
        <w:t>.</w:t>
      </w:r>
    </w:p>
    <w:p w14:paraId="1FE16538" w14:textId="3D771346" w:rsidR="00E57169" w:rsidRPr="00CE6754" w:rsidRDefault="00E57169" w:rsidP="00E57169">
      <w:pPr>
        <w:pStyle w:val="CaptionChart"/>
        <w:numPr>
          <w:ilvl w:val="7"/>
          <w:numId w:val="0"/>
        </w:numPr>
      </w:pPr>
      <w:r>
        <w:lastRenderedPageBreak/>
        <w:t>Appendix Chart 12.3.</w:t>
      </w:r>
      <w:r w:rsidR="0099357D">
        <w:t>3</w:t>
      </w:r>
      <w:r>
        <w:t xml:space="preserve">.3 </w:t>
      </w:r>
      <w:r w:rsidRPr="00CE6754">
        <w:t>Family, carer and parent responses to “How much do you think each option will reduce the risk of harm to children?”</w:t>
      </w:r>
    </w:p>
    <w:p w14:paraId="4CBE41E1" w14:textId="537D6065" w:rsidR="00777542" w:rsidRPr="00A8367F" w:rsidRDefault="00A8367F" w:rsidP="00777542">
      <w:pPr>
        <w:pStyle w:val="Source"/>
      </w:pPr>
      <w:r w:rsidRPr="00A8367F">
        <w:rPr>
          <w:noProof/>
          <w14:ligatures w14:val="standardContextual"/>
        </w:rPr>
        <w:drawing>
          <wp:inline distT="0" distB="0" distL="0" distR="0" wp14:anchorId="0BE7E4DA" wp14:editId="5581612E">
            <wp:extent cx="5727700" cy="2751826"/>
            <wp:effectExtent l="0" t="0" r="6350" b="0"/>
            <wp:docPr id="1959237907" name="Chart 1" descr="Chart outlining family, carer, and parent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1E3412FD-9833-0CBB-9C4D-47C1206DF2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9F23F83" w14:textId="45FAE967" w:rsidR="00777542" w:rsidRPr="00A8367F" w:rsidRDefault="00777542" w:rsidP="00777542">
      <w:pPr>
        <w:pStyle w:val="Source"/>
      </w:pPr>
      <w:r w:rsidRPr="00A8367F">
        <w:t xml:space="preserve">Source: Families, carers and parents survey, as of </w:t>
      </w:r>
      <w:r w:rsidR="005051C2">
        <w:t>11</w:t>
      </w:r>
      <w:r w:rsidRPr="00A8367F">
        <w:t xml:space="preserve"> June 2025, Q32, n=</w:t>
      </w:r>
      <w:r w:rsidR="00A8367F" w:rsidRPr="00A8367F">
        <w:t>83</w:t>
      </w:r>
      <w:r w:rsidRPr="00A8367F">
        <w:t xml:space="preserve"> </w:t>
      </w:r>
      <w:r w:rsidR="00A8367F" w:rsidRPr="00A8367F">
        <w:t>for all options</w:t>
      </w:r>
      <w:r w:rsidRPr="00A8367F">
        <w:t>.</w:t>
      </w:r>
    </w:p>
    <w:p w14:paraId="1D7B5836" w14:textId="1B04DC44" w:rsidR="00777542" w:rsidRPr="006E7064" w:rsidRDefault="00777542" w:rsidP="00777542">
      <w:pPr>
        <w:pStyle w:val="Heading4un-numbered"/>
      </w:pPr>
      <w:r w:rsidRPr="006E7064">
        <w:t xml:space="preserve">Making inappropriate conduct an offence – </w:t>
      </w:r>
      <w:r w:rsidR="00370AB1">
        <w:t xml:space="preserve">Preferred option or combination </w:t>
      </w:r>
      <w:r w:rsidRPr="006E7064">
        <w:t>of options</w:t>
      </w:r>
    </w:p>
    <w:p w14:paraId="1FF3DE5E" w14:textId="4D2AFBD6" w:rsidR="00777542" w:rsidRPr="00F14D4B" w:rsidRDefault="0099357D" w:rsidP="00777542">
      <w:pPr>
        <w:pStyle w:val="CaptionChart"/>
        <w:numPr>
          <w:ilvl w:val="7"/>
          <w:numId w:val="0"/>
        </w:numPr>
      </w:pPr>
      <w:r>
        <w:t>Appendix Chart 12.3.3.4</w:t>
      </w:r>
      <w:r w:rsidR="00777542" w:rsidRPr="00F14D4B">
        <w:t xml:space="preserve"> </w:t>
      </w:r>
      <w:bookmarkStart w:id="272" w:name="_Toc200656076"/>
      <w:bookmarkStart w:id="273" w:name="_Toc200657419"/>
      <w:r w:rsidR="00777542" w:rsidRPr="00F14D4B">
        <w:t xml:space="preserve">Approved provider responses to “What is your </w:t>
      </w:r>
      <w:r w:rsidR="00B734E0">
        <w:t xml:space="preserve">preferred option or combination </w:t>
      </w:r>
      <w:r w:rsidR="00777542" w:rsidRPr="00F14D4B">
        <w:t>of options?”</w:t>
      </w:r>
      <w:bookmarkEnd w:id="272"/>
      <w:bookmarkEnd w:id="273"/>
    </w:p>
    <w:p w14:paraId="69A69250" w14:textId="4DFC18EF" w:rsidR="00777542" w:rsidRPr="00F14D4B" w:rsidRDefault="00F14D4B" w:rsidP="00976C70">
      <w:pPr>
        <w:pStyle w:val="Source-CSR"/>
      </w:pPr>
      <w:r w:rsidRPr="00F14D4B">
        <w:rPr>
          <w:noProof/>
          <w14:ligatures w14:val="standardContextual"/>
        </w:rPr>
        <w:drawing>
          <wp:inline distT="0" distB="0" distL="0" distR="0" wp14:anchorId="0779A4A5" wp14:editId="248311F7">
            <wp:extent cx="5727700" cy="1626235"/>
            <wp:effectExtent l="0" t="0" r="6350" b="0"/>
            <wp:docPr id="1024596129" name="Chart 1" descr="Chart outlining approved provider responses to the survey question &quot;What is your preferred option or combination of options?&quot;">
              <a:extLst xmlns:a="http://schemas.openxmlformats.org/drawingml/2006/main">
                <a:ext uri="{FF2B5EF4-FFF2-40B4-BE49-F238E27FC236}">
                  <a16:creationId xmlns:a16="http://schemas.microsoft.com/office/drawing/2014/main" id="{6D8E0642-3A90-F3A6-57CD-75A753216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00777542" w:rsidRPr="00636B94">
        <w:t xml:space="preserve"> Source: Approved provider survey, as of </w:t>
      </w:r>
      <w:r w:rsidR="005051C2" w:rsidRPr="00636B94">
        <w:t>11</w:t>
      </w:r>
      <w:r w:rsidR="00777542" w:rsidRPr="00636B94">
        <w:t xml:space="preserve"> June 2025, Q34, n=</w:t>
      </w:r>
      <w:r w:rsidRPr="00636B94">
        <w:t>156</w:t>
      </w:r>
      <w:r w:rsidR="00777542" w:rsidRPr="00636B94">
        <w:t xml:space="preserve"> unique respondents. Note that if a respondent selected a combination of options, that selection is treated as a unique preference and not double-counted in the singular options.</w:t>
      </w:r>
    </w:p>
    <w:p w14:paraId="364802EB" w14:textId="3A5C4F36" w:rsidR="00777542" w:rsidRPr="002F3ADE" w:rsidRDefault="0099357D" w:rsidP="00777542">
      <w:pPr>
        <w:pStyle w:val="CaptionChart"/>
        <w:numPr>
          <w:ilvl w:val="7"/>
          <w:numId w:val="0"/>
        </w:numPr>
      </w:pPr>
      <w:r>
        <w:t>Appendix Chart 12.3.3.5</w:t>
      </w:r>
      <w:r w:rsidR="00777542" w:rsidRPr="002F3ADE">
        <w:t xml:space="preserve"> </w:t>
      </w:r>
      <w:bookmarkStart w:id="274" w:name="_Toc200656077"/>
      <w:bookmarkStart w:id="275" w:name="_Toc200657420"/>
      <w:r w:rsidR="00777542" w:rsidRPr="002F3ADE">
        <w:t xml:space="preserve">Workforce responses to “What is your </w:t>
      </w:r>
      <w:r w:rsidR="00B734E0">
        <w:t xml:space="preserve">preferred option or combination </w:t>
      </w:r>
      <w:r w:rsidR="00777542" w:rsidRPr="002F3ADE">
        <w:t>of options?”</w:t>
      </w:r>
      <w:bookmarkEnd w:id="274"/>
      <w:bookmarkEnd w:id="275"/>
    </w:p>
    <w:p w14:paraId="34CD2923" w14:textId="3284D5E7" w:rsidR="002F3ADE" w:rsidRPr="002F3ADE" w:rsidRDefault="002F3ADE" w:rsidP="00777542">
      <w:pPr>
        <w:rPr>
          <w:noProof/>
          <w14:ligatures w14:val="standardContextual"/>
        </w:rPr>
      </w:pPr>
      <w:r w:rsidRPr="002F3ADE">
        <w:rPr>
          <w:noProof/>
          <w14:ligatures w14:val="standardContextual"/>
        </w:rPr>
        <w:drawing>
          <wp:inline distT="0" distB="0" distL="0" distR="0" wp14:anchorId="2D0EDA8F" wp14:editId="36F4EB4E">
            <wp:extent cx="5610758" cy="1784908"/>
            <wp:effectExtent l="0" t="0" r="0" b="6350"/>
            <wp:docPr id="525551420" name="Chart 1" descr="Chart outlining workforce responses to the survey question &quot;What is your preferred option or combination of options?&quot;">
              <a:extLst xmlns:a="http://schemas.openxmlformats.org/drawingml/2006/main">
                <a:ext uri="{FF2B5EF4-FFF2-40B4-BE49-F238E27FC236}">
                  <a16:creationId xmlns:a16="http://schemas.microsoft.com/office/drawing/2014/main" id="{1AB46DFD-26BB-B2DC-2309-5660309AE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3A4D4E1" w14:textId="6BD951B1" w:rsidR="00777542" w:rsidRPr="00636B94" w:rsidRDefault="00777542" w:rsidP="00976C70">
      <w:pPr>
        <w:pStyle w:val="Source-CSR"/>
      </w:pPr>
      <w:r w:rsidRPr="002F3ADE">
        <w:lastRenderedPageBreak/>
        <w:t xml:space="preserve">Source: Workforce survey, as of </w:t>
      </w:r>
      <w:r w:rsidR="00C3035C" w:rsidRPr="00636B94">
        <w:t>11</w:t>
      </w:r>
      <w:r w:rsidRPr="00636B94">
        <w:t xml:space="preserve"> June 2025, Q34, n=</w:t>
      </w:r>
      <w:r w:rsidR="00C3035C" w:rsidRPr="00636B94">
        <w:t>157</w:t>
      </w:r>
      <w:r w:rsidRPr="00636B94">
        <w:t>. Note that if a respondent selected a combination of options, that selection is treated as a unique preference and not double-counted in the singular options.</w:t>
      </w:r>
      <w:r w:rsidR="004749D2" w:rsidRPr="00636B94">
        <w:t xml:space="preserve"> Note that these percentages do not add to 100% due to rounding. </w:t>
      </w:r>
    </w:p>
    <w:p w14:paraId="6587779B" w14:textId="740873CF" w:rsidR="00777542" w:rsidRPr="00A8367F" w:rsidRDefault="0099357D" w:rsidP="00777542">
      <w:pPr>
        <w:pStyle w:val="CaptionChart"/>
        <w:numPr>
          <w:ilvl w:val="7"/>
          <w:numId w:val="0"/>
        </w:numPr>
      </w:pPr>
      <w:r>
        <w:t>Appendix Chart 12.3.3.6</w:t>
      </w:r>
      <w:r w:rsidR="00777542" w:rsidRPr="00A8367F">
        <w:t xml:space="preserve"> </w:t>
      </w:r>
      <w:bookmarkStart w:id="276" w:name="_Toc200656078"/>
      <w:bookmarkStart w:id="277" w:name="_Toc200657421"/>
      <w:r w:rsidR="00777542" w:rsidRPr="00A8367F">
        <w:t xml:space="preserve">Family, carer, and parent responses to “What is your </w:t>
      </w:r>
      <w:r w:rsidR="00B734E0">
        <w:t xml:space="preserve">preferred option or combination </w:t>
      </w:r>
      <w:r w:rsidR="00777542" w:rsidRPr="00A8367F">
        <w:t>of options?”</w:t>
      </w:r>
      <w:bookmarkEnd w:id="276"/>
      <w:bookmarkEnd w:id="277"/>
    </w:p>
    <w:p w14:paraId="1904542C" w14:textId="14FFF033" w:rsidR="00777542" w:rsidRPr="00A8367F" w:rsidRDefault="001C6EE4" w:rsidP="00777542">
      <w:r w:rsidRPr="005051C2">
        <w:rPr>
          <w:noProof/>
          <w:shd w:val="clear" w:color="auto" w:fill="A6CE38" w:themeFill="accent5"/>
          <w14:ligatures w14:val="standardContextual"/>
        </w:rPr>
        <w:drawing>
          <wp:inline distT="0" distB="0" distL="0" distR="0" wp14:anchorId="39AE8109" wp14:editId="0CDA459F">
            <wp:extent cx="5745192" cy="1699404"/>
            <wp:effectExtent l="0" t="0" r="8255" b="0"/>
            <wp:docPr id="1602337994" name="Chart 1" descr="Chart outlining family, carer, and parent responses to the survey question &quot;What is your preferred option or combination of options?&quot;">
              <a:extLst xmlns:a="http://schemas.openxmlformats.org/drawingml/2006/main">
                <a:ext uri="{FF2B5EF4-FFF2-40B4-BE49-F238E27FC236}">
                  <a16:creationId xmlns:a16="http://schemas.microsoft.com/office/drawing/2014/main" id="{12E25B8B-988D-B85D-8F48-EDFFFBDECA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61DCDD0" w14:textId="76FBA134" w:rsidR="00777542" w:rsidRPr="00A8367F" w:rsidRDefault="00777542" w:rsidP="00976C70">
      <w:pPr>
        <w:pStyle w:val="Source-CSR"/>
      </w:pPr>
      <w:r w:rsidRPr="00A8367F">
        <w:t xml:space="preserve">Source: Families, carers and parents survey, as of </w:t>
      </w:r>
      <w:r w:rsidR="005051C2" w:rsidRPr="00636B94">
        <w:t>11</w:t>
      </w:r>
      <w:r w:rsidRPr="00636B94">
        <w:t xml:space="preserve"> June 2025, Q34, n=</w:t>
      </w:r>
      <w:r w:rsidR="001C6EE4" w:rsidRPr="00636B94">
        <w:t>79</w:t>
      </w:r>
      <w:r w:rsidRPr="00636B94">
        <w:t>. Note that if a respondent selected a combination of options, that selection is treated as a unique preference and not double-counted in the singular options.</w:t>
      </w:r>
    </w:p>
    <w:p w14:paraId="506D7662" w14:textId="77777777" w:rsidR="00777542" w:rsidRPr="00777542" w:rsidRDefault="00777542" w:rsidP="00777542">
      <w:pPr>
        <w:rPr>
          <w:highlight w:val="yellow"/>
        </w:rPr>
      </w:pPr>
    </w:p>
    <w:p w14:paraId="126374EE" w14:textId="77777777" w:rsidR="00777542" w:rsidRPr="00777542" w:rsidRDefault="00777542" w:rsidP="00777542">
      <w:pPr>
        <w:spacing w:after="160" w:line="259" w:lineRule="auto"/>
        <w:rPr>
          <w:rFonts w:eastAsiaTheme="majorEastAsia" w:cstheme="majorBidi"/>
          <w:b/>
          <w:bCs/>
          <w:i/>
          <w:iCs/>
          <w:color w:val="006B77" w:themeColor="background2"/>
          <w:highlight w:val="yellow"/>
        </w:rPr>
      </w:pPr>
      <w:r w:rsidRPr="00777542">
        <w:rPr>
          <w:highlight w:val="yellow"/>
        </w:rPr>
        <w:br w:type="page"/>
      </w:r>
    </w:p>
    <w:p w14:paraId="0C899473" w14:textId="77777777" w:rsidR="00777542" w:rsidRPr="00C3035C" w:rsidRDefault="00777542" w:rsidP="00777542">
      <w:pPr>
        <w:pStyle w:val="Heading4un-numbered"/>
      </w:pPr>
      <w:r w:rsidRPr="00C3035C">
        <w:lastRenderedPageBreak/>
        <w:t>Enhancing Regulatory Authorities’ ability to share information with approved providers – Reduction of the risk of harm</w:t>
      </w:r>
    </w:p>
    <w:p w14:paraId="285608B9" w14:textId="0C843301" w:rsidR="007B4D62" w:rsidRPr="00F64B5C" w:rsidRDefault="007B4D62" w:rsidP="007B4D62">
      <w:pPr>
        <w:pStyle w:val="CaptionChart"/>
      </w:pPr>
      <w:r>
        <w:t>Appendix Chart 12.3.</w:t>
      </w:r>
      <w:r w:rsidR="0099357D">
        <w:t>3</w:t>
      </w:r>
      <w:r>
        <w:t>.</w:t>
      </w:r>
      <w:r w:rsidR="005F4937">
        <w:t>7</w:t>
      </w:r>
      <w:r w:rsidR="00777542" w:rsidRPr="00F14D4B">
        <w:t xml:space="preserve"> </w:t>
      </w:r>
      <w:bookmarkStart w:id="278" w:name="_Ref200652969"/>
      <w:bookmarkStart w:id="279" w:name="_Ref200652980"/>
      <w:bookmarkStart w:id="280" w:name="_Toc200656079"/>
      <w:bookmarkStart w:id="281" w:name="_Toc200657422"/>
      <w:r w:rsidR="00777542" w:rsidRPr="00F14D4B">
        <w:t>Approved provider responses to “How much do you think each option will reduce the risk of harm to children?”</w:t>
      </w:r>
    </w:p>
    <w:bookmarkEnd w:id="278"/>
    <w:bookmarkEnd w:id="279"/>
    <w:bookmarkEnd w:id="280"/>
    <w:bookmarkEnd w:id="281"/>
    <w:p w14:paraId="3AB9ED4E" w14:textId="28E88EBF" w:rsidR="00777542" w:rsidRPr="00F14D4B" w:rsidRDefault="00F14D4B" w:rsidP="00777542">
      <w:pPr>
        <w:pStyle w:val="Source"/>
      </w:pPr>
      <w:r w:rsidRPr="005051C2">
        <w:rPr>
          <w:noProof/>
          <w:shd w:val="clear" w:color="auto" w:fill="A6CE38" w:themeFill="accent5"/>
          <w14:ligatures w14:val="standardContextual"/>
        </w:rPr>
        <w:drawing>
          <wp:inline distT="0" distB="0" distL="0" distR="0" wp14:anchorId="7CB8F0F4" wp14:editId="48CA0420">
            <wp:extent cx="5469147" cy="2674189"/>
            <wp:effectExtent l="0" t="0" r="0" b="0"/>
            <wp:docPr id="954485731"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26A9FF29-C0F4-7E95-16F9-114E95ED39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9D1A760" w14:textId="1A0F02D0" w:rsidR="00777542" w:rsidRPr="00F14D4B" w:rsidRDefault="00777542" w:rsidP="00777542">
      <w:pPr>
        <w:pStyle w:val="Source"/>
      </w:pPr>
      <w:r w:rsidRPr="00F14D4B">
        <w:t xml:space="preserve">Source: Approved provider survey, as of </w:t>
      </w:r>
      <w:r w:rsidR="00D33AF1">
        <w:t>11</w:t>
      </w:r>
      <w:r w:rsidRPr="00F14D4B">
        <w:t xml:space="preserve"> June 2025, Q46, option 1 n=1</w:t>
      </w:r>
      <w:r w:rsidR="00F14D4B">
        <w:t>52</w:t>
      </w:r>
      <w:r w:rsidRPr="00F14D4B">
        <w:t>, option 2 n=1</w:t>
      </w:r>
      <w:r w:rsidR="00F14D4B">
        <w:t>51</w:t>
      </w:r>
      <w:r w:rsidRPr="00F14D4B">
        <w:t>, option 3 n=1</w:t>
      </w:r>
      <w:r w:rsidR="00F14D4B">
        <w:t>50</w:t>
      </w:r>
      <w:r w:rsidRPr="00F14D4B">
        <w:t>, option 4 n=1</w:t>
      </w:r>
      <w:r w:rsidR="00F14D4B">
        <w:t>48</w:t>
      </w:r>
      <w:r w:rsidRPr="00F14D4B">
        <w:t>.</w:t>
      </w:r>
    </w:p>
    <w:p w14:paraId="152F9CDC" w14:textId="17082D41" w:rsidR="00E57169" w:rsidRPr="00DA4F42" w:rsidRDefault="00E57169" w:rsidP="00E57169">
      <w:pPr>
        <w:pStyle w:val="CaptionChart"/>
        <w:numPr>
          <w:ilvl w:val="7"/>
          <w:numId w:val="0"/>
        </w:numPr>
      </w:pPr>
      <w:r>
        <w:t>Appendix Chart 12.3.</w:t>
      </w:r>
      <w:r w:rsidR="005F4937">
        <w:t>3.8</w:t>
      </w:r>
      <w:r w:rsidR="00777542" w:rsidRPr="00153F89">
        <w:t xml:space="preserve"> </w:t>
      </w:r>
      <w:bookmarkStart w:id="282" w:name="_Toc200656080"/>
      <w:bookmarkStart w:id="283" w:name="_Toc200657423"/>
      <w:r w:rsidR="00777542" w:rsidRPr="00153F89">
        <w:t>Workforce responses to “How much do you think each option will reduce the risk of harm to children?”</w:t>
      </w:r>
    </w:p>
    <w:bookmarkEnd w:id="282"/>
    <w:bookmarkEnd w:id="283"/>
    <w:p w14:paraId="0FE00E16" w14:textId="4879E0F5" w:rsidR="00777542" w:rsidRPr="00153F89" w:rsidRDefault="00153F89" w:rsidP="00777542">
      <w:pPr>
        <w:pStyle w:val="Source"/>
      </w:pPr>
      <w:r w:rsidRPr="00153F89">
        <w:rPr>
          <w:noProof/>
          <w14:ligatures w14:val="standardContextual"/>
        </w:rPr>
        <w:drawing>
          <wp:inline distT="0" distB="0" distL="0" distR="0" wp14:anchorId="06B7DFD7" wp14:editId="4BB4369B">
            <wp:extent cx="5201107" cy="2275028"/>
            <wp:effectExtent l="0" t="0" r="0" b="0"/>
            <wp:docPr id="1233631086" name="Chart 1" descr="Chart outlining workforce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6759BC0A-0B90-944B-0A45-B10B01D46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1891ED6" w14:textId="6BE657FF" w:rsidR="00777542" w:rsidRPr="00153F89" w:rsidRDefault="00777542" w:rsidP="00777542">
      <w:pPr>
        <w:pStyle w:val="Source"/>
      </w:pPr>
      <w:r w:rsidRPr="00153F89">
        <w:t xml:space="preserve">Source: Workforce survey, as of </w:t>
      </w:r>
      <w:r w:rsidR="00153F89" w:rsidRPr="00153F89">
        <w:t>11</w:t>
      </w:r>
      <w:r w:rsidRPr="00153F89">
        <w:t xml:space="preserve"> June 2025, Q42, option 1 n=</w:t>
      </w:r>
      <w:r w:rsidR="00153F89" w:rsidRPr="00153F89">
        <w:t>158</w:t>
      </w:r>
      <w:r w:rsidRPr="00153F89">
        <w:t>, option 2 n=</w:t>
      </w:r>
      <w:r w:rsidR="00153F89" w:rsidRPr="00153F89">
        <w:t>155</w:t>
      </w:r>
      <w:r w:rsidRPr="00153F89">
        <w:t>, option 3 n=</w:t>
      </w:r>
      <w:r w:rsidR="00153F89" w:rsidRPr="00153F89">
        <w:t>156</w:t>
      </w:r>
      <w:r w:rsidRPr="00153F89">
        <w:t>, option 4 n=</w:t>
      </w:r>
      <w:r w:rsidR="00153F89" w:rsidRPr="00153F89">
        <w:t>156</w:t>
      </w:r>
      <w:r w:rsidRPr="00153F89">
        <w:t>.</w:t>
      </w:r>
    </w:p>
    <w:p w14:paraId="443CEC95" w14:textId="1DD2E427" w:rsidR="00E57169" w:rsidRPr="00CE6754" w:rsidRDefault="00E57169" w:rsidP="00E57169">
      <w:pPr>
        <w:pStyle w:val="CaptionChart"/>
        <w:numPr>
          <w:ilvl w:val="7"/>
          <w:numId w:val="0"/>
        </w:numPr>
      </w:pPr>
      <w:r>
        <w:lastRenderedPageBreak/>
        <w:t>Appendix Chart 12.3.3.</w:t>
      </w:r>
      <w:r w:rsidR="005F4937">
        <w:t>9</w:t>
      </w:r>
      <w:r>
        <w:t xml:space="preserve"> </w:t>
      </w:r>
      <w:r w:rsidRPr="00CE6754">
        <w:t>Family, carer and parent responses to “How much do you think each option will reduce the risk of harm to children?”</w:t>
      </w:r>
    </w:p>
    <w:p w14:paraId="1439B46E" w14:textId="47740695" w:rsidR="00777542" w:rsidRPr="001C6EE4" w:rsidRDefault="001C6EE4" w:rsidP="00777542">
      <w:pPr>
        <w:pStyle w:val="Source"/>
      </w:pPr>
      <w:r>
        <w:rPr>
          <w:noProof/>
          <w14:ligatures w14:val="standardContextual"/>
        </w:rPr>
        <w:drawing>
          <wp:inline distT="0" distB="0" distL="0" distR="0" wp14:anchorId="492D511A" wp14:editId="39ED4277">
            <wp:extent cx="5382883" cy="2242868"/>
            <wp:effectExtent l="0" t="0" r="8890" b="5080"/>
            <wp:docPr id="110724343" name="Chart 1" descr="Chart outlining family, carer, and parent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835EF594-F5EA-14B8-BB49-07B039468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4CB904B" w14:textId="4D4012C8" w:rsidR="00777542" w:rsidRPr="001C6EE4" w:rsidRDefault="00777542" w:rsidP="00777542">
      <w:pPr>
        <w:pStyle w:val="Source"/>
      </w:pPr>
      <w:r w:rsidRPr="001C6EE4">
        <w:t xml:space="preserve">Source: Families, carers and parents survey, as of </w:t>
      </w:r>
      <w:r w:rsidR="00D33AF1">
        <w:t>11</w:t>
      </w:r>
      <w:r w:rsidRPr="001C6EE4">
        <w:t xml:space="preserve"> June 2025, Q46, option 1 n=</w:t>
      </w:r>
      <w:r w:rsidR="001C6EE4">
        <w:t>78</w:t>
      </w:r>
      <w:r w:rsidRPr="001C6EE4">
        <w:t>, option 2 n=</w:t>
      </w:r>
      <w:r w:rsidR="001C6EE4">
        <w:t>78</w:t>
      </w:r>
      <w:r w:rsidRPr="001C6EE4">
        <w:t>, option 3 n=</w:t>
      </w:r>
      <w:r w:rsidR="001C6EE4">
        <w:t>78</w:t>
      </w:r>
      <w:r w:rsidRPr="001C6EE4">
        <w:t>, option 4 n=</w:t>
      </w:r>
      <w:r w:rsidR="001C6EE4">
        <w:t>77</w:t>
      </w:r>
      <w:r w:rsidRPr="001C6EE4">
        <w:t>.</w:t>
      </w:r>
    </w:p>
    <w:p w14:paraId="106B46CB" w14:textId="230EC5F6" w:rsidR="00777542" w:rsidRPr="00153F89" w:rsidRDefault="00777542" w:rsidP="00777542">
      <w:pPr>
        <w:pStyle w:val="Heading4un-numbered"/>
      </w:pPr>
      <w:r w:rsidRPr="00153F89">
        <w:t xml:space="preserve">Enhancing Regulatory Authorities’ ability to share information with approved providers – </w:t>
      </w:r>
      <w:r w:rsidR="00370AB1">
        <w:t xml:space="preserve">Preferred option or combination </w:t>
      </w:r>
      <w:r w:rsidRPr="00153F89">
        <w:t>of options</w:t>
      </w:r>
    </w:p>
    <w:p w14:paraId="7E87A066" w14:textId="424490E0" w:rsidR="00777542" w:rsidRPr="00BD38F3" w:rsidRDefault="005F4937" w:rsidP="00777542">
      <w:pPr>
        <w:pStyle w:val="CaptionChart"/>
        <w:numPr>
          <w:ilvl w:val="7"/>
          <w:numId w:val="0"/>
        </w:numPr>
      </w:pPr>
      <w:r>
        <w:t>Appendix Chart 12.3.3.10</w:t>
      </w:r>
      <w:r w:rsidR="00777542" w:rsidRPr="00BD38F3">
        <w:t xml:space="preserve"> </w:t>
      </w:r>
      <w:bookmarkStart w:id="284" w:name="_Toc200656082"/>
      <w:bookmarkStart w:id="285" w:name="_Toc200657425"/>
      <w:r w:rsidR="00777542" w:rsidRPr="00BD38F3">
        <w:t xml:space="preserve">Approved provider responses to “What is your </w:t>
      </w:r>
      <w:r w:rsidR="00B734E0">
        <w:t xml:space="preserve">preferred option or combination </w:t>
      </w:r>
      <w:r w:rsidR="00777542" w:rsidRPr="00BD38F3">
        <w:t>of options?”</w:t>
      </w:r>
      <w:bookmarkEnd w:id="284"/>
      <w:bookmarkEnd w:id="285"/>
    </w:p>
    <w:p w14:paraId="28CF58C2" w14:textId="2AE3E133" w:rsidR="00BD38F3" w:rsidRPr="00BD38F3" w:rsidRDefault="00204DEE" w:rsidP="00777542">
      <w:pPr>
        <w:rPr>
          <w:noProof/>
          <w14:ligatures w14:val="standardContextual"/>
        </w:rPr>
      </w:pPr>
      <w:r>
        <w:rPr>
          <w:noProof/>
          <w14:ligatures w14:val="standardContextual"/>
        </w:rPr>
        <w:drawing>
          <wp:inline distT="0" distB="0" distL="0" distR="0" wp14:anchorId="6DAD789C" wp14:editId="482BBF93">
            <wp:extent cx="5727700" cy="2068830"/>
            <wp:effectExtent l="0" t="0" r="6350" b="7620"/>
            <wp:docPr id="135437875" name="Chart 1" descr="Chart outlining approved provider responses to the survey question &quot;What is your preferred option or combination of options?&quot;">
              <a:extLst xmlns:a="http://schemas.openxmlformats.org/drawingml/2006/main">
                <a:ext uri="{FF2B5EF4-FFF2-40B4-BE49-F238E27FC236}">
                  <a16:creationId xmlns:a16="http://schemas.microsoft.com/office/drawing/2014/main" id="{EBBAA919-3A1B-3268-6919-00D3C8446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4217446" w14:textId="60758E87" w:rsidR="00777542" w:rsidRPr="00BD38F3" w:rsidRDefault="00777542" w:rsidP="00976C70">
      <w:pPr>
        <w:pStyle w:val="Source-CSR"/>
      </w:pPr>
      <w:r w:rsidRPr="00BD38F3">
        <w:t xml:space="preserve">Source: Approved provider survey, as of </w:t>
      </w:r>
      <w:r w:rsidR="00BC5110" w:rsidRPr="00636B94">
        <w:t>11</w:t>
      </w:r>
      <w:r w:rsidRPr="00636B94">
        <w:t xml:space="preserve"> June 2025, Q44, n=</w:t>
      </w:r>
      <w:r w:rsidR="00BD38F3" w:rsidRPr="00636B94">
        <w:t>121</w:t>
      </w:r>
      <w:r w:rsidRPr="00636B94">
        <w:t xml:space="preserve"> unique respondents. Note that if a respondent selected a combination of options, that selection is treated as a unique preference and not double-counted in the singular options.</w:t>
      </w:r>
    </w:p>
    <w:p w14:paraId="027667CB" w14:textId="73834F76" w:rsidR="00777542" w:rsidRPr="00F02512" w:rsidRDefault="005F4937" w:rsidP="00777542">
      <w:pPr>
        <w:pStyle w:val="CaptionChart"/>
        <w:numPr>
          <w:ilvl w:val="7"/>
          <w:numId w:val="0"/>
        </w:numPr>
      </w:pPr>
      <w:r>
        <w:lastRenderedPageBreak/>
        <w:t>Appendix Chart 12.3.3.11</w:t>
      </w:r>
      <w:r w:rsidR="00777542" w:rsidRPr="00F02512">
        <w:t xml:space="preserve"> </w:t>
      </w:r>
      <w:bookmarkStart w:id="286" w:name="_Toc200656083"/>
      <w:bookmarkStart w:id="287" w:name="_Toc200657426"/>
      <w:r w:rsidR="00777542" w:rsidRPr="00F02512">
        <w:t xml:space="preserve">Workforce responses to “What is your </w:t>
      </w:r>
      <w:r w:rsidR="00B734E0">
        <w:t xml:space="preserve">preferred option or combination </w:t>
      </w:r>
      <w:r w:rsidR="00777542" w:rsidRPr="00F02512">
        <w:t>of options?”</w:t>
      </w:r>
      <w:bookmarkEnd w:id="286"/>
      <w:bookmarkEnd w:id="287"/>
    </w:p>
    <w:p w14:paraId="1378795E" w14:textId="45EB26DB" w:rsidR="00777542" w:rsidRPr="00F02512" w:rsidRDefault="0017799B" w:rsidP="00777542">
      <w:pPr>
        <w:rPr>
          <w:color w:val="808080" w:themeColor="background1" w:themeShade="80"/>
          <w:sz w:val="14"/>
          <w:szCs w:val="10"/>
        </w:rPr>
      </w:pPr>
      <w:r w:rsidRPr="00F02512">
        <w:rPr>
          <w:noProof/>
          <w14:ligatures w14:val="standardContextual"/>
        </w:rPr>
        <w:drawing>
          <wp:inline distT="0" distB="0" distL="0" distR="0" wp14:anchorId="693E70B4" wp14:editId="2047EA68">
            <wp:extent cx="5859475" cy="2077517"/>
            <wp:effectExtent l="0" t="0" r="8255" b="0"/>
            <wp:docPr id="157202285" name="Chart 1" descr="Chart outlining workforce responses to the survey question &quot;What is your preferred option or combination of options?&quot;">
              <a:extLst xmlns:a="http://schemas.openxmlformats.org/drawingml/2006/main">
                <a:ext uri="{FF2B5EF4-FFF2-40B4-BE49-F238E27FC236}">
                  <a16:creationId xmlns:a16="http://schemas.microsoft.com/office/drawing/2014/main" id="{B2F19A4C-DCD5-67FA-8888-6DBDE07A3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FD4BB7C" w14:textId="0602924D" w:rsidR="00777542" w:rsidRPr="00636B94" w:rsidRDefault="00777542" w:rsidP="00976C70">
      <w:pPr>
        <w:pStyle w:val="Source-CSR"/>
      </w:pPr>
      <w:r w:rsidRPr="00F02512">
        <w:t xml:space="preserve">Source: Workforce survey, as of </w:t>
      </w:r>
      <w:r w:rsidR="00F02512" w:rsidRPr="00636B94">
        <w:t>11</w:t>
      </w:r>
      <w:r w:rsidRPr="00636B94">
        <w:t xml:space="preserve"> June 2025, Q44, n=</w:t>
      </w:r>
      <w:r w:rsidR="00F02512" w:rsidRPr="00636B94">
        <w:t>151</w:t>
      </w:r>
      <w:r w:rsidRPr="00636B94">
        <w:t>. Note that if a respondent selected a combination of options, that selection is treated as a unique preference and not double-counted in the singular options.</w:t>
      </w:r>
    </w:p>
    <w:p w14:paraId="6F292E3B" w14:textId="17562164" w:rsidR="00777542" w:rsidRPr="001972FE" w:rsidRDefault="005F4937" w:rsidP="00777542">
      <w:pPr>
        <w:pStyle w:val="CaptionChart"/>
        <w:numPr>
          <w:ilvl w:val="7"/>
          <w:numId w:val="0"/>
        </w:numPr>
      </w:pPr>
      <w:r>
        <w:t xml:space="preserve">Appendix Chart 12.3.3.12 </w:t>
      </w:r>
      <w:bookmarkStart w:id="288" w:name="_Toc200656084"/>
      <w:bookmarkStart w:id="289" w:name="_Toc200657427"/>
      <w:r w:rsidR="00777542" w:rsidRPr="001972FE">
        <w:t xml:space="preserve">Family, carer, and parent responses to “What is your </w:t>
      </w:r>
      <w:r w:rsidR="00B734E0">
        <w:t xml:space="preserve">preferred option or combination </w:t>
      </w:r>
      <w:r w:rsidR="00777542" w:rsidRPr="001972FE">
        <w:t>of options?”</w:t>
      </w:r>
      <w:bookmarkEnd w:id="288"/>
      <w:bookmarkEnd w:id="289"/>
    </w:p>
    <w:p w14:paraId="19DF7164" w14:textId="4A8FF9AD" w:rsidR="00777542" w:rsidRPr="001972FE" w:rsidRDefault="001972FE" w:rsidP="00777542">
      <w:pPr>
        <w:rPr>
          <w:color w:val="808080" w:themeColor="background1" w:themeShade="80"/>
          <w:sz w:val="14"/>
          <w:szCs w:val="10"/>
        </w:rPr>
      </w:pPr>
      <w:r w:rsidRPr="001972FE">
        <w:rPr>
          <w:noProof/>
          <w14:ligatures w14:val="standardContextual"/>
        </w:rPr>
        <w:drawing>
          <wp:inline distT="0" distB="0" distL="0" distR="0" wp14:anchorId="106A39D1" wp14:editId="0BAE7301">
            <wp:extent cx="5727700" cy="1898015"/>
            <wp:effectExtent l="0" t="0" r="6350" b="6985"/>
            <wp:docPr id="1898489485" name="Chart 1" descr="Chart outlining family, carer, and parent responses to the survey question &quot;What is your preferred option or combination of options?&quot;">
              <a:extLst xmlns:a="http://schemas.openxmlformats.org/drawingml/2006/main">
                <a:ext uri="{FF2B5EF4-FFF2-40B4-BE49-F238E27FC236}">
                  <a16:creationId xmlns:a16="http://schemas.microsoft.com/office/drawing/2014/main" id="{0FE8CE14-8C4A-F24A-F6BD-84E17C639B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C0DC8CB" w14:textId="5E4BC980" w:rsidR="00777542" w:rsidRPr="00777542" w:rsidRDefault="00777542" w:rsidP="00976C70">
      <w:pPr>
        <w:pStyle w:val="Source-CSR"/>
        <w:rPr>
          <w:rFonts w:eastAsiaTheme="majorEastAsia" w:cstheme="majorBidi"/>
          <w:b/>
          <w:bCs/>
          <w:i/>
          <w:iCs/>
          <w:color w:val="006B77" w:themeColor="background2"/>
          <w:highlight w:val="yellow"/>
        </w:rPr>
      </w:pPr>
      <w:r w:rsidRPr="001972FE">
        <w:t xml:space="preserve">Source: Families, carers and parents survey, as of </w:t>
      </w:r>
      <w:r w:rsidR="00BC5110" w:rsidRPr="00636B94">
        <w:t>11</w:t>
      </w:r>
      <w:r w:rsidRPr="00636B94">
        <w:t xml:space="preserve"> June 2025, Q44, n=</w:t>
      </w:r>
      <w:r w:rsidR="001972FE" w:rsidRPr="00636B94">
        <w:t>73</w:t>
      </w:r>
      <w:r w:rsidRPr="00636B94">
        <w:t xml:space="preserve"> unique respondents. Note that if a respondent selected a combination of options, that selection is treated as a unique preference and not double-counted in the singular options. Note that no respondents selected option 1 as their </w:t>
      </w:r>
      <w:r w:rsidR="004C5562" w:rsidRPr="00636B94">
        <w:t>recommended option</w:t>
      </w:r>
      <w:r w:rsidRPr="00636B94">
        <w:t>.</w:t>
      </w:r>
      <w:r w:rsidR="006D32A9" w:rsidRPr="00636B94">
        <w:t xml:space="preserve"> Note that due to rounding, percentages may not add to 100%.</w:t>
      </w:r>
      <w:r w:rsidRPr="00777542">
        <w:rPr>
          <w:highlight w:val="yellow"/>
        </w:rPr>
        <w:br w:type="page"/>
      </w:r>
    </w:p>
    <w:p w14:paraId="27DCE7D1" w14:textId="77777777" w:rsidR="00777542" w:rsidRPr="00F02512" w:rsidRDefault="00777542" w:rsidP="00777542">
      <w:pPr>
        <w:pStyle w:val="Heading4un-numbered"/>
      </w:pPr>
      <w:r w:rsidRPr="00F02512">
        <w:lastRenderedPageBreak/>
        <w:t>Expansion of regulatory responses to educator and staff member conduct – Reduction of the risk of harm</w:t>
      </w:r>
    </w:p>
    <w:p w14:paraId="3CAD7FD6" w14:textId="3626622F" w:rsidR="007B4D62" w:rsidRPr="00F64B5C" w:rsidRDefault="007B4D62" w:rsidP="007B4D62">
      <w:pPr>
        <w:pStyle w:val="CaptionChart"/>
      </w:pPr>
      <w:r>
        <w:t>Appendix Chart 12.3.</w:t>
      </w:r>
      <w:r w:rsidR="005F4937">
        <w:t>3</w:t>
      </w:r>
      <w:r>
        <w:t>.1</w:t>
      </w:r>
      <w:r w:rsidR="005F4937">
        <w:t>3</w:t>
      </w:r>
      <w:r w:rsidR="00777542" w:rsidRPr="00CF2B15">
        <w:t xml:space="preserve"> </w:t>
      </w:r>
      <w:bookmarkStart w:id="290" w:name="_Toc200656085"/>
      <w:bookmarkStart w:id="291" w:name="_Toc200657428"/>
      <w:r w:rsidR="00777542" w:rsidRPr="00CF2B15">
        <w:t>Approved provider responses to “How much do you think each option will reduce the risk of harm to children?”</w:t>
      </w:r>
    </w:p>
    <w:bookmarkEnd w:id="290"/>
    <w:bookmarkEnd w:id="291"/>
    <w:p w14:paraId="436EFC11" w14:textId="5A76088C" w:rsidR="00777542" w:rsidRPr="00CF2B15" w:rsidRDefault="00CF2B15" w:rsidP="00777542">
      <w:pPr>
        <w:pStyle w:val="Source"/>
      </w:pPr>
      <w:r w:rsidRPr="00CF2B15">
        <w:rPr>
          <w:noProof/>
          <w14:ligatures w14:val="standardContextual"/>
        </w:rPr>
        <w:drawing>
          <wp:inline distT="0" distB="0" distL="0" distR="0" wp14:anchorId="7D32D738" wp14:editId="3952A02E">
            <wp:extent cx="5667153" cy="2583712"/>
            <wp:effectExtent l="0" t="0" r="0" b="7620"/>
            <wp:docPr id="1918519733"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993CB30F-1844-1C94-E6FB-88FDA834C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3C8EFEB" w14:textId="373146C3" w:rsidR="00777542" w:rsidRPr="00CF2B15" w:rsidRDefault="00777542" w:rsidP="00777542">
      <w:pPr>
        <w:pStyle w:val="Source"/>
      </w:pPr>
      <w:r w:rsidRPr="00CF2B15">
        <w:t xml:space="preserve">Source: Approved provider survey, as of </w:t>
      </w:r>
      <w:r w:rsidR="00BC5110">
        <w:t>11</w:t>
      </w:r>
      <w:r w:rsidRPr="00CF2B15">
        <w:t xml:space="preserve"> June 2025, Q54 option 1 n=1</w:t>
      </w:r>
      <w:r w:rsidR="00CF2B15" w:rsidRPr="00CF2B15">
        <w:t>47</w:t>
      </w:r>
      <w:r w:rsidRPr="00CF2B15">
        <w:t>, option 2 n=1</w:t>
      </w:r>
      <w:r w:rsidR="00CF2B15" w:rsidRPr="00CF2B15">
        <w:t>47</w:t>
      </w:r>
      <w:r w:rsidRPr="00CF2B15">
        <w:t>, option 3 n=1</w:t>
      </w:r>
      <w:r w:rsidR="00CF2B15" w:rsidRPr="00CF2B15">
        <w:t>45</w:t>
      </w:r>
      <w:r w:rsidRPr="00CF2B15">
        <w:t>, option 4 n=1</w:t>
      </w:r>
      <w:r w:rsidR="00CF2B15" w:rsidRPr="00CF2B15">
        <w:t>45</w:t>
      </w:r>
      <w:r w:rsidRPr="00CF2B15">
        <w:t>, option 5 n=1</w:t>
      </w:r>
      <w:r w:rsidR="00CF2B15" w:rsidRPr="00CF2B15">
        <w:t>43</w:t>
      </w:r>
      <w:r w:rsidRPr="00CF2B15">
        <w:t>.</w:t>
      </w:r>
    </w:p>
    <w:p w14:paraId="0CD1E18D" w14:textId="21EC6DDE" w:rsidR="00E57169" w:rsidRPr="00DA4F42" w:rsidRDefault="00E57169" w:rsidP="00E57169">
      <w:pPr>
        <w:pStyle w:val="CaptionChart"/>
        <w:numPr>
          <w:ilvl w:val="7"/>
          <w:numId w:val="0"/>
        </w:numPr>
      </w:pPr>
      <w:r>
        <w:t>Appendix Chart 12.3.</w:t>
      </w:r>
      <w:r w:rsidR="005F4937">
        <w:t>3</w:t>
      </w:r>
      <w:r>
        <w:t>.</w:t>
      </w:r>
      <w:r w:rsidR="005F4937">
        <w:t>14</w:t>
      </w:r>
      <w:r w:rsidR="00777542" w:rsidRPr="00F02512">
        <w:t xml:space="preserve"> </w:t>
      </w:r>
      <w:bookmarkStart w:id="292" w:name="_Toc200656086"/>
      <w:bookmarkStart w:id="293" w:name="_Toc200657429"/>
      <w:r w:rsidR="00777542" w:rsidRPr="00F02512">
        <w:t>Workforce responses to “How much do you think each option will reduce the risk of harm to children?”</w:t>
      </w:r>
    </w:p>
    <w:bookmarkEnd w:id="292"/>
    <w:bookmarkEnd w:id="293"/>
    <w:p w14:paraId="4E8FF113" w14:textId="39318315" w:rsidR="00777542" w:rsidRPr="00777542" w:rsidRDefault="0090037A" w:rsidP="00777542">
      <w:pPr>
        <w:pStyle w:val="Source"/>
        <w:rPr>
          <w:highlight w:val="yellow"/>
        </w:rPr>
      </w:pPr>
      <w:r>
        <w:rPr>
          <w:noProof/>
          <w14:ligatures w14:val="standardContextual"/>
        </w:rPr>
        <w:drawing>
          <wp:inline distT="0" distB="0" distL="0" distR="0" wp14:anchorId="3B7E8157" wp14:editId="07D2A442">
            <wp:extent cx="5347411" cy="2790825"/>
            <wp:effectExtent l="0" t="0" r="5715" b="0"/>
            <wp:docPr id="65454215" name="Chart 1" descr="Chart outlining workforce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40601A00-D485-460B-D574-F3397ACD3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3205001" w14:textId="1FFD624D" w:rsidR="00777542" w:rsidRPr="0090037A" w:rsidRDefault="00777542" w:rsidP="00777542">
      <w:pPr>
        <w:pStyle w:val="Source"/>
      </w:pPr>
      <w:r w:rsidRPr="0090037A">
        <w:t xml:space="preserve">Source: Workforce survey, as of </w:t>
      </w:r>
      <w:r w:rsidR="0090037A" w:rsidRPr="0090037A">
        <w:t>11</w:t>
      </w:r>
      <w:r w:rsidRPr="0090037A">
        <w:t xml:space="preserve"> June 2025, Q50, option 1 n=</w:t>
      </w:r>
      <w:r w:rsidR="0090037A" w:rsidRPr="0090037A">
        <w:t>143</w:t>
      </w:r>
      <w:r w:rsidRPr="0090037A">
        <w:t>, option 2 n=</w:t>
      </w:r>
      <w:r w:rsidR="0090037A" w:rsidRPr="0090037A">
        <w:t>141</w:t>
      </w:r>
      <w:r w:rsidRPr="0090037A">
        <w:t>, option 3 n=</w:t>
      </w:r>
      <w:r w:rsidR="0090037A" w:rsidRPr="0090037A">
        <w:t>136</w:t>
      </w:r>
      <w:r w:rsidRPr="0090037A">
        <w:t>, option 4 n=</w:t>
      </w:r>
      <w:r w:rsidR="0090037A" w:rsidRPr="0090037A">
        <w:t>138</w:t>
      </w:r>
      <w:r w:rsidRPr="0090037A">
        <w:t>, option 5 n=</w:t>
      </w:r>
      <w:r w:rsidR="0090037A" w:rsidRPr="0090037A">
        <w:t>139</w:t>
      </w:r>
      <w:r w:rsidRPr="0090037A">
        <w:t>.</w:t>
      </w:r>
    </w:p>
    <w:p w14:paraId="12569142" w14:textId="03BB9FB9" w:rsidR="00E57169" w:rsidRPr="00CE6754" w:rsidRDefault="00E57169" w:rsidP="00E57169">
      <w:pPr>
        <w:pStyle w:val="CaptionChart"/>
        <w:numPr>
          <w:ilvl w:val="7"/>
          <w:numId w:val="0"/>
        </w:numPr>
      </w:pPr>
      <w:r>
        <w:lastRenderedPageBreak/>
        <w:t>Appendix Chart 12.3.3.</w:t>
      </w:r>
      <w:r w:rsidR="005F4937">
        <w:t>15</w:t>
      </w:r>
      <w:r>
        <w:t xml:space="preserve"> </w:t>
      </w:r>
      <w:r w:rsidRPr="00CE6754">
        <w:t>Family, carer and parent responses to “How much do you think each option will reduce the risk of harm to children?”</w:t>
      </w:r>
    </w:p>
    <w:p w14:paraId="57A7A154" w14:textId="2B5392BE" w:rsidR="00777542" w:rsidRPr="001972FE" w:rsidRDefault="001972FE" w:rsidP="00777542">
      <w:pPr>
        <w:pStyle w:val="Source"/>
      </w:pPr>
      <w:r w:rsidRPr="001972FE">
        <w:rPr>
          <w:noProof/>
          <w14:ligatures w14:val="standardContextual"/>
        </w:rPr>
        <w:drawing>
          <wp:inline distT="0" distB="0" distL="0" distR="0" wp14:anchorId="4031414A" wp14:editId="0282891D">
            <wp:extent cx="5720316" cy="2530549"/>
            <wp:effectExtent l="0" t="0" r="0" b="3175"/>
            <wp:docPr id="781847377" name="Chart 1" descr="Chart outlining family, carer and parent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F62F4462-AE46-AF99-095A-A71BD56E5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54E4FD4E" w14:textId="45643207" w:rsidR="00777542" w:rsidRPr="001972FE" w:rsidRDefault="00777542" w:rsidP="00777542">
      <w:pPr>
        <w:pStyle w:val="Source"/>
      </w:pPr>
      <w:r w:rsidRPr="001972FE">
        <w:t xml:space="preserve">Source: Families, carers and parents survey, as of </w:t>
      </w:r>
      <w:r w:rsidR="00BC5110">
        <w:t>11</w:t>
      </w:r>
      <w:r w:rsidRPr="001972FE">
        <w:t xml:space="preserve"> June 2025, Q54, option 1 n= </w:t>
      </w:r>
      <w:r w:rsidR="001972FE">
        <w:t>75</w:t>
      </w:r>
      <w:r w:rsidRPr="001972FE">
        <w:t>, option 2 n=</w:t>
      </w:r>
      <w:r w:rsidR="001972FE">
        <w:t>77</w:t>
      </w:r>
      <w:r w:rsidRPr="001972FE">
        <w:t>, option 3 n=</w:t>
      </w:r>
      <w:r w:rsidR="001972FE">
        <w:t>77</w:t>
      </w:r>
      <w:r w:rsidRPr="001972FE">
        <w:t>, option 4 n=</w:t>
      </w:r>
      <w:r w:rsidR="001972FE">
        <w:t>76</w:t>
      </w:r>
      <w:r w:rsidRPr="001972FE">
        <w:t>, option 5 n=</w:t>
      </w:r>
      <w:r w:rsidR="001972FE">
        <w:t>75</w:t>
      </w:r>
      <w:r w:rsidRPr="001972FE">
        <w:t>.</w:t>
      </w:r>
    </w:p>
    <w:p w14:paraId="6FD6762B" w14:textId="2CDDBCBE" w:rsidR="00777542" w:rsidRPr="0090037A" w:rsidRDefault="00777542" w:rsidP="00777542">
      <w:pPr>
        <w:pStyle w:val="Heading4un-numbered"/>
      </w:pPr>
      <w:r w:rsidRPr="0090037A">
        <w:t xml:space="preserve">Expansion of regulatory responses to educator and staff member conduct – </w:t>
      </w:r>
      <w:r w:rsidR="00370AB1">
        <w:t xml:space="preserve">Preferred option or combination </w:t>
      </w:r>
      <w:r w:rsidRPr="0090037A">
        <w:t>of options</w:t>
      </w:r>
    </w:p>
    <w:p w14:paraId="118051DA" w14:textId="4A057B34" w:rsidR="00777542" w:rsidRPr="00114B24" w:rsidRDefault="00777542" w:rsidP="00777542">
      <w:pPr>
        <w:pStyle w:val="CaptionTable"/>
        <w:numPr>
          <w:ilvl w:val="6"/>
          <w:numId w:val="0"/>
        </w:numPr>
      </w:pPr>
      <w:r w:rsidRPr="0090037A">
        <w:t xml:space="preserve"> </w:t>
      </w:r>
      <w:r w:rsidR="005F4937">
        <w:t>Appendix Table 12.3.3.1</w:t>
      </w:r>
      <w:r w:rsidRPr="0090037A">
        <w:t xml:space="preserve"> </w:t>
      </w:r>
      <w:bookmarkStart w:id="294" w:name="_Toc200656088"/>
      <w:bookmarkStart w:id="295" w:name="_Toc200657431"/>
      <w:r w:rsidRPr="00114B24">
        <w:t xml:space="preserve">Approved provider responses to “What is your </w:t>
      </w:r>
      <w:r w:rsidR="00B734E0">
        <w:t xml:space="preserve">preferred option or combination </w:t>
      </w:r>
      <w:r w:rsidRPr="00114B24">
        <w:t>of options?”</w:t>
      </w:r>
      <w:bookmarkEnd w:id="294"/>
      <w:bookmarkEnd w:id="295"/>
    </w:p>
    <w:tbl>
      <w:tblPr>
        <w:tblW w:w="9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2835"/>
        <w:gridCol w:w="2939"/>
      </w:tblGrid>
      <w:tr w:rsidR="00777542" w:rsidRPr="00777542" w14:paraId="6FA2CD54" w14:textId="77777777" w:rsidTr="00D94F44">
        <w:trPr>
          <w:trHeight w:val="305"/>
        </w:trPr>
        <w:tc>
          <w:tcPr>
            <w:tcW w:w="3544" w:type="dxa"/>
            <w:tcBorders>
              <w:top w:val="single" w:sz="12" w:space="0" w:color="006B77" w:themeColor="background2"/>
            </w:tcBorders>
            <w:noWrap/>
            <w:vAlign w:val="center"/>
            <w:hideMark/>
          </w:tcPr>
          <w:p w14:paraId="02D0BFFC" w14:textId="70AFC384" w:rsidR="00777542" w:rsidRPr="00E413A3" w:rsidRDefault="00370AB1">
            <w:pPr>
              <w:spacing w:after="0" w:line="240" w:lineRule="auto"/>
              <w:jc w:val="right"/>
              <w:rPr>
                <w:rFonts w:eastAsia="Times New Roman" w:cs="Arial"/>
                <w:b/>
                <w:color w:val="000000"/>
                <w:szCs w:val="22"/>
                <w:lang w:eastAsia="en-AU"/>
              </w:rPr>
            </w:pPr>
            <w:r>
              <w:rPr>
                <w:rFonts w:eastAsia="Times New Roman" w:cs="Arial"/>
                <w:b/>
                <w:color w:val="000000"/>
                <w:szCs w:val="22"/>
                <w:lang w:eastAsia="en-AU"/>
              </w:rPr>
              <w:t xml:space="preserve">Preferred option or combination </w:t>
            </w:r>
            <w:r w:rsidR="00777542" w:rsidRPr="00E413A3">
              <w:rPr>
                <w:rFonts w:eastAsia="Times New Roman" w:cs="Arial"/>
                <w:b/>
                <w:color w:val="000000"/>
                <w:szCs w:val="22"/>
                <w:lang w:eastAsia="en-AU"/>
              </w:rPr>
              <w:t>of options</w:t>
            </w:r>
          </w:p>
        </w:tc>
        <w:tc>
          <w:tcPr>
            <w:tcW w:w="2835" w:type="dxa"/>
            <w:tcBorders>
              <w:top w:val="single" w:sz="12" w:space="0" w:color="006B77" w:themeColor="background2"/>
            </w:tcBorders>
            <w:noWrap/>
            <w:vAlign w:val="center"/>
            <w:hideMark/>
          </w:tcPr>
          <w:p w14:paraId="1D61EB55" w14:textId="77777777" w:rsidR="00777542" w:rsidRPr="00E413A3" w:rsidRDefault="00777542">
            <w:pPr>
              <w:spacing w:after="0" w:line="240" w:lineRule="auto"/>
              <w:jc w:val="right"/>
              <w:rPr>
                <w:rFonts w:eastAsia="Times New Roman" w:cs="Arial"/>
                <w:b/>
                <w:color w:val="000000"/>
                <w:szCs w:val="22"/>
                <w:lang w:eastAsia="en-AU"/>
              </w:rPr>
            </w:pPr>
            <w:r w:rsidRPr="00E413A3">
              <w:rPr>
                <w:rFonts w:eastAsia="Times New Roman" w:cs="Arial"/>
                <w:b/>
                <w:color w:val="000000"/>
                <w:szCs w:val="22"/>
                <w:lang w:eastAsia="en-AU"/>
              </w:rPr>
              <w:t>Number of responses</w:t>
            </w:r>
          </w:p>
        </w:tc>
        <w:tc>
          <w:tcPr>
            <w:tcW w:w="2939" w:type="dxa"/>
            <w:tcBorders>
              <w:top w:val="single" w:sz="12" w:space="0" w:color="006B77" w:themeColor="background2"/>
            </w:tcBorders>
            <w:noWrap/>
            <w:vAlign w:val="center"/>
            <w:hideMark/>
          </w:tcPr>
          <w:p w14:paraId="508DEBFB" w14:textId="77777777" w:rsidR="00777542" w:rsidRPr="00E413A3" w:rsidRDefault="00777542">
            <w:pPr>
              <w:spacing w:after="0" w:line="240" w:lineRule="auto"/>
              <w:jc w:val="right"/>
              <w:rPr>
                <w:rFonts w:eastAsia="Times New Roman" w:cs="Arial"/>
                <w:b/>
                <w:color w:val="000000"/>
                <w:szCs w:val="22"/>
                <w:lang w:eastAsia="en-AU"/>
              </w:rPr>
            </w:pPr>
            <w:r w:rsidRPr="00E413A3">
              <w:rPr>
                <w:rFonts w:eastAsia="Times New Roman" w:cs="Arial"/>
                <w:b/>
                <w:color w:val="000000"/>
                <w:szCs w:val="22"/>
                <w:lang w:eastAsia="en-AU"/>
              </w:rPr>
              <w:t>Proportion of respondents</w:t>
            </w:r>
          </w:p>
        </w:tc>
      </w:tr>
      <w:tr w:rsidR="00777542" w:rsidRPr="00777542" w14:paraId="77CCB092" w14:textId="77777777" w:rsidTr="00B31437">
        <w:trPr>
          <w:trHeight w:val="290"/>
        </w:trPr>
        <w:tc>
          <w:tcPr>
            <w:tcW w:w="3544" w:type="dxa"/>
            <w:shd w:val="clear" w:color="auto" w:fill="F2F2F2" w:themeFill="background1" w:themeFillShade="F2"/>
            <w:noWrap/>
            <w:vAlign w:val="bottom"/>
            <w:hideMark/>
          </w:tcPr>
          <w:p w14:paraId="53AC04DA"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 1</w:t>
            </w:r>
          </w:p>
        </w:tc>
        <w:tc>
          <w:tcPr>
            <w:tcW w:w="2835" w:type="dxa"/>
            <w:shd w:val="clear" w:color="auto" w:fill="F2F2F2" w:themeFill="background1" w:themeFillShade="F2"/>
            <w:noWrap/>
            <w:hideMark/>
          </w:tcPr>
          <w:p w14:paraId="09430A6C" w14:textId="20539CD9" w:rsidR="00777542" w:rsidRPr="00E413A3" w:rsidRDefault="00114B24">
            <w:pPr>
              <w:spacing w:after="0" w:line="240" w:lineRule="auto"/>
              <w:jc w:val="right"/>
              <w:rPr>
                <w:rFonts w:eastAsia="Times New Roman" w:cs="Arial"/>
                <w:color w:val="000000"/>
                <w:szCs w:val="22"/>
                <w:lang w:eastAsia="en-AU"/>
              </w:rPr>
            </w:pPr>
            <w:r w:rsidRPr="00114B24">
              <w:t>5</w:t>
            </w:r>
          </w:p>
        </w:tc>
        <w:tc>
          <w:tcPr>
            <w:tcW w:w="2939" w:type="dxa"/>
            <w:shd w:val="clear" w:color="auto" w:fill="F2F2F2" w:themeFill="background1" w:themeFillShade="F2"/>
            <w:noWrap/>
            <w:hideMark/>
          </w:tcPr>
          <w:p w14:paraId="6BF381EF" w14:textId="335F1D13" w:rsidR="00777542" w:rsidRPr="00E413A3" w:rsidRDefault="00114B24">
            <w:pPr>
              <w:spacing w:after="0" w:line="240" w:lineRule="auto"/>
              <w:jc w:val="right"/>
              <w:rPr>
                <w:rFonts w:eastAsia="Times New Roman" w:cs="Arial"/>
                <w:color w:val="000000"/>
                <w:szCs w:val="22"/>
                <w:lang w:eastAsia="en-AU"/>
              </w:rPr>
            </w:pPr>
            <w:r w:rsidRPr="00114B24">
              <w:t>3</w:t>
            </w:r>
            <w:r w:rsidR="00777542" w:rsidRPr="00114B24">
              <w:t>%</w:t>
            </w:r>
          </w:p>
        </w:tc>
      </w:tr>
      <w:tr w:rsidR="00777542" w:rsidRPr="00777542" w14:paraId="07C29F0F" w14:textId="77777777" w:rsidTr="00B31437">
        <w:trPr>
          <w:trHeight w:val="290"/>
        </w:trPr>
        <w:tc>
          <w:tcPr>
            <w:tcW w:w="3544" w:type="dxa"/>
            <w:shd w:val="clear" w:color="auto" w:fill="F2F2F2" w:themeFill="background1" w:themeFillShade="F2"/>
            <w:noWrap/>
            <w:vAlign w:val="bottom"/>
            <w:hideMark/>
          </w:tcPr>
          <w:p w14:paraId="029ECFE6"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 2</w:t>
            </w:r>
          </w:p>
        </w:tc>
        <w:tc>
          <w:tcPr>
            <w:tcW w:w="2835" w:type="dxa"/>
            <w:shd w:val="clear" w:color="auto" w:fill="F2F2F2" w:themeFill="background1" w:themeFillShade="F2"/>
            <w:noWrap/>
            <w:hideMark/>
          </w:tcPr>
          <w:p w14:paraId="219A4B9A" w14:textId="75543A36" w:rsidR="00777542" w:rsidRPr="00E413A3" w:rsidRDefault="00114B24">
            <w:pPr>
              <w:spacing w:after="0" w:line="240" w:lineRule="auto"/>
              <w:jc w:val="right"/>
              <w:rPr>
                <w:rFonts w:eastAsia="Times New Roman" w:cs="Arial"/>
                <w:color w:val="000000"/>
                <w:szCs w:val="22"/>
                <w:lang w:eastAsia="en-AU"/>
              </w:rPr>
            </w:pPr>
            <w:r w:rsidRPr="00114B24">
              <w:t>11</w:t>
            </w:r>
          </w:p>
        </w:tc>
        <w:tc>
          <w:tcPr>
            <w:tcW w:w="2939" w:type="dxa"/>
            <w:shd w:val="clear" w:color="auto" w:fill="F2F2F2" w:themeFill="background1" w:themeFillShade="F2"/>
            <w:noWrap/>
            <w:hideMark/>
          </w:tcPr>
          <w:p w14:paraId="37530A65" w14:textId="23DA9594" w:rsidR="00777542" w:rsidRPr="00E413A3" w:rsidRDefault="00114B24">
            <w:pPr>
              <w:spacing w:after="0" w:line="240" w:lineRule="auto"/>
              <w:jc w:val="right"/>
              <w:rPr>
                <w:rFonts w:eastAsia="Times New Roman" w:cs="Arial"/>
                <w:color w:val="000000"/>
                <w:szCs w:val="22"/>
                <w:lang w:eastAsia="en-AU"/>
              </w:rPr>
            </w:pPr>
            <w:r w:rsidRPr="00114B24">
              <w:t>8</w:t>
            </w:r>
            <w:r w:rsidR="00777542" w:rsidRPr="00114B24">
              <w:t>%</w:t>
            </w:r>
          </w:p>
        </w:tc>
      </w:tr>
      <w:tr w:rsidR="00777542" w:rsidRPr="00777542" w14:paraId="47665750" w14:textId="77777777" w:rsidTr="00B31437">
        <w:trPr>
          <w:trHeight w:val="290"/>
        </w:trPr>
        <w:tc>
          <w:tcPr>
            <w:tcW w:w="3544" w:type="dxa"/>
            <w:shd w:val="clear" w:color="auto" w:fill="F2F2F2" w:themeFill="background1" w:themeFillShade="F2"/>
            <w:noWrap/>
            <w:vAlign w:val="bottom"/>
            <w:hideMark/>
          </w:tcPr>
          <w:p w14:paraId="505CB82C"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 3</w:t>
            </w:r>
          </w:p>
        </w:tc>
        <w:tc>
          <w:tcPr>
            <w:tcW w:w="2835" w:type="dxa"/>
            <w:shd w:val="clear" w:color="auto" w:fill="F2F2F2" w:themeFill="background1" w:themeFillShade="F2"/>
            <w:noWrap/>
            <w:hideMark/>
          </w:tcPr>
          <w:p w14:paraId="101252E5" w14:textId="56D32A2B" w:rsidR="00777542" w:rsidRPr="00E413A3" w:rsidRDefault="00114B24">
            <w:pPr>
              <w:spacing w:after="0" w:line="240" w:lineRule="auto"/>
              <w:jc w:val="right"/>
              <w:rPr>
                <w:rFonts w:eastAsia="Times New Roman" w:cs="Arial"/>
                <w:color w:val="000000"/>
                <w:szCs w:val="22"/>
                <w:lang w:eastAsia="en-AU"/>
              </w:rPr>
            </w:pPr>
            <w:r w:rsidRPr="00114B24">
              <w:t>12</w:t>
            </w:r>
          </w:p>
        </w:tc>
        <w:tc>
          <w:tcPr>
            <w:tcW w:w="2939" w:type="dxa"/>
            <w:shd w:val="clear" w:color="auto" w:fill="F2F2F2" w:themeFill="background1" w:themeFillShade="F2"/>
            <w:noWrap/>
            <w:hideMark/>
          </w:tcPr>
          <w:p w14:paraId="2A02C5AD" w14:textId="360DD9AB" w:rsidR="00777542" w:rsidRPr="00E413A3" w:rsidRDefault="00114B24">
            <w:pPr>
              <w:spacing w:after="0" w:line="240" w:lineRule="auto"/>
              <w:jc w:val="right"/>
              <w:rPr>
                <w:rFonts w:eastAsia="Times New Roman" w:cs="Arial"/>
                <w:color w:val="000000"/>
                <w:szCs w:val="22"/>
                <w:lang w:eastAsia="en-AU"/>
              </w:rPr>
            </w:pPr>
            <w:r w:rsidRPr="00114B24">
              <w:t>8</w:t>
            </w:r>
            <w:r w:rsidR="00777542" w:rsidRPr="00114B24">
              <w:t>%</w:t>
            </w:r>
          </w:p>
        </w:tc>
      </w:tr>
      <w:tr w:rsidR="00777542" w:rsidRPr="00777542" w14:paraId="4505808A" w14:textId="77777777" w:rsidTr="00B31437">
        <w:trPr>
          <w:trHeight w:val="290"/>
        </w:trPr>
        <w:tc>
          <w:tcPr>
            <w:tcW w:w="3544" w:type="dxa"/>
            <w:shd w:val="clear" w:color="auto" w:fill="F2F2F2" w:themeFill="background1" w:themeFillShade="F2"/>
            <w:noWrap/>
            <w:vAlign w:val="bottom"/>
            <w:hideMark/>
          </w:tcPr>
          <w:p w14:paraId="3C306D42"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 4</w:t>
            </w:r>
          </w:p>
        </w:tc>
        <w:tc>
          <w:tcPr>
            <w:tcW w:w="2835" w:type="dxa"/>
            <w:shd w:val="clear" w:color="auto" w:fill="F2F2F2" w:themeFill="background1" w:themeFillShade="F2"/>
            <w:noWrap/>
            <w:hideMark/>
          </w:tcPr>
          <w:p w14:paraId="28DC449C" w14:textId="3FC5BE93" w:rsidR="00777542" w:rsidRPr="00E413A3" w:rsidRDefault="00114B24">
            <w:pPr>
              <w:spacing w:after="0" w:line="240" w:lineRule="auto"/>
              <w:jc w:val="right"/>
              <w:rPr>
                <w:rFonts w:eastAsia="Times New Roman" w:cs="Arial"/>
                <w:color w:val="000000"/>
                <w:szCs w:val="22"/>
                <w:lang w:eastAsia="en-AU"/>
              </w:rPr>
            </w:pPr>
            <w:r w:rsidRPr="00114B24">
              <w:t>6</w:t>
            </w:r>
          </w:p>
        </w:tc>
        <w:tc>
          <w:tcPr>
            <w:tcW w:w="2939" w:type="dxa"/>
            <w:shd w:val="clear" w:color="auto" w:fill="F2F2F2" w:themeFill="background1" w:themeFillShade="F2"/>
            <w:noWrap/>
            <w:hideMark/>
          </w:tcPr>
          <w:p w14:paraId="2540E107" w14:textId="737CA08A" w:rsidR="00777542" w:rsidRPr="00E413A3" w:rsidRDefault="00114B24">
            <w:pPr>
              <w:spacing w:after="0" w:line="240" w:lineRule="auto"/>
              <w:jc w:val="right"/>
              <w:rPr>
                <w:rFonts w:eastAsia="Times New Roman" w:cs="Arial"/>
                <w:color w:val="000000"/>
                <w:szCs w:val="22"/>
                <w:lang w:eastAsia="en-AU"/>
              </w:rPr>
            </w:pPr>
            <w:r w:rsidRPr="00114B24">
              <w:t>4</w:t>
            </w:r>
            <w:r w:rsidR="00777542" w:rsidRPr="00114B24">
              <w:t>%</w:t>
            </w:r>
          </w:p>
        </w:tc>
      </w:tr>
      <w:tr w:rsidR="00777542" w:rsidRPr="00777542" w14:paraId="01C3ED20" w14:textId="77777777" w:rsidTr="00B31437">
        <w:trPr>
          <w:trHeight w:val="290"/>
        </w:trPr>
        <w:tc>
          <w:tcPr>
            <w:tcW w:w="3544" w:type="dxa"/>
            <w:shd w:val="clear" w:color="auto" w:fill="EDF5D7" w:themeFill="accent5" w:themeFillTint="33"/>
            <w:noWrap/>
            <w:vAlign w:val="bottom"/>
            <w:hideMark/>
          </w:tcPr>
          <w:p w14:paraId="7F211468"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 5</w:t>
            </w:r>
          </w:p>
        </w:tc>
        <w:tc>
          <w:tcPr>
            <w:tcW w:w="2835" w:type="dxa"/>
            <w:shd w:val="clear" w:color="auto" w:fill="EDF5D7" w:themeFill="accent5" w:themeFillTint="33"/>
            <w:noWrap/>
            <w:hideMark/>
          </w:tcPr>
          <w:p w14:paraId="3318D7A9" w14:textId="0562C826" w:rsidR="00777542" w:rsidRPr="00E413A3" w:rsidRDefault="00114B24">
            <w:pPr>
              <w:spacing w:after="0" w:line="240" w:lineRule="auto"/>
              <w:jc w:val="right"/>
              <w:rPr>
                <w:rFonts w:eastAsia="Times New Roman" w:cs="Arial"/>
                <w:color w:val="000000"/>
                <w:szCs w:val="22"/>
                <w:lang w:eastAsia="en-AU"/>
              </w:rPr>
            </w:pPr>
            <w:r w:rsidRPr="00114B24">
              <w:t>13</w:t>
            </w:r>
          </w:p>
        </w:tc>
        <w:tc>
          <w:tcPr>
            <w:tcW w:w="2939" w:type="dxa"/>
            <w:shd w:val="clear" w:color="auto" w:fill="EDF5D7" w:themeFill="accent5" w:themeFillTint="33"/>
            <w:noWrap/>
            <w:hideMark/>
          </w:tcPr>
          <w:p w14:paraId="5B164E3A" w14:textId="0ADEC1A3" w:rsidR="00777542" w:rsidRPr="00E413A3" w:rsidRDefault="00114B24">
            <w:pPr>
              <w:spacing w:after="0" w:line="240" w:lineRule="auto"/>
              <w:jc w:val="right"/>
              <w:rPr>
                <w:rFonts w:eastAsia="Times New Roman" w:cs="Arial"/>
                <w:color w:val="000000"/>
                <w:szCs w:val="22"/>
                <w:lang w:eastAsia="en-AU"/>
              </w:rPr>
            </w:pPr>
            <w:r w:rsidRPr="00114B24">
              <w:t>9</w:t>
            </w:r>
            <w:r w:rsidR="00777542" w:rsidRPr="00114B24">
              <w:t>%</w:t>
            </w:r>
          </w:p>
        </w:tc>
      </w:tr>
      <w:tr w:rsidR="00777542" w:rsidRPr="00777542" w14:paraId="0638455E" w14:textId="77777777" w:rsidTr="00B31437">
        <w:trPr>
          <w:trHeight w:val="290"/>
        </w:trPr>
        <w:tc>
          <w:tcPr>
            <w:tcW w:w="3544" w:type="dxa"/>
            <w:shd w:val="clear" w:color="auto" w:fill="F2F2F2" w:themeFill="background1" w:themeFillShade="F2"/>
            <w:noWrap/>
            <w:vAlign w:val="bottom"/>
            <w:hideMark/>
          </w:tcPr>
          <w:p w14:paraId="546CA73C"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2 and 3</w:t>
            </w:r>
          </w:p>
        </w:tc>
        <w:tc>
          <w:tcPr>
            <w:tcW w:w="2835" w:type="dxa"/>
            <w:shd w:val="clear" w:color="auto" w:fill="F2F2F2" w:themeFill="background1" w:themeFillShade="F2"/>
            <w:noWrap/>
            <w:hideMark/>
          </w:tcPr>
          <w:p w14:paraId="675894FE" w14:textId="749BB9EE" w:rsidR="00777542" w:rsidRPr="00E413A3" w:rsidRDefault="00114B24">
            <w:pPr>
              <w:spacing w:after="0" w:line="240" w:lineRule="auto"/>
              <w:jc w:val="right"/>
              <w:rPr>
                <w:rFonts w:eastAsia="Times New Roman" w:cs="Arial"/>
                <w:color w:val="000000"/>
                <w:szCs w:val="22"/>
                <w:lang w:eastAsia="en-AU"/>
              </w:rPr>
            </w:pPr>
            <w:r w:rsidRPr="00114B24">
              <w:t>2</w:t>
            </w:r>
          </w:p>
        </w:tc>
        <w:tc>
          <w:tcPr>
            <w:tcW w:w="2939" w:type="dxa"/>
            <w:shd w:val="clear" w:color="auto" w:fill="F2F2F2" w:themeFill="background1" w:themeFillShade="F2"/>
            <w:noWrap/>
            <w:hideMark/>
          </w:tcPr>
          <w:p w14:paraId="4C58D034" w14:textId="404E40EC" w:rsidR="00777542" w:rsidRPr="00E413A3" w:rsidRDefault="00777542">
            <w:pPr>
              <w:spacing w:after="0" w:line="240" w:lineRule="auto"/>
              <w:jc w:val="right"/>
              <w:rPr>
                <w:rFonts w:eastAsia="Times New Roman" w:cs="Arial"/>
                <w:color w:val="000000"/>
                <w:szCs w:val="22"/>
                <w:lang w:eastAsia="en-AU"/>
              </w:rPr>
            </w:pPr>
            <w:r w:rsidRPr="00114B24">
              <w:t>1%</w:t>
            </w:r>
          </w:p>
        </w:tc>
      </w:tr>
      <w:tr w:rsidR="00777542" w:rsidRPr="00777542" w14:paraId="0DC95C49" w14:textId="77777777" w:rsidTr="00B31437">
        <w:trPr>
          <w:trHeight w:val="290"/>
        </w:trPr>
        <w:tc>
          <w:tcPr>
            <w:tcW w:w="3544" w:type="dxa"/>
            <w:shd w:val="clear" w:color="auto" w:fill="F2F2F2" w:themeFill="background1" w:themeFillShade="F2"/>
            <w:noWrap/>
            <w:vAlign w:val="bottom"/>
            <w:hideMark/>
          </w:tcPr>
          <w:p w14:paraId="37C9DEE5"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2 and 4</w:t>
            </w:r>
          </w:p>
        </w:tc>
        <w:tc>
          <w:tcPr>
            <w:tcW w:w="2835" w:type="dxa"/>
            <w:shd w:val="clear" w:color="auto" w:fill="F2F2F2" w:themeFill="background1" w:themeFillShade="F2"/>
            <w:noWrap/>
            <w:hideMark/>
          </w:tcPr>
          <w:p w14:paraId="5678D66D" w14:textId="28839CED" w:rsidR="00777542" w:rsidRPr="00E413A3" w:rsidRDefault="00114B24">
            <w:pPr>
              <w:spacing w:after="0" w:line="240" w:lineRule="auto"/>
              <w:jc w:val="right"/>
              <w:rPr>
                <w:rFonts w:eastAsia="Times New Roman" w:cs="Arial"/>
                <w:color w:val="000000"/>
                <w:szCs w:val="22"/>
                <w:lang w:eastAsia="en-AU"/>
              </w:rPr>
            </w:pPr>
            <w:r w:rsidRPr="00114B24">
              <w:t>3</w:t>
            </w:r>
          </w:p>
        </w:tc>
        <w:tc>
          <w:tcPr>
            <w:tcW w:w="2939" w:type="dxa"/>
            <w:shd w:val="clear" w:color="auto" w:fill="F2F2F2" w:themeFill="background1" w:themeFillShade="F2"/>
            <w:noWrap/>
            <w:hideMark/>
          </w:tcPr>
          <w:p w14:paraId="74C6E844" w14:textId="05B07DC5" w:rsidR="00777542" w:rsidRPr="00E413A3" w:rsidRDefault="00777542">
            <w:pPr>
              <w:spacing w:after="0" w:line="240" w:lineRule="auto"/>
              <w:jc w:val="right"/>
              <w:rPr>
                <w:rFonts w:eastAsia="Times New Roman" w:cs="Arial"/>
                <w:color w:val="000000"/>
                <w:szCs w:val="22"/>
                <w:lang w:eastAsia="en-AU"/>
              </w:rPr>
            </w:pPr>
            <w:r w:rsidRPr="00114B24">
              <w:t>2%</w:t>
            </w:r>
          </w:p>
        </w:tc>
      </w:tr>
      <w:tr w:rsidR="00777542" w:rsidRPr="00777542" w14:paraId="61C058DA" w14:textId="77777777" w:rsidTr="00B31437">
        <w:trPr>
          <w:trHeight w:val="290"/>
        </w:trPr>
        <w:tc>
          <w:tcPr>
            <w:tcW w:w="3544" w:type="dxa"/>
            <w:shd w:val="clear" w:color="auto" w:fill="F2F2F2" w:themeFill="background1" w:themeFillShade="F2"/>
            <w:noWrap/>
            <w:vAlign w:val="bottom"/>
            <w:hideMark/>
          </w:tcPr>
          <w:p w14:paraId="00E61F6F"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2 and 5</w:t>
            </w:r>
          </w:p>
        </w:tc>
        <w:tc>
          <w:tcPr>
            <w:tcW w:w="2835" w:type="dxa"/>
            <w:shd w:val="clear" w:color="auto" w:fill="F2F2F2" w:themeFill="background1" w:themeFillShade="F2"/>
            <w:noWrap/>
            <w:hideMark/>
          </w:tcPr>
          <w:p w14:paraId="1750A0AC" w14:textId="45DE6459" w:rsidR="00777542" w:rsidRPr="00E413A3" w:rsidRDefault="00114B24">
            <w:pPr>
              <w:spacing w:after="0" w:line="240" w:lineRule="auto"/>
              <w:jc w:val="right"/>
              <w:rPr>
                <w:rFonts w:eastAsia="Times New Roman" w:cs="Arial"/>
                <w:color w:val="000000"/>
                <w:szCs w:val="22"/>
                <w:lang w:eastAsia="en-AU"/>
              </w:rPr>
            </w:pPr>
            <w:r w:rsidRPr="00114B24">
              <w:t>8</w:t>
            </w:r>
          </w:p>
        </w:tc>
        <w:tc>
          <w:tcPr>
            <w:tcW w:w="2939" w:type="dxa"/>
            <w:shd w:val="clear" w:color="auto" w:fill="F2F2F2" w:themeFill="background1" w:themeFillShade="F2"/>
            <w:noWrap/>
            <w:hideMark/>
          </w:tcPr>
          <w:p w14:paraId="0B309492" w14:textId="7DB742B2" w:rsidR="00777542" w:rsidRPr="00E413A3" w:rsidRDefault="00777542">
            <w:pPr>
              <w:spacing w:after="0" w:line="240" w:lineRule="auto"/>
              <w:jc w:val="right"/>
              <w:rPr>
                <w:rFonts w:eastAsia="Times New Roman" w:cs="Arial"/>
                <w:color w:val="000000"/>
                <w:szCs w:val="22"/>
                <w:lang w:eastAsia="en-AU"/>
              </w:rPr>
            </w:pPr>
            <w:r w:rsidRPr="00114B24">
              <w:t>6%</w:t>
            </w:r>
          </w:p>
        </w:tc>
      </w:tr>
      <w:tr w:rsidR="00777542" w:rsidRPr="00777542" w14:paraId="5970AC91" w14:textId="77777777" w:rsidTr="00B31437">
        <w:trPr>
          <w:trHeight w:val="290"/>
        </w:trPr>
        <w:tc>
          <w:tcPr>
            <w:tcW w:w="3544" w:type="dxa"/>
            <w:shd w:val="clear" w:color="auto" w:fill="F2F2F2" w:themeFill="background1" w:themeFillShade="F2"/>
            <w:noWrap/>
            <w:vAlign w:val="bottom"/>
            <w:hideMark/>
          </w:tcPr>
          <w:p w14:paraId="2B1D810B"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3 and 4</w:t>
            </w:r>
          </w:p>
        </w:tc>
        <w:tc>
          <w:tcPr>
            <w:tcW w:w="2835" w:type="dxa"/>
            <w:shd w:val="clear" w:color="auto" w:fill="F2F2F2" w:themeFill="background1" w:themeFillShade="F2"/>
            <w:noWrap/>
            <w:hideMark/>
          </w:tcPr>
          <w:p w14:paraId="25EC5D10" w14:textId="1BC4D880" w:rsidR="00777542" w:rsidRPr="00E413A3" w:rsidRDefault="00114B24">
            <w:pPr>
              <w:spacing w:after="0" w:line="240" w:lineRule="auto"/>
              <w:jc w:val="right"/>
              <w:rPr>
                <w:rFonts w:eastAsia="Times New Roman" w:cs="Arial"/>
                <w:color w:val="000000"/>
                <w:szCs w:val="22"/>
                <w:lang w:eastAsia="en-AU"/>
              </w:rPr>
            </w:pPr>
            <w:r w:rsidRPr="00114B24">
              <w:t>6</w:t>
            </w:r>
          </w:p>
        </w:tc>
        <w:tc>
          <w:tcPr>
            <w:tcW w:w="2939" w:type="dxa"/>
            <w:shd w:val="clear" w:color="auto" w:fill="F2F2F2" w:themeFill="background1" w:themeFillShade="F2"/>
            <w:noWrap/>
            <w:hideMark/>
          </w:tcPr>
          <w:p w14:paraId="77BAEF06" w14:textId="7BDC0A59" w:rsidR="00777542" w:rsidRPr="00E413A3" w:rsidRDefault="00777542">
            <w:pPr>
              <w:spacing w:after="0" w:line="240" w:lineRule="auto"/>
              <w:jc w:val="right"/>
              <w:rPr>
                <w:rFonts w:eastAsia="Times New Roman" w:cs="Arial"/>
                <w:color w:val="000000"/>
                <w:szCs w:val="22"/>
                <w:lang w:eastAsia="en-AU"/>
              </w:rPr>
            </w:pPr>
            <w:r w:rsidRPr="00114B24">
              <w:t>4%</w:t>
            </w:r>
          </w:p>
        </w:tc>
      </w:tr>
      <w:tr w:rsidR="00777542" w:rsidRPr="00777542" w14:paraId="1FC2399C" w14:textId="77777777" w:rsidTr="00B31437">
        <w:trPr>
          <w:trHeight w:val="290"/>
        </w:trPr>
        <w:tc>
          <w:tcPr>
            <w:tcW w:w="3544" w:type="dxa"/>
            <w:shd w:val="clear" w:color="auto" w:fill="F2F2F2" w:themeFill="background1" w:themeFillShade="F2"/>
            <w:noWrap/>
            <w:vAlign w:val="bottom"/>
            <w:hideMark/>
          </w:tcPr>
          <w:p w14:paraId="52992C63"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3 and 5</w:t>
            </w:r>
          </w:p>
        </w:tc>
        <w:tc>
          <w:tcPr>
            <w:tcW w:w="2835" w:type="dxa"/>
            <w:shd w:val="clear" w:color="auto" w:fill="F2F2F2" w:themeFill="background1" w:themeFillShade="F2"/>
            <w:noWrap/>
            <w:hideMark/>
          </w:tcPr>
          <w:p w14:paraId="5948B984" w14:textId="0620AB92" w:rsidR="00777542" w:rsidRPr="00E413A3" w:rsidRDefault="00114B24">
            <w:pPr>
              <w:spacing w:after="0" w:line="240" w:lineRule="auto"/>
              <w:jc w:val="right"/>
              <w:rPr>
                <w:rFonts w:eastAsia="Times New Roman" w:cs="Arial"/>
                <w:color w:val="000000"/>
                <w:szCs w:val="22"/>
                <w:lang w:eastAsia="en-AU"/>
              </w:rPr>
            </w:pPr>
            <w:r w:rsidRPr="00114B24">
              <w:t>9</w:t>
            </w:r>
          </w:p>
        </w:tc>
        <w:tc>
          <w:tcPr>
            <w:tcW w:w="2939" w:type="dxa"/>
            <w:shd w:val="clear" w:color="auto" w:fill="F2F2F2" w:themeFill="background1" w:themeFillShade="F2"/>
            <w:noWrap/>
            <w:hideMark/>
          </w:tcPr>
          <w:p w14:paraId="5601D7D7" w14:textId="1CDDF17F" w:rsidR="00777542" w:rsidRPr="00E413A3" w:rsidRDefault="00114B24">
            <w:pPr>
              <w:spacing w:after="0" w:line="240" w:lineRule="auto"/>
              <w:jc w:val="right"/>
              <w:rPr>
                <w:rFonts w:eastAsia="Times New Roman" w:cs="Arial"/>
                <w:color w:val="000000"/>
                <w:szCs w:val="22"/>
                <w:lang w:eastAsia="en-AU"/>
              </w:rPr>
            </w:pPr>
            <w:r w:rsidRPr="00114B24">
              <w:t>6</w:t>
            </w:r>
            <w:r w:rsidR="00777542" w:rsidRPr="00114B24">
              <w:t>%</w:t>
            </w:r>
          </w:p>
        </w:tc>
      </w:tr>
      <w:tr w:rsidR="00777542" w:rsidRPr="00777542" w14:paraId="55644B5E" w14:textId="77777777" w:rsidTr="00B31437">
        <w:trPr>
          <w:trHeight w:val="290"/>
        </w:trPr>
        <w:tc>
          <w:tcPr>
            <w:tcW w:w="3544" w:type="dxa"/>
            <w:shd w:val="clear" w:color="auto" w:fill="F2F2F2" w:themeFill="background1" w:themeFillShade="F2"/>
            <w:noWrap/>
            <w:vAlign w:val="bottom"/>
            <w:hideMark/>
          </w:tcPr>
          <w:p w14:paraId="7928DBBA"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4 and 5</w:t>
            </w:r>
          </w:p>
        </w:tc>
        <w:tc>
          <w:tcPr>
            <w:tcW w:w="2835" w:type="dxa"/>
            <w:shd w:val="clear" w:color="auto" w:fill="F2F2F2" w:themeFill="background1" w:themeFillShade="F2"/>
            <w:noWrap/>
            <w:hideMark/>
          </w:tcPr>
          <w:p w14:paraId="2F826868" w14:textId="020684E8" w:rsidR="00777542" w:rsidRPr="00E413A3" w:rsidRDefault="00114B24">
            <w:pPr>
              <w:spacing w:after="0" w:line="240" w:lineRule="auto"/>
              <w:jc w:val="right"/>
              <w:rPr>
                <w:rFonts w:eastAsia="Times New Roman" w:cs="Arial"/>
                <w:color w:val="000000"/>
                <w:szCs w:val="22"/>
                <w:lang w:eastAsia="en-AU"/>
              </w:rPr>
            </w:pPr>
            <w:r w:rsidRPr="00114B24">
              <w:t>9</w:t>
            </w:r>
          </w:p>
        </w:tc>
        <w:tc>
          <w:tcPr>
            <w:tcW w:w="2939" w:type="dxa"/>
            <w:shd w:val="clear" w:color="auto" w:fill="F2F2F2" w:themeFill="background1" w:themeFillShade="F2"/>
            <w:noWrap/>
            <w:hideMark/>
          </w:tcPr>
          <w:p w14:paraId="38EC1EBF" w14:textId="6905AA43" w:rsidR="00777542" w:rsidRPr="00E413A3" w:rsidRDefault="00777542">
            <w:pPr>
              <w:spacing w:after="0" w:line="240" w:lineRule="auto"/>
              <w:jc w:val="right"/>
              <w:rPr>
                <w:rFonts w:eastAsia="Times New Roman" w:cs="Arial"/>
                <w:color w:val="000000"/>
                <w:szCs w:val="22"/>
                <w:lang w:eastAsia="en-AU"/>
              </w:rPr>
            </w:pPr>
            <w:r w:rsidRPr="00114B24">
              <w:t>6%</w:t>
            </w:r>
          </w:p>
        </w:tc>
      </w:tr>
      <w:tr w:rsidR="00777542" w:rsidRPr="00777542" w14:paraId="51577244" w14:textId="77777777" w:rsidTr="00B31437">
        <w:trPr>
          <w:trHeight w:val="290"/>
        </w:trPr>
        <w:tc>
          <w:tcPr>
            <w:tcW w:w="3544" w:type="dxa"/>
            <w:shd w:val="clear" w:color="auto" w:fill="F2F2F2" w:themeFill="background1" w:themeFillShade="F2"/>
            <w:noWrap/>
            <w:vAlign w:val="bottom"/>
            <w:hideMark/>
          </w:tcPr>
          <w:p w14:paraId="03AC4804"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2, 3 and 5</w:t>
            </w:r>
          </w:p>
        </w:tc>
        <w:tc>
          <w:tcPr>
            <w:tcW w:w="2835" w:type="dxa"/>
            <w:shd w:val="clear" w:color="auto" w:fill="F2F2F2" w:themeFill="background1" w:themeFillShade="F2"/>
            <w:noWrap/>
            <w:hideMark/>
          </w:tcPr>
          <w:p w14:paraId="03538664" w14:textId="550B2388" w:rsidR="00777542" w:rsidRPr="00E413A3" w:rsidRDefault="00114B24">
            <w:pPr>
              <w:spacing w:after="0" w:line="240" w:lineRule="auto"/>
              <w:jc w:val="right"/>
              <w:rPr>
                <w:rFonts w:eastAsia="Times New Roman" w:cs="Arial"/>
                <w:color w:val="000000"/>
                <w:szCs w:val="22"/>
                <w:lang w:eastAsia="en-AU"/>
              </w:rPr>
            </w:pPr>
            <w:r w:rsidRPr="00114B24">
              <w:t>11</w:t>
            </w:r>
          </w:p>
        </w:tc>
        <w:tc>
          <w:tcPr>
            <w:tcW w:w="2939" w:type="dxa"/>
            <w:shd w:val="clear" w:color="auto" w:fill="F2F2F2" w:themeFill="background1" w:themeFillShade="F2"/>
            <w:noWrap/>
            <w:hideMark/>
          </w:tcPr>
          <w:p w14:paraId="36576200" w14:textId="048AFE01" w:rsidR="00777542" w:rsidRPr="00E413A3" w:rsidRDefault="00114B24">
            <w:pPr>
              <w:spacing w:after="0" w:line="240" w:lineRule="auto"/>
              <w:jc w:val="right"/>
              <w:rPr>
                <w:rFonts w:eastAsia="Times New Roman" w:cs="Arial"/>
                <w:color w:val="000000"/>
                <w:szCs w:val="22"/>
                <w:lang w:eastAsia="en-AU"/>
              </w:rPr>
            </w:pPr>
            <w:r w:rsidRPr="00114B24">
              <w:t>8</w:t>
            </w:r>
            <w:r w:rsidR="00777542" w:rsidRPr="00114B24">
              <w:t>%</w:t>
            </w:r>
          </w:p>
        </w:tc>
      </w:tr>
      <w:tr w:rsidR="00777542" w:rsidRPr="00777542" w14:paraId="3007E5BA" w14:textId="77777777" w:rsidTr="00B31437">
        <w:trPr>
          <w:trHeight w:val="290"/>
        </w:trPr>
        <w:tc>
          <w:tcPr>
            <w:tcW w:w="3544" w:type="dxa"/>
            <w:shd w:val="clear" w:color="auto" w:fill="F2F2F2" w:themeFill="background1" w:themeFillShade="F2"/>
            <w:noWrap/>
            <w:vAlign w:val="bottom"/>
            <w:hideMark/>
          </w:tcPr>
          <w:p w14:paraId="22C78A80"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2, 4 and 5</w:t>
            </w:r>
          </w:p>
        </w:tc>
        <w:tc>
          <w:tcPr>
            <w:tcW w:w="2835" w:type="dxa"/>
            <w:shd w:val="clear" w:color="auto" w:fill="F2F2F2" w:themeFill="background1" w:themeFillShade="F2"/>
            <w:noWrap/>
            <w:hideMark/>
          </w:tcPr>
          <w:p w14:paraId="5C190446" w14:textId="0986F7D5" w:rsidR="00777542" w:rsidRPr="00E413A3" w:rsidRDefault="00114B24">
            <w:pPr>
              <w:spacing w:after="0" w:line="240" w:lineRule="auto"/>
              <w:jc w:val="right"/>
              <w:rPr>
                <w:rFonts w:eastAsia="Times New Roman" w:cs="Arial"/>
                <w:color w:val="000000"/>
                <w:szCs w:val="22"/>
                <w:lang w:eastAsia="en-AU"/>
              </w:rPr>
            </w:pPr>
            <w:r w:rsidRPr="00114B24">
              <w:t>2</w:t>
            </w:r>
          </w:p>
        </w:tc>
        <w:tc>
          <w:tcPr>
            <w:tcW w:w="2939" w:type="dxa"/>
            <w:shd w:val="clear" w:color="auto" w:fill="F2F2F2" w:themeFill="background1" w:themeFillShade="F2"/>
            <w:noWrap/>
            <w:hideMark/>
          </w:tcPr>
          <w:p w14:paraId="46C5DEFA" w14:textId="7FC893A5" w:rsidR="00777542" w:rsidRPr="00E413A3" w:rsidRDefault="00777542">
            <w:pPr>
              <w:spacing w:after="0" w:line="240" w:lineRule="auto"/>
              <w:jc w:val="right"/>
              <w:rPr>
                <w:rFonts w:eastAsia="Times New Roman" w:cs="Arial"/>
                <w:color w:val="000000"/>
                <w:szCs w:val="22"/>
                <w:lang w:eastAsia="en-AU"/>
              </w:rPr>
            </w:pPr>
            <w:r w:rsidRPr="00114B24">
              <w:t>1%</w:t>
            </w:r>
          </w:p>
        </w:tc>
      </w:tr>
      <w:tr w:rsidR="00777542" w:rsidRPr="00777542" w14:paraId="32B48C47" w14:textId="77777777" w:rsidTr="00B31437">
        <w:trPr>
          <w:trHeight w:val="290"/>
        </w:trPr>
        <w:tc>
          <w:tcPr>
            <w:tcW w:w="3544" w:type="dxa"/>
            <w:shd w:val="clear" w:color="auto" w:fill="F2F2F2" w:themeFill="background1" w:themeFillShade="F2"/>
            <w:noWrap/>
            <w:vAlign w:val="bottom"/>
            <w:hideMark/>
          </w:tcPr>
          <w:p w14:paraId="3A04E04B"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2, 3 and 4</w:t>
            </w:r>
          </w:p>
        </w:tc>
        <w:tc>
          <w:tcPr>
            <w:tcW w:w="2835" w:type="dxa"/>
            <w:shd w:val="clear" w:color="auto" w:fill="F2F2F2" w:themeFill="background1" w:themeFillShade="F2"/>
            <w:noWrap/>
            <w:hideMark/>
          </w:tcPr>
          <w:p w14:paraId="681D8146" w14:textId="2606A9F8" w:rsidR="00777542" w:rsidRPr="00E413A3" w:rsidRDefault="00114B24">
            <w:pPr>
              <w:spacing w:after="0" w:line="240" w:lineRule="auto"/>
              <w:jc w:val="right"/>
              <w:rPr>
                <w:rFonts w:eastAsia="Times New Roman" w:cs="Arial"/>
                <w:color w:val="000000"/>
                <w:szCs w:val="22"/>
                <w:lang w:eastAsia="en-AU"/>
              </w:rPr>
            </w:pPr>
            <w:r w:rsidRPr="00114B24">
              <w:t>3</w:t>
            </w:r>
          </w:p>
        </w:tc>
        <w:tc>
          <w:tcPr>
            <w:tcW w:w="2939" w:type="dxa"/>
            <w:shd w:val="clear" w:color="auto" w:fill="F2F2F2" w:themeFill="background1" w:themeFillShade="F2"/>
            <w:noWrap/>
            <w:hideMark/>
          </w:tcPr>
          <w:p w14:paraId="4EF54713" w14:textId="41A2FA7A" w:rsidR="00777542" w:rsidRPr="00E413A3" w:rsidRDefault="00777542">
            <w:pPr>
              <w:spacing w:after="0" w:line="240" w:lineRule="auto"/>
              <w:jc w:val="right"/>
              <w:rPr>
                <w:rFonts w:eastAsia="Times New Roman" w:cs="Arial"/>
                <w:color w:val="000000"/>
                <w:szCs w:val="22"/>
                <w:lang w:eastAsia="en-AU"/>
              </w:rPr>
            </w:pPr>
            <w:r w:rsidRPr="00114B24">
              <w:t>2%</w:t>
            </w:r>
          </w:p>
        </w:tc>
      </w:tr>
      <w:tr w:rsidR="00777542" w:rsidRPr="00777542" w14:paraId="10E99E8E" w14:textId="77777777" w:rsidTr="00B31437">
        <w:trPr>
          <w:trHeight w:val="290"/>
        </w:trPr>
        <w:tc>
          <w:tcPr>
            <w:tcW w:w="3544" w:type="dxa"/>
            <w:shd w:val="clear" w:color="auto" w:fill="EDF5D7" w:themeFill="accent5" w:themeFillTint="33"/>
            <w:noWrap/>
            <w:vAlign w:val="bottom"/>
            <w:hideMark/>
          </w:tcPr>
          <w:p w14:paraId="53765A9B"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3, 4 and 5</w:t>
            </w:r>
          </w:p>
        </w:tc>
        <w:tc>
          <w:tcPr>
            <w:tcW w:w="2835" w:type="dxa"/>
            <w:shd w:val="clear" w:color="auto" w:fill="EDF5D7" w:themeFill="accent5" w:themeFillTint="33"/>
            <w:noWrap/>
            <w:hideMark/>
          </w:tcPr>
          <w:p w14:paraId="7E7ECBD7" w14:textId="750DC50A" w:rsidR="00777542" w:rsidRPr="00E413A3" w:rsidRDefault="00114B24">
            <w:pPr>
              <w:spacing w:after="0" w:line="240" w:lineRule="auto"/>
              <w:jc w:val="right"/>
              <w:rPr>
                <w:rFonts w:eastAsia="Times New Roman" w:cs="Arial"/>
                <w:color w:val="000000"/>
                <w:szCs w:val="22"/>
                <w:lang w:eastAsia="en-AU"/>
              </w:rPr>
            </w:pPr>
            <w:r w:rsidRPr="00114B24">
              <w:t>21</w:t>
            </w:r>
          </w:p>
        </w:tc>
        <w:tc>
          <w:tcPr>
            <w:tcW w:w="2939" w:type="dxa"/>
            <w:shd w:val="clear" w:color="auto" w:fill="EDF5D7" w:themeFill="accent5" w:themeFillTint="33"/>
            <w:noWrap/>
            <w:hideMark/>
          </w:tcPr>
          <w:p w14:paraId="615EE7A5" w14:textId="21C2A7FB" w:rsidR="00777542" w:rsidRPr="00E413A3" w:rsidRDefault="00114B24">
            <w:pPr>
              <w:spacing w:after="0" w:line="240" w:lineRule="auto"/>
              <w:jc w:val="right"/>
              <w:rPr>
                <w:rFonts w:eastAsia="Times New Roman" w:cs="Arial"/>
                <w:color w:val="000000"/>
                <w:szCs w:val="22"/>
                <w:lang w:eastAsia="en-AU"/>
              </w:rPr>
            </w:pPr>
            <w:r w:rsidRPr="00114B24">
              <w:t>15</w:t>
            </w:r>
            <w:r w:rsidR="00777542" w:rsidRPr="00114B24">
              <w:t>%</w:t>
            </w:r>
          </w:p>
        </w:tc>
      </w:tr>
      <w:tr w:rsidR="00777542" w:rsidRPr="00777542" w14:paraId="585EDC4E" w14:textId="77777777" w:rsidTr="00B31437">
        <w:trPr>
          <w:trHeight w:val="290"/>
        </w:trPr>
        <w:tc>
          <w:tcPr>
            <w:tcW w:w="3544" w:type="dxa"/>
            <w:shd w:val="clear" w:color="auto" w:fill="EDF5D7" w:themeFill="accent5" w:themeFillTint="33"/>
            <w:noWrap/>
            <w:vAlign w:val="bottom"/>
            <w:hideMark/>
          </w:tcPr>
          <w:p w14:paraId="6D74597E" w14:textId="77777777" w:rsidR="00777542" w:rsidRPr="00E413A3" w:rsidRDefault="00777542">
            <w:pPr>
              <w:spacing w:after="0" w:line="240" w:lineRule="auto"/>
              <w:jc w:val="right"/>
              <w:rPr>
                <w:rFonts w:eastAsia="Times New Roman" w:cs="Arial"/>
                <w:color w:val="000000"/>
                <w:szCs w:val="22"/>
                <w:lang w:eastAsia="en-AU"/>
              </w:rPr>
            </w:pPr>
            <w:r w:rsidRPr="00E413A3">
              <w:rPr>
                <w:rFonts w:eastAsia="Times New Roman" w:cs="Arial"/>
                <w:color w:val="000000"/>
                <w:szCs w:val="22"/>
                <w:lang w:eastAsia="en-AU"/>
              </w:rPr>
              <w:t>Options 2, 3, 4 and 5</w:t>
            </w:r>
          </w:p>
        </w:tc>
        <w:tc>
          <w:tcPr>
            <w:tcW w:w="2835" w:type="dxa"/>
            <w:shd w:val="clear" w:color="auto" w:fill="EDF5D7" w:themeFill="accent5" w:themeFillTint="33"/>
            <w:noWrap/>
            <w:hideMark/>
          </w:tcPr>
          <w:p w14:paraId="239A218C" w14:textId="44D1EF8A" w:rsidR="00777542" w:rsidRPr="00E413A3" w:rsidRDefault="00114B24">
            <w:pPr>
              <w:spacing w:after="0" w:line="240" w:lineRule="auto"/>
              <w:jc w:val="right"/>
              <w:rPr>
                <w:rFonts w:eastAsia="Times New Roman" w:cs="Arial"/>
                <w:color w:val="000000"/>
                <w:szCs w:val="22"/>
                <w:lang w:eastAsia="en-AU"/>
              </w:rPr>
            </w:pPr>
            <w:r w:rsidRPr="00114B24">
              <w:t>23</w:t>
            </w:r>
          </w:p>
        </w:tc>
        <w:tc>
          <w:tcPr>
            <w:tcW w:w="2939" w:type="dxa"/>
            <w:shd w:val="clear" w:color="auto" w:fill="EDF5D7" w:themeFill="accent5" w:themeFillTint="33"/>
            <w:noWrap/>
            <w:hideMark/>
          </w:tcPr>
          <w:p w14:paraId="6B05CB8D" w14:textId="490224FF" w:rsidR="00777542" w:rsidRPr="00E413A3" w:rsidRDefault="00114B24">
            <w:pPr>
              <w:spacing w:after="0" w:line="240" w:lineRule="auto"/>
              <w:jc w:val="right"/>
              <w:rPr>
                <w:rFonts w:eastAsia="Times New Roman" w:cs="Arial"/>
                <w:color w:val="000000"/>
                <w:szCs w:val="22"/>
                <w:lang w:eastAsia="en-AU"/>
              </w:rPr>
            </w:pPr>
            <w:r w:rsidRPr="00114B24">
              <w:t>16</w:t>
            </w:r>
            <w:r w:rsidR="00777542" w:rsidRPr="00114B24">
              <w:t>%</w:t>
            </w:r>
          </w:p>
        </w:tc>
      </w:tr>
    </w:tbl>
    <w:p w14:paraId="4A366E62" w14:textId="111087B8" w:rsidR="00777542" w:rsidRPr="00114B24" w:rsidRDefault="00777542" w:rsidP="00976C70">
      <w:pPr>
        <w:pStyle w:val="Source-CSR"/>
      </w:pPr>
      <w:r w:rsidRPr="00114B24">
        <w:t xml:space="preserve">Source: Approved provider survey, as of </w:t>
      </w:r>
      <w:r w:rsidR="00FD728D" w:rsidRPr="00636B94">
        <w:t>11</w:t>
      </w:r>
      <w:r w:rsidRPr="00636B94">
        <w:t xml:space="preserve"> June 2025, Q52, n=1</w:t>
      </w:r>
      <w:r w:rsidR="00114B24" w:rsidRPr="00636B94">
        <w:t>44</w:t>
      </w:r>
      <w:r w:rsidRPr="00636B94">
        <w:t xml:space="preserve"> respondents. Most popular options or combination of options are highlighted in green. Note that if a respondent selected a combination of options, that selection is treated as a unique preference and not double-counted in the singular options. </w:t>
      </w:r>
      <w:r w:rsidR="005257D5" w:rsidRPr="00636B94">
        <w:t>Note that due to rounding, percentages may not add to 100%.</w:t>
      </w:r>
    </w:p>
    <w:p w14:paraId="25357B79" w14:textId="77777777" w:rsidR="00777542" w:rsidRPr="00777542" w:rsidRDefault="00777542" w:rsidP="00777542">
      <w:pPr>
        <w:rPr>
          <w:highlight w:val="yellow"/>
        </w:rPr>
      </w:pPr>
    </w:p>
    <w:p w14:paraId="0FCE8A95" w14:textId="0E0A0EA0" w:rsidR="00777542" w:rsidRPr="00683419" w:rsidRDefault="005F4937" w:rsidP="00777542">
      <w:pPr>
        <w:pStyle w:val="CaptionChart"/>
        <w:numPr>
          <w:ilvl w:val="7"/>
          <w:numId w:val="0"/>
        </w:numPr>
      </w:pPr>
      <w:r>
        <w:t>Appendix Table 12.3.3.2</w:t>
      </w:r>
      <w:r w:rsidR="00777542" w:rsidRPr="00683419">
        <w:t xml:space="preserve"> </w:t>
      </w:r>
      <w:bookmarkStart w:id="296" w:name="_Toc200656089"/>
      <w:bookmarkStart w:id="297" w:name="_Toc200657432"/>
      <w:r w:rsidR="00777542" w:rsidRPr="00683419">
        <w:t xml:space="preserve">Workforce responses to “What is your </w:t>
      </w:r>
      <w:r w:rsidR="00B734E0">
        <w:t xml:space="preserve">preferred option or combination </w:t>
      </w:r>
      <w:r w:rsidR="00777542" w:rsidRPr="00683419">
        <w:t>of options?”</w:t>
      </w:r>
      <w:bookmarkEnd w:id="296"/>
      <w:bookmarkEnd w:id="297"/>
    </w:p>
    <w:tbl>
      <w:tblPr>
        <w:tblW w:w="8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1"/>
        <w:gridCol w:w="2252"/>
        <w:gridCol w:w="2622"/>
      </w:tblGrid>
      <w:tr w:rsidR="00777542" w:rsidRPr="00683419" w14:paraId="6C1C1E13" w14:textId="77777777" w:rsidTr="00D94F44">
        <w:trPr>
          <w:trHeight w:val="282"/>
        </w:trPr>
        <w:tc>
          <w:tcPr>
            <w:tcW w:w="4071" w:type="dxa"/>
            <w:tcBorders>
              <w:top w:val="single" w:sz="12" w:space="0" w:color="006B77" w:themeColor="background2"/>
            </w:tcBorders>
            <w:shd w:val="clear" w:color="auto" w:fill="FFFFFF" w:themeFill="background1"/>
            <w:noWrap/>
            <w:vAlign w:val="center"/>
            <w:hideMark/>
          </w:tcPr>
          <w:p w14:paraId="01A71D65" w14:textId="4F1D4892" w:rsidR="00777542" w:rsidRPr="00E413A3" w:rsidRDefault="00370AB1">
            <w:pPr>
              <w:spacing w:after="0" w:line="240" w:lineRule="auto"/>
              <w:jc w:val="right"/>
              <w:rPr>
                <w:rFonts w:eastAsia="Times New Roman" w:cs="Arial"/>
                <w:b/>
                <w:color w:val="000000"/>
                <w:szCs w:val="22"/>
                <w:lang w:eastAsia="en-AU"/>
              </w:rPr>
            </w:pPr>
            <w:r>
              <w:rPr>
                <w:rFonts w:eastAsia="Times New Roman" w:cs="Arial"/>
                <w:b/>
                <w:color w:val="000000"/>
                <w:szCs w:val="22"/>
                <w:lang w:eastAsia="en-AU"/>
              </w:rPr>
              <w:t xml:space="preserve">Preferred option or combination </w:t>
            </w:r>
            <w:r w:rsidR="00777542" w:rsidRPr="00E413A3">
              <w:rPr>
                <w:rFonts w:eastAsia="Times New Roman" w:cs="Arial"/>
                <w:b/>
                <w:color w:val="000000"/>
                <w:szCs w:val="22"/>
                <w:lang w:eastAsia="en-AU"/>
              </w:rPr>
              <w:t>of options</w:t>
            </w:r>
          </w:p>
        </w:tc>
        <w:tc>
          <w:tcPr>
            <w:tcW w:w="2252" w:type="dxa"/>
            <w:tcBorders>
              <w:top w:val="single" w:sz="12" w:space="0" w:color="006B77" w:themeColor="background2"/>
            </w:tcBorders>
            <w:shd w:val="clear" w:color="auto" w:fill="FFFFFF" w:themeFill="background1"/>
            <w:noWrap/>
            <w:vAlign w:val="center"/>
            <w:hideMark/>
          </w:tcPr>
          <w:p w14:paraId="031F6611" w14:textId="77777777" w:rsidR="00777542" w:rsidRPr="00E413A3" w:rsidRDefault="00777542">
            <w:pPr>
              <w:spacing w:after="0" w:line="240" w:lineRule="auto"/>
              <w:jc w:val="right"/>
              <w:rPr>
                <w:rFonts w:eastAsia="Times New Roman" w:cs="Arial"/>
                <w:b/>
                <w:color w:val="000000"/>
                <w:szCs w:val="22"/>
                <w:lang w:eastAsia="en-AU"/>
              </w:rPr>
            </w:pPr>
            <w:r w:rsidRPr="00E413A3">
              <w:rPr>
                <w:rFonts w:eastAsia="Times New Roman" w:cs="Arial"/>
                <w:b/>
                <w:color w:val="000000"/>
                <w:szCs w:val="22"/>
                <w:lang w:eastAsia="en-AU"/>
              </w:rPr>
              <w:t>Number of responses</w:t>
            </w:r>
          </w:p>
        </w:tc>
        <w:tc>
          <w:tcPr>
            <w:tcW w:w="2622" w:type="dxa"/>
            <w:tcBorders>
              <w:top w:val="single" w:sz="12" w:space="0" w:color="006B77" w:themeColor="background2"/>
            </w:tcBorders>
            <w:shd w:val="clear" w:color="auto" w:fill="FFFFFF" w:themeFill="background1"/>
            <w:noWrap/>
            <w:vAlign w:val="center"/>
            <w:hideMark/>
          </w:tcPr>
          <w:p w14:paraId="669B3A65" w14:textId="77777777" w:rsidR="00777542" w:rsidRPr="00E413A3" w:rsidRDefault="00777542">
            <w:pPr>
              <w:spacing w:after="0" w:line="240" w:lineRule="auto"/>
              <w:jc w:val="right"/>
              <w:rPr>
                <w:rFonts w:eastAsia="Times New Roman" w:cs="Arial"/>
                <w:b/>
                <w:color w:val="000000"/>
                <w:szCs w:val="22"/>
                <w:lang w:eastAsia="en-AU"/>
              </w:rPr>
            </w:pPr>
            <w:r w:rsidRPr="00E413A3">
              <w:rPr>
                <w:rFonts w:eastAsia="Times New Roman" w:cs="Arial"/>
                <w:b/>
                <w:color w:val="000000"/>
                <w:szCs w:val="22"/>
                <w:lang w:eastAsia="en-AU"/>
              </w:rPr>
              <w:t>Proportion of respondents</w:t>
            </w:r>
          </w:p>
        </w:tc>
      </w:tr>
      <w:tr w:rsidR="00777542" w:rsidRPr="00683419" w14:paraId="1CDBD88A" w14:textId="77777777" w:rsidTr="00C12306">
        <w:trPr>
          <w:trHeight w:val="269"/>
        </w:trPr>
        <w:tc>
          <w:tcPr>
            <w:tcW w:w="4071" w:type="dxa"/>
            <w:shd w:val="clear" w:color="auto" w:fill="F2F2F2" w:themeFill="background1" w:themeFillShade="F2"/>
            <w:noWrap/>
            <w:vAlign w:val="bottom"/>
            <w:hideMark/>
          </w:tcPr>
          <w:p w14:paraId="0DBAA748"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 1</w:t>
            </w:r>
          </w:p>
        </w:tc>
        <w:tc>
          <w:tcPr>
            <w:tcW w:w="2252" w:type="dxa"/>
            <w:shd w:val="clear" w:color="auto" w:fill="F2F2F2" w:themeFill="background1" w:themeFillShade="F2"/>
            <w:noWrap/>
            <w:vAlign w:val="bottom"/>
            <w:hideMark/>
          </w:tcPr>
          <w:p w14:paraId="4CB029AE" w14:textId="6D447816"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8</w:t>
            </w:r>
          </w:p>
        </w:tc>
        <w:tc>
          <w:tcPr>
            <w:tcW w:w="2622" w:type="dxa"/>
            <w:shd w:val="clear" w:color="auto" w:fill="F2F2F2" w:themeFill="background1" w:themeFillShade="F2"/>
            <w:noWrap/>
            <w:vAlign w:val="bottom"/>
            <w:hideMark/>
          </w:tcPr>
          <w:p w14:paraId="1D3BDEB7" w14:textId="39B66E84"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6</w:t>
            </w:r>
            <w:r w:rsidR="00777542" w:rsidRPr="00683419">
              <w:rPr>
                <w:rFonts w:cs="Arial"/>
                <w:color w:val="000000"/>
                <w:szCs w:val="22"/>
              </w:rPr>
              <w:t>%</w:t>
            </w:r>
          </w:p>
        </w:tc>
      </w:tr>
      <w:tr w:rsidR="00777542" w:rsidRPr="00683419" w14:paraId="3957223B" w14:textId="77777777" w:rsidTr="00C12306">
        <w:trPr>
          <w:trHeight w:val="269"/>
        </w:trPr>
        <w:tc>
          <w:tcPr>
            <w:tcW w:w="4071" w:type="dxa"/>
            <w:shd w:val="clear" w:color="auto" w:fill="F2F2F2" w:themeFill="background1" w:themeFillShade="F2"/>
            <w:noWrap/>
            <w:vAlign w:val="bottom"/>
            <w:hideMark/>
          </w:tcPr>
          <w:p w14:paraId="390EF99B"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 2</w:t>
            </w:r>
          </w:p>
        </w:tc>
        <w:tc>
          <w:tcPr>
            <w:tcW w:w="2252" w:type="dxa"/>
            <w:shd w:val="clear" w:color="auto" w:fill="F2F2F2" w:themeFill="background1" w:themeFillShade="F2"/>
            <w:noWrap/>
            <w:vAlign w:val="bottom"/>
            <w:hideMark/>
          </w:tcPr>
          <w:p w14:paraId="0E8A7020" w14:textId="5F4159B6"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11</w:t>
            </w:r>
          </w:p>
        </w:tc>
        <w:tc>
          <w:tcPr>
            <w:tcW w:w="2622" w:type="dxa"/>
            <w:shd w:val="clear" w:color="auto" w:fill="F2F2F2" w:themeFill="background1" w:themeFillShade="F2"/>
            <w:noWrap/>
            <w:vAlign w:val="bottom"/>
            <w:hideMark/>
          </w:tcPr>
          <w:p w14:paraId="6FFC33AB" w14:textId="5DBEA889"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8</w:t>
            </w:r>
            <w:r w:rsidR="00777542" w:rsidRPr="00683419">
              <w:rPr>
                <w:rFonts w:cs="Arial"/>
                <w:color w:val="000000"/>
                <w:szCs w:val="22"/>
              </w:rPr>
              <w:t>%</w:t>
            </w:r>
          </w:p>
        </w:tc>
      </w:tr>
      <w:tr w:rsidR="00777542" w:rsidRPr="00683419" w14:paraId="1DC0E993" w14:textId="77777777" w:rsidTr="00C12306">
        <w:trPr>
          <w:trHeight w:val="269"/>
        </w:trPr>
        <w:tc>
          <w:tcPr>
            <w:tcW w:w="4071" w:type="dxa"/>
            <w:shd w:val="clear" w:color="auto" w:fill="F2F2F2" w:themeFill="background1" w:themeFillShade="F2"/>
            <w:noWrap/>
            <w:vAlign w:val="bottom"/>
            <w:hideMark/>
          </w:tcPr>
          <w:p w14:paraId="5EC8F5B1"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 3</w:t>
            </w:r>
          </w:p>
        </w:tc>
        <w:tc>
          <w:tcPr>
            <w:tcW w:w="2252" w:type="dxa"/>
            <w:shd w:val="clear" w:color="auto" w:fill="F2F2F2" w:themeFill="background1" w:themeFillShade="F2"/>
            <w:noWrap/>
            <w:vAlign w:val="bottom"/>
            <w:hideMark/>
          </w:tcPr>
          <w:p w14:paraId="5E867359" w14:textId="228EF2E0"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11</w:t>
            </w:r>
          </w:p>
        </w:tc>
        <w:tc>
          <w:tcPr>
            <w:tcW w:w="2622" w:type="dxa"/>
            <w:shd w:val="clear" w:color="auto" w:fill="F2F2F2" w:themeFill="background1" w:themeFillShade="F2"/>
            <w:noWrap/>
            <w:vAlign w:val="bottom"/>
            <w:hideMark/>
          </w:tcPr>
          <w:p w14:paraId="6703F452" w14:textId="15F984D4"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8</w:t>
            </w:r>
            <w:r w:rsidR="00777542" w:rsidRPr="00683419">
              <w:rPr>
                <w:rFonts w:cs="Arial"/>
                <w:color w:val="000000"/>
                <w:szCs w:val="22"/>
              </w:rPr>
              <w:t>%</w:t>
            </w:r>
          </w:p>
        </w:tc>
      </w:tr>
      <w:tr w:rsidR="00777542" w:rsidRPr="00683419" w14:paraId="12462A4C" w14:textId="77777777" w:rsidTr="00C12306">
        <w:trPr>
          <w:trHeight w:val="269"/>
        </w:trPr>
        <w:tc>
          <w:tcPr>
            <w:tcW w:w="4071" w:type="dxa"/>
            <w:shd w:val="clear" w:color="auto" w:fill="F2F2F2" w:themeFill="background1" w:themeFillShade="F2"/>
            <w:noWrap/>
            <w:vAlign w:val="bottom"/>
            <w:hideMark/>
          </w:tcPr>
          <w:p w14:paraId="0CCD6294"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 4</w:t>
            </w:r>
          </w:p>
        </w:tc>
        <w:tc>
          <w:tcPr>
            <w:tcW w:w="2252" w:type="dxa"/>
            <w:shd w:val="clear" w:color="auto" w:fill="F2F2F2" w:themeFill="background1" w:themeFillShade="F2"/>
            <w:noWrap/>
            <w:vAlign w:val="bottom"/>
            <w:hideMark/>
          </w:tcPr>
          <w:p w14:paraId="3E4B87C1" w14:textId="0BBDFE0C"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8</w:t>
            </w:r>
          </w:p>
        </w:tc>
        <w:tc>
          <w:tcPr>
            <w:tcW w:w="2622" w:type="dxa"/>
            <w:shd w:val="clear" w:color="auto" w:fill="F2F2F2" w:themeFill="background1" w:themeFillShade="F2"/>
            <w:noWrap/>
            <w:vAlign w:val="bottom"/>
            <w:hideMark/>
          </w:tcPr>
          <w:p w14:paraId="72A3D598" w14:textId="14B87785"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6</w:t>
            </w:r>
            <w:r w:rsidR="00777542" w:rsidRPr="00683419">
              <w:rPr>
                <w:rFonts w:cs="Arial"/>
                <w:color w:val="000000"/>
                <w:szCs w:val="22"/>
              </w:rPr>
              <w:t>%</w:t>
            </w:r>
          </w:p>
        </w:tc>
      </w:tr>
      <w:tr w:rsidR="00777542" w:rsidRPr="00683419" w14:paraId="4F13CB18" w14:textId="77777777" w:rsidTr="00C12306">
        <w:trPr>
          <w:trHeight w:val="269"/>
        </w:trPr>
        <w:tc>
          <w:tcPr>
            <w:tcW w:w="4071" w:type="dxa"/>
            <w:shd w:val="clear" w:color="auto" w:fill="EDF5D7" w:themeFill="accent5" w:themeFillTint="33"/>
            <w:noWrap/>
            <w:vAlign w:val="bottom"/>
            <w:hideMark/>
          </w:tcPr>
          <w:p w14:paraId="28D165AD"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 5</w:t>
            </w:r>
          </w:p>
        </w:tc>
        <w:tc>
          <w:tcPr>
            <w:tcW w:w="2252" w:type="dxa"/>
            <w:shd w:val="clear" w:color="auto" w:fill="EDF5D7" w:themeFill="accent5" w:themeFillTint="33"/>
            <w:noWrap/>
            <w:vAlign w:val="bottom"/>
            <w:hideMark/>
          </w:tcPr>
          <w:p w14:paraId="04365CF1" w14:textId="0EDDC3EB"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13</w:t>
            </w:r>
          </w:p>
        </w:tc>
        <w:tc>
          <w:tcPr>
            <w:tcW w:w="2622" w:type="dxa"/>
            <w:shd w:val="clear" w:color="auto" w:fill="EDF5D7" w:themeFill="accent5" w:themeFillTint="33"/>
            <w:noWrap/>
            <w:vAlign w:val="bottom"/>
            <w:hideMark/>
          </w:tcPr>
          <w:p w14:paraId="34983AC8" w14:textId="7974FE5D"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9</w:t>
            </w:r>
            <w:r w:rsidR="00777542" w:rsidRPr="00683419">
              <w:rPr>
                <w:rFonts w:cs="Arial"/>
                <w:color w:val="000000"/>
                <w:szCs w:val="22"/>
              </w:rPr>
              <w:t>%</w:t>
            </w:r>
          </w:p>
        </w:tc>
      </w:tr>
      <w:tr w:rsidR="00777542" w:rsidRPr="00683419" w14:paraId="20E3C14B" w14:textId="77777777" w:rsidTr="00C12306">
        <w:trPr>
          <w:trHeight w:val="269"/>
        </w:trPr>
        <w:tc>
          <w:tcPr>
            <w:tcW w:w="4071" w:type="dxa"/>
            <w:shd w:val="clear" w:color="auto" w:fill="F2F2F2" w:themeFill="background1" w:themeFillShade="F2"/>
            <w:noWrap/>
            <w:vAlign w:val="bottom"/>
            <w:hideMark/>
          </w:tcPr>
          <w:p w14:paraId="456339A6"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2 and 3</w:t>
            </w:r>
          </w:p>
        </w:tc>
        <w:tc>
          <w:tcPr>
            <w:tcW w:w="2252" w:type="dxa"/>
            <w:shd w:val="clear" w:color="auto" w:fill="F2F2F2" w:themeFill="background1" w:themeFillShade="F2"/>
            <w:noWrap/>
            <w:vAlign w:val="bottom"/>
            <w:hideMark/>
          </w:tcPr>
          <w:p w14:paraId="0AA77EA8" w14:textId="31EDFBA0"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4</w:t>
            </w:r>
          </w:p>
        </w:tc>
        <w:tc>
          <w:tcPr>
            <w:tcW w:w="2622" w:type="dxa"/>
            <w:shd w:val="clear" w:color="auto" w:fill="F2F2F2" w:themeFill="background1" w:themeFillShade="F2"/>
            <w:noWrap/>
            <w:vAlign w:val="bottom"/>
            <w:hideMark/>
          </w:tcPr>
          <w:p w14:paraId="56B2B557" w14:textId="1616DD0F"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3</w:t>
            </w:r>
            <w:r w:rsidR="00777542" w:rsidRPr="00683419">
              <w:rPr>
                <w:rFonts w:cs="Arial"/>
                <w:color w:val="000000"/>
                <w:szCs w:val="22"/>
              </w:rPr>
              <w:t>%</w:t>
            </w:r>
          </w:p>
        </w:tc>
      </w:tr>
      <w:tr w:rsidR="00777542" w:rsidRPr="00683419" w14:paraId="007B52E9" w14:textId="77777777" w:rsidTr="00C12306">
        <w:trPr>
          <w:trHeight w:val="269"/>
        </w:trPr>
        <w:tc>
          <w:tcPr>
            <w:tcW w:w="4071" w:type="dxa"/>
            <w:shd w:val="clear" w:color="auto" w:fill="F2F2F2" w:themeFill="background1" w:themeFillShade="F2"/>
            <w:noWrap/>
            <w:vAlign w:val="bottom"/>
            <w:hideMark/>
          </w:tcPr>
          <w:p w14:paraId="5C7B294B"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2 and 4</w:t>
            </w:r>
          </w:p>
        </w:tc>
        <w:tc>
          <w:tcPr>
            <w:tcW w:w="2252" w:type="dxa"/>
            <w:shd w:val="clear" w:color="auto" w:fill="F2F2F2" w:themeFill="background1" w:themeFillShade="F2"/>
            <w:noWrap/>
            <w:vAlign w:val="bottom"/>
            <w:hideMark/>
          </w:tcPr>
          <w:p w14:paraId="7BEC1449" w14:textId="431FAAD9" w:rsidR="00777542" w:rsidRPr="00683419" w:rsidRDefault="00777542">
            <w:pPr>
              <w:spacing w:after="0" w:line="240" w:lineRule="auto"/>
              <w:jc w:val="right"/>
              <w:rPr>
                <w:rFonts w:eastAsia="Times New Roman" w:cs="Arial"/>
                <w:color w:val="000000"/>
                <w:szCs w:val="22"/>
                <w:lang w:eastAsia="en-AU"/>
              </w:rPr>
            </w:pPr>
            <w:r w:rsidRPr="00683419">
              <w:rPr>
                <w:rFonts w:cs="Arial"/>
                <w:color w:val="000000"/>
                <w:szCs w:val="22"/>
              </w:rPr>
              <w:t>2</w:t>
            </w:r>
          </w:p>
        </w:tc>
        <w:tc>
          <w:tcPr>
            <w:tcW w:w="2622" w:type="dxa"/>
            <w:shd w:val="clear" w:color="auto" w:fill="F2F2F2" w:themeFill="background1" w:themeFillShade="F2"/>
            <w:noWrap/>
            <w:vAlign w:val="bottom"/>
            <w:hideMark/>
          </w:tcPr>
          <w:p w14:paraId="2AD31FE5" w14:textId="212AD5B4"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1</w:t>
            </w:r>
            <w:r w:rsidR="00777542" w:rsidRPr="00683419">
              <w:rPr>
                <w:rFonts w:cs="Arial"/>
                <w:color w:val="000000"/>
                <w:szCs w:val="22"/>
              </w:rPr>
              <w:t>%</w:t>
            </w:r>
          </w:p>
        </w:tc>
      </w:tr>
      <w:tr w:rsidR="00777542" w:rsidRPr="00683419" w14:paraId="55A70BCD" w14:textId="77777777" w:rsidTr="00C12306">
        <w:trPr>
          <w:trHeight w:val="269"/>
        </w:trPr>
        <w:tc>
          <w:tcPr>
            <w:tcW w:w="4071" w:type="dxa"/>
            <w:shd w:val="clear" w:color="auto" w:fill="F2F2F2" w:themeFill="background1" w:themeFillShade="F2"/>
            <w:noWrap/>
            <w:vAlign w:val="bottom"/>
            <w:hideMark/>
          </w:tcPr>
          <w:p w14:paraId="16286966"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2 and 5</w:t>
            </w:r>
          </w:p>
        </w:tc>
        <w:tc>
          <w:tcPr>
            <w:tcW w:w="2252" w:type="dxa"/>
            <w:shd w:val="clear" w:color="auto" w:fill="F2F2F2" w:themeFill="background1" w:themeFillShade="F2"/>
            <w:noWrap/>
            <w:vAlign w:val="bottom"/>
            <w:hideMark/>
          </w:tcPr>
          <w:p w14:paraId="27601CBD" w14:textId="70B432CF" w:rsidR="00777542" w:rsidRPr="00683419" w:rsidRDefault="00777542">
            <w:pPr>
              <w:spacing w:after="0" w:line="240" w:lineRule="auto"/>
              <w:jc w:val="right"/>
              <w:rPr>
                <w:rFonts w:eastAsia="Times New Roman" w:cs="Arial"/>
                <w:color w:val="000000"/>
                <w:szCs w:val="22"/>
                <w:lang w:eastAsia="en-AU"/>
              </w:rPr>
            </w:pPr>
            <w:r w:rsidRPr="00683419">
              <w:rPr>
                <w:rFonts w:cs="Arial"/>
                <w:color w:val="000000"/>
                <w:szCs w:val="22"/>
              </w:rPr>
              <w:t>2</w:t>
            </w:r>
          </w:p>
        </w:tc>
        <w:tc>
          <w:tcPr>
            <w:tcW w:w="2622" w:type="dxa"/>
            <w:shd w:val="clear" w:color="auto" w:fill="F2F2F2" w:themeFill="background1" w:themeFillShade="F2"/>
            <w:noWrap/>
            <w:vAlign w:val="bottom"/>
            <w:hideMark/>
          </w:tcPr>
          <w:p w14:paraId="2D3B43DC" w14:textId="5699928A"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1</w:t>
            </w:r>
            <w:r w:rsidR="00777542" w:rsidRPr="00683419">
              <w:rPr>
                <w:rFonts w:cs="Arial"/>
                <w:color w:val="000000"/>
                <w:szCs w:val="22"/>
              </w:rPr>
              <w:t>%</w:t>
            </w:r>
          </w:p>
        </w:tc>
      </w:tr>
      <w:tr w:rsidR="00777542" w:rsidRPr="00683419" w14:paraId="581AADD5" w14:textId="77777777" w:rsidTr="00C12306">
        <w:trPr>
          <w:trHeight w:val="269"/>
        </w:trPr>
        <w:tc>
          <w:tcPr>
            <w:tcW w:w="4071" w:type="dxa"/>
            <w:shd w:val="clear" w:color="auto" w:fill="F2F2F2" w:themeFill="background1" w:themeFillShade="F2"/>
            <w:noWrap/>
            <w:vAlign w:val="bottom"/>
            <w:hideMark/>
          </w:tcPr>
          <w:p w14:paraId="047C9480"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3 and 4</w:t>
            </w:r>
          </w:p>
        </w:tc>
        <w:tc>
          <w:tcPr>
            <w:tcW w:w="2252" w:type="dxa"/>
            <w:shd w:val="clear" w:color="auto" w:fill="F2F2F2" w:themeFill="background1" w:themeFillShade="F2"/>
            <w:noWrap/>
            <w:vAlign w:val="bottom"/>
            <w:hideMark/>
          </w:tcPr>
          <w:p w14:paraId="3A59A634" w14:textId="3E1B2B61"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8</w:t>
            </w:r>
          </w:p>
        </w:tc>
        <w:tc>
          <w:tcPr>
            <w:tcW w:w="2622" w:type="dxa"/>
            <w:shd w:val="clear" w:color="auto" w:fill="F2F2F2" w:themeFill="background1" w:themeFillShade="F2"/>
            <w:noWrap/>
            <w:vAlign w:val="bottom"/>
            <w:hideMark/>
          </w:tcPr>
          <w:p w14:paraId="1C49D91B" w14:textId="6B0DB357"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6</w:t>
            </w:r>
            <w:r w:rsidR="00777542" w:rsidRPr="00683419">
              <w:rPr>
                <w:rFonts w:cs="Arial"/>
                <w:color w:val="000000"/>
                <w:szCs w:val="22"/>
              </w:rPr>
              <w:t>%</w:t>
            </w:r>
          </w:p>
        </w:tc>
      </w:tr>
      <w:tr w:rsidR="00777542" w:rsidRPr="00683419" w14:paraId="198F9E20" w14:textId="77777777" w:rsidTr="00C12306">
        <w:trPr>
          <w:trHeight w:val="269"/>
        </w:trPr>
        <w:tc>
          <w:tcPr>
            <w:tcW w:w="4071" w:type="dxa"/>
            <w:shd w:val="clear" w:color="auto" w:fill="F2F2F2" w:themeFill="background1" w:themeFillShade="F2"/>
            <w:noWrap/>
            <w:vAlign w:val="bottom"/>
            <w:hideMark/>
          </w:tcPr>
          <w:p w14:paraId="128BBA18"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3 and 5</w:t>
            </w:r>
          </w:p>
        </w:tc>
        <w:tc>
          <w:tcPr>
            <w:tcW w:w="2252" w:type="dxa"/>
            <w:shd w:val="clear" w:color="auto" w:fill="F2F2F2" w:themeFill="background1" w:themeFillShade="F2"/>
            <w:noWrap/>
            <w:vAlign w:val="bottom"/>
            <w:hideMark/>
          </w:tcPr>
          <w:p w14:paraId="156EEBE9" w14:textId="08B488D1" w:rsidR="00777542" w:rsidRPr="00683419" w:rsidRDefault="00777542">
            <w:pPr>
              <w:spacing w:after="0" w:line="240" w:lineRule="auto"/>
              <w:jc w:val="right"/>
              <w:rPr>
                <w:rFonts w:eastAsia="Times New Roman" w:cs="Arial"/>
                <w:color w:val="000000"/>
                <w:szCs w:val="22"/>
                <w:lang w:eastAsia="en-AU"/>
              </w:rPr>
            </w:pPr>
            <w:r w:rsidRPr="00683419">
              <w:rPr>
                <w:rFonts w:cs="Arial"/>
                <w:color w:val="000000"/>
                <w:szCs w:val="22"/>
              </w:rPr>
              <w:t>2</w:t>
            </w:r>
          </w:p>
        </w:tc>
        <w:tc>
          <w:tcPr>
            <w:tcW w:w="2622" w:type="dxa"/>
            <w:shd w:val="clear" w:color="auto" w:fill="F2F2F2" w:themeFill="background1" w:themeFillShade="F2"/>
            <w:noWrap/>
            <w:vAlign w:val="bottom"/>
            <w:hideMark/>
          </w:tcPr>
          <w:p w14:paraId="5B5CFE2B" w14:textId="16B1949B"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1</w:t>
            </w:r>
            <w:r w:rsidR="00777542" w:rsidRPr="00683419">
              <w:rPr>
                <w:rFonts w:cs="Arial"/>
                <w:color w:val="000000"/>
                <w:szCs w:val="22"/>
              </w:rPr>
              <w:t>%</w:t>
            </w:r>
          </w:p>
        </w:tc>
      </w:tr>
      <w:tr w:rsidR="00777542" w:rsidRPr="00683419" w14:paraId="1BFEB766" w14:textId="77777777" w:rsidTr="00C12306">
        <w:trPr>
          <w:trHeight w:val="269"/>
        </w:trPr>
        <w:tc>
          <w:tcPr>
            <w:tcW w:w="4071" w:type="dxa"/>
            <w:shd w:val="clear" w:color="auto" w:fill="F2F2F2" w:themeFill="background1" w:themeFillShade="F2"/>
            <w:noWrap/>
            <w:vAlign w:val="bottom"/>
            <w:hideMark/>
          </w:tcPr>
          <w:p w14:paraId="35B1F7AF"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4 and 5</w:t>
            </w:r>
          </w:p>
        </w:tc>
        <w:tc>
          <w:tcPr>
            <w:tcW w:w="2252" w:type="dxa"/>
            <w:shd w:val="clear" w:color="auto" w:fill="F2F2F2" w:themeFill="background1" w:themeFillShade="F2"/>
            <w:noWrap/>
            <w:vAlign w:val="bottom"/>
            <w:hideMark/>
          </w:tcPr>
          <w:p w14:paraId="0777C80C" w14:textId="24259D0C"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8</w:t>
            </w:r>
          </w:p>
        </w:tc>
        <w:tc>
          <w:tcPr>
            <w:tcW w:w="2622" w:type="dxa"/>
            <w:shd w:val="clear" w:color="auto" w:fill="F2F2F2" w:themeFill="background1" w:themeFillShade="F2"/>
            <w:noWrap/>
            <w:vAlign w:val="bottom"/>
            <w:hideMark/>
          </w:tcPr>
          <w:p w14:paraId="1942352D" w14:textId="62544D8A" w:rsidR="00777542" w:rsidRPr="00683419" w:rsidRDefault="00777542">
            <w:pPr>
              <w:spacing w:after="0" w:line="240" w:lineRule="auto"/>
              <w:jc w:val="right"/>
              <w:rPr>
                <w:rFonts w:eastAsia="Times New Roman" w:cs="Arial"/>
                <w:color w:val="000000"/>
                <w:szCs w:val="22"/>
                <w:lang w:eastAsia="en-AU"/>
              </w:rPr>
            </w:pPr>
            <w:r w:rsidRPr="00683419">
              <w:rPr>
                <w:rFonts w:cs="Arial"/>
                <w:color w:val="000000"/>
                <w:szCs w:val="22"/>
              </w:rPr>
              <w:t>6%</w:t>
            </w:r>
          </w:p>
        </w:tc>
      </w:tr>
      <w:tr w:rsidR="00777542" w:rsidRPr="00683419" w14:paraId="156A8379" w14:textId="77777777" w:rsidTr="00C12306">
        <w:trPr>
          <w:trHeight w:val="269"/>
        </w:trPr>
        <w:tc>
          <w:tcPr>
            <w:tcW w:w="4071" w:type="dxa"/>
            <w:shd w:val="clear" w:color="auto" w:fill="F2F2F2" w:themeFill="background1" w:themeFillShade="F2"/>
            <w:noWrap/>
            <w:vAlign w:val="bottom"/>
            <w:hideMark/>
          </w:tcPr>
          <w:p w14:paraId="15CE7270"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2, 3 and 5</w:t>
            </w:r>
          </w:p>
        </w:tc>
        <w:tc>
          <w:tcPr>
            <w:tcW w:w="2252" w:type="dxa"/>
            <w:shd w:val="clear" w:color="auto" w:fill="F2F2F2" w:themeFill="background1" w:themeFillShade="F2"/>
            <w:noWrap/>
            <w:vAlign w:val="bottom"/>
            <w:hideMark/>
          </w:tcPr>
          <w:p w14:paraId="2C08F6E0" w14:textId="5573769E"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6</w:t>
            </w:r>
          </w:p>
        </w:tc>
        <w:tc>
          <w:tcPr>
            <w:tcW w:w="2622" w:type="dxa"/>
            <w:shd w:val="clear" w:color="auto" w:fill="F2F2F2" w:themeFill="background1" w:themeFillShade="F2"/>
            <w:noWrap/>
            <w:vAlign w:val="bottom"/>
            <w:hideMark/>
          </w:tcPr>
          <w:p w14:paraId="6EF3AE16" w14:textId="45A02A82"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4</w:t>
            </w:r>
            <w:r w:rsidR="00777542" w:rsidRPr="00683419">
              <w:rPr>
                <w:rFonts w:cs="Arial"/>
                <w:color w:val="000000"/>
                <w:szCs w:val="22"/>
              </w:rPr>
              <w:t>%</w:t>
            </w:r>
          </w:p>
        </w:tc>
      </w:tr>
      <w:tr w:rsidR="00777542" w:rsidRPr="00683419" w14:paraId="769904CA" w14:textId="77777777" w:rsidTr="00C12306">
        <w:trPr>
          <w:trHeight w:val="269"/>
        </w:trPr>
        <w:tc>
          <w:tcPr>
            <w:tcW w:w="4071" w:type="dxa"/>
            <w:shd w:val="clear" w:color="auto" w:fill="F2F2F2" w:themeFill="background1" w:themeFillShade="F2"/>
            <w:noWrap/>
            <w:vAlign w:val="bottom"/>
            <w:hideMark/>
          </w:tcPr>
          <w:p w14:paraId="324267A3"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2, 4 and 5</w:t>
            </w:r>
          </w:p>
        </w:tc>
        <w:tc>
          <w:tcPr>
            <w:tcW w:w="2252" w:type="dxa"/>
            <w:shd w:val="clear" w:color="auto" w:fill="F2F2F2" w:themeFill="background1" w:themeFillShade="F2"/>
            <w:noWrap/>
            <w:vAlign w:val="bottom"/>
            <w:hideMark/>
          </w:tcPr>
          <w:p w14:paraId="388EB846" w14:textId="04D87A34"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4</w:t>
            </w:r>
          </w:p>
        </w:tc>
        <w:tc>
          <w:tcPr>
            <w:tcW w:w="2622" w:type="dxa"/>
            <w:shd w:val="clear" w:color="auto" w:fill="F2F2F2" w:themeFill="background1" w:themeFillShade="F2"/>
            <w:noWrap/>
            <w:vAlign w:val="bottom"/>
            <w:hideMark/>
          </w:tcPr>
          <w:p w14:paraId="56402A06" w14:textId="1F95B6FD"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3</w:t>
            </w:r>
            <w:r w:rsidR="00777542" w:rsidRPr="00683419">
              <w:rPr>
                <w:rFonts w:cs="Arial"/>
                <w:color w:val="000000"/>
                <w:szCs w:val="22"/>
              </w:rPr>
              <w:t>%</w:t>
            </w:r>
          </w:p>
        </w:tc>
      </w:tr>
      <w:tr w:rsidR="00777542" w:rsidRPr="00683419" w14:paraId="21B4827A" w14:textId="77777777" w:rsidTr="00C12306">
        <w:trPr>
          <w:trHeight w:val="269"/>
        </w:trPr>
        <w:tc>
          <w:tcPr>
            <w:tcW w:w="4071" w:type="dxa"/>
            <w:shd w:val="clear" w:color="auto" w:fill="F2F2F2" w:themeFill="background1" w:themeFillShade="F2"/>
            <w:noWrap/>
            <w:vAlign w:val="bottom"/>
            <w:hideMark/>
          </w:tcPr>
          <w:p w14:paraId="6759A6B3"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2, 3 and 4</w:t>
            </w:r>
          </w:p>
        </w:tc>
        <w:tc>
          <w:tcPr>
            <w:tcW w:w="2252" w:type="dxa"/>
            <w:shd w:val="clear" w:color="auto" w:fill="F2F2F2" w:themeFill="background1" w:themeFillShade="F2"/>
            <w:noWrap/>
            <w:vAlign w:val="bottom"/>
            <w:hideMark/>
          </w:tcPr>
          <w:p w14:paraId="755D21D3" w14:textId="22C41C71"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4</w:t>
            </w:r>
          </w:p>
        </w:tc>
        <w:tc>
          <w:tcPr>
            <w:tcW w:w="2622" w:type="dxa"/>
            <w:shd w:val="clear" w:color="auto" w:fill="F2F2F2" w:themeFill="background1" w:themeFillShade="F2"/>
            <w:noWrap/>
            <w:vAlign w:val="bottom"/>
            <w:hideMark/>
          </w:tcPr>
          <w:p w14:paraId="10E7A513" w14:textId="575137C7"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3</w:t>
            </w:r>
            <w:r w:rsidR="00777542" w:rsidRPr="00683419">
              <w:rPr>
                <w:rFonts w:cs="Arial"/>
                <w:color w:val="000000"/>
                <w:szCs w:val="22"/>
              </w:rPr>
              <w:t>%</w:t>
            </w:r>
          </w:p>
        </w:tc>
      </w:tr>
      <w:tr w:rsidR="00777542" w:rsidRPr="00683419" w14:paraId="7A79E6FA" w14:textId="77777777" w:rsidTr="00C12306">
        <w:trPr>
          <w:trHeight w:val="269"/>
        </w:trPr>
        <w:tc>
          <w:tcPr>
            <w:tcW w:w="4071" w:type="dxa"/>
            <w:shd w:val="clear" w:color="auto" w:fill="EDF5D7" w:themeFill="accent5" w:themeFillTint="33"/>
            <w:noWrap/>
            <w:vAlign w:val="bottom"/>
            <w:hideMark/>
          </w:tcPr>
          <w:p w14:paraId="24FE3B1E"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3, 4 and 5</w:t>
            </w:r>
          </w:p>
        </w:tc>
        <w:tc>
          <w:tcPr>
            <w:tcW w:w="2252" w:type="dxa"/>
            <w:shd w:val="clear" w:color="auto" w:fill="EDF5D7" w:themeFill="accent5" w:themeFillTint="33"/>
            <w:noWrap/>
            <w:vAlign w:val="bottom"/>
            <w:hideMark/>
          </w:tcPr>
          <w:p w14:paraId="482EBB99" w14:textId="5E56BF8E"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23</w:t>
            </w:r>
          </w:p>
        </w:tc>
        <w:tc>
          <w:tcPr>
            <w:tcW w:w="2622" w:type="dxa"/>
            <w:shd w:val="clear" w:color="auto" w:fill="EDF5D7" w:themeFill="accent5" w:themeFillTint="33"/>
            <w:noWrap/>
            <w:vAlign w:val="bottom"/>
            <w:hideMark/>
          </w:tcPr>
          <w:p w14:paraId="43DFC448" w14:textId="266E10ED" w:rsidR="00777542" w:rsidRPr="00683419" w:rsidRDefault="00777542">
            <w:pPr>
              <w:spacing w:after="0" w:line="240" w:lineRule="auto"/>
              <w:jc w:val="right"/>
              <w:rPr>
                <w:rFonts w:eastAsia="Times New Roman" w:cs="Arial"/>
                <w:color w:val="000000"/>
                <w:szCs w:val="22"/>
                <w:lang w:eastAsia="en-AU"/>
              </w:rPr>
            </w:pPr>
            <w:r w:rsidRPr="00683419">
              <w:rPr>
                <w:rFonts w:cs="Arial"/>
                <w:color w:val="000000"/>
                <w:szCs w:val="22"/>
              </w:rPr>
              <w:t>17%</w:t>
            </w:r>
          </w:p>
        </w:tc>
      </w:tr>
      <w:tr w:rsidR="00777542" w:rsidRPr="00683419" w14:paraId="154A5477" w14:textId="77777777" w:rsidTr="00C12306">
        <w:trPr>
          <w:trHeight w:val="269"/>
        </w:trPr>
        <w:tc>
          <w:tcPr>
            <w:tcW w:w="4071" w:type="dxa"/>
            <w:shd w:val="clear" w:color="auto" w:fill="EDF5D7" w:themeFill="accent5" w:themeFillTint="33"/>
            <w:noWrap/>
            <w:vAlign w:val="bottom"/>
            <w:hideMark/>
          </w:tcPr>
          <w:p w14:paraId="319F0972" w14:textId="77777777" w:rsidR="00777542" w:rsidRPr="00683419" w:rsidRDefault="00777542">
            <w:pPr>
              <w:spacing w:after="0" w:line="240" w:lineRule="auto"/>
              <w:jc w:val="right"/>
              <w:rPr>
                <w:rFonts w:eastAsia="Times New Roman" w:cs="Arial"/>
                <w:color w:val="000000"/>
                <w:szCs w:val="22"/>
                <w:lang w:eastAsia="en-AU"/>
              </w:rPr>
            </w:pPr>
            <w:r w:rsidRPr="00683419">
              <w:rPr>
                <w:rFonts w:eastAsia="Times New Roman" w:cs="Arial"/>
                <w:color w:val="000000"/>
                <w:szCs w:val="22"/>
                <w:lang w:eastAsia="en-AU"/>
              </w:rPr>
              <w:t>Options 2, 3, 4 and 5</w:t>
            </w:r>
          </w:p>
        </w:tc>
        <w:tc>
          <w:tcPr>
            <w:tcW w:w="2252" w:type="dxa"/>
            <w:shd w:val="clear" w:color="auto" w:fill="EDF5D7" w:themeFill="accent5" w:themeFillTint="33"/>
            <w:noWrap/>
            <w:vAlign w:val="bottom"/>
            <w:hideMark/>
          </w:tcPr>
          <w:p w14:paraId="3D3A215F" w14:textId="045009F4"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23</w:t>
            </w:r>
          </w:p>
        </w:tc>
        <w:tc>
          <w:tcPr>
            <w:tcW w:w="2622" w:type="dxa"/>
            <w:shd w:val="clear" w:color="auto" w:fill="EDF5D7" w:themeFill="accent5" w:themeFillTint="33"/>
            <w:noWrap/>
            <w:vAlign w:val="bottom"/>
            <w:hideMark/>
          </w:tcPr>
          <w:p w14:paraId="7A1F13DF" w14:textId="7E34826D" w:rsidR="00777542" w:rsidRPr="00683419" w:rsidRDefault="00683419">
            <w:pPr>
              <w:spacing w:after="0" w:line="240" w:lineRule="auto"/>
              <w:jc w:val="right"/>
              <w:rPr>
                <w:rFonts w:eastAsia="Times New Roman" w:cs="Arial"/>
                <w:color w:val="000000"/>
                <w:szCs w:val="22"/>
                <w:lang w:eastAsia="en-AU"/>
              </w:rPr>
            </w:pPr>
            <w:r w:rsidRPr="00683419">
              <w:rPr>
                <w:rFonts w:cs="Arial"/>
                <w:color w:val="000000"/>
                <w:szCs w:val="22"/>
              </w:rPr>
              <w:t>17</w:t>
            </w:r>
            <w:r w:rsidR="00777542" w:rsidRPr="00683419">
              <w:rPr>
                <w:rFonts w:cs="Arial"/>
                <w:color w:val="000000"/>
                <w:szCs w:val="22"/>
              </w:rPr>
              <w:t>%</w:t>
            </w:r>
          </w:p>
        </w:tc>
      </w:tr>
    </w:tbl>
    <w:p w14:paraId="5F9715D9" w14:textId="1B4788C9" w:rsidR="00777542" w:rsidRPr="00683419" w:rsidRDefault="00777542" w:rsidP="00976C70">
      <w:pPr>
        <w:pStyle w:val="Source-CSR"/>
      </w:pPr>
      <w:r w:rsidRPr="00683419">
        <w:t xml:space="preserve">Source: Workforce survey, as of </w:t>
      </w:r>
      <w:r w:rsidR="00683419" w:rsidRPr="00636B94">
        <w:t>11</w:t>
      </w:r>
      <w:r w:rsidRPr="00636B94">
        <w:t xml:space="preserve"> June 2025, Q52, n=</w:t>
      </w:r>
      <w:r w:rsidR="00683419" w:rsidRPr="00636B94">
        <w:t>137</w:t>
      </w:r>
      <w:r w:rsidRPr="00636B94">
        <w:t xml:space="preserve"> unique respondents. Most popular options or combination of options are highlighted in green. Note that if a respondent selected a combination of options, that selection is treated as a unique preference and not double-counted in the singular options. </w:t>
      </w:r>
      <w:r w:rsidR="00BD1191" w:rsidRPr="00636B94">
        <w:t>Note that due to rounding, percentages may not add to 100%.</w:t>
      </w:r>
    </w:p>
    <w:p w14:paraId="422DFDA6" w14:textId="77777777" w:rsidR="00777542" w:rsidRPr="00777542" w:rsidRDefault="00777542" w:rsidP="00777542">
      <w:pPr>
        <w:rPr>
          <w:color w:val="808080" w:themeColor="background1" w:themeShade="80"/>
          <w:sz w:val="14"/>
          <w:szCs w:val="10"/>
          <w:highlight w:val="yellow"/>
        </w:rPr>
      </w:pPr>
    </w:p>
    <w:p w14:paraId="2BCDD157" w14:textId="147EED0A" w:rsidR="00777542" w:rsidRPr="005611CF" w:rsidRDefault="005F4937" w:rsidP="00777542">
      <w:pPr>
        <w:pStyle w:val="CaptionChart"/>
        <w:numPr>
          <w:ilvl w:val="7"/>
          <w:numId w:val="0"/>
        </w:numPr>
      </w:pPr>
      <w:bookmarkStart w:id="298" w:name="_Toc200656090"/>
      <w:bookmarkStart w:id="299" w:name="_Toc200657433"/>
      <w:r>
        <w:t>Appendix Table</w:t>
      </w:r>
      <w:r w:rsidR="0013556A">
        <w:t xml:space="preserve"> 12.3.3.3 </w:t>
      </w:r>
      <w:r w:rsidR="00777542" w:rsidRPr="005611CF">
        <w:t xml:space="preserve">Family, carer, and parent responses to “What is your </w:t>
      </w:r>
      <w:r w:rsidR="00B734E0">
        <w:t xml:space="preserve">preferred option or combination </w:t>
      </w:r>
      <w:r w:rsidR="00777542" w:rsidRPr="005611CF">
        <w:t>of options?”</w:t>
      </w:r>
      <w:bookmarkEnd w:id="298"/>
      <w:bookmarkEnd w:id="299"/>
    </w:p>
    <w:tbl>
      <w:tblPr>
        <w:tblW w:w="8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3"/>
        <w:gridCol w:w="2043"/>
        <w:gridCol w:w="2379"/>
      </w:tblGrid>
      <w:tr w:rsidR="00777542" w:rsidRPr="005611CF" w14:paraId="165FBC8D" w14:textId="77777777" w:rsidTr="00D94F44">
        <w:trPr>
          <w:trHeight w:val="335"/>
        </w:trPr>
        <w:tc>
          <w:tcPr>
            <w:tcW w:w="4433" w:type="dxa"/>
            <w:tcBorders>
              <w:top w:val="single" w:sz="12" w:space="0" w:color="006B77" w:themeColor="background2"/>
            </w:tcBorders>
            <w:shd w:val="clear" w:color="000000" w:fill="FFFFFF"/>
            <w:noWrap/>
            <w:vAlign w:val="center"/>
            <w:hideMark/>
          </w:tcPr>
          <w:p w14:paraId="3D9B1BE0" w14:textId="2CBFA513" w:rsidR="00777542" w:rsidRPr="00E413A3" w:rsidRDefault="00370AB1">
            <w:pPr>
              <w:spacing w:after="0" w:line="240" w:lineRule="auto"/>
              <w:jc w:val="right"/>
              <w:rPr>
                <w:rFonts w:eastAsia="Times New Roman" w:cs="Arial"/>
                <w:b/>
                <w:color w:val="000000"/>
                <w:szCs w:val="22"/>
                <w:lang w:eastAsia="en-AU"/>
              </w:rPr>
            </w:pPr>
            <w:r>
              <w:rPr>
                <w:rFonts w:eastAsia="Times New Roman" w:cs="Arial"/>
                <w:b/>
                <w:color w:val="000000"/>
                <w:szCs w:val="22"/>
                <w:lang w:eastAsia="en-AU"/>
              </w:rPr>
              <w:t xml:space="preserve">Preferred option or combination </w:t>
            </w:r>
            <w:r w:rsidR="00777542" w:rsidRPr="00E413A3">
              <w:rPr>
                <w:rFonts w:eastAsia="Times New Roman" w:cs="Arial"/>
                <w:b/>
                <w:color w:val="000000"/>
                <w:szCs w:val="22"/>
                <w:lang w:eastAsia="en-AU"/>
              </w:rPr>
              <w:t>of options</w:t>
            </w:r>
          </w:p>
        </w:tc>
        <w:tc>
          <w:tcPr>
            <w:tcW w:w="2043" w:type="dxa"/>
            <w:tcBorders>
              <w:top w:val="single" w:sz="12" w:space="0" w:color="006B77" w:themeColor="background2"/>
            </w:tcBorders>
            <w:shd w:val="clear" w:color="000000" w:fill="FFFFFF"/>
            <w:noWrap/>
            <w:vAlign w:val="center"/>
            <w:hideMark/>
          </w:tcPr>
          <w:p w14:paraId="028924A4" w14:textId="77777777" w:rsidR="00777542" w:rsidRPr="00E413A3" w:rsidRDefault="00777542">
            <w:pPr>
              <w:spacing w:after="0" w:line="240" w:lineRule="auto"/>
              <w:jc w:val="right"/>
              <w:rPr>
                <w:rFonts w:eastAsia="Times New Roman" w:cs="Arial"/>
                <w:b/>
                <w:color w:val="000000"/>
                <w:szCs w:val="22"/>
                <w:lang w:eastAsia="en-AU"/>
              </w:rPr>
            </w:pPr>
            <w:r w:rsidRPr="00E413A3">
              <w:rPr>
                <w:rFonts w:eastAsia="Times New Roman" w:cs="Arial"/>
                <w:b/>
                <w:color w:val="000000"/>
                <w:szCs w:val="22"/>
                <w:lang w:eastAsia="en-AU"/>
              </w:rPr>
              <w:t>Number of responses</w:t>
            </w:r>
          </w:p>
        </w:tc>
        <w:tc>
          <w:tcPr>
            <w:tcW w:w="2379" w:type="dxa"/>
            <w:tcBorders>
              <w:top w:val="single" w:sz="12" w:space="0" w:color="006B77" w:themeColor="background2"/>
            </w:tcBorders>
            <w:shd w:val="clear" w:color="000000" w:fill="FFFFFF"/>
            <w:noWrap/>
            <w:vAlign w:val="center"/>
            <w:hideMark/>
          </w:tcPr>
          <w:p w14:paraId="624F46E5" w14:textId="77777777" w:rsidR="00777542" w:rsidRPr="00E413A3" w:rsidRDefault="00777542">
            <w:pPr>
              <w:spacing w:after="0" w:line="240" w:lineRule="auto"/>
              <w:jc w:val="right"/>
              <w:rPr>
                <w:rFonts w:eastAsia="Times New Roman" w:cs="Arial"/>
                <w:b/>
                <w:color w:val="000000"/>
                <w:szCs w:val="22"/>
                <w:lang w:eastAsia="en-AU"/>
              </w:rPr>
            </w:pPr>
            <w:r w:rsidRPr="00E413A3">
              <w:rPr>
                <w:rFonts w:eastAsia="Times New Roman" w:cs="Arial"/>
                <w:b/>
                <w:color w:val="000000"/>
                <w:szCs w:val="22"/>
                <w:lang w:eastAsia="en-AU"/>
              </w:rPr>
              <w:t>Proportion of respondents</w:t>
            </w:r>
          </w:p>
        </w:tc>
      </w:tr>
      <w:tr w:rsidR="00777542" w:rsidRPr="005611CF" w14:paraId="7A4B291F" w14:textId="77777777" w:rsidTr="00C12306">
        <w:trPr>
          <w:trHeight w:val="319"/>
        </w:trPr>
        <w:tc>
          <w:tcPr>
            <w:tcW w:w="4433" w:type="dxa"/>
            <w:shd w:val="clear" w:color="auto" w:fill="F2F2F2" w:themeFill="background1" w:themeFillShade="F2"/>
            <w:noWrap/>
            <w:hideMark/>
          </w:tcPr>
          <w:p w14:paraId="71D13347" w14:textId="0F691377" w:rsidR="00777542" w:rsidRPr="00E413A3" w:rsidRDefault="00777542">
            <w:pPr>
              <w:spacing w:after="0" w:line="240" w:lineRule="auto"/>
              <w:jc w:val="right"/>
              <w:rPr>
                <w:rFonts w:eastAsia="Times New Roman" w:cs="Arial"/>
                <w:color w:val="000000"/>
                <w:szCs w:val="22"/>
                <w:lang w:eastAsia="en-AU"/>
              </w:rPr>
            </w:pPr>
            <w:r w:rsidRPr="005611CF">
              <w:t>Option 1</w:t>
            </w:r>
          </w:p>
        </w:tc>
        <w:tc>
          <w:tcPr>
            <w:tcW w:w="2043" w:type="dxa"/>
            <w:shd w:val="clear" w:color="auto" w:fill="F2F2F2" w:themeFill="background1" w:themeFillShade="F2"/>
            <w:noWrap/>
            <w:hideMark/>
          </w:tcPr>
          <w:p w14:paraId="01A924A1" w14:textId="58A850E5" w:rsidR="00777542" w:rsidRPr="00E413A3" w:rsidRDefault="00777542">
            <w:pPr>
              <w:spacing w:after="0" w:line="240" w:lineRule="auto"/>
              <w:jc w:val="right"/>
              <w:rPr>
                <w:rFonts w:eastAsia="Times New Roman" w:cs="Arial"/>
                <w:color w:val="000000"/>
                <w:szCs w:val="22"/>
                <w:lang w:eastAsia="en-AU"/>
              </w:rPr>
            </w:pPr>
            <w:r w:rsidRPr="005611CF">
              <w:t>2</w:t>
            </w:r>
          </w:p>
        </w:tc>
        <w:tc>
          <w:tcPr>
            <w:tcW w:w="2379" w:type="dxa"/>
            <w:shd w:val="clear" w:color="auto" w:fill="F2F2F2" w:themeFill="background1" w:themeFillShade="F2"/>
            <w:noWrap/>
            <w:hideMark/>
          </w:tcPr>
          <w:p w14:paraId="50EEF573" w14:textId="0F3320C2" w:rsidR="00777542" w:rsidRPr="00E413A3" w:rsidRDefault="00777542">
            <w:pPr>
              <w:spacing w:after="0" w:line="240" w:lineRule="auto"/>
              <w:jc w:val="right"/>
              <w:rPr>
                <w:rFonts w:eastAsia="Times New Roman" w:cs="Arial"/>
                <w:color w:val="000000"/>
                <w:szCs w:val="22"/>
                <w:lang w:eastAsia="en-AU"/>
              </w:rPr>
            </w:pPr>
            <w:r w:rsidRPr="005611CF">
              <w:t>3%</w:t>
            </w:r>
          </w:p>
        </w:tc>
      </w:tr>
      <w:tr w:rsidR="00777542" w:rsidRPr="005611CF" w14:paraId="5AD3E6A3" w14:textId="77777777" w:rsidTr="00C12306">
        <w:trPr>
          <w:trHeight w:val="319"/>
        </w:trPr>
        <w:tc>
          <w:tcPr>
            <w:tcW w:w="4433" w:type="dxa"/>
            <w:shd w:val="clear" w:color="auto" w:fill="F2F2F2" w:themeFill="background1" w:themeFillShade="F2"/>
            <w:noWrap/>
            <w:hideMark/>
          </w:tcPr>
          <w:p w14:paraId="30758898" w14:textId="390FC272" w:rsidR="00777542" w:rsidRPr="00E413A3" w:rsidRDefault="00777542">
            <w:pPr>
              <w:spacing w:after="0" w:line="240" w:lineRule="auto"/>
              <w:jc w:val="right"/>
              <w:rPr>
                <w:rFonts w:eastAsia="Times New Roman" w:cs="Arial"/>
                <w:color w:val="000000"/>
                <w:szCs w:val="22"/>
                <w:lang w:eastAsia="en-AU"/>
              </w:rPr>
            </w:pPr>
            <w:r w:rsidRPr="005611CF">
              <w:t>Option 2</w:t>
            </w:r>
          </w:p>
        </w:tc>
        <w:tc>
          <w:tcPr>
            <w:tcW w:w="2043" w:type="dxa"/>
            <w:shd w:val="clear" w:color="auto" w:fill="F2F2F2" w:themeFill="background1" w:themeFillShade="F2"/>
            <w:noWrap/>
            <w:hideMark/>
          </w:tcPr>
          <w:p w14:paraId="2805EC49" w14:textId="117D31A5" w:rsidR="00777542" w:rsidRPr="00E413A3" w:rsidRDefault="005611CF">
            <w:pPr>
              <w:spacing w:after="0" w:line="240" w:lineRule="auto"/>
              <w:jc w:val="right"/>
              <w:rPr>
                <w:rFonts w:eastAsia="Times New Roman" w:cs="Arial"/>
                <w:color w:val="000000"/>
                <w:szCs w:val="22"/>
                <w:lang w:eastAsia="en-AU"/>
              </w:rPr>
            </w:pPr>
            <w:r w:rsidRPr="005611CF">
              <w:t>2</w:t>
            </w:r>
          </w:p>
        </w:tc>
        <w:tc>
          <w:tcPr>
            <w:tcW w:w="2379" w:type="dxa"/>
            <w:shd w:val="clear" w:color="auto" w:fill="F2F2F2" w:themeFill="background1" w:themeFillShade="F2"/>
            <w:noWrap/>
            <w:hideMark/>
          </w:tcPr>
          <w:p w14:paraId="064687C9" w14:textId="3F80F3D8" w:rsidR="00777542" w:rsidRPr="00E413A3" w:rsidRDefault="005611CF">
            <w:pPr>
              <w:spacing w:after="0" w:line="240" w:lineRule="auto"/>
              <w:jc w:val="right"/>
              <w:rPr>
                <w:rFonts w:eastAsia="Times New Roman" w:cs="Arial"/>
                <w:color w:val="000000"/>
                <w:szCs w:val="22"/>
                <w:lang w:eastAsia="en-AU"/>
              </w:rPr>
            </w:pPr>
            <w:r w:rsidRPr="005611CF">
              <w:t>3</w:t>
            </w:r>
            <w:r w:rsidR="00777542" w:rsidRPr="005611CF">
              <w:t>%</w:t>
            </w:r>
          </w:p>
        </w:tc>
      </w:tr>
      <w:tr w:rsidR="00777542" w:rsidRPr="005611CF" w14:paraId="0570DF67" w14:textId="77777777" w:rsidTr="00C12306">
        <w:trPr>
          <w:trHeight w:val="319"/>
        </w:trPr>
        <w:tc>
          <w:tcPr>
            <w:tcW w:w="4433" w:type="dxa"/>
            <w:shd w:val="clear" w:color="auto" w:fill="EDF5D7" w:themeFill="accent5" w:themeFillTint="33"/>
            <w:noWrap/>
            <w:hideMark/>
          </w:tcPr>
          <w:p w14:paraId="0E43D309" w14:textId="0A70CE6C" w:rsidR="00777542" w:rsidRPr="00E413A3" w:rsidRDefault="00777542">
            <w:pPr>
              <w:spacing w:after="0" w:line="240" w:lineRule="auto"/>
              <w:jc w:val="right"/>
              <w:rPr>
                <w:rFonts w:eastAsia="Times New Roman" w:cs="Arial"/>
                <w:color w:val="000000"/>
                <w:szCs w:val="22"/>
                <w:lang w:eastAsia="en-AU"/>
              </w:rPr>
            </w:pPr>
            <w:r w:rsidRPr="005611CF">
              <w:t>Option 3</w:t>
            </w:r>
          </w:p>
        </w:tc>
        <w:tc>
          <w:tcPr>
            <w:tcW w:w="2043" w:type="dxa"/>
            <w:shd w:val="clear" w:color="auto" w:fill="EDF5D7" w:themeFill="accent5" w:themeFillTint="33"/>
            <w:noWrap/>
            <w:hideMark/>
          </w:tcPr>
          <w:p w14:paraId="5B03AF40" w14:textId="6B6C8931" w:rsidR="00777542" w:rsidRPr="00E413A3" w:rsidRDefault="005611CF">
            <w:pPr>
              <w:spacing w:after="0" w:line="240" w:lineRule="auto"/>
              <w:jc w:val="right"/>
              <w:rPr>
                <w:rFonts w:eastAsia="Times New Roman" w:cs="Arial"/>
                <w:color w:val="000000"/>
                <w:szCs w:val="22"/>
                <w:lang w:eastAsia="en-AU"/>
              </w:rPr>
            </w:pPr>
            <w:r w:rsidRPr="005611CF">
              <w:t>13</w:t>
            </w:r>
          </w:p>
        </w:tc>
        <w:tc>
          <w:tcPr>
            <w:tcW w:w="2379" w:type="dxa"/>
            <w:shd w:val="clear" w:color="auto" w:fill="EDF5D7" w:themeFill="accent5" w:themeFillTint="33"/>
            <w:noWrap/>
            <w:hideMark/>
          </w:tcPr>
          <w:p w14:paraId="3766FFD2" w14:textId="240C017F" w:rsidR="00777542" w:rsidRPr="00E413A3" w:rsidRDefault="005611CF">
            <w:pPr>
              <w:spacing w:after="0" w:line="240" w:lineRule="auto"/>
              <w:jc w:val="right"/>
              <w:rPr>
                <w:rFonts w:eastAsia="Times New Roman" w:cs="Arial"/>
                <w:color w:val="000000"/>
                <w:szCs w:val="22"/>
                <w:lang w:eastAsia="en-AU"/>
              </w:rPr>
            </w:pPr>
            <w:r w:rsidRPr="005611CF">
              <w:t>18</w:t>
            </w:r>
            <w:r w:rsidR="00777542" w:rsidRPr="005611CF">
              <w:t>%</w:t>
            </w:r>
          </w:p>
        </w:tc>
      </w:tr>
      <w:tr w:rsidR="00777542" w:rsidRPr="005611CF" w14:paraId="4E98BCA1" w14:textId="77777777" w:rsidTr="00C12306">
        <w:trPr>
          <w:trHeight w:val="319"/>
        </w:trPr>
        <w:tc>
          <w:tcPr>
            <w:tcW w:w="4433" w:type="dxa"/>
            <w:shd w:val="clear" w:color="auto" w:fill="EDF5D7" w:themeFill="accent5" w:themeFillTint="33"/>
            <w:noWrap/>
            <w:hideMark/>
          </w:tcPr>
          <w:p w14:paraId="56372A2A" w14:textId="1A0EF1BA" w:rsidR="00777542" w:rsidRPr="00E413A3" w:rsidRDefault="00777542">
            <w:pPr>
              <w:spacing w:after="0" w:line="240" w:lineRule="auto"/>
              <w:jc w:val="right"/>
              <w:rPr>
                <w:rFonts w:eastAsia="Times New Roman" w:cs="Arial"/>
                <w:color w:val="000000"/>
                <w:szCs w:val="22"/>
                <w:lang w:eastAsia="en-AU"/>
              </w:rPr>
            </w:pPr>
            <w:r w:rsidRPr="005611CF">
              <w:t>Option 4</w:t>
            </w:r>
          </w:p>
        </w:tc>
        <w:tc>
          <w:tcPr>
            <w:tcW w:w="2043" w:type="dxa"/>
            <w:shd w:val="clear" w:color="auto" w:fill="EDF5D7" w:themeFill="accent5" w:themeFillTint="33"/>
            <w:noWrap/>
            <w:hideMark/>
          </w:tcPr>
          <w:p w14:paraId="1D596C7E" w14:textId="4F28D149" w:rsidR="00777542" w:rsidRPr="00E413A3" w:rsidRDefault="005611CF">
            <w:pPr>
              <w:spacing w:after="0" w:line="240" w:lineRule="auto"/>
              <w:jc w:val="right"/>
              <w:rPr>
                <w:rFonts w:eastAsia="Times New Roman" w:cs="Arial"/>
                <w:color w:val="000000"/>
                <w:szCs w:val="22"/>
                <w:lang w:eastAsia="en-AU"/>
              </w:rPr>
            </w:pPr>
            <w:r w:rsidRPr="005611CF">
              <w:t>9</w:t>
            </w:r>
          </w:p>
        </w:tc>
        <w:tc>
          <w:tcPr>
            <w:tcW w:w="2379" w:type="dxa"/>
            <w:shd w:val="clear" w:color="auto" w:fill="EDF5D7" w:themeFill="accent5" w:themeFillTint="33"/>
            <w:noWrap/>
            <w:hideMark/>
          </w:tcPr>
          <w:p w14:paraId="0AA3F272" w14:textId="320BA1FE" w:rsidR="00777542" w:rsidRPr="00E413A3" w:rsidRDefault="005611CF">
            <w:pPr>
              <w:spacing w:after="0" w:line="240" w:lineRule="auto"/>
              <w:jc w:val="right"/>
              <w:rPr>
                <w:rFonts w:eastAsia="Times New Roman" w:cs="Arial"/>
                <w:color w:val="000000"/>
                <w:szCs w:val="22"/>
                <w:lang w:eastAsia="en-AU"/>
              </w:rPr>
            </w:pPr>
            <w:r w:rsidRPr="005611CF">
              <w:t>12</w:t>
            </w:r>
            <w:r w:rsidR="00777542" w:rsidRPr="005611CF">
              <w:t>%</w:t>
            </w:r>
          </w:p>
        </w:tc>
      </w:tr>
      <w:tr w:rsidR="00777542" w:rsidRPr="005611CF" w14:paraId="472574CF" w14:textId="77777777" w:rsidTr="00C12306">
        <w:trPr>
          <w:trHeight w:val="319"/>
        </w:trPr>
        <w:tc>
          <w:tcPr>
            <w:tcW w:w="4433" w:type="dxa"/>
            <w:shd w:val="clear" w:color="auto" w:fill="F2F2F2" w:themeFill="background1" w:themeFillShade="F2"/>
            <w:noWrap/>
            <w:hideMark/>
          </w:tcPr>
          <w:p w14:paraId="548955B0" w14:textId="0A929D7D" w:rsidR="00777542" w:rsidRPr="00E413A3" w:rsidRDefault="00777542">
            <w:pPr>
              <w:spacing w:after="0" w:line="240" w:lineRule="auto"/>
              <w:jc w:val="right"/>
              <w:rPr>
                <w:rFonts w:eastAsia="Times New Roman" w:cs="Arial"/>
                <w:color w:val="000000"/>
                <w:szCs w:val="22"/>
                <w:lang w:eastAsia="en-AU"/>
              </w:rPr>
            </w:pPr>
            <w:r w:rsidRPr="005611CF">
              <w:t>Option 5</w:t>
            </w:r>
          </w:p>
        </w:tc>
        <w:tc>
          <w:tcPr>
            <w:tcW w:w="2043" w:type="dxa"/>
            <w:shd w:val="clear" w:color="auto" w:fill="F2F2F2" w:themeFill="background1" w:themeFillShade="F2"/>
            <w:noWrap/>
            <w:hideMark/>
          </w:tcPr>
          <w:p w14:paraId="33A91BAD" w14:textId="4D2AF12F" w:rsidR="00777542" w:rsidRPr="00E413A3" w:rsidRDefault="00777542">
            <w:pPr>
              <w:spacing w:after="0" w:line="240" w:lineRule="auto"/>
              <w:jc w:val="right"/>
              <w:rPr>
                <w:rFonts w:eastAsia="Times New Roman" w:cs="Arial"/>
                <w:color w:val="000000"/>
                <w:szCs w:val="22"/>
                <w:lang w:eastAsia="en-AU"/>
              </w:rPr>
            </w:pPr>
            <w:r w:rsidRPr="005611CF">
              <w:t>6</w:t>
            </w:r>
          </w:p>
        </w:tc>
        <w:tc>
          <w:tcPr>
            <w:tcW w:w="2379" w:type="dxa"/>
            <w:shd w:val="clear" w:color="auto" w:fill="F2F2F2" w:themeFill="background1" w:themeFillShade="F2"/>
            <w:noWrap/>
            <w:hideMark/>
          </w:tcPr>
          <w:p w14:paraId="79979469" w14:textId="7E2B1815" w:rsidR="00777542" w:rsidRPr="00E413A3" w:rsidRDefault="005611CF">
            <w:pPr>
              <w:spacing w:after="0" w:line="240" w:lineRule="auto"/>
              <w:jc w:val="right"/>
              <w:rPr>
                <w:rFonts w:eastAsia="Times New Roman" w:cs="Arial"/>
                <w:color w:val="000000"/>
                <w:szCs w:val="22"/>
                <w:lang w:eastAsia="en-AU"/>
              </w:rPr>
            </w:pPr>
            <w:r w:rsidRPr="005611CF">
              <w:t>8</w:t>
            </w:r>
            <w:r w:rsidR="00777542" w:rsidRPr="005611CF">
              <w:t>%</w:t>
            </w:r>
          </w:p>
        </w:tc>
      </w:tr>
      <w:tr w:rsidR="00777542" w:rsidRPr="005611CF" w14:paraId="62C0BEBA" w14:textId="77777777" w:rsidTr="00C12306">
        <w:trPr>
          <w:trHeight w:val="319"/>
        </w:trPr>
        <w:tc>
          <w:tcPr>
            <w:tcW w:w="4433" w:type="dxa"/>
            <w:shd w:val="clear" w:color="auto" w:fill="F2F2F2" w:themeFill="background1" w:themeFillShade="F2"/>
            <w:noWrap/>
            <w:hideMark/>
          </w:tcPr>
          <w:p w14:paraId="02FEFC00" w14:textId="1DEAE7FE" w:rsidR="00777542" w:rsidRPr="00E413A3" w:rsidRDefault="00777542">
            <w:pPr>
              <w:spacing w:after="0" w:line="240" w:lineRule="auto"/>
              <w:jc w:val="right"/>
              <w:rPr>
                <w:rFonts w:eastAsia="Times New Roman" w:cs="Arial"/>
                <w:color w:val="000000"/>
                <w:szCs w:val="22"/>
                <w:lang w:eastAsia="en-AU"/>
              </w:rPr>
            </w:pPr>
            <w:r w:rsidRPr="005611CF">
              <w:t>Options 2 and 3</w:t>
            </w:r>
          </w:p>
        </w:tc>
        <w:tc>
          <w:tcPr>
            <w:tcW w:w="2043" w:type="dxa"/>
            <w:shd w:val="clear" w:color="auto" w:fill="F2F2F2" w:themeFill="background1" w:themeFillShade="F2"/>
            <w:noWrap/>
            <w:hideMark/>
          </w:tcPr>
          <w:p w14:paraId="0B163477" w14:textId="4BF945B8" w:rsidR="00777542" w:rsidRPr="00E413A3" w:rsidRDefault="00777542">
            <w:pPr>
              <w:spacing w:after="0" w:line="240" w:lineRule="auto"/>
              <w:jc w:val="right"/>
              <w:rPr>
                <w:rFonts w:eastAsia="Times New Roman" w:cs="Arial"/>
                <w:color w:val="000000"/>
                <w:szCs w:val="22"/>
                <w:lang w:eastAsia="en-AU"/>
              </w:rPr>
            </w:pPr>
            <w:r w:rsidRPr="005611CF">
              <w:t>0</w:t>
            </w:r>
          </w:p>
        </w:tc>
        <w:tc>
          <w:tcPr>
            <w:tcW w:w="2379" w:type="dxa"/>
            <w:shd w:val="clear" w:color="auto" w:fill="F2F2F2" w:themeFill="background1" w:themeFillShade="F2"/>
            <w:noWrap/>
            <w:hideMark/>
          </w:tcPr>
          <w:p w14:paraId="6DE77001" w14:textId="2294D39A" w:rsidR="00777542" w:rsidRPr="00E413A3" w:rsidRDefault="00777542">
            <w:pPr>
              <w:spacing w:after="0" w:line="240" w:lineRule="auto"/>
              <w:jc w:val="right"/>
              <w:rPr>
                <w:rFonts w:eastAsia="Times New Roman" w:cs="Arial"/>
                <w:color w:val="000000"/>
                <w:szCs w:val="22"/>
                <w:lang w:eastAsia="en-AU"/>
              </w:rPr>
            </w:pPr>
            <w:r w:rsidRPr="005611CF">
              <w:t>0%</w:t>
            </w:r>
          </w:p>
        </w:tc>
      </w:tr>
      <w:tr w:rsidR="00777542" w:rsidRPr="005611CF" w14:paraId="7E27E1F0" w14:textId="77777777" w:rsidTr="00C12306">
        <w:trPr>
          <w:trHeight w:val="319"/>
        </w:trPr>
        <w:tc>
          <w:tcPr>
            <w:tcW w:w="4433" w:type="dxa"/>
            <w:shd w:val="clear" w:color="auto" w:fill="F2F2F2" w:themeFill="background1" w:themeFillShade="F2"/>
            <w:noWrap/>
            <w:hideMark/>
          </w:tcPr>
          <w:p w14:paraId="1761D78A" w14:textId="3CDEF908" w:rsidR="00777542" w:rsidRPr="00E413A3" w:rsidRDefault="00777542">
            <w:pPr>
              <w:spacing w:after="0" w:line="240" w:lineRule="auto"/>
              <w:jc w:val="right"/>
              <w:rPr>
                <w:rFonts w:eastAsia="Times New Roman" w:cs="Arial"/>
                <w:color w:val="000000"/>
                <w:szCs w:val="22"/>
                <w:lang w:eastAsia="en-AU"/>
              </w:rPr>
            </w:pPr>
            <w:r w:rsidRPr="005611CF">
              <w:t>Options 2 and 4</w:t>
            </w:r>
          </w:p>
        </w:tc>
        <w:tc>
          <w:tcPr>
            <w:tcW w:w="2043" w:type="dxa"/>
            <w:shd w:val="clear" w:color="auto" w:fill="F2F2F2" w:themeFill="background1" w:themeFillShade="F2"/>
            <w:noWrap/>
            <w:hideMark/>
          </w:tcPr>
          <w:p w14:paraId="1F96872D" w14:textId="35F2228D" w:rsidR="00777542" w:rsidRPr="00E413A3" w:rsidRDefault="00777542">
            <w:pPr>
              <w:spacing w:after="0" w:line="240" w:lineRule="auto"/>
              <w:jc w:val="right"/>
              <w:rPr>
                <w:rFonts w:eastAsia="Times New Roman" w:cs="Arial"/>
                <w:color w:val="000000"/>
                <w:szCs w:val="22"/>
                <w:lang w:eastAsia="en-AU"/>
              </w:rPr>
            </w:pPr>
            <w:r w:rsidRPr="005611CF">
              <w:t>0</w:t>
            </w:r>
          </w:p>
        </w:tc>
        <w:tc>
          <w:tcPr>
            <w:tcW w:w="2379" w:type="dxa"/>
            <w:shd w:val="clear" w:color="auto" w:fill="F2F2F2" w:themeFill="background1" w:themeFillShade="F2"/>
            <w:noWrap/>
            <w:hideMark/>
          </w:tcPr>
          <w:p w14:paraId="6CCC8C1B" w14:textId="7A95DE60" w:rsidR="00777542" w:rsidRPr="00E413A3" w:rsidRDefault="00777542">
            <w:pPr>
              <w:spacing w:after="0" w:line="240" w:lineRule="auto"/>
              <w:jc w:val="right"/>
              <w:rPr>
                <w:rFonts w:eastAsia="Times New Roman" w:cs="Arial"/>
                <w:color w:val="000000"/>
                <w:szCs w:val="22"/>
                <w:lang w:eastAsia="en-AU"/>
              </w:rPr>
            </w:pPr>
            <w:r w:rsidRPr="005611CF">
              <w:t>0%</w:t>
            </w:r>
          </w:p>
        </w:tc>
      </w:tr>
      <w:tr w:rsidR="00777542" w:rsidRPr="005611CF" w14:paraId="531CD38E" w14:textId="77777777" w:rsidTr="00C12306">
        <w:trPr>
          <w:trHeight w:val="319"/>
        </w:trPr>
        <w:tc>
          <w:tcPr>
            <w:tcW w:w="4433" w:type="dxa"/>
            <w:shd w:val="clear" w:color="auto" w:fill="F2F2F2" w:themeFill="background1" w:themeFillShade="F2"/>
            <w:noWrap/>
            <w:hideMark/>
          </w:tcPr>
          <w:p w14:paraId="5B13B763" w14:textId="082F9981" w:rsidR="00777542" w:rsidRPr="00E413A3" w:rsidRDefault="00777542">
            <w:pPr>
              <w:spacing w:after="0" w:line="240" w:lineRule="auto"/>
              <w:jc w:val="right"/>
              <w:rPr>
                <w:rFonts w:eastAsia="Times New Roman" w:cs="Arial"/>
                <w:color w:val="000000"/>
                <w:szCs w:val="22"/>
                <w:lang w:eastAsia="en-AU"/>
              </w:rPr>
            </w:pPr>
            <w:r w:rsidRPr="005611CF">
              <w:t>Options 2 and 5</w:t>
            </w:r>
          </w:p>
        </w:tc>
        <w:tc>
          <w:tcPr>
            <w:tcW w:w="2043" w:type="dxa"/>
            <w:shd w:val="clear" w:color="auto" w:fill="F2F2F2" w:themeFill="background1" w:themeFillShade="F2"/>
            <w:noWrap/>
            <w:hideMark/>
          </w:tcPr>
          <w:p w14:paraId="1E6F2CE7" w14:textId="724BE13A" w:rsidR="00777542" w:rsidRPr="00E413A3" w:rsidRDefault="00777542">
            <w:pPr>
              <w:spacing w:after="0" w:line="240" w:lineRule="auto"/>
              <w:jc w:val="right"/>
              <w:rPr>
                <w:rFonts w:eastAsia="Times New Roman" w:cs="Arial"/>
                <w:color w:val="000000"/>
                <w:szCs w:val="22"/>
                <w:lang w:eastAsia="en-AU"/>
              </w:rPr>
            </w:pPr>
            <w:r w:rsidRPr="005611CF">
              <w:t>0</w:t>
            </w:r>
          </w:p>
        </w:tc>
        <w:tc>
          <w:tcPr>
            <w:tcW w:w="2379" w:type="dxa"/>
            <w:shd w:val="clear" w:color="auto" w:fill="F2F2F2" w:themeFill="background1" w:themeFillShade="F2"/>
            <w:noWrap/>
            <w:hideMark/>
          </w:tcPr>
          <w:p w14:paraId="2A1A6EE3" w14:textId="4B3A2D40" w:rsidR="00777542" w:rsidRPr="00E413A3" w:rsidRDefault="00777542">
            <w:pPr>
              <w:spacing w:after="0" w:line="240" w:lineRule="auto"/>
              <w:jc w:val="right"/>
              <w:rPr>
                <w:rFonts w:eastAsia="Times New Roman" w:cs="Arial"/>
                <w:color w:val="000000"/>
                <w:szCs w:val="22"/>
                <w:lang w:eastAsia="en-AU"/>
              </w:rPr>
            </w:pPr>
            <w:r w:rsidRPr="005611CF">
              <w:t>0%</w:t>
            </w:r>
          </w:p>
        </w:tc>
      </w:tr>
      <w:tr w:rsidR="00777542" w:rsidRPr="005611CF" w14:paraId="52C09AD6" w14:textId="77777777" w:rsidTr="00C12306">
        <w:trPr>
          <w:trHeight w:val="319"/>
        </w:trPr>
        <w:tc>
          <w:tcPr>
            <w:tcW w:w="4433" w:type="dxa"/>
            <w:shd w:val="clear" w:color="auto" w:fill="F2F2F2" w:themeFill="background1" w:themeFillShade="F2"/>
            <w:noWrap/>
            <w:hideMark/>
          </w:tcPr>
          <w:p w14:paraId="13ECC74E" w14:textId="5C7C5631" w:rsidR="00777542" w:rsidRPr="00E413A3" w:rsidRDefault="00777542">
            <w:pPr>
              <w:spacing w:after="0" w:line="240" w:lineRule="auto"/>
              <w:jc w:val="right"/>
              <w:rPr>
                <w:rFonts w:eastAsia="Times New Roman" w:cs="Arial"/>
                <w:color w:val="000000"/>
                <w:szCs w:val="22"/>
                <w:lang w:eastAsia="en-AU"/>
              </w:rPr>
            </w:pPr>
            <w:r w:rsidRPr="005611CF">
              <w:t>Options 3 and 4</w:t>
            </w:r>
          </w:p>
        </w:tc>
        <w:tc>
          <w:tcPr>
            <w:tcW w:w="2043" w:type="dxa"/>
            <w:shd w:val="clear" w:color="auto" w:fill="F2F2F2" w:themeFill="background1" w:themeFillShade="F2"/>
            <w:noWrap/>
            <w:hideMark/>
          </w:tcPr>
          <w:p w14:paraId="7DA6B135" w14:textId="0642FCB5" w:rsidR="00777542" w:rsidRPr="00E413A3" w:rsidRDefault="00777542">
            <w:pPr>
              <w:spacing w:after="0" w:line="240" w:lineRule="auto"/>
              <w:jc w:val="right"/>
              <w:rPr>
                <w:rFonts w:eastAsia="Times New Roman" w:cs="Arial"/>
                <w:color w:val="000000"/>
                <w:szCs w:val="22"/>
                <w:lang w:eastAsia="en-AU"/>
              </w:rPr>
            </w:pPr>
            <w:r w:rsidRPr="005611CF">
              <w:t>7</w:t>
            </w:r>
          </w:p>
        </w:tc>
        <w:tc>
          <w:tcPr>
            <w:tcW w:w="2379" w:type="dxa"/>
            <w:shd w:val="clear" w:color="auto" w:fill="F2F2F2" w:themeFill="background1" w:themeFillShade="F2"/>
            <w:noWrap/>
            <w:hideMark/>
          </w:tcPr>
          <w:p w14:paraId="7EE92F18" w14:textId="452144FE" w:rsidR="00777542" w:rsidRPr="00E413A3" w:rsidRDefault="005611CF">
            <w:pPr>
              <w:spacing w:after="0" w:line="240" w:lineRule="auto"/>
              <w:jc w:val="right"/>
              <w:rPr>
                <w:rFonts w:eastAsia="Times New Roman" w:cs="Arial"/>
                <w:color w:val="000000"/>
                <w:szCs w:val="22"/>
                <w:lang w:eastAsia="en-AU"/>
              </w:rPr>
            </w:pPr>
            <w:r w:rsidRPr="005611CF">
              <w:t>9</w:t>
            </w:r>
            <w:r w:rsidR="00777542" w:rsidRPr="005611CF">
              <w:t>%</w:t>
            </w:r>
          </w:p>
        </w:tc>
      </w:tr>
      <w:tr w:rsidR="00777542" w:rsidRPr="005611CF" w14:paraId="64591E71" w14:textId="77777777" w:rsidTr="00C12306">
        <w:trPr>
          <w:trHeight w:val="319"/>
        </w:trPr>
        <w:tc>
          <w:tcPr>
            <w:tcW w:w="4433" w:type="dxa"/>
            <w:shd w:val="clear" w:color="auto" w:fill="F2F2F2" w:themeFill="background1" w:themeFillShade="F2"/>
            <w:noWrap/>
            <w:hideMark/>
          </w:tcPr>
          <w:p w14:paraId="4200EBF8" w14:textId="1E146AE8" w:rsidR="00777542" w:rsidRPr="00E413A3" w:rsidRDefault="00777542">
            <w:pPr>
              <w:spacing w:after="0" w:line="240" w:lineRule="auto"/>
              <w:jc w:val="right"/>
              <w:rPr>
                <w:rFonts w:eastAsia="Times New Roman" w:cs="Arial"/>
                <w:color w:val="000000"/>
                <w:szCs w:val="22"/>
                <w:lang w:eastAsia="en-AU"/>
              </w:rPr>
            </w:pPr>
            <w:r w:rsidRPr="005611CF">
              <w:t>Options 3 and 5</w:t>
            </w:r>
          </w:p>
        </w:tc>
        <w:tc>
          <w:tcPr>
            <w:tcW w:w="2043" w:type="dxa"/>
            <w:shd w:val="clear" w:color="auto" w:fill="F2F2F2" w:themeFill="background1" w:themeFillShade="F2"/>
            <w:noWrap/>
            <w:hideMark/>
          </w:tcPr>
          <w:p w14:paraId="386955F9" w14:textId="50B6D27B" w:rsidR="00777542" w:rsidRPr="00E413A3" w:rsidRDefault="00777542">
            <w:pPr>
              <w:spacing w:after="0" w:line="240" w:lineRule="auto"/>
              <w:jc w:val="right"/>
              <w:rPr>
                <w:rFonts w:eastAsia="Times New Roman" w:cs="Arial"/>
                <w:color w:val="000000"/>
                <w:szCs w:val="22"/>
                <w:lang w:eastAsia="en-AU"/>
              </w:rPr>
            </w:pPr>
            <w:r w:rsidRPr="005611CF">
              <w:t>1</w:t>
            </w:r>
          </w:p>
        </w:tc>
        <w:tc>
          <w:tcPr>
            <w:tcW w:w="2379" w:type="dxa"/>
            <w:shd w:val="clear" w:color="auto" w:fill="F2F2F2" w:themeFill="background1" w:themeFillShade="F2"/>
            <w:noWrap/>
            <w:hideMark/>
          </w:tcPr>
          <w:p w14:paraId="3C13F2DF" w14:textId="20025905" w:rsidR="00777542" w:rsidRPr="00E413A3" w:rsidRDefault="005611CF">
            <w:pPr>
              <w:spacing w:after="0" w:line="240" w:lineRule="auto"/>
              <w:jc w:val="right"/>
              <w:rPr>
                <w:rFonts w:eastAsia="Times New Roman" w:cs="Arial"/>
                <w:color w:val="000000"/>
                <w:szCs w:val="22"/>
                <w:lang w:eastAsia="en-AU"/>
              </w:rPr>
            </w:pPr>
            <w:r w:rsidRPr="005611CF">
              <w:t>1</w:t>
            </w:r>
            <w:r w:rsidR="00777542" w:rsidRPr="005611CF">
              <w:t>%</w:t>
            </w:r>
          </w:p>
        </w:tc>
      </w:tr>
      <w:tr w:rsidR="00777542" w:rsidRPr="005611CF" w14:paraId="7BA506DC" w14:textId="77777777" w:rsidTr="00C12306">
        <w:trPr>
          <w:trHeight w:val="319"/>
        </w:trPr>
        <w:tc>
          <w:tcPr>
            <w:tcW w:w="4433" w:type="dxa"/>
            <w:shd w:val="clear" w:color="auto" w:fill="F2F2F2" w:themeFill="background1" w:themeFillShade="F2"/>
            <w:noWrap/>
            <w:hideMark/>
          </w:tcPr>
          <w:p w14:paraId="49F1AF30" w14:textId="33AACAA2" w:rsidR="00777542" w:rsidRPr="00E413A3" w:rsidRDefault="00777542">
            <w:pPr>
              <w:spacing w:after="0" w:line="240" w:lineRule="auto"/>
              <w:jc w:val="right"/>
              <w:rPr>
                <w:rFonts w:eastAsia="Times New Roman" w:cs="Arial"/>
                <w:color w:val="000000"/>
                <w:szCs w:val="22"/>
                <w:lang w:eastAsia="en-AU"/>
              </w:rPr>
            </w:pPr>
            <w:r w:rsidRPr="005611CF">
              <w:t>Options 4 and 5</w:t>
            </w:r>
          </w:p>
        </w:tc>
        <w:tc>
          <w:tcPr>
            <w:tcW w:w="2043" w:type="dxa"/>
            <w:shd w:val="clear" w:color="auto" w:fill="F2F2F2" w:themeFill="background1" w:themeFillShade="F2"/>
            <w:noWrap/>
            <w:hideMark/>
          </w:tcPr>
          <w:p w14:paraId="57DAB1FB" w14:textId="575F8054" w:rsidR="00777542" w:rsidRPr="00E413A3" w:rsidRDefault="00777542">
            <w:pPr>
              <w:spacing w:after="0" w:line="240" w:lineRule="auto"/>
              <w:jc w:val="right"/>
              <w:rPr>
                <w:rFonts w:eastAsia="Times New Roman" w:cs="Arial"/>
                <w:color w:val="000000"/>
                <w:szCs w:val="22"/>
                <w:lang w:eastAsia="en-AU"/>
              </w:rPr>
            </w:pPr>
            <w:r w:rsidRPr="005611CF">
              <w:t>6</w:t>
            </w:r>
          </w:p>
        </w:tc>
        <w:tc>
          <w:tcPr>
            <w:tcW w:w="2379" w:type="dxa"/>
            <w:shd w:val="clear" w:color="auto" w:fill="F2F2F2" w:themeFill="background1" w:themeFillShade="F2"/>
            <w:noWrap/>
            <w:hideMark/>
          </w:tcPr>
          <w:p w14:paraId="7BEAD973" w14:textId="54F24A8D" w:rsidR="00777542" w:rsidRPr="00E413A3" w:rsidRDefault="005611CF">
            <w:pPr>
              <w:spacing w:after="0" w:line="240" w:lineRule="auto"/>
              <w:jc w:val="right"/>
              <w:rPr>
                <w:rFonts w:eastAsia="Times New Roman" w:cs="Arial"/>
                <w:color w:val="000000"/>
                <w:szCs w:val="22"/>
                <w:lang w:eastAsia="en-AU"/>
              </w:rPr>
            </w:pPr>
            <w:r w:rsidRPr="005611CF">
              <w:t>8</w:t>
            </w:r>
            <w:r w:rsidR="00777542" w:rsidRPr="005611CF">
              <w:t>%</w:t>
            </w:r>
          </w:p>
        </w:tc>
      </w:tr>
      <w:tr w:rsidR="00777542" w:rsidRPr="005611CF" w14:paraId="1040FFB2" w14:textId="77777777" w:rsidTr="00C12306">
        <w:trPr>
          <w:trHeight w:val="319"/>
        </w:trPr>
        <w:tc>
          <w:tcPr>
            <w:tcW w:w="4433" w:type="dxa"/>
            <w:shd w:val="clear" w:color="auto" w:fill="F2F2F2" w:themeFill="background1" w:themeFillShade="F2"/>
            <w:noWrap/>
            <w:hideMark/>
          </w:tcPr>
          <w:p w14:paraId="05053051" w14:textId="4981EC41" w:rsidR="00777542" w:rsidRPr="00E413A3" w:rsidRDefault="00777542">
            <w:pPr>
              <w:spacing w:after="0" w:line="240" w:lineRule="auto"/>
              <w:jc w:val="right"/>
              <w:rPr>
                <w:rFonts w:eastAsia="Times New Roman" w:cs="Arial"/>
                <w:color w:val="000000"/>
                <w:szCs w:val="22"/>
                <w:lang w:eastAsia="en-AU"/>
              </w:rPr>
            </w:pPr>
            <w:r w:rsidRPr="005611CF">
              <w:t>Options 2, 3 and 5</w:t>
            </w:r>
          </w:p>
        </w:tc>
        <w:tc>
          <w:tcPr>
            <w:tcW w:w="2043" w:type="dxa"/>
            <w:shd w:val="clear" w:color="auto" w:fill="F2F2F2" w:themeFill="background1" w:themeFillShade="F2"/>
            <w:noWrap/>
            <w:hideMark/>
          </w:tcPr>
          <w:p w14:paraId="331B59C9" w14:textId="01A26A56" w:rsidR="00777542" w:rsidRPr="00E413A3" w:rsidRDefault="00777542">
            <w:pPr>
              <w:spacing w:after="0" w:line="240" w:lineRule="auto"/>
              <w:jc w:val="right"/>
              <w:rPr>
                <w:rFonts w:eastAsia="Times New Roman" w:cs="Arial"/>
                <w:color w:val="000000"/>
                <w:szCs w:val="22"/>
                <w:lang w:eastAsia="en-AU"/>
              </w:rPr>
            </w:pPr>
            <w:r w:rsidRPr="005611CF">
              <w:t>0</w:t>
            </w:r>
          </w:p>
        </w:tc>
        <w:tc>
          <w:tcPr>
            <w:tcW w:w="2379" w:type="dxa"/>
            <w:shd w:val="clear" w:color="auto" w:fill="F2F2F2" w:themeFill="background1" w:themeFillShade="F2"/>
            <w:noWrap/>
            <w:hideMark/>
          </w:tcPr>
          <w:p w14:paraId="3B503D00" w14:textId="05CCE48A" w:rsidR="00777542" w:rsidRPr="00E413A3" w:rsidRDefault="00777542">
            <w:pPr>
              <w:spacing w:after="0" w:line="240" w:lineRule="auto"/>
              <w:jc w:val="right"/>
              <w:rPr>
                <w:rFonts w:eastAsia="Times New Roman" w:cs="Arial"/>
                <w:color w:val="000000"/>
                <w:szCs w:val="22"/>
                <w:lang w:eastAsia="en-AU"/>
              </w:rPr>
            </w:pPr>
            <w:r w:rsidRPr="005611CF">
              <w:t>0%</w:t>
            </w:r>
          </w:p>
        </w:tc>
      </w:tr>
      <w:tr w:rsidR="00777542" w:rsidRPr="005611CF" w14:paraId="6588CBBA" w14:textId="77777777" w:rsidTr="00C12306">
        <w:trPr>
          <w:trHeight w:val="319"/>
        </w:trPr>
        <w:tc>
          <w:tcPr>
            <w:tcW w:w="4433" w:type="dxa"/>
            <w:shd w:val="clear" w:color="auto" w:fill="F2F2F2" w:themeFill="background1" w:themeFillShade="F2"/>
            <w:noWrap/>
            <w:hideMark/>
          </w:tcPr>
          <w:p w14:paraId="289E0936" w14:textId="588FD6D6" w:rsidR="00777542" w:rsidRPr="00E413A3" w:rsidRDefault="00777542">
            <w:pPr>
              <w:spacing w:after="0" w:line="240" w:lineRule="auto"/>
              <w:jc w:val="right"/>
              <w:rPr>
                <w:rFonts w:eastAsia="Times New Roman" w:cs="Arial"/>
                <w:color w:val="000000"/>
                <w:szCs w:val="22"/>
                <w:lang w:eastAsia="en-AU"/>
              </w:rPr>
            </w:pPr>
            <w:r w:rsidRPr="005611CF">
              <w:t>Options 2, 4 and 5</w:t>
            </w:r>
          </w:p>
        </w:tc>
        <w:tc>
          <w:tcPr>
            <w:tcW w:w="2043" w:type="dxa"/>
            <w:shd w:val="clear" w:color="auto" w:fill="F2F2F2" w:themeFill="background1" w:themeFillShade="F2"/>
            <w:noWrap/>
            <w:hideMark/>
          </w:tcPr>
          <w:p w14:paraId="51D42346" w14:textId="089FB22D" w:rsidR="00777542" w:rsidRPr="00E413A3" w:rsidRDefault="00777542">
            <w:pPr>
              <w:spacing w:after="0" w:line="240" w:lineRule="auto"/>
              <w:jc w:val="right"/>
              <w:rPr>
                <w:rFonts w:eastAsia="Times New Roman" w:cs="Arial"/>
                <w:color w:val="000000"/>
                <w:szCs w:val="22"/>
                <w:lang w:eastAsia="en-AU"/>
              </w:rPr>
            </w:pPr>
            <w:r w:rsidRPr="005611CF">
              <w:t>0</w:t>
            </w:r>
          </w:p>
        </w:tc>
        <w:tc>
          <w:tcPr>
            <w:tcW w:w="2379" w:type="dxa"/>
            <w:shd w:val="clear" w:color="auto" w:fill="F2F2F2" w:themeFill="background1" w:themeFillShade="F2"/>
            <w:noWrap/>
            <w:hideMark/>
          </w:tcPr>
          <w:p w14:paraId="525A1948" w14:textId="4E7317F4" w:rsidR="00777542" w:rsidRPr="00E413A3" w:rsidRDefault="00777542">
            <w:pPr>
              <w:spacing w:after="0" w:line="240" w:lineRule="auto"/>
              <w:jc w:val="right"/>
              <w:rPr>
                <w:rFonts w:eastAsia="Times New Roman" w:cs="Arial"/>
                <w:color w:val="000000"/>
                <w:szCs w:val="22"/>
                <w:lang w:eastAsia="en-AU"/>
              </w:rPr>
            </w:pPr>
            <w:r w:rsidRPr="005611CF">
              <w:t>0%</w:t>
            </w:r>
          </w:p>
        </w:tc>
      </w:tr>
      <w:tr w:rsidR="00777542" w:rsidRPr="005611CF" w14:paraId="07D44222" w14:textId="77777777" w:rsidTr="00C12306">
        <w:trPr>
          <w:trHeight w:val="319"/>
        </w:trPr>
        <w:tc>
          <w:tcPr>
            <w:tcW w:w="4433" w:type="dxa"/>
            <w:shd w:val="clear" w:color="auto" w:fill="F2F2F2" w:themeFill="background1" w:themeFillShade="F2"/>
            <w:noWrap/>
            <w:hideMark/>
          </w:tcPr>
          <w:p w14:paraId="4BFC7FFA" w14:textId="0A635A27" w:rsidR="00777542" w:rsidRPr="00E413A3" w:rsidRDefault="00777542">
            <w:pPr>
              <w:spacing w:after="0" w:line="240" w:lineRule="auto"/>
              <w:jc w:val="right"/>
              <w:rPr>
                <w:rFonts w:eastAsia="Times New Roman" w:cs="Arial"/>
                <w:color w:val="000000"/>
                <w:szCs w:val="22"/>
                <w:lang w:eastAsia="en-AU"/>
              </w:rPr>
            </w:pPr>
            <w:r w:rsidRPr="005611CF">
              <w:t>Options 2, 3 and 4</w:t>
            </w:r>
          </w:p>
        </w:tc>
        <w:tc>
          <w:tcPr>
            <w:tcW w:w="2043" w:type="dxa"/>
            <w:shd w:val="clear" w:color="auto" w:fill="F2F2F2" w:themeFill="background1" w:themeFillShade="F2"/>
            <w:noWrap/>
            <w:hideMark/>
          </w:tcPr>
          <w:p w14:paraId="30C678C1" w14:textId="5AA6E137" w:rsidR="00777542" w:rsidRPr="00E413A3" w:rsidRDefault="00777542">
            <w:pPr>
              <w:spacing w:after="0" w:line="240" w:lineRule="auto"/>
              <w:jc w:val="right"/>
              <w:rPr>
                <w:rFonts w:eastAsia="Times New Roman" w:cs="Arial"/>
                <w:color w:val="000000"/>
                <w:szCs w:val="22"/>
                <w:lang w:eastAsia="en-AU"/>
              </w:rPr>
            </w:pPr>
            <w:r w:rsidRPr="005611CF">
              <w:t>1</w:t>
            </w:r>
          </w:p>
        </w:tc>
        <w:tc>
          <w:tcPr>
            <w:tcW w:w="2379" w:type="dxa"/>
            <w:shd w:val="clear" w:color="auto" w:fill="F2F2F2" w:themeFill="background1" w:themeFillShade="F2"/>
            <w:noWrap/>
            <w:hideMark/>
          </w:tcPr>
          <w:p w14:paraId="49136346" w14:textId="52AB563D" w:rsidR="00777542" w:rsidRPr="00E413A3" w:rsidRDefault="005611CF">
            <w:pPr>
              <w:spacing w:after="0" w:line="240" w:lineRule="auto"/>
              <w:jc w:val="right"/>
              <w:rPr>
                <w:rFonts w:eastAsia="Times New Roman" w:cs="Arial"/>
                <w:color w:val="000000"/>
                <w:szCs w:val="22"/>
                <w:lang w:eastAsia="en-AU"/>
              </w:rPr>
            </w:pPr>
            <w:r w:rsidRPr="005611CF">
              <w:t>1</w:t>
            </w:r>
            <w:r w:rsidR="00777542" w:rsidRPr="005611CF">
              <w:t>%</w:t>
            </w:r>
          </w:p>
        </w:tc>
      </w:tr>
      <w:tr w:rsidR="00777542" w:rsidRPr="005611CF" w14:paraId="21808E20" w14:textId="77777777" w:rsidTr="00C12306">
        <w:trPr>
          <w:trHeight w:val="319"/>
        </w:trPr>
        <w:tc>
          <w:tcPr>
            <w:tcW w:w="4433" w:type="dxa"/>
            <w:shd w:val="clear" w:color="auto" w:fill="EDF5D7" w:themeFill="accent5" w:themeFillTint="33"/>
            <w:noWrap/>
            <w:hideMark/>
          </w:tcPr>
          <w:p w14:paraId="74F9D3B0" w14:textId="45F966BA" w:rsidR="00777542" w:rsidRPr="00E413A3" w:rsidRDefault="00777542">
            <w:pPr>
              <w:spacing w:after="0" w:line="240" w:lineRule="auto"/>
              <w:jc w:val="right"/>
              <w:rPr>
                <w:rFonts w:eastAsia="Times New Roman" w:cs="Arial"/>
                <w:color w:val="000000"/>
                <w:szCs w:val="22"/>
                <w:lang w:eastAsia="en-AU"/>
              </w:rPr>
            </w:pPr>
            <w:r w:rsidRPr="005611CF">
              <w:t>Options 3, 4 and 5</w:t>
            </w:r>
          </w:p>
        </w:tc>
        <w:tc>
          <w:tcPr>
            <w:tcW w:w="2043" w:type="dxa"/>
            <w:shd w:val="clear" w:color="auto" w:fill="EDF5D7" w:themeFill="accent5" w:themeFillTint="33"/>
            <w:noWrap/>
            <w:hideMark/>
          </w:tcPr>
          <w:p w14:paraId="2F3AEFC3" w14:textId="2CA87968" w:rsidR="00777542" w:rsidRPr="00E413A3" w:rsidRDefault="005611CF">
            <w:pPr>
              <w:spacing w:after="0" w:line="240" w:lineRule="auto"/>
              <w:jc w:val="right"/>
              <w:rPr>
                <w:rFonts w:eastAsia="Times New Roman" w:cs="Arial"/>
                <w:color w:val="000000"/>
                <w:szCs w:val="22"/>
                <w:lang w:eastAsia="en-AU"/>
              </w:rPr>
            </w:pPr>
            <w:r w:rsidRPr="005611CF">
              <w:t>19</w:t>
            </w:r>
          </w:p>
        </w:tc>
        <w:tc>
          <w:tcPr>
            <w:tcW w:w="2379" w:type="dxa"/>
            <w:shd w:val="clear" w:color="auto" w:fill="EDF5D7" w:themeFill="accent5" w:themeFillTint="33"/>
            <w:noWrap/>
            <w:hideMark/>
          </w:tcPr>
          <w:p w14:paraId="030CEA2E" w14:textId="65E5358D" w:rsidR="00777542" w:rsidRPr="00E413A3" w:rsidRDefault="005611CF">
            <w:pPr>
              <w:spacing w:after="0" w:line="240" w:lineRule="auto"/>
              <w:jc w:val="right"/>
              <w:rPr>
                <w:rFonts w:eastAsia="Times New Roman" w:cs="Arial"/>
                <w:color w:val="000000"/>
                <w:szCs w:val="22"/>
                <w:lang w:eastAsia="en-AU"/>
              </w:rPr>
            </w:pPr>
            <w:r w:rsidRPr="005611CF">
              <w:t>26</w:t>
            </w:r>
            <w:r w:rsidR="00777542" w:rsidRPr="005611CF">
              <w:t>%</w:t>
            </w:r>
          </w:p>
        </w:tc>
      </w:tr>
      <w:tr w:rsidR="00777542" w:rsidRPr="005611CF" w14:paraId="29A509EA" w14:textId="77777777" w:rsidTr="00C12306">
        <w:trPr>
          <w:trHeight w:val="319"/>
        </w:trPr>
        <w:tc>
          <w:tcPr>
            <w:tcW w:w="4433" w:type="dxa"/>
            <w:shd w:val="clear" w:color="auto" w:fill="F2F2F2" w:themeFill="background1" w:themeFillShade="F2"/>
            <w:noWrap/>
            <w:hideMark/>
          </w:tcPr>
          <w:p w14:paraId="5BD929EF" w14:textId="4A27D0CA" w:rsidR="00777542" w:rsidRPr="00E413A3" w:rsidRDefault="00777542">
            <w:pPr>
              <w:spacing w:after="0" w:line="240" w:lineRule="auto"/>
              <w:jc w:val="right"/>
              <w:rPr>
                <w:rFonts w:eastAsia="Times New Roman" w:cs="Arial"/>
                <w:color w:val="000000"/>
                <w:szCs w:val="22"/>
                <w:lang w:eastAsia="en-AU"/>
              </w:rPr>
            </w:pPr>
            <w:r w:rsidRPr="005611CF">
              <w:lastRenderedPageBreak/>
              <w:t>Options 2, 3, 4 and 5</w:t>
            </w:r>
          </w:p>
        </w:tc>
        <w:tc>
          <w:tcPr>
            <w:tcW w:w="2043" w:type="dxa"/>
            <w:shd w:val="clear" w:color="auto" w:fill="F2F2F2" w:themeFill="background1" w:themeFillShade="F2"/>
            <w:noWrap/>
            <w:hideMark/>
          </w:tcPr>
          <w:p w14:paraId="352A8B2B" w14:textId="2D79B766" w:rsidR="00777542" w:rsidRPr="00E413A3" w:rsidRDefault="005611CF">
            <w:pPr>
              <w:spacing w:after="0" w:line="240" w:lineRule="auto"/>
              <w:jc w:val="right"/>
              <w:rPr>
                <w:rFonts w:eastAsia="Times New Roman" w:cs="Arial"/>
                <w:color w:val="000000"/>
                <w:szCs w:val="22"/>
                <w:lang w:eastAsia="en-AU"/>
              </w:rPr>
            </w:pPr>
            <w:r w:rsidRPr="005611CF">
              <w:t>8</w:t>
            </w:r>
          </w:p>
        </w:tc>
        <w:tc>
          <w:tcPr>
            <w:tcW w:w="2379" w:type="dxa"/>
            <w:shd w:val="clear" w:color="auto" w:fill="F2F2F2" w:themeFill="background1" w:themeFillShade="F2"/>
            <w:noWrap/>
            <w:hideMark/>
          </w:tcPr>
          <w:p w14:paraId="3C29C631" w14:textId="3919C325" w:rsidR="00777542" w:rsidRPr="00E413A3" w:rsidRDefault="005611CF">
            <w:pPr>
              <w:spacing w:after="0" w:line="240" w:lineRule="auto"/>
              <w:jc w:val="right"/>
              <w:rPr>
                <w:rFonts w:eastAsia="Times New Roman" w:cs="Arial"/>
                <w:color w:val="000000"/>
                <w:szCs w:val="22"/>
                <w:lang w:eastAsia="en-AU"/>
              </w:rPr>
            </w:pPr>
            <w:r w:rsidRPr="005611CF">
              <w:t>11</w:t>
            </w:r>
            <w:r w:rsidR="00777542" w:rsidRPr="005611CF">
              <w:t>%</w:t>
            </w:r>
          </w:p>
        </w:tc>
      </w:tr>
    </w:tbl>
    <w:p w14:paraId="3B7A0DC1" w14:textId="60DAD67F" w:rsidR="00777542" w:rsidRPr="00777542" w:rsidRDefault="00777542" w:rsidP="00976C70">
      <w:pPr>
        <w:pStyle w:val="Source-CSR"/>
        <w:rPr>
          <w:highlight w:val="yellow"/>
        </w:rPr>
      </w:pPr>
      <w:r w:rsidRPr="005611CF">
        <w:t xml:space="preserve">Source: Families, carers and parents survey, as of </w:t>
      </w:r>
      <w:r w:rsidR="00BC5110" w:rsidRPr="00636B94">
        <w:t>11</w:t>
      </w:r>
      <w:r w:rsidRPr="00636B94">
        <w:t xml:space="preserve"> June 2025, Q52, n=</w:t>
      </w:r>
      <w:r w:rsidR="005611CF" w:rsidRPr="00636B94">
        <w:t>74</w:t>
      </w:r>
      <w:r w:rsidRPr="00636B94">
        <w:t xml:space="preserve"> unique respondents. Most popular options or combination of options are highlighted in green. Note that if a respondent selected a combination of options, that selection is treated as a unique preference and not double-counted in the singular options. </w:t>
      </w:r>
    </w:p>
    <w:p w14:paraId="1C172946" w14:textId="0BC5868D" w:rsidR="002F01B5" w:rsidRDefault="002F01B5" w:rsidP="002F01B5">
      <w:pPr>
        <w:pStyle w:val="Heading4un-numbered"/>
      </w:pPr>
      <w:r>
        <w:t>Responding to educator and staff member conduct – Additional Questions</w:t>
      </w:r>
    </w:p>
    <w:p w14:paraId="3F97177B" w14:textId="21E5D21B" w:rsidR="002F01B5" w:rsidRPr="002F01B5" w:rsidRDefault="0013556A" w:rsidP="00EE5C4A">
      <w:pPr>
        <w:pStyle w:val="CaptionChart"/>
        <w:rPr>
          <w:i/>
          <w:color w:val="006B77" w:themeColor="accent1"/>
          <w:szCs w:val="17"/>
        </w:rPr>
      </w:pPr>
      <w:r w:rsidRPr="0013556A">
        <w:t>Appendix Chart 12.3.</w:t>
      </w:r>
      <w:r w:rsidRPr="00C318DA">
        <w:rPr>
          <w:color w:val="006B77" w:themeColor="accent1"/>
          <w:szCs w:val="17"/>
        </w:rPr>
        <w:t>3.16</w:t>
      </w:r>
      <w:r w:rsidRPr="0013556A">
        <w:rPr>
          <w:i/>
          <w:color w:val="006B77" w:themeColor="accent1"/>
          <w:szCs w:val="17"/>
        </w:rPr>
        <w:t xml:space="preserve"> </w:t>
      </w:r>
      <w:r w:rsidR="002F01B5" w:rsidRPr="002F01B5">
        <w:rPr>
          <w:color w:val="006B77" w:themeColor="accent1"/>
          <w:szCs w:val="17"/>
        </w:rPr>
        <w:t>Approved provider responses to “How often do you hear about reports of inappropriate conduct?”</w:t>
      </w:r>
    </w:p>
    <w:p w14:paraId="279E08BD" w14:textId="77777777" w:rsidR="00BD2E8D" w:rsidRDefault="00BD2E8D" w:rsidP="002F01B5">
      <w:pPr>
        <w:rPr>
          <w:color w:val="808080" w:themeColor="background1" w:themeShade="80"/>
          <w:sz w:val="14"/>
          <w:szCs w:val="10"/>
        </w:rPr>
      </w:pPr>
      <w:r>
        <w:rPr>
          <w:noProof/>
          <w14:ligatures w14:val="standardContextual"/>
        </w:rPr>
        <w:drawing>
          <wp:inline distT="0" distB="0" distL="0" distR="0" wp14:anchorId="6F667AC6" wp14:editId="526E98A9">
            <wp:extent cx="5188585" cy="1838990"/>
            <wp:effectExtent l="0" t="0" r="0" b="8890"/>
            <wp:docPr id="2043371670" name="Chart 1" descr="Chart outlining approved provider responses to the survey question &quot;How often do you hear about reports of inappropriate conduct?&quot;">
              <a:extLst xmlns:a="http://schemas.openxmlformats.org/drawingml/2006/main">
                <a:ext uri="{FF2B5EF4-FFF2-40B4-BE49-F238E27FC236}">
                  <a16:creationId xmlns:a16="http://schemas.microsoft.com/office/drawing/2014/main" id="{8899C57D-C13B-44C4-9B85-F4B46A6134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0B87D64" w14:textId="41299134" w:rsidR="002F01B5" w:rsidRDefault="002F01B5" w:rsidP="00636B94">
      <w:pPr>
        <w:pStyle w:val="Source-CSR"/>
      </w:pPr>
      <w:r w:rsidRPr="00134058">
        <w:t xml:space="preserve">Source: Approved </w:t>
      </w:r>
      <w:r>
        <w:t>provider</w:t>
      </w:r>
      <w:r w:rsidRPr="00134058">
        <w:t xml:space="preserve"> survey, as of </w:t>
      </w:r>
      <w:r w:rsidRPr="006573C2">
        <w:t xml:space="preserve">11 June 2025, </w:t>
      </w:r>
      <w:r w:rsidRPr="00673965">
        <w:t>Q</w:t>
      </w:r>
      <w:r w:rsidR="00673965" w:rsidRPr="00673965">
        <w:t>144</w:t>
      </w:r>
      <w:r w:rsidRPr="006573C2">
        <w:t>, n=</w:t>
      </w:r>
      <w:r w:rsidR="00E60725">
        <w:t>160</w:t>
      </w:r>
      <w:r w:rsidRPr="00134058">
        <w:t>.</w:t>
      </w:r>
      <w:r>
        <w:t xml:space="preserve"> Note Approved providers could select multiple options. </w:t>
      </w:r>
      <w:r w:rsidR="00C318DA">
        <w:t>Note that due to rounding, percentages may not add to 100%.</w:t>
      </w:r>
    </w:p>
    <w:p w14:paraId="06E340A0" w14:textId="77777777" w:rsidR="002F01B5" w:rsidRDefault="002F01B5" w:rsidP="00636B94">
      <w:pPr>
        <w:pStyle w:val="Source-CSR"/>
      </w:pPr>
    </w:p>
    <w:p w14:paraId="50AF33DA" w14:textId="4F2C9A3A" w:rsidR="002F01B5" w:rsidRPr="002F01B5" w:rsidRDefault="0013556A" w:rsidP="00EE5C4A">
      <w:pPr>
        <w:pStyle w:val="CaptionChart"/>
        <w:rPr>
          <w:i/>
          <w:color w:val="006B77" w:themeColor="accent1"/>
          <w:szCs w:val="17"/>
        </w:rPr>
      </w:pPr>
      <w:r w:rsidRPr="0013556A">
        <w:t>Appendix Chart 12.3.</w:t>
      </w:r>
      <w:r w:rsidRPr="00C318DA">
        <w:rPr>
          <w:iCs/>
          <w:color w:val="006B77" w:themeColor="accent1"/>
          <w:szCs w:val="17"/>
        </w:rPr>
        <w:t>3.17</w:t>
      </w:r>
      <w:r>
        <w:rPr>
          <w:i/>
          <w:color w:val="006B77" w:themeColor="accent1"/>
          <w:szCs w:val="17"/>
        </w:rPr>
        <w:t xml:space="preserve"> </w:t>
      </w:r>
      <w:r w:rsidR="00014AC2">
        <w:rPr>
          <w:color w:val="006B77" w:themeColor="accent1"/>
          <w:szCs w:val="17"/>
        </w:rPr>
        <w:t>Education and care</w:t>
      </w:r>
      <w:r w:rsidR="002F01B5" w:rsidRPr="002F01B5">
        <w:rPr>
          <w:color w:val="006B77" w:themeColor="accent1"/>
          <w:szCs w:val="17"/>
        </w:rPr>
        <w:t xml:space="preserve"> workforce responses to “How often do you hear about reports of inappropriate conduct at your service?”</w:t>
      </w:r>
    </w:p>
    <w:p w14:paraId="6C6519D2" w14:textId="62268D40" w:rsidR="002F01B5" w:rsidRPr="00334711" w:rsidRDefault="00270159" w:rsidP="002F01B5">
      <w:r>
        <w:rPr>
          <w:noProof/>
          <w14:ligatures w14:val="standardContextual"/>
        </w:rPr>
        <w:drawing>
          <wp:inline distT="0" distB="0" distL="0" distR="0" wp14:anchorId="7C05AA03" wp14:editId="6D50D690">
            <wp:extent cx="5164531" cy="2128520"/>
            <wp:effectExtent l="0" t="0" r="17145" b="5080"/>
            <wp:docPr id="1863518196" name="Chart 1" descr="Chart outlining education and care workforce responses to the survey question &quot;How often do you hear about reports of inappropriate conduct at your service?&quot;">
              <a:extLst xmlns:a="http://schemas.openxmlformats.org/drawingml/2006/main">
                <a:ext uri="{FF2B5EF4-FFF2-40B4-BE49-F238E27FC236}">
                  <a16:creationId xmlns:a16="http://schemas.microsoft.com/office/drawing/2014/main" id="{9C4DC478-27DE-6786-828D-66E7E4BBF5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D9C6F24" w14:textId="7D25721E" w:rsidR="002F01B5" w:rsidRDefault="002F01B5" w:rsidP="00976C70">
      <w:pPr>
        <w:pStyle w:val="Source-CSR"/>
      </w:pPr>
      <w:r w:rsidRPr="00134058">
        <w:t xml:space="preserve">Source: </w:t>
      </w:r>
      <w:r w:rsidR="00014AC2" w:rsidRPr="00636B94">
        <w:t>Education and care</w:t>
      </w:r>
      <w:r w:rsidRPr="00636B94">
        <w:t xml:space="preserve"> workforce survey, as of 11 June 2025, Q</w:t>
      </w:r>
      <w:r w:rsidR="005D450C" w:rsidRPr="00636B94">
        <w:t>135</w:t>
      </w:r>
      <w:r w:rsidRPr="00636B94">
        <w:t>, n=</w:t>
      </w:r>
      <w:r w:rsidR="006573C2" w:rsidRPr="00636B94">
        <w:t>171</w:t>
      </w:r>
      <w:r w:rsidRPr="00636B94">
        <w:t xml:space="preserve">. Note Approved providers could select multiple options. </w:t>
      </w:r>
    </w:p>
    <w:p w14:paraId="7560C0F8" w14:textId="77777777" w:rsidR="002F01B5" w:rsidRPr="00913C18" w:rsidRDefault="002F01B5" w:rsidP="002F01B5"/>
    <w:p w14:paraId="5DA5E8F3" w14:textId="2097DAF1" w:rsidR="003837FC" w:rsidRDefault="003837FC" w:rsidP="00EE5C4A">
      <w:pPr>
        <w:pStyle w:val="CaptionChart"/>
        <w:rPr>
          <w:i/>
          <w:color w:val="006B77" w:themeColor="accent1"/>
          <w:szCs w:val="17"/>
        </w:rPr>
      </w:pPr>
      <w:r w:rsidRPr="0013556A">
        <w:lastRenderedPageBreak/>
        <w:t>Appendix Chart 12.3.</w:t>
      </w:r>
      <w:r w:rsidRPr="00C318DA">
        <w:rPr>
          <w:color w:val="006B77" w:themeColor="accent1"/>
          <w:szCs w:val="17"/>
        </w:rPr>
        <w:t>3.18</w:t>
      </w:r>
      <w:r>
        <w:rPr>
          <w:i/>
          <w:color w:val="006B77" w:themeColor="accent1"/>
          <w:szCs w:val="17"/>
        </w:rPr>
        <w:t xml:space="preserve"> </w:t>
      </w:r>
      <w:r w:rsidR="00014AC2">
        <w:rPr>
          <w:i/>
          <w:color w:val="006B77" w:themeColor="accent1"/>
          <w:szCs w:val="17"/>
        </w:rPr>
        <w:t>Education and care</w:t>
      </w:r>
      <w:r w:rsidRPr="002F01B5">
        <w:rPr>
          <w:i/>
          <w:color w:val="006B77" w:themeColor="accent1"/>
          <w:szCs w:val="17"/>
        </w:rPr>
        <w:t xml:space="preserve"> workforce responses to “</w:t>
      </w:r>
      <w:r w:rsidRPr="003837FC">
        <w:rPr>
          <w:i/>
          <w:color w:val="006B77" w:themeColor="accent1"/>
          <w:szCs w:val="17"/>
        </w:rPr>
        <w:t>How often do you hear about reports of inappropriate conduc</w:t>
      </w:r>
      <w:r w:rsidR="005D450C">
        <w:rPr>
          <w:i/>
          <w:color w:val="006B77" w:themeColor="accent1"/>
          <w:szCs w:val="17"/>
        </w:rPr>
        <w:t xml:space="preserve">t </w:t>
      </w:r>
      <w:r w:rsidRPr="003837FC">
        <w:rPr>
          <w:i/>
          <w:color w:val="006B77" w:themeColor="accent1"/>
          <w:szCs w:val="17"/>
        </w:rPr>
        <w:t>that haven't resulted in a prohibition?</w:t>
      </w:r>
      <w:r w:rsidRPr="002F01B5">
        <w:rPr>
          <w:i/>
          <w:color w:val="006B77" w:themeColor="accent1"/>
          <w:szCs w:val="17"/>
        </w:rPr>
        <w:t>”</w:t>
      </w:r>
    </w:p>
    <w:p w14:paraId="44C6789C" w14:textId="0A62D4E3" w:rsidR="003837FC" w:rsidRPr="003837FC" w:rsidRDefault="003837FC" w:rsidP="003837FC">
      <w:r>
        <w:rPr>
          <w:noProof/>
          <w14:ligatures w14:val="standardContextual"/>
        </w:rPr>
        <w:drawing>
          <wp:inline distT="0" distB="0" distL="0" distR="0" wp14:anchorId="0C8DC875" wp14:editId="69E2ED28">
            <wp:extent cx="5476875" cy="1390650"/>
            <wp:effectExtent l="0" t="0" r="0" b="0"/>
            <wp:docPr id="882227077" name="Chart 1" descr="Chart outlining education and care workforce responses to the survey question &quot;How often do you hear about reports of inappropriate conduct that haven't resulted in a prohibition?&quot;">
              <a:extLst xmlns:a="http://schemas.openxmlformats.org/drawingml/2006/main">
                <a:ext uri="{FF2B5EF4-FFF2-40B4-BE49-F238E27FC236}">
                  <a16:creationId xmlns:a16="http://schemas.microsoft.com/office/drawing/2014/main" id="{E73B6D87-F0EE-8282-F060-0FD3F487F2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0E6A478" w14:textId="7CB714B5" w:rsidR="003837FC" w:rsidRDefault="003837FC" w:rsidP="00976C70">
      <w:pPr>
        <w:pStyle w:val="Source-CSR"/>
      </w:pPr>
      <w:r w:rsidRPr="00134058">
        <w:t xml:space="preserve">Source: </w:t>
      </w:r>
      <w:r w:rsidR="00014AC2" w:rsidRPr="00636B94">
        <w:t>Education and care</w:t>
      </w:r>
      <w:r w:rsidRPr="00636B94">
        <w:t xml:space="preserve"> workforce survey, as of 11 June 2025, Q136, n=170. Note Approved providers could select multiple options. </w:t>
      </w:r>
      <w:r w:rsidR="00C318DA" w:rsidRPr="00636B94">
        <w:t>Note that due to rounding, percentages may not add to 100%.</w:t>
      </w:r>
    </w:p>
    <w:p w14:paraId="3E3C8E79" w14:textId="3D4DBB58" w:rsidR="003837FC" w:rsidRPr="00913C18" w:rsidRDefault="003837FC" w:rsidP="002F01B5"/>
    <w:p w14:paraId="1BD7E4E7" w14:textId="49943F70" w:rsidR="002F01B5" w:rsidRPr="002F01B5" w:rsidRDefault="0013556A" w:rsidP="00EE5C4A">
      <w:pPr>
        <w:pStyle w:val="CaptionChart"/>
        <w:rPr>
          <w:i/>
          <w:color w:val="006B77" w:themeColor="accent1"/>
          <w:szCs w:val="17"/>
        </w:rPr>
      </w:pPr>
      <w:r>
        <w:t xml:space="preserve">Appendix Table 12.3.3.4 </w:t>
      </w:r>
      <w:r w:rsidR="002F01B5" w:rsidRPr="002F01B5">
        <w:rPr>
          <w:color w:val="006B77" w:themeColor="accent1"/>
          <w:szCs w:val="17"/>
        </w:rPr>
        <w:t>Approved provider responses to “Where you have observed inappropriate conduct which does not meet the threshold for prohibition, how is this best described?”</w:t>
      </w:r>
    </w:p>
    <w:tbl>
      <w:tblPr>
        <w:tblStyle w:val="Box1"/>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4"/>
        <w:gridCol w:w="1435"/>
      </w:tblGrid>
      <w:tr w:rsidR="006E4113" w:rsidRPr="007D6677" w14:paraId="788A2FBC" w14:textId="77777777" w:rsidTr="00C12306">
        <w:trPr>
          <w:cnfStyle w:val="100000000000" w:firstRow="1" w:lastRow="0" w:firstColumn="0" w:lastColumn="0" w:oddVBand="0" w:evenVBand="0" w:oddHBand="0" w:evenHBand="0" w:firstRowFirstColumn="0" w:firstRowLastColumn="0" w:lastRowFirstColumn="0" w:lastRowLastColumn="0"/>
          <w:trHeight w:val="282"/>
        </w:trPr>
        <w:tc>
          <w:tcPr>
            <w:tcW w:w="7774" w:type="dxa"/>
            <w:noWrap/>
          </w:tcPr>
          <w:p w14:paraId="7A9ADF8B" w14:textId="01F7D698" w:rsidR="00A8729A" w:rsidRPr="00E413A3" w:rsidRDefault="00C97A83" w:rsidP="00A8729A">
            <w:pPr>
              <w:spacing w:after="0" w:line="240" w:lineRule="auto"/>
              <w:rPr>
                <w:rFonts w:eastAsia="Times New Roman" w:cs="Arial"/>
                <w:b/>
                <w:color w:val="000000"/>
                <w:sz w:val="22"/>
                <w:szCs w:val="22"/>
                <w:lang w:eastAsia="en-AU"/>
              </w:rPr>
            </w:pPr>
            <w:r w:rsidRPr="00E413A3">
              <w:rPr>
                <w:rFonts w:eastAsia="Times New Roman" w:cs="Arial"/>
                <w:b/>
                <w:color w:val="000000"/>
                <w:sz w:val="22"/>
                <w:szCs w:val="22"/>
                <w:lang w:eastAsia="en-AU"/>
              </w:rPr>
              <w:t>Type of inappropriate conduct</w:t>
            </w:r>
          </w:p>
        </w:tc>
        <w:tc>
          <w:tcPr>
            <w:tcW w:w="1256" w:type="dxa"/>
            <w:noWrap/>
          </w:tcPr>
          <w:p w14:paraId="227EE0FE" w14:textId="1454C97D" w:rsidR="00A8729A" w:rsidRPr="00E413A3" w:rsidRDefault="00C97A83" w:rsidP="00A8729A">
            <w:pPr>
              <w:spacing w:after="0" w:line="240" w:lineRule="auto"/>
              <w:jc w:val="right"/>
              <w:rPr>
                <w:rFonts w:eastAsia="Times New Roman" w:cs="Arial"/>
                <w:b/>
                <w:color w:val="000000"/>
                <w:sz w:val="22"/>
                <w:szCs w:val="22"/>
                <w:lang w:eastAsia="en-AU"/>
              </w:rPr>
            </w:pPr>
            <w:r w:rsidRPr="00E413A3">
              <w:rPr>
                <w:rFonts w:eastAsia="Times New Roman" w:cs="Arial"/>
                <w:b/>
                <w:color w:val="000000"/>
                <w:sz w:val="22"/>
                <w:szCs w:val="22"/>
                <w:lang w:eastAsia="en-AU"/>
              </w:rPr>
              <w:t>% of respondents</w:t>
            </w:r>
          </w:p>
        </w:tc>
      </w:tr>
      <w:tr w:rsidR="006E4113" w:rsidRPr="00A8729A" w14:paraId="3A695596" w14:textId="77777777" w:rsidTr="00C12306">
        <w:trPr>
          <w:trHeight w:val="282"/>
        </w:trPr>
        <w:tc>
          <w:tcPr>
            <w:tcW w:w="7774" w:type="dxa"/>
            <w:noWrap/>
            <w:hideMark/>
          </w:tcPr>
          <w:p w14:paraId="6CD60F78"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Ill-treatment of a child</w:t>
            </w:r>
          </w:p>
        </w:tc>
        <w:tc>
          <w:tcPr>
            <w:tcW w:w="1256" w:type="dxa"/>
            <w:noWrap/>
            <w:hideMark/>
          </w:tcPr>
          <w:p w14:paraId="6B1C5EAF"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18%</w:t>
            </w:r>
          </w:p>
        </w:tc>
      </w:tr>
      <w:tr w:rsidR="006E4113" w:rsidRPr="00A8729A" w14:paraId="3FD060F4" w14:textId="77777777" w:rsidTr="00C12306">
        <w:trPr>
          <w:trHeight w:val="282"/>
        </w:trPr>
        <w:tc>
          <w:tcPr>
            <w:tcW w:w="7774" w:type="dxa"/>
            <w:noWrap/>
            <w:hideMark/>
          </w:tcPr>
          <w:p w14:paraId="760538A0"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Neglect of a child</w:t>
            </w:r>
          </w:p>
        </w:tc>
        <w:tc>
          <w:tcPr>
            <w:tcW w:w="1256" w:type="dxa"/>
            <w:noWrap/>
            <w:hideMark/>
          </w:tcPr>
          <w:p w14:paraId="415A49DC"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11%</w:t>
            </w:r>
          </w:p>
        </w:tc>
      </w:tr>
      <w:tr w:rsidR="006E4113" w:rsidRPr="00A8729A" w14:paraId="404AE0FC" w14:textId="77777777" w:rsidTr="00C12306">
        <w:trPr>
          <w:trHeight w:val="282"/>
        </w:trPr>
        <w:tc>
          <w:tcPr>
            <w:tcW w:w="7774" w:type="dxa"/>
            <w:noWrap/>
            <w:hideMark/>
          </w:tcPr>
          <w:p w14:paraId="382436ED"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Physical or verbal violence (including threats) committed in relation to, or in the presence of a child</w:t>
            </w:r>
          </w:p>
        </w:tc>
        <w:tc>
          <w:tcPr>
            <w:tcW w:w="1256" w:type="dxa"/>
            <w:noWrap/>
            <w:hideMark/>
          </w:tcPr>
          <w:p w14:paraId="605BE41C"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11%</w:t>
            </w:r>
          </w:p>
        </w:tc>
      </w:tr>
      <w:tr w:rsidR="006E4113" w:rsidRPr="00A8729A" w14:paraId="07FF064C" w14:textId="77777777" w:rsidTr="00C12306">
        <w:trPr>
          <w:trHeight w:val="282"/>
        </w:trPr>
        <w:tc>
          <w:tcPr>
            <w:tcW w:w="7774" w:type="dxa"/>
            <w:noWrap/>
            <w:hideMark/>
          </w:tcPr>
          <w:p w14:paraId="13A60315"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Behaviour that is likely to cause emotional or psychological harm to a child</w:t>
            </w:r>
          </w:p>
        </w:tc>
        <w:tc>
          <w:tcPr>
            <w:tcW w:w="1256" w:type="dxa"/>
            <w:noWrap/>
            <w:hideMark/>
          </w:tcPr>
          <w:p w14:paraId="62D106CE"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21%</w:t>
            </w:r>
          </w:p>
        </w:tc>
      </w:tr>
      <w:tr w:rsidR="006E4113" w:rsidRPr="00A8729A" w14:paraId="4EC21A8C" w14:textId="77777777" w:rsidTr="00C12306">
        <w:trPr>
          <w:trHeight w:val="282"/>
        </w:trPr>
        <w:tc>
          <w:tcPr>
            <w:tcW w:w="7774" w:type="dxa"/>
            <w:noWrap/>
            <w:hideMark/>
          </w:tcPr>
          <w:p w14:paraId="5DA155F1"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A child sexual offence</w:t>
            </w:r>
          </w:p>
        </w:tc>
        <w:tc>
          <w:tcPr>
            <w:tcW w:w="1256" w:type="dxa"/>
            <w:noWrap/>
            <w:hideMark/>
          </w:tcPr>
          <w:p w14:paraId="116AF192"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3%</w:t>
            </w:r>
          </w:p>
        </w:tc>
      </w:tr>
      <w:tr w:rsidR="006E4113" w:rsidRPr="00A8729A" w14:paraId="2739E053" w14:textId="77777777" w:rsidTr="00C12306">
        <w:trPr>
          <w:trHeight w:val="282"/>
        </w:trPr>
        <w:tc>
          <w:tcPr>
            <w:tcW w:w="7774" w:type="dxa"/>
            <w:noWrap/>
            <w:hideMark/>
          </w:tcPr>
          <w:p w14:paraId="078142A8"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Sexual misconduct committed in relation to, or in the presence of a child, including verbal discussions, flirtatious gestures and comments</w:t>
            </w:r>
          </w:p>
        </w:tc>
        <w:tc>
          <w:tcPr>
            <w:tcW w:w="1256" w:type="dxa"/>
            <w:noWrap/>
            <w:hideMark/>
          </w:tcPr>
          <w:p w14:paraId="04E6D9B0"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2%</w:t>
            </w:r>
          </w:p>
        </w:tc>
      </w:tr>
      <w:tr w:rsidR="006E4113" w:rsidRPr="00A8729A" w14:paraId="7B0DBFD8" w14:textId="77777777" w:rsidTr="00C12306">
        <w:trPr>
          <w:trHeight w:val="282"/>
        </w:trPr>
        <w:tc>
          <w:tcPr>
            <w:tcW w:w="7774" w:type="dxa"/>
            <w:noWrap/>
            <w:hideMark/>
          </w:tcPr>
          <w:p w14:paraId="725F8A25"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Inappropriate verbal interactions, that is, conversations with, or comments to children or conversations in the presence of children in relation to sexuality or sexual contact, including excessive flattering, conversations of a sexual nature, making sexual jokes or evoking children's curiosity about sexuality</w:t>
            </w:r>
          </w:p>
        </w:tc>
        <w:tc>
          <w:tcPr>
            <w:tcW w:w="1256" w:type="dxa"/>
            <w:noWrap/>
            <w:hideMark/>
          </w:tcPr>
          <w:p w14:paraId="56439DE8"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3%</w:t>
            </w:r>
          </w:p>
        </w:tc>
      </w:tr>
      <w:tr w:rsidR="006E4113" w:rsidRPr="00A8729A" w14:paraId="5AEE1A1E" w14:textId="77777777" w:rsidTr="00C12306">
        <w:trPr>
          <w:trHeight w:val="282"/>
        </w:trPr>
        <w:tc>
          <w:tcPr>
            <w:tcW w:w="7774" w:type="dxa"/>
            <w:noWrap/>
            <w:hideMark/>
          </w:tcPr>
          <w:p w14:paraId="5985B741" w14:textId="3C8C5594"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Any form of inappropriate physical contact. For example, unwarranted, invasive, or unnecessary for the child</w:t>
            </w:r>
            <w:r w:rsidR="00C97A83" w:rsidRPr="00E413A3">
              <w:rPr>
                <w:rFonts w:eastAsia="Times New Roman" w:cs="Arial"/>
                <w:color w:val="000000"/>
                <w:sz w:val="22"/>
                <w:szCs w:val="22"/>
                <w:lang w:eastAsia="en-AU"/>
              </w:rPr>
              <w:t>’</w:t>
            </w:r>
            <w:r w:rsidRPr="00E413A3">
              <w:rPr>
                <w:rFonts w:eastAsia="Times New Roman" w:cs="Arial"/>
                <w:color w:val="000000"/>
                <w:sz w:val="22"/>
                <w:szCs w:val="22"/>
                <w:lang w:eastAsia="en-AU"/>
              </w:rPr>
              <w:t>s age and developmental stage, such as kissing, massage, tickling games, inappropriate touching)</w:t>
            </w:r>
          </w:p>
        </w:tc>
        <w:tc>
          <w:tcPr>
            <w:tcW w:w="1256" w:type="dxa"/>
            <w:noWrap/>
            <w:hideMark/>
          </w:tcPr>
          <w:p w14:paraId="79D42721"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6%</w:t>
            </w:r>
          </w:p>
        </w:tc>
      </w:tr>
      <w:tr w:rsidR="006E4113" w:rsidRPr="00A8729A" w14:paraId="5459112D" w14:textId="77777777" w:rsidTr="00C12306">
        <w:trPr>
          <w:trHeight w:val="282"/>
        </w:trPr>
        <w:tc>
          <w:tcPr>
            <w:tcW w:w="7774" w:type="dxa"/>
            <w:noWrap/>
            <w:hideMark/>
          </w:tcPr>
          <w:p w14:paraId="7B6CD7EC"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Any form of inappropriate online contact or online harm. For example, exposing children to sexual or violent content inappropriate for their age and stage of development, and technology-facilitated abuse</w:t>
            </w:r>
          </w:p>
        </w:tc>
        <w:tc>
          <w:tcPr>
            <w:tcW w:w="1256" w:type="dxa"/>
            <w:noWrap/>
            <w:hideMark/>
          </w:tcPr>
          <w:p w14:paraId="19A46F93"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1%</w:t>
            </w:r>
          </w:p>
        </w:tc>
      </w:tr>
      <w:tr w:rsidR="006E4113" w:rsidRPr="00A8729A" w14:paraId="1C5311FE" w14:textId="77777777" w:rsidTr="00C12306">
        <w:trPr>
          <w:trHeight w:val="282"/>
        </w:trPr>
        <w:tc>
          <w:tcPr>
            <w:tcW w:w="7774" w:type="dxa"/>
            <w:noWrap/>
            <w:hideMark/>
          </w:tcPr>
          <w:p w14:paraId="77F4BCB7"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Correspondence, communication of a personal nature or capturing of images of children via any medium (phone, text message, social media, within apps, internet postings) unrelated to the staff members role or endorsed communication channels</w:t>
            </w:r>
          </w:p>
        </w:tc>
        <w:tc>
          <w:tcPr>
            <w:tcW w:w="1256" w:type="dxa"/>
            <w:noWrap/>
            <w:hideMark/>
          </w:tcPr>
          <w:p w14:paraId="02F8C2BA"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4%</w:t>
            </w:r>
          </w:p>
        </w:tc>
      </w:tr>
      <w:tr w:rsidR="006E4113" w:rsidRPr="00A8729A" w14:paraId="74010283" w14:textId="77777777" w:rsidTr="00C12306">
        <w:trPr>
          <w:trHeight w:val="282"/>
        </w:trPr>
        <w:tc>
          <w:tcPr>
            <w:tcW w:w="7774" w:type="dxa"/>
            <w:noWrap/>
            <w:hideMark/>
          </w:tcPr>
          <w:p w14:paraId="39E60E80" w14:textId="5DCEAE43"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Manipulating or coercing a child emotionally to meet the educator</w:t>
            </w:r>
            <w:r w:rsidR="00C97A83" w:rsidRPr="00E413A3">
              <w:rPr>
                <w:rFonts w:eastAsia="Times New Roman" w:cs="Arial"/>
                <w:color w:val="000000"/>
                <w:sz w:val="22"/>
                <w:szCs w:val="22"/>
                <w:lang w:eastAsia="en-AU"/>
              </w:rPr>
              <w:t>’</w:t>
            </w:r>
            <w:r w:rsidRPr="00E413A3">
              <w:rPr>
                <w:rFonts w:eastAsia="Times New Roman" w:cs="Arial"/>
                <w:color w:val="000000"/>
                <w:sz w:val="22"/>
                <w:szCs w:val="22"/>
                <w:lang w:eastAsia="en-AU"/>
              </w:rPr>
              <w:t>s personal needs or to create inappropriate dependencies</w:t>
            </w:r>
          </w:p>
        </w:tc>
        <w:tc>
          <w:tcPr>
            <w:tcW w:w="1256" w:type="dxa"/>
            <w:noWrap/>
            <w:hideMark/>
          </w:tcPr>
          <w:p w14:paraId="49C70B15"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8%</w:t>
            </w:r>
          </w:p>
        </w:tc>
      </w:tr>
      <w:tr w:rsidR="006E4113" w:rsidRPr="00A8729A" w14:paraId="7000DEE4" w14:textId="77777777" w:rsidTr="00C12306">
        <w:trPr>
          <w:trHeight w:val="282"/>
        </w:trPr>
        <w:tc>
          <w:tcPr>
            <w:tcW w:w="7774" w:type="dxa"/>
            <w:noWrap/>
            <w:hideMark/>
          </w:tcPr>
          <w:p w14:paraId="65CA4C48"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lastRenderedPageBreak/>
              <w:t>Grooming, being any form of conduct, online or offline, that facilitates child sexual abuse. For example, making a child feel special through favouritism or special privileges and rewards or receiving / giving gifts of an inappropriate nature</w:t>
            </w:r>
          </w:p>
        </w:tc>
        <w:tc>
          <w:tcPr>
            <w:tcW w:w="1256" w:type="dxa"/>
            <w:noWrap/>
            <w:hideMark/>
          </w:tcPr>
          <w:p w14:paraId="1CDD4731"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3%</w:t>
            </w:r>
          </w:p>
        </w:tc>
      </w:tr>
      <w:tr w:rsidR="006E4113" w:rsidRPr="00A8729A" w14:paraId="1968CA41" w14:textId="77777777" w:rsidTr="00C12306">
        <w:trPr>
          <w:trHeight w:val="282"/>
        </w:trPr>
        <w:tc>
          <w:tcPr>
            <w:tcW w:w="7774" w:type="dxa"/>
            <w:noWrap/>
            <w:hideMark/>
          </w:tcPr>
          <w:p w14:paraId="6C73C497" w14:textId="77777777" w:rsidR="00A8729A" w:rsidRPr="00E413A3" w:rsidRDefault="00A8729A" w:rsidP="00A8729A">
            <w:pPr>
              <w:spacing w:after="0" w:line="240" w:lineRule="auto"/>
              <w:rPr>
                <w:rFonts w:eastAsia="Times New Roman" w:cs="Arial"/>
                <w:color w:val="000000"/>
                <w:sz w:val="22"/>
                <w:szCs w:val="22"/>
                <w:lang w:eastAsia="en-AU"/>
              </w:rPr>
            </w:pPr>
            <w:r w:rsidRPr="00E413A3">
              <w:rPr>
                <w:rFonts w:eastAsia="Times New Roman" w:cs="Arial"/>
                <w:color w:val="000000"/>
                <w:sz w:val="22"/>
                <w:szCs w:val="22"/>
                <w:lang w:eastAsia="en-AU"/>
              </w:rPr>
              <w:t>Other (please specify)</w:t>
            </w:r>
          </w:p>
        </w:tc>
        <w:tc>
          <w:tcPr>
            <w:tcW w:w="1256" w:type="dxa"/>
            <w:noWrap/>
            <w:hideMark/>
          </w:tcPr>
          <w:p w14:paraId="3049C71F" w14:textId="77777777" w:rsidR="00A8729A" w:rsidRPr="00E413A3" w:rsidRDefault="00A8729A" w:rsidP="00A8729A">
            <w:pPr>
              <w:spacing w:after="0" w:line="240" w:lineRule="auto"/>
              <w:jc w:val="right"/>
              <w:rPr>
                <w:rFonts w:eastAsia="Times New Roman" w:cs="Arial"/>
                <w:color w:val="000000"/>
                <w:sz w:val="22"/>
                <w:szCs w:val="22"/>
                <w:lang w:eastAsia="en-AU"/>
              </w:rPr>
            </w:pPr>
            <w:r w:rsidRPr="00E413A3">
              <w:rPr>
                <w:rFonts w:eastAsia="Times New Roman" w:cs="Arial"/>
                <w:color w:val="000000"/>
                <w:sz w:val="22"/>
                <w:szCs w:val="22"/>
                <w:lang w:eastAsia="en-AU"/>
              </w:rPr>
              <w:t>11%</w:t>
            </w:r>
          </w:p>
        </w:tc>
      </w:tr>
    </w:tbl>
    <w:p w14:paraId="613EB649" w14:textId="4BFBFEEE" w:rsidR="002F01B5" w:rsidRPr="00636B94" w:rsidRDefault="002F01B5" w:rsidP="00976C70">
      <w:pPr>
        <w:pStyle w:val="Source-CSR"/>
      </w:pPr>
      <w:r w:rsidRPr="00134058">
        <w:t xml:space="preserve">Source: Approved </w:t>
      </w:r>
      <w:r w:rsidRPr="00636B94">
        <w:t>provider survey, as of 11 June 2025, Q</w:t>
      </w:r>
      <w:r w:rsidR="004C4651" w:rsidRPr="00636B94">
        <w:t>146</w:t>
      </w:r>
      <w:r w:rsidRPr="00636B94">
        <w:t>, n=</w:t>
      </w:r>
      <w:r w:rsidR="00C81559" w:rsidRPr="00636B94">
        <w:t>159</w:t>
      </w:r>
      <w:r w:rsidRPr="00636B94">
        <w:t xml:space="preserve">. Note Approved providers could select multiple options. </w:t>
      </w:r>
    </w:p>
    <w:p w14:paraId="74A2D733" w14:textId="77777777" w:rsidR="002F01B5" w:rsidRDefault="002F01B5" w:rsidP="002F01B5"/>
    <w:p w14:paraId="2626B398" w14:textId="2107A9EE" w:rsidR="002F01B5" w:rsidRPr="002F01B5" w:rsidRDefault="0013556A" w:rsidP="00EE5C4A">
      <w:pPr>
        <w:pStyle w:val="CaptionChart"/>
        <w:rPr>
          <w:i/>
          <w:color w:val="006B77" w:themeColor="accent1"/>
          <w:szCs w:val="17"/>
        </w:rPr>
      </w:pPr>
      <w:r w:rsidRPr="0013556A">
        <w:t>Appendix Chart 12.3.</w:t>
      </w:r>
      <w:r>
        <w:rPr>
          <w:i/>
          <w:color w:val="006B77" w:themeColor="accent1"/>
          <w:szCs w:val="17"/>
        </w:rPr>
        <w:t xml:space="preserve">3.18 </w:t>
      </w:r>
      <w:r w:rsidR="002F01B5" w:rsidRPr="002F01B5">
        <w:rPr>
          <w:color w:val="006B77" w:themeColor="accent1"/>
          <w:szCs w:val="17"/>
        </w:rPr>
        <w:t xml:space="preserve">Approved providers responses to “To what extent does your service’s </w:t>
      </w:r>
      <w:r w:rsidR="00B35BCC">
        <w:rPr>
          <w:color w:val="006B77" w:themeColor="accent1"/>
          <w:szCs w:val="17"/>
        </w:rPr>
        <w:t>Code of Conduct</w:t>
      </w:r>
      <w:r w:rsidR="002F01B5" w:rsidRPr="002F01B5">
        <w:rPr>
          <w:color w:val="006B77" w:themeColor="accent1"/>
          <w:szCs w:val="17"/>
        </w:rPr>
        <w:t xml:space="preserve"> already address inappropriate conduct of the kinds outlined in the CRIS (Chapter 5)?”</w:t>
      </w:r>
    </w:p>
    <w:p w14:paraId="52709245" w14:textId="5A2031E8" w:rsidR="004E1F63" w:rsidRDefault="004E1F63" w:rsidP="002F01B5">
      <w:r>
        <w:rPr>
          <w:noProof/>
          <w14:ligatures w14:val="standardContextual"/>
        </w:rPr>
        <w:drawing>
          <wp:inline distT="0" distB="0" distL="0" distR="0" wp14:anchorId="20277B02" wp14:editId="2DB6DC4D">
            <wp:extent cx="5507355" cy="2169042"/>
            <wp:effectExtent l="0" t="0" r="0" b="3175"/>
            <wp:docPr id="342830845" name="Chart 1" descr="Chart outlining approved provider responses to the survey question &quot;To what extent does your service's Code of Conduct already address inappropriate conduct of the kinds outlined in the CRIS (Chapter 5)?&quot;">
              <a:extLst xmlns:a="http://schemas.openxmlformats.org/drawingml/2006/main">
                <a:ext uri="{FF2B5EF4-FFF2-40B4-BE49-F238E27FC236}">
                  <a16:creationId xmlns:a16="http://schemas.microsoft.com/office/drawing/2014/main" id="{354AC80B-DAA2-2FA9-1A54-3AC1EA6F76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50C70348" w14:textId="31380E77" w:rsidR="002F01B5" w:rsidRDefault="002F01B5" w:rsidP="00636B94">
      <w:pPr>
        <w:pStyle w:val="Source-CSR"/>
      </w:pPr>
      <w:r w:rsidRPr="00134058">
        <w:t xml:space="preserve">Source: Approved </w:t>
      </w:r>
      <w:r>
        <w:t>provider</w:t>
      </w:r>
      <w:r w:rsidRPr="00134058">
        <w:t xml:space="preserve"> survey, as of </w:t>
      </w:r>
      <w:r w:rsidRPr="006D26FE">
        <w:t xml:space="preserve">11 June 2025, </w:t>
      </w:r>
      <w:r w:rsidRPr="001909ED">
        <w:t>Q</w:t>
      </w:r>
      <w:r w:rsidR="001909ED" w:rsidRPr="001909ED">
        <w:t>142</w:t>
      </w:r>
      <w:r w:rsidRPr="006D26FE">
        <w:t>, n=</w:t>
      </w:r>
      <w:r w:rsidR="004E1F63">
        <w:t>162</w:t>
      </w:r>
      <w:r w:rsidRPr="00134058">
        <w:t>.</w:t>
      </w:r>
      <w:r>
        <w:t xml:space="preserve"> Note Approved providers could select multiple options.</w:t>
      </w:r>
    </w:p>
    <w:p w14:paraId="7DD5BB4B" w14:textId="77777777" w:rsidR="002F01B5" w:rsidRDefault="002F01B5" w:rsidP="00636B94">
      <w:pPr>
        <w:pStyle w:val="Source-CSR"/>
      </w:pPr>
    </w:p>
    <w:p w14:paraId="0B7F19CB" w14:textId="16A256B2" w:rsidR="002F01B5" w:rsidRPr="002F01B5" w:rsidRDefault="0013556A" w:rsidP="00EE5C4A">
      <w:pPr>
        <w:pStyle w:val="CaptionChart"/>
        <w:rPr>
          <w:i/>
          <w:color w:val="006B77" w:themeColor="accent1"/>
          <w:szCs w:val="17"/>
        </w:rPr>
      </w:pPr>
      <w:r w:rsidRPr="0013556A">
        <w:t>Appendix Chart 12.3.</w:t>
      </w:r>
      <w:r>
        <w:rPr>
          <w:i/>
          <w:color w:val="006B77" w:themeColor="accent1"/>
          <w:szCs w:val="17"/>
        </w:rPr>
        <w:t>3.19</w:t>
      </w:r>
      <w:r w:rsidRPr="0013556A">
        <w:rPr>
          <w:i/>
          <w:color w:val="006B77" w:themeColor="accent1"/>
          <w:szCs w:val="17"/>
        </w:rPr>
        <w:t xml:space="preserve"> </w:t>
      </w:r>
      <w:r w:rsidR="00014AC2">
        <w:rPr>
          <w:color w:val="006B77" w:themeColor="accent1"/>
          <w:szCs w:val="17"/>
        </w:rPr>
        <w:t>Education and care</w:t>
      </w:r>
      <w:r w:rsidR="002F01B5" w:rsidRPr="002F01B5">
        <w:rPr>
          <w:color w:val="006B77" w:themeColor="accent1"/>
          <w:szCs w:val="17"/>
        </w:rPr>
        <w:t xml:space="preserve"> workforce responses to “My provider’s current </w:t>
      </w:r>
      <w:r w:rsidR="00B35BCC">
        <w:rPr>
          <w:color w:val="006B77" w:themeColor="accent1"/>
          <w:szCs w:val="17"/>
        </w:rPr>
        <w:t>Code of Conduct</w:t>
      </w:r>
      <w:r w:rsidR="002F01B5" w:rsidRPr="002F01B5">
        <w:rPr>
          <w:color w:val="006B77" w:themeColor="accent1"/>
          <w:szCs w:val="17"/>
        </w:rPr>
        <w:t xml:space="preserve"> has effectively set expectations regarding what constitutes inappropriate conduct.”</w:t>
      </w:r>
    </w:p>
    <w:p w14:paraId="260D49CE" w14:textId="4A654D3C" w:rsidR="002F01B5" w:rsidRPr="00334711" w:rsidRDefault="006D26FE" w:rsidP="002F01B5">
      <w:r>
        <w:rPr>
          <w:noProof/>
          <w14:ligatures w14:val="standardContextual"/>
        </w:rPr>
        <w:drawing>
          <wp:inline distT="0" distB="0" distL="0" distR="0" wp14:anchorId="2B50CA1E" wp14:editId="3D9F50DF">
            <wp:extent cx="5603443" cy="2077517"/>
            <wp:effectExtent l="0" t="0" r="16510" b="18415"/>
            <wp:docPr id="1924438556" name="Chart 1" descr="Chart outlining education and care workforce responses to the survey question &quot;My provider's current Code of Conduct has effectively set expectations regarding what constitutes inappropriate conduct.&quot;">
              <a:extLst xmlns:a="http://schemas.openxmlformats.org/drawingml/2006/main">
                <a:ext uri="{FF2B5EF4-FFF2-40B4-BE49-F238E27FC236}">
                  <a16:creationId xmlns:a16="http://schemas.microsoft.com/office/drawing/2014/main" id="{F777105E-A2A8-2BBC-BB98-1A47199DA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A6A53A1" w14:textId="6CE4B6B7" w:rsidR="002F01B5" w:rsidRPr="006D26FE" w:rsidRDefault="002F01B5" w:rsidP="00976C70">
      <w:pPr>
        <w:pStyle w:val="Source-CSR"/>
      </w:pPr>
      <w:r w:rsidRPr="00134058">
        <w:t xml:space="preserve">Source: </w:t>
      </w:r>
      <w:r w:rsidR="00014AC2" w:rsidRPr="00636B94">
        <w:t>Education and care</w:t>
      </w:r>
      <w:r w:rsidRPr="00636B94">
        <w:t xml:space="preserve"> workforce survey, as of 11 June 2025, Q</w:t>
      </w:r>
      <w:r w:rsidR="001444B9" w:rsidRPr="00636B94">
        <w:t>163</w:t>
      </w:r>
      <w:r w:rsidRPr="00636B94">
        <w:t>, n=</w:t>
      </w:r>
      <w:r w:rsidR="006D26FE" w:rsidRPr="00636B94">
        <w:t>175</w:t>
      </w:r>
      <w:r w:rsidRPr="00636B94">
        <w:t>. Note Approved providers could select multiple options.</w:t>
      </w:r>
      <w:r w:rsidR="001910DF" w:rsidRPr="00636B94">
        <w:t xml:space="preserve"> Note that due to rounding, percentages may not add to 100%.</w:t>
      </w:r>
    </w:p>
    <w:p w14:paraId="676E8999" w14:textId="77777777" w:rsidR="0013556A" w:rsidRDefault="0013556A">
      <w:pPr>
        <w:spacing w:after="160" w:line="259" w:lineRule="auto"/>
        <w:rPr>
          <w:rFonts w:cs="Arial"/>
          <w:bCs/>
          <w:color w:val="006B77"/>
          <w:sz w:val="28"/>
          <w:szCs w:val="28"/>
        </w:rPr>
      </w:pPr>
      <w:r>
        <w:br w:type="page"/>
      </w:r>
    </w:p>
    <w:p w14:paraId="546E8459" w14:textId="7F25A64B" w:rsidR="00777542" w:rsidRPr="006D26FE" w:rsidRDefault="00890113" w:rsidP="00890113">
      <w:pPr>
        <w:pStyle w:val="Heading3"/>
      </w:pPr>
      <w:r>
        <w:lastRenderedPageBreak/>
        <w:t xml:space="preserve">12.3.4 </w:t>
      </w:r>
      <w:r w:rsidR="00777542" w:rsidRPr="006D26FE">
        <w:t>Working with Children Checks</w:t>
      </w:r>
    </w:p>
    <w:p w14:paraId="2ED81F01" w14:textId="77777777" w:rsidR="00777542" w:rsidRPr="006D26FE" w:rsidRDefault="00777542" w:rsidP="00777542">
      <w:pPr>
        <w:pStyle w:val="Heading4un-numbered"/>
      </w:pPr>
      <w:r w:rsidRPr="006D26FE">
        <w:t>Requiring an approved WWCC prior to commencing paid or volunteer work at an education and care service – Reduction of the risk of harm</w:t>
      </w:r>
    </w:p>
    <w:p w14:paraId="4D2B3AD0" w14:textId="2DA54BFE" w:rsidR="007B4D62" w:rsidRPr="00F64B5C" w:rsidRDefault="007B4D62" w:rsidP="007B4D62">
      <w:pPr>
        <w:pStyle w:val="CaptionChart"/>
      </w:pPr>
      <w:r>
        <w:t>Appendix Chart 12.3.</w:t>
      </w:r>
      <w:r w:rsidR="0013556A">
        <w:t>4</w:t>
      </w:r>
      <w:r>
        <w:t>.1</w:t>
      </w:r>
      <w:r w:rsidR="00777542" w:rsidRPr="001C2872">
        <w:t xml:space="preserve"> </w:t>
      </w:r>
      <w:bookmarkStart w:id="300" w:name="_Toc200656091"/>
      <w:bookmarkStart w:id="301" w:name="_Toc200657434"/>
      <w:r w:rsidR="00777542" w:rsidRPr="001C2872">
        <w:t>Approved provider responses to “How much do you think each option will reduce the risk of harm to children?”</w:t>
      </w:r>
    </w:p>
    <w:bookmarkEnd w:id="300"/>
    <w:bookmarkEnd w:id="301"/>
    <w:p w14:paraId="5016E4F7" w14:textId="2F91AA6C" w:rsidR="00777542" w:rsidRPr="001C2872" w:rsidRDefault="001C2872" w:rsidP="00777542">
      <w:pPr>
        <w:pStyle w:val="Source"/>
      </w:pPr>
      <w:r w:rsidRPr="001C2872">
        <w:rPr>
          <w:noProof/>
          <w14:ligatures w14:val="standardContextual"/>
        </w:rPr>
        <w:drawing>
          <wp:inline distT="0" distB="0" distL="0" distR="0" wp14:anchorId="0243CB01" wp14:editId="2D36C810">
            <wp:extent cx="5447030" cy="2762885"/>
            <wp:effectExtent l="0" t="0" r="1270" b="0"/>
            <wp:docPr id="1776376736" name="Chart 1" descr="Chart outlining approved provider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7D2BC9BF-CB99-CDAE-72C4-C2D6411A1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95AB279" w14:textId="69FBF2A2" w:rsidR="00777542" w:rsidRPr="001C2872" w:rsidRDefault="00777542" w:rsidP="00777542">
      <w:pPr>
        <w:pStyle w:val="Source"/>
      </w:pPr>
      <w:r w:rsidRPr="001C2872">
        <w:t xml:space="preserve">Source: Approved provider survey, as of </w:t>
      </w:r>
      <w:r w:rsidR="001C2872">
        <w:t>11</w:t>
      </w:r>
      <w:r w:rsidRPr="001C2872">
        <w:t xml:space="preserve"> June 2025, Q63, Option 1 n=1</w:t>
      </w:r>
      <w:r w:rsidR="001C2872">
        <w:t>46</w:t>
      </w:r>
      <w:r w:rsidRPr="001C2872">
        <w:t>, option 2 n=1</w:t>
      </w:r>
      <w:r w:rsidR="001C2872">
        <w:t>46</w:t>
      </w:r>
      <w:r w:rsidRPr="001C2872">
        <w:t>, option 3 n=1</w:t>
      </w:r>
      <w:r w:rsidR="001C2872">
        <w:t>45</w:t>
      </w:r>
      <w:r w:rsidRPr="001C2872">
        <w:t>.</w:t>
      </w:r>
    </w:p>
    <w:p w14:paraId="4383EAB4" w14:textId="5024C54D" w:rsidR="00E57169" w:rsidRPr="00DA4F42" w:rsidRDefault="00E57169" w:rsidP="00E57169">
      <w:pPr>
        <w:pStyle w:val="CaptionChart"/>
        <w:numPr>
          <w:ilvl w:val="7"/>
          <w:numId w:val="0"/>
        </w:numPr>
      </w:pPr>
      <w:r>
        <w:t>Appendix Chart 12.3.</w:t>
      </w:r>
      <w:r w:rsidR="0013556A">
        <w:t>4</w:t>
      </w:r>
      <w:r>
        <w:t>.2</w:t>
      </w:r>
      <w:r w:rsidR="00777542" w:rsidRPr="005944D9">
        <w:t xml:space="preserve"> </w:t>
      </w:r>
      <w:bookmarkStart w:id="302" w:name="_Toc200656092"/>
      <w:bookmarkStart w:id="303" w:name="_Toc200657435"/>
      <w:r w:rsidR="00777542" w:rsidRPr="005944D9">
        <w:t>Workforce responses to “How much do you think each option will reduce the risk of harm to children?”</w:t>
      </w:r>
    </w:p>
    <w:bookmarkEnd w:id="302"/>
    <w:bookmarkEnd w:id="303"/>
    <w:p w14:paraId="345DB932" w14:textId="50DD4CDA" w:rsidR="00777542" w:rsidRPr="005944D9" w:rsidRDefault="005944D9" w:rsidP="00777542">
      <w:pPr>
        <w:pStyle w:val="Source"/>
      </w:pPr>
      <w:r w:rsidRPr="005944D9">
        <w:rPr>
          <w:noProof/>
          <w14:ligatures w14:val="standardContextual"/>
        </w:rPr>
        <w:drawing>
          <wp:inline distT="0" distB="0" distL="0" distR="0" wp14:anchorId="54DA350A" wp14:editId="576F9FEF">
            <wp:extent cx="5362042" cy="2882189"/>
            <wp:effectExtent l="0" t="0" r="0" b="0"/>
            <wp:docPr id="1087224513" name="Chart 1" descr="Chart outlining workforce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D76EB6CE-BC05-A915-D174-617730A4A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A9685E3" w14:textId="22083F52" w:rsidR="00777542" w:rsidRPr="005944D9" w:rsidRDefault="00777542" w:rsidP="00777542">
      <w:pPr>
        <w:pStyle w:val="Source"/>
      </w:pPr>
      <w:r w:rsidRPr="005944D9">
        <w:t xml:space="preserve">Source: Workforce survey, as of </w:t>
      </w:r>
      <w:r w:rsidR="005944D9" w:rsidRPr="005944D9">
        <w:t>11</w:t>
      </w:r>
      <w:r w:rsidRPr="005944D9">
        <w:t xml:space="preserve"> June 2025, Q59, option 1 n=</w:t>
      </w:r>
      <w:r w:rsidR="005944D9" w:rsidRPr="005944D9">
        <w:t>159</w:t>
      </w:r>
      <w:r w:rsidRPr="005944D9">
        <w:t>, option 2 n=</w:t>
      </w:r>
      <w:r w:rsidR="005944D9" w:rsidRPr="005944D9">
        <w:t>15</w:t>
      </w:r>
      <w:r w:rsidRPr="005944D9">
        <w:t>2, option 3 n=</w:t>
      </w:r>
      <w:r w:rsidR="005944D9" w:rsidRPr="005944D9">
        <w:t>152</w:t>
      </w:r>
      <w:r w:rsidRPr="005944D9">
        <w:t>.</w:t>
      </w:r>
    </w:p>
    <w:p w14:paraId="1720C7C7" w14:textId="3CDFE95F" w:rsidR="00E57169" w:rsidRPr="00CE6754" w:rsidRDefault="00E57169" w:rsidP="00E57169">
      <w:pPr>
        <w:pStyle w:val="CaptionChart"/>
        <w:numPr>
          <w:ilvl w:val="7"/>
          <w:numId w:val="0"/>
        </w:numPr>
      </w:pPr>
      <w:r>
        <w:lastRenderedPageBreak/>
        <w:t>Appendix Chart 12.3.</w:t>
      </w:r>
      <w:r w:rsidR="0013556A">
        <w:t>4</w:t>
      </w:r>
      <w:r>
        <w:t xml:space="preserve">.3 </w:t>
      </w:r>
      <w:r w:rsidRPr="00CE6754">
        <w:t>Family, carer and parent responses to “How much do you think each option will reduce the risk of harm to children?”</w:t>
      </w:r>
    </w:p>
    <w:p w14:paraId="62E93225" w14:textId="204D289E" w:rsidR="009A55DF" w:rsidRPr="009A55DF" w:rsidRDefault="009A55DF" w:rsidP="00777542">
      <w:pPr>
        <w:pStyle w:val="Source"/>
        <w:rPr>
          <w:noProof/>
          <w14:ligatures w14:val="standardContextual"/>
        </w:rPr>
      </w:pPr>
      <w:r w:rsidRPr="009A55DF">
        <w:rPr>
          <w:noProof/>
          <w14:ligatures w14:val="standardContextual"/>
        </w:rPr>
        <w:drawing>
          <wp:inline distT="0" distB="0" distL="0" distR="0" wp14:anchorId="4B1BF1B7" wp14:editId="49874FA2">
            <wp:extent cx="5727700" cy="2594345"/>
            <wp:effectExtent l="0" t="0" r="6350" b="0"/>
            <wp:docPr id="662015301" name="Chart 1" descr="Chart outlining family, carer and parent responses to the survey question &quot;How much do you think each option will reduce the risk of harm to children?&quot;">
              <a:extLst xmlns:a="http://schemas.openxmlformats.org/drawingml/2006/main">
                <a:ext uri="{FF2B5EF4-FFF2-40B4-BE49-F238E27FC236}">
                  <a16:creationId xmlns:a16="http://schemas.microsoft.com/office/drawing/2014/main" id="{66E0A8D5-4F3C-0D43-0D09-18620CD31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8C0B40C" w14:textId="4A4A4612" w:rsidR="00777542" w:rsidRPr="009A55DF" w:rsidRDefault="00777542" w:rsidP="00777542">
      <w:pPr>
        <w:pStyle w:val="Source"/>
      </w:pPr>
      <w:r w:rsidRPr="009A55DF">
        <w:t xml:space="preserve">Source: Families, carers and parents survey, as of </w:t>
      </w:r>
      <w:r w:rsidR="00BC5110">
        <w:t>11</w:t>
      </w:r>
      <w:r w:rsidRPr="009A55DF">
        <w:t xml:space="preserve"> June 2025, Q63, option 1 n=</w:t>
      </w:r>
      <w:r w:rsidR="009A55DF" w:rsidRPr="009A55DF">
        <w:t>64</w:t>
      </w:r>
      <w:r w:rsidRPr="009A55DF">
        <w:t>, option 2 n=</w:t>
      </w:r>
      <w:r w:rsidR="009A55DF" w:rsidRPr="009A55DF">
        <w:t>65</w:t>
      </w:r>
      <w:r w:rsidRPr="009A55DF">
        <w:t>, option 3 n=</w:t>
      </w:r>
      <w:r w:rsidR="009A55DF" w:rsidRPr="009A55DF">
        <w:t>63</w:t>
      </w:r>
      <w:r w:rsidRPr="009A55DF">
        <w:t>.</w:t>
      </w:r>
    </w:p>
    <w:p w14:paraId="33C8015C" w14:textId="1928F76E" w:rsidR="00777542" w:rsidRPr="005944D9" w:rsidRDefault="00777542" w:rsidP="00777542">
      <w:pPr>
        <w:pStyle w:val="Heading4un-numbered"/>
      </w:pPr>
      <w:r w:rsidRPr="005944D9">
        <w:t xml:space="preserve">Requiring an approved WWCC prior to commencing paid or volunteer work at an education and care service – </w:t>
      </w:r>
      <w:r w:rsidR="00370AB1">
        <w:t xml:space="preserve">Preferred option or combination </w:t>
      </w:r>
      <w:r w:rsidRPr="005944D9">
        <w:t>of options</w:t>
      </w:r>
    </w:p>
    <w:p w14:paraId="1AE8E776" w14:textId="13BAAAE7" w:rsidR="00777542" w:rsidRPr="00D25A02" w:rsidRDefault="0013556A" w:rsidP="00777542">
      <w:pPr>
        <w:pStyle w:val="CaptionChart"/>
        <w:numPr>
          <w:ilvl w:val="7"/>
          <w:numId w:val="0"/>
        </w:numPr>
      </w:pPr>
      <w:r w:rsidRPr="0013556A">
        <w:t>Appendix Chart 12.3.</w:t>
      </w:r>
      <w:r>
        <w:t>4.4</w:t>
      </w:r>
      <w:r w:rsidRPr="0013556A">
        <w:t xml:space="preserve"> </w:t>
      </w:r>
      <w:bookmarkStart w:id="304" w:name="_Toc200656094"/>
      <w:bookmarkStart w:id="305" w:name="_Toc200657437"/>
      <w:r w:rsidR="00777542" w:rsidRPr="00D25A02">
        <w:t xml:space="preserve">Approved provider responses to “What is your </w:t>
      </w:r>
      <w:r w:rsidR="00B734E0">
        <w:t xml:space="preserve">preferred option or combination </w:t>
      </w:r>
      <w:r w:rsidR="00777542" w:rsidRPr="00D25A02">
        <w:t>of options?”</w:t>
      </w:r>
      <w:bookmarkEnd w:id="304"/>
      <w:bookmarkEnd w:id="305"/>
    </w:p>
    <w:p w14:paraId="740466D1" w14:textId="6F9BE2CE" w:rsidR="00777542" w:rsidRPr="00D25A02" w:rsidRDefault="00D25A02" w:rsidP="00777542">
      <w:r w:rsidRPr="00BC5110">
        <w:rPr>
          <w:noProof/>
          <w:shd w:val="clear" w:color="auto" w:fill="A6CE38" w:themeFill="accent5"/>
          <w14:ligatures w14:val="standardContextual"/>
        </w:rPr>
        <w:drawing>
          <wp:inline distT="0" distB="0" distL="0" distR="0" wp14:anchorId="4A58EDCC" wp14:editId="139208C3">
            <wp:extent cx="5727700" cy="1978660"/>
            <wp:effectExtent l="0" t="0" r="6350" b="2540"/>
            <wp:docPr id="2048124605" name="Chart 1" descr="Chart outlining Approved provider responses to the survey question “What is your preferred option or combination of options?”">
              <a:extLst xmlns:a="http://schemas.openxmlformats.org/drawingml/2006/main">
                <a:ext uri="{FF2B5EF4-FFF2-40B4-BE49-F238E27FC236}">
                  <a16:creationId xmlns:a16="http://schemas.microsoft.com/office/drawing/2014/main" id="{09CD00D7-9277-BF35-F17D-1E46CDCEC0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7E94EAB" w14:textId="23AA7A8D" w:rsidR="00777542" w:rsidRPr="00D25A02" w:rsidRDefault="00777542" w:rsidP="00976C70">
      <w:pPr>
        <w:pStyle w:val="Source-CSR"/>
      </w:pPr>
      <w:r w:rsidRPr="00D25A02">
        <w:t xml:space="preserve">Source: Approved provider survey, </w:t>
      </w:r>
      <w:r w:rsidRPr="00636B94">
        <w:t xml:space="preserve">as of </w:t>
      </w:r>
      <w:r w:rsidR="00BC5110" w:rsidRPr="00636B94">
        <w:t>11</w:t>
      </w:r>
      <w:r w:rsidRPr="00636B94">
        <w:t xml:space="preserve"> June 2025, Q63, n=1</w:t>
      </w:r>
      <w:r w:rsidR="00D25A02" w:rsidRPr="00636B94">
        <w:t>47</w:t>
      </w:r>
      <w:r w:rsidRPr="00636B94">
        <w:t>. Note that if a respondent selected a combination of options, that selection is treated as a unique preference and not double-counted in the singular options.</w:t>
      </w:r>
    </w:p>
    <w:p w14:paraId="7C7BE1F1" w14:textId="272F9B2A" w:rsidR="00777542" w:rsidRPr="005944D9" w:rsidRDefault="0013556A" w:rsidP="00777542">
      <w:pPr>
        <w:pStyle w:val="CaptionChart"/>
        <w:numPr>
          <w:ilvl w:val="7"/>
          <w:numId w:val="0"/>
        </w:numPr>
      </w:pPr>
      <w:r w:rsidRPr="0013556A">
        <w:lastRenderedPageBreak/>
        <w:t>Appendix Chart 12.3.</w:t>
      </w:r>
      <w:r>
        <w:t xml:space="preserve">4.5 </w:t>
      </w:r>
      <w:bookmarkStart w:id="306" w:name="_Toc200656095"/>
      <w:bookmarkStart w:id="307" w:name="_Toc200657438"/>
      <w:r w:rsidR="00777542" w:rsidRPr="005944D9">
        <w:t xml:space="preserve">Workforce responses to “What is your </w:t>
      </w:r>
      <w:r w:rsidR="00B734E0">
        <w:t xml:space="preserve">preferred option or combination </w:t>
      </w:r>
      <w:r w:rsidR="00777542" w:rsidRPr="005944D9">
        <w:t>of options?”</w:t>
      </w:r>
      <w:bookmarkEnd w:id="306"/>
      <w:bookmarkEnd w:id="307"/>
    </w:p>
    <w:p w14:paraId="3797C300" w14:textId="3B511221" w:rsidR="00777542" w:rsidRPr="005944D9" w:rsidRDefault="005944D9" w:rsidP="00777542">
      <w:pPr>
        <w:rPr>
          <w:color w:val="808080" w:themeColor="background1" w:themeShade="80"/>
          <w:sz w:val="14"/>
          <w:szCs w:val="10"/>
        </w:rPr>
      </w:pPr>
      <w:r w:rsidRPr="005944D9">
        <w:rPr>
          <w:noProof/>
          <w14:ligatures w14:val="standardContextual"/>
        </w:rPr>
        <w:drawing>
          <wp:inline distT="0" distB="0" distL="0" distR="0" wp14:anchorId="30314652" wp14:editId="4F761911">
            <wp:extent cx="5632704" cy="2128723"/>
            <wp:effectExtent l="0" t="0" r="6350" b="5080"/>
            <wp:docPr id="81754138" name="Chart 1" descr="Chart outlining Workforce responses to the survey question “What is your preferred option or combination of options?”">
              <a:extLst xmlns:a="http://schemas.openxmlformats.org/drawingml/2006/main">
                <a:ext uri="{FF2B5EF4-FFF2-40B4-BE49-F238E27FC236}">
                  <a16:creationId xmlns:a16="http://schemas.microsoft.com/office/drawing/2014/main" id="{260853E4-0625-69D1-0E5D-531096A52F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420B8EE" w14:textId="28902AE4" w:rsidR="00777542" w:rsidRPr="00636B94" w:rsidRDefault="00777542" w:rsidP="00976C70">
      <w:pPr>
        <w:pStyle w:val="Source-CSR"/>
      </w:pPr>
      <w:r w:rsidRPr="005944D9">
        <w:t xml:space="preserve">Source: Workforce survey, as of </w:t>
      </w:r>
      <w:r w:rsidR="005944D9" w:rsidRPr="00636B94">
        <w:t>11</w:t>
      </w:r>
      <w:r w:rsidRPr="00636B94">
        <w:t xml:space="preserve"> June 2025, Q61, n=</w:t>
      </w:r>
      <w:r w:rsidR="005944D9" w:rsidRPr="00636B94">
        <w:t>150</w:t>
      </w:r>
      <w:r w:rsidRPr="00636B94">
        <w:t>. Note that if a respondent selected a combination of options, that selection is treated as a unique preference and not double-counted in the singular options.</w:t>
      </w:r>
      <w:r w:rsidR="001910DF" w:rsidRPr="00636B94">
        <w:t xml:space="preserve"> Note that due to rounding, percentages may not add to 100%.</w:t>
      </w:r>
    </w:p>
    <w:p w14:paraId="06636BD0" w14:textId="52F766EE" w:rsidR="00777542" w:rsidRPr="009A55DF" w:rsidRDefault="0013556A" w:rsidP="00777542">
      <w:pPr>
        <w:pStyle w:val="CaptionChart"/>
        <w:numPr>
          <w:ilvl w:val="7"/>
          <w:numId w:val="0"/>
        </w:numPr>
      </w:pPr>
      <w:r w:rsidRPr="0013556A">
        <w:t>Appendix Chart 12.3.</w:t>
      </w:r>
      <w:r>
        <w:t>4.6</w:t>
      </w:r>
      <w:r w:rsidR="00777542" w:rsidRPr="009A55DF">
        <w:t xml:space="preserve"> </w:t>
      </w:r>
      <w:bookmarkStart w:id="308" w:name="_Toc200656096"/>
      <w:bookmarkStart w:id="309" w:name="_Toc200657439"/>
      <w:r w:rsidR="00777542" w:rsidRPr="009A55DF">
        <w:t xml:space="preserve">Family, carer, and parent responses to “What is your </w:t>
      </w:r>
      <w:r w:rsidR="00B734E0">
        <w:t xml:space="preserve">preferred option or combination </w:t>
      </w:r>
      <w:r w:rsidR="00777542" w:rsidRPr="009A55DF">
        <w:t>of options?”</w:t>
      </w:r>
      <w:bookmarkEnd w:id="308"/>
      <w:bookmarkEnd w:id="309"/>
    </w:p>
    <w:p w14:paraId="1E368672" w14:textId="3A69214F" w:rsidR="009A55DF" w:rsidRDefault="009A55DF" w:rsidP="00777542">
      <w:pPr>
        <w:rPr>
          <w:noProof/>
          <w14:ligatures w14:val="standardContextual"/>
        </w:rPr>
      </w:pPr>
      <w:r>
        <w:rPr>
          <w:noProof/>
          <w14:ligatures w14:val="standardContextual"/>
        </w:rPr>
        <w:drawing>
          <wp:inline distT="0" distB="0" distL="0" distR="0" wp14:anchorId="6E2FA0B9" wp14:editId="14CA2DC7">
            <wp:extent cx="5727700" cy="2080895"/>
            <wp:effectExtent l="0" t="0" r="6350" b="0"/>
            <wp:docPr id="662842731" name="Chart 1" descr="Chart outlining Family, carer, and parent  responses to the survey question “What is your preferred option or combination of options?”">
              <a:extLst xmlns:a="http://schemas.openxmlformats.org/drawingml/2006/main">
                <a:ext uri="{FF2B5EF4-FFF2-40B4-BE49-F238E27FC236}">
                  <a16:creationId xmlns:a16="http://schemas.microsoft.com/office/drawing/2014/main" id="{A7E640F1-489A-F269-5229-D2F240E45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F2BCCE0" w14:textId="63DE94DC" w:rsidR="00777542" w:rsidRPr="009A55DF" w:rsidRDefault="00777542" w:rsidP="00976C70">
      <w:pPr>
        <w:pStyle w:val="Source-CSR"/>
      </w:pPr>
      <w:r w:rsidRPr="009A55DF">
        <w:t xml:space="preserve">Source: Families, carers and parents survey, as of </w:t>
      </w:r>
      <w:r w:rsidR="00BC5110" w:rsidRPr="00636B94">
        <w:t>11</w:t>
      </w:r>
      <w:r w:rsidRPr="00636B94">
        <w:t xml:space="preserve"> June 2025, Q61, n=</w:t>
      </w:r>
      <w:r w:rsidR="009A55DF" w:rsidRPr="00636B94">
        <w:t>65</w:t>
      </w:r>
      <w:r w:rsidRPr="00636B94">
        <w:t>. Note that if a respondent selected a combination of options, that selection is treated as a unique preference and not double-counted in the singular options.</w:t>
      </w:r>
    </w:p>
    <w:p w14:paraId="3E5F7DB3" w14:textId="77777777" w:rsidR="00777542" w:rsidRPr="00777542" w:rsidRDefault="00777542" w:rsidP="00777542">
      <w:pPr>
        <w:rPr>
          <w:highlight w:val="yellow"/>
        </w:rPr>
      </w:pPr>
    </w:p>
    <w:p w14:paraId="70660B13" w14:textId="77777777" w:rsidR="00777542" w:rsidRPr="00777542" w:rsidRDefault="00777542" w:rsidP="00777542">
      <w:pPr>
        <w:rPr>
          <w:highlight w:val="yellow"/>
        </w:rPr>
      </w:pPr>
    </w:p>
    <w:p w14:paraId="15C3C9F2" w14:textId="77777777" w:rsidR="00777542" w:rsidRPr="005944D9" w:rsidRDefault="00777542" w:rsidP="00777542">
      <w:pPr>
        <w:pStyle w:val="Heading4un-numbered"/>
      </w:pPr>
      <w:r w:rsidRPr="005944D9">
        <w:lastRenderedPageBreak/>
        <w:t>Requiring approved providers and Regulatory Authorities to be notified about changes in WWCC status – Reduction of the risk of harm</w:t>
      </w:r>
    </w:p>
    <w:p w14:paraId="624A5DE8" w14:textId="1388D7AD" w:rsidR="007B4D62" w:rsidRPr="00F64B5C" w:rsidRDefault="007B4D62" w:rsidP="007B4D62">
      <w:pPr>
        <w:pStyle w:val="CaptionChart"/>
      </w:pPr>
      <w:r>
        <w:t>Appendix Chart 12.3.</w:t>
      </w:r>
      <w:r w:rsidR="0013556A">
        <w:t>4.7</w:t>
      </w:r>
      <w:r w:rsidR="00777542" w:rsidRPr="00543560">
        <w:t xml:space="preserve"> </w:t>
      </w:r>
      <w:bookmarkStart w:id="310" w:name="_Toc200656097"/>
      <w:bookmarkStart w:id="311" w:name="_Toc200657440"/>
      <w:r w:rsidR="00777542" w:rsidRPr="00543560">
        <w:t>Approved provider responses to “How much do you think each option will reduce the risk of harm to children?”</w:t>
      </w:r>
    </w:p>
    <w:bookmarkEnd w:id="310"/>
    <w:bookmarkEnd w:id="311"/>
    <w:p w14:paraId="5C53BB7A" w14:textId="4F09A6FE" w:rsidR="00777542" w:rsidRPr="00543560" w:rsidRDefault="00543560" w:rsidP="00777542">
      <w:pPr>
        <w:pStyle w:val="Source"/>
      </w:pPr>
      <w:r w:rsidRPr="00543560">
        <w:rPr>
          <w:noProof/>
          <w14:ligatures w14:val="standardContextual"/>
        </w:rPr>
        <w:drawing>
          <wp:inline distT="0" distB="0" distL="0" distR="0" wp14:anchorId="40583CE8" wp14:editId="339DDBA5">
            <wp:extent cx="5720316" cy="2668772"/>
            <wp:effectExtent l="0" t="0" r="0" b="0"/>
            <wp:docPr id="89217911" name="Chart 1" descr="Chart outlining Approved provider responses to the survey question “How much do you think each option will reduce the risk of harm to children?”">
              <a:extLst xmlns:a="http://schemas.openxmlformats.org/drawingml/2006/main">
                <a:ext uri="{FF2B5EF4-FFF2-40B4-BE49-F238E27FC236}">
                  <a16:creationId xmlns:a16="http://schemas.microsoft.com/office/drawing/2014/main" id="{C1F38C09-BE08-8162-170D-84F9D1B4D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134C2997" w14:textId="7582D3BE" w:rsidR="00777542" w:rsidRPr="00636B94" w:rsidRDefault="00777542" w:rsidP="00617D2C">
      <w:pPr>
        <w:pStyle w:val="Source-CSR"/>
      </w:pPr>
      <w:r w:rsidRPr="00617D2C">
        <w:t>Source:</w:t>
      </w:r>
      <w:r w:rsidRPr="00636B94">
        <w:t xml:space="preserve"> Approved provider survey, as of </w:t>
      </w:r>
      <w:r w:rsidR="007E2227" w:rsidRPr="00636B94">
        <w:t>11</w:t>
      </w:r>
      <w:r w:rsidRPr="00636B94">
        <w:t xml:space="preserve"> June 2025, Q72, option 1 n=1</w:t>
      </w:r>
      <w:r w:rsidR="00543560" w:rsidRPr="00636B94">
        <w:t>36</w:t>
      </w:r>
      <w:r w:rsidRPr="00636B94">
        <w:t>, option 2 n=1</w:t>
      </w:r>
      <w:r w:rsidR="00543560" w:rsidRPr="00636B94">
        <w:t>34</w:t>
      </w:r>
      <w:r w:rsidRPr="00636B94">
        <w:t>, option 3A and 3B n=1</w:t>
      </w:r>
      <w:r w:rsidR="00543560" w:rsidRPr="00636B94">
        <w:t>33</w:t>
      </w:r>
      <w:r w:rsidRPr="00636B94">
        <w:t>.</w:t>
      </w:r>
    </w:p>
    <w:p w14:paraId="137F63D5" w14:textId="18457FA9" w:rsidR="00E57169" w:rsidRPr="00DA4F42" w:rsidRDefault="00E57169" w:rsidP="00E57169">
      <w:pPr>
        <w:pStyle w:val="CaptionChart"/>
        <w:numPr>
          <w:ilvl w:val="7"/>
          <w:numId w:val="0"/>
        </w:numPr>
      </w:pPr>
      <w:r>
        <w:t>Appendix Chart 12.3.</w:t>
      </w:r>
      <w:r w:rsidR="0013556A">
        <w:t>4.8</w:t>
      </w:r>
      <w:r w:rsidR="00777542" w:rsidRPr="00A668C6">
        <w:t xml:space="preserve"> </w:t>
      </w:r>
      <w:bookmarkStart w:id="312" w:name="_Toc200656098"/>
      <w:bookmarkStart w:id="313" w:name="_Toc200657441"/>
      <w:r w:rsidR="00777542" w:rsidRPr="00A668C6">
        <w:t>Workforce responses to “How much do you think each option will reduce the risk of harm to children?”</w:t>
      </w:r>
    </w:p>
    <w:bookmarkEnd w:id="312"/>
    <w:bookmarkEnd w:id="313"/>
    <w:p w14:paraId="2D7B236C" w14:textId="104A6D04" w:rsidR="00777542" w:rsidRPr="00A668C6" w:rsidRDefault="00A668C6" w:rsidP="00777542">
      <w:pPr>
        <w:pStyle w:val="Source"/>
      </w:pPr>
      <w:r w:rsidRPr="00A668C6">
        <w:rPr>
          <w:noProof/>
          <w14:ligatures w14:val="standardContextual"/>
        </w:rPr>
        <w:drawing>
          <wp:inline distT="0" distB="0" distL="0" distR="0" wp14:anchorId="1244D96C" wp14:editId="61D4BAC0">
            <wp:extent cx="5530291" cy="2684679"/>
            <wp:effectExtent l="0" t="0" r="0" b="1905"/>
            <wp:docPr id="229313268" name="Chart 1" descr="Chart outlining Workforce responses to the survey question “How much do you think each option will reduce the risk of harm to children?”">
              <a:extLst xmlns:a="http://schemas.openxmlformats.org/drawingml/2006/main">
                <a:ext uri="{FF2B5EF4-FFF2-40B4-BE49-F238E27FC236}">
                  <a16:creationId xmlns:a16="http://schemas.microsoft.com/office/drawing/2014/main" id="{4E0E511A-16CB-499A-208D-8E4FFD4F04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680ABB93" w14:textId="43D40A57" w:rsidR="00777542" w:rsidRPr="00A668C6" w:rsidRDefault="00777542" w:rsidP="00777542">
      <w:pPr>
        <w:pStyle w:val="Source"/>
      </w:pPr>
      <w:r w:rsidRPr="00A668C6">
        <w:t xml:space="preserve">Source: Workforce survey, as of </w:t>
      </w:r>
      <w:r w:rsidR="00A668C6" w:rsidRPr="00A668C6">
        <w:t>11</w:t>
      </w:r>
      <w:r w:rsidRPr="00A668C6">
        <w:t xml:space="preserve"> June 2025, Q68, option 1 n=</w:t>
      </w:r>
      <w:r w:rsidR="00A668C6" w:rsidRPr="00A668C6">
        <w:t>148</w:t>
      </w:r>
      <w:r w:rsidRPr="00A668C6">
        <w:t>, option 2 n=</w:t>
      </w:r>
      <w:r w:rsidR="00A668C6" w:rsidRPr="00A668C6">
        <w:t>148</w:t>
      </w:r>
      <w:r w:rsidRPr="00A668C6">
        <w:t>, option 3A and 3B n=</w:t>
      </w:r>
      <w:r w:rsidR="00A668C6" w:rsidRPr="00A668C6">
        <w:t>147</w:t>
      </w:r>
      <w:r w:rsidRPr="00A668C6">
        <w:t>.</w:t>
      </w:r>
    </w:p>
    <w:p w14:paraId="3CC91153" w14:textId="0958B635" w:rsidR="00E57169" w:rsidRPr="00CE6754" w:rsidRDefault="00E57169" w:rsidP="00E57169">
      <w:pPr>
        <w:pStyle w:val="CaptionChart"/>
        <w:numPr>
          <w:ilvl w:val="7"/>
          <w:numId w:val="0"/>
        </w:numPr>
      </w:pPr>
      <w:r>
        <w:lastRenderedPageBreak/>
        <w:t>Appendix Chart 12.3.</w:t>
      </w:r>
      <w:r w:rsidR="0013556A">
        <w:t>4.9</w:t>
      </w:r>
      <w:r>
        <w:t xml:space="preserve"> </w:t>
      </w:r>
      <w:r w:rsidRPr="00CE6754">
        <w:t>Family, carer and parent responses to “How much do you think each option will reduce the risk of harm to children?”</w:t>
      </w:r>
    </w:p>
    <w:p w14:paraId="4ABF915A" w14:textId="6D9F6E67" w:rsidR="00777542" w:rsidRPr="00D4175D" w:rsidRDefault="00D4175D" w:rsidP="00777542">
      <w:pPr>
        <w:pStyle w:val="Source"/>
      </w:pPr>
      <w:r>
        <w:rPr>
          <w:noProof/>
          <w14:ligatures w14:val="standardContextual"/>
        </w:rPr>
        <w:drawing>
          <wp:inline distT="0" distB="0" distL="0" distR="0" wp14:anchorId="185B5FC7" wp14:editId="7ED34F39">
            <wp:extent cx="5645888" cy="2551814"/>
            <wp:effectExtent l="0" t="0" r="0" b="1270"/>
            <wp:docPr id="1814154054" name="Chart 1" descr="Chart outlining Family, carer and parent responses to the survey question “How much do you think each option will reduce the risk of harm to children?”">
              <a:extLst xmlns:a="http://schemas.openxmlformats.org/drawingml/2006/main">
                <a:ext uri="{FF2B5EF4-FFF2-40B4-BE49-F238E27FC236}">
                  <a16:creationId xmlns:a16="http://schemas.microsoft.com/office/drawing/2014/main" id="{F1EF3A2E-41B9-6DE0-ECB3-7BD9C0302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23807E2" w14:textId="225A69AD" w:rsidR="00777542" w:rsidRPr="00D4175D" w:rsidRDefault="00777542" w:rsidP="00777542">
      <w:pPr>
        <w:pStyle w:val="Source"/>
      </w:pPr>
      <w:r w:rsidRPr="00D4175D">
        <w:t xml:space="preserve">Source: Families, carers and parents survey, as of </w:t>
      </w:r>
      <w:r w:rsidR="00057B94">
        <w:t>11</w:t>
      </w:r>
      <w:r w:rsidRPr="00D4175D">
        <w:t xml:space="preserve"> June 2025, Q72, option 1 n=</w:t>
      </w:r>
      <w:r w:rsidR="00D4175D">
        <w:t>66</w:t>
      </w:r>
      <w:r w:rsidRPr="00D4175D">
        <w:t>, option 2 n=</w:t>
      </w:r>
      <w:r w:rsidR="00D4175D">
        <w:t>66</w:t>
      </w:r>
      <w:r w:rsidRPr="00D4175D">
        <w:t>, option 3 n=</w:t>
      </w:r>
      <w:r w:rsidR="00D4175D">
        <w:t>67</w:t>
      </w:r>
      <w:r w:rsidRPr="00D4175D">
        <w:t>.</w:t>
      </w:r>
    </w:p>
    <w:p w14:paraId="2A9328F1" w14:textId="17B4796B" w:rsidR="00777542" w:rsidRPr="00A668C6" w:rsidRDefault="00777542" w:rsidP="00777542">
      <w:pPr>
        <w:pStyle w:val="Heading4un-numbered"/>
      </w:pPr>
      <w:r w:rsidRPr="00A668C6">
        <w:t xml:space="preserve">Requiring approved providers and Regulatory Authorities to be notified about changes in WWCC status – </w:t>
      </w:r>
      <w:r w:rsidR="00370AB1">
        <w:t xml:space="preserve">Preferred option or combination </w:t>
      </w:r>
      <w:r w:rsidRPr="00A668C6">
        <w:t>of options</w:t>
      </w:r>
    </w:p>
    <w:p w14:paraId="6A967619" w14:textId="5AEA6473" w:rsidR="00777542" w:rsidRPr="00543560" w:rsidRDefault="0013556A" w:rsidP="00777542">
      <w:pPr>
        <w:pStyle w:val="CaptionChart"/>
        <w:numPr>
          <w:ilvl w:val="7"/>
          <w:numId w:val="0"/>
        </w:numPr>
      </w:pPr>
      <w:r w:rsidRPr="0013556A">
        <w:t>Appendix Chart 12.3.</w:t>
      </w:r>
      <w:r>
        <w:t xml:space="preserve">4.10 </w:t>
      </w:r>
      <w:bookmarkStart w:id="314" w:name="_Toc200656100"/>
      <w:bookmarkStart w:id="315" w:name="_Toc200657443"/>
      <w:r w:rsidR="00777542" w:rsidRPr="00543560">
        <w:t xml:space="preserve">Approved provider responses to “What is your </w:t>
      </w:r>
      <w:r w:rsidR="00B734E0">
        <w:t xml:space="preserve">preferred option or combination </w:t>
      </w:r>
      <w:r w:rsidR="00777542" w:rsidRPr="00543560">
        <w:t>of options?”</w:t>
      </w:r>
      <w:bookmarkEnd w:id="314"/>
      <w:bookmarkEnd w:id="315"/>
    </w:p>
    <w:p w14:paraId="293D810A" w14:textId="5AEDDAAA" w:rsidR="00777542" w:rsidRPr="00543560" w:rsidRDefault="00543560" w:rsidP="00777542">
      <w:r w:rsidRPr="00543560">
        <w:rPr>
          <w:noProof/>
          <w14:ligatures w14:val="standardContextual"/>
        </w:rPr>
        <w:drawing>
          <wp:inline distT="0" distB="0" distL="0" distR="0" wp14:anchorId="71EAA391" wp14:editId="714AE4CA">
            <wp:extent cx="5727700" cy="1850065"/>
            <wp:effectExtent l="0" t="0" r="6350" b="0"/>
            <wp:docPr id="280620422" name="Chart 1" descr="Chart outlining Approved provider responses to the survey question “What is your preferred option or combination of options?”">
              <a:extLst xmlns:a="http://schemas.openxmlformats.org/drawingml/2006/main">
                <a:ext uri="{FF2B5EF4-FFF2-40B4-BE49-F238E27FC236}">
                  <a16:creationId xmlns:a16="http://schemas.microsoft.com/office/drawing/2014/main" id="{4A217B98-25F0-1B3C-5E75-FE43D86A8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378C1BF3" w14:textId="35ADFDD3" w:rsidR="00777542" w:rsidRPr="00636B94" w:rsidRDefault="00777542" w:rsidP="00617D2C">
      <w:pPr>
        <w:pStyle w:val="Source-CSR"/>
      </w:pPr>
      <w:r w:rsidRPr="00617D2C">
        <w:t>Source:</w:t>
      </w:r>
      <w:r w:rsidRPr="00636B94">
        <w:t xml:space="preserve"> Approved provider survey, as of </w:t>
      </w:r>
      <w:r w:rsidR="00FE3CDF" w:rsidRPr="00636B94">
        <w:t>11</w:t>
      </w:r>
      <w:r w:rsidRPr="00636B94">
        <w:t xml:space="preserve"> June 2025, Q70, n=</w:t>
      </w:r>
      <w:r w:rsidR="00543560" w:rsidRPr="00636B94">
        <w:t>134</w:t>
      </w:r>
      <w:r w:rsidRPr="00636B94">
        <w:t>. Note that if a respondent selected a combination of options, that selection is treated as a unique preference and not double-counted in the singular options.</w:t>
      </w:r>
    </w:p>
    <w:p w14:paraId="09B63A86" w14:textId="77777777" w:rsidR="006D23C0" w:rsidRPr="00543560" w:rsidRDefault="006D23C0" w:rsidP="00777542"/>
    <w:p w14:paraId="1518FF6A" w14:textId="776B5FC1" w:rsidR="00777542" w:rsidRPr="006D23C0" w:rsidRDefault="0013556A" w:rsidP="00777542">
      <w:pPr>
        <w:pStyle w:val="CaptionChart"/>
        <w:numPr>
          <w:ilvl w:val="7"/>
          <w:numId w:val="0"/>
        </w:numPr>
      </w:pPr>
      <w:r w:rsidRPr="0013556A">
        <w:lastRenderedPageBreak/>
        <w:t>Appendix Chart 12.3.</w:t>
      </w:r>
      <w:r>
        <w:t>4.11</w:t>
      </w:r>
      <w:r w:rsidR="00777542" w:rsidRPr="006D23C0">
        <w:t xml:space="preserve"> </w:t>
      </w:r>
      <w:bookmarkStart w:id="316" w:name="_Toc200656101"/>
      <w:bookmarkStart w:id="317" w:name="_Toc200657444"/>
      <w:r w:rsidR="00777542" w:rsidRPr="006D23C0">
        <w:t xml:space="preserve">Workforce responses to “What is your </w:t>
      </w:r>
      <w:r w:rsidR="00B734E0">
        <w:t xml:space="preserve">preferred option or combination </w:t>
      </w:r>
      <w:r w:rsidR="00777542" w:rsidRPr="006D23C0">
        <w:t>of options?”</w:t>
      </w:r>
      <w:bookmarkEnd w:id="316"/>
      <w:bookmarkEnd w:id="317"/>
    </w:p>
    <w:p w14:paraId="7B0B3994" w14:textId="787FCD5B" w:rsidR="00777542" w:rsidRPr="006D23C0" w:rsidRDefault="006D23C0" w:rsidP="00777542">
      <w:pPr>
        <w:rPr>
          <w:color w:val="808080" w:themeColor="background1" w:themeShade="80"/>
          <w:sz w:val="14"/>
          <w:szCs w:val="10"/>
        </w:rPr>
      </w:pPr>
      <w:r w:rsidRPr="006D23C0">
        <w:rPr>
          <w:noProof/>
          <w14:ligatures w14:val="standardContextual"/>
        </w:rPr>
        <w:drawing>
          <wp:inline distT="0" distB="0" distL="0" distR="0" wp14:anchorId="59F61418" wp14:editId="11561ECF">
            <wp:extent cx="5610225" cy="1660550"/>
            <wp:effectExtent l="0" t="0" r="0" b="0"/>
            <wp:docPr id="318977212" name="Chart 1" descr="Chart outlining Workforce responses to the survey question “What is your preferred option or combination of options?”">
              <a:extLst xmlns:a="http://schemas.openxmlformats.org/drawingml/2006/main">
                <a:ext uri="{FF2B5EF4-FFF2-40B4-BE49-F238E27FC236}">
                  <a16:creationId xmlns:a16="http://schemas.microsoft.com/office/drawing/2014/main" id="{605CFFF8-FAA5-8B50-0828-7C2139DD9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78ACEC2E" w14:textId="79A346CF" w:rsidR="00777542" w:rsidRPr="00636B94" w:rsidRDefault="00777542" w:rsidP="00617D2C">
      <w:pPr>
        <w:pStyle w:val="Source-CSR"/>
      </w:pPr>
      <w:r w:rsidRPr="006D23C0">
        <w:t xml:space="preserve">Source: Workforce survey, as of </w:t>
      </w:r>
      <w:r w:rsidR="006D23C0" w:rsidRPr="00636B94">
        <w:t>11</w:t>
      </w:r>
      <w:r w:rsidRPr="00636B94">
        <w:t xml:space="preserve"> June 2025, Q70, n=</w:t>
      </w:r>
      <w:r w:rsidR="006D23C0" w:rsidRPr="00636B94">
        <w:t>134</w:t>
      </w:r>
      <w:r w:rsidRPr="00636B94">
        <w:t>. Note that if a respondent selected a combination of options, that selection is treated as a unique preference and not double-counted in the singular options.</w:t>
      </w:r>
    </w:p>
    <w:p w14:paraId="1CEDA603" w14:textId="19EF1DA5" w:rsidR="00777542" w:rsidRPr="00D4175D" w:rsidRDefault="0013556A" w:rsidP="00777542">
      <w:pPr>
        <w:pStyle w:val="CaptionChart"/>
        <w:numPr>
          <w:ilvl w:val="7"/>
          <w:numId w:val="0"/>
        </w:numPr>
      </w:pPr>
      <w:r w:rsidRPr="0013556A">
        <w:t>Appendix Chart 12.3.</w:t>
      </w:r>
      <w:r>
        <w:t xml:space="preserve">4.12 </w:t>
      </w:r>
      <w:bookmarkStart w:id="318" w:name="_Toc200656102"/>
      <w:bookmarkStart w:id="319" w:name="_Toc200657445"/>
      <w:r w:rsidR="00777542" w:rsidRPr="00D4175D">
        <w:t xml:space="preserve">Family, carer, and parent responses to “What is your </w:t>
      </w:r>
      <w:r w:rsidR="00B734E0">
        <w:t xml:space="preserve">preferred option or combination </w:t>
      </w:r>
      <w:r w:rsidR="00777542" w:rsidRPr="00D4175D">
        <w:t>of options?”</w:t>
      </w:r>
      <w:bookmarkEnd w:id="318"/>
      <w:bookmarkEnd w:id="319"/>
    </w:p>
    <w:p w14:paraId="3C76B1B3" w14:textId="4E851F74" w:rsidR="00D4175D" w:rsidRDefault="00D4175D" w:rsidP="00777542">
      <w:pPr>
        <w:rPr>
          <w:noProof/>
          <w14:ligatures w14:val="standardContextual"/>
        </w:rPr>
      </w:pPr>
      <w:r>
        <w:rPr>
          <w:noProof/>
          <w14:ligatures w14:val="standardContextual"/>
        </w:rPr>
        <w:drawing>
          <wp:inline distT="0" distB="0" distL="0" distR="0" wp14:anchorId="64147563" wp14:editId="5DF8F152">
            <wp:extent cx="5543550" cy="1733107"/>
            <wp:effectExtent l="0" t="0" r="0" b="635"/>
            <wp:docPr id="1764364550" name="Chart 1" descr="Chart outlining Family, carer, and parent responses to the survey question “What is your preferred option or combination of options?”">
              <a:extLst xmlns:a="http://schemas.openxmlformats.org/drawingml/2006/main">
                <a:ext uri="{FF2B5EF4-FFF2-40B4-BE49-F238E27FC236}">
                  <a16:creationId xmlns:a16="http://schemas.microsoft.com/office/drawing/2014/main" id="{30D92BF4-2359-1AC7-B861-E794294EC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40679F5" w14:textId="1C4D741C" w:rsidR="00777542" w:rsidRPr="00D4175D" w:rsidRDefault="00777542" w:rsidP="00617D2C">
      <w:pPr>
        <w:pStyle w:val="Source-CSR"/>
      </w:pPr>
      <w:r w:rsidRPr="00D4175D">
        <w:t xml:space="preserve">Source: Families, carers and parents survey, as of </w:t>
      </w:r>
      <w:r w:rsidR="00FE3CDF" w:rsidRPr="00636B94">
        <w:t>11</w:t>
      </w:r>
      <w:r w:rsidRPr="00636B94">
        <w:t xml:space="preserve"> June 2025, Q70, n=</w:t>
      </w:r>
      <w:r w:rsidR="00D4175D" w:rsidRPr="00636B94">
        <w:t>66</w:t>
      </w:r>
      <w:r w:rsidRPr="00636B94">
        <w:t>. Note that if a respondent selected a combination of options, that selection is treated as a unique preference and not double-counted in the singular options.</w:t>
      </w:r>
    </w:p>
    <w:p w14:paraId="6781A709" w14:textId="77777777" w:rsidR="00777542" w:rsidRPr="00777542" w:rsidRDefault="00777542" w:rsidP="00777542">
      <w:pPr>
        <w:rPr>
          <w:highlight w:val="yellow"/>
        </w:rPr>
      </w:pPr>
    </w:p>
    <w:p w14:paraId="73F1E7D9" w14:textId="77777777" w:rsidR="00777542" w:rsidRPr="00777542" w:rsidRDefault="00777542" w:rsidP="00777542">
      <w:pPr>
        <w:rPr>
          <w:highlight w:val="yellow"/>
        </w:rPr>
      </w:pPr>
    </w:p>
    <w:p w14:paraId="22585909" w14:textId="139D6ADD" w:rsidR="00777542" w:rsidRPr="006D23C0" w:rsidRDefault="00777542" w:rsidP="00890113">
      <w:pPr>
        <w:pStyle w:val="Heading3"/>
      </w:pPr>
      <w:r w:rsidRPr="00777542">
        <w:rPr>
          <w:highlight w:val="yellow"/>
        </w:rPr>
        <w:br w:type="page"/>
      </w:r>
      <w:r w:rsidR="00890113">
        <w:lastRenderedPageBreak/>
        <w:t xml:space="preserve">12.3.5 </w:t>
      </w:r>
      <w:r w:rsidRPr="006D23C0">
        <w:t>Improving the safety of the physical service environment</w:t>
      </w:r>
    </w:p>
    <w:p w14:paraId="325C62A5" w14:textId="77777777" w:rsidR="00777542" w:rsidRPr="006D23C0" w:rsidRDefault="00777542" w:rsidP="00777542">
      <w:pPr>
        <w:pStyle w:val="Heading4un-numbered"/>
      </w:pPr>
      <w:r w:rsidRPr="006D23C0">
        <w:t>Service and temporary waivers for the design of premises (to facilitate supervision of children) – Reduction of the risk of harm</w:t>
      </w:r>
    </w:p>
    <w:p w14:paraId="29809D96" w14:textId="4AE7EA58" w:rsidR="007B4D62" w:rsidRPr="00F64B5C" w:rsidRDefault="007B4D62" w:rsidP="007B4D62">
      <w:pPr>
        <w:pStyle w:val="CaptionChart"/>
      </w:pPr>
      <w:r>
        <w:t>Appendix Chart 12.3.</w:t>
      </w:r>
      <w:r w:rsidR="009B2614">
        <w:t>5</w:t>
      </w:r>
      <w:r>
        <w:t>.1</w:t>
      </w:r>
      <w:r w:rsidR="00777542" w:rsidRPr="00330649">
        <w:t xml:space="preserve"> </w:t>
      </w:r>
      <w:bookmarkStart w:id="320" w:name="_Toc200656103"/>
      <w:bookmarkStart w:id="321" w:name="_Toc200657446"/>
      <w:r w:rsidR="00777542" w:rsidRPr="00330649">
        <w:t>Approved provider responses to “How much do you think each option will reduce the risk of harm to children?”</w:t>
      </w:r>
    </w:p>
    <w:bookmarkEnd w:id="320"/>
    <w:bookmarkEnd w:id="321"/>
    <w:p w14:paraId="68554586" w14:textId="2BECF3F7" w:rsidR="00777542" w:rsidRPr="00330649" w:rsidRDefault="00330649" w:rsidP="00777542">
      <w:pPr>
        <w:pStyle w:val="Source"/>
      </w:pPr>
      <w:r w:rsidRPr="00330649">
        <w:rPr>
          <w:noProof/>
          <w14:ligatures w14:val="standardContextual"/>
        </w:rPr>
        <w:drawing>
          <wp:inline distT="0" distB="0" distL="0" distR="0" wp14:anchorId="3C580746" wp14:editId="79C2C7E4">
            <wp:extent cx="5497033" cy="3157870"/>
            <wp:effectExtent l="0" t="0" r="8890" b="4445"/>
            <wp:docPr id="471005215" name="Chart 1" descr="Chart outlining Approved provider responses to the survey question “How much do you think each option will reduce the risk of harm to children?”">
              <a:extLst xmlns:a="http://schemas.openxmlformats.org/drawingml/2006/main">
                <a:ext uri="{FF2B5EF4-FFF2-40B4-BE49-F238E27FC236}">
                  <a16:creationId xmlns:a16="http://schemas.microsoft.com/office/drawing/2014/main" id="{DB0F0712-D5FF-EC97-C13D-862A5CD34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2A591EC4" w14:textId="0550F692" w:rsidR="00777542" w:rsidRPr="00330649" w:rsidRDefault="00777542" w:rsidP="00777542">
      <w:pPr>
        <w:pStyle w:val="Source"/>
      </w:pPr>
      <w:r w:rsidRPr="00330649">
        <w:t xml:space="preserve">Source: Approved provider survey, as of </w:t>
      </w:r>
      <w:r w:rsidR="00FE3CDF">
        <w:t>11</w:t>
      </w:r>
      <w:r w:rsidRPr="00330649">
        <w:t xml:space="preserve"> June 2025, Q80, option 1 n=1</w:t>
      </w:r>
      <w:r w:rsidR="00330649" w:rsidRPr="00330649">
        <w:t>3</w:t>
      </w:r>
      <w:r w:rsidR="00A35FEE">
        <w:t>7</w:t>
      </w:r>
      <w:r w:rsidRPr="00330649">
        <w:t>, option 2 n=</w:t>
      </w:r>
      <w:r w:rsidR="00330649" w:rsidRPr="00330649">
        <w:t>128</w:t>
      </w:r>
      <w:r w:rsidRPr="00330649">
        <w:t>, option 3 n=</w:t>
      </w:r>
      <w:r w:rsidR="00330649" w:rsidRPr="00330649">
        <w:t>129</w:t>
      </w:r>
      <w:r w:rsidRPr="00330649">
        <w:t>, option 4 n=</w:t>
      </w:r>
      <w:r w:rsidR="00330649" w:rsidRPr="00330649">
        <w:t>123</w:t>
      </w:r>
      <w:r w:rsidRPr="00330649">
        <w:t>.</w:t>
      </w:r>
    </w:p>
    <w:p w14:paraId="7CBC7F42" w14:textId="03CACCED" w:rsidR="00E57169" w:rsidRPr="00DA4F42" w:rsidRDefault="00E57169" w:rsidP="00E57169">
      <w:pPr>
        <w:pStyle w:val="CaptionChart"/>
        <w:numPr>
          <w:ilvl w:val="7"/>
          <w:numId w:val="0"/>
        </w:numPr>
      </w:pPr>
      <w:r>
        <w:t>Appendix Chart 12.3.</w:t>
      </w:r>
      <w:r w:rsidR="009B2614">
        <w:t>5</w:t>
      </w:r>
      <w:r>
        <w:t>.2</w:t>
      </w:r>
      <w:r w:rsidR="00777542" w:rsidRPr="006D23C0">
        <w:t xml:space="preserve"> </w:t>
      </w:r>
      <w:bookmarkStart w:id="322" w:name="_Toc200656104"/>
      <w:bookmarkStart w:id="323" w:name="_Toc200657447"/>
      <w:r w:rsidR="00777542" w:rsidRPr="006D23C0">
        <w:t>Workforce responses to “How much do you think each option will reduce the risk of harm to children?”</w:t>
      </w:r>
    </w:p>
    <w:bookmarkEnd w:id="322"/>
    <w:bookmarkEnd w:id="323"/>
    <w:p w14:paraId="2847D9B5" w14:textId="7CDDB3C8" w:rsidR="00777542" w:rsidRPr="00C20625" w:rsidRDefault="00C20625" w:rsidP="00777542">
      <w:pPr>
        <w:pStyle w:val="Source"/>
      </w:pPr>
      <w:r w:rsidRPr="00C20625">
        <w:rPr>
          <w:noProof/>
          <w14:ligatures w14:val="standardContextual"/>
        </w:rPr>
        <w:drawing>
          <wp:inline distT="0" distB="0" distL="0" distR="0" wp14:anchorId="6046F6CA" wp14:editId="07096F6E">
            <wp:extent cx="5164531" cy="2106778"/>
            <wp:effectExtent l="0" t="0" r="0" b="8255"/>
            <wp:docPr id="1075574531" name="Chart 1" descr="Chart outlining Workforce responses to survey question “How much do you think each option will reduce the risk of harm to children?”">
              <a:extLst xmlns:a="http://schemas.openxmlformats.org/drawingml/2006/main">
                <a:ext uri="{FF2B5EF4-FFF2-40B4-BE49-F238E27FC236}">
                  <a16:creationId xmlns:a16="http://schemas.microsoft.com/office/drawing/2014/main" id="{1E4325A2-8CD0-CB81-FB54-7C21D7A7C0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777C5C0" w14:textId="5713CEFE" w:rsidR="00777542" w:rsidRPr="00C20625" w:rsidRDefault="00777542" w:rsidP="00777542">
      <w:pPr>
        <w:pStyle w:val="Source"/>
      </w:pPr>
      <w:r w:rsidRPr="00C20625">
        <w:t xml:space="preserve">Source: Workforce survey, as of </w:t>
      </w:r>
      <w:r w:rsidR="00C20625" w:rsidRPr="00C20625">
        <w:t>11</w:t>
      </w:r>
      <w:r w:rsidRPr="00C20625">
        <w:t xml:space="preserve"> June 2025, Q76, option 1 n=</w:t>
      </w:r>
      <w:r w:rsidR="00C20625" w:rsidRPr="00C20625">
        <w:t>177</w:t>
      </w:r>
      <w:r w:rsidRPr="00C20625">
        <w:t>, option 2 n=</w:t>
      </w:r>
      <w:r w:rsidR="00C20625" w:rsidRPr="00C20625">
        <w:t>175</w:t>
      </w:r>
      <w:r w:rsidRPr="00C20625">
        <w:t>, option 3 n=</w:t>
      </w:r>
      <w:r w:rsidR="00C20625" w:rsidRPr="00C20625">
        <w:t>168</w:t>
      </w:r>
      <w:r w:rsidRPr="00C20625">
        <w:t>, option 4 n=</w:t>
      </w:r>
      <w:r w:rsidR="00C20625" w:rsidRPr="00C20625">
        <w:t>152</w:t>
      </w:r>
      <w:r w:rsidRPr="00C20625">
        <w:t>.</w:t>
      </w:r>
    </w:p>
    <w:p w14:paraId="2219C0AB" w14:textId="03F25811" w:rsidR="00E57169" w:rsidRPr="00CE6754" w:rsidRDefault="00E57169" w:rsidP="00E57169">
      <w:pPr>
        <w:pStyle w:val="CaptionChart"/>
        <w:numPr>
          <w:ilvl w:val="7"/>
          <w:numId w:val="0"/>
        </w:numPr>
      </w:pPr>
      <w:r>
        <w:lastRenderedPageBreak/>
        <w:t>Appendix Chart 12.3.</w:t>
      </w:r>
      <w:r w:rsidR="009B2614">
        <w:t>5</w:t>
      </w:r>
      <w:r>
        <w:t xml:space="preserve">.3 </w:t>
      </w:r>
      <w:r w:rsidRPr="00CE6754">
        <w:t>Family, carer and parent responses to “How much do you think each option will reduce the risk of harm to children?”</w:t>
      </w:r>
    </w:p>
    <w:p w14:paraId="4D5F2B1E" w14:textId="6EA97873" w:rsidR="00777542" w:rsidRPr="007A78A3" w:rsidRDefault="007A78A3" w:rsidP="00777542">
      <w:pPr>
        <w:pStyle w:val="Source"/>
      </w:pPr>
      <w:r>
        <w:rPr>
          <w:noProof/>
          <w14:ligatures w14:val="standardContextual"/>
        </w:rPr>
        <w:drawing>
          <wp:inline distT="0" distB="0" distL="0" distR="0" wp14:anchorId="767EB661" wp14:editId="68B4A9A8">
            <wp:extent cx="5784112" cy="2934586"/>
            <wp:effectExtent l="0" t="0" r="7620" b="0"/>
            <wp:docPr id="1267988940" name="Chart 1" descr="Chart outlining Family, carer and parent responses to survey question “How much do you think each option will reduce the risk of harm to children?”">
              <a:extLst xmlns:a="http://schemas.openxmlformats.org/drawingml/2006/main">
                <a:ext uri="{FF2B5EF4-FFF2-40B4-BE49-F238E27FC236}">
                  <a16:creationId xmlns:a16="http://schemas.microsoft.com/office/drawing/2014/main" id="{5FF2F347-CC80-AE5C-CB85-EA3A522A1E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57060CB7" w14:textId="5288522C" w:rsidR="00777542" w:rsidRPr="007A78A3" w:rsidRDefault="00777542" w:rsidP="00777542">
      <w:pPr>
        <w:pStyle w:val="Source"/>
      </w:pPr>
      <w:r w:rsidRPr="007A78A3">
        <w:t xml:space="preserve">Source: Families, carers and parents survey, as of </w:t>
      </w:r>
      <w:r w:rsidR="00FE3CDF">
        <w:t>11</w:t>
      </w:r>
      <w:r w:rsidRPr="007A78A3">
        <w:t xml:space="preserve"> June 2025, Q80, option 1 n=</w:t>
      </w:r>
      <w:r w:rsidR="007A78A3">
        <w:t>76</w:t>
      </w:r>
      <w:r w:rsidRPr="007A78A3">
        <w:t>, option 2 n=</w:t>
      </w:r>
      <w:r w:rsidR="007A78A3">
        <w:t>77</w:t>
      </w:r>
      <w:r w:rsidRPr="007A78A3">
        <w:t>, option 3 n=</w:t>
      </w:r>
      <w:r w:rsidR="007A78A3">
        <w:t>74</w:t>
      </w:r>
      <w:r w:rsidRPr="007A78A3">
        <w:t>, option 4 n=</w:t>
      </w:r>
      <w:r w:rsidR="007A78A3">
        <w:t>68</w:t>
      </w:r>
      <w:r w:rsidRPr="007A78A3">
        <w:t>.</w:t>
      </w:r>
    </w:p>
    <w:p w14:paraId="1E22BB20" w14:textId="15B4D9AB" w:rsidR="00777542" w:rsidRPr="00C20625" w:rsidRDefault="00777542" w:rsidP="00777542">
      <w:pPr>
        <w:pStyle w:val="Heading4un-numbered"/>
      </w:pPr>
      <w:r w:rsidRPr="00C20625">
        <w:t xml:space="preserve">Service and temporary waivers for the design of premises (to facilitate supervision of children) – </w:t>
      </w:r>
      <w:r w:rsidR="00370AB1">
        <w:t xml:space="preserve">Preferred option or combination </w:t>
      </w:r>
      <w:r w:rsidRPr="00C20625">
        <w:t>of options</w:t>
      </w:r>
    </w:p>
    <w:p w14:paraId="35716AA8" w14:textId="22B437CB" w:rsidR="00777542" w:rsidRPr="00330649" w:rsidRDefault="009B2614" w:rsidP="00777542">
      <w:pPr>
        <w:pStyle w:val="CaptionChart"/>
        <w:numPr>
          <w:ilvl w:val="7"/>
          <w:numId w:val="0"/>
        </w:numPr>
      </w:pPr>
      <w:r w:rsidRPr="009B2614">
        <w:t>Appendix Chart 12.3.</w:t>
      </w:r>
      <w:r>
        <w:t>5.4</w:t>
      </w:r>
      <w:r w:rsidR="00777542" w:rsidRPr="00330649">
        <w:t xml:space="preserve"> </w:t>
      </w:r>
      <w:bookmarkStart w:id="324" w:name="_Toc200656106"/>
      <w:bookmarkStart w:id="325" w:name="_Toc200657449"/>
      <w:r w:rsidR="00777542" w:rsidRPr="00330649">
        <w:t xml:space="preserve">Approved provider responses to “What is your </w:t>
      </w:r>
      <w:r w:rsidR="00B734E0">
        <w:t xml:space="preserve">preferred option or combination </w:t>
      </w:r>
      <w:r w:rsidR="00777542" w:rsidRPr="00330649">
        <w:t>of options?”</w:t>
      </w:r>
      <w:bookmarkEnd w:id="324"/>
      <w:bookmarkEnd w:id="325"/>
    </w:p>
    <w:p w14:paraId="5B157311" w14:textId="523ED9EF" w:rsidR="00777542" w:rsidRPr="00330649" w:rsidRDefault="00330649" w:rsidP="00777542">
      <w:r w:rsidRPr="00330649">
        <w:rPr>
          <w:noProof/>
          <w14:ligatures w14:val="standardContextual"/>
        </w:rPr>
        <w:drawing>
          <wp:inline distT="0" distB="0" distL="0" distR="0" wp14:anchorId="503B7CF7" wp14:editId="164686D5">
            <wp:extent cx="5837274" cy="1871330"/>
            <wp:effectExtent l="0" t="0" r="0" b="0"/>
            <wp:docPr id="2124658487" name="Chart 1" descr="Chart outlining Approved provider responses to survey question “What is your preferred option or combination of options?”">
              <a:extLst xmlns:a="http://schemas.openxmlformats.org/drawingml/2006/main">
                <a:ext uri="{FF2B5EF4-FFF2-40B4-BE49-F238E27FC236}">
                  <a16:creationId xmlns:a16="http://schemas.microsoft.com/office/drawing/2014/main" id="{304EAD85-C966-FECB-7974-22BFDEFCC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60EC2A51" w14:textId="4FE312A6" w:rsidR="00777542" w:rsidRPr="00777542" w:rsidRDefault="00777542" w:rsidP="00617D2C">
      <w:pPr>
        <w:pStyle w:val="Source-CSR"/>
        <w:rPr>
          <w:highlight w:val="yellow"/>
        </w:rPr>
      </w:pPr>
      <w:r w:rsidRPr="00330649">
        <w:t xml:space="preserve">Source: Approved provider survey, as of </w:t>
      </w:r>
      <w:r w:rsidR="00FE3CDF" w:rsidRPr="00636B94">
        <w:t>11</w:t>
      </w:r>
      <w:r w:rsidRPr="00636B94">
        <w:t xml:space="preserve"> June 2025, Q78, n=</w:t>
      </w:r>
      <w:r w:rsidR="000E00D9" w:rsidRPr="00636B94">
        <w:t>1</w:t>
      </w:r>
      <w:r w:rsidR="00330649" w:rsidRPr="00636B94">
        <w:t>30</w:t>
      </w:r>
      <w:r w:rsidRPr="00636B94">
        <w:t>. Note that no respondents selected the following combinations of options: 3 and 4, 2, 3 and 4. Note that if a respondent selected a combination of options, that selection is treated as a unique preference and not double-counted in each individual option.</w:t>
      </w:r>
    </w:p>
    <w:p w14:paraId="5F2048C7" w14:textId="38B28901" w:rsidR="00777542" w:rsidRPr="00923400" w:rsidRDefault="009B2614" w:rsidP="00777542">
      <w:pPr>
        <w:pStyle w:val="CaptionChart"/>
        <w:numPr>
          <w:ilvl w:val="7"/>
          <w:numId w:val="0"/>
        </w:numPr>
      </w:pPr>
      <w:r w:rsidRPr="009B2614">
        <w:lastRenderedPageBreak/>
        <w:t>Appendix Chart 12.3.</w:t>
      </w:r>
      <w:r>
        <w:t>5.5</w:t>
      </w:r>
      <w:r w:rsidR="00777542" w:rsidRPr="00923400">
        <w:t xml:space="preserve"> </w:t>
      </w:r>
      <w:bookmarkStart w:id="326" w:name="_Toc200656107"/>
      <w:bookmarkStart w:id="327" w:name="_Toc200657450"/>
      <w:r w:rsidR="00777542" w:rsidRPr="00923400">
        <w:t xml:space="preserve">Workforce responses to “What is your </w:t>
      </w:r>
      <w:r w:rsidR="00B734E0">
        <w:t xml:space="preserve">preferred option or combination </w:t>
      </w:r>
      <w:r w:rsidR="00777542" w:rsidRPr="00923400">
        <w:t>of options?”</w:t>
      </w:r>
      <w:bookmarkEnd w:id="326"/>
      <w:bookmarkEnd w:id="327"/>
    </w:p>
    <w:p w14:paraId="327439D9" w14:textId="79584A3D" w:rsidR="00943906" w:rsidRPr="00923400" w:rsidRDefault="00943906" w:rsidP="00777542">
      <w:pPr>
        <w:rPr>
          <w:noProof/>
          <w14:ligatures w14:val="standardContextual"/>
        </w:rPr>
      </w:pPr>
      <w:r w:rsidRPr="00923400">
        <w:rPr>
          <w:noProof/>
          <w14:ligatures w14:val="standardContextual"/>
        </w:rPr>
        <w:drawing>
          <wp:inline distT="0" distB="0" distL="0" distR="0" wp14:anchorId="4B24FE92" wp14:editId="619F1D58">
            <wp:extent cx="5727700" cy="2026310"/>
            <wp:effectExtent l="0" t="0" r="6350" b="0"/>
            <wp:docPr id="1131413177" name="Chart 1" descr="Chart outlining Workforce responses to survey question “What is your preferred option or combination of options?”">
              <a:extLst xmlns:a="http://schemas.openxmlformats.org/drawingml/2006/main">
                <a:ext uri="{FF2B5EF4-FFF2-40B4-BE49-F238E27FC236}">
                  <a16:creationId xmlns:a16="http://schemas.microsoft.com/office/drawing/2014/main" id="{E40247B0-843F-B9D2-6F6D-6F1609E9C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7494F4F3" w14:textId="32B3E7EE" w:rsidR="00777542" w:rsidRPr="00636B94" w:rsidRDefault="00777542" w:rsidP="00617D2C">
      <w:pPr>
        <w:pStyle w:val="Source-CSR"/>
      </w:pPr>
      <w:r w:rsidRPr="00923400">
        <w:t xml:space="preserve">Source: Workforce survey, as of </w:t>
      </w:r>
      <w:r w:rsidR="00943906" w:rsidRPr="00636B94">
        <w:t>11</w:t>
      </w:r>
      <w:r w:rsidRPr="00636B94">
        <w:t xml:space="preserve"> June 2025, Q78, n=</w:t>
      </w:r>
      <w:r w:rsidR="00923400" w:rsidRPr="00636B94">
        <w:t>157</w:t>
      </w:r>
      <w:r w:rsidRPr="00636B94">
        <w:t xml:space="preserve"> unique respondents. Note no respondents selected combinations 3 and 4 or 2, 3 and 4. Note that if a respondent selected a combination of options, that selection is treated as a unique preference and not double-counted in each individual option.</w:t>
      </w:r>
      <w:r w:rsidR="004870EF" w:rsidRPr="00636B94">
        <w:t xml:space="preserve"> Note that due to rounding, percentages may not add to 100%.</w:t>
      </w:r>
    </w:p>
    <w:p w14:paraId="1185F562" w14:textId="66CFB12E" w:rsidR="00777542" w:rsidRPr="00AB13BF" w:rsidRDefault="009B2614" w:rsidP="00777542">
      <w:pPr>
        <w:pStyle w:val="CaptionChart"/>
        <w:numPr>
          <w:ilvl w:val="7"/>
          <w:numId w:val="0"/>
        </w:numPr>
      </w:pPr>
      <w:r w:rsidRPr="009B2614">
        <w:t>Appendix Chart 12.3.</w:t>
      </w:r>
      <w:r>
        <w:t>5.6</w:t>
      </w:r>
      <w:r w:rsidR="00777542" w:rsidRPr="00AB13BF">
        <w:t xml:space="preserve"> </w:t>
      </w:r>
      <w:bookmarkStart w:id="328" w:name="_Toc200656108"/>
      <w:bookmarkStart w:id="329" w:name="_Toc200657451"/>
      <w:r w:rsidR="00777542" w:rsidRPr="00AB13BF">
        <w:t xml:space="preserve">Family, carer, and parent responses to “What is your </w:t>
      </w:r>
      <w:r w:rsidR="00B734E0">
        <w:t xml:space="preserve">preferred option or combination </w:t>
      </w:r>
      <w:r w:rsidR="00777542" w:rsidRPr="00AB13BF">
        <w:t>of options?”</w:t>
      </w:r>
      <w:bookmarkEnd w:id="328"/>
      <w:bookmarkEnd w:id="329"/>
    </w:p>
    <w:p w14:paraId="2823740E" w14:textId="65A3FD28" w:rsidR="00AB13BF" w:rsidRPr="00AB13BF" w:rsidRDefault="00AB13BF" w:rsidP="00777542">
      <w:pPr>
        <w:rPr>
          <w:noProof/>
          <w14:ligatures w14:val="standardContextual"/>
        </w:rPr>
      </w:pPr>
      <w:r w:rsidRPr="00AB13BF">
        <w:rPr>
          <w:noProof/>
          <w14:ligatures w14:val="standardContextual"/>
        </w:rPr>
        <w:drawing>
          <wp:inline distT="0" distB="0" distL="0" distR="0" wp14:anchorId="5F33C7E3" wp14:editId="34F898F7">
            <wp:extent cx="5727700" cy="1826260"/>
            <wp:effectExtent l="0" t="0" r="6350" b="2540"/>
            <wp:docPr id="1053704370" name="Chart 1" descr="Chart outlining Family, carer, and parent responses to survey question “What is your preferred option or combination of options?”">
              <a:extLst xmlns:a="http://schemas.openxmlformats.org/drawingml/2006/main">
                <a:ext uri="{FF2B5EF4-FFF2-40B4-BE49-F238E27FC236}">
                  <a16:creationId xmlns:a16="http://schemas.microsoft.com/office/drawing/2014/main" id="{936563CC-CBDB-EB01-E9C5-73D27DD04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6EE5C00E" w14:textId="1F11962F" w:rsidR="00F70319" w:rsidRPr="00636B94" w:rsidRDefault="00777542" w:rsidP="00617D2C">
      <w:pPr>
        <w:pStyle w:val="Source-CSR"/>
      </w:pPr>
      <w:r w:rsidRPr="00AB13BF">
        <w:t xml:space="preserve">Source: Families, carers and parents survey, as of </w:t>
      </w:r>
      <w:r w:rsidR="00FE3CDF" w:rsidRPr="00636B94">
        <w:t>11</w:t>
      </w:r>
      <w:r w:rsidRPr="00636B94">
        <w:t xml:space="preserve"> June 2025, Q78, n=</w:t>
      </w:r>
      <w:r w:rsidR="00AB13BF" w:rsidRPr="00636B94">
        <w:t>68</w:t>
      </w:r>
      <w:r w:rsidRPr="00636B94">
        <w:t>. Note that no respondents selected the following combinations of options: 3 and 4, 2, 3 and 4. Note that if a respondent selected a combination of options, that selection is treated as a unique preference and not double-counted in each individual option.</w:t>
      </w:r>
      <w:r w:rsidR="00F70319" w:rsidRPr="00636B94">
        <w:t xml:space="preserve"> Note that due to rounding, percentages may not add to 100%.</w:t>
      </w:r>
    </w:p>
    <w:p w14:paraId="5B2361AE" w14:textId="7F05DD8E" w:rsidR="00777542" w:rsidRPr="00AB13BF" w:rsidRDefault="00777542" w:rsidP="00777542"/>
    <w:p w14:paraId="77672913" w14:textId="77777777" w:rsidR="00777542" w:rsidRPr="00777542" w:rsidRDefault="00777542" w:rsidP="00777542">
      <w:pPr>
        <w:rPr>
          <w:highlight w:val="yellow"/>
        </w:rPr>
      </w:pPr>
    </w:p>
    <w:p w14:paraId="4B9FA813" w14:textId="77777777" w:rsidR="00777542" w:rsidRPr="00923400" w:rsidRDefault="00777542" w:rsidP="00777542">
      <w:pPr>
        <w:pStyle w:val="Heading4un-numbered"/>
      </w:pPr>
      <w:r w:rsidRPr="00923400">
        <w:lastRenderedPageBreak/>
        <w:t>Requiring approved providers to assess not just the FDC residence, but areas near the residence – Reduction of the risk of harm</w:t>
      </w:r>
    </w:p>
    <w:p w14:paraId="1128D741" w14:textId="35BD8F96" w:rsidR="007B4D62" w:rsidRPr="00F64B5C" w:rsidRDefault="007B4D62" w:rsidP="007B4D62">
      <w:pPr>
        <w:pStyle w:val="CaptionChart"/>
      </w:pPr>
      <w:r>
        <w:t>Appendix Chart 12.3.</w:t>
      </w:r>
      <w:r w:rsidR="009B2614">
        <w:t>5.7</w:t>
      </w:r>
      <w:r w:rsidR="00777542" w:rsidRPr="00CF5BF9">
        <w:t xml:space="preserve"> </w:t>
      </w:r>
      <w:bookmarkStart w:id="330" w:name="_Toc200656109"/>
      <w:bookmarkStart w:id="331" w:name="_Toc200657452"/>
      <w:r w:rsidR="00777542" w:rsidRPr="00CF5BF9">
        <w:t>Approved provider responses to “How much do you think each option will reduce the risk of harm to children?”</w:t>
      </w:r>
    </w:p>
    <w:bookmarkEnd w:id="330"/>
    <w:bookmarkEnd w:id="331"/>
    <w:p w14:paraId="5DE50316" w14:textId="50B3274D" w:rsidR="00777542" w:rsidRPr="00CF5BF9" w:rsidRDefault="00CF5BF9" w:rsidP="00777542">
      <w:pPr>
        <w:pStyle w:val="Source"/>
      </w:pPr>
      <w:r w:rsidRPr="00CF5BF9">
        <w:rPr>
          <w:noProof/>
          <w14:ligatures w14:val="standardContextual"/>
        </w:rPr>
        <w:drawing>
          <wp:inline distT="0" distB="0" distL="0" distR="0" wp14:anchorId="03F78C45" wp14:editId="39C9742D">
            <wp:extent cx="5727700" cy="2765425"/>
            <wp:effectExtent l="0" t="0" r="6350" b="0"/>
            <wp:docPr id="418597827" name="Chart 1" descr="Chart outlining Approved provider responses to survey question “How much do you think each option will reduce the risk of harm to children?”">
              <a:extLst xmlns:a="http://schemas.openxmlformats.org/drawingml/2006/main">
                <a:ext uri="{FF2B5EF4-FFF2-40B4-BE49-F238E27FC236}">
                  <a16:creationId xmlns:a16="http://schemas.microsoft.com/office/drawing/2014/main" id="{24CF7F50-2C71-DEF2-A07A-1DC9AE18F2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35B45868" w14:textId="48CD31C3" w:rsidR="00777542" w:rsidRPr="00CF5BF9" w:rsidRDefault="00777542" w:rsidP="00777542">
      <w:pPr>
        <w:pStyle w:val="Source"/>
      </w:pPr>
      <w:r w:rsidRPr="00CF5BF9">
        <w:t xml:space="preserve">Source: Approved provider survey, as of </w:t>
      </w:r>
      <w:r w:rsidR="00FE3CDF">
        <w:t>11</w:t>
      </w:r>
      <w:r w:rsidRPr="00CF5BF9">
        <w:t xml:space="preserve"> June 2025, Q89, option 1 n=</w:t>
      </w:r>
      <w:r w:rsidR="00CF5BF9" w:rsidRPr="00CF5BF9">
        <w:t>10</w:t>
      </w:r>
      <w:r w:rsidR="00F70319">
        <w:t>5</w:t>
      </w:r>
      <w:r w:rsidRPr="00CF5BF9">
        <w:t>, option 2 n=</w:t>
      </w:r>
      <w:r w:rsidR="00CF5BF9" w:rsidRPr="00CF5BF9">
        <w:t>102</w:t>
      </w:r>
      <w:r w:rsidRPr="00CF5BF9">
        <w:t>, option 3 n=</w:t>
      </w:r>
      <w:r w:rsidR="00CF5BF9" w:rsidRPr="00CF5BF9">
        <w:t>99</w:t>
      </w:r>
      <w:r w:rsidRPr="00CF5BF9">
        <w:t>, option 4 n=</w:t>
      </w:r>
      <w:r w:rsidR="00CF5BF9" w:rsidRPr="00CF5BF9">
        <w:t>99</w:t>
      </w:r>
      <w:r w:rsidRPr="00CF5BF9">
        <w:t>.</w:t>
      </w:r>
    </w:p>
    <w:p w14:paraId="5D7A7B39" w14:textId="172E778D" w:rsidR="00E57169" w:rsidRPr="00DA4F42" w:rsidRDefault="00E57169" w:rsidP="00E57169">
      <w:pPr>
        <w:pStyle w:val="CaptionChart"/>
        <w:numPr>
          <w:ilvl w:val="7"/>
          <w:numId w:val="0"/>
        </w:numPr>
      </w:pPr>
      <w:r>
        <w:t>Appendix Chart 12.3.</w:t>
      </w:r>
      <w:r w:rsidR="009B2614">
        <w:t>5.8</w:t>
      </w:r>
      <w:r>
        <w:t xml:space="preserve"> </w:t>
      </w:r>
      <w:bookmarkStart w:id="332" w:name="_Toc200656110"/>
      <w:bookmarkStart w:id="333" w:name="_Toc200657453"/>
      <w:r w:rsidR="00777542" w:rsidRPr="00923400">
        <w:t>Workforce responses to “How much do you think each option will reduce the risk of harm to children?”</w:t>
      </w:r>
    </w:p>
    <w:bookmarkEnd w:id="332"/>
    <w:bookmarkEnd w:id="333"/>
    <w:p w14:paraId="2264C8E1" w14:textId="111C0581" w:rsidR="00777542" w:rsidRPr="00777542" w:rsidRDefault="00FC275D" w:rsidP="00777542">
      <w:pPr>
        <w:pStyle w:val="Source"/>
        <w:rPr>
          <w:highlight w:val="yellow"/>
        </w:rPr>
      </w:pPr>
      <w:r>
        <w:rPr>
          <w:noProof/>
          <w14:ligatures w14:val="standardContextual"/>
        </w:rPr>
        <w:drawing>
          <wp:inline distT="0" distB="0" distL="0" distR="0" wp14:anchorId="7B0BEFF7" wp14:editId="46DB8F9F">
            <wp:extent cx="5427878" cy="2699309"/>
            <wp:effectExtent l="0" t="0" r="1905" b="6350"/>
            <wp:docPr id="161203248" name="Chart 1" descr="Chart outlining Workforce responses to survey question “How much do you think each option will reduce the risk of harm to children?”">
              <a:extLst xmlns:a="http://schemas.openxmlformats.org/drawingml/2006/main">
                <a:ext uri="{FF2B5EF4-FFF2-40B4-BE49-F238E27FC236}">
                  <a16:creationId xmlns:a16="http://schemas.microsoft.com/office/drawing/2014/main" id="{F736F1D9-8D81-88AB-0129-5226EBCC4A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0F7B1E62" w14:textId="0A5C88F6" w:rsidR="00777542" w:rsidRPr="00FC275D" w:rsidRDefault="00777542" w:rsidP="00777542">
      <w:pPr>
        <w:pStyle w:val="Source"/>
      </w:pPr>
      <w:r w:rsidRPr="00FC275D">
        <w:t xml:space="preserve">Source: Workforce survey, as of </w:t>
      </w:r>
      <w:r w:rsidR="00FC275D">
        <w:t>11</w:t>
      </w:r>
      <w:r w:rsidRPr="00FC275D">
        <w:t xml:space="preserve"> June 2025, Q85, option 1 n=</w:t>
      </w:r>
      <w:r w:rsidR="00FC275D">
        <w:t>189</w:t>
      </w:r>
      <w:r w:rsidRPr="00FC275D">
        <w:t>, option 2 n=</w:t>
      </w:r>
      <w:r w:rsidR="00FC275D">
        <w:t>182</w:t>
      </w:r>
      <w:r w:rsidRPr="00FC275D">
        <w:t>, option 3 n=</w:t>
      </w:r>
      <w:r w:rsidR="00FC275D">
        <w:t>178</w:t>
      </w:r>
      <w:r w:rsidRPr="00FC275D">
        <w:t>, option 4 n=</w:t>
      </w:r>
      <w:r w:rsidR="00FC275D">
        <w:t>179</w:t>
      </w:r>
      <w:r w:rsidRPr="00FC275D">
        <w:t>.</w:t>
      </w:r>
    </w:p>
    <w:p w14:paraId="0BCE79EC" w14:textId="1D92B8A3" w:rsidR="00E57169" w:rsidRPr="00CE6754" w:rsidRDefault="00E57169" w:rsidP="00E57169">
      <w:pPr>
        <w:pStyle w:val="CaptionChart"/>
        <w:numPr>
          <w:ilvl w:val="7"/>
          <w:numId w:val="0"/>
        </w:numPr>
      </w:pPr>
      <w:r>
        <w:lastRenderedPageBreak/>
        <w:t>Appendix Chart 12.3.</w:t>
      </w:r>
      <w:r w:rsidR="0022734A">
        <w:t>5.9</w:t>
      </w:r>
      <w:r>
        <w:t xml:space="preserve"> </w:t>
      </w:r>
      <w:r w:rsidRPr="00CE6754">
        <w:t>Family, carer and parent responses to “How much do you think each option will reduce the risk of harm to children?”</w:t>
      </w:r>
    </w:p>
    <w:p w14:paraId="72AADFC3" w14:textId="1F1E61B9" w:rsidR="00777542" w:rsidRPr="00AB13BF" w:rsidRDefault="00AB13BF" w:rsidP="00777542">
      <w:pPr>
        <w:pStyle w:val="Source"/>
      </w:pPr>
      <w:r w:rsidRPr="00AB13BF">
        <w:rPr>
          <w:noProof/>
          <w14:ligatures w14:val="standardContextual"/>
        </w:rPr>
        <w:drawing>
          <wp:inline distT="0" distB="0" distL="0" distR="0" wp14:anchorId="6B97B3F2" wp14:editId="34C78F80">
            <wp:extent cx="5699051" cy="2966484"/>
            <wp:effectExtent l="0" t="0" r="0" b="5715"/>
            <wp:docPr id="658778816" name="Chart 1" descr="Chart outlining Family, carer and parent responses to survey question “How much do you think each option will reduce the risk of harm to children?”">
              <a:extLst xmlns:a="http://schemas.openxmlformats.org/drawingml/2006/main">
                <a:ext uri="{FF2B5EF4-FFF2-40B4-BE49-F238E27FC236}">
                  <a16:creationId xmlns:a16="http://schemas.microsoft.com/office/drawing/2014/main" id="{431A7455-BA69-1AEE-DC3A-68D5A90B1C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205741E4" w14:textId="38D8BA7E" w:rsidR="00777542" w:rsidRPr="00AB13BF" w:rsidRDefault="00777542" w:rsidP="00777542">
      <w:pPr>
        <w:pStyle w:val="Source"/>
      </w:pPr>
      <w:r w:rsidRPr="00AB13BF">
        <w:t xml:space="preserve">Source: Families, carers and parents survey, as of </w:t>
      </w:r>
      <w:r w:rsidR="00FE3CDF">
        <w:t>11</w:t>
      </w:r>
      <w:r w:rsidRPr="00AB13BF">
        <w:t xml:space="preserve"> June 2025, Q89, option 1 n=</w:t>
      </w:r>
      <w:r w:rsidR="00EA3603">
        <w:t>76</w:t>
      </w:r>
      <w:r w:rsidRPr="00AB13BF">
        <w:t>, option 2 n=</w:t>
      </w:r>
      <w:r w:rsidR="00EA3603">
        <w:t>75</w:t>
      </w:r>
      <w:r w:rsidRPr="00AB13BF">
        <w:t>, option 3 n=</w:t>
      </w:r>
      <w:r w:rsidR="00EA3603">
        <w:t>74</w:t>
      </w:r>
      <w:r w:rsidRPr="00AB13BF">
        <w:t>, option 4 n=</w:t>
      </w:r>
      <w:r w:rsidR="00EA3603">
        <w:t>73</w:t>
      </w:r>
      <w:r w:rsidRPr="00AB13BF">
        <w:t>.</w:t>
      </w:r>
    </w:p>
    <w:p w14:paraId="4E878532" w14:textId="6FD3ABD1" w:rsidR="00777542" w:rsidRPr="00FC275D" w:rsidRDefault="00777542" w:rsidP="00777542">
      <w:pPr>
        <w:pStyle w:val="Heading4un-numbered"/>
      </w:pPr>
      <w:r w:rsidRPr="00FC275D">
        <w:t xml:space="preserve">Requiring approved providers to assess not just the FDC residence, but areas near the residence – </w:t>
      </w:r>
      <w:r w:rsidR="00370AB1">
        <w:t xml:space="preserve">Preferred option or combination </w:t>
      </w:r>
      <w:r w:rsidRPr="00FC275D">
        <w:t>of options</w:t>
      </w:r>
    </w:p>
    <w:p w14:paraId="400D9FF0" w14:textId="33ED9D14" w:rsidR="00777542" w:rsidRPr="00DA4DE0" w:rsidRDefault="0022734A" w:rsidP="00777542">
      <w:pPr>
        <w:pStyle w:val="CaptionChart"/>
        <w:numPr>
          <w:ilvl w:val="7"/>
          <w:numId w:val="0"/>
        </w:numPr>
      </w:pPr>
      <w:r w:rsidRPr="0022734A">
        <w:t>Appendix Chart 12.3.</w:t>
      </w:r>
      <w:r>
        <w:t>5.10</w:t>
      </w:r>
      <w:r w:rsidR="00777542" w:rsidRPr="00DA4DE0">
        <w:t xml:space="preserve"> </w:t>
      </w:r>
      <w:bookmarkStart w:id="334" w:name="_Toc200656112"/>
      <w:bookmarkStart w:id="335" w:name="_Toc200657455"/>
      <w:r w:rsidR="00777542" w:rsidRPr="00DA4DE0">
        <w:t xml:space="preserve">Approved provider responses to “What is your </w:t>
      </w:r>
      <w:r w:rsidR="00B734E0">
        <w:t xml:space="preserve">preferred option or combination </w:t>
      </w:r>
      <w:r w:rsidR="00777542" w:rsidRPr="00DA4DE0">
        <w:t>of options?”</w:t>
      </w:r>
      <w:bookmarkEnd w:id="334"/>
      <w:bookmarkEnd w:id="335"/>
    </w:p>
    <w:p w14:paraId="65BD8CAE" w14:textId="6C7933D6" w:rsidR="00777542" w:rsidRPr="00DA4DE0" w:rsidRDefault="00DA4DE0" w:rsidP="00777542">
      <w:r w:rsidRPr="00DA4DE0">
        <w:rPr>
          <w:noProof/>
          <w14:ligatures w14:val="standardContextual"/>
        </w:rPr>
        <w:drawing>
          <wp:inline distT="0" distB="0" distL="0" distR="0" wp14:anchorId="00C69B0C" wp14:editId="71B9BD70">
            <wp:extent cx="5727700" cy="2062716"/>
            <wp:effectExtent l="0" t="0" r="6350" b="0"/>
            <wp:docPr id="1675599849" name="Chart 1" descr="Chart outlining Approved provider responses to survey question “What is your preferred option or combination of options?”">
              <a:extLst xmlns:a="http://schemas.openxmlformats.org/drawingml/2006/main">
                <a:ext uri="{FF2B5EF4-FFF2-40B4-BE49-F238E27FC236}">
                  <a16:creationId xmlns:a16="http://schemas.microsoft.com/office/drawing/2014/main" id="{252E3727-6CE7-EC9A-FC36-15603E1338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54F31DA7" w14:textId="6A92A4B4" w:rsidR="00F70319" w:rsidRPr="00636B94" w:rsidRDefault="00777542" w:rsidP="00867F1A">
      <w:pPr>
        <w:pStyle w:val="Source-CSR"/>
      </w:pPr>
      <w:r w:rsidRPr="00DA4DE0">
        <w:t xml:space="preserve">Source: Approved provider survey, as of </w:t>
      </w:r>
      <w:r w:rsidR="00FE3CDF" w:rsidRPr="00636B94">
        <w:t>11</w:t>
      </w:r>
      <w:r w:rsidRPr="00636B94">
        <w:t xml:space="preserve"> June 2025, Q87, n=</w:t>
      </w:r>
      <w:r w:rsidR="00DA4DE0" w:rsidRPr="00636B94">
        <w:t>101</w:t>
      </w:r>
      <w:r w:rsidRPr="00636B94">
        <w:t xml:space="preserve"> unique respondents. Note that if a respondent selected a combination of options, that selection is treated as a unique preference and not double-counted in each individual option.</w:t>
      </w:r>
      <w:r w:rsidR="00F70319" w:rsidRPr="00636B94">
        <w:t xml:space="preserve"> Note that due to rounding, percentages may not add to 100%.</w:t>
      </w:r>
    </w:p>
    <w:p w14:paraId="33CAEEE4" w14:textId="0DC57127" w:rsidR="00777542" w:rsidRPr="00DA4DE0" w:rsidRDefault="00777542" w:rsidP="00777542"/>
    <w:p w14:paraId="0B3B6817" w14:textId="1D8AEE1D" w:rsidR="00777542" w:rsidRPr="00FC275D" w:rsidRDefault="0022734A" w:rsidP="00777542">
      <w:pPr>
        <w:pStyle w:val="CaptionChart"/>
        <w:numPr>
          <w:ilvl w:val="7"/>
          <w:numId w:val="0"/>
        </w:numPr>
      </w:pPr>
      <w:r w:rsidRPr="0022734A">
        <w:lastRenderedPageBreak/>
        <w:t>Appendix Chart 12.3.</w:t>
      </w:r>
      <w:r>
        <w:t>5.11</w:t>
      </w:r>
      <w:r w:rsidR="00777542" w:rsidRPr="00FC275D">
        <w:t xml:space="preserve"> </w:t>
      </w:r>
      <w:bookmarkStart w:id="336" w:name="_Toc200656113"/>
      <w:bookmarkStart w:id="337" w:name="_Toc200657456"/>
      <w:r w:rsidR="00777542" w:rsidRPr="00FC275D">
        <w:t xml:space="preserve">Workforce responses to “What is your </w:t>
      </w:r>
      <w:r w:rsidR="00B734E0">
        <w:t xml:space="preserve">preferred option or combination </w:t>
      </w:r>
      <w:r w:rsidR="00777542" w:rsidRPr="00FC275D">
        <w:t>of options?”</w:t>
      </w:r>
      <w:bookmarkEnd w:id="336"/>
      <w:bookmarkEnd w:id="337"/>
    </w:p>
    <w:p w14:paraId="7B2A8B90" w14:textId="5CE880C4" w:rsidR="00BF6911" w:rsidRDefault="00BF6911" w:rsidP="00777542">
      <w:pPr>
        <w:rPr>
          <w:noProof/>
          <w:color w:val="FFFFFF" w:themeColor="background1"/>
          <w:highlight w:val="yellow"/>
          <w14:ligatures w14:val="standardContextual"/>
        </w:rPr>
      </w:pPr>
      <w:r>
        <w:rPr>
          <w:noProof/>
          <w14:ligatures w14:val="standardContextual"/>
        </w:rPr>
        <w:drawing>
          <wp:inline distT="0" distB="0" distL="0" distR="0" wp14:anchorId="5EA0CA20" wp14:editId="6BD3D2B3">
            <wp:extent cx="5727700" cy="2129155"/>
            <wp:effectExtent l="0" t="0" r="6350" b="4445"/>
            <wp:docPr id="753260433" name="Chart 1" descr="Chart outlining Workforce responses to survey question “What is your preferred option or combination of options?”">
              <a:extLst xmlns:a="http://schemas.openxmlformats.org/drawingml/2006/main">
                <a:ext uri="{FF2B5EF4-FFF2-40B4-BE49-F238E27FC236}">
                  <a16:creationId xmlns:a16="http://schemas.microsoft.com/office/drawing/2014/main" id="{75329010-6228-E721-60FB-A9B53918F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0114E3DF" w14:textId="6F0372DC" w:rsidR="00777542" w:rsidRPr="00636B94" w:rsidRDefault="00777542" w:rsidP="00867F1A">
      <w:pPr>
        <w:pStyle w:val="Source-CSR"/>
      </w:pPr>
      <w:r w:rsidRPr="00BF6911">
        <w:t xml:space="preserve">Source: Workforce survey, as of </w:t>
      </w:r>
      <w:r w:rsidR="00FC275D" w:rsidRPr="00636B94">
        <w:t>11</w:t>
      </w:r>
      <w:r w:rsidRPr="00636B94">
        <w:t xml:space="preserve"> June 2025, Q87, n=</w:t>
      </w:r>
      <w:r w:rsidR="00BF6911" w:rsidRPr="00636B94">
        <w:t>169</w:t>
      </w:r>
      <w:r w:rsidRPr="00636B94">
        <w:t>. Note that if a respondent selected a combination of options, that selection is treated as a unique preference and not double-counted in each individual option.</w:t>
      </w:r>
      <w:r w:rsidR="00F70319" w:rsidRPr="00636B94">
        <w:t xml:space="preserve"> Note that due to rounding, percentages may not add to 100%.</w:t>
      </w:r>
    </w:p>
    <w:p w14:paraId="19768741" w14:textId="5257EAA4" w:rsidR="00777542" w:rsidRPr="00EA3603" w:rsidRDefault="0022734A" w:rsidP="00777542">
      <w:pPr>
        <w:pStyle w:val="CaptionChart"/>
        <w:numPr>
          <w:ilvl w:val="7"/>
          <w:numId w:val="0"/>
        </w:numPr>
      </w:pPr>
      <w:r w:rsidRPr="0022734A">
        <w:t>Appendix Chart 12.3.</w:t>
      </w:r>
      <w:r>
        <w:t xml:space="preserve">5.12 </w:t>
      </w:r>
      <w:bookmarkStart w:id="338" w:name="_Toc200656114"/>
      <w:bookmarkStart w:id="339" w:name="_Toc200657457"/>
      <w:r w:rsidR="00777542" w:rsidRPr="00EA3603">
        <w:t xml:space="preserve">Family, carer, and parent responses to “What is your </w:t>
      </w:r>
      <w:r w:rsidR="00B734E0">
        <w:t xml:space="preserve">preferred option or combination </w:t>
      </w:r>
      <w:r w:rsidR="00777542" w:rsidRPr="00EA3603">
        <w:t>of options?”</w:t>
      </w:r>
      <w:bookmarkEnd w:id="338"/>
      <w:bookmarkEnd w:id="339"/>
    </w:p>
    <w:p w14:paraId="62CB45F8" w14:textId="6A7D0AF1" w:rsidR="00EA3603" w:rsidRPr="00EA3603" w:rsidRDefault="00EA3603" w:rsidP="00777542">
      <w:pPr>
        <w:rPr>
          <w:noProof/>
          <w14:ligatures w14:val="standardContextual"/>
        </w:rPr>
      </w:pPr>
      <w:r w:rsidRPr="00EA3603">
        <w:rPr>
          <w:noProof/>
          <w14:ligatures w14:val="standardContextual"/>
        </w:rPr>
        <w:drawing>
          <wp:inline distT="0" distB="0" distL="0" distR="0" wp14:anchorId="5A19B88F" wp14:editId="502EC48B">
            <wp:extent cx="5773479" cy="2105247"/>
            <wp:effectExtent l="0" t="0" r="0" b="0"/>
            <wp:docPr id="766559680" name="Chart 1" descr="Chart outlining Family, carer, and parent responses to survey question “What is your preferred option or combination of options?”">
              <a:extLst xmlns:a="http://schemas.openxmlformats.org/drawingml/2006/main">
                <a:ext uri="{FF2B5EF4-FFF2-40B4-BE49-F238E27FC236}">
                  <a16:creationId xmlns:a16="http://schemas.microsoft.com/office/drawing/2014/main" id="{66CDEC7D-B67B-30F5-3C9E-59CAFDCB0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C6427FB" w14:textId="31C4CBF6" w:rsidR="00F70319" w:rsidRPr="00636B94" w:rsidRDefault="00777542" w:rsidP="00867F1A">
      <w:pPr>
        <w:pStyle w:val="Source-CSR"/>
      </w:pPr>
      <w:r w:rsidRPr="00EA3603">
        <w:t xml:space="preserve">Source: Families, carers and parents survey, as of </w:t>
      </w:r>
      <w:r w:rsidR="00386624" w:rsidRPr="00636B94">
        <w:t>11</w:t>
      </w:r>
      <w:r w:rsidRPr="00636B94">
        <w:t xml:space="preserve"> June 2025, Q87, n=</w:t>
      </w:r>
      <w:r w:rsidR="00EA3603" w:rsidRPr="00636B94">
        <w:t>74</w:t>
      </w:r>
      <w:r w:rsidRPr="00636B94">
        <w:t>. Note that if a respondent selected a combination of options, that selection is treated as a unique preference and not double-counted in each individual option.</w:t>
      </w:r>
      <w:r w:rsidR="00F70319" w:rsidRPr="00636B94">
        <w:t xml:space="preserve"> Note that due to rounding, percentages may not add to 100%.</w:t>
      </w:r>
    </w:p>
    <w:p w14:paraId="732F86A7" w14:textId="295EB7FA" w:rsidR="00777542" w:rsidRPr="00EA3603" w:rsidRDefault="00777542" w:rsidP="00777542"/>
    <w:p w14:paraId="014DA94C" w14:textId="77777777" w:rsidR="00777542" w:rsidRPr="00777542" w:rsidRDefault="00777542" w:rsidP="00777542">
      <w:pPr>
        <w:rPr>
          <w:highlight w:val="yellow"/>
        </w:rPr>
      </w:pPr>
    </w:p>
    <w:p w14:paraId="1B6484C8" w14:textId="77777777" w:rsidR="00777542" w:rsidRPr="00777542" w:rsidRDefault="00777542" w:rsidP="00777542">
      <w:pPr>
        <w:spacing w:after="160" w:line="259" w:lineRule="auto"/>
        <w:rPr>
          <w:rFonts w:eastAsiaTheme="majorEastAsia" w:cstheme="majorBidi"/>
          <w:b/>
          <w:bCs/>
          <w:i/>
          <w:iCs/>
          <w:color w:val="006B77" w:themeColor="background2"/>
          <w:highlight w:val="yellow"/>
        </w:rPr>
      </w:pPr>
      <w:r w:rsidRPr="00777542">
        <w:rPr>
          <w:highlight w:val="yellow"/>
        </w:rPr>
        <w:br w:type="page"/>
      </w:r>
    </w:p>
    <w:p w14:paraId="7A469AA9" w14:textId="77777777" w:rsidR="00777542" w:rsidRPr="00BF6911" w:rsidRDefault="00777542" w:rsidP="00777542">
      <w:pPr>
        <w:pStyle w:val="Heading4un-numbered"/>
      </w:pPr>
      <w:r w:rsidRPr="00BF6911">
        <w:lastRenderedPageBreak/>
        <w:t>Enabling authorised officers to access a FDC residence or property, beyond the service premises, in specific instances or for specific purposes – Reduction of the risk of harm</w:t>
      </w:r>
    </w:p>
    <w:p w14:paraId="0F2825C9" w14:textId="66B2CED5" w:rsidR="007B4D62" w:rsidRPr="00F64B5C" w:rsidRDefault="007B4D62" w:rsidP="007B4D62">
      <w:pPr>
        <w:pStyle w:val="CaptionChart"/>
      </w:pPr>
      <w:r>
        <w:t>Appendix Chart 12.3.</w:t>
      </w:r>
      <w:r w:rsidR="0022734A">
        <w:t>5</w:t>
      </w:r>
      <w:r>
        <w:t>.1</w:t>
      </w:r>
      <w:r w:rsidR="003B2761">
        <w:t>3</w:t>
      </w:r>
      <w:r w:rsidR="00777542" w:rsidRPr="00540DEC">
        <w:t xml:space="preserve"> </w:t>
      </w:r>
      <w:bookmarkStart w:id="340" w:name="_Toc200656115"/>
      <w:bookmarkStart w:id="341" w:name="_Toc200657458"/>
      <w:r w:rsidR="00777542" w:rsidRPr="00540DEC">
        <w:t>Approved provider responses to “How much do you think each option will reduce the risk of harm to children?”</w:t>
      </w:r>
    </w:p>
    <w:bookmarkEnd w:id="340"/>
    <w:bookmarkEnd w:id="341"/>
    <w:p w14:paraId="2E846BD0" w14:textId="48CA7CE0" w:rsidR="00777542" w:rsidRPr="00540DEC" w:rsidRDefault="00540DEC" w:rsidP="00777542">
      <w:pPr>
        <w:pStyle w:val="Source"/>
      </w:pPr>
      <w:r w:rsidRPr="00540DEC">
        <w:rPr>
          <w:noProof/>
          <w14:ligatures w14:val="standardContextual"/>
        </w:rPr>
        <w:drawing>
          <wp:inline distT="0" distB="0" distL="0" distR="0" wp14:anchorId="1B258C59" wp14:editId="5233DFF5">
            <wp:extent cx="5560828" cy="2806996"/>
            <wp:effectExtent l="0" t="0" r="1905" b="0"/>
            <wp:docPr id="1410010290" name="Chart 1" descr="Chart outlining Approved provider responses to survey question “How much do you think each option will reduce the risk of harm to children?”">
              <a:extLst xmlns:a="http://schemas.openxmlformats.org/drawingml/2006/main">
                <a:ext uri="{FF2B5EF4-FFF2-40B4-BE49-F238E27FC236}">
                  <a16:creationId xmlns:a16="http://schemas.microsoft.com/office/drawing/2014/main" id="{4721613B-DBAB-A339-2FC7-10AF64551F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2928DB7D" w14:textId="73812F65" w:rsidR="00777542" w:rsidRPr="00540DEC" w:rsidRDefault="00777542" w:rsidP="00777542">
      <w:pPr>
        <w:pStyle w:val="Source"/>
      </w:pPr>
      <w:r w:rsidRPr="00540DEC">
        <w:t xml:space="preserve">Source: Approved provider survey, as of </w:t>
      </w:r>
      <w:r w:rsidR="00386624">
        <w:t>11</w:t>
      </w:r>
      <w:r w:rsidRPr="00540DEC">
        <w:t xml:space="preserve"> June 2025, Q98, option 1 n=</w:t>
      </w:r>
      <w:r w:rsidR="00540DEC">
        <w:t>100</w:t>
      </w:r>
      <w:r w:rsidRPr="00540DEC">
        <w:t>, option 2 n=</w:t>
      </w:r>
      <w:r w:rsidR="00540DEC">
        <w:t>98</w:t>
      </w:r>
      <w:r w:rsidRPr="00540DEC">
        <w:t>, option 3 n=</w:t>
      </w:r>
      <w:r w:rsidR="00540DEC">
        <w:t>97</w:t>
      </w:r>
      <w:r w:rsidRPr="00540DEC">
        <w:t>.</w:t>
      </w:r>
    </w:p>
    <w:p w14:paraId="0DDA1A1A" w14:textId="20996488" w:rsidR="00E57169" w:rsidRPr="00DA4F42" w:rsidRDefault="00E57169" w:rsidP="00E57169">
      <w:pPr>
        <w:pStyle w:val="CaptionChart"/>
        <w:numPr>
          <w:ilvl w:val="7"/>
          <w:numId w:val="0"/>
        </w:numPr>
      </w:pPr>
      <w:r>
        <w:t>Appendix Chart 12.3.</w:t>
      </w:r>
      <w:r w:rsidR="003B2761">
        <w:t>5.14</w:t>
      </w:r>
      <w:r w:rsidR="00777542" w:rsidRPr="00BF6911">
        <w:t xml:space="preserve"> </w:t>
      </w:r>
      <w:bookmarkStart w:id="342" w:name="_Toc200656116"/>
      <w:bookmarkStart w:id="343" w:name="_Toc200657459"/>
      <w:r w:rsidR="00777542" w:rsidRPr="00BF6911">
        <w:t>Workforce responses to “How much do you think each option will reduce the risk of harm to children?”</w:t>
      </w:r>
    </w:p>
    <w:bookmarkEnd w:id="342"/>
    <w:bookmarkEnd w:id="343"/>
    <w:p w14:paraId="0266EFE9" w14:textId="134D5C8C" w:rsidR="00777542" w:rsidRPr="0091290E" w:rsidRDefault="0091290E" w:rsidP="00777542">
      <w:pPr>
        <w:pStyle w:val="Source"/>
      </w:pPr>
      <w:r w:rsidRPr="0091290E">
        <w:rPr>
          <w:noProof/>
          <w14:ligatures w14:val="standardContextual"/>
        </w:rPr>
        <w:drawing>
          <wp:inline distT="0" distB="0" distL="0" distR="0" wp14:anchorId="19E4225B" wp14:editId="7270888E">
            <wp:extent cx="5413248" cy="2172614"/>
            <wp:effectExtent l="0" t="0" r="0" b="0"/>
            <wp:docPr id="1597635932" name="Chart 1" descr="Chart outlining Workforce responses to survey question “How much do you think each option will reduce the risk of harm to children?”">
              <a:extLst xmlns:a="http://schemas.openxmlformats.org/drawingml/2006/main">
                <a:ext uri="{FF2B5EF4-FFF2-40B4-BE49-F238E27FC236}">
                  <a16:creationId xmlns:a16="http://schemas.microsoft.com/office/drawing/2014/main" id="{5380E08C-307B-4C7A-2927-137D8465A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420E5FB3" w14:textId="4C0094C7" w:rsidR="00777542" w:rsidRPr="0091290E" w:rsidRDefault="00777542" w:rsidP="00777542">
      <w:pPr>
        <w:pStyle w:val="Source"/>
      </w:pPr>
      <w:r w:rsidRPr="0091290E">
        <w:t xml:space="preserve">Source: Workforce survey, as of </w:t>
      </w:r>
      <w:r w:rsidR="0091290E" w:rsidRPr="0091290E">
        <w:t>11</w:t>
      </w:r>
      <w:r w:rsidRPr="0091290E">
        <w:t xml:space="preserve"> June 2025, Q94, option 1 n=</w:t>
      </w:r>
      <w:r w:rsidR="0091290E" w:rsidRPr="0091290E">
        <w:t>179</w:t>
      </w:r>
      <w:r w:rsidRPr="0091290E">
        <w:t>, option 2 n=</w:t>
      </w:r>
      <w:r w:rsidR="0091290E" w:rsidRPr="0091290E">
        <w:t>1</w:t>
      </w:r>
      <w:r w:rsidRPr="0091290E">
        <w:t>72, option 3 n=</w:t>
      </w:r>
      <w:r w:rsidR="0091290E" w:rsidRPr="0091290E">
        <w:t>168</w:t>
      </w:r>
      <w:r w:rsidRPr="0091290E">
        <w:t>.</w:t>
      </w:r>
    </w:p>
    <w:p w14:paraId="54214330" w14:textId="15FB1ED9" w:rsidR="00E57169" w:rsidRPr="00CE6754" w:rsidRDefault="00E57169" w:rsidP="00E57169">
      <w:pPr>
        <w:pStyle w:val="CaptionChart"/>
        <w:numPr>
          <w:ilvl w:val="7"/>
          <w:numId w:val="0"/>
        </w:numPr>
      </w:pPr>
      <w:r>
        <w:lastRenderedPageBreak/>
        <w:t>Appendix Chart 12.3.</w:t>
      </w:r>
      <w:r w:rsidR="003B2761">
        <w:t>5</w:t>
      </w:r>
      <w:r>
        <w:t>.</w:t>
      </w:r>
      <w:r w:rsidR="003B2761">
        <w:t>15</w:t>
      </w:r>
      <w:r>
        <w:t xml:space="preserve"> </w:t>
      </w:r>
      <w:r w:rsidRPr="00CE6754">
        <w:t>Family, carer and parent responses to “How much do you think each option will reduce the risk of harm to children?”</w:t>
      </w:r>
    </w:p>
    <w:p w14:paraId="36DD2C9A" w14:textId="100D4057" w:rsidR="00777542" w:rsidRPr="008E7DE7" w:rsidRDefault="008E7DE7" w:rsidP="00777542">
      <w:pPr>
        <w:pStyle w:val="Source"/>
      </w:pPr>
      <w:r w:rsidRPr="008E7DE7">
        <w:rPr>
          <w:noProof/>
          <w14:ligatures w14:val="standardContextual"/>
        </w:rPr>
        <w:drawing>
          <wp:inline distT="0" distB="0" distL="0" distR="0" wp14:anchorId="676A1641" wp14:editId="5E1EA559">
            <wp:extent cx="5635256" cy="2668772"/>
            <wp:effectExtent l="0" t="0" r="3810" b="0"/>
            <wp:docPr id="1170660986" name="Chart 1" descr="Chart outlining Family, carer and parent responses to survey question “How much do you think each option will reduce the risk of harm to children?”">
              <a:extLst xmlns:a="http://schemas.openxmlformats.org/drawingml/2006/main">
                <a:ext uri="{FF2B5EF4-FFF2-40B4-BE49-F238E27FC236}">
                  <a16:creationId xmlns:a16="http://schemas.microsoft.com/office/drawing/2014/main" id="{E0603189-6122-0586-9AF5-E315FB73E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5E04DA6C" w14:textId="1EEC61A6" w:rsidR="00777542" w:rsidRPr="008E7DE7" w:rsidRDefault="00777542" w:rsidP="00777542">
      <w:pPr>
        <w:pStyle w:val="Source"/>
      </w:pPr>
      <w:r w:rsidRPr="008E7DE7">
        <w:t xml:space="preserve">Source: Families, carers and parents survey, as of </w:t>
      </w:r>
      <w:r w:rsidR="00386624">
        <w:t>11</w:t>
      </w:r>
      <w:r w:rsidRPr="008E7DE7">
        <w:t xml:space="preserve"> June 2025, Q98, option 1 n=</w:t>
      </w:r>
      <w:r w:rsidR="008E7DE7" w:rsidRPr="008E7DE7">
        <w:t>72</w:t>
      </w:r>
      <w:r w:rsidRPr="008E7DE7">
        <w:t>, option 2 n=</w:t>
      </w:r>
      <w:r w:rsidR="008E7DE7" w:rsidRPr="008E7DE7">
        <w:t>73</w:t>
      </w:r>
      <w:r w:rsidRPr="008E7DE7">
        <w:t>, option 3 n=</w:t>
      </w:r>
      <w:r w:rsidR="008E7DE7" w:rsidRPr="008E7DE7">
        <w:t>74</w:t>
      </w:r>
      <w:r w:rsidRPr="008E7DE7">
        <w:t>.</w:t>
      </w:r>
    </w:p>
    <w:p w14:paraId="7B3C5033" w14:textId="2EB13F3F" w:rsidR="00777542" w:rsidRPr="0091290E" w:rsidRDefault="00777542" w:rsidP="00777542">
      <w:pPr>
        <w:pStyle w:val="Heading4un-numbered"/>
      </w:pPr>
      <w:r w:rsidRPr="0091290E">
        <w:t xml:space="preserve">Enabling authorised officers to access a FDC residence or property, beyond the service premises, in specific instances or for specific purposes – </w:t>
      </w:r>
      <w:r w:rsidR="00370AB1">
        <w:t xml:space="preserve">Preferred option or combination </w:t>
      </w:r>
      <w:r w:rsidRPr="0091290E">
        <w:t>of options</w:t>
      </w:r>
    </w:p>
    <w:p w14:paraId="53DDB51A" w14:textId="44392948" w:rsidR="00777542" w:rsidRPr="00540DEC" w:rsidRDefault="003B2761" w:rsidP="00777542">
      <w:pPr>
        <w:pStyle w:val="CaptionChart"/>
        <w:numPr>
          <w:ilvl w:val="7"/>
          <w:numId w:val="0"/>
        </w:numPr>
      </w:pPr>
      <w:r w:rsidRPr="003B2761">
        <w:t>Appendix Chart 12.3.</w:t>
      </w:r>
      <w:r>
        <w:t>5.16</w:t>
      </w:r>
      <w:r w:rsidRPr="003B2761">
        <w:t xml:space="preserve"> </w:t>
      </w:r>
      <w:bookmarkStart w:id="344" w:name="_Toc200656118"/>
      <w:bookmarkStart w:id="345" w:name="_Toc200657461"/>
      <w:r w:rsidR="00777542" w:rsidRPr="00540DEC">
        <w:t xml:space="preserve">Approved provider responses to “What is your </w:t>
      </w:r>
      <w:r w:rsidR="00B734E0">
        <w:t xml:space="preserve">preferred option or combination </w:t>
      </w:r>
      <w:r w:rsidR="00777542" w:rsidRPr="00540DEC">
        <w:t>of options?”</w:t>
      </w:r>
      <w:bookmarkEnd w:id="344"/>
      <w:bookmarkEnd w:id="345"/>
    </w:p>
    <w:p w14:paraId="7B799AF5" w14:textId="2ECF0B90" w:rsidR="00777542" w:rsidRPr="00540DEC" w:rsidRDefault="00540DEC" w:rsidP="00777542">
      <w:r w:rsidRPr="00540DEC">
        <w:rPr>
          <w:noProof/>
          <w14:ligatures w14:val="standardContextual"/>
        </w:rPr>
        <w:drawing>
          <wp:inline distT="0" distB="0" distL="0" distR="0" wp14:anchorId="57FB6E93" wp14:editId="1ADD6823">
            <wp:extent cx="5826642" cy="1903095"/>
            <wp:effectExtent l="0" t="0" r="3175" b="1905"/>
            <wp:docPr id="1740078902" name="Chart 1" descr="Chart outlining Approved provider responses to survey question “What is your preferred option or combination of options?”">
              <a:extLst xmlns:a="http://schemas.openxmlformats.org/drawingml/2006/main">
                <a:ext uri="{FF2B5EF4-FFF2-40B4-BE49-F238E27FC236}">
                  <a16:creationId xmlns:a16="http://schemas.microsoft.com/office/drawing/2014/main" id="{5259682C-B3D1-4B77-0E92-E239268256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033A9428" w14:textId="094E2C55" w:rsidR="00777542" w:rsidRPr="00540DEC" w:rsidRDefault="00777542" w:rsidP="00867F1A">
      <w:pPr>
        <w:pStyle w:val="Source-CSR"/>
      </w:pPr>
      <w:r w:rsidRPr="00540DEC">
        <w:t xml:space="preserve">Source: Approved provider survey, as of </w:t>
      </w:r>
      <w:r w:rsidR="00386624" w:rsidRPr="00636B94">
        <w:t>11</w:t>
      </w:r>
      <w:r w:rsidRPr="00636B94">
        <w:t xml:space="preserve"> June 2025, Q96, n=</w:t>
      </w:r>
      <w:r w:rsidR="00540DEC" w:rsidRPr="00636B94">
        <w:t>103</w:t>
      </w:r>
      <w:r w:rsidRPr="00636B94">
        <w:t xml:space="preserve"> unique respondents. Note that if a respondent selected a combination of options, that selection is treated as a unique preference and not double-counted in each individual option.</w:t>
      </w:r>
      <w:r w:rsidR="00D56B07" w:rsidRPr="00636B94">
        <w:t xml:space="preserve"> Note that due to rounding, percentages may not add to 100%.</w:t>
      </w:r>
    </w:p>
    <w:p w14:paraId="79526C6A" w14:textId="4ECE3F92" w:rsidR="00777542" w:rsidRPr="0091290E" w:rsidRDefault="003B2761" w:rsidP="00777542">
      <w:pPr>
        <w:pStyle w:val="CaptionChart"/>
        <w:numPr>
          <w:ilvl w:val="7"/>
          <w:numId w:val="0"/>
        </w:numPr>
      </w:pPr>
      <w:r w:rsidRPr="003B2761">
        <w:lastRenderedPageBreak/>
        <w:t>Appendix Chart 12.3.</w:t>
      </w:r>
      <w:r>
        <w:t xml:space="preserve">5.17 </w:t>
      </w:r>
      <w:bookmarkStart w:id="346" w:name="_Toc200656119"/>
      <w:bookmarkStart w:id="347" w:name="_Toc200657462"/>
      <w:r w:rsidR="00777542" w:rsidRPr="0091290E">
        <w:t xml:space="preserve">Workforce responses to “What is your </w:t>
      </w:r>
      <w:r w:rsidR="00B734E0">
        <w:t xml:space="preserve">preferred option or combination </w:t>
      </w:r>
      <w:r w:rsidR="00777542" w:rsidRPr="0091290E">
        <w:t>of options?”</w:t>
      </w:r>
      <w:bookmarkEnd w:id="346"/>
      <w:bookmarkEnd w:id="347"/>
    </w:p>
    <w:p w14:paraId="6A160CF4" w14:textId="4939CB45" w:rsidR="00777542" w:rsidRPr="00777542" w:rsidRDefault="0091290E" w:rsidP="00777542">
      <w:pPr>
        <w:rPr>
          <w:color w:val="808080" w:themeColor="background1" w:themeShade="80"/>
          <w:sz w:val="14"/>
          <w:szCs w:val="10"/>
          <w:highlight w:val="yellow"/>
        </w:rPr>
      </w:pPr>
      <w:r>
        <w:rPr>
          <w:noProof/>
          <w14:ligatures w14:val="standardContextual"/>
        </w:rPr>
        <w:drawing>
          <wp:inline distT="0" distB="0" distL="0" distR="0" wp14:anchorId="4937FA52" wp14:editId="44CF5CFB">
            <wp:extent cx="5625389" cy="2000250"/>
            <wp:effectExtent l="0" t="0" r="0" b="0"/>
            <wp:docPr id="1073842369" name="Chart 1" descr="Chart outlining Workforce responses to survey question “What is your preferred option or combination of options?”">
              <a:extLst xmlns:a="http://schemas.openxmlformats.org/drawingml/2006/main">
                <a:ext uri="{FF2B5EF4-FFF2-40B4-BE49-F238E27FC236}">
                  <a16:creationId xmlns:a16="http://schemas.microsoft.com/office/drawing/2014/main" id="{F4A5ECB0-885D-89EC-D2A3-20067B402C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6AFBD384" w14:textId="54173A14" w:rsidR="00777542" w:rsidRPr="00D56B07" w:rsidRDefault="00777542" w:rsidP="00867F1A">
      <w:pPr>
        <w:pStyle w:val="Source-CSR"/>
      </w:pPr>
      <w:r w:rsidRPr="0091290E">
        <w:t xml:space="preserve">Source: Workforce survey, as of </w:t>
      </w:r>
      <w:r w:rsidR="0091290E" w:rsidRPr="00636B94">
        <w:t>11</w:t>
      </w:r>
      <w:r w:rsidRPr="00636B94">
        <w:t xml:space="preserve"> June 2025, Q96, n=</w:t>
      </w:r>
      <w:r w:rsidR="0091290E" w:rsidRPr="00636B94">
        <w:t>171</w:t>
      </w:r>
      <w:r w:rsidRPr="00636B94">
        <w:t>. Note that if a respondent selected a combination of options, that selection is treated as a unique preference and not double-counted in each individual option.</w:t>
      </w:r>
      <w:r w:rsidR="00D56B07" w:rsidRPr="00636B94">
        <w:t xml:space="preserve"> Note that due to rounding, percentages may not add to 100%.</w:t>
      </w:r>
    </w:p>
    <w:p w14:paraId="59EE57DA" w14:textId="41EC28A8" w:rsidR="00777542" w:rsidRPr="008E7DE7" w:rsidRDefault="003B2761" w:rsidP="00777542">
      <w:pPr>
        <w:pStyle w:val="CaptionChart"/>
        <w:numPr>
          <w:ilvl w:val="7"/>
          <w:numId w:val="0"/>
        </w:numPr>
      </w:pPr>
      <w:r w:rsidRPr="003B2761">
        <w:t>Appendix Chart 12.3.</w:t>
      </w:r>
      <w:r>
        <w:t xml:space="preserve">5.18 </w:t>
      </w:r>
      <w:bookmarkStart w:id="348" w:name="_Toc200656120"/>
      <w:bookmarkStart w:id="349" w:name="_Toc200657463"/>
      <w:r w:rsidR="00777542" w:rsidRPr="008E7DE7">
        <w:t xml:space="preserve">Family, carer, and parent responses to “What is your </w:t>
      </w:r>
      <w:r w:rsidR="00B734E0">
        <w:t xml:space="preserve">preferred option or combination </w:t>
      </w:r>
      <w:r w:rsidR="00777542" w:rsidRPr="008E7DE7">
        <w:t>of options?”</w:t>
      </w:r>
      <w:bookmarkEnd w:id="348"/>
      <w:bookmarkEnd w:id="349"/>
    </w:p>
    <w:p w14:paraId="47A73619" w14:textId="251C5272" w:rsidR="008E7DE7" w:rsidRPr="008E7DE7" w:rsidRDefault="008E7DE7" w:rsidP="00777542">
      <w:pPr>
        <w:rPr>
          <w:noProof/>
          <w14:ligatures w14:val="standardContextual"/>
        </w:rPr>
      </w:pPr>
      <w:r w:rsidRPr="008E7DE7">
        <w:rPr>
          <w:noProof/>
          <w14:ligatures w14:val="standardContextual"/>
        </w:rPr>
        <w:drawing>
          <wp:inline distT="0" distB="0" distL="0" distR="0" wp14:anchorId="4A93A09A" wp14:editId="618FD52F">
            <wp:extent cx="5676900" cy="1765004"/>
            <wp:effectExtent l="0" t="0" r="0" b="6985"/>
            <wp:docPr id="974381920" name="Chart 1" descr="Chart outlining Family, carer, and parent responses to survey question “What is your preferred option or combination of options?”">
              <a:extLst xmlns:a="http://schemas.openxmlformats.org/drawingml/2006/main">
                <a:ext uri="{FF2B5EF4-FFF2-40B4-BE49-F238E27FC236}">
                  <a16:creationId xmlns:a16="http://schemas.microsoft.com/office/drawing/2014/main" id="{84477381-4DEB-5C5C-10D1-12DF88AD3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27AD2B6D" w14:textId="7C7C0F2B" w:rsidR="00777542" w:rsidRPr="008E7DE7" w:rsidRDefault="00777542" w:rsidP="00867F1A">
      <w:pPr>
        <w:pStyle w:val="Source-CSR"/>
      </w:pPr>
      <w:r w:rsidRPr="008E7DE7">
        <w:t xml:space="preserve">Source: Families, carers and parents survey, as of </w:t>
      </w:r>
      <w:r w:rsidR="00386624" w:rsidRPr="00636B94">
        <w:t>11</w:t>
      </w:r>
      <w:r w:rsidRPr="00636B94">
        <w:t xml:space="preserve"> June 2025, Q96, n=</w:t>
      </w:r>
      <w:r w:rsidR="008E7DE7" w:rsidRPr="00636B94">
        <w:t>71</w:t>
      </w:r>
      <w:r w:rsidRPr="00636B94">
        <w:t>. Note that if a respondent selected a combination of options, that selection is treated as a unique preference and not double-counted in each individual option.</w:t>
      </w:r>
      <w:r w:rsidR="00D56B07" w:rsidRPr="00636B94">
        <w:t xml:space="preserve"> Note that due to rounding, percentages may not add to 100%.</w:t>
      </w:r>
    </w:p>
    <w:p w14:paraId="3967B749" w14:textId="77777777" w:rsidR="00777542" w:rsidRPr="00777542" w:rsidRDefault="00777542" w:rsidP="00777542">
      <w:pPr>
        <w:rPr>
          <w:highlight w:val="yellow"/>
        </w:rPr>
      </w:pPr>
    </w:p>
    <w:p w14:paraId="5AEF3852" w14:textId="77777777" w:rsidR="00777542" w:rsidRPr="00777542" w:rsidRDefault="00777542" w:rsidP="00777542">
      <w:pPr>
        <w:spacing w:after="160" w:line="259" w:lineRule="auto"/>
        <w:rPr>
          <w:rFonts w:eastAsiaTheme="majorEastAsia" w:cstheme="majorBidi"/>
          <w:bCs/>
          <w:color w:val="006B77" w:themeColor="accent1"/>
          <w:sz w:val="32"/>
          <w:szCs w:val="26"/>
          <w:highlight w:val="yellow"/>
        </w:rPr>
      </w:pPr>
      <w:r w:rsidRPr="00777542">
        <w:rPr>
          <w:highlight w:val="yellow"/>
        </w:rPr>
        <w:br w:type="page"/>
      </w:r>
    </w:p>
    <w:p w14:paraId="26508299" w14:textId="3702C160" w:rsidR="00777542" w:rsidRPr="0091290E" w:rsidRDefault="00890113" w:rsidP="00890113">
      <w:pPr>
        <w:pStyle w:val="Heading3"/>
      </w:pPr>
      <w:bookmarkStart w:id="350" w:name="_Ref203405849"/>
      <w:r>
        <w:lastRenderedPageBreak/>
        <w:t xml:space="preserve">12.3.6 </w:t>
      </w:r>
      <w:r w:rsidR="00777542" w:rsidRPr="0091290E">
        <w:t>Additional recommendations</w:t>
      </w:r>
      <w:bookmarkEnd w:id="350"/>
    </w:p>
    <w:p w14:paraId="79AEF521" w14:textId="77777777" w:rsidR="00777542" w:rsidRPr="0091290E" w:rsidRDefault="00777542" w:rsidP="00777542">
      <w:pPr>
        <w:pStyle w:val="Heading4un-numbered"/>
      </w:pPr>
      <w:r w:rsidRPr="0091290E">
        <w:t>Effective identification, monitoring and regulation of ‘related providers’ – Reduction of the risk of harm</w:t>
      </w:r>
    </w:p>
    <w:p w14:paraId="0A8391E5" w14:textId="0FA7296F" w:rsidR="00947971" w:rsidRPr="00F64B5C" w:rsidRDefault="00947971" w:rsidP="00947971">
      <w:pPr>
        <w:pStyle w:val="CaptionChart"/>
      </w:pPr>
      <w:r>
        <w:t>Appendix Chart 12.3.</w:t>
      </w:r>
      <w:r w:rsidR="003B2761">
        <w:t>6</w:t>
      </w:r>
      <w:r>
        <w:t>.1</w:t>
      </w:r>
      <w:r w:rsidR="00777542" w:rsidRPr="00EC1A7A">
        <w:t xml:space="preserve"> </w:t>
      </w:r>
      <w:bookmarkStart w:id="351" w:name="_Toc200656121"/>
      <w:bookmarkStart w:id="352" w:name="_Toc200657464"/>
      <w:r w:rsidR="00777542" w:rsidRPr="00EC1A7A">
        <w:t>Approved provider responses to “How much do you think each option will reduce the risk of harm to children?”</w:t>
      </w:r>
    </w:p>
    <w:bookmarkEnd w:id="351"/>
    <w:bookmarkEnd w:id="352"/>
    <w:p w14:paraId="1AC190C1" w14:textId="03DF0EB4" w:rsidR="00777542" w:rsidRPr="00EC1A7A" w:rsidRDefault="00E777E9" w:rsidP="00777542">
      <w:pPr>
        <w:pStyle w:val="Source"/>
      </w:pPr>
      <w:r>
        <w:rPr>
          <w:noProof/>
          <w14:ligatures w14:val="standardContextual"/>
        </w:rPr>
        <w:drawing>
          <wp:inline distT="0" distB="0" distL="0" distR="0" wp14:anchorId="7FB55D2A" wp14:editId="746299BD">
            <wp:extent cx="5518150" cy="2706624"/>
            <wp:effectExtent l="0" t="0" r="6350" b="17780"/>
            <wp:docPr id="130583245" name="Chart 1" descr="Chart outlining Approved provider responses to survey question “How much do you think each option will reduce the risk of harm to children?”">
              <a:extLst xmlns:a="http://schemas.openxmlformats.org/drawingml/2006/main">
                <a:ext uri="{FF2B5EF4-FFF2-40B4-BE49-F238E27FC236}">
                  <a16:creationId xmlns:a16="http://schemas.microsoft.com/office/drawing/2014/main" id="{AC7769FC-8EAB-40B4-8023-090D2C14D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0EDB0133" w14:textId="12032AEA" w:rsidR="00777542" w:rsidRPr="00EC1A7A" w:rsidRDefault="00777542" w:rsidP="00777542">
      <w:pPr>
        <w:pStyle w:val="Source"/>
      </w:pPr>
      <w:r w:rsidRPr="00EC1A7A">
        <w:t xml:space="preserve">Source: Approved provider survey, as of </w:t>
      </w:r>
      <w:r w:rsidR="00E64E0F">
        <w:t>11</w:t>
      </w:r>
      <w:r w:rsidRPr="00EC1A7A">
        <w:t xml:space="preserve"> June 2025, Q107, option 1 n=</w:t>
      </w:r>
      <w:r w:rsidR="00EC1A7A" w:rsidRPr="00EC1A7A">
        <w:t>97</w:t>
      </w:r>
      <w:r w:rsidRPr="00EC1A7A">
        <w:t>, option 2 n=</w:t>
      </w:r>
      <w:r w:rsidR="00EC1A7A" w:rsidRPr="00EC1A7A">
        <w:t>96</w:t>
      </w:r>
      <w:r w:rsidRPr="00EC1A7A">
        <w:t>, option 3</w:t>
      </w:r>
      <w:r w:rsidR="00E777E9">
        <w:t>A</w:t>
      </w:r>
      <w:r w:rsidRPr="00EC1A7A">
        <w:t xml:space="preserve"> n=</w:t>
      </w:r>
      <w:r w:rsidR="00EC1A7A" w:rsidRPr="00EC1A7A">
        <w:t>96</w:t>
      </w:r>
      <w:r w:rsidRPr="00EC1A7A">
        <w:t xml:space="preserve">, option </w:t>
      </w:r>
      <w:r w:rsidR="00E777E9">
        <w:t>3B</w:t>
      </w:r>
      <w:r w:rsidRPr="00EC1A7A">
        <w:t xml:space="preserve"> n=</w:t>
      </w:r>
      <w:r w:rsidR="00EC1A7A" w:rsidRPr="00EC1A7A">
        <w:t>95</w:t>
      </w:r>
      <w:r w:rsidRPr="00EC1A7A">
        <w:t xml:space="preserve">. </w:t>
      </w:r>
    </w:p>
    <w:p w14:paraId="4523EC99" w14:textId="65761501" w:rsidR="00E57169" w:rsidRPr="00DA4F42" w:rsidRDefault="00E57169" w:rsidP="00E57169">
      <w:pPr>
        <w:pStyle w:val="CaptionChart"/>
        <w:numPr>
          <w:ilvl w:val="7"/>
          <w:numId w:val="0"/>
        </w:numPr>
      </w:pPr>
      <w:r>
        <w:t>Appendix Chart 12.3.</w:t>
      </w:r>
      <w:r w:rsidR="003B2761">
        <w:t>6</w:t>
      </w:r>
      <w:r>
        <w:t>.2</w:t>
      </w:r>
      <w:r w:rsidR="00777542" w:rsidRPr="0091290E">
        <w:t xml:space="preserve"> </w:t>
      </w:r>
      <w:bookmarkStart w:id="353" w:name="_Toc200656122"/>
      <w:bookmarkStart w:id="354" w:name="_Toc200657465"/>
      <w:r w:rsidR="00777542" w:rsidRPr="0091290E">
        <w:t>Workforce responses to “How much do you think each option will reduce the risk of harm to children?”</w:t>
      </w:r>
    </w:p>
    <w:bookmarkEnd w:id="353"/>
    <w:bookmarkEnd w:id="354"/>
    <w:p w14:paraId="11E959BE" w14:textId="2E0B87D6" w:rsidR="00777542" w:rsidRPr="00777542" w:rsidRDefault="00AF509D" w:rsidP="00777542">
      <w:pPr>
        <w:pStyle w:val="Source"/>
        <w:rPr>
          <w:highlight w:val="yellow"/>
        </w:rPr>
      </w:pPr>
      <w:r>
        <w:rPr>
          <w:noProof/>
          <w14:ligatures w14:val="standardContextual"/>
        </w:rPr>
        <w:drawing>
          <wp:inline distT="0" distB="0" distL="0" distR="0" wp14:anchorId="0B66EE91" wp14:editId="052E8EAA">
            <wp:extent cx="5518150" cy="2494280"/>
            <wp:effectExtent l="0" t="0" r="6350" b="1270"/>
            <wp:docPr id="1457675312" name="Chart 1" descr="Chart outlining Workforce responses to survey question “How much do you think each option will reduce the risk of harm to children?”">
              <a:extLst xmlns:a="http://schemas.openxmlformats.org/drawingml/2006/main">
                <a:ext uri="{FF2B5EF4-FFF2-40B4-BE49-F238E27FC236}">
                  <a16:creationId xmlns:a16="http://schemas.microsoft.com/office/drawing/2014/main" id="{E98ECA46-95E3-545C-6A2A-A7E263C637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40248134" w14:textId="4DAD712C" w:rsidR="00777542" w:rsidRPr="00AF509D" w:rsidRDefault="00777542" w:rsidP="00777542">
      <w:pPr>
        <w:pStyle w:val="Source"/>
      </w:pPr>
      <w:r w:rsidRPr="00AF509D">
        <w:t xml:space="preserve">Source: Workforce survey, as of </w:t>
      </w:r>
      <w:r w:rsidR="00AF509D" w:rsidRPr="00AF509D">
        <w:t>11</w:t>
      </w:r>
      <w:r w:rsidRPr="00AF509D">
        <w:t xml:space="preserve"> June 2025, Q103, option 1 n=</w:t>
      </w:r>
      <w:r w:rsidR="00AF509D" w:rsidRPr="00AF509D">
        <w:t>85</w:t>
      </w:r>
      <w:r w:rsidRPr="00AF509D">
        <w:t>, option 2 n=</w:t>
      </w:r>
      <w:r w:rsidR="00AF509D" w:rsidRPr="00AF509D">
        <w:t>84</w:t>
      </w:r>
      <w:r w:rsidRPr="00AF509D">
        <w:t>, option 3A n=</w:t>
      </w:r>
      <w:r w:rsidR="00AF509D" w:rsidRPr="00AF509D">
        <w:t>83</w:t>
      </w:r>
      <w:r w:rsidRPr="00AF509D">
        <w:t>, option 3B n=</w:t>
      </w:r>
      <w:r w:rsidR="00AF509D" w:rsidRPr="00AF509D">
        <w:t>83</w:t>
      </w:r>
      <w:r w:rsidRPr="00AF509D">
        <w:t>.</w:t>
      </w:r>
    </w:p>
    <w:p w14:paraId="3C2EEF38" w14:textId="1151FD3B" w:rsidR="00E57169" w:rsidRPr="00CE6754" w:rsidRDefault="00E57169" w:rsidP="00E57169">
      <w:pPr>
        <w:pStyle w:val="CaptionChart"/>
        <w:numPr>
          <w:ilvl w:val="7"/>
          <w:numId w:val="0"/>
        </w:numPr>
      </w:pPr>
      <w:r>
        <w:lastRenderedPageBreak/>
        <w:t>Appendix Chart 12.3.</w:t>
      </w:r>
      <w:r w:rsidR="003B2761">
        <w:t>6</w:t>
      </w:r>
      <w:r>
        <w:t xml:space="preserve">.3 </w:t>
      </w:r>
      <w:r w:rsidRPr="00CE6754">
        <w:t>Family, carer and parent responses to “How much do you think each option will reduce the risk of harm to children?”</w:t>
      </w:r>
    </w:p>
    <w:p w14:paraId="0EF28B1D" w14:textId="5E095E76" w:rsidR="00777542" w:rsidRPr="00D51D53" w:rsidRDefault="00D51D53" w:rsidP="00777542">
      <w:pPr>
        <w:pStyle w:val="Source"/>
      </w:pPr>
      <w:r w:rsidRPr="00D51D53">
        <w:rPr>
          <w:noProof/>
          <w14:ligatures w14:val="standardContextual"/>
        </w:rPr>
        <w:drawing>
          <wp:inline distT="0" distB="0" distL="0" distR="0" wp14:anchorId="2879C509" wp14:editId="407A1708">
            <wp:extent cx="5837274" cy="2913321"/>
            <wp:effectExtent l="0" t="0" r="0" b="1905"/>
            <wp:docPr id="148864565" name="Chart 1" descr="Chart outlining Family, carer and parent responses to survey question “How much do you think each option will reduce the risk of harm to children?”">
              <a:extLst xmlns:a="http://schemas.openxmlformats.org/drawingml/2006/main">
                <a:ext uri="{FF2B5EF4-FFF2-40B4-BE49-F238E27FC236}">
                  <a16:creationId xmlns:a16="http://schemas.microsoft.com/office/drawing/2014/main" id="{E0F4EBA3-4BFC-2703-053E-837534B52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09CF7EBA" w14:textId="15AF5EF0" w:rsidR="00777542" w:rsidRPr="00D51D53" w:rsidRDefault="00777542" w:rsidP="00777542">
      <w:pPr>
        <w:pStyle w:val="Source"/>
      </w:pPr>
      <w:r w:rsidRPr="00D51D53">
        <w:t xml:space="preserve">Source: Families, carers and parents survey, as of </w:t>
      </w:r>
      <w:r w:rsidR="00E64E0F">
        <w:t>11</w:t>
      </w:r>
      <w:r w:rsidRPr="00D51D53">
        <w:t xml:space="preserve"> June 2025, Q107, option 1 n=</w:t>
      </w:r>
      <w:r w:rsidR="00D51D53">
        <w:t>54</w:t>
      </w:r>
      <w:r w:rsidRPr="00D51D53">
        <w:t>, option 2 n=</w:t>
      </w:r>
      <w:r w:rsidR="00D51D53">
        <w:t>53</w:t>
      </w:r>
      <w:r w:rsidRPr="00D51D53">
        <w:t>, option 3A n=</w:t>
      </w:r>
      <w:r w:rsidR="00D51D53">
        <w:t>53</w:t>
      </w:r>
      <w:r w:rsidRPr="00D51D53">
        <w:t>, option 3B n=</w:t>
      </w:r>
      <w:r w:rsidR="00D51D53">
        <w:t>54</w:t>
      </w:r>
      <w:r w:rsidRPr="00D51D53">
        <w:t>.</w:t>
      </w:r>
    </w:p>
    <w:p w14:paraId="783D58F8" w14:textId="0DC2361F" w:rsidR="00777542" w:rsidRPr="00AF509D" w:rsidRDefault="00777542" w:rsidP="00777542">
      <w:pPr>
        <w:pStyle w:val="Heading4un-numbered"/>
      </w:pPr>
      <w:r w:rsidRPr="00AF509D">
        <w:t xml:space="preserve">Effective identification, monitoring and regulation of ‘related providers’ – </w:t>
      </w:r>
      <w:r w:rsidR="00370AB1">
        <w:t xml:space="preserve">Preferred option or combination </w:t>
      </w:r>
      <w:r w:rsidRPr="00AF509D">
        <w:t>of options</w:t>
      </w:r>
    </w:p>
    <w:p w14:paraId="648B1329" w14:textId="7F4D6665" w:rsidR="00777542" w:rsidRPr="00EC1A7A" w:rsidRDefault="003B2761" w:rsidP="00777542">
      <w:pPr>
        <w:pStyle w:val="CaptionChart"/>
        <w:numPr>
          <w:ilvl w:val="7"/>
          <w:numId w:val="0"/>
        </w:numPr>
      </w:pPr>
      <w:r w:rsidRPr="003B2761">
        <w:t>Appendix Chart 12.3</w:t>
      </w:r>
      <w:r>
        <w:t>.6.4</w:t>
      </w:r>
      <w:r w:rsidRPr="003B2761">
        <w:t xml:space="preserve"> </w:t>
      </w:r>
      <w:bookmarkStart w:id="355" w:name="_Toc200656124"/>
      <w:bookmarkStart w:id="356" w:name="_Toc200657467"/>
      <w:r w:rsidR="00777542" w:rsidRPr="00EC1A7A">
        <w:t xml:space="preserve">Approved provider responses to “What is your </w:t>
      </w:r>
      <w:r w:rsidR="00B734E0">
        <w:t xml:space="preserve">preferred option or combination </w:t>
      </w:r>
      <w:r w:rsidR="00777542" w:rsidRPr="00EC1A7A">
        <w:t>of options?”</w:t>
      </w:r>
      <w:bookmarkEnd w:id="355"/>
      <w:bookmarkEnd w:id="356"/>
    </w:p>
    <w:p w14:paraId="466AE97B" w14:textId="1F20D869" w:rsidR="00777542" w:rsidRPr="00EC1A7A" w:rsidRDefault="00EC1A7A" w:rsidP="00777542">
      <w:r w:rsidRPr="00EC1A7A">
        <w:rPr>
          <w:noProof/>
          <w14:ligatures w14:val="standardContextual"/>
        </w:rPr>
        <w:drawing>
          <wp:inline distT="0" distB="0" distL="0" distR="0" wp14:anchorId="4A1AFF72" wp14:editId="0D6DFB49">
            <wp:extent cx="5727700" cy="2222205"/>
            <wp:effectExtent l="0" t="0" r="6350" b="6985"/>
            <wp:docPr id="198791258" name="Chart 1" descr="Chart outlining Approved provider responses to survey question “What is your preferred option or combination of options?”">
              <a:extLst xmlns:a="http://schemas.openxmlformats.org/drawingml/2006/main">
                <a:ext uri="{FF2B5EF4-FFF2-40B4-BE49-F238E27FC236}">
                  <a16:creationId xmlns:a16="http://schemas.microsoft.com/office/drawing/2014/main" id="{4F8FE25E-4F9A-F69D-2F8B-BE784E44C7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518AEBED" w14:textId="162A5D74" w:rsidR="00CD591C" w:rsidRPr="00540DEC" w:rsidRDefault="00777542" w:rsidP="00867F1A">
      <w:pPr>
        <w:pStyle w:val="Source-CSR"/>
      </w:pPr>
      <w:r w:rsidRPr="00EC1A7A">
        <w:t xml:space="preserve">Source: Approved provider survey, as of </w:t>
      </w:r>
      <w:r w:rsidR="00E729DF" w:rsidRPr="00636B94">
        <w:t>11</w:t>
      </w:r>
      <w:r w:rsidRPr="00636B94">
        <w:t xml:space="preserve"> June 2025, Q105, n=</w:t>
      </w:r>
      <w:r w:rsidR="00EC1A7A" w:rsidRPr="00636B94">
        <w:t>96</w:t>
      </w:r>
      <w:r w:rsidRPr="00636B94">
        <w:t>. Note that if a respondent selected a combination of options, that selection is treated as a unique preference and not double-counted in each individual option. Note that no respondents selected the combination of options 2 and 3B.</w:t>
      </w:r>
      <w:r w:rsidR="00CD591C" w:rsidRPr="00636B94">
        <w:t xml:space="preserve"> Note that due to rounding, percentages may not add to 100%.</w:t>
      </w:r>
    </w:p>
    <w:p w14:paraId="0E8BE881" w14:textId="5989CA7F" w:rsidR="00777542" w:rsidRPr="00EC1A7A" w:rsidRDefault="00777542" w:rsidP="00777542"/>
    <w:p w14:paraId="28636805" w14:textId="525020E8" w:rsidR="00777542" w:rsidRPr="006C5F13" w:rsidRDefault="003B2761" w:rsidP="00777542">
      <w:pPr>
        <w:pStyle w:val="CaptionChart"/>
        <w:numPr>
          <w:ilvl w:val="7"/>
          <w:numId w:val="0"/>
        </w:numPr>
      </w:pPr>
      <w:r w:rsidRPr="003B2761">
        <w:lastRenderedPageBreak/>
        <w:t>Appendix Chart 12.3.</w:t>
      </w:r>
      <w:r>
        <w:t>6.5</w:t>
      </w:r>
      <w:r w:rsidR="00777542" w:rsidRPr="006C5F13">
        <w:t xml:space="preserve"> </w:t>
      </w:r>
      <w:bookmarkStart w:id="357" w:name="_Toc200656125"/>
      <w:bookmarkStart w:id="358" w:name="_Toc200657468"/>
      <w:r w:rsidR="00777542" w:rsidRPr="006C5F13">
        <w:t xml:space="preserve">Workforce responses to “What is your </w:t>
      </w:r>
      <w:r w:rsidR="00B734E0">
        <w:t xml:space="preserve">preferred option or combination </w:t>
      </w:r>
      <w:r w:rsidR="00777542" w:rsidRPr="006C5F13">
        <w:t>of options?”</w:t>
      </w:r>
      <w:bookmarkEnd w:id="357"/>
      <w:bookmarkEnd w:id="358"/>
    </w:p>
    <w:p w14:paraId="089A426A" w14:textId="7B942ABC" w:rsidR="00777542" w:rsidRPr="006C5F13" w:rsidRDefault="006C5F13" w:rsidP="00777542">
      <w:pPr>
        <w:rPr>
          <w:color w:val="808080" w:themeColor="background1" w:themeShade="80"/>
          <w:sz w:val="14"/>
          <w:szCs w:val="10"/>
        </w:rPr>
      </w:pPr>
      <w:r w:rsidRPr="006C5F13">
        <w:rPr>
          <w:noProof/>
          <w14:ligatures w14:val="standardContextual"/>
        </w:rPr>
        <w:drawing>
          <wp:inline distT="0" distB="0" distL="0" distR="0" wp14:anchorId="7E387204" wp14:editId="1A8227D0">
            <wp:extent cx="5559552" cy="2253081"/>
            <wp:effectExtent l="0" t="0" r="3175" b="0"/>
            <wp:docPr id="2054224009" name="Chart 1" descr="Chart outlining Workforce responses to survey question “What is your preferred option or combination of options?”">
              <a:extLst xmlns:a="http://schemas.openxmlformats.org/drawingml/2006/main">
                <a:ext uri="{FF2B5EF4-FFF2-40B4-BE49-F238E27FC236}">
                  <a16:creationId xmlns:a16="http://schemas.microsoft.com/office/drawing/2014/main" id="{D8B6A474-C6DA-3E73-BD73-BD5BADAAD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20F291A2" w14:textId="46EFBCE1" w:rsidR="00777542" w:rsidRPr="00CD591C" w:rsidRDefault="00777542" w:rsidP="00867F1A">
      <w:pPr>
        <w:pStyle w:val="Source-CSR"/>
      </w:pPr>
      <w:r w:rsidRPr="006C5F13">
        <w:t xml:space="preserve">Source: Workforce survey, as of </w:t>
      </w:r>
      <w:r w:rsidR="006C5F13" w:rsidRPr="00636B94">
        <w:t>11</w:t>
      </w:r>
      <w:r w:rsidRPr="00636B94">
        <w:t xml:space="preserve"> June 2025, Q105, n=</w:t>
      </w:r>
      <w:r w:rsidR="006C5F13" w:rsidRPr="00636B94">
        <w:t>55</w:t>
      </w:r>
      <w:r w:rsidRPr="00636B94">
        <w:t>. Note that no respondents selected a combination of option 2 and 3B. Note that if a respondent selected a combination of options, that selection is treated as a unique preference and not double-counted in each individual option.</w:t>
      </w:r>
      <w:r w:rsidR="006C5F13" w:rsidRPr="00636B94">
        <w:t xml:space="preserve"> Note that no respondents selected the combination of option 2 and 3B.</w:t>
      </w:r>
      <w:r w:rsidR="00CD591C" w:rsidRPr="00636B94">
        <w:t xml:space="preserve"> Note that due to rounding, percentages may not add to 100%.</w:t>
      </w:r>
      <w:r w:rsidR="007D2993" w:rsidRPr="00636B94">
        <w:t xml:space="preserve"> Percentages add to more than 100% since respondents were able to select more than one option or combination of options.</w:t>
      </w:r>
    </w:p>
    <w:p w14:paraId="14C9C560" w14:textId="340AAC11" w:rsidR="00777542" w:rsidRPr="00D51D53" w:rsidRDefault="003B2761" w:rsidP="00777542">
      <w:pPr>
        <w:pStyle w:val="CaptionChart"/>
        <w:numPr>
          <w:ilvl w:val="7"/>
          <w:numId w:val="0"/>
        </w:numPr>
      </w:pPr>
      <w:r w:rsidRPr="003B2761">
        <w:t>Appendix Chart 12.3.</w:t>
      </w:r>
      <w:r>
        <w:t>6.6</w:t>
      </w:r>
      <w:r w:rsidRPr="003B2761">
        <w:t xml:space="preserve"> </w:t>
      </w:r>
      <w:bookmarkStart w:id="359" w:name="_Toc200656126"/>
      <w:bookmarkStart w:id="360" w:name="_Toc200657469"/>
      <w:r w:rsidR="00777542" w:rsidRPr="00D51D53">
        <w:t xml:space="preserve">Family, carer, and parent responses to “What is your </w:t>
      </w:r>
      <w:r w:rsidR="00B734E0">
        <w:t xml:space="preserve">preferred option or combination </w:t>
      </w:r>
      <w:r w:rsidR="00777542" w:rsidRPr="00D51D53">
        <w:t>of options?”</w:t>
      </w:r>
      <w:bookmarkEnd w:id="359"/>
      <w:bookmarkEnd w:id="360"/>
    </w:p>
    <w:p w14:paraId="4A28D91F" w14:textId="1CEBCD6F" w:rsidR="00D51D53" w:rsidRPr="00D51D53" w:rsidRDefault="00D51D53" w:rsidP="00777542">
      <w:pPr>
        <w:rPr>
          <w:noProof/>
          <w14:ligatures w14:val="standardContextual"/>
        </w:rPr>
      </w:pPr>
      <w:r w:rsidRPr="00D51D53">
        <w:rPr>
          <w:noProof/>
          <w14:ligatures w14:val="standardContextual"/>
        </w:rPr>
        <w:drawing>
          <wp:inline distT="0" distB="0" distL="0" distR="0" wp14:anchorId="1D34D399" wp14:editId="79280643">
            <wp:extent cx="5654675" cy="2190307"/>
            <wp:effectExtent l="0" t="0" r="3175" b="635"/>
            <wp:docPr id="577527256" name="Chart 1" descr="Chart outlining Family, carer, and parent responses to survey question “What is your preferred option or combination of options?”">
              <a:extLst xmlns:a="http://schemas.openxmlformats.org/drawingml/2006/main">
                <a:ext uri="{FF2B5EF4-FFF2-40B4-BE49-F238E27FC236}">
                  <a16:creationId xmlns:a16="http://schemas.microsoft.com/office/drawing/2014/main" id="{03B0899D-C329-F0F1-46D4-54ABC19557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7CF30D98" w14:textId="06A705CF" w:rsidR="00CD591C" w:rsidRPr="00540DEC" w:rsidRDefault="00777542" w:rsidP="00867F1A">
      <w:pPr>
        <w:pStyle w:val="Source-CSR"/>
      </w:pPr>
      <w:r w:rsidRPr="00D51D53">
        <w:t xml:space="preserve">Source: Families, carers and parents survey, as of </w:t>
      </w:r>
      <w:r w:rsidR="00E36962" w:rsidRPr="00636B94">
        <w:t>11</w:t>
      </w:r>
      <w:r w:rsidRPr="00636B94">
        <w:t xml:space="preserve"> June 2025, Q105, n=</w:t>
      </w:r>
      <w:r w:rsidR="00D51D53" w:rsidRPr="00636B94">
        <w:t>58</w:t>
      </w:r>
      <w:r w:rsidRPr="00636B94">
        <w:t xml:space="preserve"> unique respondents. Note that if a respondent selected a combination of options, that selection is treated as a unique preference and not double-counted in each individual option.</w:t>
      </w:r>
      <w:r w:rsidR="00CD591C" w:rsidRPr="00636B94">
        <w:t xml:space="preserve"> Note that due to rounding, percentages may not add to 100%.</w:t>
      </w:r>
    </w:p>
    <w:p w14:paraId="1BA5BF55" w14:textId="135D8AEB" w:rsidR="00777542" w:rsidRPr="00D51D53" w:rsidRDefault="00777542" w:rsidP="00777542"/>
    <w:p w14:paraId="40A9CFFC" w14:textId="77777777" w:rsidR="00777542" w:rsidRPr="00777542" w:rsidRDefault="00777542" w:rsidP="00777542">
      <w:pPr>
        <w:rPr>
          <w:highlight w:val="yellow"/>
        </w:rPr>
      </w:pPr>
    </w:p>
    <w:p w14:paraId="4D9CC18D" w14:textId="77777777" w:rsidR="00777542" w:rsidRPr="006C5F13" w:rsidRDefault="00777542" w:rsidP="00777542">
      <w:pPr>
        <w:pStyle w:val="Heading4un-numbered"/>
      </w:pPr>
      <w:r w:rsidRPr="006C5F13">
        <w:lastRenderedPageBreak/>
        <w:t>Extending the limitation period for commencing proceedings under the National Law – Reduction of the risk of harm</w:t>
      </w:r>
    </w:p>
    <w:p w14:paraId="4DBC7B70" w14:textId="588CF89C" w:rsidR="00947971" w:rsidRPr="00F64B5C" w:rsidRDefault="00947971" w:rsidP="00947971">
      <w:pPr>
        <w:pStyle w:val="CaptionChart"/>
      </w:pPr>
      <w:r>
        <w:t>Appendix Chart 12.3.</w:t>
      </w:r>
      <w:r w:rsidR="003B2761">
        <w:t>6</w:t>
      </w:r>
      <w:r>
        <w:t>.</w:t>
      </w:r>
      <w:r w:rsidR="003B2761">
        <w:t>7</w:t>
      </w:r>
      <w:r w:rsidR="00777542" w:rsidRPr="00133272">
        <w:t xml:space="preserve"> </w:t>
      </w:r>
      <w:bookmarkStart w:id="361" w:name="_Toc200656127"/>
      <w:bookmarkStart w:id="362" w:name="_Toc200657470"/>
      <w:r w:rsidR="00777542" w:rsidRPr="00133272">
        <w:t>Approved provider responses to “How much do you think each option will reduce the risk of harm to children?”</w:t>
      </w:r>
    </w:p>
    <w:bookmarkEnd w:id="361"/>
    <w:bookmarkEnd w:id="362"/>
    <w:p w14:paraId="2A345B41" w14:textId="7168C76C" w:rsidR="00777542" w:rsidRPr="00133272" w:rsidRDefault="00133272" w:rsidP="00777542">
      <w:pPr>
        <w:pStyle w:val="Source"/>
      </w:pPr>
      <w:r w:rsidRPr="00133272">
        <w:rPr>
          <w:noProof/>
          <w14:ligatures w14:val="standardContextual"/>
        </w:rPr>
        <w:drawing>
          <wp:inline distT="0" distB="0" distL="0" distR="0" wp14:anchorId="5BB76DFF" wp14:editId="681508A7">
            <wp:extent cx="5539563" cy="2773045"/>
            <wp:effectExtent l="0" t="0" r="4445" b="8255"/>
            <wp:docPr id="799252965" name="Chart 1" descr="Chart outlining Approved provider responses to survey question “How much do you think each option will reduce the risk of harm to children?”">
              <a:extLst xmlns:a="http://schemas.openxmlformats.org/drawingml/2006/main">
                <a:ext uri="{FF2B5EF4-FFF2-40B4-BE49-F238E27FC236}">
                  <a16:creationId xmlns:a16="http://schemas.microsoft.com/office/drawing/2014/main" id="{F6EC6788-E20F-C85A-37FA-66BCAC660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59D9D63" w14:textId="297E7A63" w:rsidR="00777542" w:rsidRPr="00133272" w:rsidRDefault="00777542" w:rsidP="00777542">
      <w:pPr>
        <w:pStyle w:val="Source"/>
      </w:pPr>
      <w:r w:rsidRPr="00133272">
        <w:t xml:space="preserve">Source: Approved provider survey, as of </w:t>
      </w:r>
      <w:r w:rsidR="00E36962">
        <w:t>11</w:t>
      </w:r>
      <w:r w:rsidRPr="00133272">
        <w:t xml:space="preserve"> June 2025, Q115, option 1 n=</w:t>
      </w:r>
      <w:r w:rsidR="00133272" w:rsidRPr="00133272">
        <w:t>81</w:t>
      </w:r>
      <w:r w:rsidRPr="00133272">
        <w:t>, option 2 n=</w:t>
      </w:r>
      <w:r w:rsidR="00133272" w:rsidRPr="00133272">
        <w:t>82</w:t>
      </w:r>
      <w:r w:rsidRPr="00133272">
        <w:t>.</w:t>
      </w:r>
    </w:p>
    <w:p w14:paraId="4E8407C6" w14:textId="0D019C02" w:rsidR="00E57169" w:rsidRPr="00DA4F42" w:rsidRDefault="00E57169" w:rsidP="00E57169">
      <w:pPr>
        <w:pStyle w:val="CaptionChart"/>
        <w:numPr>
          <w:ilvl w:val="7"/>
          <w:numId w:val="0"/>
        </w:numPr>
      </w:pPr>
      <w:r>
        <w:t>Appendix Chart 12.3.</w:t>
      </w:r>
      <w:r w:rsidR="003B2761">
        <w:t>6</w:t>
      </w:r>
      <w:r>
        <w:t>.</w:t>
      </w:r>
      <w:r w:rsidR="003B2761">
        <w:t>8</w:t>
      </w:r>
      <w:r w:rsidR="00777542" w:rsidRPr="005B061E">
        <w:t xml:space="preserve"> </w:t>
      </w:r>
      <w:bookmarkStart w:id="363" w:name="_Toc200656128"/>
      <w:bookmarkStart w:id="364" w:name="_Toc200657471"/>
      <w:r w:rsidR="00777542" w:rsidRPr="005B061E">
        <w:t>Workforce responses to “How much do you think each option will reduce the risk of harm to children?”</w:t>
      </w:r>
    </w:p>
    <w:bookmarkEnd w:id="363"/>
    <w:bookmarkEnd w:id="364"/>
    <w:p w14:paraId="27C3D52F" w14:textId="7328B037" w:rsidR="00777542" w:rsidRPr="005B061E" w:rsidRDefault="005B061E" w:rsidP="00777542">
      <w:pPr>
        <w:pStyle w:val="Source"/>
      </w:pPr>
      <w:r w:rsidRPr="005B061E">
        <w:rPr>
          <w:noProof/>
          <w14:ligatures w14:val="standardContextual"/>
        </w:rPr>
        <w:drawing>
          <wp:inline distT="0" distB="0" distL="0" distR="0" wp14:anchorId="7AFD1A66" wp14:editId="420216E1">
            <wp:extent cx="5332781" cy="2318919"/>
            <wp:effectExtent l="0" t="0" r="1270" b="5715"/>
            <wp:docPr id="1275519744" name="Chart 1" descr="Chart outlining Workforce responses to survey question“How much do you think each option will reduce the risk of harm to children?”">
              <a:extLst xmlns:a="http://schemas.openxmlformats.org/drawingml/2006/main">
                <a:ext uri="{FF2B5EF4-FFF2-40B4-BE49-F238E27FC236}">
                  <a16:creationId xmlns:a16="http://schemas.microsoft.com/office/drawing/2014/main" id="{5DD0A313-E35B-F3A5-FD93-90AB1755D9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1ED63355" w14:textId="6022A402" w:rsidR="00777542" w:rsidRPr="005B061E" w:rsidRDefault="00777542" w:rsidP="00777542">
      <w:pPr>
        <w:pStyle w:val="Source"/>
      </w:pPr>
      <w:r w:rsidRPr="005B061E">
        <w:t xml:space="preserve">Source: Workforce survey, as of </w:t>
      </w:r>
      <w:r w:rsidR="005B061E" w:rsidRPr="005B061E">
        <w:t>11</w:t>
      </w:r>
      <w:r w:rsidRPr="005B061E">
        <w:t xml:space="preserve"> June 2025, Q111, option 1 n=</w:t>
      </w:r>
      <w:r w:rsidR="005B061E" w:rsidRPr="005B061E">
        <w:t>70</w:t>
      </w:r>
      <w:r w:rsidRPr="005B061E">
        <w:t>, option 2 n=</w:t>
      </w:r>
      <w:r w:rsidR="005B061E" w:rsidRPr="005B061E">
        <w:t>71</w:t>
      </w:r>
      <w:r w:rsidRPr="005B061E">
        <w:t>.</w:t>
      </w:r>
    </w:p>
    <w:p w14:paraId="042C54C1" w14:textId="07771222" w:rsidR="00E57169" w:rsidRPr="00CE6754" w:rsidRDefault="00E57169" w:rsidP="00E57169">
      <w:pPr>
        <w:pStyle w:val="CaptionChart"/>
        <w:numPr>
          <w:ilvl w:val="7"/>
          <w:numId w:val="0"/>
        </w:numPr>
      </w:pPr>
      <w:r>
        <w:lastRenderedPageBreak/>
        <w:t>Appendix Chart 12.3.</w:t>
      </w:r>
      <w:r w:rsidR="00E40A0A">
        <w:t>6</w:t>
      </w:r>
      <w:r>
        <w:t>.</w:t>
      </w:r>
      <w:r w:rsidR="00E40A0A">
        <w:t>9</w:t>
      </w:r>
      <w:r>
        <w:t xml:space="preserve"> </w:t>
      </w:r>
      <w:r w:rsidRPr="00CE6754">
        <w:t>Family, carer and parent responses to “How much do you think each option will reduce the risk of harm to children?”</w:t>
      </w:r>
    </w:p>
    <w:p w14:paraId="250E9EB8" w14:textId="72C8FCF7" w:rsidR="00777542" w:rsidRPr="005527D7" w:rsidRDefault="005527D7" w:rsidP="00777542">
      <w:pPr>
        <w:pStyle w:val="Source"/>
      </w:pPr>
      <w:r w:rsidRPr="005527D7">
        <w:rPr>
          <w:noProof/>
          <w14:ligatures w14:val="standardContextual"/>
        </w:rPr>
        <w:drawing>
          <wp:inline distT="0" distB="0" distL="0" distR="0" wp14:anchorId="239D7197" wp14:editId="1A9B3252">
            <wp:extent cx="5571460" cy="2711303"/>
            <wp:effectExtent l="0" t="0" r="0" b="0"/>
            <wp:docPr id="202318075" name="Chart 1" descr="Chart outlining Family, carer and parent responses to survey question “How much do you think each option will reduce the risk of harm to children?”">
              <a:extLst xmlns:a="http://schemas.openxmlformats.org/drawingml/2006/main">
                <a:ext uri="{FF2B5EF4-FFF2-40B4-BE49-F238E27FC236}">
                  <a16:creationId xmlns:a16="http://schemas.microsoft.com/office/drawing/2014/main" id="{0443FD60-56BE-E0CA-9BAE-78A0E1EEC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CEBB6E3" w14:textId="095E7AB5" w:rsidR="00777542" w:rsidRPr="005527D7" w:rsidRDefault="00777542" w:rsidP="00777542">
      <w:pPr>
        <w:pStyle w:val="Source"/>
      </w:pPr>
      <w:r w:rsidRPr="005527D7">
        <w:t xml:space="preserve">Source: Families, carers and parents survey, as of </w:t>
      </w:r>
      <w:r w:rsidR="00E36962">
        <w:t>11</w:t>
      </w:r>
      <w:r w:rsidRPr="005527D7">
        <w:t xml:space="preserve"> June 2025, Q115, option 1 n=</w:t>
      </w:r>
      <w:r w:rsidR="005527D7">
        <w:t>54</w:t>
      </w:r>
      <w:r w:rsidRPr="005527D7">
        <w:t>, option 2 n=</w:t>
      </w:r>
      <w:r w:rsidR="005527D7">
        <w:t>5</w:t>
      </w:r>
      <w:r w:rsidRPr="005527D7">
        <w:t>3.</w:t>
      </w:r>
    </w:p>
    <w:p w14:paraId="39D3E53A" w14:textId="479A027B" w:rsidR="00777542" w:rsidRPr="005B061E" w:rsidRDefault="00777542" w:rsidP="00777542">
      <w:pPr>
        <w:pStyle w:val="Heading4un-numbered"/>
      </w:pPr>
      <w:r w:rsidRPr="005B061E">
        <w:t xml:space="preserve">Extending the limitation period for commencing proceedings under the National Law – </w:t>
      </w:r>
      <w:r w:rsidR="00370AB1">
        <w:t xml:space="preserve">Preferred option or combination </w:t>
      </w:r>
      <w:r w:rsidRPr="005B061E">
        <w:t>of options</w:t>
      </w:r>
    </w:p>
    <w:p w14:paraId="110DB5D8" w14:textId="05B8A7A7" w:rsidR="00777542" w:rsidRPr="00133272" w:rsidRDefault="00E40A0A" w:rsidP="00777542">
      <w:pPr>
        <w:pStyle w:val="CaptionChart"/>
        <w:numPr>
          <w:ilvl w:val="7"/>
          <w:numId w:val="0"/>
        </w:numPr>
      </w:pPr>
      <w:r w:rsidRPr="00E40A0A">
        <w:t>Appendix Chart 12.3.</w:t>
      </w:r>
      <w:r>
        <w:t>6.10</w:t>
      </w:r>
      <w:r w:rsidRPr="00E40A0A">
        <w:t xml:space="preserve"> </w:t>
      </w:r>
      <w:bookmarkStart w:id="365" w:name="_Toc200656130"/>
      <w:bookmarkStart w:id="366" w:name="_Toc200657473"/>
      <w:r w:rsidR="00777542" w:rsidRPr="00133272">
        <w:t xml:space="preserve">Approved provider responses to “What is your </w:t>
      </w:r>
      <w:r w:rsidR="00B734E0">
        <w:t xml:space="preserve">preferred option or combination </w:t>
      </w:r>
      <w:r w:rsidR="00777542" w:rsidRPr="00133272">
        <w:t>of options?”</w:t>
      </w:r>
      <w:bookmarkEnd w:id="365"/>
      <w:bookmarkEnd w:id="366"/>
    </w:p>
    <w:p w14:paraId="5605D5CA" w14:textId="1C092929" w:rsidR="00777542" w:rsidRPr="00133272" w:rsidRDefault="00133272" w:rsidP="00777542">
      <w:r w:rsidRPr="00133272">
        <w:rPr>
          <w:noProof/>
          <w14:ligatures w14:val="standardContextual"/>
        </w:rPr>
        <w:drawing>
          <wp:inline distT="0" distB="0" distL="0" distR="0" wp14:anchorId="267CC970" wp14:editId="0F83AC9E">
            <wp:extent cx="5426710" cy="1605516"/>
            <wp:effectExtent l="0" t="0" r="2540" b="0"/>
            <wp:docPr id="1179077192" name="Chart 1" descr="Chart outlining Approved provider responses to survey question “What is your preferred option or combination of options?”">
              <a:extLst xmlns:a="http://schemas.openxmlformats.org/drawingml/2006/main">
                <a:ext uri="{FF2B5EF4-FFF2-40B4-BE49-F238E27FC236}">
                  <a16:creationId xmlns:a16="http://schemas.microsoft.com/office/drawing/2014/main" id="{F17B55D1-A440-1573-9F59-5026CCE9B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38E79AAC" w14:textId="3621C96E" w:rsidR="00777542" w:rsidRPr="00133272" w:rsidRDefault="00777542" w:rsidP="00867F1A">
      <w:pPr>
        <w:pStyle w:val="Source-CSR"/>
      </w:pPr>
      <w:r w:rsidRPr="00133272">
        <w:t xml:space="preserve">Source: Approved provider survey, as of </w:t>
      </w:r>
      <w:r w:rsidR="00E36962" w:rsidRPr="00636B94">
        <w:t>11</w:t>
      </w:r>
      <w:r w:rsidRPr="00636B94">
        <w:t xml:space="preserve"> June 2025, Q115, n=</w:t>
      </w:r>
      <w:r w:rsidR="00133272" w:rsidRPr="00636B94">
        <w:t>80</w:t>
      </w:r>
      <w:r w:rsidRPr="00636B94">
        <w:t>.</w:t>
      </w:r>
      <w:r w:rsidR="00BA43EF" w:rsidRPr="00636B94">
        <w:t xml:space="preserve"> Note that due to rounding, percentages may not add to 100%.</w:t>
      </w:r>
    </w:p>
    <w:p w14:paraId="28258EBB" w14:textId="7E60AED0" w:rsidR="00777542" w:rsidRPr="005B061E" w:rsidRDefault="00E40A0A" w:rsidP="00777542">
      <w:pPr>
        <w:pStyle w:val="CaptionChart"/>
        <w:numPr>
          <w:ilvl w:val="7"/>
          <w:numId w:val="0"/>
        </w:numPr>
      </w:pPr>
      <w:r w:rsidRPr="00E40A0A">
        <w:t>Appendix Chart 12.3.</w:t>
      </w:r>
      <w:r>
        <w:t>6.11</w:t>
      </w:r>
      <w:r w:rsidR="00777542" w:rsidRPr="005B061E">
        <w:t xml:space="preserve"> </w:t>
      </w:r>
      <w:bookmarkStart w:id="367" w:name="_Toc200656131"/>
      <w:bookmarkStart w:id="368" w:name="_Toc200657474"/>
      <w:r w:rsidR="00777542" w:rsidRPr="005B061E">
        <w:t xml:space="preserve">Workforce responses to “What is your </w:t>
      </w:r>
      <w:r w:rsidR="00B734E0">
        <w:t xml:space="preserve">preferred option or combination </w:t>
      </w:r>
      <w:r w:rsidR="00777542" w:rsidRPr="005B061E">
        <w:t>of options?”</w:t>
      </w:r>
      <w:bookmarkEnd w:id="367"/>
      <w:bookmarkEnd w:id="368"/>
    </w:p>
    <w:p w14:paraId="43E15208" w14:textId="2ACC8ACE" w:rsidR="00777542" w:rsidRPr="00777542" w:rsidRDefault="003E5644" w:rsidP="00777542">
      <w:pPr>
        <w:rPr>
          <w:color w:val="808080" w:themeColor="background1" w:themeShade="80"/>
          <w:sz w:val="14"/>
          <w:szCs w:val="10"/>
          <w:highlight w:val="yellow"/>
        </w:rPr>
      </w:pPr>
      <w:r>
        <w:rPr>
          <w:noProof/>
          <w14:ligatures w14:val="standardContextual"/>
        </w:rPr>
        <w:drawing>
          <wp:inline distT="0" distB="0" distL="0" distR="0" wp14:anchorId="03F5CACB" wp14:editId="667D8929">
            <wp:extent cx="5522976" cy="1517650"/>
            <wp:effectExtent l="0" t="0" r="1905" b="6350"/>
            <wp:docPr id="1379997833" name="Chart 1" descr="Chart outlining Workforce responses to survey question “What is your preferred option or combination of options?”">
              <a:extLst xmlns:a="http://schemas.openxmlformats.org/drawingml/2006/main">
                <a:ext uri="{FF2B5EF4-FFF2-40B4-BE49-F238E27FC236}">
                  <a16:creationId xmlns:a16="http://schemas.microsoft.com/office/drawing/2014/main" id="{0B270843-70FC-D521-8241-A2A1CE1E0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3614DC4A" w14:textId="36CE4FE6" w:rsidR="00777542" w:rsidRPr="00BA43EF" w:rsidRDefault="00777542" w:rsidP="00867F1A">
      <w:pPr>
        <w:pStyle w:val="Source-CSR"/>
      </w:pPr>
      <w:r w:rsidRPr="003E5644">
        <w:t xml:space="preserve">Source: Workforce survey, as of </w:t>
      </w:r>
      <w:r w:rsidR="003E5644" w:rsidRPr="00636B94">
        <w:t>11</w:t>
      </w:r>
      <w:r w:rsidRPr="00636B94">
        <w:t xml:space="preserve"> June 2025, Q113, n=</w:t>
      </w:r>
      <w:r w:rsidR="003E5644" w:rsidRPr="00636B94">
        <w:t>63</w:t>
      </w:r>
      <w:r w:rsidRPr="00636B94">
        <w:t>.</w:t>
      </w:r>
      <w:r w:rsidR="00BA43EF" w:rsidRPr="00636B94">
        <w:t xml:space="preserve"> Note that due to rounding, percentages may not add to 100%.</w:t>
      </w:r>
    </w:p>
    <w:p w14:paraId="5953E57D" w14:textId="74EAEE77" w:rsidR="00777542" w:rsidRPr="005527D7" w:rsidRDefault="00E40A0A" w:rsidP="00777542">
      <w:pPr>
        <w:pStyle w:val="CaptionChart"/>
        <w:numPr>
          <w:ilvl w:val="7"/>
          <w:numId w:val="0"/>
        </w:numPr>
      </w:pPr>
      <w:r w:rsidRPr="00E40A0A">
        <w:lastRenderedPageBreak/>
        <w:t>Appendix Chart 12.3.</w:t>
      </w:r>
      <w:r>
        <w:t>6.12</w:t>
      </w:r>
      <w:r w:rsidR="00777542" w:rsidRPr="005527D7">
        <w:t xml:space="preserve"> </w:t>
      </w:r>
      <w:bookmarkStart w:id="369" w:name="_Toc200656132"/>
      <w:bookmarkStart w:id="370" w:name="_Toc200657475"/>
      <w:r w:rsidR="00777542" w:rsidRPr="005527D7">
        <w:t xml:space="preserve">Family, carer, and parent responses to “What is your </w:t>
      </w:r>
      <w:r w:rsidR="00B734E0">
        <w:t xml:space="preserve">preferred option or combination </w:t>
      </w:r>
      <w:r w:rsidR="00777542" w:rsidRPr="005527D7">
        <w:t>of options?”</w:t>
      </w:r>
      <w:bookmarkEnd w:id="369"/>
      <w:bookmarkEnd w:id="370"/>
    </w:p>
    <w:p w14:paraId="0297C7C0" w14:textId="488A0B2E" w:rsidR="00777542" w:rsidRPr="005527D7" w:rsidRDefault="005527D7" w:rsidP="00777542">
      <w:pPr>
        <w:rPr>
          <w:color w:val="808080" w:themeColor="background1" w:themeShade="80"/>
          <w:sz w:val="14"/>
          <w:szCs w:val="10"/>
        </w:rPr>
      </w:pPr>
      <w:r w:rsidRPr="005527D7">
        <w:rPr>
          <w:noProof/>
          <w14:ligatures w14:val="standardContextual"/>
        </w:rPr>
        <w:drawing>
          <wp:inline distT="0" distB="0" distL="0" distR="0" wp14:anchorId="72DBBD19" wp14:editId="1C34F174">
            <wp:extent cx="5624623" cy="1362075"/>
            <wp:effectExtent l="0" t="0" r="0" b="0"/>
            <wp:docPr id="1912433839" name="Chart 1" descr="Chart outlining Family, carer, and parent responses to survey question “What is your preferred option or combination of options?”">
              <a:extLst xmlns:a="http://schemas.openxmlformats.org/drawingml/2006/main">
                <a:ext uri="{FF2B5EF4-FFF2-40B4-BE49-F238E27FC236}">
                  <a16:creationId xmlns:a16="http://schemas.microsoft.com/office/drawing/2014/main" id="{29C22E52-677A-DD65-715E-38FE422C9C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13D6D457" w14:textId="50736D50" w:rsidR="00777542" w:rsidRPr="00BA43EF" w:rsidRDefault="00777542" w:rsidP="00867F1A">
      <w:pPr>
        <w:pStyle w:val="Source-CSR"/>
      </w:pPr>
      <w:r w:rsidRPr="005527D7">
        <w:t xml:space="preserve">Source: Families, carers and parents survey, </w:t>
      </w:r>
      <w:r w:rsidRPr="00636B94">
        <w:t xml:space="preserve">as of </w:t>
      </w:r>
      <w:r w:rsidR="00E36962" w:rsidRPr="00636B94">
        <w:t>11</w:t>
      </w:r>
      <w:r w:rsidRPr="00636B94">
        <w:t xml:space="preserve"> June 2025, Q113, n=</w:t>
      </w:r>
      <w:r w:rsidR="005527D7" w:rsidRPr="00636B94">
        <w:t>54</w:t>
      </w:r>
      <w:r w:rsidRPr="00636B94">
        <w:t>.</w:t>
      </w:r>
      <w:r w:rsidR="00BA43EF" w:rsidRPr="00636B94">
        <w:t xml:space="preserve"> Note that due to rounding, percentages may not add to 100%.</w:t>
      </w:r>
    </w:p>
    <w:p w14:paraId="339CBAF1" w14:textId="77777777" w:rsidR="00777542" w:rsidRPr="003E5644" w:rsidRDefault="00777542" w:rsidP="00777542">
      <w:pPr>
        <w:pStyle w:val="Heading4un-numbered"/>
      </w:pPr>
      <w:r w:rsidRPr="003E5644">
        <w:t>Information sharing provisions for recruitment agencies – Reduction of the risk of harm</w:t>
      </w:r>
    </w:p>
    <w:p w14:paraId="308C76C0" w14:textId="3FA98AC3" w:rsidR="00947971" w:rsidRPr="00F64B5C" w:rsidRDefault="00947971" w:rsidP="00947971">
      <w:pPr>
        <w:pStyle w:val="CaptionChart"/>
      </w:pPr>
      <w:r>
        <w:t>Appendix Chart 12.3.</w:t>
      </w:r>
      <w:r w:rsidR="00E40A0A">
        <w:t>6</w:t>
      </w:r>
      <w:r>
        <w:t>.1</w:t>
      </w:r>
      <w:r w:rsidR="00E40A0A">
        <w:t>3</w:t>
      </w:r>
      <w:r w:rsidR="00777542" w:rsidRPr="00081BBB">
        <w:t xml:space="preserve"> </w:t>
      </w:r>
      <w:bookmarkStart w:id="371" w:name="_Toc200656133"/>
      <w:bookmarkStart w:id="372" w:name="_Toc200657476"/>
      <w:r w:rsidR="00777542" w:rsidRPr="00081BBB">
        <w:t>Approved provider responses to “How much do you think each option will reduce the risk of harm to children?”</w:t>
      </w:r>
    </w:p>
    <w:bookmarkEnd w:id="371"/>
    <w:bookmarkEnd w:id="372"/>
    <w:p w14:paraId="3F0434A0" w14:textId="20909645" w:rsidR="00777542" w:rsidRPr="00081BBB" w:rsidRDefault="00081BBB" w:rsidP="00777542">
      <w:r w:rsidRPr="00081BBB">
        <w:rPr>
          <w:noProof/>
          <w14:ligatures w14:val="standardContextual"/>
        </w:rPr>
        <w:drawing>
          <wp:inline distT="0" distB="0" distL="0" distR="0" wp14:anchorId="65E1A3BD" wp14:editId="140899F3">
            <wp:extent cx="5635256" cy="2934586"/>
            <wp:effectExtent l="0" t="0" r="3810" b="0"/>
            <wp:docPr id="100830537" name="Chart 1" descr="Chart outlining Approved provider responses to survey question “How much do you think each option will reduce the risk of harm to children?”">
              <a:extLst xmlns:a="http://schemas.openxmlformats.org/drawingml/2006/main">
                <a:ext uri="{FF2B5EF4-FFF2-40B4-BE49-F238E27FC236}">
                  <a16:creationId xmlns:a16="http://schemas.microsoft.com/office/drawing/2014/main" id="{339CC345-4368-728D-013D-049DD403C3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1F63B4D2" w14:textId="104C668D" w:rsidR="00777542" w:rsidRPr="00636B94" w:rsidRDefault="00777542" w:rsidP="00867F1A">
      <w:pPr>
        <w:pStyle w:val="Source-CSR"/>
      </w:pPr>
      <w:r w:rsidRPr="00081BBB">
        <w:t xml:space="preserve">Source: Approved provider survey, as of </w:t>
      </w:r>
      <w:r w:rsidR="00E36962" w:rsidRPr="00636B94">
        <w:t>11</w:t>
      </w:r>
      <w:r w:rsidRPr="00636B94">
        <w:t xml:space="preserve"> June 2025, Q123, option 1 n=</w:t>
      </w:r>
      <w:r w:rsidR="00081BBB" w:rsidRPr="00636B94">
        <w:t>76</w:t>
      </w:r>
      <w:r w:rsidRPr="00636B94">
        <w:t>, option 2 n=</w:t>
      </w:r>
      <w:r w:rsidR="00081BBB" w:rsidRPr="00636B94">
        <w:t>76</w:t>
      </w:r>
      <w:r w:rsidRPr="00636B94">
        <w:t>, option 3 n=</w:t>
      </w:r>
      <w:r w:rsidR="00081BBB" w:rsidRPr="00636B94">
        <w:t>77</w:t>
      </w:r>
      <w:r w:rsidRPr="00636B94">
        <w:t>, option 4 n=</w:t>
      </w:r>
      <w:r w:rsidR="00081BBB" w:rsidRPr="00636B94">
        <w:t>76</w:t>
      </w:r>
      <w:r w:rsidRPr="00636B94">
        <w:t>, option 5 n=</w:t>
      </w:r>
      <w:r w:rsidR="00081BBB" w:rsidRPr="00636B94">
        <w:t>76</w:t>
      </w:r>
      <w:r w:rsidRPr="00636B94">
        <w:t>.</w:t>
      </w:r>
    </w:p>
    <w:p w14:paraId="5D993709" w14:textId="6334E989" w:rsidR="00E57169" w:rsidRPr="00DA4F42" w:rsidRDefault="00E57169" w:rsidP="00E57169">
      <w:pPr>
        <w:pStyle w:val="CaptionChart"/>
        <w:numPr>
          <w:ilvl w:val="7"/>
          <w:numId w:val="0"/>
        </w:numPr>
      </w:pPr>
      <w:bookmarkStart w:id="373" w:name="_Toc200656134"/>
      <w:bookmarkStart w:id="374" w:name="_Toc200657477"/>
      <w:r>
        <w:lastRenderedPageBreak/>
        <w:t>Appendix Chart 12.3.</w:t>
      </w:r>
      <w:r w:rsidR="00E40A0A">
        <w:t>6</w:t>
      </w:r>
      <w:r>
        <w:t>.</w:t>
      </w:r>
      <w:r w:rsidR="00E40A0A">
        <w:t>14</w:t>
      </w:r>
      <w:r>
        <w:t xml:space="preserve"> </w:t>
      </w:r>
      <w:r w:rsidR="00777542" w:rsidRPr="003E5644">
        <w:t>Workforce responses to “How much do you think each option will reduce the risk of harm to children?”</w:t>
      </w:r>
    </w:p>
    <w:bookmarkEnd w:id="373"/>
    <w:bookmarkEnd w:id="374"/>
    <w:p w14:paraId="16ACF967" w14:textId="61437D08" w:rsidR="00777542" w:rsidRPr="00777542" w:rsidRDefault="0024489F" w:rsidP="00777542">
      <w:pPr>
        <w:pStyle w:val="Source"/>
        <w:rPr>
          <w:highlight w:val="yellow"/>
        </w:rPr>
      </w:pPr>
      <w:r>
        <w:rPr>
          <w:noProof/>
          <w14:ligatures w14:val="standardContextual"/>
        </w:rPr>
        <w:drawing>
          <wp:inline distT="0" distB="0" distL="0" distR="0" wp14:anchorId="752077D7" wp14:editId="33232A1E">
            <wp:extent cx="5793638" cy="2523744"/>
            <wp:effectExtent l="0" t="0" r="0" b="0"/>
            <wp:docPr id="538133818" name="Chart 1" descr="Chart outlining Workforce responses to survey question “How much do you think each option will reduce the risk of harm to children?”">
              <a:extLst xmlns:a="http://schemas.openxmlformats.org/drawingml/2006/main">
                <a:ext uri="{FF2B5EF4-FFF2-40B4-BE49-F238E27FC236}">
                  <a16:creationId xmlns:a16="http://schemas.microsoft.com/office/drawing/2014/main" id="{D41DDC40-2641-909F-DFB8-101DE5627C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04E8A2E9" w14:textId="3E27CE7B" w:rsidR="00777542" w:rsidRPr="0024489F" w:rsidRDefault="00777542" w:rsidP="00777542">
      <w:pPr>
        <w:pStyle w:val="Source"/>
      </w:pPr>
      <w:r w:rsidRPr="0024489F">
        <w:t xml:space="preserve">Source: Workforce survey, as of </w:t>
      </w:r>
      <w:r w:rsidR="0024489F" w:rsidRPr="0024489F">
        <w:t>11</w:t>
      </w:r>
      <w:r w:rsidRPr="0024489F">
        <w:t xml:space="preserve"> June 2025, Q119, option 1 n=</w:t>
      </w:r>
      <w:r w:rsidR="0024489F" w:rsidRPr="0024489F">
        <w:t>68</w:t>
      </w:r>
      <w:r w:rsidRPr="0024489F">
        <w:t>, option 2 n=</w:t>
      </w:r>
      <w:r w:rsidR="0024489F" w:rsidRPr="0024489F">
        <w:t>64</w:t>
      </w:r>
      <w:r w:rsidRPr="0024489F">
        <w:t>, option 3 n=</w:t>
      </w:r>
      <w:r w:rsidR="0024489F" w:rsidRPr="0024489F">
        <w:t>64</w:t>
      </w:r>
      <w:r w:rsidRPr="0024489F">
        <w:t>, option 4 n=</w:t>
      </w:r>
      <w:r w:rsidR="0024489F" w:rsidRPr="0024489F">
        <w:t>6</w:t>
      </w:r>
      <w:r w:rsidRPr="0024489F">
        <w:t>5, option 5 n=</w:t>
      </w:r>
      <w:r w:rsidR="0024489F" w:rsidRPr="0024489F">
        <w:t>64</w:t>
      </w:r>
      <w:r w:rsidRPr="0024489F">
        <w:t>.</w:t>
      </w:r>
    </w:p>
    <w:p w14:paraId="056DE0FE" w14:textId="0E3B093C" w:rsidR="00E57169" w:rsidRPr="00CE6754" w:rsidRDefault="00E57169" w:rsidP="00E57169">
      <w:pPr>
        <w:pStyle w:val="CaptionChart"/>
        <w:numPr>
          <w:ilvl w:val="7"/>
          <w:numId w:val="0"/>
        </w:numPr>
      </w:pPr>
      <w:r>
        <w:t>Appendix Chart 12.3.</w:t>
      </w:r>
      <w:r w:rsidR="00E40A0A">
        <w:t>6</w:t>
      </w:r>
      <w:r>
        <w:t>.</w:t>
      </w:r>
      <w:r w:rsidR="00E40A0A">
        <w:t>15</w:t>
      </w:r>
      <w:r>
        <w:t xml:space="preserve"> </w:t>
      </w:r>
      <w:r w:rsidRPr="00CE6754">
        <w:t>Family, carer and parent responses to “How much do you think each option will reduce the risk of harm to children?”</w:t>
      </w:r>
    </w:p>
    <w:p w14:paraId="42F3BAA2" w14:textId="663AF7F2" w:rsidR="00B874C4" w:rsidRPr="00B874C4" w:rsidRDefault="00B874C4" w:rsidP="00777542">
      <w:pPr>
        <w:pStyle w:val="Source"/>
        <w:rPr>
          <w:noProof/>
          <w14:ligatures w14:val="standardContextual"/>
        </w:rPr>
      </w:pPr>
      <w:r w:rsidRPr="00B874C4">
        <w:rPr>
          <w:noProof/>
          <w14:ligatures w14:val="standardContextual"/>
        </w:rPr>
        <w:drawing>
          <wp:inline distT="0" distB="0" distL="0" distR="0" wp14:anchorId="7F46FDC4" wp14:editId="67D89F75">
            <wp:extent cx="5752214" cy="2796363"/>
            <wp:effectExtent l="0" t="0" r="1270" b="4445"/>
            <wp:docPr id="1436294229" name="Chart 1" descr="Chart outlining Family, carer and parent responses to survey question “How much do you think each option will reduce the risk of harm to children?”">
              <a:extLst xmlns:a="http://schemas.openxmlformats.org/drawingml/2006/main">
                <a:ext uri="{FF2B5EF4-FFF2-40B4-BE49-F238E27FC236}">
                  <a16:creationId xmlns:a16="http://schemas.microsoft.com/office/drawing/2014/main" id="{5B93DDA8-09A2-2044-62A7-E820197F8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07E1AE9B" w14:textId="291B643A" w:rsidR="00777542" w:rsidRPr="00B874C4" w:rsidRDefault="00777542" w:rsidP="00777542">
      <w:pPr>
        <w:pStyle w:val="Source"/>
      </w:pPr>
      <w:r w:rsidRPr="00B874C4">
        <w:t xml:space="preserve">Source: Families, carers and parents survey, as of </w:t>
      </w:r>
      <w:r w:rsidR="00E36962">
        <w:t>11</w:t>
      </w:r>
      <w:r w:rsidRPr="00B874C4">
        <w:t xml:space="preserve"> June 2025, Q123, option 1 n=</w:t>
      </w:r>
      <w:r w:rsidR="00B874C4">
        <w:t>50</w:t>
      </w:r>
      <w:r w:rsidRPr="00B874C4">
        <w:t>, option 2 n=</w:t>
      </w:r>
      <w:r w:rsidR="00B874C4">
        <w:t>52</w:t>
      </w:r>
      <w:r w:rsidRPr="00B874C4">
        <w:t>, option 3 n=</w:t>
      </w:r>
      <w:r w:rsidR="00B874C4">
        <w:t>52</w:t>
      </w:r>
      <w:r w:rsidRPr="00B874C4">
        <w:t>, option 4 n=</w:t>
      </w:r>
      <w:r w:rsidR="00B874C4">
        <w:t>51</w:t>
      </w:r>
      <w:r w:rsidRPr="00B874C4">
        <w:t>, option 5 n=</w:t>
      </w:r>
      <w:r w:rsidR="00B874C4">
        <w:t>51</w:t>
      </w:r>
      <w:r w:rsidRPr="00B874C4">
        <w:t>.</w:t>
      </w:r>
    </w:p>
    <w:p w14:paraId="77F428E0" w14:textId="77777777" w:rsidR="00777542" w:rsidRPr="00777542" w:rsidRDefault="00777542" w:rsidP="00777542">
      <w:pPr>
        <w:rPr>
          <w:highlight w:val="yellow"/>
        </w:rPr>
      </w:pPr>
    </w:p>
    <w:p w14:paraId="6CD11EE5" w14:textId="77777777" w:rsidR="00777542" w:rsidRPr="00777542" w:rsidRDefault="00777542" w:rsidP="00777542">
      <w:pPr>
        <w:rPr>
          <w:highlight w:val="yellow"/>
        </w:rPr>
      </w:pPr>
    </w:p>
    <w:p w14:paraId="2D9B2B68" w14:textId="77777777" w:rsidR="00777542" w:rsidRPr="00777542" w:rsidRDefault="00777542" w:rsidP="00777542">
      <w:pPr>
        <w:rPr>
          <w:highlight w:val="yellow"/>
        </w:rPr>
      </w:pPr>
    </w:p>
    <w:p w14:paraId="34DD0422" w14:textId="56CC6DA8" w:rsidR="00777542" w:rsidRPr="0024489F" w:rsidRDefault="00777542" w:rsidP="00777542">
      <w:pPr>
        <w:pStyle w:val="Heading4un-numbered"/>
      </w:pPr>
      <w:r w:rsidRPr="0024489F">
        <w:lastRenderedPageBreak/>
        <w:t xml:space="preserve">Information sharing provisions for recruitment agencies – </w:t>
      </w:r>
      <w:r w:rsidR="00370AB1">
        <w:t xml:space="preserve">Preferred option or combination </w:t>
      </w:r>
      <w:r w:rsidRPr="0024489F">
        <w:t>of options</w:t>
      </w:r>
    </w:p>
    <w:p w14:paraId="1DF44D8B" w14:textId="0504E6DB" w:rsidR="00777542" w:rsidRPr="00D23B34" w:rsidRDefault="00E40A0A" w:rsidP="00777542">
      <w:pPr>
        <w:pStyle w:val="CaptionChart"/>
        <w:numPr>
          <w:ilvl w:val="7"/>
          <w:numId w:val="0"/>
        </w:numPr>
      </w:pPr>
      <w:r>
        <w:t>Appendix Table 12.3.6.1</w:t>
      </w:r>
      <w:r w:rsidR="00777542" w:rsidRPr="00D23B34">
        <w:t xml:space="preserve"> </w:t>
      </w:r>
      <w:bookmarkStart w:id="375" w:name="_Toc200656136"/>
      <w:bookmarkStart w:id="376" w:name="_Toc200657479"/>
      <w:r w:rsidR="00777542" w:rsidRPr="00D23B34">
        <w:t xml:space="preserve">Approved provider responses to “What is your </w:t>
      </w:r>
      <w:r w:rsidR="00B734E0">
        <w:t xml:space="preserve">preferred option or combination </w:t>
      </w:r>
      <w:r w:rsidR="00777542" w:rsidRPr="00D23B34">
        <w:t>of options?”</w:t>
      </w:r>
      <w:bookmarkEnd w:id="375"/>
      <w:bookmarkEnd w:id="376"/>
    </w:p>
    <w:tbl>
      <w:tblPr>
        <w:tblW w:w="9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3"/>
        <w:gridCol w:w="2078"/>
        <w:gridCol w:w="2420"/>
      </w:tblGrid>
      <w:tr w:rsidR="00777542" w:rsidRPr="00777542" w14:paraId="5BE4AB4D" w14:textId="77777777" w:rsidTr="00D94F44">
        <w:trPr>
          <w:trHeight w:val="289"/>
        </w:trPr>
        <w:tc>
          <w:tcPr>
            <w:tcW w:w="4543" w:type="dxa"/>
            <w:tcBorders>
              <w:top w:val="single" w:sz="12" w:space="0" w:color="006B77" w:themeColor="background2"/>
            </w:tcBorders>
            <w:noWrap/>
            <w:vAlign w:val="center"/>
            <w:hideMark/>
          </w:tcPr>
          <w:p w14:paraId="404F8205" w14:textId="671879A0" w:rsidR="00777542" w:rsidRPr="00D23B34" w:rsidRDefault="00370AB1">
            <w:pPr>
              <w:rPr>
                <w:b/>
                <w:lang w:eastAsia="en-AU"/>
              </w:rPr>
            </w:pPr>
            <w:r>
              <w:rPr>
                <w:b/>
                <w:sz w:val="20"/>
                <w:szCs w:val="16"/>
                <w:lang w:eastAsia="en-AU"/>
              </w:rPr>
              <w:t xml:space="preserve">Preferred option or combination </w:t>
            </w:r>
            <w:r w:rsidR="00777542" w:rsidRPr="00D23B34">
              <w:rPr>
                <w:b/>
                <w:sz w:val="20"/>
                <w:szCs w:val="16"/>
                <w:lang w:eastAsia="en-AU"/>
              </w:rPr>
              <w:t>of options</w:t>
            </w:r>
          </w:p>
        </w:tc>
        <w:tc>
          <w:tcPr>
            <w:tcW w:w="2078" w:type="dxa"/>
            <w:tcBorders>
              <w:top w:val="single" w:sz="12" w:space="0" w:color="006B77" w:themeColor="background2"/>
            </w:tcBorders>
            <w:noWrap/>
            <w:vAlign w:val="center"/>
            <w:hideMark/>
          </w:tcPr>
          <w:p w14:paraId="453BE051" w14:textId="77777777" w:rsidR="00777542" w:rsidRPr="00D23B34" w:rsidRDefault="00777542">
            <w:pPr>
              <w:spacing w:after="0" w:line="240" w:lineRule="auto"/>
              <w:jc w:val="right"/>
              <w:rPr>
                <w:rFonts w:eastAsia="Times New Roman" w:cs="Arial"/>
                <w:b/>
                <w:color w:val="000000"/>
                <w:sz w:val="20"/>
                <w:szCs w:val="20"/>
                <w:lang w:eastAsia="en-AU"/>
              </w:rPr>
            </w:pPr>
            <w:r w:rsidRPr="00D23B34">
              <w:rPr>
                <w:rFonts w:eastAsia="Times New Roman" w:cs="Arial"/>
                <w:b/>
                <w:color w:val="000000"/>
                <w:sz w:val="20"/>
                <w:szCs w:val="20"/>
                <w:lang w:eastAsia="en-AU"/>
              </w:rPr>
              <w:t>Number of responses</w:t>
            </w:r>
          </w:p>
        </w:tc>
        <w:tc>
          <w:tcPr>
            <w:tcW w:w="2420" w:type="dxa"/>
            <w:tcBorders>
              <w:top w:val="single" w:sz="12" w:space="0" w:color="006B77" w:themeColor="background2"/>
            </w:tcBorders>
            <w:noWrap/>
            <w:vAlign w:val="center"/>
            <w:hideMark/>
          </w:tcPr>
          <w:p w14:paraId="25196FD9" w14:textId="77777777" w:rsidR="00777542" w:rsidRPr="00D23B34" w:rsidRDefault="00777542">
            <w:pPr>
              <w:spacing w:after="0" w:line="240" w:lineRule="auto"/>
              <w:jc w:val="right"/>
              <w:rPr>
                <w:rFonts w:eastAsia="Times New Roman" w:cs="Arial"/>
                <w:b/>
                <w:color w:val="000000"/>
                <w:sz w:val="20"/>
                <w:szCs w:val="20"/>
                <w:lang w:eastAsia="en-AU"/>
              </w:rPr>
            </w:pPr>
            <w:r w:rsidRPr="00D23B34">
              <w:rPr>
                <w:rFonts w:eastAsia="Times New Roman" w:cs="Arial"/>
                <w:b/>
                <w:color w:val="000000"/>
                <w:sz w:val="20"/>
                <w:szCs w:val="20"/>
                <w:lang w:eastAsia="en-AU"/>
              </w:rPr>
              <w:t>Proportion of respondents</w:t>
            </w:r>
          </w:p>
        </w:tc>
      </w:tr>
      <w:tr w:rsidR="00777542" w:rsidRPr="00777542" w14:paraId="219E0DC2" w14:textId="77777777" w:rsidTr="00C12306">
        <w:trPr>
          <w:trHeight w:val="275"/>
        </w:trPr>
        <w:tc>
          <w:tcPr>
            <w:tcW w:w="4543" w:type="dxa"/>
            <w:shd w:val="clear" w:color="auto" w:fill="F2F2F2" w:themeFill="background1" w:themeFillShade="F2"/>
            <w:noWrap/>
            <w:vAlign w:val="bottom"/>
            <w:hideMark/>
          </w:tcPr>
          <w:p w14:paraId="6E8C9025"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 1</w:t>
            </w:r>
          </w:p>
        </w:tc>
        <w:tc>
          <w:tcPr>
            <w:tcW w:w="2078" w:type="dxa"/>
            <w:shd w:val="clear" w:color="auto" w:fill="F2F2F2" w:themeFill="background1" w:themeFillShade="F2"/>
            <w:noWrap/>
            <w:hideMark/>
          </w:tcPr>
          <w:p w14:paraId="2182E037" w14:textId="0285D11E" w:rsidR="00777542" w:rsidRPr="00D23B34" w:rsidRDefault="00777542">
            <w:pPr>
              <w:spacing w:after="0" w:line="240" w:lineRule="auto"/>
              <w:jc w:val="right"/>
              <w:rPr>
                <w:rFonts w:eastAsia="Times New Roman" w:cs="Arial"/>
                <w:color w:val="000000"/>
                <w:sz w:val="20"/>
                <w:szCs w:val="20"/>
                <w:lang w:eastAsia="en-AU"/>
              </w:rPr>
            </w:pPr>
            <w:r w:rsidRPr="00D23B34">
              <w:t>1</w:t>
            </w:r>
          </w:p>
        </w:tc>
        <w:tc>
          <w:tcPr>
            <w:tcW w:w="2420" w:type="dxa"/>
            <w:shd w:val="clear" w:color="auto" w:fill="F2F2F2" w:themeFill="background1" w:themeFillShade="F2"/>
            <w:noWrap/>
            <w:hideMark/>
          </w:tcPr>
          <w:p w14:paraId="34E072BA" w14:textId="30729697" w:rsidR="00777542" w:rsidRPr="00D23B34" w:rsidRDefault="00D23B34">
            <w:pPr>
              <w:spacing w:after="0" w:line="240" w:lineRule="auto"/>
              <w:jc w:val="right"/>
              <w:rPr>
                <w:rFonts w:eastAsia="Times New Roman" w:cs="Arial"/>
                <w:color w:val="000000"/>
                <w:sz w:val="20"/>
                <w:szCs w:val="20"/>
                <w:lang w:eastAsia="en-AU"/>
              </w:rPr>
            </w:pPr>
            <w:r w:rsidRPr="00D23B34">
              <w:t>1</w:t>
            </w:r>
            <w:r w:rsidR="00777542" w:rsidRPr="00D23B34">
              <w:t>%</w:t>
            </w:r>
          </w:p>
        </w:tc>
      </w:tr>
      <w:tr w:rsidR="00777542" w:rsidRPr="00777542" w14:paraId="30BB54DB" w14:textId="77777777" w:rsidTr="00C12306">
        <w:trPr>
          <w:trHeight w:val="275"/>
        </w:trPr>
        <w:tc>
          <w:tcPr>
            <w:tcW w:w="4543" w:type="dxa"/>
            <w:shd w:val="clear" w:color="auto" w:fill="F2F2F2" w:themeFill="background1" w:themeFillShade="F2"/>
            <w:noWrap/>
            <w:vAlign w:val="bottom"/>
            <w:hideMark/>
          </w:tcPr>
          <w:p w14:paraId="47828A31"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 2</w:t>
            </w:r>
          </w:p>
        </w:tc>
        <w:tc>
          <w:tcPr>
            <w:tcW w:w="2078" w:type="dxa"/>
            <w:shd w:val="clear" w:color="auto" w:fill="F2F2F2" w:themeFill="background1" w:themeFillShade="F2"/>
            <w:noWrap/>
            <w:hideMark/>
          </w:tcPr>
          <w:p w14:paraId="75FC54E9" w14:textId="443C201C" w:rsidR="00777542" w:rsidRPr="00D23B34" w:rsidRDefault="00777542">
            <w:pPr>
              <w:spacing w:after="0" w:line="240" w:lineRule="auto"/>
              <w:jc w:val="right"/>
              <w:rPr>
                <w:rFonts w:eastAsia="Times New Roman" w:cs="Arial"/>
                <w:color w:val="000000"/>
                <w:sz w:val="20"/>
                <w:szCs w:val="20"/>
                <w:lang w:eastAsia="en-AU"/>
              </w:rPr>
            </w:pPr>
            <w:r w:rsidRPr="00D23B34">
              <w:t>3</w:t>
            </w:r>
          </w:p>
        </w:tc>
        <w:tc>
          <w:tcPr>
            <w:tcW w:w="2420" w:type="dxa"/>
            <w:shd w:val="clear" w:color="auto" w:fill="F2F2F2" w:themeFill="background1" w:themeFillShade="F2"/>
            <w:noWrap/>
            <w:hideMark/>
          </w:tcPr>
          <w:p w14:paraId="6C526A0D" w14:textId="4D0CF595" w:rsidR="00777542" w:rsidRPr="00D23B34" w:rsidRDefault="00D23B34">
            <w:pPr>
              <w:spacing w:after="0" w:line="240" w:lineRule="auto"/>
              <w:jc w:val="right"/>
              <w:rPr>
                <w:rFonts w:eastAsia="Times New Roman" w:cs="Arial"/>
                <w:color w:val="000000"/>
                <w:sz w:val="20"/>
                <w:szCs w:val="20"/>
                <w:lang w:eastAsia="en-AU"/>
              </w:rPr>
            </w:pPr>
            <w:r w:rsidRPr="00D23B34">
              <w:t>4</w:t>
            </w:r>
            <w:r w:rsidR="00777542" w:rsidRPr="00D23B34">
              <w:t>%</w:t>
            </w:r>
          </w:p>
        </w:tc>
      </w:tr>
      <w:tr w:rsidR="00777542" w:rsidRPr="00777542" w14:paraId="0FEE5D89" w14:textId="77777777" w:rsidTr="00C12306">
        <w:trPr>
          <w:trHeight w:val="275"/>
        </w:trPr>
        <w:tc>
          <w:tcPr>
            <w:tcW w:w="4543" w:type="dxa"/>
            <w:shd w:val="clear" w:color="auto" w:fill="F2F2F2" w:themeFill="background1" w:themeFillShade="F2"/>
            <w:noWrap/>
            <w:vAlign w:val="bottom"/>
            <w:hideMark/>
          </w:tcPr>
          <w:p w14:paraId="1DB33133"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 3</w:t>
            </w:r>
          </w:p>
        </w:tc>
        <w:tc>
          <w:tcPr>
            <w:tcW w:w="2078" w:type="dxa"/>
            <w:shd w:val="clear" w:color="auto" w:fill="F2F2F2" w:themeFill="background1" w:themeFillShade="F2"/>
            <w:noWrap/>
            <w:hideMark/>
          </w:tcPr>
          <w:p w14:paraId="7E732A9F" w14:textId="0C557F04" w:rsidR="00777542" w:rsidRPr="00D23B34" w:rsidRDefault="00D23B34">
            <w:pPr>
              <w:spacing w:after="0" w:line="240" w:lineRule="auto"/>
              <w:jc w:val="right"/>
              <w:rPr>
                <w:rFonts w:eastAsia="Times New Roman" w:cs="Arial"/>
                <w:color w:val="000000"/>
                <w:sz w:val="20"/>
                <w:szCs w:val="20"/>
                <w:lang w:eastAsia="en-AU"/>
              </w:rPr>
            </w:pPr>
            <w:r w:rsidRPr="00D23B34">
              <w:t>2</w:t>
            </w:r>
          </w:p>
        </w:tc>
        <w:tc>
          <w:tcPr>
            <w:tcW w:w="2420" w:type="dxa"/>
            <w:shd w:val="clear" w:color="auto" w:fill="F2F2F2" w:themeFill="background1" w:themeFillShade="F2"/>
            <w:noWrap/>
            <w:hideMark/>
          </w:tcPr>
          <w:p w14:paraId="2336FF56" w14:textId="798F53D8" w:rsidR="00777542" w:rsidRPr="00D23B34" w:rsidRDefault="00D23B34">
            <w:pPr>
              <w:spacing w:after="0" w:line="240" w:lineRule="auto"/>
              <w:jc w:val="right"/>
              <w:rPr>
                <w:rFonts w:eastAsia="Times New Roman" w:cs="Arial"/>
                <w:color w:val="000000"/>
                <w:sz w:val="20"/>
                <w:szCs w:val="20"/>
                <w:lang w:eastAsia="en-AU"/>
              </w:rPr>
            </w:pPr>
            <w:r w:rsidRPr="00D23B34">
              <w:t>3</w:t>
            </w:r>
            <w:r w:rsidR="00777542" w:rsidRPr="00D23B34">
              <w:t>%</w:t>
            </w:r>
          </w:p>
        </w:tc>
      </w:tr>
      <w:tr w:rsidR="00777542" w:rsidRPr="00777542" w14:paraId="2E5C984C" w14:textId="77777777" w:rsidTr="00C12306">
        <w:trPr>
          <w:trHeight w:val="275"/>
        </w:trPr>
        <w:tc>
          <w:tcPr>
            <w:tcW w:w="4543" w:type="dxa"/>
            <w:shd w:val="clear" w:color="auto" w:fill="F2F2F2" w:themeFill="background1" w:themeFillShade="F2"/>
            <w:noWrap/>
            <w:vAlign w:val="bottom"/>
            <w:hideMark/>
          </w:tcPr>
          <w:p w14:paraId="46871BB3"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 4</w:t>
            </w:r>
          </w:p>
        </w:tc>
        <w:tc>
          <w:tcPr>
            <w:tcW w:w="2078" w:type="dxa"/>
            <w:shd w:val="clear" w:color="auto" w:fill="F2F2F2" w:themeFill="background1" w:themeFillShade="F2"/>
            <w:noWrap/>
            <w:hideMark/>
          </w:tcPr>
          <w:p w14:paraId="483E6E14" w14:textId="617F7608" w:rsidR="00777542" w:rsidRPr="00D23B34" w:rsidRDefault="00777542">
            <w:pPr>
              <w:spacing w:after="0" w:line="240" w:lineRule="auto"/>
              <w:jc w:val="right"/>
              <w:rPr>
                <w:rFonts w:eastAsia="Times New Roman" w:cs="Arial"/>
                <w:color w:val="000000"/>
                <w:sz w:val="20"/>
                <w:szCs w:val="20"/>
                <w:lang w:eastAsia="en-AU"/>
              </w:rPr>
            </w:pPr>
            <w:r w:rsidRPr="00D23B34">
              <w:t>4</w:t>
            </w:r>
          </w:p>
        </w:tc>
        <w:tc>
          <w:tcPr>
            <w:tcW w:w="2420" w:type="dxa"/>
            <w:shd w:val="clear" w:color="auto" w:fill="F2F2F2" w:themeFill="background1" w:themeFillShade="F2"/>
            <w:noWrap/>
            <w:hideMark/>
          </w:tcPr>
          <w:p w14:paraId="1E11DD1E" w14:textId="37C1819A" w:rsidR="00777542" w:rsidRPr="00D23B34" w:rsidRDefault="00D23B34">
            <w:pPr>
              <w:spacing w:after="0" w:line="240" w:lineRule="auto"/>
              <w:jc w:val="right"/>
              <w:rPr>
                <w:rFonts w:eastAsia="Times New Roman" w:cs="Arial"/>
                <w:color w:val="000000"/>
                <w:sz w:val="20"/>
                <w:szCs w:val="20"/>
                <w:lang w:eastAsia="en-AU"/>
              </w:rPr>
            </w:pPr>
            <w:r w:rsidRPr="00D23B34">
              <w:t>5</w:t>
            </w:r>
            <w:r w:rsidR="00777542" w:rsidRPr="00D23B34">
              <w:t>%</w:t>
            </w:r>
          </w:p>
        </w:tc>
      </w:tr>
      <w:tr w:rsidR="00777542" w:rsidRPr="00777542" w14:paraId="49FD6481" w14:textId="77777777" w:rsidTr="00C12306">
        <w:trPr>
          <w:trHeight w:val="275"/>
        </w:trPr>
        <w:tc>
          <w:tcPr>
            <w:tcW w:w="4543" w:type="dxa"/>
            <w:shd w:val="clear" w:color="auto" w:fill="EDF5D7" w:themeFill="accent5" w:themeFillTint="33"/>
            <w:noWrap/>
            <w:vAlign w:val="bottom"/>
            <w:hideMark/>
          </w:tcPr>
          <w:p w14:paraId="314B71A1"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 5</w:t>
            </w:r>
          </w:p>
        </w:tc>
        <w:tc>
          <w:tcPr>
            <w:tcW w:w="2078" w:type="dxa"/>
            <w:shd w:val="clear" w:color="auto" w:fill="EDF5D7" w:themeFill="accent5" w:themeFillTint="33"/>
            <w:noWrap/>
            <w:hideMark/>
          </w:tcPr>
          <w:p w14:paraId="3652F50C" w14:textId="2BA03494" w:rsidR="00777542" w:rsidRPr="00D23B34" w:rsidRDefault="00D23B34">
            <w:pPr>
              <w:spacing w:after="0" w:line="240" w:lineRule="auto"/>
              <w:jc w:val="right"/>
              <w:rPr>
                <w:rFonts w:eastAsia="Times New Roman" w:cs="Arial"/>
                <w:color w:val="000000"/>
                <w:sz w:val="20"/>
                <w:szCs w:val="20"/>
                <w:lang w:eastAsia="en-AU"/>
              </w:rPr>
            </w:pPr>
            <w:r w:rsidRPr="00D23B34">
              <w:t>10</w:t>
            </w:r>
          </w:p>
        </w:tc>
        <w:tc>
          <w:tcPr>
            <w:tcW w:w="2420" w:type="dxa"/>
            <w:shd w:val="clear" w:color="auto" w:fill="EDF5D7" w:themeFill="accent5" w:themeFillTint="33"/>
            <w:noWrap/>
            <w:hideMark/>
          </w:tcPr>
          <w:p w14:paraId="278F92BF" w14:textId="78182466" w:rsidR="00777542" w:rsidRPr="00D23B34" w:rsidRDefault="00D23B34">
            <w:pPr>
              <w:spacing w:after="0" w:line="240" w:lineRule="auto"/>
              <w:jc w:val="right"/>
              <w:rPr>
                <w:rFonts w:eastAsia="Times New Roman" w:cs="Arial"/>
                <w:color w:val="000000"/>
                <w:sz w:val="20"/>
                <w:szCs w:val="20"/>
                <w:lang w:eastAsia="en-AU"/>
              </w:rPr>
            </w:pPr>
            <w:r w:rsidRPr="00D23B34">
              <w:t>13</w:t>
            </w:r>
            <w:r w:rsidR="00777542" w:rsidRPr="00D23B34">
              <w:t>%</w:t>
            </w:r>
          </w:p>
        </w:tc>
      </w:tr>
      <w:tr w:rsidR="00777542" w:rsidRPr="00777542" w14:paraId="5EBFD9C2" w14:textId="77777777" w:rsidTr="00C12306">
        <w:trPr>
          <w:trHeight w:val="275"/>
        </w:trPr>
        <w:tc>
          <w:tcPr>
            <w:tcW w:w="4543" w:type="dxa"/>
            <w:shd w:val="clear" w:color="auto" w:fill="F2F2F2" w:themeFill="background1" w:themeFillShade="F2"/>
            <w:noWrap/>
            <w:vAlign w:val="bottom"/>
            <w:hideMark/>
          </w:tcPr>
          <w:p w14:paraId="19058EC5"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2 and 3</w:t>
            </w:r>
          </w:p>
        </w:tc>
        <w:tc>
          <w:tcPr>
            <w:tcW w:w="2078" w:type="dxa"/>
            <w:shd w:val="clear" w:color="auto" w:fill="F2F2F2" w:themeFill="background1" w:themeFillShade="F2"/>
            <w:noWrap/>
            <w:hideMark/>
          </w:tcPr>
          <w:p w14:paraId="0542D03F" w14:textId="1EE9D3AD" w:rsidR="00777542" w:rsidRPr="00D23B34" w:rsidRDefault="00777542">
            <w:pPr>
              <w:spacing w:after="0" w:line="240" w:lineRule="auto"/>
              <w:jc w:val="right"/>
              <w:rPr>
                <w:rFonts w:eastAsia="Times New Roman" w:cs="Arial"/>
                <w:color w:val="000000"/>
                <w:sz w:val="20"/>
                <w:szCs w:val="20"/>
                <w:lang w:eastAsia="en-AU"/>
              </w:rPr>
            </w:pPr>
            <w:r w:rsidRPr="00D23B34">
              <w:t>0</w:t>
            </w:r>
          </w:p>
        </w:tc>
        <w:tc>
          <w:tcPr>
            <w:tcW w:w="2420" w:type="dxa"/>
            <w:shd w:val="clear" w:color="auto" w:fill="F2F2F2" w:themeFill="background1" w:themeFillShade="F2"/>
            <w:noWrap/>
            <w:hideMark/>
          </w:tcPr>
          <w:p w14:paraId="6F3BA899" w14:textId="0A8946EF" w:rsidR="00777542" w:rsidRPr="00D23B34" w:rsidRDefault="00777542">
            <w:pPr>
              <w:spacing w:after="0" w:line="240" w:lineRule="auto"/>
              <w:jc w:val="right"/>
              <w:rPr>
                <w:rFonts w:eastAsia="Times New Roman" w:cs="Arial"/>
                <w:color w:val="000000"/>
                <w:sz w:val="20"/>
                <w:szCs w:val="20"/>
                <w:lang w:eastAsia="en-AU"/>
              </w:rPr>
            </w:pPr>
            <w:r w:rsidRPr="00D23B34">
              <w:t>0%</w:t>
            </w:r>
          </w:p>
        </w:tc>
      </w:tr>
      <w:tr w:rsidR="00777542" w:rsidRPr="00777542" w14:paraId="00E18E80" w14:textId="77777777" w:rsidTr="00C12306">
        <w:trPr>
          <w:trHeight w:val="275"/>
        </w:trPr>
        <w:tc>
          <w:tcPr>
            <w:tcW w:w="4543" w:type="dxa"/>
            <w:shd w:val="clear" w:color="auto" w:fill="F2F2F2" w:themeFill="background1" w:themeFillShade="F2"/>
            <w:noWrap/>
            <w:vAlign w:val="bottom"/>
            <w:hideMark/>
          </w:tcPr>
          <w:p w14:paraId="0111E223"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2 and 4</w:t>
            </w:r>
          </w:p>
        </w:tc>
        <w:tc>
          <w:tcPr>
            <w:tcW w:w="2078" w:type="dxa"/>
            <w:shd w:val="clear" w:color="auto" w:fill="F2F2F2" w:themeFill="background1" w:themeFillShade="F2"/>
            <w:noWrap/>
            <w:hideMark/>
          </w:tcPr>
          <w:p w14:paraId="261D1974" w14:textId="0ABA43A3" w:rsidR="00777542" w:rsidRPr="00D23B34" w:rsidRDefault="00777542">
            <w:pPr>
              <w:spacing w:after="0" w:line="240" w:lineRule="auto"/>
              <w:jc w:val="right"/>
              <w:rPr>
                <w:rFonts w:eastAsia="Times New Roman" w:cs="Arial"/>
                <w:color w:val="000000"/>
                <w:sz w:val="20"/>
                <w:szCs w:val="20"/>
                <w:lang w:eastAsia="en-AU"/>
              </w:rPr>
            </w:pPr>
            <w:r w:rsidRPr="00D23B34">
              <w:t>0</w:t>
            </w:r>
          </w:p>
        </w:tc>
        <w:tc>
          <w:tcPr>
            <w:tcW w:w="2420" w:type="dxa"/>
            <w:shd w:val="clear" w:color="auto" w:fill="F2F2F2" w:themeFill="background1" w:themeFillShade="F2"/>
            <w:noWrap/>
            <w:hideMark/>
          </w:tcPr>
          <w:p w14:paraId="45664E95" w14:textId="6595846E" w:rsidR="00777542" w:rsidRPr="00D23B34" w:rsidRDefault="00777542">
            <w:pPr>
              <w:spacing w:after="0" w:line="240" w:lineRule="auto"/>
              <w:jc w:val="right"/>
              <w:rPr>
                <w:rFonts w:eastAsia="Times New Roman" w:cs="Arial"/>
                <w:color w:val="000000"/>
                <w:sz w:val="20"/>
                <w:szCs w:val="20"/>
                <w:lang w:eastAsia="en-AU"/>
              </w:rPr>
            </w:pPr>
            <w:r w:rsidRPr="00D23B34">
              <w:t>0%</w:t>
            </w:r>
          </w:p>
        </w:tc>
      </w:tr>
      <w:tr w:rsidR="00777542" w:rsidRPr="00777542" w14:paraId="32E1ABA0" w14:textId="77777777" w:rsidTr="00C12306">
        <w:trPr>
          <w:trHeight w:val="275"/>
        </w:trPr>
        <w:tc>
          <w:tcPr>
            <w:tcW w:w="4543" w:type="dxa"/>
            <w:shd w:val="clear" w:color="auto" w:fill="F2F2F2" w:themeFill="background1" w:themeFillShade="F2"/>
            <w:noWrap/>
            <w:vAlign w:val="bottom"/>
            <w:hideMark/>
          </w:tcPr>
          <w:p w14:paraId="6824708E"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2 and 5</w:t>
            </w:r>
          </w:p>
        </w:tc>
        <w:tc>
          <w:tcPr>
            <w:tcW w:w="2078" w:type="dxa"/>
            <w:shd w:val="clear" w:color="auto" w:fill="F2F2F2" w:themeFill="background1" w:themeFillShade="F2"/>
            <w:noWrap/>
            <w:hideMark/>
          </w:tcPr>
          <w:p w14:paraId="58FEF04C" w14:textId="731B8EAE" w:rsidR="00777542" w:rsidRPr="00D23B34" w:rsidRDefault="00777542">
            <w:pPr>
              <w:spacing w:after="0" w:line="240" w:lineRule="auto"/>
              <w:jc w:val="right"/>
              <w:rPr>
                <w:rFonts w:eastAsia="Times New Roman" w:cs="Arial"/>
                <w:color w:val="000000"/>
                <w:sz w:val="20"/>
                <w:szCs w:val="20"/>
                <w:lang w:eastAsia="en-AU"/>
              </w:rPr>
            </w:pPr>
            <w:r w:rsidRPr="00D23B34">
              <w:t>0</w:t>
            </w:r>
          </w:p>
        </w:tc>
        <w:tc>
          <w:tcPr>
            <w:tcW w:w="2420" w:type="dxa"/>
            <w:shd w:val="clear" w:color="auto" w:fill="F2F2F2" w:themeFill="background1" w:themeFillShade="F2"/>
            <w:noWrap/>
            <w:hideMark/>
          </w:tcPr>
          <w:p w14:paraId="47556A73" w14:textId="6FBE777F" w:rsidR="00777542" w:rsidRPr="00D23B34" w:rsidRDefault="00777542">
            <w:pPr>
              <w:spacing w:after="0" w:line="240" w:lineRule="auto"/>
              <w:jc w:val="right"/>
              <w:rPr>
                <w:rFonts w:eastAsia="Times New Roman" w:cs="Arial"/>
                <w:color w:val="000000"/>
                <w:sz w:val="20"/>
                <w:szCs w:val="20"/>
                <w:lang w:eastAsia="en-AU"/>
              </w:rPr>
            </w:pPr>
            <w:r w:rsidRPr="00D23B34">
              <w:t>0%</w:t>
            </w:r>
          </w:p>
        </w:tc>
      </w:tr>
      <w:tr w:rsidR="00777542" w:rsidRPr="00777542" w14:paraId="6B024836" w14:textId="77777777" w:rsidTr="00C12306">
        <w:trPr>
          <w:trHeight w:val="275"/>
        </w:trPr>
        <w:tc>
          <w:tcPr>
            <w:tcW w:w="4543" w:type="dxa"/>
            <w:shd w:val="clear" w:color="auto" w:fill="F2F2F2" w:themeFill="background1" w:themeFillShade="F2"/>
            <w:noWrap/>
            <w:vAlign w:val="bottom"/>
            <w:hideMark/>
          </w:tcPr>
          <w:p w14:paraId="1681D78B"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3 and 4</w:t>
            </w:r>
          </w:p>
        </w:tc>
        <w:tc>
          <w:tcPr>
            <w:tcW w:w="2078" w:type="dxa"/>
            <w:shd w:val="clear" w:color="auto" w:fill="F2F2F2" w:themeFill="background1" w:themeFillShade="F2"/>
            <w:noWrap/>
            <w:hideMark/>
          </w:tcPr>
          <w:p w14:paraId="0E36AEBD" w14:textId="57FA8462" w:rsidR="00777542" w:rsidRPr="00D23B34" w:rsidRDefault="00D23B34">
            <w:pPr>
              <w:spacing w:after="0" w:line="240" w:lineRule="auto"/>
              <w:jc w:val="right"/>
              <w:rPr>
                <w:rFonts w:eastAsia="Times New Roman" w:cs="Arial"/>
                <w:color w:val="000000"/>
                <w:sz w:val="20"/>
                <w:szCs w:val="20"/>
                <w:lang w:eastAsia="en-AU"/>
              </w:rPr>
            </w:pPr>
            <w:r w:rsidRPr="00D23B34">
              <w:t>4</w:t>
            </w:r>
          </w:p>
        </w:tc>
        <w:tc>
          <w:tcPr>
            <w:tcW w:w="2420" w:type="dxa"/>
            <w:shd w:val="clear" w:color="auto" w:fill="F2F2F2" w:themeFill="background1" w:themeFillShade="F2"/>
            <w:noWrap/>
            <w:hideMark/>
          </w:tcPr>
          <w:p w14:paraId="62DA47D3" w14:textId="0FD3501F" w:rsidR="00777542" w:rsidRPr="00D23B34" w:rsidRDefault="00777542">
            <w:pPr>
              <w:spacing w:after="0" w:line="240" w:lineRule="auto"/>
              <w:jc w:val="right"/>
              <w:rPr>
                <w:rFonts w:eastAsia="Times New Roman" w:cs="Arial"/>
                <w:color w:val="000000"/>
                <w:sz w:val="20"/>
                <w:szCs w:val="20"/>
                <w:lang w:eastAsia="en-AU"/>
              </w:rPr>
            </w:pPr>
            <w:r w:rsidRPr="00D23B34">
              <w:t>5%</w:t>
            </w:r>
          </w:p>
        </w:tc>
      </w:tr>
      <w:tr w:rsidR="00777542" w:rsidRPr="00777542" w14:paraId="74F084B3" w14:textId="77777777" w:rsidTr="00C12306">
        <w:trPr>
          <w:trHeight w:val="275"/>
        </w:trPr>
        <w:tc>
          <w:tcPr>
            <w:tcW w:w="4543" w:type="dxa"/>
            <w:shd w:val="clear" w:color="auto" w:fill="F2F2F2" w:themeFill="background1" w:themeFillShade="F2"/>
            <w:noWrap/>
            <w:vAlign w:val="bottom"/>
            <w:hideMark/>
          </w:tcPr>
          <w:p w14:paraId="5199224C"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3 and 5</w:t>
            </w:r>
          </w:p>
        </w:tc>
        <w:tc>
          <w:tcPr>
            <w:tcW w:w="2078" w:type="dxa"/>
            <w:shd w:val="clear" w:color="auto" w:fill="F2F2F2" w:themeFill="background1" w:themeFillShade="F2"/>
            <w:noWrap/>
            <w:hideMark/>
          </w:tcPr>
          <w:p w14:paraId="7AC59FFD" w14:textId="20E1FEF5" w:rsidR="00777542" w:rsidRPr="00D23B34" w:rsidRDefault="00777542">
            <w:pPr>
              <w:spacing w:after="0" w:line="240" w:lineRule="auto"/>
              <w:jc w:val="right"/>
              <w:rPr>
                <w:rFonts w:eastAsia="Times New Roman" w:cs="Arial"/>
                <w:color w:val="000000"/>
                <w:sz w:val="20"/>
                <w:szCs w:val="20"/>
                <w:lang w:eastAsia="en-AU"/>
              </w:rPr>
            </w:pPr>
            <w:r w:rsidRPr="00D23B34">
              <w:t>0</w:t>
            </w:r>
          </w:p>
        </w:tc>
        <w:tc>
          <w:tcPr>
            <w:tcW w:w="2420" w:type="dxa"/>
            <w:shd w:val="clear" w:color="auto" w:fill="F2F2F2" w:themeFill="background1" w:themeFillShade="F2"/>
            <w:noWrap/>
            <w:hideMark/>
          </w:tcPr>
          <w:p w14:paraId="0A9799B6" w14:textId="0065D219" w:rsidR="00777542" w:rsidRPr="00D23B34" w:rsidRDefault="00777542">
            <w:pPr>
              <w:spacing w:after="0" w:line="240" w:lineRule="auto"/>
              <w:jc w:val="right"/>
              <w:rPr>
                <w:rFonts w:eastAsia="Times New Roman" w:cs="Arial"/>
                <w:color w:val="000000"/>
                <w:sz w:val="20"/>
                <w:szCs w:val="20"/>
                <w:lang w:eastAsia="en-AU"/>
              </w:rPr>
            </w:pPr>
            <w:r w:rsidRPr="00D23B34">
              <w:t>0%</w:t>
            </w:r>
          </w:p>
        </w:tc>
      </w:tr>
      <w:tr w:rsidR="00777542" w:rsidRPr="00777542" w14:paraId="32B5A7DE" w14:textId="77777777" w:rsidTr="00C12306">
        <w:trPr>
          <w:trHeight w:val="275"/>
        </w:trPr>
        <w:tc>
          <w:tcPr>
            <w:tcW w:w="4543" w:type="dxa"/>
            <w:shd w:val="clear" w:color="auto" w:fill="EDF5D7" w:themeFill="accent5" w:themeFillTint="33"/>
            <w:noWrap/>
            <w:vAlign w:val="bottom"/>
            <w:hideMark/>
          </w:tcPr>
          <w:p w14:paraId="4A1FBFF6"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4 and 5</w:t>
            </w:r>
          </w:p>
        </w:tc>
        <w:tc>
          <w:tcPr>
            <w:tcW w:w="2078" w:type="dxa"/>
            <w:shd w:val="clear" w:color="auto" w:fill="EDF5D7" w:themeFill="accent5" w:themeFillTint="33"/>
            <w:noWrap/>
            <w:hideMark/>
          </w:tcPr>
          <w:p w14:paraId="3F1420CD" w14:textId="0A291574" w:rsidR="00777542" w:rsidRPr="00D23B34" w:rsidRDefault="00D23B34">
            <w:pPr>
              <w:spacing w:after="0" w:line="240" w:lineRule="auto"/>
              <w:jc w:val="right"/>
              <w:rPr>
                <w:rFonts w:eastAsia="Times New Roman" w:cs="Arial"/>
                <w:color w:val="000000"/>
                <w:sz w:val="20"/>
                <w:szCs w:val="20"/>
                <w:lang w:eastAsia="en-AU"/>
              </w:rPr>
            </w:pPr>
            <w:r w:rsidRPr="00D23B34">
              <w:t>8</w:t>
            </w:r>
          </w:p>
        </w:tc>
        <w:tc>
          <w:tcPr>
            <w:tcW w:w="2420" w:type="dxa"/>
            <w:shd w:val="clear" w:color="auto" w:fill="EDF5D7" w:themeFill="accent5" w:themeFillTint="33"/>
            <w:noWrap/>
            <w:hideMark/>
          </w:tcPr>
          <w:p w14:paraId="023B298D" w14:textId="68FABA26" w:rsidR="00777542" w:rsidRPr="00D23B34" w:rsidRDefault="00D23B34">
            <w:pPr>
              <w:spacing w:after="0" w:line="240" w:lineRule="auto"/>
              <w:jc w:val="right"/>
              <w:rPr>
                <w:rFonts w:eastAsia="Times New Roman" w:cs="Arial"/>
                <w:color w:val="000000"/>
                <w:sz w:val="20"/>
                <w:szCs w:val="20"/>
                <w:lang w:eastAsia="en-AU"/>
              </w:rPr>
            </w:pPr>
            <w:r w:rsidRPr="00D23B34">
              <w:t>10</w:t>
            </w:r>
            <w:r w:rsidR="00777542" w:rsidRPr="00D23B34">
              <w:t>%</w:t>
            </w:r>
          </w:p>
        </w:tc>
      </w:tr>
      <w:tr w:rsidR="00777542" w:rsidRPr="00777542" w14:paraId="11367131" w14:textId="77777777" w:rsidTr="00C12306">
        <w:trPr>
          <w:trHeight w:val="275"/>
        </w:trPr>
        <w:tc>
          <w:tcPr>
            <w:tcW w:w="4543" w:type="dxa"/>
            <w:shd w:val="clear" w:color="auto" w:fill="F2F2F2" w:themeFill="background1" w:themeFillShade="F2"/>
            <w:noWrap/>
            <w:vAlign w:val="bottom"/>
            <w:hideMark/>
          </w:tcPr>
          <w:p w14:paraId="7DF5B87A"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2, 3 and 5</w:t>
            </w:r>
          </w:p>
        </w:tc>
        <w:tc>
          <w:tcPr>
            <w:tcW w:w="2078" w:type="dxa"/>
            <w:shd w:val="clear" w:color="auto" w:fill="F2F2F2" w:themeFill="background1" w:themeFillShade="F2"/>
            <w:noWrap/>
            <w:hideMark/>
          </w:tcPr>
          <w:p w14:paraId="56B32671" w14:textId="055AD370" w:rsidR="00777542" w:rsidRPr="00D23B34" w:rsidRDefault="00777542">
            <w:pPr>
              <w:spacing w:after="0" w:line="240" w:lineRule="auto"/>
              <w:jc w:val="right"/>
              <w:rPr>
                <w:rFonts w:eastAsia="Times New Roman" w:cs="Arial"/>
                <w:color w:val="000000"/>
                <w:sz w:val="20"/>
                <w:szCs w:val="20"/>
                <w:lang w:eastAsia="en-AU"/>
              </w:rPr>
            </w:pPr>
            <w:r w:rsidRPr="00D23B34">
              <w:t>0</w:t>
            </w:r>
          </w:p>
        </w:tc>
        <w:tc>
          <w:tcPr>
            <w:tcW w:w="2420" w:type="dxa"/>
            <w:shd w:val="clear" w:color="auto" w:fill="F2F2F2" w:themeFill="background1" w:themeFillShade="F2"/>
            <w:noWrap/>
            <w:hideMark/>
          </w:tcPr>
          <w:p w14:paraId="31D69C49" w14:textId="036D5DC3" w:rsidR="00777542" w:rsidRPr="00D23B34" w:rsidRDefault="00777542">
            <w:pPr>
              <w:spacing w:after="0" w:line="240" w:lineRule="auto"/>
              <w:jc w:val="right"/>
              <w:rPr>
                <w:rFonts w:eastAsia="Times New Roman" w:cs="Arial"/>
                <w:color w:val="000000"/>
                <w:sz w:val="20"/>
                <w:szCs w:val="20"/>
                <w:lang w:eastAsia="en-AU"/>
              </w:rPr>
            </w:pPr>
            <w:r w:rsidRPr="00D23B34">
              <w:t>0%</w:t>
            </w:r>
          </w:p>
        </w:tc>
      </w:tr>
      <w:tr w:rsidR="00777542" w:rsidRPr="00777542" w14:paraId="678FE76B" w14:textId="77777777" w:rsidTr="00C12306">
        <w:trPr>
          <w:trHeight w:val="275"/>
        </w:trPr>
        <w:tc>
          <w:tcPr>
            <w:tcW w:w="4543" w:type="dxa"/>
            <w:shd w:val="clear" w:color="auto" w:fill="F2F2F2" w:themeFill="background1" w:themeFillShade="F2"/>
            <w:noWrap/>
            <w:vAlign w:val="bottom"/>
            <w:hideMark/>
          </w:tcPr>
          <w:p w14:paraId="70A12204"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2, 4 and 5</w:t>
            </w:r>
          </w:p>
        </w:tc>
        <w:tc>
          <w:tcPr>
            <w:tcW w:w="2078" w:type="dxa"/>
            <w:shd w:val="clear" w:color="auto" w:fill="F2F2F2" w:themeFill="background1" w:themeFillShade="F2"/>
            <w:noWrap/>
            <w:hideMark/>
          </w:tcPr>
          <w:p w14:paraId="70A2DCA6" w14:textId="04C2EC04" w:rsidR="00777542" w:rsidRPr="00D23B34" w:rsidRDefault="00777542">
            <w:pPr>
              <w:spacing w:after="0" w:line="240" w:lineRule="auto"/>
              <w:jc w:val="right"/>
              <w:rPr>
                <w:rFonts w:eastAsia="Times New Roman" w:cs="Arial"/>
                <w:color w:val="000000"/>
                <w:sz w:val="20"/>
                <w:szCs w:val="20"/>
                <w:lang w:eastAsia="en-AU"/>
              </w:rPr>
            </w:pPr>
            <w:r w:rsidRPr="00D23B34">
              <w:t>0</w:t>
            </w:r>
          </w:p>
        </w:tc>
        <w:tc>
          <w:tcPr>
            <w:tcW w:w="2420" w:type="dxa"/>
            <w:shd w:val="clear" w:color="auto" w:fill="F2F2F2" w:themeFill="background1" w:themeFillShade="F2"/>
            <w:noWrap/>
            <w:hideMark/>
          </w:tcPr>
          <w:p w14:paraId="32F7CD68" w14:textId="1F557E00" w:rsidR="00777542" w:rsidRPr="00D23B34" w:rsidRDefault="00777542">
            <w:pPr>
              <w:spacing w:after="0" w:line="240" w:lineRule="auto"/>
              <w:jc w:val="right"/>
              <w:rPr>
                <w:rFonts w:eastAsia="Times New Roman" w:cs="Arial"/>
                <w:color w:val="000000"/>
                <w:sz w:val="20"/>
                <w:szCs w:val="20"/>
                <w:lang w:eastAsia="en-AU"/>
              </w:rPr>
            </w:pPr>
            <w:r w:rsidRPr="00D23B34">
              <w:t>0%</w:t>
            </w:r>
          </w:p>
        </w:tc>
      </w:tr>
      <w:tr w:rsidR="00777542" w:rsidRPr="00777542" w14:paraId="74BBBB99" w14:textId="77777777" w:rsidTr="00C12306">
        <w:trPr>
          <w:trHeight w:val="275"/>
        </w:trPr>
        <w:tc>
          <w:tcPr>
            <w:tcW w:w="4543" w:type="dxa"/>
            <w:shd w:val="clear" w:color="auto" w:fill="F2F2F2" w:themeFill="background1" w:themeFillShade="F2"/>
            <w:noWrap/>
            <w:vAlign w:val="bottom"/>
            <w:hideMark/>
          </w:tcPr>
          <w:p w14:paraId="16ADEF81"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2, 3 and 4</w:t>
            </w:r>
          </w:p>
        </w:tc>
        <w:tc>
          <w:tcPr>
            <w:tcW w:w="2078" w:type="dxa"/>
            <w:shd w:val="clear" w:color="auto" w:fill="F2F2F2" w:themeFill="background1" w:themeFillShade="F2"/>
            <w:noWrap/>
            <w:hideMark/>
          </w:tcPr>
          <w:p w14:paraId="29C9F677" w14:textId="0E2BAFB3" w:rsidR="00777542" w:rsidRPr="00D23B34" w:rsidRDefault="00777542">
            <w:pPr>
              <w:spacing w:after="0" w:line="240" w:lineRule="auto"/>
              <w:jc w:val="right"/>
              <w:rPr>
                <w:rFonts w:eastAsia="Times New Roman" w:cs="Arial"/>
                <w:color w:val="000000"/>
                <w:sz w:val="20"/>
                <w:szCs w:val="20"/>
                <w:lang w:eastAsia="en-AU"/>
              </w:rPr>
            </w:pPr>
            <w:r w:rsidRPr="00D23B34">
              <w:t>1</w:t>
            </w:r>
          </w:p>
        </w:tc>
        <w:tc>
          <w:tcPr>
            <w:tcW w:w="2420" w:type="dxa"/>
            <w:shd w:val="clear" w:color="auto" w:fill="F2F2F2" w:themeFill="background1" w:themeFillShade="F2"/>
            <w:noWrap/>
            <w:hideMark/>
          </w:tcPr>
          <w:p w14:paraId="4400FB76" w14:textId="47D3BC0D" w:rsidR="00777542" w:rsidRPr="00D23B34" w:rsidRDefault="00D23B34">
            <w:pPr>
              <w:spacing w:after="0" w:line="240" w:lineRule="auto"/>
              <w:jc w:val="right"/>
              <w:rPr>
                <w:rFonts w:eastAsia="Times New Roman" w:cs="Arial"/>
                <w:color w:val="000000"/>
                <w:sz w:val="20"/>
                <w:szCs w:val="20"/>
                <w:lang w:eastAsia="en-AU"/>
              </w:rPr>
            </w:pPr>
            <w:r w:rsidRPr="00D23B34">
              <w:t>1</w:t>
            </w:r>
            <w:r w:rsidR="00777542" w:rsidRPr="00D23B34">
              <w:t>%</w:t>
            </w:r>
          </w:p>
        </w:tc>
      </w:tr>
      <w:tr w:rsidR="00777542" w:rsidRPr="00777542" w14:paraId="72D7AF6F" w14:textId="77777777" w:rsidTr="00C12306">
        <w:trPr>
          <w:trHeight w:val="275"/>
        </w:trPr>
        <w:tc>
          <w:tcPr>
            <w:tcW w:w="4543" w:type="dxa"/>
            <w:shd w:val="clear" w:color="auto" w:fill="EDF5D7" w:themeFill="accent5" w:themeFillTint="33"/>
            <w:noWrap/>
            <w:vAlign w:val="bottom"/>
            <w:hideMark/>
          </w:tcPr>
          <w:p w14:paraId="6118E5B3"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3, 4 and 5</w:t>
            </w:r>
          </w:p>
        </w:tc>
        <w:tc>
          <w:tcPr>
            <w:tcW w:w="2078" w:type="dxa"/>
            <w:shd w:val="clear" w:color="auto" w:fill="EDF5D7" w:themeFill="accent5" w:themeFillTint="33"/>
            <w:noWrap/>
            <w:hideMark/>
          </w:tcPr>
          <w:p w14:paraId="1330ED74" w14:textId="1F3C4250" w:rsidR="00777542" w:rsidRPr="00D23B34" w:rsidRDefault="00D23B34">
            <w:pPr>
              <w:spacing w:after="0" w:line="240" w:lineRule="auto"/>
              <w:jc w:val="right"/>
              <w:rPr>
                <w:rFonts w:eastAsia="Times New Roman" w:cs="Arial"/>
                <w:color w:val="000000"/>
                <w:sz w:val="20"/>
                <w:szCs w:val="20"/>
                <w:lang w:eastAsia="en-AU"/>
              </w:rPr>
            </w:pPr>
            <w:r w:rsidRPr="00D23B34">
              <w:t>22</w:t>
            </w:r>
          </w:p>
        </w:tc>
        <w:tc>
          <w:tcPr>
            <w:tcW w:w="2420" w:type="dxa"/>
            <w:shd w:val="clear" w:color="auto" w:fill="EDF5D7" w:themeFill="accent5" w:themeFillTint="33"/>
            <w:noWrap/>
            <w:hideMark/>
          </w:tcPr>
          <w:p w14:paraId="5712446B" w14:textId="5E4341CE" w:rsidR="00777542" w:rsidRPr="00D23B34" w:rsidRDefault="00777542">
            <w:pPr>
              <w:spacing w:after="0" w:line="240" w:lineRule="auto"/>
              <w:jc w:val="right"/>
              <w:rPr>
                <w:rFonts w:eastAsia="Times New Roman" w:cs="Arial"/>
                <w:color w:val="000000"/>
                <w:sz w:val="20"/>
                <w:szCs w:val="20"/>
                <w:lang w:eastAsia="en-AU"/>
              </w:rPr>
            </w:pPr>
            <w:r w:rsidRPr="00D23B34">
              <w:t>29%</w:t>
            </w:r>
          </w:p>
        </w:tc>
      </w:tr>
      <w:tr w:rsidR="00777542" w:rsidRPr="00777542" w14:paraId="6D0F330D" w14:textId="77777777" w:rsidTr="00C12306">
        <w:trPr>
          <w:trHeight w:val="275"/>
        </w:trPr>
        <w:tc>
          <w:tcPr>
            <w:tcW w:w="4543" w:type="dxa"/>
            <w:shd w:val="clear" w:color="auto" w:fill="EDF5D7" w:themeFill="accent5" w:themeFillTint="33"/>
            <w:noWrap/>
            <w:vAlign w:val="bottom"/>
            <w:hideMark/>
          </w:tcPr>
          <w:p w14:paraId="57722B1C" w14:textId="77777777" w:rsidR="00777542" w:rsidRPr="00D23B34" w:rsidRDefault="00777542">
            <w:pPr>
              <w:spacing w:after="0" w:line="240" w:lineRule="auto"/>
              <w:jc w:val="right"/>
              <w:rPr>
                <w:rFonts w:eastAsia="Times New Roman" w:cs="Arial"/>
                <w:color w:val="000000"/>
                <w:sz w:val="20"/>
                <w:szCs w:val="20"/>
                <w:lang w:eastAsia="en-AU"/>
              </w:rPr>
            </w:pPr>
            <w:r w:rsidRPr="00D23B34">
              <w:rPr>
                <w:rFonts w:eastAsia="Times New Roman" w:cs="Arial"/>
                <w:color w:val="000000"/>
                <w:sz w:val="20"/>
                <w:szCs w:val="20"/>
                <w:lang w:eastAsia="en-AU"/>
              </w:rPr>
              <w:t>Options 2, 3, 4 and 5</w:t>
            </w:r>
          </w:p>
        </w:tc>
        <w:tc>
          <w:tcPr>
            <w:tcW w:w="2078" w:type="dxa"/>
            <w:shd w:val="clear" w:color="auto" w:fill="EDF5D7" w:themeFill="accent5" w:themeFillTint="33"/>
            <w:noWrap/>
            <w:hideMark/>
          </w:tcPr>
          <w:p w14:paraId="51ECBFB1" w14:textId="2012604C" w:rsidR="00777542" w:rsidRPr="00D23B34" w:rsidRDefault="00D23B34">
            <w:pPr>
              <w:spacing w:after="0" w:line="240" w:lineRule="auto"/>
              <w:jc w:val="right"/>
              <w:rPr>
                <w:rFonts w:eastAsia="Times New Roman" w:cs="Arial"/>
                <w:color w:val="000000"/>
                <w:sz w:val="20"/>
                <w:szCs w:val="20"/>
                <w:lang w:eastAsia="en-AU"/>
              </w:rPr>
            </w:pPr>
            <w:r w:rsidRPr="00D23B34">
              <w:t>22</w:t>
            </w:r>
          </w:p>
        </w:tc>
        <w:tc>
          <w:tcPr>
            <w:tcW w:w="2420" w:type="dxa"/>
            <w:shd w:val="clear" w:color="auto" w:fill="EDF5D7" w:themeFill="accent5" w:themeFillTint="33"/>
            <w:noWrap/>
            <w:hideMark/>
          </w:tcPr>
          <w:p w14:paraId="0282C012" w14:textId="692B2EC3" w:rsidR="00777542" w:rsidRPr="00D23B34" w:rsidRDefault="00D23B34">
            <w:pPr>
              <w:spacing w:after="0" w:line="240" w:lineRule="auto"/>
              <w:jc w:val="right"/>
              <w:rPr>
                <w:rFonts w:eastAsia="Times New Roman" w:cs="Arial"/>
                <w:color w:val="000000"/>
                <w:sz w:val="20"/>
                <w:szCs w:val="20"/>
                <w:lang w:eastAsia="en-AU"/>
              </w:rPr>
            </w:pPr>
            <w:r w:rsidRPr="00D23B34">
              <w:t>29</w:t>
            </w:r>
            <w:r w:rsidR="00777542" w:rsidRPr="00D23B34">
              <w:t>%</w:t>
            </w:r>
          </w:p>
        </w:tc>
      </w:tr>
    </w:tbl>
    <w:p w14:paraId="7B26629F" w14:textId="5EBF768C" w:rsidR="00777542" w:rsidRPr="00C71D81" w:rsidRDefault="00777542" w:rsidP="00867F1A">
      <w:pPr>
        <w:pStyle w:val="Source-CSR"/>
      </w:pPr>
      <w:r w:rsidRPr="00D23B34">
        <w:t xml:space="preserve">Source: Approved provider survey, as of </w:t>
      </w:r>
      <w:r w:rsidR="00E36962" w:rsidRPr="00636B94">
        <w:t>11</w:t>
      </w:r>
      <w:r w:rsidRPr="00636B94">
        <w:t xml:space="preserve"> June 2025, Q123, n=</w:t>
      </w:r>
      <w:r w:rsidR="00D23B34" w:rsidRPr="00636B94">
        <w:t>77</w:t>
      </w:r>
      <w:r w:rsidRPr="00636B94">
        <w:t xml:space="preserve"> unique respondents. Most popular options or combination of options are highlighted in green. Note that if a respondent selected a combination of options, that selection is treated as a unique preference and not double-counted in the singular options. </w:t>
      </w:r>
      <w:r w:rsidR="00C71D81" w:rsidRPr="00636B94">
        <w:t>Note that due to rounding, percentages may not add to 100%.</w:t>
      </w:r>
    </w:p>
    <w:p w14:paraId="0AA26A12" w14:textId="3DFF88E5" w:rsidR="00777542" w:rsidRPr="0024489F" w:rsidRDefault="00E40A0A" w:rsidP="00777542">
      <w:pPr>
        <w:pStyle w:val="CaptionChart"/>
        <w:numPr>
          <w:ilvl w:val="7"/>
          <w:numId w:val="0"/>
        </w:numPr>
      </w:pPr>
      <w:r>
        <w:t>Appendix Table 12.3.6.2</w:t>
      </w:r>
      <w:r w:rsidR="00777542" w:rsidRPr="0024489F">
        <w:t xml:space="preserve"> </w:t>
      </w:r>
      <w:bookmarkStart w:id="377" w:name="_Toc200656137"/>
      <w:bookmarkStart w:id="378" w:name="_Toc200657480"/>
      <w:r w:rsidR="00777542" w:rsidRPr="0024489F">
        <w:t xml:space="preserve">Workforce responses to “What is your </w:t>
      </w:r>
      <w:r w:rsidR="00B734E0">
        <w:t xml:space="preserve">preferred option or combination </w:t>
      </w:r>
      <w:r w:rsidR="00777542" w:rsidRPr="0024489F">
        <w:t>of options?”</w:t>
      </w:r>
      <w:bookmarkEnd w:id="377"/>
      <w:bookmarkEnd w:id="378"/>
    </w:p>
    <w:tbl>
      <w:tblPr>
        <w:tblW w:w="9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6"/>
        <w:gridCol w:w="2089"/>
        <w:gridCol w:w="2432"/>
      </w:tblGrid>
      <w:tr w:rsidR="00777542" w:rsidRPr="004F0628" w14:paraId="362F075E" w14:textId="77777777" w:rsidTr="00D94F44">
        <w:trPr>
          <w:trHeight w:val="321"/>
        </w:trPr>
        <w:tc>
          <w:tcPr>
            <w:tcW w:w="4566" w:type="dxa"/>
            <w:tcBorders>
              <w:top w:val="single" w:sz="12" w:space="0" w:color="006B77" w:themeColor="background2"/>
            </w:tcBorders>
            <w:noWrap/>
            <w:vAlign w:val="center"/>
            <w:hideMark/>
          </w:tcPr>
          <w:p w14:paraId="13CBF535" w14:textId="4AC452BF" w:rsidR="00777542" w:rsidRPr="004F0628" w:rsidRDefault="00370AB1">
            <w:pPr>
              <w:spacing w:after="0" w:line="240" w:lineRule="auto"/>
              <w:jc w:val="right"/>
              <w:rPr>
                <w:rFonts w:eastAsia="Times New Roman" w:cs="Arial"/>
                <w:b/>
                <w:color w:val="000000"/>
                <w:sz w:val="20"/>
                <w:szCs w:val="20"/>
                <w:lang w:eastAsia="en-AU"/>
              </w:rPr>
            </w:pPr>
            <w:r>
              <w:rPr>
                <w:rFonts w:eastAsia="Times New Roman" w:cs="Arial"/>
                <w:b/>
                <w:color w:val="000000"/>
                <w:sz w:val="20"/>
                <w:szCs w:val="20"/>
                <w:lang w:eastAsia="en-AU"/>
              </w:rPr>
              <w:t xml:space="preserve">Preferred option or combination </w:t>
            </w:r>
            <w:r w:rsidR="00777542" w:rsidRPr="004F0628">
              <w:rPr>
                <w:rFonts w:eastAsia="Times New Roman" w:cs="Arial"/>
                <w:b/>
                <w:color w:val="000000"/>
                <w:sz w:val="20"/>
                <w:szCs w:val="20"/>
                <w:lang w:eastAsia="en-AU"/>
              </w:rPr>
              <w:t>of options</w:t>
            </w:r>
          </w:p>
        </w:tc>
        <w:tc>
          <w:tcPr>
            <w:tcW w:w="2089" w:type="dxa"/>
            <w:tcBorders>
              <w:top w:val="single" w:sz="12" w:space="0" w:color="006B77" w:themeColor="background2"/>
            </w:tcBorders>
            <w:noWrap/>
            <w:vAlign w:val="center"/>
            <w:hideMark/>
          </w:tcPr>
          <w:p w14:paraId="128A9C5E" w14:textId="77777777" w:rsidR="00777542" w:rsidRPr="004F0628" w:rsidRDefault="00777542">
            <w:pPr>
              <w:spacing w:after="0" w:line="240" w:lineRule="auto"/>
              <w:jc w:val="right"/>
              <w:rPr>
                <w:rFonts w:eastAsia="Times New Roman" w:cs="Arial"/>
                <w:b/>
                <w:color w:val="000000"/>
                <w:sz w:val="20"/>
                <w:szCs w:val="20"/>
                <w:lang w:eastAsia="en-AU"/>
              </w:rPr>
            </w:pPr>
            <w:r w:rsidRPr="004F0628">
              <w:rPr>
                <w:rFonts w:eastAsia="Times New Roman" w:cs="Arial"/>
                <w:b/>
                <w:color w:val="000000"/>
                <w:sz w:val="20"/>
                <w:szCs w:val="20"/>
                <w:lang w:eastAsia="en-AU"/>
              </w:rPr>
              <w:t>Number of responses</w:t>
            </w:r>
          </w:p>
        </w:tc>
        <w:tc>
          <w:tcPr>
            <w:tcW w:w="2432" w:type="dxa"/>
            <w:tcBorders>
              <w:top w:val="single" w:sz="12" w:space="0" w:color="006B77" w:themeColor="background2"/>
            </w:tcBorders>
            <w:noWrap/>
            <w:vAlign w:val="center"/>
            <w:hideMark/>
          </w:tcPr>
          <w:p w14:paraId="6A9D78C5" w14:textId="77777777" w:rsidR="00777542" w:rsidRPr="004F0628" w:rsidRDefault="00777542">
            <w:pPr>
              <w:spacing w:after="0" w:line="240" w:lineRule="auto"/>
              <w:jc w:val="right"/>
              <w:rPr>
                <w:rFonts w:eastAsia="Times New Roman" w:cs="Arial"/>
                <w:b/>
                <w:color w:val="000000"/>
                <w:sz w:val="20"/>
                <w:szCs w:val="20"/>
                <w:lang w:eastAsia="en-AU"/>
              </w:rPr>
            </w:pPr>
            <w:r w:rsidRPr="004F0628">
              <w:rPr>
                <w:rFonts w:eastAsia="Times New Roman" w:cs="Arial"/>
                <w:b/>
                <w:color w:val="000000"/>
                <w:sz w:val="20"/>
                <w:szCs w:val="20"/>
                <w:lang w:eastAsia="en-AU"/>
              </w:rPr>
              <w:t>Proportion of respondents</w:t>
            </w:r>
          </w:p>
        </w:tc>
      </w:tr>
      <w:tr w:rsidR="00777542" w:rsidRPr="004F0628" w14:paraId="270A5447" w14:textId="77777777" w:rsidTr="00C12306">
        <w:trPr>
          <w:trHeight w:val="305"/>
        </w:trPr>
        <w:tc>
          <w:tcPr>
            <w:tcW w:w="4566" w:type="dxa"/>
            <w:shd w:val="clear" w:color="auto" w:fill="EDF5D7" w:themeFill="accent5" w:themeFillTint="33"/>
            <w:noWrap/>
            <w:vAlign w:val="bottom"/>
            <w:hideMark/>
          </w:tcPr>
          <w:p w14:paraId="453A66E8"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 1</w:t>
            </w:r>
          </w:p>
        </w:tc>
        <w:tc>
          <w:tcPr>
            <w:tcW w:w="2089" w:type="dxa"/>
            <w:shd w:val="clear" w:color="auto" w:fill="EDF5D7" w:themeFill="accent5" w:themeFillTint="33"/>
            <w:noWrap/>
            <w:vAlign w:val="bottom"/>
            <w:hideMark/>
          </w:tcPr>
          <w:p w14:paraId="6C8AB03D" w14:textId="280FEEA2"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8</w:t>
            </w:r>
          </w:p>
        </w:tc>
        <w:tc>
          <w:tcPr>
            <w:tcW w:w="2432" w:type="dxa"/>
            <w:shd w:val="clear" w:color="auto" w:fill="EDF5D7" w:themeFill="accent5" w:themeFillTint="33"/>
            <w:noWrap/>
            <w:vAlign w:val="bottom"/>
            <w:hideMark/>
          </w:tcPr>
          <w:p w14:paraId="1F980BD3" w14:textId="436DD80B"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13</w:t>
            </w:r>
            <w:r w:rsidR="00777542" w:rsidRPr="004F0628">
              <w:rPr>
                <w:rFonts w:cs="Arial"/>
                <w:color w:val="000000"/>
                <w:szCs w:val="22"/>
              </w:rPr>
              <w:t>%</w:t>
            </w:r>
          </w:p>
        </w:tc>
      </w:tr>
      <w:tr w:rsidR="00777542" w:rsidRPr="004F0628" w14:paraId="09682724" w14:textId="77777777" w:rsidTr="00C12306">
        <w:trPr>
          <w:trHeight w:val="305"/>
        </w:trPr>
        <w:tc>
          <w:tcPr>
            <w:tcW w:w="4566" w:type="dxa"/>
            <w:shd w:val="clear" w:color="auto" w:fill="F2F2F2" w:themeFill="background1" w:themeFillShade="F2"/>
            <w:noWrap/>
            <w:vAlign w:val="bottom"/>
            <w:hideMark/>
          </w:tcPr>
          <w:p w14:paraId="524FEB3A"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 2</w:t>
            </w:r>
          </w:p>
        </w:tc>
        <w:tc>
          <w:tcPr>
            <w:tcW w:w="2089" w:type="dxa"/>
            <w:shd w:val="clear" w:color="auto" w:fill="F2F2F2" w:themeFill="background1" w:themeFillShade="F2"/>
            <w:noWrap/>
            <w:vAlign w:val="bottom"/>
            <w:hideMark/>
          </w:tcPr>
          <w:p w14:paraId="5EFFFC31" w14:textId="465271D0"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1</w:t>
            </w:r>
          </w:p>
        </w:tc>
        <w:tc>
          <w:tcPr>
            <w:tcW w:w="2432" w:type="dxa"/>
            <w:shd w:val="clear" w:color="auto" w:fill="F2F2F2" w:themeFill="background1" w:themeFillShade="F2"/>
            <w:noWrap/>
            <w:vAlign w:val="bottom"/>
            <w:hideMark/>
          </w:tcPr>
          <w:p w14:paraId="1D7AC1C3" w14:textId="6695445D"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2</w:t>
            </w:r>
            <w:r w:rsidR="00777542" w:rsidRPr="004F0628">
              <w:rPr>
                <w:rFonts w:cs="Arial"/>
                <w:color w:val="000000"/>
                <w:szCs w:val="22"/>
              </w:rPr>
              <w:t>%</w:t>
            </w:r>
          </w:p>
        </w:tc>
      </w:tr>
      <w:tr w:rsidR="00777542" w:rsidRPr="004F0628" w14:paraId="62B5358F" w14:textId="77777777" w:rsidTr="00C12306">
        <w:trPr>
          <w:trHeight w:val="305"/>
        </w:trPr>
        <w:tc>
          <w:tcPr>
            <w:tcW w:w="4566" w:type="dxa"/>
            <w:shd w:val="clear" w:color="auto" w:fill="F2F2F2" w:themeFill="background1" w:themeFillShade="F2"/>
            <w:noWrap/>
            <w:vAlign w:val="bottom"/>
            <w:hideMark/>
          </w:tcPr>
          <w:p w14:paraId="7BB2469F"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 3</w:t>
            </w:r>
          </w:p>
        </w:tc>
        <w:tc>
          <w:tcPr>
            <w:tcW w:w="2089" w:type="dxa"/>
            <w:shd w:val="clear" w:color="auto" w:fill="F2F2F2" w:themeFill="background1" w:themeFillShade="F2"/>
            <w:noWrap/>
            <w:vAlign w:val="bottom"/>
            <w:hideMark/>
          </w:tcPr>
          <w:p w14:paraId="014C4AF6" w14:textId="6A6C5A27"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4</w:t>
            </w:r>
          </w:p>
        </w:tc>
        <w:tc>
          <w:tcPr>
            <w:tcW w:w="2432" w:type="dxa"/>
            <w:shd w:val="clear" w:color="auto" w:fill="F2F2F2" w:themeFill="background1" w:themeFillShade="F2"/>
            <w:noWrap/>
            <w:vAlign w:val="bottom"/>
            <w:hideMark/>
          </w:tcPr>
          <w:p w14:paraId="66E462F5" w14:textId="6FB9397E"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6</w:t>
            </w:r>
            <w:r w:rsidR="00777542" w:rsidRPr="004F0628">
              <w:rPr>
                <w:rFonts w:cs="Arial"/>
                <w:color w:val="000000"/>
                <w:szCs w:val="22"/>
              </w:rPr>
              <w:t>%</w:t>
            </w:r>
          </w:p>
        </w:tc>
      </w:tr>
      <w:tr w:rsidR="00777542" w:rsidRPr="004F0628" w14:paraId="4DED6DD5" w14:textId="77777777" w:rsidTr="00C12306">
        <w:trPr>
          <w:trHeight w:val="305"/>
        </w:trPr>
        <w:tc>
          <w:tcPr>
            <w:tcW w:w="4566" w:type="dxa"/>
            <w:shd w:val="clear" w:color="auto" w:fill="F2F2F2" w:themeFill="background1" w:themeFillShade="F2"/>
            <w:noWrap/>
            <w:vAlign w:val="bottom"/>
            <w:hideMark/>
          </w:tcPr>
          <w:p w14:paraId="5CD48B1C"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 4</w:t>
            </w:r>
          </w:p>
        </w:tc>
        <w:tc>
          <w:tcPr>
            <w:tcW w:w="2089" w:type="dxa"/>
            <w:shd w:val="clear" w:color="auto" w:fill="F2F2F2" w:themeFill="background1" w:themeFillShade="F2"/>
            <w:noWrap/>
            <w:vAlign w:val="bottom"/>
            <w:hideMark/>
          </w:tcPr>
          <w:p w14:paraId="60E99B0B" w14:textId="2E1798EF"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c>
          <w:tcPr>
            <w:tcW w:w="2432" w:type="dxa"/>
            <w:shd w:val="clear" w:color="auto" w:fill="F2F2F2" w:themeFill="background1" w:themeFillShade="F2"/>
            <w:noWrap/>
            <w:vAlign w:val="bottom"/>
            <w:hideMark/>
          </w:tcPr>
          <w:p w14:paraId="7CEDE815" w14:textId="357E6B95"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r>
      <w:tr w:rsidR="00777542" w:rsidRPr="004F0628" w14:paraId="66C7FCCB" w14:textId="77777777" w:rsidTr="00C12306">
        <w:trPr>
          <w:trHeight w:val="305"/>
        </w:trPr>
        <w:tc>
          <w:tcPr>
            <w:tcW w:w="4566" w:type="dxa"/>
            <w:shd w:val="clear" w:color="auto" w:fill="EDF5D7" w:themeFill="accent5" w:themeFillTint="33"/>
            <w:noWrap/>
            <w:vAlign w:val="bottom"/>
            <w:hideMark/>
          </w:tcPr>
          <w:p w14:paraId="289B5621"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 5</w:t>
            </w:r>
          </w:p>
        </w:tc>
        <w:tc>
          <w:tcPr>
            <w:tcW w:w="2089" w:type="dxa"/>
            <w:shd w:val="clear" w:color="auto" w:fill="EDF5D7" w:themeFill="accent5" w:themeFillTint="33"/>
            <w:noWrap/>
            <w:vAlign w:val="bottom"/>
            <w:hideMark/>
          </w:tcPr>
          <w:p w14:paraId="6A43E9FB" w14:textId="580E0D1A"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5</w:t>
            </w:r>
          </w:p>
        </w:tc>
        <w:tc>
          <w:tcPr>
            <w:tcW w:w="2432" w:type="dxa"/>
            <w:shd w:val="clear" w:color="auto" w:fill="EDF5D7" w:themeFill="accent5" w:themeFillTint="33"/>
            <w:noWrap/>
            <w:vAlign w:val="bottom"/>
            <w:hideMark/>
          </w:tcPr>
          <w:p w14:paraId="4A7432A7" w14:textId="26418AFD"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8</w:t>
            </w:r>
            <w:r w:rsidR="00777542" w:rsidRPr="004F0628">
              <w:rPr>
                <w:rFonts w:cs="Arial"/>
                <w:color w:val="000000"/>
                <w:szCs w:val="22"/>
              </w:rPr>
              <w:t>%</w:t>
            </w:r>
          </w:p>
        </w:tc>
      </w:tr>
      <w:tr w:rsidR="00777542" w:rsidRPr="004F0628" w14:paraId="0A253C4F" w14:textId="77777777" w:rsidTr="00C12306">
        <w:trPr>
          <w:trHeight w:val="305"/>
        </w:trPr>
        <w:tc>
          <w:tcPr>
            <w:tcW w:w="4566" w:type="dxa"/>
            <w:shd w:val="clear" w:color="auto" w:fill="F2F2F2" w:themeFill="background1" w:themeFillShade="F2"/>
            <w:noWrap/>
            <w:vAlign w:val="bottom"/>
            <w:hideMark/>
          </w:tcPr>
          <w:p w14:paraId="2139E691"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2 and 3</w:t>
            </w:r>
          </w:p>
        </w:tc>
        <w:tc>
          <w:tcPr>
            <w:tcW w:w="2089" w:type="dxa"/>
            <w:shd w:val="clear" w:color="auto" w:fill="F2F2F2" w:themeFill="background1" w:themeFillShade="F2"/>
            <w:noWrap/>
            <w:vAlign w:val="bottom"/>
            <w:hideMark/>
          </w:tcPr>
          <w:p w14:paraId="454F14F4" w14:textId="669EF709"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1</w:t>
            </w:r>
          </w:p>
        </w:tc>
        <w:tc>
          <w:tcPr>
            <w:tcW w:w="2432" w:type="dxa"/>
            <w:shd w:val="clear" w:color="auto" w:fill="F2F2F2" w:themeFill="background1" w:themeFillShade="F2"/>
            <w:noWrap/>
            <w:vAlign w:val="bottom"/>
            <w:hideMark/>
          </w:tcPr>
          <w:p w14:paraId="05E3AB09" w14:textId="43B15170"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2</w:t>
            </w:r>
            <w:r w:rsidR="00777542" w:rsidRPr="004F0628">
              <w:rPr>
                <w:rFonts w:cs="Arial"/>
                <w:color w:val="000000"/>
                <w:szCs w:val="22"/>
              </w:rPr>
              <w:t>%</w:t>
            </w:r>
          </w:p>
        </w:tc>
      </w:tr>
      <w:tr w:rsidR="00777542" w:rsidRPr="004F0628" w14:paraId="5580CB2E" w14:textId="77777777" w:rsidTr="00C12306">
        <w:trPr>
          <w:trHeight w:val="305"/>
        </w:trPr>
        <w:tc>
          <w:tcPr>
            <w:tcW w:w="4566" w:type="dxa"/>
            <w:shd w:val="clear" w:color="auto" w:fill="F2F2F2" w:themeFill="background1" w:themeFillShade="F2"/>
            <w:noWrap/>
            <w:vAlign w:val="bottom"/>
            <w:hideMark/>
          </w:tcPr>
          <w:p w14:paraId="5187537A"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2 and 4</w:t>
            </w:r>
          </w:p>
        </w:tc>
        <w:tc>
          <w:tcPr>
            <w:tcW w:w="2089" w:type="dxa"/>
            <w:shd w:val="clear" w:color="auto" w:fill="F2F2F2" w:themeFill="background1" w:themeFillShade="F2"/>
            <w:noWrap/>
            <w:vAlign w:val="bottom"/>
            <w:hideMark/>
          </w:tcPr>
          <w:p w14:paraId="4F9A52AD" w14:textId="5901FF32"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1</w:t>
            </w:r>
          </w:p>
        </w:tc>
        <w:tc>
          <w:tcPr>
            <w:tcW w:w="2432" w:type="dxa"/>
            <w:shd w:val="clear" w:color="auto" w:fill="F2F2F2" w:themeFill="background1" w:themeFillShade="F2"/>
            <w:noWrap/>
            <w:vAlign w:val="bottom"/>
            <w:hideMark/>
          </w:tcPr>
          <w:p w14:paraId="6E628B24" w14:textId="168B420D"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2</w:t>
            </w:r>
            <w:r w:rsidR="00777542" w:rsidRPr="004F0628">
              <w:rPr>
                <w:rFonts w:cs="Arial"/>
                <w:color w:val="000000"/>
                <w:szCs w:val="22"/>
              </w:rPr>
              <w:t>%</w:t>
            </w:r>
          </w:p>
        </w:tc>
      </w:tr>
      <w:tr w:rsidR="00777542" w:rsidRPr="004F0628" w14:paraId="0AEDD0DE" w14:textId="77777777" w:rsidTr="00C12306">
        <w:trPr>
          <w:trHeight w:val="305"/>
        </w:trPr>
        <w:tc>
          <w:tcPr>
            <w:tcW w:w="4566" w:type="dxa"/>
            <w:shd w:val="clear" w:color="auto" w:fill="F2F2F2" w:themeFill="background1" w:themeFillShade="F2"/>
            <w:noWrap/>
            <w:vAlign w:val="bottom"/>
            <w:hideMark/>
          </w:tcPr>
          <w:p w14:paraId="48FF7B27"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2 and 5</w:t>
            </w:r>
          </w:p>
        </w:tc>
        <w:tc>
          <w:tcPr>
            <w:tcW w:w="2089" w:type="dxa"/>
            <w:shd w:val="clear" w:color="auto" w:fill="F2F2F2" w:themeFill="background1" w:themeFillShade="F2"/>
            <w:noWrap/>
            <w:vAlign w:val="bottom"/>
            <w:hideMark/>
          </w:tcPr>
          <w:p w14:paraId="0C246009" w14:textId="5EA2849C"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c>
          <w:tcPr>
            <w:tcW w:w="2432" w:type="dxa"/>
            <w:shd w:val="clear" w:color="auto" w:fill="F2F2F2" w:themeFill="background1" w:themeFillShade="F2"/>
            <w:noWrap/>
            <w:vAlign w:val="bottom"/>
            <w:hideMark/>
          </w:tcPr>
          <w:p w14:paraId="6A84FD14" w14:textId="1F268FEB"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r>
      <w:tr w:rsidR="00777542" w:rsidRPr="004F0628" w14:paraId="282E5F6F" w14:textId="77777777" w:rsidTr="00C12306">
        <w:trPr>
          <w:trHeight w:val="305"/>
        </w:trPr>
        <w:tc>
          <w:tcPr>
            <w:tcW w:w="4566" w:type="dxa"/>
            <w:shd w:val="clear" w:color="auto" w:fill="F2F2F2" w:themeFill="background1" w:themeFillShade="F2"/>
            <w:noWrap/>
            <w:vAlign w:val="bottom"/>
            <w:hideMark/>
          </w:tcPr>
          <w:p w14:paraId="60729E00"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3 and 4</w:t>
            </w:r>
          </w:p>
        </w:tc>
        <w:tc>
          <w:tcPr>
            <w:tcW w:w="2089" w:type="dxa"/>
            <w:shd w:val="clear" w:color="auto" w:fill="F2F2F2" w:themeFill="background1" w:themeFillShade="F2"/>
            <w:noWrap/>
            <w:vAlign w:val="bottom"/>
            <w:hideMark/>
          </w:tcPr>
          <w:p w14:paraId="28245F89" w14:textId="35C8E3E7"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2</w:t>
            </w:r>
          </w:p>
        </w:tc>
        <w:tc>
          <w:tcPr>
            <w:tcW w:w="2432" w:type="dxa"/>
            <w:shd w:val="clear" w:color="auto" w:fill="F2F2F2" w:themeFill="background1" w:themeFillShade="F2"/>
            <w:noWrap/>
            <w:vAlign w:val="bottom"/>
            <w:hideMark/>
          </w:tcPr>
          <w:p w14:paraId="1671D613" w14:textId="6C5271F1"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3%</w:t>
            </w:r>
          </w:p>
        </w:tc>
      </w:tr>
      <w:tr w:rsidR="00777542" w:rsidRPr="004F0628" w14:paraId="693875A6" w14:textId="77777777" w:rsidTr="00C12306">
        <w:trPr>
          <w:trHeight w:val="305"/>
        </w:trPr>
        <w:tc>
          <w:tcPr>
            <w:tcW w:w="4566" w:type="dxa"/>
            <w:shd w:val="clear" w:color="auto" w:fill="F2F2F2" w:themeFill="background1" w:themeFillShade="F2"/>
            <w:noWrap/>
            <w:vAlign w:val="bottom"/>
            <w:hideMark/>
          </w:tcPr>
          <w:p w14:paraId="160FF893"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3 and 5</w:t>
            </w:r>
          </w:p>
        </w:tc>
        <w:tc>
          <w:tcPr>
            <w:tcW w:w="2089" w:type="dxa"/>
            <w:shd w:val="clear" w:color="auto" w:fill="F2F2F2" w:themeFill="background1" w:themeFillShade="F2"/>
            <w:noWrap/>
            <w:vAlign w:val="bottom"/>
            <w:hideMark/>
          </w:tcPr>
          <w:p w14:paraId="7DBFCB4F" w14:textId="7E128FE5"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c>
          <w:tcPr>
            <w:tcW w:w="2432" w:type="dxa"/>
            <w:shd w:val="clear" w:color="auto" w:fill="F2F2F2" w:themeFill="background1" w:themeFillShade="F2"/>
            <w:noWrap/>
            <w:vAlign w:val="bottom"/>
            <w:hideMark/>
          </w:tcPr>
          <w:p w14:paraId="41E78079" w14:textId="5F896A44"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r>
      <w:tr w:rsidR="00777542" w:rsidRPr="004F0628" w14:paraId="213B77FD" w14:textId="77777777" w:rsidTr="00C12306">
        <w:trPr>
          <w:trHeight w:val="305"/>
        </w:trPr>
        <w:tc>
          <w:tcPr>
            <w:tcW w:w="4566" w:type="dxa"/>
            <w:shd w:val="clear" w:color="auto" w:fill="EDF5D7" w:themeFill="accent5" w:themeFillTint="33"/>
            <w:noWrap/>
            <w:vAlign w:val="bottom"/>
            <w:hideMark/>
          </w:tcPr>
          <w:p w14:paraId="36065D63"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4 and 5</w:t>
            </w:r>
          </w:p>
        </w:tc>
        <w:tc>
          <w:tcPr>
            <w:tcW w:w="2089" w:type="dxa"/>
            <w:shd w:val="clear" w:color="auto" w:fill="EDF5D7" w:themeFill="accent5" w:themeFillTint="33"/>
            <w:noWrap/>
            <w:vAlign w:val="bottom"/>
            <w:hideMark/>
          </w:tcPr>
          <w:p w14:paraId="2D397103" w14:textId="6C5E886E"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7</w:t>
            </w:r>
          </w:p>
        </w:tc>
        <w:tc>
          <w:tcPr>
            <w:tcW w:w="2432" w:type="dxa"/>
            <w:shd w:val="clear" w:color="auto" w:fill="EDF5D7" w:themeFill="accent5" w:themeFillTint="33"/>
            <w:noWrap/>
            <w:vAlign w:val="bottom"/>
            <w:hideMark/>
          </w:tcPr>
          <w:p w14:paraId="0FB155F6" w14:textId="2B95EAAB"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11</w:t>
            </w:r>
            <w:r w:rsidR="00777542" w:rsidRPr="004F0628">
              <w:rPr>
                <w:rFonts w:cs="Arial"/>
                <w:color w:val="000000"/>
                <w:szCs w:val="22"/>
              </w:rPr>
              <w:t>%</w:t>
            </w:r>
          </w:p>
        </w:tc>
      </w:tr>
      <w:tr w:rsidR="00777542" w:rsidRPr="004F0628" w14:paraId="332F2FC4" w14:textId="77777777" w:rsidTr="00C12306">
        <w:trPr>
          <w:trHeight w:val="305"/>
        </w:trPr>
        <w:tc>
          <w:tcPr>
            <w:tcW w:w="4566" w:type="dxa"/>
            <w:shd w:val="clear" w:color="auto" w:fill="F2F2F2" w:themeFill="background1" w:themeFillShade="F2"/>
            <w:noWrap/>
            <w:vAlign w:val="bottom"/>
            <w:hideMark/>
          </w:tcPr>
          <w:p w14:paraId="0176F28A"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2, 3 and 5</w:t>
            </w:r>
          </w:p>
        </w:tc>
        <w:tc>
          <w:tcPr>
            <w:tcW w:w="2089" w:type="dxa"/>
            <w:shd w:val="clear" w:color="auto" w:fill="F2F2F2" w:themeFill="background1" w:themeFillShade="F2"/>
            <w:noWrap/>
            <w:vAlign w:val="bottom"/>
            <w:hideMark/>
          </w:tcPr>
          <w:p w14:paraId="4B435280" w14:textId="26F23393"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c>
          <w:tcPr>
            <w:tcW w:w="2432" w:type="dxa"/>
            <w:shd w:val="clear" w:color="auto" w:fill="F2F2F2" w:themeFill="background1" w:themeFillShade="F2"/>
            <w:noWrap/>
            <w:vAlign w:val="bottom"/>
            <w:hideMark/>
          </w:tcPr>
          <w:p w14:paraId="70C0E572" w14:textId="10D883BA"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r>
      <w:tr w:rsidR="00777542" w:rsidRPr="004F0628" w14:paraId="030E908E" w14:textId="77777777" w:rsidTr="00C12306">
        <w:trPr>
          <w:trHeight w:val="305"/>
        </w:trPr>
        <w:tc>
          <w:tcPr>
            <w:tcW w:w="4566" w:type="dxa"/>
            <w:shd w:val="clear" w:color="auto" w:fill="F2F2F2" w:themeFill="background1" w:themeFillShade="F2"/>
            <w:noWrap/>
            <w:vAlign w:val="bottom"/>
            <w:hideMark/>
          </w:tcPr>
          <w:p w14:paraId="344834AA"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2, 4 and 5</w:t>
            </w:r>
          </w:p>
        </w:tc>
        <w:tc>
          <w:tcPr>
            <w:tcW w:w="2089" w:type="dxa"/>
            <w:shd w:val="clear" w:color="auto" w:fill="F2F2F2" w:themeFill="background1" w:themeFillShade="F2"/>
            <w:noWrap/>
            <w:vAlign w:val="bottom"/>
            <w:hideMark/>
          </w:tcPr>
          <w:p w14:paraId="51193C04" w14:textId="4E21924B"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1</w:t>
            </w:r>
          </w:p>
        </w:tc>
        <w:tc>
          <w:tcPr>
            <w:tcW w:w="2432" w:type="dxa"/>
            <w:shd w:val="clear" w:color="auto" w:fill="F2F2F2" w:themeFill="background1" w:themeFillShade="F2"/>
            <w:noWrap/>
            <w:vAlign w:val="bottom"/>
            <w:hideMark/>
          </w:tcPr>
          <w:p w14:paraId="5020529F" w14:textId="177F6239"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2</w:t>
            </w:r>
            <w:r w:rsidR="00777542" w:rsidRPr="004F0628">
              <w:rPr>
                <w:rFonts w:cs="Arial"/>
                <w:color w:val="000000"/>
                <w:szCs w:val="22"/>
              </w:rPr>
              <w:t>%</w:t>
            </w:r>
          </w:p>
        </w:tc>
      </w:tr>
      <w:tr w:rsidR="00777542" w:rsidRPr="004F0628" w14:paraId="442D8799" w14:textId="77777777" w:rsidTr="00C12306">
        <w:trPr>
          <w:trHeight w:val="305"/>
        </w:trPr>
        <w:tc>
          <w:tcPr>
            <w:tcW w:w="4566" w:type="dxa"/>
            <w:shd w:val="clear" w:color="auto" w:fill="F2F2F2" w:themeFill="background1" w:themeFillShade="F2"/>
            <w:noWrap/>
            <w:vAlign w:val="bottom"/>
            <w:hideMark/>
          </w:tcPr>
          <w:p w14:paraId="60CC558D"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2, 3 and 4</w:t>
            </w:r>
          </w:p>
        </w:tc>
        <w:tc>
          <w:tcPr>
            <w:tcW w:w="2089" w:type="dxa"/>
            <w:shd w:val="clear" w:color="auto" w:fill="F2F2F2" w:themeFill="background1" w:themeFillShade="F2"/>
            <w:noWrap/>
            <w:vAlign w:val="bottom"/>
            <w:hideMark/>
          </w:tcPr>
          <w:p w14:paraId="19FAE462" w14:textId="39512739"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c>
          <w:tcPr>
            <w:tcW w:w="2432" w:type="dxa"/>
            <w:shd w:val="clear" w:color="auto" w:fill="F2F2F2" w:themeFill="background1" w:themeFillShade="F2"/>
            <w:noWrap/>
            <w:vAlign w:val="bottom"/>
            <w:hideMark/>
          </w:tcPr>
          <w:p w14:paraId="49184C22" w14:textId="234473E5" w:rsidR="00777542" w:rsidRPr="004F0628" w:rsidRDefault="00777542">
            <w:pPr>
              <w:spacing w:after="0" w:line="240" w:lineRule="auto"/>
              <w:jc w:val="right"/>
              <w:rPr>
                <w:rFonts w:eastAsia="Times New Roman" w:cs="Arial"/>
                <w:color w:val="000000"/>
                <w:szCs w:val="22"/>
                <w:lang w:eastAsia="en-AU"/>
              </w:rPr>
            </w:pPr>
            <w:r w:rsidRPr="004F0628">
              <w:rPr>
                <w:rFonts w:cs="Arial"/>
                <w:color w:val="000000"/>
                <w:szCs w:val="22"/>
              </w:rPr>
              <w:t>0%</w:t>
            </w:r>
          </w:p>
        </w:tc>
      </w:tr>
      <w:tr w:rsidR="00777542" w:rsidRPr="004F0628" w14:paraId="4D11133B" w14:textId="77777777" w:rsidTr="00C12306">
        <w:trPr>
          <w:trHeight w:val="305"/>
        </w:trPr>
        <w:tc>
          <w:tcPr>
            <w:tcW w:w="4566" w:type="dxa"/>
            <w:shd w:val="clear" w:color="auto" w:fill="EDF5D7" w:themeFill="accent5" w:themeFillTint="33"/>
            <w:noWrap/>
            <w:vAlign w:val="bottom"/>
            <w:hideMark/>
          </w:tcPr>
          <w:p w14:paraId="21B7CADB"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3, 4 and 5</w:t>
            </w:r>
          </w:p>
        </w:tc>
        <w:tc>
          <w:tcPr>
            <w:tcW w:w="2089" w:type="dxa"/>
            <w:shd w:val="clear" w:color="auto" w:fill="EDF5D7" w:themeFill="accent5" w:themeFillTint="33"/>
            <w:noWrap/>
            <w:vAlign w:val="bottom"/>
            <w:hideMark/>
          </w:tcPr>
          <w:p w14:paraId="22EDF7F8" w14:textId="7E4F9B94"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17</w:t>
            </w:r>
          </w:p>
        </w:tc>
        <w:tc>
          <w:tcPr>
            <w:tcW w:w="2432" w:type="dxa"/>
            <w:shd w:val="clear" w:color="auto" w:fill="EDF5D7" w:themeFill="accent5" w:themeFillTint="33"/>
            <w:noWrap/>
            <w:vAlign w:val="bottom"/>
            <w:hideMark/>
          </w:tcPr>
          <w:p w14:paraId="1E4EB8B7" w14:textId="48B92F45"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27</w:t>
            </w:r>
            <w:r w:rsidR="00777542" w:rsidRPr="004F0628">
              <w:rPr>
                <w:rFonts w:cs="Arial"/>
                <w:color w:val="000000"/>
                <w:szCs w:val="22"/>
              </w:rPr>
              <w:t>%</w:t>
            </w:r>
          </w:p>
        </w:tc>
      </w:tr>
      <w:tr w:rsidR="00777542" w:rsidRPr="004F0628" w14:paraId="3CC48B08" w14:textId="77777777" w:rsidTr="00C12306">
        <w:trPr>
          <w:trHeight w:val="305"/>
        </w:trPr>
        <w:tc>
          <w:tcPr>
            <w:tcW w:w="4566" w:type="dxa"/>
            <w:shd w:val="clear" w:color="auto" w:fill="EDF5D7" w:themeFill="accent5" w:themeFillTint="33"/>
            <w:noWrap/>
            <w:vAlign w:val="bottom"/>
            <w:hideMark/>
          </w:tcPr>
          <w:p w14:paraId="231B949A" w14:textId="77777777" w:rsidR="00777542" w:rsidRPr="004F0628" w:rsidRDefault="00777542">
            <w:pPr>
              <w:spacing w:after="0" w:line="240" w:lineRule="auto"/>
              <w:jc w:val="right"/>
              <w:rPr>
                <w:rFonts w:eastAsia="Times New Roman" w:cs="Arial"/>
                <w:color w:val="000000"/>
                <w:szCs w:val="22"/>
                <w:lang w:eastAsia="en-AU"/>
              </w:rPr>
            </w:pPr>
            <w:r w:rsidRPr="004F0628">
              <w:rPr>
                <w:rFonts w:eastAsia="Times New Roman" w:cs="Arial"/>
                <w:color w:val="000000"/>
                <w:szCs w:val="22"/>
                <w:lang w:eastAsia="en-AU"/>
              </w:rPr>
              <w:t>Options 2, 3, 4 and 5</w:t>
            </w:r>
          </w:p>
        </w:tc>
        <w:tc>
          <w:tcPr>
            <w:tcW w:w="2089" w:type="dxa"/>
            <w:shd w:val="clear" w:color="auto" w:fill="EDF5D7" w:themeFill="accent5" w:themeFillTint="33"/>
            <w:noWrap/>
            <w:vAlign w:val="bottom"/>
            <w:hideMark/>
          </w:tcPr>
          <w:p w14:paraId="7420AD70" w14:textId="44735CDC"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17</w:t>
            </w:r>
          </w:p>
        </w:tc>
        <w:tc>
          <w:tcPr>
            <w:tcW w:w="2432" w:type="dxa"/>
            <w:shd w:val="clear" w:color="auto" w:fill="EDF5D7" w:themeFill="accent5" w:themeFillTint="33"/>
            <w:noWrap/>
            <w:vAlign w:val="bottom"/>
            <w:hideMark/>
          </w:tcPr>
          <w:p w14:paraId="24AA8532" w14:textId="567C4631" w:rsidR="00777542" w:rsidRPr="004F0628" w:rsidRDefault="004F0628">
            <w:pPr>
              <w:spacing w:after="0" w:line="240" w:lineRule="auto"/>
              <w:jc w:val="right"/>
              <w:rPr>
                <w:rFonts w:eastAsia="Times New Roman" w:cs="Arial"/>
                <w:color w:val="000000"/>
                <w:szCs w:val="22"/>
                <w:lang w:eastAsia="en-AU"/>
              </w:rPr>
            </w:pPr>
            <w:r w:rsidRPr="004F0628">
              <w:rPr>
                <w:rFonts w:cs="Arial"/>
                <w:color w:val="000000"/>
                <w:szCs w:val="22"/>
              </w:rPr>
              <w:t>27</w:t>
            </w:r>
            <w:r w:rsidR="00777542" w:rsidRPr="004F0628">
              <w:rPr>
                <w:rFonts w:cs="Arial"/>
                <w:color w:val="000000"/>
                <w:szCs w:val="22"/>
              </w:rPr>
              <w:t>%</w:t>
            </w:r>
          </w:p>
        </w:tc>
      </w:tr>
    </w:tbl>
    <w:p w14:paraId="5B1690C4" w14:textId="18F28ECE" w:rsidR="00777542" w:rsidRPr="00680A35" w:rsidRDefault="00777542" w:rsidP="00867F1A">
      <w:pPr>
        <w:pStyle w:val="Source-CSR"/>
      </w:pPr>
      <w:r w:rsidRPr="00680A35">
        <w:lastRenderedPageBreak/>
        <w:t xml:space="preserve">Source: Workforce survey, as of </w:t>
      </w:r>
      <w:r w:rsidR="00680A35" w:rsidRPr="00636B94">
        <w:t>11</w:t>
      </w:r>
      <w:r w:rsidRPr="00636B94">
        <w:t xml:space="preserve"> June 2025, Q121, n=</w:t>
      </w:r>
      <w:r w:rsidR="00680A35" w:rsidRPr="00636B94">
        <w:t>64</w:t>
      </w:r>
      <w:r w:rsidRPr="00636B94">
        <w:t xml:space="preserve">. Most popular options or combination of options are highlighted in green. Note that if a respondent selected a combination of options, that selection is treated as a unique preference and not double-counted in the singular options. </w:t>
      </w:r>
      <w:r w:rsidR="00C71D81" w:rsidRPr="00636B94">
        <w:t>Note that due to rounding, percentages may not add to 100%.</w:t>
      </w:r>
    </w:p>
    <w:p w14:paraId="0BBC8766" w14:textId="77777777" w:rsidR="00777542" w:rsidRPr="00777542" w:rsidRDefault="00777542" w:rsidP="00777542">
      <w:pPr>
        <w:rPr>
          <w:color w:val="808080" w:themeColor="background1" w:themeShade="80"/>
          <w:sz w:val="14"/>
          <w:szCs w:val="10"/>
          <w:highlight w:val="yellow"/>
        </w:rPr>
      </w:pPr>
    </w:p>
    <w:p w14:paraId="5AA2FF83" w14:textId="75E181AF" w:rsidR="00777542" w:rsidRPr="002A2454" w:rsidRDefault="00E40A0A" w:rsidP="00777542">
      <w:pPr>
        <w:pStyle w:val="CaptionChart"/>
        <w:numPr>
          <w:ilvl w:val="7"/>
          <w:numId w:val="0"/>
        </w:numPr>
      </w:pPr>
      <w:r>
        <w:t xml:space="preserve">Appendix Table 12.3.6.3 </w:t>
      </w:r>
      <w:bookmarkStart w:id="379" w:name="_Toc200656138"/>
      <w:bookmarkStart w:id="380" w:name="_Toc200657481"/>
      <w:r w:rsidR="00777542" w:rsidRPr="002A2454">
        <w:t xml:space="preserve">Family, carer, and parent responses to “What is your </w:t>
      </w:r>
      <w:r w:rsidR="00B734E0">
        <w:t xml:space="preserve">preferred option or combination </w:t>
      </w:r>
      <w:r w:rsidR="00777542" w:rsidRPr="002A2454">
        <w:t>of options?”</w:t>
      </w:r>
      <w:bookmarkEnd w:id="379"/>
      <w:bookmarkEnd w:id="380"/>
    </w:p>
    <w:tbl>
      <w:tblPr>
        <w:tblW w:w="9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2379"/>
        <w:gridCol w:w="2893"/>
      </w:tblGrid>
      <w:tr w:rsidR="00777542" w:rsidRPr="002A2454" w14:paraId="673B283F" w14:textId="77777777" w:rsidTr="00D94F44">
        <w:trPr>
          <w:trHeight w:val="284"/>
        </w:trPr>
        <w:tc>
          <w:tcPr>
            <w:tcW w:w="3828" w:type="dxa"/>
            <w:tcBorders>
              <w:top w:val="single" w:sz="8" w:space="0" w:color="006B77" w:themeColor="background2"/>
            </w:tcBorders>
            <w:noWrap/>
            <w:vAlign w:val="center"/>
            <w:hideMark/>
          </w:tcPr>
          <w:p w14:paraId="3A312BEB" w14:textId="14372187" w:rsidR="00777542" w:rsidRPr="002A2454" w:rsidRDefault="00370AB1">
            <w:pPr>
              <w:spacing w:after="0" w:line="240" w:lineRule="auto"/>
              <w:jc w:val="right"/>
              <w:rPr>
                <w:rFonts w:eastAsia="Times New Roman" w:cs="Arial"/>
                <w:b/>
                <w:color w:val="000000"/>
                <w:sz w:val="20"/>
                <w:szCs w:val="20"/>
                <w:lang w:eastAsia="en-AU"/>
              </w:rPr>
            </w:pPr>
            <w:r>
              <w:rPr>
                <w:rFonts w:eastAsia="Times New Roman" w:cs="Arial"/>
                <w:b/>
                <w:color w:val="000000"/>
                <w:sz w:val="20"/>
                <w:szCs w:val="20"/>
                <w:lang w:eastAsia="en-AU"/>
              </w:rPr>
              <w:t xml:space="preserve">Preferred option or combination </w:t>
            </w:r>
            <w:r w:rsidR="00777542" w:rsidRPr="002A2454">
              <w:rPr>
                <w:rFonts w:eastAsia="Times New Roman" w:cs="Arial"/>
                <w:b/>
                <w:color w:val="000000"/>
                <w:sz w:val="20"/>
                <w:szCs w:val="20"/>
                <w:lang w:eastAsia="en-AU"/>
              </w:rPr>
              <w:t>of options</w:t>
            </w:r>
          </w:p>
        </w:tc>
        <w:tc>
          <w:tcPr>
            <w:tcW w:w="2379" w:type="dxa"/>
            <w:tcBorders>
              <w:top w:val="single" w:sz="8" w:space="0" w:color="006B77" w:themeColor="background2"/>
            </w:tcBorders>
            <w:noWrap/>
            <w:vAlign w:val="center"/>
            <w:hideMark/>
          </w:tcPr>
          <w:p w14:paraId="0B6E9C5C" w14:textId="77777777" w:rsidR="00777542" w:rsidRPr="002A2454" w:rsidRDefault="00777542">
            <w:pPr>
              <w:spacing w:after="0" w:line="240" w:lineRule="auto"/>
              <w:jc w:val="right"/>
              <w:rPr>
                <w:rFonts w:eastAsia="Times New Roman" w:cs="Arial"/>
                <w:b/>
                <w:color w:val="000000"/>
                <w:sz w:val="20"/>
                <w:szCs w:val="20"/>
                <w:lang w:eastAsia="en-AU"/>
              </w:rPr>
            </w:pPr>
            <w:r w:rsidRPr="002A2454">
              <w:rPr>
                <w:rFonts w:eastAsia="Times New Roman" w:cs="Arial"/>
                <w:b/>
                <w:color w:val="000000"/>
                <w:sz w:val="20"/>
                <w:szCs w:val="20"/>
                <w:lang w:eastAsia="en-AU"/>
              </w:rPr>
              <w:t>Number of responses</w:t>
            </w:r>
          </w:p>
        </w:tc>
        <w:tc>
          <w:tcPr>
            <w:tcW w:w="2893" w:type="dxa"/>
            <w:tcBorders>
              <w:top w:val="single" w:sz="8" w:space="0" w:color="006B77" w:themeColor="background2"/>
            </w:tcBorders>
            <w:noWrap/>
            <w:vAlign w:val="center"/>
            <w:hideMark/>
          </w:tcPr>
          <w:p w14:paraId="2D711B90" w14:textId="77777777" w:rsidR="00777542" w:rsidRPr="002A2454" w:rsidRDefault="00777542">
            <w:pPr>
              <w:spacing w:after="0" w:line="240" w:lineRule="auto"/>
              <w:jc w:val="right"/>
              <w:rPr>
                <w:rFonts w:eastAsia="Times New Roman" w:cs="Arial"/>
                <w:b/>
                <w:color w:val="000000"/>
                <w:sz w:val="20"/>
                <w:szCs w:val="20"/>
                <w:lang w:eastAsia="en-AU"/>
              </w:rPr>
            </w:pPr>
            <w:r w:rsidRPr="002A2454">
              <w:rPr>
                <w:rFonts w:eastAsia="Times New Roman" w:cs="Arial"/>
                <w:b/>
                <w:color w:val="000000"/>
                <w:sz w:val="20"/>
                <w:szCs w:val="20"/>
                <w:lang w:eastAsia="en-AU"/>
              </w:rPr>
              <w:t>Proportion of respondents</w:t>
            </w:r>
          </w:p>
        </w:tc>
      </w:tr>
      <w:tr w:rsidR="00777542" w:rsidRPr="002A2454" w14:paraId="4435BEBA" w14:textId="77777777" w:rsidTr="00C12306">
        <w:trPr>
          <w:trHeight w:val="270"/>
        </w:trPr>
        <w:tc>
          <w:tcPr>
            <w:tcW w:w="3828" w:type="dxa"/>
            <w:shd w:val="clear" w:color="auto" w:fill="F2F2F2" w:themeFill="background1" w:themeFillShade="F2"/>
            <w:noWrap/>
            <w:hideMark/>
          </w:tcPr>
          <w:p w14:paraId="002B4B38" w14:textId="63C4EA21" w:rsidR="00777542" w:rsidRPr="002A2454" w:rsidRDefault="00777542">
            <w:pPr>
              <w:spacing w:after="0" w:line="240" w:lineRule="auto"/>
              <w:jc w:val="right"/>
              <w:rPr>
                <w:rFonts w:eastAsia="Times New Roman" w:cs="Arial"/>
                <w:color w:val="000000"/>
                <w:sz w:val="20"/>
                <w:szCs w:val="20"/>
                <w:lang w:eastAsia="en-AU"/>
              </w:rPr>
            </w:pPr>
            <w:r w:rsidRPr="002A2454">
              <w:t xml:space="preserve">Option </w:t>
            </w:r>
            <w:r w:rsidR="002A2454" w:rsidRPr="002A2454">
              <w:t>1</w:t>
            </w:r>
          </w:p>
        </w:tc>
        <w:tc>
          <w:tcPr>
            <w:tcW w:w="2379" w:type="dxa"/>
            <w:shd w:val="clear" w:color="auto" w:fill="F2F2F2" w:themeFill="background1" w:themeFillShade="F2"/>
            <w:noWrap/>
            <w:hideMark/>
          </w:tcPr>
          <w:p w14:paraId="17F145F7" w14:textId="664D5432" w:rsidR="00777542" w:rsidRPr="002A2454" w:rsidRDefault="00777542">
            <w:pPr>
              <w:spacing w:after="0" w:line="240" w:lineRule="auto"/>
              <w:jc w:val="right"/>
              <w:rPr>
                <w:rFonts w:eastAsia="Times New Roman" w:cs="Arial"/>
                <w:color w:val="000000"/>
                <w:sz w:val="20"/>
                <w:szCs w:val="20"/>
                <w:lang w:eastAsia="en-AU"/>
              </w:rPr>
            </w:pPr>
            <w:r w:rsidRPr="002A2454">
              <w:t>1</w:t>
            </w:r>
          </w:p>
        </w:tc>
        <w:tc>
          <w:tcPr>
            <w:tcW w:w="2893" w:type="dxa"/>
            <w:shd w:val="clear" w:color="auto" w:fill="F2F2F2" w:themeFill="background1" w:themeFillShade="F2"/>
            <w:noWrap/>
            <w:hideMark/>
          </w:tcPr>
          <w:p w14:paraId="1E15C510" w14:textId="0F88FE04" w:rsidR="00777542" w:rsidRPr="002A2454" w:rsidRDefault="00777542">
            <w:pPr>
              <w:spacing w:after="0" w:line="240" w:lineRule="auto"/>
              <w:jc w:val="right"/>
              <w:rPr>
                <w:rFonts w:eastAsia="Times New Roman" w:cs="Arial"/>
                <w:color w:val="000000"/>
                <w:sz w:val="20"/>
                <w:szCs w:val="20"/>
                <w:lang w:eastAsia="en-AU"/>
              </w:rPr>
            </w:pPr>
            <w:r w:rsidRPr="002A2454">
              <w:t>2%</w:t>
            </w:r>
          </w:p>
        </w:tc>
      </w:tr>
      <w:tr w:rsidR="00777542" w:rsidRPr="002A2454" w14:paraId="3698A535" w14:textId="77777777" w:rsidTr="00C12306">
        <w:trPr>
          <w:trHeight w:val="270"/>
        </w:trPr>
        <w:tc>
          <w:tcPr>
            <w:tcW w:w="3828" w:type="dxa"/>
            <w:shd w:val="clear" w:color="auto" w:fill="F2F2F2" w:themeFill="background1" w:themeFillShade="F2"/>
            <w:noWrap/>
            <w:hideMark/>
          </w:tcPr>
          <w:p w14:paraId="5CE2AF4C" w14:textId="42B86B3C" w:rsidR="00777542" w:rsidRPr="002A2454" w:rsidRDefault="00777542">
            <w:pPr>
              <w:spacing w:after="0" w:line="240" w:lineRule="auto"/>
              <w:jc w:val="right"/>
              <w:rPr>
                <w:rFonts w:eastAsia="Times New Roman" w:cs="Arial"/>
                <w:color w:val="000000"/>
                <w:sz w:val="20"/>
                <w:szCs w:val="20"/>
                <w:lang w:eastAsia="en-AU"/>
              </w:rPr>
            </w:pPr>
            <w:r w:rsidRPr="002A2454">
              <w:t xml:space="preserve">Option </w:t>
            </w:r>
            <w:r w:rsidR="002A2454" w:rsidRPr="002A2454">
              <w:t>2</w:t>
            </w:r>
          </w:p>
        </w:tc>
        <w:tc>
          <w:tcPr>
            <w:tcW w:w="2379" w:type="dxa"/>
            <w:shd w:val="clear" w:color="auto" w:fill="F2F2F2" w:themeFill="background1" w:themeFillShade="F2"/>
            <w:noWrap/>
            <w:hideMark/>
          </w:tcPr>
          <w:p w14:paraId="7F6BEC9E" w14:textId="0CBE346D" w:rsidR="00777542" w:rsidRPr="002A2454" w:rsidRDefault="00777542">
            <w:pPr>
              <w:spacing w:after="0" w:line="240" w:lineRule="auto"/>
              <w:jc w:val="right"/>
              <w:rPr>
                <w:rFonts w:eastAsia="Times New Roman" w:cs="Arial"/>
                <w:color w:val="000000"/>
                <w:sz w:val="20"/>
                <w:szCs w:val="20"/>
                <w:lang w:eastAsia="en-AU"/>
              </w:rPr>
            </w:pPr>
            <w:r w:rsidRPr="002A2454">
              <w:t>1</w:t>
            </w:r>
          </w:p>
        </w:tc>
        <w:tc>
          <w:tcPr>
            <w:tcW w:w="2893" w:type="dxa"/>
            <w:shd w:val="clear" w:color="auto" w:fill="F2F2F2" w:themeFill="background1" w:themeFillShade="F2"/>
            <w:noWrap/>
            <w:hideMark/>
          </w:tcPr>
          <w:p w14:paraId="6A616CD2" w14:textId="00C61FE2" w:rsidR="00777542" w:rsidRPr="002A2454" w:rsidRDefault="00777542">
            <w:pPr>
              <w:spacing w:after="0" w:line="240" w:lineRule="auto"/>
              <w:jc w:val="right"/>
              <w:rPr>
                <w:rFonts w:eastAsia="Times New Roman" w:cs="Arial"/>
                <w:color w:val="000000"/>
                <w:sz w:val="20"/>
                <w:szCs w:val="20"/>
                <w:lang w:eastAsia="en-AU"/>
              </w:rPr>
            </w:pPr>
            <w:r w:rsidRPr="002A2454">
              <w:t>2%</w:t>
            </w:r>
          </w:p>
        </w:tc>
      </w:tr>
      <w:tr w:rsidR="00777542" w:rsidRPr="002A2454" w14:paraId="7A32BC49" w14:textId="77777777" w:rsidTr="00C12306">
        <w:trPr>
          <w:trHeight w:val="270"/>
        </w:trPr>
        <w:tc>
          <w:tcPr>
            <w:tcW w:w="3828" w:type="dxa"/>
            <w:shd w:val="clear" w:color="auto" w:fill="EDF5D7" w:themeFill="accent5" w:themeFillTint="33"/>
            <w:noWrap/>
            <w:hideMark/>
          </w:tcPr>
          <w:p w14:paraId="1906B1D5" w14:textId="67FEECAD" w:rsidR="00777542" w:rsidRPr="002A2454" w:rsidRDefault="00777542">
            <w:pPr>
              <w:spacing w:after="0" w:line="240" w:lineRule="auto"/>
              <w:jc w:val="right"/>
              <w:rPr>
                <w:rFonts w:eastAsia="Times New Roman" w:cs="Arial"/>
                <w:color w:val="000000"/>
                <w:sz w:val="20"/>
                <w:szCs w:val="20"/>
                <w:lang w:eastAsia="en-AU"/>
              </w:rPr>
            </w:pPr>
            <w:r w:rsidRPr="002A2454">
              <w:t xml:space="preserve">Option </w:t>
            </w:r>
            <w:r w:rsidR="002A2454" w:rsidRPr="002A2454">
              <w:t>3</w:t>
            </w:r>
          </w:p>
        </w:tc>
        <w:tc>
          <w:tcPr>
            <w:tcW w:w="2379" w:type="dxa"/>
            <w:shd w:val="clear" w:color="auto" w:fill="EDF5D7" w:themeFill="accent5" w:themeFillTint="33"/>
            <w:noWrap/>
            <w:hideMark/>
          </w:tcPr>
          <w:p w14:paraId="30E0E81C" w14:textId="2B34F264" w:rsidR="00777542" w:rsidRPr="002A2454" w:rsidRDefault="002A2454">
            <w:pPr>
              <w:spacing w:after="0" w:line="240" w:lineRule="auto"/>
              <w:jc w:val="right"/>
              <w:rPr>
                <w:rFonts w:eastAsia="Times New Roman" w:cs="Arial"/>
                <w:color w:val="000000"/>
                <w:sz w:val="20"/>
                <w:szCs w:val="20"/>
                <w:lang w:eastAsia="en-AU"/>
              </w:rPr>
            </w:pPr>
            <w:r w:rsidRPr="002A2454">
              <w:t>1</w:t>
            </w:r>
          </w:p>
        </w:tc>
        <w:tc>
          <w:tcPr>
            <w:tcW w:w="2893" w:type="dxa"/>
            <w:shd w:val="clear" w:color="auto" w:fill="EDF5D7" w:themeFill="accent5" w:themeFillTint="33"/>
            <w:noWrap/>
            <w:hideMark/>
          </w:tcPr>
          <w:p w14:paraId="3F3548B2" w14:textId="276C6094" w:rsidR="00777542" w:rsidRPr="002A2454" w:rsidRDefault="002A2454">
            <w:pPr>
              <w:spacing w:after="0" w:line="240" w:lineRule="auto"/>
              <w:jc w:val="right"/>
              <w:rPr>
                <w:rFonts w:eastAsia="Times New Roman" w:cs="Arial"/>
                <w:color w:val="000000"/>
                <w:sz w:val="20"/>
                <w:szCs w:val="20"/>
                <w:lang w:eastAsia="en-AU"/>
              </w:rPr>
            </w:pPr>
            <w:r w:rsidRPr="002A2454">
              <w:t>2</w:t>
            </w:r>
            <w:r w:rsidR="00777542" w:rsidRPr="002A2454">
              <w:t>%</w:t>
            </w:r>
          </w:p>
        </w:tc>
      </w:tr>
      <w:tr w:rsidR="00777542" w:rsidRPr="002A2454" w14:paraId="10B24CB2" w14:textId="77777777" w:rsidTr="00C12306">
        <w:trPr>
          <w:trHeight w:val="270"/>
        </w:trPr>
        <w:tc>
          <w:tcPr>
            <w:tcW w:w="3828" w:type="dxa"/>
            <w:shd w:val="clear" w:color="auto" w:fill="EDF5D7" w:themeFill="accent5" w:themeFillTint="33"/>
            <w:noWrap/>
            <w:hideMark/>
          </w:tcPr>
          <w:p w14:paraId="076E44BE" w14:textId="3F5528B3" w:rsidR="00777542" w:rsidRPr="002A2454" w:rsidRDefault="00777542">
            <w:pPr>
              <w:spacing w:after="0" w:line="240" w:lineRule="auto"/>
              <w:jc w:val="right"/>
              <w:rPr>
                <w:rFonts w:eastAsia="Times New Roman" w:cs="Arial"/>
                <w:color w:val="000000"/>
                <w:sz w:val="20"/>
                <w:szCs w:val="20"/>
                <w:lang w:eastAsia="en-AU"/>
              </w:rPr>
            </w:pPr>
            <w:r w:rsidRPr="002A2454">
              <w:t xml:space="preserve">Option </w:t>
            </w:r>
            <w:r w:rsidR="002A2454" w:rsidRPr="002A2454">
              <w:t>4</w:t>
            </w:r>
          </w:p>
        </w:tc>
        <w:tc>
          <w:tcPr>
            <w:tcW w:w="2379" w:type="dxa"/>
            <w:shd w:val="clear" w:color="auto" w:fill="EDF5D7" w:themeFill="accent5" w:themeFillTint="33"/>
            <w:noWrap/>
            <w:hideMark/>
          </w:tcPr>
          <w:p w14:paraId="2C4FE931" w14:textId="4AD1EDD9" w:rsidR="00777542" w:rsidRPr="002A2454" w:rsidRDefault="002A2454">
            <w:pPr>
              <w:spacing w:after="0" w:line="240" w:lineRule="auto"/>
              <w:jc w:val="right"/>
              <w:rPr>
                <w:rFonts w:eastAsia="Times New Roman" w:cs="Arial"/>
                <w:color w:val="000000"/>
                <w:sz w:val="20"/>
                <w:szCs w:val="20"/>
                <w:lang w:eastAsia="en-AU"/>
              </w:rPr>
            </w:pPr>
            <w:r w:rsidRPr="002A2454">
              <w:t>8</w:t>
            </w:r>
          </w:p>
        </w:tc>
        <w:tc>
          <w:tcPr>
            <w:tcW w:w="2893" w:type="dxa"/>
            <w:shd w:val="clear" w:color="auto" w:fill="EDF5D7" w:themeFill="accent5" w:themeFillTint="33"/>
            <w:noWrap/>
            <w:hideMark/>
          </w:tcPr>
          <w:p w14:paraId="10B1D12C" w14:textId="45956551" w:rsidR="00777542" w:rsidRPr="002A2454" w:rsidRDefault="002A2454">
            <w:pPr>
              <w:spacing w:after="0" w:line="240" w:lineRule="auto"/>
              <w:jc w:val="right"/>
              <w:rPr>
                <w:rFonts w:eastAsia="Times New Roman" w:cs="Arial"/>
                <w:color w:val="000000"/>
                <w:sz w:val="20"/>
                <w:szCs w:val="20"/>
                <w:lang w:eastAsia="en-AU"/>
              </w:rPr>
            </w:pPr>
            <w:r w:rsidRPr="002A2454">
              <w:t>15</w:t>
            </w:r>
            <w:r w:rsidR="00777542" w:rsidRPr="002A2454">
              <w:t>%</w:t>
            </w:r>
          </w:p>
        </w:tc>
      </w:tr>
      <w:tr w:rsidR="00777542" w:rsidRPr="002A2454" w14:paraId="4DEF06A9" w14:textId="77777777" w:rsidTr="00C12306">
        <w:trPr>
          <w:trHeight w:val="270"/>
        </w:trPr>
        <w:tc>
          <w:tcPr>
            <w:tcW w:w="3828" w:type="dxa"/>
            <w:shd w:val="clear" w:color="auto" w:fill="F2F2F2" w:themeFill="background1" w:themeFillShade="F2"/>
            <w:noWrap/>
            <w:hideMark/>
          </w:tcPr>
          <w:p w14:paraId="2334F5A0" w14:textId="74705786" w:rsidR="00777542" w:rsidRPr="002A2454" w:rsidRDefault="002A2454">
            <w:pPr>
              <w:spacing w:after="0" w:line="240" w:lineRule="auto"/>
              <w:jc w:val="right"/>
              <w:rPr>
                <w:rFonts w:eastAsia="Times New Roman" w:cs="Arial"/>
                <w:color w:val="000000"/>
                <w:sz w:val="20"/>
                <w:szCs w:val="20"/>
                <w:lang w:eastAsia="en-AU"/>
              </w:rPr>
            </w:pPr>
            <w:r w:rsidRPr="002A2454">
              <w:t>Option 5</w:t>
            </w:r>
          </w:p>
        </w:tc>
        <w:tc>
          <w:tcPr>
            <w:tcW w:w="2379" w:type="dxa"/>
            <w:shd w:val="clear" w:color="auto" w:fill="F2F2F2" w:themeFill="background1" w:themeFillShade="F2"/>
            <w:noWrap/>
            <w:hideMark/>
          </w:tcPr>
          <w:p w14:paraId="41BFAE00" w14:textId="22E55682" w:rsidR="00777542" w:rsidRPr="002A2454" w:rsidRDefault="002A2454">
            <w:pPr>
              <w:spacing w:after="0" w:line="240" w:lineRule="auto"/>
              <w:jc w:val="right"/>
              <w:rPr>
                <w:rFonts w:eastAsia="Times New Roman" w:cs="Arial"/>
                <w:color w:val="000000"/>
                <w:sz w:val="20"/>
                <w:szCs w:val="20"/>
                <w:lang w:eastAsia="en-AU"/>
              </w:rPr>
            </w:pPr>
            <w:r w:rsidRPr="002A2454">
              <w:t>7</w:t>
            </w:r>
          </w:p>
        </w:tc>
        <w:tc>
          <w:tcPr>
            <w:tcW w:w="2893" w:type="dxa"/>
            <w:shd w:val="clear" w:color="auto" w:fill="F2F2F2" w:themeFill="background1" w:themeFillShade="F2"/>
            <w:noWrap/>
            <w:hideMark/>
          </w:tcPr>
          <w:p w14:paraId="71831CA6" w14:textId="20180616" w:rsidR="00777542" w:rsidRPr="002A2454" w:rsidRDefault="002A2454">
            <w:pPr>
              <w:spacing w:after="0" w:line="240" w:lineRule="auto"/>
              <w:jc w:val="right"/>
              <w:rPr>
                <w:rFonts w:eastAsia="Times New Roman" w:cs="Arial"/>
                <w:color w:val="000000"/>
                <w:sz w:val="20"/>
                <w:szCs w:val="20"/>
                <w:lang w:eastAsia="en-AU"/>
              </w:rPr>
            </w:pPr>
            <w:r w:rsidRPr="002A2454">
              <w:t>13</w:t>
            </w:r>
            <w:r w:rsidR="00777542" w:rsidRPr="002A2454">
              <w:t>%</w:t>
            </w:r>
          </w:p>
        </w:tc>
      </w:tr>
      <w:tr w:rsidR="00777542" w:rsidRPr="002A2454" w14:paraId="6E108440" w14:textId="77777777" w:rsidTr="00C12306">
        <w:trPr>
          <w:trHeight w:val="270"/>
        </w:trPr>
        <w:tc>
          <w:tcPr>
            <w:tcW w:w="3828" w:type="dxa"/>
            <w:shd w:val="clear" w:color="auto" w:fill="F2F2F2" w:themeFill="background1" w:themeFillShade="F2"/>
            <w:noWrap/>
            <w:hideMark/>
          </w:tcPr>
          <w:p w14:paraId="65DF730F" w14:textId="3C7FDED2"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2 and </w:t>
            </w:r>
            <w:r w:rsidR="002A2454" w:rsidRPr="002A2454">
              <w:t>3</w:t>
            </w:r>
          </w:p>
        </w:tc>
        <w:tc>
          <w:tcPr>
            <w:tcW w:w="2379" w:type="dxa"/>
            <w:shd w:val="clear" w:color="auto" w:fill="F2F2F2" w:themeFill="background1" w:themeFillShade="F2"/>
            <w:noWrap/>
            <w:hideMark/>
          </w:tcPr>
          <w:p w14:paraId="484DF558" w14:textId="18ED6CCA" w:rsidR="00777542" w:rsidRPr="002A2454" w:rsidRDefault="00777542">
            <w:pPr>
              <w:spacing w:after="0" w:line="240" w:lineRule="auto"/>
              <w:jc w:val="right"/>
              <w:rPr>
                <w:rFonts w:eastAsia="Times New Roman" w:cs="Arial"/>
                <w:color w:val="000000"/>
                <w:sz w:val="20"/>
                <w:szCs w:val="20"/>
                <w:lang w:eastAsia="en-AU"/>
              </w:rPr>
            </w:pPr>
            <w:r w:rsidRPr="002A2454">
              <w:t>0</w:t>
            </w:r>
          </w:p>
        </w:tc>
        <w:tc>
          <w:tcPr>
            <w:tcW w:w="2893" w:type="dxa"/>
            <w:shd w:val="clear" w:color="auto" w:fill="F2F2F2" w:themeFill="background1" w:themeFillShade="F2"/>
            <w:noWrap/>
            <w:hideMark/>
          </w:tcPr>
          <w:p w14:paraId="71CA0436" w14:textId="4D65E390" w:rsidR="00777542" w:rsidRPr="002A2454" w:rsidRDefault="00777542">
            <w:pPr>
              <w:spacing w:after="0" w:line="240" w:lineRule="auto"/>
              <w:jc w:val="right"/>
              <w:rPr>
                <w:rFonts w:eastAsia="Times New Roman" w:cs="Arial"/>
                <w:color w:val="000000"/>
                <w:sz w:val="20"/>
                <w:szCs w:val="20"/>
                <w:lang w:eastAsia="en-AU"/>
              </w:rPr>
            </w:pPr>
            <w:r w:rsidRPr="002A2454">
              <w:t>0%</w:t>
            </w:r>
          </w:p>
        </w:tc>
      </w:tr>
      <w:tr w:rsidR="00777542" w:rsidRPr="002A2454" w14:paraId="0EC2052D" w14:textId="77777777" w:rsidTr="00C12306">
        <w:trPr>
          <w:trHeight w:val="270"/>
        </w:trPr>
        <w:tc>
          <w:tcPr>
            <w:tcW w:w="3828" w:type="dxa"/>
            <w:shd w:val="clear" w:color="auto" w:fill="F2F2F2" w:themeFill="background1" w:themeFillShade="F2"/>
            <w:noWrap/>
            <w:hideMark/>
          </w:tcPr>
          <w:p w14:paraId="0AAE762D" w14:textId="6DEEF5CB"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2 and </w:t>
            </w:r>
            <w:r w:rsidR="002A2454" w:rsidRPr="002A2454">
              <w:t>4</w:t>
            </w:r>
          </w:p>
        </w:tc>
        <w:tc>
          <w:tcPr>
            <w:tcW w:w="2379" w:type="dxa"/>
            <w:shd w:val="clear" w:color="auto" w:fill="F2F2F2" w:themeFill="background1" w:themeFillShade="F2"/>
            <w:noWrap/>
            <w:hideMark/>
          </w:tcPr>
          <w:p w14:paraId="61F8579D" w14:textId="71306544" w:rsidR="00777542" w:rsidRPr="002A2454" w:rsidRDefault="00777542">
            <w:pPr>
              <w:spacing w:after="0" w:line="240" w:lineRule="auto"/>
              <w:jc w:val="right"/>
              <w:rPr>
                <w:rFonts w:eastAsia="Times New Roman" w:cs="Arial"/>
                <w:color w:val="000000"/>
                <w:sz w:val="20"/>
                <w:szCs w:val="20"/>
                <w:lang w:eastAsia="en-AU"/>
              </w:rPr>
            </w:pPr>
            <w:r w:rsidRPr="002A2454">
              <w:t>0</w:t>
            </w:r>
          </w:p>
        </w:tc>
        <w:tc>
          <w:tcPr>
            <w:tcW w:w="2893" w:type="dxa"/>
            <w:shd w:val="clear" w:color="auto" w:fill="F2F2F2" w:themeFill="background1" w:themeFillShade="F2"/>
            <w:noWrap/>
            <w:hideMark/>
          </w:tcPr>
          <w:p w14:paraId="0F4615E1" w14:textId="5899EF9C" w:rsidR="00777542" w:rsidRPr="002A2454" w:rsidRDefault="00777542">
            <w:pPr>
              <w:spacing w:after="0" w:line="240" w:lineRule="auto"/>
              <w:jc w:val="right"/>
              <w:rPr>
                <w:rFonts w:eastAsia="Times New Roman" w:cs="Arial"/>
                <w:color w:val="000000"/>
                <w:sz w:val="20"/>
                <w:szCs w:val="20"/>
                <w:lang w:eastAsia="en-AU"/>
              </w:rPr>
            </w:pPr>
            <w:r w:rsidRPr="002A2454">
              <w:t>0%</w:t>
            </w:r>
          </w:p>
        </w:tc>
      </w:tr>
      <w:tr w:rsidR="00777542" w:rsidRPr="002A2454" w14:paraId="1AFB53EB" w14:textId="77777777" w:rsidTr="00C12306">
        <w:trPr>
          <w:trHeight w:val="270"/>
        </w:trPr>
        <w:tc>
          <w:tcPr>
            <w:tcW w:w="3828" w:type="dxa"/>
            <w:shd w:val="clear" w:color="auto" w:fill="F2F2F2" w:themeFill="background1" w:themeFillShade="F2"/>
            <w:noWrap/>
            <w:hideMark/>
          </w:tcPr>
          <w:p w14:paraId="444D37CF" w14:textId="61CD2E63"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w:t>
            </w:r>
            <w:r w:rsidR="002A2454" w:rsidRPr="002A2454">
              <w:t>2</w:t>
            </w:r>
            <w:r w:rsidRPr="002A2454">
              <w:t xml:space="preserve"> and </w:t>
            </w:r>
            <w:r w:rsidR="002A2454" w:rsidRPr="002A2454">
              <w:t>5</w:t>
            </w:r>
          </w:p>
        </w:tc>
        <w:tc>
          <w:tcPr>
            <w:tcW w:w="2379" w:type="dxa"/>
            <w:shd w:val="clear" w:color="auto" w:fill="F2F2F2" w:themeFill="background1" w:themeFillShade="F2"/>
            <w:noWrap/>
            <w:hideMark/>
          </w:tcPr>
          <w:p w14:paraId="6162DD55" w14:textId="28433600" w:rsidR="00777542" w:rsidRPr="002A2454" w:rsidRDefault="00777542">
            <w:pPr>
              <w:spacing w:after="0" w:line="240" w:lineRule="auto"/>
              <w:jc w:val="right"/>
              <w:rPr>
                <w:rFonts w:eastAsia="Times New Roman" w:cs="Arial"/>
                <w:color w:val="000000"/>
                <w:sz w:val="20"/>
                <w:szCs w:val="20"/>
                <w:lang w:eastAsia="en-AU"/>
              </w:rPr>
            </w:pPr>
            <w:r w:rsidRPr="002A2454">
              <w:t>1</w:t>
            </w:r>
          </w:p>
        </w:tc>
        <w:tc>
          <w:tcPr>
            <w:tcW w:w="2893" w:type="dxa"/>
            <w:shd w:val="clear" w:color="auto" w:fill="F2F2F2" w:themeFill="background1" w:themeFillShade="F2"/>
            <w:noWrap/>
            <w:hideMark/>
          </w:tcPr>
          <w:p w14:paraId="28D1FD9E" w14:textId="59670AAB" w:rsidR="00777542" w:rsidRPr="002A2454" w:rsidRDefault="00777542">
            <w:pPr>
              <w:spacing w:after="0" w:line="240" w:lineRule="auto"/>
              <w:jc w:val="right"/>
              <w:rPr>
                <w:rFonts w:eastAsia="Times New Roman" w:cs="Arial"/>
                <w:color w:val="000000"/>
                <w:sz w:val="20"/>
                <w:szCs w:val="20"/>
                <w:lang w:eastAsia="en-AU"/>
              </w:rPr>
            </w:pPr>
            <w:r w:rsidRPr="002A2454">
              <w:t>2%</w:t>
            </w:r>
          </w:p>
        </w:tc>
      </w:tr>
      <w:tr w:rsidR="00777542" w:rsidRPr="002A2454" w14:paraId="66657A04" w14:textId="77777777" w:rsidTr="00C12306">
        <w:trPr>
          <w:trHeight w:val="270"/>
        </w:trPr>
        <w:tc>
          <w:tcPr>
            <w:tcW w:w="3828" w:type="dxa"/>
            <w:shd w:val="clear" w:color="auto" w:fill="F2F2F2" w:themeFill="background1" w:themeFillShade="F2"/>
            <w:noWrap/>
            <w:hideMark/>
          </w:tcPr>
          <w:p w14:paraId="36CF16B8" w14:textId="6B13BF63"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3 and </w:t>
            </w:r>
            <w:r w:rsidR="002A2454" w:rsidRPr="002A2454">
              <w:t>4</w:t>
            </w:r>
          </w:p>
        </w:tc>
        <w:tc>
          <w:tcPr>
            <w:tcW w:w="2379" w:type="dxa"/>
            <w:shd w:val="clear" w:color="auto" w:fill="F2F2F2" w:themeFill="background1" w:themeFillShade="F2"/>
            <w:noWrap/>
            <w:hideMark/>
          </w:tcPr>
          <w:p w14:paraId="41A75B19" w14:textId="3AC3379C" w:rsidR="00777542" w:rsidRPr="002A2454" w:rsidRDefault="002A2454">
            <w:pPr>
              <w:spacing w:after="0" w:line="240" w:lineRule="auto"/>
              <w:jc w:val="right"/>
              <w:rPr>
                <w:rFonts w:eastAsia="Times New Roman" w:cs="Arial"/>
                <w:color w:val="000000"/>
                <w:sz w:val="20"/>
                <w:szCs w:val="20"/>
                <w:lang w:eastAsia="en-AU"/>
              </w:rPr>
            </w:pPr>
            <w:r w:rsidRPr="002A2454">
              <w:t>1</w:t>
            </w:r>
          </w:p>
        </w:tc>
        <w:tc>
          <w:tcPr>
            <w:tcW w:w="2893" w:type="dxa"/>
            <w:shd w:val="clear" w:color="auto" w:fill="F2F2F2" w:themeFill="background1" w:themeFillShade="F2"/>
            <w:noWrap/>
            <w:hideMark/>
          </w:tcPr>
          <w:p w14:paraId="4C5EA825" w14:textId="252B243A" w:rsidR="00777542" w:rsidRPr="002A2454" w:rsidRDefault="002A2454">
            <w:pPr>
              <w:spacing w:after="0" w:line="240" w:lineRule="auto"/>
              <w:jc w:val="right"/>
              <w:rPr>
                <w:rFonts w:eastAsia="Times New Roman" w:cs="Arial"/>
                <w:color w:val="000000"/>
                <w:sz w:val="20"/>
                <w:szCs w:val="20"/>
                <w:lang w:eastAsia="en-AU"/>
              </w:rPr>
            </w:pPr>
            <w:r w:rsidRPr="002A2454">
              <w:t>2</w:t>
            </w:r>
            <w:r w:rsidR="00777542" w:rsidRPr="002A2454">
              <w:t>%</w:t>
            </w:r>
          </w:p>
        </w:tc>
      </w:tr>
      <w:tr w:rsidR="00777542" w:rsidRPr="002A2454" w14:paraId="7BE98334" w14:textId="77777777" w:rsidTr="00C12306">
        <w:trPr>
          <w:trHeight w:val="270"/>
        </w:trPr>
        <w:tc>
          <w:tcPr>
            <w:tcW w:w="3828" w:type="dxa"/>
            <w:shd w:val="clear" w:color="auto" w:fill="EDF5D7" w:themeFill="accent5" w:themeFillTint="33"/>
            <w:noWrap/>
            <w:hideMark/>
          </w:tcPr>
          <w:p w14:paraId="5E06DED7" w14:textId="070F380C"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w:t>
            </w:r>
            <w:r w:rsidR="002A2454" w:rsidRPr="002A2454">
              <w:t>3</w:t>
            </w:r>
            <w:r w:rsidRPr="002A2454">
              <w:t xml:space="preserve"> and 5</w:t>
            </w:r>
          </w:p>
        </w:tc>
        <w:tc>
          <w:tcPr>
            <w:tcW w:w="2379" w:type="dxa"/>
            <w:shd w:val="clear" w:color="auto" w:fill="EDF5D7" w:themeFill="accent5" w:themeFillTint="33"/>
            <w:noWrap/>
            <w:hideMark/>
          </w:tcPr>
          <w:p w14:paraId="489FD3D1" w14:textId="25C9D315" w:rsidR="00777542" w:rsidRPr="002A2454" w:rsidRDefault="002A2454">
            <w:pPr>
              <w:spacing w:after="0" w:line="240" w:lineRule="auto"/>
              <w:jc w:val="right"/>
              <w:rPr>
                <w:rFonts w:eastAsia="Times New Roman" w:cs="Arial"/>
                <w:color w:val="000000"/>
                <w:sz w:val="20"/>
                <w:szCs w:val="20"/>
                <w:lang w:eastAsia="en-AU"/>
              </w:rPr>
            </w:pPr>
            <w:r w:rsidRPr="002A2454">
              <w:t>0</w:t>
            </w:r>
          </w:p>
        </w:tc>
        <w:tc>
          <w:tcPr>
            <w:tcW w:w="2893" w:type="dxa"/>
            <w:shd w:val="clear" w:color="auto" w:fill="EDF5D7" w:themeFill="accent5" w:themeFillTint="33"/>
            <w:noWrap/>
            <w:hideMark/>
          </w:tcPr>
          <w:p w14:paraId="368DE07A" w14:textId="65B3418B" w:rsidR="00777542" w:rsidRPr="002A2454" w:rsidRDefault="002A2454">
            <w:pPr>
              <w:spacing w:after="0" w:line="240" w:lineRule="auto"/>
              <w:jc w:val="right"/>
              <w:rPr>
                <w:rFonts w:eastAsia="Times New Roman" w:cs="Arial"/>
                <w:color w:val="000000"/>
                <w:sz w:val="20"/>
                <w:szCs w:val="20"/>
                <w:lang w:eastAsia="en-AU"/>
              </w:rPr>
            </w:pPr>
            <w:r w:rsidRPr="002A2454">
              <w:t>0</w:t>
            </w:r>
            <w:r w:rsidR="00777542" w:rsidRPr="002A2454">
              <w:t>%</w:t>
            </w:r>
          </w:p>
        </w:tc>
      </w:tr>
      <w:tr w:rsidR="00777542" w:rsidRPr="002A2454" w14:paraId="4BC1D87C" w14:textId="77777777" w:rsidTr="00C12306">
        <w:trPr>
          <w:trHeight w:val="270"/>
        </w:trPr>
        <w:tc>
          <w:tcPr>
            <w:tcW w:w="3828" w:type="dxa"/>
            <w:shd w:val="clear" w:color="auto" w:fill="F2F2F2" w:themeFill="background1" w:themeFillShade="F2"/>
            <w:noWrap/>
            <w:hideMark/>
          </w:tcPr>
          <w:p w14:paraId="485B6EC1" w14:textId="2A687FED"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w:t>
            </w:r>
            <w:r w:rsidR="002A2454" w:rsidRPr="002A2454">
              <w:t>4</w:t>
            </w:r>
            <w:r w:rsidRPr="002A2454">
              <w:t xml:space="preserve"> and 5</w:t>
            </w:r>
          </w:p>
        </w:tc>
        <w:tc>
          <w:tcPr>
            <w:tcW w:w="2379" w:type="dxa"/>
            <w:shd w:val="clear" w:color="auto" w:fill="F2F2F2" w:themeFill="background1" w:themeFillShade="F2"/>
            <w:noWrap/>
            <w:hideMark/>
          </w:tcPr>
          <w:p w14:paraId="76B4CE88" w14:textId="5B3FD5CA" w:rsidR="00777542" w:rsidRPr="002A2454" w:rsidRDefault="002A2454">
            <w:pPr>
              <w:spacing w:after="0" w:line="240" w:lineRule="auto"/>
              <w:jc w:val="right"/>
              <w:rPr>
                <w:rFonts w:eastAsia="Times New Roman" w:cs="Arial"/>
                <w:color w:val="000000"/>
                <w:sz w:val="20"/>
                <w:szCs w:val="20"/>
                <w:lang w:eastAsia="en-AU"/>
              </w:rPr>
            </w:pPr>
            <w:r w:rsidRPr="002A2454">
              <w:t>8</w:t>
            </w:r>
          </w:p>
        </w:tc>
        <w:tc>
          <w:tcPr>
            <w:tcW w:w="2893" w:type="dxa"/>
            <w:shd w:val="clear" w:color="auto" w:fill="F2F2F2" w:themeFill="background1" w:themeFillShade="F2"/>
            <w:noWrap/>
            <w:hideMark/>
          </w:tcPr>
          <w:p w14:paraId="1164313E" w14:textId="14EBEC04" w:rsidR="00777542" w:rsidRPr="002A2454" w:rsidRDefault="002A2454">
            <w:pPr>
              <w:spacing w:after="0" w:line="240" w:lineRule="auto"/>
              <w:jc w:val="right"/>
              <w:rPr>
                <w:rFonts w:eastAsia="Times New Roman" w:cs="Arial"/>
                <w:color w:val="000000"/>
                <w:sz w:val="20"/>
                <w:szCs w:val="20"/>
                <w:lang w:eastAsia="en-AU"/>
              </w:rPr>
            </w:pPr>
            <w:r w:rsidRPr="002A2454">
              <w:t>15</w:t>
            </w:r>
            <w:r w:rsidR="00777542" w:rsidRPr="002A2454">
              <w:t>%</w:t>
            </w:r>
          </w:p>
        </w:tc>
      </w:tr>
      <w:tr w:rsidR="00777542" w:rsidRPr="002A2454" w14:paraId="7B4F781D" w14:textId="77777777" w:rsidTr="00C12306">
        <w:trPr>
          <w:trHeight w:val="270"/>
        </w:trPr>
        <w:tc>
          <w:tcPr>
            <w:tcW w:w="3828" w:type="dxa"/>
            <w:shd w:val="clear" w:color="auto" w:fill="F2F2F2" w:themeFill="background1" w:themeFillShade="F2"/>
            <w:noWrap/>
            <w:hideMark/>
          </w:tcPr>
          <w:p w14:paraId="669AF964" w14:textId="15B1708D"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2, </w:t>
            </w:r>
            <w:r w:rsidR="002A2454" w:rsidRPr="002A2454">
              <w:t>3</w:t>
            </w:r>
            <w:r w:rsidRPr="002A2454">
              <w:t xml:space="preserve"> and 5</w:t>
            </w:r>
          </w:p>
        </w:tc>
        <w:tc>
          <w:tcPr>
            <w:tcW w:w="2379" w:type="dxa"/>
            <w:shd w:val="clear" w:color="auto" w:fill="F2F2F2" w:themeFill="background1" w:themeFillShade="F2"/>
            <w:noWrap/>
            <w:hideMark/>
          </w:tcPr>
          <w:p w14:paraId="625E6431" w14:textId="15A544C9" w:rsidR="00777542" w:rsidRPr="002A2454" w:rsidRDefault="002A2454">
            <w:pPr>
              <w:spacing w:after="0" w:line="240" w:lineRule="auto"/>
              <w:jc w:val="right"/>
              <w:rPr>
                <w:rFonts w:eastAsia="Times New Roman" w:cs="Arial"/>
                <w:color w:val="000000"/>
                <w:sz w:val="20"/>
                <w:szCs w:val="20"/>
                <w:lang w:eastAsia="en-AU"/>
              </w:rPr>
            </w:pPr>
            <w:r w:rsidRPr="002A2454">
              <w:t>1</w:t>
            </w:r>
          </w:p>
        </w:tc>
        <w:tc>
          <w:tcPr>
            <w:tcW w:w="2893" w:type="dxa"/>
            <w:shd w:val="clear" w:color="auto" w:fill="F2F2F2" w:themeFill="background1" w:themeFillShade="F2"/>
            <w:noWrap/>
            <w:hideMark/>
          </w:tcPr>
          <w:p w14:paraId="5A369719" w14:textId="155FEA53" w:rsidR="00777542" w:rsidRPr="002A2454" w:rsidRDefault="002A2454">
            <w:pPr>
              <w:spacing w:after="0" w:line="240" w:lineRule="auto"/>
              <w:jc w:val="right"/>
              <w:rPr>
                <w:rFonts w:eastAsia="Times New Roman" w:cs="Arial"/>
                <w:color w:val="000000"/>
                <w:sz w:val="20"/>
                <w:szCs w:val="20"/>
                <w:lang w:eastAsia="en-AU"/>
              </w:rPr>
            </w:pPr>
            <w:r w:rsidRPr="002A2454">
              <w:t>2</w:t>
            </w:r>
            <w:r w:rsidR="00777542" w:rsidRPr="002A2454">
              <w:t>%</w:t>
            </w:r>
          </w:p>
        </w:tc>
      </w:tr>
      <w:tr w:rsidR="00777542" w:rsidRPr="002A2454" w14:paraId="2711D6D1" w14:textId="77777777" w:rsidTr="00C12306">
        <w:trPr>
          <w:trHeight w:val="270"/>
        </w:trPr>
        <w:tc>
          <w:tcPr>
            <w:tcW w:w="3828" w:type="dxa"/>
            <w:shd w:val="clear" w:color="auto" w:fill="F2F2F2" w:themeFill="background1" w:themeFillShade="F2"/>
            <w:noWrap/>
            <w:hideMark/>
          </w:tcPr>
          <w:p w14:paraId="32BFEF2A" w14:textId="5F6390AD"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2, </w:t>
            </w:r>
            <w:r w:rsidR="002A2454" w:rsidRPr="002A2454">
              <w:t>4</w:t>
            </w:r>
            <w:r w:rsidRPr="002A2454">
              <w:t xml:space="preserve"> and </w:t>
            </w:r>
            <w:r w:rsidR="002A2454" w:rsidRPr="002A2454">
              <w:t>5</w:t>
            </w:r>
          </w:p>
        </w:tc>
        <w:tc>
          <w:tcPr>
            <w:tcW w:w="2379" w:type="dxa"/>
            <w:shd w:val="clear" w:color="auto" w:fill="F2F2F2" w:themeFill="background1" w:themeFillShade="F2"/>
            <w:noWrap/>
            <w:hideMark/>
          </w:tcPr>
          <w:p w14:paraId="0846F734" w14:textId="149DDBC1" w:rsidR="00777542" w:rsidRPr="002A2454" w:rsidRDefault="00777542">
            <w:pPr>
              <w:spacing w:after="0" w:line="240" w:lineRule="auto"/>
              <w:jc w:val="right"/>
              <w:rPr>
                <w:rFonts w:eastAsia="Times New Roman" w:cs="Arial"/>
                <w:color w:val="000000"/>
                <w:sz w:val="20"/>
                <w:szCs w:val="20"/>
                <w:lang w:eastAsia="en-AU"/>
              </w:rPr>
            </w:pPr>
            <w:r w:rsidRPr="002A2454">
              <w:t>0</w:t>
            </w:r>
          </w:p>
        </w:tc>
        <w:tc>
          <w:tcPr>
            <w:tcW w:w="2893" w:type="dxa"/>
            <w:shd w:val="clear" w:color="auto" w:fill="F2F2F2" w:themeFill="background1" w:themeFillShade="F2"/>
            <w:noWrap/>
            <w:hideMark/>
          </w:tcPr>
          <w:p w14:paraId="25862A4F" w14:textId="45FACE59" w:rsidR="00777542" w:rsidRPr="002A2454" w:rsidRDefault="00777542">
            <w:pPr>
              <w:spacing w:after="0" w:line="240" w:lineRule="auto"/>
              <w:jc w:val="right"/>
              <w:rPr>
                <w:rFonts w:eastAsia="Times New Roman" w:cs="Arial"/>
                <w:color w:val="000000"/>
                <w:sz w:val="20"/>
                <w:szCs w:val="20"/>
                <w:lang w:eastAsia="en-AU"/>
              </w:rPr>
            </w:pPr>
            <w:r w:rsidRPr="002A2454">
              <w:t>0%</w:t>
            </w:r>
          </w:p>
        </w:tc>
      </w:tr>
      <w:tr w:rsidR="00777542" w:rsidRPr="002A2454" w14:paraId="305C70B5" w14:textId="77777777" w:rsidTr="00C12306">
        <w:trPr>
          <w:trHeight w:val="270"/>
        </w:trPr>
        <w:tc>
          <w:tcPr>
            <w:tcW w:w="3828" w:type="dxa"/>
            <w:shd w:val="clear" w:color="auto" w:fill="EDF5D7" w:themeFill="accent5" w:themeFillTint="33"/>
            <w:noWrap/>
            <w:hideMark/>
          </w:tcPr>
          <w:p w14:paraId="726AD9A7" w14:textId="23B3036D" w:rsidR="00777542" w:rsidRPr="002A2454" w:rsidRDefault="00777542">
            <w:pPr>
              <w:spacing w:after="0" w:line="240" w:lineRule="auto"/>
              <w:jc w:val="right"/>
              <w:rPr>
                <w:rFonts w:eastAsia="Times New Roman" w:cs="Arial"/>
                <w:color w:val="000000"/>
                <w:sz w:val="20"/>
                <w:szCs w:val="20"/>
                <w:lang w:eastAsia="en-AU"/>
              </w:rPr>
            </w:pPr>
            <w:r w:rsidRPr="002A2454">
              <w:t xml:space="preserve">Options </w:t>
            </w:r>
            <w:r w:rsidR="002A2454" w:rsidRPr="002A2454">
              <w:t xml:space="preserve">2, </w:t>
            </w:r>
            <w:r w:rsidRPr="002A2454">
              <w:t xml:space="preserve">3 and </w:t>
            </w:r>
            <w:r w:rsidR="002A2454" w:rsidRPr="002A2454">
              <w:t>4</w:t>
            </w:r>
          </w:p>
        </w:tc>
        <w:tc>
          <w:tcPr>
            <w:tcW w:w="2379" w:type="dxa"/>
            <w:shd w:val="clear" w:color="auto" w:fill="EDF5D7" w:themeFill="accent5" w:themeFillTint="33"/>
            <w:noWrap/>
            <w:hideMark/>
          </w:tcPr>
          <w:p w14:paraId="082CD1AF" w14:textId="361A3802" w:rsidR="00777542" w:rsidRPr="002A2454" w:rsidRDefault="002A2454">
            <w:pPr>
              <w:spacing w:after="0" w:line="240" w:lineRule="auto"/>
              <w:jc w:val="right"/>
              <w:rPr>
                <w:rFonts w:eastAsia="Times New Roman" w:cs="Arial"/>
                <w:color w:val="000000"/>
                <w:sz w:val="20"/>
                <w:szCs w:val="20"/>
                <w:lang w:eastAsia="en-AU"/>
              </w:rPr>
            </w:pPr>
            <w:r w:rsidRPr="002A2454">
              <w:t>0</w:t>
            </w:r>
          </w:p>
        </w:tc>
        <w:tc>
          <w:tcPr>
            <w:tcW w:w="2893" w:type="dxa"/>
            <w:shd w:val="clear" w:color="auto" w:fill="EDF5D7" w:themeFill="accent5" w:themeFillTint="33"/>
            <w:noWrap/>
            <w:hideMark/>
          </w:tcPr>
          <w:p w14:paraId="3A74DD59" w14:textId="00673342" w:rsidR="00777542" w:rsidRPr="002A2454" w:rsidRDefault="002A2454">
            <w:pPr>
              <w:spacing w:after="0" w:line="240" w:lineRule="auto"/>
              <w:jc w:val="right"/>
              <w:rPr>
                <w:rFonts w:eastAsia="Times New Roman" w:cs="Arial"/>
                <w:color w:val="000000"/>
                <w:sz w:val="20"/>
                <w:szCs w:val="20"/>
                <w:lang w:eastAsia="en-AU"/>
              </w:rPr>
            </w:pPr>
            <w:r w:rsidRPr="002A2454">
              <w:t>0</w:t>
            </w:r>
            <w:r w:rsidR="00777542" w:rsidRPr="002A2454">
              <w:t>%</w:t>
            </w:r>
          </w:p>
        </w:tc>
      </w:tr>
      <w:tr w:rsidR="00777542" w:rsidRPr="002A2454" w14:paraId="3F14DEEC" w14:textId="77777777" w:rsidTr="00C12306">
        <w:trPr>
          <w:trHeight w:val="270"/>
        </w:trPr>
        <w:tc>
          <w:tcPr>
            <w:tcW w:w="3828" w:type="dxa"/>
            <w:shd w:val="clear" w:color="auto" w:fill="EDF5D7" w:themeFill="accent5" w:themeFillTint="33"/>
            <w:noWrap/>
            <w:hideMark/>
          </w:tcPr>
          <w:p w14:paraId="655C8D45" w14:textId="59ECCB03" w:rsidR="00777542" w:rsidRPr="002A2454" w:rsidRDefault="00777542">
            <w:pPr>
              <w:spacing w:after="0" w:line="240" w:lineRule="auto"/>
              <w:jc w:val="right"/>
              <w:rPr>
                <w:rFonts w:eastAsia="Times New Roman" w:cs="Arial"/>
                <w:color w:val="000000"/>
                <w:sz w:val="20"/>
                <w:szCs w:val="20"/>
                <w:lang w:eastAsia="en-AU"/>
              </w:rPr>
            </w:pPr>
            <w:r w:rsidRPr="002A2454">
              <w:t>Options 3, 4 and 5</w:t>
            </w:r>
          </w:p>
        </w:tc>
        <w:tc>
          <w:tcPr>
            <w:tcW w:w="2379" w:type="dxa"/>
            <w:shd w:val="clear" w:color="auto" w:fill="EDF5D7" w:themeFill="accent5" w:themeFillTint="33"/>
            <w:noWrap/>
            <w:hideMark/>
          </w:tcPr>
          <w:p w14:paraId="2AA46EC7" w14:textId="4DD3F81E" w:rsidR="00777542" w:rsidRPr="002A2454" w:rsidRDefault="00777542">
            <w:pPr>
              <w:spacing w:after="0" w:line="240" w:lineRule="auto"/>
              <w:jc w:val="right"/>
              <w:rPr>
                <w:rFonts w:eastAsia="Times New Roman" w:cs="Arial"/>
                <w:color w:val="000000"/>
                <w:sz w:val="20"/>
                <w:szCs w:val="20"/>
                <w:lang w:eastAsia="en-AU"/>
              </w:rPr>
            </w:pPr>
            <w:r w:rsidRPr="002A2454">
              <w:t>11</w:t>
            </w:r>
          </w:p>
        </w:tc>
        <w:tc>
          <w:tcPr>
            <w:tcW w:w="2893" w:type="dxa"/>
            <w:shd w:val="clear" w:color="auto" w:fill="EDF5D7" w:themeFill="accent5" w:themeFillTint="33"/>
            <w:noWrap/>
            <w:hideMark/>
          </w:tcPr>
          <w:p w14:paraId="013A928D" w14:textId="26B54132" w:rsidR="00777542" w:rsidRPr="002A2454" w:rsidRDefault="002A2454">
            <w:pPr>
              <w:spacing w:after="0" w:line="240" w:lineRule="auto"/>
              <w:jc w:val="right"/>
              <w:rPr>
                <w:rFonts w:eastAsia="Times New Roman" w:cs="Arial"/>
                <w:color w:val="000000"/>
                <w:sz w:val="20"/>
                <w:szCs w:val="20"/>
                <w:lang w:eastAsia="en-AU"/>
              </w:rPr>
            </w:pPr>
            <w:r w:rsidRPr="002A2454">
              <w:t>21</w:t>
            </w:r>
            <w:r w:rsidR="00777542" w:rsidRPr="002A2454">
              <w:t>%</w:t>
            </w:r>
          </w:p>
        </w:tc>
      </w:tr>
      <w:tr w:rsidR="00DB70EE" w:rsidRPr="002A2454" w14:paraId="1DC9D877" w14:textId="77777777" w:rsidTr="00C12306">
        <w:trPr>
          <w:trHeight w:val="270"/>
        </w:trPr>
        <w:tc>
          <w:tcPr>
            <w:tcW w:w="3828" w:type="dxa"/>
            <w:shd w:val="clear" w:color="auto" w:fill="EDF5D7" w:themeFill="accent5" w:themeFillTint="33"/>
            <w:noWrap/>
          </w:tcPr>
          <w:p w14:paraId="0729777E" w14:textId="110952E5" w:rsidR="00DB70EE" w:rsidRPr="002A2454" w:rsidRDefault="00DB70EE" w:rsidP="00DB70EE">
            <w:pPr>
              <w:spacing w:after="0" w:line="240" w:lineRule="auto"/>
              <w:jc w:val="right"/>
            </w:pPr>
            <w:r w:rsidRPr="002A2454">
              <w:t xml:space="preserve">Options </w:t>
            </w:r>
            <w:r>
              <w:t xml:space="preserve">2, </w:t>
            </w:r>
            <w:r w:rsidRPr="002A2454">
              <w:t>3, 4 and 5</w:t>
            </w:r>
          </w:p>
        </w:tc>
        <w:tc>
          <w:tcPr>
            <w:tcW w:w="2379" w:type="dxa"/>
            <w:shd w:val="clear" w:color="auto" w:fill="EDF5D7" w:themeFill="accent5" w:themeFillTint="33"/>
            <w:noWrap/>
          </w:tcPr>
          <w:p w14:paraId="5CD9C71B" w14:textId="6DE2EB07" w:rsidR="00DB70EE" w:rsidRPr="002A2454" w:rsidRDefault="00DB70EE" w:rsidP="00DB70EE">
            <w:pPr>
              <w:spacing w:after="0" w:line="240" w:lineRule="auto"/>
              <w:jc w:val="right"/>
            </w:pPr>
            <w:r w:rsidRPr="002A2454">
              <w:t>1</w:t>
            </w:r>
            <w:r w:rsidR="00434DDC">
              <w:t>3</w:t>
            </w:r>
          </w:p>
        </w:tc>
        <w:tc>
          <w:tcPr>
            <w:tcW w:w="2893" w:type="dxa"/>
            <w:shd w:val="clear" w:color="auto" w:fill="EDF5D7" w:themeFill="accent5" w:themeFillTint="33"/>
            <w:noWrap/>
          </w:tcPr>
          <w:p w14:paraId="29B848B4" w14:textId="497BB8D0" w:rsidR="00DB70EE" w:rsidRPr="002A2454" w:rsidRDefault="00DB70EE" w:rsidP="00DB70EE">
            <w:pPr>
              <w:spacing w:after="0" w:line="240" w:lineRule="auto"/>
              <w:jc w:val="right"/>
            </w:pPr>
            <w:r w:rsidRPr="002A2454">
              <w:t>2</w:t>
            </w:r>
            <w:r w:rsidR="00434DDC">
              <w:t>5</w:t>
            </w:r>
            <w:r w:rsidRPr="002A2454">
              <w:t>%</w:t>
            </w:r>
          </w:p>
        </w:tc>
      </w:tr>
    </w:tbl>
    <w:p w14:paraId="1EB8EA51" w14:textId="7A05034B" w:rsidR="00777542" w:rsidRDefault="00777542" w:rsidP="00867F1A">
      <w:pPr>
        <w:pStyle w:val="Source-CSR"/>
      </w:pPr>
      <w:r w:rsidRPr="002A2454">
        <w:t xml:space="preserve">Source: Families, carers and parents survey, as of </w:t>
      </w:r>
      <w:r w:rsidR="00E36962" w:rsidRPr="00636B94">
        <w:t>11</w:t>
      </w:r>
      <w:r w:rsidRPr="00636B94">
        <w:t xml:space="preserve"> June 2025, Q121, n=</w:t>
      </w:r>
      <w:r w:rsidR="000314E8" w:rsidRPr="00636B94">
        <w:t>53</w:t>
      </w:r>
      <w:r w:rsidRPr="00636B94">
        <w:t xml:space="preserve"> unique respondents. Most popular options or combination of options are highlighted in green. Note that if a respondent selected a combination of options, that selection is treated as a unique preference and not double-counted in the singular options. </w:t>
      </w:r>
      <w:r w:rsidR="00C71D81" w:rsidRPr="00636B94">
        <w:t>Note that due to rounding, percentages may not add to 100%.</w:t>
      </w:r>
    </w:p>
    <w:p w14:paraId="3701D78E" w14:textId="77777777" w:rsidR="00777542" w:rsidRDefault="00777542" w:rsidP="00777542"/>
    <w:bookmarkEnd w:id="244"/>
    <w:p w14:paraId="3BD528B2" w14:textId="5C50527E" w:rsidR="1EB49D4F" w:rsidRDefault="1EB49D4F"/>
    <w:p w14:paraId="2F32908B" w14:textId="35BCA9B6" w:rsidR="1EB49D4F" w:rsidRDefault="1EB49D4F"/>
    <w:p w14:paraId="20990ECF" w14:textId="5934F3A0" w:rsidR="00531B84" w:rsidRDefault="00531B84" w:rsidP="00FB5B62">
      <w:r>
        <w:br w:type="page"/>
      </w:r>
    </w:p>
    <w:p w14:paraId="666B0624" w14:textId="2F2D3035" w:rsidR="004C0726" w:rsidRDefault="007B0FEC" w:rsidP="004C0726">
      <w:pPr>
        <w:pStyle w:val="Heading2"/>
      </w:pPr>
      <w:bookmarkStart w:id="381" w:name="_12.4_The_National"/>
      <w:bookmarkStart w:id="382" w:name="_Toc205884914"/>
      <w:bookmarkEnd w:id="381"/>
      <w:r>
        <w:lastRenderedPageBreak/>
        <w:t>12</w:t>
      </w:r>
      <w:r w:rsidR="004C0726">
        <w:t>.</w:t>
      </w:r>
      <w:r w:rsidR="00FB5B62">
        <w:t>4</w:t>
      </w:r>
      <w:r w:rsidR="004C0726">
        <w:t xml:space="preserve"> The National Model Code and Guidelines</w:t>
      </w:r>
      <w:r w:rsidR="004C0726">
        <w:rPr>
          <w:rStyle w:val="FootnoteReference"/>
          <w:bCs w:val="0"/>
        </w:rPr>
        <w:footnoteReference w:id="158"/>
      </w:r>
      <w:bookmarkEnd w:id="382"/>
    </w:p>
    <w:p w14:paraId="32D77E27" w14:textId="0DAB1BE4" w:rsidR="004C0726" w:rsidRDefault="004C0726" w:rsidP="004C0726">
      <w:r>
        <w:t xml:space="preserve">ACECQA, in partnership with all governments, developed the National Model Code and Guidelines. These documents were released on 1 July 2024 </w:t>
      </w:r>
      <w:r w:rsidDel="008771F5">
        <w:t xml:space="preserve">and </w:t>
      </w:r>
      <w:r>
        <w:t>address child safe practices for the use of electronic devices while providing education and care. Adopting the National Model Code is voluntary and designed for centre-based services, excluding OSHC services. In addition to OSHC, FDC is not covered by current documentation; however, they may choose to adopt similar practices.</w:t>
      </w:r>
      <w:r>
        <w:rPr>
          <w:rStyle w:val="FootnoteReference"/>
        </w:rPr>
        <w:footnoteReference w:id="159"/>
      </w:r>
      <w:r>
        <w:t xml:space="preserve"> The National Model Code consists of four parts:</w:t>
      </w:r>
    </w:p>
    <w:p w14:paraId="100F674D" w14:textId="77777777" w:rsidR="004C0726" w:rsidRDefault="004C0726" w:rsidP="00EC53AB">
      <w:pPr>
        <w:pStyle w:val="ListParagraph"/>
        <w:numPr>
          <w:ilvl w:val="0"/>
          <w:numId w:val="10"/>
        </w:numPr>
        <w:ind w:left="426" w:hanging="426"/>
      </w:pPr>
      <w:r>
        <w:t>Only service-issued electronic devices should be used when taking images or videos of children while providing education and care. The appropriate use of service-issued electronic devices should be clearly outlined in policies and procedures.</w:t>
      </w:r>
    </w:p>
    <w:p w14:paraId="39FAB33D" w14:textId="77777777" w:rsidR="004C0726" w:rsidRDefault="004C0726" w:rsidP="00EC53AB">
      <w:pPr>
        <w:pStyle w:val="ListParagraph"/>
        <w:numPr>
          <w:ilvl w:val="0"/>
          <w:numId w:val="10"/>
        </w:numPr>
        <w:ind w:left="426" w:hanging="426"/>
      </w:pPr>
      <w:r>
        <w:t xml:space="preserve">Personal electronic devices that can take images or videos, and personal storage and file transfer media, should not be in the possession of any person while providing education and care that is working directly with children. Any exceptions should be for limited, </w:t>
      </w:r>
      <w:r>
        <w:rPr>
          <w:i/>
          <w:iCs/>
        </w:rPr>
        <w:t>essential purposes</w:t>
      </w:r>
      <w:r>
        <w:t xml:space="preserve"> that are authorised in writing by the approved provider of the service.</w:t>
      </w:r>
    </w:p>
    <w:p w14:paraId="61BB02D3" w14:textId="77777777" w:rsidR="004C0726" w:rsidRDefault="004C0726" w:rsidP="00EC53AB">
      <w:pPr>
        <w:pStyle w:val="ListParagraph"/>
        <w:numPr>
          <w:ilvl w:val="0"/>
          <w:numId w:val="10"/>
        </w:numPr>
        <w:ind w:left="426" w:hanging="426"/>
      </w:pPr>
      <w:r>
        <w:t xml:space="preserve">Essential purposes for use and/or possession of a personal electronic device in an education and care setting include </w:t>
      </w:r>
      <w:r>
        <w:rPr>
          <w:lang w:val="en-US"/>
        </w:rPr>
        <w:t>personal health requirements, disability, family necessity or technological failure</w:t>
      </w:r>
      <w:r>
        <w:t>.</w:t>
      </w:r>
    </w:p>
    <w:p w14:paraId="5E68466C" w14:textId="77777777" w:rsidR="004C0726" w:rsidRDefault="004C0726" w:rsidP="00EC53AB">
      <w:pPr>
        <w:pStyle w:val="ListParagraph"/>
        <w:numPr>
          <w:ilvl w:val="0"/>
          <w:numId w:val="10"/>
        </w:numPr>
        <w:ind w:left="426" w:hanging="426"/>
      </w:pPr>
      <w:r>
        <w:t>Approved providers and their services should have strict controls in place for the appropriate storage and retention of images and videos of children.</w:t>
      </w:r>
    </w:p>
    <w:p w14:paraId="52CCC0C4" w14:textId="166BA338" w:rsidR="00465B13" w:rsidRDefault="004C0726" w:rsidP="00FB5B62">
      <w:pPr>
        <w:rPr>
          <w:lang w:val="en-GB"/>
        </w:rPr>
      </w:pPr>
      <w:r>
        <w:t>The National Model Code and Guidelines were intended as a first step while regulatory amendments are considered. While the National Model Code and Guidelines are voluntary in nature, initial consultation</w:t>
      </w:r>
      <w:r>
        <w:rPr>
          <w:rStyle w:val="FootnoteReference"/>
        </w:rPr>
        <w:footnoteReference w:id="160"/>
      </w:r>
      <w:r>
        <w:t xml:space="preserve"> with stakeholders during their development suggests there is </w:t>
      </w:r>
      <w:r w:rsidRPr="00877D4B">
        <w:t>strong support</w:t>
      </w:r>
      <w:r>
        <w:rPr>
          <w:b/>
          <w:bCs/>
        </w:rPr>
        <w:t xml:space="preserve"> </w:t>
      </w:r>
      <w:r>
        <w:t xml:space="preserve">for greater education and </w:t>
      </w:r>
      <w:r w:rsidRPr="005E0F0C">
        <w:t>regulation</w:t>
      </w:r>
      <w:r>
        <w:rPr>
          <w:i/>
          <w:iCs/>
        </w:rPr>
        <w:t xml:space="preserve"> </w:t>
      </w:r>
      <w:r>
        <w:t>in this space – with some approved providers indicating they would prefer governments to introduce legislation to restrict personal device use in education and care settings. However, some stakeholders also raised concerns about the impact in regional and remote areas, on non-profit community-</w:t>
      </w:r>
      <w:r>
        <w:lastRenderedPageBreak/>
        <w:t>based providers, and on a feminised workforce, many of whom are primary caregivers in their families.</w:t>
      </w:r>
    </w:p>
    <w:p w14:paraId="4A30855E" w14:textId="44BB4FB6" w:rsidR="00D66551" w:rsidRPr="00D66551" w:rsidRDefault="00D66551" w:rsidP="00D66551">
      <w:pPr>
        <w:rPr>
          <w:i/>
          <w:iCs/>
          <w:lang w:val="en-GB"/>
        </w:rPr>
        <w:sectPr w:rsidR="00D66551" w:rsidRPr="00D66551" w:rsidSect="004C0726">
          <w:headerReference w:type="first" r:id="rId141"/>
          <w:pgSz w:w="11900" w:h="16840"/>
          <w:pgMar w:top="1440" w:right="1440" w:bottom="1440" w:left="1440" w:header="709" w:footer="709" w:gutter="0"/>
          <w:cols w:space="708"/>
          <w:titlePg/>
          <w:docGrid w:linePitch="360"/>
        </w:sectPr>
      </w:pPr>
    </w:p>
    <w:p w14:paraId="74F6CB0C" w14:textId="56CC7357" w:rsidR="007E30F1" w:rsidRDefault="007E30F1" w:rsidP="007E30F1">
      <w:pPr>
        <w:pStyle w:val="Heading2"/>
      </w:pPr>
      <w:bookmarkStart w:id="383" w:name="_12.5_Child_protection"/>
      <w:bookmarkStart w:id="384" w:name="_Toc205884915"/>
      <w:bookmarkEnd w:id="383"/>
      <w:r>
        <w:lastRenderedPageBreak/>
        <w:t>1</w:t>
      </w:r>
      <w:r w:rsidR="00FB5B62">
        <w:t>2</w:t>
      </w:r>
      <w:r>
        <w:t>.</w:t>
      </w:r>
      <w:r w:rsidR="00FB5B62">
        <w:t>5</w:t>
      </w:r>
      <w:r>
        <w:t xml:space="preserve"> Child protection training and </w:t>
      </w:r>
      <w:r w:rsidR="002F2CEA">
        <w:t>C</w:t>
      </w:r>
      <w:r w:rsidR="00691EE0">
        <w:t xml:space="preserve">hild </w:t>
      </w:r>
      <w:r w:rsidR="002F2CEA">
        <w:t>S</w:t>
      </w:r>
      <w:r w:rsidR="00691EE0">
        <w:t xml:space="preserve">afe </w:t>
      </w:r>
      <w:r w:rsidR="002F2CEA">
        <w:t>S</w:t>
      </w:r>
      <w:r w:rsidR="00691EE0">
        <w:t>tandards</w:t>
      </w:r>
      <w:bookmarkEnd w:id="384"/>
    </w:p>
    <w:p w14:paraId="3AD877B5" w14:textId="0D5FD4B3" w:rsidR="007E30F1" w:rsidRDefault="00BC277C" w:rsidP="00274773">
      <w:pPr>
        <w:pStyle w:val="CaptionChart"/>
      </w:pPr>
      <w:r>
        <w:t xml:space="preserve">Appendix </w:t>
      </w:r>
      <w:r w:rsidR="007E30F1" w:rsidRPr="00A7514E">
        <w:t xml:space="preserve">Table </w:t>
      </w:r>
      <w:r w:rsidR="00274773">
        <w:t>12.5.1</w:t>
      </w:r>
      <w:r w:rsidR="007E30F1" w:rsidRPr="00A7514E">
        <w:t xml:space="preserve">: </w:t>
      </w:r>
      <w:r w:rsidR="007E30F1" w:rsidRPr="00FD1897">
        <w:t>Overview of</w:t>
      </w:r>
      <w:r w:rsidR="007E30F1" w:rsidRPr="00A7514E">
        <w:t xml:space="preserve"> </w:t>
      </w:r>
      <w:r w:rsidR="007E30F1">
        <w:t xml:space="preserve">jurisdictional child protection training and status of Child Safe Standards implementation </w:t>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Appendix Table 12.5.1: Overview of jurisdictional child protection training and status of Child Safe Standards implementation "/>
        <w:tblDescription w:val="This table provides an overview of jurisdictional child protection training and status of Child Safe Standards implementation."/>
      </w:tblPr>
      <w:tblGrid>
        <w:gridCol w:w="846"/>
        <w:gridCol w:w="6946"/>
        <w:gridCol w:w="6378"/>
      </w:tblGrid>
      <w:tr w:rsidR="007E30F1" w:rsidRPr="00CD6BA7" w14:paraId="2F5EDEE2" w14:textId="77777777" w:rsidTr="00C12306">
        <w:trPr>
          <w:trHeight w:val="187"/>
          <w:tblHeader/>
        </w:trPr>
        <w:tc>
          <w:tcPr>
            <w:tcW w:w="846" w:type="dxa"/>
            <w:shd w:val="clear" w:color="auto" w:fill="14233C" w:themeFill="text2"/>
          </w:tcPr>
          <w:p w14:paraId="1D752768" w14:textId="77777777" w:rsidR="007E30F1" w:rsidRPr="00CD6BA7" w:rsidRDefault="007E30F1">
            <w:pPr>
              <w:spacing w:after="0"/>
              <w:rPr>
                <w:sz w:val="20"/>
                <w:szCs w:val="22"/>
              </w:rPr>
            </w:pPr>
          </w:p>
        </w:tc>
        <w:tc>
          <w:tcPr>
            <w:tcW w:w="6946" w:type="dxa"/>
            <w:shd w:val="clear" w:color="auto" w:fill="14233C" w:themeFill="text2"/>
            <w:vAlign w:val="center"/>
          </w:tcPr>
          <w:p w14:paraId="327593A7" w14:textId="77777777" w:rsidR="007E30F1" w:rsidRPr="00551BE0" w:rsidRDefault="007E30F1">
            <w:pPr>
              <w:spacing w:after="0"/>
              <w:jc w:val="center"/>
              <w:rPr>
                <w:sz w:val="18"/>
                <w:szCs w:val="20"/>
              </w:rPr>
            </w:pPr>
            <w:r>
              <w:rPr>
                <w:sz w:val="18"/>
                <w:szCs w:val="20"/>
              </w:rPr>
              <w:t>Child protection training</w:t>
            </w:r>
          </w:p>
        </w:tc>
        <w:tc>
          <w:tcPr>
            <w:tcW w:w="6378" w:type="dxa"/>
            <w:shd w:val="clear" w:color="auto" w:fill="14233C" w:themeFill="text2"/>
          </w:tcPr>
          <w:p w14:paraId="63AE4376" w14:textId="77777777" w:rsidR="007E30F1" w:rsidRPr="00551BE0" w:rsidRDefault="007E30F1">
            <w:pPr>
              <w:spacing w:after="0"/>
              <w:jc w:val="center"/>
              <w:rPr>
                <w:sz w:val="18"/>
                <w:szCs w:val="20"/>
              </w:rPr>
            </w:pPr>
            <w:r>
              <w:rPr>
                <w:sz w:val="18"/>
                <w:szCs w:val="20"/>
              </w:rPr>
              <w:t xml:space="preserve">Child Safe Standards implementation status </w:t>
            </w:r>
          </w:p>
        </w:tc>
      </w:tr>
      <w:tr w:rsidR="007E30F1" w:rsidRPr="00CD6BA7" w14:paraId="4EA68F07" w14:textId="77777777" w:rsidTr="00C12306">
        <w:tc>
          <w:tcPr>
            <w:tcW w:w="846" w:type="dxa"/>
            <w:shd w:val="clear" w:color="auto" w:fill="14233C" w:themeFill="text2"/>
            <w:vAlign w:val="center"/>
          </w:tcPr>
          <w:p w14:paraId="659955D9" w14:textId="77777777" w:rsidR="007E30F1" w:rsidRPr="00FD1897" w:rsidRDefault="007E30F1">
            <w:pPr>
              <w:spacing w:after="0"/>
              <w:rPr>
                <w:color w:val="FFFFFF" w:themeColor="background1"/>
                <w:sz w:val="20"/>
                <w:szCs w:val="22"/>
              </w:rPr>
            </w:pPr>
            <w:r w:rsidRPr="00FD1897">
              <w:rPr>
                <w:color w:val="FFFFFF" w:themeColor="background1"/>
                <w:sz w:val="20"/>
                <w:szCs w:val="22"/>
              </w:rPr>
              <w:t>NSW</w:t>
            </w:r>
          </w:p>
        </w:tc>
        <w:tc>
          <w:tcPr>
            <w:tcW w:w="6946" w:type="dxa"/>
            <w:vAlign w:val="center"/>
          </w:tcPr>
          <w:p w14:paraId="467F4631" w14:textId="77777777" w:rsidR="007E30F1" w:rsidRDefault="007E30F1" w:rsidP="00EC53AB">
            <w:pPr>
              <w:pStyle w:val="ListParagraph"/>
              <w:numPr>
                <w:ilvl w:val="0"/>
                <w:numId w:val="16"/>
              </w:numPr>
              <w:spacing w:after="0"/>
              <w:rPr>
                <w:sz w:val="18"/>
                <w:szCs w:val="18"/>
              </w:rPr>
            </w:pPr>
            <w:r>
              <w:rPr>
                <w:sz w:val="18"/>
                <w:szCs w:val="18"/>
              </w:rPr>
              <w:t xml:space="preserve">Nominated supervisors, persons in day-to-day charge, and FDC coordinators </w:t>
            </w:r>
            <w:r w:rsidRPr="00EA51DF">
              <w:rPr>
                <w:sz w:val="18"/>
                <w:szCs w:val="18"/>
                <w:u w:val="single"/>
              </w:rPr>
              <w:t>are required to complete an approved child protection course</w:t>
            </w:r>
            <w:r>
              <w:rPr>
                <w:sz w:val="18"/>
                <w:szCs w:val="18"/>
              </w:rPr>
              <w:t>.</w:t>
            </w:r>
          </w:p>
          <w:p w14:paraId="1BB48FE8" w14:textId="77777777" w:rsidR="007E30F1" w:rsidRDefault="007E30F1" w:rsidP="742E3378">
            <w:pPr>
              <w:pStyle w:val="ListParagraph"/>
              <w:spacing w:after="0"/>
              <w:rPr>
                <w:sz w:val="18"/>
                <w:szCs w:val="18"/>
              </w:rPr>
            </w:pPr>
            <w:r>
              <w:rPr>
                <w:sz w:val="18"/>
                <w:szCs w:val="18"/>
              </w:rPr>
              <w:t>Approved child protection training courses include</w:t>
            </w:r>
            <w:r>
              <w:rPr>
                <w:rStyle w:val="FootnoteReference"/>
                <w:sz w:val="18"/>
                <w:szCs w:val="18"/>
              </w:rPr>
              <w:footnoteReference w:id="161"/>
            </w:r>
            <w:r>
              <w:rPr>
                <w:sz w:val="18"/>
                <w:szCs w:val="18"/>
              </w:rPr>
              <w:t xml:space="preserve">: </w:t>
            </w:r>
          </w:p>
          <w:p w14:paraId="79018368" w14:textId="77777777" w:rsidR="007E30F1" w:rsidRDefault="007E30F1" w:rsidP="00EC53AB">
            <w:pPr>
              <w:pStyle w:val="ListParagraph"/>
              <w:numPr>
                <w:ilvl w:val="1"/>
                <w:numId w:val="16"/>
              </w:numPr>
              <w:spacing w:after="0"/>
              <w:rPr>
                <w:sz w:val="18"/>
                <w:szCs w:val="18"/>
              </w:rPr>
            </w:pPr>
            <w:r>
              <w:rPr>
                <w:sz w:val="18"/>
                <w:szCs w:val="18"/>
              </w:rPr>
              <w:t xml:space="preserve">CHCPRT002 – Support the rights and safety of children and young people </w:t>
            </w:r>
          </w:p>
          <w:p w14:paraId="4A1B1B9A" w14:textId="77777777" w:rsidR="007E30F1" w:rsidRDefault="007E30F1" w:rsidP="00EC53AB">
            <w:pPr>
              <w:pStyle w:val="ListParagraph"/>
              <w:numPr>
                <w:ilvl w:val="1"/>
                <w:numId w:val="16"/>
              </w:numPr>
              <w:spacing w:after="0"/>
              <w:rPr>
                <w:sz w:val="18"/>
                <w:szCs w:val="18"/>
              </w:rPr>
            </w:pPr>
            <w:r>
              <w:rPr>
                <w:sz w:val="18"/>
                <w:szCs w:val="18"/>
              </w:rPr>
              <w:t xml:space="preserve">CHCPRT025 – Identify and report children and young people at risk </w:t>
            </w:r>
          </w:p>
          <w:p w14:paraId="0CFEAF4D" w14:textId="77777777" w:rsidR="007E30F1" w:rsidRDefault="007E30F1" w:rsidP="00EC53AB">
            <w:pPr>
              <w:pStyle w:val="ListParagraph"/>
              <w:numPr>
                <w:ilvl w:val="1"/>
                <w:numId w:val="16"/>
              </w:numPr>
              <w:spacing w:after="0"/>
              <w:rPr>
                <w:sz w:val="18"/>
                <w:szCs w:val="18"/>
              </w:rPr>
            </w:pPr>
            <w:r>
              <w:rPr>
                <w:sz w:val="18"/>
                <w:szCs w:val="18"/>
              </w:rPr>
              <w:t>CHCPRT026 – Support the rights and safety of children and young people</w:t>
            </w:r>
          </w:p>
          <w:p w14:paraId="2197D3F9" w14:textId="77777777" w:rsidR="007E30F1" w:rsidRPr="00C575D8" w:rsidRDefault="007E30F1" w:rsidP="00EC53AB">
            <w:pPr>
              <w:pStyle w:val="ListParagraph"/>
              <w:numPr>
                <w:ilvl w:val="1"/>
                <w:numId w:val="16"/>
              </w:numPr>
              <w:spacing w:after="0"/>
              <w:rPr>
                <w:sz w:val="18"/>
                <w:szCs w:val="18"/>
              </w:rPr>
            </w:pPr>
            <w:r>
              <w:rPr>
                <w:sz w:val="18"/>
                <w:szCs w:val="18"/>
              </w:rPr>
              <w:t>NSW Department of Education’s Child Protection Awareness Training (this can be completed instead of CHCPRT002).</w:t>
            </w:r>
          </w:p>
        </w:tc>
        <w:tc>
          <w:tcPr>
            <w:tcW w:w="6378" w:type="dxa"/>
          </w:tcPr>
          <w:p w14:paraId="58ABB75F" w14:textId="77777777" w:rsidR="007E30F1" w:rsidRDefault="007E30F1" w:rsidP="742E3378">
            <w:pPr>
              <w:pStyle w:val="ListParagraph"/>
              <w:spacing w:after="0"/>
              <w:rPr>
                <w:sz w:val="18"/>
                <w:szCs w:val="18"/>
              </w:rPr>
            </w:pPr>
            <w:r>
              <w:rPr>
                <w:sz w:val="18"/>
                <w:szCs w:val="18"/>
              </w:rPr>
              <w:t>NSW introduced the Child Safe Standards in 2020 and legislated the statewide framework in 2022 under the NSW Child Safe Scheme.</w:t>
            </w:r>
            <w:r>
              <w:rPr>
                <w:rStyle w:val="FootnoteReference"/>
                <w:sz w:val="18"/>
                <w:szCs w:val="18"/>
              </w:rPr>
              <w:footnoteReference w:id="162"/>
            </w:r>
          </w:p>
        </w:tc>
      </w:tr>
      <w:tr w:rsidR="007E30F1" w:rsidRPr="009C3F52" w14:paraId="61188339" w14:textId="77777777" w:rsidTr="00C12306">
        <w:tc>
          <w:tcPr>
            <w:tcW w:w="846" w:type="dxa"/>
            <w:shd w:val="clear" w:color="auto" w:fill="14233C" w:themeFill="text2"/>
            <w:vAlign w:val="center"/>
          </w:tcPr>
          <w:p w14:paraId="66C9DF60" w14:textId="77777777" w:rsidR="007E30F1" w:rsidRPr="00FD1897" w:rsidRDefault="007E30F1">
            <w:pPr>
              <w:spacing w:after="0"/>
              <w:rPr>
                <w:color w:val="FFFFFF" w:themeColor="background1"/>
                <w:sz w:val="20"/>
                <w:szCs w:val="22"/>
              </w:rPr>
            </w:pPr>
            <w:r>
              <w:rPr>
                <w:color w:val="FFFFFF" w:themeColor="background1"/>
                <w:sz w:val="20"/>
                <w:szCs w:val="22"/>
              </w:rPr>
              <w:t>VIC</w:t>
            </w:r>
          </w:p>
        </w:tc>
        <w:tc>
          <w:tcPr>
            <w:tcW w:w="6946" w:type="dxa"/>
            <w:vAlign w:val="center"/>
          </w:tcPr>
          <w:p w14:paraId="234AB8C4" w14:textId="04FD91EA" w:rsidR="00775FA4" w:rsidRPr="00775FA4" w:rsidRDefault="00775FA4" w:rsidP="00EC53AB">
            <w:pPr>
              <w:pStyle w:val="ListParagraph"/>
              <w:numPr>
                <w:ilvl w:val="0"/>
                <w:numId w:val="16"/>
              </w:numPr>
              <w:spacing w:after="0"/>
              <w:rPr>
                <w:sz w:val="18"/>
                <w:szCs w:val="18"/>
              </w:rPr>
            </w:pPr>
            <w:r w:rsidRPr="00775FA4">
              <w:rPr>
                <w:sz w:val="18"/>
                <w:szCs w:val="18"/>
              </w:rPr>
              <w:t>Nominated supervisors, persons in day-to-day charge, FDC coordinators and early childhood teachers are required to complete an approved child protection course.</w:t>
            </w:r>
          </w:p>
          <w:p w14:paraId="1FECAC13" w14:textId="6AC1E86D" w:rsidR="007E30F1" w:rsidRPr="006228C9" w:rsidRDefault="00775FA4" w:rsidP="00EC53AB">
            <w:pPr>
              <w:pStyle w:val="ListParagraph"/>
              <w:numPr>
                <w:ilvl w:val="0"/>
                <w:numId w:val="16"/>
              </w:numPr>
              <w:spacing w:after="0"/>
            </w:pPr>
            <w:r w:rsidRPr="00775FA4">
              <w:rPr>
                <w:sz w:val="18"/>
                <w:szCs w:val="18"/>
              </w:rPr>
              <w:t xml:space="preserve">The VIC Department of Education encourages all early childhood professionals to complete training on child protection and other obligations. </w:t>
            </w:r>
            <w:r w:rsidR="002B3726">
              <w:rPr>
                <w:sz w:val="18"/>
                <w:szCs w:val="18"/>
              </w:rPr>
              <w:t xml:space="preserve">Victoria </w:t>
            </w:r>
            <w:r w:rsidR="007E30F1">
              <w:rPr>
                <w:sz w:val="18"/>
                <w:szCs w:val="18"/>
              </w:rPr>
              <w:t>offers a free online eLearning module Protecting Children – Mandatory Reporting and Other Obligations for the Early Childhood Sector (PROTECT).</w:t>
            </w:r>
          </w:p>
        </w:tc>
        <w:tc>
          <w:tcPr>
            <w:tcW w:w="6378" w:type="dxa"/>
          </w:tcPr>
          <w:p w14:paraId="55921ABC" w14:textId="77777777" w:rsidR="007E30F1" w:rsidRPr="00AE2A78" w:rsidRDefault="007E30F1" w:rsidP="742E3378">
            <w:pPr>
              <w:pStyle w:val="ListParagraph"/>
              <w:spacing w:after="0"/>
              <w:rPr>
                <w:sz w:val="18"/>
                <w:szCs w:val="18"/>
              </w:rPr>
            </w:pPr>
            <w:r>
              <w:rPr>
                <w:sz w:val="18"/>
                <w:szCs w:val="18"/>
              </w:rPr>
              <w:t>Victoria introduced Child Safe Standards in 2016 and amended them in 2022 to reflect the National Principles.</w:t>
            </w:r>
            <w:r>
              <w:rPr>
                <w:rStyle w:val="FootnoteReference"/>
                <w:sz w:val="18"/>
                <w:szCs w:val="18"/>
              </w:rPr>
              <w:footnoteReference w:id="163"/>
            </w:r>
          </w:p>
        </w:tc>
      </w:tr>
      <w:tr w:rsidR="007E30F1" w:rsidRPr="00CD6BA7" w14:paraId="17388873" w14:textId="77777777" w:rsidTr="00C12306">
        <w:tc>
          <w:tcPr>
            <w:tcW w:w="846" w:type="dxa"/>
            <w:shd w:val="clear" w:color="auto" w:fill="14233C" w:themeFill="text2"/>
            <w:vAlign w:val="center"/>
          </w:tcPr>
          <w:p w14:paraId="046F1540" w14:textId="77777777" w:rsidR="007E30F1" w:rsidRPr="00FD1897" w:rsidRDefault="007E30F1">
            <w:pPr>
              <w:spacing w:after="0"/>
              <w:rPr>
                <w:color w:val="FFFFFF" w:themeColor="background1"/>
                <w:sz w:val="20"/>
                <w:szCs w:val="22"/>
              </w:rPr>
            </w:pPr>
            <w:r>
              <w:rPr>
                <w:color w:val="FFFFFF" w:themeColor="background1"/>
                <w:sz w:val="20"/>
                <w:szCs w:val="22"/>
              </w:rPr>
              <w:lastRenderedPageBreak/>
              <w:t>QLD</w:t>
            </w:r>
          </w:p>
        </w:tc>
        <w:tc>
          <w:tcPr>
            <w:tcW w:w="6946" w:type="dxa"/>
            <w:vAlign w:val="center"/>
          </w:tcPr>
          <w:p w14:paraId="348EEF2C" w14:textId="77777777" w:rsidR="007E30F1" w:rsidRDefault="007E30F1" w:rsidP="00EC53AB">
            <w:pPr>
              <w:pStyle w:val="ListParagraph"/>
              <w:numPr>
                <w:ilvl w:val="0"/>
                <w:numId w:val="16"/>
              </w:numPr>
              <w:spacing w:after="0"/>
              <w:rPr>
                <w:sz w:val="18"/>
                <w:szCs w:val="18"/>
              </w:rPr>
            </w:pPr>
            <w:r>
              <w:rPr>
                <w:sz w:val="18"/>
                <w:szCs w:val="18"/>
              </w:rPr>
              <w:t xml:space="preserve">Persons in day-to-day charge, nominated supervisors and FDC coordinators are </w:t>
            </w:r>
            <w:r w:rsidRPr="00EA51DF">
              <w:rPr>
                <w:sz w:val="18"/>
                <w:szCs w:val="18"/>
                <w:u w:val="single"/>
              </w:rPr>
              <w:t>required to complete a child protection course</w:t>
            </w:r>
            <w:r>
              <w:rPr>
                <w:sz w:val="18"/>
                <w:szCs w:val="18"/>
              </w:rPr>
              <w:t>.</w:t>
            </w:r>
          </w:p>
          <w:p w14:paraId="6A7A4A4A" w14:textId="77777777" w:rsidR="007E30F1" w:rsidRDefault="007E30F1" w:rsidP="742E3378">
            <w:pPr>
              <w:pStyle w:val="ListParagraph"/>
              <w:spacing w:after="0"/>
              <w:rPr>
                <w:sz w:val="18"/>
                <w:szCs w:val="18"/>
              </w:rPr>
            </w:pPr>
            <w:r>
              <w:rPr>
                <w:sz w:val="18"/>
                <w:szCs w:val="18"/>
              </w:rPr>
              <w:t>Approved child protection training courses include</w:t>
            </w:r>
            <w:r>
              <w:rPr>
                <w:rStyle w:val="FootnoteReference"/>
                <w:sz w:val="18"/>
                <w:szCs w:val="18"/>
              </w:rPr>
              <w:footnoteReference w:id="164"/>
            </w:r>
            <w:r>
              <w:rPr>
                <w:sz w:val="18"/>
                <w:szCs w:val="18"/>
              </w:rPr>
              <w:t>:</w:t>
            </w:r>
          </w:p>
          <w:p w14:paraId="7080FAE1" w14:textId="77777777" w:rsidR="007E30F1" w:rsidRDefault="007E30F1" w:rsidP="00EC53AB">
            <w:pPr>
              <w:pStyle w:val="ListParagraph"/>
              <w:numPr>
                <w:ilvl w:val="1"/>
                <w:numId w:val="16"/>
              </w:numPr>
              <w:spacing w:after="0"/>
              <w:rPr>
                <w:sz w:val="18"/>
                <w:szCs w:val="18"/>
              </w:rPr>
            </w:pPr>
            <w:r>
              <w:rPr>
                <w:sz w:val="18"/>
                <w:szCs w:val="18"/>
              </w:rPr>
              <w:t xml:space="preserve">CHCPRT025 – Identify and report children and young people at risk </w:t>
            </w:r>
          </w:p>
          <w:p w14:paraId="1F258F90" w14:textId="77777777" w:rsidR="007E30F1" w:rsidRDefault="007E30F1" w:rsidP="00EC53AB">
            <w:pPr>
              <w:pStyle w:val="ListParagraph"/>
              <w:numPr>
                <w:ilvl w:val="1"/>
                <w:numId w:val="16"/>
              </w:numPr>
              <w:spacing w:after="0"/>
              <w:rPr>
                <w:sz w:val="18"/>
                <w:szCs w:val="18"/>
              </w:rPr>
            </w:pPr>
            <w:r>
              <w:rPr>
                <w:sz w:val="18"/>
                <w:szCs w:val="18"/>
              </w:rPr>
              <w:t>CHCPRT026 – Support the rights and safety of children and young people</w:t>
            </w:r>
          </w:p>
          <w:p w14:paraId="7F014AAB" w14:textId="77777777" w:rsidR="007E30F1" w:rsidRPr="003669AE" w:rsidRDefault="007E30F1" w:rsidP="00EC53AB">
            <w:pPr>
              <w:pStyle w:val="ListParagraph"/>
              <w:numPr>
                <w:ilvl w:val="1"/>
                <w:numId w:val="16"/>
              </w:numPr>
              <w:spacing w:after="0"/>
            </w:pPr>
            <w:r>
              <w:rPr>
                <w:sz w:val="18"/>
                <w:szCs w:val="18"/>
              </w:rPr>
              <w:t>CHCECE057 – Use collaborative practices to uphold child protection principles.</w:t>
            </w:r>
          </w:p>
        </w:tc>
        <w:tc>
          <w:tcPr>
            <w:tcW w:w="6378" w:type="dxa"/>
          </w:tcPr>
          <w:p w14:paraId="6F9A8DA3" w14:textId="77777777" w:rsidR="007E30F1" w:rsidRPr="003669AE" w:rsidRDefault="007E30F1" w:rsidP="742E3378">
            <w:pPr>
              <w:pStyle w:val="ListParagraph"/>
              <w:spacing w:after="0"/>
              <w:rPr>
                <w:sz w:val="18"/>
                <w:szCs w:val="18"/>
              </w:rPr>
            </w:pPr>
            <w:r>
              <w:rPr>
                <w:sz w:val="18"/>
                <w:szCs w:val="18"/>
              </w:rPr>
              <w:t>QLD passed the Child Safe Organisations Act 2024, with standards to be implemented from October 2025.</w:t>
            </w:r>
            <w:r>
              <w:rPr>
                <w:rStyle w:val="FootnoteReference"/>
                <w:sz w:val="18"/>
                <w:szCs w:val="18"/>
              </w:rPr>
              <w:footnoteReference w:id="165"/>
            </w:r>
          </w:p>
        </w:tc>
      </w:tr>
      <w:tr w:rsidR="007E30F1" w:rsidRPr="00CD6BA7" w14:paraId="0223BAA4" w14:textId="77777777" w:rsidTr="00C12306">
        <w:tc>
          <w:tcPr>
            <w:tcW w:w="846" w:type="dxa"/>
            <w:shd w:val="clear" w:color="auto" w:fill="14233C" w:themeFill="text2"/>
            <w:vAlign w:val="center"/>
          </w:tcPr>
          <w:p w14:paraId="6ED75C58" w14:textId="77777777" w:rsidR="007E30F1" w:rsidRPr="00AA6D52" w:rsidRDefault="007E30F1">
            <w:pPr>
              <w:spacing w:after="0"/>
              <w:rPr>
                <w:color w:val="FFFFFF" w:themeColor="background1"/>
                <w:sz w:val="20"/>
                <w:szCs w:val="22"/>
              </w:rPr>
            </w:pPr>
            <w:r w:rsidRPr="00AA6D52">
              <w:rPr>
                <w:color w:val="FFFFFF" w:themeColor="background1"/>
                <w:sz w:val="20"/>
                <w:szCs w:val="22"/>
              </w:rPr>
              <w:t>WA</w:t>
            </w:r>
          </w:p>
        </w:tc>
        <w:tc>
          <w:tcPr>
            <w:tcW w:w="6946" w:type="dxa"/>
            <w:vAlign w:val="center"/>
          </w:tcPr>
          <w:p w14:paraId="56FEA17D" w14:textId="77777777" w:rsidR="007E30F1" w:rsidRDefault="007E30F1">
            <w:pPr>
              <w:pStyle w:val="ListParagraph"/>
              <w:rPr>
                <w:sz w:val="18"/>
                <w:szCs w:val="18"/>
              </w:rPr>
            </w:pPr>
            <w:r>
              <w:rPr>
                <w:sz w:val="18"/>
                <w:szCs w:val="18"/>
              </w:rPr>
              <w:t xml:space="preserve">The Regulatory Authority for WA (Department of Communities) </w:t>
            </w:r>
            <w:r w:rsidRPr="00EA51DF">
              <w:rPr>
                <w:sz w:val="18"/>
                <w:szCs w:val="18"/>
                <w:u w:val="single"/>
              </w:rPr>
              <w:t>does not specify that child protection training is mandatory.</w:t>
            </w:r>
          </w:p>
          <w:p w14:paraId="01862CA1" w14:textId="77777777" w:rsidR="007E30F1" w:rsidRPr="00715887" w:rsidRDefault="007E30F1">
            <w:pPr>
              <w:pStyle w:val="ListParagraph"/>
            </w:pPr>
            <w:r>
              <w:rPr>
                <w:sz w:val="18"/>
                <w:szCs w:val="18"/>
              </w:rPr>
              <w:t>No training courses are specified on the Department of Communities website.</w:t>
            </w:r>
          </w:p>
        </w:tc>
        <w:tc>
          <w:tcPr>
            <w:tcW w:w="6378" w:type="dxa"/>
          </w:tcPr>
          <w:p w14:paraId="136AC567" w14:textId="77777777" w:rsidR="007E30F1" w:rsidRPr="003669AE" w:rsidRDefault="007E30F1" w:rsidP="742E3378">
            <w:pPr>
              <w:pStyle w:val="ListParagraph"/>
              <w:spacing w:after="0"/>
              <w:rPr>
                <w:sz w:val="18"/>
                <w:szCs w:val="18"/>
              </w:rPr>
            </w:pPr>
            <w:r>
              <w:rPr>
                <w:sz w:val="18"/>
                <w:szCs w:val="18"/>
              </w:rPr>
              <w:t>WA has yet to fully implement the Child Safe Standards or the National Principles into legislation.</w:t>
            </w:r>
            <w:r>
              <w:rPr>
                <w:rStyle w:val="FootnoteReference"/>
                <w:sz w:val="18"/>
                <w:szCs w:val="18"/>
              </w:rPr>
              <w:footnoteReference w:id="166"/>
            </w:r>
          </w:p>
        </w:tc>
      </w:tr>
      <w:tr w:rsidR="007E30F1" w:rsidRPr="00CD6BA7" w14:paraId="0FDE0B5E" w14:textId="77777777" w:rsidTr="00C12306">
        <w:tc>
          <w:tcPr>
            <w:tcW w:w="846" w:type="dxa"/>
            <w:shd w:val="clear" w:color="auto" w:fill="14233C" w:themeFill="text2"/>
            <w:vAlign w:val="center"/>
          </w:tcPr>
          <w:p w14:paraId="2FBBE9BA" w14:textId="77777777" w:rsidR="007E30F1" w:rsidRPr="00AA6D52" w:rsidRDefault="007E30F1">
            <w:pPr>
              <w:spacing w:after="0"/>
              <w:rPr>
                <w:color w:val="FFFFFF" w:themeColor="background1"/>
                <w:sz w:val="20"/>
                <w:szCs w:val="22"/>
              </w:rPr>
            </w:pPr>
            <w:r w:rsidRPr="00AA6D52">
              <w:rPr>
                <w:color w:val="FFFFFF" w:themeColor="background1"/>
                <w:sz w:val="20"/>
                <w:szCs w:val="22"/>
              </w:rPr>
              <w:t>SA</w:t>
            </w:r>
          </w:p>
        </w:tc>
        <w:tc>
          <w:tcPr>
            <w:tcW w:w="6946" w:type="dxa"/>
            <w:vAlign w:val="center"/>
          </w:tcPr>
          <w:p w14:paraId="570252FC" w14:textId="77777777" w:rsidR="007E30F1" w:rsidRDefault="007E30F1" w:rsidP="00EC53AB">
            <w:pPr>
              <w:pStyle w:val="ListParagraph"/>
              <w:numPr>
                <w:ilvl w:val="0"/>
                <w:numId w:val="16"/>
              </w:numPr>
              <w:spacing w:after="0"/>
              <w:rPr>
                <w:sz w:val="18"/>
                <w:szCs w:val="18"/>
              </w:rPr>
            </w:pPr>
            <w:r>
              <w:rPr>
                <w:sz w:val="18"/>
                <w:szCs w:val="18"/>
              </w:rPr>
              <w:t xml:space="preserve">To work or volunteer in education, people </w:t>
            </w:r>
            <w:r w:rsidRPr="00EA51DF">
              <w:rPr>
                <w:sz w:val="18"/>
                <w:szCs w:val="18"/>
                <w:u w:val="single"/>
              </w:rPr>
              <w:t>must undergo mandatory notification training about child protection in education</w:t>
            </w:r>
            <w:r>
              <w:rPr>
                <w:sz w:val="18"/>
                <w:szCs w:val="18"/>
              </w:rPr>
              <w:t>.</w:t>
            </w:r>
          </w:p>
          <w:p w14:paraId="0F366E8B" w14:textId="77777777" w:rsidR="007E30F1" w:rsidRDefault="007E30F1" w:rsidP="742E3378">
            <w:pPr>
              <w:pStyle w:val="ListParagraph"/>
              <w:spacing w:after="0"/>
              <w:rPr>
                <w:sz w:val="18"/>
                <w:szCs w:val="18"/>
              </w:rPr>
            </w:pPr>
            <w:r>
              <w:rPr>
                <w:sz w:val="18"/>
                <w:szCs w:val="18"/>
              </w:rPr>
              <w:t>Approved child protection training courses include:</w:t>
            </w:r>
            <w:r>
              <w:rPr>
                <w:rStyle w:val="FootnoteReference"/>
                <w:sz w:val="18"/>
                <w:szCs w:val="18"/>
              </w:rPr>
              <w:footnoteReference w:id="167"/>
            </w:r>
          </w:p>
          <w:p w14:paraId="363B9653" w14:textId="77777777" w:rsidR="007E30F1" w:rsidRDefault="007E30F1" w:rsidP="00EC53AB">
            <w:pPr>
              <w:pStyle w:val="ListParagraph"/>
              <w:numPr>
                <w:ilvl w:val="1"/>
                <w:numId w:val="16"/>
              </w:numPr>
              <w:spacing w:after="0"/>
              <w:rPr>
                <w:sz w:val="18"/>
                <w:szCs w:val="18"/>
              </w:rPr>
            </w:pPr>
            <w:r>
              <w:rPr>
                <w:sz w:val="18"/>
                <w:szCs w:val="18"/>
              </w:rPr>
              <w:t>Fundamentals course: Responding to risks of harm, abuse and neglect – education and care</w:t>
            </w:r>
          </w:p>
          <w:p w14:paraId="2702C11A" w14:textId="77777777" w:rsidR="007E30F1" w:rsidRPr="00D900DA" w:rsidRDefault="007E30F1" w:rsidP="00EC53AB">
            <w:pPr>
              <w:pStyle w:val="ListParagraph"/>
              <w:numPr>
                <w:ilvl w:val="1"/>
                <w:numId w:val="16"/>
              </w:numPr>
              <w:spacing w:after="0"/>
            </w:pPr>
            <w:r>
              <w:rPr>
                <w:sz w:val="18"/>
                <w:szCs w:val="18"/>
              </w:rPr>
              <w:t>Masterclass course: Responding to risks of harm, abuse and neglect – education and care.</w:t>
            </w:r>
          </w:p>
        </w:tc>
        <w:tc>
          <w:tcPr>
            <w:tcW w:w="6378" w:type="dxa"/>
          </w:tcPr>
          <w:p w14:paraId="2FB6B8D8" w14:textId="77777777" w:rsidR="007E30F1" w:rsidRPr="003669AE" w:rsidRDefault="007E30F1" w:rsidP="742E3378">
            <w:pPr>
              <w:pStyle w:val="ListParagraph"/>
              <w:spacing w:after="0"/>
              <w:rPr>
                <w:sz w:val="18"/>
                <w:szCs w:val="18"/>
              </w:rPr>
            </w:pPr>
            <w:r>
              <w:rPr>
                <w:sz w:val="18"/>
                <w:szCs w:val="18"/>
              </w:rPr>
              <w:t xml:space="preserve">SA has adopted the National Principles as well as state-informed policy. </w:t>
            </w:r>
            <w:r>
              <w:rPr>
                <w:rStyle w:val="FootnoteReference"/>
                <w:sz w:val="18"/>
                <w:szCs w:val="18"/>
              </w:rPr>
              <w:footnoteReference w:id="168"/>
            </w:r>
          </w:p>
        </w:tc>
      </w:tr>
      <w:tr w:rsidR="007E30F1" w:rsidRPr="00CD6BA7" w14:paraId="5117E1D7" w14:textId="77777777" w:rsidTr="00C12306">
        <w:tc>
          <w:tcPr>
            <w:tcW w:w="846" w:type="dxa"/>
            <w:shd w:val="clear" w:color="auto" w:fill="14233C" w:themeFill="text2"/>
            <w:vAlign w:val="center"/>
          </w:tcPr>
          <w:p w14:paraId="5466C0E8" w14:textId="77777777" w:rsidR="007E30F1" w:rsidRPr="00AA6D52" w:rsidRDefault="007E30F1">
            <w:pPr>
              <w:spacing w:after="0"/>
              <w:rPr>
                <w:color w:val="FFFFFF" w:themeColor="background1"/>
                <w:sz w:val="20"/>
                <w:szCs w:val="22"/>
              </w:rPr>
            </w:pPr>
            <w:r>
              <w:rPr>
                <w:color w:val="FFFFFF" w:themeColor="background1"/>
                <w:sz w:val="20"/>
                <w:szCs w:val="22"/>
              </w:rPr>
              <w:lastRenderedPageBreak/>
              <w:t>TAS</w:t>
            </w:r>
          </w:p>
        </w:tc>
        <w:tc>
          <w:tcPr>
            <w:tcW w:w="6946" w:type="dxa"/>
            <w:vAlign w:val="center"/>
          </w:tcPr>
          <w:p w14:paraId="0503611F" w14:textId="3C3437CB" w:rsidR="007E30F1" w:rsidRPr="003669AE" w:rsidRDefault="000F430B" w:rsidP="742E3378">
            <w:pPr>
              <w:pStyle w:val="ListParagraph"/>
              <w:spacing w:after="0"/>
            </w:pPr>
            <w:r>
              <w:rPr>
                <w:sz w:val="18"/>
                <w:szCs w:val="18"/>
              </w:rPr>
              <w:t xml:space="preserve">The </w:t>
            </w:r>
            <w:r w:rsidRPr="000F430B">
              <w:rPr>
                <w:sz w:val="18"/>
                <w:szCs w:val="18"/>
              </w:rPr>
              <w:t>Department for Education, Children and Young People offers state-specific safeguarding training on its website</w:t>
            </w:r>
            <w:r w:rsidR="008B53E6">
              <w:rPr>
                <w:sz w:val="18"/>
                <w:szCs w:val="18"/>
              </w:rPr>
              <w:t>.</w:t>
            </w:r>
            <w:r>
              <w:rPr>
                <w:sz w:val="18"/>
                <w:szCs w:val="18"/>
              </w:rPr>
              <w:t xml:space="preserve"> </w:t>
            </w:r>
            <w:r w:rsidRPr="000F430B">
              <w:rPr>
                <w:sz w:val="18"/>
                <w:szCs w:val="18"/>
              </w:rPr>
              <w:t>This training has been shared with the Tasmanian education and care sector. The Tasmanian Government is currently developing a suite of safeguarding training packages for use across both government and community organisations</w:t>
            </w:r>
            <w:r w:rsidR="00CD1E96">
              <w:rPr>
                <w:sz w:val="18"/>
                <w:szCs w:val="18"/>
              </w:rPr>
              <w:t>.</w:t>
            </w:r>
            <w:r w:rsidR="00CD1E96">
              <w:rPr>
                <w:rStyle w:val="FootnoteReference"/>
                <w:sz w:val="18"/>
                <w:szCs w:val="18"/>
              </w:rPr>
              <w:footnoteReference w:id="169"/>
            </w:r>
          </w:p>
        </w:tc>
        <w:tc>
          <w:tcPr>
            <w:tcW w:w="6378" w:type="dxa"/>
          </w:tcPr>
          <w:p w14:paraId="6DB197C2" w14:textId="3F50462A" w:rsidR="007E30F1" w:rsidRPr="003669AE" w:rsidRDefault="00EA3C4E" w:rsidP="742E3378">
            <w:pPr>
              <w:pStyle w:val="ListParagraph"/>
              <w:spacing w:after="0"/>
              <w:rPr>
                <w:sz w:val="18"/>
                <w:szCs w:val="18"/>
              </w:rPr>
            </w:pPr>
            <w:r>
              <w:rPr>
                <w:sz w:val="18"/>
                <w:szCs w:val="18"/>
              </w:rPr>
              <w:t xml:space="preserve">TAS </w:t>
            </w:r>
            <w:r w:rsidR="007E30F1">
              <w:rPr>
                <w:sz w:val="18"/>
                <w:szCs w:val="18"/>
              </w:rPr>
              <w:t>implemented the National Principles as their ten Child and Youth Safe Standards, mandatory and applicable to education and care services as of January 2024.</w:t>
            </w:r>
            <w:r w:rsidR="007E30F1">
              <w:rPr>
                <w:rStyle w:val="FootnoteReference"/>
                <w:sz w:val="18"/>
                <w:szCs w:val="18"/>
              </w:rPr>
              <w:footnoteReference w:id="170"/>
            </w:r>
          </w:p>
        </w:tc>
      </w:tr>
      <w:tr w:rsidR="007E30F1" w:rsidRPr="00CD6BA7" w14:paraId="3E45BFA8" w14:textId="77777777" w:rsidTr="00C12306">
        <w:tc>
          <w:tcPr>
            <w:tcW w:w="846" w:type="dxa"/>
            <w:shd w:val="clear" w:color="auto" w:fill="14233C" w:themeFill="text2"/>
            <w:vAlign w:val="center"/>
          </w:tcPr>
          <w:p w14:paraId="1C3FD265" w14:textId="77777777" w:rsidR="007E30F1" w:rsidRPr="00AA6D52" w:rsidRDefault="007E30F1">
            <w:pPr>
              <w:spacing w:after="0"/>
              <w:rPr>
                <w:color w:val="FFFFFF" w:themeColor="background1"/>
                <w:sz w:val="20"/>
                <w:szCs w:val="22"/>
              </w:rPr>
            </w:pPr>
            <w:r w:rsidRPr="00AA6D52">
              <w:rPr>
                <w:color w:val="FFFFFF" w:themeColor="background1"/>
                <w:sz w:val="20"/>
                <w:szCs w:val="22"/>
              </w:rPr>
              <w:t>NT</w:t>
            </w:r>
          </w:p>
        </w:tc>
        <w:tc>
          <w:tcPr>
            <w:tcW w:w="6946" w:type="dxa"/>
            <w:vAlign w:val="center"/>
          </w:tcPr>
          <w:p w14:paraId="577725A3" w14:textId="77777777" w:rsidR="007E30F1" w:rsidRPr="003669AE" w:rsidRDefault="007E30F1" w:rsidP="00EC53AB">
            <w:pPr>
              <w:pStyle w:val="ListParagraph"/>
              <w:numPr>
                <w:ilvl w:val="0"/>
                <w:numId w:val="16"/>
              </w:numPr>
              <w:spacing w:after="0"/>
              <w:rPr>
                <w:sz w:val="18"/>
                <w:szCs w:val="18"/>
              </w:rPr>
            </w:pPr>
            <w:r>
              <w:rPr>
                <w:sz w:val="18"/>
                <w:szCs w:val="18"/>
              </w:rPr>
              <w:t xml:space="preserve">The Regulatory Authority for NT (Department of Education) </w:t>
            </w:r>
            <w:r w:rsidRPr="00EA51DF">
              <w:rPr>
                <w:sz w:val="18"/>
                <w:szCs w:val="18"/>
                <w:u w:val="single"/>
              </w:rPr>
              <w:t>does not specify that child protection training is mandatory</w:t>
            </w:r>
            <w:r>
              <w:rPr>
                <w:sz w:val="18"/>
                <w:szCs w:val="18"/>
              </w:rPr>
              <w:t>.</w:t>
            </w:r>
          </w:p>
        </w:tc>
        <w:tc>
          <w:tcPr>
            <w:tcW w:w="6378" w:type="dxa"/>
          </w:tcPr>
          <w:p w14:paraId="10EBB9DB" w14:textId="77777777" w:rsidR="007E30F1" w:rsidRPr="003669AE" w:rsidRDefault="007E30F1" w:rsidP="00EC53AB">
            <w:pPr>
              <w:pStyle w:val="ListParagraph"/>
              <w:numPr>
                <w:ilvl w:val="0"/>
                <w:numId w:val="16"/>
              </w:numPr>
              <w:spacing w:after="0"/>
              <w:rPr>
                <w:sz w:val="18"/>
                <w:szCs w:val="18"/>
              </w:rPr>
            </w:pPr>
            <w:r>
              <w:rPr>
                <w:sz w:val="18"/>
                <w:szCs w:val="18"/>
              </w:rPr>
              <w:t>The NT is still yet to implement the National Child Safe Standards.</w:t>
            </w:r>
          </w:p>
        </w:tc>
      </w:tr>
      <w:tr w:rsidR="007E30F1" w:rsidRPr="00CD6BA7" w14:paraId="37D1389A" w14:textId="77777777" w:rsidTr="00C12306">
        <w:tc>
          <w:tcPr>
            <w:tcW w:w="846" w:type="dxa"/>
            <w:shd w:val="clear" w:color="auto" w:fill="14233C" w:themeFill="text2"/>
            <w:vAlign w:val="center"/>
          </w:tcPr>
          <w:p w14:paraId="14D6533F" w14:textId="77777777" w:rsidR="007E30F1" w:rsidRPr="00AA6D52" w:rsidRDefault="007E30F1">
            <w:pPr>
              <w:spacing w:after="0"/>
              <w:rPr>
                <w:color w:val="FFFFFF" w:themeColor="background1"/>
                <w:sz w:val="20"/>
                <w:szCs w:val="22"/>
              </w:rPr>
            </w:pPr>
            <w:r w:rsidRPr="00AA6D52">
              <w:rPr>
                <w:color w:val="FFFFFF" w:themeColor="background1"/>
                <w:sz w:val="20"/>
                <w:szCs w:val="22"/>
              </w:rPr>
              <w:t>ACT</w:t>
            </w:r>
          </w:p>
        </w:tc>
        <w:tc>
          <w:tcPr>
            <w:tcW w:w="6946" w:type="dxa"/>
            <w:vAlign w:val="center"/>
          </w:tcPr>
          <w:p w14:paraId="7D4448BD" w14:textId="77777777" w:rsidR="007E30F1" w:rsidRDefault="007E30F1" w:rsidP="00EC53AB">
            <w:pPr>
              <w:pStyle w:val="ListParagraph"/>
              <w:numPr>
                <w:ilvl w:val="0"/>
                <w:numId w:val="16"/>
              </w:numPr>
              <w:spacing w:after="0"/>
              <w:rPr>
                <w:sz w:val="18"/>
                <w:szCs w:val="18"/>
              </w:rPr>
            </w:pPr>
            <w:r>
              <w:rPr>
                <w:sz w:val="18"/>
                <w:szCs w:val="18"/>
              </w:rPr>
              <w:t xml:space="preserve">The Regulatory Authority for ACT (Education Directorate) </w:t>
            </w:r>
            <w:r w:rsidRPr="00EA51DF">
              <w:rPr>
                <w:sz w:val="18"/>
                <w:szCs w:val="18"/>
                <w:u w:val="single"/>
              </w:rPr>
              <w:t>does not specify that child protection training is mandatory</w:t>
            </w:r>
            <w:r>
              <w:rPr>
                <w:sz w:val="18"/>
                <w:szCs w:val="18"/>
              </w:rPr>
              <w:t>.</w:t>
            </w:r>
          </w:p>
          <w:p w14:paraId="3FA764FC" w14:textId="77777777" w:rsidR="007E30F1" w:rsidRDefault="007E30F1" w:rsidP="742E3378">
            <w:pPr>
              <w:pStyle w:val="ListParagraph"/>
              <w:spacing w:after="0"/>
              <w:rPr>
                <w:sz w:val="18"/>
                <w:szCs w:val="18"/>
              </w:rPr>
            </w:pPr>
            <w:r>
              <w:rPr>
                <w:sz w:val="18"/>
                <w:szCs w:val="18"/>
              </w:rPr>
              <w:t>Workers and volunteers may need to undertake training if they work for a state government organisation that works for children and are a mandatory reporter.</w:t>
            </w:r>
            <w:r>
              <w:rPr>
                <w:rStyle w:val="FootnoteReference"/>
                <w:sz w:val="18"/>
                <w:szCs w:val="18"/>
              </w:rPr>
              <w:footnoteReference w:id="171"/>
            </w:r>
          </w:p>
          <w:p w14:paraId="13D9E7CC" w14:textId="77777777" w:rsidR="007E30F1" w:rsidRPr="003669AE" w:rsidRDefault="007E30F1" w:rsidP="00EC53AB">
            <w:pPr>
              <w:pStyle w:val="ListParagraph"/>
              <w:numPr>
                <w:ilvl w:val="0"/>
                <w:numId w:val="16"/>
              </w:numPr>
              <w:spacing w:after="0"/>
              <w:rPr>
                <w:sz w:val="18"/>
                <w:szCs w:val="18"/>
              </w:rPr>
            </w:pPr>
            <w:r w:rsidRPr="00855F9F">
              <w:rPr>
                <w:sz w:val="18"/>
                <w:szCs w:val="18"/>
              </w:rPr>
              <w:t>State-specific training is available for government or non-government staff who work with children and are mandatory reporters: Training to respond to child abuse and neglect.</w:t>
            </w:r>
          </w:p>
        </w:tc>
        <w:tc>
          <w:tcPr>
            <w:tcW w:w="6378" w:type="dxa"/>
          </w:tcPr>
          <w:p w14:paraId="299E4531" w14:textId="77777777" w:rsidR="007E30F1" w:rsidRPr="003669AE" w:rsidRDefault="007E30F1" w:rsidP="742E3378">
            <w:pPr>
              <w:pStyle w:val="ListParagraph"/>
              <w:spacing w:after="0"/>
              <w:rPr>
                <w:sz w:val="18"/>
                <w:szCs w:val="18"/>
              </w:rPr>
            </w:pPr>
            <w:r>
              <w:rPr>
                <w:sz w:val="18"/>
                <w:szCs w:val="18"/>
              </w:rPr>
              <w:t>The ACT adopted the National Principles as their ten Child Safe Standards, mandatory as of August 2024.</w:t>
            </w:r>
            <w:r>
              <w:rPr>
                <w:rStyle w:val="FootnoteReference"/>
                <w:sz w:val="18"/>
                <w:szCs w:val="18"/>
              </w:rPr>
              <w:footnoteReference w:id="172"/>
            </w:r>
            <w:r>
              <w:rPr>
                <w:sz w:val="18"/>
                <w:szCs w:val="18"/>
              </w:rPr>
              <w:t xml:space="preserve"> </w:t>
            </w:r>
          </w:p>
        </w:tc>
      </w:tr>
    </w:tbl>
    <w:p w14:paraId="70753094" w14:textId="77777777" w:rsidR="007E30F1" w:rsidRDefault="007E30F1" w:rsidP="007E30F1">
      <w:pPr>
        <w:spacing w:after="0"/>
        <w:sectPr w:rsidR="007E30F1" w:rsidSect="007E30F1">
          <w:headerReference w:type="first" r:id="rId142"/>
          <w:pgSz w:w="16840" w:h="11900" w:orient="landscape"/>
          <w:pgMar w:top="1440" w:right="1440" w:bottom="1440" w:left="1440" w:header="709" w:footer="709" w:gutter="0"/>
          <w:cols w:space="708"/>
          <w:titlePg/>
          <w:docGrid w:linePitch="360"/>
        </w:sectPr>
      </w:pPr>
    </w:p>
    <w:p w14:paraId="602CA200" w14:textId="32FD428C" w:rsidR="007A67CF" w:rsidRPr="007A67CF" w:rsidRDefault="00D749A4" w:rsidP="005230F8">
      <w:pPr>
        <w:pStyle w:val="Heading2"/>
        <w:rPr>
          <w:lang w:val="en-GB"/>
        </w:rPr>
      </w:pPr>
      <w:bookmarkStart w:id="385" w:name="_Toc205884916"/>
      <w:r>
        <w:rPr>
          <w:lang w:val="en-GB"/>
        </w:rPr>
        <w:lastRenderedPageBreak/>
        <w:t>1</w:t>
      </w:r>
      <w:r w:rsidR="00FB5B62">
        <w:rPr>
          <w:lang w:val="en-GB"/>
        </w:rPr>
        <w:t>2</w:t>
      </w:r>
      <w:r>
        <w:rPr>
          <w:lang w:val="en-GB"/>
        </w:rPr>
        <w:t>.</w:t>
      </w:r>
      <w:r w:rsidR="00FB5B62">
        <w:rPr>
          <w:lang w:val="en-GB"/>
        </w:rPr>
        <w:t>6</w:t>
      </w:r>
      <w:r>
        <w:rPr>
          <w:lang w:val="en-GB"/>
        </w:rPr>
        <w:t xml:space="preserve"> </w:t>
      </w:r>
      <w:r w:rsidR="007A67CF">
        <w:rPr>
          <w:lang w:val="en-GB"/>
        </w:rPr>
        <w:t xml:space="preserve">Overview of </w:t>
      </w:r>
      <w:r w:rsidR="007D218B">
        <w:rPr>
          <w:lang w:val="en-GB"/>
        </w:rPr>
        <w:t xml:space="preserve">jurisdictional </w:t>
      </w:r>
      <w:r w:rsidR="007A67CF">
        <w:rPr>
          <w:lang w:val="en-GB"/>
        </w:rPr>
        <w:t>WWCC</w:t>
      </w:r>
      <w:r w:rsidR="005230F8">
        <w:rPr>
          <w:lang w:val="en-GB"/>
        </w:rPr>
        <w:t>s</w:t>
      </w:r>
      <w:bookmarkEnd w:id="385"/>
      <w:r w:rsidR="005230F8">
        <w:rPr>
          <w:lang w:val="en-GB"/>
        </w:rPr>
        <w:t xml:space="preserve"> </w:t>
      </w:r>
    </w:p>
    <w:p w14:paraId="20BA4895" w14:textId="06945FE0" w:rsidR="005230F8" w:rsidRPr="001B5F5C" w:rsidRDefault="00BC277C" w:rsidP="00274773">
      <w:pPr>
        <w:pStyle w:val="CaptionChart"/>
        <w:rPr>
          <w:i/>
        </w:rPr>
      </w:pPr>
      <w:r>
        <w:t xml:space="preserve">Appendix </w:t>
      </w:r>
      <w:r w:rsidR="005230F8" w:rsidRPr="004A151B">
        <w:t xml:space="preserve">Table </w:t>
      </w:r>
      <w:r w:rsidR="00274773">
        <w:t>12.6.1</w:t>
      </w:r>
      <w:r w:rsidR="005230F8" w:rsidRPr="004A151B">
        <w:t xml:space="preserve">: </w:t>
      </w:r>
      <w:r w:rsidR="005230F8">
        <w:t xml:space="preserve">Summary of </w:t>
      </w:r>
      <w:r w:rsidR="00A155B9">
        <w:t>j</w:t>
      </w:r>
      <w:r w:rsidR="007D218B">
        <w:t>urisdictional</w:t>
      </w:r>
      <w:r w:rsidR="005230F8">
        <w:t xml:space="preserve"> </w:t>
      </w:r>
      <w:r w:rsidR="008C7800">
        <w:t xml:space="preserve">WWCC </w:t>
      </w:r>
      <w:r w:rsidR="00D95262">
        <w:t>details</w:t>
      </w:r>
    </w:p>
    <w:tbl>
      <w:tblPr>
        <w:tblW w:w="13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tblCellMar>
        <w:tblLook w:val="04A0" w:firstRow="1" w:lastRow="0" w:firstColumn="1" w:lastColumn="0" w:noHBand="0" w:noVBand="1"/>
        <w:tblCaption w:val="Appendix Table 12.6.1: Summary of jurisdictional WWCC details"/>
        <w:tblDescription w:val="This table provides a summary of jurisdictional WWCC details."/>
      </w:tblPr>
      <w:tblGrid>
        <w:gridCol w:w="1702"/>
        <w:gridCol w:w="2962"/>
        <w:gridCol w:w="3524"/>
        <w:gridCol w:w="2320"/>
        <w:gridCol w:w="3470"/>
      </w:tblGrid>
      <w:tr w:rsidR="007A67CF" w14:paraId="0C2971F4" w14:textId="7FC3B47A" w:rsidTr="00C12306">
        <w:trPr>
          <w:trHeight w:val="222"/>
          <w:tblHeader/>
        </w:trPr>
        <w:tc>
          <w:tcPr>
            <w:tcW w:w="0" w:type="dxa"/>
            <w:shd w:val="clear" w:color="auto" w:fill="14233C" w:themeFill="text2"/>
          </w:tcPr>
          <w:p w14:paraId="1FB21F8E" w14:textId="77777777" w:rsidR="007A67CF" w:rsidRPr="007A67CF" w:rsidRDefault="007A67CF" w:rsidP="00CB3412">
            <w:pPr>
              <w:rPr>
                <w:sz w:val="18"/>
                <w:szCs w:val="20"/>
                <w:lang w:val="en-GB"/>
              </w:rPr>
            </w:pPr>
          </w:p>
        </w:tc>
        <w:tc>
          <w:tcPr>
            <w:tcW w:w="0" w:type="dxa"/>
            <w:shd w:val="clear" w:color="auto" w:fill="14233C" w:themeFill="text2"/>
          </w:tcPr>
          <w:p w14:paraId="0F7149E7" w14:textId="1A6BB99C" w:rsidR="007A67CF" w:rsidRPr="007A67CF" w:rsidRDefault="005230F8" w:rsidP="00CB3412">
            <w:pPr>
              <w:rPr>
                <w:sz w:val="18"/>
                <w:szCs w:val="20"/>
                <w:lang w:val="en-GB"/>
              </w:rPr>
            </w:pPr>
            <w:r>
              <w:rPr>
                <w:sz w:val="18"/>
                <w:szCs w:val="20"/>
                <w:lang w:val="en-GB"/>
              </w:rPr>
              <w:t>Name of WWCC</w:t>
            </w:r>
            <w:r w:rsidR="005B3CAB">
              <w:rPr>
                <w:sz w:val="18"/>
                <w:szCs w:val="20"/>
                <w:lang w:val="en-GB"/>
              </w:rPr>
              <w:t xml:space="preserve"> or equivalent </w:t>
            </w:r>
          </w:p>
        </w:tc>
        <w:tc>
          <w:tcPr>
            <w:tcW w:w="0" w:type="dxa"/>
            <w:shd w:val="clear" w:color="auto" w:fill="14233C" w:themeFill="text2"/>
          </w:tcPr>
          <w:p w14:paraId="082CE90E" w14:textId="3679B6BA" w:rsidR="007A67CF" w:rsidRPr="007A67CF" w:rsidRDefault="005B3CAB" w:rsidP="00CB3412">
            <w:pPr>
              <w:rPr>
                <w:sz w:val="18"/>
                <w:szCs w:val="20"/>
                <w:lang w:val="en-GB"/>
              </w:rPr>
            </w:pPr>
            <w:r>
              <w:rPr>
                <w:sz w:val="18"/>
                <w:szCs w:val="20"/>
                <w:lang w:val="en-GB"/>
              </w:rPr>
              <w:t>WWCC s</w:t>
            </w:r>
            <w:r w:rsidR="005230F8">
              <w:rPr>
                <w:sz w:val="18"/>
                <w:szCs w:val="20"/>
                <w:lang w:val="en-GB"/>
              </w:rPr>
              <w:t>creening agency</w:t>
            </w:r>
          </w:p>
        </w:tc>
        <w:tc>
          <w:tcPr>
            <w:tcW w:w="0" w:type="dxa"/>
            <w:shd w:val="clear" w:color="auto" w:fill="14233C" w:themeFill="text2"/>
          </w:tcPr>
          <w:p w14:paraId="3DF57229" w14:textId="1A916CB8" w:rsidR="007A67CF" w:rsidRPr="007A67CF" w:rsidRDefault="005230F8" w:rsidP="00CB3412">
            <w:pPr>
              <w:rPr>
                <w:sz w:val="18"/>
                <w:szCs w:val="20"/>
                <w:lang w:val="en-GB"/>
              </w:rPr>
            </w:pPr>
            <w:r>
              <w:rPr>
                <w:sz w:val="18"/>
                <w:szCs w:val="20"/>
                <w:lang w:val="en-GB"/>
              </w:rPr>
              <w:t>WWCC duration</w:t>
            </w:r>
          </w:p>
        </w:tc>
        <w:tc>
          <w:tcPr>
            <w:tcW w:w="0" w:type="dxa"/>
            <w:shd w:val="clear" w:color="auto" w:fill="14233C" w:themeFill="text2"/>
          </w:tcPr>
          <w:p w14:paraId="7B4DF9EF" w14:textId="57A31588" w:rsidR="00C64E96" w:rsidRDefault="00C64E96" w:rsidP="00CB3412">
            <w:pPr>
              <w:rPr>
                <w:sz w:val="18"/>
                <w:szCs w:val="20"/>
                <w:lang w:val="en-GB"/>
              </w:rPr>
            </w:pPr>
            <w:r>
              <w:rPr>
                <w:sz w:val="18"/>
                <w:szCs w:val="20"/>
                <w:lang w:val="en-GB"/>
              </w:rPr>
              <w:t xml:space="preserve">Cost to apply for a WWCC or equivalent </w:t>
            </w:r>
          </w:p>
        </w:tc>
      </w:tr>
      <w:tr w:rsidR="007A67CF" w14:paraId="3D86208B" w14:textId="77429EFB" w:rsidTr="00C12306">
        <w:trPr>
          <w:trHeight w:val="318"/>
        </w:trPr>
        <w:tc>
          <w:tcPr>
            <w:tcW w:w="0" w:type="dxa"/>
            <w:shd w:val="clear" w:color="auto" w:fill="14233C" w:themeFill="text2"/>
          </w:tcPr>
          <w:p w14:paraId="2D055610" w14:textId="36918511" w:rsidR="007A67CF" w:rsidRPr="009A0C58" w:rsidRDefault="007A67CF" w:rsidP="00CB3412">
            <w:pPr>
              <w:rPr>
                <w:color w:val="FFFFFF" w:themeColor="background1"/>
                <w:sz w:val="18"/>
                <w:szCs w:val="20"/>
                <w:lang w:val="en-GB"/>
              </w:rPr>
            </w:pPr>
            <w:r w:rsidRPr="009A0C58">
              <w:rPr>
                <w:color w:val="FFFFFF" w:themeColor="background1"/>
                <w:sz w:val="18"/>
                <w:szCs w:val="20"/>
                <w:lang w:val="en-GB"/>
              </w:rPr>
              <w:t>NSW</w:t>
            </w:r>
          </w:p>
        </w:tc>
        <w:tc>
          <w:tcPr>
            <w:tcW w:w="0" w:type="dxa"/>
          </w:tcPr>
          <w:p w14:paraId="40C37509" w14:textId="71652C03" w:rsidR="007A67CF" w:rsidRPr="007A67CF" w:rsidRDefault="00AC2A5C" w:rsidP="00CB3412">
            <w:pPr>
              <w:rPr>
                <w:sz w:val="18"/>
                <w:szCs w:val="20"/>
                <w:lang w:val="en-GB"/>
              </w:rPr>
            </w:pPr>
            <w:r w:rsidRPr="00AC2A5C">
              <w:rPr>
                <w:sz w:val="18"/>
                <w:szCs w:val="20"/>
                <w:lang w:val="en-GB"/>
              </w:rPr>
              <w:t>Working With Children Check</w:t>
            </w:r>
          </w:p>
        </w:tc>
        <w:tc>
          <w:tcPr>
            <w:tcW w:w="0" w:type="dxa"/>
          </w:tcPr>
          <w:p w14:paraId="256DB037" w14:textId="69E9E7FD" w:rsidR="007A67CF" w:rsidRPr="007A67CF" w:rsidRDefault="004B5F55" w:rsidP="00CB3412">
            <w:pPr>
              <w:rPr>
                <w:sz w:val="18"/>
                <w:szCs w:val="20"/>
                <w:lang w:val="en-GB"/>
              </w:rPr>
            </w:pPr>
            <w:r w:rsidRPr="004B5F55">
              <w:rPr>
                <w:sz w:val="18"/>
                <w:szCs w:val="20"/>
                <w:lang w:val="en-GB"/>
              </w:rPr>
              <w:t>Office of the</w:t>
            </w:r>
            <w:r>
              <w:rPr>
                <w:sz w:val="18"/>
                <w:szCs w:val="20"/>
                <w:lang w:val="en-GB"/>
              </w:rPr>
              <w:t xml:space="preserve"> </w:t>
            </w:r>
            <w:r w:rsidRPr="004B5F55">
              <w:rPr>
                <w:sz w:val="18"/>
                <w:szCs w:val="20"/>
                <w:lang w:val="en-GB"/>
              </w:rPr>
              <w:t>Children’s Guardian</w:t>
            </w:r>
          </w:p>
        </w:tc>
        <w:tc>
          <w:tcPr>
            <w:tcW w:w="0" w:type="dxa"/>
          </w:tcPr>
          <w:p w14:paraId="7C0DEE91" w14:textId="4AEF487E" w:rsidR="007A67CF" w:rsidRPr="007A67CF" w:rsidRDefault="00A155B9" w:rsidP="00CB3412">
            <w:pPr>
              <w:rPr>
                <w:sz w:val="18"/>
                <w:szCs w:val="20"/>
                <w:lang w:val="en-GB"/>
              </w:rPr>
            </w:pPr>
            <w:r>
              <w:rPr>
                <w:sz w:val="18"/>
                <w:szCs w:val="20"/>
                <w:lang w:val="en-GB"/>
              </w:rPr>
              <w:t>5 years</w:t>
            </w:r>
          </w:p>
        </w:tc>
        <w:tc>
          <w:tcPr>
            <w:tcW w:w="0" w:type="dxa"/>
          </w:tcPr>
          <w:p w14:paraId="49090590" w14:textId="70A3A473" w:rsidR="00C91AA5" w:rsidRDefault="00C91AA5" w:rsidP="00CB3412">
            <w:pPr>
              <w:rPr>
                <w:sz w:val="18"/>
                <w:szCs w:val="20"/>
                <w:lang w:val="en-GB"/>
              </w:rPr>
            </w:pPr>
            <w:r>
              <w:rPr>
                <w:sz w:val="18"/>
                <w:szCs w:val="18"/>
                <w:lang w:val="en-GB"/>
              </w:rPr>
              <w:t>$105</w:t>
            </w:r>
            <w:r w:rsidR="00716067">
              <w:rPr>
                <w:sz w:val="18"/>
                <w:szCs w:val="18"/>
                <w:lang w:val="en-GB"/>
              </w:rPr>
              <w:t>.00</w:t>
            </w:r>
            <w:r>
              <w:rPr>
                <w:sz w:val="18"/>
                <w:szCs w:val="18"/>
                <w:lang w:val="en-GB"/>
              </w:rPr>
              <w:t xml:space="preserve"> for paid workers and free for volunteers.</w:t>
            </w:r>
            <w:r>
              <w:rPr>
                <w:rStyle w:val="FootnoteReference"/>
                <w:sz w:val="18"/>
                <w:szCs w:val="18"/>
                <w:lang w:val="en-GB"/>
              </w:rPr>
              <w:footnoteReference w:id="173"/>
            </w:r>
          </w:p>
        </w:tc>
      </w:tr>
      <w:tr w:rsidR="007A67CF" w14:paraId="17F64F13" w14:textId="6C9A4DCE" w:rsidTr="00C12306">
        <w:trPr>
          <w:trHeight w:val="400"/>
        </w:trPr>
        <w:tc>
          <w:tcPr>
            <w:tcW w:w="0" w:type="dxa"/>
            <w:shd w:val="clear" w:color="auto" w:fill="14233C" w:themeFill="text2"/>
          </w:tcPr>
          <w:p w14:paraId="5D9B55AD" w14:textId="05A08C95" w:rsidR="007A67CF" w:rsidRPr="009A0C58" w:rsidRDefault="007A67CF" w:rsidP="00CB3412">
            <w:pPr>
              <w:rPr>
                <w:color w:val="FFFFFF" w:themeColor="background1"/>
                <w:sz w:val="18"/>
                <w:szCs w:val="20"/>
                <w:lang w:val="en-GB"/>
              </w:rPr>
            </w:pPr>
            <w:r w:rsidRPr="009A0C58">
              <w:rPr>
                <w:color w:val="FFFFFF" w:themeColor="background1"/>
                <w:sz w:val="18"/>
                <w:szCs w:val="20"/>
                <w:lang w:val="en-GB"/>
              </w:rPr>
              <w:t>V</w:t>
            </w:r>
            <w:r w:rsidR="009A0C58" w:rsidRPr="009A0C58">
              <w:rPr>
                <w:color w:val="FFFFFF" w:themeColor="background1"/>
                <w:sz w:val="18"/>
                <w:szCs w:val="20"/>
                <w:lang w:val="en-GB"/>
              </w:rPr>
              <w:t>IC</w:t>
            </w:r>
          </w:p>
        </w:tc>
        <w:tc>
          <w:tcPr>
            <w:tcW w:w="0" w:type="dxa"/>
          </w:tcPr>
          <w:p w14:paraId="2B32BE3E" w14:textId="73FC3225" w:rsidR="007A67CF" w:rsidRPr="007A67CF" w:rsidRDefault="00623507" w:rsidP="00CB3412">
            <w:pPr>
              <w:rPr>
                <w:sz w:val="18"/>
                <w:szCs w:val="20"/>
                <w:lang w:val="en-GB"/>
              </w:rPr>
            </w:pPr>
            <w:r w:rsidRPr="00623507">
              <w:rPr>
                <w:sz w:val="18"/>
                <w:szCs w:val="20"/>
                <w:lang w:val="en-GB"/>
              </w:rPr>
              <w:t>Working with Children</w:t>
            </w:r>
            <w:r>
              <w:rPr>
                <w:sz w:val="18"/>
                <w:szCs w:val="20"/>
                <w:lang w:val="en-GB"/>
              </w:rPr>
              <w:t xml:space="preserve"> </w:t>
            </w:r>
            <w:r w:rsidRPr="00623507">
              <w:rPr>
                <w:sz w:val="18"/>
                <w:szCs w:val="20"/>
                <w:lang w:val="en-GB"/>
              </w:rPr>
              <w:t>Clearance</w:t>
            </w:r>
          </w:p>
        </w:tc>
        <w:tc>
          <w:tcPr>
            <w:tcW w:w="0" w:type="dxa"/>
          </w:tcPr>
          <w:p w14:paraId="54B915AE" w14:textId="323ECA4D" w:rsidR="007A67CF" w:rsidRPr="007A67CF" w:rsidRDefault="008448EF" w:rsidP="00CB3412">
            <w:pPr>
              <w:rPr>
                <w:sz w:val="18"/>
                <w:szCs w:val="20"/>
                <w:lang w:val="en-GB"/>
              </w:rPr>
            </w:pPr>
            <w:r>
              <w:rPr>
                <w:sz w:val="18"/>
                <w:szCs w:val="20"/>
                <w:lang w:val="en-GB"/>
              </w:rPr>
              <w:t>Department of Justice and Community Safety</w:t>
            </w:r>
          </w:p>
        </w:tc>
        <w:tc>
          <w:tcPr>
            <w:tcW w:w="0" w:type="dxa"/>
          </w:tcPr>
          <w:p w14:paraId="5B81A726" w14:textId="1410809A" w:rsidR="007A67CF" w:rsidRPr="007A67CF" w:rsidRDefault="00393F2B" w:rsidP="00CB3412">
            <w:pPr>
              <w:rPr>
                <w:sz w:val="18"/>
                <w:szCs w:val="20"/>
                <w:lang w:val="en-GB"/>
              </w:rPr>
            </w:pPr>
            <w:r>
              <w:rPr>
                <w:sz w:val="18"/>
                <w:szCs w:val="20"/>
                <w:lang w:val="en-GB"/>
              </w:rPr>
              <w:t>5 years</w:t>
            </w:r>
          </w:p>
        </w:tc>
        <w:tc>
          <w:tcPr>
            <w:tcW w:w="0" w:type="dxa"/>
          </w:tcPr>
          <w:p w14:paraId="744B2A3C" w14:textId="6EFD5BF4" w:rsidR="000B20C7" w:rsidRDefault="000B20C7" w:rsidP="00CB3412">
            <w:pPr>
              <w:rPr>
                <w:sz w:val="18"/>
                <w:szCs w:val="20"/>
                <w:lang w:val="en-GB"/>
              </w:rPr>
            </w:pPr>
            <w:r>
              <w:rPr>
                <w:sz w:val="18"/>
                <w:szCs w:val="18"/>
                <w:lang w:val="en-GB"/>
              </w:rPr>
              <w:t>$1</w:t>
            </w:r>
            <w:r w:rsidR="00716067">
              <w:rPr>
                <w:sz w:val="18"/>
                <w:szCs w:val="18"/>
                <w:lang w:val="en-GB"/>
              </w:rPr>
              <w:t>31.60 for employees and free for volunteers.</w:t>
            </w:r>
            <w:r w:rsidR="001C3374">
              <w:rPr>
                <w:rStyle w:val="FootnoteReference"/>
                <w:sz w:val="18"/>
                <w:szCs w:val="18"/>
                <w:lang w:val="en-GB"/>
              </w:rPr>
              <w:footnoteReference w:id="174"/>
            </w:r>
            <w:r w:rsidR="00716067">
              <w:rPr>
                <w:sz w:val="18"/>
                <w:szCs w:val="18"/>
                <w:lang w:val="en-GB"/>
              </w:rPr>
              <w:t xml:space="preserve"> </w:t>
            </w:r>
          </w:p>
        </w:tc>
      </w:tr>
      <w:tr w:rsidR="007A67CF" w14:paraId="17CCEB43" w14:textId="24DEF2FD" w:rsidTr="00C12306">
        <w:trPr>
          <w:trHeight w:val="166"/>
        </w:trPr>
        <w:tc>
          <w:tcPr>
            <w:tcW w:w="0" w:type="dxa"/>
            <w:shd w:val="clear" w:color="auto" w:fill="14233C" w:themeFill="text2"/>
          </w:tcPr>
          <w:p w14:paraId="5F443F74" w14:textId="7B3DE300" w:rsidR="007A67CF" w:rsidRPr="009A0C58" w:rsidRDefault="005230F8" w:rsidP="00CB3412">
            <w:pPr>
              <w:rPr>
                <w:color w:val="FFFFFF" w:themeColor="background1"/>
                <w:sz w:val="18"/>
                <w:szCs w:val="20"/>
                <w:lang w:val="en-GB"/>
              </w:rPr>
            </w:pPr>
            <w:r w:rsidRPr="009A0C58">
              <w:rPr>
                <w:color w:val="FFFFFF" w:themeColor="background1"/>
                <w:sz w:val="18"/>
                <w:szCs w:val="20"/>
                <w:lang w:val="en-GB"/>
              </w:rPr>
              <w:t>Q</w:t>
            </w:r>
            <w:r w:rsidR="009A0C58" w:rsidRPr="009A0C58">
              <w:rPr>
                <w:color w:val="FFFFFF" w:themeColor="background1"/>
                <w:sz w:val="18"/>
                <w:szCs w:val="20"/>
                <w:lang w:val="en-GB"/>
              </w:rPr>
              <w:t>LD</w:t>
            </w:r>
          </w:p>
        </w:tc>
        <w:tc>
          <w:tcPr>
            <w:tcW w:w="0" w:type="dxa"/>
          </w:tcPr>
          <w:p w14:paraId="58431DC8" w14:textId="377F2BE9" w:rsidR="007A67CF" w:rsidRPr="007A67CF" w:rsidRDefault="002F538B" w:rsidP="00CB3412">
            <w:pPr>
              <w:rPr>
                <w:sz w:val="18"/>
                <w:szCs w:val="20"/>
                <w:lang w:val="en-GB"/>
              </w:rPr>
            </w:pPr>
            <w:r w:rsidRPr="002F538B">
              <w:rPr>
                <w:sz w:val="18"/>
                <w:szCs w:val="20"/>
                <w:lang w:val="en-GB"/>
              </w:rPr>
              <w:t>Working with Children Check</w:t>
            </w:r>
            <w:r w:rsidR="00567D6B">
              <w:rPr>
                <w:sz w:val="18"/>
                <w:szCs w:val="20"/>
                <w:lang w:val="en-GB"/>
              </w:rPr>
              <w:t xml:space="preserve"> – Blue Card</w:t>
            </w:r>
          </w:p>
        </w:tc>
        <w:tc>
          <w:tcPr>
            <w:tcW w:w="0" w:type="dxa"/>
          </w:tcPr>
          <w:p w14:paraId="21DA56ED" w14:textId="5C0716B8" w:rsidR="007A67CF" w:rsidRPr="007A67CF" w:rsidRDefault="00E8730A" w:rsidP="00CB3412">
            <w:pPr>
              <w:rPr>
                <w:sz w:val="18"/>
                <w:szCs w:val="20"/>
                <w:lang w:val="en-GB"/>
              </w:rPr>
            </w:pPr>
            <w:r>
              <w:rPr>
                <w:sz w:val="18"/>
                <w:szCs w:val="20"/>
                <w:lang w:val="en-GB"/>
              </w:rPr>
              <w:t xml:space="preserve">Blue Card Services </w:t>
            </w:r>
          </w:p>
        </w:tc>
        <w:tc>
          <w:tcPr>
            <w:tcW w:w="0" w:type="dxa"/>
          </w:tcPr>
          <w:p w14:paraId="504590B2" w14:textId="55D3B56F" w:rsidR="007A67CF" w:rsidRPr="007A67CF" w:rsidRDefault="00393F2B" w:rsidP="00CB3412">
            <w:pPr>
              <w:rPr>
                <w:sz w:val="18"/>
                <w:szCs w:val="20"/>
                <w:lang w:val="en-GB"/>
              </w:rPr>
            </w:pPr>
            <w:r>
              <w:rPr>
                <w:sz w:val="18"/>
                <w:szCs w:val="20"/>
                <w:lang w:val="en-GB"/>
              </w:rPr>
              <w:t>3 years</w:t>
            </w:r>
          </w:p>
        </w:tc>
        <w:tc>
          <w:tcPr>
            <w:tcW w:w="0" w:type="dxa"/>
          </w:tcPr>
          <w:p w14:paraId="43C03528" w14:textId="55651527" w:rsidR="007B7FEB" w:rsidRDefault="007B7FEB" w:rsidP="00CB3412">
            <w:pPr>
              <w:rPr>
                <w:sz w:val="18"/>
                <w:szCs w:val="20"/>
                <w:lang w:val="en-GB"/>
              </w:rPr>
            </w:pPr>
            <w:r>
              <w:rPr>
                <w:sz w:val="18"/>
                <w:szCs w:val="18"/>
                <w:lang w:val="en-GB"/>
              </w:rPr>
              <w:t xml:space="preserve">$101.30 for </w:t>
            </w:r>
            <w:r w:rsidR="00A6640A">
              <w:rPr>
                <w:sz w:val="18"/>
                <w:szCs w:val="18"/>
                <w:lang w:val="en-GB"/>
              </w:rPr>
              <w:t>all applicants except for volunteers, students</w:t>
            </w:r>
            <w:r w:rsidR="00567C9A">
              <w:rPr>
                <w:sz w:val="18"/>
                <w:szCs w:val="18"/>
                <w:lang w:val="en-GB"/>
              </w:rPr>
              <w:t xml:space="preserve"> and</w:t>
            </w:r>
            <w:r w:rsidR="00A6640A">
              <w:rPr>
                <w:sz w:val="18"/>
                <w:szCs w:val="18"/>
                <w:lang w:val="en-GB"/>
              </w:rPr>
              <w:t xml:space="preserve"> exemption card holders </w:t>
            </w:r>
            <w:r w:rsidR="00567C9A">
              <w:rPr>
                <w:sz w:val="18"/>
                <w:szCs w:val="18"/>
                <w:lang w:val="en-GB"/>
              </w:rPr>
              <w:t>who incur no fee.</w:t>
            </w:r>
            <w:r w:rsidR="00567C9A">
              <w:rPr>
                <w:rStyle w:val="FootnoteReference"/>
                <w:sz w:val="18"/>
                <w:szCs w:val="18"/>
                <w:lang w:val="en-GB"/>
              </w:rPr>
              <w:footnoteReference w:id="175"/>
            </w:r>
          </w:p>
        </w:tc>
      </w:tr>
      <w:tr w:rsidR="007A67CF" w14:paraId="36D9AB84" w14:textId="6F891C04" w:rsidTr="00C12306">
        <w:trPr>
          <w:trHeight w:val="490"/>
        </w:trPr>
        <w:tc>
          <w:tcPr>
            <w:tcW w:w="0" w:type="dxa"/>
            <w:shd w:val="clear" w:color="auto" w:fill="14233C" w:themeFill="text2"/>
          </w:tcPr>
          <w:p w14:paraId="2B6A20B7" w14:textId="5B085927" w:rsidR="007A67CF" w:rsidRPr="009A0C58" w:rsidRDefault="005230F8" w:rsidP="00CB3412">
            <w:pPr>
              <w:rPr>
                <w:color w:val="FFFFFF" w:themeColor="background1"/>
                <w:sz w:val="18"/>
                <w:szCs w:val="20"/>
                <w:lang w:val="en-GB"/>
              </w:rPr>
            </w:pPr>
            <w:r w:rsidRPr="009A0C58">
              <w:rPr>
                <w:color w:val="FFFFFF" w:themeColor="background1"/>
                <w:sz w:val="18"/>
                <w:szCs w:val="20"/>
                <w:lang w:val="en-GB"/>
              </w:rPr>
              <w:t>WA</w:t>
            </w:r>
          </w:p>
        </w:tc>
        <w:tc>
          <w:tcPr>
            <w:tcW w:w="0" w:type="dxa"/>
          </w:tcPr>
          <w:p w14:paraId="2175C8E0" w14:textId="54B2EC80" w:rsidR="007A67CF" w:rsidRPr="007A67CF" w:rsidRDefault="0016643E" w:rsidP="00CB3412">
            <w:pPr>
              <w:rPr>
                <w:sz w:val="18"/>
                <w:szCs w:val="20"/>
                <w:lang w:val="en-GB"/>
              </w:rPr>
            </w:pPr>
            <w:r w:rsidRPr="0016643E">
              <w:rPr>
                <w:sz w:val="18"/>
                <w:szCs w:val="20"/>
                <w:lang w:val="en-GB"/>
              </w:rPr>
              <w:t>Working with Children Check</w:t>
            </w:r>
          </w:p>
        </w:tc>
        <w:tc>
          <w:tcPr>
            <w:tcW w:w="0" w:type="dxa"/>
          </w:tcPr>
          <w:p w14:paraId="3EA7FC49" w14:textId="36B9346A" w:rsidR="007A67CF" w:rsidRPr="007A67CF" w:rsidRDefault="00553B8E" w:rsidP="00CB3412">
            <w:pPr>
              <w:rPr>
                <w:sz w:val="18"/>
                <w:szCs w:val="20"/>
                <w:lang w:val="en-GB"/>
              </w:rPr>
            </w:pPr>
            <w:r>
              <w:rPr>
                <w:sz w:val="18"/>
                <w:szCs w:val="20"/>
                <w:lang w:val="en-GB"/>
              </w:rPr>
              <w:t xml:space="preserve">Department of Communities, </w:t>
            </w:r>
            <w:r w:rsidR="00E8730A">
              <w:rPr>
                <w:sz w:val="18"/>
                <w:szCs w:val="20"/>
                <w:lang w:val="en-GB"/>
              </w:rPr>
              <w:t xml:space="preserve">WWC Screening </w:t>
            </w:r>
            <w:r>
              <w:rPr>
                <w:sz w:val="18"/>
                <w:szCs w:val="20"/>
                <w:lang w:val="en-GB"/>
              </w:rPr>
              <w:t>U</w:t>
            </w:r>
            <w:r w:rsidR="00E8730A">
              <w:rPr>
                <w:sz w:val="18"/>
                <w:szCs w:val="20"/>
                <w:lang w:val="en-GB"/>
              </w:rPr>
              <w:t>nit</w:t>
            </w:r>
          </w:p>
        </w:tc>
        <w:tc>
          <w:tcPr>
            <w:tcW w:w="0" w:type="dxa"/>
          </w:tcPr>
          <w:p w14:paraId="4D865E3A" w14:textId="42588307" w:rsidR="007A67CF" w:rsidRPr="007A67CF" w:rsidRDefault="00393F2B" w:rsidP="00CB3412">
            <w:pPr>
              <w:rPr>
                <w:sz w:val="18"/>
                <w:szCs w:val="20"/>
                <w:lang w:val="en-GB"/>
              </w:rPr>
            </w:pPr>
            <w:r>
              <w:rPr>
                <w:sz w:val="18"/>
                <w:szCs w:val="20"/>
                <w:lang w:val="en-GB"/>
              </w:rPr>
              <w:t>3 years</w:t>
            </w:r>
          </w:p>
        </w:tc>
        <w:tc>
          <w:tcPr>
            <w:tcW w:w="0" w:type="dxa"/>
          </w:tcPr>
          <w:p w14:paraId="10EB68C3" w14:textId="5C3E12A3" w:rsidR="007469F3" w:rsidRDefault="007469F3" w:rsidP="00CB3412">
            <w:pPr>
              <w:rPr>
                <w:sz w:val="18"/>
                <w:szCs w:val="20"/>
                <w:lang w:val="en-GB"/>
              </w:rPr>
            </w:pPr>
            <w:r>
              <w:rPr>
                <w:sz w:val="18"/>
                <w:szCs w:val="18"/>
                <w:lang w:val="en-GB"/>
              </w:rPr>
              <w:t xml:space="preserve">$87.00 for employees and self-employed people. $11.00 for </w:t>
            </w:r>
            <w:r w:rsidR="0072093C">
              <w:rPr>
                <w:sz w:val="18"/>
                <w:szCs w:val="18"/>
                <w:lang w:val="en-GB"/>
              </w:rPr>
              <w:t>volunteers, unpaid people and students on unpaid placement.</w:t>
            </w:r>
            <w:r w:rsidR="0072093C">
              <w:rPr>
                <w:rStyle w:val="FootnoteReference"/>
                <w:sz w:val="18"/>
                <w:szCs w:val="18"/>
                <w:lang w:val="en-GB"/>
              </w:rPr>
              <w:footnoteReference w:id="176"/>
            </w:r>
          </w:p>
        </w:tc>
      </w:tr>
      <w:tr w:rsidR="007A67CF" w14:paraId="0D6B0774" w14:textId="5F5D50A6" w:rsidTr="00C12306">
        <w:trPr>
          <w:trHeight w:val="277"/>
        </w:trPr>
        <w:tc>
          <w:tcPr>
            <w:tcW w:w="0" w:type="dxa"/>
            <w:shd w:val="clear" w:color="auto" w:fill="14233C" w:themeFill="text2"/>
          </w:tcPr>
          <w:p w14:paraId="5795B5A0" w14:textId="4210A331" w:rsidR="007A67CF" w:rsidRPr="009A0C58" w:rsidRDefault="005230F8" w:rsidP="00CB3412">
            <w:pPr>
              <w:rPr>
                <w:color w:val="FFFFFF" w:themeColor="background1"/>
                <w:sz w:val="18"/>
                <w:szCs w:val="20"/>
                <w:lang w:val="en-GB"/>
              </w:rPr>
            </w:pPr>
            <w:r w:rsidRPr="009A0C58">
              <w:rPr>
                <w:color w:val="FFFFFF" w:themeColor="background1"/>
                <w:sz w:val="18"/>
                <w:szCs w:val="20"/>
                <w:lang w:val="en-GB"/>
              </w:rPr>
              <w:lastRenderedPageBreak/>
              <w:t>SA</w:t>
            </w:r>
          </w:p>
        </w:tc>
        <w:tc>
          <w:tcPr>
            <w:tcW w:w="0" w:type="dxa"/>
          </w:tcPr>
          <w:p w14:paraId="2565B0B0" w14:textId="7E6CD38D" w:rsidR="007A67CF" w:rsidRPr="007A67CF" w:rsidRDefault="00756EC8" w:rsidP="00CB3412">
            <w:pPr>
              <w:rPr>
                <w:sz w:val="18"/>
                <w:szCs w:val="20"/>
                <w:lang w:val="en-GB"/>
              </w:rPr>
            </w:pPr>
            <w:r w:rsidRPr="00756EC8">
              <w:rPr>
                <w:sz w:val="18"/>
                <w:szCs w:val="20"/>
                <w:lang w:val="en-GB"/>
              </w:rPr>
              <w:t>Working with Children Check</w:t>
            </w:r>
          </w:p>
        </w:tc>
        <w:tc>
          <w:tcPr>
            <w:tcW w:w="0" w:type="dxa"/>
          </w:tcPr>
          <w:p w14:paraId="4938298D" w14:textId="2335C9B6" w:rsidR="007A67CF" w:rsidRPr="007A67CF" w:rsidRDefault="00850477" w:rsidP="00CB3412">
            <w:pPr>
              <w:rPr>
                <w:sz w:val="18"/>
                <w:szCs w:val="20"/>
                <w:lang w:val="en-GB"/>
              </w:rPr>
            </w:pPr>
            <w:r>
              <w:rPr>
                <w:sz w:val="18"/>
                <w:szCs w:val="20"/>
                <w:lang w:val="en-GB"/>
              </w:rPr>
              <w:t xml:space="preserve">Department of </w:t>
            </w:r>
            <w:r w:rsidR="00C93306">
              <w:rPr>
                <w:sz w:val="18"/>
                <w:szCs w:val="20"/>
                <w:lang w:val="en-GB"/>
              </w:rPr>
              <w:t>Human Services</w:t>
            </w:r>
            <w:r w:rsidR="00FF0B0C">
              <w:rPr>
                <w:sz w:val="18"/>
                <w:szCs w:val="20"/>
                <w:lang w:val="en-GB"/>
              </w:rPr>
              <w:t xml:space="preserve">, </w:t>
            </w:r>
            <w:r>
              <w:rPr>
                <w:sz w:val="18"/>
                <w:szCs w:val="20"/>
                <w:lang w:val="en-GB"/>
              </w:rPr>
              <w:t>SA Screening Unit</w:t>
            </w:r>
          </w:p>
        </w:tc>
        <w:tc>
          <w:tcPr>
            <w:tcW w:w="0" w:type="dxa"/>
          </w:tcPr>
          <w:p w14:paraId="0A9EE95B" w14:textId="1EA9C26F" w:rsidR="007A67CF" w:rsidRPr="007A67CF" w:rsidRDefault="00484285" w:rsidP="00CB3412">
            <w:pPr>
              <w:rPr>
                <w:sz w:val="18"/>
                <w:szCs w:val="20"/>
                <w:lang w:val="en-GB"/>
              </w:rPr>
            </w:pPr>
            <w:r>
              <w:rPr>
                <w:sz w:val="18"/>
                <w:szCs w:val="20"/>
                <w:lang w:val="en-GB"/>
              </w:rPr>
              <w:t>5 years</w:t>
            </w:r>
          </w:p>
        </w:tc>
        <w:tc>
          <w:tcPr>
            <w:tcW w:w="0" w:type="dxa"/>
          </w:tcPr>
          <w:p w14:paraId="4016E0BE" w14:textId="374D9E94" w:rsidR="00E551E0" w:rsidRDefault="00E551E0" w:rsidP="00CB3412">
            <w:pPr>
              <w:rPr>
                <w:sz w:val="18"/>
                <w:szCs w:val="20"/>
                <w:lang w:val="en-GB"/>
              </w:rPr>
            </w:pPr>
            <w:r>
              <w:rPr>
                <w:sz w:val="18"/>
                <w:szCs w:val="18"/>
                <w:lang w:val="en-GB"/>
              </w:rPr>
              <w:t>$</w:t>
            </w:r>
            <w:r w:rsidR="00B95AD7">
              <w:rPr>
                <w:sz w:val="18"/>
                <w:szCs w:val="18"/>
                <w:lang w:val="en-GB"/>
              </w:rPr>
              <w:t>117.00 for employees</w:t>
            </w:r>
            <w:r w:rsidR="003614AE">
              <w:rPr>
                <w:sz w:val="18"/>
                <w:szCs w:val="18"/>
                <w:lang w:val="en-GB"/>
              </w:rPr>
              <w:t>, $</w:t>
            </w:r>
            <w:r w:rsidR="00416E2C">
              <w:rPr>
                <w:sz w:val="18"/>
                <w:szCs w:val="18"/>
                <w:lang w:val="en-GB"/>
              </w:rPr>
              <w:t>64.50 for tertiary students</w:t>
            </w:r>
            <w:r w:rsidR="0089489A">
              <w:rPr>
                <w:sz w:val="18"/>
                <w:szCs w:val="18"/>
                <w:lang w:val="en-GB"/>
              </w:rPr>
              <w:t xml:space="preserve"> and free for volunteers</w:t>
            </w:r>
            <w:r w:rsidR="00D71B4A">
              <w:rPr>
                <w:sz w:val="18"/>
                <w:szCs w:val="18"/>
                <w:lang w:val="en-GB"/>
              </w:rPr>
              <w:t>.</w:t>
            </w:r>
            <w:r w:rsidR="00D71B4A">
              <w:rPr>
                <w:rStyle w:val="FootnoteReference"/>
                <w:sz w:val="18"/>
                <w:szCs w:val="18"/>
                <w:lang w:val="en-GB"/>
              </w:rPr>
              <w:footnoteReference w:id="177"/>
            </w:r>
          </w:p>
        </w:tc>
      </w:tr>
      <w:tr w:rsidR="00402B4F" w14:paraId="42DC3B09" w14:textId="5C067261" w:rsidTr="00C12306">
        <w:trPr>
          <w:trHeight w:val="116"/>
        </w:trPr>
        <w:tc>
          <w:tcPr>
            <w:tcW w:w="0" w:type="dxa"/>
            <w:shd w:val="clear" w:color="auto" w:fill="14233C" w:themeFill="text2"/>
          </w:tcPr>
          <w:p w14:paraId="186F1935" w14:textId="103A8405" w:rsidR="00402B4F" w:rsidRPr="009A0C58" w:rsidRDefault="00402B4F" w:rsidP="00CB3412">
            <w:pPr>
              <w:rPr>
                <w:color w:val="FFFFFF" w:themeColor="background1"/>
                <w:sz w:val="18"/>
                <w:szCs w:val="20"/>
                <w:lang w:val="en-GB"/>
              </w:rPr>
            </w:pPr>
            <w:r w:rsidRPr="009A0C58">
              <w:rPr>
                <w:color w:val="FFFFFF" w:themeColor="background1"/>
                <w:sz w:val="18"/>
                <w:szCs w:val="20"/>
                <w:lang w:val="en-GB"/>
              </w:rPr>
              <w:t>T</w:t>
            </w:r>
            <w:r w:rsidR="009A0C58" w:rsidRPr="009A0C58">
              <w:rPr>
                <w:color w:val="FFFFFF" w:themeColor="background1"/>
                <w:sz w:val="18"/>
                <w:szCs w:val="20"/>
                <w:lang w:val="en-GB"/>
              </w:rPr>
              <w:t>AS</w:t>
            </w:r>
          </w:p>
        </w:tc>
        <w:tc>
          <w:tcPr>
            <w:tcW w:w="0" w:type="dxa"/>
          </w:tcPr>
          <w:p w14:paraId="7926C232" w14:textId="174D7B3E" w:rsidR="00402B4F" w:rsidRPr="00756EC8" w:rsidRDefault="00402B4F" w:rsidP="00402B4F">
            <w:pPr>
              <w:rPr>
                <w:sz w:val="18"/>
                <w:szCs w:val="20"/>
                <w:lang w:val="en-GB"/>
              </w:rPr>
            </w:pPr>
            <w:r w:rsidRPr="00402B4F">
              <w:rPr>
                <w:sz w:val="18"/>
                <w:szCs w:val="20"/>
                <w:lang w:val="en-GB"/>
              </w:rPr>
              <w:t xml:space="preserve">Working with Vulnerable People registration </w:t>
            </w:r>
          </w:p>
        </w:tc>
        <w:tc>
          <w:tcPr>
            <w:tcW w:w="0" w:type="dxa"/>
          </w:tcPr>
          <w:p w14:paraId="5EF4DDFD" w14:textId="405D8A1B" w:rsidR="00402B4F" w:rsidRPr="007A67CF" w:rsidRDefault="008D5BBF" w:rsidP="00CB3412">
            <w:pPr>
              <w:rPr>
                <w:sz w:val="18"/>
                <w:szCs w:val="20"/>
                <w:lang w:val="en-GB"/>
              </w:rPr>
            </w:pPr>
            <w:r>
              <w:rPr>
                <w:sz w:val="18"/>
                <w:szCs w:val="20"/>
                <w:lang w:val="en-GB"/>
              </w:rPr>
              <w:t>Department of Justice</w:t>
            </w:r>
          </w:p>
        </w:tc>
        <w:tc>
          <w:tcPr>
            <w:tcW w:w="0" w:type="dxa"/>
          </w:tcPr>
          <w:p w14:paraId="72F52D6A" w14:textId="24F752E4" w:rsidR="00402B4F" w:rsidRPr="007A67CF" w:rsidRDefault="00484285" w:rsidP="00CB3412">
            <w:pPr>
              <w:rPr>
                <w:sz w:val="18"/>
                <w:szCs w:val="20"/>
                <w:lang w:val="en-GB"/>
              </w:rPr>
            </w:pPr>
            <w:r>
              <w:rPr>
                <w:sz w:val="18"/>
                <w:szCs w:val="20"/>
                <w:lang w:val="en-GB"/>
              </w:rPr>
              <w:t>5 years</w:t>
            </w:r>
          </w:p>
        </w:tc>
        <w:tc>
          <w:tcPr>
            <w:tcW w:w="0" w:type="dxa"/>
          </w:tcPr>
          <w:p w14:paraId="6EF9AC75" w14:textId="780CA87D" w:rsidR="008501F7" w:rsidRDefault="008501F7" w:rsidP="00CB3412">
            <w:pPr>
              <w:rPr>
                <w:sz w:val="18"/>
                <w:szCs w:val="20"/>
                <w:lang w:val="en-GB"/>
              </w:rPr>
            </w:pPr>
            <w:r>
              <w:rPr>
                <w:sz w:val="18"/>
                <w:szCs w:val="18"/>
                <w:lang w:val="en-GB"/>
              </w:rPr>
              <w:t>$13</w:t>
            </w:r>
            <w:r w:rsidR="0088505A">
              <w:rPr>
                <w:sz w:val="18"/>
                <w:szCs w:val="18"/>
                <w:lang w:val="en-GB"/>
              </w:rPr>
              <w:t>3.70</w:t>
            </w:r>
            <w:r>
              <w:rPr>
                <w:sz w:val="18"/>
                <w:szCs w:val="18"/>
                <w:lang w:val="en-GB"/>
              </w:rPr>
              <w:t xml:space="preserve"> for employees and $22.</w:t>
            </w:r>
            <w:r w:rsidR="0088505A">
              <w:rPr>
                <w:sz w:val="18"/>
                <w:szCs w:val="18"/>
                <w:lang w:val="en-GB"/>
              </w:rPr>
              <w:t>92</w:t>
            </w:r>
            <w:r>
              <w:rPr>
                <w:sz w:val="18"/>
                <w:szCs w:val="18"/>
                <w:lang w:val="en-GB"/>
              </w:rPr>
              <w:t xml:space="preserve"> for volunteers.</w:t>
            </w:r>
            <w:r>
              <w:rPr>
                <w:rStyle w:val="FootnoteReference"/>
                <w:sz w:val="18"/>
                <w:szCs w:val="18"/>
                <w:lang w:val="en-GB"/>
              </w:rPr>
              <w:footnoteReference w:id="178"/>
            </w:r>
          </w:p>
        </w:tc>
      </w:tr>
      <w:tr w:rsidR="007A67CF" w14:paraId="11C0FD1D" w14:textId="0A569A99" w:rsidTr="00C12306">
        <w:trPr>
          <w:trHeight w:val="116"/>
        </w:trPr>
        <w:tc>
          <w:tcPr>
            <w:tcW w:w="0" w:type="dxa"/>
            <w:shd w:val="clear" w:color="auto" w:fill="14233C" w:themeFill="text2"/>
          </w:tcPr>
          <w:p w14:paraId="5E0993E1" w14:textId="2CFBD3B4" w:rsidR="007A67CF" w:rsidRPr="009A0C58" w:rsidRDefault="005230F8" w:rsidP="00CB3412">
            <w:pPr>
              <w:rPr>
                <w:color w:val="FFFFFF" w:themeColor="background1"/>
                <w:sz w:val="18"/>
                <w:szCs w:val="20"/>
                <w:lang w:val="en-GB"/>
              </w:rPr>
            </w:pPr>
            <w:r w:rsidRPr="009A0C58">
              <w:rPr>
                <w:color w:val="FFFFFF" w:themeColor="background1"/>
                <w:sz w:val="18"/>
                <w:szCs w:val="20"/>
                <w:lang w:val="en-GB"/>
              </w:rPr>
              <w:t>ACT</w:t>
            </w:r>
          </w:p>
        </w:tc>
        <w:tc>
          <w:tcPr>
            <w:tcW w:w="0" w:type="dxa"/>
          </w:tcPr>
          <w:p w14:paraId="307AF50F" w14:textId="799F3376" w:rsidR="007A67CF" w:rsidRPr="007A67CF" w:rsidRDefault="002A7012" w:rsidP="00CB3412">
            <w:pPr>
              <w:rPr>
                <w:sz w:val="18"/>
                <w:szCs w:val="20"/>
                <w:lang w:val="en-GB"/>
              </w:rPr>
            </w:pPr>
            <w:r w:rsidRPr="00402B4F">
              <w:rPr>
                <w:sz w:val="18"/>
                <w:szCs w:val="20"/>
                <w:lang w:val="en-GB"/>
              </w:rPr>
              <w:t xml:space="preserve">Working with Vulnerable People registration </w:t>
            </w:r>
          </w:p>
        </w:tc>
        <w:tc>
          <w:tcPr>
            <w:tcW w:w="0" w:type="dxa"/>
          </w:tcPr>
          <w:p w14:paraId="7817FD83" w14:textId="6B766131" w:rsidR="007A67CF" w:rsidRPr="007A67CF" w:rsidRDefault="00C93306" w:rsidP="00CB3412">
            <w:pPr>
              <w:rPr>
                <w:sz w:val="18"/>
                <w:szCs w:val="20"/>
                <w:lang w:val="en-GB"/>
              </w:rPr>
            </w:pPr>
            <w:r>
              <w:rPr>
                <w:sz w:val="18"/>
                <w:szCs w:val="20"/>
                <w:lang w:val="en-GB"/>
              </w:rPr>
              <w:t>Access Canberra</w:t>
            </w:r>
          </w:p>
        </w:tc>
        <w:tc>
          <w:tcPr>
            <w:tcW w:w="0" w:type="dxa"/>
          </w:tcPr>
          <w:p w14:paraId="4B658C37" w14:textId="39E58191" w:rsidR="007A67CF" w:rsidRPr="007A67CF" w:rsidRDefault="00484285" w:rsidP="00CB3412">
            <w:pPr>
              <w:rPr>
                <w:sz w:val="18"/>
                <w:szCs w:val="20"/>
                <w:lang w:val="en-GB"/>
              </w:rPr>
            </w:pPr>
            <w:r>
              <w:rPr>
                <w:sz w:val="18"/>
                <w:szCs w:val="20"/>
                <w:lang w:val="en-GB"/>
              </w:rPr>
              <w:t>5 years</w:t>
            </w:r>
          </w:p>
        </w:tc>
        <w:tc>
          <w:tcPr>
            <w:tcW w:w="0" w:type="dxa"/>
          </w:tcPr>
          <w:p w14:paraId="42427013" w14:textId="75902CC8" w:rsidR="007C2836" w:rsidRDefault="007C2836" w:rsidP="00CB3412">
            <w:pPr>
              <w:rPr>
                <w:sz w:val="18"/>
                <w:szCs w:val="20"/>
                <w:lang w:val="en-GB"/>
              </w:rPr>
            </w:pPr>
            <w:r>
              <w:rPr>
                <w:sz w:val="18"/>
                <w:szCs w:val="18"/>
                <w:lang w:val="en-GB"/>
              </w:rPr>
              <w:t>$151.</w:t>
            </w:r>
            <w:r w:rsidR="00075703">
              <w:rPr>
                <w:sz w:val="18"/>
                <w:szCs w:val="18"/>
                <w:lang w:val="en-GB"/>
              </w:rPr>
              <w:t>6</w:t>
            </w:r>
            <w:r>
              <w:rPr>
                <w:sz w:val="18"/>
                <w:szCs w:val="18"/>
                <w:lang w:val="en-GB"/>
              </w:rPr>
              <w:t xml:space="preserve">0 for paid employment purposes and </w:t>
            </w:r>
            <w:r w:rsidR="004139D0">
              <w:rPr>
                <w:sz w:val="18"/>
                <w:szCs w:val="18"/>
                <w:lang w:val="en-GB"/>
              </w:rPr>
              <w:t>free for volunteering purposes.</w:t>
            </w:r>
            <w:r w:rsidR="004139D0">
              <w:rPr>
                <w:rStyle w:val="FootnoteReference"/>
                <w:sz w:val="18"/>
                <w:szCs w:val="18"/>
                <w:lang w:val="en-GB"/>
              </w:rPr>
              <w:footnoteReference w:id="179"/>
            </w:r>
          </w:p>
        </w:tc>
      </w:tr>
      <w:tr w:rsidR="005230F8" w14:paraId="5259A0D2" w14:textId="7B730C72" w:rsidTr="00C12306">
        <w:trPr>
          <w:trHeight w:val="358"/>
        </w:trPr>
        <w:tc>
          <w:tcPr>
            <w:tcW w:w="0" w:type="dxa"/>
            <w:shd w:val="clear" w:color="auto" w:fill="14233C" w:themeFill="text2"/>
          </w:tcPr>
          <w:p w14:paraId="335C5EDB" w14:textId="0ABB227B" w:rsidR="005230F8" w:rsidRPr="009A0C58" w:rsidRDefault="005230F8" w:rsidP="00CB3412">
            <w:pPr>
              <w:rPr>
                <w:color w:val="FFFFFF" w:themeColor="background1"/>
                <w:sz w:val="18"/>
                <w:szCs w:val="20"/>
                <w:lang w:val="en-GB"/>
              </w:rPr>
            </w:pPr>
            <w:r w:rsidRPr="009A0C58">
              <w:rPr>
                <w:color w:val="FFFFFF" w:themeColor="background1"/>
                <w:sz w:val="18"/>
                <w:szCs w:val="20"/>
                <w:lang w:val="en-GB"/>
              </w:rPr>
              <w:t>NT</w:t>
            </w:r>
          </w:p>
        </w:tc>
        <w:tc>
          <w:tcPr>
            <w:tcW w:w="0" w:type="dxa"/>
          </w:tcPr>
          <w:p w14:paraId="79AFCAE0" w14:textId="441C51F0" w:rsidR="005230F8" w:rsidRPr="007A67CF" w:rsidRDefault="00D95262" w:rsidP="00CB3412">
            <w:pPr>
              <w:rPr>
                <w:sz w:val="18"/>
                <w:szCs w:val="20"/>
                <w:lang w:val="en-GB"/>
              </w:rPr>
            </w:pPr>
            <w:r w:rsidRPr="00D95262">
              <w:rPr>
                <w:sz w:val="18"/>
                <w:szCs w:val="20"/>
                <w:lang w:val="en-GB"/>
              </w:rPr>
              <w:t xml:space="preserve">Working with Children Check </w:t>
            </w:r>
            <w:r w:rsidR="00EC0718" w:rsidRPr="00D95262">
              <w:rPr>
                <w:sz w:val="18"/>
                <w:szCs w:val="20"/>
                <w:lang w:val="en-GB"/>
              </w:rPr>
              <w:t>clearance</w:t>
            </w:r>
          </w:p>
        </w:tc>
        <w:tc>
          <w:tcPr>
            <w:tcW w:w="0" w:type="dxa"/>
          </w:tcPr>
          <w:p w14:paraId="6806F2FA" w14:textId="5EDC1824" w:rsidR="005230F8" w:rsidRPr="007A67CF" w:rsidRDefault="00C93306" w:rsidP="00CB3412">
            <w:pPr>
              <w:rPr>
                <w:sz w:val="18"/>
                <w:szCs w:val="20"/>
                <w:lang w:val="en-GB"/>
              </w:rPr>
            </w:pPr>
            <w:r>
              <w:rPr>
                <w:sz w:val="18"/>
                <w:szCs w:val="20"/>
                <w:lang w:val="en-GB"/>
              </w:rPr>
              <w:t xml:space="preserve">Northern Territory </w:t>
            </w:r>
            <w:r w:rsidR="00532272">
              <w:rPr>
                <w:sz w:val="18"/>
                <w:szCs w:val="20"/>
                <w:lang w:val="en-GB"/>
              </w:rPr>
              <w:t xml:space="preserve">Screening Authority </w:t>
            </w:r>
          </w:p>
        </w:tc>
        <w:tc>
          <w:tcPr>
            <w:tcW w:w="0" w:type="dxa"/>
          </w:tcPr>
          <w:p w14:paraId="6DA4478B" w14:textId="4EFA1459" w:rsidR="005230F8" w:rsidRPr="007A67CF" w:rsidRDefault="00484285" w:rsidP="00CB3412">
            <w:pPr>
              <w:rPr>
                <w:sz w:val="18"/>
                <w:szCs w:val="20"/>
                <w:lang w:val="en-GB"/>
              </w:rPr>
            </w:pPr>
            <w:r>
              <w:rPr>
                <w:sz w:val="18"/>
                <w:szCs w:val="20"/>
                <w:lang w:val="en-GB"/>
              </w:rPr>
              <w:t xml:space="preserve">2 years </w:t>
            </w:r>
          </w:p>
        </w:tc>
        <w:tc>
          <w:tcPr>
            <w:tcW w:w="0" w:type="dxa"/>
          </w:tcPr>
          <w:p w14:paraId="3ACD31A5" w14:textId="2AB60D2F" w:rsidR="000516BE" w:rsidRDefault="000516BE" w:rsidP="00CB3412">
            <w:pPr>
              <w:rPr>
                <w:sz w:val="18"/>
                <w:szCs w:val="20"/>
                <w:lang w:val="en-GB"/>
              </w:rPr>
            </w:pPr>
            <w:r>
              <w:rPr>
                <w:sz w:val="18"/>
                <w:szCs w:val="18"/>
                <w:lang w:val="en-GB"/>
              </w:rPr>
              <w:t>$84</w:t>
            </w:r>
            <w:r w:rsidR="00CC1C9D">
              <w:rPr>
                <w:sz w:val="18"/>
                <w:szCs w:val="18"/>
                <w:lang w:val="en-GB"/>
              </w:rPr>
              <w:t xml:space="preserve"> for paid employment (including student placement) and $8 for volunteering purposes.</w:t>
            </w:r>
            <w:r w:rsidR="00CC1C9D">
              <w:rPr>
                <w:rStyle w:val="FootnoteReference"/>
                <w:sz w:val="18"/>
                <w:szCs w:val="18"/>
                <w:lang w:val="en-GB"/>
              </w:rPr>
              <w:footnoteReference w:id="180"/>
            </w:r>
            <w:r w:rsidR="00CC1C9D">
              <w:rPr>
                <w:sz w:val="18"/>
                <w:szCs w:val="18"/>
                <w:lang w:val="en-GB"/>
              </w:rPr>
              <w:t xml:space="preserve"> </w:t>
            </w:r>
          </w:p>
        </w:tc>
      </w:tr>
    </w:tbl>
    <w:p w14:paraId="0500FC3E" w14:textId="2FE76199" w:rsidR="008E17B5" w:rsidRDefault="005230F8" w:rsidP="00636B94">
      <w:pPr>
        <w:pStyle w:val="Source-CSR"/>
      </w:pPr>
      <w:r w:rsidRPr="00636B94">
        <w:t>Source:</w:t>
      </w:r>
      <w:r w:rsidRPr="00636528">
        <w:rPr>
          <w:sz w:val="18"/>
          <w:lang w:val="en-GB"/>
        </w:rPr>
        <w:t xml:space="preserve"> </w:t>
      </w:r>
      <w:r w:rsidR="009B451D" w:rsidRPr="009B451D">
        <w:t xml:space="preserve">Information provided by the </w:t>
      </w:r>
      <w:r w:rsidR="00567D6B">
        <w:t>Department of Education in each jurisdiction</w:t>
      </w:r>
      <w:r w:rsidR="001C3374">
        <w:t xml:space="preserve"> unless otherwise stated. </w:t>
      </w:r>
    </w:p>
    <w:p w14:paraId="59056A25" w14:textId="77777777" w:rsidR="008E17B5" w:rsidRDefault="008E17B5" w:rsidP="009B451D">
      <w:pPr>
        <w:pStyle w:val="FootnoteText"/>
        <w:rPr>
          <w:sz w:val="16"/>
          <w:szCs w:val="16"/>
        </w:rPr>
      </w:pPr>
    </w:p>
    <w:p w14:paraId="66B9C48F" w14:textId="77777777" w:rsidR="008E17B5" w:rsidRDefault="008E17B5" w:rsidP="009B451D">
      <w:pPr>
        <w:pStyle w:val="FootnoteText"/>
        <w:rPr>
          <w:sz w:val="16"/>
          <w:szCs w:val="16"/>
        </w:rPr>
      </w:pPr>
    </w:p>
    <w:p w14:paraId="097F7CC8" w14:textId="77777777" w:rsidR="008E17B5" w:rsidRDefault="008E17B5" w:rsidP="009B451D">
      <w:pPr>
        <w:pStyle w:val="FootnoteText"/>
        <w:rPr>
          <w:sz w:val="16"/>
          <w:szCs w:val="16"/>
        </w:rPr>
      </w:pPr>
    </w:p>
    <w:p w14:paraId="65ADAE4F" w14:textId="77777777" w:rsidR="008E17B5" w:rsidRDefault="008E17B5" w:rsidP="009B451D">
      <w:pPr>
        <w:pStyle w:val="FootnoteText"/>
        <w:rPr>
          <w:sz w:val="16"/>
          <w:szCs w:val="16"/>
        </w:rPr>
      </w:pPr>
    </w:p>
    <w:p w14:paraId="4F0A9600" w14:textId="77777777" w:rsidR="008E17B5" w:rsidRDefault="008E17B5" w:rsidP="009B451D">
      <w:pPr>
        <w:pStyle w:val="FootnoteText"/>
        <w:rPr>
          <w:sz w:val="16"/>
          <w:szCs w:val="16"/>
        </w:rPr>
      </w:pPr>
    </w:p>
    <w:p w14:paraId="6F7E2BED" w14:textId="77777777" w:rsidR="008E17B5" w:rsidRDefault="008E17B5" w:rsidP="009B451D">
      <w:pPr>
        <w:pStyle w:val="FootnoteText"/>
        <w:rPr>
          <w:sz w:val="16"/>
          <w:szCs w:val="16"/>
        </w:rPr>
      </w:pPr>
    </w:p>
    <w:p w14:paraId="6C9CEA6B" w14:textId="77777777" w:rsidR="008E17B5" w:rsidRDefault="008E17B5" w:rsidP="009B451D">
      <w:pPr>
        <w:pStyle w:val="FootnoteText"/>
        <w:rPr>
          <w:sz w:val="16"/>
          <w:szCs w:val="16"/>
        </w:rPr>
      </w:pPr>
    </w:p>
    <w:p w14:paraId="1B411722" w14:textId="77777777" w:rsidR="008E17B5" w:rsidRDefault="008E17B5" w:rsidP="009B451D">
      <w:pPr>
        <w:pStyle w:val="FootnoteText"/>
        <w:rPr>
          <w:sz w:val="16"/>
          <w:szCs w:val="16"/>
        </w:rPr>
      </w:pPr>
    </w:p>
    <w:p w14:paraId="3674A174" w14:textId="77777777" w:rsidR="008E17B5" w:rsidRDefault="008E17B5" w:rsidP="009B451D">
      <w:pPr>
        <w:pStyle w:val="FootnoteText"/>
        <w:rPr>
          <w:sz w:val="16"/>
          <w:szCs w:val="16"/>
        </w:rPr>
      </w:pPr>
    </w:p>
    <w:p w14:paraId="14553069" w14:textId="77777777" w:rsidR="008E17B5" w:rsidRDefault="008E17B5" w:rsidP="009B451D">
      <w:pPr>
        <w:pStyle w:val="FootnoteText"/>
        <w:rPr>
          <w:sz w:val="16"/>
          <w:szCs w:val="16"/>
        </w:rPr>
      </w:pPr>
    </w:p>
    <w:p w14:paraId="58F7E06A" w14:textId="77777777" w:rsidR="008E17B5" w:rsidRDefault="008E17B5" w:rsidP="009B451D">
      <w:pPr>
        <w:pStyle w:val="FootnoteText"/>
        <w:rPr>
          <w:sz w:val="16"/>
          <w:szCs w:val="16"/>
        </w:rPr>
      </w:pPr>
    </w:p>
    <w:p w14:paraId="617E9878" w14:textId="77777777" w:rsidR="008E17B5" w:rsidRPr="003A749F" w:rsidRDefault="008E17B5" w:rsidP="009B451D">
      <w:pPr>
        <w:pStyle w:val="FootnoteText"/>
        <w:rPr>
          <w:sz w:val="16"/>
          <w:szCs w:val="16"/>
        </w:rPr>
      </w:pPr>
    </w:p>
    <w:p w14:paraId="3B9BFE3A" w14:textId="77777777" w:rsidR="005B3CAB" w:rsidRPr="00DE36C9" w:rsidRDefault="005B3CAB" w:rsidP="00AE2131">
      <w:pPr>
        <w:pStyle w:val="FootnoteText"/>
        <w:rPr>
          <w:lang w:val="en-GB"/>
        </w:rPr>
      </w:pPr>
    </w:p>
    <w:p w14:paraId="4C070CAD" w14:textId="041D96FF" w:rsidR="00EB1D2B" w:rsidRPr="005542EA" w:rsidRDefault="00F76729" w:rsidP="00DA7C55">
      <w:pPr>
        <w:pStyle w:val="Heading2"/>
      </w:pPr>
      <w:bookmarkStart w:id="386" w:name="_Toc205884917"/>
      <w:r>
        <w:rPr>
          <w:lang w:val="en-GB"/>
        </w:rPr>
        <w:t>1</w:t>
      </w:r>
      <w:r w:rsidR="002708C0">
        <w:rPr>
          <w:lang w:val="en-GB"/>
        </w:rPr>
        <w:t>2.7</w:t>
      </w:r>
      <w:r>
        <w:rPr>
          <w:lang w:val="en-GB"/>
        </w:rPr>
        <w:t xml:space="preserve"> </w:t>
      </w:r>
      <w:r w:rsidR="00BE7F50">
        <w:rPr>
          <w:lang w:val="en-GB"/>
        </w:rPr>
        <w:t>Summary of relevant WWCC legislation and requirements</w:t>
      </w:r>
      <w:bookmarkEnd w:id="386"/>
      <w:r w:rsidR="00BE7F50">
        <w:rPr>
          <w:lang w:val="en-GB"/>
        </w:rPr>
        <w:t xml:space="preserve"> </w:t>
      </w:r>
    </w:p>
    <w:p w14:paraId="2CA9F9A7" w14:textId="793CE1F6" w:rsidR="00A8507E" w:rsidRPr="00C30522" w:rsidRDefault="00BC277C" w:rsidP="00274773">
      <w:pPr>
        <w:pStyle w:val="CaptionChart"/>
        <w:rPr>
          <w:i/>
        </w:rPr>
      </w:pPr>
      <w:r>
        <w:t xml:space="preserve">Appendix </w:t>
      </w:r>
      <w:r w:rsidR="00A8507E" w:rsidRPr="00E646CC">
        <w:t xml:space="preserve">Table </w:t>
      </w:r>
      <w:r w:rsidR="00274773">
        <w:t>12.7.1</w:t>
      </w:r>
      <w:r w:rsidR="00A8507E" w:rsidRPr="00E646CC">
        <w:t xml:space="preserve">: </w:t>
      </w:r>
      <w:r w:rsidR="00A8507E">
        <w:t xml:space="preserve">Summary of WWCC legislation and key requirements relevant to </w:t>
      </w:r>
      <w:r w:rsidR="00396A59">
        <w:t>education and care</w:t>
      </w:r>
      <w:r w:rsidR="00A8507E">
        <w:t xml:space="preserve"> contexts </w:t>
      </w:r>
    </w:p>
    <w:tbl>
      <w:tblPr>
        <w:tblW w:w="14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8" w:type="dxa"/>
        </w:tblCellMar>
        <w:tblLook w:val="04A0" w:firstRow="1" w:lastRow="0" w:firstColumn="1" w:lastColumn="0" w:noHBand="0" w:noVBand="1"/>
        <w:tblCaption w:val="Appendix Table 12.7.1: Summary of WWCC legislation and key requirements relevant to education and care contexts "/>
        <w:tblDescription w:val="This table provides a summary of WWCC legislation and key requirements relevant to education and care contexts."/>
      </w:tblPr>
      <w:tblGrid>
        <w:gridCol w:w="988"/>
        <w:gridCol w:w="3288"/>
        <w:gridCol w:w="3288"/>
        <w:gridCol w:w="3288"/>
        <w:gridCol w:w="3288"/>
      </w:tblGrid>
      <w:tr w:rsidR="00A8507E" w14:paraId="48B22B58" w14:textId="77777777" w:rsidTr="00C12306">
        <w:trPr>
          <w:tblHeader/>
        </w:trPr>
        <w:tc>
          <w:tcPr>
            <w:tcW w:w="988" w:type="dxa"/>
            <w:shd w:val="clear" w:color="auto" w:fill="14233C" w:themeFill="text2"/>
          </w:tcPr>
          <w:p w14:paraId="0FDB43E7" w14:textId="77777777" w:rsidR="00A8507E" w:rsidRPr="004300CD" w:rsidRDefault="00A8507E"/>
        </w:tc>
        <w:tc>
          <w:tcPr>
            <w:tcW w:w="3288" w:type="dxa"/>
            <w:shd w:val="clear" w:color="auto" w:fill="14233C" w:themeFill="text2"/>
          </w:tcPr>
          <w:p w14:paraId="69C8AC4A" w14:textId="3A8E08A8" w:rsidR="00A8507E" w:rsidRPr="00661F72" w:rsidRDefault="00A8507E">
            <w:pPr>
              <w:rPr>
                <w:sz w:val="18"/>
                <w:szCs w:val="20"/>
              </w:rPr>
            </w:pPr>
            <w:r w:rsidRPr="00661F72">
              <w:rPr>
                <w:sz w:val="18"/>
                <w:szCs w:val="20"/>
              </w:rPr>
              <w:t>Legislation</w:t>
            </w:r>
          </w:p>
        </w:tc>
        <w:tc>
          <w:tcPr>
            <w:tcW w:w="3288" w:type="dxa"/>
            <w:shd w:val="clear" w:color="auto" w:fill="14233C" w:themeFill="text2"/>
          </w:tcPr>
          <w:p w14:paraId="528675A3" w14:textId="00BD96FE" w:rsidR="00A8507E" w:rsidRPr="00661F72" w:rsidRDefault="00A8507E">
            <w:pPr>
              <w:rPr>
                <w:sz w:val="18"/>
                <w:szCs w:val="20"/>
              </w:rPr>
            </w:pPr>
            <w:r w:rsidRPr="00661F72">
              <w:rPr>
                <w:sz w:val="18"/>
                <w:szCs w:val="20"/>
              </w:rPr>
              <w:t>Who requires a WWCC</w:t>
            </w:r>
            <w:r>
              <w:rPr>
                <w:sz w:val="18"/>
                <w:szCs w:val="20"/>
              </w:rPr>
              <w:t xml:space="preserve"> in an </w:t>
            </w:r>
            <w:r w:rsidR="00396A59">
              <w:rPr>
                <w:sz w:val="18"/>
                <w:szCs w:val="20"/>
              </w:rPr>
              <w:t>education and care</w:t>
            </w:r>
            <w:r>
              <w:rPr>
                <w:sz w:val="18"/>
                <w:szCs w:val="20"/>
              </w:rPr>
              <w:t xml:space="preserve"> context?</w:t>
            </w:r>
          </w:p>
        </w:tc>
        <w:tc>
          <w:tcPr>
            <w:tcW w:w="3288" w:type="dxa"/>
            <w:shd w:val="clear" w:color="auto" w:fill="14233C" w:themeFill="text2"/>
          </w:tcPr>
          <w:p w14:paraId="0B5BD77E" w14:textId="77777777" w:rsidR="00A8507E" w:rsidRPr="00661F72" w:rsidRDefault="00A8507E">
            <w:pPr>
              <w:rPr>
                <w:sz w:val="18"/>
                <w:szCs w:val="20"/>
              </w:rPr>
            </w:pPr>
            <w:r w:rsidRPr="00661F72">
              <w:rPr>
                <w:sz w:val="18"/>
                <w:szCs w:val="20"/>
              </w:rPr>
              <w:t>WWCC employment requirements</w:t>
            </w:r>
          </w:p>
        </w:tc>
        <w:tc>
          <w:tcPr>
            <w:tcW w:w="3288" w:type="dxa"/>
            <w:shd w:val="clear" w:color="auto" w:fill="14233C" w:themeFill="text2"/>
          </w:tcPr>
          <w:p w14:paraId="5D66B81D" w14:textId="7DA3E6A1" w:rsidR="00A8507E" w:rsidRPr="00661F72" w:rsidRDefault="007B7379">
            <w:pPr>
              <w:rPr>
                <w:sz w:val="18"/>
                <w:szCs w:val="20"/>
              </w:rPr>
            </w:pPr>
            <w:r>
              <w:rPr>
                <w:sz w:val="18"/>
                <w:szCs w:val="20"/>
              </w:rPr>
              <w:t>Teacher registration/accreditation</w:t>
            </w:r>
            <w:r w:rsidR="00A8507E" w:rsidRPr="00661F72">
              <w:rPr>
                <w:sz w:val="18"/>
                <w:szCs w:val="20"/>
              </w:rPr>
              <w:t xml:space="preserve"> requirements </w:t>
            </w:r>
          </w:p>
        </w:tc>
      </w:tr>
      <w:tr w:rsidR="009A0C58" w14:paraId="6DF311DA" w14:textId="77777777" w:rsidTr="00C12306">
        <w:tc>
          <w:tcPr>
            <w:tcW w:w="988" w:type="dxa"/>
            <w:shd w:val="clear" w:color="auto" w:fill="14233C" w:themeFill="text2"/>
          </w:tcPr>
          <w:p w14:paraId="76359DA4" w14:textId="75EEDFE2" w:rsidR="009A0C58" w:rsidRPr="00661F72" w:rsidRDefault="009A0C58" w:rsidP="009A0C58">
            <w:pPr>
              <w:rPr>
                <w:color w:val="FFFFFF" w:themeColor="background1"/>
                <w:sz w:val="18"/>
                <w:szCs w:val="20"/>
              </w:rPr>
            </w:pPr>
            <w:r w:rsidRPr="009A0C58">
              <w:rPr>
                <w:color w:val="FFFFFF" w:themeColor="background1"/>
                <w:sz w:val="18"/>
                <w:szCs w:val="20"/>
                <w:lang w:val="en-GB"/>
              </w:rPr>
              <w:t>NSW</w:t>
            </w:r>
          </w:p>
        </w:tc>
        <w:tc>
          <w:tcPr>
            <w:tcW w:w="3288" w:type="dxa"/>
          </w:tcPr>
          <w:p w14:paraId="01ED9225" w14:textId="77777777" w:rsidR="009A0C58" w:rsidRDefault="009A0C58" w:rsidP="00EC53AB">
            <w:pPr>
              <w:pStyle w:val="ListParagraph"/>
              <w:numPr>
                <w:ilvl w:val="0"/>
                <w:numId w:val="4"/>
              </w:numPr>
              <w:spacing w:after="40"/>
              <w:ind w:left="170" w:hanging="142"/>
              <w:rPr>
                <w:sz w:val="18"/>
                <w:szCs w:val="18"/>
              </w:rPr>
            </w:pPr>
            <w:r w:rsidRPr="00AE2131">
              <w:rPr>
                <w:i/>
                <w:iCs/>
                <w:sz w:val="18"/>
                <w:szCs w:val="18"/>
              </w:rPr>
              <w:t>Child Protection (Working with Children) Act 2012</w:t>
            </w:r>
            <w:r w:rsidRPr="00522330">
              <w:rPr>
                <w:sz w:val="18"/>
                <w:szCs w:val="18"/>
              </w:rPr>
              <w:t xml:space="preserve"> (NSW) No.51</w:t>
            </w:r>
          </w:p>
          <w:p w14:paraId="120C48C5" w14:textId="77777777" w:rsidR="009A0C58" w:rsidRPr="00522330" w:rsidRDefault="009A0C58" w:rsidP="00EC53AB">
            <w:pPr>
              <w:pStyle w:val="ListParagraph"/>
              <w:numPr>
                <w:ilvl w:val="0"/>
                <w:numId w:val="4"/>
              </w:numPr>
              <w:spacing w:after="40"/>
              <w:ind w:left="170" w:hanging="142"/>
              <w:rPr>
                <w:sz w:val="18"/>
                <w:szCs w:val="18"/>
              </w:rPr>
            </w:pPr>
            <w:r w:rsidRPr="00AE2131">
              <w:rPr>
                <w:i/>
                <w:iCs/>
                <w:sz w:val="18"/>
                <w:szCs w:val="18"/>
              </w:rPr>
              <w:t>Child Protection (Working with Children) Regulation 2013</w:t>
            </w:r>
            <w:r>
              <w:rPr>
                <w:sz w:val="18"/>
                <w:szCs w:val="18"/>
              </w:rPr>
              <w:t xml:space="preserve"> </w:t>
            </w:r>
            <w:r w:rsidRPr="00522330">
              <w:rPr>
                <w:sz w:val="18"/>
                <w:szCs w:val="18"/>
              </w:rPr>
              <w:t>(NSW)</w:t>
            </w:r>
          </w:p>
        </w:tc>
        <w:tc>
          <w:tcPr>
            <w:tcW w:w="3288" w:type="dxa"/>
          </w:tcPr>
          <w:p w14:paraId="7C50714D" w14:textId="77777777" w:rsidR="009A0C58" w:rsidRPr="00DF2F9F" w:rsidRDefault="009A0C58" w:rsidP="009A0C58">
            <w:pPr>
              <w:pStyle w:val="ListParagraph"/>
              <w:spacing w:after="40"/>
              <w:ind w:left="170" w:hanging="142"/>
              <w:rPr>
                <w:b/>
                <w:bCs/>
              </w:rPr>
            </w:pPr>
            <w:r>
              <w:rPr>
                <w:sz w:val="18"/>
                <w:szCs w:val="18"/>
              </w:rPr>
              <w:t>Adults undertaking child-related employment or volunteering require a WWCC.</w:t>
            </w:r>
            <w:r>
              <w:rPr>
                <w:rStyle w:val="FootnoteReference"/>
                <w:sz w:val="18"/>
                <w:szCs w:val="18"/>
              </w:rPr>
              <w:footnoteReference w:id="181"/>
            </w:r>
            <w:r>
              <w:rPr>
                <w:sz w:val="18"/>
                <w:szCs w:val="18"/>
              </w:rPr>
              <w:t xml:space="preserve"> </w:t>
            </w:r>
          </w:p>
          <w:p w14:paraId="35178F9C" w14:textId="77777777" w:rsidR="009A0C58" w:rsidRPr="00E77066" w:rsidRDefault="009A0C58" w:rsidP="009A0C58">
            <w:pPr>
              <w:pStyle w:val="ListParagraph"/>
              <w:spacing w:after="40"/>
              <w:ind w:left="170" w:hanging="142"/>
              <w:rPr>
                <w:sz w:val="18"/>
                <w:szCs w:val="18"/>
              </w:rPr>
            </w:pPr>
            <w:r w:rsidRPr="00E77066">
              <w:rPr>
                <w:sz w:val="18"/>
                <w:szCs w:val="18"/>
              </w:rPr>
              <w:t>Under 18s are exempt and are not required to hold a WWCC.</w:t>
            </w:r>
            <w:r>
              <w:rPr>
                <w:rStyle w:val="FootnoteReference"/>
                <w:sz w:val="18"/>
                <w:szCs w:val="18"/>
              </w:rPr>
              <w:footnoteReference w:id="182"/>
            </w:r>
            <w:r w:rsidRPr="00E77066">
              <w:rPr>
                <w:sz w:val="18"/>
                <w:szCs w:val="18"/>
              </w:rPr>
              <w:t xml:space="preserve"> </w:t>
            </w:r>
          </w:p>
          <w:p w14:paraId="63ED183B" w14:textId="77777777" w:rsidR="009A0C58" w:rsidRPr="00FA4842" w:rsidRDefault="009A0C58" w:rsidP="009A0C58">
            <w:pPr>
              <w:spacing w:after="40"/>
              <w:rPr>
                <w:sz w:val="18"/>
                <w:szCs w:val="18"/>
              </w:rPr>
            </w:pPr>
          </w:p>
          <w:p w14:paraId="19C770FE" w14:textId="77777777" w:rsidR="009A0C58" w:rsidRDefault="009A0C58" w:rsidP="009A0C58">
            <w:pPr>
              <w:rPr>
                <w:b/>
                <w:bCs/>
              </w:rPr>
            </w:pPr>
          </w:p>
        </w:tc>
        <w:tc>
          <w:tcPr>
            <w:tcW w:w="3288" w:type="dxa"/>
          </w:tcPr>
          <w:p w14:paraId="134686C9" w14:textId="04564AE5" w:rsidR="009A0C58" w:rsidRDefault="009A0C58" w:rsidP="009A0C58">
            <w:pPr>
              <w:pStyle w:val="ListParagraph"/>
              <w:spacing w:after="40"/>
              <w:ind w:left="170" w:hanging="142"/>
              <w:rPr>
                <w:sz w:val="18"/>
                <w:szCs w:val="18"/>
              </w:rPr>
            </w:pPr>
            <w:r>
              <w:rPr>
                <w:sz w:val="18"/>
                <w:szCs w:val="18"/>
              </w:rPr>
              <w:t>A person can start working with children once they have an application number for a WWCC. However, some employers may require workers to hold a valid WWCC clearance before they commence paid child-related employment.</w:t>
            </w:r>
            <w:r>
              <w:rPr>
                <w:rStyle w:val="FootnoteReference"/>
                <w:sz w:val="18"/>
                <w:szCs w:val="18"/>
              </w:rPr>
              <w:footnoteReference w:id="183"/>
            </w:r>
            <w:r>
              <w:rPr>
                <w:sz w:val="18"/>
                <w:szCs w:val="18"/>
              </w:rPr>
              <w:t xml:space="preserve"> </w:t>
            </w:r>
          </w:p>
        </w:tc>
        <w:tc>
          <w:tcPr>
            <w:tcW w:w="3288" w:type="dxa"/>
          </w:tcPr>
          <w:p w14:paraId="13AD7D93" w14:textId="77777777" w:rsidR="009A0C58" w:rsidRPr="00DA3D64" w:rsidRDefault="009A0C58" w:rsidP="009A0C58">
            <w:pPr>
              <w:pStyle w:val="ListParagraph"/>
              <w:spacing w:after="40"/>
              <w:ind w:left="170" w:hanging="142"/>
              <w:rPr>
                <w:b/>
                <w:bCs/>
              </w:rPr>
            </w:pPr>
            <w:r>
              <w:rPr>
                <w:sz w:val="18"/>
                <w:szCs w:val="18"/>
              </w:rPr>
              <w:t>A</w:t>
            </w:r>
            <w:r w:rsidRPr="00155B54">
              <w:rPr>
                <w:sz w:val="18"/>
                <w:szCs w:val="18"/>
              </w:rPr>
              <w:t>ll teachers must be NESA- accredited to work in a school or centre-based early childhood service.</w:t>
            </w:r>
            <w:r>
              <w:rPr>
                <w:rStyle w:val="FootnoteReference"/>
                <w:sz w:val="18"/>
                <w:szCs w:val="18"/>
              </w:rPr>
              <w:footnoteReference w:id="184"/>
            </w:r>
          </w:p>
          <w:p w14:paraId="01B73EDB" w14:textId="77777777" w:rsidR="009A0C58" w:rsidRDefault="009A0C58" w:rsidP="009A0C58">
            <w:pPr>
              <w:pStyle w:val="ListParagraph"/>
              <w:spacing w:after="40"/>
              <w:ind w:left="170" w:hanging="142"/>
              <w:rPr>
                <w:b/>
                <w:bCs/>
              </w:rPr>
            </w:pPr>
            <w:r w:rsidRPr="00B12D11">
              <w:rPr>
                <w:sz w:val="18"/>
                <w:szCs w:val="18"/>
              </w:rPr>
              <w:t>A WWCC clearance is a mandatory requirement for teacher accreditation.</w:t>
            </w:r>
            <w:r>
              <w:rPr>
                <w:rStyle w:val="FootnoteReference"/>
                <w:sz w:val="18"/>
                <w:szCs w:val="18"/>
              </w:rPr>
              <w:footnoteReference w:id="185"/>
            </w:r>
            <w:r>
              <w:rPr>
                <w:b/>
                <w:bCs/>
              </w:rPr>
              <w:t xml:space="preserve"> </w:t>
            </w:r>
          </w:p>
        </w:tc>
      </w:tr>
      <w:tr w:rsidR="009A0C58" w14:paraId="306EDE78" w14:textId="77777777" w:rsidTr="00C12306">
        <w:tc>
          <w:tcPr>
            <w:tcW w:w="988" w:type="dxa"/>
            <w:shd w:val="clear" w:color="auto" w:fill="14233C" w:themeFill="text2"/>
          </w:tcPr>
          <w:p w14:paraId="2100BE2D" w14:textId="680FCC8C" w:rsidR="009A0C58" w:rsidRPr="00661F72" w:rsidRDefault="009A0C58" w:rsidP="009A0C58">
            <w:pPr>
              <w:rPr>
                <w:color w:val="FFFFFF" w:themeColor="background1"/>
                <w:sz w:val="18"/>
                <w:szCs w:val="20"/>
              </w:rPr>
            </w:pPr>
            <w:r w:rsidRPr="009A0C58">
              <w:rPr>
                <w:color w:val="FFFFFF" w:themeColor="background1"/>
                <w:sz w:val="18"/>
                <w:szCs w:val="20"/>
                <w:lang w:val="en-GB"/>
              </w:rPr>
              <w:t>VIC</w:t>
            </w:r>
          </w:p>
        </w:tc>
        <w:tc>
          <w:tcPr>
            <w:tcW w:w="3288" w:type="dxa"/>
          </w:tcPr>
          <w:p w14:paraId="348C96FF" w14:textId="1F79652B" w:rsidR="009A0C58" w:rsidRDefault="009A0C58" w:rsidP="00EC53AB">
            <w:pPr>
              <w:pStyle w:val="ListParagraph"/>
              <w:numPr>
                <w:ilvl w:val="0"/>
                <w:numId w:val="4"/>
              </w:numPr>
              <w:spacing w:after="40"/>
              <w:ind w:left="170" w:hanging="142"/>
              <w:rPr>
                <w:sz w:val="18"/>
                <w:szCs w:val="18"/>
              </w:rPr>
            </w:pPr>
            <w:r w:rsidRPr="004B1403">
              <w:rPr>
                <w:sz w:val="18"/>
                <w:szCs w:val="18"/>
              </w:rPr>
              <w:t xml:space="preserve">The </w:t>
            </w:r>
            <w:r w:rsidRPr="00AE2131">
              <w:rPr>
                <w:i/>
                <w:iCs/>
                <w:sz w:val="18"/>
                <w:szCs w:val="18"/>
              </w:rPr>
              <w:t>Worker Screening Act 2020</w:t>
            </w:r>
            <w:r>
              <w:rPr>
                <w:i/>
                <w:iCs/>
                <w:sz w:val="18"/>
                <w:szCs w:val="18"/>
              </w:rPr>
              <w:t xml:space="preserve"> </w:t>
            </w:r>
            <w:r>
              <w:rPr>
                <w:sz w:val="18"/>
                <w:szCs w:val="18"/>
              </w:rPr>
              <w:t>(Vic)</w:t>
            </w:r>
          </w:p>
          <w:p w14:paraId="10897587" w14:textId="54199BA9" w:rsidR="009A0C58" w:rsidRPr="00AE2131" w:rsidRDefault="009A0C58" w:rsidP="00EC53AB">
            <w:pPr>
              <w:pStyle w:val="ListParagraph"/>
              <w:numPr>
                <w:ilvl w:val="0"/>
                <w:numId w:val="4"/>
              </w:numPr>
              <w:spacing w:after="40"/>
              <w:ind w:left="170" w:hanging="142"/>
              <w:rPr>
                <w:i/>
                <w:iCs/>
                <w:sz w:val="18"/>
                <w:szCs w:val="18"/>
              </w:rPr>
            </w:pPr>
            <w:r w:rsidRPr="00AE2131">
              <w:rPr>
                <w:i/>
                <w:iCs/>
                <w:sz w:val="18"/>
                <w:szCs w:val="18"/>
              </w:rPr>
              <w:t>Worker Screening Regulations 2021</w:t>
            </w:r>
            <w:r>
              <w:rPr>
                <w:sz w:val="18"/>
                <w:szCs w:val="18"/>
              </w:rPr>
              <w:t xml:space="preserve"> (Vic)</w:t>
            </w:r>
          </w:p>
        </w:tc>
        <w:tc>
          <w:tcPr>
            <w:tcW w:w="3288" w:type="dxa"/>
          </w:tcPr>
          <w:p w14:paraId="046E7B10" w14:textId="77777777" w:rsidR="009A0C58" w:rsidRPr="002B2D20" w:rsidRDefault="009A0C58" w:rsidP="009A0C58">
            <w:pPr>
              <w:pStyle w:val="ListParagraph"/>
              <w:spacing w:after="40"/>
              <w:ind w:left="170" w:hanging="142"/>
              <w:rPr>
                <w:sz w:val="18"/>
                <w:szCs w:val="18"/>
              </w:rPr>
            </w:pPr>
            <w:r>
              <w:rPr>
                <w:sz w:val="18"/>
                <w:szCs w:val="18"/>
              </w:rPr>
              <w:t>Adults undertaking child-related employment or volunteering require a WWCC.</w:t>
            </w:r>
            <w:r w:rsidRPr="00933E64">
              <w:rPr>
                <w:sz w:val="18"/>
                <w:szCs w:val="18"/>
                <w:vertAlign w:val="superscript"/>
              </w:rPr>
              <w:footnoteReference w:id="186"/>
            </w:r>
            <w:r w:rsidRPr="00933E64">
              <w:rPr>
                <w:sz w:val="18"/>
                <w:szCs w:val="18"/>
                <w:vertAlign w:val="superscript"/>
              </w:rPr>
              <w:t xml:space="preserve"> </w:t>
            </w:r>
          </w:p>
          <w:p w14:paraId="1D73BF13" w14:textId="77777777" w:rsidR="009A0C58" w:rsidRPr="00B752C5" w:rsidRDefault="009A0C58" w:rsidP="009A0C58">
            <w:pPr>
              <w:pStyle w:val="ListParagraph"/>
              <w:spacing w:after="40"/>
              <w:ind w:left="170" w:hanging="142"/>
              <w:rPr>
                <w:sz w:val="18"/>
                <w:szCs w:val="18"/>
              </w:rPr>
            </w:pPr>
            <w:r w:rsidRPr="00E77066">
              <w:rPr>
                <w:sz w:val="18"/>
                <w:szCs w:val="18"/>
              </w:rPr>
              <w:lastRenderedPageBreak/>
              <w:t>Under 18s are exempt and are not required to hold a WWCC.</w:t>
            </w:r>
            <w:r w:rsidRPr="00933E64">
              <w:rPr>
                <w:sz w:val="18"/>
                <w:szCs w:val="18"/>
                <w:vertAlign w:val="superscript"/>
              </w:rPr>
              <w:footnoteReference w:id="187"/>
            </w:r>
          </w:p>
        </w:tc>
        <w:tc>
          <w:tcPr>
            <w:tcW w:w="3288" w:type="dxa"/>
          </w:tcPr>
          <w:p w14:paraId="7C760075" w14:textId="77777777" w:rsidR="009A0C58" w:rsidRDefault="009A0C58" w:rsidP="009A0C58">
            <w:pPr>
              <w:pStyle w:val="ListParagraph"/>
              <w:spacing w:after="40"/>
              <w:ind w:left="170" w:hanging="142"/>
              <w:rPr>
                <w:sz w:val="18"/>
                <w:szCs w:val="18"/>
              </w:rPr>
            </w:pPr>
            <w:r>
              <w:rPr>
                <w:sz w:val="18"/>
                <w:szCs w:val="18"/>
              </w:rPr>
              <w:lastRenderedPageBreak/>
              <w:t xml:space="preserve">Services </w:t>
            </w:r>
            <w:r w:rsidRPr="00D52958">
              <w:rPr>
                <w:sz w:val="18"/>
                <w:szCs w:val="18"/>
              </w:rPr>
              <w:t xml:space="preserve">cannot engage </w:t>
            </w:r>
            <w:r>
              <w:rPr>
                <w:sz w:val="18"/>
                <w:szCs w:val="18"/>
              </w:rPr>
              <w:t>anyone in</w:t>
            </w:r>
            <w:r w:rsidRPr="00D52958">
              <w:rPr>
                <w:sz w:val="18"/>
                <w:szCs w:val="18"/>
              </w:rPr>
              <w:t xml:space="preserve"> child-related work </w:t>
            </w:r>
            <w:r>
              <w:rPr>
                <w:sz w:val="18"/>
                <w:szCs w:val="18"/>
              </w:rPr>
              <w:t>who does not have a valid WWCC or has lodged an application that’s currently being assessed.</w:t>
            </w:r>
            <w:r>
              <w:rPr>
                <w:rStyle w:val="FootnoteReference"/>
                <w:sz w:val="18"/>
                <w:szCs w:val="18"/>
              </w:rPr>
              <w:footnoteReference w:id="188"/>
            </w:r>
          </w:p>
        </w:tc>
        <w:tc>
          <w:tcPr>
            <w:tcW w:w="3288" w:type="dxa"/>
          </w:tcPr>
          <w:p w14:paraId="55FC906C" w14:textId="3B06B4C0" w:rsidR="009A0C58" w:rsidRDefault="009A0C58" w:rsidP="00EC53AB">
            <w:pPr>
              <w:pStyle w:val="ListParagraph"/>
              <w:numPr>
                <w:ilvl w:val="0"/>
                <w:numId w:val="4"/>
              </w:numPr>
              <w:spacing w:after="40"/>
              <w:ind w:left="170" w:hanging="142"/>
              <w:rPr>
                <w:sz w:val="18"/>
                <w:szCs w:val="18"/>
              </w:rPr>
            </w:pPr>
            <w:r>
              <w:rPr>
                <w:sz w:val="18"/>
                <w:szCs w:val="18"/>
              </w:rPr>
              <w:t xml:space="preserve">Early childhood teachers require teacher registration/accreditation prior to working in educational settings. </w:t>
            </w:r>
          </w:p>
          <w:p w14:paraId="553D6C41" w14:textId="77777777" w:rsidR="009A0C58" w:rsidRPr="002B2D20" w:rsidRDefault="009A0C58" w:rsidP="009A0C58">
            <w:pPr>
              <w:pStyle w:val="ListParagraph"/>
              <w:spacing w:after="40"/>
              <w:ind w:left="170" w:hanging="142"/>
              <w:rPr>
                <w:sz w:val="18"/>
                <w:szCs w:val="18"/>
              </w:rPr>
            </w:pPr>
            <w:r>
              <w:rPr>
                <w:sz w:val="18"/>
                <w:szCs w:val="18"/>
              </w:rPr>
              <w:lastRenderedPageBreak/>
              <w:t>All t</w:t>
            </w:r>
            <w:r w:rsidRPr="002B2D20">
              <w:rPr>
                <w:sz w:val="18"/>
                <w:szCs w:val="18"/>
              </w:rPr>
              <w:t xml:space="preserve">eachers registered </w:t>
            </w:r>
            <w:r>
              <w:rPr>
                <w:sz w:val="18"/>
                <w:szCs w:val="18"/>
              </w:rPr>
              <w:t>with the Victorian Institute of Teaching (including early childhood teachers) are exempt from the WWCC if undertaking child-related work in a school or early childhood service.</w:t>
            </w:r>
            <w:r w:rsidRPr="001C3B01">
              <w:rPr>
                <w:sz w:val="18"/>
                <w:szCs w:val="18"/>
                <w:vertAlign w:val="superscript"/>
              </w:rPr>
              <w:footnoteReference w:id="189"/>
            </w:r>
          </w:p>
        </w:tc>
      </w:tr>
      <w:tr w:rsidR="009A0C58" w14:paraId="473C8CF1" w14:textId="77777777" w:rsidTr="00C12306">
        <w:tc>
          <w:tcPr>
            <w:tcW w:w="988" w:type="dxa"/>
            <w:shd w:val="clear" w:color="auto" w:fill="14233C" w:themeFill="text2"/>
          </w:tcPr>
          <w:p w14:paraId="285967CE" w14:textId="412702FB" w:rsidR="009A0C58" w:rsidRPr="00661F72" w:rsidRDefault="009A0C58" w:rsidP="009A0C58">
            <w:pPr>
              <w:rPr>
                <w:color w:val="FFFFFF" w:themeColor="background1"/>
                <w:sz w:val="18"/>
                <w:szCs w:val="20"/>
              </w:rPr>
            </w:pPr>
            <w:r w:rsidRPr="009A0C58">
              <w:rPr>
                <w:color w:val="FFFFFF" w:themeColor="background1"/>
                <w:sz w:val="18"/>
                <w:szCs w:val="20"/>
                <w:lang w:val="en-GB"/>
              </w:rPr>
              <w:lastRenderedPageBreak/>
              <w:t>QLD</w:t>
            </w:r>
          </w:p>
        </w:tc>
        <w:tc>
          <w:tcPr>
            <w:tcW w:w="3288" w:type="dxa"/>
          </w:tcPr>
          <w:p w14:paraId="08F004E2" w14:textId="0DE5EA65" w:rsidR="009A0C58" w:rsidRDefault="009A0C58" w:rsidP="00EC53AB">
            <w:pPr>
              <w:pStyle w:val="ListParagraph"/>
              <w:numPr>
                <w:ilvl w:val="0"/>
                <w:numId w:val="4"/>
              </w:numPr>
              <w:spacing w:after="40"/>
              <w:ind w:left="170" w:hanging="142"/>
              <w:rPr>
                <w:sz w:val="18"/>
                <w:szCs w:val="18"/>
              </w:rPr>
            </w:pPr>
            <w:r w:rsidRPr="00AE2131">
              <w:rPr>
                <w:i/>
                <w:iCs/>
                <w:sz w:val="18"/>
                <w:szCs w:val="18"/>
              </w:rPr>
              <w:t>Working with Children (Risk Management and Screening) Act 2000</w:t>
            </w:r>
            <w:r w:rsidRPr="00183D24">
              <w:rPr>
                <w:sz w:val="18"/>
                <w:szCs w:val="18"/>
              </w:rPr>
              <w:t xml:space="preserve"> </w:t>
            </w:r>
            <w:r>
              <w:rPr>
                <w:sz w:val="18"/>
                <w:szCs w:val="18"/>
              </w:rPr>
              <w:t>(Qld)</w:t>
            </w:r>
          </w:p>
          <w:p w14:paraId="7AF80AAB" w14:textId="0E1C001B" w:rsidR="009A0C58" w:rsidRPr="003F6149" w:rsidRDefault="009A0C58" w:rsidP="00EC53AB">
            <w:pPr>
              <w:pStyle w:val="ListParagraph"/>
              <w:numPr>
                <w:ilvl w:val="0"/>
                <w:numId w:val="4"/>
              </w:numPr>
              <w:spacing w:after="40"/>
              <w:ind w:left="170" w:hanging="142"/>
              <w:rPr>
                <w:sz w:val="18"/>
                <w:szCs w:val="18"/>
              </w:rPr>
            </w:pPr>
            <w:r w:rsidRPr="00AE2131">
              <w:rPr>
                <w:i/>
                <w:iCs/>
                <w:sz w:val="18"/>
                <w:szCs w:val="18"/>
              </w:rPr>
              <w:t>Working with Children (Risk and management and Screening) Regulation 2020</w:t>
            </w:r>
            <w:r>
              <w:rPr>
                <w:sz w:val="18"/>
                <w:szCs w:val="18"/>
              </w:rPr>
              <w:t xml:space="preserve"> (Qld)</w:t>
            </w:r>
          </w:p>
        </w:tc>
        <w:tc>
          <w:tcPr>
            <w:tcW w:w="3288" w:type="dxa"/>
          </w:tcPr>
          <w:p w14:paraId="18BE47A5" w14:textId="0B50FA9A" w:rsidR="009A0C58" w:rsidRPr="00DF2F9F" w:rsidRDefault="009A0C58" w:rsidP="009A0C58">
            <w:pPr>
              <w:pStyle w:val="ListParagraph"/>
              <w:spacing w:after="40"/>
              <w:ind w:left="170" w:hanging="142"/>
              <w:rPr>
                <w:b/>
                <w:bCs/>
              </w:rPr>
            </w:pPr>
            <w:r>
              <w:rPr>
                <w:sz w:val="18"/>
                <w:szCs w:val="18"/>
              </w:rPr>
              <w:t>Adults working or volunteering with children</w:t>
            </w:r>
            <w:r w:rsidRPr="00CE164B">
              <w:rPr>
                <w:sz w:val="18"/>
                <w:szCs w:val="18"/>
              </w:rPr>
              <w:t xml:space="preserve"> require a blue card (</w:t>
            </w:r>
            <w:r>
              <w:rPr>
                <w:sz w:val="18"/>
                <w:szCs w:val="18"/>
              </w:rPr>
              <w:t xml:space="preserve">i.e. a </w:t>
            </w:r>
            <w:r w:rsidRPr="00CE164B">
              <w:rPr>
                <w:sz w:val="18"/>
                <w:szCs w:val="18"/>
              </w:rPr>
              <w:t>WWCC)</w:t>
            </w:r>
            <w:r>
              <w:rPr>
                <w:sz w:val="18"/>
                <w:szCs w:val="18"/>
              </w:rPr>
              <w:t>. Employed persons under 18 years old also require a blue card.</w:t>
            </w:r>
            <w:r>
              <w:rPr>
                <w:rStyle w:val="FootnoteReference"/>
                <w:sz w:val="18"/>
                <w:szCs w:val="18"/>
              </w:rPr>
              <w:footnoteReference w:id="190"/>
            </w:r>
          </w:p>
          <w:p w14:paraId="56CF52CA" w14:textId="38C0C568" w:rsidR="009A0C58" w:rsidRDefault="009A0C58" w:rsidP="009A0C58">
            <w:pPr>
              <w:pStyle w:val="ListParagraph"/>
              <w:spacing w:after="40"/>
              <w:ind w:left="170" w:hanging="142"/>
              <w:rPr>
                <w:b/>
                <w:bCs/>
              </w:rPr>
            </w:pPr>
            <w:r>
              <w:rPr>
                <w:sz w:val="18"/>
                <w:szCs w:val="18"/>
              </w:rPr>
              <w:t>A key exemption includes volunteers who are under 18 and are not restricted persons.</w:t>
            </w:r>
            <w:r>
              <w:rPr>
                <w:rStyle w:val="FootnoteReference"/>
                <w:sz w:val="18"/>
                <w:szCs w:val="18"/>
              </w:rPr>
              <w:footnoteReference w:id="191"/>
            </w:r>
            <w:r>
              <w:rPr>
                <w:sz w:val="18"/>
                <w:szCs w:val="18"/>
              </w:rPr>
              <w:t xml:space="preserve"> </w:t>
            </w:r>
          </w:p>
        </w:tc>
        <w:tc>
          <w:tcPr>
            <w:tcW w:w="3288" w:type="dxa"/>
          </w:tcPr>
          <w:p w14:paraId="6AA80505" w14:textId="77777777" w:rsidR="009A0C58" w:rsidRPr="00460421" w:rsidRDefault="009A0C58" w:rsidP="009A0C58">
            <w:pPr>
              <w:pStyle w:val="ListParagraph"/>
              <w:spacing w:after="40"/>
              <w:ind w:left="170" w:hanging="142"/>
              <w:rPr>
                <w:sz w:val="18"/>
                <w:szCs w:val="18"/>
              </w:rPr>
            </w:pPr>
            <w:r w:rsidRPr="00460421">
              <w:rPr>
                <w:sz w:val="18"/>
                <w:szCs w:val="18"/>
              </w:rPr>
              <w:t>A person must have a blue card before working or volunteering with children.</w:t>
            </w:r>
            <w:r>
              <w:rPr>
                <w:rStyle w:val="FootnoteReference"/>
                <w:sz w:val="18"/>
                <w:szCs w:val="18"/>
              </w:rPr>
              <w:footnoteReference w:id="192"/>
            </w:r>
            <w:r>
              <w:rPr>
                <w:b/>
                <w:bCs/>
              </w:rPr>
              <w:t xml:space="preserve"> </w:t>
            </w:r>
          </w:p>
        </w:tc>
        <w:tc>
          <w:tcPr>
            <w:tcW w:w="3288" w:type="dxa"/>
          </w:tcPr>
          <w:p w14:paraId="4AD57166" w14:textId="10AA3526" w:rsidR="009A0C58" w:rsidRPr="00D267AB" w:rsidRDefault="009A0C58" w:rsidP="009A0C58">
            <w:pPr>
              <w:pStyle w:val="ListParagraph"/>
              <w:spacing w:after="40"/>
              <w:ind w:left="170" w:hanging="142"/>
              <w:rPr>
                <w:b/>
                <w:bCs/>
              </w:rPr>
            </w:pPr>
            <w:r w:rsidRPr="001653A4">
              <w:rPr>
                <w:sz w:val="18"/>
                <w:szCs w:val="18"/>
              </w:rPr>
              <w:t xml:space="preserve">Teacher registration is not compulsory for early childhood </w:t>
            </w:r>
            <w:r w:rsidR="002D5B6A">
              <w:rPr>
                <w:sz w:val="18"/>
                <w:szCs w:val="18"/>
              </w:rPr>
              <w:t>teachers</w:t>
            </w:r>
            <w:r w:rsidR="002D5B6A" w:rsidRPr="001653A4">
              <w:rPr>
                <w:sz w:val="18"/>
                <w:szCs w:val="18"/>
              </w:rPr>
              <w:t xml:space="preserve"> </w:t>
            </w:r>
            <w:r w:rsidRPr="001653A4">
              <w:rPr>
                <w:sz w:val="18"/>
                <w:szCs w:val="18"/>
              </w:rPr>
              <w:t xml:space="preserve">in </w:t>
            </w:r>
            <w:r>
              <w:rPr>
                <w:sz w:val="18"/>
                <w:szCs w:val="18"/>
              </w:rPr>
              <w:t>QLD</w:t>
            </w:r>
            <w:r w:rsidRPr="001653A4">
              <w:rPr>
                <w:sz w:val="18"/>
                <w:szCs w:val="18"/>
              </w:rPr>
              <w:t>.</w:t>
            </w:r>
            <w:r>
              <w:rPr>
                <w:rStyle w:val="FootnoteReference"/>
                <w:sz w:val="18"/>
                <w:szCs w:val="18"/>
              </w:rPr>
              <w:footnoteReference w:id="193"/>
            </w:r>
          </w:p>
          <w:p w14:paraId="796C3510" w14:textId="77777777" w:rsidR="009A0C58" w:rsidRDefault="009A0C58" w:rsidP="009A0C58">
            <w:pPr>
              <w:pStyle w:val="ListParagraph"/>
              <w:spacing w:after="40"/>
              <w:ind w:left="170" w:hanging="142"/>
              <w:rPr>
                <w:b/>
                <w:bCs/>
              </w:rPr>
            </w:pPr>
            <w:r w:rsidRPr="00E50296">
              <w:rPr>
                <w:sz w:val="18"/>
                <w:szCs w:val="18"/>
              </w:rPr>
              <w:t xml:space="preserve">Registered teachers do not require a blue card when teaching in schools. However, registered teachers do need a blue card if providing other child-related </w:t>
            </w:r>
            <w:r w:rsidRPr="00E50296">
              <w:rPr>
                <w:sz w:val="18"/>
                <w:szCs w:val="18"/>
              </w:rPr>
              <w:lastRenderedPageBreak/>
              <w:t>services such as working at an early childcare centre.</w:t>
            </w:r>
            <w:r>
              <w:rPr>
                <w:rStyle w:val="FootnoteReference"/>
                <w:sz w:val="18"/>
                <w:szCs w:val="18"/>
              </w:rPr>
              <w:footnoteReference w:id="194"/>
            </w:r>
            <w:r w:rsidRPr="742E3378">
              <w:rPr>
                <w:b/>
                <w:sz w:val="18"/>
                <w:szCs w:val="18"/>
              </w:rPr>
              <w:t xml:space="preserve"> </w:t>
            </w:r>
          </w:p>
        </w:tc>
      </w:tr>
      <w:tr w:rsidR="009A0C58" w14:paraId="1D1DE008" w14:textId="77777777" w:rsidTr="00C12306">
        <w:tc>
          <w:tcPr>
            <w:tcW w:w="988" w:type="dxa"/>
            <w:shd w:val="clear" w:color="auto" w:fill="14233C" w:themeFill="text2"/>
          </w:tcPr>
          <w:p w14:paraId="78F7C334" w14:textId="6CC59DBC" w:rsidR="009A0C58" w:rsidRPr="00661F72" w:rsidRDefault="009A0C58" w:rsidP="009A0C58">
            <w:pPr>
              <w:rPr>
                <w:color w:val="FFFFFF" w:themeColor="background1"/>
                <w:sz w:val="18"/>
                <w:szCs w:val="20"/>
              </w:rPr>
            </w:pPr>
            <w:r w:rsidRPr="009A0C58">
              <w:rPr>
                <w:color w:val="FFFFFF" w:themeColor="background1"/>
                <w:sz w:val="18"/>
                <w:szCs w:val="20"/>
                <w:lang w:val="en-GB"/>
              </w:rPr>
              <w:lastRenderedPageBreak/>
              <w:t>WA</w:t>
            </w:r>
          </w:p>
        </w:tc>
        <w:tc>
          <w:tcPr>
            <w:tcW w:w="3288" w:type="dxa"/>
          </w:tcPr>
          <w:p w14:paraId="540890EF" w14:textId="77777777" w:rsidR="009A0C58" w:rsidRDefault="009A0C58" w:rsidP="00EC53AB">
            <w:pPr>
              <w:pStyle w:val="ListParagraph"/>
              <w:numPr>
                <w:ilvl w:val="0"/>
                <w:numId w:val="4"/>
              </w:numPr>
              <w:spacing w:after="40"/>
              <w:ind w:left="170" w:hanging="142"/>
              <w:rPr>
                <w:sz w:val="18"/>
                <w:szCs w:val="18"/>
              </w:rPr>
            </w:pPr>
            <w:r w:rsidRPr="00AE2131">
              <w:rPr>
                <w:i/>
                <w:iCs/>
                <w:sz w:val="18"/>
                <w:szCs w:val="18"/>
              </w:rPr>
              <w:t>Working with Children (Criminal Record Checking) Act 2004</w:t>
            </w:r>
            <w:r w:rsidRPr="001E0C10">
              <w:rPr>
                <w:sz w:val="18"/>
                <w:szCs w:val="18"/>
              </w:rPr>
              <w:t xml:space="preserve"> (WA)</w:t>
            </w:r>
          </w:p>
          <w:p w14:paraId="67AD0227" w14:textId="194BBB7B" w:rsidR="009A0C58" w:rsidRDefault="009A0C58" w:rsidP="00EC53AB">
            <w:pPr>
              <w:pStyle w:val="ListParagraph"/>
              <w:numPr>
                <w:ilvl w:val="0"/>
                <w:numId w:val="4"/>
              </w:numPr>
              <w:spacing w:after="40"/>
              <w:ind w:left="170" w:hanging="142"/>
              <w:rPr>
                <w:sz w:val="18"/>
                <w:szCs w:val="18"/>
              </w:rPr>
            </w:pPr>
            <w:r w:rsidRPr="00AE2131">
              <w:rPr>
                <w:i/>
                <w:iCs/>
                <w:sz w:val="18"/>
                <w:szCs w:val="18"/>
              </w:rPr>
              <w:t>Working with Children (Criminal Record Checking) Amendment Regulations 2023</w:t>
            </w:r>
            <w:r w:rsidRPr="0012544E">
              <w:rPr>
                <w:sz w:val="18"/>
                <w:szCs w:val="18"/>
              </w:rPr>
              <w:t xml:space="preserve"> </w:t>
            </w:r>
            <w:r>
              <w:rPr>
                <w:sz w:val="18"/>
                <w:szCs w:val="18"/>
              </w:rPr>
              <w:t>(WA)</w:t>
            </w:r>
          </w:p>
          <w:p w14:paraId="7338907F" w14:textId="6CC124C2" w:rsidR="009A0C58" w:rsidRDefault="009A0C58" w:rsidP="00EC53AB">
            <w:pPr>
              <w:pStyle w:val="ListParagraph"/>
              <w:numPr>
                <w:ilvl w:val="0"/>
                <w:numId w:val="4"/>
              </w:numPr>
              <w:spacing w:after="40"/>
              <w:ind w:left="170" w:hanging="142"/>
              <w:rPr>
                <w:sz w:val="18"/>
                <w:szCs w:val="18"/>
              </w:rPr>
            </w:pPr>
            <w:r w:rsidRPr="00AE2131">
              <w:rPr>
                <w:i/>
                <w:iCs/>
                <w:sz w:val="18"/>
                <w:szCs w:val="18"/>
              </w:rPr>
              <w:t>Working with Children (Screening) Act 2004</w:t>
            </w:r>
            <w:r>
              <w:rPr>
                <w:sz w:val="18"/>
                <w:szCs w:val="18"/>
              </w:rPr>
              <w:t xml:space="preserve"> (WA)</w:t>
            </w:r>
          </w:p>
          <w:p w14:paraId="5C0C3B6A" w14:textId="3B7CE150" w:rsidR="009A0C58" w:rsidRPr="001B7FC3" w:rsidRDefault="009A0C58" w:rsidP="00EC53AB">
            <w:pPr>
              <w:pStyle w:val="ListParagraph"/>
              <w:numPr>
                <w:ilvl w:val="0"/>
                <w:numId w:val="4"/>
              </w:numPr>
              <w:spacing w:after="40"/>
              <w:ind w:left="170" w:hanging="142"/>
              <w:rPr>
                <w:sz w:val="18"/>
                <w:szCs w:val="18"/>
              </w:rPr>
            </w:pPr>
            <w:r w:rsidRPr="00AE2131">
              <w:rPr>
                <w:i/>
                <w:iCs/>
                <w:sz w:val="18"/>
                <w:szCs w:val="18"/>
              </w:rPr>
              <w:t>Working with Children (Screening) Regulations 2005</w:t>
            </w:r>
            <w:r>
              <w:rPr>
                <w:sz w:val="18"/>
                <w:szCs w:val="18"/>
              </w:rPr>
              <w:t xml:space="preserve"> (WA)</w:t>
            </w:r>
          </w:p>
        </w:tc>
        <w:tc>
          <w:tcPr>
            <w:tcW w:w="3288" w:type="dxa"/>
          </w:tcPr>
          <w:p w14:paraId="5C504545" w14:textId="77777777" w:rsidR="009A0C58" w:rsidRPr="00CB222E" w:rsidRDefault="009A0C58" w:rsidP="009A0C58">
            <w:pPr>
              <w:pStyle w:val="ListParagraph"/>
              <w:spacing w:after="40"/>
              <w:ind w:left="170" w:hanging="142"/>
              <w:rPr>
                <w:sz w:val="18"/>
                <w:szCs w:val="18"/>
              </w:rPr>
            </w:pPr>
            <w:r>
              <w:rPr>
                <w:sz w:val="18"/>
                <w:szCs w:val="18"/>
              </w:rPr>
              <w:t>Adults undertaking child-related work on a paid, unpaid or volunteering basis require a WWCC. Employed persons under 18 years old undertaking paid work also require a WWCC.</w:t>
            </w:r>
            <w:r w:rsidRPr="001E700C">
              <w:rPr>
                <w:sz w:val="18"/>
                <w:szCs w:val="18"/>
                <w:vertAlign w:val="superscript"/>
              </w:rPr>
              <w:footnoteReference w:id="195"/>
            </w:r>
          </w:p>
          <w:p w14:paraId="0E7E5A43" w14:textId="77777777" w:rsidR="009A0C58" w:rsidRPr="008F5273" w:rsidRDefault="009A0C58" w:rsidP="009A0C58">
            <w:pPr>
              <w:pStyle w:val="ListParagraph"/>
              <w:spacing w:after="40"/>
              <w:ind w:left="170" w:hanging="142"/>
              <w:rPr>
                <w:sz w:val="18"/>
                <w:szCs w:val="18"/>
              </w:rPr>
            </w:pPr>
            <w:r w:rsidRPr="00CB222E">
              <w:rPr>
                <w:sz w:val="18"/>
                <w:szCs w:val="18"/>
              </w:rPr>
              <w:t>Person</w:t>
            </w:r>
            <w:r>
              <w:rPr>
                <w:sz w:val="18"/>
                <w:szCs w:val="18"/>
              </w:rPr>
              <w:t>s</w:t>
            </w:r>
            <w:r w:rsidRPr="00CB222E">
              <w:rPr>
                <w:sz w:val="18"/>
                <w:szCs w:val="18"/>
              </w:rPr>
              <w:t xml:space="preserve"> under 18 undertaking volunteering </w:t>
            </w:r>
            <w:r>
              <w:rPr>
                <w:sz w:val="18"/>
                <w:szCs w:val="18"/>
              </w:rPr>
              <w:t xml:space="preserve">roles or unpaid student placements </w:t>
            </w:r>
            <w:r w:rsidRPr="00CB222E">
              <w:rPr>
                <w:sz w:val="18"/>
                <w:szCs w:val="18"/>
              </w:rPr>
              <w:t>are exempt from WWCCs.</w:t>
            </w:r>
            <w:r>
              <w:rPr>
                <w:rStyle w:val="FootnoteReference"/>
                <w:sz w:val="18"/>
                <w:szCs w:val="18"/>
              </w:rPr>
              <w:footnoteReference w:id="196"/>
            </w:r>
          </w:p>
        </w:tc>
        <w:tc>
          <w:tcPr>
            <w:tcW w:w="3288" w:type="dxa"/>
          </w:tcPr>
          <w:p w14:paraId="205968ED" w14:textId="1685CE2F" w:rsidR="009A0C58" w:rsidRPr="008E18D1" w:rsidRDefault="009A0C58" w:rsidP="009A0C58">
            <w:pPr>
              <w:pStyle w:val="ListParagraph"/>
              <w:spacing w:after="40"/>
              <w:ind w:left="170" w:hanging="142"/>
              <w:rPr>
                <w:sz w:val="18"/>
                <w:szCs w:val="18"/>
              </w:rPr>
            </w:pPr>
            <w:r w:rsidRPr="008E18D1">
              <w:rPr>
                <w:sz w:val="18"/>
                <w:szCs w:val="18"/>
              </w:rPr>
              <w:t xml:space="preserve">A person can start working with children while their WWCC application is being processed </w:t>
            </w:r>
            <w:r w:rsidR="00012265" w:rsidRPr="00012265">
              <w:rPr>
                <w:sz w:val="18"/>
                <w:szCs w:val="18"/>
              </w:rPr>
              <w:t xml:space="preserve">if they are not otherwise prohibited under the Act (Section 22) </w:t>
            </w:r>
            <w:r w:rsidRPr="008E18D1">
              <w:rPr>
                <w:sz w:val="18"/>
                <w:szCs w:val="18"/>
              </w:rPr>
              <w:t>(</w:t>
            </w:r>
            <w:r>
              <w:rPr>
                <w:sz w:val="18"/>
                <w:szCs w:val="18"/>
              </w:rPr>
              <w:t>noting the Australia Post application receipt is required as proof).</w:t>
            </w:r>
            <w:r>
              <w:rPr>
                <w:rStyle w:val="FootnoteReference"/>
                <w:sz w:val="18"/>
                <w:szCs w:val="18"/>
              </w:rPr>
              <w:footnoteReference w:id="197"/>
            </w:r>
          </w:p>
        </w:tc>
        <w:tc>
          <w:tcPr>
            <w:tcW w:w="3288" w:type="dxa"/>
          </w:tcPr>
          <w:p w14:paraId="211B027F" w14:textId="77777777" w:rsidR="009A0C58" w:rsidRPr="00F56385" w:rsidRDefault="009A0C58" w:rsidP="009A0C58">
            <w:pPr>
              <w:pStyle w:val="ListParagraph"/>
              <w:spacing w:after="40"/>
              <w:ind w:left="170" w:hanging="142"/>
              <w:rPr>
                <w:b/>
                <w:bCs/>
              </w:rPr>
            </w:pPr>
            <w:r w:rsidRPr="00D572A0">
              <w:rPr>
                <w:sz w:val="18"/>
                <w:szCs w:val="18"/>
              </w:rPr>
              <w:t xml:space="preserve">Early </w:t>
            </w:r>
            <w:r>
              <w:rPr>
                <w:sz w:val="18"/>
                <w:szCs w:val="18"/>
              </w:rPr>
              <w:t>c</w:t>
            </w:r>
            <w:r w:rsidRPr="00D572A0">
              <w:rPr>
                <w:sz w:val="18"/>
                <w:szCs w:val="18"/>
              </w:rPr>
              <w:t>hildhood teachers are required to be registered with the Teacher Registration Board of WA.</w:t>
            </w:r>
            <w:r>
              <w:rPr>
                <w:rStyle w:val="FootnoteReference"/>
                <w:sz w:val="18"/>
                <w:szCs w:val="18"/>
              </w:rPr>
              <w:footnoteReference w:id="198"/>
            </w:r>
          </w:p>
          <w:p w14:paraId="243B9708" w14:textId="77777777" w:rsidR="009A0C58" w:rsidRPr="00F56385" w:rsidRDefault="009A0C58" w:rsidP="009A0C58">
            <w:pPr>
              <w:pStyle w:val="ListParagraph"/>
              <w:spacing w:after="40"/>
              <w:ind w:left="170" w:hanging="142"/>
            </w:pPr>
            <w:r w:rsidRPr="00F56385">
              <w:rPr>
                <w:sz w:val="18"/>
                <w:szCs w:val="18"/>
              </w:rPr>
              <w:t xml:space="preserve">Registered teachers require a </w:t>
            </w:r>
            <w:r>
              <w:rPr>
                <w:sz w:val="18"/>
                <w:szCs w:val="18"/>
              </w:rPr>
              <w:t xml:space="preserve">current </w:t>
            </w:r>
            <w:r w:rsidRPr="00F56385">
              <w:rPr>
                <w:sz w:val="18"/>
                <w:szCs w:val="18"/>
              </w:rPr>
              <w:t>WWCC.</w:t>
            </w:r>
            <w:r>
              <w:rPr>
                <w:rStyle w:val="FootnoteReference"/>
                <w:sz w:val="18"/>
                <w:szCs w:val="18"/>
              </w:rPr>
              <w:footnoteReference w:id="199"/>
            </w:r>
            <w:r w:rsidRPr="00F56385">
              <w:rPr>
                <w:sz w:val="18"/>
                <w:szCs w:val="18"/>
              </w:rPr>
              <w:t xml:space="preserve"> </w:t>
            </w:r>
          </w:p>
        </w:tc>
      </w:tr>
      <w:tr w:rsidR="009A0C58" w14:paraId="43C89C67" w14:textId="77777777" w:rsidTr="00C12306">
        <w:tc>
          <w:tcPr>
            <w:tcW w:w="988" w:type="dxa"/>
            <w:shd w:val="clear" w:color="auto" w:fill="14233C" w:themeFill="text2"/>
          </w:tcPr>
          <w:p w14:paraId="1E284962" w14:textId="74413892" w:rsidR="009A0C58" w:rsidRPr="00661F72" w:rsidRDefault="009A0C58" w:rsidP="009A0C58">
            <w:pPr>
              <w:rPr>
                <w:color w:val="FFFFFF" w:themeColor="background1"/>
                <w:sz w:val="18"/>
                <w:szCs w:val="20"/>
              </w:rPr>
            </w:pPr>
            <w:r w:rsidRPr="009A0C58">
              <w:rPr>
                <w:color w:val="FFFFFF" w:themeColor="background1"/>
                <w:sz w:val="18"/>
                <w:szCs w:val="20"/>
                <w:lang w:val="en-GB"/>
              </w:rPr>
              <w:t>SA</w:t>
            </w:r>
          </w:p>
        </w:tc>
        <w:tc>
          <w:tcPr>
            <w:tcW w:w="3288" w:type="dxa"/>
          </w:tcPr>
          <w:p w14:paraId="0A93EA1B" w14:textId="7C6E7917" w:rsidR="009A0C58" w:rsidRDefault="009A0C58" w:rsidP="00EC53AB">
            <w:pPr>
              <w:pStyle w:val="ListParagraph"/>
              <w:numPr>
                <w:ilvl w:val="0"/>
                <w:numId w:val="4"/>
              </w:numPr>
              <w:spacing w:after="40"/>
              <w:ind w:left="170" w:hanging="142"/>
              <w:rPr>
                <w:sz w:val="18"/>
                <w:szCs w:val="18"/>
              </w:rPr>
            </w:pPr>
            <w:r w:rsidRPr="00AE2131">
              <w:rPr>
                <w:i/>
                <w:iCs/>
                <w:sz w:val="18"/>
                <w:szCs w:val="18"/>
              </w:rPr>
              <w:t>Child Safety (Prohibited Persons) Act 2016</w:t>
            </w:r>
            <w:r>
              <w:rPr>
                <w:sz w:val="18"/>
                <w:szCs w:val="18"/>
              </w:rPr>
              <w:t xml:space="preserve"> (SA)</w:t>
            </w:r>
          </w:p>
          <w:p w14:paraId="6788B572" w14:textId="77777777" w:rsidR="009A0C58" w:rsidRDefault="009A0C58" w:rsidP="00EC53AB">
            <w:pPr>
              <w:pStyle w:val="ListParagraph"/>
              <w:numPr>
                <w:ilvl w:val="0"/>
                <w:numId w:val="4"/>
              </w:numPr>
              <w:spacing w:after="40"/>
              <w:ind w:left="170" w:hanging="142"/>
              <w:rPr>
                <w:sz w:val="18"/>
                <w:szCs w:val="18"/>
              </w:rPr>
            </w:pPr>
            <w:r w:rsidRPr="00AE2131">
              <w:rPr>
                <w:i/>
                <w:iCs/>
                <w:sz w:val="18"/>
                <w:szCs w:val="18"/>
              </w:rPr>
              <w:t xml:space="preserve">Children’s Protection Law Reform (Transitional Arrangements and </w:t>
            </w:r>
            <w:r w:rsidRPr="00AE2131">
              <w:rPr>
                <w:i/>
                <w:iCs/>
                <w:sz w:val="18"/>
                <w:szCs w:val="18"/>
              </w:rPr>
              <w:lastRenderedPageBreak/>
              <w:t>Related Amendments) Act 2017</w:t>
            </w:r>
            <w:r w:rsidRPr="003D5482">
              <w:rPr>
                <w:sz w:val="18"/>
                <w:szCs w:val="18"/>
              </w:rPr>
              <w:t xml:space="preserve"> (SA)</w:t>
            </w:r>
          </w:p>
          <w:p w14:paraId="02A5B3A1" w14:textId="77777777" w:rsidR="009A0C58" w:rsidRPr="002D2F08" w:rsidRDefault="009A0C58" w:rsidP="00EC53AB">
            <w:pPr>
              <w:pStyle w:val="ListParagraph"/>
              <w:numPr>
                <w:ilvl w:val="0"/>
                <w:numId w:val="4"/>
              </w:numPr>
              <w:spacing w:after="40"/>
              <w:ind w:left="170" w:hanging="142"/>
              <w:rPr>
                <w:sz w:val="18"/>
                <w:szCs w:val="18"/>
              </w:rPr>
            </w:pPr>
            <w:r w:rsidRPr="00AE2131">
              <w:rPr>
                <w:i/>
                <w:iCs/>
                <w:sz w:val="18"/>
                <w:szCs w:val="18"/>
              </w:rPr>
              <w:t>Child Safety (Prohibited Persons Regulations 2019</w:t>
            </w:r>
            <w:r w:rsidRPr="002D2F08">
              <w:rPr>
                <w:sz w:val="18"/>
                <w:szCs w:val="18"/>
              </w:rPr>
              <w:t xml:space="preserve"> (SA)</w:t>
            </w:r>
          </w:p>
        </w:tc>
        <w:tc>
          <w:tcPr>
            <w:tcW w:w="3288" w:type="dxa"/>
          </w:tcPr>
          <w:p w14:paraId="29E8D978" w14:textId="4A639BE5" w:rsidR="009A0C58" w:rsidRPr="00132C1F" w:rsidRDefault="009A0C58" w:rsidP="009A0C58">
            <w:pPr>
              <w:pStyle w:val="ListParagraph"/>
              <w:spacing w:after="40"/>
              <w:ind w:left="170" w:hanging="142"/>
              <w:rPr>
                <w:sz w:val="18"/>
                <w:szCs w:val="18"/>
              </w:rPr>
            </w:pPr>
            <w:r w:rsidRPr="00296718">
              <w:rPr>
                <w:sz w:val="18"/>
                <w:szCs w:val="18"/>
              </w:rPr>
              <w:lastRenderedPageBreak/>
              <w:t>Person</w:t>
            </w:r>
            <w:r>
              <w:rPr>
                <w:sz w:val="18"/>
                <w:szCs w:val="18"/>
              </w:rPr>
              <w:t>s</w:t>
            </w:r>
            <w:r w:rsidRPr="00296718">
              <w:rPr>
                <w:sz w:val="18"/>
                <w:szCs w:val="18"/>
              </w:rPr>
              <w:t xml:space="preserve"> require a</w:t>
            </w:r>
            <w:r w:rsidRPr="00132C1F">
              <w:rPr>
                <w:sz w:val="18"/>
                <w:szCs w:val="18"/>
              </w:rPr>
              <w:t xml:space="preserve"> WWCC if they are </w:t>
            </w:r>
            <w:r>
              <w:rPr>
                <w:sz w:val="18"/>
                <w:szCs w:val="18"/>
              </w:rPr>
              <w:t xml:space="preserve">over </w:t>
            </w:r>
            <w:r w:rsidRPr="00132C1F">
              <w:rPr>
                <w:sz w:val="18"/>
                <w:szCs w:val="18"/>
              </w:rPr>
              <w:t>14 years and undertake child-related work</w:t>
            </w:r>
            <w:r>
              <w:rPr>
                <w:sz w:val="18"/>
                <w:szCs w:val="18"/>
              </w:rPr>
              <w:t xml:space="preserve"> as a volunteer or employee for more than seven days </w:t>
            </w:r>
            <w:r>
              <w:rPr>
                <w:sz w:val="18"/>
                <w:szCs w:val="18"/>
              </w:rPr>
              <w:lastRenderedPageBreak/>
              <w:t>per year, or any work that involves an overnight stay or close contact with a child with disability.</w:t>
            </w:r>
            <w:r>
              <w:rPr>
                <w:rStyle w:val="FootnoteReference"/>
                <w:sz w:val="18"/>
                <w:szCs w:val="18"/>
              </w:rPr>
              <w:footnoteReference w:id="200"/>
            </w:r>
            <w:r>
              <w:rPr>
                <w:sz w:val="18"/>
                <w:szCs w:val="18"/>
              </w:rPr>
              <w:t xml:space="preserve"> </w:t>
            </w:r>
          </w:p>
        </w:tc>
        <w:tc>
          <w:tcPr>
            <w:tcW w:w="3288" w:type="dxa"/>
          </w:tcPr>
          <w:p w14:paraId="64EB89FD" w14:textId="77777777" w:rsidR="009A0C58" w:rsidRPr="00460421" w:rsidRDefault="009A0C58" w:rsidP="009A0C58">
            <w:pPr>
              <w:pStyle w:val="ListParagraph"/>
              <w:spacing w:after="40"/>
              <w:ind w:left="170" w:hanging="142"/>
              <w:rPr>
                <w:sz w:val="18"/>
                <w:szCs w:val="18"/>
              </w:rPr>
            </w:pPr>
            <w:r w:rsidRPr="00460421">
              <w:rPr>
                <w:sz w:val="18"/>
                <w:szCs w:val="18"/>
              </w:rPr>
              <w:lastRenderedPageBreak/>
              <w:t xml:space="preserve">A person must have </w:t>
            </w:r>
            <w:r>
              <w:rPr>
                <w:sz w:val="18"/>
                <w:szCs w:val="18"/>
              </w:rPr>
              <w:t>a valid WWCC</w:t>
            </w:r>
            <w:r w:rsidRPr="00460421">
              <w:rPr>
                <w:sz w:val="18"/>
                <w:szCs w:val="18"/>
              </w:rPr>
              <w:t xml:space="preserve"> before working or volunteering with children</w:t>
            </w:r>
            <w:r>
              <w:rPr>
                <w:sz w:val="18"/>
                <w:szCs w:val="18"/>
              </w:rPr>
              <w:t>.</w:t>
            </w:r>
            <w:r>
              <w:rPr>
                <w:rStyle w:val="FootnoteReference"/>
                <w:sz w:val="18"/>
                <w:szCs w:val="18"/>
              </w:rPr>
              <w:footnoteReference w:id="201"/>
            </w:r>
          </w:p>
        </w:tc>
        <w:tc>
          <w:tcPr>
            <w:tcW w:w="3288" w:type="dxa"/>
          </w:tcPr>
          <w:p w14:paraId="3B19A4FF" w14:textId="77777777" w:rsidR="009A0C58" w:rsidRPr="00520BE6" w:rsidRDefault="009A0C58" w:rsidP="009A0C58">
            <w:pPr>
              <w:pStyle w:val="ListParagraph"/>
              <w:spacing w:after="40"/>
              <w:ind w:left="170" w:hanging="142"/>
              <w:rPr>
                <w:b/>
                <w:bCs/>
              </w:rPr>
            </w:pPr>
            <w:r w:rsidRPr="000A2786">
              <w:rPr>
                <w:sz w:val="18"/>
                <w:szCs w:val="18"/>
              </w:rPr>
              <w:t xml:space="preserve">Early childhood teachers must be registered as a teacher with the </w:t>
            </w:r>
            <w:r w:rsidRPr="000A2786">
              <w:rPr>
                <w:sz w:val="18"/>
                <w:szCs w:val="18"/>
              </w:rPr>
              <w:lastRenderedPageBreak/>
              <w:t>Teachers Registration Board of SA.</w:t>
            </w:r>
            <w:r>
              <w:rPr>
                <w:rStyle w:val="FootnoteReference"/>
                <w:sz w:val="18"/>
                <w:szCs w:val="18"/>
              </w:rPr>
              <w:footnoteReference w:id="202"/>
            </w:r>
          </w:p>
          <w:p w14:paraId="61DBAEAA" w14:textId="77777777" w:rsidR="009A0C58" w:rsidRPr="00E00AC5" w:rsidRDefault="009A0C58" w:rsidP="009A0C58">
            <w:pPr>
              <w:pStyle w:val="ListParagraph"/>
              <w:spacing w:after="40"/>
              <w:ind w:left="170" w:hanging="142"/>
            </w:pPr>
            <w:r w:rsidRPr="00E00AC5">
              <w:rPr>
                <w:sz w:val="18"/>
                <w:szCs w:val="18"/>
              </w:rPr>
              <w:t>Registered teachers require a current WWCC.</w:t>
            </w:r>
            <w:r>
              <w:rPr>
                <w:rStyle w:val="FootnoteReference"/>
                <w:sz w:val="18"/>
                <w:szCs w:val="18"/>
              </w:rPr>
              <w:footnoteReference w:id="203"/>
            </w:r>
          </w:p>
        </w:tc>
      </w:tr>
      <w:tr w:rsidR="009A0C58" w14:paraId="013313FE" w14:textId="77777777" w:rsidTr="00C12306">
        <w:tc>
          <w:tcPr>
            <w:tcW w:w="988" w:type="dxa"/>
            <w:shd w:val="clear" w:color="auto" w:fill="14233C" w:themeFill="text2"/>
          </w:tcPr>
          <w:p w14:paraId="022503CC" w14:textId="05241BE0" w:rsidR="009A0C58" w:rsidRPr="00661F72" w:rsidRDefault="009A0C58" w:rsidP="009A0C58">
            <w:pPr>
              <w:rPr>
                <w:color w:val="FFFFFF" w:themeColor="background1"/>
                <w:sz w:val="18"/>
                <w:szCs w:val="20"/>
              </w:rPr>
            </w:pPr>
            <w:r w:rsidRPr="009A0C58">
              <w:rPr>
                <w:color w:val="FFFFFF" w:themeColor="background1"/>
                <w:sz w:val="18"/>
                <w:szCs w:val="20"/>
                <w:lang w:val="en-GB"/>
              </w:rPr>
              <w:lastRenderedPageBreak/>
              <w:t>TAS</w:t>
            </w:r>
          </w:p>
        </w:tc>
        <w:tc>
          <w:tcPr>
            <w:tcW w:w="3288" w:type="dxa"/>
          </w:tcPr>
          <w:p w14:paraId="610F5D8F" w14:textId="77777777" w:rsidR="009A0C58" w:rsidRDefault="009A0C58" w:rsidP="00EC53AB">
            <w:pPr>
              <w:pStyle w:val="ListParagraph"/>
              <w:numPr>
                <w:ilvl w:val="0"/>
                <w:numId w:val="4"/>
              </w:numPr>
              <w:spacing w:after="40"/>
              <w:ind w:left="170" w:hanging="142"/>
              <w:rPr>
                <w:sz w:val="18"/>
                <w:szCs w:val="18"/>
              </w:rPr>
            </w:pPr>
            <w:r w:rsidRPr="00AE2131">
              <w:rPr>
                <w:i/>
                <w:iCs/>
                <w:sz w:val="18"/>
                <w:szCs w:val="18"/>
              </w:rPr>
              <w:t>Registration to Work with Vulnerable People Act 2013</w:t>
            </w:r>
            <w:r>
              <w:rPr>
                <w:sz w:val="18"/>
                <w:szCs w:val="18"/>
              </w:rPr>
              <w:t xml:space="preserve"> </w:t>
            </w:r>
            <w:r w:rsidRPr="00C364A1">
              <w:rPr>
                <w:sz w:val="18"/>
                <w:szCs w:val="18"/>
              </w:rPr>
              <w:t>(Tas)</w:t>
            </w:r>
          </w:p>
          <w:p w14:paraId="2585167D" w14:textId="056E3392" w:rsidR="009A0C58" w:rsidRDefault="009A0C58" w:rsidP="00EC53AB">
            <w:pPr>
              <w:pStyle w:val="ListParagraph"/>
              <w:numPr>
                <w:ilvl w:val="0"/>
                <w:numId w:val="4"/>
              </w:numPr>
              <w:spacing w:after="40"/>
              <w:ind w:left="170" w:hanging="142"/>
              <w:rPr>
                <w:sz w:val="18"/>
                <w:szCs w:val="18"/>
              </w:rPr>
            </w:pPr>
            <w:r w:rsidRPr="00AE2131">
              <w:rPr>
                <w:i/>
                <w:iCs/>
                <w:sz w:val="18"/>
                <w:szCs w:val="18"/>
              </w:rPr>
              <w:t>Registration to work with Vulnerable People Regulations 2014</w:t>
            </w:r>
            <w:r>
              <w:rPr>
                <w:sz w:val="18"/>
                <w:szCs w:val="18"/>
              </w:rPr>
              <w:t xml:space="preserve"> (Tas)</w:t>
            </w:r>
          </w:p>
          <w:p w14:paraId="7DBC743A" w14:textId="49177C71" w:rsidR="009A0C58" w:rsidRPr="00737404" w:rsidRDefault="009A0C58" w:rsidP="00EC53AB">
            <w:pPr>
              <w:pStyle w:val="ListParagraph"/>
              <w:numPr>
                <w:ilvl w:val="0"/>
                <w:numId w:val="4"/>
              </w:numPr>
              <w:spacing w:after="40"/>
              <w:ind w:left="170" w:hanging="142"/>
              <w:rPr>
                <w:sz w:val="18"/>
                <w:szCs w:val="18"/>
              </w:rPr>
            </w:pPr>
            <w:r w:rsidRPr="00AE2131">
              <w:rPr>
                <w:i/>
                <w:iCs/>
                <w:sz w:val="18"/>
                <w:szCs w:val="18"/>
              </w:rPr>
              <w:t>Registration to Work with Vulnerable People (Risk Assessment for Child-Related Activities) Order 2014</w:t>
            </w:r>
            <w:r>
              <w:rPr>
                <w:sz w:val="18"/>
                <w:szCs w:val="18"/>
              </w:rPr>
              <w:t xml:space="preserve"> (Tas)</w:t>
            </w:r>
          </w:p>
        </w:tc>
        <w:tc>
          <w:tcPr>
            <w:tcW w:w="3288" w:type="dxa"/>
          </w:tcPr>
          <w:p w14:paraId="41C3C577" w14:textId="77777777" w:rsidR="009A0C58" w:rsidRPr="008F6B6B" w:rsidRDefault="009A0C58" w:rsidP="009A0C58">
            <w:pPr>
              <w:pStyle w:val="ListParagraph"/>
              <w:spacing w:after="40"/>
              <w:ind w:left="170" w:hanging="142"/>
              <w:rPr>
                <w:sz w:val="18"/>
                <w:szCs w:val="18"/>
              </w:rPr>
            </w:pPr>
            <w:r w:rsidRPr="008F6B6B">
              <w:rPr>
                <w:sz w:val="18"/>
                <w:szCs w:val="18"/>
              </w:rPr>
              <w:t>Persons over 16 years old who work or volunteer with children require a Working with Vulnerable People (WWVP)</w:t>
            </w:r>
            <w:r>
              <w:rPr>
                <w:sz w:val="18"/>
                <w:szCs w:val="18"/>
              </w:rPr>
              <w:t xml:space="preserve"> registration.</w:t>
            </w:r>
            <w:r>
              <w:rPr>
                <w:rStyle w:val="FootnoteReference"/>
                <w:sz w:val="18"/>
                <w:szCs w:val="18"/>
              </w:rPr>
              <w:footnoteReference w:id="204"/>
            </w:r>
          </w:p>
        </w:tc>
        <w:tc>
          <w:tcPr>
            <w:tcW w:w="3288" w:type="dxa"/>
          </w:tcPr>
          <w:p w14:paraId="0E7B2B65" w14:textId="59B06CF2" w:rsidR="009A0C58" w:rsidRPr="00325085" w:rsidRDefault="009A0C58" w:rsidP="009A0C58">
            <w:pPr>
              <w:pStyle w:val="ListParagraph"/>
              <w:spacing w:after="40"/>
              <w:ind w:left="170" w:hanging="142"/>
              <w:rPr>
                <w:sz w:val="18"/>
                <w:szCs w:val="18"/>
              </w:rPr>
            </w:pPr>
            <w:r w:rsidRPr="00A30A2F">
              <w:rPr>
                <w:sz w:val="18"/>
                <w:szCs w:val="18"/>
              </w:rPr>
              <w:t>Persons can begin work once they have applied for a WWVP registration if they meet certain obligations. However, in the Education and Care sector</w:t>
            </w:r>
            <w:r>
              <w:rPr>
                <w:sz w:val="18"/>
                <w:szCs w:val="18"/>
              </w:rPr>
              <w:t xml:space="preserve"> (unrelated to WWVP legislation)</w:t>
            </w:r>
            <w:r w:rsidRPr="00325085">
              <w:rPr>
                <w:sz w:val="18"/>
                <w:szCs w:val="18"/>
              </w:rPr>
              <w:t>, staf</w:t>
            </w:r>
            <w:r>
              <w:rPr>
                <w:sz w:val="18"/>
                <w:szCs w:val="18"/>
              </w:rPr>
              <w:t>f,</w:t>
            </w:r>
            <w:r w:rsidRPr="00325085">
              <w:rPr>
                <w:sz w:val="18"/>
                <w:szCs w:val="18"/>
              </w:rPr>
              <w:t xml:space="preserve"> students and volunteers must hold a registration before they can engage in child-related work</w:t>
            </w:r>
            <w:r>
              <w:rPr>
                <w:sz w:val="18"/>
                <w:szCs w:val="18"/>
              </w:rPr>
              <w:t xml:space="preserve"> (regulation 344)</w:t>
            </w:r>
            <w:r w:rsidRPr="00325085">
              <w:rPr>
                <w:sz w:val="18"/>
                <w:szCs w:val="18"/>
              </w:rPr>
              <w:t>.</w:t>
            </w:r>
            <w:r>
              <w:rPr>
                <w:rStyle w:val="FootnoteReference"/>
                <w:sz w:val="18"/>
                <w:szCs w:val="18"/>
              </w:rPr>
              <w:footnoteReference w:id="205"/>
            </w:r>
            <w:r w:rsidRPr="00325085">
              <w:rPr>
                <w:sz w:val="18"/>
                <w:szCs w:val="18"/>
              </w:rPr>
              <w:t xml:space="preserve"> </w:t>
            </w:r>
          </w:p>
        </w:tc>
        <w:tc>
          <w:tcPr>
            <w:tcW w:w="3288" w:type="dxa"/>
          </w:tcPr>
          <w:p w14:paraId="263C67E8" w14:textId="18A8BCCC" w:rsidR="009A0C58" w:rsidRPr="00C11545" w:rsidRDefault="009A0C58" w:rsidP="009A0C58">
            <w:pPr>
              <w:pStyle w:val="ListParagraph"/>
              <w:spacing w:after="40"/>
              <w:ind w:left="170" w:hanging="142"/>
              <w:rPr>
                <w:b/>
                <w:bCs/>
              </w:rPr>
            </w:pPr>
            <w:r w:rsidRPr="001653A4">
              <w:rPr>
                <w:sz w:val="18"/>
                <w:szCs w:val="18"/>
              </w:rPr>
              <w:t xml:space="preserve">Teacher registration is not compulsory for early childhood </w:t>
            </w:r>
            <w:r w:rsidR="00F016DB">
              <w:rPr>
                <w:sz w:val="18"/>
                <w:szCs w:val="18"/>
              </w:rPr>
              <w:t>teachers</w:t>
            </w:r>
            <w:r w:rsidR="00F016DB" w:rsidRPr="001653A4">
              <w:rPr>
                <w:sz w:val="18"/>
                <w:szCs w:val="18"/>
              </w:rPr>
              <w:t xml:space="preserve"> </w:t>
            </w:r>
            <w:r w:rsidRPr="001653A4">
              <w:rPr>
                <w:sz w:val="18"/>
                <w:szCs w:val="18"/>
              </w:rPr>
              <w:t>in</w:t>
            </w:r>
            <w:r>
              <w:rPr>
                <w:sz w:val="18"/>
                <w:szCs w:val="18"/>
              </w:rPr>
              <w:t xml:space="preserve"> </w:t>
            </w:r>
            <w:r w:rsidR="00014AC2">
              <w:rPr>
                <w:sz w:val="18"/>
                <w:szCs w:val="18"/>
              </w:rPr>
              <w:t>education and care</w:t>
            </w:r>
            <w:r>
              <w:rPr>
                <w:sz w:val="18"/>
                <w:szCs w:val="18"/>
              </w:rPr>
              <w:t xml:space="preserve"> in</w:t>
            </w:r>
            <w:r w:rsidRPr="001653A4">
              <w:rPr>
                <w:sz w:val="18"/>
                <w:szCs w:val="18"/>
              </w:rPr>
              <w:t xml:space="preserve"> </w:t>
            </w:r>
            <w:r>
              <w:rPr>
                <w:sz w:val="18"/>
                <w:szCs w:val="18"/>
              </w:rPr>
              <w:t>TAS.</w:t>
            </w:r>
            <w:r>
              <w:rPr>
                <w:rStyle w:val="FootnoteReference"/>
                <w:sz w:val="18"/>
                <w:szCs w:val="18"/>
              </w:rPr>
              <w:footnoteReference w:id="206"/>
            </w:r>
          </w:p>
          <w:p w14:paraId="766AFB2E" w14:textId="77777777" w:rsidR="009A0C58" w:rsidRDefault="009A0C58" w:rsidP="009A0C58">
            <w:pPr>
              <w:pStyle w:val="ListParagraph"/>
              <w:spacing w:after="40"/>
              <w:ind w:left="170" w:hanging="142"/>
              <w:rPr>
                <w:b/>
                <w:bCs/>
              </w:rPr>
            </w:pPr>
            <w:r w:rsidRPr="00E25B57">
              <w:rPr>
                <w:sz w:val="18"/>
                <w:szCs w:val="18"/>
              </w:rPr>
              <w:t xml:space="preserve">Registered teachers require a current WWVP </w:t>
            </w:r>
            <w:r>
              <w:rPr>
                <w:sz w:val="18"/>
                <w:szCs w:val="18"/>
              </w:rPr>
              <w:t>registration</w:t>
            </w:r>
            <w:r w:rsidRPr="00E25B57">
              <w:rPr>
                <w:sz w:val="18"/>
                <w:szCs w:val="18"/>
              </w:rPr>
              <w:t>.</w:t>
            </w:r>
            <w:r>
              <w:rPr>
                <w:rStyle w:val="FootnoteReference"/>
                <w:sz w:val="18"/>
                <w:szCs w:val="18"/>
              </w:rPr>
              <w:footnoteReference w:id="207"/>
            </w:r>
            <w:r>
              <w:rPr>
                <w:b/>
                <w:bCs/>
              </w:rPr>
              <w:t xml:space="preserve"> </w:t>
            </w:r>
          </w:p>
        </w:tc>
      </w:tr>
      <w:tr w:rsidR="009A0C58" w14:paraId="16117C99" w14:textId="77777777" w:rsidTr="00C12306">
        <w:tc>
          <w:tcPr>
            <w:tcW w:w="988" w:type="dxa"/>
            <w:shd w:val="clear" w:color="auto" w:fill="14233C" w:themeFill="text2"/>
          </w:tcPr>
          <w:p w14:paraId="1F92A98D" w14:textId="2CFAFF49" w:rsidR="009A0C58" w:rsidRPr="00661F72" w:rsidRDefault="009A0C58" w:rsidP="009A0C58">
            <w:pPr>
              <w:rPr>
                <w:color w:val="FFFFFF" w:themeColor="background1"/>
                <w:sz w:val="18"/>
                <w:szCs w:val="20"/>
              </w:rPr>
            </w:pPr>
            <w:r w:rsidRPr="009A0C58">
              <w:rPr>
                <w:color w:val="FFFFFF" w:themeColor="background1"/>
                <w:sz w:val="18"/>
                <w:szCs w:val="20"/>
                <w:lang w:val="en-GB"/>
              </w:rPr>
              <w:lastRenderedPageBreak/>
              <w:t>ACT</w:t>
            </w:r>
          </w:p>
        </w:tc>
        <w:tc>
          <w:tcPr>
            <w:tcW w:w="3288" w:type="dxa"/>
          </w:tcPr>
          <w:p w14:paraId="587F5B7E" w14:textId="148B0A19" w:rsidR="009A0C58" w:rsidRDefault="009A0C58" w:rsidP="00EC53AB">
            <w:pPr>
              <w:pStyle w:val="ListParagraph"/>
              <w:numPr>
                <w:ilvl w:val="0"/>
                <w:numId w:val="4"/>
              </w:numPr>
              <w:spacing w:after="40"/>
              <w:ind w:left="170" w:hanging="142"/>
              <w:rPr>
                <w:sz w:val="18"/>
                <w:szCs w:val="18"/>
              </w:rPr>
            </w:pPr>
            <w:r w:rsidRPr="00AE2131">
              <w:rPr>
                <w:i/>
                <w:iCs/>
                <w:sz w:val="18"/>
                <w:szCs w:val="18"/>
              </w:rPr>
              <w:t>Working with Vulnerable People (Background Checking) Act 2011</w:t>
            </w:r>
            <w:r>
              <w:rPr>
                <w:sz w:val="18"/>
                <w:szCs w:val="18"/>
              </w:rPr>
              <w:t xml:space="preserve"> (ACT)</w:t>
            </w:r>
          </w:p>
          <w:p w14:paraId="28E5CAE0" w14:textId="4485109E" w:rsidR="009A0C58" w:rsidRDefault="009A0C58" w:rsidP="00EC53AB">
            <w:pPr>
              <w:pStyle w:val="ListParagraph"/>
              <w:numPr>
                <w:ilvl w:val="0"/>
                <w:numId w:val="4"/>
              </w:numPr>
              <w:spacing w:after="40"/>
              <w:ind w:left="170" w:hanging="142"/>
              <w:rPr>
                <w:sz w:val="18"/>
                <w:szCs w:val="18"/>
              </w:rPr>
            </w:pPr>
            <w:r w:rsidRPr="00AE2131">
              <w:rPr>
                <w:i/>
                <w:iCs/>
                <w:sz w:val="18"/>
                <w:szCs w:val="18"/>
              </w:rPr>
              <w:t>Working with Vulnerable people (Background Checking) Regulation 2012</w:t>
            </w:r>
            <w:r>
              <w:rPr>
                <w:sz w:val="18"/>
                <w:szCs w:val="18"/>
              </w:rPr>
              <w:t xml:space="preserve"> (ACT)</w:t>
            </w:r>
          </w:p>
          <w:p w14:paraId="12A4CA4B" w14:textId="1083F2EE" w:rsidR="009A0C58" w:rsidRPr="00DA0440" w:rsidRDefault="009A0C58" w:rsidP="00EC53AB">
            <w:pPr>
              <w:pStyle w:val="ListParagraph"/>
              <w:numPr>
                <w:ilvl w:val="0"/>
                <w:numId w:val="4"/>
              </w:numPr>
              <w:spacing w:after="40"/>
              <w:ind w:left="170" w:hanging="142"/>
              <w:rPr>
                <w:sz w:val="18"/>
                <w:szCs w:val="18"/>
              </w:rPr>
            </w:pPr>
            <w:r w:rsidRPr="00AE2131">
              <w:rPr>
                <w:i/>
                <w:iCs/>
                <w:sz w:val="18"/>
                <w:szCs w:val="18"/>
              </w:rPr>
              <w:t>Working with Vulnerable People (Background Checking) Risk Assessment Guidelines 2021</w:t>
            </w:r>
            <w:r>
              <w:rPr>
                <w:sz w:val="18"/>
                <w:szCs w:val="18"/>
              </w:rPr>
              <w:t xml:space="preserve"> (ACT)</w:t>
            </w:r>
          </w:p>
        </w:tc>
        <w:tc>
          <w:tcPr>
            <w:tcW w:w="3288" w:type="dxa"/>
          </w:tcPr>
          <w:p w14:paraId="56F16DB2" w14:textId="77777777" w:rsidR="009A0C58" w:rsidRDefault="009A0C58" w:rsidP="009A0C58">
            <w:pPr>
              <w:pStyle w:val="ListParagraph"/>
              <w:spacing w:after="40"/>
              <w:ind w:left="170" w:hanging="142"/>
              <w:rPr>
                <w:b/>
                <w:bCs/>
              </w:rPr>
            </w:pPr>
            <w:r w:rsidRPr="118F6FE3">
              <w:rPr>
                <w:sz w:val="18"/>
                <w:szCs w:val="18"/>
              </w:rPr>
              <w:t>Persons over 16 years old who work or volunteer with children require a Working WWVP</w:t>
            </w:r>
            <w:r>
              <w:rPr>
                <w:sz w:val="18"/>
                <w:szCs w:val="18"/>
              </w:rPr>
              <w:t xml:space="preserve"> registration</w:t>
            </w:r>
            <w:r w:rsidRPr="118F6FE3">
              <w:rPr>
                <w:sz w:val="18"/>
                <w:szCs w:val="18"/>
              </w:rPr>
              <w:t>.</w:t>
            </w:r>
            <w:r w:rsidRPr="118F6FE3">
              <w:rPr>
                <w:rStyle w:val="FootnoteReference"/>
                <w:sz w:val="18"/>
                <w:szCs w:val="18"/>
              </w:rPr>
              <w:footnoteReference w:id="208"/>
            </w:r>
          </w:p>
        </w:tc>
        <w:tc>
          <w:tcPr>
            <w:tcW w:w="3288" w:type="dxa"/>
          </w:tcPr>
          <w:p w14:paraId="070A2653" w14:textId="1C5F9B7A" w:rsidR="009A0C58" w:rsidRDefault="009A0C58" w:rsidP="742E3378">
            <w:pPr>
              <w:pStyle w:val="ListParagraph"/>
              <w:spacing w:after="40"/>
              <w:ind w:left="170" w:hanging="142"/>
              <w:rPr>
                <w:sz w:val="18"/>
                <w:szCs w:val="18"/>
              </w:rPr>
            </w:pPr>
            <w:r>
              <w:rPr>
                <w:sz w:val="18"/>
                <w:szCs w:val="18"/>
              </w:rPr>
              <w:t xml:space="preserve">Persons may work or volunteer in a regulated activity if (1) their employer </w:t>
            </w:r>
            <w:r w:rsidR="00A126BB">
              <w:rPr>
                <w:sz w:val="18"/>
                <w:szCs w:val="18"/>
              </w:rPr>
              <w:t>agrees,</w:t>
            </w:r>
            <w:r>
              <w:rPr>
                <w:sz w:val="18"/>
                <w:szCs w:val="18"/>
              </w:rPr>
              <w:t xml:space="preserve"> and they are supervised when undertaking regulated activities or (2) are a kinship carer and have not been previously refused registration or had a previous registration cancelled.</w:t>
            </w:r>
            <w:r>
              <w:rPr>
                <w:rStyle w:val="FootnoteReference"/>
                <w:sz w:val="18"/>
                <w:szCs w:val="18"/>
              </w:rPr>
              <w:footnoteReference w:id="209"/>
            </w:r>
            <w:r>
              <w:rPr>
                <w:sz w:val="18"/>
                <w:szCs w:val="18"/>
              </w:rPr>
              <w:t xml:space="preserve"> </w:t>
            </w:r>
          </w:p>
          <w:p w14:paraId="2B6CFDC5" w14:textId="77777777" w:rsidR="009A0C58" w:rsidRPr="006C4B3A" w:rsidRDefault="009A0C58" w:rsidP="00EC53AB">
            <w:pPr>
              <w:pStyle w:val="ListParagraph"/>
              <w:numPr>
                <w:ilvl w:val="0"/>
                <w:numId w:val="4"/>
              </w:numPr>
              <w:spacing w:after="40"/>
              <w:ind w:left="170" w:hanging="142"/>
              <w:rPr>
                <w:sz w:val="18"/>
                <w:szCs w:val="18"/>
              </w:rPr>
            </w:pPr>
            <w:r>
              <w:rPr>
                <w:sz w:val="18"/>
                <w:szCs w:val="18"/>
              </w:rPr>
              <w:t>P</w:t>
            </w:r>
            <w:r w:rsidRPr="006C4B3A">
              <w:rPr>
                <w:sz w:val="18"/>
                <w:szCs w:val="18"/>
              </w:rPr>
              <w:t xml:space="preserve">ersons aged under 16 can begin working or volunteering without a WWVP check. </w:t>
            </w:r>
          </w:p>
        </w:tc>
        <w:tc>
          <w:tcPr>
            <w:tcW w:w="3288" w:type="dxa"/>
          </w:tcPr>
          <w:p w14:paraId="0F502A36" w14:textId="77777777" w:rsidR="009A0C58" w:rsidRDefault="009A0C58" w:rsidP="009A0C58">
            <w:pPr>
              <w:pStyle w:val="ListParagraph"/>
              <w:spacing w:after="40"/>
              <w:ind w:left="170" w:hanging="142"/>
              <w:rPr>
                <w:sz w:val="18"/>
                <w:szCs w:val="18"/>
              </w:rPr>
            </w:pPr>
            <w:r w:rsidRPr="00A36FB4">
              <w:rPr>
                <w:sz w:val="18"/>
                <w:szCs w:val="18"/>
              </w:rPr>
              <w:t xml:space="preserve">From 1 April </w:t>
            </w:r>
            <w:r>
              <w:rPr>
                <w:sz w:val="18"/>
                <w:szCs w:val="18"/>
              </w:rPr>
              <w:t>2024, early childhood teachers are eligible for teacher registration under a voluntary scheme. However, early childhood t</w:t>
            </w:r>
            <w:r w:rsidRPr="00A36FB4">
              <w:rPr>
                <w:sz w:val="18"/>
                <w:szCs w:val="18"/>
              </w:rPr>
              <w:t xml:space="preserve">eacher registration is not </w:t>
            </w:r>
            <w:r>
              <w:rPr>
                <w:sz w:val="18"/>
                <w:szCs w:val="18"/>
              </w:rPr>
              <w:t xml:space="preserve">currently </w:t>
            </w:r>
            <w:r w:rsidRPr="00A36FB4">
              <w:rPr>
                <w:sz w:val="18"/>
                <w:szCs w:val="18"/>
              </w:rPr>
              <w:t>mandated</w:t>
            </w:r>
            <w:r>
              <w:rPr>
                <w:sz w:val="18"/>
                <w:szCs w:val="18"/>
              </w:rPr>
              <w:t>.</w:t>
            </w:r>
            <w:r>
              <w:rPr>
                <w:rStyle w:val="FootnoteReference"/>
                <w:sz w:val="18"/>
                <w:szCs w:val="18"/>
              </w:rPr>
              <w:footnoteReference w:id="210"/>
            </w:r>
          </w:p>
          <w:p w14:paraId="11702393" w14:textId="77777777" w:rsidR="009A0C58" w:rsidRPr="00A36FB4" w:rsidRDefault="009A0C58" w:rsidP="009A0C58">
            <w:pPr>
              <w:pStyle w:val="ListParagraph"/>
              <w:spacing w:after="40"/>
              <w:ind w:left="170" w:hanging="142"/>
              <w:rPr>
                <w:sz w:val="18"/>
                <w:szCs w:val="18"/>
              </w:rPr>
            </w:pPr>
            <w:r w:rsidRPr="00E25B57">
              <w:rPr>
                <w:sz w:val="18"/>
                <w:szCs w:val="18"/>
              </w:rPr>
              <w:t xml:space="preserve">Registered teachers require a current WWVP </w:t>
            </w:r>
            <w:r>
              <w:rPr>
                <w:sz w:val="18"/>
                <w:szCs w:val="18"/>
              </w:rPr>
              <w:t>registration</w:t>
            </w:r>
            <w:r w:rsidRPr="00E25B57">
              <w:rPr>
                <w:sz w:val="18"/>
                <w:szCs w:val="18"/>
              </w:rPr>
              <w:t>.</w:t>
            </w:r>
            <w:r>
              <w:rPr>
                <w:rStyle w:val="FootnoteReference"/>
                <w:sz w:val="18"/>
                <w:szCs w:val="18"/>
              </w:rPr>
              <w:footnoteReference w:id="211"/>
            </w:r>
          </w:p>
        </w:tc>
      </w:tr>
      <w:tr w:rsidR="009A0C58" w14:paraId="7FD76F62" w14:textId="77777777" w:rsidTr="00C12306">
        <w:tc>
          <w:tcPr>
            <w:tcW w:w="988" w:type="dxa"/>
            <w:shd w:val="clear" w:color="auto" w:fill="14233C" w:themeFill="text2"/>
          </w:tcPr>
          <w:p w14:paraId="37E5A3EB" w14:textId="34206438" w:rsidR="009A0C58" w:rsidRPr="00661F72" w:rsidRDefault="009A0C58" w:rsidP="009A0C58">
            <w:pPr>
              <w:rPr>
                <w:color w:val="FFFFFF" w:themeColor="background1"/>
                <w:sz w:val="18"/>
                <w:szCs w:val="20"/>
              </w:rPr>
            </w:pPr>
            <w:r w:rsidRPr="009A0C58">
              <w:rPr>
                <w:color w:val="FFFFFF" w:themeColor="background1"/>
                <w:sz w:val="18"/>
                <w:szCs w:val="20"/>
                <w:lang w:val="en-GB"/>
              </w:rPr>
              <w:t>NT</w:t>
            </w:r>
          </w:p>
        </w:tc>
        <w:tc>
          <w:tcPr>
            <w:tcW w:w="3288" w:type="dxa"/>
          </w:tcPr>
          <w:p w14:paraId="7FCE39E5" w14:textId="77777777" w:rsidR="009A0C58" w:rsidRDefault="009A0C58" w:rsidP="00EC53AB">
            <w:pPr>
              <w:pStyle w:val="ListParagraph"/>
              <w:numPr>
                <w:ilvl w:val="0"/>
                <w:numId w:val="4"/>
              </w:numPr>
              <w:spacing w:after="40"/>
              <w:ind w:left="170" w:hanging="142"/>
              <w:rPr>
                <w:sz w:val="18"/>
                <w:szCs w:val="18"/>
              </w:rPr>
            </w:pPr>
            <w:r w:rsidRPr="00AE2131">
              <w:rPr>
                <w:i/>
                <w:iCs/>
                <w:sz w:val="18"/>
                <w:szCs w:val="18"/>
              </w:rPr>
              <w:t>Care and Protection of Children Act 2007</w:t>
            </w:r>
            <w:r w:rsidRPr="00533C14">
              <w:rPr>
                <w:sz w:val="18"/>
                <w:szCs w:val="18"/>
              </w:rPr>
              <w:t xml:space="preserve"> (NT)</w:t>
            </w:r>
          </w:p>
          <w:p w14:paraId="259009FE" w14:textId="639EB45B" w:rsidR="009A0C58" w:rsidRPr="00533C14" w:rsidRDefault="009A0C58" w:rsidP="00EC53AB">
            <w:pPr>
              <w:pStyle w:val="ListParagraph"/>
              <w:numPr>
                <w:ilvl w:val="0"/>
                <w:numId w:val="4"/>
              </w:numPr>
              <w:spacing w:after="40"/>
              <w:ind w:left="170" w:hanging="142"/>
              <w:rPr>
                <w:sz w:val="18"/>
                <w:szCs w:val="18"/>
              </w:rPr>
            </w:pPr>
            <w:r w:rsidRPr="00AE2131">
              <w:rPr>
                <w:i/>
                <w:iCs/>
                <w:sz w:val="18"/>
                <w:szCs w:val="18"/>
              </w:rPr>
              <w:t>Care and Protection of Children (Screening) Regulations</w:t>
            </w:r>
            <w:r>
              <w:rPr>
                <w:sz w:val="18"/>
                <w:szCs w:val="18"/>
              </w:rPr>
              <w:t xml:space="preserve"> (NT)</w:t>
            </w:r>
          </w:p>
        </w:tc>
        <w:tc>
          <w:tcPr>
            <w:tcW w:w="3288" w:type="dxa"/>
          </w:tcPr>
          <w:p w14:paraId="21DC1C3C" w14:textId="77777777" w:rsidR="009A0C58" w:rsidRDefault="009A0C58" w:rsidP="742E3378">
            <w:pPr>
              <w:pStyle w:val="ListParagraph"/>
              <w:spacing w:after="40"/>
              <w:ind w:left="170" w:hanging="142"/>
              <w:rPr>
                <w:b/>
                <w:bCs/>
              </w:rPr>
            </w:pPr>
            <w:r w:rsidRPr="008F6B6B">
              <w:rPr>
                <w:sz w:val="18"/>
                <w:szCs w:val="18"/>
              </w:rPr>
              <w:t xml:space="preserve">Persons over </w:t>
            </w:r>
            <w:r>
              <w:rPr>
                <w:sz w:val="18"/>
                <w:szCs w:val="18"/>
              </w:rPr>
              <w:t>15</w:t>
            </w:r>
            <w:r w:rsidRPr="008F6B6B">
              <w:rPr>
                <w:sz w:val="18"/>
                <w:szCs w:val="18"/>
              </w:rPr>
              <w:t xml:space="preserve"> years old who work or volunteer with children require a </w:t>
            </w:r>
            <w:r>
              <w:rPr>
                <w:sz w:val="18"/>
                <w:szCs w:val="18"/>
              </w:rPr>
              <w:t>WWCC.</w:t>
            </w:r>
            <w:r>
              <w:rPr>
                <w:rStyle w:val="FootnoteReference"/>
                <w:sz w:val="18"/>
                <w:szCs w:val="18"/>
              </w:rPr>
              <w:footnoteReference w:id="212"/>
            </w:r>
          </w:p>
        </w:tc>
        <w:tc>
          <w:tcPr>
            <w:tcW w:w="3288" w:type="dxa"/>
          </w:tcPr>
          <w:p w14:paraId="1433DDCD" w14:textId="77777777" w:rsidR="009A0C58" w:rsidRDefault="009A0C58" w:rsidP="742E3378">
            <w:pPr>
              <w:pStyle w:val="ListParagraph"/>
              <w:spacing w:after="40"/>
              <w:ind w:left="170" w:hanging="142"/>
              <w:rPr>
                <w:b/>
                <w:bCs/>
              </w:rPr>
            </w:pPr>
            <w:r w:rsidRPr="00BA3B00">
              <w:rPr>
                <w:sz w:val="18"/>
                <w:szCs w:val="18"/>
              </w:rPr>
              <w:t>Some conditions and exemptions exist which allow a person to begin working or volunteering without a WWCC.</w:t>
            </w:r>
            <w:r>
              <w:rPr>
                <w:sz w:val="18"/>
                <w:szCs w:val="18"/>
              </w:rPr>
              <w:t xml:space="preserve"> For example, an employer </w:t>
            </w:r>
            <w:r>
              <w:rPr>
                <w:sz w:val="18"/>
                <w:szCs w:val="18"/>
              </w:rPr>
              <w:lastRenderedPageBreak/>
              <w:t>can apply for a short-term temporary exemption.</w:t>
            </w:r>
            <w:r>
              <w:rPr>
                <w:rStyle w:val="FootnoteReference"/>
                <w:sz w:val="18"/>
                <w:szCs w:val="18"/>
              </w:rPr>
              <w:footnoteReference w:id="213"/>
            </w:r>
          </w:p>
        </w:tc>
        <w:tc>
          <w:tcPr>
            <w:tcW w:w="3288" w:type="dxa"/>
          </w:tcPr>
          <w:p w14:paraId="24D0B733" w14:textId="77777777" w:rsidR="009A0C58" w:rsidRPr="0017276A" w:rsidRDefault="009A0C58" w:rsidP="742E3378">
            <w:pPr>
              <w:pStyle w:val="ListParagraph"/>
              <w:spacing w:after="40"/>
              <w:ind w:left="170" w:hanging="142"/>
              <w:rPr>
                <w:b/>
                <w:bCs/>
              </w:rPr>
            </w:pPr>
            <w:r w:rsidRPr="00F659EE">
              <w:rPr>
                <w:sz w:val="18"/>
                <w:szCs w:val="18"/>
              </w:rPr>
              <w:lastRenderedPageBreak/>
              <w:t>Currently only early childhood educators in working in school settings require teacher registration. However, under the Shaping our Future – National Early Childhood</w:t>
            </w:r>
            <w:r>
              <w:rPr>
                <w:sz w:val="18"/>
                <w:szCs w:val="18"/>
              </w:rPr>
              <w:t xml:space="preserve"> Education and Care Workforce </w:t>
            </w:r>
            <w:r>
              <w:rPr>
                <w:sz w:val="18"/>
                <w:szCs w:val="18"/>
              </w:rPr>
              <w:lastRenderedPageBreak/>
              <w:t>Strategy, teacher registration will be required for early childhood teachers from 2026 (first phase of implementation).</w:t>
            </w:r>
            <w:r>
              <w:rPr>
                <w:rStyle w:val="FootnoteReference"/>
                <w:sz w:val="18"/>
                <w:szCs w:val="18"/>
              </w:rPr>
              <w:footnoteReference w:id="214"/>
            </w:r>
            <w:r>
              <w:rPr>
                <w:sz w:val="18"/>
                <w:szCs w:val="18"/>
              </w:rPr>
              <w:t xml:space="preserve"> </w:t>
            </w:r>
          </w:p>
          <w:p w14:paraId="7610DC11" w14:textId="77777777" w:rsidR="009A0C58" w:rsidRDefault="009A0C58" w:rsidP="742E3378">
            <w:pPr>
              <w:pStyle w:val="ListParagraph"/>
              <w:spacing w:after="40"/>
              <w:ind w:left="170" w:hanging="142"/>
              <w:rPr>
                <w:b/>
                <w:bCs/>
              </w:rPr>
            </w:pPr>
            <w:r w:rsidRPr="0017276A">
              <w:rPr>
                <w:sz w:val="18"/>
                <w:szCs w:val="18"/>
              </w:rPr>
              <w:t>Registered teachers require a WWCC.</w:t>
            </w:r>
            <w:r>
              <w:rPr>
                <w:rStyle w:val="FootnoteReference"/>
                <w:sz w:val="18"/>
                <w:szCs w:val="18"/>
              </w:rPr>
              <w:footnoteReference w:id="215"/>
            </w:r>
          </w:p>
        </w:tc>
      </w:tr>
    </w:tbl>
    <w:p w14:paraId="40733936" w14:textId="77777777" w:rsidR="00A8507E" w:rsidRPr="00A8507E" w:rsidRDefault="00A8507E" w:rsidP="00A8507E">
      <w:pPr>
        <w:sectPr w:rsidR="00A8507E" w:rsidRPr="00A8507E" w:rsidSect="00DA7C55">
          <w:headerReference w:type="first" r:id="rId143"/>
          <w:pgSz w:w="16840" w:h="11900" w:orient="landscape"/>
          <w:pgMar w:top="1440" w:right="1440" w:bottom="1440" w:left="1440" w:header="709" w:footer="709" w:gutter="0"/>
          <w:cols w:space="708"/>
          <w:titlePg/>
          <w:docGrid w:linePitch="360"/>
        </w:sectPr>
      </w:pPr>
    </w:p>
    <w:p w14:paraId="68C0A196" w14:textId="0DB72D50" w:rsidR="00CA782A" w:rsidRDefault="00CA782A" w:rsidP="00682E50">
      <w:pPr>
        <w:pStyle w:val="Heading2"/>
      </w:pPr>
      <w:bookmarkStart w:id="387" w:name="_Ref193276264"/>
      <w:bookmarkStart w:id="388" w:name="_Toc205884918"/>
      <w:r>
        <w:lastRenderedPageBreak/>
        <w:t>1</w:t>
      </w:r>
      <w:r w:rsidR="002708C0">
        <w:t>2.8</w:t>
      </w:r>
      <w:r>
        <w:t xml:space="preserve"> Family Assistance Law (FAL)</w:t>
      </w:r>
      <w:bookmarkEnd w:id="387"/>
      <w:bookmarkEnd w:id="388"/>
    </w:p>
    <w:p w14:paraId="282B30CE" w14:textId="1ADC6818" w:rsidR="00F00A67" w:rsidRDefault="00F00A67" w:rsidP="00F00A67">
      <w:r>
        <w:t xml:space="preserve">Identifying related providers has also proven challenging in relation to Family Assistance Law (FAL). After large structural changes in the </w:t>
      </w:r>
      <w:r w:rsidR="00014AC2">
        <w:t>education and care</w:t>
      </w:r>
      <w:r>
        <w:t xml:space="preserve"> sector, a provision was established which allows the Australian Government to have better visibility over ‘related providers’ where certain thresholds are reached or there is overlap across entities’ PMCs. </w:t>
      </w:r>
    </w:p>
    <w:p w14:paraId="1BFC0A1B" w14:textId="77777777" w:rsidR="00F00A67" w:rsidRDefault="00F00A67" w:rsidP="00F00A67">
      <w:r>
        <w:t xml:space="preserve">Related providers are defined in relation to two concepts in the FAL. Subsection 4A(1) of the FAL considers a provider as a </w:t>
      </w:r>
      <w:r>
        <w:rPr>
          <w:i/>
        </w:rPr>
        <w:t xml:space="preserve">large </w:t>
      </w:r>
      <w:r>
        <w:t>provider if:</w:t>
      </w:r>
    </w:p>
    <w:p w14:paraId="2F1C7B49" w14:textId="77777777" w:rsidR="00F00A67" w:rsidRDefault="00F00A67" w:rsidP="00F00A67">
      <w:pPr>
        <w:pStyle w:val="ListParagraph"/>
      </w:pPr>
      <w:r>
        <w:t>the provider operates 25 or more approved child care services; or</w:t>
      </w:r>
    </w:p>
    <w:p w14:paraId="72B27250" w14:textId="77777777" w:rsidR="00F00A67" w:rsidRPr="00F40B9B" w:rsidRDefault="00F00A67" w:rsidP="00F00A67">
      <w:pPr>
        <w:pStyle w:val="ListParagraph"/>
      </w:pPr>
      <w:r>
        <w:t>the provider is one of 2 or more related providers who together operate 25 or more approved child care services; or</w:t>
      </w:r>
    </w:p>
    <w:p w14:paraId="42D85C40" w14:textId="77777777" w:rsidR="00F00A67" w:rsidRDefault="00F00A67" w:rsidP="00F00A67">
      <w:pPr>
        <w:pStyle w:val="ListParagraph"/>
      </w:pPr>
      <w:r>
        <w:t>the provider proposes to operate, or is one of 2 or more related providers who propose to together operate, 25 or more child care services.</w:t>
      </w:r>
    </w:p>
    <w:p w14:paraId="0157E064" w14:textId="77777777" w:rsidR="00F00A67" w:rsidRPr="00F40B9B" w:rsidRDefault="00F00A67" w:rsidP="00F00A67">
      <w:r>
        <w:t>Subsection 4A(3) of the FAL then identifies related providers in circumstances where 25 or more services are held collectively across the approved providers:</w:t>
      </w:r>
    </w:p>
    <w:p w14:paraId="23480757" w14:textId="77777777" w:rsidR="00F00A67" w:rsidRDefault="00F00A67" w:rsidP="00F00A67">
      <w:pPr>
        <w:pStyle w:val="ListParagraph"/>
      </w:pPr>
      <w:r>
        <w:t xml:space="preserve">the providers have in common 25% or more of the persons who are concerned in, or take part in, their management (PMCs); or </w:t>
      </w:r>
    </w:p>
    <w:p w14:paraId="1D4E5220" w14:textId="77777777" w:rsidR="00F00A67" w:rsidRDefault="00F00A67" w:rsidP="00F00A67">
      <w:pPr>
        <w:pStyle w:val="ListParagraph"/>
      </w:pPr>
      <w:r>
        <w:t>one provider owns 15% or more of the other provider; or</w:t>
      </w:r>
    </w:p>
    <w:p w14:paraId="60B15979" w14:textId="77777777" w:rsidR="00F00A67" w:rsidRPr="00F40B9B" w:rsidRDefault="00F00A67" w:rsidP="00F00A67">
      <w:pPr>
        <w:pStyle w:val="ListParagraph"/>
      </w:pPr>
      <w:r>
        <w:t>one provider is entitled to receive 15% or more of any dividends paid by the other provider.</w:t>
      </w:r>
    </w:p>
    <w:p w14:paraId="0EC24FDD" w14:textId="361BE175" w:rsidR="00F00A67" w:rsidRDefault="00F877F5" w:rsidP="00F00A67">
      <w:r>
        <w:t>Jurisdictions have</w:t>
      </w:r>
      <w:r w:rsidR="00F00A67">
        <w:t xml:space="preserve"> explored the idea of incorporating a definition of related providers into the National Law to align with the FAL definition. However, </w:t>
      </w:r>
      <w:r w:rsidR="00DE3434">
        <w:t>Regulatory Authorities</w:t>
      </w:r>
      <w:r w:rsidR="00F00A67">
        <w:t xml:space="preserve"> have determined that strict alignment with the FAL </w:t>
      </w:r>
      <w:r w:rsidR="00E95D54">
        <w:t>may not be</w:t>
      </w:r>
      <w:r w:rsidR="00F00A67">
        <w:t xml:space="preserve"> sufficient because:</w:t>
      </w:r>
    </w:p>
    <w:p w14:paraId="4F7E856F" w14:textId="77777777" w:rsidR="00F00A67" w:rsidRDefault="00F00A67" w:rsidP="00F00A67">
      <w:pPr>
        <w:pStyle w:val="ListParagraph"/>
      </w:pPr>
      <w:r>
        <w:t>the definition would not capture all related providers operating under the National Law (as it only covers those receiving the Child Care Subsidy). Data suggests that 16.5% of services operating under the NQF do not receive the Child Care Subsidy</w:t>
      </w:r>
      <w:r>
        <w:rPr>
          <w:rStyle w:val="FootnoteReference"/>
        </w:rPr>
        <w:footnoteReference w:id="216"/>
      </w:r>
      <w:r>
        <w:t>, and so would not be covered by this definition.</w:t>
      </w:r>
    </w:p>
    <w:p w14:paraId="43D1DD59" w14:textId="77777777" w:rsidR="00F00A67" w:rsidRDefault="00F00A67" w:rsidP="00F00A67">
      <w:pPr>
        <w:pStyle w:val="ListParagraph"/>
      </w:pPr>
      <w:r>
        <w:t xml:space="preserve">the FAL definition only captures related providers with more than 25 services collectively, which would not provide sufficient intelligence about smaller, but problematic, providers. </w:t>
      </w:r>
    </w:p>
    <w:p w14:paraId="652579FE" w14:textId="77777777" w:rsidR="00F00A67" w:rsidRDefault="00F00A67" w:rsidP="00F00A67">
      <w:pPr>
        <w:pStyle w:val="ListParagraph"/>
      </w:pPr>
      <w:r>
        <w:lastRenderedPageBreak/>
        <w:t xml:space="preserve">the FAL model relies on self-reporting by providers which may not be appropriate under the National Law. </w:t>
      </w:r>
    </w:p>
    <w:p w14:paraId="69C5FD3B" w14:textId="77777777" w:rsidR="00F00A67" w:rsidRDefault="00F00A67" w:rsidP="00F00A67">
      <w:pPr>
        <w:pStyle w:val="ListParagraph"/>
      </w:pPr>
      <w:r>
        <w:t xml:space="preserve">any amendments to the definition under FAL would have implications for the National Law. </w:t>
      </w:r>
    </w:p>
    <w:p w14:paraId="6B90B937" w14:textId="77777777" w:rsidR="00F00A67" w:rsidRDefault="00F00A67" w:rsidP="00F00A67">
      <w:pPr>
        <w:pStyle w:val="ListParagraph"/>
      </w:pPr>
      <w:r>
        <w:t>there remain differences in personnel captured under the PMC definitions for both pieces of legislation, due to the differing purposes of the legislation. This is driven by whether these individuals have responsibilities for the operation of the approved provider (FAL) or in relation to an approved service (National Law). While one outcome of the 2019 NQF Review led to improvements in the alignment between the definitions of PMCs under both pieces of legislation, incorporating an existing definition of related providers that relies on the FAL definition may not provide sufficient oversight under the National Law.</w:t>
      </w:r>
    </w:p>
    <w:p w14:paraId="39BFB420" w14:textId="66A52855" w:rsidR="003978C5" w:rsidRDefault="003978C5">
      <w:pPr>
        <w:spacing w:after="160" w:line="259" w:lineRule="auto"/>
      </w:pPr>
    </w:p>
    <w:p w14:paraId="3F3DC453" w14:textId="1BC669CE" w:rsidR="00410ECC" w:rsidRDefault="00410ECC" w:rsidP="006C5BD2"/>
    <w:p w14:paraId="539F73C1" w14:textId="77777777" w:rsidR="0001305F" w:rsidRPr="0001305F" w:rsidRDefault="0001305F" w:rsidP="0001305F"/>
    <w:p w14:paraId="5D29967B" w14:textId="77777777" w:rsidR="0001305F" w:rsidRPr="0001305F" w:rsidRDefault="0001305F" w:rsidP="0001305F"/>
    <w:p w14:paraId="5D031AD1" w14:textId="77777777" w:rsidR="0001305F" w:rsidRPr="0001305F" w:rsidRDefault="0001305F" w:rsidP="0001305F"/>
    <w:p w14:paraId="424A2214" w14:textId="77777777" w:rsidR="0001305F" w:rsidRPr="0001305F" w:rsidRDefault="0001305F" w:rsidP="0001305F"/>
    <w:p w14:paraId="709F15BC" w14:textId="77777777" w:rsidR="0001305F" w:rsidRPr="0001305F" w:rsidRDefault="0001305F" w:rsidP="0001305F"/>
    <w:p w14:paraId="1E8A0A52" w14:textId="77777777" w:rsidR="0001305F" w:rsidRPr="0001305F" w:rsidRDefault="0001305F" w:rsidP="0001305F"/>
    <w:p w14:paraId="047F4E3B" w14:textId="77777777" w:rsidR="0001305F" w:rsidRPr="0001305F" w:rsidRDefault="0001305F" w:rsidP="0001305F"/>
    <w:p w14:paraId="59A78C39" w14:textId="77777777" w:rsidR="0001305F" w:rsidRPr="0001305F" w:rsidRDefault="0001305F" w:rsidP="0001305F"/>
    <w:p w14:paraId="2AD01F36" w14:textId="77777777" w:rsidR="0001305F" w:rsidRPr="0001305F" w:rsidRDefault="0001305F" w:rsidP="0001305F"/>
    <w:p w14:paraId="725B2337" w14:textId="77777777" w:rsidR="0001305F" w:rsidRPr="0001305F" w:rsidRDefault="0001305F" w:rsidP="0001305F"/>
    <w:p w14:paraId="496A7221" w14:textId="77777777" w:rsidR="0001305F" w:rsidRPr="0001305F" w:rsidRDefault="0001305F" w:rsidP="0001305F"/>
    <w:p w14:paraId="5B1313C0" w14:textId="77777777" w:rsidR="0001305F" w:rsidRDefault="0001305F" w:rsidP="0001305F"/>
    <w:p w14:paraId="6C94ECBD" w14:textId="77777777" w:rsidR="0001305F" w:rsidRDefault="0001305F" w:rsidP="0001305F"/>
    <w:p w14:paraId="5FF3C3B9" w14:textId="77777777" w:rsidR="0001305F" w:rsidRDefault="0001305F" w:rsidP="0001305F"/>
    <w:p w14:paraId="48B14344" w14:textId="77777777" w:rsidR="0001305F" w:rsidRDefault="0001305F" w:rsidP="0001305F"/>
    <w:p w14:paraId="4AC0D8C4" w14:textId="77777777" w:rsidR="00410ECC" w:rsidRPr="00892E3A" w:rsidRDefault="00410ECC" w:rsidP="006C5BD2"/>
    <w:sectPr w:rsidR="00410ECC" w:rsidRPr="00892E3A" w:rsidSect="008F214B">
      <w:headerReference w:type="first" r:id="rId144"/>
      <w:pgSz w:w="11900"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8CCF3" w14:textId="77777777" w:rsidR="00827F11" w:rsidRDefault="00827F11" w:rsidP="008F214B">
      <w:pPr>
        <w:spacing w:after="0" w:line="240" w:lineRule="auto"/>
      </w:pPr>
      <w:r>
        <w:separator/>
      </w:r>
    </w:p>
  </w:endnote>
  <w:endnote w:type="continuationSeparator" w:id="0">
    <w:p w14:paraId="41ECDFA5" w14:textId="77777777" w:rsidR="00827F11" w:rsidRDefault="00827F11" w:rsidP="008F214B">
      <w:pPr>
        <w:spacing w:after="0" w:line="240" w:lineRule="auto"/>
      </w:pPr>
      <w:r>
        <w:continuationSeparator/>
      </w:r>
    </w:p>
  </w:endnote>
  <w:endnote w:type="continuationNotice" w:id="1">
    <w:p w14:paraId="10C58262" w14:textId="77777777" w:rsidR="00827F11" w:rsidRDefault="00827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otham Bold">
    <w:altName w:val="Times New Roman"/>
    <w:panose1 w:val="00000000000000000000"/>
    <w:charset w:val="00"/>
    <w:family w:val="modern"/>
    <w:notTrueType/>
    <w:pitch w:val="variable"/>
    <w:sig w:usb0="A10000FF" w:usb1="40000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05"/>
      <w:gridCol w:w="2605"/>
      <w:gridCol w:w="2605"/>
    </w:tblGrid>
    <w:tr w:rsidR="2FF7C3F6" w14:paraId="4A134DD8" w14:textId="77777777" w:rsidTr="2FF7C3F6">
      <w:trPr>
        <w:trHeight w:val="300"/>
      </w:trPr>
      <w:tc>
        <w:tcPr>
          <w:tcW w:w="2605" w:type="dxa"/>
        </w:tcPr>
        <w:p w14:paraId="18BB9C83" w14:textId="425B8D53" w:rsidR="2FF7C3F6" w:rsidRDefault="2FF7C3F6" w:rsidP="2FF7C3F6">
          <w:pPr>
            <w:pStyle w:val="Header"/>
            <w:ind w:left="-115"/>
          </w:pPr>
        </w:p>
      </w:tc>
      <w:tc>
        <w:tcPr>
          <w:tcW w:w="2605" w:type="dxa"/>
        </w:tcPr>
        <w:p w14:paraId="62C96606" w14:textId="685A9C52" w:rsidR="2FF7C3F6" w:rsidRDefault="2FF7C3F6" w:rsidP="2FF7C3F6">
          <w:pPr>
            <w:pStyle w:val="Header"/>
            <w:jc w:val="center"/>
          </w:pPr>
        </w:p>
      </w:tc>
      <w:tc>
        <w:tcPr>
          <w:tcW w:w="2605" w:type="dxa"/>
        </w:tcPr>
        <w:p w14:paraId="6B90373C" w14:textId="549A4546" w:rsidR="2FF7C3F6" w:rsidRDefault="2FF7C3F6" w:rsidP="2FF7C3F6">
          <w:pPr>
            <w:pStyle w:val="Header"/>
            <w:ind w:right="-115"/>
            <w:jc w:val="right"/>
          </w:pPr>
        </w:p>
      </w:tc>
    </w:tr>
  </w:tbl>
  <w:p w14:paraId="56DC69B1" w14:textId="7F9645E6" w:rsidR="004F391F" w:rsidRDefault="004F3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AF63" w14:textId="77777777" w:rsidR="008F214B" w:rsidRDefault="008F214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036763"/>
      <w:docPartObj>
        <w:docPartGallery w:val="Page Numbers (Bottom of Page)"/>
        <w:docPartUnique/>
      </w:docPartObj>
    </w:sdtPr>
    <w:sdtEndPr>
      <w:rPr>
        <w:noProof/>
      </w:rPr>
    </w:sdtEndPr>
    <w:sdtContent>
      <w:p w14:paraId="7EDEFCBF" w14:textId="546C85DE" w:rsidR="00F05CD5" w:rsidRDefault="00F05C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AEBC03" w14:textId="36809B9F" w:rsidR="008F214B" w:rsidRDefault="008F214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5EF8" w14:textId="77777777" w:rsidR="00827F11" w:rsidRDefault="00827F11" w:rsidP="008F214B">
      <w:pPr>
        <w:spacing w:after="0" w:line="240" w:lineRule="auto"/>
      </w:pPr>
      <w:r>
        <w:separator/>
      </w:r>
    </w:p>
  </w:footnote>
  <w:footnote w:type="continuationSeparator" w:id="0">
    <w:p w14:paraId="75D8291E" w14:textId="77777777" w:rsidR="00827F11" w:rsidRDefault="00827F11" w:rsidP="008F214B">
      <w:pPr>
        <w:spacing w:after="0" w:line="240" w:lineRule="auto"/>
      </w:pPr>
      <w:r>
        <w:continuationSeparator/>
      </w:r>
    </w:p>
  </w:footnote>
  <w:footnote w:type="continuationNotice" w:id="1">
    <w:p w14:paraId="3CCA50A0" w14:textId="77777777" w:rsidR="00827F11" w:rsidRDefault="00827F11">
      <w:pPr>
        <w:spacing w:after="0" w:line="240" w:lineRule="auto"/>
      </w:pPr>
    </w:p>
  </w:footnote>
  <w:footnote w:id="2">
    <w:p w14:paraId="0D8A767B" w14:textId="77777777" w:rsidR="00414BBE" w:rsidRDefault="00414BBE" w:rsidP="00414BBE">
      <w:pPr>
        <w:pStyle w:val="FootnoteText"/>
      </w:pPr>
      <w:r w:rsidRPr="00FF0AE2">
        <w:rPr>
          <w:i/>
          <w:iCs/>
          <w:sz w:val="16"/>
          <w:szCs w:val="16"/>
        </w:rPr>
        <w:footnoteRef/>
      </w:r>
      <w:r w:rsidRPr="00FF0AE2">
        <w:rPr>
          <w:i/>
          <w:iCs/>
          <w:sz w:val="16"/>
          <w:szCs w:val="16"/>
        </w:rPr>
        <w:t xml:space="preserve"> ACECQA, (2023), Review of Child Safety Arrangements under the National Quality Framework, &lt;https://www.acecqa.gov.au/sites/default/files/2023-12/Review%20of%20Child%20Safety%20Arrangements%20under%20the%20National%20Quality%20Framework-full_report.pdf&gt;.</w:t>
      </w:r>
    </w:p>
  </w:footnote>
  <w:footnote w:id="3">
    <w:p w14:paraId="791AB860" w14:textId="77777777" w:rsidR="00414BBE" w:rsidRDefault="00414BBE" w:rsidP="00414BBE">
      <w:pPr>
        <w:pStyle w:val="FootnoteText"/>
      </w:pPr>
      <w:r>
        <w:rPr>
          <w:rStyle w:val="FootnoteReference"/>
        </w:rPr>
        <w:footnoteRef/>
      </w:r>
      <w:r>
        <w:t xml:space="preserve"> </w:t>
      </w:r>
      <w:r w:rsidRPr="00BD2E09">
        <w:rPr>
          <w:i/>
          <w:sz w:val="16"/>
          <w:szCs w:val="16"/>
        </w:rPr>
        <w:t>Additional recommendations explored through this DRIS have arisen from further analysis or as supplementary findings to reviews of critical incidents which have occurred over the past 12 months, in accordance with CSR recommendation 16</w:t>
      </w:r>
      <w:r w:rsidRPr="00960EA0">
        <w:rPr>
          <w:bCs/>
        </w:rPr>
        <w:t xml:space="preserve"> </w:t>
      </w:r>
    </w:p>
  </w:footnote>
  <w:footnote w:id="4">
    <w:p w14:paraId="11202799" w14:textId="77777777" w:rsidR="00414BBE" w:rsidRPr="00CE2070" w:rsidRDefault="00414BBE" w:rsidP="00414BBE">
      <w:pPr>
        <w:pStyle w:val="FootnoteText"/>
        <w:rPr>
          <w:i/>
          <w:iCs/>
          <w:sz w:val="16"/>
          <w:szCs w:val="16"/>
        </w:rPr>
      </w:pPr>
      <w:r>
        <w:rPr>
          <w:rStyle w:val="FootnoteReference"/>
        </w:rPr>
        <w:footnoteRef/>
      </w:r>
      <w:r>
        <w:t xml:space="preserve"> </w:t>
      </w:r>
      <w:r w:rsidRPr="00CE2070">
        <w:rPr>
          <w:i/>
          <w:iCs/>
          <w:sz w:val="16"/>
          <w:szCs w:val="16"/>
        </w:rPr>
        <w:t>The CRIS was published on 28 April, which is the formal commencement date of the consultation period. However, data collection activities (including the launch of the surveys) commenced from 5 May.</w:t>
      </w:r>
    </w:p>
  </w:footnote>
  <w:footnote w:id="5">
    <w:p w14:paraId="17304FD8" w14:textId="01C92B72" w:rsidR="00E92376" w:rsidRDefault="00E92376">
      <w:pPr>
        <w:pStyle w:val="FootnoteText"/>
      </w:pPr>
      <w:r>
        <w:rPr>
          <w:rStyle w:val="FootnoteReference"/>
        </w:rPr>
        <w:footnoteRef/>
      </w:r>
      <w:r>
        <w:t xml:space="preserve"> </w:t>
      </w:r>
      <w:r w:rsidRPr="004E7BA3">
        <w:rPr>
          <w:i/>
          <w:iCs/>
          <w:sz w:val="16"/>
          <w:szCs w:val="16"/>
        </w:rPr>
        <w:t>Tasmania has been in caretaker during the endorsement of the recommended policy options and final confirmation on recommended options will be provided once a government is formed. Tasmanian policy officers who have engaged with the Child Safety Review Group work will brief the incoming minister as required</w:t>
      </w:r>
      <w:r>
        <w:rPr>
          <w:i/>
          <w:iCs/>
          <w:sz w:val="16"/>
          <w:szCs w:val="16"/>
        </w:rPr>
        <w:t>.</w:t>
      </w:r>
    </w:p>
  </w:footnote>
  <w:footnote w:id="6">
    <w:p w14:paraId="7E88C778" w14:textId="77777777" w:rsidR="00C7111D" w:rsidRPr="00FF0AE2" w:rsidRDefault="00C7111D" w:rsidP="00C7111D">
      <w:pPr>
        <w:pStyle w:val="FootnoteText"/>
        <w:rPr>
          <w:i/>
          <w:iCs/>
          <w:sz w:val="16"/>
          <w:szCs w:val="16"/>
        </w:rPr>
      </w:pPr>
      <w:r w:rsidRPr="00FF0AE2">
        <w:rPr>
          <w:i/>
          <w:iCs/>
          <w:sz w:val="16"/>
          <w:szCs w:val="16"/>
        </w:rPr>
        <w:footnoteRef/>
      </w:r>
      <w:r w:rsidRPr="00FF0AE2">
        <w:rPr>
          <w:i/>
          <w:iCs/>
          <w:sz w:val="16"/>
          <w:szCs w:val="16"/>
        </w:rPr>
        <w:t xml:space="preserve"> Australian Government Guide to Regulatory Impact Analysis (2020), &lt; https://oia.pmc.gov.au/sites/default/files/2021-06/australian-government-guide-to-regulatory-impact-analysis.pdf&gt;.</w:t>
      </w:r>
    </w:p>
  </w:footnote>
  <w:footnote w:id="7">
    <w:p w14:paraId="605930D7" w14:textId="77777777" w:rsidR="00C7111D" w:rsidRPr="00FF0AE2" w:rsidRDefault="00C7111D" w:rsidP="00C7111D">
      <w:pPr>
        <w:pStyle w:val="FootnoteText"/>
        <w:rPr>
          <w:i/>
          <w:iCs/>
          <w:sz w:val="16"/>
          <w:szCs w:val="16"/>
        </w:rPr>
      </w:pPr>
      <w:r w:rsidRPr="00FF0AE2">
        <w:rPr>
          <w:i/>
          <w:iCs/>
          <w:sz w:val="16"/>
          <w:szCs w:val="16"/>
        </w:rPr>
        <w:footnoteRef/>
      </w:r>
      <w:r w:rsidRPr="00FF0AE2">
        <w:rPr>
          <w:i/>
          <w:iCs/>
          <w:sz w:val="16"/>
          <w:szCs w:val="16"/>
        </w:rPr>
        <w:t xml:space="preserve"> The Office of Impact Analysis, (2023), Regulatory Impact Analysis Guide for Ministers’ Meetings and National Standard Setting Bodies, &lt;https://oia.pmc.gov.au/sites/default/files/2024-09/regulatory-impact-analysis-guide-for-ministers-meetings-and-national-standard-setting-bodies.pdf&gt;.</w:t>
      </w:r>
    </w:p>
  </w:footnote>
  <w:footnote w:id="8">
    <w:p w14:paraId="58B397D3" w14:textId="77777777" w:rsidR="00C7111D" w:rsidRDefault="00C7111D" w:rsidP="00C7111D">
      <w:pPr>
        <w:pStyle w:val="FootnoteText"/>
      </w:pPr>
      <w:r w:rsidRPr="00FF0AE2">
        <w:rPr>
          <w:i/>
          <w:iCs/>
          <w:sz w:val="16"/>
          <w:szCs w:val="16"/>
        </w:rPr>
        <w:footnoteRef/>
      </w:r>
      <w:r w:rsidRPr="00FF0AE2">
        <w:rPr>
          <w:i/>
          <w:iCs/>
          <w:sz w:val="16"/>
          <w:szCs w:val="16"/>
        </w:rPr>
        <w:t xml:space="preserve"> This RIS also applies to the </w:t>
      </w:r>
      <w:r w:rsidRPr="0010267D">
        <w:rPr>
          <w:i/>
          <w:iCs/>
          <w:sz w:val="16"/>
          <w:szCs w:val="16"/>
        </w:rPr>
        <w:t>Education and Care Services National Law (Western Australia), see s</w:t>
      </w:r>
      <w:r>
        <w:rPr>
          <w:i/>
          <w:iCs/>
          <w:sz w:val="16"/>
          <w:szCs w:val="16"/>
        </w:rPr>
        <w:t>ection</w:t>
      </w:r>
      <w:r w:rsidRPr="0010267D">
        <w:rPr>
          <w:i/>
          <w:iCs/>
          <w:sz w:val="16"/>
          <w:szCs w:val="16"/>
        </w:rPr>
        <w:t xml:space="preserve"> 4 of the Education and Care Services National Law (WA) Act 2012</w:t>
      </w:r>
      <w:r>
        <w:rPr>
          <w:i/>
          <w:iCs/>
          <w:sz w:val="16"/>
          <w:szCs w:val="16"/>
        </w:rPr>
        <w:t>.</w:t>
      </w:r>
    </w:p>
  </w:footnote>
  <w:footnote w:id="9">
    <w:p w14:paraId="7CD44CD2" w14:textId="77777777" w:rsidR="00C7111D" w:rsidRPr="004E085F" w:rsidRDefault="00C7111D" w:rsidP="00C7111D">
      <w:pPr>
        <w:pStyle w:val="FootnoteText"/>
      </w:pPr>
      <w:r w:rsidRPr="00FF0AE2">
        <w:rPr>
          <w:i/>
          <w:iCs/>
          <w:sz w:val="16"/>
          <w:szCs w:val="16"/>
        </w:rPr>
        <w:footnoteRef/>
      </w:r>
      <w:r w:rsidRPr="00FF0AE2">
        <w:rPr>
          <w:i/>
          <w:iCs/>
          <w:sz w:val="16"/>
          <w:szCs w:val="16"/>
        </w:rPr>
        <w:t xml:space="preserve"> The Office of Impact Analysis, (2023), Regulatory Impact Analysis Guide for Ministers’ Meetings and National Standard Setting Bodies, &lt;https://oia.pmc.gov.au/sites/default/files/2024-09/regulatory-impact-analysis-guide-for-ministers-meetings-and-national-standard-setting-bodies.pdf&gt;.</w:t>
      </w:r>
    </w:p>
  </w:footnote>
  <w:footnote w:id="10">
    <w:p w14:paraId="779405F4" w14:textId="77777777" w:rsidR="00C7111D" w:rsidRPr="00CE2070" w:rsidRDefault="00C7111D" w:rsidP="00C7111D">
      <w:pPr>
        <w:pStyle w:val="FootnoteText"/>
        <w:rPr>
          <w:i/>
          <w:iCs/>
          <w:sz w:val="16"/>
          <w:szCs w:val="16"/>
        </w:rPr>
      </w:pPr>
      <w:r>
        <w:rPr>
          <w:rStyle w:val="FootnoteReference"/>
        </w:rPr>
        <w:footnoteRef/>
      </w:r>
      <w:r>
        <w:t xml:space="preserve"> </w:t>
      </w:r>
      <w:r w:rsidRPr="00CE2070">
        <w:rPr>
          <w:i/>
          <w:iCs/>
          <w:sz w:val="16"/>
          <w:szCs w:val="16"/>
        </w:rPr>
        <w:t>The CRIS was published on 28 April, which is the formal commencement date of the consultation period. However, data collection activities (including the launch of the surveys) commenced from 5 May.</w:t>
      </w:r>
    </w:p>
  </w:footnote>
  <w:footnote w:id="11">
    <w:p w14:paraId="04B5509D" w14:textId="77777777" w:rsidR="00C7111D" w:rsidRPr="00D93EFF" w:rsidRDefault="00C7111D" w:rsidP="00C7111D">
      <w:pPr>
        <w:pStyle w:val="FootnoteText"/>
        <w:rPr>
          <w:lang w:val="en-US"/>
        </w:rPr>
      </w:pPr>
      <w:r w:rsidRPr="00FF0AE2">
        <w:rPr>
          <w:i/>
          <w:iCs/>
          <w:sz w:val="16"/>
          <w:szCs w:val="16"/>
        </w:rPr>
        <w:footnoteRef/>
      </w:r>
      <w:r w:rsidRPr="00FF0AE2">
        <w:rPr>
          <w:i/>
          <w:iCs/>
          <w:sz w:val="16"/>
          <w:szCs w:val="16"/>
        </w:rPr>
        <w:t xml:space="preserve"> Appendix 1</w:t>
      </w:r>
      <w:r>
        <w:rPr>
          <w:i/>
          <w:iCs/>
          <w:sz w:val="16"/>
          <w:szCs w:val="16"/>
        </w:rPr>
        <w:t>2</w:t>
      </w:r>
      <w:r w:rsidRPr="00FF0AE2">
        <w:rPr>
          <w:i/>
          <w:iCs/>
          <w:sz w:val="16"/>
          <w:szCs w:val="16"/>
        </w:rPr>
        <w:t>.</w:t>
      </w:r>
      <w:r>
        <w:rPr>
          <w:i/>
          <w:iCs/>
          <w:sz w:val="16"/>
          <w:szCs w:val="16"/>
        </w:rPr>
        <w:t>2</w:t>
      </w:r>
      <w:r w:rsidRPr="00FF0AE2">
        <w:rPr>
          <w:i/>
          <w:iCs/>
          <w:sz w:val="16"/>
          <w:szCs w:val="16"/>
        </w:rPr>
        <w:t xml:space="preserve"> provides an overview of the recommendations of the CSR that are being considered as part of this </w:t>
      </w:r>
      <w:r>
        <w:rPr>
          <w:i/>
          <w:iCs/>
          <w:sz w:val="16"/>
          <w:szCs w:val="16"/>
        </w:rPr>
        <w:t>D</w:t>
      </w:r>
      <w:r w:rsidRPr="00FF0AE2">
        <w:rPr>
          <w:i/>
          <w:iCs/>
          <w:sz w:val="16"/>
          <w:szCs w:val="16"/>
        </w:rPr>
        <w:t>RIS.</w:t>
      </w:r>
    </w:p>
  </w:footnote>
  <w:footnote w:id="12">
    <w:p w14:paraId="3AE24AF6" w14:textId="77777777" w:rsidR="00C7111D" w:rsidRPr="002769D8" w:rsidRDefault="00C7111D" w:rsidP="00C7111D">
      <w:pPr>
        <w:pStyle w:val="FootnoteText"/>
        <w:rPr>
          <w:lang w:val="en-US"/>
        </w:rPr>
      </w:pPr>
      <w:r w:rsidRPr="00FF0AE2">
        <w:rPr>
          <w:i/>
          <w:iCs/>
          <w:sz w:val="16"/>
          <w:szCs w:val="16"/>
        </w:rPr>
        <w:footnoteRef/>
      </w:r>
      <w:r w:rsidRPr="00FF0AE2">
        <w:rPr>
          <w:i/>
          <w:iCs/>
          <w:sz w:val="16"/>
          <w:szCs w:val="16"/>
        </w:rPr>
        <w:t xml:space="preserve"> WWCC is used to represent working with children checks and working with vulnerable persons registration (WWVPR), in addition to equivalent checks across jurisdictions, in this document.</w:t>
      </w:r>
    </w:p>
  </w:footnote>
  <w:footnote w:id="13">
    <w:p w14:paraId="1FE9F36C" w14:textId="1B133206" w:rsidR="006A198B" w:rsidRPr="00FF0AE2" w:rsidRDefault="006A198B">
      <w:pPr>
        <w:pStyle w:val="FootnoteText"/>
        <w:rPr>
          <w:i/>
          <w:iCs/>
          <w:sz w:val="16"/>
          <w:szCs w:val="16"/>
        </w:rPr>
      </w:pPr>
      <w:r w:rsidRPr="00FF0AE2">
        <w:rPr>
          <w:i/>
          <w:iCs/>
          <w:sz w:val="16"/>
          <w:szCs w:val="16"/>
        </w:rPr>
        <w:footnoteRef/>
      </w:r>
      <w:r w:rsidRPr="00FF0AE2">
        <w:rPr>
          <w:i/>
          <w:iCs/>
          <w:sz w:val="16"/>
          <w:szCs w:val="16"/>
        </w:rPr>
        <w:t xml:space="preserve"> </w:t>
      </w:r>
      <w:r w:rsidR="009658E8" w:rsidRPr="00FF0AE2">
        <w:rPr>
          <w:i/>
          <w:iCs/>
          <w:sz w:val="16"/>
          <w:szCs w:val="16"/>
        </w:rPr>
        <w:t>Productivity Commission (2025)</w:t>
      </w:r>
      <w:r w:rsidR="009E2957" w:rsidRPr="00FF0AE2">
        <w:rPr>
          <w:i/>
          <w:iCs/>
          <w:sz w:val="16"/>
          <w:szCs w:val="16"/>
        </w:rPr>
        <w:t>,</w:t>
      </w:r>
      <w:r w:rsidR="009658E8" w:rsidRPr="00FF0AE2">
        <w:rPr>
          <w:i/>
          <w:iCs/>
          <w:sz w:val="16"/>
          <w:szCs w:val="16"/>
        </w:rPr>
        <w:t xml:space="preserve"> Report on Government Services 2025 Part B Section 3, &lt;https: / / www.pc.gov.au / ongoing / report-on-government-services / 2025 / child-care-education-and-training / early-childhood-education-and-care&gt;.</w:t>
      </w:r>
    </w:p>
  </w:footnote>
  <w:footnote w:id="14">
    <w:p w14:paraId="5B4FB0A2" w14:textId="77777777" w:rsidR="00FA3F36" w:rsidRDefault="00FA3F36" w:rsidP="00FA3F36">
      <w:pPr>
        <w:pStyle w:val="FootnoteText"/>
      </w:pPr>
      <w:r w:rsidRPr="00FF0AE2">
        <w:rPr>
          <w:i/>
          <w:iCs/>
          <w:sz w:val="16"/>
          <w:szCs w:val="16"/>
        </w:rPr>
        <w:footnoteRef/>
      </w:r>
      <w:r w:rsidRPr="00FF0AE2">
        <w:rPr>
          <w:i/>
          <w:iCs/>
          <w:sz w:val="16"/>
          <w:szCs w:val="16"/>
        </w:rPr>
        <w:t xml:space="preserve"> ACECQA, (2023), Review of Child Safety Arrangements under the National Quality Framework, &lt;https://www.acecqa.gov.au/sites/default/files/2023-12/Review%20of%20Child%20Safety%20Arrangements%20under%20the%20National%20Quality%20Framework-full_report.pdf&gt;.</w:t>
      </w:r>
    </w:p>
  </w:footnote>
  <w:footnote w:id="15">
    <w:p w14:paraId="3D852004" w14:textId="38C99EF9" w:rsidR="001D32F3" w:rsidRPr="000D798B" w:rsidRDefault="001D32F3">
      <w:pPr>
        <w:pStyle w:val="FootnoteText"/>
        <w:rPr>
          <w:i/>
          <w:sz w:val="16"/>
          <w:szCs w:val="16"/>
        </w:rPr>
      </w:pPr>
      <w:r>
        <w:rPr>
          <w:rStyle w:val="FootnoteReference"/>
        </w:rPr>
        <w:footnoteRef/>
      </w:r>
      <w:r>
        <w:t xml:space="preserve"> </w:t>
      </w:r>
      <w:r w:rsidR="004D6790" w:rsidRPr="000D798B">
        <w:rPr>
          <w:i/>
          <w:sz w:val="16"/>
          <w:szCs w:val="16"/>
        </w:rPr>
        <w:t>On 1 January 2026, the preamble to Quality Area 7 will explicitly make reference to child safety by including ‘the ethical management of a quality service that is child safe’.</w:t>
      </w:r>
    </w:p>
  </w:footnote>
  <w:footnote w:id="16">
    <w:p w14:paraId="0ECB9829" w14:textId="1D8B5372" w:rsidR="00103FDA" w:rsidRPr="00F33965" w:rsidRDefault="00103FDA" w:rsidP="00103FDA">
      <w:pPr>
        <w:pStyle w:val="FootnoteText"/>
      </w:pPr>
      <w:r w:rsidRPr="00FF0AE2">
        <w:rPr>
          <w:i/>
          <w:iCs/>
          <w:sz w:val="16"/>
          <w:szCs w:val="16"/>
        </w:rPr>
        <w:footnoteRef/>
      </w:r>
      <w:r w:rsidRPr="00FF0AE2">
        <w:rPr>
          <w:i/>
          <w:iCs/>
          <w:sz w:val="16"/>
          <w:szCs w:val="16"/>
        </w:rPr>
        <w:t xml:space="preserve"> An approved provider is </w:t>
      </w:r>
      <w:r w:rsidR="00CD1D67">
        <w:rPr>
          <w:i/>
          <w:iCs/>
          <w:sz w:val="16"/>
          <w:szCs w:val="16"/>
        </w:rPr>
        <w:t xml:space="preserve">defined in the National Law as </w:t>
      </w:r>
      <w:r w:rsidRPr="00FF0AE2">
        <w:rPr>
          <w:i/>
          <w:iCs/>
          <w:sz w:val="16"/>
          <w:szCs w:val="16"/>
        </w:rPr>
        <w:t xml:space="preserve">a person who holds a provider approval, which authorises them to apply for one or more service approvals. Approved providers are responsible </w:t>
      </w:r>
      <w:r w:rsidR="000B1BD7">
        <w:rPr>
          <w:i/>
          <w:iCs/>
          <w:sz w:val="16"/>
          <w:szCs w:val="16"/>
        </w:rPr>
        <w:t xml:space="preserve">under the National Law </w:t>
      </w:r>
      <w:r w:rsidRPr="00FF0AE2">
        <w:rPr>
          <w:i/>
          <w:iCs/>
          <w:sz w:val="16"/>
          <w:szCs w:val="16"/>
        </w:rPr>
        <w:t>for managing an education and care service they are approved to operate, across areas such as health and safety of children, staffing and documentation. An approved service is the site at which children attend and are educated and cared for by teachers and educators.</w:t>
      </w:r>
      <w:r>
        <w:rPr>
          <w:lang w:val="en-US"/>
        </w:rPr>
        <w:t xml:space="preserve"> </w:t>
      </w:r>
    </w:p>
  </w:footnote>
  <w:footnote w:id="17">
    <w:p w14:paraId="0EB59BFB" w14:textId="40086113" w:rsidR="006D1CE4" w:rsidRPr="00E135F8" w:rsidRDefault="006D1CE4" w:rsidP="006D1CE4">
      <w:pPr>
        <w:pStyle w:val="FootnoteText"/>
      </w:pPr>
      <w:r w:rsidRPr="00FF0AE2">
        <w:rPr>
          <w:i/>
          <w:iCs/>
          <w:sz w:val="16"/>
          <w:szCs w:val="16"/>
        </w:rPr>
        <w:footnoteRef/>
      </w:r>
      <w:r w:rsidRPr="00FF0AE2">
        <w:rPr>
          <w:i/>
          <w:iCs/>
          <w:sz w:val="16"/>
          <w:szCs w:val="16"/>
        </w:rPr>
        <w:t xml:space="preserve"> ACECQA, (2025), NQF Snapshot Q</w:t>
      </w:r>
      <w:r w:rsidR="004C2E26">
        <w:rPr>
          <w:i/>
          <w:iCs/>
          <w:sz w:val="16"/>
          <w:szCs w:val="16"/>
        </w:rPr>
        <w:t>1</w:t>
      </w:r>
      <w:r w:rsidRPr="00FF0AE2">
        <w:rPr>
          <w:i/>
          <w:iCs/>
          <w:sz w:val="16"/>
          <w:szCs w:val="16"/>
        </w:rPr>
        <w:t xml:space="preserve"> 202</w:t>
      </w:r>
      <w:r w:rsidR="004C2E26">
        <w:rPr>
          <w:i/>
          <w:iCs/>
          <w:sz w:val="16"/>
          <w:szCs w:val="16"/>
        </w:rPr>
        <w:t>5</w:t>
      </w:r>
      <w:r w:rsidRPr="00FF0AE2">
        <w:rPr>
          <w:i/>
          <w:iCs/>
          <w:sz w:val="16"/>
          <w:szCs w:val="16"/>
        </w:rPr>
        <w:t>, &lt;</w:t>
      </w:r>
      <w:r w:rsidR="002311EE" w:rsidRPr="002311EE">
        <w:t xml:space="preserve"> </w:t>
      </w:r>
      <w:r w:rsidR="002311EE" w:rsidRPr="002311EE">
        <w:rPr>
          <w:i/>
          <w:iCs/>
          <w:sz w:val="16"/>
          <w:szCs w:val="16"/>
        </w:rPr>
        <w:t>https://www.acecqa.gov.au/sites/default/files/2025-05/NQF%20Snapshot%20Q1%202025%20FINAL.PDF</w:t>
      </w:r>
      <w:r w:rsidR="002311EE" w:rsidRPr="002311EE" w:rsidDel="002311EE">
        <w:rPr>
          <w:i/>
          <w:iCs/>
          <w:sz w:val="16"/>
          <w:szCs w:val="16"/>
        </w:rPr>
        <w:t xml:space="preserve"> </w:t>
      </w:r>
      <w:r w:rsidRPr="00FF0AE2">
        <w:rPr>
          <w:i/>
          <w:iCs/>
          <w:sz w:val="16"/>
          <w:szCs w:val="16"/>
        </w:rPr>
        <w:t>&gt;.</w:t>
      </w:r>
    </w:p>
  </w:footnote>
  <w:footnote w:id="18">
    <w:p w14:paraId="3141705D" w14:textId="474C5EB8" w:rsidR="007D60BC" w:rsidRDefault="007D60BC">
      <w:pPr>
        <w:pStyle w:val="FootnoteText"/>
      </w:pPr>
      <w:r w:rsidRPr="002C2A72">
        <w:rPr>
          <w:i/>
          <w:iCs/>
          <w:sz w:val="16"/>
          <w:szCs w:val="16"/>
        </w:rPr>
        <w:footnoteRef/>
      </w:r>
      <w:r w:rsidRPr="002C2A72">
        <w:rPr>
          <w:i/>
          <w:iCs/>
          <w:sz w:val="16"/>
          <w:szCs w:val="16"/>
        </w:rPr>
        <w:t xml:space="preserve"> </w:t>
      </w:r>
      <w:r w:rsidR="002C2A72" w:rsidRPr="002C2A72">
        <w:rPr>
          <w:i/>
          <w:iCs/>
          <w:sz w:val="16"/>
          <w:szCs w:val="16"/>
        </w:rPr>
        <w:t>Unless otherwise stated, numbers here refer to the number of children aged 0-12 attending a Child Care Subsidy approved childcare service (excluding the preschool category). Some children attend more than one service.</w:t>
      </w:r>
    </w:p>
  </w:footnote>
  <w:footnote w:id="19">
    <w:p w14:paraId="2D5B361C" w14:textId="33F1907B" w:rsidR="002C2A72" w:rsidRDefault="002C2A72">
      <w:pPr>
        <w:pStyle w:val="FootnoteText"/>
      </w:pPr>
      <w:r w:rsidRPr="002C2A72">
        <w:rPr>
          <w:i/>
          <w:iCs/>
          <w:sz w:val="16"/>
          <w:szCs w:val="16"/>
        </w:rPr>
        <w:footnoteRef/>
      </w:r>
      <w:r w:rsidRPr="002C2A72">
        <w:rPr>
          <w:i/>
          <w:iCs/>
          <w:sz w:val="16"/>
          <w:szCs w:val="16"/>
        </w:rPr>
        <w:t xml:space="preserve"> </w:t>
      </w:r>
      <w:r w:rsidR="00B16323">
        <w:rPr>
          <w:i/>
          <w:iCs/>
          <w:sz w:val="16"/>
          <w:szCs w:val="16"/>
        </w:rPr>
        <w:t xml:space="preserve">Productivity Commission (2025), Report on Government </w:t>
      </w:r>
      <w:r w:rsidR="00C23D23">
        <w:rPr>
          <w:i/>
          <w:iCs/>
          <w:sz w:val="16"/>
          <w:szCs w:val="16"/>
        </w:rPr>
        <w:t>S</w:t>
      </w:r>
      <w:r w:rsidR="00B16323">
        <w:rPr>
          <w:i/>
          <w:iCs/>
          <w:sz w:val="16"/>
          <w:szCs w:val="16"/>
        </w:rPr>
        <w:t>er</w:t>
      </w:r>
      <w:r w:rsidR="00C23D23">
        <w:rPr>
          <w:i/>
          <w:iCs/>
          <w:sz w:val="16"/>
          <w:szCs w:val="16"/>
        </w:rPr>
        <w:t>vices 2025</w:t>
      </w:r>
      <w:r w:rsidR="002E346A">
        <w:rPr>
          <w:i/>
          <w:iCs/>
          <w:sz w:val="16"/>
          <w:szCs w:val="16"/>
        </w:rPr>
        <w:t>, &lt;</w:t>
      </w:r>
      <w:r w:rsidR="002E346A" w:rsidRPr="002E346A">
        <w:t xml:space="preserve"> </w:t>
      </w:r>
      <w:r w:rsidR="002E346A" w:rsidRPr="002E346A">
        <w:rPr>
          <w:i/>
          <w:iCs/>
          <w:sz w:val="16"/>
          <w:szCs w:val="16"/>
        </w:rPr>
        <w:t xml:space="preserve">https://www.pc.gov.au/ongoing/report-on-government-services/2025/child-care-education-and-training/early-childhood-education-and-care </w:t>
      </w:r>
      <w:r w:rsidR="002E346A">
        <w:rPr>
          <w:i/>
          <w:iCs/>
          <w:sz w:val="16"/>
          <w:szCs w:val="16"/>
        </w:rPr>
        <w:t>&gt;.</w:t>
      </w:r>
      <w:r w:rsidRPr="002C2A72">
        <w:rPr>
          <w:i/>
          <w:iCs/>
          <w:sz w:val="16"/>
          <w:szCs w:val="16"/>
        </w:rPr>
        <w:t xml:space="preserve"> Percentages are in relation to the total number of children attending childcare as in </w:t>
      </w:r>
      <w:r>
        <w:rPr>
          <w:i/>
          <w:iCs/>
          <w:sz w:val="16"/>
          <w:szCs w:val="16"/>
        </w:rPr>
        <w:t>the previous footnote</w:t>
      </w:r>
      <w:r w:rsidRPr="002C2A72">
        <w:rPr>
          <w:i/>
          <w:iCs/>
          <w:sz w:val="16"/>
          <w:szCs w:val="16"/>
        </w:rPr>
        <w:t xml:space="preserve"> and the number of children attending preschool.</w:t>
      </w:r>
    </w:p>
  </w:footnote>
  <w:footnote w:id="20">
    <w:p w14:paraId="7D376653" w14:textId="3AC91577" w:rsidR="007769D8" w:rsidRPr="00FF0AE2" w:rsidRDefault="007769D8">
      <w:pPr>
        <w:pStyle w:val="FootnoteText"/>
        <w:rPr>
          <w:i/>
          <w:iCs/>
          <w:sz w:val="16"/>
          <w:szCs w:val="16"/>
        </w:rPr>
      </w:pPr>
      <w:r w:rsidRPr="00FF0AE2">
        <w:rPr>
          <w:i/>
          <w:iCs/>
          <w:sz w:val="16"/>
          <w:szCs w:val="16"/>
        </w:rPr>
        <w:footnoteRef/>
      </w:r>
      <w:r w:rsidRPr="00FF0AE2">
        <w:rPr>
          <w:i/>
          <w:iCs/>
          <w:sz w:val="16"/>
          <w:szCs w:val="16"/>
        </w:rPr>
        <w:t xml:space="preserve"> Preschool is called ‘kindergarten’ in VIC, Queensland (QLD), Western Australia (WA) and Tasmania (TAS).</w:t>
      </w:r>
    </w:p>
  </w:footnote>
  <w:footnote w:id="21">
    <w:p w14:paraId="4C6D31BB" w14:textId="1891482C" w:rsidR="007769D8" w:rsidRDefault="007769D8">
      <w:pPr>
        <w:pStyle w:val="FootnoteText"/>
      </w:pPr>
      <w:r w:rsidRPr="00FF0AE2">
        <w:rPr>
          <w:i/>
          <w:iCs/>
          <w:sz w:val="16"/>
          <w:szCs w:val="16"/>
        </w:rPr>
        <w:footnoteRef/>
      </w:r>
      <w:r w:rsidRPr="00FF0AE2">
        <w:rPr>
          <w:i/>
          <w:iCs/>
          <w:sz w:val="16"/>
          <w:szCs w:val="16"/>
        </w:rPr>
        <w:t xml:space="preserve"> The majority of preschools/kindergartens operating in WA and TAS are </w:t>
      </w:r>
      <w:r w:rsidR="00AE4DB5">
        <w:rPr>
          <w:i/>
          <w:iCs/>
          <w:sz w:val="16"/>
          <w:szCs w:val="16"/>
        </w:rPr>
        <w:t>out of scope</w:t>
      </w:r>
      <w:r w:rsidR="00AE4DB5" w:rsidRPr="00FF0AE2">
        <w:rPr>
          <w:i/>
          <w:iCs/>
          <w:sz w:val="16"/>
          <w:szCs w:val="16"/>
        </w:rPr>
        <w:t xml:space="preserve"> </w:t>
      </w:r>
      <w:r w:rsidRPr="00FF0AE2">
        <w:rPr>
          <w:i/>
          <w:iCs/>
          <w:sz w:val="16"/>
          <w:szCs w:val="16"/>
        </w:rPr>
        <w:t>of the NQF, as they have oversight via the schooling system in these states.</w:t>
      </w:r>
    </w:p>
  </w:footnote>
  <w:footnote w:id="22">
    <w:p w14:paraId="79B0A4EA" w14:textId="267A1BEC" w:rsidR="002C2A72" w:rsidRDefault="002C2A72">
      <w:pPr>
        <w:pStyle w:val="FootnoteText"/>
      </w:pPr>
      <w:r w:rsidRPr="002C2A72">
        <w:rPr>
          <w:i/>
          <w:iCs/>
          <w:sz w:val="16"/>
          <w:szCs w:val="16"/>
        </w:rPr>
        <w:footnoteRef/>
      </w:r>
      <w:r w:rsidRPr="002C2A72">
        <w:rPr>
          <w:i/>
          <w:iCs/>
          <w:sz w:val="16"/>
          <w:szCs w:val="16"/>
        </w:rPr>
        <w:t xml:space="preserve"> The number of children enrolled in a preschool program is the number of children aged 3-6 enrolled in a preschool program as of 2023.</w:t>
      </w:r>
    </w:p>
  </w:footnote>
  <w:footnote w:id="23">
    <w:p w14:paraId="42157277" w14:textId="5F5C4DC4" w:rsidR="006427E3" w:rsidRPr="006427E3" w:rsidRDefault="006427E3">
      <w:pPr>
        <w:pStyle w:val="FootnoteText"/>
        <w:rPr>
          <w:lang w:val="en-US"/>
        </w:rPr>
      </w:pPr>
      <w:r w:rsidRPr="00FF0AE2">
        <w:rPr>
          <w:i/>
          <w:iCs/>
          <w:sz w:val="16"/>
          <w:szCs w:val="16"/>
        </w:rPr>
        <w:footnoteRef/>
      </w:r>
      <w:r w:rsidRPr="00FF0AE2">
        <w:rPr>
          <w:i/>
          <w:iCs/>
          <w:sz w:val="16"/>
          <w:szCs w:val="16"/>
        </w:rPr>
        <w:t xml:space="preserve"> </w:t>
      </w:r>
      <w:r w:rsidR="004E1BBB" w:rsidRPr="00FF0AE2">
        <w:rPr>
          <w:i/>
          <w:iCs/>
          <w:sz w:val="16"/>
          <w:szCs w:val="16"/>
        </w:rPr>
        <w:t>NQ</w:t>
      </w:r>
      <w:r w:rsidR="00CA79A9" w:rsidRPr="00FF0AE2">
        <w:rPr>
          <w:i/>
          <w:iCs/>
          <w:sz w:val="16"/>
          <w:szCs w:val="16"/>
        </w:rPr>
        <w:t xml:space="preserve">A ITS data collected on provider management type is self-reported by providers when applying for service approval. The service profile can vary significantly between provider management types. For example, Private for Profit’ managed services are predominantly </w:t>
      </w:r>
      <w:r w:rsidR="00052FF1">
        <w:rPr>
          <w:i/>
          <w:iCs/>
          <w:sz w:val="16"/>
          <w:szCs w:val="16"/>
        </w:rPr>
        <w:t>LDC</w:t>
      </w:r>
      <w:r w:rsidR="00CA79A9" w:rsidRPr="00FF0AE2">
        <w:rPr>
          <w:i/>
          <w:iCs/>
          <w:sz w:val="16"/>
          <w:szCs w:val="16"/>
        </w:rPr>
        <w:t xml:space="preserve"> services, while ‘State/Territory and local government’ managed services are predominantly preschools/kindergartens.</w:t>
      </w:r>
    </w:p>
  </w:footnote>
  <w:footnote w:id="24">
    <w:p w14:paraId="29ED28D7" w14:textId="4E9B2C18" w:rsidR="002125E8" w:rsidRPr="00FF0AE2" w:rsidRDefault="002125E8" w:rsidP="002125E8">
      <w:pPr>
        <w:pStyle w:val="FootnoteText"/>
        <w:rPr>
          <w:i/>
          <w:iCs/>
          <w:sz w:val="16"/>
          <w:szCs w:val="16"/>
        </w:rPr>
      </w:pPr>
      <w:r>
        <w:rPr>
          <w:rStyle w:val="FootnoteReference"/>
        </w:rPr>
        <w:footnoteRef/>
      </w:r>
      <w:r>
        <w:t xml:space="preserve"> </w:t>
      </w:r>
      <w:r w:rsidRPr="00FF0AE2">
        <w:rPr>
          <w:i/>
          <w:iCs/>
          <w:sz w:val="16"/>
          <w:szCs w:val="16"/>
        </w:rPr>
        <w:t xml:space="preserve">Implementation of further recommendations from the CSR are being progressed concurrently to the policy options included in the </w:t>
      </w:r>
      <w:r w:rsidR="00D73C48">
        <w:rPr>
          <w:i/>
          <w:iCs/>
          <w:sz w:val="16"/>
          <w:szCs w:val="16"/>
        </w:rPr>
        <w:t>D</w:t>
      </w:r>
      <w:r w:rsidRPr="00FF0AE2">
        <w:rPr>
          <w:i/>
          <w:iCs/>
          <w:sz w:val="16"/>
          <w:szCs w:val="16"/>
        </w:rPr>
        <w:t xml:space="preserve">RIS. These further recommendations are either outside the scope of the NQF but within the remit of Education Ministers (Recommendations 6, 7, 8) or are outside the scope of the NQF and outside the remit of Education Ministers (Recommendations 2.2, 13, 14, 15.1-15.6 and </w:t>
      </w:r>
      <w:r w:rsidR="001C425F" w:rsidRPr="00FF0AE2">
        <w:rPr>
          <w:i/>
          <w:iCs/>
          <w:sz w:val="16"/>
          <w:szCs w:val="16"/>
        </w:rPr>
        <w:t xml:space="preserve">possibly </w:t>
      </w:r>
      <w:r w:rsidRPr="00FF0AE2">
        <w:rPr>
          <w:i/>
          <w:iCs/>
          <w:sz w:val="16"/>
          <w:szCs w:val="16"/>
        </w:rPr>
        <w:t xml:space="preserve">16). For a full description of these recommendations, refer to the </w:t>
      </w:r>
      <w:hyperlink r:id="rId1" w:history="1">
        <w:r w:rsidRPr="00FF0AE2">
          <w:rPr>
            <w:i/>
            <w:iCs/>
            <w:color w:val="0563C1"/>
            <w:sz w:val="16"/>
            <w:szCs w:val="16"/>
            <w:u w:val="single"/>
          </w:rPr>
          <w:t>CSR full report</w:t>
        </w:r>
      </w:hyperlink>
      <w:r w:rsidRPr="00FF0AE2">
        <w:rPr>
          <w:i/>
          <w:iCs/>
          <w:sz w:val="16"/>
          <w:szCs w:val="16"/>
        </w:rPr>
        <w:t>.</w:t>
      </w:r>
    </w:p>
  </w:footnote>
  <w:footnote w:id="25">
    <w:p w14:paraId="4F426D3D" w14:textId="505910E7" w:rsidR="009B3870" w:rsidRPr="00FF0AE2" w:rsidRDefault="009B3870" w:rsidP="009B3870">
      <w:pPr>
        <w:pStyle w:val="FootnoteText"/>
        <w:rPr>
          <w:i/>
          <w:iCs/>
          <w:sz w:val="16"/>
          <w:szCs w:val="16"/>
        </w:rPr>
      </w:pPr>
      <w:r w:rsidRPr="00FF0AE2">
        <w:rPr>
          <w:i/>
          <w:iCs/>
          <w:sz w:val="16"/>
          <w:szCs w:val="16"/>
        </w:rPr>
        <w:footnoteRef/>
      </w:r>
      <w:r w:rsidRPr="00FF0AE2">
        <w:rPr>
          <w:i/>
          <w:iCs/>
          <w:sz w:val="16"/>
          <w:szCs w:val="16"/>
        </w:rPr>
        <w:t xml:space="preserve"> Noting there are a number of offences for which FDC educators are liable. </w:t>
      </w:r>
    </w:p>
  </w:footnote>
  <w:footnote w:id="26">
    <w:p w14:paraId="19FE47F7" w14:textId="32ADB55E" w:rsidR="0062485D" w:rsidRPr="00FF0AE2" w:rsidRDefault="0062485D">
      <w:pPr>
        <w:pStyle w:val="FootnoteText"/>
        <w:rPr>
          <w:i/>
          <w:iCs/>
          <w:sz w:val="16"/>
          <w:szCs w:val="16"/>
        </w:rPr>
      </w:pPr>
      <w:r w:rsidRPr="00FF0AE2">
        <w:rPr>
          <w:i/>
          <w:iCs/>
          <w:sz w:val="16"/>
          <w:szCs w:val="16"/>
        </w:rPr>
        <w:footnoteRef/>
      </w:r>
      <w:r w:rsidRPr="00FF0AE2">
        <w:rPr>
          <w:i/>
          <w:iCs/>
          <w:sz w:val="16"/>
          <w:szCs w:val="16"/>
        </w:rPr>
        <w:t xml:space="preserve"> </w:t>
      </w:r>
      <w:r w:rsidR="000D36CB" w:rsidRPr="00FF0AE2">
        <w:rPr>
          <w:i/>
          <w:iCs/>
          <w:sz w:val="16"/>
          <w:szCs w:val="16"/>
        </w:rPr>
        <w:t>I</w:t>
      </w:r>
      <w:r w:rsidRPr="00FF0AE2">
        <w:rPr>
          <w:i/>
          <w:iCs/>
          <w:sz w:val="16"/>
          <w:szCs w:val="16"/>
        </w:rPr>
        <w:t xml:space="preserve">n jurisdictions with a </w:t>
      </w:r>
      <w:r w:rsidR="000D36CB" w:rsidRPr="00FF0AE2">
        <w:rPr>
          <w:i/>
          <w:iCs/>
          <w:sz w:val="16"/>
          <w:szCs w:val="16"/>
        </w:rPr>
        <w:t>working with vulnerable persons</w:t>
      </w:r>
      <w:r w:rsidRPr="00FF0AE2">
        <w:rPr>
          <w:i/>
          <w:iCs/>
          <w:sz w:val="16"/>
          <w:szCs w:val="16"/>
        </w:rPr>
        <w:t xml:space="preserve"> registration</w:t>
      </w:r>
      <w:r w:rsidR="000D36CB" w:rsidRPr="00FF0AE2">
        <w:rPr>
          <w:i/>
          <w:iCs/>
          <w:sz w:val="16"/>
          <w:szCs w:val="16"/>
        </w:rPr>
        <w:t xml:space="preserve"> (WWVPR)</w:t>
      </w:r>
      <w:r w:rsidR="00A86F04" w:rsidRPr="00FF0AE2">
        <w:rPr>
          <w:i/>
          <w:iCs/>
          <w:sz w:val="16"/>
          <w:szCs w:val="16"/>
        </w:rPr>
        <w:t xml:space="preserve"> that does not only cover children</w:t>
      </w:r>
      <w:r w:rsidRPr="00FF0AE2">
        <w:rPr>
          <w:i/>
          <w:iCs/>
          <w:sz w:val="16"/>
          <w:szCs w:val="16"/>
        </w:rPr>
        <w:t>, th</w:t>
      </w:r>
      <w:r w:rsidR="00A86F04" w:rsidRPr="00FF0AE2">
        <w:rPr>
          <w:i/>
          <w:iCs/>
          <w:sz w:val="16"/>
          <w:szCs w:val="16"/>
        </w:rPr>
        <w:t>is cancellation may only apply to an individual’s ability to work with children, specifically.</w:t>
      </w:r>
    </w:p>
  </w:footnote>
  <w:footnote w:id="27">
    <w:p w14:paraId="51551248" w14:textId="1886E48B" w:rsidR="001F3817" w:rsidRDefault="001F3817">
      <w:pPr>
        <w:pStyle w:val="FootnoteText"/>
      </w:pPr>
      <w:r w:rsidRPr="00FF0AE2">
        <w:rPr>
          <w:i/>
          <w:iCs/>
          <w:sz w:val="16"/>
          <w:szCs w:val="16"/>
        </w:rPr>
        <w:footnoteRef/>
      </w:r>
      <w:r w:rsidRPr="00FF0AE2">
        <w:rPr>
          <w:i/>
          <w:iCs/>
          <w:sz w:val="16"/>
          <w:szCs w:val="16"/>
        </w:rPr>
        <w:t xml:space="preserve"> WWCC is used to represent working with children checks and working with vulnerable persons registration (WWVPR), in addition to equivalent checks across jurisdictions, in this document.</w:t>
      </w:r>
    </w:p>
  </w:footnote>
  <w:footnote w:id="28">
    <w:p w14:paraId="6DED56A6" w14:textId="43DBBBA6" w:rsidR="00DD29A3" w:rsidRPr="00FF0768" w:rsidRDefault="00DD29A3">
      <w:pPr>
        <w:pStyle w:val="FootnoteText"/>
        <w:rPr>
          <w:i/>
          <w:sz w:val="16"/>
          <w:szCs w:val="16"/>
          <w:lang w:val="en-US"/>
        </w:rPr>
      </w:pPr>
      <w:r w:rsidRPr="00245BD5">
        <w:rPr>
          <w:rStyle w:val="FootnoteReference"/>
          <w:i/>
          <w:sz w:val="16"/>
          <w:szCs w:val="16"/>
          <w:vertAlign w:val="baseline"/>
        </w:rPr>
        <w:footnoteRef/>
      </w:r>
      <w:r w:rsidRPr="00FF0768">
        <w:rPr>
          <w:i/>
          <w:sz w:val="16"/>
          <w:szCs w:val="16"/>
        </w:rPr>
        <w:t xml:space="preserve"> </w:t>
      </w:r>
      <w:r w:rsidRPr="00FF0768">
        <w:rPr>
          <w:i/>
          <w:sz w:val="16"/>
          <w:szCs w:val="16"/>
          <w:lang w:val="en-US"/>
        </w:rPr>
        <w:t>Keeping Children Safe (</w:t>
      </w:r>
      <w:r w:rsidR="0047285B" w:rsidRPr="00FF0768">
        <w:rPr>
          <w:i/>
          <w:sz w:val="16"/>
          <w:szCs w:val="16"/>
          <w:lang w:val="en-US"/>
        </w:rPr>
        <w:t>2025), The International Child Safeguarding Standards, &lt;</w:t>
      </w:r>
      <w:r w:rsidR="00A13788" w:rsidRPr="00FF0768">
        <w:rPr>
          <w:i/>
          <w:sz w:val="16"/>
          <w:szCs w:val="16"/>
          <w:lang w:val="en-US"/>
        </w:rPr>
        <w:t>https://www.keepingchildrensafe.global/international-child-safeguarding-standards/</w:t>
      </w:r>
      <w:r w:rsidR="0047285B" w:rsidRPr="00FF0768">
        <w:rPr>
          <w:i/>
          <w:sz w:val="16"/>
          <w:szCs w:val="16"/>
          <w:lang w:val="en-US"/>
        </w:rPr>
        <w:t>&gt;</w:t>
      </w:r>
    </w:p>
  </w:footnote>
  <w:footnote w:id="29">
    <w:p w14:paraId="4506BE2A" w14:textId="188A8DEA" w:rsidR="007811D8" w:rsidRPr="00F31ABD" w:rsidRDefault="007811D8">
      <w:pPr>
        <w:pStyle w:val="FootnoteText"/>
        <w:rPr>
          <w:i/>
          <w:iCs/>
          <w:sz w:val="16"/>
          <w:szCs w:val="16"/>
        </w:rPr>
      </w:pPr>
      <w:r w:rsidRPr="00245BD5">
        <w:rPr>
          <w:rStyle w:val="FootnoteReference"/>
          <w:i/>
          <w:sz w:val="16"/>
          <w:szCs w:val="16"/>
          <w:vertAlign w:val="baseline"/>
        </w:rPr>
        <w:footnoteRef/>
      </w:r>
      <w:r w:rsidRPr="00245BD5">
        <w:rPr>
          <w:i/>
          <w:iCs/>
          <w:sz w:val="16"/>
          <w:szCs w:val="16"/>
        </w:rPr>
        <w:t xml:space="preserve"> </w:t>
      </w:r>
      <w:r w:rsidR="00336617" w:rsidRPr="00245BD5">
        <w:rPr>
          <w:i/>
          <w:iCs/>
          <w:sz w:val="16"/>
          <w:szCs w:val="16"/>
        </w:rPr>
        <w:t>NQF Annual Performance Report</w:t>
      </w:r>
      <w:r w:rsidRPr="00245BD5">
        <w:rPr>
          <w:i/>
          <w:iCs/>
          <w:sz w:val="16"/>
          <w:szCs w:val="16"/>
        </w:rPr>
        <w:t xml:space="preserve"> (</w:t>
      </w:r>
      <w:r w:rsidR="00336617" w:rsidRPr="00245BD5">
        <w:rPr>
          <w:i/>
          <w:iCs/>
          <w:sz w:val="16"/>
          <w:szCs w:val="16"/>
        </w:rPr>
        <w:t>2023</w:t>
      </w:r>
      <w:r w:rsidR="0050743C" w:rsidRPr="00245BD5">
        <w:rPr>
          <w:i/>
          <w:iCs/>
          <w:sz w:val="16"/>
          <w:szCs w:val="16"/>
        </w:rPr>
        <w:t>), &lt;</w:t>
      </w:r>
      <w:r w:rsidR="0095587D" w:rsidRPr="00245BD5">
        <w:rPr>
          <w:i/>
          <w:iCs/>
          <w:sz w:val="16"/>
          <w:szCs w:val="16"/>
        </w:rPr>
        <w:t>https://www.acecqa.gov.au/sites/default/files/2023-11/2023-NQF-Annual-Performance-Report-FINAL_0.pdf</w:t>
      </w:r>
      <w:r w:rsidRPr="00245BD5">
        <w:rPr>
          <w:i/>
          <w:iCs/>
          <w:sz w:val="16"/>
          <w:szCs w:val="16"/>
        </w:rPr>
        <w:t>&gt;</w:t>
      </w:r>
      <w:r w:rsidRPr="007811D8">
        <w:rPr>
          <w:sz w:val="16"/>
          <w:szCs w:val="16"/>
        </w:rPr>
        <w:t xml:space="preserve"> </w:t>
      </w:r>
      <w:r w:rsidRPr="00F31ABD">
        <w:rPr>
          <w:i/>
          <w:iCs/>
          <w:sz w:val="16"/>
          <w:szCs w:val="16"/>
        </w:rPr>
        <w:t>Keeping Children Safe (2025), The International Child Safeguarding Standards, &lt;https://www.keepingchildrensafe.global/international-child-safeguarding-standards/&gt;</w:t>
      </w:r>
      <w:r w:rsidR="00F31ABD">
        <w:rPr>
          <w:i/>
          <w:iCs/>
          <w:sz w:val="16"/>
          <w:szCs w:val="16"/>
        </w:rPr>
        <w:t>.</w:t>
      </w:r>
    </w:p>
  </w:footnote>
  <w:footnote w:id="30">
    <w:p w14:paraId="4C018DB4" w14:textId="77777777" w:rsidR="00F85E2C" w:rsidRPr="00CE2070" w:rsidRDefault="00F85E2C" w:rsidP="00F85E2C">
      <w:pPr>
        <w:pStyle w:val="FootnoteText"/>
        <w:rPr>
          <w:i/>
          <w:iCs/>
          <w:sz w:val="16"/>
          <w:szCs w:val="16"/>
        </w:rPr>
      </w:pPr>
      <w:r>
        <w:rPr>
          <w:rStyle w:val="FootnoteReference"/>
        </w:rPr>
        <w:footnoteRef/>
      </w:r>
      <w:r>
        <w:t xml:space="preserve"> </w:t>
      </w:r>
      <w:r w:rsidRPr="00CE2070">
        <w:rPr>
          <w:i/>
          <w:iCs/>
          <w:sz w:val="16"/>
          <w:szCs w:val="16"/>
        </w:rPr>
        <w:t>The CRIS was published on 28 April, which is the formal commencement date of the consultation period. However, data collection activities (including the launch of the surveys) commenced from 5 May.</w:t>
      </w:r>
    </w:p>
  </w:footnote>
  <w:footnote w:id="31">
    <w:p w14:paraId="7F4258F7" w14:textId="79AFE201" w:rsidR="003203B3" w:rsidRPr="00FF0768" w:rsidRDefault="003203B3">
      <w:pPr>
        <w:pStyle w:val="FootnoteText"/>
        <w:rPr>
          <w:i/>
          <w:sz w:val="16"/>
          <w:szCs w:val="16"/>
          <w:lang w:val="en-US"/>
        </w:rPr>
      </w:pPr>
      <w:r w:rsidRPr="00FF0768">
        <w:rPr>
          <w:rStyle w:val="FootnoteReference"/>
          <w:i/>
          <w:sz w:val="16"/>
          <w:szCs w:val="16"/>
        </w:rPr>
        <w:footnoteRef/>
      </w:r>
      <w:r w:rsidRPr="00FF0768">
        <w:rPr>
          <w:i/>
          <w:sz w:val="16"/>
          <w:szCs w:val="16"/>
        </w:rPr>
        <w:t xml:space="preserve"> </w:t>
      </w:r>
      <w:r w:rsidRPr="00FF0768">
        <w:rPr>
          <w:i/>
          <w:sz w:val="16"/>
          <w:szCs w:val="16"/>
          <w:lang w:val="en-US"/>
        </w:rPr>
        <w:t xml:space="preserve">The </w:t>
      </w:r>
      <w:r w:rsidR="00CF0027" w:rsidRPr="00FF0768">
        <w:rPr>
          <w:i/>
          <w:sz w:val="16"/>
          <w:szCs w:val="16"/>
          <w:lang w:val="en-US"/>
        </w:rPr>
        <w:t>Australian Government established the PCRG to provide parents and carers an opportunity to have a say on what the government is doing to support our youngest children.</w:t>
      </w:r>
      <w:r w:rsidR="00974752" w:rsidRPr="00FF0768">
        <w:rPr>
          <w:i/>
          <w:sz w:val="16"/>
          <w:szCs w:val="16"/>
          <w:lang w:val="en-US"/>
        </w:rPr>
        <w:t xml:space="preserve"> The Department of Social Services provides secretariat services for the PCRG. The PCRG includes representatives of peak parenting bodies and parents and/or carers from diverse backgrounds. </w:t>
      </w:r>
    </w:p>
  </w:footnote>
  <w:footnote w:id="32">
    <w:p w14:paraId="314CB4FD" w14:textId="1D65B576" w:rsidR="005E296F" w:rsidRPr="00FF0768" w:rsidRDefault="005E296F">
      <w:pPr>
        <w:pStyle w:val="FootnoteText"/>
        <w:rPr>
          <w:i/>
          <w:sz w:val="16"/>
          <w:szCs w:val="16"/>
        </w:rPr>
      </w:pPr>
      <w:r w:rsidRPr="00FF0768">
        <w:rPr>
          <w:rStyle w:val="FootnoteReference"/>
          <w:i/>
          <w:sz w:val="16"/>
          <w:szCs w:val="16"/>
        </w:rPr>
        <w:footnoteRef/>
      </w:r>
      <w:r w:rsidRPr="00FF0768">
        <w:rPr>
          <w:i/>
          <w:sz w:val="16"/>
          <w:szCs w:val="16"/>
        </w:rPr>
        <w:t xml:space="preserve"> One document submission included a video submission, and one </w:t>
      </w:r>
      <w:r w:rsidR="001F69D1" w:rsidRPr="00FF0768">
        <w:rPr>
          <w:i/>
          <w:sz w:val="16"/>
          <w:szCs w:val="16"/>
        </w:rPr>
        <w:t xml:space="preserve">included the results of a child voice activity. </w:t>
      </w:r>
    </w:p>
  </w:footnote>
  <w:footnote w:id="33">
    <w:p w14:paraId="66CF4230" w14:textId="7A631DE9" w:rsidR="00DA4FA2" w:rsidRDefault="00DA4FA2">
      <w:pPr>
        <w:pStyle w:val="FootnoteText"/>
      </w:pPr>
      <w:r w:rsidRPr="00FF0768">
        <w:rPr>
          <w:rStyle w:val="FootnoteReference"/>
          <w:i/>
          <w:sz w:val="16"/>
          <w:szCs w:val="16"/>
        </w:rPr>
        <w:footnoteRef/>
      </w:r>
      <w:r w:rsidRPr="00FF0768">
        <w:rPr>
          <w:i/>
          <w:sz w:val="16"/>
          <w:szCs w:val="16"/>
        </w:rPr>
        <w:t xml:space="preserve"> Other included, for example, private organisations</w:t>
      </w:r>
      <w:r w:rsidR="00A61B51" w:rsidRPr="00FF0768">
        <w:rPr>
          <w:i/>
          <w:sz w:val="16"/>
          <w:szCs w:val="16"/>
        </w:rPr>
        <w:t>, government agencies, and a student.</w:t>
      </w:r>
    </w:p>
  </w:footnote>
  <w:footnote w:id="34">
    <w:p w14:paraId="22F2E29D" w14:textId="30D54682" w:rsidR="00D601E7" w:rsidRPr="00683745" w:rsidRDefault="00D601E7">
      <w:pPr>
        <w:pStyle w:val="FootnoteText"/>
        <w:rPr>
          <w:i/>
          <w:iCs/>
          <w:sz w:val="16"/>
          <w:szCs w:val="16"/>
        </w:rPr>
      </w:pPr>
      <w:r>
        <w:rPr>
          <w:rStyle w:val="FootnoteReference"/>
        </w:rPr>
        <w:footnoteRef/>
      </w:r>
      <w:r>
        <w:t xml:space="preserve"> </w:t>
      </w:r>
      <w:r w:rsidRPr="00683745">
        <w:rPr>
          <w:i/>
          <w:iCs/>
          <w:sz w:val="16"/>
          <w:szCs w:val="16"/>
        </w:rPr>
        <w:t xml:space="preserve">See McCarthy, M., Taylor, P., Norman, R. E., Pezzullo, L., Tucci, J., &amp; Goddard, C., (2016), The lifetime economic and social costs of child maltreatment in Australia, Children and Youth Services Review, 71, 217-226. DOI: </w:t>
      </w:r>
      <w:hyperlink r:id="rId2" w:history="1">
        <w:r w:rsidRPr="00683745">
          <w:rPr>
            <w:rStyle w:val="Hyperlink"/>
            <w:i/>
            <w:iCs/>
            <w:sz w:val="16"/>
            <w:szCs w:val="16"/>
          </w:rPr>
          <w:t>https://doi.org/10.1016/j.childyouth.2016.11.014</w:t>
        </w:r>
      </w:hyperlink>
      <w:r w:rsidRPr="00683745">
        <w:rPr>
          <w:i/>
          <w:iCs/>
          <w:sz w:val="16"/>
          <w:szCs w:val="16"/>
        </w:rPr>
        <w:t xml:space="preserve">. </w:t>
      </w:r>
    </w:p>
  </w:footnote>
  <w:footnote w:id="35">
    <w:p w14:paraId="6B5949C3" w14:textId="235004D6" w:rsidR="00D601E7" w:rsidRDefault="00D601E7">
      <w:pPr>
        <w:pStyle w:val="FootnoteText"/>
      </w:pPr>
      <w:r w:rsidRPr="00683745">
        <w:rPr>
          <w:rStyle w:val="FootnoteReference"/>
          <w:i/>
          <w:iCs/>
        </w:rPr>
        <w:footnoteRef/>
      </w:r>
      <w:r w:rsidRPr="00683745">
        <w:rPr>
          <w:i/>
          <w:iCs/>
          <w:sz w:val="16"/>
          <w:szCs w:val="16"/>
        </w:rPr>
        <w:t xml:space="preserve"> This cost has been inflated to 2</w:t>
      </w:r>
      <w:r w:rsidR="003F2759">
        <w:rPr>
          <w:i/>
          <w:iCs/>
          <w:sz w:val="16"/>
          <w:szCs w:val="16"/>
        </w:rPr>
        <w:t>0</w:t>
      </w:r>
      <w:r w:rsidRPr="00683745">
        <w:rPr>
          <w:i/>
          <w:iCs/>
          <w:sz w:val="16"/>
          <w:szCs w:val="16"/>
        </w:rPr>
        <w:t>25 dollars using CPI figures published by the Australian Bureau of Statistics.</w:t>
      </w:r>
    </w:p>
  </w:footnote>
  <w:footnote w:id="36">
    <w:p w14:paraId="352CE707" w14:textId="3FDA337D" w:rsidR="00D601E7" w:rsidRDefault="00D601E7">
      <w:pPr>
        <w:pStyle w:val="FootnoteText"/>
      </w:pPr>
      <w:r>
        <w:rPr>
          <w:rStyle w:val="FootnoteReference"/>
        </w:rPr>
        <w:footnoteRef/>
      </w:r>
      <w:r>
        <w:t xml:space="preserve"> </w:t>
      </w:r>
      <w:r w:rsidRPr="00BF150D">
        <w:rPr>
          <w:i/>
          <w:iCs/>
          <w:sz w:val="16"/>
          <w:szCs w:val="16"/>
        </w:rPr>
        <w:t>See &lt;https://oia.pmc.gov.au/resources/guidance-impact-analysis/regulatory-impact-analysis-guide-ministers-meetings-and-national&gt;.</w:t>
      </w:r>
    </w:p>
  </w:footnote>
  <w:footnote w:id="37">
    <w:p w14:paraId="171D493E" w14:textId="53B04FEA" w:rsidR="00EB4295" w:rsidRDefault="00EB4295">
      <w:pPr>
        <w:pStyle w:val="FootnoteText"/>
      </w:pPr>
      <w:r>
        <w:rPr>
          <w:rStyle w:val="FootnoteReference"/>
        </w:rPr>
        <w:footnoteRef/>
      </w:r>
      <w:r>
        <w:t xml:space="preserve"> </w:t>
      </w:r>
      <w:r w:rsidRPr="00324057">
        <w:rPr>
          <w:i/>
          <w:iCs/>
          <w:sz w:val="16"/>
          <w:szCs w:val="16"/>
        </w:rPr>
        <w:t xml:space="preserve">OIA’s guidance </w:t>
      </w:r>
      <w:r w:rsidR="00BE533F" w:rsidRPr="00324057">
        <w:rPr>
          <w:i/>
          <w:iCs/>
          <w:sz w:val="16"/>
          <w:szCs w:val="16"/>
        </w:rPr>
        <w:t xml:space="preserve">specifically asks the RIS question ‘What are the policy options under consideration?’, however this subsection of each chapter has been slightly amended as some of the recommended options </w:t>
      </w:r>
      <w:r w:rsidR="00324057" w:rsidRPr="00324057">
        <w:rPr>
          <w:i/>
          <w:iCs/>
          <w:sz w:val="16"/>
          <w:szCs w:val="16"/>
        </w:rPr>
        <w:t>incorporate changes to the consulted option based on stakeholder feedback.</w:t>
      </w:r>
      <w:r w:rsidR="00324057" w:rsidRPr="00324057">
        <w:rPr>
          <w:sz w:val="16"/>
          <w:szCs w:val="16"/>
        </w:rPr>
        <w:t xml:space="preserve"> </w:t>
      </w:r>
    </w:p>
  </w:footnote>
  <w:footnote w:id="38">
    <w:p w14:paraId="0F1BAF1C" w14:textId="6525D210" w:rsidR="001241C6" w:rsidRDefault="001241C6">
      <w:pPr>
        <w:pStyle w:val="FootnoteText"/>
      </w:pPr>
      <w:r>
        <w:rPr>
          <w:rStyle w:val="FootnoteReference"/>
        </w:rPr>
        <w:footnoteRef/>
      </w:r>
      <w:r>
        <w:t xml:space="preserve"> </w:t>
      </w:r>
      <w:r w:rsidR="009B0CDA" w:rsidRPr="009B0CDA">
        <w:rPr>
          <w:i/>
          <w:iCs/>
          <w:sz w:val="16"/>
          <w:szCs w:val="16"/>
        </w:rPr>
        <w:t>The National Regulations will be more specific in these requirements</w:t>
      </w:r>
      <w:r w:rsidR="009B0CDA" w:rsidRPr="009B0CDA">
        <w:rPr>
          <w:sz w:val="16"/>
          <w:szCs w:val="16"/>
        </w:rPr>
        <w:t xml:space="preserve"> </w:t>
      </w:r>
      <w:r w:rsidR="009B0CDA" w:rsidRPr="003A76A9">
        <w:rPr>
          <w:i/>
          <w:iCs/>
          <w:sz w:val="16"/>
          <w:szCs w:val="16"/>
        </w:rPr>
        <w:t xml:space="preserve">from 1 September 2025, </w:t>
      </w:r>
      <w:r w:rsidR="009B0CDA">
        <w:rPr>
          <w:i/>
          <w:iCs/>
          <w:sz w:val="16"/>
          <w:szCs w:val="16"/>
        </w:rPr>
        <w:t xml:space="preserve">when </w:t>
      </w:r>
      <w:r w:rsidR="009B0CDA" w:rsidRPr="003A76A9">
        <w:rPr>
          <w:i/>
          <w:iCs/>
          <w:sz w:val="16"/>
          <w:szCs w:val="16"/>
        </w:rPr>
        <w:t>there will be a requirement for services to have new policies and procedures relating to the safe use of digital devices (including the use of closed-circuit television (CCTV).</w:t>
      </w:r>
    </w:p>
  </w:footnote>
  <w:footnote w:id="39">
    <w:p w14:paraId="23D7A047" w14:textId="77777777" w:rsidR="00D601E7" w:rsidRPr="00FF0AE2" w:rsidRDefault="00D601E7" w:rsidP="0029060F">
      <w:pPr>
        <w:pStyle w:val="FootnoteText"/>
        <w:rPr>
          <w:i/>
          <w:iCs/>
          <w:sz w:val="16"/>
          <w:szCs w:val="16"/>
        </w:rPr>
      </w:pPr>
      <w:r w:rsidRPr="00FF0AE2">
        <w:rPr>
          <w:i/>
          <w:iCs/>
          <w:sz w:val="16"/>
          <w:szCs w:val="16"/>
        </w:rPr>
        <w:footnoteRef/>
      </w:r>
      <w:r w:rsidRPr="00FF0AE2">
        <w:rPr>
          <w:i/>
          <w:iCs/>
          <w:sz w:val="16"/>
          <w:szCs w:val="16"/>
        </w:rPr>
        <w:t xml:space="preserve"> Additional matters include:</w:t>
      </w:r>
    </w:p>
    <w:p w14:paraId="2D56289D" w14:textId="77777777" w:rsidR="00D601E7" w:rsidRPr="004C24C1" w:rsidRDefault="00D601E7" w:rsidP="00EC53AB">
      <w:pPr>
        <w:pStyle w:val="FootnoteText"/>
        <w:numPr>
          <w:ilvl w:val="0"/>
          <w:numId w:val="11"/>
        </w:numPr>
        <w:rPr>
          <w:i/>
          <w:iCs/>
          <w:sz w:val="16"/>
          <w:szCs w:val="16"/>
        </w:rPr>
      </w:pPr>
      <w:r w:rsidRPr="004C24C1">
        <w:rPr>
          <w:i/>
          <w:iCs/>
          <w:sz w:val="16"/>
          <w:szCs w:val="16"/>
        </w:rPr>
        <w:t>the use of optical surveillance devices at the service</w:t>
      </w:r>
    </w:p>
    <w:p w14:paraId="239FAD6C" w14:textId="71EF1656" w:rsidR="00D601E7" w:rsidRPr="00927D25" w:rsidRDefault="00D601E7" w:rsidP="00EC53AB">
      <w:pPr>
        <w:pStyle w:val="FootnoteText"/>
        <w:numPr>
          <w:ilvl w:val="0"/>
          <w:numId w:val="11"/>
        </w:numPr>
        <w:rPr>
          <w:lang w:val="en-US"/>
        </w:rPr>
      </w:pPr>
      <w:r w:rsidRPr="004C24C1">
        <w:rPr>
          <w:i/>
          <w:iCs/>
          <w:sz w:val="16"/>
          <w:szCs w:val="16"/>
        </w:rPr>
        <w:t>obtaining authorisation from parents to take, use, and store images and videos of children.</w:t>
      </w:r>
    </w:p>
  </w:footnote>
  <w:footnote w:id="40">
    <w:p w14:paraId="323CA9ED" w14:textId="6E3BF0EA" w:rsidR="004373B7" w:rsidRPr="004373B7" w:rsidRDefault="004373B7">
      <w:pPr>
        <w:pStyle w:val="FootnoteText"/>
        <w:rPr>
          <w:i/>
          <w:iCs/>
          <w:lang w:val="en-US"/>
        </w:rPr>
      </w:pPr>
      <w:r>
        <w:rPr>
          <w:rStyle w:val="FootnoteReference"/>
        </w:rPr>
        <w:footnoteRef/>
      </w:r>
      <w:r>
        <w:t xml:space="preserve"> </w:t>
      </w:r>
      <w:r w:rsidRPr="00203766">
        <w:rPr>
          <w:i/>
          <w:iCs/>
          <w:sz w:val="16"/>
          <w:szCs w:val="16"/>
        </w:rPr>
        <w:t xml:space="preserve">Survey respondents and forum participants did not provide information on the </w:t>
      </w:r>
      <w:r w:rsidR="00203766" w:rsidRPr="00203766">
        <w:rPr>
          <w:i/>
          <w:iCs/>
          <w:sz w:val="16"/>
          <w:szCs w:val="16"/>
        </w:rPr>
        <w:t>expected timeframes to implement the National Model and Code Guidelines.</w:t>
      </w:r>
      <w:r w:rsidR="00203766">
        <w:rPr>
          <w:i/>
          <w:iCs/>
          <w:lang w:val="en-US"/>
        </w:rPr>
        <w:t xml:space="preserve"> </w:t>
      </w:r>
    </w:p>
  </w:footnote>
  <w:footnote w:id="41">
    <w:p w14:paraId="39BB2C31" w14:textId="77777777" w:rsidR="00BE1A61" w:rsidRDefault="00BE1A61" w:rsidP="0C449F6F">
      <w:pPr>
        <w:pStyle w:val="FootnoteText"/>
      </w:pPr>
      <w:r w:rsidRPr="0C449F6F">
        <w:rPr>
          <w:rStyle w:val="FootnoteReference"/>
        </w:rPr>
        <w:footnoteRef/>
      </w:r>
      <w:r>
        <w:t xml:space="preserve"> </w:t>
      </w:r>
      <w:r w:rsidRPr="0049659A">
        <w:rPr>
          <w:i/>
          <w:iCs/>
          <w:sz w:val="16"/>
          <w:szCs w:val="16"/>
        </w:rPr>
        <w:t>Free text responses for ’other’ included a range of statuses including: the approved provider had policies and processes that predated the National Model Code and Guidelines; the approved provider has their own policies and processes that somewhat align to the National Model Code and Guidelines (particularly for FDC); the approved provider has adopted a modified version of the National Model Code and Guidelines; and one instance where a Nominated Supervisor reported that their service has adopted the National Model Code and Guidelines but the approved provider is still in the process of adopting formally.</w:t>
      </w:r>
    </w:p>
  </w:footnote>
  <w:footnote w:id="42">
    <w:p w14:paraId="4A66C5BC" w14:textId="0088AEE8" w:rsidR="00BB1CD0" w:rsidRDefault="00BB1CD0">
      <w:pPr>
        <w:pStyle w:val="FootnoteText"/>
      </w:pPr>
      <w:r>
        <w:rPr>
          <w:rStyle w:val="FootnoteReference"/>
        </w:rPr>
        <w:footnoteRef/>
      </w:r>
      <w:r>
        <w:t xml:space="preserve"> </w:t>
      </w:r>
      <w:r w:rsidRPr="001E6502">
        <w:rPr>
          <w:i/>
          <w:sz w:val="16"/>
          <w:szCs w:val="16"/>
        </w:rPr>
        <w:t>These amendments have been progressed separately to th</w:t>
      </w:r>
      <w:r w:rsidR="00F37B02" w:rsidRPr="001E6502">
        <w:rPr>
          <w:i/>
          <w:sz w:val="16"/>
          <w:szCs w:val="16"/>
        </w:rPr>
        <w:t xml:space="preserve">is </w:t>
      </w:r>
      <w:r w:rsidR="00B5271B" w:rsidRPr="00B5271B">
        <w:rPr>
          <w:i/>
          <w:sz w:val="16"/>
          <w:szCs w:val="16"/>
        </w:rPr>
        <w:t xml:space="preserve">Regulation Impact Analysis </w:t>
      </w:r>
      <w:r w:rsidR="00B5271B">
        <w:rPr>
          <w:i/>
          <w:sz w:val="16"/>
          <w:szCs w:val="16"/>
        </w:rPr>
        <w:t>(</w:t>
      </w:r>
      <w:r w:rsidR="00F37B02" w:rsidRPr="001E6502">
        <w:rPr>
          <w:i/>
          <w:sz w:val="16"/>
          <w:szCs w:val="16"/>
        </w:rPr>
        <w:t>RIA</w:t>
      </w:r>
      <w:r w:rsidR="00B5271B">
        <w:rPr>
          <w:i/>
          <w:sz w:val="16"/>
          <w:szCs w:val="16"/>
        </w:rPr>
        <w:t>)</w:t>
      </w:r>
      <w:r w:rsidR="00F37B02" w:rsidRPr="001E6502">
        <w:rPr>
          <w:i/>
          <w:sz w:val="16"/>
          <w:szCs w:val="16"/>
        </w:rPr>
        <w:t xml:space="preserve"> process </w:t>
      </w:r>
      <w:r w:rsidR="001E6502" w:rsidRPr="001E6502">
        <w:rPr>
          <w:i/>
          <w:iCs/>
          <w:sz w:val="16"/>
          <w:szCs w:val="16"/>
        </w:rPr>
        <w:t>and will commence on 1 September 2025, and are therefore considered to form part of the status quo.</w:t>
      </w:r>
    </w:p>
  </w:footnote>
  <w:footnote w:id="43">
    <w:p w14:paraId="389DF135" w14:textId="77777777" w:rsidR="00D601E7" w:rsidRDefault="00D601E7" w:rsidP="004E199A">
      <w:pPr>
        <w:pStyle w:val="FootnoteText"/>
      </w:pPr>
      <w:r>
        <w:rPr>
          <w:rStyle w:val="FootnoteReference"/>
        </w:rPr>
        <w:footnoteRef/>
      </w:r>
      <w:r>
        <w:t xml:space="preserve"> </w:t>
      </w:r>
      <w:r w:rsidRPr="000A028D">
        <w:rPr>
          <w:i/>
          <w:iCs/>
          <w:sz w:val="16"/>
          <w:szCs w:val="16"/>
        </w:rPr>
        <w:t>If devices are insured, services may not bear the same replacement costs as estimated above.</w:t>
      </w:r>
    </w:p>
  </w:footnote>
  <w:footnote w:id="44">
    <w:p w14:paraId="205BEECD" w14:textId="7530B34F" w:rsidR="00021055" w:rsidRDefault="00021055">
      <w:pPr>
        <w:pStyle w:val="FootnoteText"/>
      </w:pPr>
      <w:r>
        <w:rPr>
          <w:rStyle w:val="FootnoteReference"/>
        </w:rPr>
        <w:footnoteRef/>
      </w:r>
      <w:r>
        <w:t xml:space="preserve"> </w:t>
      </w:r>
      <w:r w:rsidRPr="00F47673">
        <w:rPr>
          <w:i/>
          <w:sz w:val="16"/>
          <w:szCs w:val="16"/>
        </w:rPr>
        <w:t xml:space="preserve">10% was the share of centre-based services </w:t>
      </w:r>
      <w:r w:rsidR="008B395B" w:rsidRPr="00F47673">
        <w:rPr>
          <w:i/>
          <w:sz w:val="16"/>
          <w:szCs w:val="16"/>
        </w:rPr>
        <w:t>(preschool/kindergarten, LDC, and OSHC services) that had not yet adopted the National Model Code and Guidelines, based on survey responses shown in Table 5.1.</w:t>
      </w:r>
    </w:p>
  </w:footnote>
  <w:footnote w:id="45">
    <w:p w14:paraId="3BF3BD78" w14:textId="5F54DB19" w:rsidR="00C204F0" w:rsidRDefault="00C204F0">
      <w:pPr>
        <w:pStyle w:val="FootnoteText"/>
      </w:pPr>
      <w:r>
        <w:rPr>
          <w:rStyle w:val="FootnoteReference"/>
        </w:rPr>
        <w:footnoteRef/>
      </w:r>
      <w:r>
        <w:t xml:space="preserve"> </w:t>
      </w:r>
      <w:r w:rsidRPr="004C03E7">
        <w:rPr>
          <w:i/>
          <w:iCs/>
          <w:sz w:val="16"/>
          <w:szCs w:val="16"/>
        </w:rPr>
        <w:t xml:space="preserve">This includes preschool/kindergarten, </w:t>
      </w:r>
      <w:r w:rsidR="004C03E7" w:rsidRPr="004C03E7">
        <w:rPr>
          <w:i/>
          <w:iCs/>
          <w:sz w:val="16"/>
          <w:szCs w:val="16"/>
        </w:rPr>
        <w:t>LDC, and OSHC services.</w:t>
      </w:r>
    </w:p>
  </w:footnote>
  <w:footnote w:id="46">
    <w:p w14:paraId="766ED1C4" w14:textId="7E65BCE0" w:rsidR="009F05F9" w:rsidRDefault="009F05F9">
      <w:pPr>
        <w:pStyle w:val="FootnoteText"/>
      </w:pPr>
      <w:r>
        <w:rPr>
          <w:rStyle w:val="FootnoteReference"/>
        </w:rPr>
        <w:footnoteRef/>
      </w:r>
      <w:r>
        <w:t xml:space="preserve"> </w:t>
      </w:r>
      <w:r w:rsidR="00F47673" w:rsidRPr="00F47673">
        <w:rPr>
          <w:i/>
          <w:iCs/>
          <w:sz w:val="16"/>
          <w:szCs w:val="16"/>
        </w:rPr>
        <w:t>41% was the share of FDC services that had not yet adopted the National Model Code and Guidelines, based on survey responses shown in Table 5.1.</w:t>
      </w:r>
    </w:p>
  </w:footnote>
  <w:footnote w:id="47">
    <w:p w14:paraId="6B68B5A3" w14:textId="77777777" w:rsidR="00D601E7" w:rsidRDefault="00D601E7" w:rsidP="00EE12B8">
      <w:pPr>
        <w:pStyle w:val="FootnoteText"/>
      </w:pPr>
      <w:r>
        <w:rPr>
          <w:rStyle w:val="FootnoteReference"/>
        </w:rPr>
        <w:footnoteRef/>
      </w:r>
      <w:r>
        <w:t xml:space="preserve"> </w:t>
      </w:r>
      <w:r w:rsidRPr="002326C1">
        <w:rPr>
          <w:i/>
          <w:iCs/>
          <w:sz w:val="16"/>
          <w:szCs w:val="16"/>
        </w:rPr>
        <w:t>The present value is calculated based on a 7% discount rate (OIA’s preferred discount rate for impact analysis). This discount rate is used throughout the report for any present value estimates.</w:t>
      </w:r>
    </w:p>
  </w:footnote>
  <w:footnote w:id="48">
    <w:p w14:paraId="36AAA792" w14:textId="1672F9E4" w:rsidR="00D601E7" w:rsidRDefault="00D601E7" w:rsidP="00EE12B8">
      <w:pPr>
        <w:pStyle w:val="FootnoteText"/>
      </w:pPr>
      <w:r>
        <w:rPr>
          <w:rStyle w:val="FootnoteReference"/>
        </w:rPr>
        <w:footnoteRef/>
      </w:r>
      <w:r>
        <w:t xml:space="preserve"> </w:t>
      </w:r>
      <w:r w:rsidRPr="00056CA1">
        <w:rPr>
          <w:i/>
          <w:iCs/>
          <w:sz w:val="16"/>
          <w:szCs w:val="16"/>
        </w:rPr>
        <w:t xml:space="preserve">This assumes that 70% of </w:t>
      </w:r>
      <w:r>
        <w:rPr>
          <w:i/>
          <w:iCs/>
          <w:sz w:val="16"/>
          <w:szCs w:val="16"/>
        </w:rPr>
        <w:t>devices</w:t>
      </w:r>
      <w:r w:rsidRPr="00056CA1">
        <w:rPr>
          <w:i/>
          <w:iCs/>
          <w:sz w:val="16"/>
          <w:szCs w:val="16"/>
        </w:rPr>
        <w:t xml:space="preserve"> purchase</w:t>
      </w:r>
      <w:r>
        <w:rPr>
          <w:i/>
          <w:iCs/>
          <w:sz w:val="16"/>
          <w:szCs w:val="16"/>
        </w:rPr>
        <w:t>d</w:t>
      </w:r>
      <w:r w:rsidRPr="00056CA1">
        <w:rPr>
          <w:i/>
          <w:iCs/>
          <w:sz w:val="16"/>
          <w:szCs w:val="16"/>
        </w:rPr>
        <w:t xml:space="preserve"> a</w:t>
      </w:r>
      <w:r>
        <w:rPr>
          <w:i/>
          <w:iCs/>
          <w:sz w:val="16"/>
          <w:szCs w:val="16"/>
        </w:rPr>
        <w:t>re</w:t>
      </w:r>
      <w:r w:rsidRPr="00056CA1">
        <w:rPr>
          <w:i/>
          <w:iCs/>
          <w:sz w:val="16"/>
          <w:szCs w:val="16"/>
        </w:rPr>
        <w:t xml:space="preserve"> </w:t>
      </w:r>
      <w:r w:rsidR="00A64DF2">
        <w:rPr>
          <w:i/>
          <w:iCs/>
          <w:sz w:val="16"/>
          <w:szCs w:val="16"/>
        </w:rPr>
        <w:t>tablets priced at</w:t>
      </w:r>
      <w:r w:rsidRPr="00056CA1">
        <w:rPr>
          <w:i/>
          <w:iCs/>
          <w:sz w:val="16"/>
          <w:szCs w:val="16"/>
        </w:rPr>
        <w:t xml:space="preserve"> $587, while the remaining 30% of </w:t>
      </w:r>
      <w:r>
        <w:rPr>
          <w:i/>
          <w:iCs/>
          <w:sz w:val="16"/>
          <w:szCs w:val="16"/>
        </w:rPr>
        <w:t>devices purchased are</w:t>
      </w:r>
      <w:r w:rsidRPr="00056CA1">
        <w:rPr>
          <w:i/>
          <w:iCs/>
          <w:sz w:val="16"/>
          <w:szCs w:val="16"/>
        </w:rPr>
        <w:t xml:space="preserve"> </w:t>
      </w:r>
      <w:r w:rsidR="002D28A0">
        <w:rPr>
          <w:i/>
          <w:iCs/>
          <w:sz w:val="16"/>
          <w:szCs w:val="16"/>
        </w:rPr>
        <w:t>mid-tier</w:t>
      </w:r>
      <w:r w:rsidRPr="00056CA1">
        <w:rPr>
          <w:i/>
          <w:iCs/>
          <w:sz w:val="16"/>
          <w:szCs w:val="16"/>
        </w:rPr>
        <w:t xml:space="preserve"> </w:t>
      </w:r>
      <w:r w:rsidR="00A64DF2">
        <w:rPr>
          <w:i/>
          <w:iCs/>
          <w:sz w:val="16"/>
          <w:szCs w:val="16"/>
        </w:rPr>
        <w:t>phones</w:t>
      </w:r>
      <w:r w:rsidRPr="00056CA1">
        <w:rPr>
          <w:i/>
          <w:iCs/>
          <w:sz w:val="16"/>
          <w:szCs w:val="16"/>
        </w:rPr>
        <w:t xml:space="preserve"> priced $</w:t>
      </w:r>
      <w:r>
        <w:rPr>
          <w:i/>
          <w:iCs/>
          <w:sz w:val="16"/>
          <w:szCs w:val="16"/>
        </w:rPr>
        <w:t>787</w:t>
      </w:r>
      <w:r w:rsidRPr="00056CA1">
        <w:rPr>
          <w:i/>
          <w:iCs/>
          <w:sz w:val="16"/>
          <w:szCs w:val="16"/>
        </w:rPr>
        <w:t>.</w:t>
      </w:r>
      <w:r>
        <w:rPr>
          <w:i/>
          <w:iCs/>
          <w:sz w:val="16"/>
          <w:szCs w:val="16"/>
        </w:rPr>
        <w:t xml:space="preserve"> This is based on the majority of services indicating they use </w:t>
      </w:r>
      <w:r w:rsidR="00A64DF2">
        <w:rPr>
          <w:i/>
          <w:iCs/>
          <w:sz w:val="16"/>
          <w:szCs w:val="16"/>
        </w:rPr>
        <w:t xml:space="preserve">tablets </w:t>
      </w:r>
      <w:r>
        <w:rPr>
          <w:i/>
          <w:iCs/>
          <w:sz w:val="16"/>
          <w:szCs w:val="16"/>
        </w:rPr>
        <w:t>but understanding that devices may also be required for making calls</w:t>
      </w:r>
      <w:r w:rsidRPr="00056CA1">
        <w:rPr>
          <w:i/>
          <w:iCs/>
          <w:sz w:val="16"/>
          <w:szCs w:val="16"/>
        </w:rPr>
        <w:t>.</w:t>
      </w:r>
      <w:r>
        <w:rPr>
          <w:i/>
          <w:iCs/>
          <w:sz w:val="16"/>
          <w:szCs w:val="16"/>
        </w:rPr>
        <w:t xml:space="preserve"> Some services may choose to purchase cheaper devices, however there are also several more expensive devices on the </w:t>
      </w:r>
      <w:r w:rsidR="0050743C">
        <w:rPr>
          <w:i/>
          <w:iCs/>
          <w:sz w:val="16"/>
          <w:szCs w:val="16"/>
        </w:rPr>
        <w:t>market,</w:t>
      </w:r>
      <w:r>
        <w:rPr>
          <w:i/>
          <w:iCs/>
          <w:sz w:val="16"/>
          <w:szCs w:val="16"/>
        </w:rPr>
        <w:t xml:space="preserve"> so this has been selected as a reasonable average price point.</w:t>
      </w:r>
    </w:p>
  </w:footnote>
  <w:footnote w:id="49">
    <w:p w14:paraId="3062C65A" w14:textId="77777777" w:rsidR="00793383" w:rsidRDefault="00793383" w:rsidP="00793383">
      <w:pPr>
        <w:pStyle w:val="FootnoteText"/>
      </w:pPr>
      <w:r>
        <w:rPr>
          <w:rStyle w:val="FootnoteReference"/>
        </w:rPr>
        <w:footnoteRef/>
      </w:r>
      <w:r>
        <w:t xml:space="preserve"> </w:t>
      </w:r>
      <w:r w:rsidRPr="00F01E0B">
        <w:rPr>
          <w:i/>
          <w:iCs/>
          <w:sz w:val="16"/>
          <w:szCs w:val="16"/>
        </w:rPr>
        <w:t>Stakeholders also provided feedback that around one device would likely b</w:t>
      </w:r>
      <w:r>
        <w:rPr>
          <w:i/>
          <w:iCs/>
          <w:sz w:val="16"/>
          <w:szCs w:val="16"/>
        </w:rPr>
        <w:t>e</w:t>
      </w:r>
      <w:r w:rsidRPr="00F01E0B">
        <w:rPr>
          <w:i/>
          <w:iCs/>
          <w:sz w:val="16"/>
          <w:szCs w:val="16"/>
        </w:rPr>
        <w:t xml:space="preserve"> required per room. This advice was used when determining a likely size (in terms of approved places) of a small, medium, and large service</w:t>
      </w:r>
      <w:r>
        <w:rPr>
          <w:i/>
          <w:iCs/>
          <w:sz w:val="16"/>
          <w:szCs w:val="16"/>
        </w:rPr>
        <w:t>, in the absence of data on the number of rooms per service.</w:t>
      </w:r>
    </w:p>
  </w:footnote>
  <w:footnote w:id="50">
    <w:p w14:paraId="2F8D40BA" w14:textId="77777777" w:rsidR="00D601E7" w:rsidRDefault="00D601E7">
      <w:pPr>
        <w:pStyle w:val="FootnoteText"/>
      </w:pPr>
      <w:r>
        <w:rPr>
          <w:rStyle w:val="FootnoteReference"/>
        </w:rPr>
        <w:footnoteRef/>
      </w:r>
      <w:r>
        <w:t xml:space="preserve"> </w:t>
      </w:r>
      <w:r w:rsidRPr="00C26CB8">
        <w:rPr>
          <w:i/>
          <w:iCs/>
          <w:sz w:val="16"/>
          <w:szCs w:val="16"/>
        </w:rPr>
        <w:t>Data on approved places per service was obtained from the ACECQA website.</w:t>
      </w:r>
    </w:p>
  </w:footnote>
  <w:footnote w:id="51">
    <w:p w14:paraId="3707C827" w14:textId="03A66646" w:rsidR="00EA1AAC" w:rsidRDefault="00EA1AAC">
      <w:pPr>
        <w:pStyle w:val="FootnoteText"/>
      </w:pPr>
      <w:r>
        <w:rPr>
          <w:rStyle w:val="FootnoteReference"/>
        </w:rPr>
        <w:footnoteRef/>
      </w:r>
      <w:r>
        <w:t xml:space="preserve"> </w:t>
      </w:r>
      <w:r w:rsidR="00A2354E" w:rsidRPr="0081295C">
        <w:rPr>
          <w:i/>
          <w:iCs/>
          <w:sz w:val="16"/>
          <w:szCs w:val="16"/>
        </w:rPr>
        <w:t xml:space="preserve">The number of educators is estimated to be </w:t>
      </w:r>
      <w:r w:rsidR="009476CB" w:rsidRPr="0081295C">
        <w:rPr>
          <w:i/>
          <w:iCs/>
          <w:sz w:val="16"/>
          <w:szCs w:val="16"/>
        </w:rPr>
        <w:t xml:space="preserve">9,249, </w:t>
      </w:r>
      <w:r w:rsidR="00A2354E" w:rsidRPr="0081295C">
        <w:rPr>
          <w:i/>
          <w:iCs/>
          <w:sz w:val="16"/>
          <w:szCs w:val="16"/>
        </w:rPr>
        <w:t>estimated is based on the size of the FDC workforce of 9,688 as reported in the 2024 National Workforce Census, adjusted for an estimated 439 FDC coordinators, who oversee educators at a 1:15 or 1:25 ratio, depending on the age of the service.</w:t>
      </w:r>
      <w:r w:rsidR="0081295C" w:rsidRPr="0081295C">
        <w:rPr>
          <w:i/>
          <w:iCs/>
          <w:sz w:val="16"/>
          <w:szCs w:val="16"/>
        </w:rPr>
        <w:t xml:space="preserve"> 41% of this figure equates to 3,792.</w:t>
      </w:r>
    </w:p>
  </w:footnote>
  <w:footnote w:id="52">
    <w:p w14:paraId="21328861" w14:textId="7919D512" w:rsidR="00E9590B" w:rsidRDefault="00E9590B">
      <w:pPr>
        <w:pStyle w:val="FootnoteText"/>
      </w:pPr>
      <w:r>
        <w:rPr>
          <w:rStyle w:val="FootnoteReference"/>
        </w:rPr>
        <w:footnoteRef/>
      </w:r>
      <w:r>
        <w:t xml:space="preserve"> </w:t>
      </w:r>
      <w:r w:rsidR="00FD4B1B" w:rsidRPr="00FD4B1B">
        <w:rPr>
          <w:i/>
          <w:iCs/>
          <w:sz w:val="16"/>
          <w:szCs w:val="16"/>
        </w:rPr>
        <w:t>The jurisdiction specific requirement in WA (Education and Care Services National Regulations 2012 (WA) chapter 7, division 3A, regulation 373</w:t>
      </w:r>
      <w:r w:rsidR="0050743C" w:rsidRPr="00FD4B1B">
        <w:rPr>
          <w:i/>
          <w:iCs/>
          <w:sz w:val="16"/>
          <w:szCs w:val="16"/>
        </w:rPr>
        <w:t>A) requires</w:t>
      </w:r>
      <w:r w:rsidR="00FD4B1B" w:rsidRPr="00FD4B1B">
        <w:rPr>
          <w:i/>
          <w:iCs/>
          <w:sz w:val="16"/>
          <w:szCs w:val="16"/>
        </w:rPr>
        <w:t xml:space="preserve"> educators providing education and care at a </w:t>
      </w:r>
      <w:r w:rsidR="00C706C7">
        <w:rPr>
          <w:i/>
          <w:iCs/>
          <w:sz w:val="16"/>
          <w:szCs w:val="16"/>
        </w:rPr>
        <w:t>FDC</w:t>
      </w:r>
      <w:r w:rsidR="00FD4B1B" w:rsidRPr="00FD4B1B">
        <w:rPr>
          <w:i/>
          <w:iCs/>
          <w:sz w:val="16"/>
          <w:szCs w:val="16"/>
        </w:rPr>
        <w:t xml:space="preserve"> residence or venue must have ready access to at least two operating telephones or other similar means of communication to enable immediate communication to and from parents, family members, other adults who may need to be in contact about a child and emergency services.</w:t>
      </w:r>
      <w:r w:rsidR="00FD4B1B">
        <w:rPr>
          <w:i/>
          <w:iCs/>
          <w:sz w:val="16"/>
          <w:szCs w:val="16"/>
        </w:rPr>
        <w:t xml:space="preserve"> </w:t>
      </w:r>
      <w:r w:rsidR="004C23EF">
        <w:rPr>
          <w:i/>
          <w:iCs/>
          <w:sz w:val="16"/>
          <w:szCs w:val="16"/>
        </w:rPr>
        <w:t>At least one of these devices would be considered service-issued and could be used to take images and videos of children</w:t>
      </w:r>
      <w:r w:rsidR="00EA1E08">
        <w:rPr>
          <w:i/>
          <w:iCs/>
          <w:sz w:val="16"/>
          <w:szCs w:val="16"/>
        </w:rPr>
        <w:t>, and as a result, it is assumed that WA-based FDCs do not need to purchase devices</w:t>
      </w:r>
      <w:r w:rsidR="004C23EF">
        <w:rPr>
          <w:i/>
          <w:iCs/>
          <w:sz w:val="16"/>
          <w:szCs w:val="16"/>
        </w:rPr>
        <w:t>.</w:t>
      </w:r>
    </w:p>
  </w:footnote>
  <w:footnote w:id="53">
    <w:p w14:paraId="01D64C23" w14:textId="7F58EA1D" w:rsidR="00D601E7" w:rsidRDefault="00D601E7" w:rsidP="00EE12B8">
      <w:pPr>
        <w:pStyle w:val="FootnoteText"/>
      </w:pPr>
      <w:r>
        <w:rPr>
          <w:rStyle w:val="FootnoteReference"/>
        </w:rPr>
        <w:footnoteRef/>
      </w:r>
      <w:r>
        <w:t xml:space="preserve"> </w:t>
      </w:r>
      <w:r w:rsidRPr="007B3331">
        <w:rPr>
          <w:i/>
          <w:iCs/>
          <w:sz w:val="16"/>
          <w:szCs w:val="16"/>
        </w:rPr>
        <w:t>See &lt;</w:t>
      </w:r>
      <w:hyperlink r:id="rId3" w:history="1">
        <w:r w:rsidRPr="007B3331">
          <w:rPr>
            <w:rStyle w:val="Hyperlink"/>
            <w:i/>
            <w:iCs/>
            <w:sz w:val="16"/>
            <w:szCs w:val="16"/>
          </w:rPr>
          <w:t>https://www.ato.gov.au/law/view/document?DocID=ITD/EF20151C8/00001&amp;PiT=99991231235958</w:t>
        </w:r>
      </w:hyperlink>
      <w:r w:rsidRPr="007B3331">
        <w:rPr>
          <w:i/>
          <w:iCs/>
          <w:sz w:val="16"/>
          <w:szCs w:val="16"/>
        </w:rPr>
        <w:t>&gt;.</w:t>
      </w:r>
      <w:r w:rsidR="00FB056A">
        <w:rPr>
          <w:i/>
          <w:iCs/>
          <w:sz w:val="16"/>
          <w:szCs w:val="16"/>
        </w:rPr>
        <w:t xml:space="preserve"> While the </w:t>
      </w:r>
      <w:r w:rsidR="00641EDE">
        <w:rPr>
          <w:i/>
          <w:iCs/>
          <w:sz w:val="16"/>
          <w:szCs w:val="16"/>
        </w:rPr>
        <w:t>useful</w:t>
      </w:r>
      <w:r w:rsidR="00FB056A">
        <w:rPr>
          <w:i/>
          <w:iCs/>
          <w:sz w:val="16"/>
          <w:szCs w:val="16"/>
        </w:rPr>
        <w:t xml:space="preserve"> life of a tablet may be longer, tablets are also prone to breaking</w:t>
      </w:r>
      <w:r w:rsidR="00641EDE">
        <w:rPr>
          <w:i/>
          <w:iCs/>
          <w:sz w:val="16"/>
          <w:szCs w:val="16"/>
        </w:rPr>
        <w:t xml:space="preserve">, particularly in education and care settings, </w:t>
      </w:r>
      <w:r w:rsidR="009D55C0">
        <w:rPr>
          <w:i/>
          <w:iCs/>
          <w:sz w:val="16"/>
          <w:szCs w:val="16"/>
        </w:rPr>
        <w:t xml:space="preserve">and therefore this replacement </w:t>
      </w:r>
      <w:r w:rsidR="00641EDE">
        <w:rPr>
          <w:i/>
          <w:iCs/>
          <w:sz w:val="16"/>
          <w:szCs w:val="16"/>
        </w:rPr>
        <w:t>frequency</w:t>
      </w:r>
      <w:r w:rsidR="009D55C0">
        <w:rPr>
          <w:i/>
          <w:iCs/>
          <w:sz w:val="16"/>
          <w:szCs w:val="16"/>
        </w:rPr>
        <w:t xml:space="preserve"> was considered sufficient for the analysis.</w:t>
      </w:r>
    </w:p>
  </w:footnote>
  <w:footnote w:id="54">
    <w:p w14:paraId="7A4268CD" w14:textId="4B5D1B73" w:rsidR="00063981" w:rsidRDefault="00063981">
      <w:pPr>
        <w:pStyle w:val="FootnoteText"/>
      </w:pPr>
      <w:r>
        <w:rPr>
          <w:rStyle w:val="FootnoteReference"/>
        </w:rPr>
        <w:footnoteRef/>
      </w:r>
      <w:r>
        <w:t xml:space="preserve"> </w:t>
      </w:r>
      <w:r w:rsidRPr="00063981">
        <w:rPr>
          <w:i/>
          <w:iCs/>
          <w:sz w:val="16"/>
          <w:szCs w:val="16"/>
        </w:rPr>
        <w:t>As previously stated,</w:t>
      </w:r>
      <w:r w:rsidRPr="00063981">
        <w:rPr>
          <w:sz w:val="16"/>
          <w:szCs w:val="16"/>
        </w:rPr>
        <w:t xml:space="preserve"> </w:t>
      </w:r>
      <w:r>
        <w:rPr>
          <w:i/>
          <w:iCs/>
          <w:sz w:val="16"/>
          <w:szCs w:val="16"/>
        </w:rPr>
        <w:t>b</w:t>
      </w:r>
      <w:r w:rsidRPr="00ED1755">
        <w:rPr>
          <w:i/>
          <w:iCs/>
          <w:sz w:val="16"/>
          <w:szCs w:val="16"/>
        </w:rPr>
        <w:t>y law, FDC educators in WA must already have two devices, see National Regulations (WA) section 373A.</w:t>
      </w:r>
      <w:r>
        <w:rPr>
          <w:i/>
          <w:iCs/>
          <w:sz w:val="16"/>
          <w:szCs w:val="16"/>
        </w:rPr>
        <w:t xml:space="preserve"> At least one of these devices would be considered service-issued and could be used to take images and videos of children.</w:t>
      </w:r>
    </w:p>
  </w:footnote>
  <w:footnote w:id="55">
    <w:p w14:paraId="666E6074" w14:textId="68FE150C" w:rsidR="00C7742A" w:rsidRDefault="00C7742A">
      <w:pPr>
        <w:pStyle w:val="FootnoteText"/>
      </w:pPr>
      <w:r>
        <w:rPr>
          <w:rStyle w:val="FootnoteReference"/>
        </w:rPr>
        <w:footnoteRef/>
      </w:r>
      <w:r>
        <w:t xml:space="preserve"> </w:t>
      </w:r>
      <w:r w:rsidRPr="00C7742A">
        <w:rPr>
          <w:i/>
          <w:iCs/>
          <w:sz w:val="16"/>
          <w:szCs w:val="16"/>
        </w:rPr>
        <w:t xml:space="preserve">Given the unique home-based context of FDC, phone access is critical to child safety, as evident through the jurisdiction specific requirement in WA for </w:t>
      </w:r>
      <w:r w:rsidR="00C706C7">
        <w:rPr>
          <w:i/>
          <w:iCs/>
          <w:sz w:val="16"/>
          <w:szCs w:val="16"/>
        </w:rPr>
        <w:t>FDC</w:t>
      </w:r>
      <w:r w:rsidRPr="00C7742A">
        <w:rPr>
          <w:i/>
          <w:iCs/>
          <w:sz w:val="16"/>
          <w:szCs w:val="16"/>
        </w:rPr>
        <w:t xml:space="preserve"> educators to have access to at least two operating telephones or similar.</w:t>
      </w:r>
    </w:p>
  </w:footnote>
  <w:footnote w:id="56">
    <w:p w14:paraId="4DD97B9C" w14:textId="77777777" w:rsidR="00802BEE" w:rsidRDefault="00802BEE" w:rsidP="00802BEE">
      <w:pPr>
        <w:pStyle w:val="FootnoteText"/>
      </w:pPr>
      <w:r w:rsidRPr="5F066649">
        <w:rPr>
          <w:rStyle w:val="FootnoteReference"/>
        </w:rPr>
        <w:footnoteRef/>
      </w:r>
      <w:r>
        <w:t xml:space="preserve"> </w:t>
      </w:r>
      <w:r w:rsidRPr="00802BEE">
        <w:rPr>
          <w:i/>
          <w:iCs/>
          <w:sz w:val="16"/>
          <w:szCs w:val="16"/>
        </w:rPr>
        <w:t>The free text submission that was not negatively coded was from a third party training organisation.</w:t>
      </w:r>
    </w:p>
  </w:footnote>
  <w:footnote w:id="57">
    <w:p w14:paraId="16D7F510" w14:textId="2E0721A5" w:rsidR="00D601E7" w:rsidRPr="009921A2" w:rsidRDefault="00D601E7" w:rsidP="00846C2E">
      <w:pPr>
        <w:pStyle w:val="FootnoteText"/>
        <w:rPr>
          <w:lang w:val="en-US"/>
        </w:rPr>
      </w:pPr>
      <w:r>
        <w:rPr>
          <w:rStyle w:val="FootnoteReference"/>
        </w:rPr>
        <w:footnoteRef/>
      </w:r>
      <w:r>
        <w:t xml:space="preserve"> </w:t>
      </w:r>
      <w:r w:rsidRPr="00E0545E">
        <w:rPr>
          <w:i/>
          <w:sz w:val="16"/>
          <w:szCs w:val="16"/>
        </w:rPr>
        <w:t>While this feedback was received from Aboriginal and Torres Strait Islander families, it may also be relevant for a range of families and services.</w:t>
      </w:r>
      <w:r w:rsidR="00900870">
        <w:rPr>
          <w:sz w:val="16"/>
          <w:szCs w:val="16"/>
        </w:rPr>
        <w:t xml:space="preserve"> </w:t>
      </w:r>
    </w:p>
  </w:footnote>
  <w:footnote w:id="58">
    <w:p w14:paraId="5271B725" w14:textId="610093AF" w:rsidR="00D601E7" w:rsidRDefault="00D601E7" w:rsidP="0030090B">
      <w:pPr>
        <w:pStyle w:val="FootnoteText"/>
      </w:pPr>
      <w:r>
        <w:rPr>
          <w:rStyle w:val="FootnoteReference"/>
        </w:rPr>
        <w:footnoteRef/>
      </w:r>
      <w:r>
        <w:t xml:space="preserve"> </w:t>
      </w:r>
      <w:r w:rsidRPr="00194BBD">
        <w:rPr>
          <w:i/>
          <w:iCs/>
          <w:sz w:val="16"/>
          <w:szCs w:val="16"/>
        </w:rPr>
        <w:t>Further information on this estimate is available in Chapter 4.</w:t>
      </w:r>
    </w:p>
  </w:footnote>
  <w:footnote w:id="59">
    <w:p w14:paraId="08A54CAA" w14:textId="6EBF0F1A" w:rsidR="008A7B17" w:rsidRDefault="008A7B17">
      <w:pPr>
        <w:pStyle w:val="FootnoteText"/>
      </w:pPr>
      <w:r>
        <w:rPr>
          <w:rStyle w:val="FootnoteReference"/>
        </w:rPr>
        <w:footnoteRef/>
      </w:r>
      <w:r>
        <w:t xml:space="preserve"> </w:t>
      </w:r>
      <w:r w:rsidRPr="00343136">
        <w:rPr>
          <w:i/>
          <w:iCs/>
          <w:sz w:val="16"/>
          <w:szCs w:val="16"/>
        </w:rPr>
        <w:t xml:space="preserve">This value, multiplied by the </w:t>
      </w:r>
      <w:r w:rsidR="0015621F" w:rsidRPr="00343136">
        <w:rPr>
          <w:i/>
          <w:iCs/>
          <w:sz w:val="16"/>
          <w:szCs w:val="16"/>
        </w:rPr>
        <w:t xml:space="preserve">total cost of harm to children in Australia, </w:t>
      </w:r>
      <w:r w:rsidR="00343136" w:rsidRPr="00343136">
        <w:rPr>
          <w:i/>
          <w:iCs/>
          <w:sz w:val="16"/>
          <w:szCs w:val="16"/>
        </w:rPr>
        <w:t>equates to the monetised cost of options 2 and 3.</w:t>
      </w:r>
    </w:p>
  </w:footnote>
  <w:footnote w:id="60">
    <w:p w14:paraId="2C69E35E" w14:textId="74F0F478" w:rsidR="005D6EE3" w:rsidRDefault="005D6EE3">
      <w:pPr>
        <w:pStyle w:val="FootnoteText"/>
      </w:pPr>
      <w:r>
        <w:rPr>
          <w:rStyle w:val="FootnoteReference"/>
        </w:rPr>
        <w:footnoteRef/>
      </w:r>
      <w:r>
        <w:t xml:space="preserve"> </w:t>
      </w:r>
      <w:r w:rsidR="004A7ECB" w:rsidRPr="004A7ECB">
        <w:rPr>
          <w:i/>
          <w:iCs/>
          <w:sz w:val="16"/>
          <w:szCs w:val="16"/>
        </w:rPr>
        <w:t>Based on Figure 6 in ACECQA’s NQF Snapshot Q1 2025, see &lt;https://www.acecqa.gov.au/sites/default/files/2025-05/NQF%20Snapshot%20Q1%202025%20FINAL.PDF&gt;.</w:t>
      </w:r>
    </w:p>
  </w:footnote>
  <w:footnote w:id="61">
    <w:p w14:paraId="6D752F32" w14:textId="67F15CB7" w:rsidR="00D601E7" w:rsidRDefault="00D601E7">
      <w:pPr>
        <w:pStyle w:val="FootnoteText"/>
      </w:pPr>
      <w:r>
        <w:rPr>
          <w:rStyle w:val="FootnoteReference"/>
        </w:rPr>
        <w:footnoteRef/>
      </w:r>
      <w:r>
        <w:t xml:space="preserve"> </w:t>
      </w:r>
      <w:r w:rsidRPr="00194BBD">
        <w:rPr>
          <w:i/>
          <w:iCs/>
          <w:sz w:val="16"/>
          <w:szCs w:val="16"/>
        </w:rPr>
        <w:t>See &lt;https://oia.pmc.gov.au/resources/guidance-assessing-impacts/regulatory-burden-measurement-framework&gt;.</w:t>
      </w:r>
    </w:p>
  </w:footnote>
  <w:footnote w:id="62">
    <w:p w14:paraId="6DBA94BA" w14:textId="77777777" w:rsidR="00D601E7" w:rsidRPr="00C15EAC" w:rsidRDefault="00D601E7" w:rsidP="00E2314A">
      <w:pPr>
        <w:pStyle w:val="FootnoteText"/>
        <w:rPr>
          <w:lang w:val="en-US"/>
        </w:rPr>
      </w:pPr>
      <w:r w:rsidRPr="00FF0AE2">
        <w:rPr>
          <w:i/>
          <w:iCs/>
          <w:sz w:val="16"/>
          <w:szCs w:val="16"/>
        </w:rPr>
        <w:footnoteRef/>
      </w:r>
      <w:r w:rsidRPr="00FF0AE2">
        <w:rPr>
          <w:i/>
          <w:iCs/>
          <w:sz w:val="16"/>
          <w:szCs w:val="16"/>
        </w:rPr>
        <w:t xml:space="preserve"> ‘Government Protocol’ refers to a set of established rules, procedures or guidelines that govern how government interacts with other entities.</w:t>
      </w:r>
      <w:r>
        <w:t xml:space="preserve"> </w:t>
      </w:r>
    </w:p>
  </w:footnote>
  <w:footnote w:id="63">
    <w:p w14:paraId="29E897C9" w14:textId="77777777" w:rsidR="00D601E7" w:rsidRPr="00880088" w:rsidRDefault="00D601E7" w:rsidP="00E2314A">
      <w:pPr>
        <w:pStyle w:val="FootnoteText"/>
        <w:rPr>
          <w:lang w:val="en-US"/>
        </w:rPr>
      </w:pPr>
      <w:r w:rsidRPr="00FF0AE2">
        <w:rPr>
          <w:i/>
          <w:iCs/>
          <w:sz w:val="16"/>
          <w:szCs w:val="16"/>
        </w:rPr>
        <w:footnoteRef/>
      </w:r>
      <w:r w:rsidRPr="00FF0AE2">
        <w:rPr>
          <w:i/>
          <w:iCs/>
          <w:sz w:val="16"/>
          <w:szCs w:val="16"/>
        </w:rPr>
        <w:t xml:space="preserve"> In WA, FDC coordinators are currently not obligated under jurisdictional legislation to undertake child protection training, however this is expected to be implemented in the foreseeable future.</w:t>
      </w:r>
    </w:p>
  </w:footnote>
  <w:footnote w:id="64">
    <w:p w14:paraId="7E3A9379" w14:textId="2121EDEC" w:rsidR="000F217E" w:rsidRDefault="00D601E7" w:rsidP="00F04ECF">
      <w:pPr>
        <w:pStyle w:val="FootnoteText"/>
      </w:pPr>
      <w:r>
        <w:rPr>
          <w:rStyle w:val="FootnoteReference"/>
        </w:rPr>
        <w:footnoteRef/>
      </w:r>
      <w:r>
        <w:t xml:space="preserve"> </w:t>
      </w:r>
      <w:r w:rsidR="000F217E">
        <w:t xml:space="preserve">National </w:t>
      </w:r>
      <w:r w:rsidR="006A7913">
        <w:t xml:space="preserve">Office </w:t>
      </w:r>
      <w:r w:rsidR="000F217E">
        <w:t xml:space="preserve">for Child Safety, </w:t>
      </w:r>
      <w:r w:rsidR="000F217E">
        <w:rPr>
          <w:i/>
          <w:iCs/>
        </w:rPr>
        <w:t xml:space="preserve">National Principles for Child Safe Organisations, </w:t>
      </w:r>
      <w:r w:rsidR="000F217E">
        <w:t>&lt;</w:t>
      </w:r>
      <w:r w:rsidR="000F217E" w:rsidRPr="00FF518B">
        <w:t>https://www.childsafety.gov.au/resources/national-principles-child-safe-organisations</w:t>
      </w:r>
      <w:r w:rsidR="000F217E">
        <w:t>&gt;.</w:t>
      </w:r>
    </w:p>
    <w:p w14:paraId="55281A94" w14:textId="34A7D045" w:rsidR="00D601E7" w:rsidRPr="0021634B" w:rsidRDefault="00D601E7" w:rsidP="00F04ECF">
      <w:pPr>
        <w:pStyle w:val="FootnoteText"/>
        <w:rPr>
          <w:lang w:val="en-US"/>
        </w:rPr>
      </w:pPr>
      <w:r>
        <w:rPr>
          <w:lang w:val="en-US"/>
        </w:rPr>
        <w:t>.</w:t>
      </w:r>
    </w:p>
  </w:footnote>
  <w:footnote w:id="65">
    <w:p w14:paraId="5A912561" w14:textId="4EE36367" w:rsidR="00783F03" w:rsidRDefault="00783F03">
      <w:pPr>
        <w:pStyle w:val="FootnoteText"/>
      </w:pPr>
      <w:r>
        <w:rPr>
          <w:rStyle w:val="FootnoteReference"/>
        </w:rPr>
        <w:footnoteRef/>
      </w:r>
      <w:r>
        <w:t xml:space="preserve"> </w:t>
      </w:r>
      <w:r w:rsidRPr="00054D3F">
        <w:rPr>
          <w:i/>
          <w:iCs/>
          <w:sz w:val="16"/>
          <w:szCs w:val="16"/>
        </w:rPr>
        <w:t xml:space="preserve">The estimate of the number of </w:t>
      </w:r>
      <w:r w:rsidR="00054D3F" w:rsidRPr="00054D3F">
        <w:rPr>
          <w:i/>
          <w:iCs/>
          <w:sz w:val="16"/>
          <w:szCs w:val="16"/>
        </w:rPr>
        <w:t>educators and staff members</w:t>
      </w:r>
      <w:r w:rsidRPr="00054D3F">
        <w:rPr>
          <w:i/>
          <w:iCs/>
          <w:sz w:val="16"/>
          <w:szCs w:val="16"/>
        </w:rPr>
        <w:t xml:space="preserve"> required to undertake </w:t>
      </w:r>
      <w:r w:rsidR="00054D3F" w:rsidRPr="00054D3F">
        <w:rPr>
          <w:i/>
          <w:iCs/>
          <w:sz w:val="16"/>
          <w:szCs w:val="16"/>
        </w:rPr>
        <w:t xml:space="preserve">training </w:t>
      </w:r>
      <w:r w:rsidRPr="00054D3F">
        <w:rPr>
          <w:i/>
          <w:iCs/>
          <w:sz w:val="16"/>
          <w:szCs w:val="16"/>
        </w:rPr>
        <w:t>also includes unpaid staff (i.e., volunteers)</w:t>
      </w:r>
      <w:r w:rsidR="00E477B3" w:rsidRPr="00E477B3">
        <w:rPr>
          <w:i/>
          <w:iCs/>
          <w:sz w:val="16"/>
          <w:szCs w:val="16"/>
        </w:rPr>
        <w:t>, which is based on 2024 National Workforce Census data.</w:t>
      </w:r>
    </w:p>
  </w:footnote>
  <w:footnote w:id="66">
    <w:p w14:paraId="28BBEE51" w14:textId="24963C31" w:rsidR="00D601E7" w:rsidRDefault="00D601E7">
      <w:pPr>
        <w:pStyle w:val="FootnoteText"/>
      </w:pPr>
      <w:r>
        <w:rPr>
          <w:rStyle w:val="FootnoteReference"/>
        </w:rPr>
        <w:footnoteRef/>
      </w:r>
      <w:r>
        <w:t xml:space="preserve"> </w:t>
      </w:r>
      <w:r w:rsidRPr="00C41A2A">
        <w:rPr>
          <w:i/>
          <w:iCs/>
          <w:sz w:val="16"/>
          <w:szCs w:val="16"/>
        </w:rPr>
        <w:t>Present value costs are calculated at a discount rate of 7%. This specific cost estimate does not account for staff attrition and training of staff stepping into these roles, as staff turnover in these roles was not specified.</w:t>
      </w:r>
    </w:p>
  </w:footnote>
  <w:footnote w:id="67">
    <w:p w14:paraId="6E824A01" w14:textId="0E9531E6" w:rsidR="00D601E7" w:rsidRDefault="00D601E7">
      <w:pPr>
        <w:pStyle w:val="FootnoteText"/>
      </w:pPr>
      <w:r>
        <w:rPr>
          <w:rStyle w:val="FootnoteReference"/>
        </w:rPr>
        <w:footnoteRef/>
      </w:r>
      <w:r>
        <w:t xml:space="preserve"> </w:t>
      </w:r>
      <w:r w:rsidRPr="00764080">
        <w:rPr>
          <w:i/>
          <w:iCs/>
          <w:sz w:val="16"/>
          <w:szCs w:val="16"/>
        </w:rPr>
        <w:t>This is based on an analysis of survey responses where approved providers indicated whether child protection training was delivered to 10% up to 100% of staff (in 10% intervals). 61% of approved providers indicated all staff received child protection training and the weighted average training completion was 87%.</w:t>
      </w:r>
      <w:r w:rsidRPr="00764080">
        <w:rPr>
          <w:sz w:val="16"/>
          <w:szCs w:val="16"/>
        </w:rPr>
        <w:t xml:space="preserve"> </w:t>
      </w:r>
    </w:p>
  </w:footnote>
  <w:footnote w:id="68">
    <w:p w14:paraId="7725D7EB" w14:textId="0657D3BE" w:rsidR="00D601E7" w:rsidRDefault="00D601E7">
      <w:pPr>
        <w:pStyle w:val="FootnoteText"/>
      </w:pPr>
      <w:r>
        <w:rPr>
          <w:rStyle w:val="FootnoteReference"/>
        </w:rPr>
        <w:footnoteRef/>
      </w:r>
      <w:r>
        <w:t xml:space="preserve"> </w:t>
      </w:r>
      <w:r w:rsidRPr="008056B7">
        <w:rPr>
          <w:i/>
          <w:iCs/>
          <w:sz w:val="16"/>
          <w:szCs w:val="16"/>
        </w:rPr>
        <w:t>This ratio applies to new services, while a larger ratio of 1:25 is allowed for services that have been operating for over a year. 1:15 has been adopted as a conservative estimate.</w:t>
      </w:r>
    </w:p>
  </w:footnote>
  <w:footnote w:id="69">
    <w:p w14:paraId="68299ECF" w14:textId="6F74D72F" w:rsidR="00805060" w:rsidRPr="001D1F1D" w:rsidRDefault="00805060">
      <w:pPr>
        <w:pStyle w:val="FootnoteText"/>
        <w:rPr>
          <w:sz w:val="16"/>
          <w:szCs w:val="16"/>
          <w:lang w:val="en-US"/>
        </w:rPr>
      </w:pPr>
      <w:r w:rsidRPr="001D1F1D">
        <w:rPr>
          <w:rStyle w:val="FootnoteReference"/>
          <w:sz w:val="16"/>
          <w:szCs w:val="16"/>
        </w:rPr>
        <w:footnoteRef/>
      </w:r>
      <w:r w:rsidRPr="001D1F1D">
        <w:rPr>
          <w:sz w:val="16"/>
          <w:szCs w:val="16"/>
        </w:rPr>
        <w:t xml:space="preserve"> </w:t>
      </w:r>
      <w:r w:rsidRPr="00E5635E">
        <w:rPr>
          <w:i/>
          <w:iCs/>
          <w:sz w:val="16"/>
          <w:szCs w:val="16"/>
          <w:lang w:val="en-US"/>
        </w:rPr>
        <w:t>The assumption that child protection training will take 3 hours has been used for the purposes of costing. The</w:t>
      </w:r>
      <w:r w:rsidR="001D1F1D" w:rsidRPr="00E5635E">
        <w:rPr>
          <w:i/>
          <w:iCs/>
          <w:sz w:val="16"/>
          <w:szCs w:val="16"/>
          <w:lang w:val="en-US"/>
        </w:rPr>
        <w:t xml:space="preserve"> length of time required for child protection training delivered by accredited training providers ranges between 2 to 9 hours across jurisdictions</w:t>
      </w:r>
      <w:r w:rsidR="00E5635E" w:rsidRPr="00E5635E">
        <w:rPr>
          <w:i/>
          <w:iCs/>
          <w:sz w:val="16"/>
          <w:szCs w:val="16"/>
          <w:lang w:val="en-US"/>
        </w:rPr>
        <w:t>, with three hours being a common timeframe</w:t>
      </w:r>
      <w:r w:rsidR="001D1F1D" w:rsidRPr="00E5635E">
        <w:rPr>
          <w:i/>
          <w:iCs/>
          <w:sz w:val="16"/>
          <w:szCs w:val="16"/>
          <w:lang w:val="en-US"/>
        </w:rPr>
        <w:t>.</w:t>
      </w:r>
    </w:p>
  </w:footnote>
  <w:footnote w:id="70">
    <w:p w14:paraId="531E8CF4" w14:textId="191773AD" w:rsidR="00470043" w:rsidRPr="00470043" w:rsidRDefault="00470043">
      <w:pPr>
        <w:pStyle w:val="FootnoteText"/>
        <w:rPr>
          <w:i/>
          <w:iCs/>
          <w:sz w:val="16"/>
          <w:szCs w:val="16"/>
        </w:rPr>
      </w:pPr>
      <w:r>
        <w:rPr>
          <w:rStyle w:val="FootnoteReference"/>
        </w:rPr>
        <w:footnoteRef/>
      </w:r>
      <w:r>
        <w:t xml:space="preserve"> </w:t>
      </w:r>
      <w:r w:rsidRPr="00470043">
        <w:rPr>
          <w:i/>
          <w:iCs/>
          <w:sz w:val="16"/>
          <w:szCs w:val="16"/>
        </w:rPr>
        <w:t>See &lt;https://awards.fairwork.gov.au/MA000120.html#_Toc201561810&gt;.</w:t>
      </w:r>
    </w:p>
  </w:footnote>
  <w:footnote w:id="71">
    <w:p w14:paraId="58C9F812" w14:textId="781BBCEF" w:rsidR="00D601E7" w:rsidRDefault="00D601E7">
      <w:pPr>
        <w:pStyle w:val="FootnoteText"/>
      </w:pPr>
      <w:r>
        <w:rPr>
          <w:rStyle w:val="FootnoteReference"/>
        </w:rPr>
        <w:footnoteRef/>
      </w:r>
      <w:r>
        <w:t xml:space="preserve"> </w:t>
      </w:r>
      <w:r w:rsidRPr="009A0FBB">
        <w:rPr>
          <w:i/>
          <w:iCs/>
          <w:sz w:val="16"/>
          <w:szCs w:val="16"/>
        </w:rPr>
        <w:t>This wage rate is also used throughout this report, when estimating the value of time for education and care sector staff.</w:t>
      </w:r>
    </w:p>
  </w:footnote>
  <w:footnote w:id="72">
    <w:p w14:paraId="2019B5E6" w14:textId="2B0EC822" w:rsidR="00D601E7" w:rsidRDefault="00D601E7">
      <w:pPr>
        <w:pStyle w:val="FootnoteText"/>
      </w:pPr>
      <w:r>
        <w:rPr>
          <w:rStyle w:val="FootnoteReference"/>
        </w:rPr>
        <w:footnoteRef/>
      </w:r>
      <w:r>
        <w:t xml:space="preserve"> </w:t>
      </w:r>
      <w:r w:rsidRPr="007F29A4">
        <w:rPr>
          <w:i/>
          <w:iCs/>
          <w:sz w:val="16"/>
          <w:szCs w:val="16"/>
        </w:rPr>
        <w:t>The cost of agency educators was quoted to be in the range of two to three times higher than normal wages in consultation.</w:t>
      </w:r>
    </w:p>
  </w:footnote>
  <w:footnote w:id="73">
    <w:p w14:paraId="72F351F4" w14:textId="05234B7A" w:rsidR="00D601E7" w:rsidRDefault="00D601E7">
      <w:pPr>
        <w:pStyle w:val="FootnoteText"/>
      </w:pPr>
      <w:r>
        <w:rPr>
          <w:rStyle w:val="FootnoteReference"/>
        </w:rPr>
        <w:footnoteRef/>
      </w:r>
      <w:r>
        <w:t xml:space="preserve"> </w:t>
      </w:r>
      <w:r w:rsidRPr="00764080">
        <w:rPr>
          <w:i/>
          <w:iCs/>
          <w:sz w:val="16"/>
          <w:szCs w:val="16"/>
        </w:rPr>
        <w:t>This is based on an analysis of survey responses where approved providers indicated whether child protection training was delivered to 10% up to 100% of staff (in 10% intervals). 61% of approved providers indicated all staff received child protection training and the weighted average training completion was 87%.</w:t>
      </w:r>
    </w:p>
  </w:footnote>
  <w:footnote w:id="74">
    <w:p w14:paraId="0592D019" w14:textId="04694668" w:rsidR="00D601E7" w:rsidRDefault="00D601E7">
      <w:pPr>
        <w:pStyle w:val="FootnoteText"/>
      </w:pPr>
      <w:r>
        <w:rPr>
          <w:rStyle w:val="FootnoteReference"/>
        </w:rPr>
        <w:footnoteRef/>
      </w:r>
      <w:r>
        <w:t xml:space="preserve"> </w:t>
      </w:r>
      <w:r w:rsidRPr="006D0E85">
        <w:rPr>
          <w:i/>
          <w:iCs/>
          <w:sz w:val="16"/>
          <w:szCs w:val="16"/>
        </w:rPr>
        <w:t xml:space="preserve">This figure was estimated based on 2024 National Workforce Census data, which indicated that 208,356 workers were employed across centre-based day care (includes LDCs and preschool/kindergarten), FDCs, and OSHCs. From an analysis of employment in the </w:t>
      </w:r>
      <w:r w:rsidR="00EE5435">
        <w:rPr>
          <w:i/>
          <w:iCs/>
          <w:sz w:val="16"/>
          <w:szCs w:val="16"/>
        </w:rPr>
        <w:t>education and care</w:t>
      </w:r>
      <w:r w:rsidRPr="006D0E85">
        <w:rPr>
          <w:i/>
          <w:iCs/>
          <w:sz w:val="16"/>
          <w:szCs w:val="16"/>
        </w:rPr>
        <w:t xml:space="preserve"> services and preschool education sectors in the 2021 ABS Census of population and housing, approximately 87% of staff had occupations that were likely to involve working with children in care settings, with a higher ratio of 92% in education settings. These ratios were applied to overall workforce size estimates (with nominated supervisors, FDC coordinators, and persons in day-to-day charge excluded) to obtain the estimate of approximately 130,000 workers requiring training under option 4.</w:t>
      </w:r>
    </w:p>
  </w:footnote>
  <w:footnote w:id="75">
    <w:p w14:paraId="41A1B023" w14:textId="2DC2EA68" w:rsidR="00D601E7" w:rsidRDefault="00D601E7">
      <w:pPr>
        <w:pStyle w:val="FootnoteText"/>
      </w:pPr>
      <w:r>
        <w:rPr>
          <w:rStyle w:val="FootnoteReference"/>
        </w:rPr>
        <w:footnoteRef/>
      </w:r>
      <w:r>
        <w:t xml:space="preserve"> </w:t>
      </w:r>
      <w:r w:rsidRPr="00764080">
        <w:rPr>
          <w:i/>
          <w:iCs/>
          <w:sz w:val="16"/>
          <w:szCs w:val="16"/>
        </w:rPr>
        <w:t>This is based on an analysis of survey responses where approved providers indicated whether child protection training was delivered to 10% up to 100% of staff (in 10% intervals). 61% of approved providers indicated all staff received child protection training and the weighted average training completion was 87%.</w:t>
      </w:r>
      <w:r w:rsidR="00BF6AFE">
        <w:rPr>
          <w:i/>
          <w:iCs/>
          <w:sz w:val="16"/>
          <w:szCs w:val="16"/>
        </w:rPr>
        <w:t xml:space="preserve"> Since SA already requires all staff and volunteers who work in Government education and care services to undertake this training, and </w:t>
      </w:r>
      <w:r w:rsidR="00667AC9">
        <w:rPr>
          <w:i/>
          <w:iCs/>
          <w:sz w:val="16"/>
          <w:szCs w:val="16"/>
        </w:rPr>
        <w:t xml:space="preserve">10% of education and care services are government operated, a higher share of 88.3% existing uptake of training has been assumed for SA. </w:t>
      </w:r>
    </w:p>
  </w:footnote>
  <w:footnote w:id="76">
    <w:p w14:paraId="37F2366A" w14:textId="60FFC840" w:rsidR="00997BFF" w:rsidRDefault="00997BFF">
      <w:pPr>
        <w:pStyle w:val="FootnoteText"/>
      </w:pPr>
      <w:r>
        <w:rPr>
          <w:rStyle w:val="FootnoteReference"/>
        </w:rPr>
        <w:footnoteRef/>
      </w:r>
      <w:r>
        <w:t xml:space="preserve"> </w:t>
      </w:r>
      <w:r w:rsidRPr="00997BFF">
        <w:rPr>
          <w:i/>
          <w:iCs/>
          <w:sz w:val="16"/>
          <w:szCs w:val="16"/>
        </w:rPr>
        <w:t>It is understood that all levels of early childhood education qualifications require some form of placement, although the precise number of hours varies by qualification, jurisdiction, and institution.</w:t>
      </w:r>
    </w:p>
  </w:footnote>
  <w:footnote w:id="77">
    <w:p w14:paraId="153654FF" w14:textId="652CD1A2" w:rsidR="005C3C47" w:rsidRDefault="005C3C47">
      <w:pPr>
        <w:pStyle w:val="FootnoteText"/>
      </w:pPr>
      <w:r>
        <w:rPr>
          <w:rStyle w:val="FootnoteReference"/>
        </w:rPr>
        <w:footnoteRef/>
      </w:r>
      <w:r>
        <w:t xml:space="preserve"> </w:t>
      </w:r>
      <w:r w:rsidRPr="004D6AB5">
        <w:rPr>
          <w:i/>
          <w:iCs/>
          <w:sz w:val="16"/>
          <w:szCs w:val="16"/>
        </w:rPr>
        <w:t xml:space="preserve">This is based on a </w:t>
      </w:r>
      <w:r w:rsidR="00B74B8A" w:rsidRPr="004D6AB5">
        <w:rPr>
          <w:i/>
          <w:iCs/>
          <w:sz w:val="16"/>
          <w:szCs w:val="16"/>
        </w:rPr>
        <w:t xml:space="preserve">2022 estimate of enrolments from AITSL </w:t>
      </w:r>
      <w:r w:rsidR="004B00D0">
        <w:rPr>
          <w:i/>
          <w:iCs/>
          <w:sz w:val="16"/>
          <w:szCs w:val="16"/>
        </w:rPr>
        <w:t>(</w:t>
      </w:r>
      <w:r w:rsidR="004B00D0" w:rsidRPr="004B00D0">
        <w:rPr>
          <w:i/>
          <w:iCs/>
          <w:sz w:val="16"/>
          <w:szCs w:val="16"/>
        </w:rPr>
        <w:t>https://www.aitsl.edu.au/research/australian-teacher-workforce-data/atwd-reports/national-trends-ite-pipeline-dec2024</w:t>
      </w:r>
      <w:r w:rsidR="004B00D0">
        <w:rPr>
          <w:i/>
          <w:iCs/>
          <w:sz w:val="16"/>
          <w:szCs w:val="16"/>
        </w:rPr>
        <w:t xml:space="preserve">) </w:t>
      </w:r>
      <w:r w:rsidR="00B74B8A" w:rsidRPr="004D6AB5">
        <w:rPr>
          <w:i/>
          <w:iCs/>
          <w:sz w:val="16"/>
          <w:szCs w:val="16"/>
        </w:rPr>
        <w:t xml:space="preserve">and commencements have been estimated based on the relative share of VET to higher education enrolments and the </w:t>
      </w:r>
      <w:r w:rsidR="004D6AB5" w:rsidRPr="004D6AB5">
        <w:rPr>
          <w:i/>
          <w:iCs/>
          <w:sz w:val="16"/>
          <w:szCs w:val="16"/>
        </w:rPr>
        <w:t>proportion of VET commencements to VET enrolments, in the absence of a better available estimate.</w:t>
      </w:r>
    </w:p>
  </w:footnote>
  <w:footnote w:id="78">
    <w:p w14:paraId="2DE5D6B6" w14:textId="0BE14ED7" w:rsidR="00570C28" w:rsidRPr="00325F69" w:rsidRDefault="00570C28" w:rsidP="004B00D0">
      <w:pPr>
        <w:pStyle w:val="NormalWeb"/>
        <w:spacing w:before="0" w:beforeAutospacing="0" w:after="0" w:afterAutospacing="0" w:line="240" w:lineRule="auto"/>
        <w:rPr>
          <w:lang w:val="en-US"/>
        </w:rPr>
      </w:pPr>
      <w:r>
        <w:rPr>
          <w:rStyle w:val="FootnoteReference"/>
        </w:rPr>
        <w:footnoteRef/>
      </w:r>
      <w:r>
        <w:rPr>
          <w:rFonts w:ascii="Arial" w:hAnsi="Arial" w:cs="Arial"/>
          <w:i/>
          <w:iCs/>
          <w:sz w:val="16"/>
          <w:szCs w:val="16"/>
        </w:rPr>
        <w:t>This is based on an analysis of survey responses where approved providers indicated whether child protection training was delivered to 10% up to 100% of staff (in 10% intervals). 61% of approved providers indicated all staff received child protection training and the weighted average training completion was 87%. 13% is the remaining number of people required to do the training. While this survey statistic is not specific to training providers, it is</w:t>
      </w:r>
      <w:r w:rsidR="004B00D0">
        <w:rPr>
          <w:rFonts w:ascii="Arial" w:hAnsi="Arial" w:cs="Arial"/>
          <w:i/>
          <w:iCs/>
          <w:sz w:val="16"/>
          <w:szCs w:val="16"/>
        </w:rPr>
        <w:t xml:space="preserve"> </w:t>
      </w:r>
      <w:r w:rsidR="0050743C">
        <w:rPr>
          <w:rFonts w:ascii="Arial" w:hAnsi="Arial" w:cs="Arial"/>
          <w:i/>
          <w:iCs/>
          <w:sz w:val="16"/>
          <w:szCs w:val="16"/>
        </w:rPr>
        <w:t>considered reasonable</w:t>
      </w:r>
      <w:r>
        <w:rPr>
          <w:rFonts w:ascii="Arial" w:hAnsi="Arial" w:cs="Arial"/>
          <w:i/>
          <w:iCs/>
          <w:sz w:val="16"/>
          <w:szCs w:val="16"/>
        </w:rPr>
        <w:t xml:space="preserve"> to assume that approved providers may require students to do the same training that applies to staff</w:t>
      </w:r>
      <w:r w:rsidR="00605D86">
        <w:rPr>
          <w:rFonts w:ascii="Arial" w:hAnsi="Arial" w:cs="Arial"/>
          <w:i/>
          <w:iCs/>
          <w:sz w:val="16"/>
          <w:szCs w:val="16"/>
        </w:rPr>
        <w:t>, based on sentiment shared during stakeholder consultation</w:t>
      </w:r>
      <w:r>
        <w:rPr>
          <w:rFonts w:ascii="Arial" w:hAnsi="Arial" w:cs="Arial"/>
          <w:i/>
          <w:iCs/>
          <w:sz w:val="16"/>
          <w:szCs w:val="16"/>
        </w:rPr>
        <w:t>.</w:t>
      </w:r>
    </w:p>
  </w:footnote>
  <w:footnote w:id="79">
    <w:p w14:paraId="0111D0A3" w14:textId="62A27D86" w:rsidR="00D601E7" w:rsidRDefault="00D601E7">
      <w:pPr>
        <w:pStyle w:val="FootnoteText"/>
      </w:pPr>
      <w:r>
        <w:rPr>
          <w:rStyle w:val="FootnoteReference"/>
        </w:rPr>
        <w:footnoteRef/>
      </w:r>
      <w:r>
        <w:t xml:space="preserve"> </w:t>
      </w:r>
      <w:r w:rsidRPr="00421DC0">
        <w:rPr>
          <w:i/>
          <w:iCs/>
          <w:sz w:val="16"/>
          <w:szCs w:val="16"/>
        </w:rPr>
        <w:t>Based on the aforementioned analysis of</w:t>
      </w:r>
      <w:r w:rsidRPr="00421DC0">
        <w:rPr>
          <w:sz w:val="16"/>
          <w:szCs w:val="16"/>
        </w:rPr>
        <w:t xml:space="preserve"> </w:t>
      </w:r>
      <w:r w:rsidRPr="006D0E85">
        <w:rPr>
          <w:i/>
          <w:iCs/>
          <w:sz w:val="16"/>
          <w:szCs w:val="16"/>
        </w:rPr>
        <w:t xml:space="preserve">employment in the </w:t>
      </w:r>
      <w:r w:rsidR="00D23713">
        <w:rPr>
          <w:i/>
          <w:iCs/>
          <w:sz w:val="16"/>
          <w:szCs w:val="16"/>
        </w:rPr>
        <w:t>education and care</w:t>
      </w:r>
      <w:r w:rsidRPr="006D0E85">
        <w:rPr>
          <w:i/>
          <w:iCs/>
          <w:sz w:val="16"/>
          <w:szCs w:val="16"/>
        </w:rPr>
        <w:t xml:space="preserve"> services and preschool education sectors in the 2021 ABS Census of population and housing</w:t>
      </w:r>
      <w:r>
        <w:rPr>
          <w:i/>
          <w:iCs/>
          <w:sz w:val="16"/>
          <w:szCs w:val="16"/>
        </w:rPr>
        <w:t xml:space="preserve">, </w:t>
      </w:r>
      <w:r w:rsidRPr="006D0E85">
        <w:rPr>
          <w:i/>
          <w:iCs/>
          <w:sz w:val="16"/>
          <w:szCs w:val="16"/>
        </w:rPr>
        <w:t xml:space="preserve">approximately </w:t>
      </w:r>
      <w:r>
        <w:rPr>
          <w:i/>
          <w:iCs/>
          <w:sz w:val="16"/>
          <w:szCs w:val="16"/>
        </w:rPr>
        <w:t>13</w:t>
      </w:r>
      <w:r w:rsidRPr="006D0E85">
        <w:rPr>
          <w:i/>
          <w:iCs/>
          <w:sz w:val="16"/>
          <w:szCs w:val="16"/>
        </w:rPr>
        <w:t xml:space="preserve">% of staff had occupations that were </w:t>
      </w:r>
      <w:r>
        <w:rPr>
          <w:i/>
          <w:iCs/>
          <w:sz w:val="16"/>
          <w:szCs w:val="16"/>
        </w:rPr>
        <w:t xml:space="preserve">less </w:t>
      </w:r>
      <w:r w:rsidRPr="006D0E85">
        <w:rPr>
          <w:i/>
          <w:iCs/>
          <w:sz w:val="16"/>
          <w:szCs w:val="16"/>
        </w:rPr>
        <w:t xml:space="preserve">likely to involve working with children in care settings, with a </w:t>
      </w:r>
      <w:r>
        <w:rPr>
          <w:i/>
          <w:iCs/>
          <w:sz w:val="16"/>
          <w:szCs w:val="16"/>
        </w:rPr>
        <w:t>lower</w:t>
      </w:r>
      <w:r w:rsidRPr="006D0E85">
        <w:rPr>
          <w:i/>
          <w:iCs/>
          <w:sz w:val="16"/>
          <w:szCs w:val="16"/>
        </w:rPr>
        <w:t xml:space="preserve"> ratio of </w:t>
      </w:r>
      <w:r>
        <w:rPr>
          <w:i/>
          <w:iCs/>
          <w:sz w:val="16"/>
          <w:szCs w:val="16"/>
        </w:rPr>
        <w:t>8</w:t>
      </w:r>
      <w:r w:rsidRPr="006D0E85">
        <w:rPr>
          <w:i/>
          <w:iCs/>
          <w:sz w:val="16"/>
          <w:szCs w:val="16"/>
        </w:rPr>
        <w:t>% in education settings.</w:t>
      </w:r>
    </w:p>
  </w:footnote>
  <w:footnote w:id="80">
    <w:p w14:paraId="619F50F4" w14:textId="3BAD7A21" w:rsidR="00E60534" w:rsidRPr="00E60534" w:rsidRDefault="00E60534">
      <w:pPr>
        <w:pStyle w:val="FootnoteText"/>
        <w:rPr>
          <w:i/>
          <w:iCs/>
          <w:sz w:val="16"/>
          <w:szCs w:val="16"/>
        </w:rPr>
      </w:pPr>
      <w:r>
        <w:rPr>
          <w:rStyle w:val="FootnoteReference"/>
        </w:rPr>
        <w:footnoteRef/>
      </w:r>
      <w:r>
        <w:t xml:space="preserve"> </w:t>
      </w:r>
      <w:r w:rsidRPr="00E60534">
        <w:rPr>
          <w:i/>
          <w:iCs/>
          <w:sz w:val="16"/>
          <w:szCs w:val="16"/>
        </w:rPr>
        <w:t>Advice was provided that this requirement can be fulfilled in a shorter timeframe than child protection training. As such, an assumption of 1 hour was applied.</w:t>
      </w:r>
    </w:p>
  </w:footnote>
  <w:footnote w:id="81">
    <w:p w14:paraId="21222098" w14:textId="1759132C" w:rsidR="00732DE5" w:rsidRDefault="00732DE5">
      <w:pPr>
        <w:pStyle w:val="FootnoteText"/>
      </w:pPr>
      <w:r>
        <w:rPr>
          <w:rStyle w:val="FootnoteReference"/>
        </w:rPr>
        <w:footnoteRef/>
      </w:r>
      <w:r>
        <w:t xml:space="preserve"> </w:t>
      </w:r>
      <w:r w:rsidRPr="006D0E85">
        <w:rPr>
          <w:i/>
          <w:iCs/>
          <w:sz w:val="16"/>
          <w:szCs w:val="16"/>
        </w:rPr>
        <w:t xml:space="preserve">2024 National Workforce Census </w:t>
      </w:r>
    </w:p>
  </w:footnote>
  <w:footnote w:id="82">
    <w:p w14:paraId="26B277B5" w14:textId="025C9694" w:rsidR="00D601E7" w:rsidRDefault="00D601E7" w:rsidP="00A152CC">
      <w:pPr>
        <w:pStyle w:val="FootnoteText"/>
      </w:pPr>
      <w:r>
        <w:rPr>
          <w:rStyle w:val="FootnoteReference"/>
        </w:rPr>
        <w:footnoteRef/>
      </w:r>
      <w:r>
        <w:t xml:space="preserve"> </w:t>
      </w:r>
      <w:r w:rsidRPr="005715F0">
        <w:rPr>
          <w:i/>
          <w:iCs/>
          <w:sz w:val="16"/>
          <w:szCs w:val="16"/>
        </w:rPr>
        <w:t>Further information on this estimate is available in Chapter 4.</w:t>
      </w:r>
    </w:p>
  </w:footnote>
  <w:footnote w:id="83">
    <w:p w14:paraId="093B57E7" w14:textId="331DBFA5" w:rsidR="00883990" w:rsidRDefault="00883990" w:rsidP="00883990">
      <w:pPr>
        <w:pStyle w:val="FootnoteText"/>
      </w:pPr>
      <w:r>
        <w:rPr>
          <w:rStyle w:val="FootnoteReference"/>
        </w:rPr>
        <w:footnoteRef/>
      </w:r>
      <w:r>
        <w:t xml:space="preserve"> </w:t>
      </w:r>
      <w:r w:rsidRPr="00343136">
        <w:rPr>
          <w:i/>
          <w:iCs/>
          <w:sz w:val="16"/>
          <w:szCs w:val="16"/>
        </w:rPr>
        <w:t>This value, multiplied by the total cost of harm to children in Australia, equates to the monetised cost of option 3.</w:t>
      </w:r>
    </w:p>
  </w:footnote>
  <w:footnote w:id="84">
    <w:p w14:paraId="51D8DDD8" w14:textId="26409893" w:rsidR="00972A12" w:rsidRPr="00972A12" w:rsidRDefault="00972A12">
      <w:pPr>
        <w:pStyle w:val="FootnoteText"/>
        <w:rPr>
          <w:lang w:val="en-US"/>
        </w:rPr>
      </w:pPr>
      <w:r>
        <w:rPr>
          <w:rStyle w:val="FootnoteReference"/>
        </w:rPr>
        <w:footnoteRef/>
      </w:r>
      <w:r>
        <w:t xml:space="preserve"> </w:t>
      </w:r>
      <w:r w:rsidRPr="004A7ECB">
        <w:rPr>
          <w:i/>
          <w:iCs/>
          <w:sz w:val="16"/>
          <w:szCs w:val="16"/>
        </w:rPr>
        <w:t>Based on Figure 6 in ACECQA’s NQF Snapshot Q1 2025, see &lt;https://www.acecqa.gov.au/sites/default/files/2025-05/NQF%20Snapshot%20Q1%202025%20FINAL.PDF&gt;.</w:t>
      </w:r>
    </w:p>
  </w:footnote>
  <w:footnote w:id="85">
    <w:p w14:paraId="6E3E3094" w14:textId="77777777" w:rsidR="00D601E7" w:rsidRDefault="00D601E7" w:rsidP="001118D1">
      <w:pPr>
        <w:pStyle w:val="FootnoteText"/>
      </w:pPr>
      <w:r>
        <w:rPr>
          <w:rStyle w:val="FootnoteReference"/>
        </w:rPr>
        <w:footnoteRef/>
      </w:r>
      <w:r>
        <w:t xml:space="preserve"> </w:t>
      </w:r>
      <w:r w:rsidRPr="00194BBD">
        <w:rPr>
          <w:i/>
          <w:iCs/>
          <w:sz w:val="16"/>
          <w:szCs w:val="16"/>
        </w:rPr>
        <w:t>See &lt;https://oia.pmc.gov.au/resources/guidance-assessing-impacts/regulatory-burden-measurement-framework&gt;.</w:t>
      </w:r>
    </w:p>
  </w:footnote>
  <w:footnote w:id="86">
    <w:p w14:paraId="7517BCD3" w14:textId="5D9A586F" w:rsidR="006C2349" w:rsidRDefault="006C2349" w:rsidP="006C2349">
      <w:pPr>
        <w:pStyle w:val="NoSpacing"/>
        <w:rPr>
          <w:rFonts w:cs="Arial"/>
          <w:i/>
          <w:iCs/>
          <w:sz w:val="16"/>
          <w:szCs w:val="16"/>
        </w:rPr>
      </w:pPr>
      <w:r>
        <w:rPr>
          <w:rStyle w:val="FootnoteReference"/>
          <w:i/>
          <w:iCs/>
          <w:sz w:val="16"/>
          <w:szCs w:val="16"/>
        </w:rPr>
        <w:footnoteRef/>
      </w:r>
      <w:r>
        <w:rPr>
          <w:i/>
          <w:iCs/>
          <w:sz w:val="16"/>
          <w:szCs w:val="16"/>
        </w:rPr>
        <w:t xml:space="preserve"> Section 166 of the National Law imposes a legal obligation on approved providers and nominated supervisors to ensure that children being educated and cared for are not subjected to inappropriate discipline. If a child is subjected to inappropriate discipline by a staff member, volunteer or </w:t>
      </w:r>
      <w:r w:rsidR="00C706C7">
        <w:rPr>
          <w:i/>
          <w:iCs/>
          <w:sz w:val="16"/>
          <w:szCs w:val="16"/>
        </w:rPr>
        <w:t>FDC</w:t>
      </w:r>
      <w:r>
        <w:rPr>
          <w:i/>
          <w:iCs/>
          <w:sz w:val="16"/>
          <w:szCs w:val="16"/>
        </w:rPr>
        <w:t xml:space="preserve"> educator whilst in the care of a service, then the approved provider and nominated supervisor will have also failed in their obligations, in addition to the person who inappropriately disciplined, and contravened section 166 of the National Law.</w:t>
      </w:r>
    </w:p>
  </w:footnote>
  <w:footnote w:id="87">
    <w:p w14:paraId="4510AF92" w14:textId="2BFCF1DF" w:rsidR="006C2349" w:rsidRDefault="006C2349" w:rsidP="006C2349">
      <w:pPr>
        <w:pStyle w:val="NoSpacing"/>
        <w:rPr>
          <w:i/>
          <w:iCs/>
          <w:sz w:val="16"/>
          <w:szCs w:val="16"/>
        </w:rPr>
      </w:pPr>
      <w:r>
        <w:rPr>
          <w:rStyle w:val="FootnoteReference"/>
          <w:i/>
          <w:iCs/>
          <w:sz w:val="16"/>
          <w:szCs w:val="16"/>
        </w:rPr>
        <w:footnoteRef/>
      </w:r>
      <w:r>
        <w:rPr>
          <w:i/>
          <w:iCs/>
          <w:sz w:val="16"/>
          <w:szCs w:val="16"/>
        </w:rPr>
        <w:t xml:space="preserve"> This section also applies to other persons in any way involved in the provision of an education and care service, such as approved providers, persons with management or control, and nominated supervisors.</w:t>
      </w:r>
    </w:p>
  </w:footnote>
  <w:footnote w:id="88">
    <w:p w14:paraId="0CF528BC" w14:textId="77777777" w:rsidR="008F5F86" w:rsidRDefault="008F5F86" w:rsidP="008F5F86">
      <w:r>
        <w:rPr>
          <w:rStyle w:val="FootnoteReference"/>
        </w:rPr>
        <w:footnoteRef/>
      </w:r>
      <w:r>
        <w:t xml:space="preserve"> </w:t>
      </w:r>
      <w:r w:rsidRPr="00FF0AE2">
        <w:rPr>
          <w:i/>
          <w:iCs/>
          <w:sz w:val="16"/>
          <w:szCs w:val="16"/>
        </w:rPr>
        <w:t>An enforceable undertaking is an agreement between a</w:t>
      </w:r>
      <w:r>
        <w:rPr>
          <w:i/>
          <w:iCs/>
          <w:sz w:val="16"/>
          <w:szCs w:val="16"/>
        </w:rPr>
        <w:t xml:space="preserve"> person </w:t>
      </w:r>
      <w:r w:rsidRPr="00FF0AE2">
        <w:rPr>
          <w:i/>
          <w:iCs/>
          <w:sz w:val="16"/>
          <w:szCs w:val="16"/>
        </w:rPr>
        <w:t xml:space="preserve">and the Regulatory Authority, where the </w:t>
      </w:r>
      <w:r>
        <w:rPr>
          <w:i/>
          <w:iCs/>
          <w:sz w:val="16"/>
          <w:szCs w:val="16"/>
        </w:rPr>
        <w:t>person</w:t>
      </w:r>
      <w:r w:rsidRPr="00FF0AE2">
        <w:rPr>
          <w:i/>
          <w:iCs/>
          <w:sz w:val="16"/>
          <w:szCs w:val="16"/>
        </w:rPr>
        <w:t xml:space="preserve"> agrees to take certain actions, or refrain from certain actions, to comply with the National Law. For example, an enforceable undertaking may require a person to undertake training.</w:t>
      </w:r>
    </w:p>
    <w:p w14:paraId="34286EBE" w14:textId="77777777" w:rsidR="008F5F86" w:rsidRDefault="008F5F86" w:rsidP="008F5F86">
      <w:pPr>
        <w:pStyle w:val="FootnoteText"/>
      </w:pPr>
    </w:p>
  </w:footnote>
  <w:footnote w:id="89">
    <w:p w14:paraId="370FF6D0" w14:textId="3315D3E6" w:rsidR="006C2349" w:rsidRDefault="006C2349" w:rsidP="006C2349">
      <w:pPr>
        <w:pStyle w:val="NoSpacing"/>
      </w:pPr>
      <w:r>
        <w:rPr>
          <w:rStyle w:val="FootnoteReference"/>
        </w:rPr>
        <w:footnoteRef/>
      </w:r>
      <w:r>
        <w:t xml:space="preserve"> </w:t>
      </w:r>
      <w:r w:rsidRPr="00FF0AE2">
        <w:rPr>
          <w:i/>
          <w:iCs/>
          <w:sz w:val="16"/>
          <w:szCs w:val="16"/>
        </w:rPr>
        <w:t xml:space="preserve">See </w:t>
      </w:r>
      <w:r>
        <w:rPr>
          <w:i/>
          <w:iCs/>
          <w:sz w:val="16"/>
          <w:szCs w:val="16"/>
        </w:rPr>
        <w:t>Chapter 7</w:t>
      </w:r>
      <w:r w:rsidRPr="00FF0AE2">
        <w:rPr>
          <w:i/>
          <w:iCs/>
          <w:sz w:val="16"/>
          <w:szCs w:val="16"/>
        </w:rPr>
        <w:t>.3</w:t>
      </w:r>
      <w:r>
        <w:rPr>
          <w:i/>
          <w:iCs/>
          <w:sz w:val="16"/>
          <w:szCs w:val="16"/>
        </w:rPr>
        <w:t xml:space="preserve"> </w:t>
      </w:r>
      <w:r w:rsidRPr="00FF0AE2">
        <w:rPr>
          <w:i/>
          <w:iCs/>
          <w:sz w:val="16"/>
          <w:szCs w:val="16"/>
        </w:rPr>
        <w:t>for further information on prohibitions.</w:t>
      </w:r>
    </w:p>
  </w:footnote>
  <w:footnote w:id="90">
    <w:p w14:paraId="55852CBD" w14:textId="11E6B326" w:rsidR="00AB3A29" w:rsidRDefault="00AB3A29">
      <w:pPr>
        <w:pStyle w:val="FootnoteText"/>
      </w:pPr>
      <w:r>
        <w:rPr>
          <w:rStyle w:val="FootnoteReference"/>
        </w:rPr>
        <w:footnoteRef/>
      </w:r>
      <w:r>
        <w:t xml:space="preserve"> </w:t>
      </w:r>
      <w:r w:rsidRPr="00AB3A29">
        <w:rPr>
          <w:i/>
          <w:iCs/>
          <w:sz w:val="16"/>
          <w:szCs w:val="16"/>
        </w:rPr>
        <w:t xml:space="preserve">The </w:t>
      </w:r>
      <w:r w:rsidR="00AA248F" w:rsidRPr="00AA248F">
        <w:rPr>
          <w:i/>
          <w:iCs/>
          <w:sz w:val="16"/>
          <w:szCs w:val="16"/>
        </w:rPr>
        <w:t>corresponding numbers form Chart 7.1</w:t>
      </w:r>
      <w:r w:rsidR="00AA248F">
        <w:rPr>
          <w:i/>
          <w:iCs/>
          <w:sz w:val="16"/>
          <w:szCs w:val="16"/>
        </w:rPr>
        <w:t xml:space="preserve"> </w:t>
      </w:r>
      <w:r w:rsidRPr="00AB3A29">
        <w:rPr>
          <w:i/>
          <w:iCs/>
          <w:sz w:val="16"/>
          <w:szCs w:val="16"/>
        </w:rPr>
        <w:t>do not sum due to rounding.</w:t>
      </w:r>
    </w:p>
  </w:footnote>
  <w:footnote w:id="91">
    <w:p w14:paraId="7A7C590F" w14:textId="269833BD" w:rsidR="006C2349" w:rsidRDefault="006C2349" w:rsidP="006C2349">
      <w:pPr>
        <w:pStyle w:val="FootnoteText"/>
      </w:pPr>
      <w:r>
        <w:rPr>
          <w:rStyle w:val="FootnoteReference"/>
        </w:rPr>
        <w:footnoteRef/>
      </w:r>
      <w:r>
        <w:t xml:space="preserve"> </w:t>
      </w:r>
      <w:r w:rsidRPr="00262041">
        <w:rPr>
          <w:i/>
          <w:iCs/>
          <w:sz w:val="16"/>
          <w:szCs w:val="16"/>
        </w:rPr>
        <w:t xml:space="preserve">There is also a legal requirement for all approved providers to have a </w:t>
      </w:r>
      <w:r w:rsidR="00B35BCC" w:rsidRPr="00262041">
        <w:rPr>
          <w:i/>
          <w:iCs/>
          <w:sz w:val="16"/>
          <w:szCs w:val="16"/>
        </w:rPr>
        <w:t>Code of Conduct</w:t>
      </w:r>
      <w:r w:rsidRPr="00262041">
        <w:rPr>
          <w:i/>
          <w:iCs/>
          <w:sz w:val="16"/>
          <w:szCs w:val="16"/>
        </w:rPr>
        <w:t xml:space="preserve">. However, this requirement does not determine the quality or robustness of these </w:t>
      </w:r>
      <w:r w:rsidR="00B35BCC" w:rsidRPr="00262041">
        <w:rPr>
          <w:i/>
          <w:iCs/>
          <w:sz w:val="16"/>
          <w:szCs w:val="16"/>
        </w:rPr>
        <w:t>Codes of Conduct</w:t>
      </w:r>
      <w:r w:rsidRPr="00262041">
        <w:rPr>
          <w:i/>
          <w:iCs/>
          <w:sz w:val="16"/>
          <w:szCs w:val="16"/>
        </w:rPr>
        <w:t>.</w:t>
      </w:r>
      <w:r w:rsidRPr="00262041">
        <w:rPr>
          <w:sz w:val="16"/>
          <w:szCs w:val="16"/>
        </w:rPr>
        <w:t xml:space="preserve"> </w:t>
      </w:r>
    </w:p>
  </w:footnote>
  <w:footnote w:id="92">
    <w:p w14:paraId="76B3356D" w14:textId="0B8B3688" w:rsidR="0005352F" w:rsidRDefault="0005352F">
      <w:pPr>
        <w:pStyle w:val="FootnoteText"/>
      </w:pPr>
      <w:r>
        <w:rPr>
          <w:rStyle w:val="FootnoteReference"/>
        </w:rPr>
        <w:footnoteRef/>
      </w:r>
      <w:r>
        <w:t xml:space="preserve"> </w:t>
      </w:r>
      <w:r w:rsidR="00570D39" w:rsidRPr="002B7AAF">
        <w:rPr>
          <w:i/>
          <w:iCs/>
          <w:sz w:val="16"/>
          <w:szCs w:val="16"/>
        </w:rPr>
        <w:t xml:space="preserve">While this option may still impose incremental costs, approved providers are already required to have a Code of Conduct and </w:t>
      </w:r>
      <w:r w:rsidR="002B7AAF" w:rsidRPr="002B7AAF">
        <w:rPr>
          <w:i/>
          <w:iCs/>
          <w:sz w:val="16"/>
          <w:szCs w:val="16"/>
        </w:rPr>
        <w:t>review it regularly.</w:t>
      </w:r>
    </w:p>
  </w:footnote>
  <w:footnote w:id="93">
    <w:p w14:paraId="24C7E34B" w14:textId="1BBE2312" w:rsidR="006C2349" w:rsidRPr="00930AA9" w:rsidRDefault="006C2349" w:rsidP="006C2349">
      <w:pPr>
        <w:pStyle w:val="FootnoteText"/>
        <w:rPr>
          <w:lang w:val="en-US"/>
        </w:rPr>
      </w:pPr>
      <w:r>
        <w:rPr>
          <w:rStyle w:val="FootnoteReference"/>
        </w:rPr>
        <w:footnoteRef/>
      </w:r>
      <w:r>
        <w:t xml:space="preserve"> </w:t>
      </w:r>
      <w:r w:rsidRPr="000D798B">
        <w:rPr>
          <w:i/>
          <w:sz w:val="16"/>
          <w:szCs w:val="16"/>
          <w:lang w:val="en-US"/>
        </w:rPr>
        <w:t>This survey question did not specify who would be responsible for the administrative costs</w:t>
      </w:r>
      <w:r>
        <w:rPr>
          <w:lang w:val="en-US"/>
        </w:rPr>
        <w:t>.</w:t>
      </w:r>
      <w:r w:rsidR="00444A15">
        <w:rPr>
          <w:lang w:val="en-US"/>
        </w:rPr>
        <w:t xml:space="preserve"> </w:t>
      </w:r>
    </w:p>
  </w:footnote>
  <w:footnote w:id="94">
    <w:p w14:paraId="0803D810" w14:textId="77777777" w:rsidR="006C2349" w:rsidRPr="001E2F9E" w:rsidRDefault="006C2349" w:rsidP="006C2349">
      <w:pPr>
        <w:pStyle w:val="FootnoteText"/>
        <w:rPr>
          <w:i/>
          <w:iCs/>
          <w:sz w:val="16"/>
          <w:szCs w:val="16"/>
        </w:rPr>
      </w:pPr>
      <w:r w:rsidRPr="001E2F9E">
        <w:rPr>
          <w:rStyle w:val="FootnoteReference"/>
          <w:i/>
          <w:iCs/>
          <w:sz w:val="16"/>
          <w:szCs w:val="16"/>
        </w:rPr>
        <w:footnoteRef/>
      </w:r>
      <w:r w:rsidRPr="001E2F9E">
        <w:rPr>
          <w:i/>
          <w:iCs/>
          <w:sz w:val="16"/>
          <w:szCs w:val="16"/>
        </w:rPr>
        <w:t xml:space="preserve"> Under the National Law, the Regulatory Authority is required to notify the respective jurisdictions’ WWCC agency when they issue a prohibition notice.</w:t>
      </w:r>
    </w:p>
  </w:footnote>
  <w:footnote w:id="95">
    <w:p w14:paraId="39DB195B" w14:textId="77777777" w:rsidR="00C249DF" w:rsidRPr="006C23EA" w:rsidRDefault="00C249DF" w:rsidP="00C249DF">
      <w:pPr>
        <w:pStyle w:val="FootnoteText"/>
        <w:rPr>
          <w:lang w:val="en-US"/>
        </w:rPr>
      </w:pPr>
      <w:r>
        <w:rPr>
          <w:rStyle w:val="FootnoteReference"/>
        </w:rPr>
        <w:footnoteRef/>
      </w:r>
      <w:r>
        <w:t xml:space="preserve"> </w:t>
      </w:r>
      <w:r w:rsidRPr="000D798B">
        <w:rPr>
          <w:i/>
          <w:sz w:val="16"/>
          <w:szCs w:val="16"/>
        </w:rPr>
        <w:t xml:space="preserve">NQA ITS is </w:t>
      </w:r>
      <w:r w:rsidRPr="000D798B">
        <w:rPr>
          <w:i/>
          <w:sz w:val="16"/>
          <w:szCs w:val="16"/>
          <w:lang w:val="en-US"/>
        </w:rPr>
        <w:t>ACECQA’s online system to manage and oversee education and care services, which can be accessed by approved providers (or prospective providers) to make applications and undertake other functions.</w:t>
      </w:r>
    </w:p>
  </w:footnote>
  <w:footnote w:id="96">
    <w:p w14:paraId="16848E5E" w14:textId="77777777" w:rsidR="006C2349" w:rsidRPr="006F40E1" w:rsidRDefault="006C2349" w:rsidP="006C2349">
      <w:pPr>
        <w:pStyle w:val="NoSpacing"/>
        <w:rPr>
          <w:i/>
          <w:iCs/>
          <w:sz w:val="16"/>
          <w:szCs w:val="16"/>
        </w:rPr>
      </w:pPr>
      <w:r w:rsidRPr="006F40E1">
        <w:rPr>
          <w:rStyle w:val="FootnoteReference"/>
          <w:i/>
          <w:iCs/>
          <w:sz w:val="16"/>
          <w:szCs w:val="16"/>
        </w:rPr>
        <w:footnoteRef/>
      </w:r>
      <w:r w:rsidRPr="006F40E1">
        <w:rPr>
          <w:i/>
          <w:iCs/>
          <w:sz w:val="16"/>
          <w:szCs w:val="16"/>
        </w:rPr>
        <w:t xml:space="preserve"> In the instance where educator conduct falls under an offence under the National Law, it often connects to a failing of the approved provider and nominated supervisor, as seen in section 166 of the National Law – Offence to use inappropriate discipline.</w:t>
      </w:r>
    </w:p>
  </w:footnote>
  <w:footnote w:id="97">
    <w:p w14:paraId="76567A98" w14:textId="60A5D71B" w:rsidR="006C2349" w:rsidRPr="006F40E1" w:rsidRDefault="006C2349" w:rsidP="006C2349">
      <w:pPr>
        <w:pStyle w:val="FootnoteText"/>
        <w:rPr>
          <w:i/>
          <w:iCs/>
          <w:sz w:val="16"/>
          <w:szCs w:val="16"/>
        </w:rPr>
      </w:pPr>
      <w:r w:rsidRPr="006F40E1">
        <w:rPr>
          <w:rStyle w:val="FootnoteReference"/>
          <w:i/>
          <w:iCs/>
          <w:sz w:val="16"/>
          <w:szCs w:val="16"/>
        </w:rPr>
        <w:footnoteRef/>
      </w:r>
      <w:r w:rsidRPr="006F40E1">
        <w:rPr>
          <w:i/>
          <w:iCs/>
          <w:sz w:val="16"/>
          <w:szCs w:val="16"/>
        </w:rPr>
        <w:t xml:space="preserve"> National Law s182(1)</w:t>
      </w:r>
    </w:p>
  </w:footnote>
  <w:footnote w:id="98">
    <w:p w14:paraId="6EAA203D" w14:textId="553A1627" w:rsidR="006C2349" w:rsidRPr="006F40E1" w:rsidRDefault="006C2349" w:rsidP="006C2349">
      <w:pPr>
        <w:pStyle w:val="FootnoteText"/>
        <w:rPr>
          <w:i/>
          <w:iCs/>
          <w:sz w:val="16"/>
          <w:szCs w:val="16"/>
        </w:rPr>
      </w:pPr>
      <w:r w:rsidRPr="006F40E1">
        <w:rPr>
          <w:rStyle w:val="FootnoteReference"/>
          <w:i/>
          <w:iCs/>
          <w:sz w:val="16"/>
          <w:szCs w:val="16"/>
        </w:rPr>
        <w:footnoteRef/>
      </w:r>
      <w:r w:rsidRPr="006F40E1">
        <w:rPr>
          <w:i/>
          <w:iCs/>
          <w:sz w:val="16"/>
          <w:szCs w:val="16"/>
        </w:rPr>
        <w:t xml:space="preserve"> National Law s185</w:t>
      </w:r>
    </w:p>
  </w:footnote>
  <w:footnote w:id="99">
    <w:p w14:paraId="0FA3AA4A" w14:textId="3070ACDC" w:rsidR="006C2349" w:rsidRPr="006F40E1" w:rsidRDefault="006C2349" w:rsidP="006C2349">
      <w:pPr>
        <w:pStyle w:val="FootnoteText"/>
        <w:rPr>
          <w:i/>
          <w:iCs/>
          <w:sz w:val="16"/>
          <w:szCs w:val="16"/>
        </w:rPr>
      </w:pPr>
      <w:r w:rsidRPr="006F40E1">
        <w:rPr>
          <w:rStyle w:val="FootnoteReference"/>
          <w:i/>
          <w:iCs/>
          <w:sz w:val="16"/>
          <w:szCs w:val="16"/>
        </w:rPr>
        <w:footnoteRef/>
      </w:r>
      <w:r w:rsidRPr="006F40E1">
        <w:rPr>
          <w:i/>
          <w:iCs/>
          <w:sz w:val="16"/>
          <w:szCs w:val="16"/>
        </w:rPr>
        <w:t xml:space="preserve"> National Law 179A(1)</w:t>
      </w:r>
    </w:p>
  </w:footnote>
  <w:footnote w:id="100">
    <w:p w14:paraId="14C8A28A" w14:textId="6DA453D4" w:rsidR="006C2349" w:rsidRPr="00B3718F" w:rsidRDefault="006C2349" w:rsidP="006C2349">
      <w:pPr>
        <w:pStyle w:val="FootnoteText"/>
        <w:rPr>
          <w:i/>
          <w:iCs/>
        </w:rPr>
      </w:pPr>
      <w:r w:rsidRPr="006F40E1">
        <w:rPr>
          <w:rStyle w:val="FootnoteReference"/>
          <w:i/>
          <w:iCs/>
          <w:sz w:val="16"/>
          <w:szCs w:val="16"/>
        </w:rPr>
        <w:footnoteRef/>
      </w:r>
      <w:r w:rsidRPr="006F40E1">
        <w:rPr>
          <w:i/>
          <w:iCs/>
          <w:sz w:val="16"/>
          <w:szCs w:val="16"/>
        </w:rPr>
        <w:t xml:space="preserve"> National Law s184(3)</w:t>
      </w:r>
    </w:p>
  </w:footnote>
  <w:footnote w:id="101">
    <w:p w14:paraId="701050D0" w14:textId="49A9C8AF" w:rsidR="006C2349" w:rsidRPr="006F40E1" w:rsidRDefault="006C2349" w:rsidP="006C2349">
      <w:pPr>
        <w:pStyle w:val="FootnoteText"/>
        <w:rPr>
          <w:i/>
          <w:iCs/>
          <w:sz w:val="16"/>
          <w:szCs w:val="16"/>
        </w:rPr>
      </w:pPr>
      <w:r w:rsidRPr="006F40E1">
        <w:rPr>
          <w:rStyle w:val="FootnoteReference"/>
          <w:i/>
          <w:iCs/>
          <w:sz w:val="16"/>
          <w:szCs w:val="16"/>
        </w:rPr>
        <w:footnoteRef/>
      </w:r>
      <w:r w:rsidRPr="006F40E1">
        <w:rPr>
          <w:i/>
          <w:iCs/>
          <w:sz w:val="16"/>
          <w:szCs w:val="16"/>
        </w:rPr>
        <w:t xml:space="preserve"> Refer to Chapter </w:t>
      </w:r>
      <w:r>
        <w:rPr>
          <w:i/>
          <w:iCs/>
          <w:sz w:val="16"/>
          <w:szCs w:val="16"/>
        </w:rPr>
        <w:t>6, noting this Chapter seeks to mandate child safety training.</w:t>
      </w:r>
    </w:p>
  </w:footnote>
  <w:footnote w:id="102">
    <w:p w14:paraId="19F6102B" w14:textId="752DC81F" w:rsidR="006C2349" w:rsidRPr="000D798B" w:rsidRDefault="006C2349" w:rsidP="006C2349">
      <w:pPr>
        <w:pStyle w:val="FootnoteText"/>
        <w:rPr>
          <w:i/>
          <w:sz w:val="16"/>
          <w:szCs w:val="16"/>
        </w:rPr>
      </w:pPr>
      <w:r>
        <w:rPr>
          <w:rStyle w:val="FootnoteReference"/>
        </w:rPr>
        <w:footnoteRef/>
      </w:r>
      <w:r>
        <w:t xml:space="preserve"> </w:t>
      </w:r>
      <w:r w:rsidRPr="000D798B">
        <w:rPr>
          <w:i/>
          <w:sz w:val="16"/>
          <w:szCs w:val="16"/>
        </w:rPr>
        <w:t xml:space="preserve">There is also a legal requirement for all approved providers to have a </w:t>
      </w:r>
      <w:r w:rsidR="00B35BCC" w:rsidRPr="000D798B">
        <w:rPr>
          <w:i/>
          <w:sz w:val="16"/>
          <w:szCs w:val="16"/>
        </w:rPr>
        <w:t>Code of Conduct</w:t>
      </w:r>
      <w:r w:rsidRPr="000D798B">
        <w:rPr>
          <w:i/>
          <w:sz w:val="16"/>
          <w:szCs w:val="16"/>
        </w:rPr>
        <w:t xml:space="preserve">. However, this requirement does not determine the quality or robustness of these </w:t>
      </w:r>
      <w:r w:rsidR="00B35BCC" w:rsidRPr="000D798B">
        <w:rPr>
          <w:i/>
          <w:sz w:val="16"/>
          <w:szCs w:val="16"/>
        </w:rPr>
        <w:t>Codes of Conduct</w:t>
      </w:r>
      <w:r w:rsidRPr="000D798B">
        <w:rPr>
          <w:i/>
          <w:sz w:val="16"/>
          <w:szCs w:val="16"/>
        </w:rPr>
        <w:t xml:space="preserve">. </w:t>
      </w:r>
    </w:p>
  </w:footnote>
  <w:footnote w:id="103">
    <w:p w14:paraId="67896D76" w14:textId="08E1CAB7" w:rsidR="00017878" w:rsidRDefault="00017878" w:rsidP="00FD1130">
      <w:pPr>
        <w:pStyle w:val="NoSpacing"/>
      </w:pPr>
      <w:r>
        <w:rPr>
          <w:rStyle w:val="FootnoteReference"/>
        </w:rPr>
        <w:footnoteRef/>
      </w:r>
      <w:r>
        <w:t xml:space="preserve"> </w:t>
      </w:r>
      <w:r w:rsidRPr="00017878">
        <w:rPr>
          <w:i/>
          <w:iCs/>
          <w:sz w:val="16"/>
          <w:szCs w:val="18"/>
        </w:rPr>
        <w:t>Given that many current enforceable undertakings require an educator or staff member to undertake training or retraining, the costs associated with data collection and record keeping of mandatory training may be lower for some approved providers that have managed enforceable undertakings and therefore have established processes.</w:t>
      </w:r>
    </w:p>
  </w:footnote>
  <w:footnote w:id="104">
    <w:p w14:paraId="73307B9E" w14:textId="2C3B08C8" w:rsidR="003D1335" w:rsidRDefault="003D1335">
      <w:pPr>
        <w:pStyle w:val="FootnoteText"/>
      </w:pPr>
      <w:r>
        <w:rPr>
          <w:rStyle w:val="FootnoteReference"/>
        </w:rPr>
        <w:footnoteRef/>
      </w:r>
      <w:r>
        <w:t xml:space="preserve"> </w:t>
      </w:r>
      <w:r w:rsidRPr="00FD1130">
        <w:rPr>
          <w:i/>
          <w:sz w:val="16"/>
          <w:szCs w:val="16"/>
        </w:rPr>
        <w:t>A show cause process is a formal procedure where an individual is required to explain or justify their actions or conduct, usually in response to allegations or concerns raised by an employer or Regulatory Authority.</w:t>
      </w:r>
      <w:r w:rsidR="00FD1130" w:rsidRPr="00FD1130">
        <w:rPr>
          <w:i/>
          <w:iCs/>
          <w:sz w:val="16"/>
          <w:szCs w:val="16"/>
        </w:rPr>
        <w:t xml:space="preserve"> </w:t>
      </w:r>
    </w:p>
  </w:footnote>
  <w:footnote w:id="105">
    <w:p w14:paraId="2E02DF3C" w14:textId="77777777" w:rsidR="0097711F" w:rsidRDefault="0097711F" w:rsidP="0097711F">
      <w:pPr>
        <w:pStyle w:val="FootnoteText"/>
      </w:pPr>
      <w:r>
        <w:rPr>
          <w:rStyle w:val="FootnoteReference"/>
        </w:rPr>
        <w:footnoteRef/>
      </w:r>
      <w:r>
        <w:t xml:space="preserve"> </w:t>
      </w:r>
      <w:r w:rsidRPr="00FF0AE2">
        <w:rPr>
          <w:i/>
          <w:iCs/>
          <w:sz w:val="16"/>
          <w:szCs w:val="16"/>
        </w:rPr>
        <w:t>WWCC is used to represent working with children checks and working with vulnerable persons registration (WWVPR), in addition to equivalent checks across jurisdictions, in this document.</w:t>
      </w:r>
    </w:p>
  </w:footnote>
  <w:footnote w:id="106">
    <w:p w14:paraId="3F3ACA4D" w14:textId="053F7B5C"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NSW Regulatory Authority has, in consultation with the</w:t>
      </w:r>
      <w:r>
        <w:rPr>
          <w:i/>
          <w:iCs/>
          <w:sz w:val="16"/>
          <w:szCs w:val="16"/>
        </w:rPr>
        <w:t xml:space="preserve"> NSW</w:t>
      </w:r>
      <w:r w:rsidRPr="00FF0AE2">
        <w:rPr>
          <w:i/>
          <w:iCs/>
          <w:sz w:val="16"/>
          <w:szCs w:val="16"/>
        </w:rPr>
        <w:t xml:space="preserve"> Office of the Child</w:t>
      </w:r>
      <w:r>
        <w:rPr>
          <w:i/>
          <w:iCs/>
          <w:sz w:val="16"/>
          <w:szCs w:val="16"/>
        </w:rPr>
        <w:t>ren’s</w:t>
      </w:r>
      <w:r w:rsidRPr="00FF0AE2">
        <w:rPr>
          <w:i/>
          <w:iCs/>
          <w:sz w:val="16"/>
          <w:szCs w:val="16"/>
        </w:rPr>
        <w:t xml:space="preserve"> Guardian, interpreted requirements as meaning NSW requires a WWCC to work in education and care, however is seeking this amendment through this </w:t>
      </w:r>
      <w:r>
        <w:rPr>
          <w:i/>
          <w:iCs/>
          <w:sz w:val="16"/>
          <w:szCs w:val="16"/>
        </w:rPr>
        <w:t>D</w:t>
      </w:r>
      <w:r w:rsidRPr="00FF0AE2">
        <w:rPr>
          <w:i/>
          <w:iCs/>
          <w:sz w:val="16"/>
          <w:szCs w:val="16"/>
        </w:rPr>
        <w:t>RIS to put it beyond doubt.</w:t>
      </w:r>
    </w:p>
  </w:footnote>
  <w:footnote w:id="107">
    <w:p w14:paraId="4D6FCD14" w14:textId="77777777"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Exemptions exist in TAS and the jurisdiction specific requirement (reg 344) </w:t>
      </w:r>
      <w:r>
        <w:rPr>
          <w:i/>
          <w:iCs/>
          <w:sz w:val="16"/>
          <w:szCs w:val="16"/>
        </w:rPr>
        <w:t>is an important safeguard to ensure that all persons hold a current WWCC prior to being employed/engaged.</w:t>
      </w:r>
    </w:p>
  </w:footnote>
  <w:footnote w:id="108">
    <w:p w14:paraId="551B61B0" w14:textId="77777777"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A teacher registration/accreditation is, however, required for early childhood teachers working in school settings.</w:t>
      </w:r>
    </w:p>
  </w:footnote>
  <w:footnote w:id="109">
    <w:p w14:paraId="167F8C95" w14:textId="77777777"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Ibid</w:t>
      </w:r>
    </w:p>
  </w:footnote>
  <w:footnote w:id="110">
    <w:p w14:paraId="3640FC55" w14:textId="77777777" w:rsidR="0097711F" w:rsidRDefault="0097711F" w:rsidP="0097711F">
      <w:pPr>
        <w:pStyle w:val="FootnoteText"/>
      </w:pPr>
      <w:r w:rsidRPr="00FF0AE2">
        <w:rPr>
          <w:i/>
          <w:iCs/>
          <w:sz w:val="16"/>
          <w:szCs w:val="16"/>
        </w:rPr>
        <w:footnoteRef/>
      </w:r>
      <w:r w:rsidRPr="00FF0AE2">
        <w:rPr>
          <w:i/>
          <w:iCs/>
          <w:sz w:val="16"/>
          <w:szCs w:val="16"/>
        </w:rPr>
        <w:t xml:space="preserve"> Government initiatives have included: requiring WWCC details to be noted on volunteer staff records and existing student records (regulation 149); requiring volunteers to be aware of how to comply with all child protection laws and any obligations held under them (regulation 84).</w:t>
      </w:r>
    </w:p>
  </w:footnote>
  <w:footnote w:id="111">
    <w:p w14:paraId="553A307E" w14:textId="77777777" w:rsidR="0097711F" w:rsidRPr="000D798B" w:rsidRDefault="0097711F" w:rsidP="0097711F">
      <w:pPr>
        <w:pStyle w:val="FootnoteText"/>
        <w:rPr>
          <w:i/>
          <w:sz w:val="16"/>
          <w:szCs w:val="16"/>
          <w:lang w:val="en-US"/>
        </w:rPr>
      </w:pPr>
      <w:r>
        <w:rPr>
          <w:rStyle w:val="FootnoteReference"/>
        </w:rPr>
        <w:footnoteRef/>
      </w:r>
      <w:r>
        <w:t xml:space="preserve"> </w:t>
      </w:r>
      <w:r w:rsidRPr="000D798B">
        <w:rPr>
          <w:i/>
          <w:sz w:val="16"/>
          <w:szCs w:val="16"/>
        </w:rPr>
        <w:t xml:space="preserve">Noting it is often individuals who are new to the sector (including trainees) who commence without a valid WWCC. </w:t>
      </w:r>
    </w:p>
  </w:footnote>
  <w:footnote w:id="112">
    <w:p w14:paraId="3463289E" w14:textId="77777777"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In some jurisdictions, the new employer is responsible for advising a change, not the individual. </w:t>
      </w:r>
    </w:p>
  </w:footnote>
  <w:footnote w:id="113">
    <w:p w14:paraId="5B19FCE1" w14:textId="77777777" w:rsidR="0097711F" w:rsidRPr="00794BD6" w:rsidRDefault="0097711F" w:rsidP="0097711F">
      <w:pPr>
        <w:pStyle w:val="FootnoteText"/>
        <w:rPr>
          <w:lang w:val="en-US"/>
        </w:rPr>
      </w:pPr>
      <w:r w:rsidRPr="00FF0AE2">
        <w:rPr>
          <w:i/>
          <w:iCs/>
          <w:sz w:val="16"/>
          <w:szCs w:val="16"/>
        </w:rPr>
        <w:footnoteRef/>
      </w:r>
      <w:r w:rsidRPr="00FF0AE2">
        <w:rPr>
          <w:i/>
          <w:iCs/>
          <w:sz w:val="16"/>
          <w:szCs w:val="16"/>
        </w:rPr>
        <w:t xml:space="preserve"> Holding a valid WWCC is a requirement of teacher registration in SA. As such, the </w:t>
      </w:r>
      <w:r>
        <w:rPr>
          <w:i/>
          <w:iCs/>
          <w:sz w:val="16"/>
          <w:szCs w:val="16"/>
        </w:rPr>
        <w:t>SA Department of Human Services</w:t>
      </w:r>
      <w:r w:rsidRPr="00FF0AE2">
        <w:rPr>
          <w:i/>
          <w:iCs/>
          <w:sz w:val="16"/>
          <w:szCs w:val="16"/>
        </w:rPr>
        <w:t xml:space="preserve"> Screening Unit notifies the Teacher Registration Board of any changes in a registered teacher’s WWCC status. The Department of Education do not notify the Teacher Registration Board of changes in status, as they receive the notification straight from </w:t>
      </w:r>
      <w:r>
        <w:rPr>
          <w:i/>
          <w:iCs/>
          <w:sz w:val="16"/>
          <w:szCs w:val="16"/>
        </w:rPr>
        <w:t>the SA Department of Human Services</w:t>
      </w:r>
      <w:r w:rsidRPr="00FF0AE2">
        <w:rPr>
          <w:i/>
          <w:iCs/>
          <w:sz w:val="16"/>
          <w:szCs w:val="16"/>
        </w:rPr>
        <w:t>.</w:t>
      </w:r>
      <w:r>
        <w:rPr>
          <w:lang w:val="en-US"/>
        </w:rPr>
        <w:t xml:space="preserve"> </w:t>
      </w:r>
    </w:p>
  </w:footnote>
  <w:footnote w:id="114">
    <w:p w14:paraId="0F072885" w14:textId="77777777"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For example, this may include notification of whether the person is charged with or convicted of an offence of a sexual or violent nature, involving drugs or a weapon, or if the person’s application for a WWCC, card or registration has been rejected, revoked or suspended, or if they are prohibited from working with children</w:t>
      </w:r>
      <w:r>
        <w:rPr>
          <w:i/>
          <w:iCs/>
          <w:sz w:val="16"/>
          <w:szCs w:val="16"/>
        </w:rPr>
        <w:t>.</w:t>
      </w:r>
    </w:p>
  </w:footnote>
  <w:footnote w:id="115">
    <w:p w14:paraId="20AA358F" w14:textId="0EB65B91"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Across all jurisdictions, the WWCC screening agency notifies the verified or listed employer of changes in WWCC status, except for WA where it is a requirement for the employee to notify their employer of a change in criminal record.</w:t>
      </w:r>
    </w:p>
  </w:footnote>
  <w:footnote w:id="116">
    <w:p w14:paraId="3CD56E1D" w14:textId="77777777"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In some states, such as QLD, Regulatory Authorities are notified by WWCC screening agencies directly of any changes to an employee or volunteer’s WWCC status. In such instances, notification of any changes in WWCC status from approved providers is not required.</w:t>
      </w:r>
    </w:p>
  </w:footnote>
  <w:footnote w:id="117">
    <w:p w14:paraId="62EE2D18" w14:textId="77777777" w:rsidR="0097711F" w:rsidRPr="00FF0AE2" w:rsidRDefault="0097711F" w:rsidP="0097711F">
      <w:pPr>
        <w:pStyle w:val="FootnoteText"/>
        <w:rPr>
          <w:i/>
          <w:iCs/>
          <w:sz w:val="16"/>
          <w:szCs w:val="16"/>
        </w:rPr>
      </w:pPr>
      <w:r w:rsidRPr="00FF0AE2">
        <w:rPr>
          <w:i/>
          <w:iCs/>
          <w:sz w:val="16"/>
          <w:szCs w:val="16"/>
        </w:rPr>
        <w:footnoteRef/>
      </w:r>
      <w:r w:rsidRPr="00FF0AE2">
        <w:rPr>
          <w:i/>
          <w:iCs/>
          <w:sz w:val="16"/>
          <w:szCs w:val="16"/>
        </w:rPr>
        <w:t xml:space="preserve"> </w:t>
      </w:r>
      <w:r>
        <w:rPr>
          <w:i/>
          <w:iCs/>
          <w:sz w:val="16"/>
          <w:szCs w:val="16"/>
        </w:rPr>
        <w:t>As per note 55.</w:t>
      </w:r>
      <w:r w:rsidRPr="00FF0AE2">
        <w:rPr>
          <w:i/>
          <w:iCs/>
          <w:sz w:val="16"/>
          <w:szCs w:val="16"/>
        </w:rPr>
        <w:t xml:space="preserve"> </w:t>
      </w:r>
    </w:p>
  </w:footnote>
  <w:footnote w:id="118">
    <w:p w14:paraId="75BDB143" w14:textId="7D2A2137" w:rsidR="005F3164" w:rsidRDefault="005F3164">
      <w:pPr>
        <w:pStyle w:val="FootnoteText"/>
      </w:pPr>
      <w:r>
        <w:rPr>
          <w:rStyle w:val="FootnoteReference"/>
        </w:rPr>
        <w:footnoteRef/>
      </w:r>
      <w:r>
        <w:t xml:space="preserve"> </w:t>
      </w:r>
      <w:r w:rsidRPr="005F3164">
        <w:rPr>
          <w:i/>
          <w:iCs/>
          <w:sz w:val="16"/>
          <w:szCs w:val="16"/>
        </w:rPr>
        <w:t>In consultation, the WA WWCC screening agency indicated that they do make notifications when they are able to.</w:t>
      </w:r>
    </w:p>
  </w:footnote>
  <w:footnote w:id="119">
    <w:p w14:paraId="6644D466" w14:textId="77777777" w:rsidR="0097711F" w:rsidRDefault="0097711F" w:rsidP="0097711F">
      <w:pPr>
        <w:pStyle w:val="FootnoteText"/>
      </w:pPr>
      <w:r w:rsidRPr="00FF0AE2">
        <w:rPr>
          <w:i/>
          <w:iCs/>
          <w:sz w:val="16"/>
          <w:szCs w:val="16"/>
        </w:rPr>
        <w:footnoteRef/>
      </w:r>
      <w:r w:rsidRPr="00FF0AE2">
        <w:rPr>
          <w:i/>
          <w:iCs/>
          <w:sz w:val="16"/>
          <w:szCs w:val="16"/>
        </w:rPr>
        <w:t xml:space="preserve"> Holding a valid WWCC is a requirement of teacher registration in South Australia. As such, the DHS Screening Unit notifies the Teacher Registration Board of any changes in a registered teachers WWCC status. The Department of Education do not notify the Teacher Registration Board of changes in status, as they receive the notification straight from DHS.</w:t>
      </w:r>
    </w:p>
  </w:footnote>
  <w:footnote w:id="120">
    <w:p w14:paraId="79952F5B" w14:textId="77777777" w:rsidR="0097711F" w:rsidRPr="00FB54C0" w:rsidRDefault="0097711F" w:rsidP="0097711F">
      <w:pPr>
        <w:pStyle w:val="FootnoteText"/>
        <w:rPr>
          <w:i/>
          <w:iCs/>
          <w:sz w:val="16"/>
          <w:szCs w:val="16"/>
        </w:rPr>
      </w:pPr>
      <w:r w:rsidRPr="00FF0AE2">
        <w:rPr>
          <w:i/>
          <w:iCs/>
          <w:sz w:val="16"/>
          <w:szCs w:val="16"/>
        </w:rPr>
        <w:footnoteRef/>
      </w:r>
      <w:r w:rsidRPr="00FF0AE2">
        <w:rPr>
          <w:i/>
          <w:iCs/>
          <w:sz w:val="16"/>
          <w:szCs w:val="16"/>
        </w:rPr>
        <w:t xml:space="preserve"> Noting in QLD, Blue Card Services, the WWCC screening agency, makes this notification.</w:t>
      </w:r>
    </w:p>
  </w:footnote>
  <w:footnote w:id="121">
    <w:p w14:paraId="6B46C23F" w14:textId="77777777" w:rsidR="0097711F" w:rsidRDefault="0097711F" w:rsidP="0097711F">
      <w:pPr>
        <w:pStyle w:val="FootnoteText"/>
      </w:pPr>
      <w:r w:rsidRPr="00FB54C0">
        <w:rPr>
          <w:i/>
          <w:iCs/>
          <w:sz w:val="16"/>
          <w:szCs w:val="16"/>
        </w:rPr>
        <w:footnoteRef/>
      </w:r>
      <w:r w:rsidRPr="00FB54C0">
        <w:rPr>
          <w:i/>
          <w:iCs/>
          <w:sz w:val="16"/>
          <w:szCs w:val="16"/>
        </w:rPr>
        <w:t xml:space="preserve"> QLD and WA already require this, as demonstrated in Table </w:t>
      </w:r>
      <w:r>
        <w:rPr>
          <w:i/>
          <w:iCs/>
          <w:sz w:val="16"/>
          <w:szCs w:val="16"/>
        </w:rPr>
        <w:t>7</w:t>
      </w:r>
      <w:r w:rsidRPr="00FB54C0">
        <w:rPr>
          <w:i/>
          <w:iCs/>
          <w:sz w:val="16"/>
          <w:szCs w:val="16"/>
        </w:rPr>
        <w:t>.4.</w:t>
      </w:r>
    </w:p>
  </w:footnote>
  <w:footnote w:id="122">
    <w:p w14:paraId="0630AF2B" w14:textId="55B7F316" w:rsidR="004119A5" w:rsidRPr="00FF0AE2" w:rsidRDefault="004119A5" w:rsidP="004119A5">
      <w:pPr>
        <w:pStyle w:val="FootnoteText"/>
        <w:rPr>
          <w:i/>
          <w:iCs/>
          <w:sz w:val="16"/>
          <w:szCs w:val="16"/>
        </w:rPr>
      </w:pPr>
      <w:r w:rsidRPr="00FF0AE2">
        <w:rPr>
          <w:i/>
          <w:iCs/>
          <w:sz w:val="16"/>
          <w:szCs w:val="16"/>
        </w:rPr>
        <w:footnoteRef/>
      </w:r>
      <w:r w:rsidRPr="00FF0AE2">
        <w:rPr>
          <w:i/>
          <w:iCs/>
          <w:sz w:val="16"/>
          <w:szCs w:val="16"/>
        </w:rPr>
        <w:t xml:space="preserve"> A centre-based service means an education and care service other than a FDC service. This includes most </w:t>
      </w:r>
      <w:r>
        <w:rPr>
          <w:i/>
          <w:iCs/>
          <w:sz w:val="16"/>
          <w:szCs w:val="16"/>
        </w:rPr>
        <w:t>LDC</w:t>
      </w:r>
      <w:r w:rsidRPr="00FF0AE2">
        <w:rPr>
          <w:i/>
          <w:iCs/>
          <w:sz w:val="16"/>
          <w:szCs w:val="16"/>
        </w:rPr>
        <w:t>, preschool and OSHC services that are delivered at a centre.</w:t>
      </w:r>
    </w:p>
  </w:footnote>
  <w:footnote w:id="123">
    <w:p w14:paraId="4DF9A8D4" w14:textId="3A4DDF74" w:rsidR="004119A5" w:rsidRDefault="004119A5" w:rsidP="004119A5">
      <w:pPr>
        <w:pStyle w:val="FootnoteText"/>
      </w:pPr>
      <w:r w:rsidRPr="00FF0AE2">
        <w:rPr>
          <w:i/>
          <w:iCs/>
          <w:sz w:val="16"/>
          <w:szCs w:val="16"/>
        </w:rPr>
        <w:footnoteRef/>
      </w:r>
      <w:r w:rsidRPr="00FF0AE2">
        <w:rPr>
          <w:i/>
          <w:iCs/>
          <w:sz w:val="16"/>
          <w:szCs w:val="16"/>
        </w:rPr>
        <w:t xml:space="preserve"> There are two types of </w:t>
      </w:r>
      <w:r w:rsidR="005563D3" w:rsidRPr="00FF0AE2">
        <w:rPr>
          <w:i/>
          <w:iCs/>
          <w:sz w:val="16"/>
          <w:szCs w:val="16"/>
        </w:rPr>
        <w:t>waivers</w:t>
      </w:r>
      <w:r w:rsidR="005563D3">
        <w:rPr>
          <w:i/>
          <w:iCs/>
          <w:sz w:val="16"/>
          <w:szCs w:val="16"/>
        </w:rPr>
        <w:t>:</w:t>
      </w:r>
      <w:r w:rsidRPr="00FF0AE2">
        <w:rPr>
          <w:i/>
          <w:iCs/>
          <w:sz w:val="16"/>
          <w:szCs w:val="16"/>
        </w:rPr>
        <w:t xml:space="preserve"> (1) </w:t>
      </w:r>
      <w:r>
        <w:rPr>
          <w:i/>
          <w:iCs/>
          <w:sz w:val="16"/>
          <w:szCs w:val="16"/>
        </w:rPr>
        <w:t>t</w:t>
      </w:r>
      <w:r w:rsidRPr="00FF0AE2">
        <w:rPr>
          <w:i/>
          <w:iCs/>
          <w:sz w:val="16"/>
          <w:szCs w:val="16"/>
        </w:rPr>
        <w:t xml:space="preserve">emporary waivers, which may be granted for up to 12 months, and (2) </w:t>
      </w:r>
      <w:r>
        <w:rPr>
          <w:i/>
          <w:iCs/>
          <w:sz w:val="16"/>
          <w:szCs w:val="16"/>
        </w:rPr>
        <w:t>s</w:t>
      </w:r>
      <w:r w:rsidRPr="00FF0AE2">
        <w:rPr>
          <w:i/>
          <w:iCs/>
          <w:sz w:val="16"/>
          <w:szCs w:val="16"/>
        </w:rPr>
        <w:t>ervice waivers, which may be granted if a provider is unable to meet requirements for an ongoing period. There is no specific expiry date for a service waiver.</w:t>
      </w:r>
    </w:p>
  </w:footnote>
  <w:footnote w:id="124">
    <w:p w14:paraId="257F794F" w14:textId="77777777" w:rsidR="004119A5" w:rsidRPr="00FF0AE2" w:rsidRDefault="004119A5" w:rsidP="004119A5">
      <w:pPr>
        <w:pStyle w:val="FootnoteText"/>
        <w:rPr>
          <w:i/>
          <w:iCs/>
          <w:sz w:val="16"/>
          <w:szCs w:val="16"/>
        </w:rPr>
      </w:pPr>
      <w:r w:rsidRPr="00FF0AE2">
        <w:rPr>
          <w:i/>
          <w:iCs/>
          <w:sz w:val="16"/>
          <w:szCs w:val="16"/>
        </w:rPr>
        <w:footnoteRef/>
      </w:r>
      <w:r w:rsidRPr="00FF0AE2">
        <w:rPr>
          <w:i/>
          <w:iCs/>
          <w:sz w:val="16"/>
          <w:szCs w:val="16"/>
        </w:rPr>
        <w:t xml:space="preserve"> In 2019, 10 waivers of regulation 115 were approved; 8 of these waivers were for services operating in QLD.</w:t>
      </w:r>
    </w:p>
  </w:footnote>
  <w:footnote w:id="125">
    <w:p w14:paraId="265D9B80" w14:textId="0CF57647" w:rsidR="004119A5" w:rsidRPr="00FF0AE2" w:rsidRDefault="004119A5" w:rsidP="004119A5">
      <w:pPr>
        <w:pStyle w:val="FootnoteText"/>
        <w:rPr>
          <w:i/>
          <w:iCs/>
          <w:sz w:val="16"/>
          <w:szCs w:val="16"/>
        </w:rPr>
      </w:pPr>
      <w:r w:rsidRPr="00FF0AE2">
        <w:rPr>
          <w:i/>
          <w:iCs/>
          <w:sz w:val="16"/>
          <w:szCs w:val="16"/>
        </w:rPr>
        <w:footnoteRef/>
      </w:r>
      <w:r w:rsidRPr="00FF0AE2">
        <w:rPr>
          <w:i/>
          <w:iCs/>
          <w:sz w:val="16"/>
          <w:szCs w:val="16"/>
        </w:rPr>
        <w:t xml:space="preserve"> There were an estimated 0.39 breaches of section 165 per non-waivered service from 2021/22 to 2023/24. However, this is based on 6,753 breaches over time – across the three-year period from 2021/22 to 2023/24 - and 17,423 </w:t>
      </w:r>
      <w:r>
        <w:rPr>
          <w:i/>
          <w:iCs/>
          <w:sz w:val="16"/>
          <w:szCs w:val="16"/>
        </w:rPr>
        <w:t>LDC</w:t>
      </w:r>
      <w:r w:rsidRPr="00FF0AE2">
        <w:rPr>
          <w:i/>
          <w:iCs/>
          <w:sz w:val="16"/>
          <w:szCs w:val="16"/>
        </w:rPr>
        <w:t>, OSHC, and preschool/kindergarten services operating at a point in time, in 2024. As some services may have closed and others opened over the</w:t>
      </w:r>
      <w:r>
        <w:t xml:space="preserve"> </w:t>
      </w:r>
      <w:r w:rsidRPr="00FF0AE2">
        <w:rPr>
          <w:i/>
          <w:iCs/>
          <w:sz w:val="16"/>
          <w:szCs w:val="16"/>
        </w:rPr>
        <w:t>reporting period for section 165 breaches, the number of breaches per service may not be directly comparable.</w:t>
      </w:r>
    </w:p>
  </w:footnote>
  <w:footnote w:id="126">
    <w:p w14:paraId="714D572D" w14:textId="77777777" w:rsidR="004119A5" w:rsidRDefault="004119A5" w:rsidP="004119A5">
      <w:pPr>
        <w:pStyle w:val="FootnoteText"/>
      </w:pPr>
      <w:r>
        <w:rPr>
          <w:rStyle w:val="FootnoteReference"/>
        </w:rPr>
        <w:footnoteRef/>
      </w:r>
      <w:r>
        <w:t xml:space="preserve"> </w:t>
      </w:r>
      <w:r w:rsidRPr="00602AD0">
        <w:rPr>
          <w:i/>
          <w:iCs/>
          <w:sz w:val="16"/>
          <w:szCs w:val="16"/>
        </w:rPr>
        <w:t>Data provided by ACECQA.</w:t>
      </w:r>
    </w:p>
  </w:footnote>
  <w:footnote w:id="127">
    <w:p w14:paraId="4699122E" w14:textId="7E6379B5" w:rsidR="005A0B18" w:rsidRDefault="005A0B18">
      <w:pPr>
        <w:pStyle w:val="FootnoteText"/>
      </w:pPr>
      <w:r>
        <w:rPr>
          <w:rStyle w:val="FootnoteReference"/>
        </w:rPr>
        <w:footnoteRef/>
      </w:r>
      <w:r>
        <w:t xml:space="preserve"> </w:t>
      </w:r>
      <w:r w:rsidRPr="005A0B18">
        <w:rPr>
          <w:i/>
          <w:iCs/>
          <w:sz w:val="16"/>
          <w:szCs w:val="16"/>
        </w:rPr>
        <w:t>Data provided by ACECQA</w:t>
      </w:r>
    </w:p>
  </w:footnote>
  <w:footnote w:id="128">
    <w:p w14:paraId="3DBE1894" w14:textId="4165365B" w:rsidR="00333058" w:rsidRPr="000D798B" w:rsidRDefault="00333058">
      <w:pPr>
        <w:pStyle w:val="FootnoteText"/>
        <w:rPr>
          <w:i/>
          <w:sz w:val="16"/>
          <w:szCs w:val="16"/>
          <w:lang w:val="en-US"/>
        </w:rPr>
      </w:pPr>
      <w:r>
        <w:rPr>
          <w:rStyle w:val="FootnoteReference"/>
        </w:rPr>
        <w:footnoteRef/>
      </w:r>
      <w:r>
        <w:t xml:space="preserve"> </w:t>
      </w:r>
      <w:r w:rsidRPr="000D798B">
        <w:rPr>
          <w:i/>
          <w:sz w:val="16"/>
          <w:szCs w:val="16"/>
          <w:lang w:val="en-US"/>
        </w:rPr>
        <w:t>This has been implemented in most jurisdictions. WA has not yet implemented this in their regulations, but services may be voluntarily complying with the National Regulations.</w:t>
      </w:r>
    </w:p>
  </w:footnote>
  <w:footnote w:id="129">
    <w:p w14:paraId="034ECC9B" w14:textId="02D891CE" w:rsidR="003D7995" w:rsidRDefault="003D7995">
      <w:pPr>
        <w:pStyle w:val="FootnoteText"/>
      </w:pPr>
      <w:r>
        <w:rPr>
          <w:rStyle w:val="FootnoteReference"/>
        </w:rPr>
        <w:footnoteRef/>
      </w:r>
      <w:r>
        <w:t xml:space="preserve"> </w:t>
      </w:r>
      <w:r w:rsidRPr="003D7995">
        <w:rPr>
          <w:i/>
          <w:iCs/>
          <w:sz w:val="16"/>
          <w:szCs w:val="16"/>
        </w:rPr>
        <w:t>This question was included in the approved provider survey.</w:t>
      </w:r>
    </w:p>
  </w:footnote>
  <w:footnote w:id="130">
    <w:p w14:paraId="20494D35" w14:textId="6C58A1C3" w:rsidR="004119A5" w:rsidRDefault="004119A5" w:rsidP="004119A5">
      <w:pPr>
        <w:pStyle w:val="FootnoteText"/>
      </w:pPr>
      <w:r>
        <w:rPr>
          <w:rStyle w:val="FootnoteReference"/>
        </w:rPr>
        <w:footnoteRef/>
      </w:r>
      <w:r>
        <w:t xml:space="preserve"> </w:t>
      </w:r>
      <w:r w:rsidRPr="002326C1">
        <w:rPr>
          <w:i/>
          <w:iCs/>
          <w:sz w:val="16"/>
          <w:szCs w:val="16"/>
        </w:rPr>
        <w:t xml:space="preserve">The present value is calculated based on a 7% discount rate (OIA’s preferred discount rate for impact analysis). </w:t>
      </w:r>
    </w:p>
  </w:footnote>
  <w:footnote w:id="131">
    <w:p w14:paraId="522AF30F" w14:textId="3024F985" w:rsidR="004119A5" w:rsidRDefault="004119A5" w:rsidP="004119A5">
      <w:pPr>
        <w:pStyle w:val="FootnoteText"/>
      </w:pPr>
      <w:r>
        <w:rPr>
          <w:rStyle w:val="FootnoteReference"/>
        </w:rPr>
        <w:footnoteRef/>
      </w:r>
      <w:r>
        <w:t xml:space="preserve"> </w:t>
      </w:r>
      <w:r w:rsidRPr="00252C84">
        <w:rPr>
          <w:i/>
          <w:iCs/>
          <w:sz w:val="16"/>
          <w:szCs w:val="16"/>
          <w:lang w:val="en-US"/>
        </w:rPr>
        <w:t xml:space="preserve">This </w:t>
      </w:r>
      <w:r>
        <w:rPr>
          <w:i/>
          <w:iCs/>
          <w:sz w:val="16"/>
          <w:szCs w:val="16"/>
          <w:lang w:val="en-US"/>
        </w:rPr>
        <w:t>estimated is</w:t>
      </w:r>
      <w:r w:rsidRPr="00252C84">
        <w:rPr>
          <w:i/>
          <w:iCs/>
          <w:sz w:val="16"/>
          <w:szCs w:val="16"/>
          <w:lang w:val="en-US"/>
        </w:rPr>
        <w:t xml:space="preserve"> based on the size of the FDC workforce of 9,688 as reported in the 2024 National Workforce Census, adjusted for an estimated 439 FDC coordinators, who oversee educators at a 1:15 or 1:25 ratio, depending on the age of the service.</w:t>
      </w:r>
    </w:p>
  </w:footnote>
  <w:footnote w:id="132">
    <w:p w14:paraId="2C632B16" w14:textId="3DB71805" w:rsidR="004119A5" w:rsidRDefault="004119A5" w:rsidP="004119A5">
      <w:pPr>
        <w:pStyle w:val="FootnoteText"/>
      </w:pPr>
      <w:r>
        <w:rPr>
          <w:rStyle w:val="FootnoteReference"/>
        </w:rPr>
        <w:footnoteRef/>
      </w:r>
      <w:r>
        <w:t xml:space="preserve"> </w:t>
      </w:r>
      <w:r w:rsidR="00ED1A03">
        <w:rPr>
          <w:i/>
          <w:iCs/>
          <w:sz w:val="16"/>
          <w:szCs w:val="16"/>
        </w:rPr>
        <w:t>This uses the minimum award wage for a level 5.1 employee of $34.63 in the education and care sector and applies a multiplier of 1.75 to account for on-costs, in line with OIA guidance.</w:t>
      </w:r>
    </w:p>
  </w:footnote>
  <w:footnote w:id="133">
    <w:p w14:paraId="585F96D4" w14:textId="6A1B4258" w:rsidR="004119A5" w:rsidRDefault="004119A5" w:rsidP="004119A5">
      <w:pPr>
        <w:pStyle w:val="FootnoteText"/>
      </w:pPr>
      <w:r>
        <w:rPr>
          <w:rStyle w:val="FootnoteReference"/>
        </w:rPr>
        <w:footnoteRef/>
      </w:r>
      <w:r>
        <w:t xml:space="preserve"> </w:t>
      </w:r>
      <w:r w:rsidRPr="00B0727E">
        <w:rPr>
          <w:i/>
          <w:iCs/>
          <w:sz w:val="16"/>
          <w:szCs w:val="16"/>
        </w:rPr>
        <w:t>Further information on this estimate is available in Chapter 4.</w:t>
      </w:r>
    </w:p>
  </w:footnote>
  <w:footnote w:id="134">
    <w:p w14:paraId="5A2C0B32" w14:textId="0638DB68" w:rsidR="00B947BF" w:rsidRDefault="00B947BF">
      <w:pPr>
        <w:pStyle w:val="FootnoteText"/>
      </w:pPr>
      <w:r>
        <w:rPr>
          <w:rStyle w:val="FootnoteReference"/>
        </w:rPr>
        <w:footnoteRef/>
      </w:r>
      <w:r>
        <w:t xml:space="preserve"> </w:t>
      </w:r>
      <w:r w:rsidR="00625D3C" w:rsidRPr="00625D3C">
        <w:rPr>
          <w:i/>
          <w:iCs/>
          <w:sz w:val="16"/>
          <w:szCs w:val="16"/>
        </w:rPr>
        <w:t>For the purposes of measuring regulatory burden, it has been assumed that all FDCs operate on a for-profit basis. While relevant data is not reported at the service type level, it is possible that some FDCs operate on a not-for-profit basis and could be considered community organisations.</w:t>
      </w:r>
    </w:p>
  </w:footnote>
  <w:footnote w:id="135">
    <w:p w14:paraId="5DFD8A54" w14:textId="77777777" w:rsidR="004119A5" w:rsidRDefault="004119A5" w:rsidP="004119A5">
      <w:pPr>
        <w:pStyle w:val="FootnoteText"/>
      </w:pPr>
      <w:r>
        <w:rPr>
          <w:rStyle w:val="FootnoteReference"/>
        </w:rPr>
        <w:footnoteRef/>
      </w:r>
      <w:r>
        <w:t xml:space="preserve"> </w:t>
      </w:r>
      <w:r w:rsidRPr="00194BBD">
        <w:rPr>
          <w:i/>
          <w:iCs/>
          <w:sz w:val="16"/>
          <w:szCs w:val="16"/>
        </w:rPr>
        <w:t>See &lt;https://oia.pmc.gov.au/resources/guidance-assessing-impacts/regulatory-burden-measurement-framework&gt;.</w:t>
      </w:r>
    </w:p>
  </w:footnote>
  <w:footnote w:id="136">
    <w:p w14:paraId="3E2AF257" w14:textId="77777777" w:rsidR="004119A5" w:rsidRPr="00FF0AE2" w:rsidRDefault="004119A5" w:rsidP="004119A5">
      <w:pPr>
        <w:pStyle w:val="FootnoteText"/>
        <w:rPr>
          <w:i/>
          <w:iCs/>
          <w:sz w:val="16"/>
          <w:szCs w:val="16"/>
        </w:rPr>
      </w:pPr>
      <w:r w:rsidRPr="00FF0AE2">
        <w:rPr>
          <w:i/>
          <w:iCs/>
          <w:sz w:val="16"/>
          <w:szCs w:val="16"/>
        </w:rPr>
        <w:footnoteRef/>
      </w:r>
      <w:r w:rsidRPr="00FF0AE2">
        <w:rPr>
          <w:i/>
          <w:iCs/>
          <w:sz w:val="16"/>
          <w:szCs w:val="16"/>
        </w:rPr>
        <w:t xml:space="preserve"> The residence refers to the habitable areas of a dwelling.</w:t>
      </w:r>
    </w:p>
  </w:footnote>
  <w:footnote w:id="137">
    <w:p w14:paraId="109FCDF9" w14:textId="77777777" w:rsidR="004119A5" w:rsidRPr="00FF0AE2" w:rsidRDefault="004119A5" w:rsidP="004119A5">
      <w:pPr>
        <w:pStyle w:val="FootnoteText"/>
        <w:rPr>
          <w:i/>
          <w:iCs/>
          <w:sz w:val="16"/>
          <w:szCs w:val="16"/>
        </w:rPr>
      </w:pPr>
      <w:r w:rsidRPr="00FF0AE2">
        <w:rPr>
          <w:i/>
          <w:iCs/>
          <w:sz w:val="16"/>
          <w:szCs w:val="16"/>
        </w:rPr>
        <w:footnoteRef/>
      </w:r>
      <w:r w:rsidRPr="00FF0AE2">
        <w:rPr>
          <w:i/>
          <w:iCs/>
          <w:sz w:val="16"/>
          <w:szCs w:val="16"/>
        </w:rPr>
        <w:t xml:space="preserve"> For example, a FDC service premises may be located on farmland with a nearby shed that stores dangerous farming equipment. Another example may be a room outside the FDC service premises but still part of the FDC residence, which is being or has been used for inappropriate or illegal activity.</w:t>
      </w:r>
    </w:p>
  </w:footnote>
  <w:footnote w:id="138">
    <w:p w14:paraId="3F786EBA" w14:textId="1093ABDE" w:rsidR="004119A5" w:rsidRDefault="004119A5" w:rsidP="004119A5">
      <w:pPr>
        <w:pStyle w:val="FootnoteText"/>
      </w:pPr>
      <w:r>
        <w:rPr>
          <w:rStyle w:val="FootnoteReference"/>
        </w:rPr>
        <w:footnoteRef/>
      </w:r>
      <w:r>
        <w:t xml:space="preserve"> </w:t>
      </w:r>
      <w:r w:rsidRPr="00725D63">
        <w:rPr>
          <w:i/>
          <w:iCs/>
          <w:sz w:val="16"/>
          <w:szCs w:val="16"/>
        </w:rPr>
        <w:t>It should be noted that the true number of visits to services will vary based on how data is collected. Some states and territories may count FDC visits to various FDC services under one approved provider as one visit, while other jurisdictions will count each individual FDC service visit.</w:t>
      </w:r>
      <w:r w:rsidRPr="00725D63">
        <w:rPr>
          <w:sz w:val="16"/>
          <w:szCs w:val="16"/>
        </w:rPr>
        <w:t xml:space="preserve"> </w:t>
      </w:r>
    </w:p>
  </w:footnote>
  <w:footnote w:id="139">
    <w:p w14:paraId="5334A480" w14:textId="71EB8FC1" w:rsidR="003B7EE0" w:rsidRPr="003B7EE0" w:rsidRDefault="003B7EE0">
      <w:pPr>
        <w:pStyle w:val="FootnoteText"/>
        <w:rPr>
          <w:sz w:val="16"/>
          <w:szCs w:val="16"/>
          <w:lang w:val="en-US"/>
        </w:rPr>
      </w:pPr>
      <w:r w:rsidRPr="003B7EE0">
        <w:rPr>
          <w:rStyle w:val="FootnoteReference"/>
          <w:sz w:val="16"/>
          <w:szCs w:val="16"/>
        </w:rPr>
        <w:footnoteRef/>
      </w:r>
      <w:r w:rsidRPr="003B7EE0">
        <w:rPr>
          <w:sz w:val="16"/>
          <w:szCs w:val="16"/>
        </w:rPr>
        <w:t xml:space="preserve"> </w:t>
      </w:r>
      <w:r w:rsidRPr="00933433">
        <w:rPr>
          <w:i/>
          <w:iCs/>
          <w:sz w:val="16"/>
          <w:szCs w:val="16"/>
          <w:lang w:val="en-US"/>
        </w:rPr>
        <w:t>The number of visits per year is recorded in the NQA ITS as visits to an FDC service, this could include visits to a principal office of the FDC service, a residence, or to a venue.</w:t>
      </w:r>
    </w:p>
  </w:footnote>
  <w:footnote w:id="140">
    <w:p w14:paraId="777D1143" w14:textId="77777777" w:rsidR="00344E3B" w:rsidRPr="000D798B" w:rsidRDefault="00344E3B">
      <w:pPr>
        <w:pStyle w:val="FootnoteText"/>
        <w:rPr>
          <w:i/>
          <w:sz w:val="16"/>
          <w:szCs w:val="16"/>
          <w:lang w:val="en-US"/>
        </w:rPr>
      </w:pPr>
      <w:r w:rsidRPr="00344E3B">
        <w:rPr>
          <w:rStyle w:val="FootnoteReference"/>
          <w:sz w:val="16"/>
          <w:szCs w:val="16"/>
        </w:rPr>
        <w:footnoteRef/>
      </w:r>
      <w:r w:rsidRPr="00344E3B">
        <w:rPr>
          <w:sz w:val="16"/>
          <w:szCs w:val="16"/>
        </w:rPr>
        <w:t xml:space="preserve"> </w:t>
      </w:r>
      <w:r w:rsidRPr="000D798B">
        <w:rPr>
          <w:i/>
          <w:sz w:val="16"/>
          <w:szCs w:val="16"/>
          <w:lang w:val="en-US"/>
        </w:rPr>
        <w:t xml:space="preserve">Regulation 97 of the National Regulations sets out requirements for emergency and evacuation procedures. </w:t>
      </w:r>
    </w:p>
  </w:footnote>
  <w:footnote w:id="141">
    <w:p w14:paraId="6794765E" w14:textId="77777777" w:rsidR="00E63CC0" w:rsidRDefault="00E63CC0" w:rsidP="00E63CC0">
      <w:pPr>
        <w:pStyle w:val="FootnoteText"/>
      </w:pPr>
      <w:r>
        <w:rPr>
          <w:rStyle w:val="FootnoteReference"/>
        </w:rPr>
        <w:footnoteRef/>
      </w:r>
      <w:r>
        <w:t xml:space="preserve"> </w:t>
      </w:r>
      <w:r w:rsidRPr="004F29BB">
        <w:rPr>
          <w:i/>
          <w:iCs/>
          <w:sz w:val="16"/>
          <w:szCs w:val="16"/>
        </w:rPr>
        <w:t xml:space="preserve">Legislative provisions could mirror section 215 of the National Law, which grants the Regulatory Authority the power to obtain information, documents, and evidence from individuals or entities when they reasonably suspect an offense has been, or may be, committed under the </w:t>
      </w:r>
      <w:r>
        <w:rPr>
          <w:i/>
          <w:iCs/>
          <w:sz w:val="16"/>
          <w:szCs w:val="16"/>
        </w:rPr>
        <w:t xml:space="preserve">National </w:t>
      </w:r>
      <w:r w:rsidRPr="004F29BB">
        <w:rPr>
          <w:i/>
          <w:iCs/>
          <w:sz w:val="16"/>
          <w:szCs w:val="16"/>
        </w:rPr>
        <w:t>Law.</w:t>
      </w:r>
    </w:p>
  </w:footnote>
  <w:footnote w:id="142">
    <w:p w14:paraId="00D72ADA" w14:textId="17131C3B" w:rsidR="004F29BB" w:rsidRDefault="004F29BB">
      <w:pPr>
        <w:pStyle w:val="FootnoteText"/>
      </w:pPr>
      <w:r>
        <w:rPr>
          <w:rStyle w:val="FootnoteReference"/>
        </w:rPr>
        <w:footnoteRef/>
      </w:r>
      <w:r>
        <w:t xml:space="preserve"> </w:t>
      </w:r>
      <w:r w:rsidR="00C61167">
        <w:rPr>
          <w:i/>
          <w:iCs/>
          <w:sz w:val="16"/>
          <w:szCs w:val="16"/>
          <w:lang w:val="en-GB"/>
        </w:rPr>
        <w:t>R</w:t>
      </w:r>
      <w:r w:rsidR="00C61167" w:rsidRPr="009267B4">
        <w:rPr>
          <w:i/>
          <w:iCs/>
          <w:sz w:val="16"/>
          <w:szCs w:val="16"/>
          <w:lang w:val="en-GB"/>
        </w:rPr>
        <w:t xml:space="preserve">egulation 116 is concerned with </w:t>
      </w:r>
      <w:r w:rsidR="00C61167" w:rsidRPr="009267B4">
        <w:rPr>
          <w:i/>
          <w:iCs/>
          <w:sz w:val="16"/>
          <w:szCs w:val="16"/>
        </w:rPr>
        <w:t xml:space="preserve">assessments of </w:t>
      </w:r>
      <w:r w:rsidR="00C706C7">
        <w:rPr>
          <w:i/>
          <w:iCs/>
          <w:sz w:val="16"/>
          <w:szCs w:val="16"/>
        </w:rPr>
        <w:t>FDC</w:t>
      </w:r>
      <w:r w:rsidR="00C61167" w:rsidRPr="009267B4">
        <w:rPr>
          <w:i/>
          <w:iCs/>
          <w:sz w:val="16"/>
          <w:szCs w:val="16"/>
        </w:rPr>
        <w:t xml:space="preserve"> residences and approved venues</w:t>
      </w:r>
      <w:r w:rsidR="00C61167">
        <w:rPr>
          <w:i/>
          <w:iCs/>
          <w:sz w:val="16"/>
          <w:szCs w:val="16"/>
        </w:rPr>
        <w:t>.</w:t>
      </w:r>
    </w:p>
  </w:footnote>
  <w:footnote w:id="143">
    <w:p w14:paraId="0535BA07" w14:textId="6B99FB58" w:rsidR="00C63C86" w:rsidRDefault="00C63C86" w:rsidP="00C63C86">
      <w:pPr>
        <w:pStyle w:val="FootnoteText"/>
      </w:pPr>
      <w:r>
        <w:rPr>
          <w:rStyle w:val="FootnoteReference"/>
        </w:rPr>
        <w:footnoteRef/>
      </w:r>
      <w:r>
        <w:t xml:space="preserve"> </w:t>
      </w:r>
      <w:r w:rsidR="00C61167" w:rsidRPr="009267B4">
        <w:rPr>
          <w:i/>
          <w:iCs/>
          <w:sz w:val="16"/>
          <w:szCs w:val="16"/>
        </w:rPr>
        <w:t xml:space="preserve">Regulation 97 is concerned with </w:t>
      </w:r>
      <w:r w:rsidR="00C61167" w:rsidRPr="009267B4">
        <w:rPr>
          <w:i/>
          <w:iCs/>
          <w:sz w:val="16"/>
          <w:szCs w:val="16"/>
          <w:lang w:val="en-GB"/>
        </w:rPr>
        <w:t>emergency and evacuation procedures</w:t>
      </w:r>
      <w:r w:rsidR="00C61167">
        <w:rPr>
          <w:i/>
          <w:iCs/>
          <w:sz w:val="16"/>
          <w:szCs w:val="16"/>
          <w:lang w:val="en-GB"/>
        </w:rPr>
        <w:t>.</w:t>
      </w:r>
    </w:p>
  </w:footnote>
  <w:footnote w:id="144">
    <w:p w14:paraId="0398074F" w14:textId="1EE54399" w:rsidR="00F515D3" w:rsidRPr="00A4536A" w:rsidRDefault="00F515D3" w:rsidP="00F515D3">
      <w:pPr>
        <w:pStyle w:val="FootnoteText"/>
        <w:rPr>
          <w:lang w:val="en-US"/>
        </w:rPr>
      </w:pPr>
      <w:r w:rsidRPr="00FF0AE2">
        <w:rPr>
          <w:i/>
          <w:iCs/>
          <w:sz w:val="16"/>
          <w:szCs w:val="16"/>
        </w:rPr>
        <w:footnoteRef/>
      </w:r>
      <w:r w:rsidRPr="00FF0AE2">
        <w:rPr>
          <w:i/>
          <w:iCs/>
          <w:sz w:val="16"/>
          <w:szCs w:val="16"/>
        </w:rPr>
        <w:t xml:space="preserve"> Currently, there is no legal definition of a related provider in the National Law. Hence, when this document refers to related providers, it is referring to approved providers under the National Law that have been identified as related in the assessment of a relevant Regulatory Authority.</w:t>
      </w:r>
    </w:p>
  </w:footnote>
  <w:footnote w:id="145">
    <w:p w14:paraId="061C13C8" w14:textId="33C5DC16" w:rsidR="00F515D3" w:rsidRPr="00FF0AE2" w:rsidRDefault="00F515D3" w:rsidP="00F515D3">
      <w:pPr>
        <w:pStyle w:val="FootnoteText"/>
        <w:rPr>
          <w:i/>
          <w:iCs/>
          <w:sz w:val="16"/>
          <w:szCs w:val="16"/>
        </w:rPr>
      </w:pPr>
      <w:r w:rsidRPr="00FF0AE2">
        <w:rPr>
          <w:i/>
          <w:iCs/>
          <w:sz w:val="16"/>
          <w:szCs w:val="16"/>
        </w:rPr>
        <w:footnoteRef/>
      </w:r>
      <w:r w:rsidRPr="00FF0AE2">
        <w:rPr>
          <w:i/>
          <w:iCs/>
          <w:sz w:val="16"/>
          <w:szCs w:val="16"/>
        </w:rPr>
        <w:t xml:space="preserve"> </w:t>
      </w:r>
      <w:r w:rsidRPr="00C41D76">
        <w:rPr>
          <w:i/>
          <w:iCs/>
          <w:sz w:val="16"/>
          <w:szCs w:val="16"/>
        </w:rPr>
        <w:t>Existing compliance tools to regulate approved providers include the use of infringement notices, emergency action notices, compliance directions, compliance notices, and conditions on provider or service approvals. However, the issue remains that the Regulatory Authority can only apply these at the individual provider level and often cannot identify the relatedness of providers.</w:t>
      </w:r>
      <w:r w:rsidRPr="00C41D76" w:rsidDel="00C41D76">
        <w:rPr>
          <w:i/>
          <w:iCs/>
          <w:sz w:val="16"/>
          <w:szCs w:val="16"/>
        </w:rPr>
        <w:t xml:space="preserve"> </w:t>
      </w:r>
    </w:p>
  </w:footnote>
  <w:footnote w:id="146">
    <w:p w14:paraId="7325BEA1" w14:textId="50B734A8" w:rsidR="00695351" w:rsidRDefault="00695351">
      <w:pPr>
        <w:pStyle w:val="FootnoteText"/>
      </w:pPr>
      <w:r>
        <w:rPr>
          <w:rStyle w:val="FootnoteReference"/>
        </w:rPr>
        <w:footnoteRef/>
      </w:r>
      <w:r>
        <w:t xml:space="preserve"> </w:t>
      </w:r>
      <w:r w:rsidRPr="00EC229A">
        <w:rPr>
          <w:i/>
          <w:sz w:val="16"/>
          <w:szCs w:val="16"/>
        </w:rPr>
        <w:t xml:space="preserve">At least one </w:t>
      </w:r>
      <w:r w:rsidR="00DC71CD" w:rsidRPr="00EC229A">
        <w:rPr>
          <w:i/>
          <w:sz w:val="16"/>
          <w:szCs w:val="16"/>
        </w:rPr>
        <w:t xml:space="preserve">large approved </w:t>
      </w:r>
      <w:r w:rsidRPr="00EC229A">
        <w:rPr>
          <w:i/>
          <w:sz w:val="16"/>
          <w:szCs w:val="16"/>
        </w:rPr>
        <w:t xml:space="preserve">provider identified that it would be affected by the </w:t>
      </w:r>
      <w:r w:rsidR="00DC71CD" w:rsidRPr="00EC229A">
        <w:rPr>
          <w:i/>
          <w:sz w:val="16"/>
          <w:szCs w:val="16"/>
        </w:rPr>
        <w:t>proposed reform.</w:t>
      </w:r>
    </w:p>
  </w:footnote>
  <w:footnote w:id="147">
    <w:p w14:paraId="243B1D46" w14:textId="3510C296" w:rsidR="00F515D3" w:rsidRDefault="00F515D3" w:rsidP="00F515D3">
      <w:pPr>
        <w:pStyle w:val="FootnoteText"/>
      </w:pPr>
      <w:r>
        <w:rPr>
          <w:rStyle w:val="FootnoteReference"/>
        </w:rPr>
        <w:footnoteRef/>
      </w:r>
      <w:r>
        <w:t xml:space="preserve"> </w:t>
      </w:r>
      <w:r w:rsidRPr="00FF0AE2">
        <w:rPr>
          <w:i/>
          <w:iCs/>
          <w:sz w:val="16"/>
          <w:szCs w:val="16"/>
        </w:rPr>
        <w:t>Note that this period of two years takes precedence over limitation periods typically applied to summary offences in states and territories. Limitation periods vary between 6 and 12 months, across jurisdictions. See Criminal Procedure Act 1986 (NSW) s 179(1); Criminal Procedure Act 2009 (VIC) s 7(1)(a); Justices Act 1886 (QLD) s 52(1); Local Court (Criminal Procedure) Act 1928 (NT) s 52; Justices Act 1959 (TAS) s 26(1); Criminal Procedure Act 2004 (WA) s 21; Criminal Procedure Act 1921 (SA) s 52, Legislation Act 2001 (ACT), s 192(2).</w:t>
      </w:r>
    </w:p>
  </w:footnote>
  <w:footnote w:id="148">
    <w:p w14:paraId="516BEF6F" w14:textId="77777777" w:rsidR="00F515D3" w:rsidRPr="00FF0AE2" w:rsidRDefault="00F515D3" w:rsidP="00F515D3">
      <w:pPr>
        <w:pStyle w:val="FootnoteText"/>
        <w:rPr>
          <w:i/>
          <w:iCs/>
          <w:sz w:val="16"/>
          <w:szCs w:val="16"/>
        </w:rPr>
      </w:pPr>
      <w:r w:rsidRPr="00FF0AE2">
        <w:rPr>
          <w:i/>
          <w:iCs/>
          <w:sz w:val="16"/>
          <w:szCs w:val="16"/>
        </w:rPr>
        <w:footnoteRef/>
      </w:r>
      <w:r w:rsidRPr="00FF0AE2">
        <w:rPr>
          <w:i/>
          <w:iCs/>
          <w:sz w:val="16"/>
          <w:szCs w:val="16"/>
        </w:rPr>
        <w:t xml:space="preserve"> Royal Commission into Institutional Responses to Child Sexual Abuse (2017). Volume 4, Identifying and disclosing child sexual abuse. </w:t>
      </w:r>
      <w:hyperlink r:id="rId4" w:history="1">
        <w:r w:rsidRPr="00FF0AE2">
          <w:rPr>
            <w:i/>
            <w:iCs/>
            <w:sz w:val="16"/>
            <w:szCs w:val="16"/>
          </w:rPr>
          <w:t>https://www.childabuseroyalcommission.gov.au/identifying-and-disclosing-child-sexual-abuse</w:t>
        </w:r>
      </w:hyperlink>
      <w:r w:rsidRPr="00FF0AE2">
        <w:rPr>
          <w:i/>
          <w:iCs/>
          <w:sz w:val="16"/>
          <w:szCs w:val="16"/>
        </w:rPr>
        <w:t xml:space="preserve"> </w:t>
      </w:r>
    </w:p>
  </w:footnote>
  <w:footnote w:id="149">
    <w:p w14:paraId="34CD56F5" w14:textId="77777777" w:rsidR="00F515D3" w:rsidRPr="00BB010E" w:rsidRDefault="00F515D3" w:rsidP="00F515D3">
      <w:pPr>
        <w:pStyle w:val="FootnoteText"/>
      </w:pPr>
      <w:r w:rsidRPr="00FF0AE2">
        <w:rPr>
          <w:i/>
          <w:iCs/>
          <w:sz w:val="16"/>
          <w:szCs w:val="16"/>
        </w:rPr>
        <w:footnoteRef/>
      </w:r>
      <w:r w:rsidRPr="00FF0AE2">
        <w:rPr>
          <w:i/>
          <w:iCs/>
          <w:sz w:val="16"/>
          <w:szCs w:val="16"/>
        </w:rPr>
        <w:t xml:space="preserve"> Even if a limitation period applies under the National Law, it should be noted that a statute of limitations does not generally apply for indictable criminal offences i.e. a person can be charged and prosecuted many years after the alleged offence</w:t>
      </w:r>
      <w:r>
        <w:t>.</w:t>
      </w:r>
    </w:p>
  </w:footnote>
  <w:footnote w:id="150">
    <w:p w14:paraId="2CD7FDF7" w14:textId="2CE83142" w:rsidR="00F515D3" w:rsidRDefault="00F515D3" w:rsidP="00F515D3">
      <w:pPr>
        <w:pStyle w:val="FootnoteText"/>
      </w:pPr>
      <w:r w:rsidRPr="00FF0AE2">
        <w:rPr>
          <w:i/>
          <w:iCs/>
          <w:sz w:val="16"/>
          <w:szCs w:val="16"/>
        </w:rPr>
        <w:footnoteRef/>
      </w:r>
      <w:r w:rsidRPr="00FF0AE2">
        <w:rPr>
          <w:i/>
          <w:iCs/>
          <w:sz w:val="16"/>
          <w:szCs w:val="16"/>
        </w:rPr>
        <w:t xml:space="preserve"> A prohibition notice in the education and care sector means a person is barred from working in or holding a specific role within an approved education and care service, as they may pose an unacceptable risk of harm to children.</w:t>
      </w:r>
      <w:r w:rsidRPr="00885184">
        <w:t xml:space="preserve"> </w:t>
      </w:r>
    </w:p>
  </w:footnote>
  <w:footnote w:id="151">
    <w:p w14:paraId="5E902961" w14:textId="6F68AC1A" w:rsidR="005E5F4E" w:rsidRDefault="005E5F4E">
      <w:pPr>
        <w:pStyle w:val="FootnoteText"/>
      </w:pPr>
      <w:r>
        <w:rPr>
          <w:rStyle w:val="FootnoteReference"/>
        </w:rPr>
        <w:footnoteRef/>
      </w:r>
      <w:r>
        <w:t xml:space="preserve"> </w:t>
      </w:r>
      <w:r w:rsidRPr="00CE0A9A">
        <w:rPr>
          <w:i/>
          <w:iCs/>
          <w:sz w:val="16"/>
          <w:szCs w:val="16"/>
        </w:rPr>
        <w:t xml:space="preserve">While compliance with record keeping requirements </w:t>
      </w:r>
      <w:r w:rsidR="00B6157B" w:rsidRPr="00CE0A9A">
        <w:rPr>
          <w:i/>
          <w:iCs/>
          <w:sz w:val="16"/>
          <w:szCs w:val="16"/>
        </w:rPr>
        <w:t xml:space="preserve">is already legislated, only the extent to which </w:t>
      </w:r>
      <w:r w:rsidR="00297A96" w:rsidRPr="00CE0A9A">
        <w:rPr>
          <w:i/>
          <w:iCs/>
          <w:sz w:val="16"/>
          <w:szCs w:val="16"/>
        </w:rPr>
        <w:t xml:space="preserve">compliance </w:t>
      </w:r>
      <w:r w:rsidR="00CE0A9A">
        <w:rPr>
          <w:i/>
          <w:iCs/>
          <w:sz w:val="16"/>
          <w:szCs w:val="16"/>
        </w:rPr>
        <w:t>may improve</w:t>
      </w:r>
      <w:r w:rsidR="00297A96" w:rsidRPr="00CE0A9A">
        <w:rPr>
          <w:i/>
          <w:iCs/>
          <w:sz w:val="16"/>
          <w:szCs w:val="16"/>
        </w:rPr>
        <w:t xml:space="preserve"> </w:t>
      </w:r>
      <w:r w:rsidR="00CE0A9A" w:rsidRPr="00CE0A9A">
        <w:rPr>
          <w:i/>
          <w:iCs/>
          <w:sz w:val="16"/>
          <w:szCs w:val="16"/>
        </w:rPr>
        <w:t>as a result of the guidance are factored into cost considerations for the DRIS.</w:t>
      </w:r>
      <w:r w:rsidR="00131C4C">
        <w:rPr>
          <w:i/>
          <w:iCs/>
          <w:sz w:val="16"/>
          <w:szCs w:val="16"/>
        </w:rPr>
        <w:t xml:space="preserve"> </w:t>
      </w:r>
      <w:r w:rsidR="008834A6">
        <w:rPr>
          <w:i/>
          <w:iCs/>
          <w:sz w:val="16"/>
          <w:szCs w:val="16"/>
        </w:rPr>
        <w:t>This is in line with OIA requirements.</w:t>
      </w:r>
    </w:p>
  </w:footnote>
  <w:footnote w:id="152">
    <w:p w14:paraId="543FB83F" w14:textId="77777777" w:rsidR="00F515D3" w:rsidRPr="00FF0AE2" w:rsidRDefault="00F515D3" w:rsidP="00F515D3">
      <w:pPr>
        <w:pStyle w:val="FootnoteText"/>
        <w:rPr>
          <w:i/>
          <w:iCs/>
          <w:sz w:val="16"/>
          <w:szCs w:val="16"/>
        </w:rPr>
      </w:pPr>
      <w:r w:rsidRPr="00FF0AE2">
        <w:rPr>
          <w:i/>
          <w:iCs/>
          <w:sz w:val="16"/>
          <w:szCs w:val="16"/>
        </w:rPr>
        <w:footnoteRef/>
      </w:r>
      <w:r w:rsidRPr="00FF0AE2">
        <w:rPr>
          <w:i/>
          <w:iCs/>
          <w:sz w:val="16"/>
          <w:szCs w:val="16"/>
        </w:rPr>
        <w:t xml:space="preserve"> An authorised officer may obtain relevant information from a specified person for any of the following purposes (s206):</w:t>
      </w:r>
    </w:p>
    <w:p w14:paraId="2B8C1DA2" w14:textId="77777777" w:rsidR="00F515D3" w:rsidRPr="00FF0AE2" w:rsidRDefault="00F515D3" w:rsidP="00EC53AB">
      <w:pPr>
        <w:pStyle w:val="FootnoteText"/>
        <w:numPr>
          <w:ilvl w:val="0"/>
          <w:numId w:val="69"/>
        </w:numPr>
        <w:rPr>
          <w:i/>
          <w:iCs/>
          <w:sz w:val="16"/>
          <w:szCs w:val="16"/>
        </w:rPr>
      </w:pPr>
      <w:r w:rsidRPr="00FF0AE2">
        <w:rPr>
          <w:i/>
          <w:iCs/>
          <w:sz w:val="16"/>
          <w:szCs w:val="16"/>
        </w:rPr>
        <w:t>monitoring compliance with the National Law</w:t>
      </w:r>
    </w:p>
    <w:p w14:paraId="39599409" w14:textId="77777777" w:rsidR="00F515D3" w:rsidRPr="00FF0AE2" w:rsidRDefault="00F515D3" w:rsidP="00EC53AB">
      <w:pPr>
        <w:pStyle w:val="FootnoteText"/>
        <w:numPr>
          <w:ilvl w:val="0"/>
          <w:numId w:val="69"/>
        </w:numPr>
        <w:rPr>
          <w:i/>
          <w:iCs/>
          <w:sz w:val="16"/>
          <w:szCs w:val="16"/>
        </w:rPr>
      </w:pPr>
      <w:r w:rsidRPr="00FF0AE2">
        <w:rPr>
          <w:i/>
          <w:iCs/>
          <w:sz w:val="16"/>
          <w:szCs w:val="16"/>
        </w:rPr>
        <w:t>a rating assessment of an approved education and care service</w:t>
      </w:r>
    </w:p>
    <w:p w14:paraId="3C910259" w14:textId="77777777" w:rsidR="00F515D3" w:rsidRPr="00FF0AE2" w:rsidRDefault="00F515D3" w:rsidP="00EC53AB">
      <w:pPr>
        <w:pStyle w:val="FootnoteText"/>
        <w:numPr>
          <w:ilvl w:val="0"/>
          <w:numId w:val="69"/>
        </w:numPr>
        <w:rPr>
          <w:i/>
          <w:iCs/>
          <w:sz w:val="16"/>
          <w:szCs w:val="16"/>
        </w:rPr>
      </w:pPr>
      <w:r w:rsidRPr="00FF0AE2">
        <w:rPr>
          <w:i/>
          <w:iCs/>
          <w:sz w:val="16"/>
          <w:szCs w:val="16"/>
        </w:rPr>
        <w:t>obtaining information requested under other sections of the National Law</w:t>
      </w:r>
    </w:p>
    <w:p w14:paraId="2213EB72" w14:textId="77777777" w:rsidR="00F515D3" w:rsidRPr="005254EC" w:rsidRDefault="00F515D3" w:rsidP="00F515D3">
      <w:pPr>
        <w:pStyle w:val="FootnoteText"/>
      </w:pPr>
      <w:r w:rsidRPr="00FF0AE2">
        <w:rPr>
          <w:i/>
          <w:iCs/>
          <w:sz w:val="16"/>
          <w:szCs w:val="16"/>
        </w:rPr>
        <w:t>Additionally, Regulatory Authorities (under s215 of the National Law) have the power to obtain information, documents and evidence by notice (s215) where there is a reasonable suspicion that an offence under the National Law may have been committed.</w:t>
      </w:r>
    </w:p>
  </w:footnote>
  <w:footnote w:id="153">
    <w:p w14:paraId="15D1AA62" w14:textId="77BA964E" w:rsidR="00F515D3" w:rsidRDefault="00F515D3" w:rsidP="00F515D3">
      <w:pPr>
        <w:pStyle w:val="FootnoteText"/>
      </w:pPr>
      <w:r>
        <w:rPr>
          <w:rStyle w:val="FootnoteReference"/>
        </w:rPr>
        <w:footnoteRef/>
      </w:r>
      <w:r>
        <w:t xml:space="preserve"> </w:t>
      </w:r>
      <w:r w:rsidRPr="006D4C83">
        <w:rPr>
          <w:i/>
          <w:iCs/>
          <w:sz w:val="16"/>
          <w:szCs w:val="16"/>
        </w:rPr>
        <w:t>A small number of recruitment agencies participated in the consultation process, meaning this insight is from a small sample size.</w:t>
      </w:r>
    </w:p>
  </w:footnote>
  <w:footnote w:id="154">
    <w:p w14:paraId="2FEB69BA" w14:textId="77777777" w:rsidR="00C52BEC" w:rsidRPr="000D798B" w:rsidRDefault="00C52BEC" w:rsidP="00C52BEC">
      <w:pPr>
        <w:pStyle w:val="FootnoteText"/>
        <w:rPr>
          <w:i/>
          <w:sz w:val="16"/>
          <w:szCs w:val="16"/>
        </w:rPr>
      </w:pPr>
      <w:r>
        <w:rPr>
          <w:rStyle w:val="FootnoteReference"/>
        </w:rPr>
        <w:footnoteRef/>
      </w:r>
      <w:r>
        <w:t xml:space="preserve"> </w:t>
      </w:r>
      <w:r w:rsidRPr="000D798B">
        <w:rPr>
          <w:i/>
          <w:sz w:val="16"/>
          <w:szCs w:val="16"/>
        </w:rPr>
        <w:t xml:space="preserve">This was noted as both volunteering in practice at the service, and, in WA, because FDC residents may apply for their mandated WWCC under ‘volunteer’ status. </w:t>
      </w:r>
    </w:p>
  </w:footnote>
  <w:footnote w:id="155">
    <w:p w14:paraId="5D0CC885" w14:textId="77777777" w:rsidR="00000B4B" w:rsidRDefault="00000B4B" w:rsidP="000B539B">
      <w:pPr>
        <w:pStyle w:val="FootnoteText"/>
      </w:pPr>
      <w:r>
        <w:rPr>
          <w:rStyle w:val="FootnoteReference"/>
        </w:rPr>
        <w:footnoteRef/>
      </w:r>
      <w:r>
        <w:t xml:space="preserve"> </w:t>
      </w:r>
      <w:r w:rsidRPr="000B539B">
        <w:rPr>
          <w:i/>
          <w:iCs/>
          <w:sz w:val="16"/>
          <w:szCs w:val="16"/>
        </w:rPr>
        <w:t>While OIA typically requires a separate regulatory burden estimate for each option, the monetised costs of options 2 and 3 were identified to be the same and would not increase if both options are implemented together. As such, these options have been combined in this table so that the total cost is not overrepresented.</w:t>
      </w:r>
    </w:p>
  </w:footnote>
  <w:footnote w:id="156">
    <w:p w14:paraId="6EF6DF5E" w14:textId="0D871C2F" w:rsidR="00012265" w:rsidRDefault="00012265">
      <w:pPr>
        <w:pStyle w:val="FootnoteText"/>
      </w:pPr>
      <w:r>
        <w:rPr>
          <w:rStyle w:val="FootnoteReference"/>
        </w:rPr>
        <w:footnoteRef/>
      </w:r>
      <w:r>
        <w:t xml:space="preserve"> </w:t>
      </w:r>
      <w:r w:rsidRPr="00012265">
        <w:rPr>
          <w:i/>
          <w:iCs/>
          <w:sz w:val="16"/>
          <w:szCs w:val="16"/>
        </w:rPr>
        <w:t>WA arrangements will differ, if WA remain</w:t>
      </w:r>
      <w:r>
        <w:rPr>
          <w:i/>
          <w:iCs/>
          <w:sz w:val="16"/>
          <w:szCs w:val="16"/>
        </w:rPr>
        <w:t>s</w:t>
      </w:r>
      <w:r w:rsidRPr="00012265">
        <w:rPr>
          <w:i/>
          <w:iCs/>
          <w:sz w:val="16"/>
          <w:szCs w:val="16"/>
        </w:rPr>
        <w:t xml:space="preserve"> under corresponding law at that time, legislative change in WA will commence once National Law changes have passed in Victoria.</w:t>
      </w:r>
    </w:p>
  </w:footnote>
  <w:footnote w:id="157">
    <w:p w14:paraId="29208482" w14:textId="5F05B1B5" w:rsidR="00D1136E" w:rsidRDefault="00D1136E" w:rsidP="00D1136E">
      <w:pPr>
        <w:pStyle w:val="FootnoteText"/>
        <w:rPr>
          <w:rFonts w:ascii="Calibri" w:hAnsi="Calibri"/>
          <w:kern w:val="2"/>
          <w14:ligatures w14:val="standardContextual"/>
        </w:rPr>
      </w:pPr>
      <w:r w:rsidRPr="00FF0AE2">
        <w:rPr>
          <w:i/>
          <w:iCs/>
          <w:sz w:val="16"/>
          <w:szCs w:val="16"/>
        </w:rPr>
        <w:footnoteRef/>
      </w:r>
      <w:r w:rsidRPr="00FF0AE2">
        <w:rPr>
          <w:i/>
          <w:iCs/>
          <w:sz w:val="16"/>
          <w:szCs w:val="16"/>
        </w:rPr>
        <w:t xml:space="preserve"> Based on advice from </w:t>
      </w:r>
      <w:r w:rsidR="001E5BDE">
        <w:rPr>
          <w:i/>
          <w:iCs/>
          <w:sz w:val="16"/>
          <w:szCs w:val="16"/>
        </w:rPr>
        <w:t>OIA</w:t>
      </w:r>
      <w:r w:rsidRPr="00FF0AE2">
        <w:rPr>
          <w:i/>
          <w:iCs/>
          <w:sz w:val="16"/>
          <w:szCs w:val="16"/>
        </w:rPr>
        <w:t>, a status quo option and at least one non-regulatory option and a regulatory option is proposed for each recommendation for public consultation, where possible.</w:t>
      </w:r>
    </w:p>
  </w:footnote>
  <w:footnote w:id="158">
    <w:p w14:paraId="1A173EB9" w14:textId="77777777" w:rsidR="004C0726" w:rsidRPr="00FF0AE2" w:rsidRDefault="004C0726" w:rsidP="004C0726">
      <w:pPr>
        <w:pStyle w:val="FootnoteText"/>
        <w:rPr>
          <w:i/>
          <w:iCs/>
          <w:sz w:val="16"/>
          <w:szCs w:val="16"/>
        </w:rPr>
      </w:pPr>
      <w:r w:rsidRPr="00FF0AE2">
        <w:rPr>
          <w:i/>
          <w:iCs/>
          <w:sz w:val="16"/>
          <w:szCs w:val="16"/>
        </w:rPr>
        <w:footnoteRef/>
      </w:r>
      <w:r w:rsidRPr="00FF0AE2">
        <w:rPr>
          <w:i/>
          <w:iCs/>
          <w:sz w:val="16"/>
          <w:szCs w:val="16"/>
        </w:rPr>
        <w:t xml:space="preserve"> The full title of this document is The National Model Code and Guidelines for Taking Images or Videos of Children While Providing Early Childhood Education and Care.</w:t>
      </w:r>
    </w:p>
  </w:footnote>
  <w:footnote w:id="159">
    <w:p w14:paraId="08CDFE00" w14:textId="48991068" w:rsidR="004C0726" w:rsidRPr="00FF0AE2" w:rsidRDefault="004C0726" w:rsidP="004C0726">
      <w:pPr>
        <w:pStyle w:val="FootnoteText"/>
        <w:rPr>
          <w:i/>
          <w:iCs/>
          <w:sz w:val="16"/>
          <w:szCs w:val="16"/>
        </w:rPr>
      </w:pPr>
      <w:r w:rsidRPr="00FF0AE2">
        <w:rPr>
          <w:i/>
          <w:iCs/>
          <w:sz w:val="16"/>
          <w:szCs w:val="16"/>
        </w:rPr>
        <w:footnoteRef/>
      </w:r>
      <w:r w:rsidRPr="00FF0AE2">
        <w:rPr>
          <w:i/>
          <w:iCs/>
          <w:sz w:val="16"/>
          <w:szCs w:val="16"/>
        </w:rPr>
        <w:t xml:space="preserve"> The National Model Code states that while it targets centre-based services – and in particular </w:t>
      </w:r>
      <w:r w:rsidR="00052FF1">
        <w:rPr>
          <w:i/>
          <w:iCs/>
          <w:sz w:val="16"/>
          <w:szCs w:val="16"/>
        </w:rPr>
        <w:t>LDC</w:t>
      </w:r>
      <w:r w:rsidRPr="00FF0AE2">
        <w:rPr>
          <w:i/>
          <w:iCs/>
          <w:sz w:val="16"/>
          <w:szCs w:val="16"/>
        </w:rPr>
        <w:t xml:space="preserve"> and preschool/kindergarten services), providers of other types of education and care services may wish to adopt similar practices fit for their own context.</w:t>
      </w:r>
    </w:p>
  </w:footnote>
  <w:footnote w:id="160">
    <w:p w14:paraId="619601B7" w14:textId="77777777" w:rsidR="004C0726" w:rsidRPr="000244C8" w:rsidRDefault="004C0726" w:rsidP="004C0726">
      <w:pPr>
        <w:pStyle w:val="FootnoteText"/>
      </w:pPr>
      <w:r w:rsidRPr="00FF0AE2">
        <w:rPr>
          <w:i/>
          <w:iCs/>
          <w:sz w:val="16"/>
          <w:szCs w:val="16"/>
        </w:rPr>
        <w:footnoteRef/>
      </w:r>
      <w:r w:rsidRPr="00FF0AE2">
        <w:rPr>
          <w:i/>
          <w:iCs/>
          <w:sz w:val="16"/>
          <w:szCs w:val="16"/>
        </w:rPr>
        <w:t xml:space="preserve"> When developing the National Model Code and Guidelines, ACECQA communicated with education and care peaks, large providers, employee representatives and subject matter experts. SNAICC was also consulted to gain a First Nations’ perspective on the intent and practical application of the National Model Code in the context of Aboriginal Community Controlled Organisations. These consultations occurred in the first half of 2024.</w:t>
      </w:r>
    </w:p>
  </w:footnote>
  <w:footnote w:id="161">
    <w:p w14:paraId="5AD5864A"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Department of Education NSW, (February 2025), Child protection training requirements – Government Protocol, &lt;</w:t>
      </w:r>
      <w:hyperlink r:id="rId5" w:anchor="Refresher3" w:history="1">
        <w:r w:rsidRPr="00FF0AE2">
          <w:rPr>
            <w:i/>
            <w:iCs/>
            <w:sz w:val="16"/>
            <w:szCs w:val="16"/>
          </w:rPr>
          <w:t>https://education.nsw.gov.au/early-childhood-education/regulation-and-compliance/regulation-assessment-and-rating/child-safety/child-protection-training-requirements#Refresher3</w:t>
        </w:r>
      </w:hyperlink>
      <w:r w:rsidRPr="00FF0AE2">
        <w:rPr>
          <w:i/>
          <w:iCs/>
          <w:sz w:val="16"/>
          <w:szCs w:val="16"/>
        </w:rPr>
        <w:t>&gt;.</w:t>
      </w:r>
    </w:p>
  </w:footnote>
  <w:footnote w:id="162">
    <w:p w14:paraId="4C8DADB5"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Safe Space Legal, (n.d), Australian child Safe Standards – A state by state guide 2025, &lt;</w:t>
      </w:r>
      <w:hyperlink r:id="rId6" w:history="1">
        <w:r w:rsidRPr="00FF0AE2">
          <w:rPr>
            <w:i/>
            <w:iCs/>
            <w:sz w:val="16"/>
            <w:szCs w:val="16"/>
          </w:rPr>
          <w:t>https://www.safespacelegal.com.au/australian-child-safe-standards-a-state-by-state-guide-2025/</w:t>
        </w:r>
      </w:hyperlink>
      <w:r w:rsidRPr="00FF0AE2">
        <w:rPr>
          <w:i/>
          <w:iCs/>
          <w:sz w:val="16"/>
          <w:szCs w:val="16"/>
        </w:rPr>
        <w:t>&gt;.</w:t>
      </w:r>
    </w:p>
  </w:footnote>
  <w:footnote w:id="163">
    <w:p w14:paraId="724DD703"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Ibid.</w:t>
      </w:r>
    </w:p>
  </w:footnote>
  <w:footnote w:id="164">
    <w:p w14:paraId="2F3E7B43"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w:t>
      </w:r>
      <w:hyperlink r:id="rId7" w:history="1">
        <w:r w:rsidRPr="00FF0AE2">
          <w:rPr>
            <w:i/>
            <w:iCs/>
            <w:sz w:val="16"/>
            <w:szCs w:val="16"/>
          </w:rPr>
          <w:t>Queensland Government, (November 2024), Child protection requirements, &lt;https://earlychildhood.qld.gov.au/regulation/health-and-safety/child-protection-requirements</w:t>
        </w:r>
      </w:hyperlink>
      <w:r w:rsidRPr="00FF0AE2">
        <w:rPr>
          <w:i/>
          <w:iCs/>
          <w:sz w:val="16"/>
          <w:szCs w:val="16"/>
        </w:rPr>
        <w:t>&gt;.</w:t>
      </w:r>
    </w:p>
  </w:footnote>
  <w:footnote w:id="165">
    <w:p w14:paraId="0B0B85D8" w14:textId="77777777" w:rsidR="007E30F1" w:rsidRPr="006C5556" w:rsidRDefault="007E30F1" w:rsidP="007E30F1">
      <w:pPr>
        <w:pStyle w:val="FootnoteText"/>
        <w:rPr>
          <w:lang w:val="en-US"/>
        </w:rPr>
      </w:pPr>
      <w:r w:rsidRPr="00FF0AE2">
        <w:rPr>
          <w:i/>
          <w:iCs/>
          <w:sz w:val="16"/>
          <w:szCs w:val="16"/>
        </w:rPr>
        <w:footnoteRef/>
      </w:r>
      <w:r w:rsidRPr="00FF0AE2">
        <w:rPr>
          <w:i/>
          <w:iCs/>
          <w:sz w:val="16"/>
          <w:szCs w:val="16"/>
        </w:rPr>
        <w:t xml:space="preserve"> Ibid.</w:t>
      </w:r>
    </w:p>
  </w:footnote>
  <w:footnote w:id="166">
    <w:p w14:paraId="541A7467"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Safe Space Legal, (n.d), Australian child Safe Standards – A state by state guide 2025, &lt;</w:t>
      </w:r>
      <w:hyperlink r:id="rId8" w:history="1">
        <w:r w:rsidRPr="00FF0AE2">
          <w:rPr>
            <w:i/>
            <w:iCs/>
            <w:sz w:val="16"/>
            <w:szCs w:val="16"/>
          </w:rPr>
          <w:t>https://www.safespacelegal.com.au/australian-child-safe-standards-a-state-by-state-guide-2025/</w:t>
        </w:r>
      </w:hyperlink>
      <w:r w:rsidRPr="00FF0AE2">
        <w:rPr>
          <w:i/>
          <w:iCs/>
          <w:sz w:val="16"/>
          <w:szCs w:val="16"/>
        </w:rPr>
        <w:t>&gt;.</w:t>
      </w:r>
    </w:p>
  </w:footnote>
  <w:footnote w:id="167">
    <w:p w14:paraId="15F07175"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Department of Education SA, (January 2025), RRHAN-EC mandatory notification training – list of courses, &lt;</w:t>
      </w:r>
      <w:hyperlink r:id="rId9" w:history="1">
        <w:r w:rsidRPr="00FF0AE2">
          <w:rPr>
            <w:i/>
            <w:iCs/>
            <w:sz w:val="16"/>
            <w:szCs w:val="16"/>
          </w:rPr>
          <w:t>https://www.education.sa.gov.au/working-us/rrhan-ec/rrhan-ec-mandatory-notification-training-list-courses</w:t>
        </w:r>
      </w:hyperlink>
      <w:r w:rsidRPr="00FF0AE2">
        <w:rPr>
          <w:i/>
          <w:iCs/>
          <w:sz w:val="16"/>
          <w:szCs w:val="16"/>
        </w:rPr>
        <w:t>&gt;.</w:t>
      </w:r>
    </w:p>
  </w:footnote>
  <w:footnote w:id="168">
    <w:p w14:paraId="443D4768"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Safe Space Legal, (n.d), Australian child Safe Standards – A state by state guide 2025, &lt;</w:t>
      </w:r>
      <w:hyperlink r:id="rId10" w:history="1">
        <w:r w:rsidRPr="00FF0AE2">
          <w:rPr>
            <w:i/>
            <w:iCs/>
            <w:sz w:val="16"/>
            <w:szCs w:val="16"/>
          </w:rPr>
          <w:t>https://www.safespacelegal.com.au/australian-child-safe-standards-a-state-by-state-guide-2025/</w:t>
        </w:r>
      </w:hyperlink>
      <w:r w:rsidRPr="00FF0AE2">
        <w:rPr>
          <w:i/>
          <w:iCs/>
          <w:sz w:val="16"/>
          <w:szCs w:val="16"/>
        </w:rPr>
        <w:t>&gt;.</w:t>
      </w:r>
    </w:p>
  </w:footnote>
  <w:footnote w:id="169">
    <w:p w14:paraId="3123DF22" w14:textId="7AAAFD2B" w:rsidR="00CD1E96" w:rsidRDefault="00CD1E96">
      <w:pPr>
        <w:pStyle w:val="FootnoteText"/>
      </w:pPr>
      <w:r>
        <w:rPr>
          <w:rStyle w:val="FootnoteReference"/>
        </w:rPr>
        <w:footnoteRef/>
      </w:r>
      <w:r>
        <w:t xml:space="preserve"> </w:t>
      </w:r>
      <w:r w:rsidRPr="008B1994">
        <w:rPr>
          <w:i/>
          <w:iCs/>
          <w:sz w:val="16"/>
          <w:szCs w:val="16"/>
        </w:rPr>
        <w:t>See &lt;https://keepingchildrensafe.tas.gov.au/news/new-safeguarding-training-package-coming-for-organisations-to-use-across-tasmania</w:t>
      </w:r>
      <w:r w:rsidR="008B1994" w:rsidRPr="008B1994">
        <w:rPr>
          <w:i/>
          <w:iCs/>
          <w:sz w:val="16"/>
          <w:szCs w:val="16"/>
        </w:rPr>
        <w:t>/</w:t>
      </w:r>
      <w:r w:rsidRPr="008B1994">
        <w:rPr>
          <w:i/>
          <w:iCs/>
          <w:sz w:val="16"/>
          <w:szCs w:val="16"/>
        </w:rPr>
        <w:t>&gt;</w:t>
      </w:r>
      <w:r w:rsidR="008B1994" w:rsidRPr="008B1994">
        <w:rPr>
          <w:i/>
          <w:iCs/>
          <w:sz w:val="16"/>
          <w:szCs w:val="16"/>
        </w:rPr>
        <w:t>.</w:t>
      </w:r>
      <w:r w:rsidR="008B1994" w:rsidRPr="008B1994">
        <w:rPr>
          <w:sz w:val="16"/>
          <w:szCs w:val="16"/>
        </w:rPr>
        <w:t xml:space="preserve"> </w:t>
      </w:r>
    </w:p>
  </w:footnote>
  <w:footnote w:id="170">
    <w:p w14:paraId="7752793E" w14:textId="2449860E" w:rsidR="007E30F1" w:rsidRPr="006C5556" w:rsidRDefault="007E30F1" w:rsidP="007E30F1">
      <w:pPr>
        <w:pStyle w:val="FootnoteText"/>
        <w:rPr>
          <w:lang w:val="en-US"/>
        </w:rPr>
      </w:pPr>
      <w:r w:rsidRPr="00FF0AE2">
        <w:rPr>
          <w:i/>
          <w:iCs/>
          <w:sz w:val="16"/>
          <w:szCs w:val="16"/>
        </w:rPr>
        <w:footnoteRef/>
      </w:r>
      <w:r w:rsidRPr="00FF0AE2">
        <w:rPr>
          <w:i/>
          <w:iCs/>
          <w:sz w:val="16"/>
          <w:szCs w:val="16"/>
        </w:rPr>
        <w:t xml:space="preserve"> Tasmanian Legislation, Child and Youth Safe Organisations Act 2023, &lt;https://www.legislation.tas.gov.au/view/whole/html/asmade/act-2023-006#:~:text=This%20Act%20may%20be%20cited,Youth%20Safe%20Organisations%20Act%202023%20.&amp;text=This%20Act%20commences%20on%201%20July%202023.&amp;text=Without%20limiting%20the%20provisions%20of,the%20best%20interests%20of%20children&gt;.</w:t>
      </w:r>
    </w:p>
  </w:footnote>
  <w:footnote w:id="171">
    <w:p w14:paraId="32022C3F" w14:textId="77777777" w:rsidR="007E30F1" w:rsidRPr="00FF0AE2" w:rsidRDefault="007E30F1" w:rsidP="007E30F1">
      <w:pPr>
        <w:pStyle w:val="FootnoteText"/>
        <w:rPr>
          <w:i/>
          <w:iCs/>
          <w:sz w:val="16"/>
          <w:szCs w:val="16"/>
        </w:rPr>
      </w:pPr>
      <w:r w:rsidRPr="00FF0AE2">
        <w:rPr>
          <w:i/>
          <w:iCs/>
          <w:sz w:val="16"/>
          <w:szCs w:val="16"/>
        </w:rPr>
        <w:footnoteRef/>
      </w:r>
      <w:r w:rsidRPr="00FF0AE2">
        <w:rPr>
          <w:i/>
          <w:iCs/>
          <w:sz w:val="16"/>
          <w:szCs w:val="16"/>
        </w:rPr>
        <w:t xml:space="preserve"> ACT Government, (February 2024), Training to respond to child abuse and neglect, &lt;</w:t>
      </w:r>
      <w:hyperlink r:id="rId11" w:history="1">
        <w:r w:rsidRPr="00FF0AE2">
          <w:rPr>
            <w:i/>
            <w:iCs/>
            <w:sz w:val="16"/>
            <w:szCs w:val="16"/>
          </w:rPr>
          <w:t>https://www.act.gov.au/community/child-protection-and-youth-justice/training-to-respond-to-child-abuse-and-neglect</w:t>
        </w:r>
      </w:hyperlink>
      <w:r w:rsidRPr="00FF0AE2">
        <w:rPr>
          <w:i/>
          <w:iCs/>
          <w:sz w:val="16"/>
          <w:szCs w:val="16"/>
        </w:rPr>
        <w:t>&gt;.</w:t>
      </w:r>
    </w:p>
  </w:footnote>
  <w:footnote w:id="172">
    <w:p w14:paraId="186835F2" w14:textId="77777777" w:rsidR="007E30F1" w:rsidRPr="006C5556" w:rsidRDefault="007E30F1" w:rsidP="007E30F1">
      <w:pPr>
        <w:pStyle w:val="FootnoteText"/>
        <w:rPr>
          <w:lang w:val="en-US"/>
        </w:rPr>
      </w:pPr>
      <w:r w:rsidRPr="00FF0AE2">
        <w:rPr>
          <w:i/>
          <w:iCs/>
          <w:sz w:val="16"/>
          <w:szCs w:val="16"/>
        </w:rPr>
        <w:footnoteRef/>
      </w:r>
      <w:r w:rsidRPr="00FF0AE2">
        <w:rPr>
          <w:i/>
          <w:iCs/>
          <w:sz w:val="16"/>
          <w:szCs w:val="16"/>
        </w:rPr>
        <w:t xml:space="preserve"> Ibid.</w:t>
      </w:r>
    </w:p>
  </w:footnote>
  <w:footnote w:id="173">
    <w:p w14:paraId="777D9DBF" w14:textId="13DF1854" w:rsidR="00C91AA5" w:rsidRPr="00FF0AE2" w:rsidRDefault="00C91AA5">
      <w:pPr>
        <w:pStyle w:val="FootnoteText"/>
        <w:rPr>
          <w:i/>
          <w:iCs/>
          <w:sz w:val="16"/>
          <w:szCs w:val="16"/>
        </w:rPr>
      </w:pPr>
      <w:r w:rsidRPr="00FF0AE2">
        <w:rPr>
          <w:i/>
          <w:iCs/>
          <w:sz w:val="16"/>
          <w:szCs w:val="16"/>
        </w:rPr>
        <w:footnoteRef/>
      </w:r>
      <w:r w:rsidR="001C3374" w:rsidRPr="00FF0AE2">
        <w:rPr>
          <w:i/>
          <w:iCs/>
          <w:sz w:val="16"/>
          <w:szCs w:val="16"/>
        </w:rPr>
        <w:t xml:space="preserve"> </w:t>
      </w:r>
      <w:r w:rsidRPr="00FF0AE2">
        <w:rPr>
          <w:i/>
          <w:iCs/>
          <w:sz w:val="16"/>
          <w:szCs w:val="16"/>
        </w:rPr>
        <w:t>Service NSW</w:t>
      </w:r>
      <w:r w:rsidR="007D4719" w:rsidRPr="00FF0AE2">
        <w:rPr>
          <w:i/>
          <w:iCs/>
          <w:sz w:val="16"/>
          <w:szCs w:val="16"/>
        </w:rPr>
        <w:t xml:space="preserve"> (2025)</w:t>
      </w:r>
      <w:r w:rsidR="00E646CC" w:rsidRPr="00FF0AE2">
        <w:rPr>
          <w:i/>
          <w:iCs/>
          <w:sz w:val="16"/>
          <w:szCs w:val="16"/>
        </w:rPr>
        <w:t>,</w:t>
      </w:r>
      <w:r w:rsidR="007D4719" w:rsidRPr="00FF0AE2">
        <w:rPr>
          <w:i/>
          <w:iCs/>
          <w:sz w:val="16"/>
          <w:szCs w:val="16"/>
        </w:rPr>
        <w:t xml:space="preserve"> Apply for a Work</w:t>
      </w:r>
      <w:r w:rsidR="00132632" w:rsidRPr="00FF0AE2">
        <w:rPr>
          <w:i/>
          <w:iCs/>
          <w:sz w:val="16"/>
          <w:szCs w:val="16"/>
        </w:rPr>
        <w:t xml:space="preserve">ing with Children Check </w:t>
      </w:r>
      <w:r w:rsidR="004A151B" w:rsidRPr="00FF0AE2">
        <w:rPr>
          <w:i/>
          <w:iCs/>
          <w:sz w:val="16"/>
          <w:szCs w:val="16"/>
        </w:rPr>
        <w:t>&lt;</w:t>
      </w:r>
      <w:hyperlink r:id="rId12" w:anchor=":~:text=The%20outcome%20of%20a%20check,and%20is%20free%20for%20volunteers" w:history="1">
        <w:r w:rsidR="004A151B" w:rsidRPr="00FF0AE2">
          <w:rPr>
            <w:i/>
            <w:iCs/>
            <w:sz w:val="16"/>
            <w:szCs w:val="16"/>
          </w:rPr>
          <w:t>https://www.service.nsw.gov.au/transaction/apply-for-a-working-with-children-check#:~:text=The%20outcome%20of%20a%20check,and%20is%20free%20for%20volunteers</w:t>
        </w:r>
      </w:hyperlink>
      <w:r w:rsidR="004A151B" w:rsidRPr="00FF0AE2">
        <w:rPr>
          <w:i/>
          <w:iCs/>
          <w:sz w:val="16"/>
          <w:szCs w:val="16"/>
        </w:rPr>
        <w:t>&gt;</w:t>
      </w:r>
      <w:r w:rsidR="00132632" w:rsidRPr="00FF0AE2">
        <w:rPr>
          <w:i/>
          <w:iCs/>
          <w:sz w:val="16"/>
          <w:szCs w:val="16"/>
        </w:rPr>
        <w:t xml:space="preserve">. </w:t>
      </w:r>
    </w:p>
  </w:footnote>
  <w:footnote w:id="174">
    <w:p w14:paraId="08BD8AF1" w14:textId="1B1C2E28" w:rsidR="001C3374" w:rsidRPr="00FF0AE2" w:rsidRDefault="001C3374">
      <w:pPr>
        <w:pStyle w:val="FootnoteText"/>
        <w:rPr>
          <w:i/>
          <w:iCs/>
          <w:sz w:val="16"/>
          <w:szCs w:val="16"/>
        </w:rPr>
      </w:pPr>
      <w:r w:rsidRPr="00FF0AE2">
        <w:rPr>
          <w:i/>
          <w:iCs/>
          <w:sz w:val="16"/>
          <w:szCs w:val="16"/>
        </w:rPr>
        <w:footnoteRef/>
      </w:r>
      <w:r w:rsidRPr="00FF0AE2">
        <w:rPr>
          <w:i/>
          <w:iCs/>
          <w:sz w:val="16"/>
          <w:szCs w:val="16"/>
        </w:rPr>
        <w:t xml:space="preserve"> </w:t>
      </w:r>
      <w:r w:rsidR="00BE2609" w:rsidRPr="00FF0AE2">
        <w:rPr>
          <w:i/>
          <w:iCs/>
          <w:sz w:val="16"/>
          <w:szCs w:val="16"/>
        </w:rPr>
        <w:t>Victorian Government (2025)</w:t>
      </w:r>
      <w:r w:rsidR="00E646CC" w:rsidRPr="00FF0AE2">
        <w:rPr>
          <w:i/>
          <w:iCs/>
          <w:sz w:val="16"/>
          <w:szCs w:val="16"/>
        </w:rPr>
        <w:t>,</w:t>
      </w:r>
      <w:r w:rsidR="00BE2609" w:rsidRPr="00FF0AE2">
        <w:rPr>
          <w:i/>
          <w:iCs/>
          <w:sz w:val="16"/>
          <w:szCs w:val="16"/>
        </w:rPr>
        <w:t xml:space="preserve"> The Working with Children Check explaine</w:t>
      </w:r>
      <w:r w:rsidR="004A151B" w:rsidRPr="00FF0AE2">
        <w:rPr>
          <w:i/>
          <w:iCs/>
          <w:sz w:val="16"/>
          <w:szCs w:val="16"/>
        </w:rPr>
        <w:t>d,</w:t>
      </w:r>
      <w:r w:rsidR="00BE2609" w:rsidRPr="00FF0AE2">
        <w:rPr>
          <w:i/>
          <w:iCs/>
          <w:sz w:val="16"/>
          <w:szCs w:val="16"/>
        </w:rPr>
        <w:t xml:space="preserve"> </w:t>
      </w:r>
      <w:r w:rsidR="004A151B" w:rsidRPr="00FF0AE2">
        <w:rPr>
          <w:i/>
          <w:iCs/>
          <w:sz w:val="16"/>
          <w:szCs w:val="16"/>
        </w:rPr>
        <w:t>&lt;</w:t>
      </w:r>
      <w:hyperlink r:id="rId13" w:anchor="fees-valid-until-30-june-2024" w:history="1">
        <w:r w:rsidR="004A151B" w:rsidRPr="00FF0AE2">
          <w:rPr>
            <w:i/>
            <w:iCs/>
            <w:sz w:val="16"/>
            <w:szCs w:val="16"/>
          </w:rPr>
          <w:t>https://www.vic.gov.au/check-explained#fees-valid-until-30-june-2024</w:t>
        </w:r>
      </w:hyperlink>
      <w:r w:rsidR="004A151B" w:rsidRPr="00FF0AE2">
        <w:rPr>
          <w:i/>
          <w:iCs/>
          <w:sz w:val="16"/>
          <w:szCs w:val="16"/>
        </w:rPr>
        <w:t>&gt;.</w:t>
      </w:r>
    </w:p>
  </w:footnote>
  <w:footnote w:id="175">
    <w:p w14:paraId="21E959E7" w14:textId="787F55F3" w:rsidR="00567C9A" w:rsidRPr="00FF0AE2" w:rsidRDefault="00567C9A">
      <w:pPr>
        <w:pStyle w:val="FootnoteText"/>
        <w:rPr>
          <w:i/>
          <w:iCs/>
          <w:sz w:val="16"/>
          <w:szCs w:val="16"/>
        </w:rPr>
      </w:pPr>
      <w:r w:rsidRPr="00FF0AE2">
        <w:rPr>
          <w:i/>
          <w:iCs/>
          <w:sz w:val="16"/>
          <w:szCs w:val="16"/>
        </w:rPr>
        <w:footnoteRef/>
      </w:r>
      <w:r w:rsidR="00FC6036" w:rsidRPr="00FF0AE2">
        <w:rPr>
          <w:i/>
          <w:iCs/>
          <w:sz w:val="16"/>
          <w:szCs w:val="16"/>
        </w:rPr>
        <w:t xml:space="preserve"> </w:t>
      </w:r>
      <w:r w:rsidR="00545793">
        <w:rPr>
          <w:i/>
          <w:iCs/>
          <w:sz w:val="16"/>
          <w:szCs w:val="16"/>
        </w:rPr>
        <w:t xml:space="preserve">Queensland </w:t>
      </w:r>
      <w:r w:rsidRPr="00FF0AE2">
        <w:rPr>
          <w:i/>
          <w:iCs/>
          <w:sz w:val="16"/>
          <w:szCs w:val="16"/>
        </w:rPr>
        <w:t>Government (2024)</w:t>
      </w:r>
      <w:r w:rsidR="00E646CC" w:rsidRPr="00FF0AE2">
        <w:rPr>
          <w:i/>
          <w:iCs/>
          <w:sz w:val="16"/>
          <w:szCs w:val="16"/>
        </w:rPr>
        <w:t>,</w:t>
      </w:r>
      <w:r w:rsidRPr="00FF0AE2">
        <w:rPr>
          <w:i/>
          <w:iCs/>
          <w:sz w:val="16"/>
          <w:szCs w:val="16"/>
        </w:rPr>
        <w:t xml:space="preserve"> Pay for your blue card application</w:t>
      </w:r>
      <w:r w:rsidR="004A151B" w:rsidRPr="00FF0AE2">
        <w:rPr>
          <w:i/>
          <w:iCs/>
          <w:sz w:val="16"/>
          <w:szCs w:val="16"/>
        </w:rPr>
        <w:t>,</w:t>
      </w:r>
      <w:r w:rsidRPr="00FF0AE2">
        <w:rPr>
          <w:i/>
          <w:iCs/>
          <w:sz w:val="16"/>
          <w:szCs w:val="16"/>
        </w:rPr>
        <w:t xml:space="preserve"> </w:t>
      </w:r>
      <w:r w:rsidR="004A151B" w:rsidRPr="00FF0AE2">
        <w:rPr>
          <w:i/>
          <w:iCs/>
          <w:sz w:val="16"/>
          <w:szCs w:val="16"/>
        </w:rPr>
        <w:t>&lt;</w:t>
      </w:r>
      <w:hyperlink r:id="rId14" w:history="1">
        <w:r w:rsidR="004A151B" w:rsidRPr="00FF0AE2">
          <w:rPr>
            <w:i/>
            <w:iCs/>
            <w:sz w:val="16"/>
            <w:szCs w:val="16"/>
          </w:rPr>
          <w:t>https://www.qld.gov.au/law/laws-regulated-industries-and-accountability/queensland-laws-and-regulations/regulated-industries-and-licensing/blue-card/applications/payment</w:t>
        </w:r>
      </w:hyperlink>
      <w:r w:rsidR="004A151B" w:rsidRPr="00FF0AE2">
        <w:rPr>
          <w:i/>
          <w:iCs/>
          <w:sz w:val="16"/>
          <w:szCs w:val="16"/>
        </w:rPr>
        <w:t>&gt;.</w:t>
      </w:r>
      <w:r w:rsidR="001F4C45" w:rsidRPr="00FF0AE2">
        <w:rPr>
          <w:i/>
          <w:iCs/>
          <w:sz w:val="16"/>
          <w:szCs w:val="16"/>
        </w:rPr>
        <w:t xml:space="preserve"> </w:t>
      </w:r>
    </w:p>
  </w:footnote>
  <w:footnote w:id="176">
    <w:p w14:paraId="545DDDA4" w14:textId="71B186A5" w:rsidR="0072093C" w:rsidRPr="00AE2131" w:rsidRDefault="0072093C">
      <w:pPr>
        <w:pStyle w:val="FootnoteText"/>
        <w:rPr>
          <w:lang w:val="en-US"/>
        </w:rPr>
      </w:pPr>
      <w:r w:rsidRPr="00FF0AE2">
        <w:rPr>
          <w:i/>
          <w:iCs/>
          <w:sz w:val="16"/>
          <w:szCs w:val="16"/>
        </w:rPr>
        <w:footnoteRef/>
      </w:r>
      <w:r w:rsidRPr="00FF0AE2">
        <w:rPr>
          <w:i/>
          <w:iCs/>
          <w:sz w:val="16"/>
          <w:szCs w:val="16"/>
        </w:rPr>
        <w:t xml:space="preserve"> Western Australian Government (2025)</w:t>
      </w:r>
      <w:r w:rsidR="00E646CC" w:rsidRPr="00FF0AE2">
        <w:rPr>
          <w:i/>
          <w:iCs/>
          <w:sz w:val="16"/>
          <w:szCs w:val="16"/>
        </w:rPr>
        <w:t>,</w:t>
      </w:r>
      <w:r w:rsidRPr="00FF0AE2">
        <w:rPr>
          <w:i/>
          <w:iCs/>
          <w:sz w:val="16"/>
          <w:szCs w:val="16"/>
        </w:rPr>
        <w:t xml:space="preserve"> Working with Children Check – Application and renewal process</w:t>
      </w:r>
      <w:r w:rsidR="00E646CC" w:rsidRPr="00FF0AE2">
        <w:rPr>
          <w:i/>
          <w:iCs/>
          <w:sz w:val="16"/>
          <w:szCs w:val="16"/>
        </w:rPr>
        <w:t>, &lt;</w:t>
      </w:r>
      <w:hyperlink r:id="rId15" w:anchor="fees" w:history="1">
        <w:r w:rsidR="00E646CC" w:rsidRPr="00FF0AE2">
          <w:rPr>
            <w:i/>
            <w:iCs/>
            <w:sz w:val="16"/>
            <w:szCs w:val="16"/>
          </w:rPr>
          <w:t>https://www.wa.gov.au/organisation/department-of-communities/working-children-check-application-and-renewal-process#fees</w:t>
        </w:r>
      </w:hyperlink>
      <w:r w:rsidR="00E646CC" w:rsidRPr="00FF0AE2">
        <w:rPr>
          <w:i/>
          <w:iCs/>
          <w:sz w:val="16"/>
          <w:szCs w:val="16"/>
        </w:rPr>
        <w:t>&gt;.</w:t>
      </w:r>
    </w:p>
  </w:footnote>
  <w:footnote w:id="177">
    <w:p w14:paraId="75E57D88" w14:textId="3DE29F9B" w:rsidR="00D71B4A" w:rsidRPr="00FF0AE2" w:rsidRDefault="00D71B4A">
      <w:pPr>
        <w:pStyle w:val="FootnoteText"/>
        <w:rPr>
          <w:i/>
          <w:iCs/>
          <w:sz w:val="16"/>
          <w:szCs w:val="16"/>
        </w:rPr>
      </w:pPr>
      <w:r w:rsidRPr="00FF0AE2">
        <w:rPr>
          <w:i/>
          <w:iCs/>
          <w:sz w:val="16"/>
          <w:szCs w:val="16"/>
        </w:rPr>
        <w:footnoteRef/>
      </w:r>
      <w:r w:rsidRPr="00FF0AE2">
        <w:rPr>
          <w:i/>
          <w:iCs/>
          <w:sz w:val="16"/>
          <w:szCs w:val="16"/>
        </w:rPr>
        <w:t xml:space="preserve"> South Australian Government (2024)</w:t>
      </w:r>
      <w:r w:rsidR="00E646CC" w:rsidRPr="00FF0AE2">
        <w:rPr>
          <w:i/>
          <w:iCs/>
          <w:sz w:val="16"/>
          <w:szCs w:val="16"/>
        </w:rPr>
        <w:t>,</w:t>
      </w:r>
      <w:r w:rsidR="00416E2C" w:rsidRPr="00FF0AE2">
        <w:rPr>
          <w:i/>
          <w:iCs/>
          <w:sz w:val="16"/>
          <w:szCs w:val="16"/>
        </w:rPr>
        <w:t xml:space="preserve"> Fee</w:t>
      </w:r>
      <w:r w:rsidR="00E646CC" w:rsidRPr="00FF0AE2">
        <w:rPr>
          <w:i/>
          <w:iCs/>
          <w:sz w:val="16"/>
          <w:szCs w:val="16"/>
        </w:rPr>
        <w:t>s, &lt;</w:t>
      </w:r>
      <w:hyperlink r:id="rId16" w:history="1">
        <w:r w:rsidR="00E566AC" w:rsidRPr="00FF0AE2">
          <w:rPr>
            <w:i/>
            <w:iCs/>
            <w:sz w:val="16"/>
            <w:szCs w:val="16"/>
          </w:rPr>
          <w:t>https://www.sa.gov.au/topics/rights-and-law/rights-and-responsibilities/screening-checks/apply-for-a-screening-check/fees</w:t>
        </w:r>
      </w:hyperlink>
      <w:r w:rsidR="00E646CC" w:rsidRPr="00FF0AE2">
        <w:rPr>
          <w:i/>
          <w:iCs/>
          <w:sz w:val="16"/>
          <w:szCs w:val="16"/>
        </w:rPr>
        <w:t>&gt;.</w:t>
      </w:r>
    </w:p>
  </w:footnote>
  <w:footnote w:id="178">
    <w:p w14:paraId="48E7AA09" w14:textId="099F4F2D" w:rsidR="008501F7" w:rsidRPr="00FF0AE2" w:rsidRDefault="008501F7">
      <w:pPr>
        <w:pStyle w:val="FootnoteText"/>
        <w:rPr>
          <w:i/>
          <w:iCs/>
          <w:sz w:val="16"/>
          <w:szCs w:val="16"/>
        </w:rPr>
      </w:pPr>
      <w:r w:rsidRPr="00FF0AE2">
        <w:rPr>
          <w:i/>
          <w:iCs/>
          <w:sz w:val="16"/>
          <w:szCs w:val="16"/>
        </w:rPr>
        <w:footnoteRef/>
      </w:r>
      <w:r w:rsidRPr="00FF0AE2">
        <w:rPr>
          <w:i/>
          <w:iCs/>
          <w:sz w:val="16"/>
          <w:szCs w:val="16"/>
        </w:rPr>
        <w:t xml:space="preserve"> Service</w:t>
      </w:r>
      <w:r w:rsidR="00FC6036" w:rsidRPr="00FF0AE2">
        <w:rPr>
          <w:i/>
          <w:iCs/>
          <w:sz w:val="16"/>
          <w:szCs w:val="16"/>
        </w:rPr>
        <w:t xml:space="preserve"> TAS</w:t>
      </w:r>
      <w:r w:rsidR="00E646CC" w:rsidRPr="00FF0AE2">
        <w:rPr>
          <w:i/>
          <w:iCs/>
          <w:sz w:val="16"/>
          <w:szCs w:val="16"/>
        </w:rPr>
        <w:t xml:space="preserve"> </w:t>
      </w:r>
      <w:r w:rsidRPr="00FF0AE2">
        <w:rPr>
          <w:i/>
          <w:iCs/>
          <w:sz w:val="16"/>
          <w:szCs w:val="16"/>
        </w:rPr>
        <w:t>(2024)</w:t>
      </w:r>
      <w:r w:rsidR="00E646CC" w:rsidRPr="00FF0AE2">
        <w:rPr>
          <w:i/>
          <w:iCs/>
          <w:sz w:val="16"/>
          <w:szCs w:val="16"/>
        </w:rPr>
        <w:t>,</w:t>
      </w:r>
      <w:r w:rsidRPr="00FF0AE2">
        <w:rPr>
          <w:i/>
          <w:iCs/>
          <w:sz w:val="16"/>
          <w:szCs w:val="16"/>
        </w:rPr>
        <w:t xml:space="preserve"> Apply for a registration to work with vulnerable people</w:t>
      </w:r>
      <w:r w:rsidR="00E646CC" w:rsidRPr="00FF0AE2">
        <w:rPr>
          <w:i/>
          <w:iCs/>
          <w:sz w:val="16"/>
          <w:szCs w:val="16"/>
        </w:rPr>
        <w:t>, &lt;</w:t>
      </w:r>
      <w:hyperlink r:id="rId17" w:anchor="fpo_fees" w:history="1">
        <w:r w:rsidR="00E646CC" w:rsidRPr="00FF0AE2">
          <w:rPr>
            <w:i/>
            <w:iCs/>
            <w:sz w:val="16"/>
            <w:szCs w:val="16"/>
          </w:rPr>
          <w:t>https://www.service.tas.gov.au/services/education-and-skills/working-with-vulnerable-people-including-children/apply-for-registration-to-work-with-vulnerable-people#fpo_fees</w:t>
        </w:r>
      </w:hyperlink>
      <w:r w:rsidR="00E646CC" w:rsidRPr="00FF0AE2">
        <w:rPr>
          <w:i/>
          <w:iCs/>
          <w:sz w:val="16"/>
          <w:szCs w:val="16"/>
        </w:rPr>
        <w:t>&gt;.</w:t>
      </w:r>
    </w:p>
  </w:footnote>
  <w:footnote w:id="179">
    <w:p w14:paraId="2F169169" w14:textId="6F2B72AD" w:rsidR="004139D0" w:rsidRPr="00FF0AE2" w:rsidRDefault="004139D0">
      <w:pPr>
        <w:pStyle w:val="FootnoteText"/>
        <w:rPr>
          <w:i/>
          <w:iCs/>
          <w:sz w:val="16"/>
          <w:szCs w:val="16"/>
        </w:rPr>
      </w:pPr>
      <w:r w:rsidRPr="00FF0AE2">
        <w:rPr>
          <w:i/>
          <w:iCs/>
          <w:sz w:val="16"/>
          <w:szCs w:val="16"/>
        </w:rPr>
        <w:footnoteRef/>
      </w:r>
      <w:r w:rsidRPr="00FF0AE2">
        <w:rPr>
          <w:i/>
          <w:iCs/>
          <w:sz w:val="16"/>
          <w:szCs w:val="16"/>
        </w:rPr>
        <w:t xml:space="preserve"> </w:t>
      </w:r>
      <w:r w:rsidR="006A4F84" w:rsidRPr="00FF0AE2">
        <w:rPr>
          <w:i/>
          <w:iCs/>
          <w:sz w:val="16"/>
          <w:szCs w:val="16"/>
        </w:rPr>
        <w:t>Access Canberra (n.d)</w:t>
      </w:r>
      <w:r w:rsidR="00E646CC" w:rsidRPr="00FF0AE2">
        <w:rPr>
          <w:i/>
          <w:iCs/>
          <w:sz w:val="16"/>
          <w:szCs w:val="16"/>
        </w:rPr>
        <w:t>,</w:t>
      </w:r>
      <w:r w:rsidR="006A4F84" w:rsidRPr="00FF0AE2">
        <w:rPr>
          <w:i/>
          <w:iCs/>
          <w:sz w:val="16"/>
          <w:szCs w:val="16"/>
        </w:rPr>
        <w:t xml:space="preserve"> Apply for or renew a WWVP registration</w:t>
      </w:r>
      <w:r w:rsidR="00E646CC" w:rsidRPr="00FF0AE2">
        <w:rPr>
          <w:i/>
          <w:iCs/>
          <w:sz w:val="16"/>
          <w:szCs w:val="16"/>
        </w:rPr>
        <w:t>, &lt;</w:t>
      </w:r>
      <w:hyperlink r:id="rId18" w:anchor=":~:text=If%20you're%20seeking%20WWVP,payment%20by%20VISA%20or%20MasterCard" w:history="1">
        <w:r w:rsidR="003773F0" w:rsidRPr="00FF0AE2">
          <w:rPr>
            <w:i/>
            <w:iCs/>
            <w:sz w:val="16"/>
            <w:szCs w:val="16"/>
          </w:rPr>
          <w:t>https://www.accesscanberra.act.gov.au/business-and-work/working-with-vulnerable-people/apply-for-or-renew-a-wwvp-registration#:~:text=If%20you're%20seeking%20WWVP,payment%20by%20VISA%20or%20MasterCard</w:t>
        </w:r>
      </w:hyperlink>
      <w:r w:rsidR="00E646CC" w:rsidRPr="00FF0AE2">
        <w:rPr>
          <w:i/>
          <w:iCs/>
          <w:sz w:val="16"/>
          <w:szCs w:val="16"/>
        </w:rPr>
        <w:t>&gt;</w:t>
      </w:r>
      <w:r w:rsidR="003773F0" w:rsidRPr="00FF0AE2">
        <w:rPr>
          <w:i/>
          <w:iCs/>
          <w:sz w:val="16"/>
          <w:szCs w:val="16"/>
        </w:rPr>
        <w:t xml:space="preserve">. </w:t>
      </w:r>
    </w:p>
  </w:footnote>
  <w:footnote w:id="180">
    <w:p w14:paraId="252499DE" w14:textId="0A54B163" w:rsidR="00CC1C9D" w:rsidRPr="00AE2131" w:rsidRDefault="00CC1C9D">
      <w:pPr>
        <w:pStyle w:val="FootnoteText"/>
        <w:rPr>
          <w:lang w:val="en-US"/>
        </w:rPr>
      </w:pPr>
      <w:r w:rsidRPr="00FF0AE2">
        <w:rPr>
          <w:i/>
          <w:iCs/>
          <w:sz w:val="16"/>
          <w:szCs w:val="16"/>
        </w:rPr>
        <w:footnoteRef/>
      </w:r>
      <w:r w:rsidRPr="00FF0AE2">
        <w:rPr>
          <w:i/>
          <w:iCs/>
          <w:sz w:val="16"/>
          <w:szCs w:val="16"/>
        </w:rPr>
        <w:t xml:space="preserve"> NT Government (2025)</w:t>
      </w:r>
      <w:r w:rsidR="00E646CC" w:rsidRPr="00FF0AE2">
        <w:rPr>
          <w:i/>
          <w:iCs/>
          <w:sz w:val="16"/>
          <w:szCs w:val="16"/>
        </w:rPr>
        <w:t>,</w:t>
      </w:r>
      <w:r w:rsidRPr="00FF0AE2">
        <w:rPr>
          <w:i/>
          <w:iCs/>
          <w:sz w:val="16"/>
          <w:szCs w:val="16"/>
        </w:rPr>
        <w:t xml:space="preserve"> Working with children clearance: apply and renew</w:t>
      </w:r>
      <w:r w:rsidR="00E646CC" w:rsidRPr="00FF0AE2">
        <w:rPr>
          <w:i/>
          <w:iCs/>
          <w:sz w:val="16"/>
          <w:szCs w:val="16"/>
        </w:rPr>
        <w:t>, &lt;</w:t>
      </w:r>
      <w:hyperlink r:id="rId19" w:anchor=":~:text=To%20work%20or%20volunteer%20with,%248%20%2D%20if%20volunteering" w:history="1">
        <w:r w:rsidR="008D683A" w:rsidRPr="00FF0AE2">
          <w:rPr>
            <w:i/>
            <w:iCs/>
            <w:sz w:val="16"/>
            <w:szCs w:val="16"/>
          </w:rPr>
          <w:t>https://nt.gov.au/emergency/child-safety/apply-for-a-working-with-children-clearance#:~:text=To%20work%20or%20volunteer%20with,%248%20%2D%20if%20volunteering</w:t>
        </w:r>
      </w:hyperlink>
      <w:r w:rsidR="00E646CC" w:rsidRPr="00FF0AE2">
        <w:rPr>
          <w:i/>
          <w:iCs/>
          <w:sz w:val="16"/>
          <w:szCs w:val="16"/>
        </w:rPr>
        <w:t>&gt;.</w:t>
      </w:r>
    </w:p>
  </w:footnote>
  <w:footnote w:id="181">
    <w:p w14:paraId="5B7A62B4" w14:textId="32AC6E88"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NSW Office of the Children’s Guardian (2024), Who needs a Check, &lt;</w:t>
      </w:r>
      <w:hyperlink r:id="rId20" w:history="1">
        <w:r w:rsidRPr="00FF0AE2">
          <w:rPr>
            <w:i/>
            <w:iCs/>
            <w:sz w:val="16"/>
            <w:szCs w:val="16"/>
          </w:rPr>
          <w:t>https:// ocg.nsw.gov.au/working-children-check/who-needs-check</w:t>
        </w:r>
      </w:hyperlink>
      <w:r w:rsidRPr="00FF0AE2">
        <w:rPr>
          <w:i/>
          <w:iCs/>
          <w:sz w:val="16"/>
          <w:szCs w:val="16"/>
        </w:rPr>
        <w:t>&gt;.</w:t>
      </w:r>
    </w:p>
  </w:footnote>
  <w:footnote w:id="182">
    <w:p w14:paraId="01296D9C" w14:textId="3560DD45"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Ibid. </w:t>
      </w:r>
    </w:p>
  </w:footnote>
  <w:footnote w:id="183">
    <w:p w14:paraId="2D5EA176" w14:textId="0E000DD9"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Ibid. </w:t>
      </w:r>
    </w:p>
  </w:footnote>
  <w:footnote w:id="184">
    <w:p w14:paraId="2264F0A8" w14:textId="0E8CFA23"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NSW Government (2025), </w:t>
      </w:r>
      <w:r w:rsidR="00712A0C">
        <w:rPr>
          <w:i/>
          <w:iCs/>
          <w:sz w:val="16"/>
          <w:szCs w:val="16"/>
        </w:rPr>
        <w:t>Teacher Accreditation</w:t>
      </w:r>
      <w:r w:rsidRPr="00FF0AE2">
        <w:rPr>
          <w:i/>
          <w:iCs/>
          <w:sz w:val="16"/>
          <w:szCs w:val="16"/>
        </w:rPr>
        <w:t>, &lt;</w:t>
      </w:r>
      <w:r w:rsidR="00712A0C" w:rsidRPr="00712A0C">
        <w:rPr>
          <w:i/>
          <w:iCs/>
          <w:sz w:val="16"/>
          <w:szCs w:val="16"/>
        </w:rPr>
        <w:t>https://www.nsw.gov.au/education-and-training/nesa/teacher-accreditation</w:t>
      </w:r>
      <w:r w:rsidRPr="00FF0AE2">
        <w:rPr>
          <w:i/>
          <w:iCs/>
          <w:sz w:val="16"/>
          <w:szCs w:val="16"/>
        </w:rPr>
        <w:t xml:space="preserve">&gt;. </w:t>
      </w:r>
    </w:p>
  </w:footnote>
  <w:footnote w:id="185">
    <w:p w14:paraId="64380406" w14:textId="5164D86C"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NSW Government (2025), Working with Children Check, &lt;</w:t>
      </w:r>
      <w:r w:rsidR="00FA74FB" w:rsidRPr="00FA74FB">
        <w:rPr>
          <w:i/>
          <w:iCs/>
          <w:sz w:val="16"/>
          <w:szCs w:val="16"/>
        </w:rPr>
        <w:t>https://ocg.nsw.gov.au/working-children-check</w:t>
      </w:r>
      <w:r w:rsidRPr="00FF0AE2">
        <w:rPr>
          <w:i/>
          <w:iCs/>
          <w:sz w:val="16"/>
          <w:szCs w:val="16"/>
        </w:rPr>
        <w:t>&gt;.</w:t>
      </w:r>
    </w:p>
  </w:footnote>
  <w:footnote w:id="186">
    <w:p w14:paraId="18FA9850" w14:textId="469D72D3"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Victorian Government (2025), Do I need a Working with Children Check? &lt;</w:t>
      </w:r>
      <w:r w:rsidR="009D6BDB" w:rsidRPr="009D6BDB">
        <w:rPr>
          <w:i/>
          <w:iCs/>
          <w:sz w:val="16"/>
          <w:szCs w:val="16"/>
        </w:rPr>
        <w:t>https://www.vic.gov.au/do-i-need-check</w:t>
      </w:r>
      <w:r w:rsidR="009D6BDB">
        <w:rPr>
          <w:i/>
          <w:iCs/>
          <w:sz w:val="16"/>
          <w:szCs w:val="16"/>
        </w:rPr>
        <w:t>&gt;.</w:t>
      </w:r>
    </w:p>
  </w:footnote>
  <w:footnote w:id="187">
    <w:p w14:paraId="1F3F3561" w14:textId="5DE2231B"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w:t>
      </w:r>
      <w:r w:rsidR="009D6BDB">
        <w:rPr>
          <w:i/>
          <w:iCs/>
          <w:sz w:val="16"/>
          <w:szCs w:val="16"/>
        </w:rPr>
        <w:t>Ibid</w:t>
      </w:r>
    </w:p>
  </w:footnote>
  <w:footnote w:id="188">
    <w:p w14:paraId="56EF7AE7" w14:textId="4769AABC" w:rsidR="009A0C58" w:rsidRPr="00756AD0" w:rsidRDefault="009A0C58" w:rsidP="00A8507E">
      <w:pPr>
        <w:pStyle w:val="FootnoteText"/>
        <w:rPr>
          <w:sz w:val="22"/>
          <w:szCs w:val="22"/>
          <w:lang w:val="en-US"/>
        </w:rPr>
      </w:pPr>
      <w:r w:rsidRPr="00FF0AE2">
        <w:rPr>
          <w:i/>
          <w:iCs/>
          <w:sz w:val="16"/>
          <w:szCs w:val="16"/>
        </w:rPr>
        <w:footnoteRef/>
      </w:r>
      <w:r w:rsidRPr="00FF0AE2">
        <w:rPr>
          <w:i/>
          <w:iCs/>
          <w:sz w:val="16"/>
          <w:szCs w:val="16"/>
        </w:rPr>
        <w:t xml:space="preserve"> Victorian Government (2025), Legal Obligations of organisations re Working with Children Check, &lt;</w:t>
      </w:r>
      <w:r w:rsidR="0059379E" w:rsidRPr="0059379E">
        <w:rPr>
          <w:i/>
          <w:iCs/>
          <w:sz w:val="16"/>
          <w:szCs w:val="16"/>
        </w:rPr>
        <w:t>https://www.vic.gov.au/legal-obligations-organisations</w:t>
      </w:r>
      <w:r w:rsidRPr="00FF0AE2">
        <w:rPr>
          <w:i/>
          <w:iCs/>
          <w:sz w:val="16"/>
          <w:szCs w:val="16"/>
        </w:rPr>
        <w:t>&gt;.</w:t>
      </w:r>
    </w:p>
  </w:footnote>
  <w:footnote w:id="189">
    <w:p w14:paraId="3C4ADC01" w14:textId="1D48CE32"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Ibid. </w:t>
      </w:r>
    </w:p>
  </w:footnote>
  <w:footnote w:id="190">
    <w:p w14:paraId="6C49E7E5" w14:textId="3BC7C5AA"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Queensland Government (2025), Individuals requiring a blue card, &lt;</w:t>
      </w:r>
      <w:r w:rsidR="00D22F7A" w:rsidRPr="00D22F7A">
        <w:rPr>
          <w:i/>
          <w:iCs/>
          <w:sz w:val="16"/>
          <w:szCs w:val="16"/>
        </w:rPr>
        <w:t>https://www.qld.gov.au/law/laws-regulated-industries-and-accountability/queensland-laws-and-regulations/regulated-industries-and-licensing/blue-card/required/individuals</w:t>
      </w:r>
      <w:r w:rsidRPr="00FF0AE2">
        <w:rPr>
          <w:i/>
          <w:iCs/>
          <w:sz w:val="16"/>
          <w:szCs w:val="16"/>
        </w:rPr>
        <w:t>&gt;.</w:t>
      </w:r>
    </w:p>
  </w:footnote>
  <w:footnote w:id="191">
    <w:p w14:paraId="193A5882" w14:textId="27AA144E"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Queensland Government (2025), Blue cards for young people, &lt;</w:t>
      </w:r>
      <w:hyperlink r:id="rId21" w:history="1">
        <w:r w:rsidRPr="00FF0AE2">
          <w:rPr>
            <w:i/>
            <w:iCs/>
            <w:sz w:val="16"/>
            <w:szCs w:val="16"/>
          </w:rPr>
          <w:t>https:// www.qld.gov.au/law/laws-regulated-industries-and-accountability/queensland-laws-and-regulations/regulated-industries-and-licensing/blue-card/required/industries/young-people</w:t>
        </w:r>
      </w:hyperlink>
      <w:r w:rsidRPr="00FF0AE2">
        <w:rPr>
          <w:i/>
          <w:iCs/>
          <w:sz w:val="16"/>
          <w:szCs w:val="16"/>
        </w:rPr>
        <w:t>&gt;.</w:t>
      </w:r>
    </w:p>
  </w:footnote>
  <w:footnote w:id="192">
    <w:p w14:paraId="6E623AB5" w14:textId="79F6DCA7"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Australian Business Licence and Information Service (2025), Working with children card (blue card) – Queensland, &lt;</w:t>
      </w:r>
      <w:r w:rsidR="009150F4" w:rsidRPr="009150F4">
        <w:rPr>
          <w:i/>
          <w:iCs/>
          <w:sz w:val="16"/>
          <w:szCs w:val="16"/>
        </w:rPr>
        <w:t>https:// ablis.business.gov.au/service/qld/blue-card-system-for-child-related-employment-and-businesses-also-known-as-the-working-with-children-check/4234</w:t>
      </w:r>
      <w:r w:rsidRPr="00FF0AE2">
        <w:rPr>
          <w:i/>
          <w:iCs/>
          <w:sz w:val="16"/>
          <w:szCs w:val="16"/>
        </w:rPr>
        <w:t>&gt;.</w:t>
      </w:r>
    </w:p>
  </w:footnote>
  <w:footnote w:id="193">
    <w:p w14:paraId="49731688" w14:textId="1FAB429A"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Queensland Government (2025), Become an early childhood teacher, &lt;</w:t>
      </w:r>
      <w:hyperlink r:id="rId22" w:anchor=":~:text=and%20industry%20news.-,Registration,childhood%20education%20and%20care%20qualification" w:history="1">
        <w:r w:rsidRPr="00FF0AE2">
          <w:rPr>
            <w:i/>
            <w:iCs/>
            <w:sz w:val="16"/>
            <w:szCs w:val="16"/>
          </w:rPr>
          <w:t>https:// www.qld.gov.au/education/jobs/teacher/childhood#:~:text=and%20industry%20news.-,Registration,childhood%20education%20and%20care%20qualification</w:t>
        </w:r>
      </w:hyperlink>
      <w:r w:rsidRPr="00FF0AE2">
        <w:rPr>
          <w:i/>
          <w:iCs/>
          <w:sz w:val="16"/>
          <w:szCs w:val="16"/>
        </w:rPr>
        <w:t xml:space="preserve">&gt;. </w:t>
      </w:r>
    </w:p>
  </w:footnote>
  <w:footnote w:id="194">
    <w:p w14:paraId="5F344515" w14:textId="0E7BE0F7" w:rsidR="009A0C58" w:rsidRPr="00756AD0" w:rsidRDefault="009A0C58" w:rsidP="00A8507E">
      <w:pPr>
        <w:pStyle w:val="FootnoteText"/>
        <w:rPr>
          <w:sz w:val="18"/>
          <w:szCs w:val="18"/>
          <w:lang w:val="en-US"/>
        </w:rPr>
      </w:pPr>
      <w:r w:rsidRPr="00FF0AE2">
        <w:rPr>
          <w:i/>
          <w:iCs/>
          <w:sz w:val="16"/>
          <w:szCs w:val="16"/>
        </w:rPr>
        <w:footnoteRef/>
      </w:r>
      <w:r w:rsidRPr="00FF0AE2">
        <w:rPr>
          <w:i/>
          <w:iCs/>
          <w:sz w:val="16"/>
          <w:szCs w:val="16"/>
        </w:rPr>
        <w:t xml:space="preserve"> QLD College of Teachers (2025), Blue Card and Exemption Card, &lt;</w:t>
      </w:r>
      <w:r w:rsidR="00B91A6A" w:rsidRPr="00B91A6A">
        <w:rPr>
          <w:i/>
          <w:iCs/>
          <w:sz w:val="16"/>
          <w:szCs w:val="16"/>
        </w:rPr>
        <w:t>https://www.qct.edu.au/registration/blue-card</w:t>
      </w:r>
      <w:r w:rsidRPr="00FF0AE2">
        <w:rPr>
          <w:i/>
          <w:iCs/>
          <w:sz w:val="16"/>
          <w:szCs w:val="16"/>
        </w:rPr>
        <w:t>&gt;.</w:t>
      </w:r>
      <w:r w:rsidRPr="00756AD0">
        <w:rPr>
          <w:sz w:val="18"/>
          <w:szCs w:val="18"/>
        </w:rPr>
        <w:t xml:space="preserve"> </w:t>
      </w:r>
    </w:p>
  </w:footnote>
  <w:footnote w:id="195">
    <w:p w14:paraId="734B231F" w14:textId="41722598"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Government of WA (2025), Working with Children Check – Who needs a WWC Check? &lt;</w:t>
      </w:r>
      <w:r w:rsidR="001B5114" w:rsidRPr="001B5114">
        <w:rPr>
          <w:i/>
          <w:iCs/>
          <w:sz w:val="16"/>
          <w:szCs w:val="16"/>
        </w:rPr>
        <w:t>https://www.wa.gov.au/organisation/department-of-communities/working-children-check-who-needs-wwc-check</w:t>
      </w:r>
      <w:r w:rsidR="001B5114">
        <w:rPr>
          <w:i/>
          <w:iCs/>
          <w:sz w:val="16"/>
          <w:szCs w:val="16"/>
        </w:rPr>
        <w:t>&gt;</w:t>
      </w:r>
      <w:r w:rsidRPr="00FF0AE2">
        <w:rPr>
          <w:i/>
          <w:iCs/>
          <w:sz w:val="16"/>
          <w:szCs w:val="16"/>
        </w:rPr>
        <w:t>.</w:t>
      </w:r>
    </w:p>
  </w:footnote>
  <w:footnote w:id="196">
    <w:p w14:paraId="248F5D11" w14:textId="3CDC23B9"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Ibid. </w:t>
      </w:r>
    </w:p>
  </w:footnote>
  <w:footnote w:id="197">
    <w:p w14:paraId="2AF211F2" w14:textId="53190518"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Western Australian Department of Education (n.d), Working with Children Check, &lt;</w:t>
      </w:r>
      <w:r w:rsidR="00D03D35" w:rsidRPr="00D03D35">
        <w:rPr>
          <w:i/>
          <w:iCs/>
          <w:sz w:val="16"/>
          <w:szCs w:val="16"/>
        </w:rPr>
        <w:t>https://www.wa.gov.au/organisation/department-of-communities/working-children-check</w:t>
      </w:r>
      <w:r w:rsidRPr="00FF0AE2">
        <w:rPr>
          <w:i/>
          <w:iCs/>
          <w:sz w:val="16"/>
          <w:szCs w:val="16"/>
        </w:rPr>
        <w:t xml:space="preserve">&gt;. </w:t>
      </w:r>
    </w:p>
  </w:footnote>
  <w:footnote w:id="198">
    <w:p w14:paraId="23A7304E" w14:textId="01E55180"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Teacher Registration Board of WA (2025), Teaching in a centre-based education and care service, &lt;</w:t>
      </w:r>
      <w:r w:rsidR="009150F4" w:rsidRPr="009150F4">
        <w:rPr>
          <w:i/>
          <w:iCs/>
          <w:sz w:val="16"/>
          <w:szCs w:val="16"/>
        </w:rPr>
        <w:t>https:// www.trb.wa.gov.au/Teacher-Registration/Becoming-registered/Early-childhood</w:t>
      </w:r>
      <w:r w:rsidRPr="00FF0AE2">
        <w:rPr>
          <w:i/>
          <w:iCs/>
          <w:sz w:val="16"/>
          <w:szCs w:val="16"/>
        </w:rPr>
        <w:t xml:space="preserve">&gt;. </w:t>
      </w:r>
    </w:p>
  </w:footnote>
  <w:footnote w:id="199">
    <w:p w14:paraId="5FF4ED6F" w14:textId="453A407B"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Western Australian Department of Education (2023), Working with Children Checks in Department of Education Sites Policy, &lt;</w:t>
      </w:r>
      <w:hyperlink r:id="rId23" w:history="1">
        <w:r w:rsidRPr="00FF0AE2">
          <w:rPr>
            <w:i/>
            <w:iCs/>
            <w:sz w:val="16"/>
            <w:szCs w:val="16"/>
          </w:rPr>
          <w:t>https:// www.education.wa.edu.au/web/policies/-/working-with-children-checks-in-department-of-education-sites-policy</w:t>
        </w:r>
      </w:hyperlink>
      <w:r w:rsidRPr="00FF0AE2">
        <w:rPr>
          <w:i/>
          <w:iCs/>
          <w:sz w:val="16"/>
          <w:szCs w:val="16"/>
        </w:rPr>
        <w:t>&gt;.</w:t>
      </w:r>
    </w:p>
  </w:footnote>
  <w:footnote w:id="200">
    <w:p w14:paraId="5245B801" w14:textId="67911AD1"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South Australian Government (2025), Who needs a Working with Children Check? &lt;</w:t>
      </w:r>
      <w:r w:rsidR="00D03D35" w:rsidRPr="00D03D35">
        <w:rPr>
          <w:i/>
          <w:iCs/>
          <w:sz w:val="16"/>
          <w:szCs w:val="16"/>
        </w:rPr>
        <w:t>https:// www.sa.gov.au/topics/rights-and-law/rights-and-responsibilities/screening-checks/screening-wwcc/who-needs-a-working-with-children-checky</w:t>
      </w:r>
      <w:r w:rsidRPr="00FF0AE2">
        <w:rPr>
          <w:i/>
          <w:iCs/>
          <w:sz w:val="16"/>
          <w:szCs w:val="16"/>
        </w:rPr>
        <w:t xml:space="preserve">&gt;. </w:t>
      </w:r>
    </w:p>
  </w:footnote>
  <w:footnote w:id="201">
    <w:p w14:paraId="57B0E1CB" w14:textId="44BEA21C"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South Australian Government (2025), Working with Children Checks, &lt;</w:t>
      </w:r>
      <w:r w:rsidR="008C6563" w:rsidRPr="008C6563">
        <w:rPr>
          <w:i/>
          <w:iCs/>
          <w:sz w:val="16"/>
          <w:szCs w:val="16"/>
        </w:rPr>
        <w:t>https://www.sa.gov.au/topics/rights-and-law/rights-and-responsibilities/screening-checks/screening-wwcc</w:t>
      </w:r>
      <w:r w:rsidRPr="00FF0AE2">
        <w:rPr>
          <w:i/>
          <w:iCs/>
          <w:sz w:val="16"/>
          <w:szCs w:val="16"/>
        </w:rPr>
        <w:t xml:space="preserve">&gt;. </w:t>
      </w:r>
    </w:p>
  </w:footnote>
  <w:footnote w:id="202">
    <w:p w14:paraId="37D30402" w14:textId="605DF25F"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Education Standards Board SA (2023), Early childhood teacher requirements, &lt;</w:t>
      </w:r>
      <w:r w:rsidR="009D35B3" w:rsidRPr="009D35B3">
        <w:rPr>
          <w:i/>
          <w:iCs/>
          <w:sz w:val="16"/>
          <w:szCs w:val="16"/>
        </w:rPr>
        <w:t>https://www.esb.sa.gov.au/advice-and-guidance/early-childhood-teacher-requirements</w:t>
      </w:r>
      <w:r w:rsidR="009D35B3">
        <w:rPr>
          <w:i/>
          <w:iCs/>
          <w:sz w:val="16"/>
          <w:szCs w:val="16"/>
        </w:rPr>
        <w:t>&gt;.</w:t>
      </w:r>
    </w:p>
  </w:footnote>
  <w:footnote w:id="203">
    <w:p w14:paraId="354DA3B5" w14:textId="6C5DC31D" w:rsidR="009A0C58" w:rsidRPr="008B01DF" w:rsidRDefault="009A0C58" w:rsidP="00A8507E">
      <w:pPr>
        <w:pStyle w:val="FootnoteText"/>
        <w:rPr>
          <w:sz w:val="22"/>
          <w:szCs w:val="22"/>
          <w:lang w:val="en-US"/>
        </w:rPr>
      </w:pPr>
      <w:r w:rsidRPr="00FF0AE2">
        <w:rPr>
          <w:i/>
          <w:iCs/>
          <w:sz w:val="16"/>
          <w:szCs w:val="16"/>
        </w:rPr>
        <w:footnoteRef/>
      </w:r>
      <w:r w:rsidRPr="00FF0AE2">
        <w:rPr>
          <w:i/>
          <w:iCs/>
          <w:sz w:val="16"/>
          <w:szCs w:val="16"/>
        </w:rPr>
        <w:t xml:space="preserve"> Teachers Registration Board of SA (n.d), Working With Children Checks, &lt;</w:t>
      </w:r>
      <w:r w:rsidR="003D0527" w:rsidRPr="003D0527">
        <w:rPr>
          <w:i/>
          <w:iCs/>
          <w:sz w:val="16"/>
          <w:szCs w:val="16"/>
        </w:rPr>
        <w:t>https://www.trb.sa.edu.au/home/working-with-children-check</w:t>
      </w:r>
      <w:r w:rsidR="003D0527">
        <w:rPr>
          <w:i/>
          <w:iCs/>
          <w:sz w:val="16"/>
          <w:szCs w:val="16"/>
        </w:rPr>
        <w:t>s</w:t>
      </w:r>
      <w:r w:rsidRPr="00FF0AE2">
        <w:rPr>
          <w:i/>
          <w:iCs/>
          <w:sz w:val="16"/>
          <w:szCs w:val="16"/>
        </w:rPr>
        <w:t>&gt;.</w:t>
      </w:r>
      <w:r w:rsidRPr="008B01DF">
        <w:rPr>
          <w:sz w:val="18"/>
          <w:szCs w:val="18"/>
        </w:rPr>
        <w:t xml:space="preserve"> </w:t>
      </w:r>
    </w:p>
  </w:footnote>
  <w:footnote w:id="204">
    <w:p w14:paraId="7E8E2E91" w14:textId="64131C08"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Australian National Character Check (2025), Working with Vulnerable People check (WWVP) requirements across Australia, &lt;</w:t>
      </w:r>
      <w:r w:rsidR="00301236" w:rsidRPr="00301236">
        <w:rPr>
          <w:i/>
          <w:iCs/>
          <w:sz w:val="16"/>
          <w:szCs w:val="16"/>
        </w:rPr>
        <w:t>https://www.australiannationalcharactercheck.com.au/working-with-vulnerable-people-registration.html?srsltid=AfmBOopNFfsxKfY2q1dKmHj6rzgMtwwXFW54P6ao65YnGyiTaRmevg-v</w:t>
      </w:r>
      <w:r w:rsidRPr="00FF0AE2">
        <w:rPr>
          <w:i/>
          <w:iCs/>
          <w:sz w:val="16"/>
          <w:szCs w:val="16"/>
        </w:rPr>
        <w:t>&gt;.</w:t>
      </w:r>
    </w:p>
  </w:footnote>
  <w:footnote w:id="205">
    <w:p w14:paraId="2F9D6C62" w14:textId="36260F26"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Department of Education (n.d), Requirements for registration to work with vulnerable people when working in the Education and Care sector in Tasmania, &lt;</w:t>
      </w:r>
      <w:hyperlink r:id="rId24" w:history="1">
        <w:r w:rsidRPr="00FF0AE2">
          <w:rPr>
            <w:i/>
            <w:iCs/>
            <w:sz w:val="16"/>
            <w:szCs w:val="16"/>
          </w:rPr>
          <w:t>https:// publicdocumentcentre.education.tas.gov.au/library/Shared%20Documents/Information-Sheet-Working-With-Vulnerable-People.pdf</w:t>
        </w:r>
      </w:hyperlink>
      <w:r w:rsidRPr="00FF0AE2">
        <w:rPr>
          <w:i/>
          <w:iCs/>
          <w:sz w:val="16"/>
          <w:szCs w:val="16"/>
        </w:rPr>
        <w:t xml:space="preserve">&gt;. </w:t>
      </w:r>
    </w:p>
  </w:footnote>
  <w:footnote w:id="206">
    <w:p w14:paraId="4553C13F" w14:textId="4C273958"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Teacher Registration Board TAS (n.d.), Types of Registration, &lt;</w:t>
      </w:r>
      <w:r w:rsidR="00172FE1" w:rsidRPr="00172FE1">
        <w:rPr>
          <w:i/>
          <w:iCs/>
          <w:sz w:val="16"/>
          <w:szCs w:val="16"/>
        </w:rPr>
        <w:t>https:// trb.tas.gov.au/types-of-registration/</w:t>
      </w:r>
      <w:r w:rsidRPr="00FF0AE2">
        <w:rPr>
          <w:i/>
          <w:iCs/>
          <w:sz w:val="16"/>
          <w:szCs w:val="16"/>
        </w:rPr>
        <w:t>&gt;.</w:t>
      </w:r>
    </w:p>
  </w:footnote>
  <w:footnote w:id="207">
    <w:p w14:paraId="392958F7" w14:textId="33A88295"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Teacher Registration Board </w:t>
      </w:r>
      <w:r w:rsidR="004C1E9D" w:rsidRPr="00FF0AE2">
        <w:rPr>
          <w:i/>
          <w:iCs/>
          <w:sz w:val="16"/>
          <w:szCs w:val="16"/>
        </w:rPr>
        <w:t xml:space="preserve">TAS </w:t>
      </w:r>
      <w:r w:rsidRPr="00FF0AE2">
        <w:rPr>
          <w:i/>
          <w:iCs/>
          <w:sz w:val="16"/>
          <w:szCs w:val="16"/>
        </w:rPr>
        <w:t>(n.d), Registration to Work with Vulnerable People, &lt;</w:t>
      </w:r>
      <w:hyperlink r:id="rId25" w:history="1">
        <w:r w:rsidRPr="00FF0AE2">
          <w:rPr>
            <w:i/>
            <w:iCs/>
            <w:sz w:val="16"/>
            <w:szCs w:val="16"/>
          </w:rPr>
          <w:t>https:// trb.tas.gov.au/wp-content/uploads/2022/10/Update-your-TRB-record-with-your-Registration-to-Work-with-Vulnerable-People-details.pdf</w:t>
        </w:r>
      </w:hyperlink>
      <w:r w:rsidRPr="00FF0AE2">
        <w:rPr>
          <w:i/>
          <w:iCs/>
          <w:sz w:val="16"/>
          <w:szCs w:val="16"/>
        </w:rPr>
        <w:t xml:space="preserve">&gt;. </w:t>
      </w:r>
    </w:p>
  </w:footnote>
  <w:footnote w:id="208">
    <w:p w14:paraId="0246D5B9" w14:textId="17CFC807"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Access Canberra (n.d), Apply for or renew a WWVP registration, &lt;</w:t>
      </w:r>
      <w:r w:rsidR="0064171D" w:rsidRPr="0064171D">
        <w:rPr>
          <w:i/>
          <w:iCs/>
          <w:sz w:val="16"/>
          <w:szCs w:val="16"/>
        </w:rPr>
        <w:t>https://www.accesscanberra.act.gov.au/business-and-work/working-with-vulnerable-people/apply-for-or-renew-a-wwvp-registration</w:t>
      </w:r>
      <w:r w:rsidRPr="00FF0AE2">
        <w:rPr>
          <w:i/>
          <w:iCs/>
          <w:sz w:val="16"/>
          <w:szCs w:val="16"/>
        </w:rPr>
        <w:t xml:space="preserve">&gt;. </w:t>
      </w:r>
    </w:p>
  </w:footnote>
  <w:footnote w:id="209">
    <w:p w14:paraId="7281D373" w14:textId="4B1610F4"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ACT Government Justice and Community Safety (2015), A Guide to Working with vulnerable people in the </w:t>
      </w:r>
      <w:r w:rsidR="00A74DDC">
        <w:rPr>
          <w:i/>
          <w:iCs/>
          <w:sz w:val="16"/>
          <w:szCs w:val="16"/>
        </w:rPr>
        <w:t>ACT</w:t>
      </w:r>
      <w:r w:rsidRPr="00FF0AE2">
        <w:rPr>
          <w:i/>
          <w:iCs/>
          <w:sz w:val="16"/>
          <w:szCs w:val="16"/>
        </w:rPr>
        <w:t>, &lt;</w:t>
      </w:r>
      <w:r w:rsidR="00A74DDC" w:rsidRPr="00A74DDC">
        <w:rPr>
          <w:i/>
          <w:iCs/>
          <w:sz w:val="16"/>
          <w:szCs w:val="16"/>
        </w:rPr>
        <w:t>https://www.centresupport.com.au/wp-content/uploads/2020/06/Child-Protection-Guide-to-Working-with-Vulnerable-People-in-the-ACT.pdf</w:t>
      </w:r>
      <w:r w:rsidRPr="00FF0AE2">
        <w:rPr>
          <w:i/>
          <w:iCs/>
          <w:sz w:val="16"/>
          <w:szCs w:val="16"/>
        </w:rPr>
        <w:t xml:space="preserve">&gt;. </w:t>
      </w:r>
    </w:p>
  </w:footnote>
  <w:footnote w:id="210">
    <w:p w14:paraId="7999DA4A" w14:textId="28953696" w:rsidR="009A0C58" w:rsidRPr="00655D24" w:rsidRDefault="009A0C58" w:rsidP="00A8507E">
      <w:pPr>
        <w:pStyle w:val="FootnoteText"/>
        <w:rPr>
          <w:sz w:val="22"/>
          <w:szCs w:val="22"/>
          <w:lang w:val="en-US"/>
        </w:rPr>
      </w:pPr>
      <w:r w:rsidRPr="00FF0AE2">
        <w:rPr>
          <w:i/>
          <w:iCs/>
          <w:sz w:val="16"/>
          <w:szCs w:val="16"/>
        </w:rPr>
        <w:footnoteRef/>
      </w:r>
      <w:r w:rsidRPr="00FF0AE2">
        <w:rPr>
          <w:i/>
          <w:iCs/>
          <w:sz w:val="16"/>
          <w:szCs w:val="16"/>
        </w:rPr>
        <w:t xml:space="preserve"> </w:t>
      </w:r>
      <w:r w:rsidR="00172FE1">
        <w:rPr>
          <w:i/>
          <w:iCs/>
          <w:sz w:val="16"/>
          <w:szCs w:val="16"/>
        </w:rPr>
        <w:t xml:space="preserve">ACT </w:t>
      </w:r>
      <w:r w:rsidRPr="00FF0AE2">
        <w:rPr>
          <w:i/>
          <w:iCs/>
          <w:sz w:val="16"/>
          <w:szCs w:val="16"/>
        </w:rPr>
        <w:t>Teacher Quality Institute (2024), ECT Registration, &lt;</w:t>
      </w:r>
      <w:r w:rsidR="00172FE1" w:rsidRPr="00172FE1">
        <w:rPr>
          <w:i/>
          <w:iCs/>
          <w:sz w:val="16"/>
          <w:szCs w:val="16"/>
        </w:rPr>
        <w:t>https://www.tqi.act.edu.au/registration/ECT-registration</w:t>
      </w:r>
      <w:r w:rsidRPr="00FF0AE2">
        <w:rPr>
          <w:i/>
          <w:iCs/>
          <w:sz w:val="16"/>
          <w:szCs w:val="16"/>
        </w:rPr>
        <w:t>&gt;.</w:t>
      </w:r>
      <w:r w:rsidRPr="00655D24">
        <w:rPr>
          <w:sz w:val="18"/>
          <w:szCs w:val="18"/>
        </w:rPr>
        <w:t xml:space="preserve"> </w:t>
      </w:r>
    </w:p>
  </w:footnote>
  <w:footnote w:id="211">
    <w:p w14:paraId="1E582EDD" w14:textId="7F5BD914" w:rsidR="009A0C58" w:rsidRPr="00C61259" w:rsidRDefault="009A0C58" w:rsidP="00A8507E">
      <w:pPr>
        <w:pStyle w:val="FootnoteText"/>
        <w:rPr>
          <w:lang w:val="en-US"/>
        </w:rPr>
      </w:pPr>
      <w:r w:rsidRPr="00FF0AE2">
        <w:rPr>
          <w:i/>
          <w:iCs/>
          <w:sz w:val="16"/>
          <w:szCs w:val="16"/>
        </w:rPr>
        <w:footnoteRef/>
      </w:r>
      <w:r w:rsidRPr="00FF0AE2">
        <w:rPr>
          <w:i/>
          <w:iCs/>
          <w:sz w:val="16"/>
          <w:szCs w:val="16"/>
        </w:rPr>
        <w:t xml:space="preserve"> Teacher Quality Institute (n.d), Working with Vulnerable People (WWVP) Registration, &lt;</w:t>
      </w:r>
      <w:r w:rsidR="008D3528" w:rsidRPr="008D3528">
        <w:rPr>
          <w:i/>
          <w:iCs/>
          <w:sz w:val="16"/>
          <w:szCs w:val="16"/>
        </w:rPr>
        <w:t>https://www.tqi.act.edu.au/_nocache?a=2163357</w:t>
      </w:r>
      <w:r w:rsidRPr="00FF0AE2">
        <w:rPr>
          <w:i/>
          <w:iCs/>
          <w:sz w:val="16"/>
          <w:szCs w:val="16"/>
        </w:rPr>
        <w:t>&gt;.</w:t>
      </w:r>
      <w:r w:rsidRPr="00655D24">
        <w:rPr>
          <w:sz w:val="18"/>
          <w:szCs w:val="18"/>
        </w:rPr>
        <w:t xml:space="preserve"> </w:t>
      </w:r>
    </w:p>
  </w:footnote>
  <w:footnote w:id="212">
    <w:p w14:paraId="380A9001" w14:textId="48114C61"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NT Government (2025</w:t>
      </w:r>
      <w:r w:rsidR="005563D3">
        <w:rPr>
          <w:i/>
          <w:iCs/>
          <w:sz w:val="16"/>
          <w:szCs w:val="16"/>
        </w:rPr>
        <w:t>)</w:t>
      </w:r>
      <w:r w:rsidRPr="00FF0AE2">
        <w:rPr>
          <w:i/>
          <w:iCs/>
          <w:sz w:val="16"/>
          <w:szCs w:val="16"/>
        </w:rPr>
        <w:t>, Working with children clearance: before you apply, &lt;</w:t>
      </w:r>
      <w:hyperlink r:id="rId26" w:history="1">
        <w:r w:rsidRPr="00FF0AE2">
          <w:rPr>
            <w:i/>
            <w:iCs/>
            <w:sz w:val="16"/>
            <w:szCs w:val="16"/>
          </w:rPr>
          <w:t>https:// nt.gov.au/emergency/child-safety/working-with-children-clearance-before-you-apply</w:t>
        </w:r>
      </w:hyperlink>
      <w:r w:rsidRPr="00FF0AE2">
        <w:rPr>
          <w:i/>
          <w:iCs/>
          <w:sz w:val="16"/>
          <w:szCs w:val="16"/>
        </w:rPr>
        <w:t>&gt;.</w:t>
      </w:r>
    </w:p>
  </w:footnote>
  <w:footnote w:id="213">
    <w:p w14:paraId="0843474A" w14:textId="48A50CE9"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Ibid. </w:t>
      </w:r>
    </w:p>
  </w:footnote>
  <w:footnote w:id="214">
    <w:p w14:paraId="18129BF4" w14:textId="01A3C423" w:rsidR="009A0C58" w:rsidRPr="00FF0AE2" w:rsidRDefault="009A0C58" w:rsidP="00A8507E">
      <w:pPr>
        <w:pStyle w:val="FootnoteText"/>
        <w:rPr>
          <w:i/>
          <w:iCs/>
          <w:sz w:val="16"/>
          <w:szCs w:val="16"/>
        </w:rPr>
      </w:pPr>
      <w:r w:rsidRPr="00FF0AE2">
        <w:rPr>
          <w:i/>
          <w:iCs/>
          <w:sz w:val="16"/>
          <w:szCs w:val="16"/>
        </w:rPr>
        <w:footnoteRef/>
      </w:r>
      <w:r w:rsidRPr="00FF0AE2">
        <w:rPr>
          <w:i/>
          <w:iCs/>
          <w:sz w:val="16"/>
          <w:szCs w:val="16"/>
        </w:rPr>
        <w:t xml:space="preserve"> NT Government (n.d), Early Childhood Teacher Registration in the NT, &lt;</w:t>
      </w:r>
      <w:r w:rsidR="008D3528" w:rsidRPr="008D3528">
        <w:rPr>
          <w:i/>
          <w:iCs/>
          <w:sz w:val="16"/>
          <w:szCs w:val="16"/>
        </w:rPr>
        <w:t>https:// haveyoursay.nt.gov.au/early-childhood-teacher-registration-in-the-nt</w:t>
      </w:r>
      <w:r w:rsidRPr="00FF0AE2">
        <w:rPr>
          <w:i/>
          <w:iCs/>
          <w:sz w:val="16"/>
          <w:szCs w:val="16"/>
        </w:rPr>
        <w:t xml:space="preserve">&gt;. </w:t>
      </w:r>
    </w:p>
  </w:footnote>
  <w:footnote w:id="215">
    <w:p w14:paraId="1CF5B0B7" w14:textId="02A82D8A" w:rsidR="009A0C58" w:rsidRPr="0017276A" w:rsidRDefault="009A0C58" w:rsidP="00A8507E">
      <w:pPr>
        <w:pStyle w:val="FootnoteText"/>
        <w:rPr>
          <w:lang w:val="en-US"/>
        </w:rPr>
      </w:pPr>
      <w:r w:rsidRPr="00FF0AE2">
        <w:rPr>
          <w:i/>
          <w:iCs/>
          <w:sz w:val="16"/>
          <w:szCs w:val="16"/>
        </w:rPr>
        <w:footnoteRef/>
      </w:r>
      <w:r w:rsidRPr="00FF0AE2">
        <w:rPr>
          <w:i/>
          <w:iCs/>
          <w:sz w:val="16"/>
          <w:szCs w:val="16"/>
        </w:rPr>
        <w:t xml:space="preserve"> NT Department of Education and Training (2025), Working with children clearance, &lt;</w:t>
      </w:r>
      <w:r w:rsidR="008D3528" w:rsidRPr="008D3528">
        <w:rPr>
          <w:i/>
          <w:iCs/>
          <w:sz w:val="16"/>
          <w:szCs w:val="16"/>
        </w:rPr>
        <w:t>https:// education.nt.gov.au/careers-in-education/working-with-children-clearance</w:t>
      </w:r>
      <w:r w:rsidRPr="00FF0AE2">
        <w:rPr>
          <w:i/>
          <w:iCs/>
          <w:sz w:val="16"/>
          <w:szCs w:val="16"/>
        </w:rPr>
        <w:t>&gt;.</w:t>
      </w:r>
      <w:r w:rsidRPr="00082333">
        <w:rPr>
          <w:sz w:val="18"/>
          <w:szCs w:val="18"/>
        </w:rPr>
        <w:t xml:space="preserve"> </w:t>
      </w:r>
    </w:p>
  </w:footnote>
  <w:footnote w:id="216">
    <w:p w14:paraId="61208238" w14:textId="6160C876" w:rsidR="00F00A67" w:rsidRPr="00636528" w:rsidRDefault="00F00A67" w:rsidP="00F00A67">
      <w:pPr>
        <w:pStyle w:val="FootnoteText"/>
        <w:rPr>
          <w:lang w:val="en-US"/>
        </w:rPr>
      </w:pPr>
      <w:r w:rsidRPr="00FF0AE2">
        <w:rPr>
          <w:i/>
          <w:iCs/>
          <w:sz w:val="16"/>
          <w:szCs w:val="16"/>
        </w:rPr>
        <w:footnoteRef/>
      </w:r>
      <w:r w:rsidRPr="00FF0AE2">
        <w:rPr>
          <w:i/>
          <w:iCs/>
          <w:sz w:val="16"/>
          <w:szCs w:val="16"/>
        </w:rPr>
        <w:t xml:space="preserve"> 14,732 </w:t>
      </w:r>
      <w:r w:rsidR="0054016C" w:rsidRPr="00FF0AE2">
        <w:rPr>
          <w:i/>
          <w:iCs/>
          <w:sz w:val="16"/>
          <w:szCs w:val="16"/>
        </w:rPr>
        <w:t>childcare</w:t>
      </w:r>
      <w:r w:rsidRPr="00FF0AE2">
        <w:rPr>
          <w:i/>
          <w:iCs/>
          <w:sz w:val="16"/>
          <w:szCs w:val="16"/>
        </w:rPr>
        <w:t xml:space="preserve"> services were approved to receive the Child Care Subsidy in March 2024, while 17,651 services were operating under the NQF over the same period (Productivity Commission (2025); ACECQA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2633" w14:textId="40B38C2A" w:rsidR="00B536D0" w:rsidRDefault="00B536D0">
    <w:pPr>
      <w:pStyle w:val="Header"/>
    </w:pPr>
    <w:r>
      <w:t xml:space="preserve">Decision Regulation Impact Statement </w:t>
    </w:r>
  </w:p>
  <w:p w14:paraId="044836F2" w14:textId="669A2D9C" w:rsidR="002B5984" w:rsidRDefault="002B5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05"/>
      <w:gridCol w:w="2605"/>
      <w:gridCol w:w="2605"/>
    </w:tblGrid>
    <w:tr w:rsidR="2FF7C3F6" w14:paraId="136316A5" w14:textId="77777777" w:rsidTr="2FF7C3F6">
      <w:trPr>
        <w:trHeight w:val="300"/>
      </w:trPr>
      <w:tc>
        <w:tcPr>
          <w:tcW w:w="2605" w:type="dxa"/>
        </w:tcPr>
        <w:p w14:paraId="50A80DBC" w14:textId="02D92183" w:rsidR="2FF7C3F6" w:rsidRDefault="2FF7C3F6" w:rsidP="2FF7C3F6">
          <w:pPr>
            <w:pStyle w:val="Header"/>
            <w:ind w:left="-115"/>
          </w:pPr>
        </w:p>
      </w:tc>
      <w:tc>
        <w:tcPr>
          <w:tcW w:w="2605" w:type="dxa"/>
        </w:tcPr>
        <w:p w14:paraId="49A2BEDE" w14:textId="3DE0BAA0" w:rsidR="2FF7C3F6" w:rsidRDefault="2FF7C3F6" w:rsidP="2FF7C3F6">
          <w:pPr>
            <w:pStyle w:val="Header"/>
            <w:jc w:val="center"/>
          </w:pPr>
        </w:p>
      </w:tc>
      <w:tc>
        <w:tcPr>
          <w:tcW w:w="2605" w:type="dxa"/>
        </w:tcPr>
        <w:p w14:paraId="00508917" w14:textId="22AB1529" w:rsidR="2FF7C3F6" w:rsidRDefault="2FF7C3F6" w:rsidP="2FF7C3F6">
          <w:pPr>
            <w:pStyle w:val="Header"/>
            <w:ind w:right="-115"/>
            <w:jc w:val="right"/>
          </w:pPr>
        </w:p>
      </w:tc>
    </w:tr>
  </w:tbl>
  <w:p w14:paraId="60D20E8C" w14:textId="4E967054" w:rsidR="004F391F" w:rsidRDefault="004F39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F7C3F6" w14:paraId="09050B14" w14:textId="77777777" w:rsidTr="2FF7C3F6">
      <w:trPr>
        <w:trHeight w:val="300"/>
      </w:trPr>
      <w:tc>
        <w:tcPr>
          <w:tcW w:w="3005" w:type="dxa"/>
        </w:tcPr>
        <w:p w14:paraId="4848701F" w14:textId="751E5868" w:rsidR="2FF7C3F6" w:rsidRDefault="2FF7C3F6" w:rsidP="2FF7C3F6">
          <w:pPr>
            <w:pStyle w:val="Header"/>
            <w:ind w:left="-115"/>
          </w:pPr>
        </w:p>
      </w:tc>
      <w:tc>
        <w:tcPr>
          <w:tcW w:w="3005" w:type="dxa"/>
        </w:tcPr>
        <w:p w14:paraId="6F020407" w14:textId="2034E1AE" w:rsidR="2FF7C3F6" w:rsidRDefault="2FF7C3F6" w:rsidP="2FF7C3F6">
          <w:pPr>
            <w:pStyle w:val="Header"/>
            <w:jc w:val="center"/>
          </w:pPr>
        </w:p>
      </w:tc>
      <w:tc>
        <w:tcPr>
          <w:tcW w:w="3005" w:type="dxa"/>
        </w:tcPr>
        <w:p w14:paraId="5B8C9AFD" w14:textId="0A1D61AA" w:rsidR="2FF7C3F6" w:rsidRDefault="2FF7C3F6" w:rsidP="2FF7C3F6">
          <w:pPr>
            <w:pStyle w:val="Header"/>
            <w:ind w:right="-115"/>
            <w:jc w:val="right"/>
          </w:pPr>
        </w:p>
      </w:tc>
    </w:tr>
  </w:tbl>
  <w:p w14:paraId="20222E1C" w14:textId="7AB7BAFD" w:rsidR="004F391F" w:rsidRDefault="004F39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F7C3F6" w14:paraId="2C159399" w14:textId="77777777" w:rsidTr="2FF7C3F6">
      <w:trPr>
        <w:trHeight w:val="300"/>
      </w:trPr>
      <w:tc>
        <w:tcPr>
          <w:tcW w:w="3005" w:type="dxa"/>
        </w:tcPr>
        <w:p w14:paraId="14A60BFC" w14:textId="4CFF91E8" w:rsidR="2FF7C3F6" w:rsidRDefault="2FF7C3F6" w:rsidP="2FF7C3F6">
          <w:pPr>
            <w:pStyle w:val="Header"/>
            <w:ind w:left="-115"/>
          </w:pPr>
        </w:p>
      </w:tc>
      <w:tc>
        <w:tcPr>
          <w:tcW w:w="3005" w:type="dxa"/>
        </w:tcPr>
        <w:p w14:paraId="48648B3E" w14:textId="5B952B13" w:rsidR="2FF7C3F6" w:rsidRDefault="2FF7C3F6" w:rsidP="2FF7C3F6">
          <w:pPr>
            <w:pStyle w:val="Header"/>
            <w:jc w:val="center"/>
          </w:pPr>
        </w:p>
      </w:tc>
      <w:tc>
        <w:tcPr>
          <w:tcW w:w="3005" w:type="dxa"/>
        </w:tcPr>
        <w:p w14:paraId="61F02A6A" w14:textId="56CF1971" w:rsidR="2FF7C3F6" w:rsidRDefault="2FF7C3F6" w:rsidP="2FF7C3F6">
          <w:pPr>
            <w:pStyle w:val="Header"/>
            <w:ind w:right="-115"/>
            <w:jc w:val="right"/>
          </w:pPr>
        </w:p>
      </w:tc>
    </w:tr>
  </w:tbl>
  <w:p w14:paraId="76F2E8FE" w14:textId="3CAD072A" w:rsidR="004F391F" w:rsidRDefault="004F39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2FF7C3F6" w14:paraId="4EA56A4E" w14:textId="77777777" w:rsidTr="2FF7C3F6">
      <w:trPr>
        <w:trHeight w:val="300"/>
      </w:trPr>
      <w:tc>
        <w:tcPr>
          <w:tcW w:w="4650" w:type="dxa"/>
        </w:tcPr>
        <w:p w14:paraId="6264950C" w14:textId="2F58C107" w:rsidR="2FF7C3F6" w:rsidRDefault="2FF7C3F6" w:rsidP="2FF7C3F6">
          <w:pPr>
            <w:pStyle w:val="Header"/>
            <w:ind w:left="-115"/>
          </w:pPr>
        </w:p>
      </w:tc>
      <w:tc>
        <w:tcPr>
          <w:tcW w:w="4650" w:type="dxa"/>
        </w:tcPr>
        <w:p w14:paraId="3107DBFF" w14:textId="009B15A2" w:rsidR="2FF7C3F6" w:rsidRDefault="2FF7C3F6" w:rsidP="2FF7C3F6">
          <w:pPr>
            <w:pStyle w:val="Header"/>
            <w:jc w:val="center"/>
          </w:pPr>
        </w:p>
      </w:tc>
      <w:tc>
        <w:tcPr>
          <w:tcW w:w="4650" w:type="dxa"/>
        </w:tcPr>
        <w:p w14:paraId="655E3762" w14:textId="7B1E8095" w:rsidR="2FF7C3F6" w:rsidRDefault="2FF7C3F6" w:rsidP="2FF7C3F6">
          <w:pPr>
            <w:pStyle w:val="Header"/>
            <w:ind w:right="-115"/>
            <w:jc w:val="right"/>
          </w:pPr>
        </w:p>
      </w:tc>
    </w:tr>
  </w:tbl>
  <w:p w14:paraId="535EB009" w14:textId="7BD6C308" w:rsidR="004F391F" w:rsidRDefault="004F391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F7C3F6" w14:paraId="4788D064" w14:textId="77777777" w:rsidTr="2FF7C3F6">
      <w:trPr>
        <w:trHeight w:val="300"/>
      </w:trPr>
      <w:tc>
        <w:tcPr>
          <w:tcW w:w="3005" w:type="dxa"/>
        </w:tcPr>
        <w:p w14:paraId="232F42D6" w14:textId="11990DEB" w:rsidR="2FF7C3F6" w:rsidRDefault="2FF7C3F6" w:rsidP="2FF7C3F6">
          <w:pPr>
            <w:pStyle w:val="Header"/>
            <w:ind w:left="-115"/>
          </w:pPr>
        </w:p>
      </w:tc>
      <w:tc>
        <w:tcPr>
          <w:tcW w:w="3005" w:type="dxa"/>
        </w:tcPr>
        <w:p w14:paraId="009479AD" w14:textId="133873AA" w:rsidR="2FF7C3F6" w:rsidRDefault="2FF7C3F6" w:rsidP="2FF7C3F6">
          <w:pPr>
            <w:pStyle w:val="Header"/>
            <w:jc w:val="center"/>
          </w:pPr>
        </w:p>
      </w:tc>
      <w:tc>
        <w:tcPr>
          <w:tcW w:w="3005" w:type="dxa"/>
        </w:tcPr>
        <w:p w14:paraId="686E2844" w14:textId="216CF321" w:rsidR="2FF7C3F6" w:rsidRDefault="2FF7C3F6" w:rsidP="2FF7C3F6">
          <w:pPr>
            <w:pStyle w:val="Header"/>
            <w:ind w:right="-115"/>
            <w:jc w:val="right"/>
          </w:pPr>
        </w:p>
      </w:tc>
    </w:tr>
  </w:tbl>
  <w:p w14:paraId="0D882710" w14:textId="43F31BCB" w:rsidR="004F391F" w:rsidRDefault="004F391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2FF7C3F6" w14:paraId="726204ED" w14:textId="77777777" w:rsidTr="2FF7C3F6">
      <w:trPr>
        <w:trHeight w:val="300"/>
      </w:trPr>
      <w:tc>
        <w:tcPr>
          <w:tcW w:w="4650" w:type="dxa"/>
        </w:tcPr>
        <w:p w14:paraId="76C28D86" w14:textId="790C7DFB" w:rsidR="2FF7C3F6" w:rsidRDefault="2FF7C3F6" w:rsidP="2FF7C3F6">
          <w:pPr>
            <w:pStyle w:val="Header"/>
            <w:ind w:left="-115"/>
          </w:pPr>
        </w:p>
      </w:tc>
      <w:tc>
        <w:tcPr>
          <w:tcW w:w="4650" w:type="dxa"/>
        </w:tcPr>
        <w:p w14:paraId="6725DE58" w14:textId="5FCED516" w:rsidR="2FF7C3F6" w:rsidRDefault="2FF7C3F6" w:rsidP="2FF7C3F6">
          <w:pPr>
            <w:pStyle w:val="Header"/>
            <w:jc w:val="center"/>
          </w:pPr>
        </w:p>
      </w:tc>
      <w:tc>
        <w:tcPr>
          <w:tcW w:w="4650" w:type="dxa"/>
        </w:tcPr>
        <w:p w14:paraId="719807B0" w14:textId="39C9A77C" w:rsidR="2FF7C3F6" w:rsidRDefault="2FF7C3F6" w:rsidP="2FF7C3F6">
          <w:pPr>
            <w:pStyle w:val="Header"/>
            <w:ind w:right="-115"/>
            <w:jc w:val="right"/>
          </w:pPr>
        </w:p>
      </w:tc>
    </w:tr>
  </w:tbl>
  <w:p w14:paraId="4705B485" w14:textId="4B29AB61" w:rsidR="004F391F" w:rsidRDefault="004F391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2FF7C3F6" w14:paraId="53D90181" w14:textId="77777777" w:rsidTr="2FF7C3F6">
      <w:trPr>
        <w:trHeight w:val="300"/>
      </w:trPr>
      <w:tc>
        <w:tcPr>
          <w:tcW w:w="4650" w:type="dxa"/>
        </w:tcPr>
        <w:p w14:paraId="2942FC44" w14:textId="3C56A48E" w:rsidR="2FF7C3F6" w:rsidRDefault="2FF7C3F6" w:rsidP="2FF7C3F6">
          <w:pPr>
            <w:pStyle w:val="Header"/>
            <w:ind w:left="-115"/>
          </w:pPr>
        </w:p>
      </w:tc>
      <w:tc>
        <w:tcPr>
          <w:tcW w:w="4650" w:type="dxa"/>
        </w:tcPr>
        <w:p w14:paraId="1A389445" w14:textId="3BACA04B" w:rsidR="2FF7C3F6" w:rsidRDefault="2FF7C3F6" w:rsidP="2FF7C3F6">
          <w:pPr>
            <w:pStyle w:val="Header"/>
            <w:jc w:val="center"/>
          </w:pPr>
        </w:p>
      </w:tc>
      <w:tc>
        <w:tcPr>
          <w:tcW w:w="4650" w:type="dxa"/>
        </w:tcPr>
        <w:p w14:paraId="3C0CF9BB" w14:textId="22583989" w:rsidR="2FF7C3F6" w:rsidRDefault="2FF7C3F6" w:rsidP="2FF7C3F6">
          <w:pPr>
            <w:pStyle w:val="Header"/>
            <w:ind w:right="-115"/>
            <w:jc w:val="right"/>
          </w:pPr>
        </w:p>
      </w:tc>
    </w:tr>
  </w:tbl>
  <w:p w14:paraId="03350213" w14:textId="3F5AC028" w:rsidR="004F391F" w:rsidRDefault="004F391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F7C3F6" w14:paraId="68FB8743" w14:textId="77777777" w:rsidTr="2FF7C3F6">
      <w:trPr>
        <w:trHeight w:val="300"/>
      </w:trPr>
      <w:tc>
        <w:tcPr>
          <w:tcW w:w="3005" w:type="dxa"/>
        </w:tcPr>
        <w:p w14:paraId="1E35C202" w14:textId="752F8707" w:rsidR="2FF7C3F6" w:rsidRDefault="2FF7C3F6" w:rsidP="2FF7C3F6">
          <w:pPr>
            <w:pStyle w:val="Header"/>
            <w:ind w:left="-115"/>
          </w:pPr>
        </w:p>
      </w:tc>
      <w:tc>
        <w:tcPr>
          <w:tcW w:w="3005" w:type="dxa"/>
        </w:tcPr>
        <w:p w14:paraId="02036352" w14:textId="408E8D3B" w:rsidR="2FF7C3F6" w:rsidRDefault="2FF7C3F6" w:rsidP="2FF7C3F6">
          <w:pPr>
            <w:pStyle w:val="Header"/>
            <w:jc w:val="center"/>
          </w:pPr>
        </w:p>
      </w:tc>
      <w:tc>
        <w:tcPr>
          <w:tcW w:w="3005" w:type="dxa"/>
        </w:tcPr>
        <w:p w14:paraId="27ACBC0D" w14:textId="375262E4" w:rsidR="2FF7C3F6" w:rsidRDefault="2FF7C3F6" w:rsidP="2FF7C3F6">
          <w:pPr>
            <w:pStyle w:val="Header"/>
            <w:ind w:right="-115"/>
            <w:jc w:val="right"/>
          </w:pPr>
        </w:p>
      </w:tc>
    </w:tr>
  </w:tbl>
  <w:p w14:paraId="22133BD3" w14:textId="4902962F" w:rsidR="004F391F" w:rsidRDefault="004F3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2460B5"/>
    <w:multiLevelType w:val="hybridMultilevel"/>
    <w:tmpl w:val="8F285E3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15B24A9"/>
    <w:multiLevelType w:val="hybridMultilevel"/>
    <w:tmpl w:val="617E9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CE3865"/>
    <w:multiLevelType w:val="hybridMultilevel"/>
    <w:tmpl w:val="7122B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8" w15:restartNumberingAfterBreak="0">
    <w:nsid w:val="044C0945"/>
    <w:multiLevelType w:val="hybridMultilevel"/>
    <w:tmpl w:val="1C02E4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4530888"/>
    <w:multiLevelType w:val="hybridMultilevel"/>
    <w:tmpl w:val="1E4CA90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53B687C"/>
    <w:multiLevelType w:val="hybridMultilevel"/>
    <w:tmpl w:val="4C501DC8"/>
    <w:lvl w:ilvl="0" w:tplc="0C09000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6A34A3C"/>
    <w:multiLevelType w:val="hybridMultilevel"/>
    <w:tmpl w:val="314818C6"/>
    <w:lvl w:ilvl="0" w:tplc="0C090001">
      <w:start w:val="1"/>
      <w:numFmt w:val="bullet"/>
      <w:lvlText w:val=""/>
      <w:lvlJc w:val="left"/>
      <w:pPr>
        <w:ind w:left="1734" w:hanging="360"/>
      </w:pPr>
      <w:rPr>
        <w:rFonts w:ascii="Symbol" w:hAnsi="Symbol" w:hint="default"/>
      </w:rPr>
    </w:lvl>
    <w:lvl w:ilvl="1" w:tplc="0C090003" w:tentative="1">
      <w:start w:val="1"/>
      <w:numFmt w:val="bullet"/>
      <w:lvlText w:val="o"/>
      <w:lvlJc w:val="left"/>
      <w:pPr>
        <w:ind w:left="2454" w:hanging="360"/>
      </w:pPr>
      <w:rPr>
        <w:rFonts w:ascii="Courier New" w:hAnsi="Courier New" w:cs="Courier New" w:hint="default"/>
      </w:rPr>
    </w:lvl>
    <w:lvl w:ilvl="2" w:tplc="0C090005" w:tentative="1">
      <w:start w:val="1"/>
      <w:numFmt w:val="bullet"/>
      <w:lvlText w:val=""/>
      <w:lvlJc w:val="left"/>
      <w:pPr>
        <w:ind w:left="3174" w:hanging="360"/>
      </w:pPr>
      <w:rPr>
        <w:rFonts w:ascii="Wingdings" w:hAnsi="Wingdings" w:hint="default"/>
      </w:rPr>
    </w:lvl>
    <w:lvl w:ilvl="3" w:tplc="0C090001" w:tentative="1">
      <w:start w:val="1"/>
      <w:numFmt w:val="bullet"/>
      <w:lvlText w:val=""/>
      <w:lvlJc w:val="left"/>
      <w:pPr>
        <w:ind w:left="3894" w:hanging="360"/>
      </w:pPr>
      <w:rPr>
        <w:rFonts w:ascii="Symbol" w:hAnsi="Symbol" w:hint="default"/>
      </w:rPr>
    </w:lvl>
    <w:lvl w:ilvl="4" w:tplc="0C090003" w:tentative="1">
      <w:start w:val="1"/>
      <w:numFmt w:val="bullet"/>
      <w:lvlText w:val="o"/>
      <w:lvlJc w:val="left"/>
      <w:pPr>
        <w:ind w:left="4614" w:hanging="360"/>
      </w:pPr>
      <w:rPr>
        <w:rFonts w:ascii="Courier New" w:hAnsi="Courier New" w:cs="Courier New" w:hint="default"/>
      </w:rPr>
    </w:lvl>
    <w:lvl w:ilvl="5" w:tplc="0C090005" w:tentative="1">
      <w:start w:val="1"/>
      <w:numFmt w:val="bullet"/>
      <w:lvlText w:val=""/>
      <w:lvlJc w:val="left"/>
      <w:pPr>
        <w:ind w:left="5334" w:hanging="360"/>
      </w:pPr>
      <w:rPr>
        <w:rFonts w:ascii="Wingdings" w:hAnsi="Wingdings" w:hint="default"/>
      </w:rPr>
    </w:lvl>
    <w:lvl w:ilvl="6" w:tplc="0C090001" w:tentative="1">
      <w:start w:val="1"/>
      <w:numFmt w:val="bullet"/>
      <w:lvlText w:val=""/>
      <w:lvlJc w:val="left"/>
      <w:pPr>
        <w:ind w:left="6054" w:hanging="360"/>
      </w:pPr>
      <w:rPr>
        <w:rFonts w:ascii="Symbol" w:hAnsi="Symbol" w:hint="default"/>
      </w:rPr>
    </w:lvl>
    <w:lvl w:ilvl="7" w:tplc="0C090003" w:tentative="1">
      <w:start w:val="1"/>
      <w:numFmt w:val="bullet"/>
      <w:lvlText w:val="o"/>
      <w:lvlJc w:val="left"/>
      <w:pPr>
        <w:ind w:left="6774" w:hanging="360"/>
      </w:pPr>
      <w:rPr>
        <w:rFonts w:ascii="Courier New" w:hAnsi="Courier New" w:cs="Courier New" w:hint="default"/>
      </w:rPr>
    </w:lvl>
    <w:lvl w:ilvl="8" w:tplc="0C090005" w:tentative="1">
      <w:start w:val="1"/>
      <w:numFmt w:val="bullet"/>
      <w:lvlText w:val=""/>
      <w:lvlJc w:val="left"/>
      <w:pPr>
        <w:ind w:left="7494" w:hanging="360"/>
      </w:pPr>
      <w:rPr>
        <w:rFonts w:ascii="Wingdings" w:hAnsi="Wingdings" w:hint="default"/>
      </w:rPr>
    </w:lvl>
  </w:abstractNum>
  <w:abstractNum w:abstractNumId="12" w15:restartNumberingAfterBreak="0">
    <w:nsid w:val="071A1996"/>
    <w:multiLevelType w:val="hybridMultilevel"/>
    <w:tmpl w:val="662C2D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97164C"/>
    <w:multiLevelType w:val="hybridMultilevel"/>
    <w:tmpl w:val="2F0A1B28"/>
    <w:lvl w:ilvl="0" w:tplc="56D4851E">
      <w:start w:val="1"/>
      <w:numFmt w:val="decimal"/>
      <w:lvlText w:val="%1."/>
      <w:lvlJc w:val="left"/>
      <w:pPr>
        <w:ind w:left="360" w:hanging="360"/>
      </w:pPr>
    </w:lvl>
    <w:lvl w:ilvl="1" w:tplc="4B5A30BA">
      <w:start w:val="1"/>
      <w:numFmt w:val="lowerLetter"/>
      <w:lvlText w:val="%2."/>
      <w:lvlJc w:val="left"/>
      <w:pPr>
        <w:ind w:left="1080" w:hanging="360"/>
      </w:pPr>
    </w:lvl>
    <w:lvl w:ilvl="2" w:tplc="A542588E">
      <w:start w:val="1"/>
      <w:numFmt w:val="lowerRoman"/>
      <w:lvlText w:val="%3."/>
      <w:lvlJc w:val="right"/>
      <w:pPr>
        <w:ind w:left="1800" w:hanging="180"/>
      </w:pPr>
    </w:lvl>
    <w:lvl w:ilvl="3" w:tplc="D918119A">
      <w:start w:val="1"/>
      <w:numFmt w:val="decimal"/>
      <w:lvlText w:val="%4."/>
      <w:lvlJc w:val="left"/>
      <w:pPr>
        <w:ind w:left="2520" w:hanging="360"/>
      </w:pPr>
    </w:lvl>
    <w:lvl w:ilvl="4" w:tplc="C038965A">
      <w:start w:val="1"/>
      <w:numFmt w:val="lowerLetter"/>
      <w:lvlText w:val="%5."/>
      <w:lvlJc w:val="left"/>
      <w:pPr>
        <w:ind w:left="3240" w:hanging="360"/>
      </w:pPr>
    </w:lvl>
    <w:lvl w:ilvl="5" w:tplc="5E4AD55A">
      <w:start w:val="1"/>
      <w:numFmt w:val="lowerRoman"/>
      <w:lvlText w:val="%6."/>
      <w:lvlJc w:val="right"/>
      <w:pPr>
        <w:ind w:left="3960" w:hanging="180"/>
      </w:pPr>
    </w:lvl>
    <w:lvl w:ilvl="6" w:tplc="949EFA92">
      <w:start w:val="1"/>
      <w:numFmt w:val="decimal"/>
      <w:lvlText w:val="%7."/>
      <w:lvlJc w:val="left"/>
      <w:pPr>
        <w:ind w:left="4680" w:hanging="360"/>
      </w:pPr>
    </w:lvl>
    <w:lvl w:ilvl="7" w:tplc="4D6EF5BE">
      <w:start w:val="1"/>
      <w:numFmt w:val="lowerLetter"/>
      <w:lvlText w:val="%8."/>
      <w:lvlJc w:val="left"/>
      <w:pPr>
        <w:ind w:left="5400" w:hanging="360"/>
      </w:pPr>
    </w:lvl>
    <w:lvl w:ilvl="8" w:tplc="296ED7DE">
      <w:start w:val="1"/>
      <w:numFmt w:val="lowerRoman"/>
      <w:lvlText w:val="%9."/>
      <w:lvlJc w:val="right"/>
      <w:pPr>
        <w:ind w:left="6120" w:hanging="180"/>
      </w:pPr>
    </w:lvl>
  </w:abstractNum>
  <w:abstractNum w:abstractNumId="14" w15:restartNumberingAfterBreak="0">
    <w:nsid w:val="07BC6F69"/>
    <w:multiLevelType w:val="hybridMultilevel"/>
    <w:tmpl w:val="D99855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8374B99"/>
    <w:multiLevelType w:val="hybridMultilevel"/>
    <w:tmpl w:val="C2968B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9180FDB"/>
    <w:multiLevelType w:val="hybridMultilevel"/>
    <w:tmpl w:val="31F04CC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9AB0432"/>
    <w:multiLevelType w:val="hybridMultilevel"/>
    <w:tmpl w:val="2CCC1E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BE805CD"/>
    <w:multiLevelType w:val="multilevel"/>
    <w:tmpl w:val="A1F6CA98"/>
    <w:lvl w:ilvl="0">
      <w:start w:val="1"/>
      <w:numFmt w:val="upperLetter"/>
      <w:pStyle w:val="Appendixhead1"/>
      <w:lvlText w:val="Appendix %1"/>
      <w:lvlJc w:val="left"/>
      <w:pPr>
        <w:ind w:left="3856" w:hanging="3856"/>
      </w:pPr>
      <w:rPr>
        <w:rFonts w:hint="default"/>
      </w:rPr>
    </w:lvl>
    <w:lvl w:ilvl="1">
      <w:start w:val="1"/>
      <w:numFmt w:val="decimal"/>
      <w:pStyle w:val="Appendixhead2"/>
      <w:lvlText w:val="%1.%2."/>
      <w:lvlJc w:val="left"/>
      <w:pPr>
        <w:ind w:left="792" w:hanging="792"/>
      </w:pPr>
      <w:rPr>
        <w:rFonts w:hint="default"/>
      </w:rPr>
    </w:lvl>
    <w:lvl w:ilvl="2">
      <w:start w:val="1"/>
      <w:numFmt w:val="decimal"/>
      <w:pStyle w:val="Appendixhead3"/>
      <w:lvlText w:val="%1.%2.%3."/>
      <w:lvlJc w:val="left"/>
      <w:pPr>
        <w:ind w:left="794" w:hanging="794"/>
      </w:pPr>
      <w:rPr>
        <w:rFonts w:hint="default"/>
      </w:rPr>
    </w:lvl>
    <w:lvl w:ilvl="3">
      <w:start w:val="1"/>
      <w:numFmt w:val="decimal"/>
      <w:pStyle w:val="Appendixhead4"/>
      <w:lvlText w:val="%1.%2.%3.%4."/>
      <w:lvlJc w:val="left"/>
      <w:pPr>
        <w:ind w:left="794" w:hanging="794"/>
      </w:pPr>
      <w:rPr>
        <w:rFonts w:hint="default"/>
      </w:rPr>
    </w:lvl>
    <w:lvl w:ilvl="4">
      <w:start w:val="1"/>
      <w:numFmt w:val="decimal"/>
      <w:lvlText w:val="%1.%2.%3.%4.%5."/>
      <w:lvlJc w:val="left"/>
      <w:pPr>
        <w:ind w:left="1134" w:hanging="1134"/>
      </w:pPr>
      <w:rPr>
        <w:rFonts w:hint="default"/>
        <w:color w:val="14233C" w:themeColor="text2"/>
        <w:sz w:val="22"/>
      </w:rPr>
    </w:lvl>
    <w:lvl w:ilvl="5">
      <w:start w:val="1"/>
      <w:numFmt w:val="decimal"/>
      <w:lvlText w:val="%1.%2.%3.%4.%5.%6."/>
      <w:lvlJc w:val="left"/>
      <w:pPr>
        <w:ind w:left="1701" w:hanging="1701"/>
      </w:pPr>
      <w:rPr>
        <w:rFonts w:hint="default"/>
      </w:rPr>
    </w:lvl>
    <w:lvl w:ilvl="6">
      <w:start w:val="1"/>
      <w:numFmt w:val="decimal"/>
      <w:lvlRestart w:val="1"/>
      <w:pStyle w:val="AppendixTableCaption"/>
      <w:suff w:val="nothing"/>
      <w:lvlText w:val="Table %1.%7"/>
      <w:lvlJc w:val="left"/>
      <w:pPr>
        <w:ind w:left="0" w:firstLine="0"/>
      </w:pPr>
      <w:rPr>
        <w:rFonts w:hint="default"/>
      </w:rPr>
    </w:lvl>
    <w:lvl w:ilvl="7">
      <w:start w:val="1"/>
      <w:numFmt w:val="decimal"/>
      <w:lvlRestart w:val="1"/>
      <w:pStyle w:val="AppendixChartCaption"/>
      <w:suff w:val="nothing"/>
      <w:lvlText w:val="Chart %1.%8"/>
      <w:lvlJc w:val="left"/>
      <w:pPr>
        <w:ind w:left="0" w:firstLine="0"/>
      </w:pPr>
      <w:rPr>
        <w:rFonts w:hint="default"/>
      </w:rPr>
    </w:lvl>
    <w:lvl w:ilvl="8">
      <w:start w:val="1"/>
      <w:numFmt w:val="decimal"/>
      <w:lvlRestart w:val="1"/>
      <w:pStyle w:val="AppendixFigureCaption"/>
      <w:suff w:val="nothing"/>
      <w:lvlText w:val="Figure %1.%9"/>
      <w:lvlJc w:val="left"/>
      <w:pPr>
        <w:ind w:left="0" w:firstLine="0"/>
      </w:pPr>
      <w:rPr>
        <w:rFonts w:hint="default"/>
      </w:rPr>
    </w:lvl>
  </w:abstractNum>
  <w:abstractNum w:abstractNumId="19" w15:restartNumberingAfterBreak="0">
    <w:nsid w:val="0C8B5D09"/>
    <w:multiLevelType w:val="hybridMultilevel"/>
    <w:tmpl w:val="F8E85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1326E1F"/>
    <w:multiLevelType w:val="hybridMultilevel"/>
    <w:tmpl w:val="6C0C75B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12CD05D5"/>
    <w:multiLevelType w:val="hybridMultilevel"/>
    <w:tmpl w:val="09CACC24"/>
    <w:lvl w:ilvl="0" w:tplc="71C631C0">
      <w:start w:val="1"/>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43DE42E"/>
    <w:multiLevelType w:val="hybridMultilevel"/>
    <w:tmpl w:val="7CEE546C"/>
    <w:lvl w:ilvl="0" w:tplc="1E5E5B88">
      <w:start w:val="1"/>
      <w:numFmt w:val="decimal"/>
      <w:lvlText w:val="%1."/>
      <w:lvlJc w:val="left"/>
      <w:pPr>
        <w:ind w:left="360" w:hanging="360"/>
      </w:pPr>
    </w:lvl>
    <w:lvl w:ilvl="1" w:tplc="E0443288">
      <w:start w:val="1"/>
      <w:numFmt w:val="lowerLetter"/>
      <w:lvlText w:val="%2."/>
      <w:lvlJc w:val="left"/>
      <w:pPr>
        <w:ind w:left="1440" w:hanging="360"/>
      </w:pPr>
    </w:lvl>
    <w:lvl w:ilvl="2" w:tplc="FD6CC2A0">
      <w:start w:val="1"/>
      <w:numFmt w:val="lowerRoman"/>
      <w:lvlText w:val="%3."/>
      <w:lvlJc w:val="right"/>
      <w:pPr>
        <w:ind w:left="2160" w:hanging="180"/>
      </w:pPr>
    </w:lvl>
    <w:lvl w:ilvl="3" w:tplc="EA905A66">
      <w:start w:val="1"/>
      <w:numFmt w:val="decimal"/>
      <w:lvlText w:val="%4."/>
      <w:lvlJc w:val="left"/>
      <w:pPr>
        <w:ind w:left="2880" w:hanging="360"/>
      </w:pPr>
    </w:lvl>
    <w:lvl w:ilvl="4" w:tplc="722A1492">
      <w:start w:val="1"/>
      <w:numFmt w:val="lowerLetter"/>
      <w:lvlText w:val="%5."/>
      <w:lvlJc w:val="left"/>
      <w:pPr>
        <w:ind w:left="3600" w:hanging="360"/>
      </w:pPr>
    </w:lvl>
    <w:lvl w:ilvl="5" w:tplc="68DAE6FA">
      <w:start w:val="1"/>
      <w:numFmt w:val="lowerRoman"/>
      <w:lvlText w:val="%6."/>
      <w:lvlJc w:val="right"/>
      <w:pPr>
        <w:ind w:left="4320" w:hanging="180"/>
      </w:pPr>
    </w:lvl>
    <w:lvl w:ilvl="6" w:tplc="A2C042B8">
      <w:start w:val="1"/>
      <w:numFmt w:val="decimal"/>
      <w:lvlText w:val="%7."/>
      <w:lvlJc w:val="left"/>
      <w:pPr>
        <w:ind w:left="5040" w:hanging="360"/>
      </w:pPr>
    </w:lvl>
    <w:lvl w:ilvl="7" w:tplc="F7981322">
      <w:start w:val="1"/>
      <w:numFmt w:val="lowerLetter"/>
      <w:lvlText w:val="%8."/>
      <w:lvlJc w:val="left"/>
      <w:pPr>
        <w:ind w:left="5760" w:hanging="360"/>
      </w:pPr>
    </w:lvl>
    <w:lvl w:ilvl="8" w:tplc="45C281FC">
      <w:start w:val="1"/>
      <w:numFmt w:val="lowerRoman"/>
      <w:lvlText w:val="%9."/>
      <w:lvlJc w:val="right"/>
      <w:pPr>
        <w:ind w:left="6480" w:hanging="180"/>
      </w:pPr>
    </w:lvl>
  </w:abstractNum>
  <w:abstractNum w:abstractNumId="23" w15:restartNumberingAfterBreak="0">
    <w:nsid w:val="1579747A"/>
    <w:multiLevelType w:val="multilevel"/>
    <w:tmpl w:val="4C584C80"/>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4"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25" w15:restartNumberingAfterBreak="0">
    <w:nsid w:val="1DC8D8A0"/>
    <w:multiLevelType w:val="hybridMultilevel"/>
    <w:tmpl w:val="1BEED1D6"/>
    <w:lvl w:ilvl="0" w:tplc="9904AAF8">
      <w:start w:val="1"/>
      <w:numFmt w:val="decimal"/>
      <w:lvlText w:val="%1."/>
      <w:lvlJc w:val="left"/>
      <w:pPr>
        <w:ind w:left="360" w:hanging="360"/>
      </w:pPr>
    </w:lvl>
    <w:lvl w:ilvl="1" w:tplc="90CEB006">
      <w:start w:val="1"/>
      <w:numFmt w:val="lowerLetter"/>
      <w:lvlText w:val="%2."/>
      <w:lvlJc w:val="left"/>
      <w:pPr>
        <w:ind w:left="1080" w:hanging="360"/>
      </w:pPr>
    </w:lvl>
    <w:lvl w:ilvl="2" w:tplc="650AB936">
      <w:start w:val="1"/>
      <w:numFmt w:val="lowerRoman"/>
      <w:lvlText w:val="%3."/>
      <w:lvlJc w:val="right"/>
      <w:pPr>
        <w:ind w:left="1800" w:hanging="180"/>
      </w:pPr>
    </w:lvl>
    <w:lvl w:ilvl="3" w:tplc="EA4051DC">
      <w:start w:val="1"/>
      <w:numFmt w:val="decimal"/>
      <w:lvlText w:val="%4."/>
      <w:lvlJc w:val="left"/>
      <w:pPr>
        <w:ind w:left="2520" w:hanging="360"/>
      </w:pPr>
    </w:lvl>
    <w:lvl w:ilvl="4" w:tplc="F42A8D64">
      <w:start w:val="1"/>
      <w:numFmt w:val="lowerLetter"/>
      <w:lvlText w:val="%5."/>
      <w:lvlJc w:val="left"/>
      <w:pPr>
        <w:ind w:left="3240" w:hanging="360"/>
      </w:pPr>
    </w:lvl>
    <w:lvl w:ilvl="5" w:tplc="9E86E930">
      <w:start w:val="1"/>
      <w:numFmt w:val="lowerRoman"/>
      <w:lvlText w:val="%6."/>
      <w:lvlJc w:val="right"/>
      <w:pPr>
        <w:ind w:left="3960" w:hanging="180"/>
      </w:pPr>
    </w:lvl>
    <w:lvl w:ilvl="6" w:tplc="99468C7A">
      <w:start w:val="1"/>
      <w:numFmt w:val="decimal"/>
      <w:lvlText w:val="%7."/>
      <w:lvlJc w:val="left"/>
      <w:pPr>
        <w:ind w:left="4680" w:hanging="360"/>
      </w:pPr>
    </w:lvl>
    <w:lvl w:ilvl="7" w:tplc="BAB2D208">
      <w:start w:val="1"/>
      <w:numFmt w:val="lowerLetter"/>
      <w:lvlText w:val="%8."/>
      <w:lvlJc w:val="left"/>
      <w:pPr>
        <w:ind w:left="5400" w:hanging="360"/>
      </w:pPr>
    </w:lvl>
    <w:lvl w:ilvl="8" w:tplc="22348F1A">
      <w:start w:val="1"/>
      <w:numFmt w:val="lowerRoman"/>
      <w:lvlText w:val="%9."/>
      <w:lvlJc w:val="right"/>
      <w:pPr>
        <w:ind w:left="6120" w:hanging="180"/>
      </w:pPr>
    </w:lvl>
  </w:abstractNum>
  <w:abstractNum w:abstractNumId="26" w15:restartNumberingAfterBreak="0">
    <w:nsid w:val="1E195E82"/>
    <w:multiLevelType w:val="hybridMultilevel"/>
    <w:tmpl w:val="0F6270E2"/>
    <w:lvl w:ilvl="0" w:tplc="2214DF92">
      <w:start w:val="1"/>
      <w:numFmt w:val="decimal"/>
      <w:lvlText w:val="%1."/>
      <w:lvlJc w:val="left"/>
      <w:pPr>
        <w:ind w:left="360" w:hanging="360"/>
      </w:pPr>
    </w:lvl>
    <w:lvl w:ilvl="1" w:tplc="83889BC0">
      <w:start w:val="1"/>
      <w:numFmt w:val="lowerLetter"/>
      <w:lvlText w:val="%2."/>
      <w:lvlJc w:val="left"/>
      <w:pPr>
        <w:ind w:left="1080" w:hanging="360"/>
      </w:pPr>
    </w:lvl>
    <w:lvl w:ilvl="2" w:tplc="B2AE748C">
      <w:start w:val="1"/>
      <w:numFmt w:val="lowerRoman"/>
      <w:lvlText w:val="%3."/>
      <w:lvlJc w:val="right"/>
      <w:pPr>
        <w:ind w:left="1800" w:hanging="180"/>
      </w:pPr>
    </w:lvl>
    <w:lvl w:ilvl="3" w:tplc="9662D4FA">
      <w:start w:val="1"/>
      <w:numFmt w:val="decimal"/>
      <w:lvlText w:val="%4."/>
      <w:lvlJc w:val="left"/>
      <w:pPr>
        <w:ind w:left="2520" w:hanging="360"/>
      </w:pPr>
    </w:lvl>
    <w:lvl w:ilvl="4" w:tplc="FA2C00AA">
      <w:start w:val="1"/>
      <w:numFmt w:val="lowerLetter"/>
      <w:lvlText w:val="%5."/>
      <w:lvlJc w:val="left"/>
      <w:pPr>
        <w:ind w:left="3240" w:hanging="360"/>
      </w:pPr>
    </w:lvl>
    <w:lvl w:ilvl="5" w:tplc="E06E6008">
      <w:start w:val="1"/>
      <w:numFmt w:val="lowerRoman"/>
      <w:lvlText w:val="%6."/>
      <w:lvlJc w:val="right"/>
      <w:pPr>
        <w:ind w:left="3960" w:hanging="180"/>
      </w:pPr>
    </w:lvl>
    <w:lvl w:ilvl="6" w:tplc="9D16C246">
      <w:start w:val="1"/>
      <w:numFmt w:val="decimal"/>
      <w:lvlText w:val="%7."/>
      <w:lvlJc w:val="left"/>
      <w:pPr>
        <w:ind w:left="4680" w:hanging="360"/>
      </w:pPr>
    </w:lvl>
    <w:lvl w:ilvl="7" w:tplc="B0B47282">
      <w:start w:val="1"/>
      <w:numFmt w:val="lowerLetter"/>
      <w:lvlText w:val="%8."/>
      <w:lvlJc w:val="left"/>
      <w:pPr>
        <w:ind w:left="5400" w:hanging="360"/>
      </w:pPr>
    </w:lvl>
    <w:lvl w:ilvl="8" w:tplc="444A5872">
      <w:start w:val="1"/>
      <w:numFmt w:val="lowerRoman"/>
      <w:lvlText w:val="%9."/>
      <w:lvlJc w:val="right"/>
      <w:pPr>
        <w:ind w:left="6120" w:hanging="180"/>
      </w:pPr>
    </w:lvl>
  </w:abstractNum>
  <w:abstractNum w:abstractNumId="27" w15:restartNumberingAfterBreak="0">
    <w:nsid w:val="1EBB2562"/>
    <w:multiLevelType w:val="hybridMultilevel"/>
    <w:tmpl w:val="C622B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1F6A50E2"/>
    <w:multiLevelType w:val="hybridMultilevel"/>
    <w:tmpl w:val="8C5E82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0E47EC1"/>
    <w:multiLevelType w:val="hybridMultilevel"/>
    <w:tmpl w:val="FA6209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22135F1E"/>
    <w:multiLevelType w:val="hybridMultilevel"/>
    <w:tmpl w:val="5B80BD1A"/>
    <w:lvl w:ilvl="0" w:tplc="FFFFFFFF">
      <w:start w:val="1"/>
      <w:numFmt w:val="decimal"/>
      <w:lvlText w:val="%1."/>
      <w:lvlJc w:val="left"/>
      <w:pPr>
        <w:ind w:left="720" w:hanging="360"/>
      </w:pPr>
      <w:rPr>
        <w:rFonts w:hint="default"/>
      </w:rPr>
    </w:lvl>
    <w:lvl w:ilvl="1" w:tplc="FFFFFFFF">
      <w:start w:val="1"/>
      <w:numFmt w:val="lowerRoman"/>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2DA2EBF"/>
    <w:multiLevelType w:val="hybridMultilevel"/>
    <w:tmpl w:val="07E89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3E01202"/>
    <w:multiLevelType w:val="hybridMultilevel"/>
    <w:tmpl w:val="1A4AEF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243365B1"/>
    <w:multiLevelType w:val="hybridMultilevel"/>
    <w:tmpl w:val="22D6C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46176B7"/>
    <w:multiLevelType w:val="hybridMultilevel"/>
    <w:tmpl w:val="129A0264"/>
    <w:lvl w:ilvl="0" w:tplc="0C090001">
      <w:start w:val="1"/>
      <w:numFmt w:val="bullet"/>
      <w:lvlText w:val=""/>
      <w:lvlJc w:val="left"/>
      <w:pPr>
        <w:ind w:left="360" w:hanging="360"/>
      </w:pPr>
      <w:rPr>
        <w:rFonts w:ascii="Symbol" w:hAnsi="Symbol" w:hint="default"/>
      </w:rPr>
    </w:lvl>
    <w:lvl w:ilvl="1" w:tplc="1520C194">
      <w:start w:val="1"/>
      <w:numFmt w:val="bullet"/>
      <w:lvlText w:val="o"/>
      <w:lvlJc w:val="left"/>
      <w:pPr>
        <w:ind w:left="1440" w:hanging="360"/>
      </w:pPr>
      <w:rPr>
        <w:rFonts w:ascii="Courier New" w:hAnsi="Courier New" w:cs="Times New Roman" w:hint="default"/>
      </w:rPr>
    </w:lvl>
    <w:lvl w:ilvl="2" w:tplc="BDC2545A">
      <w:start w:val="1"/>
      <w:numFmt w:val="bullet"/>
      <w:lvlText w:val=""/>
      <w:lvlJc w:val="left"/>
      <w:pPr>
        <w:ind w:left="2160" w:hanging="360"/>
      </w:pPr>
      <w:rPr>
        <w:rFonts w:ascii="Wingdings" w:hAnsi="Wingdings" w:hint="default"/>
      </w:rPr>
    </w:lvl>
    <w:lvl w:ilvl="3" w:tplc="65780D34">
      <w:start w:val="1"/>
      <w:numFmt w:val="bullet"/>
      <w:lvlText w:val=""/>
      <w:lvlJc w:val="left"/>
      <w:pPr>
        <w:ind w:left="2880" w:hanging="360"/>
      </w:pPr>
      <w:rPr>
        <w:rFonts w:ascii="Symbol" w:hAnsi="Symbol" w:hint="default"/>
      </w:rPr>
    </w:lvl>
    <w:lvl w:ilvl="4" w:tplc="01C40DC0">
      <w:start w:val="1"/>
      <w:numFmt w:val="bullet"/>
      <w:lvlText w:val="o"/>
      <w:lvlJc w:val="left"/>
      <w:pPr>
        <w:ind w:left="3600" w:hanging="360"/>
      </w:pPr>
      <w:rPr>
        <w:rFonts w:ascii="Courier New" w:hAnsi="Courier New" w:cs="Times New Roman" w:hint="default"/>
      </w:rPr>
    </w:lvl>
    <w:lvl w:ilvl="5" w:tplc="D3A4F6D2">
      <w:start w:val="1"/>
      <w:numFmt w:val="bullet"/>
      <w:lvlText w:val=""/>
      <w:lvlJc w:val="left"/>
      <w:pPr>
        <w:ind w:left="4320" w:hanging="360"/>
      </w:pPr>
      <w:rPr>
        <w:rFonts w:ascii="Wingdings" w:hAnsi="Wingdings" w:hint="default"/>
      </w:rPr>
    </w:lvl>
    <w:lvl w:ilvl="6" w:tplc="754EC578">
      <w:start w:val="1"/>
      <w:numFmt w:val="bullet"/>
      <w:lvlText w:val=""/>
      <w:lvlJc w:val="left"/>
      <w:pPr>
        <w:ind w:left="5040" w:hanging="360"/>
      </w:pPr>
      <w:rPr>
        <w:rFonts w:ascii="Symbol" w:hAnsi="Symbol" w:hint="default"/>
      </w:rPr>
    </w:lvl>
    <w:lvl w:ilvl="7" w:tplc="213669F2">
      <w:start w:val="1"/>
      <w:numFmt w:val="bullet"/>
      <w:lvlText w:val="o"/>
      <w:lvlJc w:val="left"/>
      <w:pPr>
        <w:ind w:left="5760" w:hanging="360"/>
      </w:pPr>
      <w:rPr>
        <w:rFonts w:ascii="Courier New" w:hAnsi="Courier New" w:cs="Times New Roman" w:hint="default"/>
      </w:rPr>
    </w:lvl>
    <w:lvl w:ilvl="8" w:tplc="C1148F38">
      <w:start w:val="1"/>
      <w:numFmt w:val="bullet"/>
      <w:lvlText w:val=""/>
      <w:lvlJc w:val="left"/>
      <w:pPr>
        <w:ind w:left="6480" w:hanging="360"/>
      </w:pPr>
      <w:rPr>
        <w:rFonts w:ascii="Wingdings" w:hAnsi="Wingdings" w:hint="default"/>
      </w:rPr>
    </w:lvl>
  </w:abstractNum>
  <w:abstractNum w:abstractNumId="35" w15:restartNumberingAfterBreak="0">
    <w:nsid w:val="27594411"/>
    <w:multiLevelType w:val="hybridMultilevel"/>
    <w:tmpl w:val="DF5A2D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8126E9E"/>
    <w:multiLevelType w:val="hybridMultilevel"/>
    <w:tmpl w:val="09B4AD8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7" w15:restartNumberingAfterBreak="0">
    <w:nsid w:val="293353BE"/>
    <w:multiLevelType w:val="hybridMultilevel"/>
    <w:tmpl w:val="B4D25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9C5353B"/>
    <w:multiLevelType w:val="hybridMultilevel"/>
    <w:tmpl w:val="B2981F0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A105F04"/>
    <w:multiLevelType w:val="multilevel"/>
    <w:tmpl w:val="F4088C98"/>
    <w:lvl w:ilvl="0">
      <w:start w:val="1"/>
      <w:numFmt w:val="decimal"/>
      <w:lvlText w:val="%1."/>
      <w:lvlJc w:val="left"/>
      <w:pPr>
        <w:ind w:left="720" w:hanging="360"/>
      </w:pPr>
      <w:rPr>
        <w:rFonts w:hint="default"/>
      </w:rPr>
    </w:lvl>
    <w:lvl w:ilvl="1">
      <w:start w:val="2"/>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A1C36E2"/>
    <w:multiLevelType w:val="hybridMultilevel"/>
    <w:tmpl w:val="6D90CF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2A972637"/>
    <w:multiLevelType w:val="hybridMultilevel"/>
    <w:tmpl w:val="8500D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B006C45"/>
    <w:multiLevelType w:val="hybridMultilevel"/>
    <w:tmpl w:val="8DDE154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14233C"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14233C"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14233C"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14233C"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14233C" w:themeColor="text2"/>
      </w:rPr>
    </w:lvl>
  </w:abstractNum>
  <w:abstractNum w:abstractNumId="44" w15:restartNumberingAfterBreak="0">
    <w:nsid w:val="2BC851CD"/>
    <w:multiLevelType w:val="hybridMultilevel"/>
    <w:tmpl w:val="F15266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5" w15:restartNumberingAfterBreak="0">
    <w:nsid w:val="2C20085B"/>
    <w:multiLevelType w:val="hybridMultilevel"/>
    <w:tmpl w:val="6E8A3B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6" w15:restartNumberingAfterBreak="0">
    <w:nsid w:val="2FB85EA0"/>
    <w:multiLevelType w:val="hybridMultilevel"/>
    <w:tmpl w:val="EB0A663E"/>
    <w:lvl w:ilvl="0" w:tplc="B79EA528">
      <w:start w:val="1"/>
      <w:numFmt w:val="bullet"/>
      <w:lvlText w:val=""/>
      <w:lvlJc w:val="left"/>
      <w:pPr>
        <w:ind w:left="360" w:hanging="360"/>
      </w:pPr>
      <w:rPr>
        <w:rFonts w:ascii="Symbol" w:hAnsi="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311B27CB"/>
    <w:multiLevelType w:val="hybridMultilevel"/>
    <w:tmpl w:val="B4D6F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2AB099C"/>
    <w:multiLevelType w:val="multilevel"/>
    <w:tmpl w:val="C23276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B62A09"/>
    <w:multiLevelType w:val="hybridMultilevel"/>
    <w:tmpl w:val="9FCE107C"/>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32CB5226"/>
    <w:multiLevelType w:val="hybridMultilevel"/>
    <w:tmpl w:val="6EFC3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34FD14C4"/>
    <w:multiLevelType w:val="hybridMultilevel"/>
    <w:tmpl w:val="FD4A91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351F366F"/>
    <w:multiLevelType w:val="hybridMultilevel"/>
    <w:tmpl w:val="39ACD02A"/>
    <w:lvl w:ilvl="0" w:tplc="F91C2A5A">
      <w:start w:val="1"/>
      <w:numFmt w:val="bullet"/>
      <w:pStyle w:val="ListParagraph"/>
      <w:lvlText w:val=""/>
      <w:lvlJc w:val="left"/>
      <w:pPr>
        <w:ind w:left="720" w:hanging="360"/>
      </w:pPr>
      <w:rPr>
        <w:rFonts w:ascii="Symbol" w:hAnsi="Symbol" w:hint="default"/>
        <w:color w:val="auto"/>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64E1CE2"/>
    <w:multiLevelType w:val="hybridMultilevel"/>
    <w:tmpl w:val="8DA6BC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3664F3C8"/>
    <w:multiLevelType w:val="hybridMultilevel"/>
    <w:tmpl w:val="D0BC64D4"/>
    <w:lvl w:ilvl="0" w:tplc="0C090001">
      <w:start w:val="1"/>
      <w:numFmt w:val="bullet"/>
      <w:lvlText w:val=""/>
      <w:lvlJc w:val="left"/>
      <w:pPr>
        <w:ind w:left="360" w:hanging="360"/>
      </w:pPr>
      <w:rPr>
        <w:rFonts w:ascii="Symbol" w:hAnsi="Symbol" w:hint="default"/>
      </w:rPr>
    </w:lvl>
    <w:lvl w:ilvl="1" w:tplc="72FA5ABE">
      <w:start w:val="1"/>
      <w:numFmt w:val="bullet"/>
      <w:lvlText w:val="o"/>
      <w:lvlJc w:val="left"/>
      <w:pPr>
        <w:ind w:left="1440" w:hanging="360"/>
      </w:pPr>
      <w:rPr>
        <w:rFonts w:ascii="Courier New" w:hAnsi="Courier New" w:cs="Times New Roman" w:hint="default"/>
      </w:rPr>
    </w:lvl>
    <w:lvl w:ilvl="2" w:tplc="999EE030">
      <w:start w:val="1"/>
      <w:numFmt w:val="bullet"/>
      <w:lvlText w:val=""/>
      <w:lvlJc w:val="left"/>
      <w:pPr>
        <w:ind w:left="2160" w:hanging="360"/>
      </w:pPr>
      <w:rPr>
        <w:rFonts w:ascii="Wingdings" w:hAnsi="Wingdings" w:hint="default"/>
      </w:rPr>
    </w:lvl>
    <w:lvl w:ilvl="3" w:tplc="1C8EC990">
      <w:start w:val="1"/>
      <w:numFmt w:val="bullet"/>
      <w:lvlText w:val=""/>
      <w:lvlJc w:val="left"/>
      <w:pPr>
        <w:ind w:left="2880" w:hanging="360"/>
      </w:pPr>
      <w:rPr>
        <w:rFonts w:ascii="Symbol" w:hAnsi="Symbol" w:hint="default"/>
      </w:rPr>
    </w:lvl>
    <w:lvl w:ilvl="4" w:tplc="11C64D1A">
      <w:start w:val="1"/>
      <w:numFmt w:val="bullet"/>
      <w:lvlText w:val="o"/>
      <w:lvlJc w:val="left"/>
      <w:pPr>
        <w:ind w:left="3600" w:hanging="360"/>
      </w:pPr>
      <w:rPr>
        <w:rFonts w:ascii="Courier New" w:hAnsi="Courier New" w:cs="Times New Roman" w:hint="default"/>
      </w:rPr>
    </w:lvl>
    <w:lvl w:ilvl="5" w:tplc="604A49D8">
      <w:start w:val="1"/>
      <w:numFmt w:val="bullet"/>
      <w:lvlText w:val=""/>
      <w:lvlJc w:val="left"/>
      <w:pPr>
        <w:ind w:left="4320" w:hanging="360"/>
      </w:pPr>
      <w:rPr>
        <w:rFonts w:ascii="Wingdings" w:hAnsi="Wingdings" w:hint="default"/>
      </w:rPr>
    </w:lvl>
    <w:lvl w:ilvl="6" w:tplc="44D64D60">
      <w:start w:val="1"/>
      <w:numFmt w:val="bullet"/>
      <w:lvlText w:val=""/>
      <w:lvlJc w:val="left"/>
      <w:pPr>
        <w:ind w:left="5040" w:hanging="360"/>
      </w:pPr>
      <w:rPr>
        <w:rFonts w:ascii="Symbol" w:hAnsi="Symbol" w:hint="default"/>
      </w:rPr>
    </w:lvl>
    <w:lvl w:ilvl="7" w:tplc="E5B85936">
      <w:start w:val="1"/>
      <w:numFmt w:val="bullet"/>
      <w:lvlText w:val="o"/>
      <w:lvlJc w:val="left"/>
      <w:pPr>
        <w:ind w:left="5760" w:hanging="360"/>
      </w:pPr>
      <w:rPr>
        <w:rFonts w:ascii="Courier New" w:hAnsi="Courier New" w:cs="Times New Roman" w:hint="default"/>
      </w:rPr>
    </w:lvl>
    <w:lvl w:ilvl="8" w:tplc="FB022BD0">
      <w:start w:val="1"/>
      <w:numFmt w:val="bullet"/>
      <w:lvlText w:val=""/>
      <w:lvlJc w:val="left"/>
      <w:pPr>
        <w:ind w:left="6480" w:hanging="360"/>
      </w:pPr>
      <w:rPr>
        <w:rFonts w:ascii="Wingdings" w:hAnsi="Wingdings" w:hint="default"/>
      </w:rPr>
    </w:lvl>
  </w:abstractNum>
  <w:abstractNum w:abstractNumId="55" w15:restartNumberingAfterBreak="0">
    <w:nsid w:val="36A22DB1"/>
    <w:multiLevelType w:val="hybridMultilevel"/>
    <w:tmpl w:val="3F4E2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73C31C8"/>
    <w:multiLevelType w:val="hybridMultilevel"/>
    <w:tmpl w:val="0EA04B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7" w15:restartNumberingAfterBreak="0">
    <w:nsid w:val="3795958C"/>
    <w:multiLevelType w:val="hybridMultilevel"/>
    <w:tmpl w:val="D7380652"/>
    <w:lvl w:ilvl="0" w:tplc="E2B8465C">
      <w:start w:val="1"/>
      <w:numFmt w:val="decimal"/>
      <w:lvlText w:val="%1."/>
      <w:lvlJc w:val="left"/>
      <w:pPr>
        <w:ind w:left="360" w:hanging="360"/>
      </w:pPr>
    </w:lvl>
    <w:lvl w:ilvl="1" w:tplc="A2ECD45A">
      <w:start w:val="1"/>
      <w:numFmt w:val="bullet"/>
      <w:lvlText w:val="o"/>
      <w:lvlJc w:val="left"/>
      <w:pPr>
        <w:ind w:left="1440" w:hanging="360"/>
      </w:pPr>
      <w:rPr>
        <w:rFonts w:ascii="Courier New" w:hAnsi="Courier New" w:cs="Times New Roman" w:hint="default"/>
      </w:rPr>
    </w:lvl>
    <w:lvl w:ilvl="2" w:tplc="FA321CB6">
      <w:start w:val="1"/>
      <w:numFmt w:val="lowerRoman"/>
      <w:lvlText w:val="%3."/>
      <w:lvlJc w:val="right"/>
      <w:pPr>
        <w:ind w:left="2160" w:hanging="180"/>
      </w:pPr>
    </w:lvl>
    <w:lvl w:ilvl="3" w:tplc="D3B437CC">
      <w:start w:val="1"/>
      <w:numFmt w:val="decimal"/>
      <w:lvlText w:val="%4."/>
      <w:lvlJc w:val="left"/>
      <w:pPr>
        <w:ind w:left="2880" w:hanging="360"/>
      </w:pPr>
    </w:lvl>
    <w:lvl w:ilvl="4" w:tplc="EC2CDA3A">
      <w:start w:val="1"/>
      <w:numFmt w:val="lowerLetter"/>
      <w:lvlText w:val="%5."/>
      <w:lvlJc w:val="left"/>
      <w:pPr>
        <w:ind w:left="3600" w:hanging="360"/>
      </w:pPr>
    </w:lvl>
    <w:lvl w:ilvl="5" w:tplc="72AA50B0">
      <w:start w:val="1"/>
      <w:numFmt w:val="lowerRoman"/>
      <w:lvlText w:val="%6."/>
      <w:lvlJc w:val="right"/>
      <w:pPr>
        <w:ind w:left="4320" w:hanging="180"/>
      </w:pPr>
    </w:lvl>
    <w:lvl w:ilvl="6" w:tplc="D452F9C2">
      <w:start w:val="1"/>
      <w:numFmt w:val="decimal"/>
      <w:lvlText w:val="%7."/>
      <w:lvlJc w:val="left"/>
      <w:pPr>
        <w:ind w:left="5040" w:hanging="360"/>
      </w:pPr>
    </w:lvl>
    <w:lvl w:ilvl="7" w:tplc="46E6765C">
      <w:start w:val="1"/>
      <w:numFmt w:val="lowerLetter"/>
      <w:lvlText w:val="%8."/>
      <w:lvlJc w:val="left"/>
      <w:pPr>
        <w:ind w:left="5760" w:hanging="360"/>
      </w:pPr>
    </w:lvl>
    <w:lvl w:ilvl="8" w:tplc="340AB56C">
      <w:start w:val="1"/>
      <w:numFmt w:val="lowerRoman"/>
      <w:lvlText w:val="%9."/>
      <w:lvlJc w:val="right"/>
      <w:pPr>
        <w:ind w:left="6480" w:hanging="180"/>
      </w:pPr>
    </w:lvl>
  </w:abstractNum>
  <w:abstractNum w:abstractNumId="58" w15:restartNumberingAfterBreak="0">
    <w:nsid w:val="37FD17A1"/>
    <w:multiLevelType w:val="hybridMultilevel"/>
    <w:tmpl w:val="790E70CA"/>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9" w15:restartNumberingAfterBreak="0">
    <w:nsid w:val="381B34D4"/>
    <w:multiLevelType w:val="hybridMultilevel"/>
    <w:tmpl w:val="6F2EBC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87B13B1"/>
    <w:multiLevelType w:val="hybridMultilevel"/>
    <w:tmpl w:val="5ED8F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38D622A2"/>
    <w:multiLevelType w:val="hybridMultilevel"/>
    <w:tmpl w:val="6E6C86BA"/>
    <w:lvl w:ilvl="0" w:tplc="0C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9292C56"/>
    <w:multiLevelType w:val="hybridMultilevel"/>
    <w:tmpl w:val="1F16F8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3B060B96"/>
    <w:multiLevelType w:val="hybridMultilevel"/>
    <w:tmpl w:val="66D8F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3BF846CA"/>
    <w:multiLevelType w:val="hybridMultilevel"/>
    <w:tmpl w:val="D6704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3D16329E"/>
    <w:multiLevelType w:val="hybridMultilevel"/>
    <w:tmpl w:val="3BAA6F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3D970D14"/>
    <w:multiLevelType w:val="hybridMultilevel"/>
    <w:tmpl w:val="AFB0671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3F79516E"/>
    <w:multiLevelType w:val="hybridMultilevel"/>
    <w:tmpl w:val="78A49E08"/>
    <w:lvl w:ilvl="0" w:tplc="506466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03328D7"/>
    <w:multiLevelType w:val="hybridMultilevel"/>
    <w:tmpl w:val="704ECA8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05F4842"/>
    <w:multiLevelType w:val="multilevel"/>
    <w:tmpl w:val="281C291A"/>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70" w15:restartNumberingAfterBreak="0">
    <w:nsid w:val="406939F3"/>
    <w:multiLevelType w:val="hybridMultilevel"/>
    <w:tmpl w:val="D5105D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41C25E6A"/>
    <w:multiLevelType w:val="hybridMultilevel"/>
    <w:tmpl w:val="BE8477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42BD1312"/>
    <w:multiLevelType w:val="hybridMultilevel"/>
    <w:tmpl w:val="9B0C86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431011D5"/>
    <w:multiLevelType w:val="hybridMultilevel"/>
    <w:tmpl w:val="B70850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44900EF8"/>
    <w:multiLevelType w:val="hybridMultilevel"/>
    <w:tmpl w:val="D152AD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450174DA"/>
    <w:multiLevelType w:val="hybridMultilevel"/>
    <w:tmpl w:val="0C32297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51578A7"/>
    <w:multiLevelType w:val="multilevel"/>
    <w:tmpl w:val="AF8C132C"/>
    <w:lvl w:ilvl="0">
      <w:start w:val="1"/>
      <w:numFmt w:val="bullet"/>
      <w:pStyle w:val="ListBullet"/>
      <w:lvlText w:val=""/>
      <w:lvlJc w:val="left"/>
      <w:pPr>
        <w:ind w:left="340" w:hanging="340"/>
      </w:pPr>
      <w:rPr>
        <w:rFonts w:ascii="Symbol" w:hAnsi="Symbol" w:hint="default"/>
        <w:color w:val="auto"/>
      </w:rPr>
    </w:lvl>
    <w:lvl w:ilvl="1">
      <w:start w:val="1"/>
      <w:numFmt w:val="bullet"/>
      <w:lvlText w:val="o"/>
      <w:lvlJc w:val="left"/>
      <w:pPr>
        <w:ind w:left="700" w:hanging="360"/>
      </w:pPr>
      <w:rPr>
        <w:rFonts w:ascii="Courier New" w:hAnsi="Courier New" w:cs="Courier New"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77" w15:restartNumberingAfterBreak="0">
    <w:nsid w:val="453D7E6A"/>
    <w:multiLevelType w:val="hybridMultilevel"/>
    <w:tmpl w:val="402C666E"/>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104184E">
      <w:numFmt w:val="bullet"/>
      <w:lvlText w:val="-"/>
      <w:lvlJc w:val="left"/>
      <w:pPr>
        <w:ind w:left="2160" w:hanging="36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5BB6001"/>
    <w:multiLevelType w:val="hybridMultilevel"/>
    <w:tmpl w:val="1130C194"/>
    <w:lvl w:ilvl="0" w:tplc="D7184100">
      <w:start w:val="1"/>
      <w:numFmt w:val="bullet"/>
      <w:lvlText w:val=""/>
      <w:lvlJc w:val="left"/>
      <w:pPr>
        <w:ind w:left="360" w:hanging="360"/>
      </w:pPr>
      <w:rPr>
        <w:rFonts w:ascii="Symbol" w:hAnsi="Symbol" w:hint="default"/>
        <w:color w:val="auto"/>
      </w:rPr>
    </w:lvl>
    <w:lvl w:ilvl="1" w:tplc="FBC2CCC0">
      <w:numFmt w:val="bullet"/>
      <w:lvlText w:val="•"/>
      <w:lvlJc w:val="left"/>
      <w:pPr>
        <w:ind w:left="1440" w:hanging="72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470FE69B"/>
    <w:multiLevelType w:val="hybridMultilevel"/>
    <w:tmpl w:val="412A7A12"/>
    <w:lvl w:ilvl="0" w:tplc="878EBC5C">
      <w:start w:val="1"/>
      <w:numFmt w:val="decimal"/>
      <w:lvlText w:val="%1."/>
      <w:lvlJc w:val="left"/>
      <w:pPr>
        <w:ind w:left="360" w:hanging="360"/>
      </w:pPr>
    </w:lvl>
    <w:lvl w:ilvl="1" w:tplc="90AEFEE2">
      <w:start w:val="1"/>
      <w:numFmt w:val="lowerLetter"/>
      <w:lvlText w:val="%2."/>
      <w:lvlJc w:val="left"/>
      <w:pPr>
        <w:ind w:left="1440" w:hanging="360"/>
      </w:pPr>
    </w:lvl>
    <w:lvl w:ilvl="2" w:tplc="C8DAE602">
      <w:start w:val="1"/>
      <w:numFmt w:val="lowerRoman"/>
      <w:lvlText w:val="%3."/>
      <w:lvlJc w:val="right"/>
      <w:pPr>
        <w:ind w:left="2160" w:hanging="180"/>
      </w:pPr>
    </w:lvl>
    <w:lvl w:ilvl="3" w:tplc="8DEAC61C">
      <w:start w:val="1"/>
      <w:numFmt w:val="decimal"/>
      <w:lvlText w:val="%4."/>
      <w:lvlJc w:val="left"/>
      <w:pPr>
        <w:ind w:left="2880" w:hanging="360"/>
      </w:pPr>
    </w:lvl>
    <w:lvl w:ilvl="4" w:tplc="B65EDFDA">
      <w:start w:val="1"/>
      <w:numFmt w:val="lowerLetter"/>
      <w:lvlText w:val="%5."/>
      <w:lvlJc w:val="left"/>
      <w:pPr>
        <w:ind w:left="3600" w:hanging="360"/>
      </w:pPr>
    </w:lvl>
    <w:lvl w:ilvl="5" w:tplc="7236F23E">
      <w:start w:val="1"/>
      <w:numFmt w:val="lowerRoman"/>
      <w:lvlText w:val="%6."/>
      <w:lvlJc w:val="right"/>
      <w:pPr>
        <w:ind w:left="4320" w:hanging="180"/>
      </w:pPr>
    </w:lvl>
    <w:lvl w:ilvl="6" w:tplc="B4C2FA62">
      <w:start w:val="1"/>
      <w:numFmt w:val="decimal"/>
      <w:lvlText w:val="%7."/>
      <w:lvlJc w:val="left"/>
      <w:pPr>
        <w:ind w:left="5040" w:hanging="360"/>
      </w:pPr>
    </w:lvl>
    <w:lvl w:ilvl="7" w:tplc="05D898CA">
      <w:start w:val="1"/>
      <w:numFmt w:val="lowerLetter"/>
      <w:lvlText w:val="%8."/>
      <w:lvlJc w:val="left"/>
      <w:pPr>
        <w:ind w:left="5760" w:hanging="360"/>
      </w:pPr>
    </w:lvl>
    <w:lvl w:ilvl="8" w:tplc="E7BA6558">
      <w:start w:val="1"/>
      <w:numFmt w:val="lowerRoman"/>
      <w:lvlText w:val="%9."/>
      <w:lvlJc w:val="right"/>
      <w:pPr>
        <w:ind w:left="6480" w:hanging="180"/>
      </w:pPr>
    </w:lvl>
  </w:abstractNum>
  <w:abstractNum w:abstractNumId="81"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48756AA6"/>
    <w:multiLevelType w:val="hybridMultilevel"/>
    <w:tmpl w:val="461C35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499471A4"/>
    <w:multiLevelType w:val="hybridMultilevel"/>
    <w:tmpl w:val="C5329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9D70379"/>
    <w:multiLevelType w:val="hybridMultilevel"/>
    <w:tmpl w:val="D2CA07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4A9612C2"/>
    <w:multiLevelType w:val="hybridMultilevel"/>
    <w:tmpl w:val="881C2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A9F7E4B"/>
    <w:multiLevelType w:val="hybridMultilevel"/>
    <w:tmpl w:val="A524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B663C46"/>
    <w:multiLevelType w:val="hybridMultilevel"/>
    <w:tmpl w:val="A462E6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8" w15:restartNumberingAfterBreak="0">
    <w:nsid w:val="4D2010D9"/>
    <w:multiLevelType w:val="hybridMultilevel"/>
    <w:tmpl w:val="24BCC1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4D974C96"/>
    <w:multiLevelType w:val="hybridMultilevel"/>
    <w:tmpl w:val="9A38D0A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0" w15:restartNumberingAfterBreak="0">
    <w:nsid w:val="4DD70413"/>
    <w:multiLevelType w:val="hybridMultilevel"/>
    <w:tmpl w:val="E2E89F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506A2E48"/>
    <w:multiLevelType w:val="hybridMultilevel"/>
    <w:tmpl w:val="60423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506E5BF5"/>
    <w:multiLevelType w:val="hybridMultilevel"/>
    <w:tmpl w:val="E9063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2066A0F"/>
    <w:multiLevelType w:val="hybridMultilevel"/>
    <w:tmpl w:val="3190B1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52D860F0"/>
    <w:multiLevelType w:val="hybridMultilevel"/>
    <w:tmpl w:val="467C6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5850B6C"/>
    <w:multiLevelType w:val="hybridMultilevel"/>
    <w:tmpl w:val="AC305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55B130BB"/>
    <w:multiLevelType w:val="hybridMultilevel"/>
    <w:tmpl w:val="D020D0D6"/>
    <w:lvl w:ilvl="0" w:tplc="0DF4A4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59804F4B"/>
    <w:multiLevelType w:val="hybridMultilevel"/>
    <w:tmpl w:val="7878F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A437627"/>
    <w:multiLevelType w:val="hybridMultilevel"/>
    <w:tmpl w:val="ABF4657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9" w15:restartNumberingAfterBreak="0">
    <w:nsid w:val="5CC492AD"/>
    <w:multiLevelType w:val="hybridMultilevel"/>
    <w:tmpl w:val="6892436A"/>
    <w:lvl w:ilvl="0" w:tplc="86946DA2">
      <w:start w:val="1"/>
      <w:numFmt w:val="decimal"/>
      <w:lvlText w:val="%1."/>
      <w:lvlJc w:val="left"/>
      <w:pPr>
        <w:ind w:left="360" w:hanging="360"/>
      </w:pPr>
    </w:lvl>
    <w:lvl w:ilvl="1" w:tplc="627499E0">
      <w:start w:val="1"/>
      <w:numFmt w:val="lowerLetter"/>
      <w:lvlText w:val="%2."/>
      <w:lvlJc w:val="left"/>
      <w:pPr>
        <w:ind w:left="1080" w:hanging="360"/>
      </w:pPr>
    </w:lvl>
    <w:lvl w:ilvl="2" w:tplc="A6269F96">
      <w:start w:val="1"/>
      <w:numFmt w:val="lowerRoman"/>
      <w:lvlText w:val="%3."/>
      <w:lvlJc w:val="right"/>
      <w:pPr>
        <w:ind w:left="1800" w:hanging="180"/>
      </w:pPr>
    </w:lvl>
    <w:lvl w:ilvl="3" w:tplc="E4B8EBE8">
      <w:start w:val="1"/>
      <w:numFmt w:val="decimal"/>
      <w:lvlText w:val="%4."/>
      <w:lvlJc w:val="left"/>
      <w:pPr>
        <w:ind w:left="2520" w:hanging="360"/>
      </w:pPr>
    </w:lvl>
    <w:lvl w:ilvl="4" w:tplc="D03C3B2C">
      <w:start w:val="1"/>
      <w:numFmt w:val="lowerLetter"/>
      <w:lvlText w:val="%5."/>
      <w:lvlJc w:val="left"/>
      <w:pPr>
        <w:ind w:left="3240" w:hanging="360"/>
      </w:pPr>
    </w:lvl>
    <w:lvl w:ilvl="5" w:tplc="927C2F00">
      <w:start w:val="1"/>
      <w:numFmt w:val="lowerRoman"/>
      <w:lvlText w:val="%6."/>
      <w:lvlJc w:val="right"/>
      <w:pPr>
        <w:ind w:left="3960" w:hanging="180"/>
      </w:pPr>
    </w:lvl>
    <w:lvl w:ilvl="6" w:tplc="780844E6">
      <w:start w:val="1"/>
      <w:numFmt w:val="decimal"/>
      <w:lvlText w:val="%7."/>
      <w:lvlJc w:val="left"/>
      <w:pPr>
        <w:ind w:left="4680" w:hanging="360"/>
      </w:pPr>
    </w:lvl>
    <w:lvl w:ilvl="7" w:tplc="9408930E">
      <w:start w:val="1"/>
      <w:numFmt w:val="lowerLetter"/>
      <w:lvlText w:val="%8."/>
      <w:lvlJc w:val="left"/>
      <w:pPr>
        <w:ind w:left="5400" w:hanging="360"/>
      </w:pPr>
    </w:lvl>
    <w:lvl w:ilvl="8" w:tplc="274CF414">
      <w:start w:val="1"/>
      <w:numFmt w:val="lowerRoman"/>
      <w:lvlText w:val="%9."/>
      <w:lvlJc w:val="right"/>
      <w:pPr>
        <w:ind w:left="6120" w:hanging="180"/>
      </w:pPr>
    </w:lvl>
  </w:abstractNum>
  <w:abstractNum w:abstractNumId="100" w15:restartNumberingAfterBreak="0">
    <w:nsid w:val="5D084C32"/>
    <w:multiLevelType w:val="hybridMultilevel"/>
    <w:tmpl w:val="E3561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5F8420F6"/>
    <w:multiLevelType w:val="hybridMultilevel"/>
    <w:tmpl w:val="596C07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2"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103" w15:restartNumberingAfterBreak="0">
    <w:nsid w:val="629EB626"/>
    <w:multiLevelType w:val="hybridMultilevel"/>
    <w:tmpl w:val="01044242"/>
    <w:lvl w:ilvl="0" w:tplc="333272B8">
      <w:start w:val="1"/>
      <w:numFmt w:val="decimal"/>
      <w:lvlText w:val="%1."/>
      <w:lvlJc w:val="left"/>
      <w:pPr>
        <w:ind w:left="360" w:hanging="360"/>
      </w:pPr>
    </w:lvl>
    <w:lvl w:ilvl="1" w:tplc="5AE80F16">
      <w:start w:val="1"/>
      <w:numFmt w:val="lowerLetter"/>
      <w:lvlText w:val="%2."/>
      <w:lvlJc w:val="left"/>
      <w:pPr>
        <w:ind w:left="1440" w:hanging="360"/>
      </w:pPr>
    </w:lvl>
    <w:lvl w:ilvl="2" w:tplc="1A9C4F46">
      <w:start w:val="1"/>
      <w:numFmt w:val="lowerRoman"/>
      <w:lvlText w:val="%3."/>
      <w:lvlJc w:val="right"/>
      <w:pPr>
        <w:ind w:left="2160" w:hanging="180"/>
      </w:pPr>
    </w:lvl>
    <w:lvl w:ilvl="3" w:tplc="CA0E06E6">
      <w:start w:val="1"/>
      <w:numFmt w:val="decimal"/>
      <w:lvlText w:val="%4."/>
      <w:lvlJc w:val="left"/>
      <w:pPr>
        <w:ind w:left="2880" w:hanging="360"/>
      </w:pPr>
    </w:lvl>
    <w:lvl w:ilvl="4" w:tplc="0082EBF2">
      <w:start w:val="1"/>
      <w:numFmt w:val="lowerLetter"/>
      <w:lvlText w:val="%5."/>
      <w:lvlJc w:val="left"/>
      <w:pPr>
        <w:ind w:left="3600" w:hanging="360"/>
      </w:pPr>
    </w:lvl>
    <w:lvl w:ilvl="5" w:tplc="61208DFA">
      <w:start w:val="1"/>
      <w:numFmt w:val="lowerRoman"/>
      <w:lvlText w:val="%6."/>
      <w:lvlJc w:val="right"/>
      <w:pPr>
        <w:ind w:left="4320" w:hanging="180"/>
      </w:pPr>
    </w:lvl>
    <w:lvl w:ilvl="6" w:tplc="4D30B092">
      <w:start w:val="1"/>
      <w:numFmt w:val="decimal"/>
      <w:lvlText w:val="%7."/>
      <w:lvlJc w:val="left"/>
      <w:pPr>
        <w:ind w:left="5040" w:hanging="360"/>
      </w:pPr>
    </w:lvl>
    <w:lvl w:ilvl="7" w:tplc="78C81070">
      <w:start w:val="1"/>
      <w:numFmt w:val="lowerLetter"/>
      <w:lvlText w:val="%8."/>
      <w:lvlJc w:val="left"/>
      <w:pPr>
        <w:ind w:left="5760" w:hanging="360"/>
      </w:pPr>
    </w:lvl>
    <w:lvl w:ilvl="8" w:tplc="E228A05A">
      <w:start w:val="1"/>
      <w:numFmt w:val="lowerRoman"/>
      <w:lvlText w:val="%9."/>
      <w:lvlJc w:val="right"/>
      <w:pPr>
        <w:ind w:left="6480" w:hanging="180"/>
      </w:pPr>
    </w:lvl>
  </w:abstractNum>
  <w:abstractNum w:abstractNumId="104" w15:restartNumberingAfterBreak="0">
    <w:nsid w:val="62CB6459"/>
    <w:multiLevelType w:val="hybridMultilevel"/>
    <w:tmpl w:val="ACE66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2F46508"/>
    <w:multiLevelType w:val="multilevel"/>
    <w:tmpl w:val="BD9A4C98"/>
    <w:lvl w:ilvl="0">
      <w:start w:val="1"/>
      <w:numFmt w:val="bullet"/>
      <w:pStyle w:val="ListBullet2"/>
      <w:lvlText w:val="o"/>
      <w:lvlJc w:val="left"/>
      <w:pPr>
        <w:ind w:left="700" w:hanging="360"/>
      </w:pPr>
      <w:rPr>
        <w:rFonts w:ascii="Courier New" w:hAnsi="Courier New" w:cs="Courier New"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106" w15:restartNumberingAfterBreak="0">
    <w:nsid w:val="643C895B"/>
    <w:multiLevelType w:val="hybridMultilevel"/>
    <w:tmpl w:val="4594A20E"/>
    <w:lvl w:ilvl="0" w:tplc="0C090001">
      <w:start w:val="1"/>
      <w:numFmt w:val="bullet"/>
      <w:lvlText w:val=""/>
      <w:lvlJc w:val="left"/>
      <w:pPr>
        <w:ind w:left="360" w:hanging="360"/>
      </w:pPr>
      <w:rPr>
        <w:rFonts w:ascii="Symbol" w:hAnsi="Symbol" w:hint="default"/>
      </w:rPr>
    </w:lvl>
    <w:lvl w:ilvl="1" w:tplc="B0E8405E">
      <w:start w:val="1"/>
      <w:numFmt w:val="bullet"/>
      <w:lvlText w:val="o"/>
      <w:lvlJc w:val="left"/>
      <w:pPr>
        <w:ind w:left="1440" w:hanging="360"/>
      </w:pPr>
      <w:rPr>
        <w:rFonts w:ascii="Courier New" w:hAnsi="Courier New" w:cs="Times New Roman" w:hint="default"/>
      </w:rPr>
    </w:lvl>
    <w:lvl w:ilvl="2" w:tplc="CF98938A">
      <w:start w:val="1"/>
      <w:numFmt w:val="bullet"/>
      <w:lvlText w:val=""/>
      <w:lvlJc w:val="left"/>
      <w:pPr>
        <w:ind w:left="2160" w:hanging="360"/>
      </w:pPr>
      <w:rPr>
        <w:rFonts w:ascii="Wingdings" w:hAnsi="Wingdings" w:hint="default"/>
      </w:rPr>
    </w:lvl>
    <w:lvl w:ilvl="3" w:tplc="B8A4026E">
      <w:start w:val="1"/>
      <w:numFmt w:val="bullet"/>
      <w:lvlText w:val=""/>
      <w:lvlJc w:val="left"/>
      <w:pPr>
        <w:ind w:left="2880" w:hanging="360"/>
      </w:pPr>
      <w:rPr>
        <w:rFonts w:ascii="Symbol" w:hAnsi="Symbol" w:hint="default"/>
      </w:rPr>
    </w:lvl>
    <w:lvl w:ilvl="4" w:tplc="90580834">
      <w:start w:val="1"/>
      <w:numFmt w:val="bullet"/>
      <w:lvlText w:val="o"/>
      <w:lvlJc w:val="left"/>
      <w:pPr>
        <w:ind w:left="3600" w:hanging="360"/>
      </w:pPr>
      <w:rPr>
        <w:rFonts w:ascii="Courier New" w:hAnsi="Courier New" w:cs="Times New Roman" w:hint="default"/>
      </w:rPr>
    </w:lvl>
    <w:lvl w:ilvl="5" w:tplc="2B942AD6">
      <w:start w:val="1"/>
      <w:numFmt w:val="bullet"/>
      <w:lvlText w:val=""/>
      <w:lvlJc w:val="left"/>
      <w:pPr>
        <w:ind w:left="4320" w:hanging="360"/>
      </w:pPr>
      <w:rPr>
        <w:rFonts w:ascii="Wingdings" w:hAnsi="Wingdings" w:hint="default"/>
      </w:rPr>
    </w:lvl>
    <w:lvl w:ilvl="6" w:tplc="A14A04EE">
      <w:start w:val="1"/>
      <w:numFmt w:val="bullet"/>
      <w:lvlText w:val=""/>
      <w:lvlJc w:val="left"/>
      <w:pPr>
        <w:ind w:left="5040" w:hanging="360"/>
      </w:pPr>
      <w:rPr>
        <w:rFonts w:ascii="Symbol" w:hAnsi="Symbol" w:hint="default"/>
      </w:rPr>
    </w:lvl>
    <w:lvl w:ilvl="7" w:tplc="80AA5EBC">
      <w:start w:val="1"/>
      <w:numFmt w:val="bullet"/>
      <w:lvlText w:val="o"/>
      <w:lvlJc w:val="left"/>
      <w:pPr>
        <w:ind w:left="5760" w:hanging="360"/>
      </w:pPr>
      <w:rPr>
        <w:rFonts w:ascii="Courier New" w:hAnsi="Courier New" w:cs="Times New Roman" w:hint="default"/>
      </w:rPr>
    </w:lvl>
    <w:lvl w:ilvl="8" w:tplc="DA14C8AA">
      <w:start w:val="1"/>
      <w:numFmt w:val="bullet"/>
      <w:lvlText w:val=""/>
      <w:lvlJc w:val="left"/>
      <w:pPr>
        <w:ind w:left="6480" w:hanging="360"/>
      </w:pPr>
      <w:rPr>
        <w:rFonts w:ascii="Wingdings" w:hAnsi="Wingdings" w:hint="default"/>
      </w:rPr>
    </w:lvl>
  </w:abstractNum>
  <w:abstractNum w:abstractNumId="107" w15:restartNumberingAfterBreak="0">
    <w:nsid w:val="650A0439"/>
    <w:multiLevelType w:val="hybridMultilevel"/>
    <w:tmpl w:val="695EA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66D3F05"/>
    <w:multiLevelType w:val="multilevel"/>
    <w:tmpl w:val="A74EDA24"/>
    <w:lvl w:ilvl="0">
      <w:start w:val="1"/>
      <w:numFmt w:val="bullet"/>
      <w:lvlText w:val=""/>
      <w:lvlJc w:val="left"/>
      <w:pPr>
        <w:ind w:left="360" w:hanging="360"/>
      </w:pPr>
      <w:rPr>
        <w:rFonts w:ascii="Symbol" w:hAnsi="Symbol" w:hint="default"/>
      </w:rPr>
    </w:lvl>
    <w:lvl w:ilvl="1">
      <w:start w:val="1"/>
      <w:numFmt w:val="decimal"/>
      <w:isLgl/>
      <w:lvlText w:val="%1.%2"/>
      <w:lvlJc w:val="left"/>
      <w:pPr>
        <w:ind w:left="528" w:hanging="52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9" w15:restartNumberingAfterBreak="0">
    <w:nsid w:val="670F274B"/>
    <w:multiLevelType w:val="hybridMultilevel"/>
    <w:tmpl w:val="7802647E"/>
    <w:lvl w:ilvl="0" w:tplc="9530D710">
      <w:start w:val="1"/>
      <w:numFmt w:val="decimal"/>
      <w:lvlText w:val="%1."/>
      <w:lvlJc w:val="left"/>
      <w:pPr>
        <w:ind w:left="360" w:hanging="360"/>
      </w:pPr>
    </w:lvl>
    <w:lvl w:ilvl="1" w:tplc="0FC412AC">
      <w:start w:val="1"/>
      <w:numFmt w:val="lowerLetter"/>
      <w:lvlText w:val="%2."/>
      <w:lvlJc w:val="left"/>
      <w:pPr>
        <w:ind w:left="1080" w:hanging="360"/>
      </w:pPr>
    </w:lvl>
    <w:lvl w:ilvl="2" w:tplc="C0EC993E">
      <w:start w:val="1"/>
      <w:numFmt w:val="lowerRoman"/>
      <w:lvlText w:val="%3."/>
      <w:lvlJc w:val="right"/>
      <w:pPr>
        <w:ind w:left="1800" w:hanging="180"/>
      </w:pPr>
    </w:lvl>
    <w:lvl w:ilvl="3" w:tplc="48FC4554">
      <w:start w:val="1"/>
      <w:numFmt w:val="decimal"/>
      <w:lvlText w:val="%4."/>
      <w:lvlJc w:val="left"/>
      <w:pPr>
        <w:ind w:left="2520" w:hanging="360"/>
      </w:pPr>
    </w:lvl>
    <w:lvl w:ilvl="4" w:tplc="035C47DE">
      <w:start w:val="1"/>
      <w:numFmt w:val="lowerLetter"/>
      <w:lvlText w:val="%5."/>
      <w:lvlJc w:val="left"/>
      <w:pPr>
        <w:ind w:left="3240" w:hanging="360"/>
      </w:pPr>
    </w:lvl>
    <w:lvl w:ilvl="5" w:tplc="602CF1BE">
      <w:start w:val="1"/>
      <w:numFmt w:val="lowerRoman"/>
      <w:lvlText w:val="%6."/>
      <w:lvlJc w:val="right"/>
      <w:pPr>
        <w:ind w:left="3960" w:hanging="180"/>
      </w:pPr>
    </w:lvl>
    <w:lvl w:ilvl="6" w:tplc="C19289CA">
      <w:start w:val="1"/>
      <w:numFmt w:val="decimal"/>
      <w:lvlText w:val="%7."/>
      <w:lvlJc w:val="left"/>
      <w:pPr>
        <w:ind w:left="4680" w:hanging="360"/>
      </w:pPr>
    </w:lvl>
    <w:lvl w:ilvl="7" w:tplc="76FC01DA">
      <w:start w:val="1"/>
      <w:numFmt w:val="lowerLetter"/>
      <w:lvlText w:val="%8."/>
      <w:lvlJc w:val="left"/>
      <w:pPr>
        <w:ind w:left="5400" w:hanging="360"/>
      </w:pPr>
    </w:lvl>
    <w:lvl w:ilvl="8" w:tplc="8AA2F0F2">
      <w:start w:val="1"/>
      <w:numFmt w:val="lowerRoman"/>
      <w:lvlText w:val="%9."/>
      <w:lvlJc w:val="right"/>
      <w:pPr>
        <w:ind w:left="6120" w:hanging="180"/>
      </w:pPr>
    </w:lvl>
  </w:abstractNum>
  <w:abstractNum w:abstractNumId="110" w15:restartNumberingAfterBreak="0">
    <w:nsid w:val="67A332D6"/>
    <w:multiLevelType w:val="hybridMultilevel"/>
    <w:tmpl w:val="1B56F18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689B4DB0"/>
    <w:multiLevelType w:val="hybridMultilevel"/>
    <w:tmpl w:val="603C32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6A365480"/>
    <w:multiLevelType w:val="hybridMultilevel"/>
    <w:tmpl w:val="02AE2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6B381731"/>
    <w:multiLevelType w:val="hybridMultilevel"/>
    <w:tmpl w:val="C374EB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6B4A4183"/>
    <w:multiLevelType w:val="hybridMultilevel"/>
    <w:tmpl w:val="015A25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5" w15:restartNumberingAfterBreak="0">
    <w:nsid w:val="6C3C092E"/>
    <w:multiLevelType w:val="hybridMultilevel"/>
    <w:tmpl w:val="DB8052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6C46173F"/>
    <w:multiLevelType w:val="hybridMultilevel"/>
    <w:tmpl w:val="E084C6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6DAE7ED0"/>
    <w:multiLevelType w:val="hybridMultilevel"/>
    <w:tmpl w:val="A5D43290"/>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8" w15:restartNumberingAfterBreak="0">
    <w:nsid w:val="6E0C23B0"/>
    <w:multiLevelType w:val="multilevel"/>
    <w:tmpl w:val="A74EDA24"/>
    <w:lvl w:ilvl="0">
      <w:start w:val="1"/>
      <w:numFmt w:val="bullet"/>
      <w:lvlText w:val=""/>
      <w:lvlJc w:val="left"/>
      <w:pPr>
        <w:ind w:left="360" w:hanging="360"/>
      </w:pPr>
      <w:rPr>
        <w:rFonts w:ascii="Symbol" w:hAnsi="Symbol" w:hint="default"/>
      </w:rPr>
    </w:lvl>
    <w:lvl w:ilvl="1">
      <w:start w:val="1"/>
      <w:numFmt w:val="decimal"/>
      <w:isLgl/>
      <w:lvlText w:val="%1.%2"/>
      <w:lvlJc w:val="left"/>
      <w:pPr>
        <w:ind w:left="528" w:hanging="52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9" w15:restartNumberingAfterBreak="0">
    <w:nsid w:val="6E2A1EE3"/>
    <w:multiLevelType w:val="hybridMultilevel"/>
    <w:tmpl w:val="481253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70565DFC"/>
    <w:multiLevelType w:val="hybridMultilevel"/>
    <w:tmpl w:val="B6FC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175689F"/>
    <w:multiLevelType w:val="hybridMultilevel"/>
    <w:tmpl w:val="D84EA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202DC6F"/>
    <w:multiLevelType w:val="hybridMultilevel"/>
    <w:tmpl w:val="C66C9B96"/>
    <w:lvl w:ilvl="0" w:tplc="0C090001">
      <w:start w:val="1"/>
      <w:numFmt w:val="bullet"/>
      <w:lvlText w:val=""/>
      <w:lvlJc w:val="left"/>
      <w:pPr>
        <w:ind w:left="360" w:hanging="360"/>
      </w:pPr>
      <w:rPr>
        <w:rFonts w:ascii="Symbol" w:hAnsi="Symbol" w:hint="default"/>
      </w:rPr>
    </w:lvl>
    <w:lvl w:ilvl="1" w:tplc="18DE7956">
      <w:start w:val="1"/>
      <w:numFmt w:val="lowerLetter"/>
      <w:lvlText w:val="%2."/>
      <w:lvlJc w:val="left"/>
      <w:pPr>
        <w:ind w:left="1440" w:hanging="360"/>
      </w:pPr>
    </w:lvl>
    <w:lvl w:ilvl="2" w:tplc="43F463DE">
      <w:start w:val="1"/>
      <w:numFmt w:val="lowerRoman"/>
      <w:lvlText w:val="%3."/>
      <w:lvlJc w:val="right"/>
      <w:pPr>
        <w:ind w:left="2160" w:hanging="180"/>
      </w:pPr>
    </w:lvl>
    <w:lvl w:ilvl="3" w:tplc="D20E0F22">
      <w:start w:val="1"/>
      <w:numFmt w:val="decimal"/>
      <w:lvlText w:val="%4."/>
      <w:lvlJc w:val="left"/>
      <w:pPr>
        <w:ind w:left="2880" w:hanging="360"/>
      </w:pPr>
    </w:lvl>
    <w:lvl w:ilvl="4" w:tplc="DD7A149C">
      <w:start w:val="1"/>
      <w:numFmt w:val="lowerLetter"/>
      <w:lvlText w:val="%5."/>
      <w:lvlJc w:val="left"/>
      <w:pPr>
        <w:ind w:left="3600" w:hanging="360"/>
      </w:pPr>
    </w:lvl>
    <w:lvl w:ilvl="5" w:tplc="EC82E0D6">
      <w:start w:val="1"/>
      <w:numFmt w:val="lowerRoman"/>
      <w:lvlText w:val="%6."/>
      <w:lvlJc w:val="right"/>
      <w:pPr>
        <w:ind w:left="4320" w:hanging="180"/>
      </w:pPr>
    </w:lvl>
    <w:lvl w:ilvl="6" w:tplc="F4F050E4">
      <w:start w:val="1"/>
      <w:numFmt w:val="decimal"/>
      <w:lvlText w:val="%7."/>
      <w:lvlJc w:val="left"/>
      <w:pPr>
        <w:ind w:left="5040" w:hanging="360"/>
      </w:pPr>
    </w:lvl>
    <w:lvl w:ilvl="7" w:tplc="C6EA819E">
      <w:start w:val="1"/>
      <w:numFmt w:val="lowerLetter"/>
      <w:lvlText w:val="%8."/>
      <w:lvlJc w:val="left"/>
      <w:pPr>
        <w:ind w:left="5760" w:hanging="360"/>
      </w:pPr>
    </w:lvl>
    <w:lvl w:ilvl="8" w:tplc="13EA3CA0">
      <w:start w:val="1"/>
      <w:numFmt w:val="lowerRoman"/>
      <w:lvlText w:val="%9."/>
      <w:lvlJc w:val="right"/>
      <w:pPr>
        <w:ind w:left="6480" w:hanging="180"/>
      </w:pPr>
    </w:lvl>
  </w:abstractNum>
  <w:abstractNum w:abstractNumId="123" w15:restartNumberingAfterBreak="0">
    <w:nsid w:val="728231B6"/>
    <w:multiLevelType w:val="hybridMultilevel"/>
    <w:tmpl w:val="A2784A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730B49DE"/>
    <w:multiLevelType w:val="hybridMultilevel"/>
    <w:tmpl w:val="0F408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735270BC"/>
    <w:multiLevelType w:val="hybridMultilevel"/>
    <w:tmpl w:val="464E8FE4"/>
    <w:lvl w:ilvl="0" w:tplc="C1C08E86">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6" w15:restartNumberingAfterBreak="0">
    <w:nsid w:val="75A46751"/>
    <w:multiLevelType w:val="hybridMultilevel"/>
    <w:tmpl w:val="97D8D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5DD7A5A"/>
    <w:multiLevelType w:val="hybridMultilevel"/>
    <w:tmpl w:val="0C902B8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75E7AE2B"/>
    <w:multiLevelType w:val="hybridMultilevel"/>
    <w:tmpl w:val="6C0C75B4"/>
    <w:lvl w:ilvl="0" w:tplc="F41C9892">
      <w:start w:val="1"/>
      <w:numFmt w:val="decimal"/>
      <w:lvlText w:val="%1."/>
      <w:lvlJc w:val="left"/>
      <w:pPr>
        <w:ind w:left="360" w:hanging="360"/>
      </w:pPr>
    </w:lvl>
    <w:lvl w:ilvl="1" w:tplc="8FC27402">
      <w:start w:val="1"/>
      <w:numFmt w:val="lowerLetter"/>
      <w:lvlText w:val="%2."/>
      <w:lvlJc w:val="left"/>
      <w:pPr>
        <w:ind w:left="1080" w:hanging="360"/>
      </w:pPr>
    </w:lvl>
    <w:lvl w:ilvl="2" w:tplc="FDFA28B0">
      <w:start w:val="1"/>
      <w:numFmt w:val="lowerRoman"/>
      <w:lvlText w:val="%3."/>
      <w:lvlJc w:val="right"/>
      <w:pPr>
        <w:ind w:left="1800" w:hanging="180"/>
      </w:pPr>
    </w:lvl>
    <w:lvl w:ilvl="3" w:tplc="712893B8">
      <w:start w:val="1"/>
      <w:numFmt w:val="decimal"/>
      <w:lvlText w:val="%4."/>
      <w:lvlJc w:val="left"/>
      <w:pPr>
        <w:ind w:left="2520" w:hanging="360"/>
      </w:pPr>
    </w:lvl>
    <w:lvl w:ilvl="4" w:tplc="75269AA2">
      <w:start w:val="1"/>
      <w:numFmt w:val="lowerLetter"/>
      <w:lvlText w:val="%5."/>
      <w:lvlJc w:val="left"/>
      <w:pPr>
        <w:ind w:left="3240" w:hanging="360"/>
      </w:pPr>
    </w:lvl>
    <w:lvl w:ilvl="5" w:tplc="D8A2738E">
      <w:start w:val="1"/>
      <w:numFmt w:val="lowerRoman"/>
      <w:lvlText w:val="%6."/>
      <w:lvlJc w:val="right"/>
      <w:pPr>
        <w:ind w:left="3960" w:hanging="180"/>
      </w:pPr>
    </w:lvl>
    <w:lvl w:ilvl="6" w:tplc="7C66C33C">
      <w:start w:val="1"/>
      <w:numFmt w:val="decimal"/>
      <w:lvlText w:val="%7."/>
      <w:lvlJc w:val="left"/>
      <w:pPr>
        <w:ind w:left="4680" w:hanging="360"/>
      </w:pPr>
    </w:lvl>
    <w:lvl w:ilvl="7" w:tplc="6CFEC290">
      <w:start w:val="1"/>
      <w:numFmt w:val="lowerLetter"/>
      <w:lvlText w:val="%8."/>
      <w:lvlJc w:val="left"/>
      <w:pPr>
        <w:ind w:left="5400" w:hanging="360"/>
      </w:pPr>
    </w:lvl>
    <w:lvl w:ilvl="8" w:tplc="A9CEC13C">
      <w:start w:val="1"/>
      <w:numFmt w:val="lowerRoman"/>
      <w:lvlText w:val="%9."/>
      <w:lvlJc w:val="right"/>
      <w:pPr>
        <w:ind w:left="6120" w:hanging="180"/>
      </w:pPr>
    </w:lvl>
  </w:abstractNum>
  <w:abstractNum w:abstractNumId="129" w15:restartNumberingAfterBreak="0">
    <w:nsid w:val="75EE7C37"/>
    <w:multiLevelType w:val="hybridMultilevel"/>
    <w:tmpl w:val="0E3680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0" w15:restartNumberingAfterBreak="0">
    <w:nsid w:val="76532B57"/>
    <w:multiLevelType w:val="hybridMultilevel"/>
    <w:tmpl w:val="2412497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7699277C"/>
    <w:multiLevelType w:val="hybridMultilevel"/>
    <w:tmpl w:val="E51C2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77C93D73"/>
    <w:multiLevelType w:val="hybridMultilevel"/>
    <w:tmpl w:val="6464B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789A7156"/>
    <w:multiLevelType w:val="hybridMultilevel"/>
    <w:tmpl w:val="8A4AB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9341A2E"/>
    <w:multiLevelType w:val="hybridMultilevel"/>
    <w:tmpl w:val="250A60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5" w15:restartNumberingAfterBreak="0">
    <w:nsid w:val="7AB37A30"/>
    <w:multiLevelType w:val="hybridMultilevel"/>
    <w:tmpl w:val="A8BCD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7ACB0D67"/>
    <w:multiLevelType w:val="hybridMultilevel"/>
    <w:tmpl w:val="DF5A1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B8165B2"/>
    <w:multiLevelType w:val="hybridMultilevel"/>
    <w:tmpl w:val="52FA94D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C687CBE"/>
    <w:multiLevelType w:val="hybridMultilevel"/>
    <w:tmpl w:val="BEB808FA"/>
    <w:lvl w:ilvl="0" w:tplc="FFFFFFFF">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39" w15:restartNumberingAfterBreak="0">
    <w:nsid w:val="7DBB3BEE"/>
    <w:multiLevelType w:val="hybridMultilevel"/>
    <w:tmpl w:val="1BA84AE6"/>
    <w:lvl w:ilvl="0" w:tplc="B89A5E64">
      <w:start w:val="1"/>
      <w:numFmt w:val="decimal"/>
      <w:lvlText w:val="%1."/>
      <w:lvlJc w:val="left"/>
      <w:pPr>
        <w:ind w:left="360" w:hanging="360"/>
      </w:pPr>
      <w:rPr>
        <w:color w:val="auto"/>
      </w:rPr>
    </w:lvl>
    <w:lvl w:ilvl="1" w:tplc="4B58C590">
      <w:start w:val="1"/>
      <w:numFmt w:val="lowerLetter"/>
      <w:lvlText w:val="%2."/>
      <w:lvlJc w:val="left"/>
      <w:pPr>
        <w:ind w:left="1440" w:hanging="360"/>
      </w:pPr>
    </w:lvl>
    <w:lvl w:ilvl="2" w:tplc="D918F03A">
      <w:start w:val="1"/>
      <w:numFmt w:val="lowerRoman"/>
      <w:lvlText w:val="%3."/>
      <w:lvlJc w:val="right"/>
      <w:pPr>
        <w:ind w:left="2160" w:hanging="180"/>
      </w:pPr>
    </w:lvl>
    <w:lvl w:ilvl="3" w:tplc="8EA4B176">
      <w:start w:val="1"/>
      <w:numFmt w:val="decimal"/>
      <w:lvlText w:val="%4."/>
      <w:lvlJc w:val="left"/>
      <w:pPr>
        <w:ind w:left="2880" w:hanging="360"/>
      </w:pPr>
    </w:lvl>
    <w:lvl w:ilvl="4" w:tplc="99C2552E">
      <w:start w:val="1"/>
      <w:numFmt w:val="lowerLetter"/>
      <w:lvlText w:val="%5."/>
      <w:lvlJc w:val="left"/>
      <w:pPr>
        <w:ind w:left="3600" w:hanging="360"/>
      </w:pPr>
    </w:lvl>
    <w:lvl w:ilvl="5" w:tplc="317A8FF4">
      <w:start w:val="1"/>
      <w:numFmt w:val="lowerRoman"/>
      <w:lvlText w:val="%6."/>
      <w:lvlJc w:val="right"/>
      <w:pPr>
        <w:ind w:left="4320" w:hanging="180"/>
      </w:pPr>
    </w:lvl>
    <w:lvl w:ilvl="6" w:tplc="E690D8CC">
      <w:start w:val="1"/>
      <w:numFmt w:val="decimal"/>
      <w:lvlText w:val="%7."/>
      <w:lvlJc w:val="left"/>
      <w:pPr>
        <w:ind w:left="5040" w:hanging="360"/>
      </w:pPr>
    </w:lvl>
    <w:lvl w:ilvl="7" w:tplc="CB6A46E4">
      <w:start w:val="1"/>
      <w:numFmt w:val="lowerLetter"/>
      <w:lvlText w:val="%8."/>
      <w:lvlJc w:val="left"/>
      <w:pPr>
        <w:ind w:left="5760" w:hanging="360"/>
      </w:pPr>
    </w:lvl>
    <w:lvl w:ilvl="8" w:tplc="216A5CF4">
      <w:start w:val="1"/>
      <w:numFmt w:val="lowerRoman"/>
      <w:lvlText w:val="%9."/>
      <w:lvlJc w:val="right"/>
      <w:pPr>
        <w:ind w:left="6480" w:hanging="180"/>
      </w:pPr>
    </w:lvl>
  </w:abstractNum>
  <w:abstractNum w:abstractNumId="140" w15:restartNumberingAfterBreak="0">
    <w:nsid w:val="7ECF30FB"/>
    <w:multiLevelType w:val="hybridMultilevel"/>
    <w:tmpl w:val="893E8E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1" w15:restartNumberingAfterBreak="0">
    <w:nsid w:val="7ED754D9"/>
    <w:multiLevelType w:val="hybridMultilevel"/>
    <w:tmpl w:val="7C36AFF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2" w15:restartNumberingAfterBreak="0">
    <w:nsid w:val="7F8D1EEC"/>
    <w:multiLevelType w:val="hybridMultilevel"/>
    <w:tmpl w:val="117034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08708109">
    <w:abstractNumId w:val="21"/>
  </w:num>
  <w:num w:numId="2" w16cid:durableId="1694960737">
    <w:abstractNumId w:val="129"/>
  </w:num>
  <w:num w:numId="3" w16cid:durableId="709957282">
    <w:abstractNumId w:val="12"/>
  </w:num>
  <w:num w:numId="4" w16cid:durableId="518280403">
    <w:abstractNumId w:val="31"/>
  </w:num>
  <w:num w:numId="5" w16cid:durableId="840504224">
    <w:abstractNumId w:val="141"/>
  </w:num>
  <w:num w:numId="6" w16cid:durableId="1595436315">
    <w:abstractNumId w:val="32"/>
  </w:num>
  <w:num w:numId="7" w16cid:durableId="1385060900">
    <w:abstractNumId w:val="88"/>
  </w:num>
  <w:num w:numId="8" w16cid:durableId="2070688924">
    <w:abstractNumId w:val="90"/>
  </w:num>
  <w:num w:numId="9" w16cid:durableId="1631939569">
    <w:abstractNumId w:val="35"/>
  </w:num>
  <w:num w:numId="10" w16cid:durableId="1795825356">
    <w:abstractNumId w:val="30"/>
  </w:num>
  <w:num w:numId="11" w16cid:durableId="2111243082">
    <w:abstractNumId w:val="132"/>
  </w:num>
  <w:num w:numId="12" w16cid:durableId="1882011470">
    <w:abstractNumId w:val="46"/>
  </w:num>
  <w:num w:numId="13" w16cid:durableId="749810126">
    <w:abstractNumId w:val="127"/>
  </w:num>
  <w:num w:numId="14" w16cid:durableId="1075857274">
    <w:abstractNumId w:val="96"/>
  </w:num>
  <w:num w:numId="15" w16cid:durableId="2019769866">
    <w:abstractNumId w:val="28"/>
  </w:num>
  <w:num w:numId="16" w16cid:durableId="1326009650">
    <w:abstractNumId w:val="74"/>
  </w:num>
  <w:num w:numId="17" w16cid:durableId="2019503453">
    <w:abstractNumId w:val="95"/>
  </w:num>
  <w:num w:numId="18" w16cid:durableId="965889006">
    <w:abstractNumId w:val="111"/>
  </w:num>
  <w:num w:numId="19" w16cid:durableId="808211600">
    <w:abstractNumId w:val="126"/>
  </w:num>
  <w:num w:numId="20" w16cid:durableId="728848013">
    <w:abstractNumId w:val="14"/>
  </w:num>
  <w:num w:numId="21" w16cid:durableId="1559320058">
    <w:abstractNumId w:val="108"/>
  </w:num>
  <w:num w:numId="22" w16cid:durableId="1743520837">
    <w:abstractNumId w:val="118"/>
  </w:num>
  <w:num w:numId="23" w16cid:durableId="1478917236">
    <w:abstractNumId w:val="94"/>
  </w:num>
  <w:num w:numId="24" w16cid:durableId="1813910421">
    <w:abstractNumId w:val="11"/>
  </w:num>
  <w:num w:numId="25" w16cid:durableId="1974484558">
    <w:abstractNumId w:val="79"/>
  </w:num>
  <w:num w:numId="26" w16cid:durableId="1010183542">
    <w:abstractNumId w:val="115"/>
  </w:num>
  <w:num w:numId="27" w16cid:durableId="370543277">
    <w:abstractNumId w:val="5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203966">
    <w:abstractNumId w:val="44"/>
  </w:num>
  <w:num w:numId="29" w16cid:durableId="5550916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2426170">
    <w:abstractNumId w:val="87"/>
  </w:num>
  <w:num w:numId="31" w16cid:durableId="87670207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46845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9888948">
    <w:abstractNumId w:val="106"/>
  </w:num>
  <w:num w:numId="34" w16cid:durableId="23555426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3280487">
    <w:abstractNumId w:val="54"/>
  </w:num>
  <w:num w:numId="36" w16cid:durableId="4981554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82847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8998842">
    <w:abstractNumId w:val="29"/>
  </w:num>
  <w:num w:numId="39" w16cid:durableId="109408545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22403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91901">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689675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13753337">
    <w:abstractNumId w:val="34"/>
  </w:num>
  <w:num w:numId="44" w16cid:durableId="200751563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10909093">
    <w:abstractNumId w:val="56"/>
  </w:num>
  <w:num w:numId="46" w16cid:durableId="2358233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33032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27648880">
    <w:abstractNumId w:val="45"/>
  </w:num>
  <w:num w:numId="49" w16cid:durableId="584264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16315870">
    <w:abstractNumId w:val="114"/>
  </w:num>
  <w:num w:numId="51" w16cid:durableId="79090217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94727910">
    <w:abstractNumId w:val="89"/>
  </w:num>
  <w:num w:numId="53" w16cid:durableId="489096607">
    <w:abstractNumId w:val="36"/>
  </w:num>
  <w:num w:numId="54" w16cid:durableId="1097093255">
    <w:abstractNumId w:val="85"/>
  </w:num>
  <w:num w:numId="55" w16cid:durableId="1299608692">
    <w:abstractNumId w:val="9"/>
  </w:num>
  <w:num w:numId="56" w16cid:durableId="14428548">
    <w:abstractNumId w:val="42"/>
  </w:num>
  <w:num w:numId="57" w16cid:durableId="413821608">
    <w:abstractNumId w:val="117"/>
  </w:num>
  <w:num w:numId="58" w16cid:durableId="1908570966">
    <w:abstractNumId w:val="59"/>
  </w:num>
  <w:num w:numId="59" w16cid:durableId="2051103967">
    <w:abstractNumId w:val="60"/>
  </w:num>
  <w:num w:numId="60" w16cid:durableId="1535727474">
    <w:abstractNumId w:val="66"/>
  </w:num>
  <w:num w:numId="61" w16cid:durableId="1681347361">
    <w:abstractNumId w:val="58"/>
  </w:num>
  <w:num w:numId="62" w16cid:durableId="1576822485">
    <w:abstractNumId w:val="113"/>
  </w:num>
  <w:num w:numId="63" w16cid:durableId="64958605">
    <w:abstractNumId w:val="135"/>
  </w:num>
  <w:num w:numId="64" w16cid:durableId="514463611">
    <w:abstractNumId w:val="39"/>
  </w:num>
  <w:num w:numId="65" w16cid:durableId="590087346">
    <w:abstractNumId w:val="142"/>
  </w:num>
  <w:num w:numId="66" w16cid:durableId="55706269">
    <w:abstractNumId w:val="76"/>
  </w:num>
  <w:num w:numId="67" w16cid:durableId="2003308938">
    <w:abstractNumId w:val="124"/>
  </w:num>
  <w:num w:numId="68" w16cid:durableId="21634599">
    <w:abstractNumId w:val="33"/>
  </w:num>
  <w:num w:numId="69" w16cid:durableId="1333533917">
    <w:abstractNumId w:val="19"/>
  </w:num>
  <w:num w:numId="70" w16cid:durableId="1330671816">
    <w:abstractNumId w:val="116"/>
  </w:num>
  <w:num w:numId="71" w16cid:durableId="892615044">
    <w:abstractNumId w:val="70"/>
  </w:num>
  <w:num w:numId="72" w16cid:durableId="1957103060">
    <w:abstractNumId w:val="65"/>
  </w:num>
  <w:num w:numId="73" w16cid:durableId="1353335776">
    <w:abstractNumId w:val="97"/>
  </w:num>
  <w:num w:numId="74" w16cid:durableId="1676763191">
    <w:abstractNumId w:val="38"/>
  </w:num>
  <w:num w:numId="75" w16cid:durableId="934896491">
    <w:abstractNumId w:val="7"/>
  </w:num>
  <w:num w:numId="76" w16cid:durableId="1863081075">
    <w:abstractNumId w:val="18"/>
  </w:num>
  <w:num w:numId="77" w16cid:durableId="328599988">
    <w:abstractNumId w:val="43"/>
  </w:num>
  <w:num w:numId="78" w16cid:durableId="2125495540">
    <w:abstractNumId w:val="23"/>
  </w:num>
  <w:num w:numId="79" w16cid:durableId="302008184">
    <w:abstractNumId w:val="105"/>
  </w:num>
  <w:num w:numId="80" w16cid:durableId="858008188">
    <w:abstractNumId w:val="24"/>
  </w:num>
  <w:num w:numId="81" w16cid:durableId="59909109">
    <w:abstractNumId w:val="3"/>
  </w:num>
  <w:num w:numId="82" w16cid:durableId="1162041319">
    <w:abstractNumId w:val="2"/>
  </w:num>
  <w:num w:numId="83" w16cid:durableId="943927026">
    <w:abstractNumId w:val="69"/>
  </w:num>
  <w:num w:numId="84" w16cid:durableId="820076958">
    <w:abstractNumId w:val="1"/>
  </w:num>
  <w:num w:numId="85" w16cid:durableId="728530709">
    <w:abstractNumId w:val="0"/>
  </w:num>
  <w:num w:numId="86" w16cid:durableId="83571450">
    <w:abstractNumId w:val="81"/>
  </w:num>
  <w:num w:numId="87" w16cid:durableId="1391071297">
    <w:abstractNumId w:val="78"/>
  </w:num>
  <w:num w:numId="88" w16cid:durableId="828639635">
    <w:abstractNumId w:val="102"/>
  </w:num>
  <w:num w:numId="89" w16cid:durableId="924732337">
    <w:abstractNumId w:val="134"/>
  </w:num>
  <w:num w:numId="90" w16cid:durableId="558781876">
    <w:abstractNumId w:val="119"/>
  </w:num>
  <w:num w:numId="91" w16cid:durableId="1267956693">
    <w:abstractNumId w:val="17"/>
  </w:num>
  <w:num w:numId="92" w16cid:durableId="778833935">
    <w:abstractNumId w:val="112"/>
  </w:num>
  <w:num w:numId="93" w16cid:durableId="96952965">
    <w:abstractNumId w:val="49"/>
  </w:num>
  <w:num w:numId="94" w16cid:durableId="212497999">
    <w:abstractNumId w:val="6"/>
  </w:num>
  <w:num w:numId="95" w16cid:durableId="886063774">
    <w:abstractNumId w:val="50"/>
  </w:num>
  <w:num w:numId="96" w16cid:durableId="677543866">
    <w:abstractNumId w:val="133"/>
  </w:num>
  <w:num w:numId="97" w16cid:durableId="620498294">
    <w:abstractNumId w:val="55"/>
  </w:num>
  <w:num w:numId="98" w16cid:durableId="1592620842">
    <w:abstractNumId w:val="41"/>
  </w:num>
  <w:num w:numId="99" w16cid:durableId="1195267602">
    <w:abstractNumId w:val="121"/>
  </w:num>
  <w:num w:numId="100" w16cid:durableId="1376346548">
    <w:abstractNumId w:val="68"/>
  </w:num>
  <w:num w:numId="101" w16cid:durableId="477959536">
    <w:abstractNumId w:val="86"/>
  </w:num>
  <w:num w:numId="102" w16cid:durableId="1163662135">
    <w:abstractNumId w:val="61"/>
  </w:num>
  <w:num w:numId="103" w16cid:durableId="277182142">
    <w:abstractNumId w:val="91"/>
  </w:num>
  <w:num w:numId="104" w16cid:durableId="61408938">
    <w:abstractNumId w:val="123"/>
  </w:num>
  <w:num w:numId="105" w16cid:durableId="1166438679">
    <w:abstractNumId w:val="130"/>
  </w:num>
  <w:num w:numId="106" w16cid:durableId="128938392">
    <w:abstractNumId w:val="110"/>
  </w:num>
  <w:num w:numId="107" w16cid:durableId="1460798837">
    <w:abstractNumId w:val="77"/>
  </w:num>
  <w:num w:numId="108" w16cid:durableId="1772973007">
    <w:abstractNumId w:val="16"/>
  </w:num>
  <w:num w:numId="109" w16cid:durableId="26611916">
    <w:abstractNumId w:val="37"/>
  </w:num>
  <w:num w:numId="110" w16cid:durableId="679162684">
    <w:abstractNumId w:val="47"/>
  </w:num>
  <w:num w:numId="111" w16cid:durableId="88547530">
    <w:abstractNumId w:val="137"/>
  </w:num>
  <w:num w:numId="112" w16cid:durableId="1472597633">
    <w:abstractNumId w:val="75"/>
  </w:num>
  <w:num w:numId="113" w16cid:durableId="57481782">
    <w:abstractNumId w:val="138"/>
  </w:num>
  <w:num w:numId="114" w16cid:durableId="1504517030">
    <w:abstractNumId w:val="104"/>
  </w:num>
  <w:num w:numId="115" w16cid:durableId="991061859">
    <w:abstractNumId w:val="72"/>
  </w:num>
  <w:num w:numId="116" w16cid:durableId="1196380750">
    <w:abstractNumId w:val="52"/>
  </w:num>
  <w:num w:numId="117" w16cid:durableId="1778060487">
    <w:abstractNumId w:val="100"/>
  </w:num>
  <w:num w:numId="118" w16cid:durableId="612514235">
    <w:abstractNumId w:val="5"/>
  </w:num>
  <w:num w:numId="119" w16cid:durableId="236985120">
    <w:abstractNumId w:val="67"/>
  </w:num>
  <w:num w:numId="120" w16cid:durableId="108283637">
    <w:abstractNumId w:val="48"/>
  </w:num>
  <w:num w:numId="121" w16cid:durableId="662317436">
    <w:abstractNumId w:val="40"/>
  </w:num>
  <w:num w:numId="122" w16cid:durableId="1411199157">
    <w:abstractNumId w:val="64"/>
  </w:num>
  <w:num w:numId="123" w16cid:durableId="1854103357">
    <w:abstractNumId w:val="4"/>
  </w:num>
  <w:num w:numId="124" w16cid:durableId="772482102">
    <w:abstractNumId w:val="101"/>
  </w:num>
  <w:num w:numId="125" w16cid:durableId="1647124670">
    <w:abstractNumId w:val="71"/>
  </w:num>
  <w:num w:numId="126" w16cid:durableId="1056003007">
    <w:abstractNumId w:val="27"/>
  </w:num>
  <w:num w:numId="127" w16cid:durableId="2054959687">
    <w:abstractNumId w:val="15"/>
  </w:num>
  <w:num w:numId="128" w16cid:durableId="727993556">
    <w:abstractNumId w:val="62"/>
  </w:num>
  <w:num w:numId="129" w16cid:durableId="549726633">
    <w:abstractNumId w:val="8"/>
  </w:num>
  <w:num w:numId="130" w16cid:durableId="1661544897">
    <w:abstractNumId w:val="136"/>
  </w:num>
  <w:num w:numId="131" w16cid:durableId="1586452630">
    <w:abstractNumId w:val="51"/>
  </w:num>
  <w:num w:numId="132" w16cid:durableId="460223208">
    <w:abstractNumId w:val="131"/>
  </w:num>
  <w:num w:numId="133" w16cid:durableId="2113043745">
    <w:abstractNumId w:val="63"/>
  </w:num>
  <w:num w:numId="134" w16cid:durableId="799152518">
    <w:abstractNumId w:val="92"/>
  </w:num>
  <w:num w:numId="135" w16cid:durableId="793251361">
    <w:abstractNumId w:val="73"/>
  </w:num>
  <w:num w:numId="136" w16cid:durableId="385569983">
    <w:abstractNumId w:val="120"/>
  </w:num>
  <w:num w:numId="137" w16cid:durableId="2020497181">
    <w:abstractNumId w:val="84"/>
  </w:num>
  <w:num w:numId="138" w16cid:durableId="1823083584">
    <w:abstractNumId w:val="53"/>
  </w:num>
  <w:num w:numId="139" w16cid:durableId="906376527">
    <w:abstractNumId w:val="82"/>
  </w:num>
  <w:num w:numId="140" w16cid:durableId="1042556856">
    <w:abstractNumId w:val="140"/>
  </w:num>
  <w:num w:numId="141" w16cid:durableId="975067770">
    <w:abstractNumId w:val="93"/>
  </w:num>
  <w:num w:numId="142" w16cid:durableId="1693917091">
    <w:abstractNumId w:val="107"/>
  </w:num>
  <w:num w:numId="143" w16cid:durableId="311373665">
    <w:abstractNumId w:val="8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38A"/>
    <w:rsid w:val="00000054"/>
    <w:rsid w:val="00000123"/>
    <w:rsid w:val="0000015E"/>
    <w:rsid w:val="000001C4"/>
    <w:rsid w:val="00000342"/>
    <w:rsid w:val="00000412"/>
    <w:rsid w:val="00000444"/>
    <w:rsid w:val="0000045D"/>
    <w:rsid w:val="0000045E"/>
    <w:rsid w:val="00000474"/>
    <w:rsid w:val="000004AE"/>
    <w:rsid w:val="000004B8"/>
    <w:rsid w:val="00000617"/>
    <w:rsid w:val="00000648"/>
    <w:rsid w:val="000006F0"/>
    <w:rsid w:val="00000703"/>
    <w:rsid w:val="00000704"/>
    <w:rsid w:val="000007D8"/>
    <w:rsid w:val="00000941"/>
    <w:rsid w:val="00000988"/>
    <w:rsid w:val="0000098F"/>
    <w:rsid w:val="000009DF"/>
    <w:rsid w:val="00000A8A"/>
    <w:rsid w:val="00000ABD"/>
    <w:rsid w:val="00000B4B"/>
    <w:rsid w:val="00000BEF"/>
    <w:rsid w:val="00000C01"/>
    <w:rsid w:val="00000C0B"/>
    <w:rsid w:val="00000C17"/>
    <w:rsid w:val="00000C3D"/>
    <w:rsid w:val="00000D1E"/>
    <w:rsid w:val="00000D95"/>
    <w:rsid w:val="00000EA9"/>
    <w:rsid w:val="00000F31"/>
    <w:rsid w:val="00000F4B"/>
    <w:rsid w:val="00000F5F"/>
    <w:rsid w:val="00000F8E"/>
    <w:rsid w:val="00000FD3"/>
    <w:rsid w:val="00000FDA"/>
    <w:rsid w:val="0000108B"/>
    <w:rsid w:val="00001091"/>
    <w:rsid w:val="000010B4"/>
    <w:rsid w:val="00001157"/>
    <w:rsid w:val="00001168"/>
    <w:rsid w:val="0000127A"/>
    <w:rsid w:val="000012C2"/>
    <w:rsid w:val="000012EC"/>
    <w:rsid w:val="000012F9"/>
    <w:rsid w:val="00001391"/>
    <w:rsid w:val="00001428"/>
    <w:rsid w:val="0000143C"/>
    <w:rsid w:val="000014DF"/>
    <w:rsid w:val="0000152E"/>
    <w:rsid w:val="0000161F"/>
    <w:rsid w:val="000016C3"/>
    <w:rsid w:val="000017CF"/>
    <w:rsid w:val="000017EB"/>
    <w:rsid w:val="000018CF"/>
    <w:rsid w:val="000018F3"/>
    <w:rsid w:val="00001903"/>
    <w:rsid w:val="00001922"/>
    <w:rsid w:val="0000197D"/>
    <w:rsid w:val="00001986"/>
    <w:rsid w:val="00001AA7"/>
    <w:rsid w:val="00001AA8"/>
    <w:rsid w:val="00001AD1"/>
    <w:rsid w:val="00001B6C"/>
    <w:rsid w:val="00001BF6"/>
    <w:rsid w:val="00001C0C"/>
    <w:rsid w:val="00001C32"/>
    <w:rsid w:val="00001C71"/>
    <w:rsid w:val="00001CEC"/>
    <w:rsid w:val="00001D05"/>
    <w:rsid w:val="00001D1F"/>
    <w:rsid w:val="00001D3B"/>
    <w:rsid w:val="00001E53"/>
    <w:rsid w:val="00001EBC"/>
    <w:rsid w:val="00001EC9"/>
    <w:rsid w:val="00001F75"/>
    <w:rsid w:val="00001FC7"/>
    <w:rsid w:val="00001FDD"/>
    <w:rsid w:val="00002018"/>
    <w:rsid w:val="0000202E"/>
    <w:rsid w:val="0000206B"/>
    <w:rsid w:val="0000208A"/>
    <w:rsid w:val="000020B8"/>
    <w:rsid w:val="00002112"/>
    <w:rsid w:val="00002199"/>
    <w:rsid w:val="0000219F"/>
    <w:rsid w:val="000021E5"/>
    <w:rsid w:val="000022B0"/>
    <w:rsid w:val="000022D0"/>
    <w:rsid w:val="000022EB"/>
    <w:rsid w:val="00002360"/>
    <w:rsid w:val="0000241E"/>
    <w:rsid w:val="00002535"/>
    <w:rsid w:val="000025D1"/>
    <w:rsid w:val="0000261E"/>
    <w:rsid w:val="00002748"/>
    <w:rsid w:val="00002757"/>
    <w:rsid w:val="00002788"/>
    <w:rsid w:val="000027ED"/>
    <w:rsid w:val="00002805"/>
    <w:rsid w:val="0000282A"/>
    <w:rsid w:val="000028B9"/>
    <w:rsid w:val="0000291C"/>
    <w:rsid w:val="00002A50"/>
    <w:rsid w:val="00002A54"/>
    <w:rsid w:val="00002B10"/>
    <w:rsid w:val="00002B4A"/>
    <w:rsid w:val="00002C3A"/>
    <w:rsid w:val="00002C61"/>
    <w:rsid w:val="00002C7F"/>
    <w:rsid w:val="00002CA2"/>
    <w:rsid w:val="00002D24"/>
    <w:rsid w:val="00002D80"/>
    <w:rsid w:val="00002E12"/>
    <w:rsid w:val="00002E2C"/>
    <w:rsid w:val="00002EE1"/>
    <w:rsid w:val="00003076"/>
    <w:rsid w:val="000031C7"/>
    <w:rsid w:val="00003242"/>
    <w:rsid w:val="000032CF"/>
    <w:rsid w:val="0000330D"/>
    <w:rsid w:val="00003435"/>
    <w:rsid w:val="00003550"/>
    <w:rsid w:val="00003568"/>
    <w:rsid w:val="00003577"/>
    <w:rsid w:val="000035B7"/>
    <w:rsid w:val="0000361C"/>
    <w:rsid w:val="0000365F"/>
    <w:rsid w:val="00003681"/>
    <w:rsid w:val="00003766"/>
    <w:rsid w:val="0000377E"/>
    <w:rsid w:val="00003882"/>
    <w:rsid w:val="00003A17"/>
    <w:rsid w:val="00003A49"/>
    <w:rsid w:val="00003C2D"/>
    <w:rsid w:val="00003C3C"/>
    <w:rsid w:val="00003C4C"/>
    <w:rsid w:val="00003CC8"/>
    <w:rsid w:val="00003D2C"/>
    <w:rsid w:val="00003D69"/>
    <w:rsid w:val="00003E71"/>
    <w:rsid w:val="00003E9F"/>
    <w:rsid w:val="00003EB3"/>
    <w:rsid w:val="00003EF5"/>
    <w:rsid w:val="00003F57"/>
    <w:rsid w:val="00003F63"/>
    <w:rsid w:val="00003F82"/>
    <w:rsid w:val="00003FB1"/>
    <w:rsid w:val="00003FF8"/>
    <w:rsid w:val="00003FFA"/>
    <w:rsid w:val="0000408C"/>
    <w:rsid w:val="0000409D"/>
    <w:rsid w:val="00004125"/>
    <w:rsid w:val="000042C3"/>
    <w:rsid w:val="000043C8"/>
    <w:rsid w:val="00004428"/>
    <w:rsid w:val="00004434"/>
    <w:rsid w:val="0000445B"/>
    <w:rsid w:val="000045A5"/>
    <w:rsid w:val="000045C1"/>
    <w:rsid w:val="000046C8"/>
    <w:rsid w:val="0000479E"/>
    <w:rsid w:val="000047D0"/>
    <w:rsid w:val="000047FE"/>
    <w:rsid w:val="00004827"/>
    <w:rsid w:val="00004833"/>
    <w:rsid w:val="00004845"/>
    <w:rsid w:val="0000485F"/>
    <w:rsid w:val="0000488F"/>
    <w:rsid w:val="00004893"/>
    <w:rsid w:val="00004965"/>
    <w:rsid w:val="0000497E"/>
    <w:rsid w:val="0000499E"/>
    <w:rsid w:val="00004A0E"/>
    <w:rsid w:val="00004A88"/>
    <w:rsid w:val="00004A92"/>
    <w:rsid w:val="00004ACA"/>
    <w:rsid w:val="00004AF2"/>
    <w:rsid w:val="00004B66"/>
    <w:rsid w:val="00004BB7"/>
    <w:rsid w:val="00004CF2"/>
    <w:rsid w:val="00004D1A"/>
    <w:rsid w:val="00004D2D"/>
    <w:rsid w:val="00004D53"/>
    <w:rsid w:val="00004DFD"/>
    <w:rsid w:val="00004FAE"/>
    <w:rsid w:val="00004FCA"/>
    <w:rsid w:val="000051C0"/>
    <w:rsid w:val="0000526F"/>
    <w:rsid w:val="00005370"/>
    <w:rsid w:val="000053F3"/>
    <w:rsid w:val="000053F7"/>
    <w:rsid w:val="0000543A"/>
    <w:rsid w:val="0000548F"/>
    <w:rsid w:val="00005518"/>
    <w:rsid w:val="00005533"/>
    <w:rsid w:val="00005595"/>
    <w:rsid w:val="000055AD"/>
    <w:rsid w:val="0000560D"/>
    <w:rsid w:val="00005675"/>
    <w:rsid w:val="000056B3"/>
    <w:rsid w:val="00005795"/>
    <w:rsid w:val="000057A9"/>
    <w:rsid w:val="00005889"/>
    <w:rsid w:val="000058D9"/>
    <w:rsid w:val="00005940"/>
    <w:rsid w:val="00005941"/>
    <w:rsid w:val="00005960"/>
    <w:rsid w:val="00005999"/>
    <w:rsid w:val="000059D6"/>
    <w:rsid w:val="00005A63"/>
    <w:rsid w:val="00005A75"/>
    <w:rsid w:val="00005A85"/>
    <w:rsid w:val="00005BED"/>
    <w:rsid w:val="00005C20"/>
    <w:rsid w:val="00005C2A"/>
    <w:rsid w:val="00005C47"/>
    <w:rsid w:val="00005C53"/>
    <w:rsid w:val="00005C88"/>
    <w:rsid w:val="00005CBE"/>
    <w:rsid w:val="00005D14"/>
    <w:rsid w:val="00005DA4"/>
    <w:rsid w:val="00005DB1"/>
    <w:rsid w:val="00005EA3"/>
    <w:rsid w:val="00005F08"/>
    <w:rsid w:val="00005F20"/>
    <w:rsid w:val="00005F46"/>
    <w:rsid w:val="00005FD9"/>
    <w:rsid w:val="00005FE6"/>
    <w:rsid w:val="000060CB"/>
    <w:rsid w:val="000060F0"/>
    <w:rsid w:val="0000613B"/>
    <w:rsid w:val="00006287"/>
    <w:rsid w:val="0000629C"/>
    <w:rsid w:val="000062BB"/>
    <w:rsid w:val="000062C9"/>
    <w:rsid w:val="00006306"/>
    <w:rsid w:val="00006336"/>
    <w:rsid w:val="00006369"/>
    <w:rsid w:val="000063BC"/>
    <w:rsid w:val="0000644E"/>
    <w:rsid w:val="0000648B"/>
    <w:rsid w:val="000064CC"/>
    <w:rsid w:val="000064D5"/>
    <w:rsid w:val="0000650C"/>
    <w:rsid w:val="000065EC"/>
    <w:rsid w:val="000065EF"/>
    <w:rsid w:val="000066AE"/>
    <w:rsid w:val="000066B3"/>
    <w:rsid w:val="0000675F"/>
    <w:rsid w:val="000067B2"/>
    <w:rsid w:val="000067DA"/>
    <w:rsid w:val="000067E5"/>
    <w:rsid w:val="00006898"/>
    <w:rsid w:val="00006A25"/>
    <w:rsid w:val="00006A3B"/>
    <w:rsid w:val="00006A7C"/>
    <w:rsid w:val="00006AC3"/>
    <w:rsid w:val="00006B67"/>
    <w:rsid w:val="00006C1A"/>
    <w:rsid w:val="00006C9E"/>
    <w:rsid w:val="00006CE0"/>
    <w:rsid w:val="00006D09"/>
    <w:rsid w:val="00006D1E"/>
    <w:rsid w:val="00006D46"/>
    <w:rsid w:val="00006DC7"/>
    <w:rsid w:val="00006DF5"/>
    <w:rsid w:val="00006E93"/>
    <w:rsid w:val="00006EC1"/>
    <w:rsid w:val="00006F1A"/>
    <w:rsid w:val="00006F1E"/>
    <w:rsid w:val="00006F9D"/>
    <w:rsid w:val="0000712B"/>
    <w:rsid w:val="00007132"/>
    <w:rsid w:val="000071CD"/>
    <w:rsid w:val="000071F8"/>
    <w:rsid w:val="00007377"/>
    <w:rsid w:val="000073AF"/>
    <w:rsid w:val="000073B6"/>
    <w:rsid w:val="000073DE"/>
    <w:rsid w:val="0000748B"/>
    <w:rsid w:val="00007569"/>
    <w:rsid w:val="00007571"/>
    <w:rsid w:val="000075C3"/>
    <w:rsid w:val="000075D3"/>
    <w:rsid w:val="000075EF"/>
    <w:rsid w:val="0000761F"/>
    <w:rsid w:val="00007620"/>
    <w:rsid w:val="00007688"/>
    <w:rsid w:val="000076A4"/>
    <w:rsid w:val="00007729"/>
    <w:rsid w:val="000077A2"/>
    <w:rsid w:val="000078EB"/>
    <w:rsid w:val="0000799B"/>
    <w:rsid w:val="000079DC"/>
    <w:rsid w:val="00007A09"/>
    <w:rsid w:val="00007A18"/>
    <w:rsid w:val="00007A35"/>
    <w:rsid w:val="00007A38"/>
    <w:rsid w:val="00007A8F"/>
    <w:rsid w:val="00007AD4"/>
    <w:rsid w:val="00007C01"/>
    <w:rsid w:val="00007C2C"/>
    <w:rsid w:val="00007C71"/>
    <w:rsid w:val="00007CD8"/>
    <w:rsid w:val="00007CF3"/>
    <w:rsid w:val="00007D0A"/>
    <w:rsid w:val="00007E1C"/>
    <w:rsid w:val="00007E3A"/>
    <w:rsid w:val="00007E3E"/>
    <w:rsid w:val="00007E9E"/>
    <w:rsid w:val="00007F32"/>
    <w:rsid w:val="00007F4E"/>
    <w:rsid w:val="00007F5F"/>
    <w:rsid w:val="00007F66"/>
    <w:rsid w:val="00010063"/>
    <w:rsid w:val="00010084"/>
    <w:rsid w:val="000100B2"/>
    <w:rsid w:val="000100BD"/>
    <w:rsid w:val="000100CB"/>
    <w:rsid w:val="0001010C"/>
    <w:rsid w:val="0001015B"/>
    <w:rsid w:val="000101C7"/>
    <w:rsid w:val="0001022B"/>
    <w:rsid w:val="00010367"/>
    <w:rsid w:val="00010398"/>
    <w:rsid w:val="000103A3"/>
    <w:rsid w:val="0001044B"/>
    <w:rsid w:val="00010565"/>
    <w:rsid w:val="00010652"/>
    <w:rsid w:val="0001065E"/>
    <w:rsid w:val="00010663"/>
    <w:rsid w:val="000106AE"/>
    <w:rsid w:val="000106C8"/>
    <w:rsid w:val="000106E6"/>
    <w:rsid w:val="00010769"/>
    <w:rsid w:val="0001078B"/>
    <w:rsid w:val="0001078E"/>
    <w:rsid w:val="000107EB"/>
    <w:rsid w:val="00010800"/>
    <w:rsid w:val="00010843"/>
    <w:rsid w:val="0001086C"/>
    <w:rsid w:val="00010880"/>
    <w:rsid w:val="00010883"/>
    <w:rsid w:val="000108DB"/>
    <w:rsid w:val="00010935"/>
    <w:rsid w:val="00010943"/>
    <w:rsid w:val="00010965"/>
    <w:rsid w:val="00010988"/>
    <w:rsid w:val="0001098F"/>
    <w:rsid w:val="000109ED"/>
    <w:rsid w:val="00010A16"/>
    <w:rsid w:val="00010A30"/>
    <w:rsid w:val="00010AA0"/>
    <w:rsid w:val="00010AE1"/>
    <w:rsid w:val="00010B36"/>
    <w:rsid w:val="00010BDD"/>
    <w:rsid w:val="00010C46"/>
    <w:rsid w:val="00010D3A"/>
    <w:rsid w:val="00010E22"/>
    <w:rsid w:val="00010E5A"/>
    <w:rsid w:val="00010EA4"/>
    <w:rsid w:val="00010F3A"/>
    <w:rsid w:val="00010FF3"/>
    <w:rsid w:val="00011058"/>
    <w:rsid w:val="000110D8"/>
    <w:rsid w:val="000110F9"/>
    <w:rsid w:val="00011140"/>
    <w:rsid w:val="000111AF"/>
    <w:rsid w:val="00011201"/>
    <w:rsid w:val="00011296"/>
    <w:rsid w:val="000112A5"/>
    <w:rsid w:val="000112AC"/>
    <w:rsid w:val="0001138E"/>
    <w:rsid w:val="000113D0"/>
    <w:rsid w:val="00011437"/>
    <w:rsid w:val="00011510"/>
    <w:rsid w:val="00011550"/>
    <w:rsid w:val="0001163B"/>
    <w:rsid w:val="000116FB"/>
    <w:rsid w:val="00011728"/>
    <w:rsid w:val="000117C1"/>
    <w:rsid w:val="000117C3"/>
    <w:rsid w:val="00011842"/>
    <w:rsid w:val="0001186A"/>
    <w:rsid w:val="0001186C"/>
    <w:rsid w:val="000118A8"/>
    <w:rsid w:val="0001193F"/>
    <w:rsid w:val="00011981"/>
    <w:rsid w:val="000119EB"/>
    <w:rsid w:val="00011AD4"/>
    <w:rsid w:val="00011B8B"/>
    <w:rsid w:val="00011C0E"/>
    <w:rsid w:val="00011C62"/>
    <w:rsid w:val="00011C6C"/>
    <w:rsid w:val="00011C87"/>
    <w:rsid w:val="00011CAF"/>
    <w:rsid w:val="00011D39"/>
    <w:rsid w:val="00011DB3"/>
    <w:rsid w:val="00011DC3"/>
    <w:rsid w:val="00011DE6"/>
    <w:rsid w:val="00011E52"/>
    <w:rsid w:val="00011EDF"/>
    <w:rsid w:val="00011F19"/>
    <w:rsid w:val="00011F63"/>
    <w:rsid w:val="00011F89"/>
    <w:rsid w:val="00011F8F"/>
    <w:rsid w:val="000120C9"/>
    <w:rsid w:val="00012142"/>
    <w:rsid w:val="00012223"/>
    <w:rsid w:val="0001223C"/>
    <w:rsid w:val="00012265"/>
    <w:rsid w:val="000122A1"/>
    <w:rsid w:val="000122A3"/>
    <w:rsid w:val="000122BC"/>
    <w:rsid w:val="000122C2"/>
    <w:rsid w:val="000122EB"/>
    <w:rsid w:val="00012314"/>
    <w:rsid w:val="0001231D"/>
    <w:rsid w:val="0001236A"/>
    <w:rsid w:val="000123D4"/>
    <w:rsid w:val="00012430"/>
    <w:rsid w:val="00012470"/>
    <w:rsid w:val="000124B4"/>
    <w:rsid w:val="000124BD"/>
    <w:rsid w:val="0001253C"/>
    <w:rsid w:val="00012557"/>
    <w:rsid w:val="0001256E"/>
    <w:rsid w:val="0001259E"/>
    <w:rsid w:val="000125B3"/>
    <w:rsid w:val="000125F4"/>
    <w:rsid w:val="000125FC"/>
    <w:rsid w:val="00012688"/>
    <w:rsid w:val="0001278E"/>
    <w:rsid w:val="00012791"/>
    <w:rsid w:val="000127CF"/>
    <w:rsid w:val="000127F4"/>
    <w:rsid w:val="0001282F"/>
    <w:rsid w:val="0001285A"/>
    <w:rsid w:val="000128C5"/>
    <w:rsid w:val="000128CF"/>
    <w:rsid w:val="00012924"/>
    <w:rsid w:val="0001299F"/>
    <w:rsid w:val="00012AEA"/>
    <w:rsid w:val="00012B13"/>
    <w:rsid w:val="00012B21"/>
    <w:rsid w:val="00012B6F"/>
    <w:rsid w:val="00012C01"/>
    <w:rsid w:val="00012C03"/>
    <w:rsid w:val="00012C26"/>
    <w:rsid w:val="00012CF1"/>
    <w:rsid w:val="00012D8D"/>
    <w:rsid w:val="00012DE7"/>
    <w:rsid w:val="00012E03"/>
    <w:rsid w:val="00012E38"/>
    <w:rsid w:val="00012E5A"/>
    <w:rsid w:val="00012E67"/>
    <w:rsid w:val="00012EAA"/>
    <w:rsid w:val="00012F17"/>
    <w:rsid w:val="00012F23"/>
    <w:rsid w:val="00013007"/>
    <w:rsid w:val="0001305F"/>
    <w:rsid w:val="00013068"/>
    <w:rsid w:val="00013118"/>
    <w:rsid w:val="0001319C"/>
    <w:rsid w:val="000131B9"/>
    <w:rsid w:val="00013215"/>
    <w:rsid w:val="0001323C"/>
    <w:rsid w:val="00013251"/>
    <w:rsid w:val="00013273"/>
    <w:rsid w:val="00013299"/>
    <w:rsid w:val="00013362"/>
    <w:rsid w:val="0001337F"/>
    <w:rsid w:val="00013439"/>
    <w:rsid w:val="00013498"/>
    <w:rsid w:val="0001349B"/>
    <w:rsid w:val="000134A7"/>
    <w:rsid w:val="000134B2"/>
    <w:rsid w:val="000135D4"/>
    <w:rsid w:val="000135F0"/>
    <w:rsid w:val="000135F8"/>
    <w:rsid w:val="00013632"/>
    <w:rsid w:val="00013643"/>
    <w:rsid w:val="000136A9"/>
    <w:rsid w:val="00013700"/>
    <w:rsid w:val="000137F5"/>
    <w:rsid w:val="0001386A"/>
    <w:rsid w:val="000138CC"/>
    <w:rsid w:val="000138DA"/>
    <w:rsid w:val="0001394C"/>
    <w:rsid w:val="00013950"/>
    <w:rsid w:val="000139C1"/>
    <w:rsid w:val="00013A4C"/>
    <w:rsid w:val="00013ACD"/>
    <w:rsid w:val="00013B36"/>
    <w:rsid w:val="00013C2D"/>
    <w:rsid w:val="00013D0B"/>
    <w:rsid w:val="00013D4B"/>
    <w:rsid w:val="00013D88"/>
    <w:rsid w:val="00013DB7"/>
    <w:rsid w:val="00013E32"/>
    <w:rsid w:val="00013E3A"/>
    <w:rsid w:val="00013F87"/>
    <w:rsid w:val="00013FE1"/>
    <w:rsid w:val="0001405F"/>
    <w:rsid w:val="000140A5"/>
    <w:rsid w:val="00014101"/>
    <w:rsid w:val="00014111"/>
    <w:rsid w:val="000141C1"/>
    <w:rsid w:val="000141D0"/>
    <w:rsid w:val="0001420B"/>
    <w:rsid w:val="00014374"/>
    <w:rsid w:val="000143BF"/>
    <w:rsid w:val="000143ED"/>
    <w:rsid w:val="00014410"/>
    <w:rsid w:val="00014434"/>
    <w:rsid w:val="0001447B"/>
    <w:rsid w:val="000144B4"/>
    <w:rsid w:val="000144F0"/>
    <w:rsid w:val="0001450C"/>
    <w:rsid w:val="0001455B"/>
    <w:rsid w:val="00014583"/>
    <w:rsid w:val="00014592"/>
    <w:rsid w:val="0001463F"/>
    <w:rsid w:val="00014676"/>
    <w:rsid w:val="0001468D"/>
    <w:rsid w:val="0001469D"/>
    <w:rsid w:val="0001479F"/>
    <w:rsid w:val="000147F4"/>
    <w:rsid w:val="0001481C"/>
    <w:rsid w:val="000148B9"/>
    <w:rsid w:val="0001491D"/>
    <w:rsid w:val="00014941"/>
    <w:rsid w:val="00014A51"/>
    <w:rsid w:val="00014A69"/>
    <w:rsid w:val="00014A6B"/>
    <w:rsid w:val="00014AB6"/>
    <w:rsid w:val="00014AC2"/>
    <w:rsid w:val="00014AE0"/>
    <w:rsid w:val="00014BD0"/>
    <w:rsid w:val="00014C52"/>
    <w:rsid w:val="00014D20"/>
    <w:rsid w:val="00014F3F"/>
    <w:rsid w:val="00014F9C"/>
    <w:rsid w:val="00014FFB"/>
    <w:rsid w:val="0001500E"/>
    <w:rsid w:val="00015086"/>
    <w:rsid w:val="000150FD"/>
    <w:rsid w:val="00015134"/>
    <w:rsid w:val="00015153"/>
    <w:rsid w:val="00015188"/>
    <w:rsid w:val="00015264"/>
    <w:rsid w:val="000152CF"/>
    <w:rsid w:val="000152D5"/>
    <w:rsid w:val="000152DC"/>
    <w:rsid w:val="00015340"/>
    <w:rsid w:val="0001539E"/>
    <w:rsid w:val="000154F9"/>
    <w:rsid w:val="00015559"/>
    <w:rsid w:val="00015587"/>
    <w:rsid w:val="000155E5"/>
    <w:rsid w:val="000155F5"/>
    <w:rsid w:val="0001569C"/>
    <w:rsid w:val="000156F5"/>
    <w:rsid w:val="000156FA"/>
    <w:rsid w:val="00015766"/>
    <w:rsid w:val="00015773"/>
    <w:rsid w:val="000157ED"/>
    <w:rsid w:val="00015821"/>
    <w:rsid w:val="00015884"/>
    <w:rsid w:val="00015894"/>
    <w:rsid w:val="000158E6"/>
    <w:rsid w:val="000159F9"/>
    <w:rsid w:val="00015B2E"/>
    <w:rsid w:val="00015B42"/>
    <w:rsid w:val="00015C04"/>
    <w:rsid w:val="00015C2D"/>
    <w:rsid w:val="00015C3E"/>
    <w:rsid w:val="00015CA0"/>
    <w:rsid w:val="00015CAC"/>
    <w:rsid w:val="00015CCB"/>
    <w:rsid w:val="00015CD7"/>
    <w:rsid w:val="00015CF6"/>
    <w:rsid w:val="00015DB1"/>
    <w:rsid w:val="00015DD7"/>
    <w:rsid w:val="00015E0D"/>
    <w:rsid w:val="00015E1F"/>
    <w:rsid w:val="00015E94"/>
    <w:rsid w:val="00015EC0"/>
    <w:rsid w:val="00015FD3"/>
    <w:rsid w:val="0001601B"/>
    <w:rsid w:val="00016069"/>
    <w:rsid w:val="000161CD"/>
    <w:rsid w:val="0001622E"/>
    <w:rsid w:val="0001626F"/>
    <w:rsid w:val="00016277"/>
    <w:rsid w:val="000162D2"/>
    <w:rsid w:val="000162FD"/>
    <w:rsid w:val="00016331"/>
    <w:rsid w:val="0001633C"/>
    <w:rsid w:val="00016348"/>
    <w:rsid w:val="00016357"/>
    <w:rsid w:val="000163AA"/>
    <w:rsid w:val="000163D3"/>
    <w:rsid w:val="0001641E"/>
    <w:rsid w:val="00016488"/>
    <w:rsid w:val="00016492"/>
    <w:rsid w:val="00016532"/>
    <w:rsid w:val="000165B6"/>
    <w:rsid w:val="000166FD"/>
    <w:rsid w:val="000167D4"/>
    <w:rsid w:val="0001682E"/>
    <w:rsid w:val="00016832"/>
    <w:rsid w:val="0001684C"/>
    <w:rsid w:val="0001684F"/>
    <w:rsid w:val="00016922"/>
    <w:rsid w:val="0001694D"/>
    <w:rsid w:val="0001696F"/>
    <w:rsid w:val="000169D1"/>
    <w:rsid w:val="00016AAF"/>
    <w:rsid w:val="00016B00"/>
    <w:rsid w:val="00016B09"/>
    <w:rsid w:val="00016BA4"/>
    <w:rsid w:val="00016BCE"/>
    <w:rsid w:val="00016BF9"/>
    <w:rsid w:val="00016C10"/>
    <w:rsid w:val="00016C30"/>
    <w:rsid w:val="00016C4D"/>
    <w:rsid w:val="00016D32"/>
    <w:rsid w:val="00016D68"/>
    <w:rsid w:val="00016D7A"/>
    <w:rsid w:val="00016D87"/>
    <w:rsid w:val="00016DD6"/>
    <w:rsid w:val="00016E7E"/>
    <w:rsid w:val="00016EEB"/>
    <w:rsid w:val="00016F3C"/>
    <w:rsid w:val="00016F98"/>
    <w:rsid w:val="00016FB1"/>
    <w:rsid w:val="00017080"/>
    <w:rsid w:val="000170F7"/>
    <w:rsid w:val="0001710A"/>
    <w:rsid w:val="00017116"/>
    <w:rsid w:val="0001712E"/>
    <w:rsid w:val="00017299"/>
    <w:rsid w:val="000172DE"/>
    <w:rsid w:val="00017468"/>
    <w:rsid w:val="00017470"/>
    <w:rsid w:val="0001753B"/>
    <w:rsid w:val="000176E7"/>
    <w:rsid w:val="00017706"/>
    <w:rsid w:val="00017769"/>
    <w:rsid w:val="00017782"/>
    <w:rsid w:val="000177A2"/>
    <w:rsid w:val="0001780D"/>
    <w:rsid w:val="0001781C"/>
    <w:rsid w:val="00017878"/>
    <w:rsid w:val="0001789C"/>
    <w:rsid w:val="000178C1"/>
    <w:rsid w:val="000178D6"/>
    <w:rsid w:val="000178D9"/>
    <w:rsid w:val="000178FD"/>
    <w:rsid w:val="00017968"/>
    <w:rsid w:val="0001798E"/>
    <w:rsid w:val="000179C5"/>
    <w:rsid w:val="000179E2"/>
    <w:rsid w:val="00017A9D"/>
    <w:rsid w:val="00017AC1"/>
    <w:rsid w:val="00017AD0"/>
    <w:rsid w:val="00017B26"/>
    <w:rsid w:val="00017B4A"/>
    <w:rsid w:val="00017B6D"/>
    <w:rsid w:val="00017B70"/>
    <w:rsid w:val="00017B77"/>
    <w:rsid w:val="00017B8D"/>
    <w:rsid w:val="00017BA2"/>
    <w:rsid w:val="00017BC8"/>
    <w:rsid w:val="00017C73"/>
    <w:rsid w:val="00017CDA"/>
    <w:rsid w:val="00017D08"/>
    <w:rsid w:val="00017D46"/>
    <w:rsid w:val="00017D73"/>
    <w:rsid w:val="00017D8D"/>
    <w:rsid w:val="00017E29"/>
    <w:rsid w:val="00017E38"/>
    <w:rsid w:val="00017E9F"/>
    <w:rsid w:val="00017EB7"/>
    <w:rsid w:val="00017F26"/>
    <w:rsid w:val="00017F3D"/>
    <w:rsid w:val="00017FBF"/>
    <w:rsid w:val="00017FCE"/>
    <w:rsid w:val="00017FD0"/>
    <w:rsid w:val="00017FE0"/>
    <w:rsid w:val="00020009"/>
    <w:rsid w:val="00020054"/>
    <w:rsid w:val="000200B2"/>
    <w:rsid w:val="000200CB"/>
    <w:rsid w:val="000200CD"/>
    <w:rsid w:val="000200F6"/>
    <w:rsid w:val="00020103"/>
    <w:rsid w:val="00020138"/>
    <w:rsid w:val="0002013D"/>
    <w:rsid w:val="0002019B"/>
    <w:rsid w:val="0002019E"/>
    <w:rsid w:val="000201AC"/>
    <w:rsid w:val="000202C4"/>
    <w:rsid w:val="0002036D"/>
    <w:rsid w:val="000204AB"/>
    <w:rsid w:val="0002054D"/>
    <w:rsid w:val="000206E8"/>
    <w:rsid w:val="000206F4"/>
    <w:rsid w:val="00020784"/>
    <w:rsid w:val="000207BF"/>
    <w:rsid w:val="00020837"/>
    <w:rsid w:val="00020863"/>
    <w:rsid w:val="0002088E"/>
    <w:rsid w:val="0002090A"/>
    <w:rsid w:val="00020936"/>
    <w:rsid w:val="00020A2A"/>
    <w:rsid w:val="00020AAA"/>
    <w:rsid w:val="00020ABF"/>
    <w:rsid w:val="00020AF9"/>
    <w:rsid w:val="00020B74"/>
    <w:rsid w:val="00020E9D"/>
    <w:rsid w:val="00020EBA"/>
    <w:rsid w:val="00020EE9"/>
    <w:rsid w:val="00020F06"/>
    <w:rsid w:val="00020FCA"/>
    <w:rsid w:val="00021055"/>
    <w:rsid w:val="0002105F"/>
    <w:rsid w:val="000210A7"/>
    <w:rsid w:val="00021155"/>
    <w:rsid w:val="000211A8"/>
    <w:rsid w:val="000211AE"/>
    <w:rsid w:val="00021216"/>
    <w:rsid w:val="00021256"/>
    <w:rsid w:val="000212C9"/>
    <w:rsid w:val="000213C4"/>
    <w:rsid w:val="000213DD"/>
    <w:rsid w:val="000213FA"/>
    <w:rsid w:val="0002142D"/>
    <w:rsid w:val="00021464"/>
    <w:rsid w:val="00021495"/>
    <w:rsid w:val="000214EA"/>
    <w:rsid w:val="00021537"/>
    <w:rsid w:val="000215BA"/>
    <w:rsid w:val="000215F5"/>
    <w:rsid w:val="00021639"/>
    <w:rsid w:val="0002165E"/>
    <w:rsid w:val="00021772"/>
    <w:rsid w:val="00021779"/>
    <w:rsid w:val="00021798"/>
    <w:rsid w:val="000217A9"/>
    <w:rsid w:val="00021894"/>
    <w:rsid w:val="000218B7"/>
    <w:rsid w:val="000218F9"/>
    <w:rsid w:val="00021990"/>
    <w:rsid w:val="000219AD"/>
    <w:rsid w:val="000219FA"/>
    <w:rsid w:val="00021A15"/>
    <w:rsid w:val="00021A58"/>
    <w:rsid w:val="00021B37"/>
    <w:rsid w:val="00021B79"/>
    <w:rsid w:val="00021B8B"/>
    <w:rsid w:val="00021C5B"/>
    <w:rsid w:val="00021C73"/>
    <w:rsid w:val="00021CF1"/>
    <w:rsid w:val="00021DF3"/>
    <w:rsid w:val="00021E65"/>
    <w:rsid w:val="00021EF3"/>
    <w:rsid w:val="00021F33"/>
    <w:rsid w:val="00021FCB"/>
    <w:rsid w:val="000220C9"/>
    <w:rsid w:val="00022116"/>
    <w:rsid w:val="00022175"/>
    <w:rsid w:val="00022185"/>
    <w:rsid w:val="000221AB"/>
    <w:rsid w:val="00022244"/>
    <w:rsid w:val="000222C5"/>
    <w:rsid w:val="000222D8"/>
    <w:rsid w:val="00022317"/>
    <w:rsid w:val="00022351"/>
    <w:rsid w:val="0002239C"/>
    <w:rsid w:val="0002240B"/>
    <w:rsid w:val="0002245E"/>
    <w:rsid w:val="000224B3"/>
    <w:rsid w:val="000224E8"/>
    <w:rsid w:val="00022547"/>
    <w:rsid w:val="00022571"/>
    <w:rsid w:val="00022612"/>
    <w:rsid w:val="0002264F"/>
    <w:rsid w:val="000226A6"/>
    <w:rsid w:val="000226DE"/>
    <w:rsid w:val="00022714"/>
    <w:rsid w:val="00022743"/>
    <w:rsid w:val="00022744"/>
    <w:rsid w:val="000228AC"/>
    <w:rsid w:val="000228E4"/>
    <w:rsid w:val="00022907"/>
    <w:rsid w:val="00022969"/>
    <w:rsid w:val="000229EE"/>
    <w:rsid w:val="00022A9E"/>
    <w:rsid w:val="00022AA8"/>
    <w:rsid w:val="00022AB9"/>
    <w:rsid w:val="00022B24"/>
    <w:rsid w:val="00022B47"/>
    <w:rsid w:val="00022B75"/>
    <w:rsid w:val="00022C44"/>
    <w:rsid w:val="00022C7F"/>
    <w:rsid w:val="00022CE5"/>
    <w:rsid w:val="00022D42"/>
    <w:rsid w:val="00022E33"/>
    <w:rsid w:val="00022E82"/>
    <w:rsid w:val="00022EBF"/>
    <w:rsid w:val="00022F0A"/>
    <w:rsid w:val="00022F36"/>
    <w:rsid w:val="00022F9D"/>
    <w:rsid w:val="00022FB0"/>
    <w:rsid w:val="00023069"/>
    <w:rsid w:val="000230AA"/>
    <w:rsid w:val="00023231"/>
    <w:rsid w:val="000232DA"/>
    <w:rsid w:val="00023311"/>
    <w:rsid w:val="000233B5"/>
    <w:rsid w:val="000233F8"/>
    <w:rsid w:val="00023401"/>
    <w:rsid w:val="00023480"/>
    <w:rsid w:val="000234B0"/>
    <w:rsid w:val="000234F4"/>
    <w:rsid w:val="00023686"/>
    <w:rsid w:val="0002373C"/>
    <w:rsid w:val="0002373E"/>
    <w:rsid w:val="000237C5"/>
    <w:rsid w:val="000237C6"/>
    <w:rsid w:val="00023829"/>
    <w:rsid w:val="0002386F"/>
    <w:rsid w:val="00023880"/>
    <w:rsid w:val="000238D1"/>
    <w:rsid w:val="00023983"/>
    <w:rsid w:val="000239D4"/>
    <w:rsid w:val="00023A7D"/>
    <w:rsid w:val="00023ADB"/>
    <w:rsid w:val="00023BF2"/>
    <w:rsid w:val="00023C2B"/>
    <w:rsid w:val="00023C47"/>
    <w:rsid w:val="00023D66"/>
    <w:rsid w:val="00023E3C"/>
    <w:rsid w:val="00023E88"/>
    <w:rsid w:val="00023EEB"/>
    <w:rsid w:val="00023FC2"/>
    <w:rsid w:val="000240D7"/>
    <w:rsid w:val="000243A7"/>
    <w:rsid w:val="0002442A"/>
    <w:rsid w:val="0002443C"/>
    <w:rsid w:val="0002446A"/>
    <w:rsid w:val="00024480"/>
    <w:rsid w:val="000244BE"/>
    <w:rsid w:val="000244C8"/>
    <w:rsid w:val="00024592"/>
    <w:rsid w:val="000245CA"/>
    <w:rsid w:val="00024681"/>
    <w:rsid w:val="00024704"/>
    <w:rsid w:val="00024741"/>
    <w:rsid w:val="00024745"/>
    <w:rsid w:val="000249F9"/>
    <w:rsid w:val="00024A6E"/>
    <w:rsid w:val="00024B16"/>
    <w:rsid w:val="00024BC1"/>
    <w:rsid w:val="00024BE7"/>
    <w:rsid w:val="00024BF9"/>
    <w:rsid w:val="00024C71"/>
    <w:rsid w:val="00024C9B"/>
    <w:rsid w:val="00024DA3"/>
    <w:rsid w:val="00024E08"/>
    <w:rsid w:val="00024E11"/>
    <w:rsid w:val="00024E26"/>
    <w:rsid w:val="00024F56"/>
    <w:rsid w:val="0002502D"/>
    <w:rsid w:val="000250E4"/>
    <w:rsid w:val="00025188"/>
    <w:rsid w:val="000251A9"/>
    <w:rsid w:val="000251D7"/>
    <w:rsid w:val="00025247"/>
    <w:rsid w:val="00025248"/>
    <w:rsid w:val="0002525E"/>
    <w:rsid w:val="00025308"/>
    <w:rsid w:val="0002531F"/>
    <w:rsid w:val="0002535C"/>
    <w:rsid w:val="000253A8"/>
    <w:rsid w:val="000253A9"/>
    <w:rsid w:val="000253F9"/>
    <w:rsid w:val="0002545F"/>
    <w:rsid w:val="0002547D"/>
    <w:rsid w:val="0002547F"/>
    <w:rsid w:val="000254A2"/>
    <w:rsid w:val="00025541"/>
    <w:rsid w:val="0002566F"/>
    <w:rsid w:val="000256C6"/>
    <w:rsid w:val="00025706"/>
    <w:rsid w:val="00025743"/>
    <w:rsid w:val="000257BA"/>
    <w:rsid w:val="0002581B"/>
    <w:rsid w:val="00025889"/>
    <w:rsid w:val="0002589C"/>
    <w:rsid w:val="000258BF"/>
    <w:rsid w:val="0002596C"/>
    <w:rsid w:val="000259AE"/>
    <w:rsid w:val="00025A0E"/>
    <w:rsid w:val="00025A25"/>
    <w:rsid w:val="00025A50"/>
    <w:rsid w:val="00025A73"/>
    <w:rsid w:val="00025A82"/>
    <w:rsid w:val="00025A9A"/>
    <w:rsid w:val="00025AEF"/>
    <w:rsid w:val="00025B47"/>
    <w:rsid w:val="00025BB3"/>
    <w:rsid w:val="00025C3D"/>
    <w:rsid w:val="00025D3B"/>
    <w:rsid w:val="00025D84"/>
    <w:rsid w:val="00025E1E"/>
    <w:rsid w:val="00025E5A"/>
    <w:rsid w:val="00025EDF"/>
    <w:rsid w:val="00025FFB"/>
    <w:rsid w:val="000260A9"/>
    <w:rsid w:val="00026155"/>
    <w:rsid w:val="0002617F"/>
    <w:rsid w:val="00026196"/>
    <w:rsid w:val="000261A0"/>
    <w:rsid w:val="000261A3"/>
    <w:rsid w:val="0002627F"/>
    <w:rsid w:val="0002629C"/>
    <w:rsid w:val="0002630C"/>
    <w:rsid w:val="000263B3"/>
    <w:rsid w:val="00026420"/>
    <w:rsid w:val="000264C3"/>
    <w:rsid w:val="000264DB"/>
    <w:rsid w:val="000264FD"/>
    <w:rsid w:val="00026525"/>
    <w:rsid w:val="0002657B"/>
    <w:rsid w:val="000265A5"/>
    <w:rsid w:val="000265DC"/>
    <w:rsid w:val="00026676"/>
    <w:rsid w:val="00026724"/>
    <w:rsid w:val="00026785"/>
    <w:rsid w:val="000267EC"/>
    <w:rsid w:val="000268AA"/>
    <w:rsid w:val="0002694A"/>
    <w:rsid w:val="00026984"/>
    <w:rsid w:val="000269CB"/>
    <w:rsid w:val="00026A2B"/>
    <w:rsid w:val="00026A5E"/>
    <w:rsid w:val="00026A90"/>
    <w:rsid w:val="00026AC8"/>
    <w:rsid w:val="00026B8C"/>
    <w:rsid w:val="00026BDC"/>
    <w:rsid w:val="00026C56"/>
    <w:rsid w:val="00026C8E"/>
    <w:rsid w:val="00026CB7"/>
    <w:rsid w:val="00026D6A"/>
    <w:rsid w:val="00026DBD"/>
    <w:rsid w:val="00026E12"/>
    <w:rsid w:val="00026E60"/>
    <w:rsid w:val="00026EAF"/>
    <w:rsid w:val="00026EC1"/>
    <w:rsid w:val="00026ED4"/>
    <w:rsid w:val="00026FAC"/>
    <w:rsid w:val="00026FD6"/>
    <w:rsid w:val="000270B7"/>
    <w:rsid w:val="000270EB"/>
    <w:rsid w:val="0002713F"/>
    <w:rsid w:val="000271DB"/>
    <w:rsid w:val="00027234"/>
    <w:rsid w:val="0002723E"/>
    <w:rsid w:val="0002727A"/>
    <w:rsid w:val="000272C4"/>
    <w:rsid w:val="0002731B"/>
    <w:rsid w:val="00027394"/>
    <w:rsid w:val="0002749F"/>
    <w:rsid w:val="00027511"/>
    <w:rsid w:val="00027559"/>
    <w:rsid w:val="000275FF"/>
    <w:rsid w:val="0002763F"/>
    <w:rsid w:val="00027648"/>
    <w:rsid w:val="0002767A"/>
    <w:rsid w:val="00027683"/>
    <w:rsid w:val="0002768F"/>
    <w:rsid w:val="000276BB"/>
    <w:rsid w:val="00027717"/>
    <w:rsid w:val="00027789"/>
    <w:rsid w:val="000277B2"/>
    <w:rsid w:val="000277C4"/>
    <w:rsid w:val="000277D4"/>
    <w:rsid w:val="00027828"/>
    <w:rsid w:val="0002786E"/>
    <w:rsid w:val="0002787D"/>
    <w:rsid w:val="0002789F"/>
    <w:rsid w:val="000278BC"/>
    <w:rsid w:val="000279A2"/>
    <w:rsid w:val="00027AC0"/>
    <w:rsid w:val="00027B87"/>
    <w:rsid w:val="00027BC9"/>
    <w:rsid w:val="00027C35"/>
    <w:rsid w:val="00027C45"/>
    <w:rsid w:val="00027C5E"/>
    <w:rsid w:val="00027C82"/>
    <w:rsid w:val="00027CFD"/>
    <w:rsid w:val="00027D1F"/>
    <w:rsid w:val="00027D32"/>
    <w:rsid w:val="00027D3C"/>
    <w:rsid w:val="00027DDF"/>
    <w:rsid w:val="00027DEA"/>
    <w:rsid w:val="00027F22"/>
    <w:rsid w:val="00027F8B"/>
    <w:rsid w:val="00027FB9"/>
    <w:rsid w:val="00027FE8"/>
    <w:rsid w:val="0003002C"/>
    <w:rsid w:val="00030193"/>
    <w:rsid w:val="0003021F"/>
    <w:rsid w:val="000302F6"/>
    <w:rsid w:val="00030378"/>
    <w:rsid w:val="000303A6"/>
    <w:rsid w:val="000303CC"/>
    <w:rsid w:val="00030499"/>
    <w:rsid w:val="00030516"/>
    <w:rsid w:val="000305BC"/>
    <w:rsid w:val="000305DC"/>
    <w:rsid w:val="000305E3"/>
    <w:rsid w:val="000305FC"/>
    <w:rsid w:val="000305FE"/>
    <w:rsid w:val="000306A7"/>
    <w:rsid w:val="00030713"/>
    <w:rsid w:val="00030745"/>
    <w:rsid w:val="000307CC"/>
    <w:rsid w:val="00030815"/>
    <w:rsid w:val="00030854"/>
    <w:rsid w:val="00030983"/>
    <w:rsid w:val="000309B0"/>
    <w:rsid w:val="000309BD"/>
    <w:rsid w:val="000309FF"/>
    <w:rsid w:val="00030A47"/>
    <w:rsid w:val="00030A7E"/>
    <w:rsid w:val="00030B10"/>
    <w:rsid w:val="00030B8C"/>
    <w:rsid w:val="00030BDC"/>
    <w:rsid w:val="00030C25"/>
    <w:rsid w:val="00030C27"/>
    <w:rsid w:val="00030DBB"/>
    <w:rsid w:val="00030DC3"/>
    <w:rsid w:val="00030E32"/>
    <w:rsid w:val="00030E40"/>
    <w:rsid w:val="00030E88"/>
    <w:rsid w:val="00030F54"/>
    <w:rsid w:val="00030F99"/>
    <w:rsid w:val="00030FA9"/>
    <w:rsid w:val="00031018"/>
    <w:rsid w:val="00031039"/>
    <w:rsid w:val="000311AB"/>
    <w:rsid w:val="000311F4"/>
    <w:rsid w:val="000312A0"/>
    <w:rsid w:val="00031347"/>
    <w:rsid w:val="0003134B"/>
    <w:rsid w:val="00031384"/>
    <w:rsid w:val="000313B6"/>
    <w:rsid w:val="000314E8"/>
    <w:rsid w:val="00031579"/>
    <w:rsid w:val="000316AC"/>
    <w:rsid w:val="00031727"/>
    <w:rsid w:val="00031823"/>
    <w:rsid w:val="000318F7"/>
    <w:rsid w:val="00031959"/>
    <w:rsid w:val="0003199E"/>
    <w:rsid w:val="000319D6"/>
    <w:rsid w:val="00031A12"/>
    <w:rsid w:val="00031A95"/>
    <w:rsid w:val="00031AC1"/>
    <w:rsid w:val="00031AC8"/>
    <w:rsid w:val="00031AE1"/>
    <w:rsid w:val="00031B26"/>
    <w:rsid w:val="00031C0B"/>
    <w:rsid w:val="00031C35"/>
    <w:rsid w:val="00031C4B"/>
    <w:rsid w:val="00031C6E"/>
    <w:rsid w:val="00031CA6"/>
    <w:rsid w:val="00031CCD"/>
    <w:rsid w:val="00031CFC"/>
    <w:rsid w:val="00031E59"/>
    <w:rsid w:val="00031E6D"/>
    <w:rsid w:val="00031E78"/>
    <w:rsid w:val="00031ED1"/>
    <w:rsid w:val="00031F70"/>
    <w:rsid w:val="00032031"/>
    <w:rsid w:val="00032098"/>
    <w:rsid w:val="0003210C"/>
    <w:rsid w:val="0003214A"/>
    <w:rsid w:val="0003216F"/>
    <w:rsid w:val="000321EC"/>
    <w:rsid w:val="00032213"/>
    <w:rsid w:val="00032322"/>
    <w:rsid w:val="0003241A"/>
    <w:rsid w:val="0003248E"/>
    <w:rsid w:val="0003249E"/>
    <w:rsid w:val="00032504"/>
    <w:rsid w:val="0003257A"/>
    <w:rsid w:val="000325AB"/>
    <w:rsid w:val="000325B6"/>
    <w:rsid w:val="00032601"/>
    <w:rsid w:val="0003266D"/>
    <w:rsid w:val="00032679"/>
    <w:rsid w:val="000326D5"/>
    <w:rsid w:val="0003273E"/>
    <w:rsid w:val="00032750"/>
    <w:rsid w:val="0003276E"/>
    <w:rsid w:val="000327A6"/>
    <w:rsid w:val="000327C8"/>
    <w:rsid w:val="00032824"/>
    <w:rsid w:val="00032866"/>
    <w:rsid w:val="000328C1"/>
    <w:rsid w:val="00032924"/>
    <w:rsid w:val="000329A6"/>
    <w:rsid w:val="000329DC"/>
    <w:rsid w:val="00032A12"/>
    <w:rsid w:val="00032A30"/>
    <w:rsid w:val="00032ACC"/>
    <w:rsid w:val="00032AF2"/>
    <w:rsid w:val="00032B14"/>
    <w:rsid w:val="00032B1E"/>
    <w:rsid w:val="00032B64"/>
    <w:rsid w:val="00032B9F"/>
    <w:rsid w:val="00032C37"/>
    <w:rsid w:val="00032CAF"/>
    <w:rsid w:val="00032CB5"/>
    <w:rsid w:val="00032CB6"/>
    <w:rsid w:val="00032D78"/>
    <w:rsid w:val="00032E2F"/>
    <w:rsid w:val="00032F7A"/>
    <w:rsid w:val="00032F93"/>
    <w:rsid w:val="00032F95"/>
    <w:rsid w:val="00032FAA"/>
    <w:rsid w:val="00032FAB"/>
    <w:rsid w:val="0003303A"/>
    <w:rsid w:val="0003308D"/>
    <w:rsid w:val="00033101"/>
    <w:rsid w:val="0003319B"/>
    <w:rsid w:val="00033212"/>
    <w:rsid w:val="0003326B"/>
    <w:rsid w:val="000332A9"/>
    <w:rsid w:val="000333A3"/>
    <w:rsid w:val="000333BB"/>
    <w:rsid w:val="000333C0"/>
    <w:rsid w:val="00033518"/>
    <w:rsid w:val="0003352B"/>
    <w:rsid w:val="00033618"/>
    <w:rsid w:val="0003368B"/>
    <w:rsid w:val="000336A1"/>
    <w:rsid w:val="000336FC"/>
    <w:rsid w:val="00033703"/>
    <w:rsid w:val="00033760"/>
    <w:rsid w:val="00033780"/>
    <w:rsid w:val="00033781"/>
    <w:rsid w:val="000337A1"/>
    <w:rsid w:val="00033854"/>
    <w:rsid w:val="0003385E"/>
    <w:rsid w:val="000338AC"/>
    <w:rsid w:val="000338AE"/>
    <w:rsid w:val="000339A7"/>
    <w:rsid w:val="000339C6"/>
    <w:rsid w:val="00033A31"/>
    <w:rsid w:val="00033A39"/>
    <w:rsid w:val="00033A66"/>
    <w:rsid w:val="00033AB9"/>
    <w:rsid w:val="00033B5D"/>
    <w:rsid w:val="00033BF0"/>
    <w:rsid w:val="00033C1F"/>
    <w:rsid w:val="00033D67"/>
    <w:rsid w:val="00033D8E"/>
    <w:rsid w:val="00033DBB"/>
    <w:rsid w:val="00033E0E"/>
    <w:rsid w:val="00033E2A"/>
    <w:rsid w:val="00033F85"/>
    <w:rsid w:val="00033F98"/>
    <w:rsid w:val="00033FA5"/>
    <w:rsid w:val="00033FB7"/>
    <w:rsid w:val="00033FC0"/>
    <w:rsid w:val="00034088"/>
    <w:rsid w:val="000340D4"/>
    <w:rsid w:val="00034175"/>
    <w:rsid w:val="0003417A"/>
    <w:rsid w:val="000341D8"/>
    <w:rsid w:val="0003427B"/>
    <w:rsid w:val="000343EE"/>
    <w:rsid w:val="0003442D"/>
    <w:rsid w:val="00034439"/>
    <w:rsid w:val="000344B0"/>
    <w:rsid w:val="000344B3"/>
    <w:rsid w:val="000345DD"/>
    <w:rsid w:val="000345EC"/>
    <w:rsid w:val="000345FB"/>
    <w:rsid w:val="0003463A"/>
    <w:rsid w:val="00034683"/>
    <w:rsid w:val="0003469F"/>
    <w:rsid w:val="000346E7"/>
    <w:rsid w:val="00034715"/>
    <w:rsid w:val="000348B1"/>
    <w:rsid w:val="000348EF"/>
    <w:rsid w:val="0003490D"/>
    <w:rsid w:val="00034946"/>
    <w:rsid w:val="00034948"/>
    <w:rsid w:val="0003494C"/>
    <w:rsid w:val="000349F5"/>
    <w:rsid w:val="00034A36"/>
    <w:rsid w:val="00034A8B"/>
    <w:rsid w:val="00034B41"/>
    <w:rsid w:val="00034B7B"/>
    <w:rsid w:val="00034BDF"/>
    <w:rsid w:val="00034C20"/>
    <w:rsid w:val="00034C6F"/>
    <w:rsid w:val="00034CA8"/>
    <w:rsid w:val="00034D2D"/>
    <w:rsid w:val="00034D37"/>
    <w:rsid w:val="00034D70"/>
    <w:rsid w:val="00034DA6"/>
    <w:rsid w:val="00034DE3"/>
    <w:rsid w:val="00034EDA"/>
    <w:rsid w:val="00034EF4"/>
    <w:rsid w:val="0003502E"/>
    <w:rsid w:val="00035038"/>
    <w:rsid w:val="000350DC"/>
    <w:rsid w:val="000350E4"/>
    <w:rsid w:val="000350F3"/>
    <w:rsid w:val="0003512B"/>
    <w:rsid w:val="00035169"/>
    <w:rsid w:val="000351AF"/>
    <w:rsid w:val="00035264"/>
    <w:rsid w:val="000352B7"/>
    <w:rsid w:val="00035323"/>
    <w:rsid w:val="0003533C"/>
    <w:rsid w:val="000353BB"/>
    <w:rsid w:val="000354DA"/>
    <w:rsid w:val="000354FF"/>
    <w:rsid w:val="0003552D"/>
    <w:rsid w:val="00035561"/>
    <w:rsid w:val="000355AE"/>
    <w:rsid w:val="000355D8"/>
    <w:rsid w:val="000355DD"/>
    <w:rsid w:val="00035675"/>
    <w:rsid w:val="000356B4"/>
    <w:rsid w:val="000356C5"/>
    <w:rsid w:val="00035745"/>
    <w:rsid w:val="0003579E"/>
    <w:rsid w:val="000357EB"/>
    <w:rsid w:val="0003587B"/>
    <w:rsid w:val="000358BB"/>
    <w:rsid w:val="000358FF"/>
    <w:rsid w:val="00035990"/>
    <w:rsid w:val="000359EB"/>
    <w:rsid w:val="00035A30"/>
    <w:rsid w:val="00035A3A"/>
    <w:rsid w:val="00035AB2"/>
    <w:rsid w:val="00035AF3"/>
    <w:rsid w:val="00035AFE"/>
    <w:rsid w:val="00035BFE"/>
    <w:rsid w:val="00035C03"/>
    <w:rsid w:val="00035C8F"/>
    <w:rsid w:val="00035C95"/>
    <w:rsid w:val="00035CB8"/>
    <w:rsid w:val="00035D5B"/>
    <w:rsid w:val="00035DEE"/>
    <w:rsid w:val="00035E2E"/>
    <w:rsid w:val="00035E83"/>
    <w:rsid w:val="00035EB9"/>
    <w:rsid w:val="00035EE0"/>
    <w:rsid w:val="00035F24"/>
    <w:rsid w:val="00035F36"/>
    <w:rsid w:val="00035FC9"/>
    <w:rsid w:val="00036029"/>
    <w:rsid w:val="000360BD"/>
    <w:rsid w:val="000360C5"/>
    <w:rsid w:val="000360FB"/>
    <w:rsid w:val="00036224"/>
    <w:rsid w:val="00036253"/>
    <w:rsid w:val="0003627F"/>
    <w:rsid w:val="00036300"/>
    <w:rsid w:val="00036322"/>
    <w:rsid w:val="00036326"/>
    <w:rsid w:val="0003636D"/>
    <w:rsid w:val="0003639D"/>
    <w:rsid w:val="0003649F"/>
    <w:rsid w:val="00036521"/>
    <w:rsid w:val="0003658A"/>
    <w:rsid w:val="0003658C"/>
    <w:rsid w:val="0003664A"/>
    <w:rsid w:val="00036797"/>
    <w:rsid w:val="000367BE"/>
    <w:rsid w:val="000367EF"/>
    <w:rsid w:val="000367FC"/>
    <w:rsid w:val="000368D0"/>
    <w:rsid w:val="0003698E"/>
    <w:rsid w:val="00036B30"/>
    <w:rsid w:val="00036B90"/>
    <w:rsid w:val="00036C0D"/>
    <w:rsid w:val="00036C3E"/>
    <w:rsid w:val="00036CF7"/>
    <w:rsid w:val="00036D31"/>
    <w:rsid w:val="00036DBF"/>
    <w:rsid w:val="00036E64"/>
    <w:rsid w:val="00036F28"/>
    <w:rsid w:val="00036F69"/>
    <w:rsid w:val="00036FC6"/>
    <w:rsid w:val="00036FFD"/>
    <w:rsid w:val="00037084"/>
    <w:rsid w:val="00037098"/>
    <w:rsid w:val="000370BC"/>
    <w:rsid w:val="000370C8"/>
    <w:rsid w:val="000370F6"/>
    <w:rsid w:val="00037142"/>
    <w:rsid w:val="00037198"/>
    <w:rsid w:val="00037230"/>
    <w:rsid w:val="00037369"/>
    <w:rsid w:val="0003738B"/>
    <w:rsid w:val="0003739A"/>
    <w:rsid w:val="000373A1"/>
    <w:rsid w:val="0003741F"/>
    <w:rsid w:val="00037421"/>
    <w:rsid w:val="00037427"/>
    <w:rsid w:val="00037442"/>
    <w:rsid w:val="00037593"/>
    <w:rsid w:val="000375EE"/>
    <w:rsid w:val="0003761C"/>
    <w:rsid w:val="000376D3"/>
    <w:rsid w:val="000376E2"/>
    <w:rsid w:val="00037779"/>
    <w:rsid w:val="0003784B"/>
    <w:rsid w:val="0003785E"/>
    <w:rsid w:val="00037876"/>
    <w:rsid w:val="000378A5"/>
    <w:rsid w:val="000378E0"/>
    <w:rsid w:val="000378E3"/>
    <w:rsid w:val="00037926"/>
    <w:rsid w:val="00037A18"/>
    <w:rsid w:val="00037A30"/>
    <w:rsid w:val="00037AD4"/>
    <w:rsid w:val="00037AEA"/>
    <w:rsid w:val="00037B16"/>
    <w:rsid w:val="00037C03"/>
    <w:rsid w:val="00037CE8"/>
    <w:rsid w:val="00037D10"/>
    <w:rsid w:val="00037D75"/>
    <w:rsid w:val="00037DE4"/>
    <w:rsid w:val="00037E52"/>
    <w:rsid w:val="00037E82"/>
    <w:rsid w:val="00037E9B"/>
    <w:rsid w:val="00037ECF"/>
    <w:rsid w:val="00037F0A"/>
    <w:rsid w:val="00037F13"/>
    <w:rsid w:val="00037FBA"/>
    <w:rsid w:val="00040004"/>
    <w:rsid w:val="00040062"/>
    <w:rsid w:val="0004026C"/>
    <w:rsid w:val="000402B1"/>
    <w:rsid w:val="000402C2"/>
    <w:rsid w:val="00040311"/>
    <w:rsid w:val="00040315"/>
    <w:rsid w:val="000403E7"/>
    <w:rsid w:val="000404A3"/>
    <w:rsid w:val="000404EB"/>
    <w:rsid w:val="000404FD"/>
    <w:rsid w:val="0004051C"/>
    <w:rsid w:val="00040593"/>
    <w:rsid w:val="000405A6"/>
    <w:rsid w:val="00040619"/>
    <w:rsid w:val="00040633"/>
    <w:rsid w:val="00040658"/>
    <w:rsid w:val="0004066C"/>
    <w:rsid w:val="00040766"/>
    <w:rsid w:val="000407C2"/>
    <w:rsid w:val="00040832"/>
    <w:rsid w:val="000408C1"/>
    <w:rsid w:val="00040907"/>
    <w:rsid w:val="0004091E"/>
    <w:rsid w:val="0004098D"/>
    <w:rsid w:val="00040ABF"/>
    <w:rsid w:val="00040B01"/>
    <w:rsid w:val="00040C10"/>
    <w:rsid w:val="00040E13"/>
    <w:rsid w:val="00040E3A"/>
    <w:rsid w:val="00040E49"/>
    <w:rsid w:val="00040E91"/>
    <w:rsid w:val="00040EE2"/>
    <w:rsid w:val="00040F96"/>
    <w:rsid w:val="00040F99"/>
    <w:rsid w:val="00041019"/>
    <w:rsid w:val="00041174"/>
    <w:rsid w:val="000411C0"/>
    <w:rsid w:val="00041298"/>
    <w:rsid w:val="000412B2"/>
    <w:rsid w:val="0004136D"/>
    <w:rsid w:val="00041434"/>
    <w:rsid w:val="00041444"/>
    <w:rsid w:val="00041497"/>
    <w:rsid w:val="000414FA"/>
    <w:rsid w:val="000415DD"/>
    <w:rsid w:val="000415FF"/>
    <w:rsid w:val="00041639"/>
    <w:rsid w:val="000416D2"/>
    <w:rsid w:val="000416D3"/>
    <w:rsid w:val="00041760"/>
    <w:rsid w:val="000417AF"/>
    <w:rsid w:val="000417C5"/>
    <w:rsid w:val="000418B8"/>
    <w:rsid w:val="00041969"/>
    <w:rsid w:val="0004196F"/>
    <w:rsid w:val="0004198B"/>
    <w:rsid w:val="000419A6"/>
    <w:rsid w:val="000419E6"/>
    <w:rsid w:val="00041A01"/>
    <w:rsid w:val="00041B6C"/>
    <w:rsid w:val="00041C08"/>
    <w:rsid w:val="00041C6D"/>
    <w:rsid w:val="00041C9C"/>
    <w:rsid w:val="00041D6A"/>
    <w:rsid w:val="00041D8A"/>
    <w:rsid w:val="00041DBB"/>
    <w:rsid w:val="00041DC3"/>
    <w:rsid w:val="00041E6E"/>
    <w:rsid w:val="00042082"/>
    <w:rsid w:val="000420C0"/>
    <w:rsid w:val="000420CC"/>
    <w:rsid w:val="00042105"/>
    <w:rsid w:val="00042133"/>
    <w:rsid w:val="0004218F"/>
    <w:rsid w:val="00042214"/>
    <w:rsid w:val="0004225D"/>
    <w:rsid w:val="000422E7"/>
    <w:rsid w:val="00042383"/>
    <w:rsid w:val="0004241A"/>
    <w:rsid w:val="00042447"/>
    <w:rsid w:val="0004245D"/>
    <w:rsid w:val="000424CB"/>
    <w:rsid w:val="0004256E"/>
    <w:rsid w:val="000425B5"/>
    <w:rsid w:val="000425F5"/>
    <w:rsid w:val="0004267E"/>
    <w:rsid w:val="0004270A"/>
    <w:rsid w:val="000427D7"/>
    <w:rsid w:val="000428AC"/>
    <w:rsid w:val="000428CB"/>
    <w:rsid w:val="00042A5F"/>
    <w:rsid w:val="00042AA9"/>
    <w:rsid w:val="00042BA6"/>
    <w:rsid w:val="00042BD9"/>
    <w:rsid w:val="00042C02"/>
    <w:rsid w:val="00042C76"/>
    <w:rsid w:val="00042D12"/>
    <w:rsid w:val="00042D18"/>
    <w:rsid w:val="00042D47"/>
    <w:rsid w:val="00042D67"/>
    <w:rsid w:val="00042E31"/>
    <w:rsid w:val="00042EFD"/>
    <w:rsid w:val="00042FD1"/>
    <w:rsid w:val="00042FF6"/>
    <w:rsid w:val="00043008"/>
    <w:rsid w:val="00043010"/>
    <w:rsid w:val="00043047"/>
    <w:rsid w:val="0004304C"/>
    <w:rsid w:val="0004318A"/>
    <w:rsid w:val="00043234"/>
    <w:rsid w:val="000432B9"/>
    <w:rsid w:val="0004333A"/>
    <w:rsid w:val="000434B1"/>
    <w:rsid w:val="000434D9"/>
    <w:rsid w:val="00043634"/>
    <w:rsid w:val="00043646"/>
    <w:rsid w:val="0004366B"/>
    <w:rsid w:val="000436CC"/>
    <w:rsid w:val="000437B3"/>
    <w:rsid w:val="00043800"/>
    <w:rsid w:val="00043902"/>
    <w:rsid w:val="00043915"/>
    <w:rsid w:val="00043917"/>
    <w:rsid w:val="000439EB"/>
    <w:rsid w:val="00043A28"/>
    <w:rsid w:val="00043A2E"/>
    <w:rsid w:val="00043B6C"/>
    <w:rsid w:val="00043BA9"/>
    <w:rsid w:val="00043C33"/>
    <w:rsid w:val="00043C4D"/>
    <w:rsid w:val="00043D30"/>
    <w:rsid w:val="00043EB8"/>
    <w:rsid w:val="00043F23"/>
    <w:rsid w:val="00043F7A"/>
    <w:rsid w:val="00044145"/>
    <w:rsid w:val="00044223"/>
    <w:rsid w:val="00044316"/>
    <w:rsid w:val="000443AA"/>
    <w:rsid w:val="00044448"/>
    <w:rsid w:val="00044464"/>
    <w:rsid w:val="000444A0"/>
    <w:rsid w:val="000444D5"/>
    <w:rsid w:val="000445DF"/>
    <w:rsid w:val="00044679"/>
    <w:rsid w:val="0004472A"/>
    <w:rsid w:val="0004473D"/>
    <w:rsid w:val="00044783"/>
    <w:rsid w:val="0004479D"/>
    <w:rsid w:val="000447B2"/>
    <w:rsid w:val="000448A8"/>
    <w:rsid w:val="000448FF"/>
    <w:rsid w:val="00044913"/>
    <w:rsid w:val="0004494E"/>
    <w:rsid w:val="0004495A"/>
    <w:rsid w:val="00044962"/>
    <w:rsid w:val="00044984"/>
    <w:rsid w:val="000449E2"/>
    <w:rsid w:val="00044A0C"/>
    <w:rsid w:val="00044A1B"/>
    <w:rsid w:val="00044B3C"/>
    <w:rsid w:val="00044BC8"/>
    <w:rsid w:val="00044CC8"/>
    <w:rsid w:val="00044DAA"/>
    <w:rsid w:val="00044E5C"/>
    <w:rsid w:val="00044F01"/>
    <w:rsid w:val="00044FEB"/>
    <w:rsid w:val="00044FF4"/>
    <w:rsid w:val="0004501B"/>
    <w:rsid w:val="00045039"/>
    <w:rsid w:val="0004504C"/>
    <w:rsid w:val="000450B9"/>
    <w:rsid w:val="000450EE"/>
    <w:rsid w:val="0004511A"/>
    <w:rsid w:val="0004517D"/>
    <w:rsid w:val="000451C2"/>
    <w:rsid w:val="000451F8"/>
    <w:rsid w:val="000452BC"/>
    <w:rsid w:val="0004533B"/>
    <w:rsid w:val="0004534B"/>
    <w:rsid w:val="0004540F"/>
    <w:rsid w:val="0004551A"/>
    <w:rsid w:val="0004555E"/>
    <w:rsid w:val="0004556F"/>
    <w:rsid w:val="0004557A"/>
    <w:rsid w:val="000455A7"/>
    <w:rsid w:val="0004561B"/>
    <w:rsid w:val="00045685"/>
    <w:rsid w:val="00045687"/>
    <w:rsid w:val="000456E4"/>
    <w:rsid w:val="00045755"/>
    <w:rsid w:val="0004578C"/>
    <w:rsid w:val="000457DB"/>
    <w:rsid w:val="00045803"/>
    <w:rsid w:val="00045847"/>
    <w:rsid w:val="00045868"/>
    <w:rsid w:val="00045876"/>
    <w:rsid w:val="00045878"/>
    <w:rsid w:val="000458D6"/>
    <w:rsid w:val="000458F9"/>
    <w:rsid w:val="00045A01"/>
    <w:rsid w:val="00045A1C"/>
    <w:rsid w:val="00045AB7"/>
    <w:rsid w:val="00045BA3"/>
    <w:rsid w:val="00045CA3"/>
    <w:rsid w:val="00045E4C"/>
    <w:rsid w:val="00045E9F"/>
    <w:rsid w:val="00045F84"/>
    <w:rsid w:val="00046003"/>
    <w:rsid w:val="00046032"/>
    <w:rsid w:val="00046050"/>
    <w:rsid w:val="00046069"/>
    <w:rsid w:val="00046099"/>
    <w:rsid w:val="000460A6"/>
    <w:rsid w:val="000460B2"/>
    <w:rsid w:val="000460CD"/>
    <w:rsid w:val="000460E9"/>
    <w:rsid w:val="00046104"/>
    <w:rsid w:val="000462BF"/>
    <w:rsid w:val="000462FA"/>
    <w:rsid w:val="0004630A"/>
    <w:rsid w:val="00046397"/>
    <w:rsid w:val="000463BE"/>
    <w:rsid w:val="000463D2"/>
    <w:rsid w:val="0004641D"/>
    <w:rsid w:val="00046486"/>
    <w:rsid w:val="000464DB"/>
    <w:rsid w:val="0004652F"/>
    <w:rsid w:val="0004656C"/>
    <w:rsid w:val="0004656F"/>
    <w:rsid w:val="00046588"/>
    <w:rsid w:val="000465AD"/>
    <w:rsid w:val="00046637"/>
    <w:rsid w:val="000466E6"/>
    <w:rsid w:val="0004670A"/>
    <w:rsid w:val="0004674E"/>
    <w:rsid w:val="00046909"/>
    <w:rsid w:val="00046961"/>
    <w:rsid w:val="00046966"/>
    <w:rsid w:val="00046970"/>
    <w:rsid w:val="00046AD9"/>
    <w:rsid w:val="00046ADA"/>
    <w:rsid w:val="00046B2E"/>
    <w:rsid w:val="00046B4A"/>
    <w:rsid w:val="00046C00"/>
    <w:rsid w:val="00046C1B"/>
    <w:rsid w:val="00046C2D"/>
    <w:rsid w:val="00046C48"/>
    <w:rsid w:val="00046C7B"/>
    <w:rsid w:val="00046CDB"/>
    <w:rsid w:val="00046CEF"/>
    <w:rsid w:val="00046CF9"/>
    <w:rsid w:val="00046F4D"/>
    <w:rsid w:val="00046F89"/>
    <w:rsid w:val="00046FAA"/>
    <w:rsid w:val="00047000"/>
    <w:rsid w:val="000470E3"/>
    <w:rsid w:val="000470EB"/>
    <w:rsid w:val="0004712F"/>
    <w:rsid w:val="00047138"/>
    <w:rsid w:val="0004718D"/>
    <w:rsid w:val="000471A8"/>
    <w:rsid w:val="00047303"/>
    <w:rsid w:val="0004739A"/>
    <w:rsid w:val="000473AE"/>
    <w:rsid w:val="000473E3"/>
    <w:rsid w:val="00047408"/>
    <w:rsid w:val="000474A2"/>
    <w:rsid w:val="000474B1"/>
    <w:rsid w:val="000474FF"/>
    <w:rsid w:val="00047618"/>
    <w:rsid w:val="000476AF"/>
    <w:rsid w:val="000476C0"/>
    <w:rsid w:val="000477B4"/>
    <w:rsid w:val="000477B6"/>
    <w:rsid w:val="0004784A"/>
    <w:rsid w:val="000478E2"/>
    <w:rsid w:val="000479E5"/>
    <w:rsid w:val="00047A03"/>
    <w:rsid w:val="00047A39"/>
    <w:rsid w:val="00047AC2"/>
    <w:rsid w:val="00047BAF"/>
    <w:rsid w:val="00047BCC"/>
    <w:rsid w:val="00047D2D"/>
    <w:rsid w:val="00047E75"/>
    <w:rsid w:val="00047EAC"/>
    <w:rsid w:val="00047EBF"/>
    <w:rsid w:val="00047EDD"/>
    <w:rsid w:val="00047EE4"/>
    <w:rsid w:val="00047F3A"/>
    <w:rsid w:val="00047FB5"/>
    <w:rsid w:val="00047FEA"/>
    <w:rsid w:val="00050174"/>
    <w:rsid w:val="0005024B"/>
    <w:rsid w:val="000502B3"/>
    <w:rsid w:val="000502B6"/>
    <w:rsid w:val="00050378"/>
    <w:rsid w:val="00050396"/>
    <w:rsid w:val="000503C8"/>
    <w:rsid w:val="0005048C"/>
    <w:rsid w:val="000504CA"/>
    <w:rsid w:val="00050667"/>
    <w:rsid w:val="000506D6"/>
    <w:rsid w:val="000506D9"/>
    <w:rsid w:val="00050782"/>
    <w:rsid w:val="00050887"/>
    <w:rsid w:val="000508AD"/>
    <w:rsid w:val="00050910"/>
    <w:rsid w:val="00050A1F"/>
    <w:rsid w:val="00050B77"/>
    <w:rsid w:val="00050BFF"/>
    <w:rsid w:val="00050DD5"/>
    <w:rsid w:val="00050DF4"/>
    <w:rsid w:val="00050E22"/>
    <w:rsid w:val="00050E99"/>
    <w:rsid w:val="00050F38"/>
    <w:rsid w:val="00051051"/>
    <w:rsid w:val="00051082"/>
    <w:rsid w:val="0005108E"/>
    <w:rsid w:val="000510BA"/>
    <w:rsid w:val="00051120"/>
    <w:rsid w:val="0005121F"/>
    <w:rsid w:val="000512BD"/>
    <w:rsid w:val="0005133F"/>
    <w:rsid w:val="000513F3"/>
    <w:rsid w:val="000514C1"/>
    <w:rsid w:val="00051505"/>
    <w:rsid w:val="000515CA"/>
    <w:rsid w:val="00051601"/>
    <w:rsid w:val="0005162B"/>
    <w:rsid w:val="00051680"/>
    <w:rsid w:val="000516BE"/>
    <w:rsid w:val="00051806"/>
    <w:rsid w:val="00051809"/>
    <w:rsid w:val="00051897"/>
    <w:rsid w:val="0005190E"/>
    <w:rsid w:val="00051997"/>
    <w:rsid w:val="00051BFA"/>
    <w:rsid w:val="00051C36"/>
    <w:rsid w:val="00051DBE"/>
    <w:rsid w:val="00051E02"/>
    <w:rsid w:val="00051EE7"/>
    <w:rsid w:val="00051F20"/>
    <w:rsid w:val="00051F74"/>
    <w:rsid w:val="000520DD"/>
    <w:rsid w:val="000520FE"/>
    <w:rsid w:val="00052116"/>
    <w:rsid w:val="00052184"/>
    <w:rsid w:val="00052196"/>
    <w:rsid w:val="000521CF"/>
    <w:rsid w:val="000521ED"/>
    <w:rsid w:val="000521F1"/>
    <w:rsid w:val="00052243"/>
    <w:rsid w:val="000523A8"/>
    <w:rsid w:val="000523BF"/>
    <w:rsid w:val="000523D0"/>
    <w:rsid w:val="000524C6"/>
    <w:rsid w:val="000524FC"/>
    <w:rsid w:val="00052582"/>
    <w:rsid w:val="000525A2"/>
    <w:rsid w:val="000525C1"/>
    <w:rsid w:val="000525DB"/>
    <w:rsid w:val="000525F8"/>
    <w:rsid w:val="00052610"/>
    <w:rsid w:val="000526C7"/>
    <w:rsid w:val="0005272F"/>
    <w:rsid w:val="00052737"/>
    <w:rsid w:val="00052755"/>
    <w:rsid w:val="00052833"/>
    <w:rsid w:val="0005286E"/>
    <w:rsid w:val="000528C4"/>
    <w:rsid w:val="00052960"/>
    <w:rsid w:val="000529E6"/>
    <w:rsid w:val="00052A04"/>
    <w:rsid w:val="00052A45"/>
    <w:rsid w:val="00052A91"/>
    <w:rsid w:val="00052AAB"/>
    <w:rsid w:val="00052AE8"/>
    <w:rsid w:val="00052AEC"/>
    <w:rsid w:val="00052B6F"/>
    <w:rsid w:val="00052C28"/>
    <w:rsid w:val="00052C29"/>
    <w:rsid w:val="00052C79"/>
    <w:rsid w:val="00052D00"/>
    <w:rsid w:val="00052D09"/>
    <w:rsid w:val="00052D44"/>
    <w:rsid w:val="00052D46"/>
    <w:rsid w:val="00052E21"/>
    <w:rsid w:val="00052E87"/>
    <w:rsid w:val="00052F8F"/>
    <w:rsid w:val="00052FB4"/>
    <w:rsid w:val="00052FF1"/>
    <w:rsid w:val="0005301E"/>
    <w:rsid w:val="0005303C"/>
    <w:rsid w:val="00053248"/>
    <w:rsid w:val="000532F5"/>
    <w:rsid w:val="00053396"/>
    <w:rsid w:val="00053448"/>
    <w:rsid w:val="00053463"/>
    <w:rsid w:val="0005348B"/>
    <w:rsid w:val="0005352F"/>
    <w:rsid w:val="00053565"/>
    <w:rsid w:val="00053716"/>
    <w:rsid w:val="00053759"/>
    <w:rsid w:val="00053783"/>
    <w:rsid w:val="00053784"/>
    <w:rsid w:val="0005378C"/>
    <w:rsid w:val="000538CE"/>
    <w:rsid w:val="0005392C"/>
    <w:rsid w:val="000539E0"/>
    <w:rsid w:val="00053A1E"/>
    <w:rsid w:val="00053AF1"/>
    <w:rsid w:val="00053B34"/>
    <w:rsid w:val="00053B69"/>
    <w:rsid w:val="00053C12"/>
    <w:rsid w:val="00053C4D"/>
    <w:rsid w:val="00053CC5"/>
    <w:rsid w:val="00053D17"/>
    <w:rsid w:val="00053D68"/>
    <w:rsid w:val="00053DD8"/>
    <w:rsid w:val="00053E42"/>
    <w:rsid w:val="00053E62"/>
    <w:rsid w:val="00053E98"/>
    <w:rsid w:val="00053EA7"/>
    <w:rsid w:val="00053F0E"/>
    <w:rsid w:val="00053F26"/>
    <w:rsid w:val="00053FC8"/>
    <w:rsid w:val="000540A0"/>
    <w:rsid w:val="000540E3"/>
    <w:rsid w:val="000540EF"/>
    <w:rsid w:val="00054112"/>
    <w:rsid w:val="00054191"/>
    <w:rsid w:val="000541DA"/>
    <w:rsid w:val="0005423A"/>
    <w:rsid w:val="0005424E"/>
    <w:rsid w:val="0005427C"/>
    <w:rsid w:val="00054338"/>
    <w:rsid w:val="00054346"/>
    <w:rsid w:val="0005439A"/>
    <w:rsid w:val="0005442F"/>
    <w:rsid w:val="00054458"/>
    <w:rsid w:val="00054493"/>
    <w:rsid w:val="00054627"/>
    <w:rsid w:val="000546C6"/>
    <w:rsid w:val="0005472E"/>
    <w:rsid w:val="0005478F"/>
    <w:rsid w:val="000547E4"/>
    <w:rsid w:val="00054815"/>
    <w:rsid w:val="000548EE"/>
    <w:rsid w:val="00054938"/>
    <w:rsid w:val="00054A29"/>
    <w:rsid w:val="00054A34"/>
    <w:rsid w:val="00054B2A"/>
    <w:rsid w:val="00054B81"/>
    <w:rsid w:val="00054C26"/>
    <w:rsid w:val="00054C89"/>
    <w:rsid w:val="00054CA0"/>
    <w:rsid w:val="00054D18"/>
    <w:rsid w:val="00054D19"/>
    <w:rsid w:val="00054D3F"/>
    <w:rsid w:val="00054D79"/>
    <w:rsid w:val="00054D88"/>
    <w:rsid w:val="00054D9E"/>
    <w:rsid w:val="00054DA3"/>
    <w:rsid w:val="00054DA5"/>
    <w:rsid w:val="00054DA8"/>
    <w:rsid w:val="00054DC9"/>
    <w:rsid w:val="00054E0C"/>
    <w:rsid w:val="00054E64"/>
    <w:rsid w:val="00054EE7"/>
    <w:rsid w:val="00054FAE"/>
    <w:rsid w:val="00055007"/>
    <w:rsid w:val="00055052"/>
    <w:rsid w:val="00055117"/>
    <w:rsid w:val="00055148"/>
    <w:rsid w:val="000551A8"/>
    <w:rsid w:val="000551E7"/>
    <w:rsid w:val="000552BF"/>
    <w:rsid w:val="000552E4"/>
    <w:rsid w:val="00055331"/>
    <w:rsid w:val="0005534A"/>
    <w:rsid w:val="000553A3"/>
    <w:rsid w:val="000553C3"/>
    <w:rsid w:val="0005548E"/>
    <w:rsid w:val="00055498"/>
    <w:rsid w:val="0005549A"/>
    <w:rsid w:val="000554CC"/>
    <w:rsid w:val="000555A1"/>
    <w:rsid w:val="000555B4"/>
    <w:rsid w:val="000555ED"/>
    <w:rsid w:val="0005564A"/>
    <w:rsid w:val="0005569D"/>
    <w:rsid w:val="00055773"/>
    <w:rsid w:val="000557A4"/>
    <w:rsid w:val="000557FD"/>
    <w:rsid w:val="00055806"/>
    <w:rsid w:val="00055817"/>
    <w:rsid w:val="000558CD"/>
    <w:rsid w:val="00055908"/>
    <w:rsid w:val="00055970"/>
    <w:rsid w:val="0005598E"/>
    <w:rsid w:val="00055AB0"/>
    <w:rsid w:val="00055B21"/>
    <w:rsid w:val="00055B54"/>
    <w:rsid w:val="00055B92"/>
    <w:rsid w:val="00055BD2"/>
    <w:rsid w:val="00055C35"/>
    <w:rsid w:val="00055C46"/>
    <w:rsid w:val="00055CED"/>
    <w:rsid w:val="00055D18"/>
    <w:rsid w:val="00055D51"/>
    <w:rsid w:val="00055E00"/>
    <w:rsid w:val="0005606D"/>
    <w:rsid w:val="0005612D"/>
    <w:rsid w:val="0005615A"/>
    <w:rsid w:val="0005615E"/>
    <w:rsid w:val="0005616E"/>
    <w:rsid w:val="000561AC"/>
    <w:rsid w:val="0005622F"/>
    <w:rsid w:val="0005625C"/>
    <w:rsid w:val="000562C7"/>
    <w:rsid w:val="00056309"/>
    <w:rsid w:val="00056377"/>
    <w:rsid w:val="00056431"/>
    <w:rsid w:val="000564A9"/>
    <w:rsid w:val="000564DA"/>
    <w:rsid w:val="000564EF"/>
    <w:rsid w:val="000564FA"/>
    <w:rsid w:val="00056518"/>
    <w:rsid w:val="0005675C"/>
    <w:rsid w:val="000567CA"/>
    <w:rsid w:val="00056827"/>
    <w:rsid w:val="00056830"/>
    <w:rsid w:val="00056864"/>
    <w:rsid w:val="000568B6"/>
    <w:rsid w:val="000568CF"/>
    <w:rsid w:val="0005699D"/>
    <w:rsid w:val="000569D1"/>
    <w:rsid w:val="00056A72"/>
    <w:rsid w:val="00056A73"/>
    <w:rsid w:val="00056B02"/>
    <w:rsid w:val="00056B33"/>
    <w:rsid w:val="00056B7F"/>
    <w:rsid w:val="00056C20"/>
    <w:rsid w:val="00056C74"/>
    <w:rsid w:val="00056C8A"/>
    <w:rsid w:val="00056CCF"/>
    <w:rsid w:val="00056D28"/>
    <w:rsid w:val="00056E43"/>
    <w:rsid w:val="00056EEC"/>
    <w:rsid w:val="00056F6F"/>
    <w:rsid w:val="00056FAC"/>
    <w:rsid w:val="00056FCD"/>
    <w:rsid w:val="000570F6"/>
    <w:rsid w:val="00057112"/>
    <w:rsid w:val="0005711D"/>
    <w:rsid w:val="0005712C"/>
    <w:rsid w:val="00057144"/>
    <w:rsid w:val="00057188"/>
    <w:rsid w:val="0005719F"/>
    <w:rsid w:val="00057202"/>
    <w:rsid w:val="0005720F"/>
    <w:rsid w:val="00057281"/>
    <w:rsid w:val="000572CC"/>
    <w:rsid w:val="000573AD"/>
    <w:rsid w:val="000573CC"/>
    <w:rsid w:val="0005743F"/>
    <w:rsid w:val="00057473"/>
    <w:rsid w:val="00057516"/>
    <w:rsid w:val="00057544"/>
    <w:rsid w:val="0005755E"/>
    <w:rsid w:val="00057577"/>
    <w:rsid w:val="000575DC"/>
    <w:rsid w:val="000575F4"/>
    <w:rsid w:val="0005760F"/>
    <w:rsid w:val="00057705"/>
    <w:rsid w:val="00057708"/>
    <w:rsid w:val="00057712"/>
    <w:rsid w:val="000577FD"/>
    <w:rsid w:val="00057813"/>
    <w:rsid w:val="000578AB"/>
    <w:rsid w:val="000578B2"/>
    <w:rsid w:val="000578C2"/>
    <w:rsid w:val="00057903"/>
    <w:rsid w:val="00057907"/>
    <w:rsid w:val="00057911"/>
    <w:rsid w:val="0005794C"/>
    <w:rsid w:val="000579EE"/>
    <w:rsid w:val="00057A2A"/>
    <w:rsid w:val="00057AE5"/>
    <w:rsid w:val="00057B94"/>
    <w:rsid w:val="00057B9A"/>
    <w:rsid w:val="00057BE4"/>
    <w:rsid w:val="00057BEE"/>
    <w:rsid w:val="00057C08"/>
    <w:rsid w:val="00057CA0"/>
    <w:rsid w:val="00057D55"/>
    <w:rsid w:val="00057E1F"/>
    <w:rsid w:val="00057E36"/>
    <w:rsid w:val="00057E9C"/>
    <w:rsid w:val="00057EDA"/>
    <w:rsid w:val="00057F63"/>
    <w:rsid w:val="00057FD3"/>
    <w:rsid w:val="00060007"/>
    <w:rsid w:val="000600E6"/>
    <w:rsid w:val="000600FA"/>
    <w:rsid w:val="000601F5"/>
    <w:rsid w:val="00060261"/>
    <w:rsid w:val="000603DA"/>
    <w:rsid w:val="000603E5"/>
    <w:rsid w:val="00060421"/>
    <w:rsid w:val="00060441"/>
    <w:rsid w:val="0006049C"/>
    <w:rsid w:val="000604EB"/>
    <w:rsid w:val="000604F9"/>
    <w:rsid w:val="00060513"/>
    <w:rsid w:val="00060609"/>
    <w:rsid w:val="00060754"/>
    <w:rsid w:val="000608CF"/>
    <w:rsid w:val="000609D1"/>
    <w:rsid w:val="00060AA7"/>
    <w:rsid w:val="00060AB2"/>
    <w:rsid w:val="00060AF6"/>
    <w:rsid w:val="00060B66"/>
    <w:rsid w:val="00060C15"/>
    <w:rsid w:val="00060CCB"/>
    <w:rsid w:val="00060CDF"/>
    <w:rsid w:val="00060D23"/>
    <w:rsid w:val="00060DC5"/>
    <w:rsid w:val="00060DEB"/>
    <w:rsid w:val="00060F74"/>
    <w:rsid w:val="00060F97"/>
    <w:rsid w:val="00060FE3"/>
    <w:rsid w:val="00060FFD"/>
    <w:rsid w:val="000610B3"/>
    <w:rsid w:val="00061126"/>
    <w:rsid w:val="00061181"/>
    <w:rsid w:val="000611BE"/>
    <w:rsid w:val="000611CE"/>
    <w:rsid w:val="000611F5"/>
    <w:rsid w:val="0006121E"/>
    <w:rsid w:val="0006132A"/>
    <w:rsid w:val="000613A3"/>
    <w:rsid w:val="0006149B"/>
    <w:rsid w:val="000614F6"/>
    <w:rsid w:val="00061510"/>
    <w:rsid w:val="00061543"/>
    <w:rsid w:val="00061698"/>
    <w:rsid w:val="000616D8"/>
    <w:rsid w:val="00061703"/>
    <w:rsid w:val="0006170B"/>
    <w:rsid w:val="0006175A"/>
    <w:rsid w:val="0006176C"/>
    <w:rsid w:val="00061785"/>
    <w:rsid w:val="000617EE"/>
    <w:rsid w:val="00061864"/>
    <w:rsid w:val="00061869"/>
    <w:rsid w:val="00061890"/>
    <w:rsid w:val="0006190D"/>
    <w:rsid w:val="000619B0"/>
    <w:rsid w:val="00061A23"/>
    <w:rsid w:val="00061AB0"/>
    <w:rsid w:val="00061B08"/>
    <w:rsid w:val="00061B55"/>
    <w:rsid w:val="00061B92"/>
    <w:rsid w:val="00061C7E"/>
    <w:rsid w:val="00061C98"/>
    <w:rsid w:val="00061D20"/>
    <w:rsid w:val="00061DCF"/>
    <w:rsid w:val="00061EAF"/>
    <w:rsid w:val="00061F63"/>
    <w:rsid w:val="00061F8E"/>
    <w:rsid w:val="00062020"/>
    <w:rsid w:val="00062025"/>
    <w:rsid w:val="00062039"/>
    <w:rsid w:val="000620C2"/>
    <w:rsid w:val="000620D7"/>
    <w:rsid w:val="000620EE"/>
    <w:rsid w:val="00062111"/>
    <w:rsid w:val="00062261"/>
    <w:rsid w:val="000622FF"/>
    <w:rsid w:val="00062320"/>
    <w:rsid w:val="00062366"/>
    <w:rsid w:val="00062427"/>
    <w:rsid w:val="00062481"/>
    <w:rsid w:val="000624D0"/>
    <w:rsid w:val="000624FD"/>
    <w:rsid w:val="00062537"/>
    <w:rsid w:val="00062672"/>
    <w:rsid w:val="00062698"/>
    <w:rsid w:val="0006269B"/>
    <w:rsid w:val="000626AA"/>
    <w:rsid w:val="00062798"/>
    <w:rsid w:val="000627CE"/>
    <w:rsid w:val="0006284F"/>
    <w:rsid w:val="00062852"/>
    <w:rsid w:val="00062875"/>
    <w:rsid w:val="000628C5"/>
    <w:rsid w:val="00062994"/>
    <w:rsid w:val="000629B0"/>
    <w:rsid w:val="00062A2D"/>
    <w:rsid w:val="00062A5C"/>
    <w:rsid w:val="00062AA8"/>
    <w:rsid w:val="00062AE3"/>
    <w:rsid w:val="00062C00"/>
    <w:rsid w:val="00062C49"/>
    <w:rsid w:val="00062CCC"/>
    <w:rsid w:val="00062CD1"/>
    <w:rsid w:val="00062D04"/>
    <w:rsid w:val="00062D12"/>
    <w:rsid w:val="00062D82"/>
    <w:rsid w:val="00062DE7"/>
    <w:rsid w:val="00062E75"/>
    <w:rsid w:val="00062F65"/>
    <w:rsid w:val="00062FAF"/>
    <w:rsid w:val="00062FB5"/>
    <w:rsid w:val="00062FC4"/>
    <w:rsid w:val="00062FE2"/>
    <w:rsid w:val="00062FF8"/>
    <w:rsid w:val="0006303E"/>
    <w:rsid w:val="000630C7"/>
    <w:rsid w:val="0006314F"/>
    <w:rsid w:val="00063168"/>
    <w:rsid w:val="000631F1"/>
    <w:rsid w:val="00063205"/>
    <w:rsid w:val="0006321C"/>
    <w:rsid w:val="0006325E"/>
    <w:rsid w:val="00063335"/>
    <w:rsid w:val="00063338"/>
    <w:rsid w:val="000633F7"/>
    <w:rsid w:val="00063451"/>
    <w:rsid w:val="00063485"/>
    <w:rsid w:val="0006355A"/>
    <w:rsid w:val="0006355C"/>
    <w:rsid w:val="00063594"/>
    <w:rsid w:val="00063610"/>
    <w:rsid w:val="00063615"/>
    <w:rsid w:val="0006384A"/>
    <w:rsid w:val="00063871"/>
    <w:rsid w:val="000638E4"/>
    <w:rsid w:val="00063981"/>
    <w:rsid w:val="00063A51"/>
    <w:rsid w:val="00063AB4"/>
    <w:rsid w:val="00063ABB"/>
    <w:rsid w:val="00063AE3"/>
    <w:rsid w:val="00063CE9"/>
    <w:rsid w:val="00063D53"/>
    <w:rsid w:val="00063E43"/>
    <w:rsid w:val="00063E60"/>
    <w:rsid w:val="00063E95"/>
    <w:rsid w:val="00063EE3"/>
    <w:rsid w:val="00063FBB"/>
    <w:rsid w:val="00064054"/>
    <w:rsid w:val="0006412A"/>
    <w:rsid w:val="00064139"/>
    <w:rsid w:val="00064140"/>
    <w:rsid w:val="0006419C"/>
    <w:rsid w:val="000641CD"/>
    <w:rsid w:val="000641D3"/>
    <w:rsid w:val="000641EC"/>
    <w:rsid w:val="00064216"/>
    <w:rsid w:val="00064272"/>
    <w:rsid w:val="000642D8"/>
    <w:rsid w:val="000642E5"/>
    <w:rsid w:val="00064338"/>
    <w:rsid w:val="00064361"/>
    <w:rsid w:val="00064382"/>
    <w:rsid w:val="00064460"/>
    <w:rsid w:val="000644ED"/>
    <w:rsid w:val="0006451C"/>
    <w:rsid w:val="0006455E"/>
    <w:rsid w:val="000646E4"/>
    <w:rsid w:val="0006476F"/>
    <w:rsid w:val="00064809"/>
    <w:rsid w:val="00064827"/>
    <w:rsid w:val="00064865"/>
    <w:rsid w:val="0006487F"/>
    <w:rsid w:val="000648C6"/>
    <w:rsid w:val="000648DE"/>
    <w:rsid w:val="000648E7"/>
    <w:rsid w:val="00064908"/>
    <w:rsid w:val="0006499F"/>
    <w:rsid w:val="00064A48"/>
    <w:rsid w:val="00064A76"/>
    <w:rsid w:val="00064B0F"/>
    <w:rsid w:val="00064BBF"/>
    <w:rsid w:val="00064CA3"/>
    <w:rsid w:val="00064D72"/>
    <w:rsid w:val="00064E04"/>
    <w:rsid w:val="00064EC2"/>
    <w:rsid w:val="00064F04"/>
    <w:rsid w:val="00064F1B"/>
    <w:rsid w:val="00064F73"/>
    <w:rsid w:val="00064FE6"/>
    <w:rsid w:val="00064FEB"/>
    <w:rsid w:val="0006500A"/>
    <w:rsid w:val="0006507E"/>
    <w:rsid w:val="00065084"/>
    <w:rsid w:val="000650F6"/>
    <w:rsid w:val="00065138"/>
    <w:rsid w:val="00065167"/>
    <w:rsid w:val="000651DD"/>
    <w:rsid w:val="000651E1"/>
    <w:rsid w:val="00065204"/>
    <w:rsid w:val="0006526C"/>
    <w:rsid w:val="000652AA"/>
    <w:rsid w:val="000652F9"/>
    <w:rsid w:val="00065317"/>
    <w:rsid w:val="000653B5"/>
    <w:rsid w:val="0006545C"/>
    <w:rsid w:val="0006545F"/>
    <w:rsid w:val="000654FA"/>
    <w:rsid w:val="000654FD"/>
    <w:rsid w:val="000655C7"/>
    <w:rsid w:val="0006560B"/>
    <w:rsid w:val="000656BD"/>
    <w:rsid w:val="000656EB"/>
    <w:rsid w:val="00065711"/>
    <w:rsid w:val="00065722"/>
    <w:rsid w:val="00065740"/>
    <w:rsid w:val="000657D9"/>
    <w:rsid w:val="00065831"/>
    <w:rsid w:val="0006583E"/>
    <w:rsid w:val="00065864"/>
    <w:rsid w:val="00065875"/>
    <w:rsid w:val="0006596A"/>
    <w:rsid w:val="00065A1A"/>
    <w:rsid w:val="00065AE6"/>
    <w:rsid w:val="00065AE8"/>
    <w:rsid w:val="00065B1B"/>
    <w:rsid w:val="00065C04"/>
    <w:rsid w:val="00065CCF"/>
    <w:rsid w:val="00065D79"/>
    <w:rsid w:val="00065DAB"/>
    <w:rsid w:val="00065E1E"/>
    <w:rsid w:val="00065E28"/>
    <w:rsid w:val="00065E3B"/>
    <w:rsid w:val="00065E68"/>
    <w:rsid w:val="00065E9C"/>
    <w:rsid w:val="00065FCE"/>
    <w:rsid w:val="000660FC"/>
    <w:rsid w:val="00066107"/>
    <w:rsid w:val="0006611F"/>
    <w:rsid w:val="00066130"/>
    <w:rsid w:val="00066185"/>
    <w:rsid w:val="00066199"/>
    <w:rsid w:val="000661A7"/>
    <w:rsid w:val="000661FE"/>
    <w:rsid w:val="000662E8"/>
    <w:rsid w:val="0006636C"/>
    <w:rsid w:val="000663E0"/>
    <w:rsid w:val="000663E5"/>
    <w:rsid w:val="0006649B"/>
    <w:rsid w:val="0006655A"/>
    <w:rsid w:val="00066578"/>
    <w:rsid w:val="000665C4"/>
    <w:rsid w:val="000665F1"/>
    <w:rsid w:val="000667BD"/>
    <w:rsid w:val="00066802"/>
    <w:rsid w:val="00066833"/>
    <w:rsid w:val="00066857"/>
    <w:rsid w:val="00066962"/>
    <w:rsid w:val="000669D2"/>
    <w:rsid w:val="00066A45"/>
    <w:rsid w:val="00066A52"/>
    <w:rsid w:val="00066B12"/>
    <w:rsid w:val="00066B6B"/>
    <w:rsid w:val="00066B6C"/>
    <w:rsid w:val="00066B9B"/>
    <w:rsid w:val="00066C4D"/>
    <w:rsid w:val="00066DBF"/>
    <w:rsid w:val="00066DD4"/>
    <w:rsid w:val="00066F04"/>
    <w:rsid w:val="00066F09"/>
    <w:rsid w:val="00066F10"/>
    <w:rsid w:val="00066FF9"/>
    <w:rsid w:val="00067022"/>
    <w:rsid w:val="0006703B"/>
    <w:rsid w:val="000670E5"/>
    <w:rsid w:val="000670EA"/>
    <w:rsid w:val="00067124"/>
    <w:rsid w:val="00067172"/>
    <w:rsid w:val="000671C4"/>
    <w:rsid w:val="000671D7"/>
    <w:rsid w:val="00067242"/>
    <w:rsid w:val="00067306"/>
    <w:rsid w:val="0006732B"/>
    <w:rsid w:val="0006734F"/>
    <w:rsid w:val="00067359"/>
    <w:rsid w:val="00067399"/>
    <w:rsid w:val="000673DE"/>
    <w:rsid w:val="0006742B"/>
    <w:rsid w:val="0006743C"/>
    <w:rsid w:val="00067493"/>
    <w:rsid w:val="000674B6"/>
    <w:rsid w:val="000674C6"/>
    <w:rsid w:val="000674DD"/>
    <w:rsid w:val="000674DF"/>
    <w:rsid w:val="000674FC"/>
    <w:rsid w:val="0006751C"/>
    <w:rsid w:val="000675F2"/>
    <w:rsid w:val="00067605"/>
    <w:rsid w:val="0006762F"/>
    <w:rsid w:val="00067668"/>
    <w:rsid w:val="000676E3"/>
    <w:rsid w:val="00067721"/>
    <w:rsid w:val="000677F0"/>
    <w:rsid w:val="000677FB"/>
    <w:rsid w:val="000678E2"/>
    <w:rsid w:val="000678F9"/>
    <w:rsid w:val="00067970"/>
    <w:rsid w:val="00067A16"/>
    <w:rsid w:val="00067A6D"/>
    <w:rsid w:val="00067BE6"/>
    <w:rsid w:val="00067C04"/>
    <w:rsid w:val="00067C2B"/>
    <w:rsid w:val="00067CD8"/>
    <w:rsid w:val="00067CF5"/>
    <w:rsid w:val="00067DDA"/>
    <w:rsid w:val="00067DE3"/>
    <w:rsid w:val="00067DF4"/>
    <w:rsid w:val="00067E3C"/>
    <w:rsid w:val="00067ED0"/>
    <w:rsid w:val="00067EE4"/>
    <w:rsid w:val="00067F78"/>
    <w:rsid w:val="00067FA2"/>
    <w:rsid w:val="00070037"/>
    <w:rsid w:val="00070057"/>
    <w:rsid w:val="0007006E"/>
    <w:rsid w:val="000700D0"/>
    <w:rsid w:val="000701C5"/>
    <w:rsid w:val="0007021E"/>
    <w:rsid w:val="000702EC"/>
    <w:rsid w:val="00070356"/>
    <w:rsid w:val="0007038E"/>
    <w:rsid w:val="000703AE"/>
    <w:rsid w:val="000703E6"/>
    <w:rsid w:val="0007043F"/>
    <w:rsid w:val="0007049E"/>
    <w:rsid w:val="000704E8"/>
    <w:rsid w:val="00070522"/>
    <w:rsid w:val="0007052D"/>
    <w:rsid w:val="000705CC"/>
    <w:rsid w:val="000706D9"/>
    <w:rsid w:val="0007074C"/>
    <w:rsid w:val="000707F1"/>
    <w:rsid w:val="0007088D"/>
    <w:rsid w:val="00070944"/>
    <w:rsid w:val="00070A5C"/>
    <w:rsid w:val="00070AA8"/>
    <w:rsid w:val="00070B00"/>
    <w:rsid w:val="00070B11"/>
    <w:rsid w:val="00070BEE"/>
    <w:rsid w:val="00070C8B"/>
    <w:rsid w:val="00070CB2"/>
    <w:rsid w:val="00070D3F"/>
    <w:rsid w:val="00070D61"/>
    <w:rsid w:val="00070F81"/>
    <w:rsid w:val="00071075"/>
    <w:rsid w:val="000710B2"/>
    <w:rsid w:val="00071141"/>
    <w:rsid w:val="00071158"/>
    <w:rsid w:val="00071196"/>
    <w:rsid w:val="00071276"/>
    <w:rsid w:val="00071387"/>
    <w:rsid w:val="000713B0"/>
    <w:rsid w:val="000713B7"/>
    <w:rsid w:val="000713F8"/>
    <w:rsid w:val="00071469"/>
    <w:rsid w:val="000714CE"/>
    <w:rsid w:val="00071548"/>
    <w:rsid w:val="000715AD"/>
    <w:rsid w:val="00071618"/>
    <w:rsid w:val="0007162D"/>
    <w:rsid w:val="00071670"/>
    <w:rsid w:val="000716CD"/>
    <w:rsid w:val="0007171A"/>
    <w:rsid w:val="00071746"/>
    <w:rsid w:val="00071797"/>
    <w:rsid w:val="000717C2"/>
    <w:rsid w:val="0007180B"/>
    <w:rsid w:val="00071895"/>
    <w:rsid w:val="000718A5"/>
    <w:rsid w:val="000718EF"/>
    <w:rsid w:val="00071968"/>
    <w:rsid w:val="000719A6"/>
    <w:rsid w:val="000719B6"/>
    <w:rsid w:val="00071A2A"/>
    <w:rsid w:val="00071A30"/>
    <w:rsid w:val="00071A3A"/>
    <w:rsid w:val="00071A4B"/>
    <w:rsid w:val="00071A74"/>
    <w:rsid w:val="00071A7E"/>
    <w:rsid w:val="00071AEC"/>
    <w:rsid w:val="00071B43"/>
    <w:rsid w:val="00071CE8"/>
    <w:rsid w:val="00071CED"/>
    <w:rsid w:val="00071D95"/>
    <w:rsid w:val="00071DDF"/>
    <w:rsid w:val="00071EE4"/>
    <w:rsid w:val="00071F45"/>
    <w:rsid w:val="00071FAC"/>
    <w:rsid w:val="00071FB0"/>
    <w:rsid w:val="00071FD7"/>
    <w:rsid w:val="0007202E"/>
    <w:rsid w:val="0007207A"/>
    <w:rsid w:val="0007208D"/>
    <w:rsid w:val="000721D2"/>
    <w:rsid w:val="00072285"/>
    <w:rsid w:val="000722AE"/>
    <w:rsid w:val="000722CC"/>
    <w:rsid w:val="000722F4"/>
    <w:rsid w:val="0007231B"/>
    <w:rsid w:val="0007231D"/>
    <w:rsid w:val="0007235B"/>
    <w:rsid w:val="00072398"/>
    <w:rsid w:val="00072399"/>
    <w:rsid w:val="000723CD"/>
    <w:rsid w:val="0007242B"/>
    <w:rsid w:val="000724EB"/>
    <w:rsid w:val="0007255C"/>
    <w:rsid w:val="000725E6"/>
    <w:rsid w:val="00072611"/>
    <w:rsid w:val="00072673"/>
    <w:rsid w:val="000726D4"/>
    <w:rsid w:val="000726F7"/>
    <w:rsid w:val="0007272B"/>
    <w:rsid w:val="00072741"/>
    <w:rsid w:val="00072857"/>
    <w:rsid w:val="0007289C"/>
    <w:rsid w:val="000728A5"/>
    <w:rsid w:val="000728D3"/>
    <w:rsid w:val="00072933"/>
    <w:rsid w:val="00072955"/>
    <w:rsid w:val="00072983"/>
    <w:rsid w:val="00072B0E"/>
    <w:rsid w:val="00072B66"/>
    <w:rsid w:val="00072C1C"/>
    <w:rsid w:val="00072CB9"/>
    <w:rsid w:val="00072CEA"/>
    <w:rsid w:val="00072CF1"/>
    <w:rsid w:val="00072D08"/>
    <w:rsid w:val="00072DD7"/>
    <w:rsid w:val="00072E59"/>
    <w:rsid w:val="00072F29"/>
    <w:rsid w:val="00072FE0"/>
    <w:rsid w:val="00073025"/>
    <w:rsid w:val="0007305A"/>
    <w:rsid w:val="00073093"/>
    <w:rsid w:val="00073145"/>
    <w:rsid w:val="00073177"/>
    <w:rsid w:val="000731E9"/>
    <w:rsid w:val="0007324B"/>
    <w:rsid w:val="00073317"/>
    <w:rsid w:val="0007335D"/>
    <w:rsid w:val="000733A3"/>
    <w:rsid w:val="000733B5"/>
    <w:rsid w:val="000733CA"/>
    <w:rsid w:val="000733D6"/>
    <w:rsid w:val="000733E7"/>
    <w:rsid w:val="00073412"/>
    <w:rsid w:val="0007342D"/>
    <w:rsid w:val="000734AE"/>
    <w:rsid w:val="000734D7"/>
    <w:rsid w:val="0007351B"/>
    <w:rsid w:val="00073666"/>
    <w:rsid w:val="0007368D"/>
    <w:rsid w:val="000736E7"/>
    <w:rsid w:val="000737CD"/>
    <w:rsid w:val="000737FB"/>
    <w:rsid w:val="00073851"/>
    <w:rsid w:val="00073876"/>
    <w:rsid w:val="00073914"/>
    <w:rsid w:val="00073932"/>
    <w:rsid w:val="00073951"/>
    <w:rsid w:val="00073A4D"/>
    <w:rsid w:val="00073A7C"/>
    <w:rsid w:val="00073AF6"/>
    <w:rsid w:val="00073B5C"/>
    <w:rsid w:val="00073B82"/>
    <w:rsid w:val="00073C5D"/>
    <w:rsid w:val="00073CD6"/>
    <w:rsid w:val="00073E64"/>
    <w:rsid w:val="00073E6A"/>
    <w:rsid w:val="00073E90"/>
    <w:rsid w:val="00073EA0"/>
    <w:rsid w:val="00073F34"/>
    <w:rsid w:val="00074030"/>
    <w:rsid w:val="000741F0"/>
    <w:rsid w:val="00074272"/>
    <w:rsid w:val="000742C8"/>
    <w:rsid w:val="000742EE"/>
    <w:rsid w:val="000743BC"/>
    <w:rsid w:val="000743D1"/>
    <w:rsid w:val="00074438"/>
    <w:rsid w:val="00074449"/>
    <w:rsid w:val="00074451"/>
    <w:rsid w:val="0007455C"/>
    <w:rsid w:val="0007461D"/>
    <w:rsid w:val="00074630"/>
    <w:rsid w:val="0007465F"/>
    <w:rsid w:val="00074689"/>
    <w:rsid w:val="000746DE"/>
    <w:rsid w:val="000746E2"/>
    <w:rsid w:val="00074829"/>
    <w:rsid w:val="00074830"/>
    <w:rsid w:val="0007486B"/>
    <w:rsid w:val="00074885"/>
    <w:rsid w:val="00074A31"/>
    <w:rsid w:val="00074A77"/>
    <w:rsid w:val="00074B04"/>
    <w:rsid w:val="00074B0D"/>
    <w:rsid w:val="00074B27"/>
    <w:rsid w:val="00074B6B"/>
    <w:rsid w:val="00074B86"/>
    <w:rsid w:val="00074BC4"/>
    <w:rsid w:val="00074C36"/>
    <w:rsid w:val="00074CCC"/>
    <w:rsid w:val="00074D57"/>
    <w:rsid w:val="00074DE1"/>
    <w:rsid w:val="00074E35"/>
    <w:rsid w:val="00074E6D"/>
    <w:rsid w:val="00074F01"/>
    <w:rsid w:val="00074F2E"/>
    <w:rsid w:val="00074F8D"/>
    <w:rsid w:val="0007505E"/>
    <w:rsid w:val="0007507B"/>
    <w:rsid w:val="00075176"/>
    <w:rsid w:val="000751C0"/>
    <w:rsid w:val="000751DF"/>
    <w:rsid w:val="00075234"/>
    <w:rsid w:val="00075254"/>
    <w:rsid w:val="00075256"/>
    <w:rsid w:val="0007534B"/>
    <w:rsid w:val="00075357"/>
    <w:rsid w:val="0007535E"/>
    <w:rsid w:val="0007537D"/>
    <w:rsid w:val="000753CB"/>
    <w:rsid w:val="000753F5"/>
    <w:rsid w:val="00075430"/>
    <w:rsid w:val="00075501"/>
    <w:rsid w:val="00075548"/>
    <w:rsid w:val="000755DE"/>
    <w:rsid w:val="0007563A"/>
    <w:rsid w:val="00075703"/>
    <w:rsid w:val="00075727"/>
    <w:rsid w:val="0007577E"/>
    <w:rsid w:val="0007582A"/>
    <w:rsid w:val="000758A6"/>
    <w:rsid w:val="00075908"/>
    <w:rsid w:val="0007591E"/>
    <w:rsid w:val="0007597F"/>
    <w:rsid w:val="000759A7"/>
    <w:rsid w:val="000759DD"/>
    <w:rsid w:val="00075A12"/>
    <w:rsid w:val="00075A1E"/>
    <w:rsid w:val="00075A93"/>
    <w:rsid w:val="00075AA8"/>
    <w:rsid w:val="00075B1F"/>
    <w:rsid w:val="00075B60"/>
    <w:rsid w:val="00075BF0"/>
    <w:rsid w:val="00075C18"/>
    <w:rsid w:val="00075D59"/>
    <w:rsid w:val="00075D7A"/>
    <w:rsid w:val="00075DB8"/>
    <w:rsid w:val="00075E29"/>
    <w:rsid w:val="00075EB3"/>
    <w:rsid w:val="00075EB4"/>
    <w:rsid w:val="00075EEA"/>
    <w:rsid w:val="00075F36"/>
    <w:rsid w:val="00075F75"/>
    <w:rsid w:val="00075FA1"/>
    <w:rsid w:val="00075FCA"/>
    <w:rsid w:val="00076011"/>
    <w:rsid w:val="00076085"/>
    <w:rsid w:val="0007613A"/>
    <w:rsid w:val="0007619F"/>
    <w:rsid w:val="000761C7"/>
    <w:rsid w:val="00076242"/>
    <w:rsid w:val="000762A6"/>
    <w:rsid w:val="000762E3"/>
    <w:rsid w:val="0007631A"/>
    <w:rsid w:val="00076371"/>
    <w:rsid w:val="00076386"/>
    <w:rsid w:val="0007642D"/>
    <w:rsid w:val="0007643A"/>
    <w:rsid w:val="0007648A"/>
    <w:rsid w:val="000764E8"/>
    <w:rsid w:val="00076521"/>
    <w:rsid w:val="00076568"/>
    <w:rsid w:val="0007666E"/>
    <w:rsid w:val="00076683"/>
    <w:rsid w:val="000766BE"/>
    <w:rsid w:val="00076716"/>
    <w:rsid w:val="000767CD"/>
    <w:rsid w:val="00076856"/>
    <w:rsid w:val="00076889"/>
    <w:rsid w:val="00076896"/>
    <w:rsid w:val="000768E1"/>
    <w:rsid w:val="00076929"/>
    <w:rsid w:val="0007694A"/>
    <w:rsid w:val="000769AB"/>
    <w:rsid w:val="00076A04"/>
    <w:rsid w:val="00076B4A"/>
    <w:rsid w:val="00076B4F"/>
    <w:rsid w:val="00076B98"/>
    <w:rsid w:val="00076BF4"/>
    <w:rsid w:val="00076C11"/>
    <w:rsid w:val="00076C1C"/>
    <w:rsid w:val="00076C2E"/>
    <w:rsid w:val="00076C8E"/>
    <w:rsid w:val="00076C97"/>
    <w:rsid w:val="00076CE0"/>
    <w:rsid w:val="00076D2A"/>
    <w:rsid w:val="00076D2E"/>
    <w:rsid w:val="00076D5D"/>
    <w:rsid w:val="00076DA2"/>
    <w:rsid w:val="00076F99"/>
    <w:rsid w:val="00077056"/>
    <w:rsid w:val="0007713D"/>
    <w:rsid w:val="00077144"/>
    <w:rsid w:val="00077174"/>
    <w:rsid w:val="000771F2"/>
    <w:rsid w:val="0007721B"/>
    <w:rsid w:val="0007725D"/>
    <w:rsid w:val="00077279"/>
    <w:rsid w:val="000772F6"/>
    <w:rsid w:val="0007731B"/>
    <w:rsid w:val="00077335"/>
    <w:rsid w:val="00077415"/>
    <w:rsid w:val="00077428"/>
    <w:rsid w:val="0007742F"/>
    <w:rsid w:val="0007744E"/>
    <w:rsid w:val="000774EF"/>
    <w:rsid w:val="00077514"/>
    <w:rsid w:val="00077528"/>
    <w:rsid w:val="00077598"/>
    <w:rsid w:val="0007760B"/>
    <w:rsid w:val="000776FB"/>
    <w:rsid w:val="0007782A"/>
    <w:rsid w:val="0007784E"/>
    <w:rsid w:val="000778C4"/>
    <w:rsid w:val="00077961"/>
    <w:rsid w:val="000779B3"/>
    <w:rsid w:val="000779BE"/>
    <w:rsid w:val="00077A00"/>
    <w:rsid w:val="00077A9D"/>
    <w:rsid w:val="00077AA9"/>
    <w:rsid w:val="00077B5A"/>
    <w:rsid w:val="00077B5F"/>
    <w:rsid w:val="00077C3B"/>
    <w:rsid w:val="00077CEF"/>
    <w:rsid w:val="00077D8F"/>
    <w:rsid w:val="00077DEA"/>
    <w:rsid w:val="00077DF0"/>
    <w:rsid w:val="00077E9A"/>
    <w:rsid w:val="00077EDD"/>
    <w:rsid w:val="00077F52"/>
    <w:rsid w:val="00077FA1"/>
    <w:rsid w:val="00077FF3"/>
    <w:rsid w:val="00080048"/>
    <w:rsid w:val="00080051"/>
    <w:rsid w:val="00080087"/>
    <w:rsid w:val="000800C4"/>
    <w:rsid w:val="0008016C"/>
    <w:rsid w:val="000801C6"/>
    <w:rsid w:val="00080265"/>
    <w:rsid w:val="0008028F"/>
    <w:rsid w:val="000802D9"/>
    <w:rsid w:val="000803AB"/>
    <w:rsid w:val="00080426"/>
    <w:rsid w:val="00080503"/>
    <w:rsid w:val="00080556"/>
    <w:rsid w:val="000805EC"/>
    <w:rsid w:val="00080622"/>
    <w:rsid w:val="00080791"/>
    <w:rsid w:val="00080835"/>
    <w:rsid w:val="0008093A"/>
    <w:rsid w:val="000809B1"/>
    <w:rsid w:val="000809BA"/>
    <w:rsid w:val="00080A01"/>
    <w:rsid w:val="00080AA6"/>
    <w:rsid w:val="00080C66"/>
    <w:rsid w:val="00080C71"/>
    <w:rsid w:val="00080CEA"/>
    <w:rsid w:val="00080D04"/>
    <w:rsid w:val="00080DAE"/>
    <w:rsid w:val="00080DFE"/>
    <w:rsid w:val="00080E63"/>
    <w:rsid w:val="00080E68"/>
    <w:rsid w:val="00080E6B"/>
    <w:rsid w:val="00080F5A"/>
    <w:rsid w:val="00080F8F"/>
    <w:rsid w:val="00080FEE"/>
    <w:rsid w:val="000810CC"/>
    <w:rsid w:val="0008114E"/>
    <w:rsid w:val="00081215"/>
    <w:rsid w:val="0008121A"/>
    <w:rsid w:val="000812BF"/>
    <w:rsid w:val="0008135F"/>
    <w:rsid w:val="00081364"/>
    <w:rsid w:val="0008136F"/>
    <w:rsid w:val="000813BA"/>
    <w:rsid w:val="00081458"/>
    <w:rsid w:val="0008147C"/>
    <w:rsid w:val="000814B7"/>
    <w:rsid w:val="000814C8"/>
    <w:rsid w:val="000814CA"/>
    <w:rsid w:val="0008150F"/>
    <w:rsid w:val="0008153E"/>
    <w:rsid w:val="0008157C"/>
    <w:rsid w:val="0008163A"/>
    <w:rsid w:val="000818C3"/>
    <w:rsid w:val="00081907"/>
    <w:rsid w:val="00081931"/>
    <w:rsid w:val="00081947"/>
    <w:rsid w:val="000819A4"/>
    <w:rsid w:val="000819CB"/>
    <w:rsid w:val="000819D7"/>
    <w:rsid w:val="00081A5F"/>
    <w:rsid w:val="00081A7B"/>
    <w:rsid w:val="00081A9D"/>
    <w:rsid w:val="00081AC3"/>
    <w:rsid w:val="00081B18"/>
    <w:rsid w:val="00081B58"/>
    <w:rsid w:val="00081BBB"/>
    <w:rsid w:val="00081C72"/>
    <w:rsid w:val="00081CA5"/>
    <w:rsid w:val="00081D32"/>
    <w:rsid w:val="00081D93"/>
    <w:rsid w:val="00081DD3"/>
    <w:rsid w:val="00081E2A"/>
    <w:rsid w:val="00081E61"/>
    <w:rsid w:val="00081EF9"/>
    <w:rsid w:val="00081EFD"/>
    <w:rsid w:val="00081F00"/>
    <w:rsid w:val="00081F08"/>
    <w:rsid w:val="00081F6D"/>
    <w:rsid w:val="00081F81"/>
    <w:rsid w:val="00081F8F"/>
    <w:rsid w:val="00081FCE"/>
    <w:rsid w:val="0008202F"/>
    <w:rsid w:val="000820C3"/>
    <w:rsid w:val="0008210B"/>
    <w:rsid w:val="0008211F"/>
    <w:rsid w:val="00082143"/>
    <w:rsid w:val="00082149"/>
    <w:rsid w:val="000821D0"/>
    <w:rsid w:val="0008226B"/>
    <w:rsid w:val="000822B7"/>
    <w:rsid w:val="000822CC"/>
    <w:rsid w:val="000822EF"/>
    <w:rsid w:val="000822F7"/>
    <w:rsid w:val="00082333"/>
    <w:rsid w:val="00082366"/>
    <w:rsid w:val="000823B3"/>
    <w:rsid w:val="000823DB"/>
    <w:rsid w:val="000824C1"/>
    <w:rsid w:val="00082518"/>
    <w:rsid w:val="00082617"/>
    <w:rsid w:val="00082648"/>
    <w:rsid w:val="0008268A"/>
    <w:rsid w:val="00082792"/>
    <w:rsid w:val="00082816"/>
    <w:rsid w:val="0008285F"/>
    <w:rsid w:val="000828DA"/>
    <w:rsid w:val="000828F1"/>
    <w:rsid w:val="00082945"/>
    <w:rsid w:val="00082992"/>
    <w:rsid w:val="000829DF"/>
    <w:rsid w:val="00082ACA"/>
    <w:rsid w:val="00082B71"/>
    <w:rsid w:val="00082B93"/>
    <w:rsid w:val="00082B9F"/>
    <w:rsid w:val="00082BF5"/>
    <w:rsid w:val="00082C16"/>
    <w:rsid w:val="00082C55"/>
    <w:rsid w:val="00082C7A"/>
    <w:rsid w:val="00082D01"/>
    <w:rsid w:val="00082D11"/>
    <w:rsid w:val="00082D24"/>
    <w:rsid w:val="00082D2D"/>
    <w:rsid w:val="00082D43"/>
    <w:rsid w:val="00082DC1"/>
    <w:rsid w:val="00082E36"/>
    <w:rsid w:val="00082E94"/>
    <w:rsid w:val="00082F13"/>
    <w:rsid w:val="00082F86"/>
    <w:rsid w:val="00082FE6"/>
    <w:rsid w:val="00083012"/>
    <w:rsid w:val="00083059"/>
    <w:rsid w:val="00083166"/>
    <w:rsid w:val="00083263"/>
    <w:rsid w:val="000833BE"/>
    <w:rsid w:val="000833FE"/>
    <w:rsid w:val="0008347F"/>
    <w:rsid w:val="000834C6"/>
    <w:rsid w:val="00083518"/>
    <w:rsid w:val="00083552"/>
    <w:rsid w:val="000835D5"/>
    <w:rsid w:val="0008366C"/>
    <w:rsid w:val="00083714"/>
    <w:rsid w:val="0008381F"/>
    <w:rsid w:val="00083887"/>
    <w:rsid w:val="000838EC"/>
    <w:rsid w:val="000838F2"/>
    <w:rsid w:val="00083974"/>
    <w:rsid w:val="00083A7A"/>
    <w:rsid w:val="00083AD4"/>
    <w:rsid w:val="00083B20"/>
    <w:rsid w:val="00083B9C"/>
    <w:rsid w:val="00083C30"/>
    <w:rsid w:val="00083D1A"/>
    <w:rsid w:val="00083E61"/>
    <w:rsid w:val="00083EB4"/>
    <w:rsid w:val="00083ECC"/>
    <w:rsid w:val="00083FB9"/>
    <w:rsid w:val="0008400E"/>
    <w:rsid w:val="0008409D"/>
    <w:rsid w:val="000840E5"/>
    <w:rsid w:val="00084127"/>
    <w:rsid w:val="00084152"/>
    <w:rsid w:val="000841DD"/>
    <w:rsid w:val="000841E0"/>
    <w:rsid w:val="0008421C"/>
    <w:rsid w:val="00084246"/>
    <w:rsid w:val="0008429E"/>
    <w:rsid w:val="000842D1"/>
    <w:rsid w:val="0008439D"/>
    <w:rsid w:val="0008443F"/>
    <w:rsid w:val="000844F1"/>
    <w:rsid w:val="00084562"/>
    <w:rsid w:val="000845FD"/>
    <w:rsid w:val="000846C7"/>
    <w:rsid w:val="00084717"/>
    <w:rsid w:val="000847E1"/>
    <w:rsid w:val="000847F0"/>
    <w:rsid w:val="0008482A"/>
    <w:rsid w:val="00084835"/>
    <w:rsid w:val="00084869"/>
    <w:rsid w:val="000848DA"/>
    <w:rsid w:val="00084A01"/>
    <w:rsid w:val="00084A5B"/>
    <w:rsid w:val="00084A8E"/>
    <w:rsid w:val="00084B00"/>
    <w:rsid w:val="00084B0F"/>
    <w:rsid w:val="00084B85"/>
    <w:rsid w:val="00084BA7"/>
    <w:rsid w:val="00084BC1"/>
    <w:rsid w:val="00084C8F"/>
    <w:rsid w:val="00084E0A"/>
    <w:rsid w:val="00084E39"/>
    <w:rsid w:val="00084EB8"/>
    <w:rsid w:val="00084EF1"/>
    <w:rsid w:val="00084FC7"/>
    <w:rsid w:val="000850DD"/>
    <w:rsid w:val="000850FC"/>
    <w:rsid w:val="00085107"/>
    <w:rsid w:val="0008513F"/>
    <w:rsid w:val="000851C7"/>
    <w:rsid w:val="0008521C"/>
    <w:rsid w:val="00085286"/>
    <w:rsid w:val="00085322"/>
    <w:rsid w:val="00085347"/>
    <w:rsid w:val="000853E2"/>
    <w:rsid w:val="000854DC"/>
    <w:rsid w:val="00085526"/>
    <w:rsid w:val="0008559E"/>
    <w:rsid w:val="00085669"/>
    <w:rsid w:val="0008568A"/>
    <w:rsid w:val="000856BA"/>
    <w:rsid w:val="0008573D"/>
    <w:rsid w:val="000857B3"/>
    <w:rsid w:val="000857CE"/>
    <w:rsid w:val="000857FC"/>
    <w:rsid w:val="00085917"/>
    <w:rsid w:val="00085950"/>
    <w:rsid w:val="00085959"/>
    <w:rsid w:val="00085962"/>
    <w:rsid w:val="000859EF"/>
    <w:rsid w:val="00085A19"/>
    <w:rsid w:val="00085AFA"/>
    <w:rsid w:val="00085AFE"/>
    <w:rsid w:val="00085B0B"/>
    <w:rsid w:val="00085B29"/>
    <w:rsid w:val="00085BA9"/>
    <w:rsid w:val="00085BE9"/>
    <w:rsid w:val="00085C28"/>
    <w:rsid w:val="00085C33"/>
    <w:rsid w:val="00085C8C"/>
    <w:rsid w:val="00085CC2"/>
    <w:rsid w:val="00085CFC"/>
    <w:rsid w:val="00085D12"/>
    <w:rsid w:val="00085D9B"/>
    <w:rsid w:val="00085DBB"/>
    <w:rsid w:val="00085DD2"/>
    <w:rsid w:val="00085E01"/>
    <w:rsid w:val="00085EAA"/>
    <w:rsid w:val="00085F0A"/>
    <w:rsid w:val="00085F13"/>
    <w:rsid w:val="00085FBB"/>
    <w:rsid w:val="00085FCB"/>
    <w:rsid w:val="00085FD7"/>
    <w:rsid w:val="0008603A"/>
    <w:rsid w:val="00086075"/>
    <w:rsid w:val="000860CF"/>
    <w:rsid w:val="0008617C"/>
    <w:rsid w:val="000861A3"/>
    <w:rsid w:val="000861B8"/>
    <w:rsid w:val="0008622C"/>
    <w:rsid w:val="00086249"/>
    <w:rsid w:val="0008625E"/>
    <w:rsid w:val="000862F6"/>
    <w:rsid w:val="00086419"/>
    <w:rsid w:val="00086526"/>
    <w:rsid w:val="0008656B"/>
    <w:rsid w:val="000865E2"/>
    <w:rsid w:val="00086612"/>
    <w:rsid w:val="0008661F"/>
    <w:rsid w:val="000867A0"/>
    <w:rsid w:val="0008681B"/>
    <w:rsid w:val="00086849"/>
    <w:rsid w:val="00086885"/>
    <w:rsid w:val="00086911"/>
    <w:rsid w:val="0008691F"/>
    <w:rsid w:val="00086943"/>
    <w:rsid w:val="0008694F"/>
    <w:rsid w:val="0008696B"/>
    <w:rsid w:val="0008697E"/>
    <w:rsid w:val="00086A90"/>
    <w:rsid w:val="00086A91"/>
    <w:rsid w:val="00086ACA"/>
    <w:rsid w:val="00086ADC"/>
    <w:rsid w:val="00086AE9"/>
    <w:rsid w:val="00086AFD"/>
    <w:rsid w:val="00086B43"/>
    <w:rsid w:val="00086B77"/>
    <w:rsid w:val="00086BF7"/>
    <w:rsid w:val="00086C10"/>
    <w:rsid w:val="00086C31"/>
    <w:rsid w:val="00086C89"/>
    <w:rsid w:val="00086CA1"/>
    <w:rsid w:val="00086CD1"/>
    <w:rsid w:val="00086CDA"/>
    <w:rsid w:val="00086D4B"/>
    <w:rsid w:val="00086D53"/>
    <w:rsid w:val="00086D72"/>
    <w:rsid w:val="00086DB2"/>
    <w:rsid w:val="00086E43"/>
    <w:rsid w:val="00086E81"/>
    <w:rsid w:val="00086EB9"/>
    <w:rsid w:val="00086F21"/>
    <w:rsid w:val="00086F91"/>
    <w:rsid w:val="00087001"/>
    <w:rsid w:val="00087031"/>
    <w:rsid w:val="0008708E"/>
    <w:rsid w:val="00087094"/>
    <w:rsid w:val="000870D3"/>
    <w:rsid w:val="0008711B"/>
    <w:rsid w:val="0008713E"/>
    <w:rsid w:val="00087195"/>
    <w:rsid w:val="00087231"/>
    <w:rsid w:val="00087257"/>
    <w:rsid w:val="0008726F"/>
    <w:rsid w:val="000872C7"/>
    <w:rsid w:val="0008730B"/>
    <w:rsid w:val="00087323"/>
    <w:rsid w:val="000873D5"/>
    <w:rsid w:val="00087427"/>
    <w:rsid w:val="00087482"/>
    <w:rsid w:val="000874BC"/>
    <w:rsid w:val="000874D8"/>
    <w:rsid w:val="00087501"/>
    <w:rsid w:val="00087561"/>
    <w:rsid w:val="00087575"/>
    <w:rsid w:val="00087584"/>
    <w:rsid w:val="000875BC"/>
    <w:rsid w:val="000875C9"/>
    <w:rsid w:val="000875FC"/>
    <w:rsid w:val="000876F6"/>
    <w:rsid w:val="0008771C"/>
    <w:rsid w:val="0008774A"/>
    <w:rsid w:val="00087752"/>
    <w:rsid w:val="00087763"/>
    <w:rsid w:val="00087767"/>
    <w:rsid w:val="000877C0"/>
    <w:rsid w:val="0008780C"/>
    <w:rsid w:val="00087835"/>
    <w:rsid w:val="0008788B"/>
    <w:rsid w:val="000878BA"/>
    <w:rsid w:val="0008791D"/>
    <w:rsid w:val="00087923"/>
    <w:rsid w:val="000879A4"/>
    <w:rsid w:val="000879EB"/>
    <w:rsid w:val="000879FC"/>
    <w:rsid w:val="000879FF"/>
    <w:rsid w:val="00087A49"/>
    <w:rsid w:val="00087AD0"/>
    <w:rsid w:val="00087B55"/>
    <w:rsid w:val="00087B84"/>
    <w:rsid w:val="00087B96"/>
    <w:rsid w:val="00087BA7"/>
    <w:rsid w:val="00087C5B"/>
    <w:rsid w:val="00087CC4"/>
    <w:rsid w:val="00087CCD"/>
    <w:rsid w:val="00087D01"/>
    <w:rsid w:val="00087D48"/>
    <w:rsid w:val="00087DC7"/>
    <w:rsid w:val="00087DCF"/>
    <w:rsid w:val="00087E19"/>
    <w:rsid w:val="00087E4E"/>
    <w:rsid w:val="00087E9A"/>
    <w:rsid w:val="00087EE3"/>
    <w:rsid w:val="00087F19"/>
    <w:rsid w:val="00087F3C"/>
    <w:rsid w:val="00087FB6"/>
    <w:rsid w:val="00087FD5"/>
    <w:rsid w:val="00087FD9"/>
    <w:rsid w:val="00090040"/>
    <w:rsid w:val="00090050"/>
    <w:rsid w:val="000900C4"/>
    <w:rsid w:val="00090103"/>
    <w:rsid w:val="00090109"/>
    <w:rsid w:val="000901F4"/>
    <w:rsid w:val="00090201"/>
    <w:rsid w:val="0009028B"/>
    <w:rsid w:val="000903A0"/>
    <w:rsid w:val="0009044F"/>
    <w:rsid w:val="0009050C"/>
    <w:rsid w:val="00090572"/>
    <w:rsid w:val="000905A5"/>
    <w:rsid w:val="00090678"/>
    <w:rsid w:val="000906BD"/>
    <w:rsid w:val="00090717"/>
    <w:rsid w:val="0009074C"/>
    <w:rsid w:val="00090756"/>
    <w:rsid w:val="000907A6"/>
    <w:rsid w:val="000907C0"/>
    <w:rsid w:val="0009085C"/>
    <w:rsid w:val="00090880"/>
    <w:rsid w:val="000908AC"/>
    <w:rsid w:val="00090958"/>
    <w:rsid w:val="00090976"/>
    <w:rsid w:val="000909AA"/>
    <w:rsid w:val="00090A87"/>
    <w:rsid w:val="00090AA8"/>
    <w:rsid w:val="00090AF3"/>
    <w:rsid w:val="00090C2C"/>
    <w:rsid w:val="00090C92"/>
    <w:rsid w:val="00090CD8"/>
    <w:rsid w:val="00090D0A"/>
    <w:rsid w:val="00090D39"/>
    <w:rsid w:val="00090DA6"/>
    <w:rsid w:val="00090DBB"/>
    <w:rsid w:val="00090DCE"/>
    <w:rsid w:val="00090E60"/>
    <w:rsid w:val="00090EEE"/>
    <w:rsid w:val="00090F04"/>
    <w:rsid w:val="00090F6C"/>
    <w:rsid w:val="00090FB7"/>
    <w:rsid w:val="00091020"/>
    <w:rsid w:val="0009111E"/>
    <w:rsid w:val="00091131"/>
    <w:rsid w:val="000911B8"/>
    <w:rsid w:val="000911BB"/>
    <w:rsid w:val="00091259"/>
    <w:rsid w:val="00091278"/>
    <w:rsid w:val="00091287"/>
    <w:rsid w:val="0009133B"/>
    <w:rsid w:val="0009138D"/>
    <w:rsid w:val="00091392"/>
    <w:rsid w:val="000914C3"/>
    <w:rsid w:val="000914F2"/>
    <w:rsid w:val="0009154E"/>
    <w:rsid w:val="00091569"/>
    <w:rsid w:val="00091601"/>
    <w:rsid w:val="00091611"/>
    <w:rsid w:val="00091619"/>
    <w:rsid w:val="0009162D"/>
    <w:rsid w:val="000916E7"/>
    <w:rsid w:val="00091707"/>
    <w:rsid w:val="0009172A"/>
    <w:rsid w:val="00091744"/>
    <w:rsid w:val="000917F5"/>
    <w:rsid w:val="00091848"/>
    <w:rsid w:val="0009186C"/>
    <w:rsid w:val="0009188C"/>
    <w:rsid w:val="000918AA"/>
    <w:rsid w:val="000918B2"/>
    <w:rsid w:val="000918B8"/>
    <w:rsid w:val="00091933"/>
    <w:rsid w:val="00091A00"/>
    <w:rsid w:val="00091A1B"/>
    <w:rsid w:val="00091A80"/>
    <w:rsid w:val="00091A9C"/>
    <w:rsid w:val="00091AC8"/>
    <w:rsid w:val="00091AD8"/>
    <w:rsid w:val="00091B78"/>
    <w:rsid w:val="00091BAA"/>
    <w:rsid w:val="00091C1A"/>
    <w:rsid w:val="00091C22"/>
    <w:rsid w:val="00091C57"/>
    <w:rsid w:val="00091CA9"/>
    <w:rsid w:val="00091CEA"/>
    <w:rsid w:val="00091D4C"/>
    <w:rsid w:val="00091D54"/>
    <w:rsid w:val="00091E95"/>
    <w:rsid w:val="00091EC1"/>
    <w:rsid w:val="00091EC4"/>
    <w:rsid w:val="00091F06"/>
    <w:rsid w:val="00091F39"/>
    <w:rsid w:val="00091F6D"/>
    <w:rsid w:val="0009201F"/>
    <w:rsid w:val="00092030"/>
    <w:rsid w:val="00092052"/>
    <w:rsid w:val="000920C0"/>
    <w:rsid w:val="0009233E"/>
    <w:rsid w:val="0009237B"/>
    <w:rsid w:val="000923A8"/>
    <w:rsid w:val="00092432"/>
    <w:rsid w:val="00092486"/>
    <w:rsid w:val="000924ED"/>
    <w:rsid w:val="0009251B"/>
    <w:rsid w:val="0009254B"/>
    <w:rsid w:val="00092590"/>
    <w:rsid w:val="00092631"/>
    <w:rsid w:val="00092656"/>
    <w:rsid w:val="000926B0"/>
    <w:rsid w:val="000926CD"/>
    <w:rsid w:val="00092754"/>
    <w:rsid w:val="000927E2"/>
    <w:rsid w:val="00092847"/>
    <w:rsid w:val="00092883"/>
    <w:rsid w:val="00092910"/>
    <w:rsid w:val="0009292E"/>
    <w:rsid w:val="00092936"/>
    <w:rsid w:val="0009298A"/>
    <w:rsid w:val="00092997"/>
    <w:rsid w:val="000929A2"/>
    <w:rsid w:val="00092B07"/>
    <w:rsid w:val="00092B6A"/>
    <w:rsid w:val="00092BCA"/>
    <w:rsid w:val="00092BE0"/>
    <w:rsid w:val="00092BE3"/>
    <w:rsid w:val="00092C17"/>
    <w:rsid w:val="00092C21"/>
    <w:rsid w:val="00092C25"/>
    <w:rsid w:val="00092C26"/>
    <w:rsid w:val="00092D11"/>
    <w:rsid w:val="00092DA0"/>
    <w:rsid w:val="00092DFE"/>
    <w:rsid w:val="00092E48"/>
    <w:rsid w:val="00092EAD"/>
    <w:rsid w:val="00092EDE"/>
    <w:rsid w:val="00092EE5"/>
    <w:rsid w:val="00092EE7"/>
    <w:rsid w:val="00092EF3"/>
    <w:rsid w:val="00092EFF"/>
    <w:rsid w:val="00092FCA"/>
    <w:rsid w:val="000930B4"/>
    <w:rsid w:val="000930B8"/>
    <w:rsid w:val="000930ED"/>
    <w:rsid w:val="000930F3"/>
    <w:rsid w:val="00093150"/>
    <w:rsid w:val="00093221"/>
    <w:rsid w:val="0009322F"/>
    <w:rsid w:val="00093257"/>
    <w:rsid w:val="000932E7"/>
    <w:rsid w:val="00093308"/>
    <w:rsid w:val="0009338B"/>
    <w:rsid w:val="000933A1"/>
    <w:rsid w:val="00093402"/>
    <w:rsid w:val="000934A3"/>
    <w:rsid w:val="00093524"/>
    <w:rsid w:val="0009354B"/>
    <w:rsid w:val="0009355D"/>
    <w:rsid w:val="000935DB"/>
    <w:rsid w:val="00093611"/>
    <w:rsid w:val="0009362D"/>
    <w:rsid w:val="00093652"/>
    <w:rsid w:val="0009366B"/>
    <w:rsid w:val="00093693"/>
    <w:rsid w:val="0009384A"/>
    <w:rsid w:val="000938A8"/>
    <w:rsid w:val="0009390D"/>
    <w:rsid w:val="00093982"/>
    <w:rsid w:val="000939FF"/>
    <w:rsid w:val="00093A43"/>
    <w:rsid w:val="00093A5C"/>
    <w:rsid w:val="00093AB1"/>
    <w:rsid w:val="00093B1F"/>
    <w:rsid w:val="00093B59"/>
    <w:rsid w:val="00093B83"/>
    <w:rsid w:val="00093C7C"/>
    <w:rsid w:val="00093DA5"/>
    <w:rsid w:val="00093DFB"/>
    <w:rsid w:val="00093E3C"/>
    <w:rsid w:val="00093FF9"/>
    <w:rsid w:val="000940E1"/>
    <w:rsid w:val="0009414D"/>
    <w:rsid w:val="000941B1"/>
    <w:rsid w:val="000941CA"/>
    <w:rsid w:val="00094202"/>
    <w:rsid w:val="00094236"/>
    <w:rsid w:val="000942CE"/>
    <w:rsid w:val="00094429"/>
    <w:rsid w:val="00094483"/>
    <w:rsid w:val="000944D2"/>
    <w:rsid w:val="00094525"/>
    <w:rsid w:val="0009457C"/>
    <w:rsid w:val="00094619"/>
    <w:rsid w:val="00094652"/>
    <w:rsid w:val="00094699"/>
    <w:rsid w:val="000947C9"/>
    <w:rsid w:val="000947EF"/>
    <w:rsid w:val="0009484E"/>
    <w:rsid w:val="00094869"/>
    <w:rsid w:val="000948BB"/>
    <w:rsid w:val="000948F4"/>
    <w:rsid w:val="0009496C"/>
    <w:rsid w:val="00094AAA"/>
    <w:rsid w:val="00094AC4"/>
    <w:rsid w:val="00094B4D"/>
    <w:rsid w:val="00094BBA"/>
    <w:rsid w:val="00094BE2"/>
    <w:rsid w:val="00094CFE"/>
    <w:rsid w:val="00094D1C"/>
    <w:rsid w:val="00094D53"/>
    <w:rsid w:val="00094D5F"/>
    <w:rsid w:val="00094D88"/>
    <w:rsid w:val="00094DD2"/>
    <w:rsid w:val="00094ECD"/>
    <w:rsid w:val="00094F50"/>
    <w:rsid w:val="0009500B"/>
    <w:rsid w:val="000950B4"/>
    <w:rsid w:val="00095167"/>
    <w:rsid w:val="000951CF"/>
    <w:rsid w:val="000951E9"/>
    <w:rsid w:val="00095210"/>
    <w:rsid w:val="00095226"/>
    <w:rsid w:val="0009524C"/>
    <w:rsid w:val="0009524D"/>
    <w:rsid w:val="000952C9"/>
    <w:rsid w:val="000952E8"/>
    <w:rsid w:val="000953D1"/>
    <w:rsid w:val="000953FD"/>
    <w:rsid w:val="0009549D"/>
    <w:rsid w:val="000954BE"/>
    <w:rsid w:val="000954D1"/>
    <w:rsid w:val="000954FA"/>
    <w:rsid w:val="000955B2"/>
    <w:rsid w:val="000955F0"/>
    <w:rsid w:val="000955FE"/>
    <w:rsid w:val="00095661"/>
    <w:rsid w:val="00095675"/>
    <w:rsid w:val="000956B1"/>
    <w:rsid w:val="00095726"/>
    <w:rsid w:val="00095778"/>
    <w:rsid w:val="000957CF"/>
    <w:rsid w:val="00095813"/>
    <w:rsid w:val="00095875"/>
    <w:rsid w:val="000958FF"/>
    <w:rsid w:val="0009591E"/>
    <w:rsid w:val="00095923"/>
    <w:rsid w:val="00095960"/>
    <w:rsid w:val="000959FB"/>
    <w:rsid w:val="00095BC2"/>
    <w:rsid w:val="00095C03"/>
    <w:rsid w:val="00095C41"/>
    <w:rsid w:val="00095C97"/>
    <w:rsid w:val="00095CB5"/>
    <w:rsid w:val="00095D2E"/>
    <w:rsid w:val="00095D4D"/>
    <w:rsid w:val="00095D82"/>
    <w:rsid w:val="00095DF9"/>
    <w:rsid w:val="00095E63"/>
    <w:rsid w:val="00095ED4"/>
    <w:rsid w:val="00095EEB"/>
    <w:rsid w:val="00095F03"/>
    <w:rsid w:val="00095F3C"/>
    <w:rsid w:val="00095FDE"/>
    <w:rsid w:val="00096041"/>
    <w:rsid w:val="000960B3"/>
    <w:rsid w:val="00096103"/>
    <w:rsid w:val="0009612C"/>
    <w:rsid w:val="0009615B"/>
    <w:rsid w:val="0009621F"/>
    <w:rsid w:val="00096271"/>
    <w:rsid w:val="0009628F"/>
    <w:rsid w:val="000962A7"/>
    <w:rsid w:val="000962AD"/>
    <w:rsid w:val="000962B1"/>
    <w:rsid w:val="00096370"/>
    <w:rsid w:val="000963A1"/>
    <w:rsid w:val="00096567"/>
    <w:rsid w:val="0009657E"/>
    <w:rsid w:val="000965A9"/>
    <w:rsid w:val="00096615"/>
    <w:rsid w:val="00096688"/>
    <w:rsid w:val="00096697"/>
    <w:rsid w:val="000966D3"/>
    <w:rsid w:val="000966F2"/>
    <w:rsid w:val="0009679B"/>
    <w:rsid w:val="000967AE"/>
    <w:rsid w:val="00096830"/>
    <w:rsid w:val="0009684C"/>
    <w:rsid w:val="00096852"/>
    <w:rsid w:val="0009686D"/>
    <w:rsid w:val="000969A1"/>
    <w:rsid w:val="000969B3"/>
    <w:rsid w:val="00096A26"/>
    <w:rsid w:val="00096A99"/>
    <w:rsid w:val="00096AB2"/>
    <w:rsid w:val="00096B55"/>
    <w:rsid w:val="00096B6E"/>
    <w:rsid w:val="00096C34"/>
    <w:rsid w:val="00096CD0"/>
    <w:rsid w:val="00096CE7"/>
    <w:rsid w:val="00096D25"/>
    <w:rsid w:val="00096D2B"/>
    <w:rsid w:val="00096D3F"/>
    <w:rsid w:val="00096D45"/>
    <w:rsid w:val="00096D68"/>
    <w:rsid w:val="00096D90"/>
    <w:rsid w:val="00096D94"/>
    <w:rsid w:val="00096DAE"/>
    <w:rsid w:val="00096EE7"/>
    <w:rsid w:val="00096FB6"/>
    <w:rsid w:val="00097025"/>
    <w:rsid w:val="00097027"/>
    <w:rsid w:val="000970B3"/>
    <w:rsid w:val="00097108"/>
    <w:rsid w:val="000971F7"/>
    <w:rsid w:val="00097203"/>
    <w:rsid w:val="0009721C"/>
    <w:rsid w:val="00097246"/>
    <w:rsid w:val="0009724E"/>
    <w:rsid w:val="0009733E"/>
    <w:rsid w:val="000973DA"/>
    <w:rsid w:val="000973E2"/>
    <w:rsid w:val="000973F3"/>
    <w:rsid w:val="0009741F"/>
    <w:rsid w:val="0009747E"/>
    <w:rsid w:val="000974D5"/>
    <w:rsid w:val="0009758D"/>
    <w:rsid w:val="00097644"/>
    <w:rsid w:val="00097697"/>
    <w:rsid w:val="000976C6"/>
    <w:rsid w:val="000977C6"/>
    <w:rsid w:val="000977EC"/>
    <w:rsid w:val="00097808"/>
    <w:rsid w:val="00097854"/>
    <w:rsid w:val="00097986"/>
    <w:rsid w:val="00097A41"/>
    <w:rsid w:val="00097AAE"/>
    <w:rsid w:val="00097B24"/>
    <w:rsid w:val="00097B68"/>
    <w:rsid w:val="00097B99"/>
    <w:rsid w:val="00097BBB"/>
    <w:rsid w:val="00097BF8"/>
    <w:rsid w:val="00097C35"/>
    <w:rsid w:val="00097C5E"/>
    <w:rsid w:val="00097D1B"/>
    <w:rsid w:val="00097DDB"/>
    <w:rsid w:val="00097DF6"/>
    <w:rsid w:val="00097E19"/>
    <w:rsid w:val="00097E8F"/>
    <w:rsid w:val="000A00A8"/>
    <w:rsid w:val="000A0146"/>
    <w:rsid w:val="000A014D"/>
    <w:rsid w:val="000A014E"/>
    <w:rsid w:val="000A0191"/>
    <w:rsid w:val="000A01AA"/>
    <w:rsid w:val="000A025C"/>
    <w:rsid w:val="000A028D"/>
    <w:rsid w:val="000A02E8"/>
    <w:rsid w:val="000A02EB"/>
    <w:rsid w:val="000A0317"/>
    <w:rsid w:val="000A03C7"/>
    <w:rsid w:val="000A041C"/>
    <w:rsid w:val="000A0462"/>
    <w:rsid w:val="000A04E6"/>
    <w:rsid w:val="000A04F1"/>
    <w:rsid w:val="000A04F7"/>
    <w:rsid w:val="000A0511"/>
    <w:rsid w:val="000A0516"/>
    <w:rsid w:val="000A051E"/>
    <w:rsid w:val="000A05B9"/>
    <w:rsid w:val="000A05E4"/>
    <w:rsid w:val="000A05E6"/>
    <w:rsid w:val="000A0618"/>
    <w:rsid w:val="000A0705"/>
    <w:rsid w:val="000A078B"/>
    <w:rsid w:val="000A07B2"/>
    <w:rsid w:val="000A07DB"/>
    <w:rsid w:val="000A082F"/>
    <w:rsid w:val="000A0839"/>
    <w:rsid w:val="000A08AF"/>
    <w:rsid w:val="000A0929"/>
    <w:rsid w:val="000A098B"/>
    <w:rsid w:val="000A09F8"/>
    <w:rsid w:val="000A0A37"/>
    <w:rsid w:val="000A0A90"/>
    <w:rsid w:val="000A0A95"/>
    <w:rsid w:val="000A0A97"/>
    <w:rsid w:val="000A0AD8"/>
    <w:rsid w:val="000A0B35"/>
    <w:rsid w:val="000A0BD9"/>
    <w:rsid w:val="000A0CE6"/>
    <w:rsid w:val="000A0CFD"/>
    <w:rsid w:val="000A0E0F"/>
    <w:rsid w:val="000A0E3A"/>
    <w:rsid w:val="000A0E63"/>
    <w:rsid w:val="000A0E86"/>
    <w:rsid w:val="000A0E94"/>
    <w:rsid w:val="000A1097"/>
    <w:rsid w:val="000A10BA"/>
    <w:rsid w:val="000A116D"/>
    <w:rsid w:val="000A11FE"/>
    <w:rsid w:val="000A1205"/>
    <w:rsid w:val="000A120C"/>
    <w:rsid w:val="000A1214"/>
    <w:rsid w:val="000A1253"/>
    <w:rsid w:val="000A1344"/>
    <w:rsid w:val="000A1392"/>
    <w:rsid w:val="000A139B"/>
    <w:rsid w:val="000A13DC"/>
    <w:rsid w:val="000A1404"/>
    <w:rsid w:val="000A1423"/>
    <w:rsid w:val="000A1424"/>
    <w:rsid w:val="000A1428"/>
    <w:rsid w:val="000A1483"/>
    <w:rsid w:val="000A15E6"/>
    <w:rsid w:val="000A16AF"/>
    <w:rsid w:val="000A17CD"/>
    <w:rsid w:val="000A18AC"/>
    <w:rsid w:val="000A18AF"/>
    <w:rsid w:val="000A1969"/>
    <w:rsid w:val="000A1988"/>
    <w:rsid w:val="000A19D6"/>
    <w:rsid w:val="000A19FA"/>
    <w:rsid w:val="000A1ACB"/>
    <w:rsid w:val="000A1B47"/>
    <w:rsid w:val="000A1BBE"/>
    <w:rsid w:val="000A1C6A"/>
    <w:rsid w:val="000A1C8D"/>
    <w:rsid w:val="000A1CED"/>
    <w:rsid w:val="000A1D2A"/>
    <w:rsid w:val="000A1D6F"/>
    <w:rsid w:val="000A1D92"/>
    <w:rsid w:val="000A1DD3"/>
    <w:rsid w:val="000A1EC6"/>
    <w:rsid w:val="000A1ECB"/>
    <w:rsid w:val="000A1EF0"/>
    <w:rsid w:val="000A1F81"/>
    <w:rsid w:val="000A210D"/>
    <w:rsid w:val="000A2183"/>
    <w:rsid w:val="000A2200"/>
    <w:rsid w:val="000A2274"/>
    <w:rsid w:val="000A229C"/>
    <w:rsid w:val="000A22FD"/>
    <w:rsid w:val="000A2340"/>
    <w:rsid w:val="000A2380"/>
    <w:rsid w:val="000A2389"/>
    <w:rsid w:val="000A2458"/>
    <w:rsid w:val="000A2504"/>
    <w:rsid w:val="000A2538"/>
    <w:rsid w:val="000A258B"/>
    <w:rsid w:val="000A2649"/>
    <w:rsid w:val="000A2670"/>
    <w:rsid w:val="000A2691"/>
    <w:rsid w:val="000A26A4"/>
    <w:rsid w:val="000A26E0"/>
    <w:rsid w:val="000A2707"/>
    <w:rsid w:val="000A2786"/>
    <w:rsid w:val="000A281B"/>
    <w:rsid w:val="000A28B3"/>
    <w:rsid w:val="000A28EF"/>
    <w:rsid w:val="000A2914"/>
    <w:rsid w:val="000A29E2"/>
    <w:rsid w:val="000A2A44"/>
    <w:rsid w:val="000A2A70"/>
    <w:rsid w:val="000A2AEE"/>
    <w:rsid w:val="000A2B25"/>
    <w:rsid w:val="000A2B62"/>
    <w:rsid w:val="000A2C06"/>
    <w:rsid w:val="000A2C14"/>
    <w:rsid w:val="000A2C85"/>
    <w:rsid w:val="000A2C8B"/>
    <w:rsid w:val="000A2D27"/>
    <w:rsid w:val="000A2E0A"/>
    <w:rsid w:val="000A2E47"/>
    <w:rsid w:val="000A2ED6"/>
    <w:rsid w:val="000A2F02"/>
    <w:rsid w:val="000A2F72"/>
    <w:rsid w:val="000A2FA0"/>
    <w:rsid w:val="000A2FDF"/>
    <w:rsid w:val="000A303F"/>
    <w:rsid w:val="000A3041"/>
    <w:rsid w:val="000A30B0"/>
    <w:rsid w:val="000A316F"/>
    <w:rsid w:val="000A3181"/>
    <w:rsid w:val="000A319C"/>
    <w:rsid w:val="000A31D4"/>
    <w:rsid w:val="000A32CC"/>
    <w:rsid w:val="000A332B"/>
    <w:rsid w:val="000A3366"/>
    <w:rsid w:val="000A33B9"/>
    <w:rsid w:val="000A3461"/>
    <w:rsid w:val="000A349C"/>
    <w:rsid w:val="000A34D4"/>
    <w:rsid w:val="000A3511"/>
    <w:rsid w:val="000A352F"/>
    <w:rsid w:val="000A3537"/>
    <w:rsid w:val="000A3635"/>
    <w:rsid w:val="000A36AC"/>
    <w:rsid w:val="000A3726"/>
    <w:rsid w:val="000A3746"/>
    <w:rsid w:val="000A3764"/>
    <w:rsid w:val="000A3766"/>
    <w:rsid w:val="000A37B4"/>
    <w:rsid w:val="000A3849"/>
    <w:rsid w:val="000A3901"/>
    <w:rsid w:val="000A3926"/>
    <w:rsid w:val="000A3994"/>
    <w:rsid w:val="000A39F4"/>
    <w:rsid w:val="000A3A05"/>
    <w:rsid w:val="000A3A5B"/>
    <w:rsid w:val="000A3AC2"/>
    <w:rsid w:val="000A3AF2"/>
    <w:rsid w:val="000A3B3A"/>
    <w:rsid w:val="000A3B76"/>
    <w:rsid w:val="000A3C0B"/>
    <w:rsid w:val="000A3C2C"/>
    <w:rsid w:val="000A3C53"/>
    <w:rsid w:val="000A3C60"/>
    <w:rsid w:val="000A3CC3"/>
    <w:rsid w:val="000A3CDF"/>
    <w:rsid w:val="000A3CED"/>
    <w:rsid w:val="000A3D10"/>
    <w:rsid w:val="000A3DBD"/>
    <w:rsid w:val="000A3DD1"/>
    <w:rsid w:val="000A3E96"/>
    <w:rsid w:val="000A3EC2"/>
    <w:rsid w:val="000A3EE3"/>
    <w:rsid w:val="000A3FE6"/>
    <w:rsid w:val="000A4047"/>
    <w:rsid w:val="000A4048"/>
    <w:rsid w:val="000A4064"/>
    <w:rsid w:val="000A412B"/>
    <w:rsid w:val="000A413E"/>
    <w:rsid w:val="000A4243"/>
    <w:rsid w:val="000A42BA"/>
    <w:rsid w:val="000A432D"/>
    <w:rsid w:val="000A433B"/>
    <w:rsid w:val="000A433E"/>
    <w:rsid w:val="000A4356"/>
    <w:rsid w:val="000A436B"/>
    <w:rsid w:val="000A437A"/>
    <w:rsid w:val="000A43D0"/>
    <w:rsid w:val="000A4403"/>
    <w:rsid w:val="000A442F"/>
    <w:rsid w:val="000A4462"/>
    <w:rsid w:val="000A44FA"/>
    <w:rsid w:val="000A45A6"/>
    <w:rsid w:val="000A45A9"/>
    <w:rsid w:val="000A460F"/>
    <w:rsid w:val="000A463D"/>
    <w:rsid w:val="000A480B"/>
    <w:rsid w:val="000A48F2"/>
    <w:rsid w:val="000A493B"/>
    <w:rsid w:val="000A493F"/>
    <w:rsid w:val="000A499A"/>
    <w:rsid w:val="000A49DC"/>
    <w:rsid w:val="000A4A98"/>
    <w:rsid w:val="000A4AAE"/>
    <w:rsid w:val="000A4B0B"/>
    <w:rsid w:val="000A4B7F"/>
    <w:rsid w:val="000A4B8E"/>
    <w:rsid w:val="000A4BC3"/>
    <w:rsid w:val="000A4CCC"/>
    <w:rsid w:val="000A4D2D"/>
    <w:rsid w:val="000A4D72"/>
    <w:rsid w:val="000A4EA4"/>
    <w:rsid w:val="000A4EFF"/>
    <w:rsid w:val="000A4F6E"/>
    <w:rsid w:val="000A4F9C"/>
    <w:rsid w:val="000A5035"/>
    <w:rsid w:val="000A5043"/>
    <w:rsid w:val="000A50C1"/>
    <w:rsid w:val="000A51A6"/>
    <w:rsid w:val="000A51AA"/>
    <w:rsid w:val="000A52A7"/>
    <w:rsid w:val="000A52AA"/>
    <w:rsid w:val="000A5359"/>
    <w:rsid w:val="000A537F"/>
    <w:rsid w:val="000A5407"/>
    <w:rsid w:val="000A5490"/>
    <w:rsid w:val="000A5492"/>
    <w:rsid w:val="000A549B"/>
    <w:rsid w:val="000A54AE"/>
    <w:rsid w:val="000A5562"/>
    <w:rsid w:val="000A55DD"/>
    <w:rsid w:val="000A55F2"/>
    <w:rsid w:val="000A5637"/>
    <w:rsid w:val="000A5725"/>
    <w:rsid w:val="000A5774"/>
    <w:rsid w:val="000A5869"/>
    <w:rsid w:val="000A598D"/>
    <w:rsid w:val="000A59A9"/>
    <w:rsid w:val="000A59E0"/>
    <w:rsid w:val="000A5A58"/>
    <w:rsid w:val="000A5AAD"/>
    <w:rsid w:val="000A5AD4"/>
    <w:rsid w:val="000A5B51"/>
    <w:rsid w:val="000A5B6A"/>
    <w:rsid w:val="000A5BAA"/>
    <w:rsid w:val="000A5CA6"/>
    <w:rsid w:val="000A5CB6"/>
    <w:rsid w:val="000A5CD2"/>
    <w:rsid w:val="000A5CF9"/>
    <w:rsid w:val="000A5DA0"/>
    <w:rsid w:val="000A5DC6"/>
    <w:rsid w:val="000A5E88"/>
    <w:rsid w:val="000A5ED6"/>
    <w:rsid w:val="000A5F6A"/>
    <w:rsid w:val="000A5F99"/>
    <w:rsid w:val="000A607A"/>
    <w:rsid w:val="000A6103"/>
    <w:rsid w:val="000A6124"/>
    <w:rsid w:val="000A61EB"/>
    <w:rsid w:val="000A61F6"/>
    <w:rsid w:val="000A625C"/>
    <w:rsid w:val="000A6307"/>
    <w:rsid w:val="000A6364"/>
    <w:rsid w:val="000A636E"/>
    <w:rsid w:val="000A6381"/>
    <w:rsid w:val="000A639B"/>
    <w:rsid w:val="000A63CD"/>
    <w:rsid w:val="000A63E7"/>
    <w:rsid w:val="000A640C"/>
    <w:rsid w:val="000A65A1"/>
    <w:rsid w:val="000A665F"/>
    <w:rsid w:val="000A669D"/>
    <w:rsid w:val="000A66CB"/>
    <w:rsid w:val="000A6762"/>
    <w:rsid w:val="000A67E6"/>
    <w:rsid w:val="000A67EF"/>
    <w:rsid w:val="000A684A"/>
    <w:rsid w:val="000A693F"/>
    <w:rsid w:val="000A69E2"/>
    <w:rsid w:val="000A69F6"/>
    <w:rsid w:val="000A6A76"/>
    <w:rsid w:val="000A6AA6"/>
    <w:rsid w:val="000A6AD5"/>
    <w:rsid w:val="000A6AF9"/>
    <w:rsid w:val="000A6B11"/>
    <w:rsid w:val="000A6B78"/>
    <w:rsid w:val="000A6C06"/>
    <w:rsid w:val="000A6C2E"/>
    <w:rsid w:val="000A6C30"/>
    <w:rsid w:val="000A6C7C"/>
    <w:rsid w:val="000A6C8C"/>
    <w:rsid w:val="000A6CBF"/>
    <w:rsid w:val="000A6D34"/>
    <w:rsid w:val="000A6D43"/>
    <w:rsid w:val="000A6DD8"/>
    <w:rsid w:val="000A6DE1"/>
    <w:rsid w:val="000A6E2A"/>
    <w:rsid w:val="000A6E84"/>
    <w:rsid w:val="000A6E93"/>
    <w:rsid w:val="000A6F74"/>
    <w:rsid w:val="000A7015"/>
    <w:rsid w:val="000A705A"/>
    <w:rsid w:val="000A7086"/>
    <w:rsid w:val="000A70BA"/>
    <w:rsid w:val="000A70C6"/>
    <w:rsid w:val="000A70CC"/>
    <w:rsid w:val="000A70DC"/>
    <w:rsid w:val="000A70ED"/>
    <w:rsid w:val="000A710F"/>
    <w:rsid w:val="000A716C"/>
    <w:rsid w:val="000A71C9"/>
    <w:rsid w:val="000A71E5"/>
    <w:rsid w:val="000A7240"/>
    <w:rsid w:val="000A727E"/>
    <w:rsid w:val="000A72AB"/>
    <w:rsid w:val="000A72FB"/>
    <w:rsid w:val="000A73ED"/>
    <w:rsid w:val="000A750D"/>
    <w:rsid w:val="000A758C"/>
    <w:rsid w:val="000A763F"/>
    <w:rsid w:val="000A7679"/>
    <w:rsid w:val="000A7693"/>
    <w:rsid w:val="000A76B4"/>
    <w:rsid w:val="000A776F"/>
    <w:rsid w:val="000A7783"/>
    <w:rsid w:val="000A7827"/>
    <w:rsid w:val="000A785B"/>
    <w:rsid w:val="000A7878"/>
    <w:rsid w:val="000A78CC"/>
    <w:rsid w:val="000A78DB"/>
    <w:rsid w:val="000A791E"/>
    <w:rsid w:val="000A7924"/>
    <w:rsid w:val="000A7966"/>
    <w:rsid w:val="000A7985"/>
    <w:rsid w:val="000A79AF"/>
    <w:rsid w:val="000A79BA"/>
    <w:rsid w:val="000A7A0A"/>
    <w:rsid w:val="000A7A0C"/>
    <w:rsid w:val="000A7A1B"/>
    <w:rsid w:val="000A7A4F"/>
    <w:rsid w:val="000A7A7A"/>
    <w:rsid w:val="000A7AA9"/>
    <w:rsid w:val="000A7C5D"/>
    <w:rsid w:val="000A7C9E"/>
    <w:rsid w:val="000A7CD8"/>
    <w:rsid w:val="000A7CEE"/>
    <w:rsid w:val="000A7D39"/>
    <w:rsid w:val="000A7D3D"/>
    <w:rsid w:val="000A7DA6"/>
    <w:rsid w:val="000A7DBB"/>
    <w:rsid w:val="000A7DD0"/>
    <w:rsid w:val="000A7EC1"/>
    <w:rsid w:val="000A7F01"/>
    <w:rsid w:val="000A7F49"/>
    <w:rsid w:val="000A7F70"/>
    <w:rsid w:val="000A7FC2"/>
    <w:rsid w:val="000A7FCE"/>
    <w:rsid w:val="000B003C"/>
    <w:rsid w:val="000B0156"/>
    <w:rsid w:val="000B01C9"/>
    <w:rsid w:val="000B0249"/>
    <w:rsid w:val="000B033C"/>
    <w:rsid w:val="000B0362"/>
    <w:rsid w:val="000B0397"/>
    <w:rsid w:val="000B044F"/>
    <w:rsid w:val="000B0528"/>
    <w:rsid w:val="000B0595"/>
    <w:rsid w:val="000B05C5"/>
    <w:rsid w:val="000B05D6"/>
    <w:rsid w:val="000B063D"/>
    <w:rsid w:val="000B06A1"/>
    <w:rsid w:val="000B0703"/>
    <w:rsid w:val="000B072C"/>
    <w:rsid w:val="000B07DB"/>
    <w:rsid w:val="000B0855"/>
    <w:rsid w:val="000B08BC"/>
    <w:rsid w:val="000B08CF"/>
    <w:rsid w:val="000B08D2"/>
    <w:rsid w:val="000B08F8"/>
    <w:rsid w:val="000B0909"/>
    <w:rsid w:val="000B0927"/>
    <w:rsid w:val="000B0949"/>
    <w:rsid w:val="000B09AB"/>
    <w:rsid w:val="000B0A48"/>
    <w:rsid w:val="000B0A5A"/>
    <w:rsid w:val="000B0A82"/>
    <w:rsid w:val="000B0A97"/>
    <w:rsid w:val="000B0B08"/>
    <w:rsid w:val="000B0B6C"/>
    <w:rsid w:val="000B0B6F"/>
    <w:rsid w:val="000B0C05"/>
    <w:rsid w:val="000B0C39"/>
    <w:rsid w:val="000B0C9E"/>
    <w:rsid w:val="000B0DC6"/>
    <w:rsid w:val="000B0DFF"/>
    <w:rsid w:val="000B0E6C"/>
    <w:rsid w:val="000B0F00"/>
    <w:rsid w:val="000B0FB0"/>
    <w:rsid w:val="000B1009"/>
    <w:rsid w:val="000B103D"/>
    <w:rsid w:val="000B1050"/>
    <w:rsid w:val="000B1091"/>
    <w:rsid w:val="000B10C1"/>
    <w:rsid w:val="000B10FA"/>
    <w:rsid w:val="000B1128"/>
    <w:rsid w:val="000B114D"/>
    <w:rsid w:val="000B1165"/>
    <w:rsid w:val="000B126D"/>
    <w:rsid w:val="000B1334"/>
    <w:rsid w:val="000B140C"/>
    <w:rsid w:val="000B140E"/>
    <w:rsid w:val="000B1455"/>
    <w:rsid w:val="000B1572"/>
    <w:rsid w:val="000B1592"/>
    <w:rsid w:val="000B15E2"/>
    <w:rsid w:val="000B161C"/>
    <w:rsid w:val="000B1661"/>
    <w:rsid w:val="000B18CA"/>
    <w:rsid w:val="000B18CB"/>
    <w:rsid w:val="000B19EA"/>
    <w:rsid w:val="000B1ABA"/>
    <w:rsid w:val="000B1ACD"/>
    <w:rsid w:val="000B1BD5"/>
    <w:rsid w:val="000B1BD7"/>
    <w:rsid w:val="000B1BE8"/>
    <w:rsid w:val="000B1BF5"/>
    <w:rsid w:val="000B1C14"/>
    <w:rsid w:val="000B1C71"/>
    <w:rsid w:val="000B1CA9"/>
    <w:rsid w:val="000B1E1E"/>
    <w:rsid w:val="000B1E6A"/>
    <w:rsid w:val="000B1E80"/>
    <w:rsid w:val="000B1F31"/>
    <w:rsid w:val="000B1F46"/>
    <w:rsid w:val="000B1F58"/>
    <w:rsid w:val="000B1FF5"/>
    <w:rsid w:val="000B2011"/>
    <w:rsid w:val="000B20C7"/>
    <w:rsid w:val="000B20FA"/>
    <w:rsid w:val="000B20FB"/>
    <w:rsid w:val="000B2123"/>
    <w:rsid w:val="000B213C"/>
    <w:rsid w:val="000B2258"/>
    <w:rsid w:val="000B226D"/>
    <w:rsid w:val="000B2380"/>
    <w:rsid w:val="000B23CF"/>
    <w:rsid w:val="000B253B"/>
    <w:rsid w:val="000B256F"/>
    <w:rsid w:val="000B2676"/>
    <w:rsid w:val="000B273D"/>
    <w:rsid w:val="000B27E5"/>
    <w:rsid w:val="000B28CF"/>
    <w:rsid w:val="000B2939"/>
    <w:rsid w:val="000B299C"/>
    <w:rsid w:val="000B29A1"/>
    <w:rsid w:val="000B29C6"/>
    <w:rsid w:val="000B2A0B"/>
    <w:rsid w:val="000B2A10"/>
    <w:rsid w:val="000B2BA6"/>
    <w:rsid w:val="000B2BEE"/>
    <w:rsid w:val="000B2C18"/>
    <w:rsid w:val="000B2C6D"/>
    <w:rsid w:val="000B2D09"/>
    <w:rsid w:val="000B2D53"/>
    <w:rsid w:val="000B2D5D"/>
    <w:rsid w:val="000B2E0D"/>
    <w:rsid w:val="000B2E3A"/>
    <w:rsid w:val="000B2F2D"/>
    <w:rsid w:val="000B313D"/>
    <w:rsid w:val="000B316E"/>
    <w:rsid w:val="000B3182"/>
    <w:rsid w:val="000B31DC"/>
    <w:rsid w:val="000B32EA"/>
    <w:rsid w:val="000B33CF"/>
    <w:rsid w:val="000B33F3"/>
    <w:rsid w:val="000B3422"/>
    <w:rsid w:val="000B3611"/>
    <w:rsid w:val="000B3614"/>
    <w:rsid w:val="000B36F3"/>
    <w:rsid w:val="000B3726"/>
    <w:rsid w:val="000B3732"/>
    <w:rsid w:val="000B3767"/>
    <w:rsid w:val="000B392E"/>
    <w:rsid w:val="000B3946"/>
    <w:rsid w:val="000B39EE"/>
    <w:rsid w:val="000B3A6C"/>
    <w:rsid w:val="000B3AF4"/>
    <w:rsid w:val="000B3B43"/>
    <w:rsid w:val="000B3BDE"/>
    <w:rsid w:val="000B3C91"/>
    <w:rsid w:val="000B3C9E"/>
    <w:rsid w:val="000B3CA7"/>
    <w:rsid w:val="000B3D48"/>
    <w:rsid w:val="000B3D9A"/>
    <w:rsid w:val="000B3E33"/>
    <w:rsid w:val="000B3EE0"/>
    <w:rsid w:val="000B3EED"/>
    <w:rsid w:val="000B4077"/>
    <w:rsid w:val="000B407D"/>
    <w:rsid w:val="000B40B7"/>
    <w:rsid w:val="000B4125"/>
    <w:rsid w:val="000B4135"/>
    <w:rsid w:val="000B41A1"/>
    <w:rsid w:val="000B41D6"/>
    <w:rsid w:val="000B420C"/>
    <w:rsid w:val="000B4226"/>
    <w:rsid w:val="000B423E"/>
    <w:rsid w:val="000B429B"/>
    <w:rsid w:val="000B42F0"/>
    <w:rsid w:val="000B430F"/>
    <w:rsid w:val="000B4397"/>
    <w:rsid w:val="000B43D7"/>
    <w:rsid w:val="000B4428"/>
    <w:rsid w:val="000B442F"/>
    <w:rsid w:val="000B448F"/>
    <w:rsid w:val="000B44A9"/>
    <w:rsid w:val="000B44F2"/>
    <w:rsid w:val="000B451D"/>
    <w:rsid w:val="000B4550"/>
    <w:rsid w:val="000B45CF"/>
    <w:rsid w:val="000B45DB"/>
    <w:rsid w:val="000B46CA"/>
    <w:rsid w:val="000B47D4"/>
    <w:rsid w:val="000B47FA"/>
    <w:rsid w:val="000B4801"/>
    <w:rsid w:val="000B4839"/>
    <w:rsid w:val="000B49B6"/>
    <w:rsid w:val="000B49F3"/>
    <w:rsid w:val="000B4A04"/>
    <w:rsid w:val="000B4A37"/>
    <w:rsid w:val="000B4A90"/>
    <w:rsid w:val="000B4B63"/>
    <w:rsid w:val="000B4B79"/>
    <w:rsid w:val="000B4BF1"/>
    <w:rsid w:val="000B4CA3"/>
    <w:rsid w:val="000B4D22"/>
    <w:rsid w:val="000B4D2A"/>
    <w:rsid w:val="000B4E09"/>
    <w:rsid w:val="000B4E89"/>
    <w:rsid w:val="000B4E94"/>
    <w:rsid w:val="000B4EC2"/>
    <w:rsid w:val="000B4F21"/>
    <w:rsid w:val="000B4F63"/>
    <w:rsid w:val="000B4FCC"/>
    <w:rsid w:val="000B502F"/>
    <w:rsid w:val="000B5040"/>
    <w:rsid w:val="000B50A2"/>
    <w:rsid w:val="000B50CC"/>
    <w:rsid w:val="000B50E0"/>
    <w:rsid w:val="000B5101"/>
    <w:rsid w:val="000B510F"/>
    <w:rsid w:val="000B5119"/>
    <w:rsid w:val="000B516B"/>
    <w:rsid w:val="000B51B2"/>
    <w:rsid w:val="000B524C"/>
    <w:rsid w:val="000B52CA"/>
    <w:rsid w:val="000B5332"/>
    <w:rsid w:val="000B539B"/>
    <w:rsid w:val="000B5415"/>
    <w:rsid w:val="000B5432"/>
    <w:rsid w:val="000B5444"/>
    <w:rsid w:val="000B5459"/>
    <w:rsid w:val="000B54DC"/>
    <w:rsid w:val="000B54EF"/>
    <w:rsid w:val="000B5639"/>
    <w:rsid w:val="000B565D"/>
    <w:rsid w:val="000B5694"/>
    <w:rsid w:val="000B56C1"/>
    <w:rsid w:val="000B572C"/>
    <w:rsid w:val="000B5774"/>
    <w:rsid w:val="000B5778"/>
    <w:rsid w:val="000B57AE"/>
    <w:rsid w:val="000B57EE"/>
    <w:rsid w:val="000B57F1"/>
    <w:rsid w:val="000B5863"/>
    <w:rsid w:val="000B5889"/>
    <w:rsid w:val="000B5905"/>
    <w:rsid w:val="000B593D"/>
    <w:rsid w:val="000B5B93"/>
    <w:rsid w:val="000B5CB8"/>
    <w:rsid w:val="000B5E22"/>
    <w:rsid w:val="000B5E37"/>
    <w:rsid w:val="000B5EE7"/>
    <w:rsid w:val="000B5F44"/>
    <w:rsid w:val="000B6038"/>
    <w:rsid w:val="000B6065"/>
    <w:rsid w:val="000B60D1"/>
    <w:rsid w:val="000B60F0"/>
    <w:rsid w:val="000B6166"/>
    <w:rsid w:val="000B617B"/>
    <w:rsid w:val="000B617F"/>
    <w:rsid w:val="000B6203"/>
    <w:rsid w:val="000B6211"/>
    <w:rsid w:val="000B629E"/>
    <w:rsid w:val="000B62BA"/>
    <w:rsid w:val="000B6348"/>
    <w:rsid w:val="000B63D4"/>
    <w:rsid w:val="000B63E1"/>
    <w:rsid w:val="000B63EF"/>
    <w:rsid w:val="000B6453"/>
    <w:rsid w:val="000B6468"/>
    <w:rsid w:val="000B6480"/>
    <w:rsid w:val="000B6572"/>
    <w:rsid w:val="000B6613"/>
    <w:rsid w:val="000B6659"/>
    <w:rsid w:val="000B66A7"/>
    <w:rsid w:val="000B6730"/>
    <w:rsid w:val="000B6826"/>
    <w:rsid w:val="000B6860"/>
    <w:rsid w:val="000B690B"/>
    <w:rsid w:val="000B69A0"/>
    <w:rsid w:val="000B6A4F"/>
    <w:rsid w:val="000B6AC6"/>
    <w:rsid w:val="000B6AF0"/>
    <w:rsid w:val="000B6B57"/>
    <w:rsid w:val="000B6BE9"/>
    <w:rsid w:val="000B6D06"/>
    <w:rsid w:val="000B6D82"/>
    <w:rsid w:val="000B6E2B"/>
    <w:rsid w:val="000B6E41"/>
    <w:rsid w:val="000B6EAA"/>
    <w:rsid w:val="000B7040"/>
    <w:rsid w:val="000B704E"/>
    <w:rsid w:val="000B70FB"/>
    <w:rsid w:val="000B710B"/>
    <w:rsid w:val="000B72A7"/>
    <w:rsid w:val="000B72AA"/>
    <w:rsid w:val="000B72E3"/>
    <w:rsid w:val="000B7301"/>
    <w:rsid w:val="000B735A"/>
    <w:rsid w:val="000B737F"/>
    <w:rsid w:val="000B7434"/>
    <w:rsid w:val="000B7462"/>
    <w:rsid w:val="000B74EA"/>
    <w:rsid w:val="000B750B"/>
    <w:rsid w:val="000B7538"/>
    <w:rsid w:val="000B753D"/>
    <w:rsid w:val="000B7588"/>
    <w:rsid w:val="000B759F"/>
    <w:rsid w:val="000B75E3"/>
    <w:rsid w:val="000B75F1"/>
    <w:rsid w:val="000B762C"/>
    <w:rsid w:val="000B7700"/>
    <w:rsid w:val="000B775F"/>
    <w:rsid w:val="000B77CD"/>
    <w:rsid w:val="000B77D9"/>
    <w:rsid w:val="000B7821"/>
    <w:rsid w:val="000B789F"/>
    <w:rsid w:val="000B7990"/>
    <w:rsid w:val="000B79E9"/>
    <w:rsid w:val="000B7A58"/>
    <w:rsid w:val="000B7A62"/>
    <w:rsid w:val="000B7A69"/>
    <w:rsid w:val="000B7AFF"/>
    <w:rsid w:val="000B7B15"/>
    <w:rsid w:val="000B7B66"/>
    <w:rsid w:val="000B7C42"/>
    <w:rsid w:val="000B7C88"/>
    <w:rsid w:val="000B7D39"/>
    <w:rsid w:val="000B7DA4"/>
    <w:rsid w:val="000B7DDF"/>
    <w:rsid w:val="000B7E54"/>
    <w:rsid w:val="000B7EE9"/>
    <w:rsid w:val="000B7F09"/>
    <w:rsid w:val="000B7F88"/>
    <w:rsid w:val="000B7F8F"/>
    <w:rsid w:val="000B7FBD"/>
    <w:rsid w:val="000B7FEC"/>
    <w:rsid w:val="000B7FF6"/>
    <w:rsid w:val="000C0035"/>
    <w:rsid w:val="000C0055"/>
    <w:rsid w:val="000C0117"/>
    <w:rsid w:val="000C014F"/>
    <w:rsid w:val="000C0171"/>
    <w:rsid w:val="000C01AE"/>
    <w:rsid w:val="000C0254"/>
    <w:rsid w:val="000C03D2"/>
    <w:rsid w:val="000C0428"/>
    <w:rsid w:val="000C043B"/>
    <w:rsid w:val="000C04FA"/>
    <w:rsid w:val="000C050C"/>
    <w:rsid w:val="000C053D"/>
    <w:rsid w:val="000C0623"/>
    <w:rsid w:val="000C0643"/>
    <w:rsid w:val="000C065A"/>
    <w:rsid w:val="000C06FB"/>
    <w:rsid w:val="000C0705"/>
    <w:rsid w:val="000C0711"/>
    <w:rsid w:val="000C081F"/>
    <w:rsid w:val="000C088E"/>
    <w:rsid w:val="000C08CD"/>
    <w:rsid w:val="000C0921"/>
    <w:rsid w:val="000C09C0"/>
    <w:rsid w:val="000C0A08"/>
    <w:rsid w:val="000C0A7E"/>
    <w:rsid w:val="000C0B41"/>
    <w:rsid w:val="000C0B72"/>
    <w:rsid w:val="000C0BCB"/>
    <w:rsid w:val="000C0C12"/>
    <w:rsid w:val="000C0C94"/>
    <w:rsid w:val="000C0C96"/>
    <w:rsid w:val="000C0D17"/>
    <w:rsid w:val="000C0DE0"/>
    <w:rsid w:val="000C0EB9"/>
    <w:rsid w:val="000C0EED"/>
    <w:rsid w:val="000C0F65"/>
    <w:rsid w:val="000C10FA"/>
    <w:rsid w:val="000C11D5"/>
    <w:rsid w:val="000C11DB"/>
    <w:rsid w:val="000C1205"/>
    <w:rsid w:val="000C1335"/>
    <w:rsid w:val="000C1380"/>
    <w:rsid w:val="000C1420"/>
    <w:rsid w:val="000C144C"/>
    <w:rsid w:val="000C1591"/>
    <w:rsid w:val="000C15A4"/>
    <w:rsid w:val="000C15DD"/>
    <w:rsid w:val="000C15F9"/>
    <w:rsid w:val="000C16D6"/>
    <w:rsid w:val="000C1748"/>
    <w:rsid w:val="000C1759"/>
    <w:rsid w:val="000C1795"/>
    <w:rsid w:val="000C17E0"/>
    <w:rsid w:val="000C189A"/>
    <w:rsid w:val="000C18D1"/>
    <w:rsid w:val="000C1948"/>
    <w:rsid w:val="000C1977"/>
    <w:rsid w:val="000C1981"/>
    <w:rsid w:val="000C1A1D"/>
    <w:rsid w:val="000C1A25"/>
    <w:rsid w:val="000C1A71"/>
    <w:rsid w:val="000C1AD7"/>
    <w:rsid w:val="000C1AEE"/>
    <w:rsid w:val="000C1B36"/>
    <w:rsid w:val="000C1BB2"/>
    <w:rsid w:val="000C1CDB"/>
    <w:rsid w:val="000C1D56"/>
    <w:rsid w:val="000C1E47"/>
    <w:rsid w:val="000C1F2E"/>
    <w:rsid w:val="000C1F50"/>
    <w:rsid w:val="000C1F86"/>
    <w:rsid w:val="000C2034"/>
    <w:rsid w:val="000C2050"/>
    <w:rsid w:val="000C2098"/>
    <w:rsid w:val="000C216D"/>
    <w:rsid w:val="000C2185"/>
    <w:rsid w:val="000C21CB"/>
    <w:rsid w:val="000C21E7"/>
    <w:rsid w:val="000C22CD"/>
    <w:rsid w:val="000C236D"/>
    <w:rsid w:val="000C2453"/>
    <w:rsid w:val="000C2470"/>
    <w:rsid w:val="000C2480"/>
    <w:rsid w:val="000C24DB"/>
    <w:rsid w:val="000C254B"/>
    <w:rsid w:val="000C2583"/>
    <w:rsid w:val="000C25E1"/>
    <w:rsid w:val="000C2682"/>
    <w:rsid w:val="000C2688"/>
    <w:rsid w:val="000C26B0"/>
    <w:rsid w:val="000C26F5"/>
    <w:rsid w:val="000C2729"/>
    <w:rsid w:val="000C2795"/>
    <w:rsid w:val="000C279C"/>
    <w:rsid w:val="000C27F6"/>
    <w:rsid w:val="000C281A"/>
    <w:rsid w:val="000C2902"/>
    <w:rsid w:val="000C2917"/>
    <w:rsid w:val="000C2957"/>
    <w:rsid w:val="000C299C"/>
    <w:rsid w:val="000C2A4C"/>
    <w:rsid w:val="000C2B8E"/>
    <w:rsid w:val="000C2BFE"/>
    <w:rsid w:val="000C2C17"/>
    <w:rsid w:val="000C2C3C"/>
    <w:rsid w:val="000C2D7D"/>
    <w:rsid w:val="000C2DA4"/>
    <w:rsid w:val="000C2DC8"/>
    <w:rsid w:val="000C2E88"/>
    <w:rsid w:val="000C2F18"/>
    <w:rsid w:val="000C2F43"/>
    <w:rsid w:val="000C2FD3"/>
    <w:rsid w:val="000C301B"/>
    <w:rsid w:val="000C304A"/>
    <w:rsid w:val="000C3102"/>
    <w:rsid w:val="000C3119"/>
    <w:rsid w:val="000C319D"/>
    <w:rsid w:val="000C31A9"/>
    <w:rsid w:val="000C31D4"/>
    <w:rsid w:val="000C3217"/>
    <w:rsid w:val="000C321B"/>
    <w:rsid w:val="000C325B"/>
    <w:rsid w:val="000C32AB"/>
    <w:rsid w:val="000C32BE"/>
    <w:rsid w:val="000C32DB"/>
    <w:rsid w:val="000C33AF"/>
    <w:rsid w:val="000C33B5"/>
    <w:rsid w:val="000C33E2"/>
    <w:rsid w:val="000C33FF"/>
    <w:rsid w:val="000C3506"/>
    <w:rsid w:val="000C3704"/>
    <w:rsid w:val="000C370A"/>
    <w:rsid w:val="000C3758"/>
    <w:rsid w:val="000C37B1"/>
    <w:rsid w:val="000C37D9"/>
    <w:rsid w:val="000C386F"/>
    <w:rsid w:val="000C38E0"/>
    <w:rsid w:val="000C38E7"/>
    <w:rsid w:val="000C391B"/>
    <w:rsid w:val="000C398C"/>
    <w:rsid w:val="000C3999"/>
    <w:rsid w:val="000C3A22"/>
    <w:rsid w:val="000C3AC1"/>
    <w:rsid w:val="000C3B6E"/>
    <w:rsid w:val="000C3B97"/>
    <w:rsid w:val="000C3CA4"/>
    <w:rsid w:val="000C3D13"/>
    <w:rsid w:val="000C3D2B"/>
    <w:rsid w:val="000C3D6D"/>
    <w:rsid w:val="000C3DCB"/>
    <w:rsid w:val="000C3DCC"/>
    <w:rsid w:val="000C3DF7"/>
    <w:rsid w:val="000C3F27"/>
    <w:rsid w:val="000C3F71"/>
    <w:rsid w:val="000C3FAC"/>
    <w:rsid w:val="000C3FBE"/>
    <w:rsid w:val="000C3FC8"/>
    <w:rsid w:val="000C3FFC"/>
    <w:rsid w:val="000C4012"/>
    <w:rsid w:val="000C4042"/>
    <w:rsid w:val="000C406F"/>
    <w:rsid w:val="000C40DB"/>
    <w:rsid w:val="000C40E0"/>
    <w:rsid w:val="000C41E9"/>
    <w:rsid w:val="000C41ED"/>
    <w:rsid w:val="000C428E"/>
    <w:rsid w:val="000C42A8"/>
    <w:rsid w:val="000C431A"/>
    <w:rsid w:val="000C431C"/>
    <w:rsid w:val="000C446F"/>
    <w:rsid w:val="000C447B"/>
    <w:rsid w:val="000C44F3"/>
    <w:rsid w:val="000C45FE"/>
    <w:rsid w:val="000C4621"/>
    <w:rsid w:val="000C4655"/>
    <w:rsid w:val="000C46E0"/>
    <w:rsid w:val="000C475C"/>
    <w:rsid w:val="000C47ED"/>
    <w:rsid w:val="000C4822"/>
    <w:rsid w:val="000C48E7"/>
    <w:rsid w:val="000C4967"/>
    <w:rsid w:val="000C49D5"/>
    <w:rsid w:val="000C4A33"/>
    <w:rsid w:val="000C4A9E"/>
    <w:rsid w:val="000C4ACC"/>
    <w:rsid w:val="000C4B1A"/>
    <w:rsid w:val="000C4B32"/>
    <w:rsid w:val="000C4B95"/>
    <w:rsid w:val="000C4BCF"/>
    <w:rsid w:val="000C4C3D"/>
    <w:rsid w:val="000C4C70"/>
    <w:rsid w:val="000C4D2B"/>
    <w:rsid w:val="000C4D4D"/>
    <w:rsid w:val="000C4DD6"/>
    <w:rsid w:val="000C4E06"/>
    <w:rsid w:val="000C4E69"/>
    <w:rsid w:val="000C4EDD"/>
    <w:rsid w:val="000C5056"/>
    <w:rsid w:val="000C5109"/>
    <w:rsid w:val="000C510C"/>
    <w:rsid w:val="000C513B"/>
    <w:rsid w:val="000C515F"/>
    <w:rsid w:val="000C5183"/>
    <w:rsid w:val="000C51E0"/>
    <w:rsid w:val="000C521F"/>
    <w:rsid w:val="000C5372"/>
    <w:rsid w:val="000C53A8"/>
    <w:rsid w:val="000C53F9"/>
    <w:rsid w:val="000C53FD"/>
    <w:rsid w:val="000C545F"/>
    <w:rsid w:val="000C5516"/>
    <w:rsid w:val="000C552D"/>
    <w:rsid w:val="000C5535"/>
    <w:rsid w:val="000C5573"/>
    <w:rsid w:val="000C562E"/>
    <w:rsid w:val="000C5647"/>
    <w:rsid w:val="000C574C"/>
    <w:rsid w:val="000C5761"/>
    <w:rsid w:val="000C57D9"/>
    <w:rsid w:val="000C5888"/>
    <w:rsid w:val="000C58AE"/>
    <w:rsid w:val="000C58BC"/>
    <w:rsid w:val="000C58DE"/>
    <w:rsid w:val="000C5928"/>
    <w:rsid w:val="000C59C6"/>
    <w:rsid w:val="000C59C7"/>
    <w:rsid w:val="000C59F5"/>
    <w:rsid w:val="000C59FA"/>
    <w:rsid w:val="000C59FC"/>
    <w:rsid w:val="000C5A9D"/>
    <w:rsid w:val="000C5A9F"/>
    <w:rsid w:val="000C5B15"/>
    <w:rsid w:val="000C5B21"/>
    <w:rsid w:val="000C5B8D"/>
    <w:rsid w:val="000C5BCB"/>
    <w:rsid w:val="000C5CB0"/>
    <w:rsid w:val="000C5D4C"/>
    <w:rsid w:val="000C5D64"/>
    <w:rsid w:val="000C5E17"/>
    <w:rsid w:val="000C5F19"/>
    <w:rsid w:val="000C5F1F"/>
    <w:rsid w:val="000C6018"/>
    <w:rsid w:val="000C6094"/>
    <w:rsid w:val="000C60B6"/>
    <w:rsid w:val="000C6185"/>
    <w:rsid w:val="000C61AD"/>
    <w:rsid w:val="000C61DC"/>
    <w:rsid w:val="000C6223"/>
    <w:rsid w:val="000C63FC"/>
    <w:rsid w:val="000C6442"/>
    <w:rsid w:val="000C6481"/>
    <w:rsid w:val="000C64C4"/>
    <w:rsid w:val="000C6576"/>
    <w:rsid w:val="000C663A"/>
    <w:rsid w:val="000C66FD"/>
    <w:rsid w:val="000C6746"/>
    <w:rsid w:val="000C6774"/>
    <w:rsid w:val="000C67A4"/>
    <w:rsid w:val="000C67BD"/>
    <w:rsid w:val="000C68AB"/>
    <w:rsid w:val="000C68B1"/>
    <w:rsid w:val="000C68C8"/>
    <w:rsid w:val="000C68D4"/>
    <w:rsid w:val="000C68E6"/>
    <w:rsid w:val="000C68FB"/>
    <w:rsid w:val="000C69A1"/>
    <w:rsid w:val="000C69C3"/>
    <w:rsid w:val="000C69DB"/>
    <w:rsid w:val="000C6A6F"/>
    <w:rsid w:val="000C6A7E"/>
    <w:rsid w:val="000C6B46"/>
    <w:rsid w:val="000C6BD8"/>
    <w:rsid w:val="000C6C89"/>
    <w:rsid w:val="000C6CAA"/>
    <w:rsid w:val="000C6CC7"/>
    <w:rsid w:val="000C6FB8"/>
    <w:rsid w:val="000C6FE4"/>
    <w:rsid w:val="000C6FF5"/>
    <w:rsid w:val="000C7034"/>
    <w:rsid w:val="000C704F"/>
    <w:rsid w:val="000C70FB"/>
    <w:rsid w:val="000C71DE"/>
    <w:rsid w:val="000C71FB"/>
    <w:rsid w:val="000C72A7"/>
    <w:rsid w:val="000C72E3"/>
    <w:rsid w:val="000C7326"/>
    <w:rsid w:val="000C7329"/>
    <w:rsid w:val="000C7332"/>
    <w:rsid w:val="000C734F"/>
    <w:rsid w:val="000C7357"/>
    <w:rsid w:val="000C7387"/>
    <w:rsid w:val="000C7453"/>
    <w:rsid w:val="000C7468"/>
    <w:rsid w:val="000C747E"/>
    <w:rsid w:val="000C7496"/>
    <w:rsid w:val="000C74A8"/>
    <w:rsid w:val="000C74C4"/>
    <w:rsid w:val="000C754B"/>
    <w:rsid w:val="000C7567"/>
    <w:rsid w:val="000C756C"/>
    <w:rsid w:val="000C756E"/>
    <w:rsid w:val="000C75BA"/>
    <w:rsid w:val="000C75C0"/>
    <w:rsid w:val="000C75CD"/>
    <w:rsid w:val="000C765E"/>
    <w:rsid w:val="000C7670"/>
    <w:rsid w:val="000C7720"/>
    <w:rsid w:val="000C773E"/>
    <w:rsid w:val="000C7807"/>
    <w:rsid w:val="000C7844"/>
    <w:rsid w:val="000C785A"/>
    <w:rsid w:val="000C7882"/>
    <w:rsid w:val="000C79AE"/>
    <w:rsid w:val="000C79DE"/>
    <w:rsid w:val="000C7A31"/>
    <w:rsid w:val="000C7AC6"/>
    <w:rsid w:val="000C7B20"/>
    <w:rsid w:val="000C7B2D"/>
    <w:rsid w:val="000C7B6C"/>
    <w:rsid w:val="000C7B73"/>
    <w:rsid w:val="000C7BC2"/>
    <w:rsid w:val="000C7CBE"/>
    <w:rsid w:val="000C7CC2"/>
    <w:rsid w:val="000C7D44"/>
    <w:rsid w:val="000C7D68"/>
    <w:rsid w:val="000C7D7A"/>
    <w:rsid w:val="000C7D7B"/>
    <w:rsid w:val="000C7D88"/>
    <w:rsid w:val="000C7E00"/>
    <w:rsid w:val="000C7E5E"/>
    <w:rsid w:val="000C7EB7"/>
    <w:rsid w:val="000C7EED"/>
    <w:rsid w:val="000C7F35"/>
    <w:rsid w:val="000C7F42"/>
    <w:rsid w:val="000C7F80"/>
    <w:rsid w:val="000C7F8D"/>
    <w:rsid w:val="000D0016"/>
    <w:rsid w:val="000D0061"/>
    <w:rsid w:val="000D0065"/>
    <w:rsid w:val="000D010E"/>
    <w:rsid w:val="000D0184"/>
    <w:rsid w:val="000D018D"/>
    <w:rsid w:val="000D019A"/>
    <w:rsid w:val="000D01D8"/>
    <w:rsid w:val="000D0245"/>
    <w:rsid w:val="000D032B"/>
    <w:rsid w:val="000D034B"/>
    <w:rsid w:val="000D03B0"/>
    <w:rsid w:val="000D0402"/>
    <w:rsid w:val="000D0424"/>
    <w:rsid w:val="000D04B9"/>
    <w:rsid w:val="000D04DA"/>
    <w:rsid w:val="000D072B"/>
    <w:rsid w:val="000D0811"/>
    <w:rsid w:val="000D09D8"/>
    <w:rsid w:val="000D0A98"/>
    <w:rsid w:val="000D0AA7"/>
    <w:rsid w:val="000D0B37"/>
    <w:rsid w:val="000D0B39"/>
    <w:rsid w:val="000D0BC8"/>
    <w:rsid w:val="000D0D2C"/>
    <w:rsid w:val="000D0D67"/>
    <w:rsid w:val="000D0E9C"/>
    <w:rsid w:val="000D0EF8"/>
    <w:rsid w:val="000D0F05"/>
    <w:rsid w:val="000D0F8C"/>
    <w:rsid w:val="000D0FEB"/>
    <w:rsid w:val="000D101F"/>
    <w:rsid w:val="000D1064"/>
    <w:rsid w:val="000D107A"/>
    <w:rsid w:val="000D10E5"/>
    <w:rsid w:val="000D1118"/>
    <w:rsid w:val="000D112D"/>
    <w:rsid w:val="000D11D6"/>
    <w:rsid w:val="000D11DD"/>
    <w:rsid w:val="000D11EA"/>
    <w:rsid w:val="000D129A"/>
    <w:rsid w:val="000D12B9"/>
    <w:rsid w:val="000D12F4"/>
    <w:rsid w:val="000D1374"/>
    <w:rsid w:val="000D1512"/>
    <w:rsid w:val="000D155C"/>
    <w:rsid w:val="000D156C"/>
    <w:rsid w:val="000D15D4"/>
    <w:rsid w:val="000D160E"/>
    <w:rsid w:val="000D1810"/>
    <w:rsid w:val="000D18C7"/>
    <w:rsid w:val="000D1956"/>
    <w:rsid w:val="000D1968"/>
    <w:rsid w:val="000D19C0"/>
    <w:rsid w:val="000D19E2"/>
    <w:rsid w:val="000D1A3B"/>
    <w:rsid w:val="000D1A46"/>
    <w:rsid w:val="000D1A49"/>
    <w:rsid w:val="000D1A6F"/>
    <w:rsid w:val="000D1AB5"/>
    <w:rsid w:val="000D1AD1"/>
    <w:rsid w:val="000D1B0D"/>
    <w:rsid w:val="000D1B2E"/>
    <w:rsid w:val="000D1B3B"/>
    <w:rsid w:val="000D1B79"/>
    <w:rsid w:val="000D1B8A"/>
    <w:rsid w:val="000D1C90"/>
    <w:rsid w:val="000D1CDF"/>
    <w:rsid w:val="000D1CFB"/>
    <w:rsid w:val="000D1CFE"/>
    <w:rsid w:val="000D1D85"/>
    <w:rsid w:val="000D1DCC"/>
    <w:rsid w:val="000D1E5B"/>
    <w:rsid w:val="000D1F74"/>
    <w:rsid w:val="000D2005"/>
    <w:rsid w:val="000D2183"/>
    <w:rsid w:val="000D21CB"/>
    <w:rsid w:val="000D22E6"/>
    <w:rsid w:val="000D23CE"/>
    <w:rsid w:val="000D2416"/>
    <w:rsid w:val="000D24C0"/>
    <w:rsid w:val="000D250D"/>
    <w:rsid w:val="000D2588"/>
    <w:rsid w:val="000D25B1"/>
    <w:rsid w:val="000D2628"/>
    <w:rsid w:val="000D262F"/>
    <w:rsid w:val="000D2659"/>
    <w:rsid w:val="000D2674"/>
    <w:rsid w:val="000D269A"/>
    <w:rsid w:val="000D26DB"/>
    <w:rsid w:val="000D26E6"/>
    <w:rsid w:val="000D26EA"/>
    <w:rsid w:val="000D2703"/>
    <w:rsid w:val="000D2796"/>
    <w:rsid w:val="000D27FD"/>
    <w:rsid w:val="000D28D5"/>
    <w:rsid w:val="000D2A41"/>
    <w:rsid w:val="000D2AF8"/>
    <w:rsid w:val="000D2B26"/>
    <w:rsid w:val="000D2B3A"/>
    <w:rsid w:val="000D2B7C"/>
    <w:rsid w:val="000D2BCE"/>
    <w:rsid w:val="000D2C0E"/>
    <w:rsid w:val="000D2CA8"/>
    <w:rsid w:val="000D2CC4"/>
    <w:rsid w:val="000D2D4D"/>
    <w:rsid w:val="000D2DE1"/>
    <w:rsid w:val="000D2E0E"/>
    <w:rsid w:val="000D2E12"/>
    <w:rsid w:val="000D2ED5"/>
    <w:rsid w:val="000D2EEE"/>
    <w:rsid w:val="000D2F3A"/>
    <w:rsid w:val="000D2F6A"/>
    <w:rsid w:val="000D2F71"/>
    <w:rsid w:val="000D2F9A"/>
    <w:rsid w:val="000D2FA0"/>
    <w:rsid w:val="000D3090"/>
    <w:rsid w:val="000D3095"/>
    <w:rsid w:val="000D31F6"/>
    <w:rsid w:val="000D3398"/>
    <w:rsid w:val="000D3465"/>
    <w:rsid w:val="000D34D9"/>
    <w:rsid w:val="000D34F6"/>
    <w:rsid w:val="000D354E"/>
    <w:rsid w:val="000D3576"/>
    <w:rsid w:val="000D35B4"/>
    <w:rsid w:val="000D35EC"/>
    <w:rsid w:val="000D35EE"/>
    <w:rsid w:val="000D36A7"/>
    <w:rsid w:val="000D36CB"/>
    <w:rsid w:val="000D3843"/>
    <w:rsid w:val="000D3898"/>
    <w:rsid w:val="000D38B8"/>
    <w:rsid w:val="000D3924"/>
    <w:rsid w:val="000D393A"/>
    <w:rsid w:val="000D3943"/>
    <w:rsid w:val="000D39E5"/>
    <w:rsid w:val="000D39F8"/>
    <w:rsid w:val="000D3A9F"/>
    <w:rsid w:val="000D3B02"/>
    <w:rsid w:val="000D3B17"/>
    <w:rsid w:val="000D3C21"/>
    <w:rsid w:val="000D3C24"/>
    <w:rsid w:val="000D3C3E"/>
    <w:rsid w:val="000D3C4E"/>
    <w:rsid w:val="000D3C53"/>
    <w:rsid w:val="000D3C6B"/>
    <w:rsid w:val="000D3D2C"/>
    <w:rsid w:val="000D3DA5"/>
    <w:rsid w:val="000D3DC7"/>
    <w:rsid w:val="000D3E23"/>
    <w:rsid w:val="000D3E41"/>
    <w:rsid w:val="000D3E4D"/>
    <w:rsid w:val="000D3E5D"/>
    <w:rsid w:val="000D3E8D"/>
    <w:rsid w:val="000D3E8F"/>
    <w:rsid w:val="000D3EB7"/>
    <w:rsid w:val="000D3EBF"/>
    <w:rsid w:val="000D3EE6"/>
    <w:rsid w:val="000D3F2E"/>
    <w:rsid w:val="000D3F83"/>
    <w:rsid w:val="000D403E"/>
    <w:rsid w:val="000D4047"/>
    <w:rsid w:val="000D40A1"/>
    <w:rsid w:val="000D40EE"/>
    <w:rsid w:val="000D411E"/>
    <w:rsid w:val="000D4128"/>
    <w:rsid w:val="000D414E"/>
    <w:rsid w:val="000D41CF"/>
    <w:rsid w:val="000D421B"/>
    <w:rsid w:val="000D4237"/>
    <w:rsid w:val="000D423F"/>
    <w:rsid w:val="000D4252"/>
    <w:rsid w:val="000D4260"/>
    <w:rsid w:val="000D43C5"/>
    <w:rsid w:val="000D44F1"/>
    <w:rsid w:val="000D4537"/>
    <w:rsid w:val="000D457C"/>
    <w:rsid w:val="000D45CF"/>
    <w:rsid w:val="000D46BF"/>
    <w:rsid w:val="000D4748"/>
    <w:rsid w:val="000D4786"/>
    <w:rsid w:val="000D47C3"/>
    <w:rsid w:val="000D4816"/>
    <w:rsid w:val="000D4824"/>
    <w:rsid w:val="000D4894"/>
    <w:rsid w:val="000D48DF"/>
    <w:rsid w:val="000D4959"/>
    <w:rsid w:val="000D4984"/>
    <w:rsid w:val="000D4A3B"/>
    <w:rsid w:val="000D4A49"/>
    <w:rsid w:val="000D4A68"/>
    <w:rsid w:val="000D4A9C"/>
    <w:rsid w:val="000D4B2D"/>
    <w:rsid w:val="000D4B6A"/>
    <w:rsid w:val="000D4BA3"/>
    <w:rsid w:val="000D4C1A"/>
    <w:rsid w:val="000D4C66"/>
    <w:rsid w:val="000D4D1F"/>
    <w:rsid w:val="000D4D30"/>
    <w:rsid w:val="000D4D43"/>
    <w:rsid w:val="000D4DBE"/>
    <w:rsid w:val="000D4E83"/>
    <w:rsid w:val="000D4E9F"/>
    <w:rsid w:val="000D4F56"/>
    <w:rsid w:val="000D4FCE"/>
    <w:rsid w:val="000D4FEE"/>
    <w:rsid w:val="000D5021"/>
    <w:rsid w:val="000D5065"/>
    <w:rsid w:val="000D5066"/>
    <w:rsid w:val="000D5202"/>
    <w:rsid w:val="000D52B2"/>
    <w:rsid w:val="000D5327"/>
    <w:rsid w:val="000D53D2"/>
    <w:rsid w:val="000D5444"/>
    <w:rsid w:val="000D5548"/>
    <w:rsid w:val="000D55B4"/>
    <w:rsid w:val="000D55D1"/>
    <w:rsid w:val="000D55F8"/>
    <w:rsid w:val="000D562B"/>
    <w:rsid w:val="000D5638"/>
    <w:rsid w:val="000D5771"/>
    <w:rsid w:val="000D57CC"/>
    <w:rsid w:val="000D57EF"/>
    <w:rsid w:val="000D5903"/>
    <w:rsid w:val="000D59C6"/>
    <w:rsid w:val="000D5A8F"/>
    <w:rsid w:val="000D5AA2"/>
    <w:rsid w:val="000D5AC7"/>
    <w:rsid w:val="000D5ACB"/>
    <w:rsid w:val="000D5AEF"/>
    <w:rsid w:val="000D5B16"/>
    <w:rsid w:val="000D5B1A"/>
    <w:rsid w:val="000D5B50"/>
    <w:rsid w:val="000D5C41"/>
    <w:rsid w:val="000D5CC5"/>
    <w:rsid w:val="000D5CE2"/>
    <w:rsid w:val="000D5D01"/>
    <w:rsid w:val="000D5D24"/>
    <w:rsid w:val="000D5DDE"/>
    <w:rsid w:val="000D5E68"/>
    <w:rsid w:val="000D5F06"/>
    <w:rsid w:val="000D60BC"/>
    <w:rsid w:val="000D613C"/>
    <w:rsid w:val="000D617E"/>
    <w:rsid w:val="000D61AD"/>
    <w:rsid w:val="000D61AE"/>
    <w:rsid w:val="000D61EF"/>
    <w:rsid w:val="000D62E8"/>
    <w:rsid w:val="000D62F3"/>
    <w:rsid w:val="000D637E"/>
    <w:rsid w:val="000D63BF"/>
    <w:rsid w:val="000D6443"/>
    <w:rsid w:val="000D646D"/>
    <w:rsid w:val="000D650E"/>
    <w:rsid w:val="000D65BB"/>
    <w:rsid w:val="000D65CC"/>
    <w:rsid w:val="000D65E3"/>
    <w:rsid w:val="000D65EE"/>
    <w:rsid w:val="000D65FB"/>
    <w:rsid w:val="000D6682"/>
    <w:rsid w:val="000D6686"/>
    <w:rsid w:val="000D66B2"/>
    <w:rsid w:val="000D681F"/>
    <w:rsid w:val="000D687D"/>
    <w:rsid w:val="000D6881"/>
    <w:rsid w:val="000D68A1"/>
    <w:rsid w:val="000D68D3"/>
    <w:rsid w:val="000D68D4"/>
    <w:rsid w:val="000D6928"/>
    <w:rsid w:val="000D6958"/>
    <w:rsid w:val="000D69F6"/>
    <w:rsid w:val="000D6A9F"/>
    <w:rsid w:val="000D6AC3"/>
    <w:rsid w:val="000D6AD2"/>
    <w:rsid w:val="000D6B0D"/>
    <w:rsid w:val="000D6BC0"/>
    <w:rsid w:val="000D6C2F"/>
    <w:rsid w:val="000D6C96"/>
    <w:rsid w:val="000D6D29"/>
    <w:rsid w:val="000D6DD3"/>
    <w:rsid w:val="000D6DF8"/>
    <w:rsid w:val="000D6E10"/>
    <w:rsid w:val="000D6E6A"/>
    <w:rsid w:val="000D6E9A"/>
    <w:rsid w:val="000D6EA3"/>
    <w:rsid w:val="000D6EA7"/>
    <w:rsid w:val="000D6F08"/>
    <w:rsid w:val="000D7021"/>
    <w:rsid w:val="000D718E"/>
    <w:rsid w:val="000D71AF"/>
    <w:rsid w:val="000D71BE"/>
    <w:rsid w:val="000D71CB"/>
    <w:rsid w:val="000D72F4"/>
    <w:rsid w:val="000D7360"/>
    <w:rsid w:val="000D73D7"/>
    <w:rsid w:val="000D743D"/>
    <w:rsid w:val="000D7464"/>
    <w:rsid w:val="000D7467"/>
    <w:rsid w:val="000D74A4"/>
    <w:rsid w:val="000D7509"/>
    <w:rsid w:val="000D7605"/>
    <w:rsid w:val="000D7619"/>
    <w:rsid w:val="000D7651"/>
    <w:rsid w:val="000D7692"/>
    <w:rsid w:val="000D7749"/>
    <w:rsid w:val="000D77BB"/>
    <w:rsid w:val="000D7807"/>
    <w:rsid w:val="000D7811"/>
    <w:rsid w:val="000D784B"/>
    <w:rsid w:val="000D788E"/>
    <w:rsid w:val="000D7894"/>
    <w:rsid w:val="000D78B4"/>
    <w:rsid w:val="000D78F4"/>
    <w:rsid w:val="000D7927"/>
    <w:rsid w:val="000D796A"/>
    <w:rsid w:val="000D798B"/>
    <w:rsid w:val="000D7A3D"/>
    <w:rsid w:val="000D7B50"/>
    <w:rsid w:val="000D7C7E"/>
    <w:rsid w:val="000D7CC0"/>
    <w:rsid w:val="000D7D04"/>
    <w:rsid w:val="000D7D60"/>
    <w:rsid w:val="000D7D95"/>
    <w:rsid w:val="000D7E38"/>
    <w:rsid w:val="000D7E62"/>
    <w:rsid w:val="000D7E65"/>
    <w:rsid w:val="000D7E8B"/>
    <w:rsid w:val="000D7ECF"/>
    <w:rsid w:val="000D7F74"/>
    <w:rsid w:val="000D7FA7"/>
    <w:rsid w:val="000D7FE3"/>
    <w:rsid w:val="000E0061"/>
    <w:rsid w:val="000E00D9"/>
    <w:rsid w:val="000E00E5"/>
    <w:rsid w:val="000E00EA"/>
    <w:rsid w:val="000E011C"/>
    <w:rsid w:val="000E0178"/>
    <w:rsid w:val="000E0181"/>
    <w:rsid w:val="000E01AA"/>
    <w:rsid w:val="000E01C3"/>
    <w:rsid w:val="000E01FD"/>
    <w:rsid w:val="000E021A"/>
    <w:rsid w:val="000E0241"/>
    <w:rsid w:val="000E02E0"/>
    <w:rsid w:val="000E033D"/>
    <w:rsid w:val="000E0361"/>
    <w:rsid w:val="000E045A"/>
    <w:rsid w:val="000E0492"/>
    <w:rsid w:val="000E04D9"/>
    <w:rsid w:val="000E04EA"/>
    <w:rsid w:val="000E0506"/>
    <w:rsid w:val="000E05DC"/>
    <w:rsid w:val="000E061A"/>
    <w:rsid w:val="000E0672"/>
    <w:rsid w:val="000E0704"/>
    <w:rsid w:val="000E08C4"/>
    <w:rsid w:val="000E0939"/>
    <w:rsid w:val="000E09CA"/>
    <w:rsid w:val="000E0A03"/>
    <w:rsid w:val="000E0A35"/>
    <w:rsid w:val="000E0A78"/>
    <w:rsid w:val="000E0AAA"/>
    <w:rsid w:val="000E0B1F"/>
    <w:rsid w:val="000E0B90"/>
    <w:rsid w:val="000E0BBC"/>
    <w:rsid w:val="000E0BDB"/>
    <w:rsid w:val="000E0C01"/>
    <w:rsid w:val="000E0C08"/>
    <w:rsid w:val="000E0C20"/>
    <w:rsid w:val="000E0C2E"/>
    <w:rsid w:val="000E0C4C"/>
    <w:rsid w:val="000E0CA5"/>
    <w:rsid w:val="000E0CD3"/>
    <w:rsid w:val="000E0D78"/>
    <w:rsid w:val="000E0E5D"/>
    <w:rsid w:val="000E0E80"/>
    <w:rsid w:val="000E0EBC"/>
    <w:rsid w:val="000E0EFC"/>
    <w:rsid w:val="000E0F06"/>
    <w:rsid w:val="000E108C"/>
    <w:rsid w:val="000E10BB"/>
    <w:rsid w:val="000E113A"/>
    <w:rsid w:val="000E113D"/>
    <w:rsid w:val="000E1147"/>
    <w:rsid w:val="000E1189"/>
    <w:rsid w:val="000E11A3"/>
    <w:rsid w:val="000E11B1"/>
    <w:rsid w:val="000E11BA"/>
    <w:rsid w:val="000E11D5"/>
    <w:rsid w:val="000E127C"/>
    <w:rsid w:val="000E12BA"/>
    <w:rsid w:val="000E1333"/>
    <w:rsid w:val="000E1375"/>
    <w:rsid w:val="000E13D3"/>
    <w:rsid w:val="000E13FE"/>
    <w:rsid w:val="000E1452"/>
    <w:rsid w:val="000E14F1"/>
    <w:rsid w:val="000E1550"/>
    <w:rsid w:val="000E158D"/>
    <w:rsid w:val="000E162B"/>
    <w:rsid w:val="000E165B"/>
    <w:rsid w:val="000E1726"/>
    <w:rsid w:val="000E172F"/>
    <w:rsid w:val="000E173C"/>
    <w:rsid w:val="000E17A0"/>
    <w:rsid w:val="000E17C2"/>
    <w:rsid w:val="000E1823"/>
    <w:rsid w:val="000E182A"/>
    <w:rsid w:val="000E186C"/>
    <w:rsid w:val="000E188E"/>
    <w:rsid w:val="000E1896"/>
    <w:rsid w:val="000E18C8"/>
    <w:rsid w:val="000E1971"/>
    <w:rsid w:val="000E19ED"/>
    <w:rsid w:val="000E1A63"/>
    <w:rsid w:val="000E1A93"/>
    <w:rsid w:val="000E1AA5"/>
    <w:rsid w:val="000E1AAC"/>
    <w:rsid w:val="000E1ACE"/>
    <w:rsid w:val="000E1B94"/>
    <w:rsid w:val="000E1C19"/>
    <w:rsid w:val="000E1C86"/>
    <w:rsid w:val="000E1CCE"/>
    <w:rsid w:val="000E1D23"/>
    <w:rsid w:val="000E1E09"/>
    <w:rsid w:val="000E1E62"/>
    <w:rsid w:val="000E1E63"/>
    <w:rsid w:val="000E1F6E"/>
    <w:rsid w:val="000E2044"/>
    <w:rsid w:val="000E20C7"/>
    <w:rsid w:val="000E213B"/>
    <w:rsid w:val="000E2161"/>
    <w:rsid w:val="000E216A"/>
    <w:rsid w:val="000E216B"/>
    <w:rsid w:val="000E223A"/>
    <w:rsid w:val="000E22BA"/>
    <w:rsid w:val="000E23A8"/>
    <w:rsid w:val="000E2434"/>
    <w:rsid w:val="000E2493"/>
    <w:rsid w:val="000E24A7"/>
    <w:rsid w:val="000E24F4"/>
    <w:rsid w:val="000E252E"/>
    <w:rsid w:val="000E252F"/>
    <w:rsid w:val="000E2572"/>
    <w:rsid w:val="000E2583"/>
    <w:rsid w:val="000E260D"/>
    <w:rsid w:val="000E2617"/>
    <w:rsid w:val="000E26BC"/>
    <w:rsid w:val="000E26DB"/>
    <w:rsid w:val="000E2724"/>
    <w:rsid w:val="000E2891"/>
    <w:rsid w:val="000E28A5"/>
    <w:rsid w:val="000E2907"/>
    <w:rsid w:val="000E2927"/>
    <w:rsid w:val="000E2931"/>
    <w:rsid w:val="000E2955"/>
    <w:rsid w:val="000E2980"/>
    <w:rsid w:val="000E2A40"/>
    <w:rsid w:val="000E2B3B"/>
    <w:rsid w:val="000E2B7A"/>
    <w:rsid w:val="000E2BA4"/>
    <w:rsid w:val="000E2BD7"/>
    <w:rsid w:val="000E2BE5"/>
    <w:rsid w:val="000E2BF7"/>
    <w:rsid w:val="000E2C3C"/>
    <w:rsid w:val="000E2CAF"/>
    <w:rsid w:val="000E2DB1"/>
    <w:rsid w:val="000E2E40"/>
    <w:rsid w:val="000E2E6C"/>
    <w:rsid w:val="000E2E84"/>
    <w:rsid w:val="000E2F1A"/>
    <w:rsid w:val="000E2F46"/>
    <w:rsid w:val="000E2FC0"/>
    <w:rsid w:val="000E2FD2"/>
    <w:rsid w:val="000E3027"/>
    <w:rsid w:val="000E305E"/>
    <w:rsid w:val="000E306D"/>
    <w:rsid w:val="000E3098"/>
    <w:rsid w:val="000E30E2"/>
    <w:rsid w:val="000E3106"/>
    <w:rsid w:val="000E313B"/>
    <w:rsid w:val="000E3147"/>
    <w:rsid w:val="000E3156"/>
    <w:rsid w:val="000E3167"/>
    <w:rsid w:val="000E3190"/>
    <w:rsid w:val="000E31B4"/>
    <w:rsid w:val="000E31CD"/>
    <w:rsid w:val="000E31FA"/>
    <w:rsid w:val="000E3216"/>
    <w:rsid w:val="000E323F"/>
    <w:rsid w:val="000E3295"/>
    <w:rsid w:val="000E33D4"/>
    <w:rsid w:val="000E346A"/>
    <w:rsid w:val="000E34B9"/>
    <w:rsid w:val="000E34CA"/>
    <w:rsid w:val="000E35D8"/>
    <w:rsid w:val="000E35EA"/>
    <w:rsid w:val="000E3615"/>
    <w:rsid w:val="000E3748"/>
    <w:rsid w:val="000E3823"/>
    <w:rsid w:val="000E386C"/>
    <w:rsid w:val="000E38B3"/>
    <w:rsid w:val="000E38EB"/>
    <w:rsid w:val="000E394B"/>
    <w:rsid w:val="000E3CB1"/>
    <w:rsid w:val="000E3D4D"/>
    <w:rsid w:val="000E3D9F"/>
    <w:rsid w:val="000E3E52"/>
    <w:rsid w:val="000E3EB9"/>
    <w:rsid w:val="000E3F5D"/>
    <w:rsid w:val="000E3F5E"/>
    <w:rsid w:val="000E3F83"/>
    <w:rsid w:val="000E3F90"/>
    <w:rsid w:val="000E40E6"/>
    <w:rsid w:val="000E40EE"/>
    <w:rsid w:val="000E40F7"/>
    <w:rsid w:val="000E410C"/>
    <w:rsid w:val="000E412B"/>
    <w:rsid w:val="000E4211"/>
    <w:rsid w:val="000E432F"/>
    <w:rsid w:val="000E4356"/>
    <w:rsid w:val="000E441F"/>
    <w:rsid w:val="000E4474"/>
    <w:rsid w:val="000E44FB"/>
    <w:rsid w:val="000E4519"/>
    <w:rsid w:val="000E451C"/>
    <w:rsid w:val="000E4544"/>
    <w:rsid w:val="000E4584"/>
    <w:rsid w:val="000E45A4"/>
    <w:rsid w:val="000E45EB"/>
    <w:rsid w:val="000E460C"/>
    <w:rsid w:val="000E463E"/>
    <w:rsid w:val="000E4667"/>
    <w:rsid w:val="000E467F"/>
    <w:rsid w:val="000E4689"/>
    <w:rsid w:val="000E46B6"/>
    <w:rsid w:val="000E46E4"/>
    <w:rsid w:val="000E46FE"/>
    <w:rsid w:val="000E4704"/>
    <w:rsid w:val="000E4769"/>
    <w:rsid w:val="000E47BF"/>
    <w:rsid w:val="000E47F1"/>
    <w:rsid w:val="000E4833"/>
    <w:rsid w:val="000E48D0"/>
    <w:rsid w:val="000E48E1"/>
    <w:rsid w:val="000E49D2"/>
    <w:rsid w:val="000E49EF"/>
    <w:rsid w:val="000E4B1F"/>
    <w:rsid w:val="000E4B90"/>
    <w:rsid w:val="000E4B94"/>
    <w:rsid w:val="000E4B9A"/>
    <w:rsid w:val="000E4BE9"/>
    <w:rsid w:val="000E4C16"/>
    <w:rsid w:val="000E4CD2"/>
    <w:rsid w:val="000E4CDA"/>
    <w:rsid w:val="000E4D9E"/>
    <w:rsid w:val="000E4E14"/>
    <w:rsid w:val="000E4E4D"/>
    <w:rsid w:val="000E4E77"/>
    <w:rsid w:val="000E4F1D"/>
    <w:rsid w:val="000E4F3C"/>
    <w:rsid w:val="000E4F51"/>
    <w:rsid w:val="000E4F5B"/>
    <w:rsid w:val="000E4F6E"/>
    <w:rsid w:val="000E4F8E"/>
    <w:rsid w:val="000E502C"/>
    <w:rsid w:val="000E50B1"/>
    <w:rsid w:val="000E50B8"/>
    <w:rsid w:val="000E5106"/>
    <w:rsid w:val="000E516D"/>
    <w:rsid w:val="000E51CF"/>
    <w:rsid w:val="000E51DE"/>
    <w:rsid w:val="000E5227"/>
    <w:rsid w:val="000E523C"/>
    <w:rsid w:val="000E5291"/>
    <w:rsid w:val="000E530F"/>
    <w:rsid w:val="000E5347"/>
    <w:rsid w:val="000E53CC"/>
    <w:rsid w:val="000E54A5"/>
    <w:rsid w:val="000E54CA"/>
    <w:rsid w:val="000E5521"/>
    <w:rsid w:val="000E559C"/>
    <w:rsid w:val="000E55BB"/>
    <w:rsid w:val="000E55FA"/>
    <w:rsid w:val="000E5654"/>
    <w:rsid w:val="000E567D"/>
    <w:rsid w:val="000E5680"/>
    <w:rsid w:val="000E569A"/>
    <w:rsid w:val="000E57AA"/>
    <w:rsid w:val="000E58D3"/>
    <w:rsid w:val="000E5921"/>
    <w:rsid w:val="000E59B0"/>
    <w:rsid w:val="000E5A3F"/>
    <w:rsid w:val="000E5B59"/>
    <w:rsid w:val="000E5BB4"/>
    <w:rsid w:val="000E5BD7"/>
    <w:rsid w:val="000E5C46"/>
    <w:rsid w:val="000E5C49"/>
    <w:rsid w:val="000E5C68"/>
    <w:rsid w:val="000E5C7B"/>
    <w:rsid w:val="000E5C87"/>
    <w:rsid w:val="000E5CE4"/>
    <w:rsid w:val="000E5D4A"/>
    <w:rsid w:val="000E5E5A"/>
    <w:rsid w:val="000E5EB6"/>
    <w:rsid w:val="000E5ED3"/>
    <w:rsid w:val="000E5F45"/>
    <w:rsid w:val="000E5FF8"/>
    <w:rsid w:val="000E6035"/>
    <w:rsid w:val="000E609F"/>
    <w:rsid w:val="000E60B6"/>
    <w:rsid w:val="000E60BB"/>
    <w:rsid w:val="000E6111"/>
    <w:rsid w:val="000E61BD"/>
    <w:rsid w:val="000E61D3"/>
    <w:rsid w:val="000E624C"/>
    <w:rsid w:val="000E6251"/>
    <w:rsid w:val="000E62A4"/>
    <w:rsid w:val="000E62F4"/>
    <w:rsid w:val="000E62F7"/>
    <w:rsid w:val="000E639E"/>
    <w:rsid w:val="000E63CC"/>
    <w:rsid w:val="000E6423"/>
    <w:rsid w:val="000E644D"/>
    <w:rsid w:val="000E6506"/>
    <w:rsid w:val="000E6511"/>
    <w:rsid w:val="000E6535"/>
    <w:rsid w:val="000E65D8"/>
    <w:rsid w:val="000E6687"/>
    <w:rsid w:val="000E66E6"/>
    <w:rsid w:val="000E6713"/>
    <w:rsid w:val="000E6765"/>
    <w:rsid w:val="000E6847"/>
    <w:rsid w:val="000E685E"/>
    <w:rsid w:val="000E6863"/>
    <w:rsid w:val="000E68AF"/>
    <w:rsid w:val="000E68B7"/>
    <w:rsid w:val="000E6955"/>
    <w:rsid w:val="000E69DE"/>
    <w:rsid w:val="000E6A70"/>
    <w:rsid w:val="000E6AB5"/>
    <w:rsid w:val="000E6BB7"/>
    <w:rsid w:val="000E6BBB"/>
    <w:rsid w:val="000E6C86"/>
    <w:rsid w:val="000E6CB7"/>
    <w:rsid w:val="000E6CCC"/>
    <w:rsid w:val="000E6D7D"/>
    <w:rsid w:val="000E6DA7"/>
    <w:rsid w:val="000E6DAB"/>
    <w:rsid w:val="000E6E8E"/>
    <w:rsid w:val="000E6F01"/>
    <w:rsid w:val="000E6FE2"/>
    <w:rsid w:val="000E7004"/>
    <w:rsid w:val="000E7048"/>
    <w:rsid w:val="000E7096"/>
    <w:rsid w:val="000E70EB"/>
    <w:rsid w:val="000E7119"/>
    <w:rsid w:val="000E7167"/>
    <w:rsid w:val="000E718E"/>
    <w:rsid w:val="000E71E6"/>
    <w:rsid w:val="000E7252"/>
    <w:rsid w:val="000E725E"/>
    <w:rsid w:val="000E727D"/>
    <w:rsid w:val="000E7329"/>
    <w:rsid w:val="000E7347"/>
    <w:rsid w:val="000E73A4"/>
    <w:rsid w:val="000E74BE"/>
    <w:rsid w:val="000E75A0"/>
    <w:rsid w:val="000E75D3"/>
    <w:rsid w:val="000E7617"/>
    <w:rsid w:val="000E7621"/>
    <w:rsid w:val="000E766B"/>
    <w:rsid w:val="000E76B5"/>
    <w:rsid w:val="000E76CD"/>
    <w:rsid w:val="000E7748"/>
    <w:rsid w:val="000E78BA"/>
    <w:rsid w:val="000E7941"/>
    <w:rsid w:val="000E79E6"/>
    <w:rsid w:val="000E79F6"/>
    <w:rsid w:val="000E7A65"/>
    <w:rsid w:val="000E7B96"/>
    <w:rsid w:val="000E7BB4"/>
    <w:rsid w:val="000E7BB6"/>
    <w:rsid w:val="000E7C14"/>
    <w:rsid w:val="000E7C46"/>
    <w:rsid w:val="000E7C58"/>
    <w:rsid w:val="000E7C6D"/>
    <w:rsid w:val="000E7C7D"/>
    <w:rsid w:val="000E7CC0"/>
    <w:rsid w:val="000E7CD3"/>
    <w:rsid w:val="000E7D4D"/>
    <w:rsid w:val="000E7D6A"/>
    <w:rsid w:val="000E7D9C"/>
    <w:rsid w:val="000E7E61"/>
    <w:rsid w:val="000E7E76"/>
    <w:rsid w:val="000E7EFA"/>
    <w:rsid w:val="000E7F2A"/>
    <w:rsid w:val="000E7F5D"/>
    <w:rsid w:val="000E7F8A"/>
    <w:rsid w:val="000F007A"/>
    <w:rsid w:val="000F008A"/>
    <w:rsid w:val="000F00E7"/>
    <w:rsid w:val="000F0152"/>
    <w:rsid w:val="000F0164"/>
    <w:rsid w:val="000F02AD"/>
    <w:rsid w:val="000F02C3"/>
    <w:rsid w:val="000F02C6"/>
    <w:rsid w:val="000F0310"/>
    <w:rsid w:val="000F0468"/>
    <w:rsid w:val="000F046C"/>
    <w:rsid w:val="000F0482"/>
    <w:rsid w:val="000F049E"/>
    <w:rsid w:val="000F053B"/>
    <w:rsid w:val="000F056C"/>
    <w:rsid w:val="000F0607"/>
    <w:rsid w:val="000F060E"/>
    <w:rsid w:val="000F06C5"/>
    <w:rsid w:val="000F06ED"/>
    <w:rsid w:val="000F0808"/>
    <w:rsid w:val="000F08D2"/>
    <w:rsid w:val="000F0922"/>
    <w:rsid w:val="000F0979"/>
    <w:rsid w:val="000F0A00"/>
    <w:rsid w:val="000F0B25"/>
    <w:rsid w:val="000F0B2D"/>
    <w:rsid w:val="000F0B7C"/>
    <w:rsid w:val="000F0C5D"/>
    <w:rsid w:val="000F0CCF"/>
    <w:rsid w:val="000F0DF8"/>
    <w:rsid w:val="000F0EB8"/>
    <w:rsid w:val="000F0FA3"/>
    <w:rsid w:val="000F1010"/>
    <w:rsid w:val="000F1059"/>
    <w:rsid w:val="000F1066"/>
    <w:rsid w:val="000F1072"/>
    <w:rsid w:val="000F10D1"/>
    <w:rsid w:val="000F1156"/>
    <w:rsid w:val="000F1190"/>
    <w:rsid w:val="000F1292"/>
    <w:rsid w:val="000F135B"/>
    <w:rsid w:val="000F138C"/>
    <w:rsid w:val="000F1413"/>
    <w:rsid w:val="000F1450"/>
    <w:rsid w:val="000F1515"/>
    <w:rsid w:val="000F1526"/>
    <w:rsid w:val="000F15D3"/>
    <w:rsid w:val="000F1685"/>
    <w:rsid w:val="000F16B2"/>
    <w:rsid w:val="000F16D6"/>
    <w:rsid w:val="000F16FB"/>
    <w:rsid w:val="000F1702"/>
    <w:rsid w:val="000F173C"/>
    <w:rsid w:val="000F1780"/>
    <w:rsid w:val="000F183E"/>
    <w:rsid w:val="000F1883"/>
    <w:rsid w:val="000F18D0"/>
    <w:rsid w:val="000F18E7"/>
    <w:rsid w:val="000F18FF"/>
    <w:rsid w:val="000F195D"/>
    <w:rsid w:val="000F19B6"/>
    <w:rsid w:val="000F19FF"/>
    <w:rsid w:val="000F1A0B"/>
    <w:rsid w:val="000F1A1E"/>
    <w:rsid w:val="000F1B46"/>
    <w:rsid w:val="000F1BA3"/>
    <w:rsid w:val="000F1C5B"/>
    <w:rsid w:val="000F1CA4"/>
    <w:rsid w:val="000F1CE5"/>
    <w:rsid w:val="000F1CEC"/>
    <w:rsid w:val="000F1CF9"/>
    <w:rsid w:val="000F1D71"/>
    <w:rsid w:val="000F1D84"/>
    <w:rsid w:val="000F1D9B"/>
    <w:rsid w:val="000F1E1F"/>
    <w:rsid w:val="000F1E64"/>
    <w:rsid w:val="000F1EB7"/>
    <w:rsid w:val="000F1EF5"/>
    <w:rsid w:val="000F1EFB"/>
    <w:rsid w:val="000F2041"/>
    <w:rsid w:val="000F2096"/>
    <w:rsid w:val="000F2122"/>
    <w:rsid w:val="000F2146"/>
    <w:rsid w:val="000F217E"/>
    <w:rsid w:val="000F21BA"/>
    <w:rsid w:val="000F21C3"/>
    <w:rsid w:val="000F21F5"/>
    <w:rsid w:val="000F2289"/>
    <w:rsid w:val="000F22A2"/>
    <w:rsid w:val="000F2315"/>
    <w:rsid w:val="000F233D"/>
    <w:rsid w:val="000F2347"/>
    <w:rsid w:val="000F235F"/>
    <w:rsid w:val="000F23C2"/>
    <w:rsid w:val="000F2475"/>
    <w:rsid w:val="000F2481"/>
    <w:rsid w:val="000F2499"/>
    <w:rsid w:val="000F2588"/>
    <w:rsid w:val="000F2597"/>
    <w:rsid w:val="000F25C5"/>
    <w:rsid w:val="000F2655"/>
    <w:rsid w:val="000F2665"/>
    <w:rsid w:val="000F2739"/>
    <w:rsid w:val="000F273B"/>
    <w:rsid w:val="000F276C"/>
    <w:rsid w:val="000F2770"/>
    <w:rsid w:val="000F2785"/>
    <w:rsid w:val="000F27F0"/>
    <w:rsid w:val="000F2873"/>
    <w:rsid w:val="000F2900"/>
    <w:rsid w:val="000F2906"/>
    <w:rsid w:val="000F299C"/>
    <w:rsid w:val="000F29A6"/>
    <w:rsid w:val="000F2A1C"/>
    <w:rsid w:val="000F2BB1"/>
    <w:rsid w:val="000F2BE1"/>
    <w:rsid w:val="000F2D50"/>
    <w:rsid w:val="000F2DB6"/>
    <w:rsid w:val="000F2DCE"/>
    <w:rsid w:val="000F2E18"/>
    <w:rsid w:val="000F2EB5"/>
    <w:rsid w:val="000F2EDF"/>
    <w:rsid w:val="000F2F35"/>
    <w:rsid w:val="000F2FD3"/>
    <w:rsid w:val="000F3012"/>
    <w:rsid w:val="000F30A5"/>
    <w:rsid w:val="000F3125"/>
    <w:rsid w:val="000F3241"/>
    <w:rsid w:val="000F327C"/>
    <w:rsid w:val="000F32A1"/>
    <w:rsid w:val="000F32BA"/>
    <w:rsid w:val="000F3339"/>
    <w:rsid w:val="000F33A6"/>
    <w:rsid w:val="000F33C2"/>
    <w:rsid w:val="000F33C8"/>
    <w:rsid w:val="000F346E"/>
    <w:rsid w:val="000F34E7"/>
    <w:rsid w:val="000F358B"/>
    <w:rsid w:val="000F3690"/>
    <w:rsid w:val="000F369C"/>
    <w:rsid w:val="000F36B3"/>
    <w:rsid w:val="000F36BA"/>
    <w:rsid w:val="000F3773"/>
    <w:rsid w:val="000F3782"/>
    <w:rsid w:val="000F37A5"/>
    <w:rsid w:val="000F380A"/>
    <w:rsid w:val="000F3843"/>
    <w:rsid w:val="000F38E2"/>
    <w:rsid w:val="000F393D"/>
    <w:rsid w:val="000F39AB"/>
    <w:rsid w:val="000F39CC"/>
    <w:rsid w:val="000F39D8"/>
    <w:rsid w:val="000F3A53"/>
    <w:rsid w:val="000F3AE3"/>
    <w:rsid w:val="000F3AF8"/>
    <w:rsid w:val="000F3B32"/>
    <w:rsid w:val="000F3B42"/>
    <w:rsid w:val="000F3B73"/>
    <w:rsid w:val="000F3B98"/>
    <w:rsid w:val="000F3BC0"/>
    <w:rsid w:val="000F3C4F"/>
    <w:rsid w:val="000F3CBF"/>
    <w:rsid w:val="000F3D46"/>
    <w:rsid w:val="000F3D4D"/>
    <w:rsid w:val="000F3D8B"/>
    <w:rsid w:val="000F3DA7"/>
    <w:rsid w:val="000F3DD5"/>
    <w:rsid w:val="000F3F0E"/>
    <w:rsid w:val="000F3F4A"/>
    <w:rsid w:val="000F3F74"/>
    <w:rsid w:val="000F3F9F"/>
    <w:rsid w:val="000F3FB7"/>
    <w:rsid w:val="000F403F"/>
    <w:rsid w:val="000F40AA"/>
    <w:rsid w:val="000F40B1"/>
    <w:rsid w:val="000F4139"/>
    <w:rsid w:val="000F41F6"/>
    <w:rsid w:val="000F4229"/>
    <w:rsid w:val="000F4266"/>
    <w:rsid w:val="000F429C"/>
    <w:rsid w:val="000F42A0"/>
    <w:rsid w:val="000F42AE"/>
    <w:rsid w:val="000F430B"/>
    <w:rsid w:val="000F43B8"/>
    <w:rsid w:val="000F445C"/>
    <w:rsid w:val="000F44DE"/>
    <w:rsid w:val="000F450D"/>
    <w:rsid w:val="000F453E"/>
    <w:rsid w:val="000F4540"/>
    <w:rsid w:val="000F45B0"/>
    <w:rsid w:val="000F4659"/>
    <w:rsid w:val="000F46D4"/>
    <w:rsid w:val="000F4767"/>
    <w:rsid w:val="000F47B8"/>
    <w:rsid w:val="000F47CA"/>
    <w:rsid w:val="000F480B"/>
    <w:rsid w:val="000F4814"/>
    <w:rsid w:val="000F4863"/>
    <w:rsid w:val="000F48FD"/>
    <w:rsid w:val="000F49BC"/>
    <w:rsid w:val="000F4A05"/>
    <w:rsid w:val="000F4A0F"/>
    <w:rsid w:val="000F4B0F"/>
    <w:rsid w:val="000F4B85"/>
    <w:rsid w:val="000F4C52"/>
    <w:rsid w:val="000F4CCC"/>
    <w:rsid w:val="000F4D91"/>
    <w:rsid w:val="000F4DB2"/>
    <w:rsid w:val="000F4E4C"/>
    <w:rsid w:val="000F5023"/>
    <w:rsid w:val="000F5071"/>
    <w:rsid w:val="000F51A6"/>
    <w:rsid w:val="000F521F"/>
    <w:rsid w:val="000F5226"/>
    <w:rsid w:val="000F5234"/>
    <w:rsid w:val="000F531E"/>
    <w:rsid w:val="000F5396"/>
    <w:rsid w:val="000F53A5"/>
    <w:rsid w:val="000F53DC"/>
    <w:rsid w:val="000F549C"/>
    <w:rsid w:val="000F5567"/>
    <w:rsid w:val="000F557F"/>
    <w:rsid w:val="000F55A5"/>
    <w:rsid w:val="000F55C7"/>
    <w:rsid w:val="000F568E"/>
    <w:rsid w:val="000F56A0"/>
    <w:rsid w:val="000F570D"/>
    <w:rsid w:val="000F5718"/>
    <w:rsid w:val="000F57F5"/>
    <w:rsid w:val="000F586D"/>
    <w:rsid w:val="000F58AE"/>
    <w:rsid w:val="000F59B1"/>
    <w:rsid w:val="000F5A90"/>
    <w:rsid w:val="000F5B88"/>
    <w:rsid w:val="000F5B8D"/>
    <w:rsid w:val="000F5BCD"/>
    <w:rsid w:val="000F5C2A"/>
    <w:rsid w:val="000F5C7C"/>
    <w:rsid w:val="000F5CE9"/>
    <w:rsid w:val="000F5E0C"/>
    <w:rsid w:val="000F5E6E"/>
    <w:rsid w:val="000F5EB4"/>
    <w:rsid w:val="000F5EEF"/>
    <w:rsid w:val="000F6040"/>
    <w:rsid w:val="000F60B1"/>
    <w:rsid w:val="000F60C7"/>
    <w:rsid w:val="000F60F5"/>
    <w:rsid w:val="000F6135"/>
    <w:rsid w:val="000F615D"/>
    <w:rsid w:val="000F6175"/>
    <w:rsid w:val="000F6203"/>
    <w:rsid w:val="000F621B"/>
    <w:rsid w:val="000F628C"/>
    <w:rsid w:val="000F62FF"/>
    <w:rsid w:val="000F6383"/>
    <w:rsid w:val="000F64C3"/>
    <w:rsid w:val="000F655C"/>
    <w:rsid w:val="000F65BA"/>
    <w:rsid w:val="000F65DE"/>
    <w:rsid w:val="000F65FA"/>
    <w:rsid w:val="000F6604"/>
    <w:rsid w:val="000F6624"/>
    <w:rsid w:val="000F66F6"/>
    <w:rsid w:val="000F674E"/>
    <w:rsid w:val="000F6773"/>
    <w:rsid w:val="000F68D1"/>
    <w:rsid w:val="000F6927"/>
    <w:rsid w:val="000F6930"/>
    <w:rsid w:val="000F6947"/>
    <w:rsid w:val="000F6956"/>
    <w:rsid w:val="000F697B"/>
    <w:rsid w:val="000F698F"/>
    <w:rsid w:val="000F6A15"/>
    <w:rsid w:val="000F6A3C"/>
    <w:rsid w:val="000F6A58"/>
    <w:rsid w:val="000F6A8A"/>
    <w:rsid w:val="000F6AB5"/>
    <w:rsid w:val="000F6ACE"/>
    <w:rsid w:val="000F6AEE"/>
    <w:rsid w:val="000F6BD6"/>
    <w:rsid w:val="000F6C0A"/>
    <w:rsid w:val="000F6C4F"/>
    <w:rsid w:val="000F6CAA"/>
    <w:rsid w:val="000F6D36"/>
    <w:rsid w:val="000F6D8A"/>
    <w:rsid w:val="000F6D9D"/>
    <w:rsid w:val="000F6DC1"/>
    <w:rsid w:val="000F6DC4"/>
    <w:rsid w:val="000F6DFB"/>
    <w:rsid w:val="000F6FF4"/>
    <w:rsid w:val="000F7085"/>
    <w:rsid w:val="000F719C"/>
    <w:rsid w:val="000F71F9"/>
    <w:rsid w:val="000F727A"/>
    <w:rsid w:val="000F7280"/>
    <w:rsid w:val="000F72D8"/>
    <w:rsid w:val="000F72FF"/>
    <w:rsid w:val="000F733C"/>
    <w:rsid w:val="000F738D"/>
    <w:rsid w:val="000F73C8"/>
    <w:rsid w:val="000F73CF"/>
    <w:rsid w:val="000F73D0"/>
    <w:rsid w:val="000F7460"/>
    <w:rsid w:val="000F748B"/>
    <w:rsid w:val="000F7512"/>
    <w:rsid w:val="000F7533"/>
    <w:rsid w:val="000F7582"/>
    <w:rsid w:val="000F75BD"/>
    <w:rsid w:val="000F7661"/>
    <w:rsid w:val="000F76C2"/>
    <w:rsid w:val="000F76C7"/>
    <w:rsid w:val="000F7757"/>
    <w:rsid w:val="000F77B3"/>
    <w:rsid w:val="000F7983"/>
    <w:rsid w:val="000F79F6"/>
    <w:rsid w:val="000F7A3A"/>
    <w:rsid w:val="000F7A8B"/>
    <w:rsid w:val="000F7AFA"/>
    <w:rsid w:val="000F7B50"/>
    <w:rsid w:val="000F7B67"/>
    <w:rsid w:val="000F7BD8"/>
    <w:rsid w:val="000F7BDE"/>
    <w:rsid w:val="000F7C1C"/>
    <w:rsid w:val="000F7C69"/>
    <w:rsid w:val="000F7CB5"/>
    <w:rsid w:val="000F7D57"/>
    <w:rsid w:val="000F7D82"/>
    <w:rsid w:val="000F7DB7"/>
    <w:rsid w:val="000F7E40"/>
    <w:rsid w:val="000F7E43"/>
    <w:rsid w:val="000F7F16"/>
    <w:rsid w:val="000F7F6E"/>
    <w:rsid w:val="000F7FA7"/>
    <w:rsid w:val="000F7FEB"/>
    <w:rsid w:val="000F7FF0"/>
    <w:rsid w:val="001001F0"/>
    <w:rsid w:val="001001FC"/>
    <w:rsid w:val="00100201"/>
    <w:rsid w:val="00100217"/>
    <w:rsid w:val="00100232"/>
    <w:rsid w:val="00100264"/>
    <w:rsid w:val="00100273"/>
    <w:rsid w:val="001002AA"/>
    <w:rsid w:val="001002B8"/>
    <w:rsid w:val="00100335"/>
    <w:rsid w:val="0010033F"/>
    <w:rsid w:val="001003AE"/>
    <w:rsid w:val="00100481"/>
    <w:rsid w:val="001004AD"/>
    <w:rsid w:val="001004DD"/>
    <w:rsid w:val="001004EC"/>
    <w:rsid w:val="00100535"/>
    <w:rsid w:val="001005D6"/>
    <w:rsid w:val="0010061F"/>
    <w:rsid w:val="0010067C"/>
    <w:rsid w:val="001006A2"/>
    <w:rsid w:val="001006E0"/>
    <w:rsid w:val="001006E4"/>
    <w:rsid w:val="001007E2"/>
    <w:rsid w:val="001007F1"/>
    <w:rsid w:val="0010083C"/>
    <w:rsid w:val="001009C4"/>
    <w:rsid w:val="001009CF"/>
    <w:rsid w:val="00100A2B"/>
    <w:rsid w:val="00100A45"/>
    <w:rsid w:val="00100B55"/>
    <w:rsid w:val="00100BB1"/>
    <w:rsid w:val="00100BFF"/>
    <w:rsid w:val="00100C07"/>
    <w:rsid w:val="00100C2E"/>
    <w:rsid w:val="00100C3C"/>
    <w:rsid w:val="00100CB3"/>
    <w:rsid w:val="00100D16"/>
    <w:rsid w:val="00100D51"/>
    <w:rsid w:val="00100D5D"/>
    <w:rsid w:val="00100D98"/>
    <w:rsid w:val="00100DDB"/>
    <w:rsid w:val="00100E15"/>
    <w:rsid w:val="00100E4E"/>
    <w:rsid w:val="00100EC4"/>
    <w:rsid w:val="00100F45"/>
    <w:rsid w:val="001010C3"/>
    <w:rsid w:val="00101174"/>
    <w:rsid w:val="00101201"/>
    <w:rsid w:val="0010122F"/>
    <w:rsid w:val="00101254"/>
    <w:rsid w:val="00101327"/>
    <w:rsid w:val="00101336"/>
    <w:rsid w:val="0010138A"/>
    <w:rsid w:val="0010139F"/>
    <w:rsid w:val="001013F6"/>
    <w:rsid w:val="00101406"/>
    <w:rsid w:val="0010140A"/>
    <w:rsid w:val="00101417"/>
    <w:rsid w:val="0010147E"/>
    <w:rsid w:val="001014B1"/>
    <w:rsid w:val="001014C0"/>
    <w:rsid w:val="001015BD"/>
    <w:rsid w:val="0010161E"/>
    <w:rsid w:val="00101662"/>
    <w:rsid w:val="00101676"/>
    <w:rsid w:val="00101695"/>
    <w:rsid w:val="001016AE"/>
    <w:rsid w:val="001016C2"/>
    <w:rsid w:val="001016CA"/>
    <w:rsid w:val="00101733"/>
    <w:rsid w:val="0010173A"/>
    <w:rsid w:val="001017CC"/>
    <w:rsid w:val="001017D0"/>
    <w:rsid w:val="001017DD"/>
    <w:rsid w:val="00101865"/>
    <w:rsid w:val="0010186F"/>
    <w:rsid w:val="00101884"/>
    <w:rsid w:val="001018DB"/>
    <w:rsid w:val="001018FF"/>
    <w:rsid w:val="00101901"/>
    <w:rsid w:val="00101913"/>
    <w:rsid w:val="0010197E"/>
    <w:rsid w:val="001019A6"/>
    <w:rsid w:val="00101A5E"/>
    <w:rsid w:val="00101A82"/>
    <w:rsid w:val="00101ABE"/>
    <w:rsid w:val="00101AC2"/>
    <w:rsid w:val="00101B1F"/>
    <w:rsid w:val="00101BB5"/>
    <w:rsid w:val="00101C0A"/>
    <w:rsid w:val="00101C0E"/>
    <w:rsid w:val="00101C2E"/>
    <w:rsid w:val="00101C43"/>
    <w:rsid w:val="00101C45"/>
    <w:rsid w:val="00101C78"/>
    <w:rsid w:val="00101CC6"/>
    <w:rsid w:val="00101CEB"/>
    <w:rsid w:val="00101D24"/>
    <w:rsid w:val="00101DA0"/>
    <w:rsid w:val="00101DC4"/>
    <w:rsid w:val="00101DEA"/>
    <w:rsid w:val="00101DFB"/>
    <w:rsid w:val="00101E00"/>
    <w:rsid w:val="00101EDE"/>
    <w:rsid w:val="00101FC6"/>
    <w:rsid w:val="001020E9"/>
    <w:rsid w:val="001020F3"/>
    <w:rsid w:val="0010220E"/>
    <w:rsid w:val="00102211"/>
    <w:rsid w:val="0010227F"/>
    <w:rsid w:val="001022DB"/>
    <w:rsid w:val="00102305"/>
    <w:rsid w:val="001023EE"/>
    <w:rsid w:val="001024B5"/>
    <w:rsid w:val="001024D6"/>
    <w:rsid w:val="0010261C"/>
    <w:rsid w:val="0010267D"/>
    <w:rsid w:val="00102706"/>
    <w:rsid w:val="00102708"/>
    <w:rsid w:val="00102808"/>
    <w:rsid w:val="00102886"/>
    <w:rsid w:val="00102ACB"/>
    <w:rsid w:val="00102B2A"/>
    <w:rsid w:val="00102B97"/>
    <w:rsid w:val="00102BEA"/>
    <w:rsid w:val="00102C09"/>
    <w:rsid w:val="00102C4E"/>
    <w:rsid w:val="00102D57"/>
    <w:rsid w:val="00102DB2"/>
    <w:rsid w:val="00102E1F"/>
    <w:rsid w:val="00102EC9"/>
    <w:rsid w:val="00102F06"/>
    <w:rsid w:val="00102F27"/>
    <w:rsid w:val="00102F46"/>
    <w:rsid w:val="00103090"/>
    <w:rsid w:val="001030BC"/>
    <w:rsid w:val="00103122"/>
    <w:rsid w:val="00103124"/>
    <w:rsid w:val="001031C9"/>
    <w:rsid w:val="00103226"/>
    <w:rsid w:val="0010326C"/>
    <w:rsid w:val="0010329C"/>
    <w:rsid w:val="001033A2"/>
    <w:rsid w:val="00103457"/>
    <w:rsid w:val="0010352A"/>
    <w:rsid w:val="00103624"/>
    <w:rsid w:val="0010362E"/>
    <w:rsid w:val="00103805"/>
    <w:rsid w:val="00103874"/>
    <w:rsid w:val="00103893"/>
    <w:rsid w:val="001039E1"/>
    <w:rsid w:val="001039FF"/>
    <w:rsid w:val="00103A78"/>
    <w:rsid w:val="00103B11"/>
    <w:rsid w:val="00103BB3"/>
    <w:rsid w:val="00103D46"/>
    <w:rsid w:val="00103D6A"/>
    <w:rsid w:val="00103D95"/>
    <w:rsid w:val="00103E5D"/>
    <w:rsid w:val="00103F16"/>
    <w:rsid w:val="00103F6B"/>
    <w:rsid w:val="00103FA4"/>
    <w:rsid w:val="00103FDA"/>
    <w:rsid w:val="00103FF5"/>
    <w:rsid w:val="00104050"/>
    <w:rsid w:val="00104084"/>
    <w:rsid w:val="001040CA"/>
    <w:rsid w:val="001040E0"/>
    <w:rsid w:val="00104112"/>
    <w:rsid w:val="00104120"/>
    <w:rsid w:val="00104163"/>
    <w:rsid w:val="0010418B"/>
    <w:rsid w:val="00104270"/>
    <w:rsid w:val="0010436F"/>
    <w:rsid w:val="001044BB"/>
    <w:rsid w:val="00104511"/>
    <w:rsid w:val="0010453B"/>
    <w:rsid w:val="0010453E"/>
    <w:rsid w:val="00104570"/>
    <w:rsid w:val="001046BE"/>
    <w:rsid w:val="001046FC"/>
    <w:rsid w:val="0010489B"/>
    <w:rsid w:val="001048A5"/>
    <w:rsid w:val="001048D3"/>
    <w:rsid w:val="00104952"/>
    <w:rsid w:val="0010498C"/>
    <w:rsid w:val="001049C8"/>
    <w:rsid w:val="001049FB"/>
    <w:rsid w:val="00104A9A"/>
    <w:rsid w:val="00104B56"/>
    <w:rsid w:val="00104B94"/>
    <w:rsid w:val="00104C7B"/>
    <w:rsid w:val="00104CA0"/>
    <w:rsid w:val="00104CAA"/>
    <w:rsid w:val="00104D41"/>
    <w:rsid w:val="00104DF1"/>
    <w:rsid w:val="00104E0B"/>
    <w:rsid w:val="00104EA6"/>
    <w:rsid w:val="00104F2E"/>
    <w:rsid w:val="00104F59"/>
    <w:rsid w:val="00104FB4"/>
    <w:rsid w:val="00104FCB"/>
    <w:rsid w:val="001050D6"/>
    <w:rsid w:val="0010510A"/>
    <w:rsid w:val="00105218"/>
    <w:rsid w:val="00105251"/>
    <w:rsid w:val="001052EA"/>
    <w:rsid w:val="0010530F"/>
    <w:rsid w:val="0010532D"/>
    <w:rsid w:val="00105366"/>
    <w:rsid w:val="00105394"/>
    <w:rsid w:val="001053C7"/>
    <w:rsid w:val="001053D7"/>
    <w:rsid w:val="00105430"/>
    <w:rsid w:val="00105494"/>
    <w:rsid w:val="00105574"/>
    <w:rsid w:val="001055EC"/>
    <w:rsid w:val="001055F7"/>
    <w:rsid w:val="0010565C"/>
    <w:rsid w:val="00105716"/>
    <w:rsid w:val="001057B4"/>
    <w:rsid w:val="001057C2"/>
    <w:rsid w:val="001057F2"/>
    <w:rsid w:val="00105862"/>
    <w:rsid w:val="0010589D"/>
    <w:rsid w:val="001058FD"/>
    <w:rsid w:val="00105A4C"/>
    <w:rsid w:val="00105A81"/>
    <w:rsid w:val="00105A82"/>
    <w:rsid w:val="00105B87"/>
    <w:rsid w:val="00105BCF"/>
    <w:rsid w:val="00105C5E"/>
    <w:rsid w:val="00105CDE"/>
    <w:rsid w:val="00105D8D"/>
    <w:rsid w:val="00105D91"/>
    <w:rsid w:val="00105E0B"/>
    <w:rsid w:val="00105E17"/>
    <w:rsid w:val="00105EBA"/>
    <w:rsid w:val="00105EF1"/>
    <w:rsid w:val="00105F97"/>
    <w:rsid w:val="00105FC5"/>
    <w:rsid w:val="00106072"/>
    <w:rsid w:val="00106104"/>
    <w:rsid w:val="00106169"/>
    <w:rsid w:val="0010618B"/>
    <w:rsid w:val="001061B6"/>
    <w:rsid w:val="0010620F"/>
    <w:rsid w:val="00106247"/>
    <w:rsid w:val="00106262"/>
    <w:rsid w:val="00106284"/>
    <w:rsid w:val="001062B9"/>
    <w:rsid w:val="001062C9"/>
    <w:rsid w:val="001062D1"/>
    <w:rsid w:val="00106312"/>
    <w:rsid w:val="00106316"/>
    <w:rsid w:val="00106390"/>
    <w:rsid w:val="00106428"/>
    <w:rsid w:val="00106437"/>
    <w:rsid w:val="001064B9"/>
    <w:rsid w:val="001067DE"/>
    <w:rsid w:val="001068E6"/>
    <w:rsid w:val="0010690A"/>
    <w:rsid w:val="00106A07"/>
    <w:rsid w:val="00106AC7"/>
    <w:rsid w:val="00106AE8"/>
    <w:rsid w:val="00106AEA"/>
    <w:rsid w:val="00106B16"/>
    <w:rsid w:val="00106BD4"/>
    <w:rsid w:val="00106C2F"/>
    <w:rsid w:val="00106C68"/>
    <w:rsid w:val="00106CB6"/>
    <w:rsid w:val="00106CEA"/>
    <w:rsid w:val="00106D1A"/>
    <w:rsid w:val="00106D8C"/>
    <w:rsid w:val="00106DA6"/>
    <w:rsid w:val="00106E14"/>
    <w:rsid w:val="00106F0C"/>
    <w:rsid w:val="001070B5"/>
    <w:rsid w:val="001070F5"/>
    <w:rsid w:val="0010724C"/>
    <w:rsid w:val="0010726E"/>
    <w:rsid w:val="001072A2"/>
    <w:rsid w:val="001072AE"/>
    <w:rsid w:val="001072C4"/>
    <w:rsid w:val="00107371"/>
    <w:rsid w:val="001073A2"/>
    <w:rsid w:val="00107412"/>
    <w:rsid w:val="001074A8"/>
    <w:rsid w:val="00107586"/>
    <w:rsid w:val="001075CA"/>
    <w:rsid w:val="0010761A"/>
    <w:rsid w:val="001076CD"/>
    <w:rsid w:val="00107744"/>
    <w:rsid w:val="00107795"/>
    <w:rsid w:val="00107796"/>
    <w:rsid w:val="001077F6"/>
    <w:rsid w:val="0010786D"/>
    <w:rsid w:val="001078B1"/>
    <w:rsid w:val="001078DD"/>
    <w:rsid w:val="00107960"/>
    <w:rsid w:val="0010797D"/>
    <w:rsid w:val="0010799E"/>
    <w:rsid w:val="001079EA"/>
    <w:rsid w:val="00107A2F"/>
    <w:rsid w:val="00107B39"/>
    <w:rsid w:val="00107B99"/>
    <w:rsid w:val="00107CDD"/>
    <w:rsid w:val="00107CE6"/>
    <w:rsid w:val="00107D11"/>
    <w:rsid w:val="00107D17"/>
    <w:rsid w:val="00107D56"/>
    <w:rsid w:val="00107D66"/>
    <w:rsid w:val="00107E70"/>
    <w:rsid w:val="00107EBD"/>
    <w:rsid w:val="00107F2E"/>
    <w:rsid w:val="00107F6E"/>
    <w:rsid w:val="00107FC8"/>
    <w:rsid w:val="00107FD7"/>
    <w:rsid w:val="001101A6"/>
    <w:rsid w:val="0011020B"/>
    <w:rsid w:val="0011026C"/>
    <w:rsid w:val="001102F9"/>
    <w:rsid w:val="00110301"/>
    <w:rsid w:val="0011031F"/>
    <w:rsid w:val="00110333"/>
    <w:rsid w:val="0011033F"/>
    <w:rsid w:val="001103BA"/>
    <w:rsid w:val="001103C9"/>
    <w:rsid w:val="00110442"/>
    <w:rsid w:val="00110477"/>
    <w:rsid w:val="0011055D"/>
    <w:rsid w:val="0011059F"/>
    <w:rsid w:val="0011061D"/>
    <w:rsid w:val="00110661"/>
    <w:rsid w:val="0011067A"/>
    <w:rsid w:val="0011067C"/>
    <w:rsid w:val="001107B7"/>
    <w:rsid w:val="001107E6"/>
    <w:rsid w:val="00110802"/>
    <w:rsid w:val="001108DB"/>
    <w:rsid w:val="00110919"/>
    <w:rsid w:val="0011095E"/>
    <w:rsid w:val="001109D6"/>
    <w:rsid w:val="00110A64"/>
    <w:rsid w:val="00110ADF"/>
    <w:rsid w:val="00110B42"/>
    <w:rsid w:val="00110B46"/>
    <w:rsid w:val="00110BBB"/>
    <w:rsid w:val="00110BC2"/>
    <w:rsid w:val="00110C00"/>
    <w:rsid w:val="00110C71"/>
    <w:rsid w:val="00110D1D"/>
    <w:rsid w:val="00110D51"/>
    <w:rsid w:val="00110D6F"/>
    <w:rsid w:val="00110E29"/>
    <w:rsid w:val="00110E2F"/>
    <w:rsid w:val="00110E47"/>
    <w:rsid w:val="00110E7F"/>
    <w:rsid w:val="00110EAF"/>
    <w:rsid w:val="00110ECE"/>
    <w:rsid w:val="00110FF9"/>
    <w:rsid w:val="00111008"/>
    <w:rsid w:val="00111009"/>
    <w:rsid w:val="001110B8"/>
    <w:rsid w:val="00111192"/>
    <w:rsid w:val="001111AE"/>
    <w:rsid w:val="0011123A"/>
    <w:rsid w:val="00111249"/>
    <w:rsid w:val="001112F2"/>
    <w:rsid w:val="00111331"/>
    <w:rsid w:val="00111359"/>
    <w:rsid w:val="00111378"/>
    <w:rsid w:val="00111498"/>
    <w:rsid w:val="001114A6"/>
    <w:rsid w:val="00111507"/>
    <w:rsid w:val="0011150B"/>
    <w:rsid w:val="00111526"/>
    <w:rsid w:val="001115E5"/>
    <w:rsid w:val="00111601"/>
    <w:rsid w:val="00111671"/>
    <w:rsid w:val="0011167C"/>
    <w:rsid w:val="001116AB"/>
    <w:rsid w:val="001116BD"/>
    <w:rsid w:val="00111778"/>
    <w:rsid w:val="001117D9"/>
    <w:rsid w:val="00111827"/>
    <w:rsid w:val="0011184C"/>
    <w:rsid w:val="001118D1"/>
    <w:rsid w:val="00111921"/>
    <w:rsid w:val="00111961"/>
    <w:rsid w:val="001119B7"/>
    <w:rsid w:val="001119DA"/>
    <w:rsid w:val="00111A5F"/>
    <w:rsid w:val="00111AE1"/>
    <w:rsid w:val="00111BAB"/>
    <w:rsid w:val="00111C0C"/>
    <w:rsid w:val="00111C77"/>
    <w:rsid w:val="00111C78"/>
    <w:rsid w:val="00111CAD"/>
    <w:rsid w:val="00111D20"/>
    <w:rsid w:val="00111D2F"/>
    <w:rsid w:val="00111D91"/>
    <w:rsid w:val="00111DAE"/>
    <w:rsid w:val="00111E6A"/>
    <w:rsid w:val="00111E72"/>
    <w:rsid w:val="00111E84"/>
    <w:rsid w:val="00111EB4"/>
    <w:rsid w:val="00111EC0"/>
    <w:rsid w:val="00111F3F"/>
    <w:rsid w:val="00111F6F"/>
    <w:rsid w:val="00111FB3"/>
    <w:rsid w:val="00111FC4"/>
    <w:rsid w:val="00111FE7"/>
    <w:rsid w:val="0011209D"/>
    <w:rsid w:val="00112285"/>
    <w:rsid w:val="001122D3"/>
    <w:rsid w:val="00112321"/>
    <w:rsid w:val="0011233E"/>
    <w:rsid w:val="0011236C"/>
    <w:rsid w:val="001123D6"/>
    <w:rsid w:val="00112458"/>
    <w:rsid w:val="00112472"/>
    <w:rsid w:val="00112480"/>
    <w:rsid w:val="00112485"/>
    <w:rsid w:val="0011257B"/>
    <w:rsid w:val="001125EF"/>
    <w:rsid w:val="0011260C"/>
    <w:rsid w:val="0011273F"/>
    <w:rsid w:val="00112760"/>
    <w:rsid w:val="0011276D"/>
    <w:rsid w:val="001127A2"/>
    <w:rsid w:val="0011280A"/>
    <w:rsid w:val="0011286A"/>
    <w:rsid w:val="00112A1C"/>
    <w:rsid w:val="00112A5A"/>
    <w:rsid w:val="00112A91"/>
    <w:rsid w:val="00112AE6"/>
    <w:rsid w:val="00112AFE"/>
    <w:rsid w:val="00112B82"/>
    <w:rsid w:val="00112BC4"/>
    <w:rsid w:val="00112C23"/>
    <w:rsid w:val="00112C4A"/>
    <w:rsid w:val="00112D2A"/>
    <w:rsid w:val="00112DE5"/>
    <w:rsid w:val="00112E1B"/>
    <w:rsid w:val="00112E62"/>
    <w:rsid w:val="00112E8D"/>
    <w:rsid w:val="001130E1"/>
    <w:rsid w:val="0011312F"/>
    <w:rsid w:val="001131CA"/>
    <w:rsid w:val="00113226"/>
    <w:rsid w:val="0011325F"/>
    <w:rsid w:val="001132CD"/>
    <w:rsid w:val="00113326"/>
    <w:rsid w:val="00113347"/>
    <w:rsid w:val="0011345F"/>
    <w:rsid w:val="00113473"/>
    <w:rsid w:val="00113491"/>
    <w:rsid w:val="001134B5"/>
    <w:rsid w:val="00113617"/>
    <w:rsid w:val="00113698"/>
    <w:rsid w:val="0011369A"/>
    <w:rsid w:val="001136EF"/>
    <w:rsid w:val="00113702"/>
    <w:rsid w:val="00113730"/>
    <w:rsid w:val="001137A2"/>
    <w:rsid w:val="001137B6"/>
    <w:rsid w:val="00113807"/>
    <w:rsid w:val="00113822"/>
    <w:rsid w:val="0011383A"/>
    <w:rsid w:val="00113893"/>
    <w:rsid w:val="00113926"/>
    <w:rsid w:val="00113971"/>
    <w:rsid w:val="00113A9C"/>
    <w:rsid w:val="00113AA7"/>
    <w:rsid w:val="00113AD1"/>
    <w:rsid w:val="00113AFD"/>
    <w:rsid w:val="00113B7B"/>
    <w:rsid w:val="00113BDA"/>
    <w:rsid w:val="00113BE4"/>
    <w:rsid w:val="00113C1F"/>
    <w:rsid w:val="00113C92"/>
    <w:rsid w:val="00113C95"/>
    <w:rsid w:val="00113CAE"/>
    <w:rsid w:val="00113D6F"/>
    <w:rsid w:val="00113D9E"/>
    <w:rsid w:val="00113DFD"/>
    <w:rsid w:val="00113E33"/>
    <w:rsid w:val="00113E3C"/>
    <w:rsid w:val="00113F94"/>
    <w:rsid w:val="00113FC0"/>
    <w:rsid w:val="0011401E"/>
    <w:rsid w:val="0011407B"/>
    <w:rsid w:val="00114171"/>
    <w:rsid w:val="001142D8"/>
    <w:rsid w:val="001142F9"/>
    <w:rsid w:val="00114319"/>
    <w:rsid w:val="00114362"/>
    <w:rsid w:val="00114495"/>
    <w:rsid w:val="0011460B"/>
    <w:rsid w:val="00114642"/>
    <w:rsid w:val="0011471E"/>
    <w:rsid w:val="00114886"/>
    <w:rsid w:val="001148DF"/>
    <w:rsid w:val="001148EA"/>
    <w:rsid w:val="0011490F"/>
    <w:rsid w:val="00114922"/>
    <w:rsid w:val="0011492F"/>
    <w:rsid w:val="00114A8D"/>
    <w:rsid w:val="00114B24"/>
    <w:rsid w:val="00114B45"/>
    <w:rsid w:val="00114BCB"/>
    <w:rsid w:val="00114BDA"/>
    <w:rsid w:val="00114BF7"/>
    <w:rsid w:val="00114C07"/>
    <w:rsid w:val="00114CD6"/>
    <w:rsid w:val="00114CDB"/>
    <w:rsid w:val="00114D60"/>
    <w:rsid w:val="00114E95"/>
    <w:rsid w:val="00114EF5"/>
    <w:rsid w:val="00114F08"/>
    <w:rsid w:val="00114F6A"/>
    <w:rsid w:val="00114FD6"/>
    <w:rsid w:val="0011501F"/>
    <w:rsid w:val="001150CD"/>
    <w:rsid w:val="001151AE"/>
    <w:rsid w:val="00115221"/>
    <w:rsid w:val="0011528C"/>
    <w:rsid w:val="001152BD"/>
    <w:rsid w:val="001152DA"/>
    <w:rsid w:val="0011539D"/>
    <w:rsid w:val="00115400"/>
    <w:rsid w:val="00115525"/>
    <w:rsid w:val="001155A5"/>
    <w:rsid w:val="001156BC"/>
    <w:rsid w:val="00115718"/>
    <w:rsid w:val="001157CA"/>
    <w:rsid w:val="001157CF"/>
    <w:rsid w:val="001157DE"/>
    <w:rsid w:val="00115830"/>
    <w:rsid w:val="00115877"/>
    <w:rsid w:val="001158CC"/>
    <w:rsid w:val="00115914"/>
    <w:rsid w:val="001159FC"/>
    <w:rsid w:val="00115A63"/>
    <w:rsid w:val="00115B05"/>
    <w:rsid w:val="00115B10"/>
    <w:rsid w:val="00115B8A"/>
    <w:rsid w:val="00115BC1"/>
    <w:rsid w:val="00115C1D"/>
    <w:rsid w:val="00115C43"/>
    <w:rsid w:val="00115CFD"/>
    <w:rsid w:val="00115D80"/>
    <w:rsid w:val="00115E24"/>
    <w:rsid w:val="00115E65"/>
    <w:rsid w:val="00115E71"/>
    <w:rsid w:val="00115EAC"/>
    <w:rsid w:val="00115F0C"/>
    <w:rsid w:val="00115F69"/>
    <w:rsid w:val="00116003"/>
    <w:rsid w:val="00116055"/>
    <w:rsid w:val="00116057"/>
    <w:rsid w:val="00116061"/>
    <w:rsid w:val="00116096"/>
    <w:rsid w:val="0011617A"/>
    <w:rsid w:val="001161AB"/>
    <w:rsid w:val="001161B1"/>
    <w:rsid w:val="001161C8"/>
    <w:rsid w:val="001161E1"/>
    <w:rsid w:val="001161E5"/>
    <w:rsid w:val="001161E6"/>
    <w:rsid w:val="0011624A"/>
    <w:rsid w:val="00116308"/>
    <w:rsid w:val="00116314"/>
    <w:rsid w:val="0011636A"/>
    <w:rsid w:val="0011638F"/>
    <w:rsid w:val="001163A4"/>
    <w:rsid w:val="001163C5"/>
    <w:rsid w:val="001163FC"/>
    <w:rsid w:val="0011642F"/>
    <w:rsid w:val="00116478"/>
    <w:rsid w:val="00116483"/>
    <w:rsid w:val="00116487"/>
    <w:rsid w:val="00116505"/>
    <w:rsid w:val="00116582"/>
    <w:rsid w:val="001165FB"/>
    <w:rsid w:val="00116624"/>
    <w:rsid w:val="00116658"/>
    <w:rsid w:val="0011666D"/>
    <w:rsid w:val="0011675A"/>
    <w:rsid w:val="00116778"/>
    <w:rsid w:val="001167C2"/>
    <w:rsid w:val="00116810"/>
    <w:rsid w:val="00116845"/>
    <w:rsid w:val="00116885"/>
    <w:rsid w:val="00116988"/>
    <w:rsid w:val="00116A47"/>
    <w:rsid w:val="00116A52"/>
    <w:rsid w:val="00116A82"/>
    <w:rsid w:val="00116ADE"/>
    <w:rsid w:val="00116B50"/>
    <w:rsid w:val="00116B5A"/>
    <w:rsid w:val="00116B76"/>
    <w:rsid w:val="00116BAA"/>
    <w:rsid w:val="00116BFB"/>
    <w:rsid w:val="00116C08"/>
    <w:rsid w:val="00116C19"/>
    <w:rsid w:val="00116C3D"/>
    <w:rsid w:val="00116C73"/>
    <w:rsid w:val="00116C9C"/>
    <w:rsid w:val="00116D31"/>
    <w:rsid w:val="00116D56"/>
    <w:rsid w:val="00116D80"/>
    <w:rsid w:val="00116DBC"/>
    <w:rsid w:val="00116DE4"/>
    <w:rsid w:val="00116E33"/>
    <w:rsid w:val="00116EBC"/>
    <w:rsid w:val="00116EC5"/>
    <w:rsid w:val="00116FDE"/>
    <w:rsid w:val="001170DA"/>
    <w:rsid w:val="00117104"/>
    <w:rsid w:val="00117125"/>
    <w:rsid w:val="0011713D"/>
    <w:rsid w:val="00117183"/>
    <w:rsid w:val="001171CD"/>
    <w:rsid w:val="001171D8"/>
    <w:rsid w:val="001171FA"/>
    <w:rsid w:val="00117313"/>
    <w:rsid w:val="001173EC"/>
    <w:rsid w:val="001174C1"/>
    <w:rsid w:val="001174F1"/>
    <w:rsid w:val="00117533"/>
    <w:rsid w:val="001175DE"/>
    <w:rsid w:val="001176A2"/>
    <w:rsid w:val="001176E1"/>
    <w:rsid w:val="00117744"/>
    <w:rsid w:val="00117793"/>
    <w:rsid w:val="001177A0"/>
    <w:rsid w:val="001177A8"/>
    <w:rsid w:val="001177F6"/>
    <w:rsid w:val="001178A3"/>
    <w:rsid w:val="00117939"/>
    <w:rsid w:val="00117995"/>
    <w:rsid w:val="001179F4"/>
    <w:rsid w:val="00117A8F"/>
    <w:rsid w:val="00117B00"/>
    <w:rsid w:val="00117B55"/>
    <w:rsid w:val="00117BCF"/>
    <w:rsid w:val="00117BD6"/>
    <w:rsid w:val="00117BE2"/>
    <w:rsid w:val="00117C35"/>
    <w:rsid w:val="00117C6A"/>
    <w:rsid w:val="00117C87"/>
    <w:rsid w:val="00117D0C"/>
    <w:rsid w:val="00117DE5"/>
    <w:rsid w:val="00117DEF"/>
    <w:rsid w:val="00117E53"/>
    <w:rsid w:val="00117EF2"/>
    <w:rsid w:val="00117EF9"/>
    <w:rsid w:val="00117F06"/>
    <w:rsid w:val="00117F71"/>
    <w:rsid w:val="00117FDE"/>
    <w:rsid w:val="00120064"/>
    <w:rsid w:val="00120101"/>
    <w:rsid w:val="00120102"/>
    <w:rsid w:val="00120224"/>
    <w:rsid w:val="00120258"/>
    <w:rsid w:val="00120281"/>
    <w:rsid w:val="00120287"/>
    <w:rsid w:val="0012032C"/>
    <w:rsid w:val="00120332"/>
    <w:rsid w:val="00120356"/>
    <w:rsid w:val="001203CB"/>
    <w:rsid w:val="00120406"/>
    <w:rsid w:val="0012051C"/>
    <w:rsid w:val="00120521"/>
    <w:rsid w:val="00120570"/>
    <w:rsid w:val="0012066E"/>
    <w:rsid w:val="001206A1"/>
    <w:rsid w:val="0012074B"/>
    <w:rsid w:val="001208FB"/>
    <w:rsid w:val="00120922"/>
    <w:rsid w:val="00120941"/>
    <w:rsid w:val="00120972"/>
    <w:rsid w:val="00120A0A"/>
    <w:rsid w:val="00120A2C"/>
    <w:rsid w:val="00120B19"/>
    <w:rsid w:val="00120B96"/>
    <w:rsid w:val="00120D79"/>
    <w:rsid w:val="00120E1A"/>
    <w:rsid w:val="00120E23"/>
    <w:rsid w:val="00120E6A"/>
    <w:rsid w:val="00120EE7"/>
    <w:rsid w:val="00120EED"/>
    <w:rsid w:val="00120F2C"/>
    <w:rsid w:val="0012104C"/>
    <w:rsid w:val="00121078"/>
    <w:rsid w:val="001210C6"/>
    <w:rsid w:val="001210EB"/>
    <w:rsid w:val="001210F1"/>
    <w:rsid w:val="0012117F"/>
    <w:rsid w:val="001211BD"/>
    <w:rsid w:val="00121246"/>
    <w:rsid w:val="00121259"/>
    <w:rsid w:val="001212D5"/>
    <w:rsid w:val="0012137E"/>
    <w:rsid w:val="001213E0"/>
    <w:rsid w:val="0012143F"/>
    <w:rsid w:val="0012145A"/>
    <w:rsid w:val="0012152D"/>
    <w:rsid w:val="0012159B"/>
    <w:rsid w:val="001215A7"/>
    <w:rsid w:val="001215CD"/>
    <w:rsid w:val="0012161B"/>
    <w:rsid w:val="0012164B"/>
    <w:rsid w:val="001216E3"/>
    <w:rsid w:val="0012177C"/>
    <w:rsid w:val="001217A3"/>
    <w:rsid w:val="00121946"/>
    <w:rsid w:val="001219B9"/>
    <w:rsid w:val="001219C9"/>
    <w:rsid w:val="00121A61"/>
    <w:rsid w:val="00121A65"/>
    <w:rsid w:val="00121A76"/>
    <w:rsid w:val="00121AAC"/>
    <w:rsid w:val="00121AF0"/>
    <w:rsid w:val="00121B40"/>
    <w:rsid w:val="00121BBA"/>
    <w:rsid w:val="00121C40"/>
    <w:rsid w:val="00121CBE"/>
    <w:rsid w:val="00121D3E"/>
    <w:rsid w:val="00121D5C"/>
    <w:rsid w:val="00121DC3"/>
    <w:rsid w:val="00121E41"/>
    <w:rsid w:val="00121E9C"/>
    <w:rsid w:val="00121ED3"/>
    <w:rsid w:val="00121EE1"/>
    <w:rsid w:val="00121F2B"/>
    <w:rsid w:val="00121FDF"/>
    <w:rsid w:val="0012203F"/>
    <w:rsid w:val="00122089"/>
    <w:rsid w:val="0012208A"/>
    <w:rsid w:val="001220EE"/>
    <w:rsid w:val="001220FA"/>
    <w:rsid w:val="001220FC"/>
    <w:rsid w:val="0012211F"/>
    <w:rsid w:val="001221A3"/>
    <w:rsid w:val="001221E0"/>
    <w:rsid w:val="00122204"/>
    <w:rsid w:val="00122221"/>
    <w:rsid w:val="00122264"/>
    <w:rsid w:val="00122267"/>
    <w:rsid w:val="0012227D"/>
    <w:rsid w:val="001222C7"/>
    <w:rsid w:val="001222D6"/>
    <w:rsid w:val="001223E3"/>
    <w:rsid w:val="0012244B"/>
    <w:rsid w:val="00122456"/>
    <w:rsid w:val="001224AA"/>
    <w:rsid w:val="00122556"/>
    <w:rsid w:val="001225B6"/>
    <w:rsid w:val="00122694"/>
    <w:rsid w:val="001226D8"/>
    <w:rsid w:val="001226E8"/>
    <w:rsid w:val="00122762"/>
    <w:rsid w:val="00122797"/>
    <w:rsid w:val="0012283D"/>
    <w:rsid w:val="00122960"/>
    <w:rsid w:val="00122978"/>
    <w:rsid w:val="001229A9"/>
    <w:rsid w:val="001229B2"/>
    <w:rsid w:val="00122A0D"/>
    <w:rsid w:val="00122B9E"/>
    <w:rsid w:val="00122BA9"/>
    <w:rsid w:val="00122BCE"/>
    <w:rsid w:val="00122D2B"/>
    <w:rsid w:val="00122D76"/>
    <w:rsid w:val="00122D9B"/>
    <w:rsid w:val="00122ED0"/>
    <w:rsid w:val="00122FAE"/>
    <w:rsid w:val="00122FBC"/>
    <w:rsid w:val="00122FE5"/>
    <w:rsid w:val="00123084"/>
    <w:rsid w:val="001230E5"/>
    <w:rsid w:val="00123132"/>
    <w:rsid w:val="0012314C"/>
    <w:rsid w:val="0012315E"/>
    <w:rsid w:val="001231ED"/>
    <w:rsid w:val="0012323B"/>
    <w:rsid w:val="001232A3"/>
    <w:rsid w:val="001232AF"/>
    <w:rsid w:val="001232C4"/>
    <w:rsid w:val="001233F6"/>
    <w:rsid w:val="00123433"/>
    <w:rsid w:val="00123454"/>
    <w:rsid w:val="00123463"/>
    <w:rsid w:val="00123473"/>
    <w:rsid w:val="00123540"/>
    <w:rsid w:val="00123678"/>
    <w:rsid w:val="001236B0"/>
    <w:rsid w:val="001236C7"/>
    <w:rsid w:val="0012373E"/>
    <w:rsid w:val="001237D8"/>
    <w:rsid w:val="00123858"/>
    <w:rsid w:val="001238C4"/>
    <w:rsid w:val="00123937"/>
    <w:rsid w:val="00123AFD"/>
    <w:rsid w:val="00123B23"/>
    <w:rsid w:val="00123B24"/>
    <w:rsid w:val="00123B92"/>
    <w:rsid w:val="00123BC2"/>
    <w:rsid w:val="00123C16"/>
    <w:rsid w:val="00123C5A"/>
    <w:rsid w:val="00123D1F"/>
    <w:rsid w:val="00123DC0"/>
    <w:rsid w:val="00123DE3"/>
    <w:rsid w:val="00123DFD"/>
    <w:rsid w:val="00123E31"/>
    <w:rsid w:val="00123E48"/>
    <w:rsid w:val="00123F4F"/>
    <w:rsid w:val="00123F70"/>
    <w:rsid w:val="00123FBA"/>
    <w:rsid w:val="00123FD4"/>
    <w:rsid w:val="00124009"/>
    <w:rsid w:val="0012403C"/>
    <w:rsid w:val="0012406F"/>
    <w:rsid w:val="00124101"/>
    <w:rsid w:val="0012413C"/>
    <w:rsid w:val="0012415C"/>
    <w:rsid w:val="0012419C"/>
    <w:rsid w:val="001241C6"/>
    <w:rsid w:val="0012424D"/>
    <w:rsid w:val="00124285"/>
    <w:rsid w:val="00124286"/>
    <w:rsid w:val="001242D3"/>
    <w:rsid w:val="001242E5"/>
    <w:rsid w:val="00124354"/>
    <w:rsid w:val="0012438C"/>
    <w:rsid w:val="001243F4"/>
    <w:rsid w:val="00124439"/>
    <w:rsid w:val="0012443B"/>
    <w:rsid w:val="0012444E"/>
    <w:rsid w:val="001244B1"/>
    <w:rsid w:val="001244BA"/>
    <w:rsid w:val="0012453F"/>
    <w:rsid w:val="0012454E"/>
    <w:rsid w:val="001245F9"/>
    <w:rsid w:val="0012464D"/>
    <w:rsid w:val="00124684"/>
    <w:rsid w:val="00124714"/>
    <w:rsid w:val="00124799"/>
    <w:rsid w:val="001247E6"/>
    <w:rsid w:val="00124817"/>
    <w:rsid w:val="0012482E"/>
    <w:rsid w:val="00124831"/>
    <w:rsid w:val="00124898"/>
    <w:rsid w:val="00124914"/>
    <w:rsid w:val="00124AAA"/>
    <w:rsid w:val="00124AC2"/>
    <w:rsid w:val="00124B02"/>
    <w:rsid w:val="00124B08"/>
    <w:rsid w:val="00124B7D"/>
    <w:rsid w:val="00124BB4"/>
    <w:rsid w:val="00124BD3"/>
    <w:rsid w:val="00124C0D"/>
    <w:rsid w:val="00124C23"/>
    <w:rsid w:val="00124C84"/>
    <w:rsid w:val="00124CD0"/>
    <w:rsid w:val="00124CEF"/>
    <w:rsid w:val="00124D4B"/>
    <w:rsid w:val="00124D9F"/>
    <w:rsid w:val="00124E23"/>
    <w:rsid w:val="00124EAB"/>
    <w:rsid w:val="00124F46"/>
    <w:rsid w:val="00124F4E"/>
    <w:rsid w:val="00124FB2"/>
    <w:rsid w:val="00124FE1"/>
    <w:rsid w:val="00125009"/>
    <w:rsid w:val="0012505C"/>
    <w:rsid w:val="0012507F"/>
    <w:rsid w:val="0012508B"/>
    <w:rsid w:val="001250B3"/>
    <w:rsid w:val="001250C8"/>
    <w:rsid w:val="001250D4"/>
    <w:rsid w:val="001251FB"/>
    <w:rsid w:val="00125258"/>
    <w:rsid w:val="00125267"/>
    <w:rsid w:val="0012536F"/>
    <w:rsid w:val="00125375"/>
    <w:rsid w:val="00125387"/>
    <w:rsid w:val="001253C8"/>
    <w:rsid w:val="00125447"/>
    <w:rsid w:val="0012544E"/>
    <w:rsid w:val="00125494"/>
    <w:rsid w:val="001254A3"/>
    <w:rsid w:val="001254AF"/>
    <w:rsid w:val="00125518"/>
    <w:rsid w:val="00125584"/>
    <w:rsid w:val="001255A6"/>
    <w:rsid w:val="001255BF"/>
    <w:rsid w:val="00125633"/>
    <w:rsid w:val="001256A0"/>
    <w:rsid w:val="0012578D"/>
    <w:rsid w:val="0012594E"/>
    <w:rsid w:val="00125980"/>
    <w:rsid w:val="001259AC"/>
    <w:rsid w:val="00125A21"/>
    <w:rsid w:val="00125A7A"/>
    <w:rsid w:val="00125AB7"/>
    <w:rsid w:val="00125AC4"/>
    <w:rsid w:val="00125AD6"/>
    <w:rsid w:val="00125AE6"/>
    <w:rsid w:val="00125B1F"/>
    <w:rsid w:val="00125B36"/>
    <w:rsid w:val="00125C3F"/>
    <w:rsid w:val="00125C5D"/>
    <w:rsid w:val="00125C7D"/>
    <w:rsid w:val="00125CA5"/>
    <w:rsid w:val="00125D38"/>
    <w:rsid w:val="00125D46"/>
    <w:rsid w:val="00125D6A"/>
    <w:rsid w:val="00125D88"/>
    <w:rsid w:val="00125D98"/>
    <w:rsid w:val="00125DB0"/>
    <w:rsid w:val="00125DF4"/>
    <w:rsid w:val="00125F7C"/>
    <w:rsid w:val="001260B4"/>
    <w:rsid w:val="001260F9"/>
    <w:rsid w:val="00126190"/>
    <w:rsid w:val="001261FA"/>
    <w:rsid w:val="0012621F"/>
    <w:rsid w:val="001262D4"/>
    <w:rsid w:val="001262D7"/>
    <w:rsid w:val="0012638E"/>
    <w:rsid w:val="001263C0"/>
    <w:rsid w:val="00126471"/>
    <w:rsid w:val="00126530"/>
    <w:rsid w:val="0012658B"/>
    <w:rsid w:val="001265CF"/>
    <w:rsid w:val="0012668C"/>
    <w:rsid w:val="0012669F"/>
    <w:rsid w:val="001266B1"/>
    <w:rsid w:val="001266CE"/>
    <w:rsid w:val="001266FA"/>
    <w:rsid w:val="0012675B"/>
    <w:rsid w:val="0012679E"/>
    <w:rsid w:val="001267AE"/>
    <w:rsid w:val="001267D2"/>
    <w:rsid w:val="001267E4"/>
    <w:rsid w:val="001267E7"/>
    <w:rsid w:val="001267F2"/>
    <w:rsid w:val="0012684D"/>
    <w:rsid w:val="00126876"/>
    <w:rsid w:val="0012687C"/>
    <w:rsid w:val="00126932"/>
    <w:rsid w:val="001269E0"/>
    <w:rsid w:val="001269FC"/>
    <w:rsid w:val="00126A1B"/>
    <w:rsid w:val="00126AAC"/>
    <w:rsid w:val="00126AE6"/>
    <w:rsid w:val="00126B7B"/>
    <w:rsid w:val="00126B8A"/>
    <w:rsid w:val="00126BF4"/>
    <w:rsid w:val="00126C6F"/>
    <w:rsid w:val="00126D18"/>
    <w:rsid w:val="00126E2C"/>
    <w:rsid w:val="00126E36"/>
    <w:rsid w:val="00126E72"/>
    <w:rsid w:val="00126E73"/>
    <w:rsid w:val="00126EF1"/>
    <w:rsid w:val="00126EFD"/>
    <w:rsid w:val="00126F90"/>
    <w:rsid w:val="0012700C"/>
    <w:rsid w:val="0012705F"/>
    <w:rsid w:val="0012708C"/>
    <w:rsid w:val="001270E4"/>
    <w:rsid w:val="001270F2"/>
    <w:rsid w:val="0012716D"/>
    <w:rsid w:val="00127355"/>
    <w:rsid w:val="001273B4"/>
    <w:rsid w:val="001273FB"/>
    <w:rsid w:val="0012748E"/>
    <w:rsid w:val="001274AC"/>
    <w:rsid w:val="001274D9"/>
    <w:rsid w:val="00127504"/>
    <w:rsid w:val="00127545"/>
    <w:rsid w:val="0012759B"/>
    <w:rsid w:val="001275C1"/>
    <w:rsid w:val="00127634"/>
    <w:rsid w:val="00127674"/>
    <w:rsid w:val="001276FF"/>
    <w:rsid w:val="00127703"/>
    <w:rsid w:val="0012770F"/>
    <w:rsid w:val="0012772B"/>
    <w:rsid w:val="001277A4"/>
    <w:rsid w:val="001277D9"/>
    <w:rsid w:val="0012787A"/>
    <w:rsid w:val="00127887"/>
    <w:rsid w:val="00127892"/>
    <w:rsid w:val="001278F1"/>
    <w:rsid w:val="00127958"/>
    <w:rsid w:val="0012798B"/>
    <w:rsid w:val="001279E9"/>
    <w:rsid w:val="00127A6A"/>
    <w:rsid w:val="00127A6F"/>
    <w:rsid w:val="00127AF0"/>
    <w:rsid w:val="00127B53"/>
    <w:rsid w:val="00127B80"/>
    <w:rsid w:val="00127BA9"/>
    <w:rsid w:val="00127C7D"/>
    <w:rsid w:val="00127E0A"/>
    <w:rsid w:val="00127E0E"/>
    <w:rsid w:val="00127EAC"/>
    <w:rsid w:val="00127F1D"/>
    <w:rsid w:val="00127F2D"/>
    <w:rsid w:val="00127F42"/>
    <w:rsid w:val="00127F47"/>
    <w:rsid w:val="00127F94"/>
    <w:rsid w:val="00127FEA"/>
    <w:rsid w:val="00130037"/>
    <w:rsid w:val="0013008C"/>
    <w:rsid w:val="00130129"/>
    <w:rsid w:val="00130254"/>
    <w:rsid w:val="00130266"/>
    <w:rsid w:val="0013028D"/>
    <w:rsid w:val="001302DC"/>
    <w:rsid w:val="00130344"/>
    <w:rsid w:val="00130391"/>
    <w:rsid w:val="0013039D"/>
    <w:rsid w:val="001303BE"/>
    <w:rsid w:val="001303F9"/>
    <w:rsid w:val="0013047D"/>
    <w:rsid w:val="00130513"/>
    <w:rsid w:val="00130585"/>
    <w:rsid w:val="001305C6"/>
    <w:rsid w:val="00130615"/>
    <w:rsid w:val="0013063B"/>
    <w:rsid w:val="00130661"/>
    <w:rsid w:val="0013066B"/>
    <w:rsid w:val="00130725"/>
    <w:rsid w:val="0013075C"/>
    <w:rsid w:val="00130769"/>
    <w:rsid w:val="001307CA"/>
    <w:rsid w:val="001307DD"/>
    <w:rsid w:val="0013083A"/>
    <w:rsid w:val="0013085F"/>
    <w:rsid w:val="001308B1"/>
    <w:rsid w:val="00130934"/>
    <w:rsid w:val="0013095B"/>
    <w:rsid w:val="0013096C"/>
    <w:rsid w:val="001309A2"/>
    <w:rsid w:val="001309D3"/>
    <w:rsid w:val="00130A4A"/>
    <w:rsid w:val="00130B95"/>
    <w:rsid w:val="00130BAB"/>
    <w:rsid w:val="00130C1C"/>
    <w:rsid w:val="00130CA8"/>
    <w:rsid w:val="00130CC4"/>
    <w:rsid w:val="00130CDF"/>
    <w:rsid w:val="00130D22"/>
    <w:rsid w:val="00130D74"/>
    <w:rsid w:val="00130E5F"/>
    <w:rsid w:val="00130F0C"/>
    <w:rsid w:val="00130F78"/>
    <w:rsid w:val="00130F8D"/>
    <w:rsid w:val="00130FC7"/>
    <w:rsid w:val="00130FCA"/>
    <w:rsid w:val="0013101F"/>
    <w:rsid w:val="00131023"/>
    <w:rsid w:val="001310A1"/>
    <w:rsid w:val="0013111B"/>
    <w:rsid w:val="00131129"/>
    <w:rsid w:val="00131174"/>
    <w:rsid w:val="00131193"/>
    <w:rsid w:val="00131208"/>
    <w:rsid w:val="00131228"/>
    <w:rsid w:val="0013123B"/>
    <w:rsid w:val="00131261"/>
    <w:rsid w:val="001312C8"/>
    <w:rsid w:val="0013130C"/>
    <w:rsid w:val="0013132F"/>
    <w:rsid w:val="00131375"/>
    <w:rsid w:val="001313A1"/>
    <w:rsid w:val="001313AD"/>
    <w:rsid w:val="001313CC"/>
    <w:rsid w:val="001314A3"/>
    <w:rsid w:val="001314EE"/>
    <w:rsid w:val="001314F2"/>
    <w:rsid w:val="00131615"/>
    <w:rsid w:val="0013163D"/>
    <w:rsid w:val="00131787"/>
    <w:rsid w:val="0013179D"/>
    <w:rsid w:val="001317ED"/>
    <w:rsid w:val="00131864"/>
    <w:rsid w:val="0013186F"/>
    <w:rsid w:val="00131871"/>
    <w:rsid w:val="001318BF"/>
    <w:rsid w:val="001318F9"/>
    <w:rsid w:val="00131990"/>
    <w:rsid w:val="001319B2"/>
    <w:rsid w:val="001319C0"/>
    <w:rsid w:val="001319F9"/>
    <w:rsid w:val="00131A19"/>
    <w:rsid w:val="00131A4E"/>
    <w:rsid w:val="00131A7C"/>
    <w:rsid w:val="00131B52"/>
    <w:rsid w:val="00131C4C"/>
    <w:rsid w:val="00131CAB"/>
    <w:rsid w:val="00131D90"/>
    <w:rsid w:val="00131DB0"/>
    <w:rsid w:val="00131DE7"/>
    <w:rsid w:val="00131E46"/>
    <w:rsid w:val="00131EA3"/>
    <w:rsid w:val="00131EB0"/>
    <w:rsid w:val="00131EB1"/>
    <w:rsid w:val="00131ED4"/>
    <w:rsid w:val="00131F14"/>
    <w:rsid w:val="00131F66"/>
    <w:rsid w:val="00131FA3"/>
    <w:rsid w:val="00131FC5"/>
    <w:rsid w:val="00131FE2"/>
    <w:rsid w:val="0013204C"/>
    <w:rsid w:val="001320B8"/>
    <w:rsid w:val="00132201"/>
    <w:rsid w:val="0013220B"/>
    <w:rsid w:val="00132238"/>
    <w:rsid w:val="001322F8"/>
    <w:rsid w:val="00132330"/>
    <w:rsid w:val="001323C9"/>
    <w:rsid w:val="001323FD"/>
    <w:rsid w:val="00132489"/>
    <w:rsid w:val="00132496"/>
    <w:rsid w:val="00132583"/>
    <w:rsid w:val="001325B5"/>
    <w:rsid w:val="00132632"/>
    <w:rsid w:val="00132669"/>
    <w:rsid w:val="001326E4"/>
    <w:rsid w:val="001327EB"/>
    <w:rsid w:val="001327EE"/>
    <w:rsid w:val="001328C2"/>
    <w:rsid w:val="00132918"/>
    <w:rsid w:val="0013292C"/>
    <w:rsid w:val="00132936"/>
    <w:rsid w:val="00132966"/>
    <w:rsid w:val="001329AB"/>
    <w:rsid w:val="001329B2"/>
    <w:rsid w:val="001329C6"/>
    <w:rsid w:val="00132AB6"/>
    <w:rsid w:val="00132AE8"/>
    <w:rsid w:val="00132B1C"/>
    <w:rsid w:val="00132B7B"/>
    <w:rsid w:val="00132BFF"/>
    <w:rsid w:val="00132C1F"/>
    <w:rsid w:val="00132C51"/>
    <w:rsid w:val="00132C75"/>
    <w:rsid w:val="00132D62"/>
    <w:rsid w:val="00132EB5"/>
    <w:rsid w:val="00132F59"/>
    <w:rsid w:val="00132F99"/>
    <w:rsid w:val="00132F9E"/>
    <w:rsid w:val="00133017"/>
    <w:rsid w:val="0013302E"/>
    <w:rsid w:val="00133058"/>
    <w:rsid w:val="00133082"/>
    <w:rsid w:val="00133089"/>
    <w:rsid w:val="001330F5"/>
    <w:rsid w:val="0013320A"/>
    <w:rsid w:val="00133272"/>
    <w:rsid w:val="00133325"/>
    <w:rsid w:val="00133367"/>
    <w:rsid w:val="001333B7"/>
    <w:rsid w:val="00133477"/>
    <w:rsid w:val="001334A6"/>
    <w:rsid w:val="00133572"/>
    <w:rsid w:val="0013365A"/>
    <w:rsid w:val="00133667"/>
    <w:rsid w:val="0013369E"/>
    <w:rsid w:val="00133721"/>
    <w:rsid w:val="0013373C"/>
    <w:rsid w:val="001337DE"/>
    <w:rsid w:val="00133934"/>
    <w:rsid w:val="001339E6"/>
    <w:rsid w:val="00133A65"/>
    <w:rsid w:val="00133B9B"/>
    <w:rsid w:val="00133C54"/>
    <w:rsid w:val="00133CB8"/>
    <w:rsid w:val="00133CE2"/>
    <w:rsid w:val="00133CF5"/>
    <w:rsid w:val="00133CFD"/>
    <w:rsid w:val="00133D72"/>
    <w:rsid w:val="00133EBB"/>
    <w:rsid w:val="00133F44"/>
    <w:rsid w:val="00133F48"/>
    <w:rsid w:val="0013401D"/>
    <w:rsid w:val="00134076"/>
    <w:rsid w:val="001340AE"/>
    <w:rsid w:val="00134178"/>
    <w:rsid w:val="001341A1"/>
    <w:rsid w:val="001341B2"/>
    <w:rsid w:val="001341B9"/>
    <w:rsid w:val="001342FB"/>
    <w:rsid w:val="00134300"/>
    <w:rsid w:val="001343E2"/>
    <w:rsid w:val="00134407"/>
    <w:rsid w:val="00134416"/>
    <w:rsid w:val="001344C9"/>
    <w:rsid w:val="001344D3"/>
    <w:rsid w:val="001344F4"/>
    <w:rsid w:val="0013460D"/>
    <w:rsid w:val="0013468E"/>
    <w:rsid w:val="00134693"/>
    <w:rsid w:val="0013469E"/>
    <w:rsid w:val="0013470C"/>
    <w:rsid w:val="0013473B"/>
    <w:rsid w:val="0013476B"/>
    <w:rsid w:val="001348CE"/>
    <w:rsid w:val="001349D9"/>
    <w:rsid w:val="00134A0C"/>
    <w:rsid w:val="00134A23"/>
    <w:rsid w:val="00134A82"/>
    <w:rsid w:val="00134AB0"/>
    <w:rsid w:val="00134B79"/>
    <w:rsid w:val="00134BD0"/>
    <w:rsid w:val="00134BDE"/>
    <w:rsid w:val="00134C5A"/>
    <w:rsid w:val="00134D2A"/>
    <w:rsid w:val="00134E11"/>
    <w:rsid w:val="00134E62"/>
    <w:rsid w:val="00134E8D"/>
    <w:rsid w:val="00134FA1"/>
    <w:rsid w:val="00134FDD"/>
    <w:rsid w:val="00135035"/>
    <w:rsid w:val="00135045"/>
    <w:rsid w:val="001350A1"/>
    <w:rsid w:val="001350A2"/>
    <w:rsid w:val="001350D8"/>
    <w:rsid w:val="001350DE"/>
    <w:rsid w:val="00135117"/>
    <w:rsid w:val="0013513D"/>
    <w:rsid w:val="001351A4"/>
    <w:rsid w:val="001351BE"/>
    <w:rsid w:val="001351D3"/>
    <w:rsid w:val="001351FE"/>
    <w:rsid w:val="00135244"/>
    <w:rsid w:val="00135309"/>
    <w:rsid w:val="001353C0"/>
    <w:rsid w:val="001353C7"/>
    <w:rsid w:val="00135425"/>
    <w:rsid w:val="0013542E"/>
    <w:rsid w:val="00135454"/>
    <w:rsid w:val="00135462"/>
    <w:rsid w:val="001354DF"/>
    <w:rsid w:val="00135516"/>
    <w:rsid w:val="0013556A"/>
    <w:rsid w:val="00135571"/>
    <w:rsid w:val="001355D1"/>
    <w:rsid w:val="001355EE"/>
    <w:rsid w:val="001355F0"/>
    <w:rsid w:val="001355F1"/>
    <w:rsid w:val="00135601"/>
    <w:rsid w:val="00135641"/>
    <w:rsid w:val="00135723"/>
    <w:rsid w:val="0013573E"/>
    <w:rsid w:val="00135791"/>
    <w:rsid w:val="001357B4"/>
    <w:rsid w:val="001357D8"/>
    <w:rsid w:val="001357E0"/>
    <w:rsid w:val="001358D9"/>
    <w:rsid w:val="00135928"/>
    <w:rsid w:val="00135932"/>
    <w:rsid w:val="00135947"/>
    <w:rsid w:val="00135966"/>
    <w:rsid w:val="0013597C"/>
    <w:rsid w:val="001359C7"/>
    <w:rsid w:val="001359E2"/>
    <w:rsid w:val="00135A2E"/>
    <w:rsid w:val="00135A67"/>
    <w:rsid w:val="00135AB5"/>
    <w:rsid w:val="00135ADA"/>
    <w:rsid w:val="00135B0D"/>
    <w:rsid w:val="00135B7A"/>
    <w:rsid w:val="00135B97"/>
    <w:rsid w:val="00135BA1"/>
    <w:rsid w:val="00135BCC"/>
    <w:rsid w:val="00135C20"/>
    <w:rsid w:val="00135CA0"/>
    <w:rsid w:val="00135D11"/>
    <w:rsid w:val="00135D13"/>
    <w:rsid w:val="00135D88"/>
    <w:rsid w:val="00135DFD"/>
    <w:rsid w:val="00135E16"/>
    <w:rsid w:val="00135E7D"/>
    <w:rsid w:val="00135EAF"/>
    <w:rsid w:val="00135EFD"/>
    <w:rsid w:val="00135F00"/>
    <w:rsid w:val="00135FD1"/>
    <w:rsid w:val="00135FE3"/>
    <w:rsid w:val="0013604D"/>
    <w:rsid w:val="001360CE"/>
    <w:rsid w:val="001360D3"/>
    <w:rsid w:val="001360EC"/>
    <w:rsid w:val="00136101"/>
    <w:rsid w:val="0013615B"/>
    <w:rsid w:val="001361A4"/>
    <w:rsid w:val="001361B0"/>
    <w:rsid w:val="001361B7"/>
    <w:rsid w:val="001361E9"/>
    <w:rsid w:val="001361FE"/>
    <w:rsid w:val="00136213"/>
    <w:rsid w:val="00136255"/>
    <w:rsid w:val="00136288"/>
    <w:rsid w:val="001362DA"/>
    <w:rsid w:val="001362F6"/>
    <w:rsid w:val="0013635C"/>
    <w:rsid w:val="00136360"/>
    <w:rsid w:val="00136382"/>
    <w:rsid w:val="001363C7"/>
    <w:rsid w:val="00136431"/>
    <w:rsid w:val="001364A3"/>
    <w:rsid w:val="001365A7"/>
    <w:rsid w:val="001365CE"/>
    <w:rsid w:val="0013662B"/>
    <w:rsid w:val="0013666F"/>
    <w:rsid w:val="00136774"/>
    <w:rsid w:val="00136879"/>
    <w:rsid w:val="001368A2"/>
    <w:rsid w:val="001368C6"/>
    <w:rsid w:val="0013692E"/>
    <w:rsid w:val="0013693A"/>
    <w:rsid w:val="001369B6"/>
    <w:rsid w:val="00136A01"/>
    <w:rsid w:val="00136A31"/>
    <w:rsid w:val="00136A67"/>
    <w:rsid w:val="00136AD9"/>
    <w:rsid w:val="00136B5A"/>
    <w:rsid w:val="00136BBD"/>
    <w:rsid w:val="00136BC0"/>
    <w:rsid w:val="00136BFD"/>
    <w:rsid w:val="00136C2C"/>
    <w:rsid w:val="00136C58"/>
    <w:rsid w:val="00136C82"/>
    <w:rsid w:val="00136CFC"/>
    <w:rsid w:val="00136E4B"/>
    <w:rsid w:val="00136F4D"/>
    <w:rsid w:val="00136F4F"/>
    <w:rsid w:val="00136F76"/>
    <w:rsid w:val="00136F9E"/>
    <w:rsid w:val="00136FA1"/>
    <w:rsid w:val="00136FFF"/>
    <w:rsid w:val="00137228"/>
    <w:rsid w:val="001372AE"/>
    <w:rsid w:val="001372FC"/>
    <w:rsid w:val="00137366"/>
    <w:rsid w:val="00137394"/>
    <w:rsid w:val="001374A8"/>
    <w:rsid w:val="00137589"/>
    <w:rsid w:val="001375A9"/>
    <w:rsid w:val="001375C1"/>
    <w:rsid w:val="00137666"/>
    <w:rsid w:val="0013768C"/>
    <w:rsid w:val="001377C6"/>
    <w:rsid w:val="001377F5"/>
    <w:rsid w:val="00137804"/>
    <w:rsid w:val="00137823"/>
    <w:rsid w:val="00137967"/>
    <w:rsid w:val="001379E3"/>
    <w:rsid w:val="00137A29"/>
    <w:rsid w:val="00137A3D"/>
    <w:rsid w:val="00137A5A"/>
    <w:rsid w:val="00137ADC"/>
    <w:rsid w:val="00137B7D"/>
    <w:rsid w:val="00137BE6"/>
    <w:rsid w:val="00137BE9"/>
    <w:rsid w:val="00137C25"/>
    <w:rsid w:val="00137C8E"/>
    <w:rsid w:val="00137ECC"/>
    <w:rsid w:val="00137F37"/>
    <w:rsid w:val="00137FCD"/>
    <w:rsid w:val="00140036"/>
    <w:rsid w:val="001400A5"/>
    <w:rsid w:val="001400CB"/>
    <w:rsid w:val="0014018D"/>
    <w:rsid w:val="001401AC"/>
    <w:rsid w:val="001401F1"/>
    <w:rsid w:val="00140286"/>
    <w:rsid w:val="0014030A"/>
    <w:rsid w:val="0014036E"/>
    <w:rsid w:val="00140399"/>
    <w:rsid w:val="00140402"/>
    <w:rsid w:val="00140435"/>
    <w:rsid w:val="001404A4"/>
    <w:rsid w:val="001404E8"/>
    <w:rsid w:val="0014053F"/>
    <w:rsid w:val="00140559"/>
    <w:rsid w:val="00140565"/>
    <w:rsid w:val="00140583"/>
    <w:rsid w:val="00140640"/>
    <w:rsid w:val="00140666"/>
    <w:rsid w:val="00140737"/>
    <w:rsid w:val="0014073A"/>
    <w:rsid w:val="001407C7"/>
    <w:rsid w:val="00140850"/>
    <w:rsid w:val="001408AB"/>
    <w:rsid w:val="001408BB"/>
    <w:rsid w:val="0014091B"/>
    <w:rsid w:val="00140985"/>
    <w:rsid w:val="00140A0E"/>
    <w:rsid w:val="00140A3B"/>
    <w:rsid w:val="00140AE1"/>
    <w:rsid w:val="00140BAA"/>
    <w:rsid w:val="00140BE9"/>
    <w:rsid w:val="00140BF5"/>
    <w:rsid w:val="00140C12"/>
    <w:rsid w:val="00140C82"/>
    <w:rsid w:val="00140C85"/>
    <w:rsid w:val="00140D3E"/>
    <w:rsid w:val="00140D78"/>
    <w:rsid w:val="00140D9D"/>
    <w:rsid w:val="00140DD3"/>
    <w:rsid w:val="00140DE3"/>
    <w:rsid w:val="00140E73"/>
    <w:rsid w:val="00140F33"/>
    <w:rsid w:val="00140F88"/>
    <w:rsid w:val="00140FA7"/>
    <w:rsid w:val="00141052"/>
    <w:rsid w:val="0014106B"/>
    <w:rsid w:val="001410F4"/>
    <w:rsid w:val="00141118"/>
    <w:rsid w:val="00141147"/>
    <w:rsid w:val="0014129B"/>
    <w:rsid w:val="00141359"/>
    <w:rsid w:val="0014136D"/>
    <w:rsid w:val="00141382"/>
    <w:rsid w:val="00141387"/>
    <w:rsid w:val="001413AD"/>
    <w:rsid w:val="001413AF"/>
    <w:rsid w:val="001413BC"/>
    <w:rsid w:val="001413FC"/>
    <w:rsid w:val="00141493"/>
    <w:rsid w:val="00141531"/>
    <w:rsid w:val="00141546"/>
    <w:rsid w:val="0014156B"/>
    <w:rsid w:val="00141570"/>
    <w:rsid w:val="001415DD"/>
    <w:rsid w:val="001415F6"/>
    <w:rsid w:val="0014160D"/>
    <w:rsid w:val="0014162A"/>
    <w:rsid w:val="001416DA"/>
    <w:rsid w:val="001417EF"/>
    <w:rsid w:val="00141849"/>
    <w:rsid w:val="001418C5"/>
    <w:rsid w:val="0014192C"/>
    <w:rsid w:val="0014194D"/>
    <w:rsid w:val="001419B1"/>
    <w:rsid w:val="001419E3"/>
    <w:rsid w:val="00141A1F"/>
    <w:rsid w:val="00141A48"/>
    <w:rsid w:val="00141A76"/>
    <w:rsid w:val="00141AC3"/>
    <w:rsid w:val="00141AEC"/>
    <w:rsid w:val="00141AF1"/>
    <w:rsid w:val="00141B23"/>
    <w:rsid w:val="00141BC6"/>
    <w:rsid w:val="00141BDB"/>
    <w:rsid w:val="00141C20"/>
    <w:rsid w:val="00141C23"/>
    <w:rsid w:val="00141C32"/>
    <w:rsid w:val="00141CC9"/>
    <w:rsid w:val="00141D02"/>
    <w:rsid w:val="00141D77"/>
    <w:rsid w:val="00141D91"/>
    <w:rsid w:val="00141DBF"/>
    <w:rsid w:val="00141E0F"/>
    <w:rsid w:val="00141E25"/>
    <w:rsid w:val="00141E65"/>
    <w:rsid w:val="00141F43"/>
    <w:rsid w:val="00141F6A"/>
    <w:rsid w:val="0014200B"/>
    <w:rsid w:val="00142038"/>
    <w:rsid w:val="00142047"/>
    <w:rsid w:val="00142088"/>
    <w:rsid w:val="00142110"/>
    <w:rsid w:val="00142115"/>
    <w:rsid w:val="0014211D"/>
    <w:rsid w:val="0014212D"/>
    <w:rsid w:val="00142148"/>
    <w:rsid w:val="0014214C"/>
    <w:rsid w:val="00142204"/>
    <w:rsid w:val="00142294"/>
    <w:rsid w:val="0014230A"/>
    <w:rsid w:val="0014236E"/>
    <w:rsid w:val="00142376"/>
    <w:rsid w:val="0014248E"/>
    <w:rsid w:val="001425DB"/>
    <w:rsid w:val="00142638"/>
    <w:rsid w:val="00142653"/>
    <w:rsid w:val="00142666"/>
    <w:rsid w:val="00142730"/>
    <w:rsid w:val="001427EE"/>
    <w:rsid w:val="00142851"/>
    <w:rsid w:val="001428E4"/>
    <w:rsid w:val="00142906"/>
    <w:rsid w:val="00142911"/>
    <w:rsid w:val="00142982"/>
    <w:rsid w:val="00142989"/>
    <w:rsid w:val="001429BC"/>
    <w:rsid w:val="00142A2A"/>
    <w:rsid w:val="00142A41"/>
    <w:rsid w:val="00142A6E"/>
    <w:rsid w:val="00142A6F"/>
    <w:rsid w:val="00142ABB"/>
    <w:rsid w:val="00142AC7"/>
    <w:rsid w:val="00142B74"/>
    <w:rsid w:val="00142BE0"/>
    <w:rsid w:val="00142BF9"/>
    <w:rsid w:val="00142C99"/>
    <w:rsid w:val="00142CDB"/>
    <w:rsid w:val="00142CDC"/>
    <w:rsid w:val="00142CF0"/>
    <w:rsid w:val="00142D7D"/>
    <w:rsid w:val="00142D7F"/>
    <w:rsid w:val="00142F07"/>
    <w:rsid w:val="00142F14"/>
    <w:rsid w:val="00142FB6"/>
    <w:rsid w:val="00142FB8"/>
    <w:rsid w:val="00143056"/>
    <w:rsid w:val="0014306B"/>
    <w:rsid w:val="001430EE"/>
    <w:rsid w:val="0014312A"/>
    <w:rsid w:val="0014317B"/>
    <w:rsid w:val="00143194"/>
    <w:rsid w:val="001431A1"/>
    <w:rsid w:val="001431AE"/>
    <w:rsid w:val="001431D0"/>
    <w:rsid w:val="0014326B"/>
    <w:rsid w:val="001432DD"/>
    <w:rsid w:val="0014331A"/>
    <w:rsid w:val="00143326"/>
    <w:rsid w:val="0014348E"/>
    <w:rsid w:val="001434B6"/>
    <w:rsid w:val="0014356D"/>
    <w:rsid w:val="001435FB"/>
    <w:rsid w:val="00143608"/>
    <w:rsid w:val="0014363C"/>
    <w:rsid w:val="00143664"/>
    <w:rsid w:val="00143774"/>
    <w:rsid w:val="001437CF"/>
    <w:rsid w:val="00143860"/>
    <w:rsid w:val="0014387B"/>
    <w:rsid w:val="0014391C"/>
    <w:rsid w:val="001439AB"/>
    <w:rsid w:val="00143A33"/>
    <w:rsid w:val="00143A94"/>
    <w:rsid w:val="00143AAA"/>
    <w:rsid w:val="00143ADC"/>
    <w:rsid w:val="00143B03"/>
    <w:rsid w:val="00143B51"/>
    <w:rsid w:val="00143BF1"/>
    <w:rsid w:val="00143C54"/>
    <w:rsid w:val="00143C6D"/>
    <w:rsid w:val="00143CA0"/>
    <w:rsid w:val="00143CD5"/>
    <w:rsid w:val="00143D2B"/>
    <w:rsid w:val="00143DE5"/>
    <w:rsid w:val="00143E4E"/>
    <w:rsid w:val="00143ECE"/>
    <w:rsid w:val="00143F0B"/>
    <w:rsid w:val="00143FAC"/>
    <w:rsid w:val="00144000"/>
    <w:rsid w:val="00144030"/>
    <w:rsid w:val="00144091"/>
    <w:rsid w:val="00144152"/>
    <w:rsid w:val="0014419D"/>
    <w:rsid w:val="001441C2"/>
    <w:rsid w:val="001442B3"/>
    <w:rsid w:val="001442C7"/>
    <w:rsid w:val="00144362"/>
    <w:rsid w:val="0014437A"/>
    <w:rsid w:val="0014439A"/>
    <w:rsid w:val="00144433"/>
    <w:rsid w:val="001444B9"/>
    <w:rsid w:val="00144549"/>
    <w:rsid w:val="0014456F"/>
    <w:rsid w:val="00144576"/>
    <w:rsid w:val="001445D0"/>
    <w:rsid w:val="0014462B"/>
    <w:rsid w:val="00144692"/>
    <w:rsid w:val="00144705"/>
    <w:rsid w:val="001447F9"/>
    <w:rsid w:val="00144824"/>
    <w:rsid w:val="00144871"/>
    <w:rsid w:val="00144888"/>
    <w:rsid w:val="001448AD"/>
    <w:rsid w:val="00144A76"/>
    <w:rsid w:val="00144A81"/>
    <w:rsid w:val="00144B41"/>
    <w:rsid w:val="00144B6A"/>
    <w:rsid w:val="00144BE1"/>
    <w:rsid w:val="00144C37"/>
    <w:rsid w:val="00144C61"/>
    <w:rsid w:val="00144C87"/>
    <w:rsid w:val="00144C93"/>
    <w:rsid w:val="00144CF9"/>
    <w:rsid w:val="00144CFE"/>
    <w:rsid w:val="00144D1E"/>
    <w:rsid w:val="00144E9C"/>
    <w:rsid w:val="00144EBF"/>
    <w:rsid w:val="00144EF9"/>
    <w:rsid w:val="00144F22"/>
    <w:rsid w:val="00144FF3"/>
    <w:rsid w:val="001450FC"/>
    <w:rsid w:val="0014519B"/>
    <w:rsid w:val="001451AA"/>
    <w:rsid w:val="00145289"/>
    <w:rsid w:val="001452E5"/>
    <w:rsid w:val="0014532F"/>
    <w:rsid w:val="00145391"/>
    <w:rsid w:val="00145396"/>
    <w:rsid w:val="0014541F"/>
    <w:rsid w:val="0014542E"/>
    <w:rsid w:val="0014553A"/>
    <w:rsid w:val="00145573"/>
    <w:rsid w:val="0014560A"/>
    <w:rsid w:val="0014564A"/>
    <w:rsid w:val="001456D9"/>
    <w:rsid w:val="0014571E"/>
    <w:rsid w:val="00145755"/>
    <w:rsid w:val="001457A0"/>
    <w:rsid w:val="00145836"/>
    <w:rsid w:val="00145A4A"/>
    <w:rsid w:val="00145A4E"/>
    <w:rsid w:val="00145A6F"/>
    <w:rsid w:val="00145ADB"/>
    <w:rsid w:val="00145CB0"/>
    <w:rsid w:val="00145D0F"/>
    <w:rsid w:val="00145D36"/>
    <w:rsid w:val="00145DA5"/>
    <w:rsid w:val="00145E24"/>
    <w:rsid w:val="00145F1B"/>
    <w:rsid w:val="00145F80"/>
    <w:rsid w:val="00145F8B"/>
    <w:rsid w:val="00145F9B"/>
    <w:rsid w:val="00146030"/>
    <w:rsid w:val="00146179"/>
    <w:rsid w:val="001461F2"/>
    <w:rsid w:val="00146261"/>
    <w:rsid w:val="001462F4"/>
    <w:rsid w:val="001463BD"/>
    <w:rsid w:val="00146413"/>
    <w:rsid w:val="00146569"/>
    <w:rsid w:val="001465B0"/>
    <w:rsid w:val="0014665F"/>
    <w:rsid w:val="00146704"/>
    <w:rsid w:val="00146709"/>
    <w:rsid w:val="00146737"/>
    <w:rsid w:val="001467FA"/>
    <w:rsid w:val="00146800"/>
    <w:rsid w:val="00146883"/>
    <w:rsid w:val="00146898"/>
    <w:rsid w:val="001468AB"/>
    <w:rsid w:val="0014692B"/>
    <w:rsid w:val="00146963"/>
    <w:rsid w:val="00146A54"/>
    <w:rsid w:val="00146A7C"/>
    <w:rsid w:val="00146A81"/>
    <w:rsid w:val="00146B09"/>
    <w:rsid w:val="00146B87"/>
    <w:rsid w:val="00146C15"/>
    <w:rsid w:val="00146C96"/>
    <w:rsid w:val="00146CA0"/>
    <w:rsid w:val="00146CE7"/>
    <w:rsid w:val="00146D2D"/>
    <w:rsid w:val="00146D3C"/>
    <w:rsid w:val="00146D55"/>
    <w:rsid w:val="00146E09"/>
    <w:rsid w:val="00146EF8"/>
    <w:rsid w:val="00146F5B"/>
    <w:rsid w:val="00146F89"/>
    <w:rsid w:val="00146F8F"/>
    <w:rsid w:val="00146FE1"/>
    <w:rsid w:val="00147050"/>
    <w:rsid w:val="00147056"/>
    <w:rsid w:val="0014714D"/>
    <w:rsid w:val="00147167"/>
    <w:rsid w:val="001471F9"/>
    <w:rsid w:val="001472F0"/>
    <w:rsid w:val="001473D5"/>
    <w:rsid w:val="0014741E"/>
    <w:rsid w:val="0014745C"/>
    <w:rsid w:val="00147522"/>
    <w:rsid w:val="0014761D"/>
    <w:rsid w:val="00147862"/>
    <w:rsid w:val="001478BA"/>
    <w:rsid w:val="00147959"/>
    <w:rsid w:val="0014796A"/>
    <w:rsid w:val="001479F0"/>
    <w:rsid w:val="00147A7D"/>
    <w:rsid w:val="00147AA9"/>
    <w:rsid w:val="00147B24"/>
    <w:rsid w:val="00147B67"/>
    <w:rsid w:val="00147BB3"/>
    <w:rsid w:val="00147C08"/>
    <w:rsid w:val="00147C36"/>
    <w:rsid w:val="00147C73"/>
    <w:rsid w:val="00147D0B"/>
    <w:rsid w:val="00147E62"/>
    <w:rsid w:val="00147EE0"/>
    <w:rsid w:val="00147F6C"/>
    <w:rsid w:val="00147F89"/>
    <w:rsid w:val="00147FF5"/>
    <w:rsid w:val="00150019"/>
    <w:rsid w:val="00150068"/>
    <w:rsid w:val="0015008D"/>
    <w:rsid w:val="001500FD"/>
    <w:rsid w:val="00150104"/>
    <w:rsid w:val="00150191"/>
    <w:rsid w:val="0015020E"/>
    <w:rsid w:val="00150266"/>
    <w:rsid w:val="00150300"/>
    <w:rsid w:val="00150308"/>
    <w:rsid w:val="0015035C"/>
    <w:rsid w:val="001503D4"/>
    <w:rsid w:val="001503D8"/>
    <w:rsid w:val="00150465"/>
    <w:rsid w:val="00150471"/>
    <w:rsid w:val="00150482"/>
    <w:rsid w:val="0015053C"/>
    <w:rsid w:val="00150587"/>
    <w:rsid w:val="00150596"/>
    <w:rsid w:val="001505A4"/>
    <w:rsid w:val="001505FD"/>
    <w:rsid w:val="00150604"/>
    <w:rsid w:val="00150623"/>
    <w:rsid w:val="0015065B"/>
    <w:rsid w:val="00150695"/>
    <w:rsid w:val="001506C5"/>
    <w:rsid w:val="00150702"/>
    <w:rsid w:val="0015075C"/>
    <w:rsid w:val="001507EE"/>
    <w:rsid w:val="001508A8"/>
    <w:rsid w:val="00150929"/>
    <w:rsid w:val="0015093F"/>
    <w:rsid w:val="001509AC"/>
    <w:rsid w:val="001509E6"/>
    <w:rsid w:val="001509E8"/>
    <w:rsid w:val="00150A1F"/>
    <w:rsid w:val="00150AFD"/>
    <w:rsid w:val="00150B08"/>
    <w:rsid w:val="00150B44"/>
    <w:rsid w:val="00150B71"/>
    <w:rsid w:val="00150B9E"/>
    <w:rsid w:val="00150BD0"/>
    <w:rsid w:val="00150C0B"/>
    <w:rsid w:val="00150C68"/>
    <w:rsid w:val="00150C80"/>
    <w:rsid w:val="00150C81"/>
    <w:rsid w:val="00150D66"/>
    <w:rsid w:val="00150D86"/>
    <w:rsid w:val="00150E16"/>
    <w:rsid w:val="00150E2F"/>
    <w:rsid w:val="00150EC1"/>
    <w:rsid w:val="00150ECB"/>
    <w:rsid w:val="00150F45"/>
    <w:rsid w:val="00150FAD"/>
    <w:rsid w:val="00151024"/>
    <w:rsid w:val="001510B1"/>
    <w:rsid w:val="001511F1"/>
    <w:rsid w:val="001512B6"/>
    <w:rsid w:val="00151324"/>
    <w:rsid w:val="00151381"/>
    <w:rsid w:val="001514E2"/>
    <w:rsid w:val="00151534"/>
    <w:rsid w:val="0015165B"/>
    <w:rsid w:val="00151673"/>
    <w:rsid w:val="00151679"/>
    <w:rsid w:val="001516E7"/>
    <w:rsid w:val="00151702"/>
    <w:rsid w:val="00151722"/>
    <w:rsid w:val="0015177F"/>
    <w:rsid w:val="001517AD"/>
    <w:rsid w:val="001518DD"/>
    <w:rsid w:val="001519D7"/>
    <w:rsid w:val="001519DB"/>
    <w:rsid w:val="00151A1A"/>
    <w:rsid w:val="00151A45"/>
    <w:rsid w:val="00151A49"/>
    <w:rsid w:val="00151A7A"/>
    <w:rsid w:val="00151ACE"/>
    <w:rsid w:val="00151AEA"/>
    <w:rsid w:val="00151BC6"/>
    <w:rsid w:val="00151BE2"/>
    <w:rsid w:val="00151C45"/>
    <w:rsid w:val="00151D2D"/>
    <w:rsid w:val="00151D3C"/>
    <w:rsid w:val="00151DBC"/>
    <w:rsid w:val="00151DBD"/>
    <w:rsid w:val="00151DCE"/>
    <w:rsid w:val="00151F51"/>
    <w:rsid w:val="00151F76"/>
    <w:rsid w:val="00151FBE"/>
    <w:rsid w:val="00151FC2"/>
    <w:rsid w:val="00151FCE"/>
    <w:rsid w:val="00151FDD"/>
    <w:rsid w:val="00152068"/>
    <w:rsid w:val="00152094"/>
    <w:rsid w:val="00152097"/>
    <w:rsid w:val="001520DF"/>
    <w:rsid w:val="001520FD"/>
    <w:rsid w:val="0015212B"/>
    <w:rsid w:val="00152161"/>
    <w:rsid w:val="00152175"/>
    <w:rsid w:val="0015220D"/>
    <w:rsid w:val="001522CE"/>
    <w:rsid w:val="00152303"/>
    <w:rsid w:val="00152329"/>
    <w:rsid w:val="00152351"/>
    <w:rsid w:val="001523B0"/>
    <w:rsid w:val="001523D6"/>
    <w:rsid w:val="0015240B"/>
    <w:rsid w:val="0015243B"/>
    <w:rsid w:val="0015248B"/>
    <w:rsid w:val="00152505"/>
    <w:rsid w:val="001525AF"/>
    <w:rsid w:val="001525BC"/>
    <w:rsid w:val="001525F8"/>
    <w:rsid w:val="0015278E"/>
    <w:rsid w:val="001527F2"/>
    <w:rsid w:val="001527FD"/>
    <w:rsid w:val="00152879"/>
    <w:rsid w:val="00152893"/>
    <w:rsid w:val="00152900"/>
    <w:rsid w:val="00152916"/>
    <w:rsid w:val="00152985"/>
    <w:rsid w:val="001529D4"/>
    <w:rsid w:val="00152A02"/>
    <w:rsid w:val="00152A07"/>
    <w:rsid w:val="00152A80"/>
    <w:rsid w:val="00152ACD"/>
    <w:rsid w:val="00152B19"/>
    <w:rsid w:val="00152B3D"/>
    <w:rsid w:val="00152B62"/>
    <w:rsid w:val="00152BDD"/>
    <w:rsid w:val="00152C55"/>
    <w:rsid w:val="00152C71"/>
    <w:rsid w:val="00152D12"/>
    <w:rsid w:val="00152D84"/>
    <w:rsid w:val="00152DEF"/>
    <w:rsid w:val="00152EFB"/>
    <w:rsid w:val="00152F02"/>
    <w:rsid w:val="00152F3D"/>
    <w:rsid w:val="00152F66"/>
    <w:rsid w:val="00152FBF"/>
    <w:rsid w:val="00153031"/>
    <w:rsid w:val="00153055"/>
    <w:rsid w:val="0015307F"/>
    <w:rsid w:val="00153237"/>
    <w:rsid w:val="00153307"/>
    <w:rsid w:val="001533A8"/>
    <w:rsid w:val="001533E0"/>
    <w:rsid w:val="00153415"/>
    <w:rsid w:val="00153452"/>
    <w:rsid w:val="00153462"/>
    <w:rsid w:val="00153479"/>
    <w:rsid w:val="001534EA"/>
    <w:rsid w:val="00153527"/>
    <w:rsid w:val="00153556"/>
    <w:rsid w:val="0015361F"/>
    <w:rsid w:val="00153646"/>
    <w:rsid w:val="001536BC"/>
    <w:rsid w:val="0015376D"/>
    <w:rsid w:val="00153781"/>
    <w:rsid w:val="0015380C"/>
    <w:rsid w:val="00153884"/>
    <w:rsid w:val="001538B1"/>
    <w:rsid w:val="00153936"/>
    <w:rsid w:val="0015396A"/>
    <w:rsid w:val="00153973"/>
    <w:rsid w:val="0015398B"/>
    <w:rsid w:val="00153A0A"/>
    <w:rsid w:val="00153A8F"/>
    <w:rsid w:val="00153B3A"/>
    <w:rsid w:val="00153BD9"/>
    <w:rsid w:val="00153C01"/>
    <w:rsid w:val="00153CC3"/>
    <w:rsid w:val="00153CE3"/>
    <w:rsid w:val="00153DDA"/>
    <w:rsid w:val="00153E15"/>
    <w:rsid w:val="00153ED1"/>
    <w:rsid w:val="00153EEE"/>
    <w:rsid w:val="00153F82"/>
    <w:rsid w:val="00153F89"/>
    <w:rsid w:val="00153FD8"/>
    <w:rsid w:val="00154043"/>
    <w:rsid w:val="00154050"/>
    <w:rsid w:val="00154108"/>
    <w:rsid w:val="0015413D"/>
    <w:rsid w:val="001541A5"/>
    <w:rsid w:val="001541AC"/>
    <w:rsid w:val="001541D3"/>
    <w:rsid w:val="001541EA"/>
    <w:rsid w:val="001541F8"/>
    <w:rsid w:val="00154258"/>
    <w:rsid w:val="0015427E"/>
    <w:rsid w:val="001542B5"/>
    <w:rsid w:val="00154307"/>
    <w:rsid w:val="0015433C"/>
    <w:rsid w:val="00154365"/>
    <w:rsid w:val="001543A3"/>
    <w:rsid w:val="001543CE"/>
    <w:rsid w:val="00154417"/>
    <w:rsid w:val="00154493"/>
    <w:rsid w:val="00154508"/>
    <w:rsid w:val="00154569"/>
    <w:rsid w:val="0015456B"/>
    <w:rsid w:val="001545C7"/>
    <w:rsid w:val="001545ED"/>
    <w:rsid w:val="0015464A"/>
    <w:rsid w:val="00154651"/>
    <w:rsid w:val="001546BA"/>
    <w:rsid w:val="00154759"/>
    <w:rsid w:val="0015476A"/>
    <w:rsid w:val="001547BB"/>
    <w:rsid w:val="00154840"/>
    <w:rsid w:val="00154884"/>
    <w:rsid w:val="00154940"/>
    <w:rsid w:val="00154A06"/>
    <w:rsid w:val="00154AAD"/>
    <w:rsid w:val="00154B28"/>
    <w:rsid w:val="00154C33"/>
    <w:rsid w:val="00154CCE"/>
    <w:rsid w:val="00154D0D"/>
    <w:rsid w:val="00154D78"/>
    <w:rsid w:val="00154D7D"/>
    <w:rsid w:val="00154DB9"/>
    <w:rsid w:val="00154DC0"/>
    <w:rsid w:val="00154EA6"/>
    <w:rsid w:val="00154FEC"/>
    <w:rsid w:val="00155028"/>
    <w:rsid w:val="00155070"/>
    <w:rsid w:val="0015507C"/>
    <w:rsid w:val="001550C6"/>
    <w:rsid w:val="00155135"/>
    <w:rsid w:val="00155141"/>
    <w:rsid w:val="001551AF"/>
    <w:rsid w:val="00155266"/>
    <w:rsid w:val="0015528B"/>
    <w:rsid w:val="001552AF"/>
    <w:rsid w:val="001552C6"/>
    <w:rsid w:val="00155433"/>
    <w:rsid w:val="00155472"/>
    <w:rsid w:val="0015549F"/>
    <w:rsid w:val="001554C1"/>
    <w:rsid w:val="001554E1"/>
    <w:rsid w:val="0015556C"/>
    <w:rsid w:val="00155604"/>
    <w:rsid w:val="0015560E"/>
    <w:rsid w:val="00155625"/>
    <w:rsid w:val="0015562F"/>
    <w:rsid w:val="00155660"/>
    <w:rsid w:val="001556E5"/>
    <w:rsid w:val="0015574D"/>
    <w:rsid w:val="00155755"/>
    <w:rsid w:val="00155770"/>
    <w:rsid w:val="001557F5"/>
    <w:rsid w:val="00155828"/>
    <w:rsid w:val="00155966"/>
    <w:rsid w:val="001559B2"/>
    <w:rsid w:val="00155A61"/>
    <w:rsid w:val="00155B54"/>
    <w:rsid w:val="00155CF5"/>
    <w:rsid w:val="00155D8E"/>
    <w:rsid w:val="00155E04"/>
    <w:rsid w:val="00155F27"/>
    <w:rsid w:val="00155FBA"/>
    <w:rsid w:val="00155FF3"/>
    <w:rsid w:val="0015601A"/>
    <w:rsid w:val="00156031"/>
    <w:rsid w:val="0015604F"/>
    <w:rsid w:val="0015611C"/>
    <w:rsid w:val="0015616E"/>
    <w:rsid w:val="001561C2"/>
    <w:rsid w:val="0015621F"/>
    <w:rsid w:val="001563BC"/>
    <w:rsid w:val="001565C9"/>
    <w:rsid w:val="001565FC"/>
    <w:rsid w:val="00156686"/>
    <w:rsid w:val="00156802"/>
    <w:rsid w:val="00156878"/>
    <w:rsid w:val="001569A4"/>
    <w:rsid w:val="00156A32"/>
    <w:rsid w:val="00156A3C"/>
    <w:rsid w:val="00156AC3"/>
    <w:rsid w:val="00156B24"/>
    <w:rsid w:val="00156BA7"/>
    <w:rsid w:val="00156BEB"/>
    <w:rsid w:val="00156C60"/>
    <w:rsid w:val="00156CA5"/>
    <w:rsid w:val="00156D6B"/>
    <w:rsid w:val="00156D78"/>
    <w:rsid w:val="00156DC6"/>
    <w:rsid w:val="00156DE3"/>
    <w:rsid w:val="00156F14"/>
    <w:rsid w:val="00156F7B"/>
    <w:rsid w:val="00156FC2"/>
    <w:rsid w:val="00156FE2"/>
    <w:rsid w:val="001570C9"/>
    <w:rsid w:val="001570DD"/>
    <w:rsid w:val="001571CC"/>
    <w:rsid w:val="00157269"/>
    <w:rsid w:val="001572B8"/>
    <w:rsid w:val="00157378"/>
    <w:rsid w:val="0015738B"/>
    <w:rsid w:val="001573C2"/>
    <w:rsid w:val="00157494"/>
    <w:rsid w:val="001574E2"/>
    <w:rsid w:val="0015757F"/>
    <w:rsid w:val="001576C0"/>
    <w:rsid w:val="001576E3"/>
    <w:rsid w:val="00157713"/>
    <w:rsid w:val="00157729"/>
    <w:rsid w:val="00157736"/>
    <w:rsid w:val="00157769"/>
    <w:rsid w:val="00157837"/>
    <w:rsid w:val="00157849"/>
    <w:rsid w:val="00157860"/>
    <w:rsid w:val="00157895"/>
    <w:rsid w:val="0015792F"/>
    <w:rsid w:val="0015795C"/>
    <w:rsid w:val="001579A0"/>
    <w:rsid w:val="001579EF"/>
    <w:rsid w:val="00157AA7"/>
    <w:rsid w:val="00157B08"/>
    <w:rsid w:val="00157B4D"/>
    <w:rsid w:val="00157BA4"/>
    <w:rsid w:val="00157D73"/>
    <w:rsid w:val="00157DFB"/>
    <w:rsid w:val="00157E1B"/>
    <w:rsid w:val="00157E23"/>
    <w:rsid w:val="00157E41"/>
    <w:rsid w:val="00157E4F"/>
    <w:rsid w:val="00157E5C"/>
    <w:rsid w:val="00157F15"/>
    <w:rsid w:val="00157F1B"/>
    <w:rsid w:val="00157F52"/>
    <w:rsid w:val="00157F61"/>
    <w:rsid w:val="00157F66"/>
    <w:rsid w:val="00160023"/>
    <w:rsid w:val="0016004D"/>
    <w:rsid w:val="001600A1"/>
    <w:rsid w:val="001600B6"/>
    <w:rsid w:val="001600D9"/>
    <w:rsid w:val="001600F6"/>
    <w:rsid w:val="00160104"/>
    <w:rsid w:val="00160111"/>
    <w:rsid w:val="0016014C"/>
    <w:rsid w:val="00160176"/>
    <w:rsid w:val="001601AC"/>
    <w:rsid w:val="001601B8"/>
    <w:rsid w:val="0016025D"/>
    <w:rsid w:val="0016028B"/>
    <w:rsid w:val="00160346"/>
    <w:rsid w:val="00160347"/>
    <w:rsid w:val="001603BB"/>
    <w:rsid w:val="001603D0"/>
    <w:rsid w:val="00160427"/>
    <w:rsid w:val="00160461"/>
    <w:rsid w:val="00160484"/>
    <w:rsid w:val="001605F8"/>
    <w:rsid w:val="00160699"/>
    <w:rsid w:val="001606CE"/>
    <w:rsid w:val="001606D2"/>
    <w:rsid w:val="0016071F"/>
    <w:rsid w:val="00160735"/>
    <w:rsid w:val="0016075D"/>
    <w:rsid w:val="001607E8"/>
    <w:rsid w:val="00160814"/>
    <w:rsid w:val="00160888"/>
    <w:rsid w:val="001608C0"/>
    <w:rsid w:val="001608D0"/>
    <w:rsid w:val="001608E0"/>
    <w:rsid w:val="00160973"/>
    <w:rsid w:val="00160993"/>
    <w:rsid w:val="001609C4"/>
    <w:rsid w:val="00160AC7"/>
    <w:rsid w:val="00160B5D"/>
    <w:rsid w:val="00160BD5"/>
    <w:rsid w:val="00160C06"/>
    <w:rsid w:val="00160CE4"/>
    <w:rsid w:val="00160DA3"/>
    <w:rsid w:val="00160EAA"/>
    <w:rsid w:val="00160ED7"/>
    <w:rsid w:val="0016100B"/>
    <w:rsid w:val="00161030"/>
    <w:rsid w:val="00161041"/>
    <w:rsid w:val="00161132"/>
    <w:rsid w:val="00161301"/>
    <w:rsid w:val="00161304"/>
    <w:rsid w:val="00161383"/>
    <w:rsid w:val="0016138B"/>
    <w:rsid w:val="001613B6"/>
    <w:rsid w:val="001613CD"/>
    <w:rsid w:val="001615BE"/>
    <w:rsid w:val="001615E6"/>
    <w:rsid w:val="001615EC"/>
    <w:rsid w:val="0016165C"/>
    <w:rsid w:val="00161730"/>
    <w:rsid w:val="001618FC"/>
    <w:rsid w:val="0016192A"/>
    <w:rsid w:val="00161958"/>
    <w:rsid w:val="00161A0E"/>
    <w:rsid w:val="00161A47"/>
    <w:rsid w:val="00161A4A"/>
    <w:rsid w:val="00161A66"/>
    <w:rsid w:val="00161AD9"/>
    <w:rsid w:val="00161B0A"/>
    <w:rsid w:val="00161BA4"/>
    <w:rsid w:val="00161BD1"/>
    <w:rsid w:val="00161C13"/>
    <w:rsid w:val="00161E1F"/>
    <w:rsid w:val="00161E2E"/>
    <w:rsid w:val="00161E78"/>
    <w:rsid w:val="00161E98"/>
    <w:rsid w:val="00162047"/>
    <w:rsid w:val="0016207D"/>
    <w:rsid w:val="001620C8"/>
    <w:rsid w:val="00162149"/>
    <w:rsid w:val="0016219B"/>
    <w:rsid w:val="001621D6"/>
    <w:rsid w:val="001621DA"/>
    <w:rsid w:val="001621E6"/>
    <w:rsid w:val="00162208"/>
    <w:rsid w:val="00162224"/>
    <w:rsid w:val="00162291"/>
    <w:rsid w:val="00162299"/>
    <w:rsid w:val="001622E1"/>
    <w:rsid w:val="0016232B"/>
    <w:rsid w:val="001623C2"/>
    <w:rsid w:val="001623E9"/>
    <w:rsid w:val="00162400"/>
    <w:rsid w:val="00162502"/>
    <w:rsid w:val="00162518"/>
    <w:rsid w:val="00162529"/>
    <w:rsid w:val="00162671"/>
    <w:rsid w:val="001626C6"/>
    <w:rsid w:val="001626D3"/>
    <w:rsid w:val="001626E2"/>
    <w:rsid w:val="001627B7"/>
    <w:rsid w:val="001627D5"/>
    <w:rsid w:val="00162851"/>
    <w:rsid w:val="001628C1"/>
    <w:rsid w:val="001628FF"/>
    <w:rsid w:val="00162934"/>
    <w:rsid w:val="0016296C"/>
    <w:rsid w:val="00162990"/>
    <w:rsid w:val="00162A03"/>
    <w:rsid w:val="00162A30"/>
    <w:rsid w:val="00162A40"/>
    <w:rsid w:val="00162A51"/>
    <w:rsid w:val="00162A66"/>
    <w:rsid w:val="00162AC5"/>
    <w:rsid w:val="00162B5F"/>
    <w:rsid w:val="00162BEC"/>
    <w:rsid w:val="00162C32"/>
    <w:rsid w:val="00162C8B"/>
    <w:rsid w:val="00162C9C"/>
    <w:rsid w:val="00162D47"/>
    <w:rsid w:val="00162D71"/>
    <w:rsid w:val="00162E1C"/>
    <w:rsid w:val="00163018"/>
    <w:rsid w:val="00163054"/>
    <w:rsid w:val="001630F5"/>
    <w:rsid w:val="0016315C"/>
    <w:rsid w:val="0016327B"/>
    <w:rsid w:val="001632BF"/>
    <w:rsid w:val="0016338B"/>
    <w:rsid w:val="001633B7"/>
    <w:rsid w:val="0016342C"/>
    <w:rsid w:val="001634C4"/>
    <w:rsid w:val="001635B9"/>
    <w:rsid w:val="001635EF"/>
    <w:rsid w:val="0016364D"/>
    <w:rsid w:val="0016364F"/>
    <w:rsid w:val="0016365E"/>
    <w:rsid w:val="0016367C"/>
    <w:rsid w:val="00163699"/>
    <w:rsid w:val="001636B3"/>
    <w:rsid w:val="00163706"/>
    <w:rsid w:val="0016373D"/>
    <w:rsid w:val="0016377B"/>
    <w:rsid w:val="00163782"/>
    <w:rsid w:val="00163789"/>
    <w:rsid w:val="001637DF"/>
    <w:rsid w:val="00163838"/>
    <w:rsid w:val="0016390C"/>
    <w:rsid w:val="001639AE"/>
    <w:rsid w:val="00163A91"/>
    <w:rsid w:val="00163B04"/>
    <w:rsid w:val="00163B4E"/>
    <w:rsid w:val="00163B64"/>
    <w:rsid w:val="00163CB9"/>
    <w:rsid w:val="00163D0E"/>
    <w:rsid w:val="00163D36"/>
    <w:rsid w:val="00163D9E"/>
    <w:rsid w:val="00163DD4"/>
    <w:rsid w:val="00163DEF"/>
    <w:rsid w:val="00163E12"/>
    <w:rsid w:val="00164048"/>
    <w:rsid w:val="0016409F"/>
    <w:rsid w:val="001640B0"/>
    <w:rsid w:val="001640B6"/>
    <w:rsid w:val="00164194"/>
    <w:rsid w:val="0016426E"/>
    <w:rsid w:val="0016426F"/>
    <w:rsid w:val="00164313"/>
    <w:rsid w:val="00164395"/>
    <w:rsid w:val="001643D9"/>
    <w:rsid w:val="00164476"/>
    <w:rsid w:val="0016450D"/>
    <w:rsid w:val="001645B7"/>
    <w:rsid w:val="00164702"/>
    <w:rsid w:val="00164707"/>
    <w:rsid w:val="00164764"/>
    <w:rsid w:val="0016479D"/>
    <w:rsid w:val="001648B8"/>
    <w:rsid w:val="0016494D"/>
    <w:rsid w:val="00164AFB"/>
    <w:rsid w:val="00164C61"/>
    <w:rsid w:val="00164D51"/>
    <w:rsid w:val="00164E16"/>
    <w:rsid w:val="00164E34"/>
    <w:rsid w:val="00164E3B"/>
    <w:rsid w:val="00164E7D"/>
    <w:rsid w:val="00164F6A"/>
    <w:rsid w:val="00165001"/>
    <w:rsid w:val="00165023"/>
    <w:rsid w:val="00165059"/>
    <w:rsid w:val="00165145"/>
    <w:rsid w:val="00165174"/>
    <w:rsid w:val="00165294"/>
    <w:rsid w:val="00165312"/>
    <w:rsid w:val="00165384"/>
    <w:rsid w:val="00165393"/>
    <w:rsid w:val="001653A4"/>
    <w:rsid w:val="001653C8"/>
    <w:rsid w:val="0016541E"/>
    <w:rsid w:val="0016546E"/>
    <w:rsid w:val="001654B4"/>
    <w:rsid w:val="00165605"/>
    <w:rsid w:val="00165608"/>
    <w:rsid w:val="0016560E"/>
    <w:rsid w:val="00165615"/>
    <w:rsid w:val="001656F7"/>
    <w:rsid w:val="0016574C"/>
    <w:rsid w:val="0016574E"/>
    <w:rsid w:val="00165827"/>
    <w:rsid w:val="0016582C"/>
    <w:rsid w:val="0016586F"/>
    <w:rsid w:val="00165896"/>
    <w:rsid w:val="001658A3"/>
    <w:rsid w:val="001658EC"/>
    <w:rsid w:val="00165A11"/>
    <w:rsid w:val="00165A57"/>
    <w:rsid w:val="00165A9D"/>
    <w:rsid w:val="00165C85"/>
    <w:rsid w:val="00165CFF"/>
    <w:rsid w:val="00165D87"/>
    <w:rsid w:val="00165DBA"/>
    <w:rsid w:val="00165DD9"/>
    <w:rsid w:val="00165DDD"/>
    <w:rsid w:val="00165E1E"/>
    <w:rsid w:val="00165E31"/>
    <w:rsid w:val="00165E6E"/>
    <w:rsid w:val="00165E84"/>
    <w:rsid w:val="00165EEE"/>
    <w:rsid w:val="00165F45"/>
    <w:rsid w:val="00166091"/>
    <w:rsid w:val="0016623B"/>
    <w:rsid w:val="00166269"/>
    <w:rsid w:val="001662C6"/>
    <w:rsid w:val="001662CE"/>
    <w:rsid w:val="001662D8"/>
    <w:rsid w:val="001662DF"/>
    <w:rsid w:val="00166306"/>
    <w:rsid w:val="00166340"/>
    <w:rsid w:val="00166375"/>
    <w:rsid w:val="0016639C"/>
    <w:rsid w:val="001663EF"/>
    <w:rsid w:val="0016643B"/>
    <w:rsid w:val="0016643E"/>
    <w:rsid w:val="00166449"/>
    <w:rsid w:val="00166470"/>
    <w:rsid w:val="00166512"/>
    <w:rsid w:val="00166557"/>
    <w:rsid w:val="001665E1"/>
    <w:rsid w:val="0016660C"/>
    <w:rsid w:val="00166684"/>
    <w:rsid w:val="0016674B"/>
    <w:rsid w:val="0016676C"/>
    <w:rsid w:val="001668A4"/>
    <w:rsid w:val="001668B5"/>
    <w:rsid w:val="0016690A"/>
    <w:rsid w:val="00166A44"/>
    <w:rsid w:val="00166A55"/>
    <w:rsid w:val="00166B04"/>
    <w:rsid w:val="00166B05"/>
    <w:rsid w:val="00166B63"/>
    <w:rsid w:val="00166B6B"/>
    <w:rsid w:val="00166B71"/>
    <w:rsid w:val="00166BBB"/>
    <w:rsid w:val="00166BD2"/>
    <w:rsid w:val="00166BD6"/>
    <w:rsid w:val="00166D05"/>
    <w:rsid w:val="00166DB8"/>
    <w:rsid w:val="00166DE4"/>
    <w:rsid w:val="00166E4D"/>
    <w:rsid w:val="00166ECB"/>
    <w:rsid w:val="00166EDF"/>
    <w:rsid w:val="00166F09"/>
    <w:rsid w:val="00166F72"/>
    <w:rsid w:val="00166FA7"/>
    <w:rsid w:val="00166FFD"/>
    <w:rsid w:val="001670EE"/>
    <w:rsid w:val="00167199"/>
    <w:rsid w:val="001671D2"/>
    <w:rsid w:val="0016721C"/>
    <w:rsid w:val="00167265"/>
    <w:rsid w:val="00167281"/>
    <w:rsid w:val="0016728C"/>
    <w:rsid w:val="001672EE"/>
    <w:rsid w:val="00167335"/>
    <w:rsid w:val="0016734B"/>
    <w:rsid w:val="00167358"/>
    <w:rsid w:val="001673A4"/>
    <w:rsid w:val="001673B4"/>
    <w:rsid w:val="001673C1"/>
    <w:rsid w:val="00167403"/>
    <w:rsid w:val="0016748A"/>
    <w:rsid w:val="001674B3"/>
    <w:rsid w:val="001674CA"/>
    <w:rsid w:val="00167586"/>
    <w:rsid w:val="001675C0"/>
    <w:rsid w:val="001675C1"/>
    <w:rsid w:val="001675C4"/>
    <w:rsid w:val="00167618"/>
    <w:rsid w:val="0016762C"/>
    <w:rsid w:val="00167630"/>
    <w:rsid w:val="0016769A"/>
    <w:rsid w:val="001676D6"/>
    <w:rsid w:val="001676E5"/>
    <w:rsid w:val="001677D3"/>
    <w:rsid w:val="00167842"/>
    <w:rsid w:val="0016784D"/>
    <w:rsid w:val="00167869"/>
    <w:rsid w:val="0016790E"/>
    <w:rsid w:val="0016796A"/>
    <w:rsid w:val="00167999"/>
    <w:rsid w:val="001679C1"/>
    <w:rsid w:val="00167ACF"/>
    <w:rsid w:val="00167B1D"/>
    <w:rsid w:val="00167B33"/>
    <w:rsid w:val="00167B7E"/>
    <w:rsid w:val="00167CB1"/>
    <w:rsid w:val="00167CF9"/>
    <w:rsid w:val="00167D41"/>
    <w:rsid w:val="00167DAA"/>
    <w:rsid w:val="00167E75"/>
    <w:rsid w:val="00167E8D"/>
    <w:rsid w:val="00167EFB"/>
    <w:rsid w:val="00167F1B"/>
    <w:rsid w:val="00167F1C"/>
    <w:rsid w:val="00167F5A"/>
    <w:rsid w:val="00167F95"/>
    <w:rsid w:val="00167FB1"/>
    <w:rsid w:val="001700C3"/>
    <w:rsid w:val="0017012B"/>
    <w:rsid w:val="00170171"/>
    <w:rsid w:val="00170293"/>
    <w:rsid w:val="00170377"/>
    <w:rsid w:val="0017037C"/>
    <w:rsid w:val="001703BA"/>
    <w:rsid w:val="00170442"/>
    <w:rsid w:val="00170448"/>
    <w:rsid w:val="0017045C"/>
    <w:rsid w:val="001704BC"/>
    <w:rsid w:val="001704C6"/>
    <w:rsid w:val="00170539"/>
    <w:rsid w:val="0017055C"/>
    <w:rsid w:val="001705A6"/>
    <w:rsid w:val="001705CF"/>
    <w:rsid w:val="00170677"/>
    <w:rsid w:val="00170695"/>
    <w:rsid w:val="001706D5"/>
    <w:rsid w:val="00170775"/>
    <w:rsid w:val="001707D6"/>
    <w:rsid w:val="00170856"/>
    <w:rsid w:val="001708DF"/>
    <w:rsid w:val="001708F1"/>
    <w:rsid w:val="001708F4"/>
    <w:rsid w:val="00170915"/>
    <w:rsid w:val="00170A29"/>
    <w:rsid w:val="00170AE2"/>
    <w:rsid w:val="00170B76"/>
    <w:rsid w:val="00170C65"/>
    <w:rsid w:val="00170C7B"/>
    <w:rsid w:val="00170CA6"/>
    <w:rsid w:val="00170CA8"/>
    <w:rsid w:val="00170D09"/>
    <w:rsid w:val="00170D23"/>
    <w:rsid w:val="00170D32"/>
    <w:rsid w:val="00170DA2"/>
    <w:rsid w:val="00170DB0"/>
    <w:rsid w:val="00170EA9"/>
    <w:rsid w:val="00170F44"/>
    <w:rsid w:val="00170F65"/>
    <w:rsid w:val="001710E2"/>
    <w:rsid w:val="001710EA"/>
    <w:rsid w:val="00171105"/>
    <w:rsid w:val="00171161"/>
    <w:rsid w:val="0017118B"/>
    <w:rsid w:val="0017126C"/>
    <w:rsid w:val="0017141E"/>
    <w:rsid w:val="00171512"/>
    <w:rsid w:val="00171525"/>
    <w:rsid w:val="00171638"/>
    <w:rsid w:val="001716F9"/>
    <w:rsid w:val="00171736"/>
    <w:rsid w:val="0017177E"/>
    <w:rsid w:val="00171981"/>
    <w:rsid w:val="001719AE"/>
    <w:rsid w:val="00171B23"/>
    <w:rsid w:val="00171C78"/>
    <w:rsid w:val="00171C9C"/>
    <w:rsid w:val="00171CBD"/>
    <w:rsid w:val="00171D3C"/>
    <w:rsid w:val="00171D3D"/>
    <w:rsid w:val="00171E20"/>
    <w:rsid w:val="00171E39"/>
    <w:rsid w:val="00171EBE"/>
    <w:rsid w:val="00171EE3"/>
    <w:rsid w:val="00171F0A"/>
    <w:rsid w:val="00171F0F"/>
    <w:rsid w:val="00171FD6"/>
    <w:rsid w:val="00171FF6"/>
    <w:rsid w:val="001720B7"/>
    <w:rsid w:val="001720B8"/>
    <w:rsid w:val="0017212D"/>
    <w:rsid w:val="00172138"/>
    <w:rsid w:val="0017216A"/>
    <w:rsid w:val="00172195"/>
    <w:rsid w:val="00172239"/>
    <w:rsid w:val="0017223C"/>
    <w:rsid w:val="00172357"/>
    <w:rsid w:val="001723E5"/>
    <w:rsid w:val="00172543"/>
    <w:rsid w:val="0017257B"/>
    <w:rsid w:val="001725F7"/>
    <w:rsid w:val="00172600"/>
    <w:rsid w:val="00172692"/>
    <w:rsid w:val="0017276A"/>
    <w:rsid w:val="00172774"/>
    <w:rsid w:val="001727AB"/>
    <w:rsid w:val="00172883"/>
    <w:rsid w:val="00172929"/>
    <w:rsid w:val="0017295B"/>
    <w:rsid w:val="00172AD4"/>
    <w:rsid w:val="00172B3B"/>
    <w:rsid w:val="00172B7F"/>
    <w:rsid w:val="00172CC9"/>
    <w:rsid w:val="00172CFE"/>
    <w:rsid w:val="00172D0A"/>
    <w:rsid w:val="00172D73"/>
    <w:rsid w:val="00172E31"/>
    <w:rsid w:val="00172E7B"/>
    <w:rsid w:val="00172EB5"/>
    <w:rsid w:val="00172FE1"/>
    <w:rsid w:val="00173036"/>
    <w:rsid w:val="00173176"/>
    <w:rsid w:val="001731CA"/>
    <w:rsid w:val="00173270"/>
    <w:rsid w:val="0017327C"/>
    <w:rsid w:val="001732F9"/>
    <w:rsid w:val="00173304"/>
    <w:rsid w:val="00173323"/>
    <w:rsid w:val="0017332E"/>
    <w:rsid w:val="001733E2"/>
    <w:rsid w:val="001734DD"/>
    <w:rsid w:val="00173531"/>
    <w:rsid w:val="00173575"/>
    <w:rsid w:val="0017361E"/>
    <w:rsid w:val="0017368F"/>
    <w:rsid w:val="00173694"/>
    <w:rsid w:val="00173717"/>
    <w:rsid w:val="001737C4"/>
    <w:rsid w:val="001737C6"/>
    <w:rsid w:val="00173804"/>
    <w:rsid w:val="00173892"/>
    <w:rsid w:val="001738DC"/>
    <w:rsid w:val="001739A1"/>
    <w:rsid w:val="001739D0"/>
    <w:rsid w:val="00173ABE"/>
    <w:rsid w:val="00173AF3"/>
    <w:rsid w:val="00173B33"/>
    <w:rsid w:val="00173B63"/>
    <w:rsid w:val="00173BF2"/>
    <w:rsid w:val="00173C1C"/>
    <w:rsid w:val="00173C9B"/>
    <w:rsid w:val="00173D9A"/>
    <w:rsid w:val="00173DB3"/>
    <w:rsid w:val="00173DD8"/>
    <w:rsid w:val="00173E28"/>
    <w:rsid w:val="00173F4D"/>
    <w:rsid w:val="00173F5E"/>
    <w:rsid w:val="00173FFB"/>
    <w:rsid w:val="0017408D"/>
    <w:rsid w:val="001740C1"/>
    <w:rsid w:val="00174144"/>
    <w:rsid w:val="0017422B"/>
    <w:rsid w:val="00174273"/>
    <w:rsid w:val="00174282"/>
    <w:rsid w:val="0017438B"/>
    <w:rsid w:val="001743C1"/>
    <w:rsid w:val="0017447C"/>
    <w:rsid w:val="00174492"/>
    <w:rsid w:val="001744A8"/>
    <w:rsid w:val="001744CC"/>
    <w:rsid w:val="0017456B"/>
    <w:rsid w:val="001745C7"/>
    <w:rsid w:val="00174632"/>
    <w:rsid w:val="0017463B"/>
    <w:rsid w:val="00174664"/>
    <w:rsid w:val="0017468F"/>
    <w:rsid w:val="001746B0"/>
    <w:rsid w:val="0017474B"/>
    <w:rsid w:val="00174767"/>
    <w:rsid w:val="001747FC"/>
    <w:rsid w:val="00174819"/>
    <w:rsid w:val="00174820"/>
    <w:rsid w:val="0017485B"/>
    <w:rsid w:val="0017496C"/>
    <w:rsid w:val="0017498B"/>
    <w:rsid w:val="001749EC"/>
    <w:rsid w:val="00174A39"/>
    <w:rsid w:val="00174A5A"/>
    <w:rsid w:val="00174C26"/>
    <w:rsid w:val="00174C90"/>
    <w:rsid w:val="00174CC6"/>
    <w:rsid w:val="00174D05"/>
    <w:rsid w:val="00174D3E"/>
    <w:rsid w:val="00174D56"/>
    <w:rsid w:val="00174DEA"/>
    <w:rsid w:val="00174E79"/>
    <w:rsid w:val="00174EB3"/>
    <w:rsid w:val="00174F25"/>
    <w:rsid w:val="00174FB3"/>
    <w:rsid w:val="00175065"/>
    <w:rsid w:val="00175073"/>
    <w:rsid w:val="001750DA"/>
    <w:rsid w:val="0017511C"/>
    <w:rsid w:val="00175140"/>
    <w:rsid w:val="0017516E"/>
    <w:rsid w:val="001751F6"/>
    <w:rsid w:val="0017528F"/>
    <w:rsid w:val="001752AF"/>
    <w:rsid w:val="001752B5"/>
    <w:rsid w:val="00175301"/>
    <w:rsid w:val="0017539A"/>
    <w:rsid w:val="001754C7"/>
    <w:rsid w:val="00175525"/>
    <w:rsid w:val="00175548"/>
    <w:rsid w:val="00175578"/>
    <w:rsid w:val="0017559F"/>
    <w:rsid w:val="001755C5"/>
    <w:rsid w:val="001755FD"/>
    <w:rsid w:val="001756EB"/>
    <w:rsid w:val="00175704"/>
    <w:rsid w:val="00175764"/>
    <w:rsid w:val="001757E0"/>
    <w:rsid w:val="0017583E"/>
    <w:rsid w:val="00175887"/>
    <w:rsid w:val="001758BE"/>
    <w:rsid w:val="001758DF"/>
    <w:rsid w:val="00175925"/>
    <w:rsid w:val="0017593B"/>
    <w:rsid w:val="0017595F"/>
    <w:rsid w:val="00175A03"/>
    <w:rsid w:val="00175A27"/>
    <w:rsid w:val="00175A34"/>
    <w:rsid w:val="00175AA6"/>
    <w:rsid w:val="00175AE1"/>
    <w:rsid w:val="00175B3F"/>
    <w:rsid w:val="00175B69"/>
    <w:rsid w:val="00175BB6"/>
    <w:rsid w:val="00175BFF"/>
    <w:rsid w:val="00175C30"/>
    <w:rsid w:val="00175C9B"/>
    <w:rsid w:val="00175D1A"/>
    <w:rsid w:val="00175DAC"/>
    <w:rsid w:val="00175E2E"/>
    <w:rsid w:val="00175EB7"/>
    <w:rsid w:val="00175EFD"/>
    <w:rsid w:val="00175F30"/>
    <w:rsid w:val="00175FD3"/>
    <w:rsid w:val="00176002"/>
    <w:rsid w:val="00176005"/>
    <w:rsid w:val="00176093"/>
    <w:rsid w:val="001760EA"/>
    <w:rsid w:val="0017617C"/>
    <w:rsid w:val="001762F2"/>
    <w:rsid w:val="00176335"/>
    <w:rsid w:val="0017635F"/>
    <w:rsid w:val="00176381"/>
    <w:rsid w:val="0017638D"/>
    <w:rsid w:val="0017644A"/>
    <w:rsid w:val="00176463"/>
    <w:rsid w:val="001764CC"/>
    <w:rsid w:val="00176558"/>
    <w:rsid w:val="0017656A"/>
    <w:rsid w:val="0017656D"/>
    <w:rsid w:val="00176583"/>
    <w:rsid w:val="001765C3"/>
    <w:rsid w:val="00176604"/>
    <w:rsid w:val="00176607"/>
    <w:rsid w:val="00176623"/>
    <w:rsid w:val="00176675"/>
    <w:rsid w:val="001766E6"/>
    <w:rsid w:val="001767A1"/>
    <w:rsid w:val="001767F1"/>
    <w:rsid w:val="00176820"/>
    <w:rsid w:val="001768CE"/>
    <w:rsid w:val="001768E8"/>
    <w:rsid w:val="0017692C"/>
    <w:rsid w:val="0017694C"/>
    <w:rsid w:val="001769C3"/>
    <w:rsid w:val="001769F9"/>
    <w:rsid w:val="00176A0C"/>
    <w:rsid w:val="00176A81"/>
    <w:rsid w:val="00176A9A"/>
    <w:rsid w:val="00176AAF"/>
    <w:rsid w:val="00176B34"/>
    <w:rsid w:val="00176B35"/>
    <w:rsid w:val="00176C85"/>
    <w:rsid w:val="00176C9A"/>
    <w:rsid w:val="00176CAA"/>
    <w:rsid w:val="00176CB1"/>
    <w:rsid w:val="00176D26"/>
    <w:rsid w:val="00176D6E"/>
    <w:rsid w:val="00176DDA"/>
    <w:rsid w:val="00176E22"/>
    <w:rsid w:val="00176E9D"/>
    <w:rsid w:val="00177024"/>
    <w:rsid w:val="001770D5"/>
    <w:rsid w:val="00177154"/>
    <w:rsid w:val="0017718B"/>
    <w:rsid w:val="001771C9"/>
    <w:rsid w:val="00177249"/>
    <w:rsid w:val="0017728A"/>
    <w:rsid w:val="0017735F"/>
    <w:rsid w:val="00177491"/>
    <w:rsid w:val="001775FD"/>
    <w:rsid w:val="001776BC"/>
    <w:rsid w:val="001776D2"/>
    <w:rsid w:val="0017781C"/>
    <w:rsid w:val="001778CE"/>
    <w:rsid w:val="00177925"/>
    <w:rsid w:val="00177937"/>
    <w:rsid w:val="0017799B"/>
    <w:rsid w:val="001779AC"/>
    <w:rsid w:val="001779FA"/>
    <w:rsid w:val="00177A59"/>
    <w:rsid w:val="00177A61"/>
    <w:rsid w:val="00177B05"/>
    <w:rsid w:val="00177C2C"/>
    <w:rsid w:val="00177CF0"/>
    <w:rsid w:val="00177D13"/>
    <w:rsid w:val="00177DD5"/>
    <w:rsid w:val="00177EAE"/>
    <w:rsid w:val="00177F7C"/>
    <w:rsid w:val="00177F91"/>
    <w:rsid w:val="00180051"/>
    <w:rsid w:val="001800D9"/>
    <w:rsid w:val="001801DC"/>
    <w:rsid w:val="001802B8"/>
    <w:rsid w:val="00180343"/>
    <w:rsid w:val="0018039F"/>
    <w:rsid w:val="00180403"/>
    <w:rsid w:val="00180464"/>
    <w:rsid w:val="00180499"/>
    <w:rsid w:val="001804D2"/>
    <w:rsid w:val="001804D8"/>
    <w:rsid w:val="001804E2"/>
    <w:rsid w:val="001804F3"/>
    <w:rsid w:val="00180560"/>
    <w:rsid w:val="00180578"/>
    <w:rsid w:val="001805DE"/>
    <w:rsid w:val="00180632"/>
    <w:rsid w:val="0018067C"/>
    <w:rsid w:val="0018069E"/>
    <w:rsid w:val="001806F0"/>
    <w:rsid w:val="00180721"/>
    <w:rsid w:val="00180816"/>
    <w:rsid w:val="0018081D"/>
    <w:rsid w:val="00180835"/>
    <w:rsid w:val="00180837"/>
    <w:rsid w:val="00180849"/>
    <w:rsid w:val="00180851"/>
    <w:rsid w:val="00180983"/>
    <w:rsid w:val="00180998"/>
    <w:rsid w:val="00180A34"/>
    <w:rsid w:val="00180B03"/>
    <w:rsid w:val="00180B3B"/>
    <w:rsid w:val="00180B9C"/>
    <w:rsid w:val="00180BD9"/>
    <w:rsid w:val="00180C31"/>
    <w:rsid w:val="00180D79"/>
    <w:rsid w:val="00180DB4"/>
    <w:rsid w:val="00180DB6"/>
    <w:rsid w:val="00180DDB"/>
    <w:rsid w:val="00180E1F"/>
    <w:rsid w:val="00180EE1"/>
    <w:rsid w:val="00180F14"/>
    <w:rsid w:val="00180F24"/>
    <w:rsid w:val="00180F56"/>
    <w:rsid w:val="00180F74"/>
    <w:rsid w:val="00180FC8"/>
    <w:rsid w:val="00180FD5"/>
    <w:rsid w:val="00180FF7"/>
    <w:rsid w:val="00181061"/>
    <w:rsid w:val="00181142"/>
    <w:rsid w:val="00181197"/>
    <w:rsid w:val="001811A0"/>
    <w:rsid w:val="00181270"/>
    <w:rsid w:val="001812A2"/>
    <w:rsid w:val="001812AB"/>
    <w:rsid w:val="00181305"/>
    <w:rsid w:val="00181306"/>
    <w:rsid w:val="0018131D"/>
    <w:rsid w:val="001813AC"/>
    <w:rsid w:val="00181408"/>
    <w:rsid w:val="0018150F"/>
    <w:rsid w:val="001815AD"/>
    <w:rsid w:val="001815C5"/>
    <w:rsid w:val="001815D9"/>
    <w:rsid w:val="00181678"/>
    <w:rsid w:val="00181684"/>
    <w:rsid w:val="00181712"/>
    <w:rsid w:val="00181728"/>
    <w:rsid w:val="001817FE"/>
    <w:rsid w:val="00181808"/>
    <w:rsid w:val="00181838"/>
    <w:rsid w:val="00181882"/>
    <w:rsid w:val="00181888"/>
    <w:rsid w:val="001818FF"/>
    <w:rsid w:val="00181985"/>
    <w:rsid w:val="0018199C"/>
    <w:rsid w:val="001819ED"/>
    <w:rsid w:val="00181A0A"/>
    <w:rsid w:val="00181A36"/>
    <w:rsid w:val="00181A46"/>
    <w:rsid w:val="00181AE4"/>
    <w:rsid w:val="00181AF8"/>
    <w:rsid w:val="00181C39"/>
    <w:rsid w:val="00181C59"/>
    <w:rsid w:val="00181CA7"/>
    <w:rsid w:val="00181CCA"/>
    <w:rsid w:val="00181D13"/>
    <w:rsid w:val="00181D76"/>
    <w:rsid w:val="00181DCE"/>
    <w:rsid w:val="00181E46"/>
    <w:rsid w:val="00181EDA"/>
    <w:rsid w:val="00181FAE"/>
    <w:rsid w:val="00182079"/>
    <w:rsid w:val="0018208E"/>
    <w:rsid w:val="001820A6"/>
    <w:rsid w:val="001820C1"/>
    <w:rsid w:val="00182235"/>
    <w:rsid w:val="0018230A"/>
    <w:rsid w:val="0018230F"/>
    <w:rsid w:val="0018234B"/>
    <w:rsid w:val="00182351"/>
    <w:rsid w:val="001823CF"/>
    <w:rsid w:val="001823D5"/>
    <w:rsid w:val="001823EF"/>
    <w:rsid w:val="00182427"/>
    <w:rsid w:val="00182514"/>
    <w:rsid w:val="00182523"/>
    <w:rsid w:val="00182587"/>
    <w:rsid w:val="0018262A"/>
    <w:rsid w:val="00182660"/>
    <w:rsid w:val="001826E2"/>
    <w:rsid w:val="001827A1"/>
    <w:rsid w:val="00182825"/>
    <w:rsid w:val="00182962"/>
    <w:rsid w:val="001829AF"/>
    <w:rsid w:val="001829E6"/>
    <w:rsid w:val="001829F4"/>
    <w:rsid w:val="00182A59"/>
    <w:rsid w:val="00182AD7"/>
    <w:rsid w:val="00182B07"/>
    <w:rsid w:val="00182B32"/>
    <w:rsid w:val="00182B60"/>
    <w:rsid w:val="00182BC6"/>
    <w:rsid w:val="00182C79"/>
    <w:rsid w:val="00182D38"/>
    <w:rsid w:val="00182D3F"/>
    <w:rsid w:val="00182D4D"/>
    <w:rsid w:val="00182D78"/>
    <w:rsid w:val="00182E42"/>
    <w:rsid w:val="00182E56"/>
    <w:rsid w:val="00182E71"/>
    <w:rsid w:val="00182E76"/>
    <w:rsid w:val="00182EEC"/>
    <w:rsid w:val="00182FCA"/>
    <w:rsid w:val="0018312A"/>
    <w:rsid w:val="0018314D"/>
    <w:rsid w:val="00183168"/>
    <w:rsid w:val="001831F4"/>
    <w:rsid w:val="00183236"/>
    <w:rsid w:val="00183248"/>
    <w:rsid w:val="00183320"/>
    <w:rsid w:val="00183343"/>
    <w:rsid w:val="001833E4"/>
    <w:rsid w:val="0018340C"/>
    <w:rsid w:val="0018348B"/>
    <w:rsid w:val="001834DF"/>
    <w:rsid w:val="001834EC"/>
    <w:rsid w:val="00183539"/>
    <w:rsid w:val="0018356A"/>
    <w:rsid w:val="00183570"/>
    <w:rsid w:val="00183637"/>
    <w:rsid w:val="00183767"/>
    <w:rsid w:val="001837EC"/>
    <w:rsid w:val="00183897"/>
    <w:rsid w:val="00183930"/>
    <w:rsid w:val="00183961"/>
    <w:rsid w:val="00183B19"/>
    <w:rsid w:val="00183B53"/>
    <w:rsid w:val="00183BAD"/>
    <w:rsid w:val="00183CB5"/>
    <w:rsid w:val="00183CC2"/>
    <w:rsid w:val="00183CCA"/>
    <w:rsid w:val="00183D24"/>
    <w:rsid w:val="00183D32"/>
    <w:rsid w:val="00183D9A"/>
    <w:rsid w:val="00183E43"/>
    <w:rsid w:val="00183E93"/>
    <w:rsid w:val="00183ED5"/>
    <w:rsid w:val="00183FCD"/>
    <w:rsid w:val="00184032"/>
    <w:rsid w:val="001840E4"/>
    <w:rsid w:val="00184134"/>
    <w:rsid w:val="00184157"/>
    <w:rsid w:val="0018416F"/>
    <w:rsid w:val="001841A2"/>
    <w:rsid w:val="001841D2"/>
    <w:rsid w:val="001841DE"/>
    <w:rsid w:val="00184206"/>
    <w:rsid w:val="00184285"/>
    <w:rsid w:val="001842BE"/>
    <w:rsid w:val="001842E4"/>
    <w:rsid w:val="00184312"/>
    <w:rsid w:val="00184324"/>
    <w:rsid w:val="001843B1"/>
    <w:rsid w:val="0018443D"/>
    <w:rsid w:val="001844B9"/>
    <w:rsid w:val="0018451B"/>
    <w:rsid w:val="00184535"/>
    <w:rsid w:val="001845CB"/>
    <w:rsid w:val="001845FD"/>
    <w:rsid w:val="00184669"/>
    <w:rsid w:val="0018466A"/>
    <w:rsid w:val="001846CF"/>
    <w:rsid w:val="001846DC"/>
    <w:rsid w:val="0018470C"/>
    <w:rsid w:val="0018472F"/>
    <w:rsid w:val="00184763"/>
    <w:rsid w:val="00184807"/>
    <w:rsid w:val="00184812"/>
    <w:rsid w:val="00184845"/>
    <w:rsid w:val="0018486A"/>
    <w:rsid w:val="0018490A"/>
    <w:rsid w:val="00184927"/>
    <w:rsid w:val="00184972"/>
    <w:rsid w:val="00184986"/>
    <w:rsid w:val="00184989"/>
    <w:rsid w:val="00184A1D"/>
    <w:rsid w:val="00184ACB"/>
    <w:rsid w:val="00184ADB"/>
    <w:rsid w:val="00184AF7"/>
    <w:rsid w:val="00184B33"/>
    <w:rsid w:val="00184B71"/>
    <w:rsid w:val="00184B9D"/>
    <w:rsid w:val="00184C0F"/>
    <w:rsid w:val="00184C5E"/>
    <w:rsid w:val="00184C6E"/>
    <w:rsid w:val="00184C84"/>
    <w:rsid w:val="00184C8A"/>
    <w:rsid w:val="00184C90"/>
    <w:rsid w:val="00184C9F"/>
    <w:rsid w:val="00184D10"/>
    <w:rsid w:val="00184D1A"/>
    <w:rsid w:val="00184D66"/>
    <w:rsid w:val="00184E0D"/>
    <w:rsid w:val="00184E25"/>
    <w:rsid w:val="00184E53"/>
    <w:rsid w:val="00184F12"/>
    <w:rsid w:val="00184F13"/>
    <w:rsid w:val="00184F1F"/>
    <w:rsid w:val="00184F54"/>
    <w:rsid w:val="00184FDB"/>
    <w:rsid w:val="0018501A"/>
    <w:rsid w:val="00185253"/>
    <w:rsid w:val="00185397"/>
    <w:rsid w:val="00185420"/>
    <w:rsid w:val="001854C2"/>
    <w:rsid w:val="001855D1"/>
    <w:rsid w:val="00185631"/>
    <w:rsid w:val="0018563D"/>
    <w:rsid w:val="001856F6"/>
    <w:rsid w:val="0018571D"/>
    <w:rsid w:val="0018574C"/>
    <w:rsid w:val="00185765"/>
    <w:rsid w:val="001857AA"/>
    <w:rsid w:val="001857AF"/>
    <w:rsid w:val="001857B4"/>
    <w:rsid w:val="00185867"/>
    <w:rsid w:val="00185882"/>
    <w:rsid w:val="001858C6"/>
    <w:rsid w:val="00185BC6"/>
    <w:rsid w:val="00185BDF"/>
    <w:rsid w:val="00185C19"/>
    <w:rsid w:val="00185D2C"/>
    <w:rsid w:val="00185D70"/>
    <w:rsid w:val="00185E80"/>
    <w:rsid w:val="00185E98"/>
    <w:rsid w:val="00185E9A"/>
    <w:rsid w:val="00185EFD"/>
    <w:rsid w:val="00185F27"/>
    <w:rsid w:val="00185F94"/>
    <w:rsid w:val="00186043"/>
    <w:rsid w:val="0018604B"/>
    <w:rsid w:val="0018604D"/>
    <w:rsid w:val="00186088"/>
    <w:rsid w:val="00186167"/>
    <w:rsid w:val="00186268"/>
    <w:rsid w:val="00186294"/>
    <w:rsid w:val="001862D4"/>
    <w:rsid w:val="00186343"/>
    <w:rsid w:val="00186408"/>
    <w:rsid w:val="0018640F"/>
    <w:rsid w:val="00186440"/>
    <w:rsid w:val="00186457"/>
    <w:rsid w:val="001864C8"/>
    <w:rsid w:val="0018653B"/>
    <w:rsid w:val="00186590"/>
    <w:rsid w:val="001865C1"/>
    <w:rsid w:val="00186614"/>
    <w:rsid w:val="0018662F"/>
    <w:rsid w:val="00186646"/>
    <w:rsid w:val="001867C6"/>
    <w:rsid w:val="001867C7"/>
    <w:rsid w:val="0018681D"/>
    <w:rsid w:val="00186886"/>
    <w:rsid w:val="0018688B"/>
    <w:rsid w:val="001868DF"/>
    <w:rsid w:val="001869E0"/>
    <w:rsid w:val="00186A00"/>
    <w:rsid w:val="00186A27"/>
    <w:rsid w:val="00186ACE"/>
    <w:rsid w:val="00186B38"/>
    <w:rsid w:val="00186B44"/>
    <w:rsid w:val="00186B5F"/>
    <w:rsid w:val="00186B9F"/>
    <w:rsid w:val="00186BBF"/>
    <w:rsid w:val="00186C18"/>
    <w:rsid w:val="00186CF3"/>
    <w:rsid w:val="00186DED"/>
    <w:rsid w:val="00186E20"/>
    <w:rsid w:val="00186E89"/>
    <w:rsid w:val="001870AF"/>
    <w:rsid w:val="001870C8"/>
    <w:rsid w:val="0018710A"/>
    <w:rsid w:val="00187146"/>
    <w:rsid w:val="0018718E"/>
    <w:rsid w:val="001871BE"/>
    <w:rsid w:val="001871E2"/>
    <w:rsid w:val="001871E6"/>
    <w:rsid w:val="00187216"/>
    <w:rsid w:val="001873AF"/>
    <w:rsid w:val="001873BA"/>
    <w:rsid w:val="001873CD"/>
    <w:rsid w:val="001873D1"/>
    <w:rsid w:val="001873D6"/>
    <w:rsid w:val="0018743A"/>
    <w:rsid w:val="0018747B"/>
    <w:rsid w:val="00187545"/>
    <w:rsid w:val="0018756E"/>
    <w:rsid w:val="0018758B"/>
    <w:rsid w:val="0018759A"/>
    <w:rsid w:val="001875A1"/>
    <w:rsid w:val="001875AC"/>
    <w:rsid w:val="001875CB"/>
    <w:rsid w:val="001875E4"/>
    <w:rsid w:val="00187623"/>
    <w:rsid w:val="00187629"/>
    <w:rsid w:val="0018762C"/>
    <w:rsid w:val="00187635"/>
    <w:rsid w:val="001876AB"/>
    <w:rsid w:val="001876D3"/>
    <w:rsid w:val="001876D6"/>
    <w:rsid w:val="00187772"/>
    <w:rsid w:val="00187777"/>
    <w:rsid w:val="00187814"/>
    <w:rsid w:val="00187845"/>
    <w:rsid w:val="00187885"/>
    <w:rsid w:val="0018789C"/>
    <w:rsid w:val="0018790F"/>
    <w:rsid w:val="00187A09"/>
    <w:rsid w:val="00187CD4"/>
    <w:rsid w:val="00187D6C"/>
    <w:rsid w:val="00187D93"/>
    <w:rsid w:val="00187DB8"/>
    <w:rsid w:val="00187DBF"/>
    <w:rsid w:val="00187E45"/>
    <w:rsid w:val="00187E5A"/>
    <w:rsid w:val="00187F24"/>
    <w:rsid w:val="00187F54"/>
    <w:rsid w:val="00187F5A"/>
    <w:rsid w:val="00187F84"/>
    <w:rsid w:val="00190047"/>
    <w:rsid w:val="0019011A"/>
    <w:rsid w:val="00190177"/>
    <w:rsid w:val="00190211"/>
    <w:rsid w:val="0019023E"/>
    <w:rsid w:val="0019024F"/>
    <w:rsid w:val="001902F1"/>
    <w:rsid w:val="001902F2"/>
    <w:rsid w:val="001902F7"/>
    <w:rsid w:val="0019032E"/>
    <w:rsid w:val="00190333"/>
    <w:rsid w:val="00190354"/>
    <w:rsid w:val="00190361"/>
    <w:rsid w:val="001903A2"/>
    <w:rsid w:val="0019047F"/>
    <w:rsid w:val="00190526"/>
    <w:rsid w:val="0019054E"/>
    <w:rsid w:val="00190599"/>
    <w:rsid w:val="00190601"/>
    <w:rsid w:val="00190602"/>
    <w:rsid w:val="00190665"/>
    <w:rsid w:val="00190706"/>
    <w:rsid w:val="00190760"/>
    <w:rsid w:val="00190779"/>
    <w:rsid w:val="0019078E"/>
    <w:rsid w:val="0019085C"/>
    <w:rsid w:val="0019085E"/>
    <w:rsid w:val="001909AC"/>
    <w:rsid w:val="001909ED"/>
    <w:rsid w:val="00190A87"/>
    <w:rsid w:val="00190AB7"/>
    <w:rsid w:val="00190AD9"/>
    <w:rsid w:val="00190AF8"/>
    <w:rsid w:val="00190B65"/>
    <w:rsid w:val="00190BA1"/>
    <w:rsid w:val="00190BCE"/>
    <w:rsid w:val="00190BDE"/>
    <w:rsid w:val="00190C35"/>
    <w:rsid w:val="00190C48"/>
    <w:rsid w:val="00190D59"/>
    <w:rsid w:val="00190D92"/>
    <w:rsid w:val="00190DB5"/>
    <w:rsid w:val="00190E20"/>
    <w:rsid w:val="00190F54"/>
    <w:rsid w:val="00190FB0"/>
    <w:rsid w:val="00190FC2"/>
    <w:rsid w:val="00191065"/>
    <w:rsid w:val="001910B5"/>
    <w:rsid w:val="001910BA"/>
    <w:rsid w:val="001910DF"/>
    <w:rsid w:val="00191134"/>
    <w:rsid w:val="00191141"/>
    <w:rsid w:val="0019115B"/>
    <w:rsid w:val="00191197"/>
    <w:rsid w:val="001911A1"/>
    <w:rsid w:val="00191333"/>
    <w:rsid w:val="0019135A"/>
    <w:rsid w:val="0019137F"/>
    <w:rsid w:val="001913E4"/>
    <w:rsid w:val="001913E8"/>
    <w:rsid w:val="00191435"/>
    <w:rsid w:val="001914CB"/>
    <w:rsid w:val="001914F3"/>
    <w:rsid w:val="00191503"/>
    <w:rsid w:val="00191568"/>
    <w:rsid w:val="0019158A"/>
    <w:rsid w:val="001915D8"/>
    <w:rsid w:val="001915DF"/>
    <w:rsid w:val="001915FB"/>
    <w:rsid w:val="001915FE"/>
    <w:rsid w:val="00191636"/>
    <w:rsid w:val="00191639"/>
    <w:rsid w:val="0019177B"/>
    <w:rsid w:val="00191783"/>
    <w:rsid w:val="00191804"/>
    <w:rsid w:val="00191818"/>
    <w:rsid w:val="00191870"/>
    <w:rsid w:val="001918E1"/>
    <w:rsid w:val="00191A30"/>
    <w:rsid w:val="00191ABB"/>
    <w:rsid w:val="00191AD0"/>
    <w:rsid w:val="00191AD2"/>
    <w:rsid w:val="00191AF0"/>
    <w:rsid w:val="00191B1F"/>
    <w:rsid w:val="00191B4E"/>
    <w:rsid w:val="00191BBF"/>
    <w:rsid w:val="00191BDD"/>
    <w:rsid w:val="00191C45"/>
    <w:rsid w:val="00191CAA"/>
    <w:rsid w:val="00191D67"/>
    <w:rsid w:val="00191D8B"/>
    <w:rsid w:val="00191DDB"/>
    <w:rsid w:val="00191E00"/>
    <w:rsid w:val="00191E23"/>
    <w:rsid w:val="00191E50"/>
    <w:rsid w:val="00191E65"/>
    <w:rsid w:val="00191E9F"/>
    <w:rsid w:val="00191F37"/>
    <w:rsid w:val="00191F46"/>
    <w:rsid w:val="0019202F"/>
    <w:rsid w:val="00192089"/>
    <w:rsid w:val="0019219B"/>
    <w:rsid w:val="001921C6"/>
    <w:rsid w:val="001921C8"/>
    <w:rsid w:val="001921E5"/>
    <w:rsid w:val="0019220E"/>
    <w:rsid w:val="001922BB"/>
    <w:rsid w:val="001922F6"/>
    <w:rsid w:val="00192322"/>
    <w:rsid w:val="00192342"/>
    <w:rsid w:val="00192355"/>
    <w:rsid w:val="00192442"/>
    <w:rsid w:val="00192464"/>
    <w:rsid w:val="0019247F"/>
    <w:rsid w:val="001924C1"/>
    <w:rsid w:val="001924E1"/>
    <w:rsid w:val="001924F0"/>
    <w:rsid w:val="00192500"/>
    <w:rsid w:val="0019250E"/>
    <w:rsid w:val="001925B9"/>
    <w:rsid w:val="00192628"/>
    <w:rsid w:val="001926C4"/>
    <w:rsid w:val="0019276C"/>
    <w:rsid w:val="00192795"/>
    <w:rsid w:val="001927A2"/>
    <w:rsid w:val="00192835"/>
    <w:rsid w:val="00192933"/>
    <w:rsid w:val="00192936"/>
    <w:rsid w:val="00192960"/>
    <w:rsid w:val="00192A37"/>
    <w:rsid w:val="00192A40"/>
    <w:rsid w:val="00192B11"/>
    <w:rsid w:val="00192B38"/>
    <w:rsid w:val="00192B8C"/>
    <w:rsid w:val="00192BEA"/>
    <w:rsid w:val="00192C26"/>
    <w:rsid w:val="00192CA0"/>
    <w:rsid w:val="00192E48"/>
    <w:rsid w:val="00192E80"/>
    <w:rsid w:val="00192F18"/>
    <w:rsid w:val="00192F5D"/>
    <w:rsid w:val="00192F7A"/>
    <w:rsid w:val="00192F7E"/>
    <w:rsid w:val="00192FD3"/>
    <w:rsid w:val="00193051"/>
    <w:rsid w:val="001930AE"/>
    <w:rsid w:val="001930D1"/>
    <w:rsid w:val="001930DB"/>
    <w:rsid w:val="00193129"/>
    <w:rsid w:val="00193141"/>
    <w:rsid w:val="00193184"/>
    <w:rsid w:val="001931C4"/>
    <w:rsid w:val="0019327B"/>
    <w:rsid w:val="00193460"/>
    <w:rsid w:val="001934C7"/>
    <w:rsid w:val="0019351E"/>
    <w:rsid w:val="001935A3"/>
    <w:rsid w:val="00193626"/>
    <w:rsid w:val="001936F5"/>
    <w:rsid w:val="00193713"/>
    <w:rsid w:val="001937A4"/>
    <w:rsid w:val="001937C8"/>
    <w:rsid w:val="00193875"/>
    <w:rsid w:val="00193A0D"/>
    <w:rsid w:val="00193A9F"/>
    <w:rsid w:val="00193AB0"/>
    <w:rsid w:val="00193AF9"/>
    <w:rsid w:val="00193B5E"/>
    <w:rsid w:val="00193B84"/>
    <w:rsid w:val="00193B86"/>
    <w:rsid w:val="00193B9A"/>
    <w:rsid w:val="00193BC7"/>
    <w:rsid w:val="00193BEF"/>
    <w:rsid w:val="00193CB8"/>
    <w:rsid w:val="00193CFF"/>
    <w:rsid w:val="00193D24"/>
    <w:rsid w:val="00193D30"/>
    <w:rsid w:val="00193D74"/>
    <w:rsid w:val="00193DA0"/>
    <w:rsid w:val="00193E7C"/>
    <w:rsid w:val="00193E99"/>
    <w:rsid w:val="00193EDE"/>
    <w:rsid w:val="00193F97"/>
    <w:rsid w:val="00193FB3"/>
    <w:rsid w:val="00194029"/>
    <w:rsid w:val="0019407F"/>
    <w:rsid w:val="001940BA"/>
    <w:rsid w:val="001940F5"/>
    <w:rsid w:val="00194143"/>
    <w:rsid w:val="0019422D"/>
    <w:rsid w:val="00194253"/>
    <w:rsid w:val="00194324"/>
    <w:rsid w:val="00194367"/>
    <w:rsid w:val="001943A5"/>
    <w:rsid w:val="001943CA"/>
    <w:rsid w:val="001943CC"/>
    <w:rsid w:val="00194476"/>
    <w:rsid w:val="00194484"/>
    <w:rsid w:val="001944BB"/>
    <w:rsid w:val="001946D8"/>
    <w:rsid w:val="00194711"/>
    <w:rsid w:val="00194718"/>
    <w:rsid w:val="00194765"/>
    <w:rsid w:val="00194799"/>
    <w:rsid w:val="001947B7"/>
    <w:rsid w:val="0019482A"/>
    <w:rsid w:val="00194935"/>
    <w:rsid w:val="00194977"/>
    <w:rsid w:val="00194AD4"/>
    <w:rsid w:val="00194BBD"/>
    <w:rsid w:val="00194BBE"/>
    <w:rsid w:val="00194C63"/>
    <w:rsid w:val="00194C76"/>
    <w:rsid w:val="00194F3C"/>
    <w:rsid w:val="00195037"/>
    <w:rsid w:val="00195212"/>
    <w:rsid w:val="0019521B"/>
    <w:rsid w:val="00195241"/>
    <w:rsid w:val="001952DC"/>
    <w:rsid w:val="00195370"/>
    <w:rsid w:val="00195577"/>
    <w:rsid w:val="0019559C"/>
    <w:rsid w:val="001955F2"/>
    <w:rsid w:val="001955F6"/>
    <w:rsid w:val="00195653"/>
    <w:rsid w:val="00195683"/>
    <w:rsid w:val="00195712"/>
    <w:rsid w:val="00195719"/>
    <w:rsid w:val="00195745"/>
    <w:rsid w:val="00195746"/>
    <w:rsid w:val="00195806"/>
    <w:rsid w:val="00195834"/>
    <w:rsid w:val="0019583F"/>
    <w:rsid w:val="00195950"/>
    <w:rsid w:val="001959DE"/>
    <w:rsid w:val="001959E3"/>
    <w:rsid w:val="00195BB3"/>
    <w:rsid w:val="00195BDF"/>
    <w:rsid w:val="00195BF5"/>
    <w:rsid w:val="00195C38"/>
    <w:rsid w:val="00195C43"/>
    <w:rsid w:val="00195CFF"/>
    <w:rsid w:val="00195D2A"/>
    <w:rsid w:val="00195D2D"/>
    <w:rsid w:val="00195D63"/>
    <w:rsid w:val="00195DA5"/>
    <w:rsid w:val="00195E89"/>
    <w:rsid w:val="00195F41"/>
    <w:rsid w:val="00195F70"/>
    <w:rsid w:val="0019600A"/>
    <w:rsid w:val="0019605E"/>
    <w:rsid w:val="00196069"/>
    <w:rsid w:val="001960D3"/>
    <w:rsid w:val="00196130"/>
    <w:rsid w:val="00196140"/>
    <w:rsid w:val="00196170"/>
    <w:rsid w:val="00196184"/>
    <w:rsid w:val="001961B7"/>
    <w:rsid w:val="001961D3"/>
    <w:rsid w:val="001961EE"/>
    <w:rsid w:val="00196222"/>
    <w:rsid w:val="0019623A"/>
    <w:rsid w:val="00196247"/>
    <w:rsid w:val="00196270"/>
    <w:rsid w:val="0019633B"/>
    <w:rsid w:val="0019640B"/>
    <w:rsid w:val="001964AE"/>
    <w:rsid w:val="001965B3"/>
    <w:rsid w:val="001965BA"/>
    <w:rsid w:val="001965D5"/>
    <w:rsid w:val="001965E8"/>
    <w:rsid w:val="00196609"/>
    <w:rsid w:val="001966C6"/>
    <w:rsid w:val="001966CF"/>
    <w:rsid w:val="001966E1"/>
    <w:rsid w:val="001966FD"/>
    <w:rsid w:val="00196775"/>
    <w:rsid w:val="00196851"/>
    <w:rsid w:val="0019686B"/>
    <w:rsid w:val="00196874"/>
    <w:rsid w:val="001968B8"/>
    <w:rsid w:val="00196934"/>
    <w:rsid w:val="001969EB"/>
    <w:rsid w:val="00196A0D"/>
    <w:rsid w:val="00196AE5"/>
    <w:rsid w:val="00196B53"/>
    <w:rsid w:val="00196B7F"/>
    <w:rsid w:val="00196B9A"/>
    <w:rsid w:val="00196C18"/>
    <w:rsid w:val="00196D0B"/>
    <w:rsid w:val="00196D54"/>
    <w:rsid w:val="00196DA1"/>
    <w:rsid w:val="00196DE5"/>
    <w:rsid w:val="00196E1E"/>
    <w:rsid w:val="00196E23"/>
    <w:rsid w:val="00196EE3"/>
    <w:rsid w:val="00196F1F"/>
    <w:rsid w:val="00196FB0"/>
    <w:rsid w:val="00196FF2"/>
    <w:rsid w:val="0019700F"/>
    <w:rsid w:val="0019716B"/>
    <w:rsid w:val="0019719E"/>
    <w:rsid w:val="00197216"/>
    <w:rsid w:val="00197225"/>
    <w:rsid w:val="001972FC"/>
    <w:rsid w:val="001972FE"/>
    <w:rsid w:val="00197348"/>
    <w:rsid w:val="001974DA"/>
    <w:rsid w:val="00197551"/>
    <w:rsid w:val="0019757D"/>
    <w:rsid w:val="0019758E"/>
    <w:rsid w:val="0019760B"/>
    <w:rsid w:val="0019760D"/>
    <w:rsid w:val="00197652"/>
    <w:rsid w:val="00197681"/>
    <w:rsid w:val="00197731"/>
    <w:rsid w:val="00197757"/>
    <w:rsid w:val="00197784"/>
    <w:rsid w:val="001977A3"/>
    <w:rsid w:val="00197915"/>
    <w:rsid w:val="00197937"/>
    <w:rsid w:val="00197941"/>
    <w:rsid w:val="001979A7"/>
    <w:rsid w:val="001979A9"/>
    <w:rsid w:val="001979AD"/>
    <w:rsid w:val="00197A73"/>
    <w:rsid w:val="00197A90"/>
    <w:rsid w:val="00197B48"/>
    <w:rsid w:val="00197B8A"/>
    <w:rsid w:val="00197BA9"/>
    <w:rsid w:val="00197C28"/>
    <w:rsid w:val="00197CA9"/>
    <w:rsid w:val="00197CE4"/>
    <w:rsid w:val="00197D7A"/>
    <w:rsid w:val="00197E4C"/>
    <w:rsid w:val="00197E8E"/>
    <w:rsid w:val="00197ED4"/>
    <w:rsid w:val="001A002E"/>
    <w:rsid w:val="001A00F0"/>
    <w:rsid w:val="001A010F"/>
    <w:rsid w:val="001A0130"/>
    <w:rsid w:val="001A0180"/>
    <w:rsid w:val="001A01BC"/>
    <w:rsid w:val="001A01FB"/>
    <w:rsid w:val="001A0210"/>
    <w:rsid w:val="001A02E0"/>
    <w:rsid w:val="001A0312"/>
    <w:rsid w:val="001A0482"/>
    <w:rsid w:val="001A04A6"/>
    <w:rsid w:val="001A0522"/>
    <w:rsid w:val="001A057A"/>
    <w:rsid w:val="001A05BB"/>
    <w:rsid w:val="001A063E"/>
    <w:rsid w:val="001A0650"/>
    <w:rsid w:val="001A066A"/>
    <w:rsid w:val="001A06C9"/>
    <w:rsid w:val="001A074F"/>
    <w:rsid w:val="001A0774"/>
    <w:rsid w:val="001A0780"/>
    <w:rsid w:val="001A082D"/>
    <w:rsid w:val="001A0882"/>
    <w:rsid w:val="001A088D"/>
    <w:rsid w:val="001A0892"/>
    <w:rsid w:val="001A090A"/>
    <w:rsid w:val="001A0916"/>
    <w:rsid w:val="001A093D"/>
    <w:rsid w:val="001A097C"/>
    <w:rsid w:val="001A09B0"/>
    <w:rsid w:val="001A09D0"/>
    <w:rsid w:val="001A09D2"/>
    <w:rsid w:val="001A0A5D"/>
    <w:rsid w:val="001A0A61"/>
    <w:rsid w:val="001A0AA9"/>
    <w:rsid w:val="001A0AAC"/>
    <w:rsid w:val="001A0AEB"/>
    <w:rsid w:val="001A0B1B"/>
    <w:rsid w:val="001A0BD9"/>
    <w:rsid w:val="001A0C16"/>
    <w:rsid w:val="001A0C47"/>
    <w:rsid w:val="001A0C74"/>
    <w:rsid w:val="001A0C79"/>
    <w:rsid w:val="001A0CAA"/>
    <w:rsid w:val="001A0CD1"/>
    <w:rsid w:val="001A0CF9"/>
    <w:rsid w:val="001A0D2A"/>
    <w:rsid w:val="001A0D3F"/>
    <w:rsid w:val="001A0D60"/>
    <w:rsid w:val="001A0DB8"/>
    <w:rsid w:val="001A0DDB"/>
    <w:rsid w:val="001A0DE4"/>
    <w:rsid w:val="001A0F36"/>
    <w:rsid w:val="001A0FEE"/>
    <w:rsid w:val="001A103F"/>
    <w:rsid w:val="001A1148"/>
    <w:rsid w:val="001A1364"/>
    <w:rsid w:val="001A138E"/>
    <w:rsid w:val="001A1403"/>
    <w:rsid w:val="001A14BC"/>
    <w:rsid w:val="001A154E"/>
    <w:rsid w:val="001A156E"/>
    <w:rsid w:val="001A15CF"/>
    <w:rsid w:val="001A1601"/>
    <w:rsid w:val="001A170E"/>
    <w:rsid w:val="001A1720"/>
    <w:rsid w:val="001A173B"/>
    <w:rsid w:val="001A18CC"/>
    <w:rsid w:val="001A194B"/>
    <w:rsid w:val="001A1A46"/>
    <w:rsid w:val="001A1A82"/>
    <w:rsid w:val="001A1AB8"/>
    <w:rsid w:val="001A1B00"/>
    <w:rsid w:val="001A1B71"/>
    <w:rsid w:val="001A1BA7"/>
    <w:rsid w:val="001A1BE5"/>
    <w:rsid w:val="001A1D0F"/>
    <w:rsid w:val="001A1E54"/>
    <w:rsid w:val="001A1E73"/>
    <w:rsid w:val="001A1E84"/>
    <w:rsid w:val="001A1EA6"/>
    <w:rsid w:val="001A1F77"/>
    <w:rsid w:val="001A1FE2"/>
    <w:rsid w:val="001A204B"/>
    <w:rsid w:val="001A2084"/>
    <w:rsid w:val="001A20A2"/>
    <w:rsid w:val="001A20B0"/>
    <w:rsid w:val="001A2126"/>
    <w:rsid w:val="001A2310"/>
    <w:rsid w:val="001A247D"/>
    <w:rsid w:val="001A2493"/>
    <w:rsid w:val="001A24C7"/>
    <w:rsid w:val="001A2511"/>
    <w:rsid w:val="001A25B9"/>
    <w:rsid w:val="001A2623"/>
    <w:rsid w:val="001A2679"/>
    <w:rsid w:val="001A26F9"/>
    <w:rsid w:val="001A2768"/>
    <w:rsid w:val="001A27F7"/>
    <w:rsid w:val="001A2958"/>
    <w:rsid w:val="001A29C5"/>
    <w:rsid w:val="001A29FB"/>
    <w:rsid w:val="001A2A2F"/>
    <w:rsid w:val="001A2AC9"/>
    <w:rsid w:val="001A2CA6"/>
    <w:rsid w:val="001A2E47"/>
    <w:rsid w:val="001A2E56"/>
    <w:rsid w:val="001A2EA1"/>
    <w:rsid w:val="001A2ED1"/>
    <w:rsid w:val="001A2F13"/>
    <w:rsid w:val="001A2F23"/>
    <w:rsid w:val="001A2F2E"/>
    <w:rsid w:val="001A2F73"/>
    <w:rsid w:val="001A2FAD"/>
    <w:rsid w:val="001A2FE4"/>
    <w:rsid w:val="001A301F"/>
    <w:rsid w:val="001A306A"/>
    <w:rsid w:val="001A3081"/>
    <w:rsid w:val="001A314B"/>
    <w:rsid w:val="001A31EA"/>
    <w:rsid w:val="001A320A"/>
    <w:rsid w:val="001A32FF"/>
    <w:rsid w:val="001A33DF"/>
    <w:rsid w:val="001A3417"/>
    <w:rsid w:val="001A351F"/>
    <w:rsid w:val="001A3597"/>
    <w:rsid w:val="001A35B9"/>
    <w:rsid w:val="001A35E0"/>
    <w:rsid w:val="001A35FD"/>
    <w:rsid w:val="001A363D"/>
    <w:rsid w:val="001A374D"/>
    <w:rsid w:val="001A37C4"/>
    <w:rsid w:val="001A3818"/>
    <w:rsid w:val="001A384D"/>
    <w:rsid w:val="001A3851"/>
    <w:rsid w:val="001A3AAD"/>
    <w:rsid w:val="001A3AB5"/>
    <w:rsid w:val="001A3AD8"/>
    <w:rsid w:val="001A3B43"/>
    <w:rsid w:val="001A3B70"/>
    <w:rsid w:val="001A3B91"/>
    <w:rsid w:val="001A3BB3"/>
    <w:rsid w:val="001A3C4C"/>
    <w:rsid w:val="001A3C9A"/>
    <w:rsid w:val="001A3D82"/>
    <w:rsid w:val="001A3DBA"/>
    <w:rsid w:val="001A3DDC"/>
    <w:rsid w:val="001A3DF0"/>
    <w:rsid w:val="001A3DF7"/>
    <w:rsid w:val="001A3ECA"/>
    <w:rsid w:val="001A3EFB"/>
    <w:rsid w:val="001A3EFF"/>
    <w:rsid w:val="001A3F1D"/>
    <w:rsid w:val="001A3F2E"/>
    <w:rsid w:val="001A403E"/>
    <w:rsid w:val="001A4164"/>
    <w:rsid w:val="001A4179"/>
    <w:rsid w:val="001A4198"/>
    <w:rsid w:val="001A431A"/>
    <w:rsid w:val="001A4326"/>
    <w:rsid w:val="001A434D"/>
    <w:rsid w:val="001A435C"/>
    <w:rsid w:val="001A43B3"/>
    <w:rsid w:val="001A452E"/>
    <w:rsid w:val="001A4541"/>
    <w:rsid w:val="001A4659"/>
    <w:rsid w:val="001A4789"/>
    <w:rsid w:val="001A4882"/>
    <w:rsid w:val="001A489D"/>
    <w:rsid w:val="001A48AA"/>
    <w:rsid w:val="001A48C3"/>
    <w:rsid w:val="001A48C6"/>
    <w:rsid w:val="001A48F3"/>
    <w:rsid w:val="001A4900"/>
    <w:rsid w:val="001A499C"/>
    <w:rsid w:val="001A4A30"/>
    <w:rsid w:val="001A4A5C"/>
    <w:rsid w:val="001A4A66"/>
    <w:rsid w:val="001A4A67"/>
    <w:rsid w:val="001A4B0A"/>
    <w:rsid w:val="001A4C94"/>
    <w:rsid w:val="001A4CF8"/>
    <w:rsid w:val="001A4D77"/>
    <w:rsid w:val="001A4E5E"/>
    <w:rsid w:val="001A4E9B"/>
    <w:rsid w:val="001A4E9F"/>
    <w:rsid w:val="001A4F99"/>
    <w:rsid w:val="001A507E"/>
    <w:rsid w:val="001A50D7"/>
    <w:rsid w:val="001A5291"/>
    <w:rsid w:val="001A52D3"/>
    <w:rsid w:val="001A52DD"/>
    <w:rsid w:val="001A530F"/>
    <w:rsid w:val="001A5315"/>
    <w:rsid w:val="001A54AB"/>
    <w:rsid w:val="001A5574"/>
    <w:rsid w:val="001A5609"/>
    <w:rsid w:val="001A563A"/>
    <w:rsid w:val="001A567C"/>
    <w:rsid w:val="001A56C6"/>
    <w:rsid w:val="001A56CB"/>
    <w:rsid w:val="001A571B"/>
    <w:rsid w:val="001A5753"/>
    <w:rsid w:val="001A576F"/>
    <w:rsid w:val="001A5788"/>
    <w:rsid w:val="001A585A"/>
    <w:rsid w:val="001A5888"/>
    <w:rsid w:val="001A5957"/>
    <w:rsid w:val="001A5A45"/>
    <w:rsid w:val="001A5A5F"/>
    <w:rsid w:val="001A5AC0"/>
    <w:rsid w:val="001A5ADF"/>
    <w:rsid w:val="001A5B64"/>
    <w:rsid w:val="001A5BB4"/>
    <w:rsid w:val="001A5C5C"/>
    <w:rsid w:val="001A5CC8"/>
    <w:rsid w:val="001A5D36"/>
    <w:rsid w:val="001A5DB3"/>
    <w:rsid w:val="001A5EFF"/>
    <w:rsid w:val="001A5F38"/>
    <w:rsid w:val="001A5F7C"/>
    <w:rsid w:val="001A5F7F"/>
    <w:rsid w:val="001A5F9A"/>
    <w:rsid w:val="001A6025"/>
    <w:rsid w:val="001A60AB"/>
    <w:rsid w:val="001A612E"/>
    <w:rsid w:val="001A6165"/>
    <w:rsid w:val="001A6214"/>
    <w:rsid w:val="001A6218"/>
    <w:rsid w:val="001A6332"/>
    <w:rsid w:val="001A6394"/>
    <w:rsid w:val="001A644E"/>
    <w:rsid w:val="001A64EA"/>
    <w:rsid w:val="001A656F"/>
    <w:rsid w:val="001A6588"/>
    <w:rsid w:val="001A66A6"/>
    <w:rsid w:val="001A66A8"/>
    <w:rsid w:val="001A67AA"/>
    <w:rsid w:val="001A682B"/>
    <w:rsid w:val="001A6854"/>
    <w:rsid w:val="001A6863"/>
    <w:rsid w:val="001A693A"/>
    <w:rsid w:val="001A694C"/>
    <w:rsid w:val="001A69EC"/>
    <w:rsid w:val="001A6AD5"/>
    <w:rsid w:val="001A6BE0"/>
    <w:rsid w:val="001A6C10"/>
    <w:rsid w:val="001A6CFE"/>
    <w:rsid w:val="001A6D1C"/>
    <w:rsid w:val="001A6DC3"/>
    <w:rsid w:val="001A6E83"/>
    <w:rsid w:val="001A6EAC"/>
    <w:rsid w:val="001A6ED7"/>
    <w:rsid w:val="001A6F35"/>
    <w:rsid w:val="001A6FB4"/>
    <w:rsid w:val="001A6FD9"/>
    <w:rsid w:val="001A6FDA"/>
    <w:rsid w:val="001A6FFC"/>
    <w:rsid w:val="001A6FFE"/>
    <w:rsid w:val="001A70ED"/>
    <w:rsid w:val="001A7134"/>
    <w:rsid w:val="001A7230"/>
    <w:rsid w:val="001A7236"/>
    <w:rsid w:val="001A7282"/>
    <w:rsid w:val="001A7350"/>
    <w:rsid w:val="001A73E6"/>
    <w:rsid w:val="001A742F"/>
    <w:rsid w:val="001A7461"/>
    <w:rsid w:val="001A746C"/>
    <w:rsid w:val="001A753C"/>
    <w:rsid w:val="001A75F1"/>
    <w:rsid w:val="001A76E1"/>
    <w:rsid w:val="001A77D1"/>
    <w:rsid w:val="001A7828"/>
    <w:rsid w:val="001A784A"/>
    <w:rsid w:val="001A795E"/>
    <w:rsid w:val="001A7A1F"/>
    <w:rsid w:val="001A7A25"/>
    <w:rsid w:val="001A7B7F"/>
    <w:rsid w:val="001A7BB9"/>
    <w:rsid w:val="001A7C7C"/>
    <w:rsid w:val="001A7CAC"/>
    <w:rsid w:val="001A7CE8"/>
    <w:rsid w:val="001A7D2C"/>
    <w:rsid w:val="001A7D5F"/>
    <w:rsid w:val="001A7E6A"/>
    <w:rsid w:val="001A7ECF"/>
    <w:rsid w:val="001A7F0F"/>
    <w:rsid w:val="001A7F6C"/>
    <w:rsid w:val="001B0049"/>
    <w:rsid w:val="001B009E"/>
    <w:rsid w:val="001B00A5"/>
    <w:rsid w:val="001B00C6"/>
    <w:rsid w:val="001B00E1"/>
    <w:rsid w:val="001B0136"/>
    <w:rsid w:val="001B01DA"/>
    <w:rsid w:val="001B0210"/>
    <w:rsid w:val="001B03EC"/>
    <w:rsid w:val="001B043A"/>
    <w:rsid w:val="001B0440"/>
    <w:rsid w:val="001B0489"/>
    <w:rsid w:val="001B05DC"/>
    <w:rsid w:val="001B060A"/>
    <w:rsid w:val="001B0650"/>
    <w:rsid w:val="001B067D"/>
    <w:rsid w:val="001B06EE"/>
    <w:rsid w:val="001B06FA"/>
    <w:rsid w:val="001B072D"/>
    <w:rsid w:val="001B0773"/>
    <w:rsid w:val="001B0774"/>
    <w:rsid w:val="001B07DA"/>
    <w:rsid w:val="001B081F"/>
    <w:rsid w:val="001B084D"/>
    <w:rsid w:val="001B0979"/>
    <w:rsid w:val="001B0A4D"/>
    <w:rsid w:val="001B0A7C"/>
    <w:rsid w:val="001B0B9B"/>
    <w:rsid w:val="001B0BEA"/>
    <w:rsid w:val="001B0C00"/>
    <w:rsid w:val="001B0C4B"/>
    <w:rsid w:val="001B0C52"/>
    <w:rsid w:val="001B0CCB"/>
    <w:rsid w:val="001B0DB1"/>
    <w:rsid w:val="001B0DB8"/>
    <w:rsid w:val="001B0DBE"/>
    <w:rsid w:val="001B0DC1"/>
    <w:rsid w:val="001B0DCD"/>
    <w:rsid w:val="001B0E53"/>
    <w:rsid w:val="001B0EA3"/>
    <w:rsid w:val="001B0EE7"/>
    <w:rsid w:val="001B0FA0"/>
    <w:rsid w:val="001B108D"/>
    <w:rsid w:val="001B10D6"/>
    <w:rsid w:val="001B1142"/>
    <w:rsid w:val="001B1157"/>
    <w:rsid w:val="001B1195"/>
    <w:rsid w:val="001B11AC"/>
    <w:rsid w:val="001B11CC"/>
    <w:rsid w:val="001B12B6"/>
    <w:rsid w:val="001B12E9"/>
    <w:rsid w:val="001B136B"/>
    <w:rsid w:val="001B142E"/>
    <w:rsid w:val="001B15BC"/>
    <w:rsid w:val="001B15D7"/>
    <w:rsid w:val="001B1606"/>
    <w:rsid w:val="001B17E7"/>
    <w:rsid w:val="001B1806"/>
    <w:rsid w:val="001B180C"/>
    <w:rsid w:val="001B1878"/>
    <w:rsid w:val="001B1902"/>
    <w:rsid w:val="001B1A10"/>
    <w:rsid w:val="001B1AA6"/>
    <w:rsid w:val="001B1AC4"/>
    <w:rsid w:val="001B1AF6"/>
    <w:rsid w:val="001B1B0C"/>
    <w:rsid w:val="001B1B7E"/>
    <w:rsid w:val="001B1B99"/>
    <w:rsid w:val="001B1C24"/>
    <w:rsid w:val="001B1C84"/>
    <w:rsid w:val="001B1D25"/>
    <w:rsid w:val="001B1EE1"/>
    <w:rsid w:val="001B1F9B"/>
    <w:rsid w:val="001B2006"/>
    <w:rsid w:val="001B2032"/>
    <w:rsid w:val="001B2063"/>
    <w:rsid w:val="001B2076"/>
    <w:rsid w:val="001B2128"/>
    <w:rsid w:val="001B2164"/>
    <w:rsid w:val="001B21FD"/>
    <w:rsid w:val="001B2267"/>
    <w:rsid w:val="001B2299"/>
    <w:rsid w:val="001B23ED"/>
    <w:rsid w:val="001B248F"/>
    <w:rsid w:val="001B250F"/>
    <w:rsid w:val="001B25BD"/>
    <w:rsid w:val="001B2614"/>
    <w:rsid w:val="001B261C"/>
    <w:rsid w:val="001B2657"/>
    <w:rsid w:val="001B265B"/>
    <w:rsid w:val="001B2676"/>
    <w:rsid w:val="001B2694"/>
    <w:rsid w:val="001B272E"/>
    <w:rsid w:val="001B2755"/>
    <w:rsid w:val="001B27A9"/>
    <w:rsid w:val="001B27B9"/>
    <w:rsid w:val="001B27FD"/>
    <w:rsid w:val="001B2803"/>
    <w:rsid w:val="001B2852"/>
    <w:rsid w:val="001B2874"/>
    <w:rsid w:val="001B28A0"/>
    <w:rsid w:val="001B28C8"/>
    <w:rsid w:val="001B2946"/>
    <w:rsid w:val="001B29DD"/>
    <w:rsid w:val="001B2A48"/>
    <w:rsid w:val="001B2AC7"/>
    <w:rsid w:val="001B2B32"/>
    <w:rsid w:val="001B2B39"/>
    <w:rsid w:val="001B2B58"/>
    <w:rsid w:val="001B2BD1"/>
    <w:rsid w:val="001B2BE6"/>
    <w:rsid w:val="001B2C9F"/>
    <w:rsid w:val="001B2CC7"/>
    <w:rsid w:val="001B2D41"/>
    <w:rsid w:val="001B2D4D"/>
    <w:rsid w:val="001B2E44"/>
    <w:rsid w:val="001B2E94"/>
    <w:rsid w:val="001B2EC0"/>
    <w:rsid w:val="001B2FA0"/>
    <w:rsid w:val="001B2FA3"/>
    <w:rsid w:val="001B300B"/>
    <w:rsid w:val="001B303B"/>
    <w:rsid w:val="001B3106"/>
    <w:rsid w:val="001B3117"/>
    <w:rsid w:val="001B3160"/>
    <w:rsid w:val="001B316F"/>
    <w:rsid w:val="001B3182"/>
    <w:rsid w:val="001B318E"/>
    <w:rsid w:val="001B31C7"/>
    <w:rsid w:val="001B3255"/>
    <w:rsid w:val="001B3273"/>
    <w:rsid w:val="001B330A"/>
    <w:rsid w:val="001B3398"/>
    <w:rsid w:val="001B3431"/>
    <w:rsid w:val="001B34A5"/>
    <w:rsid w:val="001B3501"/>
    <w:rsid w:val="001B3575"/>
    <w:rsid w:val="001B3578"/>
    <w:rsid w:val="001B368F"/>
    <w:rsid w:val="001B3717"/>
    <w:rsid w:val="001B3731"/>
    <w:rsid w:val="001B3777"/>
    <w:rsid w:val="001B37F5"/>
    <w:rsid w:val="001B37FC"/>
    <w:rsid w:val="001B3862"/>
    <w:rsid w:val="001B3885"/>
    <w:rsid w:val="001B393D"/>
    <w:rsid w:val="001B39AD"/>
    <w:rsid w:val="001B39C0"/>
    <w:rsid w:val="001B3A08"/>
    <w:rsid w:val="001B3A1A"/>
    <w:rsid w:val="001B3A33"/>
    <w:rsid w:val="001B3AA4"/>
    <w:rsid w:val="001B3B24"/>
    <w:rsid w:val="001B3B28"/>
    <w:rsid w:val="001B3B2B"/>
    <w:rsid w:val="001B3C8B"/>
    <w:rsid w:val="001B3C97"/>
    <w:rsid w:val="001B3C9B"/>
    <w:rsid w:val="001B3CC4"/>
    <w:rsid w:val="001B3D39"/>
    <w:rsid w:val="001B3DB0"/>
    <w:rsid w:val="001B3E34"/>
    <w:rsid w:val="001B3E53"/>
    <w:rsid w:val="001B3EC4"/>
    <w:rsid w:val="001B3F4F"/>
    <w:rsid w:val="001B3F74"/>
    <w:rsid w:val="001B3FDF"/>
    <w:rsid w:val="001B4019"/>
    <w:rsid w:val="001B4091"/>
    <w:rsid w:val="001B413C"/>
    <w:rsid w:val="001B41AB"/>
    <w:rsid w:val="001B41CD"/>
    <w:rsid w:val="001B422C"/>
    <w:rsid w:val="001B4234"/>
    <w:rsid w:val="001B437C"/>
    <w:rsid w:val="001B446F"/>
    <w:rsid w:val="001B455D"/>
    <w:rsid w:val="001B45A9"/>
    <w:rsid w:val="001B45DA"/>
    <w:rsid w:val="001B45E3"/>
    <w:rsid w:val="001B463B"/>
    <w:rsid w:val="001B4649"/>
    <w:rsid w:val="001B4655"/>
    <w:rsid w:val="001B46CE"/>
    <w:rsid w:val="001B470A"/>
    <w:rsid w:val="001B47B6"/>
    <w:rsid w:val="001B484F"/>
    <w:rsid w:val="001B4889"/>
    <w:rsid w:val="001B48FA"/>
    <w:rsid w:val="001B4920"/>
    <w:rsid w:val="001B49CA"/>
    <w:rsid w:val="001B49CC"/>
    <w:rsid w:val="001B4A4C"/>
    <w:rsid w:val="001B4A5A"/>
    <w:rsid w:val="001B4A5C"/>
    <w:rsid w:val="001B4A7E"/>
    <w:rsid w:val="001B4C5E"/>
    <w:rsid w:val="001B4C86"/>
    <w:rsid w:val="001B4E1A"/>
    <w:rsid w:val="001B4E56"/>
    <w:rsid w:val="001B4ED8"/>
    <w:rsid w:val="001B4F32"/>
    <w:rsid w:val="001B5057"/>
    <w:rsid w:val="001B5063"/>
    <w:rsid w:val="001B508A"/>
    <w:rsid w:val="001B50AE"/>
    <w:rsid w:val="001B50BD"/>
    <w:rsid w:val="001B50C4"/>
    <w:rsid w:val="001B5114"/>
    <w:rsid w:val="001B516D"/>
    <w:rsid w:val="001B5180"/>
    <w:rsid w:val="001B5242"/>
    <w:rsid w:val="001B528E"/>
    <w:rsid w:val="001B5291"/>
    <w:rsid w:val="001B5295"/>
    <w:rsid w:val="001B52BC"/>
    <w:rsid w:val="001B538C"/>
    <w:rsid w:val="001B53B9"/>
    <w:rsid w:val="001B546D"/>
    <w:rsid w:val="001B54AE"/>
    <w:rsid w:val="001B55E5"/>
    <w:rsid w:val="001B563A"/>
    <w:rsid w:val="001B5661"/>
    <w:rsid w:val="001B569E"/>
    <w:rsid w:val="001B56BA"/>
    <w:rsid w:val="001B56BD"/>
    <w:rsid w:val="001B5703"/>
    <w:rsid w:val="001B57E2"/>
    <w:rsid w:val="001B5819"/>
    <w:rsid w:val="001B5847"/>
    <w:rsid w:val="001B5878"/>
    <w:rsid w:val="001B58A4"/>
    <w:rsid w:val="001B58EA"/>
    <w:rsid w:val="001B59B9"/>
    <w:rsid w:val="001B59F8"/>
    <w:rsid w:val="001B5AE8"/>
    <w:rsid w:val="001B5D58"/>
    <w:rsid w:val="001B5DA9"/>
    <w:rsid w:val="001B5DC6"/>
    <w:rsid w:val="001B5DF9"/>
    <w:rsid w:val="001B5E9B"/>
    <w:rsid w:val="001B5EFC"/>
    <w:rsid w:val="001B5F5C"/>
    <w:rsid w:val="001B6055"/>
    <w:rsid w:val="001B6061"/>
    <w:rsid w:val="001B60CD"/>
    <w:rsid w:val="001B60E1"/>
    <w:rsid w:val="001B6166"/>
    <w:rsid w:val="001B619E"/>
    <w:rsid w:val="001B6203"/>
    <w:rsid w:val="001B626B"/>
    <w:rsid w:val="001B6270"/>
    <w:rsid w:val="001B62B4"/>
    <w:rsid w:val="001B6331"/>
    <w:rsid w:val="001B63AD"/>
    <w:rsid w:val="001B642D"/>
    <w:rsid w:val="001B644B"/>
    <w:rsid w:val="001B6457"/>
    <w:rsid w:val="001B646F"/>
    <w:rsid w:val="001B647B"/>
    <w:rsid w:val="001B64F7"/>
    <w:rsid w:val="001B6654"/>
    <w:rsid w:val="001B6660"/>
    <w:rsid w:val="001B66C0"/>
    <w:rsid w:val="001B679E"/>
    <w:rsid w:val="001B67BD"/>
    <w:rsid w:val="001B67EC"/>
    <w:rsid w:val="001B6812"/>
    <w:rsid w:val="001B6936"/>
    <w:rsid w:val="001B69F3"/>
    <w:rsid w:val="001B69FD"/>
    <w:rsid w:val="001B6A87"/>
    <w:rsid w:val="001B6AA4"/>
    <w:rsid w:val="001B6B06"/>
    <w:rsid w:val="001B6B18"/>
    <w:rsid w:val="001B6B24"/>
    <w:rsid w:val="001B6B51"/>
    <w:rsid w:val="001B6BDA"/>
    <w:rsid w:val="001B6BF6"/>
    <w:rsid w:val="001B6C7A"/>
    <w:rsid w:val="001B6D0D"/>
    <w:rsid w:val="001B6EA1"/>
    <w:rsid w:val="001B6EDD"/>
    <w:rsid w:val="001B6F31"/>
    <w:rsid w:val="001B6F34"/>
    <w:rsid w:val="001B6F6C"/>
    <w:rsid w:val="001B6F7B"/>
    <w:rsid w:val="001B6F7C"/>
    <w:rsid w:val="001B70D3"/>
    <w:rsid w:val="001B7137"/>
    <w:rsid w:val="001B71BB"/>
    <w:rsid w:val="001B722B"/>
    <w:rsid w:val="001B7453"/>
    <w:rsid w:val="001B75BC"/>
    <w:rsid w:val="001B75BD"/>
    <w:rsid w:val="001B75F5"/>
    <w:rsid w:val="001B7625"/>
    <w:rsid w:val="001B764E"/>
    <w:rsid w:val="001B7658"/>
    <w:rsid w:val="001B769D"/>
    <w:rsid w:val="001B770C"/>
    <w:rsid w:val="001B775C"/>
    <w:rsid w:val="001B7761"/>
    <w:rsid w:val="001B7818"/>
    <w:rsid w:val="001B78A2"/>
    <w:rsid w:val="001B7911"/>
    <w:rsid w:val="001B798C"/>
    <w:rsid w:val="001B7A2A"/>
    <w:rsid w:val="001B7A30"/>
    <w:rsid w:val="001B7A40"/>
    <w:rsid w:val="001B7ABA"/>
    <w:rsid w:val="001B7AE0"/>
    <w:rsid w:val="001B7AED"/>
    <w:rsid w:val="001B7B13"/>
    <w:rsid w:val="001B7B30"/>
    <w:rsid w:val="001B7D67"/>
    <w:rsid w:val="001B7D80"/>
    <w:rsid w:val="001B7E78"/>
    <w:rsid w:val="001B7EDB"/>
    <w:rsid w:val="001B7F0B"/>
    <w:rsid w:val="001B7F3E"/>
    <w:rsid w:val="001B7F4F"/>
    <w:rsid w:val="001B7FC3"/>
    <w:rsid w:val="001B7FCF"/>
    <w:rsid w:val="001C0052"/>
    <w:rsid w:val="001C0099"/>
    <w:rsid w:val="001C0174"/>
    <w:rsid w:val="001C0198"/>
    <w:rsid w:val="001C01A1"/>
    <w:rsid w:val="001C0250"/>
    <w:rsid w:val="001C031E"/>
    <w:rsid w:val="001C03E9"/>
    <w:rsid w:val="001C0446"/>
    <w:rsid w:val="001C0577"/>
    <w:rsid w:val="001C05A2"/>
    <w:rsid w:val="001C05C9"/>
    <w:rsid w:val="001C0603"/>
    <w:rsid w:val="001C06B4"/>
    <w:rsid w:val="001C06E1"/>
    <w:rsid w:val="001C070B"/>
    <w:rsid w:val="001C0753"/>
    <w:rsid w:val="001C0754"/>
    <w:rsid w:val="001C0797"/>
    <w:rsid w:val="001C079D"/>
    <w:rsid w:val="001C0824"/>
    <w:rsid w:val="001C0840"/>
    <w:rsid w:val="001C0893"/>
    <w:rsid w:val="001C08D2"/>
    <w:rsid w:val="001C0960"/>
    <w:rsid w:val="001C0966"/>
    <w:rsid w:val="001C096A"/>
    <w:rsid w:val="001C0A2D"/>
    <w:rsid w:val="001C0A77"/>
    <w:rsid w:val="001C0A82"/>
    <w:rsid w:val="001C0A84"/>
    <w:rsid w:val="001C0B5B"/>
    <w:rsid w:val="001C0C83"/>
    <w:rsid w:val="001C0CA2"/>
    <w:rsid w:val="001C0CCE"/>
    <w:rsid w:val="001C0E00"/>
    <w:rsid w:val="001C0F76"/>
    <w:rsid w:val="001C0FDE"/>
    <w:rsid w:val="001C0FFA"/>
    <w:rsid w:val="001C1026"/>
    <w:rsid w:val="001C107E"/>
    <w:rsid w:val="001C1086"/>
    <w:rsid w:val="001C117D"/>
    <w:rsid w:val="001C11D0"/>
    <w:rsid w:val="001C1341"/>
    <w:rsid w:val="001C1443"/>
    <w:rsid w:val="001C14CA"/>
    <w:rsid w:val="001C1504"/>
    <w:rsid w:val="001C1556"/>
    <w:rsid w:val="001C1624"/>
    <w:rsid w:val="001C1632"/>
    <w:rsid w:val="001C1638"/>
    <w:rsid w:val="001C1643"/>
    <w:rsid w:val="001C165F"/>
    <w:rsid w:val="001C1675"/>
    <w:rsid w:val="001C1693"/>
    <w:rsid w:val="001C16D0"/>
    <w:rsid w:val="001C17AA"/>
    <w:rsid w:val="001C17AE"/>
    <w:rsid w:val="001C190F"/>
    <w:rsid w:val="001C19CC"/>
    <w:rsid w:val="001C19D4"/>
    <w:rsid w:val="001C1A26"/>
    <w:rsid w:val="001C1A32"/>
    <w:rsid w:val="001C1AA8"/>
    <w:rsid w:val="001C1AC5"/>
    <w:rsid w:val="001C1ADA"/>
    <w:rsid w:val="001C1AE1"/>
    <w:rsid w:val="001C1BCB"/>
    <w:rsid w:val="001C1C28"/>
    <w:rsid w:val="001C1C37"/>
    <w:rsid w:val="001C1C6D"/>
    <w:rsid w:val="001C1CA4"/>
    <w:rsid w:val="001C1CC3"/>
    <w:rsid w:val="001C1CD1"/>
    <w:rsid w:val="001C1CF9"/>
    <w:rsid w:val="001C1D2D"/>
    <w:rsid w:val="001C1D4E"/>
    <w:rsid w:val="001C1E5C"/>
    <w:rsid w:val="001C1E7B"/>
    <w:rsid w:val="001C1EC9"/>
    <w:rsid w:val="001C1EED"/>
    <w:rsid w:val="001C1F2C"/>
    <w:rsid w:val="001C209E"/>
    <w:rsid w:val="001C20E3"/>
    <w:rsid w:val="001C20F2"/>
    <w:rsid w:val="001C20F6"/>
    <w:rsid w:val="001C20F8"/>
    <w:rsid w:val="001C213E"/>
    <w:rsid w:val="001C21D9"/>
    <w:rsid w:val="001C221E"/>
    <w:rsid w:val="001C2285"/>
    <w:rsid w:val="001C2290"/>
    <w:rsid w:val="001C2307"/>
    <w:rsid w:val="001C23BA"/>
    <w:rsid w:val="001C23C2"/>
    <w:rsid w:val="001C23CB"/>
    <w:rsid w:val="001C23D8"/>
    <w:rsid w:val="001C244B"/>
    <w:rsid w:val="001C2484"/>
    <w:rsid w:val="001C2506"/>
    <w:rsid w:val="001C25A6"/>
    <w:rsid w:val="001C25D2"/>
    <w:rsid w:val="001C25E2"/>
    <w:rsid w:val="001C2658"/>
    <w:rsid w:val="001C2681"/>
    <w:rsid w:val="001C26F8"/>
    <w:rsid w:val="001C2754"/>
    <w:rsid w:val="001C280D"/>
    <w:rsid w:val="001C2872"/>
    <w:rsid w:val="001C2897"/>
    <w:rsid w:val="001C290D"/>
    <w:rsid w:val="001C29C3"/>
    <w:rsid w:val="001C29C7"/>
    <w:rsid w:val="001C29F5"/>
    <w:rsid w:val="001C2ADB"/>
    <w:rsid w:val="001C2AE3"/>
    <w:rsid w:val="001C2BB7"/>
    <w:rsid w:val="001C2BEF"/>
    <w:rsid w:val="001C2BF6"/>
    <w:rsid w:val="001C2BFB"/>
    <w:rsid w:val="001C2C42"/>
    <w:rsid w:val="001C2C57"/>
    <w:rsid w:val="001C2C6A"/>
    <w:rsid w:val="001C2CAE"/>
    <w:rsid w:val="001C2CE2"/>
    <w:rsid w:val="001C2CF5"/>
    <w:rsid w:val="001C2D02"/>
    <w:rsid w:val="001C2D55"/>
    <w:rsid w:val="001C2D5D"/>
    <w:rsid w:val="001C2E19"/>
    <w:rsid w:val="001C2E26"/>
    <w:rsid w:val="001C2F0C"/>
    <w:rsid w:val="001C2F62"/>
    <w:rsid w:val="001C2F81"/>
    <w:rsid w:val="001C3071"/>
    <w:rsid w:val="001C30A2"/>
    <w:rsid w:val="001C3104"/>
    <w:rsid w:val="001C31A3"/>
    <w:rsid w:val="001C31B0"/>
    <w:rsid w:val="001C31D1"/>
    <w:rsid w:val="001C3223"/>
    <w:rsid w:val="001C32C4"/>
    <w:rsid w:val="001C32E7"/>
    <w:rsid w:val="001C3374"/>
    <w:rsid w:val="001C3377"/>
    <w:rsid w:val="001C33F4"/>
    <w:rsid w:val="001C351F"/>
    <w:rsid w:val="001C355A"/>
    <w:rsid w:val="001C3592"/>
    <w:rsid w:val="001C35F1"/>
    <w:rsid w:val="001C361B"/>
    <w:rsid w:val="001C3636"/>
    <w:rsid w:val="001C3717"/>
    <w:rsid w:val="001C389D"/>
    <w:rsid w:val="001C38AB"/>
    <w:rsid w:val="001C38B9"/>
    <w:rsid w:val="001C38C9"/>
    <w:rsid w:val="001C3980"/>
    <w:rsid w:val="001C39BB"/>
    <w:rsid w:val="001C39DE"/>
    <w:rsid w:val="001C3A08"/>
    <w:rsid w:val="001C3A12"/>
    <w:rsid w:val="001C3AF0"/>
    <w:rsid w:val="001C3B01"/>
    <w:rsid w:val="001C3B6E"/>
    <w:rsid w:val="001C3B7A"/>
    <w:rsid w:val="001C3BD6"/>
    <w:rsid w:val="001C3BFF"/>
    <w:rsid w:val="001C3D8E"/>
    <w:rsid w:val="001C3E37"/>
    <w:rsid w:val="001C3E4F"/>
    <w:rsid w:val="001C3EAA"/>
    <w:rsid w:val="001C3F00"/>
    <w:rsid w:val="001C4044"/>
    <w:rsid w:val="001C4069"/>
    <w:rsid w:val="001C409C"/>
    <w:rsid w:val="001C40CD"/>
    <w:rsid w:val="001C411C"/>
    <w:rsid w:val="001C416F"/>
    <w:rsid w:val="001C421C"/>
    <w:rsid w:val="001C4227"/>
    <w:rsid w:val="001C425F"/>
    <w:rsid w:val="001C4362"/>
    <w:rsid w:val="001C436C"/>
    <w:rsid w:val="001C4379"/>
    <w:rsid w:val="001C43D1"/>
    <w:rsid w:val="001C458B"/>
    <w:rsid w:val="001C46A8"/>
    <w:rsid w:val="001C46DC"/>
    <w:rsid w:val="001C474A"/>
    <w:rsid w:val="001C479E"/>
    <w:rsid w:val="001C47F7"/>
    <w:rsid w:val="001C4877"/>
    <w:rsid w:val="001C4897"/>
    <w:rsid w:val="001C48AC"/>
    <w:rsid w:val="001C4A66"/>
    <w:rsid w:val="001C4A8F"/>
    <w:rsid w:val="001C4A99"/>
    <w:rsid w:val="001C4AAA"/>
    <w:rsid w:val="001C4BE8"/>
    <w:rsid w:val="001C4CB0"/>
    <w:rsid w:val="001C4D33"/>
    <w:rsid w:val="001C4D82"/>
    <w:rsid w:val="001C4D90"/>
    <w:rsid w:val="001C4D97"/>
    <w:rsid w:val="001C4DC7"/>
    <w:rsid w:val="001C4DCE"/>
    <w:rsid w:val="001C4DD0"/>
    <w:rsid w:val="001C4DD6"/>
    <w:rsid w:val="001C4EFB"/>
    <w:rsid w:val="001C4F95"/>
    <w:rsid w:val="001C4FB6"/>
    <w:rsid w:val="001C4FF4"/>
    <w:rsid w:val="001C5103"/>
    <w:rsid w:val="001C5114"/>
    <w:rsid w:val="001C51C1"/>
    <w:rsid w:val="001C51CC"/>
    <w:rsid w:val="001C51D7"/>
    <w:rsid w:val="001C523E"/>
    <w:rsid w:val="001C528A"/>
    <w:rsid w:val="001C537A"/>
    <w:rsid w:val="001C538A"/>
    <w:rsid w:val="001C54E6"/>
    <w:rsid w:val="001C5526"/>
    <w:rsid w:val="001C5573"/>
    <w:rsid w:val="001C558D"/>
    <w:rsid w:val="001C55A9"/>
    <w:rsid w:val="001C5614"/>
    <w:rsid w:val="001C5671"/>
    <w:rsid w:val="001C56BD"/>
    <w:rsid w:val="001C56FF"/>
    <w:rsid w:val="001C5708"/>
    <w:rsid w:val="001C571F"/>
    <w:rsid w:val="001C5753"/>
    <w:rsid w:val="001C57D5"/>
    <w:rsid w:val="001C57EC"/>
    <w:rsid w:val="001C58A8"/>
    <w:rsid w:val="001C5A2A"/>
    <w:rsid w:val="001C5A4D"/>
    <w:rsid w:val="001C5AB4"/>
    <w:rsid w:val="001C5B46"/>
    <w:rsid w:val="001C5BB2"/>
    <w:rsid w:val="001C5BE3"/>
    <w:rsid w:val="001C5BFE"/>
    <w:rsid w:val="001C5C17"/>
    <w:rsid w:val="001C5C39"/>
    <w:rsid w:val="001C5C6D"/>
    <w:rsid w:val="001C5C9A"/>
    <w:rsid w:val="001C5CB2"/>
    <w:rsid w:val="001C5CF7"/>
    <w:rsid w:val="001C5D81"/>
    <w:rsid w:val="001C5EB7"/>
    <w:rsid w:val="001C5EEC"/>
    <w:rsid w:val="001C5F48"/>
    <w:rsid w:val="001C605D"/>
    <w:rsid w:val="001C60B1"/>
    <w:rsid w:val="001C6142"/>
    <w:rsid w:val="001C6162"/>
    <w:rsid w:val="001C617C"/>
    <w:rsid w:val="001C61CD"/>
    <w:rsid w:val="001C6338"/>
    <w:rsid w:val="001C6363"/>
    <w:rsid w:val="001C6435"/>
    <w:rsid w:val="001C644E"/>
    <w:rsid w:val="001C6458"/>
    <w:rsid w:val="001C645C"/>
    <w:rsid w:val="001C6482"/>
    <w:rsid w:val="001C64C7"/>
    <w:rsid w:val="001C661B"/>
    <w:rsid w:val="001C665F"/>
    <w:rsid w:val="001C668B"/>
    <w:rsid w:val="001C66F3"/>
    <w:rsid w:val="001C6725"/>
    <w:rsid w:val="001C6797"/>
    <w:rsid w:val="001C6831"/>
    <w:rsid w:val="001C685D"/>
    <w:rsid w:val="001C68D2"/>
    <w:rsid w:val="001C691D"/>
    <w:rsid w:val="001C6976"/>
    <w:rsid w:val="001C6A0C"/>
    <w:rsid w:val="001C6ACB"/>
    <w:rsid w:val="001C6B3A"/>
    <w:rsid w:val="001C6BC6"/>
    <w:rsid w:val="001C6C4D"/>
    <w:rsid w:val="001C6D2A"/>
    <w:rsid w:val="001C6D88"/>
    <w:rsid w:val="001C6DDF"/>
    <w:rsid w:val="001C6E00"/>
    <w:rsid w:val="001C6EE4"/>
    <w:rsid w:val="001C6F1C"/>
    <w:rsid w:val="001C6FFC"/>
    <w:rsid w:val="001C6FFE"/>
    <w:rsid w:val="001C7048"/>
    <w:rsid w:val="001C705D"/>
    <w:rsid w:val="001C71CE"/>
    <w:rsid w:val="001C71DA"/>
    <w:rsid w:val="001C723F"/>
    <w:rsid w:val="001C724C"/>
    <w:rsid w:val="001C7299"/>
    <w:rsid w:val="001C72A4"/>
    <w:rsid w:val="001C72A6"/>
    <w:rsid w:val="001C7306"/>
    <w:rsid w:val="001C737F"/>
    <w:rsid w:val="001C7387"/>
    <w:rsid w:val="001C73F2"/>
    <w:rsid w:val="001C741E"/>
    <w:rsid w:val="001C7424"/>
    <w:rsid w:val="001C7738"/>
    <w:rsid w:val="001C77BF"/>
    <w:rsid w:val="001C788E"/>
    <w:rsid w:val="001C78F2"/>
    <w:rsid w:val="001C7A32"/>
    <w:rsid w:val="001C7AD2"/>
    <w:rsid w:val="001C7B3E"/>
    <w:rsid w:val="001C7B4C"/>
    <w:rsid w:val="001C7BA5"/>
    <w:rsid w:val="001C7C05"/>
    <w:rsid w:val="001C7D2D"/>
    <w:rsid w:val="001C7D38"/>
    <w:rsid w:val="001C7D4B"/>
    <w:rsid w:val="001C7DD0"/>
    <w:rsid w:val="001C7DEA"/>
    <w:rsid w:val="001C7E72"/>
    <w:rsid w:val="001C7EA6"/>
    <w:rsid w:val="001C7F0D"/>
    <w:rsid w:val="001C7F4F"/>
    <w:rsid w:val="001C7F92"/>
    <w:rsid w:val="001D00BE"/>
    <w:rsid w:val="001D00E3"/>
    <w:rsid w:val="001D016E"/>
    <w:rsid w:val="001D01C7"/>
    <w:rsid w:val="001D020F"/>
    <w:rsid w:val="001D0239"/>
    <w:rsid w:val="001D0302"/>
    <w:rsid w:val="001D036A"/>
    <w:rsid w:val="001D046C"/>
    <w:rsid w:val="001D0486"/>
    <w:rsid w:val="001D052D"/>
    <w:rsid w:val="001D05A7"/>
    <w:rsid w:val="001D05CD"/>
    <w:rsid w:val="001D05F5"/>
    <w:rsid w:val="001D06AB"/>
    <w:rsid w:val="001D070F"/>
    <w:rsid w:val="001D075D"/>
    <w:rsid w:val="001D0822"/>
    <w:rsid w:val="001D0854"/>
    <w:rsid w:val="001D0865"/>
    <w:rsid w:val="001D08A6"/>
    <w:rsid w:val="001D08D2"/>
    <w:rsid w:val="001D08F2"/>
    <w:rsid w:val="001D0912"/>
    <w:rsid w:val="001D09E1"/>
    <w:rsid w:val="001D0A3B"/>
    <w:rsid w:val="001D0A40"/>
    <w:rsid w:val="001D0ABA"/>
    <w:rsid w:val="001D0AE1"/>
    <w:rsid w:val="001D0AFE"/>
    <w:rsid w:val="001D0B1C"/>
    <w:rsid w:val="001D0B76"/>
    <w:rsid w:val="001D0B7B"/>
    <w:rsid w:val="001D0BCB"/>
    <w:rsid w:val="001D0C04"/>
    <w:rsid w:val="001D0C3A"/>
    <w:rsid w:val="001D0C44"/>
    <w:rsid w:val="001D0C89"/>
    <w:rsid w:val="001D0CCF"/>
    <w:rsid w:val="001D0CFB"/>
    <w:rsid w:val="001D0DFC"/>
    <w:rsid w:val="001D0E42"/>
    <w:rsid w:val="001D0E87"/>
    <w:rsid w:val="001D0EC5"/>
    <w:rsid w:val="001D0F76"/>
    <w:rsid w:val="001D10C1"/>
    <w:rsid w:val="001D1172"/>
    <w:rsid w:val="001D117B"/>
    <w:rsid w:val="001D11AD"/>
    <w:rsid w:val="001D1350"/>
    <w:rsid w:val="001D1410"/>
    <w:rsid w:val="001D142D"/>
    <w:rsid w:val="001D1434"/>
    <w:rsid w:val="001D1491"/>
    <w:rsid w:val="001D1536"/>
    <w:rsid w:val="001D15B5"/>
    <w:rsid w:val="001D163B"/>
    <w:rsid w:val="001D1651"/>
    <w:rsid w:val="001D16EF"/>
    <w:rsid w:val="001D1758"/>
    <w:rsid w:val="001D1770"/>
    <w:rsid w:val="001D1785"/>
    <w:rsid w:val="001D17B9"/>
    <w:rsid w:val="001D17F3"/>
    <w:rsid w:val="001D1905"/>
    <w:rsid w:val="001D190F"/>
    <w:rsid w:val="001D1937"/>
    <w:rsid w:val="001D196C"/>
    <w:rsid w:val="001D19AA"/>
    <w:rsid w:val="001D1A1D"/>
    <w:rsid w:val="001D1A30"/>
    <w:rsid w:val="001D1AAC"/>
    <w:rsid w:val="001D1B28"/>
    <w:rsid w:val="001D1B2F"/>
    <w:rsid w:val="001D1BFB"/>
    <w:rsid w:val="001D1BFD"/>
    <w:rsid w:val="001D1C03"/>
    <w:rsid w:val="001D1C43"/>
    <w:rsid w:val="001D1C6A"/>
    <w:rsid w:val="001D1CC0"/>
    <w:rsid w:val="001D1CF2"/>
    <w:rsid w:val="001D1E0D"/>
    <w:rsid w:val="001D1E45"/>
    <w:rsid w:val="001D1E88"/>
    <w:rsid w:val="001D1EEB"/>
    <w:rsid w:val="001D1F1D"/>
    <w:rsid w:val="001D1FDD"/>
    <w:rsid w:val="001D2007"/>
    <w:rsid w:val="001D2070"/>
    <w:rsid w:val="001D2107"/>
    <w:rsid w:val="001D2112"/>
    <w:rsid w:val="001D2129"/>
    <w:rsid w:val="001D212A"/>
    <w:rsid w:val="001D2224"/>
    <w:rsid w:val="001D22FF"/>
    <w:rsid w:val="001D230B"/>
    <w:rsid w:val="001D2366"/>
    <w:rsid w:val="001D2371"/>
    <w:rsid w:val="001D2378"/>
    <w:rsid w:val="001D23A7"/>
    <w:rsid w:val="001D2409"/>
    <w:rsid w:val="001D2464"/>
    <w:rsid w:val="001D24EC"/>
    <w:rsid w:val="001D25CB"/>
    <w:rsid w:val="001D2649"/>
    <w:rsid w:val="001D2793"/>
    <w:rsid w:val="001D2866"/>
    <w:rsid w:val="001D2886"/>
    <w:rsid w:val="001D2888"/>
    <w:rsid w:val="001D2914"/>
    <w:rsid w:val="001D29F4"/>
    <w:rsid w:val="001D2A23"/>
    <w:rsid w:val="001D2A29"/>
    <w:rsid w:val="001D2A6E"/>
    <w:rsid w:val="001D2AE1"/>
    <w:rsid w:val="001D2B1F"/>
    <w:rsid w:val="001D2B3B"/>
    <w:rsid w:val="001D2C35"/>
    <w:rsid w:val="001D2C61"/>
    <w:rsid w:val="001D2C6F"/>
    <w:rsid w:val="001D2C9D"/>
    <w:rsid w:val="001D2CE5"/>
    <w:rsid w:val="001D2D28"/>
    <w:rsid w:val="001D2D9C"/>
    <w:rsid w:val="001D2DD4"/>
    <w:rsid w:val="001D2F0E"/>
    <w:rsid w:val="001D2FE1"/>
    <w:rsid w:val="001D3010"/>
    <w:rsid w:val="001D3080"/>
    <w:rsid w:val="001D30A5"/>
    <w:rsid w:val="001D30E4"/>
    <w:rsid w:val="001D3117"/>
    <w:rsid w:val="001D317D"/>
    <w:rsid w:val="001D31C5"/>
    <w:rsid w:val="001D31C9"/>
    <w:rsid w:val="001D31D0"/>
    <w:rsid w:val="001D321F"/>
    <w:rsid w:val="001D326B"/>
    <w:rsid w:val="001D32F3"/>
    <w:rsid w:val="001D32FA"/>
    <w:rsid w:val="001D3323"/>
    <w:rsid w:val="001D3324"/>
    <w:rsid w:val="001D3344"/>
    <w:rsid w:val="001D33E3"/>
    <w:rsid w:val="001D347B"/>
    <w:rsid w:val="001D348D"/>
    <w:rsid w:val="001D35C1"/>
    <w:rsid w:val="001D36B9"/>
    <w:rsid w:val="001D3756"/>
    <w:rsid w:val="001D37D0"/>
    <w:rsid w:val="001D381C"/>
    <w:rsid w:val="001D3841"/>
    <w:rsid w:val="001D3852"/>
    <w:rsid w:val="001D386F"/>
    <w:rsid w:val="001D38EB"/>
    <w:rsid w:val="001D3904"/>
    <w:rsid w:val="001D39B0"/>
    <w:rsid w:val="001D39BE"/>
    <w:rsid w:val="001D39DD"/>
    <w:rsid w:val="001D3A65"/>
    <w:rsid w:val="001D3A74"/>
    <w:rsid w:val="001D3A75"/>
    <w:rsid w:val="001D3AAF"/>
    <w:rsid w:val="001D3B42"/>
    <w:rsid w:val="001D3B48"/>
    <w:rsid w:val="001D3BB1"/>
    <w:rsid w:val="001D3BF0"/>
    <w:rsid w:val="001D3BFB"/>
    <w:rsid w:val="001D3C4F"/>
    <w:rsid w:val="001D3C95"/>
    <w:rsid w:val="001D3CF2"/>
    <w:rsid w:val="001D3DC0"/>
    <w:rsid w:val="001D3E17"/>
    <w:rsid w:val="001D3E81"/>
    <w:rsid w:val="001D3EA9"/>
    <w:rsid w:val="001D3EDF"/>
    <w:rsid w:val="001D3F37"/>
    <w:rsid w:val="001D4078"/>
    <w:rsid w:val="001D407F"/>
    <w:rsid w:val="001D40C1"/>
    <w:rsid w:val="001D4132"/>
    <w:rsid w:val="001D4177"/>
    <w:rsid w:val="001D418D"/>
    <w:rsid w:val="001D4210"/>
    <w:rsid w:val="001D424F"/>
    <w:rsid w:val="001D42E5"/>
    <w:rsid w:val="001D42EB"/>
    <w:rsid w:val="001D42F4"/>
    <w:rsid w:val="001D4412"/>
    <w:rsid w:val="001D4421"/>
    <w:rsid w:val="001D4466"/>
    <w:rsid w:val="001D4490"/>
    <w:rsid w:val="001D4602"/>
    <w:rsid w:val="001D4611"/>
    <w:rsid w:val="001D4634"/>
    <w:rsid w:val="001D46FD"/>
    <w:rsid w:val="001D4718"/>
    <w:rsid w:val="001D4756"/>
    <w:rsid w:val="001D4769"/>
    <w:rsid w:val="001D47D5"/>
    <w:rsid w:val="001D47DF"/>
    <w:rsid w:val="001D483C"/>
    <w:rsid w:val="001D4863"/>
    <w:rsid w:val="001D48D4"/>
    <w:rsid w:val="001D48EB"/>
    <w:rsid w:val="001D4929"/>
    <w:rsid w:val="001D4997"/>
    <w:rsid w:val="001D49EE"/>
    <w:rsid w:val="001D4A27"/>
    <w:rsid w:val="001D4A38"/>
    <w:rsid w:val="001D4A8D"/>
    <w:rsid w:val="001D4AB5"/>
    <w:rsid w:val="001D4B3A"/>
    <w:rsid w:val="001D4B59"/>
    <w:rsid w:val="001D4BC2"/>
    <w:rsid w:val="001D4BEE"/>
    <w:rsid w:val="001D4BF6"/>
    <w:rsid w:val="001D4C46"/>
    <w:rsid w:val="001D4CC6"/>
    <w:rsid w:val="001D4CED"/>
    <w:rsid w:val="001D4DD1"/>
    <w:rsid w:val="001D4DDB"/>
    <w:rsid w:val="001D4E2E"/>
    <w:rsid w:val="001D4E38"/>
    <w:rsid w:val="001D4E4A"/>
    <w:rsid w:val="001D4E71"/>
    <w:rsid w:val="001D4EE7"/>
    <w:rsid w:val="001D4EE9"/>
    <w:rsid w:val="001D4EF4"/>
    <w:rsid w:val="001D5054"/>
    <w:rsid w:val="001D5077"/>
    <w:rsid w:val="001D5173"/>
    <w:rsid w:val="001D519D"/>
    <w:rsid w:val="001D5233"/>
    <w:rsid w:val="001D5279"/>
    <w:rsid w:val="001D52F5"/>
    <w:rsid w:val="001D5324"/>
    <w:rsid w:val="001D5337"/>
    <w:rsid w:val="001D5392"/>
    <w:rsid w:val="001D53F9"/>
    <w:rsid w:val="001D540D"/>
    <w:rsid w:val="001D5411"/>
    <w:rsid w:val="001D54B3"/>
    <w:rsid w:val="001D54F2"/>
    <w:rsid w:val="001D54FE"/>
    <w:rsid w:val="001D5508"/>
    <w:rsid w:val="001D5555"/>
    <w:rsid w:val="001D55CD"/>
    <w:rsid w:val="001D5671"/>
    <w:rsid w:val="001D5677"/>
    <w:rsid w:val="001D56B0"/>
    <w:rsid w:val="001D56C8"/>
    <w:rsid w:val="001D5714"/>
    <w:rsid w:val="001D57D7"/>
    <w:rsid w:val="001D57F9"/>
    <w:rsid w:val="001D5829"/>
    <w:rsid w:val="001D5912"/>
    <w:rsid w:val="001D597C"/>
    <w:rsid w:val="001D5A4B"/>
    <w:rsid w:val="001D5A69"/>
    <w:rsid w:val="001D5A9B"/>
    <w:rsid w:val="001D5AB8"/>
    <w:rsid w:val="001D5ABF"/>
    <w:rsid w:val="001D5AE8"/>
    <w:rsid w:val="001D5B1B"/>
    <w:rsid w:val="001D5B31"/>
    <w:rsid w:val="001D5B36"/>
    <w:rsid w:val="001D5C77"/>
    <w:rsid w:val="001D5D05"/>
    <w:rsid w:val="001D5D64"/>
    <w:rsid w:val="001D5DDC"/>
    <w:rsid w:val="001D5E23"/>
    <w:rsid w:val="001D5E69"/>
    <w:rsid w:val="001D5EB1"/>
    <w:rsid w:val="001D5F43"/>
    <w:rsid w:val="001D5F49"/>
    <w:rsid w:val="001D5F6E"/>
    <w:rsid w:val="001D5FA7"/>
    <w:rsid w:val="001D6138"/>
    <w:rsid w:val="001D614D"/>
    <w:rsid w:val="001D6181"/>
    <w:rsid w:val="001D6241"/>
    <w:rsid w:val="001D627A"/>
    <w:rsid w:val="001D62EE"/>
    <w:rsid w:val="001D6359"/>
    <w:rsid w:val="001D63B4"/>
    <w:rsid w:val="001D6429"/>
    <w:rsid w:val="001D646B"/>
    <w:rsid w:val="001D64D8"/>
    <w:rsid w:val="001D650B"/>
    <w:rsid w:val="001D6544"/>
    <w:rsid w:val="001D654A"/>
    <w:rsid w:val="001D6588"/>
    <w:rsid w:val="001D65AD"/>
    <w:rsid w:val="001D65DB"/>
    <w:rsid w:val="001D660F"/>
    <w:rsid w:val="001D6720"/>
    <w:rsid w:val="001D674B"/>
    <w:rsid w:val="001D67E9"/>
    <w:rsid w:val="001D682F"/>
    <w:rsid w:val="001D6855"/>
    <w:rsid w:val="001D6886"/>
    <w:rsid w:val="001D68C8"/>
    <w:rsid w:val="001D68DD"/>
    <w:rsid w:val="001D6979"/>
    <w:rsid w:val="001D69DB"/>
    <w:rsid w:val="001D69F9"/>
    <w:rsid w:val="001D6A1F"/>
    <w:rsid w:val="001D6A45"/>
    <w:rsid w:val="001D6AB9"/>
    <w:rsid w:val="001D6ABD"/>
    <w:rsid w:val="001D6B8D"/>
    <w:rsid w:val="001D6CB3"/>
    <w:rsid w:val="001D6D26"/>
    <w:rsid w:val="001D6D3C"/>
    <w:rsid w:val="001D6E0E"/>
    <w:rsid w:val="001D6E63"/>
    <w:rsid w:val="001D6E92"/>
    <w:rsid w:val="001D6EAB"/>
    <w:rsid w:val="001D6EF6"/>
    <w:rsid w:val="001D6F64"/>
    <w:rsid w:val="001D6F66"/>
    <w:rsid w:val="001D6FC2"/>
    <w:rsid w:val="001D7137"/>
    <w:rsid w:val="001D7140"/>
    <w:rsid w:val="001D71B1"/>
    <w:rsid w:val="001D7296"/>
    <w:rsid w:val="001D72C1"/>
    <w:rsid w:val="001D7335"/>
    <w:rsid w:val="001D7368"/>
    <w:rsid w:val="001D73A0"/>
    <w:rsid w:val="001D73B9"/>
    <w:rsid w:val="001D74D0"/>
    <w:rsid w:val="001D7534"/>
    <w:rsid w:val="001D75AC"/>
    <w:rsid w:val="001D75F3"/>
    <w:rsid w:val="001D7696"/>
    <w:rsid w:val="001D76C3"/>
    <w:rsid w:val="001D773F"/>
    <w:rsid w:val="001D774B"/>
    <w:rsid w:val="001D785D"/>
    <w:rsid w:val="001D786F"/>
    <w:rsid w:val="001D78AA"/>
    <w:rsid w:val="001D793D"/>
    <w:rsid w:val="001D7ABC"/>
    <w:rsid w:val="001D7C37"/>
    <w:rsid w:val="001D7CCB"/>
    <w:rsid w:val="001D7D82"/>
    <w:rsid w:val="001D7DB1"/>
    <w:rsid w:val="001D7E44"/>
    <w:rsid w:val="001D7E99"/>
    <w:rsid w:val="001D7E9C"/>
    <w:rsid w:val="001D7EF4"/>
    <w:rsid w:val="001D7F6F"/>
    <w:rsid w:val="001D7FD3"/>
    <w:rsid w:val="001D7FDF"/>
    <w:rsid w:val="001E0023"/>
    <w:rsid w:val="001E0040"/>
    <w:rsid w:val="001E00B1"/>
    <w:rsid w:val="001E00C8"/>
    <w:rsid w:val="001E00D1"/>
    <w:rsid w:val="001E014E"/>
    <w:rsid w:val="001E0422"/>
    <w:rsid w:val="001E043D"/>
    <w:rsid w:val="001E04C4"/>
    <w:rsid w:val="001E04E5"/>
    <w:rsid w:val="001E054C"/>
    <w:rsid w:val="001E05B2"/>
    <w:rsid w:val="001E05B3"/>
    <w:rsid w:val="001E060A"/>
    <w:rsid w:val="001E0650"/>
    <w:rsid w:val="001E0678"/>
    <w:rsid w:val="001E068A"/>
    <w:rsid w:val="001E06A4"/>
    <w:rsid w:val="001E06D0"/>
    <w:rsid w:val="001E0775"/>
    <w:rsid w:val="001E0875"/>
    <w:rsid w:val="001E08BF"/>
    <w:rsid w:val="001E098E"/>
    <w:rsid w:val="001E09D1"/>
    <w:rsid w:val="001E09E2"/>
    <w:rsid w:val="001E0A11"/>
    <w:rsid w:val="001E0A25"/>
    <w:rsid w:val="001E0B75"/>
    <w:rsid w:val="001E0B9C"/>
    <w:rsid w:val="001E0BEB"/>
    <w:rsid w:val="001E0C10"/>
    <w:rsid w:val="001E0C11"/>
    <w:rsid w:val="001E0C75"/>
    <w:rsid w:val="001E0CD9"/>
    <w:rsid w:val="001E0D87"/>
    <w:rsid w:val="001E0E7C"/>
    <w:rsid w:val="001E0E7D"/>
    <w:rsid w:val="001E0EBB"/>
    <w:rsid w:val="001E0ED7"/>
    <w:rsid w:val="001E0FF9"/>
    <w:rsid w:val="001E1020"/>
    <w:rsid w:val="001E1047"/>
    <w:rsid w:val="001E10F4"/>
    <w:rsid w:val="001E11CA"/>
    <w:rsid w:val="001E121D"/>
    <w:rsid w:val="001E132B"/>
    <w:rsid w:val="001E1400"/>
    <w:rsid w:val="001E1408"/>
    <w:rsid w:val="001E1409"/>
    <w:rsid w:val="001E145A"/>
    <w:rsid w:val="001E1508"/>
    <w:rsid w:val="001E16B5"/>
    <w:rsid w:val="001E17ED"/>
    <w:rsid w:val="001E17FC"/>
    <w:rsid w:val="001E1851"/>
    <w:rsid w:val="001E18F7"/>
    <w:rsid w:val="001E1934"/>
    <w:rsid w:val="001E1960"/>
    <w:rsid w:val="001E19CF"/>
    <w:rsid w:val="001E1A01"/>
    <w:rsid w:val="001E1A3C"/>
    <w:rsid w:val="001E1C9D"/>
    <w:rsid w:val="001E1CB8"/>
    <w:rsid w:val="001E1CCA"/>
    <w:rsid w:val="001E1D9F"/>
    <w:rsid w:val="001E1DFD"/>
    <w:rsid w:val="001E1E01"/>
    <w:rsid w:val="001E1E5D"/>
    <w:rsid w:val="001E1E69"/>
    <w:rsid w:val="001E1E81"/>
    <w:rsid w:val="001E1F32"/>
    <w:rsid w:val="001E1F57"/>
    <w:rsid w:val="001E1F73"/>
    <w:rsid w:val="001E1FDE"/>
    <w:rsid w:val="001E2005"/>
    <w:rsid w:val="001E20E7"/>
    <w:rsid w:val="001E211F"/>
    <w:rsid w:val="001E21B2"/>
    <w:rsid w:val="001E2237"/>
    <w:rsid w:val="001E225E"/>
    <w:rsid w:val="001E22AF"/>
    <w:rsid w:val="001E22DA"/>
    <w:rsid w:val="001E22DB"/>
    <w:rsid w:val="001E22FD"/>
    <w:rsid w:val="001E230B"/>
    <w:rsid w:val="001E235B"/>
    <w:rsid w:val="001E23BC"/>
    <w:rsid w:val="001E23F1"/>
    <w:rsid w:val="001E242C"/>
    <w:rsid w:val="001E244B"/>
    <w:rsid w:val="001E24D8"/>
    <w:rsid w:val="001E255D"/>
    <w:rsid w:val="001E26F9"/>
    <w:rsid w:val="001E2786"/>
    <w:rsid w:val="001E27B4"/>
    <w:rsid w:val="001E27DA"/>
    <w:rsid w:val="001E28B2"/>
    <w:rsid w:val="001E29A8"/>
    <w:rsid w:val="001E29D4"/>
    <w:rsid w:val="001E2A6F"/>
    <w:rsid w:val="001E2A73"/>
    <w:rsid w:val="001E2AA9"/>
    <w:rsid w:val="001E2AEB"/>
    <w:rsid w:val="001E2B09"/>
    <w:rsid w:val="001E2B2A"/>
    <w:rsid w:val="001E2B6B"/>
    <w:rsid w:val="001E2B99"/>
    <w:rsid w:val="001E2C48"/>
    <w:rsid w:val="001E2C6C"/>
    <w:rsid w:val="001E2C93"/>
    <w:rsid w:val="001E2C9D"/>
    <w:rsid w:val="001E2D2D"/>
    <w:rsid w:val="001E2D8B"/>
    <w:rsid w:val="001E2DA6"/>
    <w:rsid w:val="001E2E14"/>
    <w:rsid w:val="001E2E9E"/>
    <w:rsid w:val="001E2FC6"/>
    <w:rsid w:val="001E309A"/>
    <w:rsid w:val="001E30A7"/>
    <w:rsid w:val="001E30FC"/>
    <w:rsid w:val="001E3133"/>
    <w:rsid w:val="001E3156"/>
    <w:rsid w:val="001E31A0"/>
    <w:rsid w:val="001E31C1"/>
    <w:rsid w:val="001E32C5"/>
    <w:rsid w:val="001E32F6"/>
    <w:rsid w:val="001E3329"/>
    <w:rsid w:val="001E336E"/>
    <w:rsid w:val="001E3370"/>
    <w:rsid w:val="001E3397"/>
    <w:rsid w:val="001E3450"/>
    <w:rsid w:val="001E347B"/>
    <w:rsid w:val="001E3581"/>
    <w:rsid w:val="001E35BB"/>
    <w:rsid w:val="001E35BD"/>
    <w:rsid w:val="001E368C"/>
    <w:rsid w:val="001E36C0"/>
    <w:rsid w:val="001E3850"/>
    <w:rsid w:val="001E3965"/>
    <w:rsid w:val="001E3990"/>
    <w:rsid w:val="001E3999"/>
    <w:rsid w:val="001E39D3"/>
    <w:rsid w:val="001E3A2F"/>
    <w:rsid w:val="001E3AB6"/>
    <w:rsid w:val="001E3BD3"/>
    <w:rsid w:val="001E3C1F"/>
    <w:rsid w:val="001E3C30"/>
    <w:rsid w:val="001E3CAF"/>
    <w:rsid w:val="001E3DB1"/>
    <w:rsid w:val="001E3DDC"/>
    <w:rsid w:val="001E3E08"/>
    <w:rsid w:val="001E3E99"/>
    <w:rsid w:val="001E3EA9"/>
    <w:rsid w:val="001E3EB4"/>
    <w:rsid w:val="001E3F32"/>
    <w:rsid w:val="001E3F8E"/>
    <w:rsid w:val="001E3FB8"/>
    <w:rsid w:val="001E409C"/>
    <w:rsid w:val="001E40A1"/>
    <w:rsid w:val="001E40DC"/>
    <w:rsid w:val="001E4247"/>
    <w:rsid w:val="001E4356"/>
    <w:rsid w:val="001E43DF"/>
    <w:rsid w:val="001E4420"/>
    <w:rsid w:val="001E4430"/>
    <w:rsid w:val="001E44C0"/>
    <w:rsid w:val="001E4558"/>
    <w:rsid w:val="001E456E"/>
    <w:rsid w:val="001E457E"/>
    <w:rsid w:val="001E46B4"/>
    <w:rsid w:val="001E46C6"/>
    <w:rsid w:val="001E46CD"/>
    <w:rsid w:val="001E46DA"/>
    <w:rsid w:val="001E46F0"/>
    <w:rsid w:val="001E4709"/>
    <w:rsid w:val="001E470D"/>
    <w:rsid w:val="001E4817"/>
    <w:rsid w:val="001E494F"/>
    <w:rsid w:val="001E49FA"/>
    <w:rsid w:val="001E4A57"/>
    <w:rsid w:val="001E4A63"/>
    <w:rsid w:val="001E4ABA"/>
    <w:rsid w:val="001E4AD7"/>
    <w:rsid w:val="001E4B48"/>
    <w:rsid w:val="001E4B79"/>
    <w:rsid w:val="001E4CC9"/>
    <w:rsid w:val="001E4CD1"/>
    <w:rsid w:val="001E4CFF"/>
    <w:rsid w:val="001E4D37"/>
    <w:rsid w:val="001E4D44"/>
    <w:rsid w:val="001E4D59"/>
    <w:rsid w:val="001E4DDD"/>
    <w:rsid w:val="001E4F7D"/>
    <w:rsid w:val="001E4F8A"/>
    <w:rsid w:val="001E4FB2"/>
    <w:rsid w:val="001E505C"/>
    <w:rsid w:val="001E50A0"/>
    <w:rsid w:val="001E5111"/>
    <w:rsid w:val="001E5129"/>
    <w:rsid w:val="001E5185"/>
    <w:rsid w:val="001E51F8"/>
    <w:rsid w:val="001E527A"/>
    <w:rsid w:val="001E536E"/>
    <w:rsid w:val="001E540C"/>
    <w:rsid w:val="001E545A"/>
    <w:rsid w:val="001E5495"/>
    <w:rsid w:val="001E54F6"/>
    <w:rsid w:val="001E55FD"/>
    <w:rsid w:val="001E5600"/>
    <w:rsid w:val="001E5621"/>
    <w:rsid w:val="001E5669"/>
    <w:rsid w:val="001E56E2"/>
    <w:rsid w:val="001E57B5"/>
    <w:rsid w:val="001E57C0"/>
    <w:rsid w:val="001E57C1"/>
    <w:rsid w:val="001E57D6"/>
    <w:rsid w:val="001E57E7"/>
    <w:rsid w:val="001E57F7"/>
    <w:rsid w:val="001E5881"/>
    <w:rsid w:val="001E5992"/>
    <w:rsid w:val="001E5A50"/>
    <w:rsid w:val="001E5A84"/>
    <w:rsid w:val="001E5AAB"/>
    <w:rsid w:val="001E5BDE"/>
    <w:rsid w:val="001E5C36"/>
    <w:rsid w:val="001E5C4E"/>
    <w:rsid w:val="001E5C7D"/>
    <w:rsid w:val="001E5CE7"/>
    <w:rsid w:val="001E5CF0"/>
    <w:rsid w:val="001E5D5F"/>
    <w:rsid w:val="001E5E39"/>
    <w:rsid w:val="001E5ED9"/>
    <w:rsid w:val="001E5F16"/>
    <w:rsid w:val="001E6017"/>
    <w:rsid w:val="001E607F"/>
    <w:rsid w:val="001E60EC"/>
    <w:rsid w:val="001E60ED"/>
    <w:rsid w:val="001E60FE"/>
    <w:rsid w:val="001E612C"/>
    <w:rsid w:val="001E6136"/>
    <w:rsid w:val="001E614E"/>
    <w:rsid w:val="001E61E2"/>
    <w:rsid w:val="001E61FB"/>
    <w:rsid w:val="001E620E"/>
    <w:rsid w:val="001E621E"/>
    <w:rsid w:val="001E6239"/>
    <w:rsid w:val="001E62B7"/>
    <w:rsid w:val="001E62BC"/>
    <w:rsid w:val="001E6300"/>
    <w:rsid w:val="001E6370"/>
    <w:rsid w:val="001E63C0"/>
    <w:rsid w:val="001E645E"/>
    <w:rsid w:val="001E6502"/>
    <w:rsid w:val="001E650A"/>
    <w:rsid w:val="001E658F"/>
    <w:rsid w:val="001E65B6"/>
    <w:rsid w:val="001E65B9"/>
    <w:rsid w:val="001E65E7"/>
    <w:rsid w:val="001E6817"/>
    <w:rsid w:val="001E688D"/>
    <w:rsid w:val="001E689C"/>
    <w:rsid w:val="001E68A8"/>
    <w:rsid w:val="001E6922"/>
    <w:rsid w:val="001E698C"/>
    <w:rsid w:val="001E6A04"/>
    <w:rsid w:val="001E6A89"/>
    <w:rsid w:val="001E6A99"/>
    <w:rsid w:val="001E6B77"/>
    <w:rsid w:val="001E6BDC"/>
    <w:rsid w:val="001E6BEB"/>
    <w:rsid w:val="001E6C14"/>
    <w:rsid w:val="001E6C49"/>
    <w:rsid w:val="001E6C8B"/>
    <w:rsid w:val="001E6CD6"/>
    <w:rsid w:val="001E6D7F"/>
    <w:rsid w:val="001E6D93"/>
    <w:rsid w:val="001E6DB8"/>
    <w:rsid w:val="001E6DDA"/>
    <w:rsid w:val="001E6DFB"/>
    <w:rsid w:val="001E6E7C"/>
    <w:rsid w:val="001E700C"/>
    <w:rsid w:val="001E7096"/>
    <w:rsid w:val="001E70BF"/>
    <w:rsid w:val="001E71A7"/>
    <w:rsid w:val="001E71D9"/>
    <w:rsid w:val="001E720C"/>
    <w:rsid w:val="001E7244"/>
    <w:rsid w:val="001E726C"/>
    <w:rsid w:val="001E729E"/>
    <w:rsid w:val="001E72AC"/>
    <w:rsid w:val="001E7360"/>
    <w:rsid w:val="001E73E9"/>
    <w:rsid w:val="001E7446"/>
    <w:rsid w:val="001E7487"/>
    <w:rsid w:val="001E7557"/>
    <w:rsid w:val="001E75BC"/>
    <w:rsid w:val="001E7753"/>
    <w:rsid w:val="001E7813"/>
    <w:rsid w:val="001E7898"/>
    <w:rsid w:val="001E78A6"/>
    <w:rsid w:val="001E7965"/>
    <w:rsid w:val="001E797E"/>
    <w:rsid w:val="001E79BF"/>
    <w:rsid w:val="001E79E4"/>
    <w:rsid w:val="001E7A78"/>
    <w:rsid w:val="001E7AD0"/>
    <w:rsid w:val="001E7AD1"/>
    <w:rsid w:val="001E7B03"/>
    <w:rsid w:val="001E7B33"/>
    <w:rsid w:val="001E7B86"/>
    <w:rsid w:val="001E7C47"/>
    <w:rsid w:val="001E7CB5"/>
    <w:rsid w:val="001E7CC9"/>
    <w:rsid w:val="001E7CD2"/>
    <w:rsid w:val="001E7D59"/>
    <w:rsid w:val="001E7DDE"/>
    <w:rsid w:val="001E7E1E"/>
    <w:rsid w:val="001E7F57"/>
    <w:rsid w:val="001E7F58"/>
    <w:rsid w:val="001E7F71"/>
    <w:rsid w:val="001E7FF6"/>
    <w:rsid w:val="001F0002"/>
    <w:rsid w:val="001F0021"/>
    <w:rsid w:val="001F0078"/>
    <w:rsid w:val="001F00C2"/>
    <w:rsid w:val="001F00EA"/>
    <w:rsid w:val="001F0104"/>
    <w:rsid w:val="001F010C"/>
    <w:rsid w:val="001F017C"/>
    <w:rsid w:val="001F01F4"/>
    <w:rsid w:val="001F0213"/>
    <w:rsid w:val="001F0292"/>
    <w:rsid w:val="001F02B1"/>
    <w:rsid w:val="001F0443"/>
    <w:rsid w:val="001F044C"/>
    <w:rsid w:val="001F04E0"/>
    <w:rsid w:val="001F050C"/>
    <w:rsid w:val="001F055E"/>
    <w:rsid w:val="001F0649"/>
    <w:rsid w:val="001F0682"/>
    <w:rsid w:val="001F0759"/>
    <w:rsid w:val="001F0760"/>
    <w:rsid w:val="001F0780"/>
    <w:rsid w:val="001F079A"/>
    <w:rsid w:val="001F07AB"/>
    <w:rsid w:val="001F0A5F"/>
    <w:rsid w:val="001F0AEF"/>
    <w:rsid w:val="001F0B27"/>
    <w:rsid w:val="001F0B43"/>
    <w:rsid w:val="001F0BC8"/>
    <w:rsid w:val="001F0BF9"/>
    <w:rsid w:val="001F0C54"/>
    <w:rsid w:val="001F0D51"/>
    <w:rsid w:val="001F0E79"/>
    <w:rsid w:val="001F0F19"/>
    <w:rsid w:val="001F0F6B"/>
    <w:rsid w:val="001F0F85"/>
    <w:rsid w:val="001F0F91"/>
    <w:rsid w:val="001F0FAD"/>
    <w:rsid w:val="001F10C6"/>
    <w:rsid w:val="001F1111"/>
    <w:rsid w:val="001F111A"/>
    <w:rsid w:val="001F114A"/>
    <w:rsid w:val="001F1172"/>
    <w:rsid w:val="001F11C0"/>
    <w:rsid w:val="001F1200"/>
    <w:rsid w:val="001F125F"/>
    <w:rsid w:val="001F12AC"/>
    <w:rsid w:val="001F12C5"/>
    <w:rsid w:val="001F12E2"/>
    <w:rsid w:val="001F12FC"/>
    <w:rsid w:val="001F130D"/>
    <w:rsid w:val="001F138A"/>
    <w:rsid w:val="001F1493"/>
    <w:rsid w:val="001F14D0"/>
    <w:rsid w:val="001F14FA"/>
    <w:rsid w:val="001F1509"/>
    <w:rsid w:val="001F1591"/>
    <w:rsid w:val="001F1598"/>
    <w:rsid w:val="001F16B7"/>
    <w:rsid w:val="001F172F"/>
    <w:rsid w:val="001F179C"/>
    <w:rsid w:val="001F1828"/>
    <w:rsid w:val="001F18FE"/>
    <w:rsid w:val="001F1940"/>
    <w:rsid w:val="001F1956"/>
    <w:rsid w:val="001F1B02"/>
    <w:rsid w:val="001F1B06"/>
    <w:rsid w:val="001F1B25"/>
    <w:rsid w:val="001F1B5A"/>
    <w:rsid w:val="001F1B5B"/>
    <w:rsid w:val="001F1B86"/>
    <w:rsid w:val="001F1BE4"/>
    <w:rsid w:val="001F1C29"/>
    <w:rsid w:val="001F1C62"/>
    <w:rsid w:val="001F1CAF"/>
    <w:rsid w:val="001F1CC4"/>
    <w:rsid w:val="001F1CD9"/>
    <w:rsid w:val="001F1CE2"/>
    <w:rsid w:val="001F1D58"/>
    <w:rsid w:val="001F1E05"/>
    <w:rsid w:val="001F1E50"/>
    <w:rsid w:val="001F1E8B"/>
    <w:rsid w:val="001F1EF5"/>
    <w:rsid w:val="001F1F3E"/>
    <w:rsid w:val="001F2003"/>
    <w:rsid w:val="001F201D"/>
    <w:rsid w:val="001F2123"/>
    <w:rsid w:val="001F2194"/>
    <w:rsid w:val="001F21E8"/>
    <w:rsid w:val="001F2221"/>
    <w:rsid w:val="001F2267"/>
    <w:rsid w:val="001F230C"/>
    <w:rsid w:val="001F2325"/>
    <w:rsid w:val="001F237C"/>
    <w:rsid w:val="001F23B7"/>
    <w:rsid w:val="001F23CE"/>
    <w:rsid w:val="001F23E4"/>
    <w:rsid w:val="001F23F0"/>
    <w:rsid w:val="001F2414"/>
    <w:rsid w:val="001F2498"/>
    <w:rsid w:val="001F24D5"/>
    <w:rsid w:val="001F24F1"/>
    <w:rsid w:val="001F26D6"/>
    <w:rsid w:val="001F272E"/>
    <w:rsid w:val="001F2737"/>
    <w:rsid w:val="001F2796"/>
    <w:rsid w:val="001F27AC"/>
    <w:rsid w:val="001F27FE"/>
    <w:rsid w:val="001F2831"/>
    <w:rsid w:val="001F2836"/>
    <w:rsid w:val="001F287A"/>
    <w:rsid w:val="001F2884"/>
    <w:rsid w:val="001F2914"/>
    <w:rsid w:val="001F2948"/>
    <w:rsid w:val="001F2A03"/>
    <w:rsid w:val="001F2A11"/>
    <w:rsid w:val="001F2AA9"/>
    <w:rsid w:val="001F2B13"/>
    <w:rsid w:val="001F2BC4"/>
    <w:rsid w:val="001F2C22"/>
    <w:rsid w:val="001F2C5B"/>
    <w:rsid w:val="001F2CC0"/>
    <w:rsid w:val="001F2CEC"/>
    <w:rsid w:val="001F2CF1"/>
    <w:rsid w:val="001F2DF8"/>
    <w:rsid w:val="001F2E38"/>
    <w:rsid w:val="001F2E52"/>
    <w:rsid w:val="001F2F21"/>
    <w:rsid w:val="001F2F92"/>
    <w:rsid w:val="001F2FE8"/>
    <w:rsid w:val="001F305D"/>
    <w:rsid w:val="001F3069"/>
    <w:rsid w:val="001F3090"/>
    <w:rsid w:val="001F30C3"/>
    <w:rsid w:val="001F317F"/>
    <w:rsid w:val="001F31E0"/>
    <w:rsid w:val="001F3214"/>
    <w:rsid w:val="001F325D"/>
    <w:rsid w:val="001F32A5"/>
    <w:rsid w:val="001F3354"/>
    <w:rsid w:val="001F336A"/>
    <w:rsid w:val="001F33D3"/>
    <w:rsid w:val="001F3447"/>
    <w:rsid w:val="001F344C"/>
    <w:rsid w:val="001F344F"/>
    <w:rsid w:val="001F347F"/>
    <w:rsid w:val="001F34AE"/>
    <w:rsid w:val="001F34B8"/>
    <w:rsid w:val="001F350C"/>
    <w:rsid w:val="001F3582"/>
    <w:rsid w:val="001F35CA"/>
    <w:rsid w:val="001F35FE"/>
    <w:rsid w:val="001F3665"/>
    <w:rsid w:val="001F3705"/>
    <w:rsid w:val="001F3736"/>
    <w:rsid w:val="001F375B"/>
    <w:rsid w:val="001F37CE"/>
    <w:rsid w:val="001F37EC"/>
    <w:rsid w:val="001F37EF"/>
    <w:rsid w:val="001F37FC"/>
    <w:rsid w:val="001F380E"/>
    <w:rsid w:val="001F3817"/>
    <w:rsid w:val="001F381A"/>
    <w:rsid w:val="001F3865"/>
    <w:rsid w:val="001F390B"/>
    <w:rsid w:val="001F3918"/>
    <w:rsid w:val="001F3948"/>
    <w:rsid w:val="001F3B2E"/>
    <w:rsid w:val="001F3BC8"/>
    <w:rsid w:val="001F3DE2"/>
    <w:rsid w:val="001F3DEF"/>
    <w:rsid w:val="001F3E09"/>
    <w:rsid w:val="001F3E96"/>
    <w:rsid w:val="001F3FA2"/>
    <w:rsid w:val="001F4022"/>
    <w:rsid w:val="001F407E"/>
    <w:rsid w:val="001F40C0"/>
    <w:rsid w:val="001F40D5"/>
    <w:rsid w:val="001F40E2"/>
    <w:rsid w:val="001F414D"/>
    <w:rsid w:val="001F41CD"/>
    <w:rsid w:val="001F4226"/>
    <w:rsid w:val="001F42C2"/>
    <w:rsid w:val="001F4313"/>
    <w:rsid w:val="001F446F"/>
    <w:rsid w:val="001F451C"/>
    <w:rsid w:val="001F4550"/>
    <w:rsid w:val="001F45E3"/>
    <w:rsid w:val="001F462C"/>
    <w:rsid w:val="001F46F9"/>
    <w:rsid w:val="001F4743"/>
    <w:rsid w:val="001F476E"/>
    <w:rsid w:val="001F4881"/>
    <w:rsid w:val="001F48E9"/>
    <w:rsid w:val="001F4927"/>
    <w:rsid w:val="001F4A3C"/>
    <w:rsid w:val="001F4A5B"/>
    <w:rsid w:val="001F4A67"/>
    <w:rsid w:val="001F4AA9"/>
    <w:rsid w:val="001F4ABA"/>
    <w:rsid w:val="001F4B2A"/>
    <w:rsid w:val="001F4BB9"/>
    <w:rsid w:val="001F4BCF"/>
    <w:rsid w:val="001F4C0C"/>
    <w:rsid w:val="001F4C45"/>
    <w:rsid w:val="001F4D89"/>
    <w:rsid w:val="001F4E30"/>
    <w:rsid w:val="001F4FC7"/>
    <w:rsid w:val="001F5069"/>
    <w:rsid w:val="001F5119"/>
    <w:rsid w:val="001F518A"/>
    <w:rsid w:val="001F5218"/>
    <w:rsid w:val="001F52EF"/>
    <w:rsid w:val="001F533F"/>
    <w:rsid w:val="001F5348"/>
    <w:rsid w:val="001F5360"/>
    <w:rsid w:val="001F5402"/>
    <w:rsid w:val="001F5403"/>
    <w:rsid w:val="001F5436"/>
    <w:rsid w:val="001F5484"/>
    <w:rsid w:val="001F54CD"/>
    <w:rsid w:val="001F5584"/>
    <w:rsid w:val="001F55AB"/>
    <w:rsid w:val="001F55D1"/>
    <w:rsid w:val="001F5646"/>
    <w:rsid w:val="001F5665"/>
    <w:rsid w:val="001F566F"/>
    <w:rsid w:val="001F56F7"/>
    <w:rsid w:val="001F5746"/>
    <w:rsid w:val="001F57CA"/>
    <w:rsid w:val="001F57E7"/>
    <w:rsid w:val="001F5868"/>
    <w:rsid w:val="001F58A8"/>
    <w:rsid w:val="001F5990"/>
    <w:rsid w:val="001F59CE"/>
    <w:rsid w:val="001F59E0"/>
    <w:rsid w:val="001F5A06"/>
    <w:rsid w:val="001F5A56"/>
    <w:rsid w:val="001F5AAA"/>
    <w:rsid w:val="001F5AE3"/>
    <w:rsid w:val="001F5B9E"/>
    <w:rsid w:val="001F5C52"/>
    <w:rsid w:val="001F5CB0"/>
    <w:rsid w:val="001F5D99"/>
    <w:rsid w:val="001F5DEE"/>
    <w:rsid w:val="001F5E1B"/>
    <w:rsid w:val="001F5E68"/>
    <w:rsid w:val="001F5E6C"/>
    <w:rsid w:val="001F5EA6"/>
    <w:rsid w:val="001F5EDB"/>
    <w:rsid w:val="001F5F9F"/>
    <w:rsid w:val="001F5FE4"/>
    <w:rsid w:val="001F606D"/>
    <w:rsid w:val="001F607E"/>
    <w:rsid w:val="001F6168"/>
    <w:rsid w:val="001F6213"/>
    <w:rsid w:val="001F625E"/>
    <w:rsid w:val="001F635B"/>
    <w:rsid w:val="001F6390"/>
    <w:rsid w:val="001F63B7"/>
    <w:rsid w:val="001F640D"/>
    <w:rsid w:val="001F6415"/>
    <w:rsid w:val="001F641B"/>
    <w:rsid w:val="001F642A"/>
    <w:rsid w:val="001F64FD"/>
    <w:rsid w:val="001F6571"/>
    <w:rsid w:val="001F6648"/>
    <w:rsid w:val="001F664F"/>
    <w:rsid w:val="001F67F3"/>
    <w:rsid w:val="001F67F6"/>
    <w:rsid w:val="001F67FC"/>
    <w:rsid w:val="001F685D"/>
    <w:rsid w:val="001F6879"/>
    <w:rsid w:val="001F68A2"/>
    <w:rsid w:val="001F68EA"/>
    <w:rsid w:val="001F6929"/>
    <w:rsid w:val="001F6947"/>
    <w:rsid w:val="001F6989"/>
    <w:rsid w:val="001F699B"/>
    <w:rsid w:val="001F69CF"/>
    <w:rsid w:val="001F69D1"/>
    <w:rsid w:val="001F6A05"/>
    <w:rsid w:val="001F6AB9"/>
    <w:rsid w:val="001F6AF2"/>
    <w:rsid w:val="001F6B58"/>
    <w:rsid w:val="001F6C3F"/>
    <w:rsid w:val="001F6C99"/>
    <w:rsid w:val="001F6D23"/>
    <w:rsid w:val="001F6DF3"/>
    <w:rsid w:val="001F6E35"/>
    <w:rsid w:val="001F6E90"/>
    <w:rsid w:val="001F6EB7"/>
    <w:rsid w:val="001F6EDC"/>
    <w:rsid w:val="001F6F11"/>
    <w:rsid w:val="001F6F7F"/>
    <w:rsid w:val="001F6F8C"/>
    <w:rsid w:val="001F6FF6"/>
    <w:rsid w:val="001F7019"/>
    <w:rsid w:val="001F7025"/>
    <w:rsid w:val="001F70B1"/>
    <w:rsid w:val="001F7194"/>
    <w:rsid w:val="001F71CA"/>
    <w:rsid w:val="001F72A8"/>
    <w:rsid w:val="001F74DF"/>
    <w:rsid w:val="001F7556"/>
    <w:rsid w:val="001F75DD"/>
    <w:rsid w:val="001F75DE"/>
    <w:rsid w:val="001F7646"/>
    <w:rsid w:val="001F769F"/>
    <w:rsid w:val="001F76EA"/>
    <w:rsid w:val="001F77E6"/>
    <w:rsid w:val="001F783F"/>
    <w:rsid w:val="001F7846"/>
    <w:rsid w:val="001F78ED"/>
    <w:rsid w:val="001F7953"/>
    <w:rsid w:val="001F7990"/>
    <w:rsid w:val="001F79A6"/>
    <w:rsid w:val="001F79C4"/>
    <w:rsid w:val="001F79D6"/>
    <w:rsid w:val="001F7AB9"/>
    <w:rsid w:val="001F7AE0"/>
    <w:rsid w:val="001F7AF3"/>
    <w:rsid w:val="001F7B04"/>
    <w:rsid w:val="001F7B82"/>
    <w:rsid w:val="001F7B8D"/>
    <w:rsid w:val="001F7C34"/>
    <w:rsid w:val="001F7CE4"/>
    <w:rsid w:val="001F7D3E"/>
    <w:rsid w:val="001F7D80"/>
    <w:rsid w:val="001F7D94"/>
    <w:rsid w:val="001F7E09"/>
    <w:rsid w:val="001F7E3F"/>
    <w:rsid w:val="001F7E9A"/>
    <w:rsid w:val="001F7F08"/>
    <w:rsid w:val="001F7F77"/>
    <w:rsid w:val="001F7F80"/>
    <w:rsid w:val="001F7F9A"/>
    <w:rsid w:val="001F7FD0"/>
    <w:rsid w:val="00200093"/>
    <w:rsid w:val="002001BC"/>
    <w:rsid w:val="002001C4"/>
    <w:rsid w:val="00200218"/>
    <w:rsid w:val="00200222"/>
    <w:rsid w:val="00200229"/>
    <w:rsid w:val="0020024C"/>
    <w:rsid w:val="00200256"/>
    <w:rsid w:val="0020029E"/>
    <w:rsid w:val="00200400"/>
    <w:rsid w:val="00200426"/>
    <w:rsid w:val="002004A6"/>
    <w:rsid w:val="00200565"/>
    <w:rsid w:val="002005A3"/>
    <w:rsid w:val="0020065C"/>
    <w:rsid w:val="00200663"/>
    <w:rsid w:val="00200679"/>
    <w:rsid w:val="00200711"/>
    <w:rsid w:val="00200781"/>
    <w:rsid w:val="0020082B"/>
    <w:rsid w:val="00200867"/>
    <w:rsid w:val="00200997"/>
    <w:rsid w:val="00200B47"/>
    <w:rsid w:val="00200B52"/>
    <w:rsid w:val="00200B79"/>
    <w:rsid w:val="00200B98"/>
    <w:rsid w:val="00200BEA"/>
    <w:rsid w:val="00200C63"/>
    <w:rsid w:val="00200CB8"/>
    <w:rsid w:val="00200D56"/>
    <w:rsid w:val="00200D99"/>
    <w:rsid w:val="00200DB3"/>
    <w:rsid w:val="00200DDE"/>
    <w:rsid w:val="00200F61"/>
    <w:rsid w:val="00200F7C"/>
    <w:rsid w:val="00200FBE"/>
    <w:rsid w:val="002010E3"/>
    <w:rsid w:val="00201163"/>
    <w:rsid w:val="002012A1"/>
    <w:rsid w:val="002012D9"/>
    <w:rsid w:val="00201329"/>
    <w:rsid w:val="00201390"/>
    <w:rsid w:val="002013A7"/>
    <w:rsid w:val="002013E7"/>
    <w:rsid w:val="002014D4"/>
    <w:rsid w:val="002015C3"/>
    <w:rsid w:val="00201697"/>
    <w:rsid w:val="002016AA"/>
    <w:rsid w:val="002016DF"/>
    <w:rsid w:val="0020170E"/>
    <w:rsid w:val="002017AA"/>
    <w:rsid w:val="002017DA"/>
    <w:rsid w:val="002017DF"/>
    <w:rsid w:val="002017FC"/>
    <w:rsid w:val="00201843"/>
    <w:rsid w:val="00201859"/>
    <w:rsid w:val="00201920"/>
    <w:rsid w:val="00201927"/>
    <w:rsid w:val="0020197C"/>
    <w:rsid w:val="002019E4"/>
    <w:rsid w:val="002019F4"/>
    <w:rsid w:val="00201A09"/>
    <w:rsid w:val="00201A64"/>
    <w:rsid w:val="00201A9D"/>
    <w:rsid w:val="00201B50"/>
    <w:rsid w:val="00201B85"/>
    <w:rsid w:val="00201C04"/>
    <w:rsid w:val="00201D25"/>
    <w:rsid w:val="00201D81"/>
    <w:rsid w:val="00201D82"/>
    <w:rsid w:val="00201DC0"/>
    <w:rsid w:val="00201DE5"/>
    <w:rsid w:val="00201DEC"/>
    <w:rsid w:val="00201E81"/>
    <w:rsid w:val="00201EDB"/>
    <w:rsid w:val="00201EFA"/>
    <w:rsid w:val="00201F7D"/>
    <w:rsid w:val="00201F8C"/>
    <w:rsid w:val="00201FCC"/>
    <w:rsid w:val="00202008"/>
    <w:rsid w:val="0020203F"/>
    <w:rsid w:val="00202215"/>
    <w:rsid w:val="0020231A"/>
    <w:rsid w:val="00202327"/>
    <w:rsid w:val="00202361"/>
    <w:rsid w:val="00202367"/>
    <w:rsid w:val="00202486"/>
    <w:rsid w:val="002024BD"/>
    <w:rsid w:val="0020251D"/>
    <w:rsid w:val="00202526"/>
    <w:rsid w:val="00202617"/>
    <w:rsid w:val="00202673"/>
    <w:rsid w:val="00202682"/>
    <w:rsid w:val="002026DA"/>
    <w:rsid w:val="0020279C"/>
    <w:rsid w:val="002027EB"/>
    <w:rsid w:val="0020280D"/>
    <w:rsid w:val="00202856"/>
    <w:rsid w:val="00202889"/>
    <w:rsid w:val="002028C7"/>
    <w:rsid w:val="00202901"/>
    <w:rsid w:val="00202A53"/>
    <w:rsid w:val="00202A71"/>
    <w:rsid w:val="00202AD8"/>
    <w:rsid w:val="00202ADF"/>
    <w:rsid w:val="00202AF9"/>
    <w:rsid w:val="00202B24"/>
    <w:rsid w:val="00202B29"/>
    <w:rsid w:val="00202C1C"/>
    <w:rsid w:val="00202C57"/>
    <w:rsid w:val="00202D19"/>
    <w:rsid w:val="00202E03"/>
    <w:rsid w:val="00202E65"/>
    <w:rsid w:val="00202E87"/>
    <w:rsid w:val="00202E94"/>
    <w:rsid w:val="00202F71"/>
    <w:rsid w:val="00203063"/>
    <w:rsid w:val="0020311D"/>
    <w:rsid w:val="0020313A"/>
    <w:rsid w:val="0020316A"/>
    <w:rsid w:val="0020328E"/>
    <w:rsid w:val="002032A9"/>
    <w:rsid w:val="00203363"/>
    <w:rsid w:val="002033BC"/>
    <w:rsid w:val="00203417"/>
    <w:rsid w:val="00203483"/>
    <w:rsid w:val="00203488"/>
    <w:rsid w:val="0020349F"/>
    <w:rsid w:val="00203543"/>
    <w:rsid w:val="0020357B"/>
    <w:rsid w:val="00203587"/>
    <w:rsid w:val="0020358A"/>
    <w:rsid w:val="002035E5"/>
    <w:rsid w:val="0020365A"/>
    <w:rsid w:val="0020369C"/>
    <w:rsid w:val="002036F3"/>
    <w:rsid w:val="002036F7"/>
    <w:rsid w:val="00203766"/>
    <w:rsid w:val="002037EF"/>
    <w:rsid w:val="002038A9"/>
    <w:rsid w:val="002038B4"/>
    <w:rsid w:val="002038C5"/>
    <w:rsid w:val="0020397B"/>
    <w:rsid w:val="00203A24"/>
    <w:rsid w:val="00203A6C"/>
    <w:rsid w:val="00203B19"/>
    <w:rsid w:val="00203B36"/>
    <w:rsid w:val="00203B88"/>
    <w:rsid w:val="00203BB5"/>
    <w:rsid w:val="00203BF2"/>
    <w:rsid w:val="00203C70"/>
    <w:rsid w:val="00203CBA"/>
    <w:rsid w:val="00203CF8"/>
    <w:rsid w:val="00203DDA"/>
    <w:rsid w:val="00203DF7"/>
    <w:rsid w:val="00203DF9"/>
    <w:rsid w:val="00203F11"/>
    <w:rsid w:val="00203F5E"/>
    <w:rsid w:val="00203FE2"/>
    <w:rsid w:val="00204007"/>
    <w:rsid w:val="002040EC"/>
    <w:rsid w:val="0020411E"/>
    <w:rsid w:val="00204124"/>
    <w:rsid w:val="00204126"/>
    <w:rsid w:val="0020419E"/>
    <w:rsid w:val="002041D6"/>
    <w:rsid w:val="002041FE"/>
    <w:rsid w:val="00204217"/>
    <w:rsid w:val="0020421D"/>
    <w:rsid w:val="0020421E"/>
    <w:rsid w:val="0020426D"/>
    <w:rsid w:val="002042CA"/>
    <w:rsid w:val="002042E3"/>
    <w:rsid w:val="0020431B"/>
    <w:rsid w:val="00204373"/>
    <w:rsid w:val="0020447B"/>
    <w:rsid w:val="00204533"/>
    <w:rsid w:val="0020453B"/>
    <w:rsid w:val="002045A0"/>
    <w:rsid w:val="002045C5"/>
    <w:rsid w:val="0020463D"/>
    <w:rsid w:val="002046C7"/>
    <w:rsid w:val="002046F8"/>
    <w:rsid w:val="00204717"/>
    <w:rsid w:val="00204770"/>
    <w:rsid w:val="00204784"/>
    <w:rsid w:val="00204796"/>
    <w:rsid w:val="002047CF"/>
    <w:rsid w:val="0020484D"/>
    <w:rsid w:val="00204850"/>
    <w:rsid w:val="002048CF"/>
    <w:rsid w:val="00204900"/>
    <w:rsid w:val="00204901"/>
    <w:rsid w:val="00204937"/>
    <w:rsid w:val="00204989"/>
    <w:rsid w:val="00204995"/>
    <w:rsid w:val="002049BF"/>
    <w:rsid w:val="00204AF8"/>
    <w:rsid w:val="00204B3A"/>
    <w:rsid w:val="00204B44"/>
    <w:rsid w:val="00204BD3"/>
    <w:rsid w:val="00204BEA"/>
    <w:rsid w:val="00204C09"/>
    <w:rsid w:val="00204C2E"/>
    <w:rsid w:val="00204C41"/>
    <w:rsid w:val="00204C48"/>
    <w:rsid w:val="00204CD4"/>
    <w:rsid w:val="00204CED"/>
    <w:rsid w:val="00204CF4"/>
    <w:rsid w:val="00204D57"/>
    <w:rsid w:val="00204DEE"/>
    <w:rsid w:val="00204F0F"/>
    <w:rsid w:val="00205006"/>
    <w:rsid w:val="00205010"/>
    <w:rsid w:val="00205084"/>
    <w:rsid w:val="002050B1"/>
    <w:rsid w:val="00205113"/>
    <w:rsid w:val="00205205"/>
    <w:rsid w:val="00205281"/>
    <w:rsid w:val="002052BB"/>
    <w:rsid w:val="00205356"/>
    <w:rsid w:val="002053B4"/>
    <w:rsid w:val="002053FD"/>
    <w:rsid w:val="00205422"/>
    <w:rsid w:val="002054B7"/>
    <w:rsid w:val="002054CD"/>
    <w:rsid w:val="00205668"/>
    <w:rsid w:val="002056AA"/>
    <w:rsid w:val="002057FA"/>
    <w:rsid w:val="00205888"/>
    <w:rsid w:val="002058A6"/>
    <w:rsid w:val="0020594E"/>
    <w:rsid w:val="00205997"/>
    <w:rsid w:val="0020599F"/>
    <w:rsid w:val="002059CD"/>
    <w:rsid w:val="00205A47"/>
    <w:rsid w:val="00205A91"/>
    <w:rsid w:val="00205AEF"/>
    <w:rsid w:val="00205B2C"/>
    <w:rsid w:val="00205B3F"/>
    <w:rsid w:val="00205BE3"/>
    <w:rsid w:val="00205C38"/>
    <w:rsid w:val="00205CB2"/>
    <w:rsid w:val="00205CD4"/>
    <w:rsid w:val="00205D14"/>
    <w:rsid w:val="00205D4F"/>
    <w:rsid w:val="00205DCC"/>
    <w:rsid w:val="00205DED"/>
    <w:rsid w:val="00205E16"/>
    <w:rsid w:val="00205EBE"/>
    <w:rsid w:val="00205ED2"/>
    <w:rsid w:val="00205F25"/>
    <w:rsid w:val="00205F39"/>
    <w:rsid w:val="00205FE9"/>
    <w:rsid w:val="002060A5"/>
    <w:rsid w:val="00206115"/>
    <w:rsid w:val="00206126"/>
    <w:rsid w:val="00206174"/>
    <w:rsid w:val="00206208"/>
    <w:rsid w:val="0020622D"/>
    <w:rsid w:val="0020625F"/>
    <w:rsid w:val="00206297"/>
    <w:rsid w:val="00206303"/>
    <w:rsid w:val="002064A7"/>
    <w:rsid w:val="002064E0"/>
    <w:rsid w:val="00206509"/>
    <w:rsid w:val="0020653C"/>
    <w:rsid w:val="00206560"/>
    <w:rsid w:val="00206577"/>
    <w:rsid w:val="0020660B"/>
    <w:rsid w:val="00206624"/>
    <w:rsid w:val="00206649"/>
    <w:rsid w:val="00206665"/>
    <w:rsid w:val="0020668B"/>
    <w:rsid w:val="00206720"/>
    <w:rsid w:val="002067F0"/>
    <w:rsid w:val="0020683A"/>
    <w:rsid w:val="002068DB"/>
    <w:rsid w:val="00206A9C"/>
    <w:rsid w:val="00206AF3"/>
    <w:rsid w:val="00206B83"/>
    <w:rsid w:val="00206BB7"/>
    <w:rsid w:val="00206BEE"/>
    <w:rsid w:val="00206C5F"/>
    <w:rsid w:val="00206CF2"/>
    <w:rsid w:val="00206D39"/>
    <w:rsid w:val="00206D43"/>
    <w:rsid w:val="00206D65"/>
    <w:rsid w:val="00206D73"/>
    <w:rsid w:val="00206DD0"/>
    <w:rsid w:val="00206E2F"/>
    <w:rsid w:val="00206E36"/>
    <w:rsid w:val="00206E46"/>
    <w:rsid w:val="00206E65"/>
    <w:rsid w:val="00206EFE"/>
    <w:rsid w:val="00206F5F"/>
    <w:rsid w:val="00206FBE"/>
    <w:rsid w:val="00206FDC"/>
    <w:rsid w:val="00206FE5"/>
    <w:rsid w:val="00207013"/>
    <w:rsid w:val="00207026"/>
    <w:rsid w:val="00207039"/>
    <w:rsid w:val="002070E1"/>
    <w:rsid w:val="00207131"/>
    <w:rsid w:val="002071AA"/>
    <w:rsid w:val="0020720D"/>
    <w:rsid w:val="0020734A"/>
    <w:rsid w:val="002073A4"/>
    <w:rsid w:val="002073BA"/>
    <w:rsid w:val="002073D8"/>
    <w:rsid w:val="0020741D"/>
    <w:rsid w:val="0020744E"/>
    <w:rsid w:val="0020748B"/>
    <w:rsid w:val="0020753E"/>
    <w:rsid w:val="0020759F"/>
    <w:rsid w:val="0020771E"/>
    <w:rsid w:val="002077E5"/>
    <w:rsid w:val="00207859"/>
    <w:rsid w:val="00207883"/>
    <w:rsid w:val="002078C6"/>
    <w:rsid w:val="00207956"/>
    <w:rsid w:val="002079D9"/>
    <w:rsid w:val="00207A33"/>
    <w:rsid w:val="00207A5E"/>
    <w:rsid w:val="00207A83"/>
    <w:rsid w:val="00207AB2"/>
    <w:rsid w:val="00207AF0"/>
    <w:rsid w:val="00207B1C"/>
    <w:rsid w:val="00207B2D"/>
    <w:rsid w:val="00207B4B"/>
    <w:rsid w:val="00207BF5"/>
    <w:rsid w:val="00207D64"/>
    <w:rsid w:val="00207D79"/>
    <w:rsid w:val="00207DCE"/>
    <w:rsid w:val="00207DFF"/>
    <w:rsid w:val="00207E05"/>
    <w:rsid w:val="00207E2A"/>
    <w:rsid w:val="00207E54"/>
    <w:rsid w:val="00207E63"/>
    <w:rsid w:val="00207E8E"/>
    <w:rsid w:val="00207EAB"/>
    <w:rsid w:val="00207F41"/>
    <w:rsid w:val="00207F68"/>
    <w:rsid w:val="00207FEC"/>
    <w:rsid w:val="00210021"/>
    <w:rsid w:val="00210088"/>
    <w:rsid w:val="002100BB"/>
    <w:rsid w:val="002100D5"/>
    <w:rsid w:val="002100E0"/>
    <w:rsid w:val="002100ED"/>
    <w:rsid w:val="00210145"/>
    <w:rsid w:val="0021027B"/>
    <w:rsid w:val="0021032D"/>
    <w:rsid w:val="00210371"/>
    <w:rsid w:val="002103A0"/>
    <w:rsid w:val="002103C7"/>
    <w:rsid w:val="002103D8"/>
    <w:rsid w:val="00210494"/>
    <w:rsid w:val="002104FD"/>
    <w:rsid w:val="00210556"/>
    <w:rsid w:val="002105CA"/>
    <w:rsid w:val="002105CC"/>
    <w:rsid w:val="002105D7"/>
    <w:rsid w:val="002105FF"/>
    <w:rsid w:val="0021077C"/>
    <w:rsid w:val="002107B6"/>
    <w:rsid w:val="002107E1"/>
    <w:rsid w:val="0021090E"/>
    <w:rsid w:val="002109E9"/>
    <w:rsid w:val="00210AA8"/>
    <w:rsid w:val="00210ABE"/>
    <w:rsid w:val="00210B13"/>
    <w:rsid w:val="00210B2A"/>
    <w:rsid w:val="00210C47"/>
    <w:rsid w:val="00210C52"/>
    <w:rsid w:val="00210CB5"/>
    <w:rsid w:val="00210F00"/>
    <w:rsid w:val="00210F44"/>
    <w:rsid w:val="00210F81"/>
    <w:rsid w:val="00211050"/>
    <w:rsid w:val="0021106D"/>
    <w:rsid w:val="00211086"/>
    <w:rsid w:val="002110A7"/>
    <w:rsid w:val="002111F8"/>
    <w:rsid w:val="00211235"/>
    <w:rsid w:val="0021124A"/>
    <w:rsid w:val="0021126D"/>
    <w:rsid w:val="00211355"/>
    <w:rsid w:val="0021147F"/>
    <w:rsid w:val="00211481"/>
    <w:rsid w:val="00211493"/>
    <w:rsid w:val="002114A4"/>
    <w:rsid w:val="00211521"/>
    <w:rsid w:val="002115D1"/>
    <w:rsid w:val="00211603"/>
    <w:rsid w:val="00211690"/>
    <w:rsid w:val="002116C9"/>
    <w:rsid w:val="002116E0"/>
    <w:rsid w:val="0021180F"/>
    <w:rsid w:val="0021188B"/>
    <w:rsid w:val="00211898"/>
    <w:rsid w:val="002118DF"/>
    <w:rsid w:val="002118ED"/>
    <w:rsid w:val="0021197C"/>
    <w:rsid w:val="00211994"/>
    <w:rsid w:val="00211998"/>
    <w:rsid w:val="0021199A"/>
    <w:rsid w:val="002119D6"/>
    <w:rsid w:val="00211A14"/>
    <w:rsid w:val="00211A7A"/>
    <w:rsid w:val="00211AB4"/>
    <w:rsid w:val="00211B02"/>
    <w:rsid w:val="00211B9F"/>
    <w:rsid w:val="00211C14"/>
    <w:rsid w:val="00211C18"/>
    <w:rsid w:val="00211C58"/>
    <w:rsid w:val="00211CCB"/>
    <w:rsid w:val="00211CEE"/>
    <w:rsid w:val="00211D6E"/>
    <w:rsid w:val="00211DE4"/>
    <w:rsid w:val="00211E4B"/>
    <w:rsid w:val="00211E8C"/>
    <w:rsid w:val="00211E8D"/>
    <w:rsid w:val="00211EB2"/>
    <w:rsid w:val="00211EDB"/>
    <w:rsid w:val="00211F14"/>
    <w:rsid w:val="00211FD3"/>
    <w:rsid w:val="00211FE5"/>
    <w:rsid w:val="00211FEB"/>
    <w:rsid w:val="00212037"/>
    <w:rsid w:val="0021208D"/>
    <w:rsid w:val="002120FA"/>
    <w:rsid w:val="00212102"/>
    <w:rsid w:val="00212122"/>
    <w:rsid w:val="00212245"/>
    <w:rsid w:val="0021225A"/>
    <w:rsid w:val="00212267"/>
    <w:rsid w:val="00212328"/>
    <w:rsid w:val="002123B4"/>
    <w:rsid w:val="00212403"/>
    <w:rsid w:val="00212471"/>
    <w:rsid w:val="002124AC"/>
    <w:rsid w:val="002124C6"/>
    <w:rsid w:val="002125E8"/>
    <w:rsid w:val="00212600"/>
    <w:rsid w:val="0021263B"/>
    <w:rsid w:val="00212655"/>
    <w:rsid w:val="00212667"/>
    <w:rsid w:val="002126ED"/>
    <w:rsid w:val="0021271F"/>
    <w:rsid w:val="00212721"/>
    <w:rsid w:val="0021278A"/>
    <w:rsid w:val="002127B3"/>
    <w:rsid w:val="002127DC"/>
    <w:rsid w:val="002127F7"/>
    <w:rsid w:val="00212802"/>
    <w:rsid w:val="0021280B"/>
    <w:rsid w:val="00212830"/>
    <w:rsid w:val="00212876"/>
    <w:rsid w:val="002128B6"/>
    <w:rsid w:val="00212941"/>
    <w:rsid w:val="00212A6A"/>
    <w:rsid w:val="00212AB9"/>
    <w:rsid w:val="00212B32"/>
    <w:rsid w:val="00212CD4"/>
    <w:rsid w:val="00212E16"/>
    <w:rsid w:val="00212E50"/>
    <w:rsid w:val="00212EA0"/>
    <w:rsid w:val="00212F01"/>
    <w:rsid w:val="00212F51"/>
    <w:rsid w:val="00212F8A"/>
    <w:rsid w:val="00212F8C"/>
    <w:rsid w:val="002130F5"/>
    <w:rsid w:val="002130FB"/>
    <w:rsid w:val="0021313D"/>
    <w:rsid w:val="002131C2"/>
    <w:rsid w:val="0021333A"/>
    <w:rsid w:val="00213398"/>
    <w:rsid w:val="00213402"/>
    <w:rsid w:val="00213482"/>
    <w:rsid w:val="002134BC"/>
    <w:rsid w:val="00213516"/>
    <w:rsid w:val="00213526"/>
    <w:rsid w:val="00213555"/>
    <w:rsid w:val="0021355F"/>
    <w:rsid w:val="00213700"/>
    <w:rsid w:val="0021371F"/>
    <w:rsid w:val="00213741"/>
    <w:rsid w:val="002137E7"/>
    <w:rsid w:val="0021385A"/>
    <w:rsid w:val="00213936"/>
    <w:rsid w:val="00213A07"/>
    <w:rsid w:val="00213ADB"/>
    <w:rsid w:val="00213B99"/>
    <w:rsid w:val="00213BF8"/>
    <w:rsid w:val="00213C05"/>
    <w:rsid w:val="00213C3C"/>
    <w:rsid w:val="00213CB8"/>
    <w:rsid w:val="00213CCF"/>
    <w:rsid w:val="00213CE1"/>
    <w:rsid w:val="00213D66"/>
    <w:rsid w:val="00213DA1"/>
    <w:rsid w:val="00213DA4"/>
    <w:rsid w:val="00213DF5"/>
    <w:rsid w:val="00213E1E"/>
    <w:rsid w:val="00213E32"/>
    <w:rsid w:val="00213EB2"/>
    <w:rsid w:val="00213F5D"/>
    <w:rsid w:val="00214018"/>
    <w:rsid w:val="00214062"/>
    <w:rsid w:val="00214078"/>
    <w:rsid w:val="00214110"/>
    <w:rsid w:val="00214144"/>
    <w:rsid w:val="002141E1"/>
    <w:rsid w:val="00214294"/>
    <w:rsid w:val="002142CE"/>
    <w:rsid w:val="002142F8"/>
    <w:rsid w:val="0021430E"/>
    <w:rsid w:val="00214332"/>
    <w:rsid w:val="00214340"/>
    <w:rsid w:val="002143A2"/>
    <w:rsid w:val="002145B8"/>
    <w:rsid w:val="0021475F"/>
    <w:rsid w:val="00214769"/>
    <w:rsid w:val="0021479F"/>
    <w:rsid w:val="0021481F"/>
    <w:rsid w:val="00214831"/>
    <w:rsid w:val="00214839"/>
    <w:rsid w:val="002148B6"/>
    <w:rsid w:val="002149BA"/>
    <w:rsid w:val="00214A2D"/>
    <w:rsid w:val="00214A3A"/>
    <w:rsid w:val="00214C3C"/>
    <w:rsid w:val="00214C65"/>
    <w:rsid w:val="00214CDC"/>
    <w:rsid w:val="00214CDF"/>
    <w:rsid w:val="00214CE1"/>
    <w:rsid w:val="00214D10"/>
    <w:rsid w:val="00214DF5"/>
    <w:rsid w:val="00214E6C"/>
    <w:rsid w:val="00214ED6"/>
    <w:rsid w:val="00214F2F"/>
    <w:rsid w:val="00215026"/>
    <w:rsid w:val="0021503B"/>
    <w:rsid w:val="002150C0"/>
    <w:rsid w:val="00215113"/>
    <w:rsid w:val="00215145"/>
    <w:rsid w:val="00215153"/>
    <w:rsid w:val="0021516F"/>
    <w:rsid w:val="002151CE"/>
    <w:rsid w:val="00215246"/>
    <w:rsid w:val="0021525C"/>
    <w:rsid w:val="00215307"/>
    <w:rsid w:val="002153A8"/>
    <w:rsid w:val="0021544F"/>
    <w:rsid w:val="00215504"/>
    <w:rsid w:val="00215521"/>
    <w:rsid w:val="00215592"/>
    <w:rsid w:val="002155D9"/>
    <w:rsid w:val="0021561A"/>
    <w:rsid w:val="00215639"/>
    <w:rsid w:val="00215707"/>
    <w:rsid w:val="0021575F"/>
    <w:rsid w:val="00215771"/>
    <w:rsid w:val="002157FB"/>
    <w:rsid w:val="0021581A"/>
    <w:rsid w:val="0021581B"/>
    <w:rsid w:val="00215923"/>
    <w:rsid w:val="0021593D"/>
    <w:rsid w:val="00215946"/>
    <w:rsid w:val="00215948"/>
    <w:rsid w:val="002159D8"/>
    <w:rsid w:val="00215A6C"/>
    <w:rsid w:val="00215A82"/>
    <w:rsid w:val="00215B71"/>
    <w:rsid w:val="00215BA7"/>
    <w:rsid w:val="00215BBE"/>
    <w:rsid w:val="00215BE9"/>
    <w:rsid w:val="00215C2B"/>
    <w:rsid w:val="00215C33"/>
    <w:rsid w:val="00215C84"/>
    <w:rsid w:val="00215E03"/>
    <w:rsid w:val="00215E1E"/>
    <w:rsid w:val="00215E50"/>
    <w:rsid w:val="00215E82"/>
    <w:rsid w:val="00215E91"/>
    <w:rsid w:val="00215E96"/>
    <w:rsid w:val="00215EB0"/>
    <w:rsid w:val="00215EF8"/>
    <w:rsid w:val="00215F3F"/>
    <w:rsid w:val="00215FF7"/>
    <w:rsid w:val="0021602F"/>
    <w:rsid w:val="00216061"/>
    <w:rsid w:val="002160CD"/>
    <w:rsid w:val="002160D1"/>
    <w:rsid w:val="0021615D"/>
    <w:rsid w:val="0021615F"/>
    <w:rsid w:val="002161DD"/>
    <w:rsid w:val="0021628E"/>
    <w:rsid w:val="002162D4"/>
    <w:rsid w:val="002162EE"/>
    <w:rsid w:val="00216319"/>
    <w:rsid w:val="0021634B"/>
    <w:rsid w:val="00216357"/>
    <w:rsid w:val="00216386"/>
    <w:rsid w:val="00216432"/>
    <w:rsid w:val="00216477"/>
    <w:rsid w:val="0021649D"/>
    <w:rsid w:val="002164EA"/>
    <w:rsid w:val="0021651E"/>
    <w:rsid w:val="0021652C"/>
    <w:rsid w:val="00216565"/>
    <w:rsid w:val="00216570"/>
    <w:rsid w:val="002165E2"/>
    <w:rsid w:val="0021662B"/>
    <w:rsid w:val="00216691"/>
    <w:rsid w:val="00216698"/>
    <w:rsid w:val="002166D0"/>
    <w:rsid w:val="0021677B"/>
    <w:rsid w:val="002169C1"/>
    <w:rsid w:val="002169D0"/>
    <w:rsid w:val="002169E6"/>
    <w:rsid w:val="00216A1C"/>
    <w:rsid w:val="00216AC1"/>
    <w:rsid w:val="00216B67"/>
    <w:rsid w:val="00216B73"/>
    <w:rsid w:val="00216C8D"/>
    <w:rsid w:val="00216D54"/>
    <w:rsid w:val="00216DC9"/>
    <w:rsid w:val="00216E08"/>
    <w:rsid w:val="00216EBD"/>
    <w:rsid w:val="00216EC8"/>
    <w:rsid w:val="00216EF6"/>
    <w:rsid w:val="00216F60"/>
    <w:rsid w:val="00216FC0"/>
    <w:rsid w:val="0021700A"/>
    <w:rsid w:val="00217014"/>
    <w:rsid w:val="0021703A"/>
    <w:rsid w:val="002170C5"/>
    <w:rsid w:val="002170E2"/>
    <w:rsid w:val="002170E4"/>
    <w:rsid w:val="00217137"/>
    <w:rsid w:val="00217158"/>
    <w:rsid w:val="002171CF"/>
    <w:rsid w:val="0021730D"/>
    <w:rsid w:val="0021732D"/>
    <w:rsid w:val="00217351"/>
    <w:rsid w:val="00217358"/>
    <w:rsid w:val="0021739A"/>
    <w:rsid w:val="00217507"/>
    <w:rsid w:val="00217590"/>
    <w:rsid w:val="0021762C"/>
    <w:rsid w:val="0021762D"/>
    <w:rsid w:val="0021762E"/>
    <w:rsid w:val="00217688"/>
    <w:rsid w:val="00217690"/>
    <w:rsid w:val="002176DA"/>
    <w:rsid w:val="0021772D"/>
    <w:rsid w:val="00217739"/>
    <w:rsid w:val="0021775B"/>
    <w:rsid w:val="0021778E"/>
    <w:rsid w:val="002177E1"/>
    <w:rsid w:val="0021784C"/>
    <w:rsid w:val="002178B5"/>
    <w:rsid w:val="002178F9"/>
    <w:rsid w:val="00217906"/>
    <w:rsid w:val="0021791B"/>
    <w:rsid w:val="00217936"/>
    <w:rsid w:val="00217952"/>
    <w:rsid w:val="0021795A"/>
    <w:rsid w:val="002179A5"/>
    <w:rsid w:val="00217AA7"/>
    <w:rsid w:val="00217B54"/>
    <w:rsid w:val="00217B7F"/>
    <w:rsid w:val="00217B9F"/>
    <w:rsid w:val="00217BB9"/>
    <w:rsid w:val="00217BDD"/>
    <w:rsid w:val="00217BFE"/>
    <w:rsid w:val="00217C03"/>
    <w:rsid w:val="00217C45"/>
    <w:rsid w:val="00217CD7"/>
    <w:rsid w:val="00217D2E"/>
    <w:rsid w:val="00217D4D"/>
    <w:rsid w:val="00217EF8"/>
    <w:rsid w:val="00217F6F"/>
    <w:rsid w:val="00217FD1"/>
    <w:rsid w:val="00217FF2"/>
    <w:rsid w:val="0022005E"/>
    <w:rsid w:val="0022007D"/>
    <w:rsid w:val="00220110"/>
    <w:rsid w:val="0022017A"/>
    <w:rsid w:val="00220192"/>
    <w:rsid w:val="002202A0"/>
    <w:rsid w:val="002202BF"/>
    <w:rsid w:val="002202E6"/>
    <w:rsid w:val="002202F5"/>
    <w:rsid w:val="00220360"/>
    <w:rsid w:val="0022036A"/>
    <w:rsid w:val="002204A7"/>
    <w:rsid w:val="002204C0"/>
    <w:rsid w:val="002204F1"/>
    <w:rsid w:val="0022062E"/>
    <w:rsid w:val="00220632"/>
    <w:rsid w:val="00220655"/>
    <w:rsid w:val="002206A8"/>
    <w:rsid w:val="002206C9"/>
    <w:rsid w:val="002206E7"/>
    <w:rsid w:val="00220704"/>
    <w:rsid w:val="0022080D"/>
    <w:rsid w:val="0022089A"/>
    <w:rsid w:val="0022091C"/>
    <w:rsid w:val="002209D9"/>
    <w:rsid w:val="002209E2"/>
    <w:rsid w:val="00220A2A"/>
    <w:rsid w:val="00220A68"/>
    <w:rsid w:val="00220AF8"/>
    <w:rsid w:val="00220B20"/>
    <w:rsid w:val="00220B9C"/>
    <w:rsid w:val="00220BB5"/>
    <w:rsid w:val="00220BCE"/>
    <w:rsid w:val="00220D2B"/>
    <w:rsid w:val="00220D67"/>
    <w:rsid w:val="00220D7F"/>
    <w:rsid w:val="00220D98"/>
    <w:rsid w:val="00220E56"/>
    <w:rsid w:val="00220E69"/>
    <w:rsid w:val="00220EC6"/>
    <w:rsid w:val="00220F10"/>
    <w:rsid w:val="002210AA"/>
    <w:rsid w:val="002210D5"/>
    <w:rsid w:val="002210FF"/>
    <w:rsid w:val="002211E2"/>
    <w:rsid w:val="00221296"/>
    <w:rsid w:val="002212A1"/>
    <w:rsid w:val="002212ED"/>
    <w:rsid w:val="002213C6"/>
    <w:rsid w:val="002213E1"/>
    <w:rsid w:val="002214F6"/>
    <w:rsid w:val="00221571"/>
    <w:rsid w:val="002215DD"/>
    <w:rsid w:val="00221779"/>
    <w:rsid w:val="00221839"/>
    <w:rsid w:val="0022186F"/>
    <w:rsid w:val="002218BA"/>
    <w:rsid w:val="002218C5"/>
    <w:rsid w:val="0022192B"/>
    <w:rsid w:val="0022198C"/>
    <w:rsid w:val="002219C2"/>
    <w:rsid w:val="002219FC"/>
    <w:rsid w:val="00221A15"/>
    <w:rsid w:val="00221A28"/>
    <w:rsid w:val="00221A61"/>
    <w:rsid w:val="00221A86"/>
    <w:rsid w:val="00221ABF"/>
    <w:rsid w:val="00221ACE"/>
    <w:rsid w:val="00221B6E"/>
    <w:rsid w:val="00221BB8"/>
    <w:rsid w:val="00221C8F"/>
    <w:rsid w:val="00221CA7"/>
    <w:rsid w:val="00221CC9"/>
    <w:rsid w:val="00221CE6"/>
    <w:rsid w:val="00221D2B"/>
    <w:rsid w:val="00221D93"/>
    <w:rsid w:val="00221DB5"/>
    <w:rsid w:val="00221DDD"/>
    <w:rsid w:val="00221DF1"/>
    <w:rsid w:val="00221E4C"/>
    <w:rsid w:val="00221F0E"/>
    <w:rsid w:val="00221F32"/>
    <w:rsid w:val="00221F76"/>
    <w:rsid w:val="00221FC1"/>
    <w:rsid w:val="00222147"/>
    <w:rsid w:val="00222299"/>
    <w:rsid w:val="002222C1"/>
    <w:rsid w:val="0022236E"/>
    <w:rsid w:val="0022238A"/>
    <w:rsid w:val="00222472"/>
    <w:rsid w:val="002224B0"/>
    <w:rsid w:val="002224BF"/>
    <w:rsid w:val="002224DC"/>
    <w:rsid w:val="00222507"/>
    <w:rsid w:val="0022250E"/>
    <w:rsid w:val="0022254E"/>
    <w:rsid w:val="00222559"/>
    <w:rsid w:val="002225BC"/>
    <w:rsid w:val="0022264B"/>
    <w:rsid w:val="00222663"/>
    <w:rsid w:val="00222671"/>
    <w:rsid w:val="00222742"/>
    <w:rsid w:val="00222762"/>
    <w:rsid w:val="00222771"/>
    <w:rsid w:val="00222811"/>
    <w:rsid w:val="00222823"/>
    <w:rsid w:val="0022287C"/>
    <w:rsid w:val="00222925"/>
    <w:rsid w:val="002229A0"/>
    <w:rsid w:val="00222A70"/>
    <w:rsid w:val="00222B37"/>
    <w:rsid w:val="00222B65"/>
    <w:rsid w:val="00222B96"/>
    <w:rsid w:val="00222BE7"/>
    <w:rsid w:val="00222C4B"/>
    <w:rsid w:val="00222C72"/>
    <w:rsid w:val="00222E06"/>
    <w:rsid w:val="00222E29"/>
    <w:rsid w:val="00222EED"/>
    <w:rsid w:val="00222F04"/>
    <w:rsid w:val="00222F76"/>
    <w:rsid w:val="00222F85"/>
    <w:rsid w:val="00222FEC"/>
    <w:rsid w:val="00223031"/>
    <w:rsid w:val="00223059"/>
    <w:rsid w:val="002230CD"/>
    <w:rsid w:val="002230DB"/>
    <w:rsid w:val="00223101"/>
    <w:rsid w:val="0022315C"/>
    <w:rsid w:val="00223194"/>
    <w:rsid w:val="00223240"/>
    <w:rsid w:val="00223244"/>
    <w:rsid w:val="002232BB"/>
    <w:rsid w:val="00223304"/>
    <w:rsid w:val="00223329"/>
    <w:rsid w:val="00223343"/>
    <w:rsid w:val="00223362"/>
    <w:rsid w:val="0022347B"/>
    <w:rsid w:val="00223699"/>
    <w:rsid w:val="002236C4"/>
    <w:rsid w:val="002236E8"/>
    <w:rsid w:val="00223797"/>
    <w:rsid w:val="002237AC"/>
    <w:rsid w:val="00223815"/>
    <w:rsid w:val="00223913"/>
    <w:rsid w:val="00223916"/>
    <w:rsid w:val="0022394F"/>
    <w:rsid w:val="00223AEE"/>
    <w:rsid w:val="00223B30"/>
    <w:rsid w:val="00223BCF"/>
    <w:rsid w:val="00223BD9"/>
    <w:rsid w:val="00223BF4"/>
    <w:rsid w:val="00223C12"/>
    <w:rsid w:val="00223C20"/>
    <w:rsid w:val="00223CF2"/>
    <w:rsid w:val="00223D80"/>
    <w:rsid w:val="00223EAA"/>
    <w:rsid w:val="00223EC6"/>
    <w:rsid w:val="00223F6B"/>
    <w:rsid w:val="00223FC1"/>
    <w:rsid w:val="00223FFE"/>
    <w:rsid w:val="002240B9"/>
    <w:rsid w:val="0022412B"/>
    <w:rsid w:val="00224193"/>
    <w:rsid w:val="002241B0"/>
    <w:rsid w:val="00224249"/>
    <w:rsid w:val="00224258"/>
    <w:rsid w:val="002242F0"/>
    <w:rsid w:val="002242FB"/>
    <w:rsid w:val="002242FC"/>
    <w:rsid w:val="0022434A"/>
    <w:rsid w:val="002243B2"/>
    <w:rsid w:val="002243BF"/>
    <w:rsid w:val="002243D3"/>
    <w:rsid w:val="002243F4"/>
    <w:rsid w:val="00224400"/>
    <w:rsid w:val="002244D7"/>
    <w:rsid w:val="002245CD"/>
    <w:rsid w:val="002245F3"/>
    <w:rsid w:val="00224628"/>
    <w:rsid w:val="00224697"/>
    <w:rsid w:val="00224736"/>
    <w:rsid w:val="00224793"/>
    <w:rsid w:val="002247D6"/>
    <w:rsid w:val="002247F3"/>
    <w:rsid w:val="0022485F"/>
    <w:rsid w:val="0022486A"/>
    <w:rsid w:val="002248BF"/>
    <w:rsid w:val="002248E5"/>
    <w:rsid w:val="00224937"/>
    <w:rsid w:val="002249D3"/>
    <w:rsid w:val="00224A4E"/>
    <w:rsid w:val="00224CE8"/>
    <w:rsid w:val="00224D65"/>
    <w:rsid w:val="00224DCE"/>
    <w:rsid w:val="00224E8F"/>
    <w:rsid w:val="00224EDD"/>
    <w:rsid w:val="00224F7E"/>
    <w:rsid w:val="00224FF8"/>
    <w:rsid w:val="00225015"/>
    <w:rsid w:val="00225019"/>
    <w:rsid w:val="00225033"/>
    <w:rsid w:val="0022508C"/>
    <w:rsid w:val="002251D7"/>
    <w:rsid w:val="002251F6"/>
    <w:rsid w:val="00225249"/>
    <w:rsid w:val="002252EA"/>
    <w:rsid w:val="002253A7"/>
    <w:rsid w:val="002253E5"/>
    <w:rsid w:val="0022541C"/>
    <w:rsid w:val="00225465"/>
    <w:rsid w:val="002254D5"/>
    <w:rsid w:val="002254FE"/>
    <w:rsid w:val="00225553"/>
    <w:rsid w:val="00225589"/>
    <w:rsid w:val="00225655"/>
    <w:rsid w:val="00225773"/>
    <w:rsid w:val="00225782"/>
    <w:rsid w:val="00225793"/>
    <w:rsid w:val="0022584F"/>
    <w:rsid w:val="0022585E"/>
    <w:rsid w:val="0022586F"/>
    <w:rsid w:val="0022587F"/>
    <w:rsid w:val="002258FB"/>
    <w:rsid w:val="00225A02"/>
    <w:rsid w:val="00225B10"/>
    <w:rsid w:val="00225BCE"/>
    <w:rsid w:val="00225D1E"/>
    <w:rsid w:val="00225D84"/>
    <w:rsid w:val="00225D9D"/>
    <w:rsid w:val="00225E06"/>
    <w:rsid w:val="00225E19"/>
    <w:rsid w:val="00225E6D"/>
    <w:rsid w:val="00225EFE"/>
    <w:rsid w:val="00225FD9"/>
    <w:rsid w:val="00225FFC"/>
    <w:rsid w:val="00226024"/>
    <w:rsid w:val="00226040"/>
    <w:rsid w:val="002260EF"/>
    <w:rsid w:val="002261F6"/>
    <w:rsid w:val="0022623E"/>
    <w:rsid w:val="002262DB"/>
    <w:rsid w:val="002262FF"/>
    <w:rsid w:val="00226348"/>
    <w:rsid w:val="00226384"/>
    <w:rsid w:val="0022638C"/>
    <w:rsid w:val="002263D9"/>
    <w:rsid w:val="002263DE"/>
    <w:rsid w:val="00226453"/>
    <w:rsid w:val="00226553"/>
    <w:rsid w:val="002265DD"/>
    <w:rsid w:val="00226638"/>
    <w:rsid w:val="0022665E"/>
    <w:rsid w:val="0022667B"/>
    <w:rsid w:val="00226736"/>
    <w:rsid w:val="002267C1"/>
    <w:rsid w:val="002267D8"/>
    <w:rsid w:val="002267E4"/>
    <w:rsid w:val="002268E3"/>
    <w:rsid w:val="002269C9"/>
    <w:rsid w:val="00226A00"/>
    <w:rsid w:val="00226A51"/>
    <w:rsid w:val="00226A6F"/>
    <w:rsid w:val="00226ABF"/>
    <w:rsid w:val="00226B05"/>
    <w:rsid w:val="00226B41"/>
    <w:rsid w:val="00226D34"/>
    <w:rsid w:val="00226E4C"/>
    <w:rsid w:val="00226EE0"/>
    <w:rsid w:val="00226F20"/>
    <w:rsid w:val="00226F49"/>
    <w:rsid w:val="00226F59"/>
    <w:rsid w:val="00226FE8"/>
    <w:rsid w:val="00226FF5"/>
    <w:rsid w:val="00227063"/>
    <w:rsid w:val="00227078"/>
    <w:rsid w:val="002270B1"/>
    <w:rsid w:val="00227160"/>
    <w:rsid w:val="0022717E"/>
    <w:rsid w:val="00227199"/>
    <w:rsid w:val="00227242"/>
    <w:rsid w:val="002272B2"/>
    <w:rsid w:val="002272F7"/>
    <w:rsid w:val="00227303"/>
    <w:rsid w:val="0022734A"/>
    <w:rsid w:val="002273BF"/>
    <w:rsid w:val="002273CD"/>
    <w:rsid w:val="00227481"/>
    <w:rsid w:val="002274AC"/>
    <w:rsid w:val="00227550"/>
    <w:rsid w:val="002275B9"/>
    <w:rsid w:val="002275C7"/>
    <w:rsid w:val="002275C8"/>
    <w:rsid w:val="00227651"/>
    <w:rsid w:val="002276E1"/>
    <w:rsid w:val="0022772F"/>
    <w:rsid w:val="00227737"/>
    <w:rsid w:val="00227779"/>
    <w:rsid w:val="00227785"/>
    <w:rsid w:val="00227791"/>
    <w:rsid w:val="0022781B"/>
    <w:rsid w:val="00227849"/>
    <w:rsid w:val="0022788C"/>
    <w:rsid w:val="002279D5"/>
    <w:rsid w:val="00227A99"/>
    <w:rsid w:val="00227ACF"/>
    <w:rsid w:val="00227B33"/>
    <w:rsid w:val="00227BC6"/>
    <w:rsid w:val="00227BF9"/>
    <w:rsid w:val="00227C0B"/>
    <w:rsid w:val="00227C84"/>
    <w:rsid w:val="00227D1A"/>
    <w:rsid w:val="00227D65"/>
    <w:rsid w:val="00227DC9"/>
    <w:rsid w:val="00227DDF"/>
    <w:rsid w:val="00227E4B"/>
    <w:rsid w:val="00227FB5"/>
    <w:rsid w:val="0023002B"/>
    <w:rsid w:val="002300FF"/>
    <w:rsid w:val="00230149"/>
    <w:rsid w:val="00230173"/>
    <w:rsid w:val="0023018F"/>
    <w:rsid w:val="002301B5"/>
    <w:rsid w:val="002301F2"/>
    <w:rsid w:val="002302AB"/>
    <w:rsid w:val="002302F3"/>
    <w:rsid w:val="0023034C"/>
    <w:rsid w:val="002303AF"/>
    <w:rsid w:val="002304B2"/>
    <w:rsid w:val="002305A5"/>
    <w:rsid w:val="002305E6"/>
    <w:rsid w:val="00230608"/>
    <w:rsid w:val="0023063D"/>
    <w:rsid w:val="002306F7"/>
    <w:rsid w:val="0023082C"/>
    <w:rsid w:val="002309C5"/>
    <w:rsid w:val="00230A25"/>
    <w:rsid w:val="00230A67"/>
    <w:rsid w:val="00230B92"/>
    <w:rsid w:val="00230C9C"/>
    <w:rsid w:val="00230F0C"/>
    <w:rsid w:val="00230F15"/>
    <w:rsid w:val="00230F7C"/>
    <w:rsid w:val="00230FF3"/>
    <w:rsid w:val="00231029"/>
    <w:rsid w:val="00231081"/>
    <w:rsid w:val="002310A3"/>
    <w:rsid w:val="002310C7"/>
    <w:rsid w:val="002310DB"/>
    <w:rsid w:val="002310F3"/>
    <w:rsid w:val="00231170"/>
    <w:rsid w:val="002311AD"/>
    <w:rsid w:val="002311C5"/>
    <w:rsid w:val="002311E6"/>
    <w:rsid w:val="002311EE"/>
    <w:rsid w:val="0023128B"/>
    <w:rsid w:val="002312F2"/>
    <w:rsid w:val="00231323"/>
    <w:rsid w:val="002313CF"/>
    <w:rsid w:val="00231418"/>
    <w:rsid w:val="0023143E"/>
    <w:rsid w:val="00231490"/>
    <w:rsid w:val="00231517"/>
    <w:rsid w:val="00231557"/>
    <w:rsid w:val="0023158E"/>
    <w:rsid w:val="002315E1"/>
    <w:rsid w:val="002316D6"/>
    <w:rsid w:val="002316F2"/>
    <w:rsid w:val="00231732"/>
    <w:rsid w:val="0023179F"/>
    <w:rsid w:val="002317DC"/>
    <w:rsid w:val="002317F7"/>
    <w:rsid w:val="0023185B"/>
    <w:rsid w:val="002318B2"/>
    <w:rsid w:val="002318CD"/>
    <w:rsid w:val="002318CF"/>
    <w:rsid w:val="0023190B"/>
    <w:rsid w:val="002319E7"/>
    <w:rsid w:val="00231A2F"/>
    <w:rsid w:val="00231A8D"/>
    <w:rsid w:val="00231AC0"/>
    <w:rsid w:val="00231ADB"/>
    <w:rsid w:val="00231AE2"/>
    <w:rsid w:val="00231BBE"/>
    <w:rsid w:val="00231BD7"/>
    <w:rsid w:val="00231C34"/>
    <w:rsid w:val="00231C42"/>
    <w:rsid w:val="00231C9B"/>
    <w:rsid w:val="00231CA9"/>
    <w:rsid w:val="00231D07"/>
    <w:rsid w:val="00231D80"/>
    <w:rsid w:val="00231DA5"/>
    <w:rsid w:val="00231E10"/>
    <w:rsid w:val="00231E11"/>
    <w:rsid w:val="00231F08"/>
    <w:rsid w:val="00231F79"/>
    <w:rsid w:val="00231FA7"/>
    <w:rsid w:val="00232027"/>
    <w:rsid w:val="0023202B"/>
    <w:rsid w:val="002320D6"/>
    <w:rsid w:val="002320DC"/>
    <w:rsid w:val="00232112"/>
    <w:rsid w:val="00232118"/>
    <w:rsid w:val="0023220D"/>
    <w:rsid w:val="00232223"/>
    <w:rsid w:val="0023227F"/>
    <w:rsid w:val="0023228B"/>
    <w:rsid w:val="002322BE"/>
    <w:rsid w:val="00232366"/>
    <w:rsid w:val="002323B8"/>
    <w:rsid w:val="002324D7"/>
    <w:rsid w:val="00232540"/>
    <w:rsid w:val="00232561"/>
    <w:rsid w:val="002325B1"/>
    <w:rsid w:val="002325CF"/>
    <w:rsid w:val="00232629"/>
    <w:rsid w:val="002326E0"/>
    <w:rsid w:val="002326F7"/>
    <w:rsid w:val="002326FE"/>
    <w:rsid w:val="00232839"/>
    <w:rsid w:val="00232937"/>
    <w:rsid w:val="00232A5C"/>
    <w:rsid w:val="00232A89"/>
    <w:rsid w:val="00232B80"/>
    <w:rsid w:val="00232CB3"/>
    <w:rsid w:val="00232DBF"/>
    <w:rsid w:val="00232DCB"/>
    <w:rsid w:val="00232DE2"/>
    <w:rsid w:val="00232E56"/>
    <w:rsid w:val="00232E75"/>
    <w:rsid w:val="00232EDD"/>
    <w:rsid w:val="00232F62"/>
    <w:rsid w:val="002330A0"/>
    <w:rsid w:val="002330F9"/>
    <w:rsid w:val="002331AA"/>
    <w:rsid w:val="002331B4"/>
    <w:rsid w:val="00233221"/>
    <w:rsid w:val="00233228"/>
    <w:rsid w:val="00233263"/>
    <w:rsid w:val="00233272"/>
    <w:rsid w:val="00233282"/>
    <w:rsid w:val="00233332"/>
    <w:rsid w:val="002334A2"/>
    <w:rsid w:val="002334D2"/>
    <w:rsid w:val="002335A2"/>
    <w:rsid w:val="00233607"/>
    <w:rsid w:val="002336C7"/>
    <w:rsid w:val="00233731"/>
    <w:rsid w:val="00233813"/>
    <w:rsid w:val="00233820"/>
    <w:rsid w:val="00233852"/>
    <w:rsid w:val="00233991"/>
    <w:rsid w:val="002339A2"/>
    <w:rsid w:val="002339A7"/>
    <w:rsid w:val="00233A03"/>
    <w:rsid w:val="00233B2A"/>
    <w:rsid w:val="00233BD6"/>
    <w:rsid w:val="00233BF2"/>
    <w:rsid w:val="00233C62"/>
    <w:rsid w:val="00233C6D"/>
    <w:rsid w:val="00233D0E"/>
    <w:rsid w:val="00233DF2"/>
    <w:rsid w:val="00233EA9"/>
    <w:rsid w:val="00233EBE"/>
    <w:rsid w:val="00233EC7"/>
    <w:rsid w:val="00233ED3"/>
    <w:rsid w:val="00233FC2"/>
    <w:rsid w:val="002340B5"/>
    <w:rsid w:val="002340EC"/>
    <w:rsid w:val="0023415B"/>
    <w:rsid w:val="0023417A"/>
    <w:rsid w:val="00234265"/>
    <w:rsid w:val="002342C4"/>
    <w:rsid w:val="0023431A"/>
    <w:rsid w:val="0023433B"/>
    <w:rsid w:val="0023447D"/>
    <w:rsid w:val="00234541"/>
    <w:rsid w:val="0023462C"/>
    <w:rsid w:val="0023467D"/>
    <w:rsid w:val="002346C2"/>
    <w:rsid w:val="0023473D"/>
    <w:rsid w:val="0023477D"/>
    <w:rsid w:val="00234782"/>
    <w:rsid w:val="002347B5"/>
    <w:rsid w:val="00234801"/>
    <w:rsid w:val="00234840"/>
    <w:rsid w:val="00234898"/>
    <w:rsid w:val="002348A2"/>
    <w:rsid w:val="002348CD"/>
    <w:rsid w:val="00234907"/>
    <w:rsid w:val="0023491E"/>
    <w:rsid w:val="00234962"/>
    <w:rsid w:val="002349DA"/>
    <w:rsid w:val="00234A2C"/>
    <w:rsid w:val="00234A4E"/>
    <w:rsid w:val="00234A8D"/>
    <w:rsid w:val="00234AAB"/>
    <w:rsid w:val="00234B91"/>
    <w:rsid w:val="00234C26"/>
    <w:rsid w:val="00234C43"/>
    <w:rsid w:val="00234C4A"/>
    <w:rsid w:val="00234C72"/>
    <w:rsid w:val="00234C8C"/>
    <w:rsid w:val="00234C9F"/>
    <w:rsid w:val="00234D78"/>
    <w:rsid w:val="00234DAF"/>
    <w:rsid w:val="00234DD2"/>
    <w:rsid w:val="00234E1C"/>
    <w:rsid w:val="00234EA7"/>
    <w:rsid w:val="00234F98"/>
    <w:rsid w:val="00234FBE"/>
    <w:rsid w:val="00235006"/>
    <w:rsid w:val="0023501C"/>
    <w:rsid w:val="00235089"/>
    <w:rsid w:val="002350C0"/>
    <w:rsid w:val="002350E2"/>
    <w:rsid w:val="0023515C"/>
    <w:rsid w:val="002351FB"/>
    <w:rsid w:val="0023522C"/>
    <w:rsid w:val="0023522E"/>
    <w:rsid w:val="002352E1"/>
    <w:rsid w:val="0023531A"/>
    <w:rsid w:val="0023531B"/>
    <w:rsid w:val="002353ED"/>
    <w:rsid w:val="00235446"/>
    <w:rsid w:val="002354A4"/>
    <w:rsid w:val="002354EC"/>
    <w:rsid w:val="002355C1"/>
    <w:rsid w:val="002355D0"/>
    <w:rsid w:val="002355E4"/>
    <w:rsid w:val="002355FE"/>
    <w:rsid w:val="00235645"/>
    <w:rsid w:val="0023574C"/>
    <w:rsid w:val="0023588B"/>
    <w:rsid w:val="002358A8"/>
    <w:rsid w:val="002358BD"/>
    <w:rsid w:val="002358C3"/>
    <w:rsid w:val="00235900"/>
    <w:rsid w:val="002359A4"/>
    <w:rsid w:val="00235BD2"/>
    <w:rsid w:val="00235C41"/>
    <w:rsid w:val="00235C86"/>
    <w:rsid w:val="00235CBD"/>
    <w:rsid w:val="00235D0D"/>
    <w:rsid w:val="00235DC7"/>
    <w:rsid w:val="00235ED2"/>
    <w:rsid w:val="00235F48"/>
    <w:rsid w:val="00235FAD"/>
    <w:rsid w:val="002360CE"/>
    <w:rsid w:val="002360D4"/>
    <w:rsid w:val="0023621F"/>
    <w:rsid w:val="0023628E"/>
    <w:rsid w:val="002362AA"/>
    <w:rsid w:val="002362C1"/>
    <w:rsid w:val="00236309"/>
    <w:rsid w:val="0023636C"/>
    <w:rsid w:val="00236389"/>
    <w:rsid w:val="002363BD"/>
    <w:rsid w:val="0023642C"/>
    <w:rsid w:val="002365BE"/>
    <w:rsid w:val="00236603"/>
    <w:rsid w:val="0023668C"/>
    <w:rsid w:val="002366D9"/>
    <w:rsid w:val="00236767"/>
    <w:rsid w:val="002367AC"/>
    <w:rsid w:val="002367B0"/>
    <w:rsid w:val="002367FD"/>
    <w:rsid w:val="0023680D"/>
    <w:rsid w:val="00236821"/>
    <w:rsid w:val="0023691B"/>
    <w:rsid w:val="0023691C"/>
    <w:rsid w:val="002369BC"/>
    <w:rsid w:val="002369FD"/>
    <w:rsid w:val="002369FF"/>
    <w:rsid w:val="00236A36"/>
    <w:rsid w:val="00236A45"/>
    <w:rsid w:val="00236AAE"/>
    <w:rsid w:val="00236AD4"/>
    <w:rsid w:val="00236BF0"/>
    <w:rsid w:val="00236C75"/>
    <w:rsid w:val="00236CD3"/>
    <w:rsid w:val="00236DC7"/>
    <w:rsid w:val="00236EB7"/>
    <w:rsid w:val="00236EDB"/>
    <w:rsid w:val="00236F01"/>
    <w:rsid w:val="00236F4C"/>
    <w:rsid w:val="00236F7A"/>
    <w:rsid w:val="00236FAF"/>
    <w:rsid w:val="00236FB4"/>
    <w:rsid w:val="00237082"/>
    <w:rsid w:val="00237105"/>
    <w:rsid w:val="0023710D"/>
    <w:rsid w:val="0023712D"/>
    <w:rsid w:val="00237164"/>
    <w:rsid w:val="002371F3"/>
    <w:rsid w:val="00237359"/>
    <w:rsid w:val="00237393"/>
    <w:rsid w:val="002373C8"/>
    <w:rsid w:val="002373CB"/>
    <w:rsid w:val="0023753C"/>
    <w:rsid w:val="002375B2"/>
    <w:rsid w:val="002375BF"/>
    <w:rsid w:val="002375C2"/>
    <w:rsid w:val="00237604"/>
    <w:rsid w:val="00237611"/>
    <w:rsid w:val="0023762D"/>
    <w:rsid w:val="002376EA"/>
    <w:rsid w:val="002376F3"/>
    <w:rsid w:val="00237794"/>
    <w:rsid w:val="002377CE"/>
    <w:rsid w:val="002377DF"/>
    <w:rsid w:val="0023785A"/>
    <w:rsid w:val="002378BA"/>
    <w:rsid w:val="002378BB"/>
    <w:rsid w:val="002378CC"/>
    <w:rsid w:val="0023790C"/>
    <w:rsid w:val="00237934"/>
    <w:rsid w:val="0023796E"/>
    <w:rsid w:val="00237A48"/>
    <w:rsid w:val="00237A5F"/>
    <w:rsid w:val="00237AEE"/>
    <w:rsid w:val="00237AEF"/>
    <w:rsid w:val="00237B00"/>
    <w:rsid w:val="00237B3F"/>
    <w:rsid w:val="00237D36"/>
    <w:rsid w:val="00237D5D"/>
    <w:rsid w:val="00237DBE"/>
    <w:rsid w:val="00237DC5"/>
    <w:rsid w:val="00237E20"/>
    <w:rsid w:val="00237E8B"/>
    <w:rsid w:val="00237ECD"/>
    <w:rsid w:val="00237F51"/>
    <w:rsid w:val="0024001D"/>
    <w:rsid w:val="00240034"/>
    <w:rsid w:val="0024006B"/>
    <w:rsid w:val="00240116"/>
    <w:rsid w:val="0024011F"/>
    <w:rsid w:val="00240196"/>
    <w:rsid w:val="0024021D"/>
    <w:rsid w:val="002402FB"/>
    <w:rsid w:val="0024032A"/>
    <w:rsid w:val="00240332"/>
    <w:rsid w:val="00240396"/>
    <w:rsid w:val="002403B4"/>
    <w:rsid w:val="002405CF"/>
    <w:rsid w:val="002406F3"/>
    <w:rsid w:val="00240767"/>
    <w:rsid w:val="0024078F"/>
    <w:rsid w:val="002407CB"/>
    <w:rsid w:val="002407EE"/>
    <w:rsid w:val="002408DE"/>
    <w:rsid w:val="0024091F"/>
    <w:rsid w:val="0024092B"/>
    <w:rsid w:val="002409A8"/>
    <w:rsid w:val="00240A10"/>
    <w:rsid w:val="00240AD8"/>
    <w:rsid w:val="00240B7C"/>
    <w:rsid w:val="00240B8D"/>
    <w:rsid w:val="00240B97"/>
    <w:rsid w:val="00240BBF"/>
    <w:rsid w:val="00240BF2"/>
    <w:rsid w:val="00240CF2"/>
    <w:rsid w:val="00240D42"/>
    <w:rsid w:val="00240D54"/>
    <w:rsid w:val="00240D84"/>
    <w:rsid w:val="00240DA6"/>
    <w:rsid w:val="00240E6A"/>
    <w:rsid w:val="00240EB4"/>
    <w:rsid w:val="00240F3B"/>
    <w:rsid w:val="00240FCA"/>
    <w:rsid w:val="0024100C"/>
    <w:rsid w:val="00241015"/>
    <w:rsid w:val="002410A1"/>
    <w:rsid w:val="002410BF"/>
    <w:rsid w:val="002410CA"/>
    <w:rsid w:val="002411D5"/>
    <w:rsid w:val="00241242"/>
    <w:rsid w:val="00241250"/>
    <w:rsid w:val="0024132E"/>
    <w:rsid w:val="00241389"/>
    <w:rsid w:val="002413AE"/>
    <w:rsid w:val="002413B4"/>
    <w:rsid w:val="002413DA"/>
    <w:rsid w:val="0024143F"/>
    <w:rsid w:val="00241482"/>
    <w:rsid w:val="002414BF"/>
    <w:rsid w:val="00241503"/>
    <w:rsid w:val="00241539"/>
    <w:rsid w:val="00241547"/>
    <w:rsid w:val="002415EF"/>
    <w:rsid w:val="0024160F"/>
    <w:rsid w:val="002416BF"/>
    <w:rsid w:val="00241740"/>
    <w:rsid w:val="00241775"/>
    <w:rsid w:val="00241797"/>
    <w:rsid w:val="002417BB"/>
    <w:rsid w:val="00241836"/>
    <w:rsid w:val="0024185B"/>
    <w:rsid w:val="00241870"/>
    <w:rsid w:val="002418F9"/>
    <w:rsid w:val="00241932"/>
    <w:rsid w:val="0024197C"/>
    <w:rsid w:val="00241A1A"/>
    <w:rsid w:val="00241AC3"/>
    <w:rsid w:val="00241AD3"/>
    <w:rsid w:val="00241AE0"/>
    <w:rsid w:val="00241C60"/>
    <w:rsid w:val="00241CAD"/>
    <w:rsid w:val="00241CE5"/>
    <w:rsid w:val="00241D2C"/>
    <w:rsid w:val="00241DE5"/>
    <w:rsid w:val="00241E40"/>
    <w:rsid w:val="00241E6D"/>
    <w:rsid w:val="00241E92"/>
    <w:rsid w:val="00241EF9"/>
    <w:rsid w:val="00241F6E"/>
    <w:rsid w:val="0024201A"/>
    <w:rsid w:val="00242036"/>
    <w:rsid w:val="0024204A"/>
    <w:rsid w:val="0024204D"/>
    <w:rsid w:val="0024205F"/>
    <w:rsid w:val="00242239"/>
    <w:rsid w:val="00242294"/>
    <w:rsid w:val="002423E1"/>
    <w:rsid w:val="00242551"/>
    <w:rsid w:val="0024257F"/>
    <w:rsid w:val="002425A4"/>
    <w:rsid w:val="002426A3"/>
    <w:rsid w:val="002428AF"/>
    <w:rsid w:val="0024295D"/>
    <w:rsid w:val="002429CC"/>
    <w:rsid w:val="00242A20"/>
    <w:rsid w:val="00242A5F"/>
    <w:rsid w:val="00242A94"/>
    <w:rsid w:val="00242B5D"/>
    <w:rsid w:val="00242D57"/>
    <w:rsid w:val="00242DE4"/>
    <w:rsid w:val="00242F8D"/>
    <w:rsid w:val="0024301A"/>
    <w:rsid w:val="0024301F"/>
    <w:rsid w:val="002430A5"/>
    <w:rsid w:val="002430A7"/>
    <w:rsid w:val="002430AF"/>
    <w:rsid w:val="00243147"/>
    <w:rsid w:val="0024320C"/>
    <w:rsid w:val="0024330C"/>
    <w:rsid w:val="0024334F"/>
    <w:rsid w:val="002433E4"/>
    <w:rsid w:val="002433FC"/>
    <w:rsid w:val="002433FD"/>
    <w:rsid w:val="00243436"/>
    <w:rsid w:val="00243482"/>
    <w:rsid w:val="0024350B"/>
    <w:rsid w:val="00243518"/>
    <w:rsid w:val="002435DC"/>
    <w:rsid w:val="00243620"/>
    <w:rsid w:val="00243679"/>
    <w:rsid w:val="002436EF"/>
    <w:rsid w:val="002437DD"/>
    <w:rsid w:val="00243836"/>
    <w:rsid w:val="002438B8"/>
    <w:rsid w:val="0024394D"/>
    <w:rsid w:val="00243A37"/>
    <w:rsid w:val="00243AD6"/>
    <w:rsid w:val="00243AF1"/>
    <w:rsid w:val="00243CED"/>
    <w:rsid w:val="00243D0A"/>
    <w:rsid w:val="00243D5C"/>
    <w:rsid w:val="00243D81"/>
    <w:rsid w:val="00243DA3"/>
    <w:rsid w:val="00243DD7"/>
    <w:rsid w:val="00243DF4"/>
    <w:rsid w:val="00243DFC"/>
    <w:rsid w:val="00243E1F"/>
    <w:rsid w:val="00243E3B"/>
    <w:rsid w:val="00243E71"/>
    <w:rsid w:val="00243EC5"/>
    <w:rsid w:val="00243EE0"/>
    <w:rsid w:val="00243EE9"/>
    <w:rsid w:val="00243EEC"/>
    <w:rsid w:val="00243FE1"/>
    <w:rsid w:val="00244078"/>
    <w:rsid w:val="002440A7"/>
    <w:rsid w:val="0024422B"/>
    <w:rsid w:val="0024426C"/>
    <w:rsid w:val="0024428A"/>
    <w:rsid w:val="00244315"/>
    <w:rsid w:val="0024435E"/>
    <w:rsid w:val="002445B3"/>
    <w:rsid w:val="00244616"/>
    <w:rsid w:val="00244617"/>
    <w:rsid w:val="00244634"/>
    <w:rsid w:val="0024464B"/>
    <w:rsid w:val="0024466A"/>
    <w:rsid w:val="0024468A"/>
    <w:rsid w:val="002446DC"/>
    <w:rsid w:val="00244745"/>
    <w:rsid w:val="00244783"/>
    <w:rsid w:val="0024489F"/>
    <w:rsid w:val="0024493D"/>
    <w:rsid w:val="00244962"/>
    <w:rsid w:val="0024497E"/>
    <w:rsid w:val="00244983"/>
    <w:rsid w:val="00244A47"/>
    <w:rsid w:val="00244A87"/>
    <w:rsid w:val="00244B1A"/>
    <w:rsid w:val="00244B51"/>
    <w:rsid w:val="00244BC9"/>
    <w:rsid w:val="00244D36"/>
    <w:rsid w:val="00244D74"/>
    <w:rsid w:val="00244D7F"/>
    <w:rsid w:val="00244E28"/>
    <w:rsid w:val="00244E34"/>
    <w:rsid w:val="00244E88"/>
    <w:rsid w:val="00244E8D"/>
    <w:rsid w:val="00244EB9"/>
    <w:rsid w:val="00244EFB"/>
    <w:rsid w:val="00244F2C"/>
    <w:rsid w:val="00244F35"/>
    <w:rsid w:val="00244FBE"/>
    <w:rsid w:val="00244FD0"/>
    <w:rsid w:val="00245038"/>
    <w:rsid w:val="002450DC"/>
    <w:rsid w:val="002450DF"/>
    <w:rsid w:val="002451B2"/>
    <w:rsid w:val="00245265"/>
    <w:rsid w:val="00245267"/>
    <w:rsid w:val="002452F0"/>
    <w:rsid w:val="002453AC"/>
    <w:rsid w:val="002453F1"/>
    <w:rsid w:val="00245472"/>
    <w:rsid w:val="002454EA"/>
    <w:rsid w:val="0024559B"/>
    <w:rsid w:val="002455BE"/>
    <w:rsid w:val="00245624"/>
    <w:rsid w:val="002456DA"/>
    <w:rsid w:val="002456FC"/>
    <w:rsid w:val="00245719"/>
    <w:rsid w:val="00245720"/>
    <w:rsid w:val="002457CF"/>
    <w:rsid w:val="002457D1"/>
    <w:rsid w:val="00245811"/>
    <w:rsid w:val="00245825"/>
    <w:rsid w:val="00245851"/>
    <w:rsid w:val="0024593B"/>
    <w:rsid w:val="0024596F"/>
    <w:rsid w:val="00245970"/>
    <w:rsid w:val="00245998"/>
    <w:rsid w:val="002459E8"/>
    <w:rsid w:val="002459F3"/>
    <w:rsid w:val="00245BC6"/>
    <w:rsid w:val="00245BD5"/>
    <w:rsid w:val="00245C50"/>
    <w:rsid w:val="00245C85"/>
    <w:rsid w:val="00245CC7"/>
    <w:rsid w:val="00245E26"/>
    <w:rsid w:val="00245EB1"/>
    <w:rsid w:val="00245EFF"/>
    <w:rsid w:val="00245F5E"/>
    <w:rsid w:val="00245FD6"/>
    <w:rsid w:val="002460D3"/>
    <w:rsid w:val="002460F5"/>
    <w:rsid w:val="00246142"/>
    <w:rsid w:val="002461A6"/>
    <w:rsid w:val="002462B2"/>
    <w:rsid w:val="002462F0"/>
    <w:rsid w:val="0024631B"/>
    <w:rsid w:val="0024633F"/>
    <w:rsid w:val="00246353"/>
    <w:rsid w:val="00246380"/>
    <w:rsid w:val="002463D1"/>
    <w:rsid w:val="00246405"/>
    <w:rsid w:val="00246449"/>
    <w:rsid w:val="00246463"/>
    <w:rsid w:val="0024649A"/>
    <w:rsid w:val="002464BF"/>
    <w:rsid w:val="0024651A"/>
    <w:rsid w:val="0024653D"/>
    <w:rsid w:val="002466E5"/>
    <w:rsid w:val="002467B3"/>
    <w:rsid w:val="002467CD"/>
    <w:rsid w:val="00246820"/>
    <w:rsid w:val="0024685C"/>
    <w:rsid w:val="002468EE"/>
    <w:rsid w:val="0024695F"/>
    <w:rsid w:val="0024696D"/>
    <w:rsid w:val="00246994"/>
    <w:rsid w:val="002469A3"/>
    <w:rsid w:val="00246A25"/>
    <w:rsid w:val="00246B60"/>
    <w:rsid w:val="00246BA0"/>
    <w:rsid w:val="00246BD7"/>
    <w:rsid w:val="00246C04"/>
    <w:rsid w:val="00246C05"/>
    <w:rsid w:val="00246C45"/>
    <w:rsid w:val="00246C80"/>
    <w:rsid w:val="00246D0A"/>
    <w:rsid w:val="00246D0D"/>
    <w:rsid w:val="00246D44"/>
    <w:rsid w:val="00246D77"/>
    <w:rsid w:val="00246D82"/>
    <w:rsid w:val="00246E13"/>
    <w:rsid w:val="00246E8F"/>
    <w:rsid w:val="00246EC5"/>
    <w:rsid w:val="00246F28"/>
    <w:rsid w:val="00246FA1"/>
    <w:rsid w:val="00246FA5"/>
    <w:rsid w:val="00247128"/>
    <w:rsid w:val="00247131"/>
    <w:rsid w:val="00247138"/>
    <w:rsid w:val="00247147"/>
    <w:rsid w:val="002471C1"/>
    <w:rsid w:val="0024748C"/>
    <w:rsid w:val="002474CC"/>
    <w:rsid w:val="00247515"/>
    <w:rsid w:val="00247564"/>
    <w:rsid w:val="002475F3"/>
    <w:rsid w:val="002476C5"/>
    <w:rsid w:val="0024771E"/>
    <w:rsid w:val="002477D2"/>
    <w:rsid w:val="00247849"/>
    <w:rsid w:val="0024784C"/>
    <w:rsid w:val="0024786D"/>
    <w:rsid w:val="0024786F"/>
    <w:rsid w:val="002478AB"/>
    <w:rsid w:val="002478C8"/>
    <w:rsid w:val="0024792C"/>
    <w:rsid w:val="00247995"/>
    <w:rsid w:val="00247A0B"/>
    <w:rsid w:val="00247A78"/>
    <w:rsid w:val="00247A9A"/>
    <w:rsid w:val="00247AEC"/>
    <w:rsid w:val="00247AFC"/>
    <w:rsid w:val="00247B55"/>
    <w:rsid w:val="00247B60"/>
    <w:rsid w:val="00247B66"/>
    <w:rsid w:val="00247B71"/>
    <w:rsid w:val="00247BDB"/>
    <w:rsid w:val="00247C37"/>
    <w:rsid w:val="00247C69"/>
    <w:rsid w:val="00247D2C"/>
    <w:rsid w:val="00247D44"/>
    <w:rsid w:val="00247DD7"/>
    <w:rsid w:val="00247E00"/>
    <w:rsid w:val="00247F68"/>
    <w:rsid w:val="00247FD5"/>
    <w:rsid w:val="00247FDC"/>
    <w:rsid w:val="0025004A"/>
    <w:rsid w:val="002500DD"/>
    <w:rsid w:val="00250184"/>
    <w:rsid w:val="0025018C"/>
    <w:rsid w:val="002501E0"/>
    <w:rsid w:val="00250205"/>
    <w:rsid w:val="00250239"/>
    <w:rsid w:val="002502A5"/>
    <w:rsid w:val="00250419"/>
    <w:rsid w:val="00250475"/>
    <w:rsid w:val="00250477"/>
    <w:rsid w:val="00250489"/>
    <w:rsid w:val="00250496"/>
    <w:rsid w:val="00250629"/>
    <w:rsid w:val="00250634"/>
    <w:rsid w:val="0025074E"/>
    <w:rsid w:val="002507C3"/>
    <w:rsid w:val="002509B6"/>
    <w:rsid w:val="00250A98"/>
    <w:rsid w:val="00250AE1"/>
    <w:rsid w:val="00250AFD"/>
    <w:rsid w:val="00250D54"/>
    <w:rsid w:val="00250D55"/>
    <w:rsid w:val="00250D5B"/>
    <w:rsid w:val="00250E1B"/>
    <w:rsid w:val="00250E30"/>
    <w:rsid w:val="00250F26"/>
    <w:rsid w:val="0025103D"/>
    <w:rsid w:val="0025103F"/>
    <w:rsid w:val="0025105E"/>
    <w:rsid w:val="00251120"/>
    <w:rsid w:val="0025112C"/>
    <w:rsid w:val="002511D2"/>
    <w:rsid w:val="00251206"/>
    <w:rsid w:val="0025121D"/>
    <w:rsid w:val="0025126B"/>
    <w:rsid w:val="00251270"/>
    <w:rsid w:val="00251274"/>
    <w:rsid w:val="00251279"/>
    <w:rsid w:val="002512C0"/>
    <w:rsid w:val="0025131D"/>
    <w:rsid w:val="00251380"/>
    <w:rsid w:val="00251409"/>
    <w:rsid w:val="0025142F"/>
    <w:rsid w:val="00251471"/>
    <w:rsid w:val="00251497"/>
    <w:rsid w:val="002514CF"/>
    <w:rsid w:val="0025153C"/>
    <w:rsid w:val="0025154A"/>
    <w:rsid w:val="002515AE"/>
    <w:rsid w:val="002515C6"/>
    <w:rsid w:val="002515E0"/>
    <w:rsid w:val="002515EC"/>
    <w:rsid w:val="002516C0"/>
    <w:rsid w:val="002517AB"/>
    <w:rsid w:val="002517B2"/>
    <w:rsid w:val="002517B3"/>
    <w:rsid w:val="002517CB"/>
    <w:rsid w:val="002517D0"/>
    <w:rsid w:val="002517E8"/>
    <w:rsid w:val="002517EB"/>
    <w:rsid w:val="00251830"/>
    <w:rsid w:val="002518AF"/>
    <w:rsid w:val="002518BA"/>
    <w:rsid w:val="002518EF"/>
    <w:rsid w:val="002518F8"/>
    <w:rsid w:val="002519A0"/>
    <w:rsid w:val="002519F0"/>
    <w:rsid w:val="00251A30"/>
    <w:rsid w:val="00251AC3"/>
    <w:rsid w:val="00251B64"/>
    <w:rsid w:val="00251B9D"/>
    <w:rsid w:val="00251C87"/>
    <w:rsid w:val="00251D29"/>
    <w:rsid w:val="00251D47"/>
    <w:rsid w:val="00251D75"/>
    <w:rsid w:val="00251E1F"/>
    <w:rsid w:val="00251F29"/>
    <w:rsid w:val="00251F36"/>
    <w:rsid w:val="00251F5A"/>
    <w:rsid w:val="00251F7F"/>
    <w:rsid w:val="00251F84"/>
    <w:rsid w:val="00251FA1"/>
    <w:rsid w:val="00251FF8"/>
    <w:rsid w:val="0025203A"/>
    <w:rsid w:val="0025206C"/>
    <w:rsid w:val="0025206F"/>
    <w:rsid w:val="0025209D"/>
    <w:rsid w:val="002520D1"/>
    <w:rsid w:val="002521D6"/>
    <w:rsid w:val="00252240"/>
    <w:rsid w:val="00252246"/>
    <w:rsid w:val="002522DD"/>
    <w:rsid w:val="002522E8"/>
    <w:rsid w:val="00252306"/>
    <w:rsid w:val="00252324"/>
    <w:rsid w:val="0025236F"/>
    <w:rsid w:val="00252393"/>
    <w:rsid w:val="002523C5"/>
    <w:rsid w:val="002523EC"/>
    <w:rsid w:val="0025241E"/>
    <w:rsid w:val="00252450"/>
    <w:rsid w:val="0025247F"/>
    <w:rsid w:val="00252485"/>
    <w:rsid w:val="00252513"/>
    <w:rsid w:val="0025261F"/>
    <w:rsid w:val="00252659"/>
    <w:rsid w:val="00252686"/>
    <w:rsid w:val="00252699"/>
    <w:rsid w:val="00252710"/>
    <w:rsid w:val="0025272B"/>
    <w:rsid w:val="00252755"/>
    <w:rsid w:val="0025281D"/>
    <w:rsid w:val="00252834"/>
    <w:rsid w:val="0025295A"/>
    <w:rsid w:val="00252965"/>
    <w:rsid w:val="00252985"/>
    <w:rsid w:val="00252A1F"/>
    <w:rsid w:val="00252A7D"/>
    <w:rsid w:val="00252B58"/>
    <w:rsid w:val="00252C84"/>
    <w:rsid w:val="00252D18"/>
    <w:rsid w:val="00252D9D"/>
    <w:rsid w:val="00252DA3"/>
    <w:rsid w:val="00252DBB"/>
    <w:rsid w:val="00252E01"/>
    <w:rsid w:val="00252E4F"/>
    <w:rsid w:val="00252E5E"/>
    <w:rsid w:val="00252EB9"/>
    <w:rsid w:val="00252EF0"/>
    <w:rsid w:val="00252F27"/>
    <w:rsid w:val="00252FA2"/>
    <w:rsid w:val="00252FC3"/>
    <w:rsid w:val="00253119"/>
    <w:rsid w:val="00253158"/>
    <w:rsid w:val="0025318C"/>
    <w:rsid w:val="00253212"/>
    <w:rsid w:val="00253242"/>
    <w:rsid w:val="002532C4"/>
    <w:rsid w:val="002532FB"/>
    <w:rsid w:val="00253323"/>
    <w:rsid w:val="0025337A"/>
    <w:rsid w:val="002533D3"/>
    <w:rsid w:val="00253439"/>
    <w:rsid w:val="00253540"/>
    <w:rsid w:val="00253696"/>
    <w:rsid w:val="002536A6"/>
    <w:rsid w:val="002536CE"/>
    <w:rsid w:val="00253701"/>
    <w:rsid w:val="00253737"/>
    <w:rsid w:val="0025378D"/>
    <w:rsid w:val="0025380A"/>
    <w:rsid w:val="00253854"/>
    <w:rsid w:val="0025385B"/>
    <w:rsid w:val="00253895"/>
    <w:rsid w:val="002538AC"/>
    <w:rsid w:val="002538DF"/>
    <w:rsid w:val="002538E3"/>
    <w:rsid w:val="00253959"/>
    <w:rsid w:val="0025395A"/>
    <w:rsid w:val="00253977"/>
    <w:rsid w:val="002539F8"/>
    <w:rsid w:val="00253A35"/>
    <w:rsid w:val="00253BE9"/>
    <w:rsid w:val="00253C54"/>
    <w:rsid w:val="00253CB7"/>
    <w:rsid w:val="00253CF0"/>
    <w:rsid w:val="00253E0A"/>
    <w:rsid w:val="00253EB4"/>
    <w:rsid w:val="00253EC6"/>
    <w:rsid w:val="00253F3C"/>
    <w:rsid w:val="00253F6A"/>
    <w:rsid w:val="00253FCE"/>
    <w:rsid w:val="00253FEB"/>
    <w:rsid w:val="0025403F"/>
    <w:rsid w:val="00254049"/>
    <w:rsid w:val="00254151"/>
    <w:rsid w:val="002541A2"/>
    <w:rsid w:val="002541C5"/>
    <w:rsid w:val="00254204"/>
    <w:rsid w:val="00254223"/>
    <w:rsid w:val="0025425E"/>
    <w:rsid w:val="0025428E"/>
    <w:rsid w:val="002542CB"/>
    <w:rsid w:val="00254338"/>
    <w:rsid w:val="002543B1"/>
    <w:rsid w:val="002543E2"/>
    <w:rsid w:val="002543F3"/>
    <w:rsid w:val="0025447A"/>
    <w:rsid w:val="002544E9"/>
    <w:rsid w:val="0025451D"/>
    <w:rsid w:val="00254550"/>
    <w:rsid w:val="00254595"/>
    <w:rsid w:val="002545B4"/>
    <w:rsid w:val="00254611"/>
    <w:rsid w:val="00254655"/>
    <w:rsid w:val="002546F6"/>
    <w:rsid w:val="00254754"/>
    <w:rsid w:val="0025475A"/>
    <w:rsid w:val="002547A7"/>
    <w:rsid w:val="002547B5"/>
    <w:rsid w:val="002547CC"/>
    <w:rsid w:val="002548B3"/>
    <w:rsid w:val="00254936"/>
    <w:rsid w:val="00254A56"/>
    <w:rsid w:val="00254A7A"/>
    <w:rsid w:val="00254ABA"/>
    <w:rsid w:val="00254B37"/>
    <w:rsid w:val="00254B8A"/>
    <w:rsid w:val="00254BA2"/>
    <w:rsid w:val="00254BAC"/>
    <w:rsid w:val="00254BCA"/>
    <w:rsid w:val="00254BCC"/>
    <w:rsid w:val="00254BDF"/>
    <w:rsid w:val="00254BEF"/>
    <w:rsid w:val="00254C01"/>
    <w:rsid w:val="00254CFA"/>
    <w:rsid w:val="00254E2F"/>
    <w:rsid w:val="00254F2D"/>
    <w:rsid w:val="00254F30"/>
    <w:rsid w:val="00254F64"/>
    <w:rsid w:val="00254FBE"/>
    <w:rsid w:val="00254FF8"/>
    <w:rsid w:val="002550AF"/>
    <w:rsid w:val="002550EC"/>
    <w:rsid w:val="00255164"/>
    <w:rsid w:val="00255175"/>
    <w:rsid w:val="0025520C"/>
    <w:rsid w:val="002552AF"/>
    <w:rsid w:val="00255361"/>
    <w:rsid w:val="0025540C"/>
    <w:rsid w:val="002554A8"/>
    <w:rsid w:val="002554C3"/>
    <w:rsid w:val="00255548"/>
    <w:rsid w:val="00255557"/>
    <w:rsid w:val="00255565"/>
    <w:rsid w:val="002555E5"/>
    <w:rsid w:val="002556C7"/>
    <w:rsid w:val="0025574F"/>
    <w:rsid w:val="00255775"/>
    <w:rsid w:val="00255826"/>
    <w:rsid w:val="00255831"/>
    <w:rsid w:val="00255856"/>
    <w:rsid w:val="002558FD"/>
    <w:rsid w:val="00255997"/>
    <w:rsid w:val="002559DF"/>
    <w:rsid w:val="00255A08"/>
    <w:rsid w:val="00255A1E"/>
    <w:rsid w:val="00255A58"/>
    <w:rsid w:val="00255A91"/>
    <w:rsid w:val="00255AD4"/>
    <w:rsid w:val="00255B3B"/>
    <w:rsid w:val="00255B7F"/>
    <w:rsid w:val="00255CBF"/>
    <w:rsid w:val="00255D11"/>
    <w:rsid w:val="00255D34"/>
    <w:rsid w:val="00255D68"/>
    <w:rsid w:val="00255D6B"/>
    <w:rsid w:val="00255D98"/>
    <w:rsid w:val="00255E72"/>
    <w:rsid w:val="00255F22"/>
    <w:rsid w:val="00255F3F"/>
    <w:rsid w:val="00255FEE"/>
    <w:rsid w:val="002560EF"/>
    <w:rsid w:val="00256149"/>
    <w:rsid w:val="00256201"/>
    <w:rsid w:val="00256245"/>
    <w:rsid w:val="00256247"/>
    <w:rsid w:val="002562E2"/>
    <w:rsid w:val="00256389"/>
    <w:rsid w:val="00256395"/>
    <w:rsid w:val="00256582"/>
    <w:rsid w:val="002566A1"/>
    <w:rsid w:val="002566A5"/>
    <w:rsid w:val="0025672F"/>
    <w:rsid w:val="002567E3"/>
    <w:rsid w:val="00256881"/>
    <w:rsid w:val="002568EB"/>
    <w:rsid w:val="002569E3"/>
    <w:rsid w:val="002569FB"/>
    <w:rsid w:val="00256AA8"/>
    <w:rsid w:val="00256AFD"/>
    <w:rsid w:val="00256BFF"/>
    <w:rsid w:val="00256CD9"/>
    <w:rsid w:val="00256D45"/>
    <w:rsid w:val="00256DAA"/>
    <w:rsid w:val="00256DCA"/>
    <w:rsid w:val="00256DD3"/>
    <w:rsid w:val="00256DEA"/>
    <w:rsid w:val="00256E2E"/>
    <w:rsid w:val="00256EE4"/>
    <w:rsid w:val="0025700C"/>
    <w:rsid w:val="0025704F"/>
    <w:rsid w:val="00257097"/>
    <w:rsid w:val="002570C5"/>
    <w:rsid w:val="00257127"/>
    <w:rsid w:val="0025715C"/>
    <w:rsid w:val="0025716F"/>
    <w:rsid w:val="0025720C"/>
    <w:rsid w:val="00257218"/>
    <w:rsid w:val="00257485"/>
    <w:rsid w:val="002574C0"/>
    <w:rsid w:val="00257500"/>
    <w:rsid w:val="00257519"/>
    <w:rsid w:val="00257536"/>
    <w:rsid w:val="002575C9"/>
    <w:rsid w:val="0025779B"/>
    <w:rsid w:val="002577C0"/>
    <w:rsid w:val="00257801"/>
    <w:rsid w:val="00257810"/>
    <w:rsid w:val="00257877"/>
    <w:rsid w:val="0025789D"/>
    <w:rsid w:val="002578A1"/>
    <w:rsid w:val="0025793F"/>
    <w:rsid w:val="00257A42"/>
    <w:rsid w:val="00257A95"/>
    <w:rsid w:val="00257ABA"/>
    <w:rsid w:val="00257B2A"/>
    <w:rsid w:val="00257C61"/>
    <w:rsid w:val="00257CC6"/>
    <w:rsid w:val="00257D1F"/>
    <w:rsid w:val="00257E9F"/>
    <w:rsid w:val="00257F2A"/>
    <w:rsid w:val="00257FA5"/>
    <w:rsid w:val="00260059"/>
    <w:rsid w:val="00260069"/>
    <w:rsid w:val="002600C4"/>
    <w:rsid w:val="0026011F"/>
    <w:rsid w:val="00260167"/>
    <w:rsid w:val="0026026E"/>
    <w:rsid w:val="002603C2"/>
    <w:rsid w:val="002603E6"/>
    <w:rsid w:val="00260459"/>
    <w:rsid w:val="00260489"/>
    <w:rsid w:val="002604ED"/>
    <w:rsid w:val="002604F3"/>
    <w:rsid w:val="0026054D"/>
    <w:rsid w:val="0026054F"/>
    <w:rsid w:val="0026056E"/>
    <w:rsid w:val="00260697"/>
    <w:rsid w:val="002606EA"/>
    <w:rsid w:val="00260740"/>
    <w:rsid w:val="00260794"/>
    <w:rsid w:val="002607B8"/>
    <w:rsid w:val="00260804"/>
    <w:rsid w:val="0026082C"/>
    <w:rsid w:val="00260831"/>
    <w:rsid w:val="0026085B"/>
    <w:rsid w:val="00260907"/>
    <w:rsid w:val="00260936"/>
    <w:rsid w:val="002609ED"/>
    <w:rsid w:val="00260A1F"/>
    <w:rsid w:val="00260A95"/>
    <w:rsid w:val="00260B32"/>
    <w:rsid w:val="00260B42"/>
    <w:rsid w:val="00260B58"/>
    <w:rsid w:val="00260B72"/>
    <w:rsid w:val="00260C32"/>
    <w:rsid w:val="00260D04"/>
    <w:rsid w:val="00260DEF"/>
    <w:rsid w:val="00260E20"/>
    <w:rsid w:val="00260E9A"/>
    <w:rsid w:val="00260EB1"/>
    <w:rsid w:val="00260EFF"/>
    <w:rsid w:val="00260F30"/>
    <w:rsid w:val="00260FE4"/>
    <w:rsid w:val="0026103E"/>
    <w:rsid w:val="00261040"/>
    <w:rsid w:val="00261076"/>
    <w:rsid w:val="00261134"/>
    <w:rsid w:val="00261191"/>
    <w:rsid w:val="00261195"/>
    <w:rsid w:val="002611FF"/>
    <w:rsid w:val="00261206"/>
    <w:rsid w:val="002612D5"/>
    <w:rsid w:val="00261359"/>
    <w:rsid w:val="002613A6"/>
    <w:rsid w:val="002613A7"/>
    <w:rsid w:val="0026142B"/>
    <w:rsid w:val="0026148B"/>
    <w:rsid w:val="002614CC"/>
    <w:rsid w:val="0026153D"/>
    <w:rsid w:val="00261545"/>
    <w:rsid w:val="00261556"/>
    <w:rsid w:val="00261643"/>
    <w:rsid w:val="0026168C"/>
    <w:rsid w:val="0026175E"/>
    <w:rsid w:val="002617CA"/>
    <w:rsid w:val="0026181E"/>
    <w:rsid w:val="002618C4"/>
    <w:rsid w:val="002619CE"/>
    <w:rsid w:val="00261A50"/>
    <w:rsid w:val="00261A87"/>
    <w:rsid w:val="00261B3D"/>
    <w:rsid w:val="00261B3E"/>
    <w:rsid w:val="00261BA0"/>
    <w:rsid w:val="00261BC7"/>
    <w:rsid w:val="00261BD2"/>
    <w:rsid w:val="00261C7B"/>
    <w:rsid w:val="00261DD9"/>
    <w:rsid w:val="00261FAA"/>
    <w:rsid w:val="0026202D"/>
    <w:rsid w:val="00262033"/>
    <w:rsid w:val="00262041"/>
    <w:rsid w:val="002620AC"/>
    <w:rsid w:val="002620B0"/>
    <w:rsid w:val="002620BC"/>
    <w:rsid w:val="002620BE"/>
    <w:rsid w:val="00262102"/>
    <w:rsid w:val="0026222A"/>
    <w:rsid w:val="00262241"/>
    <w:rsid w:val="00262259"/>
    <w:rsid w:val="00262277"/>
    <w:rsid w:val="0026245E"/>
    <w:rsid w:val="00262486"/>
    <w:rsid w:val="002624AD"/>
    <w:rsid w:val="002624B0"/>
    <w:rsid w:val="00262533"/>
    <w:rsid w:val="002625CD"/>
    <w:rsid w:val="002625D3"/>
    <w:rsid w:val="00262659"/>
    <w:rsid w:val="00262679"/>
    <w:rsid w:val="0026268A"/>
    <w:rsid w:val="002626D2"/>
    <w:rsid w:val="002626E1"/>
    <w:rsid w:val="00262702"/>
    <w:rsid w:val="0026279F"/>
    <w:rsid w:val="002627D7"/>
    <w:rsid w:val="0026280F"/>
    <w:rsid w:val="00262877"/>
    <w:rsid w:val="00262945"/>
    <w:rsid w:val="0026295A"/>
    <w:rsid w:val="00262A87"/>
    <w:rsid w:val="00262A93"/>
    <w:rsid w:val="00262A9B"/>
    <w:rsid w:val="00262AD9"/>
    <w:rsid w:val="00262B0A"/>
    <w:rsid w:val="00262C28"/>
    <w:rsid w:val="00262C37"/>
    <w:rsid w:val="00262CB7"/>
    <w:rsid w:val="00262D59"/>
    <w:rsid w:val="00262EB7"/>
    <w:rsid w:val="00262F11"/>
    <w:rsid w:val="002630D9"/>
    <w:rsid w:val="0026313D"/>
    <w:rsid w:val="002631F3"/>
    <w:rsid w:val="0026326F"/>
    <w:rsid w:val="00263275"/>
    <w:rsid w:val="0026329C"/>
    <w:rsid w:val="002632B4"/>
    <w:rsid w:val="0026332B"/>
    <w:rsid w:val="00263344"/>
    <w:rsid w:val="002633B3"/>
    <w:rsid w:val="002633D1"/>
    <w:rsid w:val="002634F9"/>
    <w:rsid w:val="00263597"/>
    <w:rsid w:val="002635A3"/>
    <w:rsid w:val="002635CF"/>
    <w:rsid w:val="0026374C"/>
    <w:rsid w:val="002637E5"/>
    <w:rsid w:val="0026381F"/>
    <w:rsid w:val="00263868"/>
    <w:rsid w:val="00263892"/>
    <w:rsid w:val="002638B0"/>
    <w:rsid w:val="00263904"/>
    <w:rsid w:val="00263AF2"/>
    <w:rsid w:val="00263B20"/>
    <w:rsid w:val="00263B4B"/>
    <w:rsid w:val="00263B72"/>
    <w:rsid w:val="00263BA9"/>
    <w:rsid w:val="00263BF0"/>
    <w:rsid w:val="00263BF4"/>
    <w:rsid w:val="00263C27"/>
    <w:rsid w:val="00263C67"/>
    <w:rsid w:val="00263CD1"/>
    <w:rsid w:val="00263E12"/>
    <w:rsid w:val="00263E29"/>
    <w:rsid w:val="00263E8C"/>
    <w:rsid w:val="00263EB3"/>
    <w:rsid w:val="00263F60"/>
    <w:rsid w:val="00263F87"/>
    <w:rsid w:val="00264122"/>
    <w:rsid w:val="002641AB"/>
    <w:rsid w:val="00264267"/>
    <w:rsid w:val="002642BF"/>
    <w:rsid w:val="00264304"/>
    <w:rsid w:val="0026432E"/>
    <w:rsid w:val="00264346"/>
    <w:rsid w:val="0026437B"/>
    <w:rsid w:val="00264412"/>
    <w:rsid w:val="0026442B"/>
    <w:rsid w:val="00264434"/>
    <w:rsid w:val="0026443E"/>
    <w:rsid w:val="00264451"/>
    <w:rsid w:val="00264465"/>
    <w:rsid w:val="00264475"/>
    <w:rsid w:val="002644FF"/>
    <w:rsid w:val="00264532"/>
    <w:rsid w:val="00264623"/>
    <w:rsid w:val="00264665"/>
    <w:rsid w:val="002646D2"/>
    <w:rsid w:val="002646E1"/>
    <w:rsid w:val="00264714"/>
    <w:rsid w:val="002647FD"/>
    <w:rsid w:val="0026480F"/>
    <w:rsid w:val="00264816"/>
    <w:rsid w:val="002648AD"/>
    <w:rsid w:val="00264924"/>
    <w:rsid w:val="0026499E"/>
    <w:rsid w:val="00264A6E"/>
    <w:rsid w:val="00264A98"/>
    <w:rsid w:val="00264AEF"/>
    <w:rsid w:val="00264B07"/>
    <w:rsid w:val="00264B4D"/>
    <w:rsid w:val="00264B9F"/>
    <w:rsid w:val="00264BD7"/>
    <w:rsid w:val="00264C44"/>
    <w:rsid w:val="00264CC8"/>
    <w:rsid w:val="00264D73"/>
    <w:rsid w:val="00264DCD"/>
    <w:rsid w:val="00264EA3"/>
    <w:rsid w:val="00264EE8"/>
    <w:rsid w:val="00264FA4"/>
    <w:rsid w:val="00264FB0"/>
    <w:rsid w:val="00264FB3"/>
    <w:rsid w:val="00265017"/>
    <w:rsid w:val="002650E5"/>
    <w:rsid w:val="00265129"/>
    <w:rsid w:val="00265168"/>
    <w:rsid w:val="002651CB"/>
    <w:rsid w:val="00265227"/>
    <w:rsid w:val="00265321"/>
    <w:rsid w:val="002653B8"/>
    <w:rsid w:val="002653BD"/>
    <w:rsid w:val="002653D3"/>
    <w:rsid w:val="00265423"/>
    <w:rsid w:val="00265436"/>
    <w:rsid w:val="00265473"/>
    <w:rsid w:val="00265492"/>
    <w:rsid w:val="00265507"/>
    <w:rsid w:val="00265517"/>
    <w:rsid w:val="0026555E"/>
    <w:rsid w:val="00265603"/>
    <w:rsid w:val="00265616"/>
    <w:rsid w:val="00265676"/>
    <w:rsid w:val="002656F8"/>
    <w:rsid w:val="00265716"/>
    <w:rsid w:val="0026582A"/>
    <w:rsid w:val="00265878"/>
    <w:rsid w:val="0026591D"/>
    <w:rsid w:val="00265A24"/>
    <w:rsid w:val="00265A72"/>
    <w:rsid w:val="00265AE4"/>
    <w:rsid w:val="00265B7A"/>
    <w:rsid w:val="00265B99"/>
    <w:rsid w:val="00265BAF"/>
    <w:rsid w:val="00265BD9"/>
    <w:rsid w:val="00265C58"/>
    <w:rsid w:val="00265C8F"/>
    <w:rsid w:val="00265CCC"/>
    <w:rsid w:val="00265CE4"/>
    <w:rsid w:val="00265DF2"/>
    <w:rsid w:val="00265E0E"/>
    <w:rsid w:val="00265E19"/>
    <w:rsid w:val="00265E3F"/>
    <w:rsid w:val="00265ECA"/>
    <w:rsid w:val="00265ED9"/>
    <w:rsid w:val="00265F06"/>
    <w:rsid w:val="00265F0B"/>
    <w:rsid w:val="00265F3E"/>
    <w:rsid w:val="00265FC3"/>
    <w:rsid w:val="00266191"/>
    <w:rsid w:val="002661B4"/>
    <w:rsid w:val="002661D5"/>
    <w:rsid w:val="00266256"/>
    <w:rsid w:val="002662A0"/>
    <w:rsid w:val="002662B9"/>
    <w:rsid w:val="0026633D"/>
    <w:rsid w:val="00266346"/>
    <w:rsid w:val="002663E9"/>
    <w:rsid w:val="00266406"/>
    <w:rsid w:val="0026641F"/>
    <w:rsid w:val="0026643D"/>
    <w:rsid w:val="00266472"/>
    <w:rsid w:val="002664B3"/>
    <w:rsid w:val="00266538"/>
    <w:rsid w:val="00266571"/>
    <w:rsid w:val="00266584"/>
    <w:rsid w:val="002665EC"/>
    <w:rsid w:val="00266643"/>
    <w:rsid w:val="002666E3"/>
    <w:rsid w:val="002667B4"/>
    <w:rsid w:val="002667E9"/>
    <w:rsid w:val="0026683F"/>
    <w:rsid w:val="00266852"/>
    <w:rsid w:val="00266903"/>
    <w:rsid w:val="00266998"/>
    <w:rsid w:val="00266A37"/>
    <w:rsid w:val="00266A54"/>
    <w:rsid w:val="00266AB1"/>
    <w:rsid w:val="00266ABA"/>
    <w:rsid w:val="00266B0B"/>
    <w:rsid w:val="00266C12"/>
    <w:rsid w:val="00266D5B"/>
    <w:rsid w:val="00266D5F"/>
    <w:rsid w:val="00266DCE"/>
    <w:rsid w:val="00266EAB"/>
    <w:rsid w:val="00266EB4"/>
    <w:rsid w:val="00266F2C"/>
    <w:rsid w:val="00266F6D"/>
    <w:rsid w:val="0026700E"/>
    <w:rsid w:val="002671AB"/>
    <w:rsid w:val="00267213"/>
    <w:rsid w:val="0026721D"/>
    <w:rsid w:val="00267228"/>
    <w:rsid w:val="00267238"/>
    <w:rsid w:val="002672B5"/>
    <w:rsid w:val="002672C3"/>
    <w:rsid w:val="0026734C"/>
    <w:rsid w:val="002673A1"/>
    <w:rsid w:val="002673F0"/>
    <w:rsid w:val="00267499"/>
    <w:rsid w:val="00267539"/>
    <w:rsid w:val="00267631"/>
    <w:rsid w:val="002676A2"/>
    <w:rsid w:val="002676C2"/>
    <w:rsid w:val="002676F7"/>
    <w:rsid w:val="00267739"/>
    <w:rsid w:val="00267742"/>
    <w:rsid w:val="0026777B"/>
    <w:rsid w:val="0026784A"/>
    <w:rsid w:val="002678A5"/>
    <w:rsid w:val="002678B6"/>
    <w:rsid w:val="002678DE"/>
    <w:rsid w:val="00267977"/>
    <w:rsid w:val="00267979"/>
    <w:rsid w:val="0026799C"/>
    <w:rsid w:val="00267A17"/>
    <w:rsid w:val="00267A2C"/>
    <w:rsid w:val="00267B22"/>
    <w:rsid w:val="00267BA3"/>
    <w:rsid w:val="00267CE8"/>
    <w:rsid w:val="00267D18"/>
    <w:rsid w:val="00267DFA"/>
    <w:rsid w:val="00267E0C"/>
    <w:rsid w:val="00267E1F"/>
    <w:rsid w:val="00267E61"/>
    <w:rsid w:val="00267ED8"/>
    <w:rsid w:val="00267F6C"/>
    <w:rsid w:val="00267FB1"/>
    <w:rsid w:val="00270048"/>
    <w:rsid w:val="00270092"/>
    <w:rsid w:val="002700B4"/>
    <w:rsid w:val="00270117"/>
    <w:rsid w:val="00270151"/>
    <w:rsid w:val="00270159"/>
    <w:rsid w:val="00270168"/>
    <w:rsid w:val="002701CC"/>
    <w:rsid w:val="002701E4"/>
    <w:rsid w:val="0027029E"/>
    <w:rsid w:val="0027035F"/>
    <w:rsid w:val="002703AB"/>
    <w:rsid w:val="002703BD"/>
    <w:rsid w:val="00270432"/>
    <w:rsid w:val="00270455"/>
    <w:rsid w:val="0027049D"/>
    <w:rsid w:val="002704D8"/>
    <w:rsid w:val="00270584"/>
    <w:rsid w:val="002705A6"/>
    <w:rsid w:val="002705D2"/>
    <w:rsid w:val="002705D5"/>
    <w:rsid w:val="002705F3"/>
    <w:rsid w:val="002706DE"/>
    <w:rsid w:val="0027077D"/>
    <w:rsid w:val="002707B0"/>
    <w:rsid w:val="00270818"/>
    <w:rsid w:val="002708C0"/>
    <w:rsid w:val="002708FB"/>
    <w:rsid w:val="0027090D"/>
    <w:rsid w:val="00270911"/>
    <w:rsid w:val="00270952"/>
    <w:rsid w:val="002709C1"/>
    <w:rsid w:val="00270AA3"/>
    <w:rsid w:val="00270AD0"/>
    <w:rsid w:val="00270AFB"/>
    <w:rsid w:val="00270BC1"/>
    <w:rsid w:val="00270C10"/>
    <w:rsid w:val="00270C4F"/>
    <w:rsid w:val="00270CB2"/>
    <w:rsid w:val="00270CFF"/>
    <w:rsid w:val="00270D1B"/>
    <w:rsid w:val="00270E45"/>
    <w:rsid w:val="00270E92"/>
    <w:rsid w:val="00270ECA"/>
    <w:rsid w:val="00270F1E"/>
    <w:rsid w:val="00270F64"/>
    <w:rsid w:val="00270FE9"/>
    <w:rsid w:val="00270FFF"/>
    <w:rsid w:val="00271031"/>
    <w:rsid w:val="00271041"/>
    <w:rsid w:val="0027104A"/>
    <w:rsid w:val="0027104B"/>
    <w:rsid w:val="00271095"/>
    <w:rsid w:val="002710F5"/>
    <w:rsid w:val="002711AC"/>
    <w:rsid w:val="002711CF"/>
    <w:rsid w:val="00271210"/>
    <w:rsid w:val="00271234"/>
    <w:rsid w:val="00271238"/>
    <w:rsid w:val="00271299"/>
    <w:rsid w:val="00271320"/>
    <w:rsid w:val="00271388"/>
    <w:rsid w:val="00271393"/>
    <w:rsid w:val="002713DE"/>
    <w:rsid w:val="00271445"/>
    <w:rsid w:val="0027145C"/>
    <w:rsid w:val="00271463"/>
    <w:rsid w:val="002714CC"/>
    <w:rsid w:val="002714EE"/>
    <w:rsid w:val="00271541"/>
    <w:rsid w:val="00271547"/>
    <w:rsid w:val="0027154A"/>
    <w:rsid w:val="002715BB"/>
    <w:rsid w:val="002715D2"/>
    <w:rsid w:val="0027172C"/>
    <w:rsid w:val="00271737"/>
    <w:rsid w:val="00271748"/>
    <w:rsid w:val="00271750"/>
    <w:rsid w:val="002717DB"/>
    <w:rsid w:val="0027181D"/>
    <w:rsid w:val="0027184B"/>
    <w:rsid w:val="00271878"/>
    <w:rsid w:val="00271880"/>
    <w:rsid w:val="002719CF"/>
    <w:rsid w:val="002719FB"/>
    <w:rsid w:val="00271A21"/>
    <w:rsid w:val="00271A56"/>
    <w:rsid w:val="00271AF7"/>
    <w:rsid w:val="00271BD9"/>
    <w:rsid w:val="00271C3A"/>
    <w:rsid w:val="00271CFA"/>
    <w:rsid w:val="00271D2F"/>
    <w:rsid w:val="00271D35"/>
    <w:rsid w:val="00271DD4"/>
    <w:rsid w:val="00271E2B"/>
    <w:rsid w:val="00271F08"/>
    <w:rsid w:val="0027203F"/>
    <w:rsid w:val="002720B1"/>
    <w:rsid w:val="002720C8"/>
    <w:rsid w:val="00272129"/>
    <w:rsid w:val="0027212D"/>
    <w:rsid w:val="00272160"/>
    <w:rsid w:val="00272171"/>
    <w:rsid w:val="002721A3"/>
    <w:rsid w:val="00272220"/>
    <w:rsid w:val="0027223D"/>
    <w:rsid w:val="00272256"/>
    <w:rsid w:val="00272294"/>
    <w:rsid w:val="00272327"/>
    <w:rsid w:val="00272364"/>
    <w:rsid w:val="002723AE"/>
    <w:rsid w:val="002723FE"/>
    <w:rsid w:val="0027242F"/>
    <w:rsid w:val="00272449"/>
    <w:rsid w:val="00272529"/>
    <w:rsid w:val="0027253D"/>
    <w:rsid w:val="0027258C"/>
    <w:rsid w:val="00272728"/>
    <w:rsid w:val="002727A5"/>
    <w:rsid w:val="002727C2"/>
    <w:rsid w:val="002727E0"/>
    <w:rsid w:val="00272803"/>
    <w:rsid w:val="00272827"/>
    <w:rsid w:val="0027284E"/>
    <w:rsid w:val="002728C3"/>
    <w:rsid w:val="00272908"/>
    <w:rsid w:val="0027299F"/>
    <w:rsid w:val="002729AE"/>
    <w:rsid w:val="002729EA"/>
    <w:rsid w:val="00272A8B"/>
    <w:rsid w:val="00272B01"/>
    <w:rsid w:val="00272B48"/>
    <w:rsid w:val="00272B63"/>
    <w:rsid w:val="00272BB6"/>
    <w:rsid w:val="00272BD5"/>
    <w:rsid w:val="00272C26"/>
    <w:rsid w:val="00272C3D"/>
    <w:rsid w:val="00272D62"/>
    <w:rsid w:val="00272EA6"/>
    <w:rsid w:val="00272F65"/>
    <w:rsid w:val="00273050"/>
    <w:rsid w:val="0027306C"/>
    <w:rsid w:val="002730E2"/>
    <w:rsid w:val="00273127"/>
    <w:rsid w:val="0027314D"/>
    <w:rsid w:val="00273227"/>
    <w:rsid w:val="002732B5"/>
    <w:rsid w:val="00273355"/>
    <w:rsid w:val="00273531"/>
    <w:rsid w:val="002735A6"/>
    <w:rsid w:val="002735C1"/>
    <w:rsid w:val="002735FF"/>
    <w:rsid w:val="00273601"/>
    <w:rsid w:val="00273619"/>
    <w:rsid w:val="002737AC"/>
    <w:rsid w:val="002737EB"/>
    <w:rsid w:val="00273836"/>
    <w:rsid w:val="0027387F"/>
    <w:rsid w:val="002738B9"/>
    <w:rsid w:val="002738C0"/>
    <w:rsid w:val="002738D0"/>
    <w:rsid w:val="00273925"/>
    <w:rsid w:val="00273941"/>
    <w:rsid w:val="0027394B"/>
    <w:rsid w:val="002739CB"/>
    <w:rsid w:val="002739D6"/>
    <w:rsid w:val="002739DB"/>
    <w:rsid w:val="002739E1"/>
    <w:rsid w:val="00273A54"/>
    <w:rsid w:val="00273AAF"/>
    <w:rsid w:val="00273B75"/>
    <w:rsid w:val="00273BF7"/>
    <w:rsid w:val="00273CA6"/>
    <w:rsid w:val="00273D1E"/>
    <w:rsid w:val="00273D26"/>
    <w:rsid w:val="00273D30"/>
    <w:rsid w:val="00273D6E"/>
    <w:rsid w:val="00273DAE"/>
    <w:rsid w:val="00273E03"/>
    <w:rsid w:val="00273EAA"/>
    <w:rsid w:val="00273EEC"/>
    <w:rsid w:val="00273F14"/>
    <w:rsid w:val="00273F4A"/>
    <w:rsid w:val="00273F50"/>
    <w:rsid w:val="00273F7A"/>
    <w:rsid w:val="00273F84"/>
    <w:rsid w:val="00273F96"/>
    <w:rsid w:val="00273FBA"/>
    <w:rsid w:val="00273FC8"/>
    <w:rsid w:val="00274027"/>
    <w:rsid w:val="0027406C"/>
    <w:rsid w:val="002740CB"/>
    <w:rsid w:val="002741B9"/>
    <w:rsid w:val="002741C9"/>
    <w:rsid w:val="0027426D"/>
    <w:rsid w:val="00274280"/>
    <w:rsid w:val="002742AA"/>
    <w:rsid w:val="002742DB"/>
    <w:rsid w:val="00274349"/>
    <w:rsid w:val="0027435D"/>
    <w:rsid w:val="00274379"/>
    <w:rsid w:val="002743E3"/>
    <w:rsid w:val="0027442D"/>
    <w:rsid w:val="00274468"/>
    <w:rsid w:val="002744E5"/>
    <w:rsid w:val="0027451D"/>
    <w:rsid w:val="002745FE"/>
    <w:rsid w:val="00274629"/>
    <w:rsid w:val="00274659"/>
    <w:rsid w:val="00274669"/>
    <w:rsid w:val="002746A3"/>
    <w:rsid w:val="0027474B"/>
    <w:rsid w:val="00274773"/>
    <w:rsid w:val="0027477A"/>
    <w:rsid w:val="0027485A"/>
    <w:rsid w:val="002748F6"/>
    <w:rsid w:val="0027493E"/>
    <w:rsid w:val="0027495B"/>
    <w:rsid w:val="00274A17"/>
    <w:rsid w:val="00274AC0"/>
    <w:rsid w:val="00274B62"/>
    <w:rsid w:val="00274C79"/>
    <w:rsid w:val="00274D7B"/>
    <w:rsid w:val="00274DA6"/>
    <w:rsid w:val="00274DE7"/>
    <w:rsid w:val="00274E30"/>
    <w:rsid w:val="00274EC9"/>
    <w:rsid w:val="00274F47"/>
    <w:rsid w:val="00274F8B"/>
    <w:rsid w:val="00274F9E"/>
    <w:rsid w:val="00274FF6"/>
    <w:rsid w:val="002750A4"/>
    <w:rsid w:val="002750B1"/>
    <w:rsid w:val="002750D9"/>
    <w:rsid w:val="002750EE"/>
    <w:rsid w:val="00275222"/>
    <w:rsid w:val="0027524C"/>
    <w:rsid w:val="0027527B"/>
    <w:rsid w:val="002752B2"/>
    <w:rsid w:val="002753C3"/>
    <w:rsid w:val="002753ED"/>
    <w:rsid w:val="00275481"/>
    <w:rsid w:val="00275577"/>
    <w:rsid w:val="002755BF"/>
    <w:rsid w:val="00275609"/>
    <w:rsid w:val="00275641"/>
    <w:rsid w:val="00275646"/>
    <w:rsid w:val="002756CD"/>
    <w:rsid w:val="00275713"/>
    <w:rsid w:val="00275744"/>
    <w:rsid w:val="0027579C"/>
    <w:rsid w:val="002757C9"/>
    <w:rsid w:val="002757EE"/>
    <w:rsid w:val="00275817"/>
    <w:rsid w:val="0027588F"/>
    <w:rsid w:val="0027593A"/>
    <w:rsid w:val="002759ED"/>
    <w:rsid w:val="002759F5"/>
    <w:rsid w:val="00275A2A"/>
    <w:rsid w:val="00275A4C"/>
    <w:rsid w:val="00275B01"/>
    <w:rsid w:val="00275C12"/>
    <w:rsid w:val="00275D00"/>
    <w:rsid w:val="00275D36"/>
    <w:rsid w:val="00275D70"/>
    <w:rsid w:val="00275D76"/>
    <w:rsid w:val="0027605E"/>
    <w:rsid w:val="002760FF"/>
    <w:rsid w:val="00276118"/>
    <w:rsid w:val="00276148"/>
    <w:rsid w:val="0027627E"/>
    <w:rsid w:val="002762CB"/>
    <w:rsid w:val="00276337"/>
    <w:rsid w:val="00276361"/>
    <w:rsid w:val="00276392"/>
    <w:rsid w:val="0027639C"/>
    <w:rsid w:val="002763EC"/>
    <w:rsid w:val="002763F3"/>
    <w:rsid w:val="002763F8"/>
    <w:rsid w:val="00276429"/>
    <w:rsid w:val="00276488"/>
    <w:rsid w:val="002764E8"/>
    <w:rsid w:val="00276523"/>
    <w:rsid w:val="0027654E"/>
    <w:rsid w:val="00276562"/>
    <w:rsid w:val="002765BD"/>
    <w:rsid w:val="00276610"/>
    <w:rsid w:val="0027663D"/>
    <w:rsid w:val="0027665A"/>
    <w:rsid w:val="00276678"/>
    <w:rsid w:val="00276690"/>
    <w:rsid w:val="00276697"/>
    <w:rsid w:val="0027675C"/>
    <w:rsid w:val="002767BC"/>
    <w:rsid w:val="00276826"/>
    <w:rsid w:val="0027689E"/>
    <w:rsid w:val="00276919"/>
    <w:rsid w:val="00276986"/>
    <w:rsid w:val="002769B1"/>
    <w:rsid w:val="002769D8"/>
    <w:rsid w:val="002769E3"/>
    <w:rsid w:val="002769E4"/>
    <w:rsid w:val="002769EC"/>
    <w:rsid w:val="00276A23"/>
    <w:rsid w:val="00276AAB"/>
    <w:rsid w:val="00276AF3"/>
    <w:rsid w:val="00276B34"/>
    <w:rsid w:val="00276B4E"/>
    <w:rsid w:val="00276BA2"/>
    <w:rsid w:val="00276CF5"/>
    <w:rsid w:val="00276D12"/>
    <w:rsid w:val="00276D63"/>
    <w:rsid w:val="00276DBA"/>
    <w:rsid w:val="00276DC3"/>
    <w:rsid w:val="00276E14"/>
    <w:rsid w:val="00276E94"/>
    <w:rsid w:val="00276ED5"/>
    <w:rsid w:val="00276F76"/>
    <w:rsid w:val="0027700D"/>
    <w:rsid w:val="0027700E"/>
    <w:rsid w:val="002770CC"/>
    <w:rsid w:val="00277113"/>
    <w:rsid w:val="00277127"/>
    <w:rsid w:val="002771D3"/>
    <w:rsid w:val="00277239"/>
    <w:rsid w:val="0027726D"/>
    <w:rsid w:val="002772E2"/>
    <w:rsid w:val="00277314"/>
    <w:rsid w:val="00277349"/>
    <w:rsid w:val="00277371"/>
    <w:rsid w:val="00277402"/>
    <w:rsid w:val="002774D4"/>
    <w:rsid w:val="00277672"/>
    <w:rsid w:val="00277709"/>
    <w:rsid w:val="00277769"/>
    <w:rsid w:val="002777C6"/>
    <w:rsid w:val="002777FE"/>
    <w:rsid w:val="002778BD"/>
    <w:rsid w:val="00277989"/>
    <w:rsid w:val="002779D4"/>
    <w:rsid w:val="002779F3"/>
    <w:rsid w:val="00277AA0"/>
    <w:rsid w:val="00277ADE"/>
    <w:rsid w:val="00277B56"/>
    <w:rsid w:val="00277B94"/>
    <w:rsid w:val="00277BB1"/>
    <w:rsid w:val="00277BB5"/>
    <w:rsid w:val="00277C1C"/>
    <w:rsid w:val="00277C62"/>
    <w:rsid w:val="00277C93"/>
    <w:rsid w:val="00277C99"/>
    <w:rsid w:val="00277CB6"/>
    <w:rsid w:val="00277D18"/>
    <w:rsid w:val="00277D60"/>
    <w:rsid w:val="00277DF3"/>
    <w:rsid w:val="00277E03"/>
    <w:rsid w:val="00277E64"/>
    <w:rsid w:val="00277E73"/>
    <w:rsid w:val="00277EA2"/>
    <w:rsid w:val="00277EA9"/>
    <w:rsid w:val="00277EC7"/>
    <w:rsid w:val="00277F8A"/>
    <w:rsid w:val="00277FA3"/>
    <w:rsid w:val="00277FCD"/>
    <w:rsid w:val="00277FD6"/>
    <w:rsid w:val="00277FEB"/>
    <w:rsid w:val="00280008"/>
    <w:rsid w:val="00280014"/>
    <w:rsid w:val="00280035"/>
    <w:rsid w:val="0028007F"/>
    <w:rsid w:val="0028009A"/>
    <w:rsid w:val="002800F3"/>
    <w:rsid w:val="0028010C"/>
    <w:rsid w:val="00280158"/>
    <w:rsid w:val="00280197"/>
    <w:rsid w:val="002801C6"/>
    <w:rsid w:val="0028023B"/>
    <w:rsid w:val="00280241"/>
    <w:rsid w:val="002802B0"/>
    <w:rsid w:val="002802ED"/>
    <w:rsid w:val="00280370"/>
    <w:rsid w:val="00280447"/>
    <w:rsid w:val="00280576"/>
    <w:rsid w:val="00280587"/>
    <w:rsid w:val="00280627"/>
    <w:rsid w:val="00280634"/>
    <w:rsid w:val="00280729"/>
    <w:rsid w:val="0028074F"/>
    <w:rsid w:val="00280774"/>
    <w:rsid w:val="00280801"/>
    <w:rsid w:val="00280871"/>
    <w:rsid w:val="0028089C"/>
    <w:rsid w:val="002808A2"/>
    <w:rsid w:val="002808CA"/>
    <w:rsid w:val="00280901"/>
    <w:rsid w:val="00280926"/>
    <w:rsid w:val="0028093F"/>
    <w:rsid w:val="002809C3"/>
    <w:rsid w:val="00280A25"/>
    <w:rsid w:val="00280A3C"/>
    <w:rsid w:val="00280A81"/>
    <w:rsid w:val="00280B07"/>
    <w:rsid w:val="00280B6C"/>
    <w:rsid w:val="00280BC2"/>
    <w:rsid w:val="00280C5B"/>
    <w:rsid w:val="00280CDD"/>
    <w:rsid w:val="00280D73"/>
    <w:rsid w:val="00280D92"/>
    <w:rsid w:val="00280D96"/>
    <w:rsid w:val="00280DC1"/>
    <w:rsid w:val="00280E21"/>
    <w:rsid w:val="00280EC4"/>
    <w:rsid w:val="00280F01"/>
    <w:rsid w:val="00280F33"/>
    <w:rsid w:val="00280FBF"/>
    <w:rsid w:val="00281042"/>
    <w:rsid w:val="00281071"/>
    <w:rsid w:val="0028107E"/>
    <w:rsid w:val="002811EA"/>
    <w:rsid w:val="002811F7"/>
    <w:rsid w:val="002812E4"/>
    <w:rsid w:val="002812ED"/>
    <w:rsid w:val="00281340"/>
    <w:rsid w:val="00281512"/>
    <w:rsid w:val="0028156A"/>
    <w:rsid w:val="002815F3"/>
    <w:rsid w:val="00281602"/>
    <w:rsid w:val="002816C1"/>
    <w:rsid w:val="00281776"/>
    <w:rsid w:val="002817CE"/>
    <w:rsid w:val="002817D1"/>
    <w:rsid w:val="0028182C"/>
    <w:rsid w:val="00281846"/>
    <w:rsid w:val="0028184C"/>
    <w:rsid w:val="00281871"/>
    <w:rsid w:val="002818C8"/>
    <w:rsid w:val="0028192C"/>
    <w:rsid w:val="00281943"/>
    <w:rsid w:val="00281957"/>
    <w:rsid w:val="0028197B"/>
    <w:rsid w:val="00281A48"/>
    <w:rsid w:val="00281A50"/>
    <w:rsid w:val="00281A90"/>
    <w:rsid w:val="00281A97"/>
    <w:rsid w:val="00281ACB"/>
    <w:rsid w:val="00281B1F"/>
    <w:rsid w:val="00281B8D"/>
    <w:rsid w:val="00281B90"/>
    <w:rsid w:val="00281C08"/>
    <w:rsid w:val="00281C3B"/>
    <w:rsid w:val="00281C3E"/>
    <w:rsid w:val="00281C60"/>
    <w:rsid w:val="00281C97"/>
    <w:rsid w:val="00281CA5"/>
    <w:rsid w:val="00281D03"/>
    <w:rsid w:val="00281DE5"/>
    <w:rsid w:val="00281DFB"/>
    <w:rsid w:val="00281E24"/>
    <w:rsid w:val="00281E5B"/>
    <w:rsid w:val="00281EE5"/>
    <w:rsid w:val="00281F0A"/>
    <w:rsid w:val="00281F3D"/>
    <w:rsid w:val="00281F91"/>
    <w:rsid w:val="00281F97"/>
    <w:rsid w:val="00281FEC"/>
    <w:rsid w:val="00282051"/>
    <w:rsid w:val="002820C4"/>
    <w:rsid w:val="002821DB"/>
    <w:rsid w:val="002821E3"/>
    <w:rsid w:val="00282252"/>
    <w:rsid w:val="00282301"/>
    <w:rsid w:val="00282334"/>
    <w:rsid w:val="00282397"/>
    <w:rsid w:val="00282401"/>
    <w:rsid w:val="00282434"/>
    <w:rsid w:val="0028248A"/>
    <w:rsid w:val="00282501"/>
    <w:rsid w:val="00282560"/>
    <w:rsid w:val="00282567"/>
    <w:rsid w:val="002825DE"/>
    <w:rsid w:val="002825F3"/>
    <w:rsid w:val="002826D8"/>
    <w:rsid w:val="00282747"/>
    <w:rsid w:val="0028279A"/>
    <w:rsid w:val="002827E1"/>
    <w:rsid w:val="00282816"/>
    <w:rsid w:val="00282851"/>
    <w:rsid w:val="002828A0"/>
    <w:rsid w:val="002828A4"/>
    <w:rsid w:val="00282937"/>
    <w:rsid w:val="00282994"/>
    <w:rsid w:val="002829B1"/>
    <w:rsid w:val="00282A3E"/>
    <w:rsid w:val="00282A93"/>
    <w:rsid w:val="00282A98"/>
    <w:rsid w:val="00282AA5"/>
    <w:rsid w:val="00282AC2"/>
    <w:rsid w:val="00282B57"/>
    <w:rsid w:val="00282B87"/>
    <w:rsid w:val="00282C6C"/>
    <w:rsid w:val="00282C96"/>
    <w:rsid w:val="00282D81"/>
    <w:rsid w:val="00282E1F"/>
    <w:rsid w:val="00282E21"/>
    <w:rsid w:val="00282E73"/>
    <w:rsid w:val="00282ED5"/>
    <w:rsid w:val="00282F5E"/>
    <w:rsid w:val="00282FE7"/>
    <w:rsid w:val="00282FF2"/>
    <w:rsid w:val="00282FFF"/>
    <w:rsid w:val="0028303F"/>
    <w:rsid w:val="002830AD"/>
    <w:rsid w:val="002830BD"/>
    <w:rsid w:val="00283121"/>
    <w:rsid w:val="0028313B"/>
    <w:rsid w:val="002831D4"/>
    <w:rsid w:val="002831F8"/>
    <w:rsid w:val="00283240"/>
    <w:rsid w:val="002832AE"/>
    <w:rsid w:val="00283316"/>
    <w:rsid w:val="002834A8"/>
    <w:rsid w:val="0028357C"/>
    <w:rsid w:val="00283629"/>
    <w:rsid w:val="002836E7"/>
    <w:rsid w:val="0028371E"/>
    <w:rsid w:val="00283733"/>
    <w:rsid w:val="00283746"/>
    <w:rsid w:val="0028375E"/>
    <w:rsid w:val="00283770"/>
    <w:rsid w:val="00283794"/>
    <w:rsid w:val="002837D1"/>
    <w:rsid w:val="002837ED"/>
    <w:rsid w:val="0028381A"/>
    <w:rsid w:val="0028384D"/>
    <w:rsid w:val="00283856"/>
    <w:rsid w:val="00283900"/>
    <w:rsid w:val="00283905"/>
    <w:rsid w:val="00283949"/>
    <w:rsid w:val="00283A64"/>
    <w:rsid w:val="00283AA5"/>
    <w:rsid w:val="00283B0A"/>
    <w:rsid w:val="00283BB3"/>
    <w:rsid w:val="00283C74"/>
    <w:rsid w:val="00283CE3"/>
    <w:rsid w:val="00283D08"/>
    <w:rsid w:val="00283D0B"/>
    <w:rsid w:val="00283EB8"/>
    <w:rsid w:val="00283EC5"/>
    <w:rsid w:val="00283F20"/>
    <w:rsid w:val="00283F4D"/>
    <w:rsid w:val="00283F5C"/>
    <w:rsid w:val="00283FAA"/>
    <w:rsid w:val="00284000"/>
    <w:rsid w:val="00284009"/>
    <w:rsid w:val="002840A8"/>
    <w:rsid w:val="002840AB"/>
    <w:rsid w:val="002840BC"/>
    <w:rsid w:val="0028415F"/>
    <w:rsid w:val="00284175"/>
    <w:rsid w:val="00284272"/>
    <w:rsid w:val="002842B6"/>
    <w:rsid w:val="00284320"/>
    <w:rsid w:val="00284388"/>
    <w:rsid w:val="002843BD"/>
    <w:rsid w:val="00284433"/>
    <w:rsid w:val="00284567"/>
    <w:rsid w:val="00284642"/>
    <w:rsid w:val="002846BD"/>
    <w:rsid w:val="0028471A"/>
    <w:rsid w:val="0028471D"/>
    <w:rsid w:val="002847B8"/>
    <w:rsid w:val="0028480A"/>
    <w:rsid w:val="00284853"/>
    <w:rsid w:val="00284883"/>
    <w:rsid w:val="002848CA"/>
    <w:rsid w:val="002848E3"/>
    <w:rsid w:val="002849EA"/>
    <w:rsid w:val="00284A1C"/>
    <w:rsid w:val="00284A81"/>
    <w:rsid w:val="00284AC1"/>
    <w:rsid w:val="00284B15"/>
    <w:rsid w:val="00284BF0"/>
    <w:rsid w:val="00284C49"/>
    <w:rsid w:val="00284C76"/>
    <w:rsid w:val="00284CC4"/>
    <w:rsid w:val="00284CCF"/>
    <w:rsid w:val="00284D76"/>
    <w:rsid w:val="00284E30"/>
    <w:rsid w:val="00284F06"/>
    <w:rsid w:val="00284F14"/>
    <w:rsid w:val="00284FC3"/>
    <w:rsid w:val="0028503B"/>
    <w:rsid w:val="00285089"/>
    <w:rsid w:val="00285139"/>
    <w:rsid w:val="00285143"/>
    <w:rsid w:val="00285219"/>
    <w:rsid w:val="0028523F"/>
    <w:rsid w:val="002852BC"/>
    <w:rsid w:val="0028532E"/>
    <w:rsid w:val="002853B3"/>
    <w:rsid w:val="002853DA"/>
    <w:rsid w:val="00285428"/>
    <w:rsid w:val="0028542E"/>
    <w:rsid w:val="0028553C"/>
    <w:rsid w:val="002855C3"/>
    <w:rsid w:val="00285643"/>
    <w:rsid w:val="002856D7"/>
    <w:rsid w:val="002856D9"/>
    <w:rsid w:val="00285765"/>
    <w:rsid w:val="002857B4"/>
    <w:rsid w:val="00285889"/>
    <w:rsid w:val="00285895"/>
    <w:rsid w:val="002858CD"/>
    <w:rsid w:val="002858E4"/>
    <w:rsid w:val="002858FC"/>
    <w:rsid w:val="0028593A"/>
    <w:rsid w:val="002859B4"/>
    <w:rsid w:val="00285A30"/>
    <w:rsid w:val="00285A46"/>
    <w:rsid w:val="00285A8B"/>
    <w:rsid w:val="00285AAB"/>
    <w:rsid w:val="00285AB9"/>
    <w:rsid w:val="00285ADC"/>
    <w:rsid w:val="00285BDE"/>
    <w:rsid w:val="00285BEA"/>
    <w:rsid w:val="00285C1F"/>
    <w:rsid w:val="00285C2A"/>
    <w:rsid w:val="00285CE4"/>
    <w:rsid w:val="00285CE5"/>
    <w:rsid w:val="00285CED"/>
    <w:rsid w:val="00285D27"/>
    <w:rsid w:val="00285D3A"/>
    <w:rsid w:val="00285D4E"/>
    <w:rsid w:val="00285DA9"/>
    <w:rsid w:val="00285E12"/>
    <w:rsid w:val="00285E89"/>
    <w:rsid w:val="00285EAC"/>
    <w:rsid w:val="00285EC3"/>
    <w:rsid w:val="00285F56"/>
    <w:rsid w:val="00285F5C"/>
    <w:rsid w:val="00285F83"/>
    <w:rsid w:val="0028600F"/>
    <w:rsid w:val="00286057"/>
    <w:rsid w:val="00286066"/>
    <w:rsid w:val="00286083"/>
    <w:rsid w:val="0028614E"/>
    <w:rsid w:val="0028617D"/>
    <w:rsid w:val="002861AD"/>
    <w:rsid w:val="0028624F"/>
    <w:rsid w:val="0028627A"/>
    <w:rsid w:val="00286282"/>
    <w:rsid w:val="00286295"/>
    <w:rsid w:val="002862CC"/>
    <w:rsid w:val="00286303"/>
    <w:rsid w:val="00286320"/>
    <w:rsid w:val="0028636E"/>
    <w:rsid w:val="002863CC"/>
    <w:rsid w:val="0028657A"/>
    <w:rsid w:val="0028658E"/>
    <w:rsid w:val="002865E6"/>
    <w:rsid w:val="002865FE"/>
    <w:rsid w:val="00286609"/>
    <w:rsid w:val="0028663E"/>
    <w:rsid w:val="0028667E"/>
    <w:rsid w:val="002866B4"/>
    <w:rsid w:val="002867C4"/>
    <w:rsid w:val="00286855"/>
    <w:rsid w:val="00286A1D"/>
    <w:rsid w:val="00286A94"/>
    <w:rsid w:val="00286ABB"/>
    <w:rsid w:val="00286ADE"/>
    <w:rsid w:val="00286B05"/>
    <w:rsid w:val="00286B95"/>
    <w:rsid w:val="00286BC5"/>
    <w:rsid w:val="00286BD1"/>
    <w:rsid w:val="00286C94"/>
    <w:rsid w:val="00286CBA"/>
    <w:rsid w:val="00286CD1"/>
    <w:rsid w:val="00286CFE"/>
    <w:rsid w:val="00286D97"/>
    <w:rsid w:val="00286DE3"/>
    <w:rsid w:val="00286EE3"/>
    <w:rsid w:val="00286FD1"/>
    <w:rsid w:val="0028703E"/>
    <w:rsid w:val="002870DA"/>
    <w:rsid w:val="00287234"/>
    <w:rsid w:val="0028723F"/>
    <w:rsid w:val="002872A3"/>
    <w:rsid w:val="002872B3"/>
    <w:rsid w:val="002873E2"/>
    <w:rsid w:val="00287464"/>
    <w:rsid w:val="0028746C"/>
    <w:rsid w:val="002874B4"/>
    <w:rsid w:val="00287504"/>
    <w:rsid w:val="0028751A"/>
    <w:rsid w:val="00287731"/>
    <w:rsid w:val="00287836"/>
    <w:rsid w:val="002878AA"/>
    <w:rsid w:val="0028797A"/>
    <w:rsid w:val="002879B6"/>
    <w:rsid w:val="002879C7"/>
    <w:rsid w:val="00287AC4"/>
    <w:rsid w:val="00287AF4"/>
    <w:rsid w:val="00287B1E"/>
    <w:rsid w:val="00287BFD"/>
    <w:rsid w:val="00287C74"/>
    <w:rsid w:val="00287C98"/>
    <w:rsid w:val="00287CB0"/>
    <w:rsid w:val="00287DA7"/>
    <w:rsid w:val="00287DE5"/>
    <w:rsid w:val="00287E2D"/>
    <w:rsid w:val="00287EB5"/>
    <w:rsid w:val="00287EDA"/>
    <w:rsid w:val="00287EE9"/>
    <w:rsid w:val="00287F1C"/>
    <w:rsid w:val="00287F4E"/>
    <w:rsid w:val="00287FC3"/>
    <w:rsid w:val="00290068"/>
    <w:rsid w:val="00290078"/>
    <w:rsid w:val="0029013B"/>
    <w:rsid w:val="002901BB"/>
    <w:rsid w:val="0029020A"/>
    <w:rsid w:val="00290240"/>
    <w:rsid w:val="002903AE"/>
    <w:rsid w:val="002903CB"/>
    <w:rsid w:val="002903CC"/>
    <w:rsid w:val="002903DA"/>
    <w:rsid w:val="00290450"/>
    <w:rsid w:val="002905A6"/>
    <w:rsid w:val="0029060F"/>
    <w:rsid w:val="00290646"/>
    <w:rsid w:val="00290746"/>
    <w:rsid w:val="00290757"/>
    <w:rsid w:val="00290758"/>
    <w:rsid w:val="00290805"/>
    <w:rsid w:val="0029085A"/>
    <w:rsid w:val="0029088A"/>
    <w:rsid w:val="002909A6"/>
    <w:rsid w:val="00290A53"/>
    <w:rsid w:val="00290AB2"/>
    <w:rsid w:val="00290CA9"/>
    <w:rsid w:val="00290CDE"/>
    <w:rsid w:val="00290D03"/>
    <w:rsid w:val="00290D42"/>
    <w:rsid w:val="00290DF9"/>
    <w:rsid w:val="00290E14"/>
    <w:rsid w:val="00290E60"/>
    <w:rsid w:val="00290E6E"/>
    <w:rsid w:val="00290E88"/>
    <w:rsid w:val="00290E96"/>
    <w:rsid w:val="00290F11"/>
    <w:rsid w:val="00290F30"/>
    <w:rsid w:val="00290F33"/>
    <w:rsid w:val="0029101B"/>
    <w:rsid w:val="0029108B"/>
    <w:rsid w:val="00291098"/>
    <w:rsid w:val="00291109"/>
    <w:rsid w:val="00291120"/>
    <w:rsid w:val="00291121"/>
    <w:rsid w:val="00291154"/>
    <w:rsid w:val="0029115B"/>
    <w:rsid w:val="002911BD"/>
    <w:rsid w:val="002911C6"/>
    <w:rsid w:val="00291280"/>
    <w:rsid w:val="002912D4"/>
    <w:rsid w:val="00291359"/>
    <w:rsid w:val="002913A5"/>
    <w:rsid w:val="002913A6"/>
    <w:rsid w:val="002913AA"/>
    <w:rsid w:val="002913CE"/>
    <w:rsid w:val="00291455"/>
    <w:rsid w:val="002914E8"/>
    <w:rsid w:val="0029152E"/>
    <w:rsid w:val="00291549"/>
    <w:rsid w:val="00291563"/>
    <w:rsid w:val="002915DD"/>
    <w:rsid w:val="00291630"/>
    <w:rsid w:val="0029163C"/>
    <w:rsid w:val="0029164F"/>
    <w:rsid w:val="002916E3"/>
    <w:rsid w:val="0029171C"/>
    <w:rsid w:val="0029173C"/>
    <w:rsid w:val="002917C7"/>
    <w:rsid w:val="002917FC"/>
    <w:rsid w:val="00291836"/>
    <w:rsid w:val="002918ED"/>
    <w:rsid w:val="00291976"/>
    <w:rsid w:val="00291A9A"/>
    <w:rsid w:val="00291B02"/>
    <w:rsid w:val="00291B28"/>
    <w:rsid w:val="00291B2A"/>
    <w:rsid w:val="00291B33"/>
    <w:rsid w:val="00291B52"/>
    <w:rsid w:val="00291C46"/>
    <w:rsid w:val="00291C7B"/>
    <w:rsid w:val="00291CAE"/>
    <w:rsid w:val="00291CF9"/>
    <w:rsid w:val="00291D2E"/>
    <w:rsid w:val="00291D7B"/>
    <w:rsid w:val="00291D9A"/>
    <w:rsid w:val="00291F32"/>
    <w:rsid w:val="00291F60"/>
    <w:rsid w:val="00291F61"/>
    <w:rsid w:val="00291F90"/>
    <w:rsid w:val="00292195"/>
    <w:rsid w:val="00292249"/>
    <w:rsid w:val="0029230A"/>
    <w:rsid w:val="0029234A"/>
    <w:rsid w:val="002924BF"/>
    <w:rsid w:val="00292565"/>
    <w:rsid w:val="002925AE"/>
    <w:rsid w:val="002925CD"/>
    <w:rsid w:val="0029263A"/>
    <w:rsid w:val="002926AE"/>
    <w:rsid w:val="002926B7"/>
    <w:rsid w:val="002926D6"/>
    <w:rsid w:val="002926DB"/>
    <w:rsid w:val="002926E0"/>
    <w:rsid w:val="002926F1"/>
    <w:rsid w:val="00292705"/>
    <w:rsid w:val="00292738"/>
    <w:rsid w:val="0029273A"/>
    <w:rsid w:val="00292812"/>
    <w:rsid w:val="00292839"/>
    <w:rsid w:val="002928E0"/>
    <w:rsid w:val="00292A0E"/>
    <w:rsid w:val="00292A0F"/>
    <w:rsid w:val="00292A40"/>
    <w:rsid w:val="00292A60"/>
    <w:rsid w:val="00292A61"/>
    <w:rsid w:val="00292ADD"/>
    <w:rsid w:val="00292B0C"/>
    <w:rsid w:val="00292B41"/>
    <w:rsid w:val="00292B70"/>
    <w:rsid w:val="00292BD7"/>
    <w:rsid w:val="00292BFE"/>
    <w:rsid w:val="00292C20"/>
    <w:rsid w:val="00292C36"/>
    <w:rsid w:val="00292C6D"/>
    <w:rsid w:val="00292C85"/>
    <w:rsid w:val="00292C88"/>
    <w:rsid w:val="00292C8A"/>
    <w:rsid w:val="00292CD0"/>
    <w:rsid w:val="00292E38"/>
    <w:rsid w:val="00292FCD"/>
    <w:rsid w:val="00292FD8"/>
    <w:rsid w:val="0029306E"/>
    <w:rsid w:val="00293218"/>
    <w:rsid w:val="0029321D"/>
    <w:rsid w:val="00293223"/>
    <w:rsid w:val="0029328B"/>
    <w:rsid w:val="002933A3"/>
    <w:rsid w:val="002933A5"/>
    <w:rsid w:val="002933C3"/>
    <w:rsid w:val="002933C9"/>
    <w:rsid w:val="002933DD"/>
    <w:rsid w:val="002934BF"/>
    <w:rsid w:val="0029353C"/>
    <w:rsid w:val="0029357D"/>
    <w:rsid w:val="00293592"/>
    <w:rsid w:val="002935DF"/>
    <w:rsid w:val="0029364B"/>
    <w:rsid w:val="00293669"/>
    <w:rsid w:val="00293697"/>
    <w:rsid w:val="002936AB"/>
    <w:rsid w:val="002936EA"/>
    <w:rsid w:val="00293727"/>
    <w:rsid w:val="0029373A"/>
    <w:rsid w:val="002937EC"/>
    <w:rsid w:val="002937F6"/>
    <w:rsid w:val="0029383C"/>
    <w:rsid w:val="00293A00"/>
    <w:rsid w:val="00293AB3"/>
    <w:rsid w:val="00293B35"/>
    <w:rsid w:val="00293BE1"/>
    <w:rsid w:val="00293D36"/>
    <w:rsid w:val="00293DBF"/>
    <w:rsid w:val="00293E48"/>
    <w:rsid w:val="00293E55"/>
    <w:rsid w:val="00293E66"/>
    <w:rsid w:val="00293F35"/>
    <w:rsid w:val="00293FDC"/>
    <w:rsid w:val="0029403B"/>
    <w:rsid w:val="0029403E"/>
    <w:rsid w:val="0029406B"/>
    <w:rsid w:val="00294081"/>
    <w:rsid w:val="00294090"/>
    <w:rsid w:val="002940A0"/>
    <w:rsid w:val="002940D8"/>
    <w:rsid w:val="0029419B"/>
    <w:rsid w:val="0029421C"/>
    <w:rsid w:val="0029423E"/>
    <w:rsid w:val="0029425C"/>
    <w:rsid w:val="002942A0"/>
    <w:rsid w:val="002942BF"/>
    <w:rsid w:val="0029430E"/>
    <w:rsid w:val="00294401"/>
    <w:rsid w:val="00294429"/>
    <w:rsid w:val="0029445D"/>
    <w:rsid w:val="002944CE"/>
    <w:rsid w:val="002944D8"/>
    <w:rsid w:val="002944E1"/>
    <w:rsid w:val="0029451C"/>
    <w:rsid w:val="0029454D"/>
    <w:rsid w:val="0029455A"/>
    <w:rsid w:val="00294711"/>
    <w:rsid w:val="0029476E"/>
    <w:rsid w:val="002948C1"/>
    <w:rsid w:val="00294909"/>
    <w:rsid w:val="002949AD"/>
    <w:rsid w:val="00294A85"/>
    <w:rsid w:val="00294AC2"/>
    <w:rsid w:val="00294B45"/>
    <w:rsid w:val="00294B79"/>
    <w:rsid w:val="00294BBC"/>
    <w:rsid w:val="00294BDC"/>
    <w:rsid w:val="00294BF4"/>
    <w:rsid w:val="00294BFB"/>
    <w:rsid w:val="00294C47"/>
    <w:rsid w:val="00294C88"/>
    <w:rsid w:val="00294D2B"/>
    <w:rsid w:val="00294D8B"/>
    <w:rsid w:val="00294E7D"/>
    <w:rsid w:val="00294E84"/>
    <w:rsid w:val="00294EBE"/>
    <w:rsid w:val="00294ED5"/>
    <w:rsid w:val="00294F57"/>
    <w:rsid w:val="00294F6D"/>
    <w:rsid w:val="00294F73"/>
    <w:rsid w:val="00294FB1"/>
    <w:rsid w:val="00294FF5"/>
    <w:rsid w:val="0029511D"/>
    <w:rsid w:val="0029514C"/>
    <w:rsid w:val="0029518B"/>
    <w:rsid w:val="0029520D"/>
    <w:rsid w:val="00295285"/>
    <w:rsid w:val="0029529D"/>
    <w:rsid w:val="002952C1"/>
    <w:rsid w:val="002952E4"/>
    <w:rsid w:val="0029538D"/>
    <w:rsid w:val="002953BC"/>
    <w:rsid w:val="00295429"/>
    <w:rsid w:val="00295441"/>
    <w:rsid w:val="002954B8"/>
    <w:rsid w:val="002954ED"/>
    <w:rsid w:val="00295501"/>
    <w:rsid w:val="0029569F"/>
    <w:rsid w:val="002957B1"/>
    <w:rsid w:val="00295801"/>
    <w:rsid w:val="0029585E"/>
    <w:rsid w:val="002959F4"/>
    <w:rsid w:val="00295A13"/>
    <w:rsid w:val="00295A80"/>
    <w:rsid w:val="00295ABA"/>
    <w:rsid w:val="00295B17"/>
    <w:rsid w:val="00295B5B"/>
    <w:rsid w:val="00295C4B"/>
    <w:rsid w:val="00295CA5"/>
    <w:rsid w:val="00295D3E"/>
    <w:rsid w:val="00295D74"/>
    <w:rsid w:val="00295E0C"/>
    <w:rsid w:val="00295E6C"/>
    <w:rsid w:val="00295EF3"/>
    <w:rsid w:val="00295F02"/>
    <w:rsid w:val="00295F19"/>
    <w:rsid w:val="00295F4A"/>
    <w:rsid w:val="00295F87"/>
    <w:rsid w:val="00295F9C"/>
    <w:rsid w:val="00295FFE"/>
    <w:rsid w:val="00296021"/>
    <w:rsid w:val="00296041"/>
    <w:rsid w:val="00296064"/>
    <w:rsid w:val="0029616E"/>
    <w:rsid w:val="002961AB"/>
    <w:rsid w:val="002961F8"/>
    <w:rsid w:val="002961FF"/>
    <w:rsid w:val="00296289"/>
    <w:rsid w:val="0029628F"/>
    <w:rsid w:val="002962A4"/>
    <w:rsid w:val="002962D2"/>
    <w:rsid w:val="002962F6"/>
    <w:rsid w:val="002963FA"/>
    <w:rsid w:val="00296527"/>
    <w:rsid w:val="0029654C"/>
    <w:rsid w:val="00296565"/>
    <w:rsid w:val="002965C1"/>
    <w:rsid w:val="0029666F"/>
    <w:rsid w:val="002966BC"/>
    <w:rsid w:val="002966D0"/>
    <w:rsid w:val="002966D8"/>
    <w:rsid w:val="00296718"/>
    <w:rsid w:val="00296760"/>
    <w:rsid w:val="00296794"/>
    <w:rsid w:val="002967B0"/>
    <w:rsid w:val="002968A4"/>
    <w:rsid w:val="0029694C"/>
    <w:rsid w:val="0029696C"/>
    <w:rsid w:val="002969F2"/>
    <w:rsid w:val="00296A43"/>
    <w:rsid w:val="00296A73"/>
    <w:rsid w:val="00296AE8"/>
    <w:rsid w:val="00296AEF"/>
    <w:rsid w:val="00296B07"/>
    <w:rsid w:val="00296B86"/>
    <w:rsid w:val="00296C04"/>
    <w:rsid w:val="00296C0B"/>
    <w:rsid w:val="00296D10"/>
    <w:rsid w:val="00296D91"/>
    <w:rsid w:val="00296D9D"/>
    <w:rsid w:val="00296E12"/>
    <w:rsid w:val="00296E76"/>
    <w:rsid w:val="00296F0A"/>
    <w:rsid w:val="00296F13"/>
    <w:rsid w:val="00296F2C"/>
    <w:rsid w:val="00296FEC"/>
    <w:rsid w:val="002970DE"/>
    <w:rsid w:val="00297151"/>
    <w:rsid w:val="00297174"/>
    <w:rsid w:val="0029720B"/>
    <w:rsid w:val="00297226"/>
    <w:rsid w:val="002973AF"/>
    <w:rsid w:val="002973E0"/>
    <w:rsid w:val="002974B6"/>
    <w:rsid w:val="002974E4"/>
    <w:rsid w:val="00297618"/>
    <w:rsid w:val="002976CF"/>
    <w:rsid w:val="00297762"/>
    <w:rsid w:val="00297768"/>
    <w:rsid w:val="00297799"/>
    <w:rsid w:val="002977B7"/>
    <w:rsid w:val="0029782A"/>
    <w:rsid w:val="0029785A"/>
    <w:rsid w:val="002978A9"/>
    <w:rsid w:val="00297914"/>
    <w:rsid w:val="0029792A"/>
    <w:rsid w:val="00297987"/>
    <w:rsid w:val="00297A16"/>
    <w:rsid w:val="00297A96"/>
    <w:rsid w:val="00297B51"/>
    <w:rsid w:val="00297B71"/>
    <w:rsid w:val="00297B8C"/>
    <w:rsid w:val="00297C17"/>
    <w:rsid w:val="00297C62"/>
    <w:rsid w:val="00297CB8"/>
    <w:rsid w:val="00297D2D"/>
    <w:rsid w:val="00297D5D"/>
    <w:rsid w:val="00297D68"/>
    <w:rsid w:val="00297D86"/>
    <w:rsid w:val="00297E29"/>
    <w:rsid w:val="00297E91"/>
    <w:rsid w:val="00297E93"/>
    <w:rsid w:val="00297ED5"/>
    <w:rsid w:val="00297F45"/>
    <w:rsid w:val="00297F87"/>
    <w:rsid w:val="00297FD8"/>
    <w:rsid w:val="002A010D"/>
    <w:rsid w:val="002A0168"/>
    <w:rsid w:val="002A016A"/>
    <w:rsid w:val="002A01CB"/>
    <w:rsid w:val="002A0216"/>
    <w:rsid w:val="002A0220"/>
    <w:rsid w:val="002A0271"/>
    <w:rsid w:val="002A0289"/>
    <w:rsid w:val="002A0481"/>
    <w:rsid w:val="002A049E"/>
    <w:rsid w:val="002A0594"/>
    <w:rsid w:val="002A05BE"/>
    <w:rsid w:val="002A061B"/>
    <w:rsid w:val="002A066E"/>
    <w:rsid w:val="002A0787"/>
    <w:rsid w:val="002A07BC"/>
    <w:rsid w:val="002A07BD"/>
    <w:rsid w:val="002A07F0"/>
    <w:rsid w:val="002A089E"/>
    <w:rsid w:val="002A0918"/>
    <w:rsid w:val="002A09B8"/>
    <w:rsid w:val="002A09FB"/>
    <w:rsid w:val="002A09FE"/>
    <w:rsid w:val="002A0A5A"/>
    <w:rsid w:val="002A0A8C"/>
    <w:rsid w:val="002A0AF9"/>
    <w:rsid w:val="002A0B7E"/>
    <w:rsid w:val="002A0B8A"/>
    <w:rsid w:val="002A0BFE"/>
    <w:rsid w:val="002A0C81"/>
    <w:rsid w:val="002A0CE3"/>
    <w:rsid w:val="002A0D2E"/>
    <w:rsid w:val="002A0D34"/>
    <w:rsid w:val="002A0D7A"/>
    <w:rsid w:val="002A0DD0"/>
    <w:rsid w:val="002A0DE2"/>
    <w:rsid w:val="002A0E69"/>
    <w:rsid w:val="002A0E8F"/>
    <w:rsid w:val="002A0FB7"/>
    <w:rsid w:val="002A104D"/>
    <w:rsid w:val="002A1053"/>
    <w:rsid w:val="002A1146"/>
    <w:rsid w:val="002A116C"/>
    <w:rsid w:val="002A1177"/>
    <w:rsid w:val="002A1183"/>
    <w:rsid w:val="002A1193"/>
    <w:rsid w:val="002A1198"/>
    <w:rsid w:val="002A11D7"/>
    <w:rsid w:val="002A11F1"/>
    <w:rsid w:val="002A1208"/>
    <w:rsid w:val="002A1246"/>
    <w:rsid w:val="002A1253"/>
    <w:rsid w:val="002A127D"/>
    <w:rsid w:val="002A131B"/>
    <w:rsid w:val="002A131D"/>
    <w:rsid w:val="002A141E"/>
    <w:rsid w:val="002A142F"/>
    <w:rsid w:val="002A14A9"/>
    <w:rsid w:val="002A14BC"/>
    <w:rsid w:val="002A1552"/>
    <w:rsid w:val="002A15B8"/>
    <w:rsid w:val="002A174E"/>
    <w:rsid w:val="002A178E"/>
    <w:rsid w:val="002A17C3"/>
    <w:rsid w:val="002A17DF"/>
    <w:rsid w:val="002A18CE"/>
    <w:rsid w:val="002A18EB"/>
    <w:rsid w:val="002A1936"/>
    <w:rsid w:val="002A1A06"/>
    <w:rsid w:val="002A1A73"/>
    <w:rsid w:val="002A1ABE"/>
    <w:rsid w:val="002A1BB2"/>
    <w:rsid w:val="002A1C9E"/>
    <w:rsid w:val="002A1CE3"/>
    <w:rsid w:val="002A1D09"/>
    <w:rsid w:val="002A1D1B"/>
    <w:rsid w:val="002A1D6C"/>
    <w:rsid w:val="002A1D84"/>
    <w:rsid w:val="002A1E0F"/>
    <w:rsid w:val="002A1E53"/>
    <w:rsid w:val="002A1E93"/>
    <w:rsid w:val="002A1FAF"/>
    <w:rsid w:val="002A1FE2"/>
    <w:rsid w:val="002A2005"/>
    <w:rsid w:val="002A2024"/>
    <w:rsid w:val="002A20F6"/>
    <w:rsid w:val="002A2103"/>
    <w:rsid w:val="002A2157"/>
    <w:rsid w:val="002A21F5"/>
    <w:rsid w:val="002A2276"/>
    <w:rsid w:val="002A2355"/>
    <w:rsid w:val="002A23AB"/>
    <w:rsid w:val="002A2400"/>
    <w:rsid w:val="002A2430"/>
    <w:rsid w:val="002A2442"/>
    <w:rsid w:val="002A2454"/>
    <w:rsid w:val="002A2536"/>
    <w:rsid w:val="002A256D"/>
    <w:rsid w:val="002A25DA"/>
    <w:rsid w:val="002A2660"/>
    <w:rsid w:val="002A2748"/>
    <w:rsid w:val="002A277C"/>
    <w:rsid w:val="002A27CD"/>
    <w:rsid w:val="002A2805"/>
    <w:rsid w:val="002A28D3"/>
    <w:rsid w:val="002A294C"/>
    <w:rsid w:val="002A2959"/>
    <w:rsid w:val="002A29B1"/>
    <w:rsid w:val="002A2A5A"/>
    <w:rsid w:val="002A2B0E"/>
    <w:rsid w:val="002A2C5F"/>
    <w:rsid w:val="002A2D2A"/>
    <w:rsid w:val="002A2DB6"/>
    <w:rsid w:val="002A2DC6"/>
    <w:rsid w:val="002A2E28"/>
    <w:rsid w:val="002A2E32"/>
    <w:rsid w:val="002A2E61"/>
    <w:rsid w:val="002A2ED3"/>
    <w:rsid w:val="002A2F31"/>
    <w:rsid w:val="002A303F"/>
    <w:rsid w:val="002A3046"/>
    <w:rsid w:val="002A30F3"/>
    <w:rsid w:val="002A30F4"/>
    <w:rsid w:val="002A3116"/>
    <w:rsid w:val="002A3118"/>
    <w:rsid w:val="002A311A"/>
    <w:rsid w:val="002A3188"/>
    <w:rsid w:val="002A31FC"/>
    <w:rsid w:val="002A325F"/>
    <w:rsid w:val="002A3278"/>
    <w:rsid w:val="002A32B2"/>
    <w:rsid w:val="002A33EA"/>
    <w:rsid w:val="002A3440"/>
    <w:rsid w:val="002A3584"/>
    <w:rsid w:val="002A358A"/>
    <w:rsid w:val="002A3595"/>
    <w:rsid w:val="002A35F9"/>
    <w:rsid w:val="002A362B"/>
    <w:rsid w:val="002A36AC"/>
    <w:rsid w:val="002A3734"/>
    <w:rsid w:val="002A3754"/>
    <w:rsid w:val="002A3780"/>
    <w:rsid w:val="002A387D"/>
    <w:rsid w:val="002A38C2"/>
    <w:rsid w:val="002A38DF"/>
    <w:rsid w:val="002A391A"/>
    <w:rsid w:val="002A394C"/>
    <w:rsid w:val="002A397A"/>
    <w:rsid w:val="002A39BC"/>
    <w:rsid w:val="002A39D8"/>
    <w:rsid w:val="002A39F2"/>
    <w:rsid w:val="002A3A3C"/>
    <w:rsid w:val="002A3A4A"/>
    <w:rsid w:val="002A3AAB"/>
    <w:rsid w:val="002A3B2B"/>
    <w:rsid w:val="002A3B60"/>
    <w:rsid w:val="002A3B7D"/>
    <w:rsid w:val="002A3B7E"/>
    <w:rsid w:val="002A3C1B"/>
    <w:rsid w:val="002A3C45"/>
    <w:rsid w:val="002A3CA2"/>
    <w:rsid w:val="002A3D28"/>
    <w:rsid w:val="002A3D61"/>
    <w:rsid w:val="002A3DA5"/>
    <w:rsid w:val="002A3DCD"/>
    <w:rsid w:val="002A3DE1"/>
    <w:rsid w:val="002A3E10"/>
    <w:rsid w:val="002A3E29"/>
    <w:rsid w:val="002A3E63"/>
    <w:rsid w:val="002A3F58"/>
    <w:rsid w:val="002A4007"/>
    <w:rsid w:val="002A4044"/>
    <w:rsid w:val="002A41A3"/>
    <w:rsid w:val="002A42F6"/>
    <w:rsid w:val="002A433E"/>
    <w:rsid w:val="002A434F"/>
    <w:rsid w:val="002A435D"/>
    <w:rsid w:val="002A440E"/>
    <w:rsid w:val="002A4424"/>
    <w:rsid w:val="002A451B"/>
    <w:rsid w:val="002A4537"/>
    <w:rsid w:val="002A455C"/>
    <w:rsid w:val="002A479A"/>
    <w:rsid w:val="002A47CD"/>
    <w:rsid w:val="002A4958"/>
    <w:rsid w:val="002A4A7D"/>
    <w:rsid w:val="002A4B0B"/>
    <w:rsid w:val="002A4BCE"/>
    <w:rsid w:val="002A4C00"/>
    <w:rsid w:val="002A4C1C"/>
    <w:rsid w:val="002A4CA9"/>
    <w:rsid w:val="002A4CC4"/>
    <w:rsid w:val="002A4D3A"/>
    <w:rsid w:val="002A4D7B"/>
    <w:rsid w:val="002A4D9D"/>
    <w:rsid w:val="002A4DB0"/>
    <w:rsid w:val="002A4F0B"/>
    <w:rsid w:val="002A4F13"/>
    <w:rsid w:val="002A4F14"/>
    <w:rsid w:val="002A4F5C"/>
    <w:rsid w:val="002A50ED"/>
    <w:rsid w:val="002A519C"/>
    <w:rsid w:val="002A51DE"/>
    <w:rsid w:val="002A5285"/>
    <w:rsid w:val="002A52AA"/>
    <w:rsid w:val="002A5388"/>
    <w:rsid w:val="002A540F"/>
    <w:rsid w:val="002A5486"/>
    <w:rsid w:val="002A54ED"/>
    <w:rsid w:val="002A5628"/>
    <w:rsid w:val="002A571D"/>
    <w:rsid w:val="002A57C3"/>
    <w:rsid w:val="002A5854"/>
    <w:rsid w:val="002A5883"/>
    <w:rsid w:val="002A588A"/>
    <w:rsid w:val="002A589A"/>
    <w:rsid w:val="002A58D9"/>
    <w:rsid w:val="002A59D4"/>
    <w:rsid w:val="002A5A67"/>
    <w:rsid w:val="002A5A7A"/>
    <w:rsid w:val="002A5C0B"/>
    <w:rsid w:val="002A5C50"/>
    <w:rsid w:val="002A5CAF"/>
    <w:rsid w:val="002A5D0E"/>
    <w:rsid w:val="002A5D4B"/>
    <w:rsid w:val="002A5D5A"/>
    <w:rsid w:val="002A5D9F"/>
    <w:rsid w:val="002A5E32"/>
    <w:rsid w:val="002A5F03"/>
    <w:rsid w:val="002A5F25"/>
    <w:rsid w:val="002A5F26"/>
    <w:rsid w:val="002A5F51"/>
    <w:rsid w:val="002A5F84"/>
    <w:rsid w:val="002A5FA6"/>
    <w:rsid w:val="002A5FBA"/>
    <w:rsid w:val="002A5FD2"/>
    <w:rsid w:val="002A6014"/>
    <w:rsid w:val="002A6055"/>
    <w:rsid w:val="002A611E"/>
    <w:rsid w:val="002A6179"/>
    <w:rsid w:val="002A61DC"/>
    <w:rsid w:val="002A6220"/>
    <w:rsid w:val="002A62DD"/>
    <w:rsid w:val="002A6308"/>
    <w:rsid w:val="002A6318"/>
    <w:rsid w:val="002A6441"/>
    <w:rsid w:val="002A65C1"/>
    <w:rsid w:val="002A65D0"/>
    <w:rsid w:val="002A662D"/>
    <w:rsid w:val="002A66AC"/>
    <w:rsid w:val="002A678B"/>
    <w:rsid w:val="002A679F"/>
    <w:rsid w:val="002A692E"/>
    <w:rsid w:val="002A693D"/>
    <w:rsid w:val="002A696E"/>
    <w:rsid w:val="002A6ADA"/>
    <w:rsid w:val="002A6B72"/>
    <w:rsid w:val="002A6B92"/>
    <w:rsid w:val="002A6BDA"/>
    <w:rsid w:val="002A6BE7"/>
    <w:rsid w:val="002A6C07"/>
    <w:rsid w:val="002A6C21"/>
    <w:rsid w:val="002A6C2B"/>
    <w:rsid w:val="002A6C50"/>
    <w:rsid w:val="002A6C66"/>
    <w:rsid w:val="002A6CC5"/>
    <w:rsid w:val="002A6CC7"/>
    <w:rsid w:val="002A6D31"/>
    <w:rsid w:val="002A6DA0"/>
    <w:rsid w:val="002A6DB3"/>
    <w:rsid w:val="002A6DEF"/>
    <w:rsid w:val="002A6E2C"/>
    <w:rsid w:val="002A6E85"/>
    <w:rsid w:val="002A6EE4"/>
    <w:rsid w:val="002A7012"/>
    <w:rsid w:val="002A7108"/>
    <w:rsid w:val="002A7143"/>
    <w:rsid w:val="002A71D1"/>
    <w:rsid w:val="002A71E0"/>
    <w:rsid w:val="002A7240"/>
    <w:rsid w:val="002A72C0"/>
    <w:rsid w:val="002A7484"/>
    <w:rsid w:val="002A7488"/>
    <w:rsid w:val="002A758F"/>
    <w:rsid w:val="002A75CA"/>
    <w:rsid w:val="002A75D2"/>
    <w:rsid w:val="002A75E2"/>
    <w:rsid w:val="002A7630"/>
    <w:rsid w:val="002A76DC"/>
    <w:rsid w:val="002A7753"/>
    <w:rsid w:val="002A7777"/>
    <w:rsid w:val="002A7976"/>
    <w:rsid w:val="002A7A2E"/>
    <w:rsid w:val="002A7A3C"/>
    <w:rsid w:val="002A7A6B"/>
    <w:rsid w:val="002A7B48"/>
    <w:rsid w:val="002A7B9B"/>
    <w:rsid w:val="002A7BD2"/>
    <w:rsid w:val="002A7CFC"/>
    <w:rsid w:val="002A7D44"/>
    <w:rsid w:val="002A7DBA"/>
    <w:rsid w:val="002A7E3D"/>
    <w:rsid w:val="002A7E52"/>
    <w:rsid w:val="002A7EE1"/>
    <w:rsid w:val="002A7F48"/>
    <w:rsid w:val="002A7F84"/>
    <w:rsid w:val="002B0009"/>
    <w:rsid w:val="002B00C7"/>
    <w:rsid w:val="002B016B"/>
    <w:rsid w:val="002B0172"/>
    <w:rsid w:val="002B0264"/>
    <w:rsid w:val="002B026C"/>
    <w:rsid w:val="002B0346"/>
    <w:rsid w:val="002B046A"/>
    <w:rsid w:val="002B049F"/>
    <w:rsid w:val="002B04B7"/>
    <w:rsid w:val="002B04F5"/>
    <w:rsid w:val="002B05D8"/>
    <w:rsid w:val="002B074C"/>
    <w:rsid w:val="002B0773"/>
    <w:rsid w:val="002B079D"/>
    <w:rsid w:val="002B0844"/>
    <w:rsid w:val="002B084A"/>
    <w:rsid w:val="002B0850"/>
    <w:rsid w:val="002B0851"/>
    <w:rsid w:val="002B0863"/>
    <w:rsid w:val="002B0898"/>
    <w:rsid w:val="002B08A3"/>
    <w:rsid w:val="002B08BB"/>
    <w:rsid w:val="002B08EA"/>
    <w:rsid w:val="002B095F"/>
    <w:rsid w:val="002B09A8"/>
    <w:rsid w:val="002B0A68"/>
    <w:rsid w:val="002B0A6B"/>
    <w:rsid w:val="002B0AD0"/>
    <w:rsid w:val="002B0AE7"/>
    <w:rsid w:val="002B0B4A"/>
    <w:rsid w:val="002B0B93"/>
    <w:rsid w:val="002B0C17"/>
    <w:rsid w:val="002B0CB3"/>
    <w:rsid w:val="002B0CD8"/>
    <w:rsid w:val="002B0DC7"/>
    <w:rsid w:val="002B0EAB"/>
    <w:rsid w:val="002B0EC2"/>
    <w:rsid w:val="002B0EEE"/>
    <w:rsid w:val="002B0EF2"/>
    <w:rsid w:val="002B0F7D"/>
    <w:rsid w:val="002B0FB8"/>
    <w:rsid w:val="002B0FE5"/>
    <w:rsid w:val="002B102A"/>
    <w:rsid w:val="002B1032"/>
    <w:rsid w:val="002B103C"/>
    <w:rsid w:val="002B105E"/>
    <w:rsid w:val="002B10B0"/>
    <w:rsid w:val="002B10DB"/>
    <w:rsid w:val="002B11F4"/>
    <w:rsid w:val="002B11FB"/>
    <w:rsid w:val="002B1231"/>
    <w:rsid w:val="002B12AC"/>
    <w:rsid w:val="002B13E8"/>
    <w:rsid w:val="002B15FB"/>
    <w:rsid w:val="002B161B"/>
    <w:rsid w:val="002B1640"/>
    <w:rsid w:val="002B164A"/>
    <w:rsid w:val="002B1688"/>
    <w:rsid w:val="002B16B4"/>
    <w:rsid w:val="002B1731"/>
    <w:rsid w:val="002B176F"/>
    <w:rsid w:val="002B1797"/>
    <w:rsid w:val="002B17B9"/>
    <w:rsid w:val="002B180E"/>
    <w:rsid w:val="002B187B"/>
    <w:rsid w:val="002B1886"/>
    <w:rsid w:val="002B1AAD"/>
    <w:rsid w:val="002B1AD3"/>
    <w:rsid w:val="002B1BFF"/>
    <w:rsid w:val="002B1C52"/>
    <w:rsid w:val="002B1C85"/>
    <w:rsid w:val="002B1CB9"/>
    <w:rsid w:val="002B1CFD"/>
    <w:rsid w:val="002B1D5D"/>
    <w:rsid w:val="002B1DB7"/>
    <w:rsid w:val="002B1E3C"/>
    <w:rsid w:val="002B1E88"/>
    <w:rsid w:val="002B1EAD"/>
    <w:rsid w:val="002B1EC1"/>
    <w:rsid w:val="002B1F57"/>
    <w:rsid w:val="002B1FED"/>
    <w:rsid w:val="002B212E"/>
    <w:rsid w:val="002B2157"/>
    <w:rsid w:val="002B220B"/>
    <w:rsid w:val="002B2238"/>
    <w:rsid w:val="002B22B1"/>
    <w:rsid w:val="002B2331"/>
    <w:rsid w:val="002B238A"/>
    <w:rsid w:val="002B23AB"/>
    <w:rsid w:val="002B23ED"/>
    <w:rsid w:val="002B2419"/>
    <w:rsid w:val="002B2432"/>
    <w:rsid w:val="002B24AD"/>
    <w:rsid w:val="002B24BA"/>
    <w:rsid w:val="002B24C2"/>
    <w:rsid w:val="002B24C7"/>
    <w:rsid w:val="002B24DA"/>
    <w:rsid w:val="002B2553"/>
    <w:rsid w:val="002B256C"/>
    <w:rsid w:val="002B25C7"/>
    <w:rsid w:val="002B25EF"/>
    <w:rsid w:val="002B2629"/>
    <w:rsid w:val="002B2686"/>
    <w:rsid w:val="002B26D5"/>
    <w:rsid w:val="002B26EE"/>
    <w:rsid w:val="002B272D"/>
    <w:rsid w:val="002B273D"/>
    <w:rsid w:val="002B27ED"/>
    <w:rsid w:val="002B2824"/>
    <w:rsid w:val="002B2936"/>
    <w:rsid w:val="002B29A6"/>
    <w:rsid w:val="002B29DF"/>
    <w:rsid w:val="002B2A9F"/>
    <w:rsid w:val="002B2B2C"/>
    <w:rsid w:val="002B2B7E"/>
    <w:rsid w:val="002B2B89"/>
    <w:rsid w:val="002B2BB0"/>
    <w:rsid w:val="002B2BCA"/>
    <w:rsid w:val="002B2C52"/>
    <w:rsid w:val="002B2C58"/>
    <w:rsid w:val="002B2D20"/>
    <w:rsid w:val="002B2DD0"/>
    <w:rsid w:val="002B2E39"/>
    <w:rsid w:val="002B2E87"/>
    <w:rsid w:val="002B2EA7"/>
    <w:rsid w:val="002B2EEC"/>
    <w:rsid w:val="002B2F96"/>
    <w:rsid w:val="002B2FA5"/>
    <w:rsid w:val="002B2FC6"/>
    <w:rsid w:val="002B300D"/>
    <w:rsid w:val="002B3099"/>
    <w:rsid w:val="002B30A7"/>
    <w:rsid w:val="002B30B1"/>
    <w:rsid w:val="002B30BE"/>
    <w:rsid w:val="002B30DA"/>
    <w:rsid w:val="002B30DD"/>
    <w:rsid w:val="002B30F7"/>
    <w:rsid w:val="002B3128"/>
    <w:rsid w:val="002B3204"/>
    <w:rsid w:val="002B3229"/>
    <w:rsid w:val="002B325E"/>
    <w:rsid w:val="002B32C5"/>
    <w:rsid w:val="002B3383"/>
    <w:rsid w:val="002B33A0"/>
    <w:rsid w:val="002B3414"/>
    <w:rsid w:val="002B3435"/>
    <w:rsid w:val="002B348B"/>
    <w:rsid w:val="002B3701"/>
    <w:rsid w:val="002B3726"/>
    <w:rsid w:val="002B374A"/>
    <w:rsid w:val="002B374B"/>
    <w:rsid w:val="002B375F"/>
    <w:rsid w:val="002B37E3"/>
    <w:rsid w:val="002B380F"/>
    <w:rsid w:val="002B3856"/>
    <w:rsid w:val="002B38B7"/>
    <w:rsid w:val="002B38EC"/>
    <w:rsid w:val="002B38F9"/>
    <w:rsid w:val="002B390B"/>
    <w:rsid w:val="002B3910"/>
    <w:rsid w:val="002B3921"/>
    <w:rsid w:val="002B39F8"/>
    <w:rsid w:val="002B39FE"/>
    <w:rsid w:val="002B3A13"/>
    <w:rsid w:val="002B3AAA"/>
    <w:rsid w:val="002B3B01"/>
    <w:rsid w:val="002B3C2D"/>
    <w:rsid w:val="002B3C64"/>
    <w:rsid w:val="002B3C8B"/>
    <w:rsid w:val="002B3CA3"/>
    <w:rsid w:val="002B3CE7"/>
    <w:rsid w:val="002B3DAD"/>
    <w:rsid w:val="002B3DFA"/>
    <w:rsid w:val="002B3ECF"/>
    <w:rsid w:val="002B3F35"/>
    <w:rsid w:val="002B3FAC"/>
    <w:rsid w:val="002B400C"/>
    <w:rsid w:val="002B4040"/>
    <w:rsid w:val="002B405A"/>
    <w:rsid w:val="002B4094"/>
    <w:rsid w:val="002B40D4"/>
    <w:rsid w:val="002B4131"/>
    <w:rsid w:val="002B419E"/>
    <w:rsid w:val="002B41F4"/>
    <w:rsid w:val="002B4289"/>
    <w:rsid w:val="002B42BB"/>
    <w:rsid w:val="002B42D2"/>
    <w:rsid w:val="002B431C"/>
    <w:rsid w:val="002B4434"/>
    <w:rsid w:val="002B4457"/>
    <w:rsid w:val="002B44A6"/>
    <w:rsid w:val="002B4565"/>
    <w:rsid w:val="002B4648"/>
    <w:rsid w:val="002B4698"/>
    <w:rsid w:val="002B46D0"/>
    <w:rsid w:val="002B4755"/>
    <w:rsid w:val="002B4762"/>
    <w:rsid w:val="002B47A8"/>
    <w:rsid w:val="002B47D9"/>
    <w:rsid w:val="002B47DA"/>
    <w:rsid w:val="002B4812"/>
    <w:rsid w:val="002B48D5"/>
    <w:rsid w:val="002B4906"/>
    <w:rsid w:val="002B4919"/>
    <w:rsid w:val="002B4961"/>
    <w:rsid w:val="002B4A2A"/>
    <w:rsid w:val="002B4A50"/>
    <w:rsid w:val="002B4A69"/>
    <w:rsid w:val="002B4A6F"/>
    <w:rsid w:val="002B4A70"/>
    <w:rsid w:val="002B4B31"/>
    <w:rsid w:val="002B4B4A"/>
    <w:rsid w:val="002B4BD4"/>
    <w:rsid w:val="002B4EDE"/>
    <w:rsid w:val="002B5070"/>
    <w:rsid w:val="002B50BA"/>
    <w:rsid w:val="002B51C4"/>
    <w:rsid w:val="002B51E9"/>
    <w:rsid w:val="002B51F0"/>
    <w:rsid w:val="002B5205"/>
    <w:rsid w:val="002B5207"/>
    <w:rsid w:val="002B5220"/>
    <w:rsid w:val="002B5265"/>
    <w:rsid w:val="002B532D"/>
    <w:rsid w:val="002B53FB"/>
    <w:rsid w:val="002B540B"/>
    <w:rsid w:val="002B541C"/>
    <w:rsid w:val="002B5422"/>
    <w:rsid w:val="002B5431"/>
    <w:rsid w:val="002B54E7"/>
    <w:rsid w:val="002B54F7"/>
    <w:rsid w:val="002B5704"/>
    <w:rsid w:val="002B578B"/>
    <w:rsid w:val="002B57B4"/>
    <w:rsid w:val="002B57BB"/>
    <w:rsid w:val="002B580E"/>
    <w:rsid w:val="002B5953"/>
    <w:rsid w:val="002B5984"/>
    <w:rsid w:val="002B598B"/>
    <w:rsid w:val="002B5A3E"/>
    <w:rsid w:val="002B5AE7"/>
    <w:rsid w:val="002B5D04"/>
    <w:rsid w:val="002B5D36"/>
    <w:rsid w:val="002B5D47"/>
    <w:rsid w:val="002B5D71"/>
    <w:rsid w:val="002B5D8E"/>
    <w:rsid w:val="002B5DCA"/>
    <w:rsid w:val="002B5E31"/>
    <w:rsid w:val="002B5E36"/>
    <w:rsid w:val="002B5E47"/>
    <w:rsid w:val="002B60B8"/>
    <w:rsid w:val="002B60C9"/>
    <w:rsid w:val="002B60DA"/>
    <w:rsid w:val="002B610B"/>
    <w:rsid w:val="002B6157"/>
    <w:rsid w:val="002B6160"/>
    <w:rsid w:val="002B61BD"/>
    <w:rsid w:val="002B6228"/>
    <w:rsid w:val="002B638B"/>
    <w:rsid w:val="002B6464"/>
    <w:rsid w:val="002B64A6"/>
    <w:rsid w:val="002B64B7"/>
    <w:rsid w:val="002B65B1"/>
    <w:rsid w:val="002B65CB"/>
    <w:rsid w:val="002B66B2"/>
    <w:rsid w:val="002B671A"/>
    <w:rsid w:val="002B6739"/>
    <w:rsid w:val="002B6765"/>
    <w:rsid w:val="002B676A"/>
    <w:rsid w:val="002B6826"/>
    <w:rsid w:val="002B6855"/>
    <w:rsid w:val="002B68E6"/>
    <w:rsid w:val="002B6903"/>
    <w:rsid w:val="002B694C"/>
    <w:rsid w:val="002B697C"/>
    <w:rsid w:val="002B6A2F"/>
    <w:rsid w:val="002B6A7E"/>
    <w:rsid w:val="002B6AF5"/>
    <w:rsid w:val="002B6AFA"/>
    <w:rsid w:val="002B6B60"/>
    <w:rsid w:val="002B6B91"/>
    <w:rsid w:val="002B6BA5"/>
    <w:rsid w:val="002B6BF6"/>
    <w:rsid w:val="002B6C6E"/>
    <w:rsid w:val="002B6CD7"/>
    <w:rsid w:val="002B6CF9"/>
    <w:rsid w:val="002B6D01"/>
    <w:rsid w:val="002B6D08"/>
    <w:rsid w:val="002B6D2E"/>
    <w:rsid w:val="002B6D5F"/>
    <w:rsid w:val="002B6E44"/>
    <w:rsid w:val="002B6E84"/>
    <w:rsid w:val="002B6EBD"/>
    <w:rsid w:val="002B6EC5"/>
    <w:rsid w:val="002B6ECC"/>
    <w:rsid w:val="002B6F60"/>
    <w:rsid w:val="002B6F80"/>
    <w:rsid w:val="002B7024"/>
    <w:rsid w:val="002B7029"/>
    <w:rsid w:val="002B7091"/>
    <w:rsid w:val="002B70C9"/>
    <w:rsid w:val="002B7113"/>
    <w:rsid w:val="002B7148"/>
    <w:rsid w:val="002B714C"/>
    <w:rsid w:val="002B7317"/>
    <w:rsid w:val="002B73C2"/>
    <w:rsid w:val="002B73C4"/>
    <w:rsid w:val="002B73C5"/>
    <w:rsid w:val="002B747D"/>
    <w:rsid w:val="002B7597"/>
    <w:rsid w:val="002B76EF"/>
    <w:rsid w:val="002B7714"/>
    <w:rsid w:val="002B77CD"/>
    <w:rsid w:val="002B7893"/>
    <w:rsid w:val="002B79AD"/>
    <w:rsid w:val="002B7A1B"/>
    <w:rsid w:val="002B7AAF"/>
    <w:rsid w:val="002B7ABF"/>
    <w:rsid w:val="002B7B02"/>
    <w:rsid w:val="002B7B04"/>
    <w:rsid w:val="002B7B3B"/>
    <w:rsid w:val="002B7BBB"/>
    <w:rsid w:val="002B7BF2"/>
    <w:rsid w:val="002B7C48"/>
    <w:rsid w:val="002B7C7E"/>
    <w:rsid w:val="002B7CB0"/>
    <w:rsid w:val="002B7CB8"/>
    <w:rsid w:val="002B7D09"/>
    <w:rsid w:val="002B7D61"/>
    <w:rsid w:val="002B7D64"/>
    <w:rsid w:val="002B7DB3"/>
    <w:rsid w:val="002B7DC0"/>
    <w:rsid w:val="002B7DE8"/>
    <w:rsid w:val="002B7E05"/>
    <w:rsid w:val="002B7E53"/>
    <w:rsid w:val="002B7E5A"/>
    <w:rsid w:val="002B7E71"/>
    <w:rsid w:val="002B7ECF"/>
    <w:rsid w:val="002B7EF0"/>
    <w:rsid w:val="002C0048"/>
    <w:rsid w:val="002C0057"/>
    <w:rsid w:val="002C0117"/>
    <w:rsid w:val="002C0118"/>
    <w:rsid w:val="002C0165"/>
    <w:rsid w:val="002C0183"/>
    <w:rsid w:val="002C0247"/>
    <w:rsid w:val="002C0248"/>
    <w:rsid w:val="002C02B4"/>
    <w:rsid w:val="002C02C6"/>
    <w:rsid w:val="002C02E6"/>
    <w:rsid w:val="002C0457"/>
    <w:rsid w:val="002C04B2"/>
    <w:rsid w:val="002C04DD"/>
    <w:rsid w:val="002C04EB"/>
    <w:rsid w:val="002C052B"/>
    <w:rsid w:val="002C05E5"/>
    <w:rsid w:val="002C061B"/>
    <w:rsid w:val="002C0660"/>
    <w:rsid w:val="002C0671"/>
    <w:rsid w:val="002C0695"/>
    <w:rsid w:val="002C06E6"/>
    <w:rsid w:val="002C07A6"/>
    <w:rsid w:val="002C08A9"/>
    <w:rsid w:val="002C08F6"/>
    <w:rsid w:val="002C091E"/>
    <w:rsid w:val="002C0959"/>
    <w:rsid w:val="002C098D"/>
    <w:rsid w:val="002C09EC"/>
    <w:rsid w:val="002C0A0F"/>
    <w:rsid w:val="002C0AB9"/>
    <w:rsid w:val="002C0AFA"/>
    <w:rsid w:val="002C0B05"/>
    <w:rsid w:val="002C0B94"/>
    <w:rsid w:val="002C0BC4"/>
    <w:rsid w:val="002C0CBD"/>
    <w:rsid w:val="002C0D2F"/>
    <w:rsid w:val="002C0DDE"/>
    <w:rsid w:val="002C0E5F"/>
    <w:rsid w:val="002C0E90"/>
    <w:rsid w:val="002C0F67"/>
    <w:rsid w:val="002C0FCE"/>
    <w:rsid w:val="002C1051"/>
    <w:rsid w:val="002C107D"/>
    <w:rsid w:val="002C10B0"/>
    <w:rsid w:val="002C1102"/>
    <w:rsid w:val="002C126D"/>
    <w:rsid w:val="002C127E"/>
    <w:rsid w:val="002C12A6"/>
    <w:rsid w:val="002C13D7"/>
    <w:rsid w:val="002C14B1"/>
    <w:rsid w:val="002C15D0"/>
    <w:rsid w:val="002C17D4"/>
    <w:rsid w:val="002C1823"/>
    <w:rsid w:val="002C1851"/>
    <w:rsid w:val="002C196B"/>
    <w:rsid w:val="002C197F"/>
    <w:rsid w:val="002C1988"/>
    <w:rsid w:val="002C1CED"/>
    <w:rsid w:val="002C1DC7"/>
    <w:rsid w:val="002C1E05"/>
    <w:rsid w:val="002C1E31"/>
    <w:rsid w:val="002C1E3F"/>
    <w:rsid w:val="002C1EA6"/>
    <w:rsid w:val="002C1F49"/>
    <w:rsid w:val="002C1F60"/>
    <w:rsid w:val="002C1F91"/>
    <w:rsid w:val="002C1FC2"/>
    <w:rsid w:val="002C1FF6"/>
    <w:rsid w:val="002C2073"/>
    <w:rsid w:val="002C20E3"/>
    <w:rsid w:val="002C20EB"/>
    <w:rsid w:val="002C20F1"/>
    <w:rsid w:val="002C2129"/>
    <w:rsid w:val="002C213E"/>
    <w:rsid w:val="002C2142"/>
    <w:rsid w:val="002C21E3"/>
    <w:rsid w:val="002C2210"/>
    <w:rsid w:val="002C2270"/>
    <w:rsid w:val="002C22AB"/>
    <w:rsid w:val="002C22F6"/>
    <w:rsid w:val="002C2357"/>
    <w:rsid w:val="002C23DC"/>
    <w:rsid w:val="002C23EF"/>
    <w:rsid w:val="002C259C"/>
    <w:rsid w:val="002C262A"/>
    <w:rsid w:val="002C265F"/>
    <w:rsid w:val="002C26C8"/>
    <w:rsid w:val="002C2714"/>
    <w:rsid w:val="002C2741"/>
    <w:rsid w:val="002C27D2"/>
    <w:rsid w:val="002C280E"/>
    <w:rsid w:val="002C2880"/>
    <w:rsid w:val="002C28A5"/>
    <w:rsid w:val="002C28A9"/>
    <w:rsid w:val="002C293F"/>
    <w:rsid w:val="002C297C"/>
    <w:rsid w:val="002C29DA"/>
    <w:rsid w:val="002C2A72"/>
    <w:rsid w:val="002C2A7A"/>
    <w:rsid w:val="002C2A7C"/>
    <w:rsid w:val="002C2A8A"/>
    <w:rsid w:val="002C2AC6"/>
    <w:rsid w:val="002C2AE4"/>
    <w:rsid w:val="002C2C17"/>
    <w:rsid w:val="002C2C23"/>
    <w:rsid w:val="002C2C6C"/>
    <w:rsid w:val="002C2CFA"/>
    <w:rsid w:val="002C2D1E"/>
    <w:rsid w:val="002C2D8F"/>
    <w:rsid w:val="002C2DA0"/>
    <w:rsid w:val="002C2E15"/>
    <w:rsid w:val="002C2EE8"/>
    <w:rsid w:val="002C2F8D"/>
    <w:rsid w:val="002C3051"/>
    <w:rsid w:val="002C308D"/>
    <w:rsid w:val="002C30C6"/>
    <w:rsid w:val="002C30CC"/>
    <w:rsid w:val="002C3142"/>
    <w:rsid w:val="002C318C"/>
    <w:rsid w:val="002C3197"/>
    <w:rsid w:val="002C3200"/>
    <w:rsid w:val="002C3266"/>
    <w:rsid w:val="002C32A5"/>
    <w:rsid w:val="002C3339"/>
    <w:rsid w:val="002C3387"/>
    <w:rsid w:val="002C33EE"/>
    <w:rsid w:val="002C3406"/>
    <w:rsid w:val="002C3423"/>
    <w:rsid w:val="002C343A"/>
    <w:rsid w:val="002C3543"/>
    <w:rsid w:val="002C358D"/>
    <w:rsid w:val="002C35CE"/>
    <w:rsid w:val="002C35D4"/>
    <w:rsid w:val="002C35DA"/>
    <w:rsid w:val="002C3638"/>
    <w:rsid w:val="002C3667"/>
    <w:rsid w:val="002C3715"/>
    <w:rsid w:val="002C3746"/>
    <w:rsid w:val="002C3799"/>
    <w:rsid w:val="002C386C"/>
    <w:rsid w:val="002C38D4"/>
    <w:rsid w:val="002C3914"/>
    <w:rsid w:val="002C3950"/>
    <w:rsid w:val="002C39AF"/>
    <w:rsid w:val="002C39C1"/>
    <w:rsid w:val="002C39C5"/>
    <w:rsid w:val="002C39E6"/>
    <w:rsid w:val="002C3A18"/>
    <w:rsid w:val="002C3A19"/>
    <w:rsid w:val="002C3A1A"/>
    <w:rsid w:val="002C3AA1"/>
    <w:rsid w:val="002C3B27"/>
    <w:rsid w:val="002C3B57"/>
    <w:rsid w:val="002C3B5D"/>
    <w:rsid w:val="002C3B66"/>
    <w:rsid w:val="002C3BCC"/>
    <w:rsid w:val="002C3BD0"/>
    <w:rsid w:val="002C3C99"/>
    <w:rsid w:val="002C3CDF"/>
    <w:rsid w:val="002C3D09"/>
    <w:rsid w:val="002C3D12"/>
    <w:rsid w:val="002C3D45"/>
    <w:rsid w:val="002C3D64"/>
    <w:rsid w:val="002C3D65"/>
    <w:rsid w:val="002C3DED"/>
    <w:rsid w:val="002C3E40"/>
    <w:rsid w:val="002C3EFB"/>
    <w:rsid w:val="002C3F17"/>
    <w:rsid w:val="002C3FD0"/>
    <w:rsid w:val="002C4023"/>
    <w:rsid w:val="002C4033"/>
    <w:rsid w:val="002C403F"/>
    <w:rsid w:val="002C4064"/>
    <w:rsid w:val="002C4125"/>
    <w:rsid w:val="002C4257"/>
    <w:rsid w:val="002C42A1"/>
    <w:rsid w:val="002C431B"/>
    <w:rsid w:val="002C4326"/>
    <w:rsid w:val="002C43C2"/>
    <w:rsid w:val="002C4475"/>
    <w:rsid w:val="002C44F7"/>
    <w:rsid w:val="002C4517"/>
    <w:rsid w:val="002C4564"/>
    <w:rsid w:val="002C45F5"/>
    <w:rsid w:val="002C465B"/>
    <w:rsid w:val="002C4663"/>
    <w:rsid w:val="002C46BD"/>
    <w:rsid w:val="002C46E0"/>
    <w:rsid w:val="002C470F"/>
    <w:rsid w:val="002C472A"/>
    <w:rsid w:val="002C473B"/>
    <w:rsid w:val="002C47A7"/>
    <w:rsid w:val="002C4876"/>
    <w:rsid w:val="002C48D5"/>
    <w:rsid w:val="002C48E0"/>
    <w:rsid w:val="002C4906"/>
    <w:rsid w:val="002C491F"/>
    <w:rsid w:val="002C4AC4"/>
    <w:rsid w:val="002C4C54"/>
    <w:rsid w:val="002C4DA4"/>
    <w:rsid w:val="002C4DD6"/>
    <w:rsid w:val="002C4E0E"/>
    <w:rsid w:val="002C4E77"/>
    <w:rsid w:val="002C4FB2"/>
    <w:rsid w:val="002C4FCD"/>
    <w:rsid w:val="002C501C"/>
    <w:rsid w:val="002C5046"/>
    <w:rsid w:val="002C5064"/>
    <w:rsid w:val="002C5198"/>
    <w:rsid w:val="002C521A"/>
    <w:rsid w:val="002C5241"/>
    <w:rsid w:val="002C5244"/>
    <w:rsid w:val="002C525A"/>
    <w:rsid w:val="002C52CE"/>
    <w:rsid w:val="002C52FF"/>
    <w:rsid w:val="002C533A"/>
    <w:rsid w:val="002C534C"/>
    <w:rsid w:val="002C539B"/>
    <w:rsid w:val="002C53A7"/>
    <w:rsid w:val="002C53BB"/>
    <w:rsid w:val="002C549B"/>
    <w:rsid w:val="002C54CF"/>
    <w:rsid w:val="002C54D0"/>
    <w:rsid w:val="002C556B"/>
    <w:rsid w:val="002C55AD"/>
    <w:rsid w:val="002C55EF"/>
    <w:rsid w:val="002C566A"/>
    <w:rsid w:val="002C56A7"/>
    <w:rsid w:val="002C56C1"/>
    <w:rsid w:val="002C5728"/>
    <w:rsid w:val="002C5830"/>
    <w:rsid w:val="002C58A2"/>
    <w:rsid w:val="002C58AF"/>
    <w:rsid w:val="002C59BD"/>
    <w:rsid w:val="002C5A3F"/>
    <w:rsid w:val="002C5A7B"/>
    <w:rsid w:val="002C5A9F"/>
    <w:rsid w:val="002C5AC6"/>
    <w:rsid w:val="002C5B5D"/>
    <w:rsid w:val="002C5BB7"/>
    <w:rsid w:val="002C5BE5"/>
    <w:rsid w:val="002C5C0A"/>
    <w:rsid w:val="002C5C9F"/>
    <w:rsid w:val="002C5D24"/>
    <w:rsid w:val="002C5D9D"/>
    <w:rsid w:val="002C5E61"/>
    <w:rsid w:val="002C5EA8"/>
    <w:rsid w:val="002C5EE6"/>
    <w:rsid w:val="002C5EE9"/>
    <w:rsid w:val="002C5F66"/>
    <w:rsid w:val="002C6253"/>
    <w:rsid w:val="002C62EB"/>
    <w:rsid w:val="002C635E"/>
    <w:rsid w:val="002C6427"/>
    <w:rsid w:val="002C6526"/>
    <w:rsid w:val="002C6532"/>
    <w:rsid w:val="002C655F"/>
    <w:rsid w:val="002C65AC"/>
    <w:rsid w:val="002C6608"/>
    <w:rsid w:val="002C66F1"/>
    <w:rsid w:val="002C6723"/>
    <w:rsid w:val="002C6735"/>
    <w:rsid w:val="002C679A"/>
    <w:rsid w:val="002C67AC"/>
    <w:rsid w:val="002C67C2"/>
    <w:rsid w:val="002C67D0"/>
    <w:rsid w:val="002C67DB"/>
    <w:rsid w:val="002C6876"/>
    <w:rsid w:val="002C6927"/>
    <w:rsid w:val="002C692B"/>
    <w:rsid w:val="002C699B"/>
    <w:rsid w:val="002C69B2"/>
    <w:rsid w:val="002C6A16"/>
    <w:rsid w:val="002C6AAA"/>
    <w:rsid w:val="002C6B21"/>
    <w:rsid w:val="002C6BB0"/>
    <w:rsid w:val="002C6C26"/>
    <w:rsid w:val="002C6C3C"/>
    <w:rsid w:val="002C6E80"/>
    <w:rsid w:val="002C6ED0"/>
    <w:rsid w:val="002C6EDC"/>
    <w:rsid w:val="002C6EE5"/>
    <w:rsid w:val="002C6F91"/>
    <w:rsid w:val="002C6FDD"/>
    <w:rsid w:val="002C705A"/>
    <w:rsid w:val="002C7060"/>
    <w:rsid w:val="002C70E0"/>
    <w:rsid w:val="002C70EE"/>
    <w:rsid w:val="002C71C1"/>
    <w:rsid w:val="002C71FB"/>
    <w:rsid w:val="002C7220"/>
    <w:rsid w:val="002C7235"/>
    <w:rsid w:val="002C725E"/>
    <w:rsid w:val="002C728C"/>
    <w:rsid w:val="002C72CA"/>
    <w:rsid w:val="002C72FB"/>
    <w:rsid w:val="002C7317"/>
    <w:rsid w:val="002C73BD"/>
    <w:rsid w:val="002C7427"/>
    <w:rsid w:val="002C7569"/>
    <w:rsid w:val="002C7677"/>
    <w:rsid w:val="002C7760"/>
    <w:rsid w:val="002C792B"/>
    <w:rsid w:val="002C7931"/>
    <w:rsid w:val="002C797E"/>
    <w:rsid w:val="002C7A62"/>
    <w:rsid w:val="002C7B5D"/>
    <w:rsid w:val="002C7B95"/>
    <w:rsid w:val="002C7C49"/>
    <w:rsid w:val="002C7CBA"/>
    <w:rsid w:val="002C7D02"/>
    <w:rsid w:val="002C7D07"/>
    <w:rsid w:val="002C7D45"/>
    <w:rsid w:val="002C7D59"/>
    <w:rsid w:val="002C7D9D"/>
    <w:rsid w:val="002C7DC9"/>
    <w:rsid w:val="002C7E1C"/>
    <w:rsid w:val="002C7EBB"/>
    <w:rsid w:val="002C7ED8"/>
    <w:rsid w:val="002C7F15"/>
    <w:rsid w:val="002C7F3E"/>
    <w:rsid w:val="002D0091"/>
    <w:rsid w:val="002D00FC"/>
    <w:rsid w:val="002D0123"/>
    <w:rsid w:val="002D0247"/>
    <w:rsid w:val="002D0250"/>
    <w:rsid w:val="002D026E"/>
    <w:rsid w:val="002D0287"/>
    <w:rsid w:val="002D02C4"/>
    <w:rsid w:val="002D0354"/>
    <w:rsid w:val="002D0357"/>
    <w:rsid w:val="002D044B"/>
    <w:rsid w:val="002D0492"/>
    <w:rsid w:val="002D04FF"/>
    <w:rsid w:val="002D0505"/>
    <w:rsid w:val="002D054C"/>
    <w:rsid w:val="002D0553"/>
    <w:rsid w:val="002D05B3"/>
    <w:rsid w:val="002D05DC"/>
    <w:rsid w:val="002D05E7"/>
    <w:rsid w:val="002D06A5"/>
    <w:rsid w:val="002D071D"/>
    <w:rsid w:val="002D0780"/>
    <w:rsid w:val="002D07F5"/>
    <w:rsid w:val="002D0801"/>
    <w:rsid w:val="002D086A"/>
    <w:rsid w:val="002D0888"/>
    <w:rsid w:val="002D08D2"/>
    <w:rsid w:val="002D08E5"/>
    <w:rsid w:val="002D08E8"/>
    <w:rsid w:val="002D0901"/>
    <w:rsid w:val="002D09B9"/>
    <w:rsid w:val="002D09BE"/>
    <w:rsid w:val="002D09F6"/>
    <w:rsid w:val="002D0A3E"/>
    <w:rsid w:val="002D0AC7"/>
    <w:rsid w:val="002D0AD4"/>
    <w:rsid w:val="002D0B05"/>
    <w:rsid w:val="002D0B33"/>
    <w:rsid w:val="002D0B3B"/>
    <w:rsid w:val="002D0BAC"/>
    <w:rsid w:val="002D0BE1"/>
    <w:rsid w:val="002D0BF4"/>
    <w:rsid w:val="002D0C47"/>
    <w:rsid w:val="002D0C84"/>
    <w:rsid w:val="002D0D1A"/>
    <w:rsid w:val="002D0D25"/>
    <w:rsid w:val="002D0E84"/>
    <w:rsid w:val="002D1061"/>
    <w:rsid w:val="002D10A7"/>
    <w:rsid w:val="002D1104"/>
    <w:rsid w:val="002D11A1"/>
    <w:rsid w:val="002D11A8"/>
    <w:rsid w:val="002D11D7"/>
    <w:rsid w:val="002D11FE"/>
    <w:rsid w:val="002D1234"/>
    <w:rsid w:val="002D138A"/>
    <w:rsid w:val="002D13F3"/>
    <w:rsid w:val="002D141E"/>
    <w:rsid w:val="002D1493"/>
    <w:rsid w:val="002D14F0"/>
    <w:rsid w:val="002D14FF"/>
    <w:rsid w:val="002D1522"/>
    <w:rsid w:val="002D1641"/>
    <w:rsid w:val="002D1646"/>
    <w:rsid w:val="002D16BE"/>
    <w:rsid w:val="002D173A"/>
    <w:rsid w:val="002D17C0"/>
    <w:rsid w:val="002D18CA"/>
    <w:rsid w:val="002D18D9"/>
    <w:rsid w:val="002D1908"/>
    <w:rsid w:val="002D193B"/>
    <w:rsid w:val="002D19AE"/>
    <w:rsid w:val="002D19C3"/>
    <w:rsid w:val="002D19CD"/>
    <w:rsid w:val="002D1A19"/>
    <w:rsid w:val="002D1B3D"/>
    <w:rsid w:val="002D1B78"/>
    <w:rsid w:val="002D1B79"/>
    <w:rsid w:val="002D1B9D"/>
    <w:rsid w:val="002D1BD7"/>
    <w:rsid w:val="002D1C60"/>
    <w:rsid w:val="002D1C66"/>
    <w:rsid w:val="002D1C73"/>
    <w:rsid w:val="002D1C85"/>
    <w:rsid w:val="002D1CB8"/>
    <w:rsid w:val="002D1CDC"/>
    <w:rsid w:val="002D1D0B"/>
    <w:rsid w:val="002D1D1C"/>
    <w:rsid w:val="002D1D64"/>
    <w:rsid w:val="002D1E04"/>
    <w:rsid w:val="002D1E0C"/>
    <w:rsid w:val="002D1E8D"/>
    <w:rsid w:val="002D1F1C"/>
    <w:rsid w:val="002D1F43"/>
    <w:rsid w:val="002D1F58"/>
    <w:rsid w:val="002D1FB3"/>
    <w:rsid w:val="002D1FC4"/>
    <w:rsid w:val="002D1FD8"/>
    <w:rsid w:val="002D20B6"/>
    <w:rsid w:val="002D20CF"/>
    <w:rsid w:val="002D216D"/>
    <w:rsid w:val="002D2187"/>
    <w:rsid w:val="002D21EF"/>
    <w:rsid w:val="002D21FD"/>
    <w:rsid w:val="002D2202"/>
    <w:rsid w:val="002D225A"/>
    <w:rsid w:val="002D225D"/>
    <w:rsid w:val="002D2280"/>
    <w:rsid w:val="002D22B2"/>
    <w:rsid w:val="002D22D8"/>
    <w:rsid w:val="002D2318"/>
    <w:rsid w:val="002D232B"/>
    <w:rsid w:val="002D2351"/>
    <w:rsid w:val="002D23D4"/>
    <w:rsid w:val="002D23D6"/>
    <w:rsid w:val="002D240C"/>
    <w:rsid w:val="002D2469"/>
    <w:rsid w:val="002D2494"/>
    <w:rsid w:val="002D249E"/>
    <w:rsid w:val="002D24E4"/>
    <w:rsid w:val="002D2523"/>
    <w:rsid w:val="002D255E"/>
    <w:rsid w:val="002D2592"/>
    <w:rsid w:val="002D25ED"/>
    <w:rsid w:val="002D2643"/>
    <w:rsid w:val="002D26AA"/>
    <w:rsid w:val="002D26B2"/>
    <w:rsid w:val="002D2748"/>
    <w:rsid w:val="002D2762"/>
    <w:rsid w:val="002D277D"/>
    <w:rsid w:val="002D2790"/>
    <w:rsid w:val="002D27BB"/>
    <w:rsid w:val="002D27CB"/>
    <w:rsid w:val="002D28A0"/>
    <w:rsid w:val="002D2902"/>
    <w:rsid w:val="002D2911"/>
    <w:rsid w:val="002D2946"/>
    <w:rsid w:val="002D2983"/>
    <w:rsid w:val="002D29D0"/>
    <w:rsid w:val="002D29F0"/>
    <w:rsid w:val="002D2A10"/>
    <w:rsid w:val="002D2B26"/>
    <w:rsid w:val="002D2BBC"/>
    <w:rsid w:val="002D2C08"/>
    <w:rsid w:val="002D2D0D"/>
    <w:rsid w:val="002D2D68"/>
    <w:rsid w:val="002D2ED6"/>
    <w:rsid w:val="002D2F08"/>
    <w:rsid w:val="002D2F17"/>
    <w:rsid w:val="002D300D"/>
    <w:rsid w:val="002D302D"/>
    <w:rsid w:val="002D3166"/>
    <w:rsid w:val="002D3181"/>
    <w:rsid w:val="002D31C5"/>
    <w:rsid w:val="002D323D"/>
    <w:rsid w:val="002D3240"/>
    <w:rsid w:val="002D3271"/>
    <w:rsid w:val="002D3273"/>
    <w:rsid w:val="002D3286"/>
    <w:rsid w:val="002D32C6"/>
    <w:rsid w:val="002D3363"/>
    <w:rsid w:val="002D3381"/>
    <w:rsid w:val="002D3408"/>
    <w:rsid w:val="002D342B"/>
    <w:rsid w:val="002D34C5"/>
    <w:rsid w:val="002D3519"/>
    <w:rsid w:val="002D3573"/>
    <w:rsid w:val="002D361F"/>
    <w:rsid w:val="002D3635"/>
    <w:rsid w:val="002D379C"/>
    <w:rsid w:val="002D37A8"/>
    <w:rsid w:val="002D3813"/>
    <w:rsid w:val="002D382A"/>
    <w:rsid w:val="002D389D"/>
    <w:rsid w:val="002D39A4"/>
    <w:rsid w:val="002D39AC"/>
    <w:rsid w:val="002D39EF"/>
    <w:rsid w:val="002D3AA2"/>
    <w:rsid w:val="002D3AD3"/>
    <w:rsid w:val="002D3ADD"/>
    <w:rsid w:val="002D3B04"/>
    <w:rsid w:val="002D3B0B"/>
    <w:rsid w:val="002D3B1E"/>
    <w:rsid w:val="002D3BBB"/>
    <w:rsid w:val="002D3BE8"/>
    <w:rsid w:val="002D3C3F"/>
    <w:rsid w:val="002D3C6A"/>
    <w:rsid w:val="002D3D04"/>
    <w:rsid w:val="002D3DA9"/>
    <w:rsid w:val="002D3E08"/>
    <w:rsid w:val="002D3E4E"/>
    <w:rsid w:val="002D3E63"/>
    <w:rsid w:val="002D3F7A"/>
    <w:rsid w:val="002D3FA3"/>
    <w:rsid w:val="002D3FD4"/>
    <w:rsid w:val="002D3FDF"/>
    <w:rsid w:val="002D401B"/>
    <w:rsid w:val="002D407C"/>
    <w:rsid w:val="002D4086"/>
    <w:rsid w:val="002D40A2"/>
    <w:rsid w:val="002D40A3"/>
    <w:rsid w:val="002D40B4"/>
    <w:rsid w:val="002D410E"/>
    <w:rsid w:val="002D41C4"/>
    <w:rsid w:val="002D41D1"/>
    <w:rsid w:val="002D4280"/>
    <w:rsid w:val="002D428F"/>
    <w:rsid w:val="002D42CE"/>
    <w:rsid w:val="002D4330"/>
    <w:rsid w:val="002D4331"/>
    <w:rsid w:val="002D4333"/>
    <w:rsid w:val="002D4363"/>
    <w:rsid w:val="002D4453"/>
    <w:rsid w:val="002D44A6"/>
    <w:rsid w:val="002D44E3"/>
    <w:rsid w:val="002D4523"/>
    <w:rsid w:val="002D4586"/>
    <w:rsid w:val="002D45C7"/>
    <w:rsid w:val="002D45F5"/>
    <w:rsid w:val="002D4615"/>
    <w:rsid w:val="002D4627"/>
    <w:rsid w:val="002D466B"/>
    <w:rsid w:val="002D469B"/>
    <w:rsid w:val="002D46AD"/>
    <w:rsid w:val="002D473B"/>
    <w:rsid w:val="002D477F"/>
    <w:rsid w:val="002D4793"/>
    <w:rsid w:val="002D47FC"/>
    <w:rsid w:val="002D4808"/>
    <w:rsid w:val="002D487A"/>
    <w:rsid w:val="002D4895"/>
    <w:rsid w:val="002D4898"/>
    <w:rsid w:val="002D497A"/>
    <w:rsid w:val="002D4A09"/>
    <w:rsid w:val="002D4A57"/>
    <w:rsid w:val="002D4A86"/>
    <w:rsid w:val="002D4B01"/>
    <w:rsid w:val="002D4B34"/>
    <w:rsid w:val="002D4B6F"/>
    <w:rsid w:val="002D4D1D"/>
    <w:rsid w:val="002D4DDB"/>
    <w:rsid w:val="002D4E4D"/>
    <w:rsid w:val="002D4E8E"/>
    <w:rsid w:val="002D4F87"/>
    <w:rsid w:val="002D4F8E"/>
    <w:rsid w:val="002D4FE8"/>
    <w:rsid w:val="002D50C4"/>
    <w:rsid w:val="002D510E"/>
    <w:rsid w:val="002D517E"/>
    <w:rsid w:val="002D51EB"/>
    <w:rsid w:val="002D5204"/>
    <w:rsid w:val="002D5213"/>
    <w:rsid w:val="002D5283"/>
    <w:rsid w:val="002D5313"/>
    <w:rsid w:val="002D535C"/>
    <w:rsid w:val="002D5370"/>
    <w:rsid w:val="002D53A7"/>
    <w:rsid w:val="002D53B5"/>
    <w:rsid w:val="002D5448"/>
    <w:rsid w:val="002D547C"/>
    <w:rsid w:val="002D5490"/>
    <w:rsid w:val="002D54BE"/>
    <w:rsid w:val="002D54BF"/>
    <w:rsid w:val="002D54D3"/>
    <w:rsid w:val="002D558D"/>
    <w:rsid w:val="002D55BA"/>
    <w:rsid w:val="002D55D0"/>
    <w:rsid w:val="002D55DE"/>
    <w:rsid w:val="002D55E4"/>
    <w:rsid w:val="002D55F6"/>
    <w:rsid w:val="002D57BD"/>
    <w:rsid w:val="002D582F"/>
    <w:rsid w:val="002D584E"/>
    <w:rsid w:val="002D5851"/>
    <w:rsid w:val="002D5912"/>
    <w:rsid w:val="002D5993"/>
    <w:rsid w:val="002D59AF"/>
    <w:rsid w:val="002D59D2"/>
    <w:rsid w:val="002D5A0D"/>
    <w:rsid w:val="002D5A2C"/>
    <w:rsid w:val="002D5A3A"/>
    <w:rsid w:val="002D5A67"/>
    <w:rsid w:val="002D5AE9"/>
    <w:rsid w:val="002D5B6A"/>
    <w:rsid w:val="002D5B78"/>
    <w:rsid w:val="002D5BE3"/>
    <w:rsid w:val="002D5C4A"/>
    <w:rsid w:val="002D5D28"/>
    <w:rsid w:val="002D5E1A"/>
    <w:rsid w:val="002D5EB6"/>
    <w:rsid w:val="002D5FFB"/>
    <w:rsid w:val="002D6037"/>
    <w:rsid w:val="002D6060"/>
    <w:rsid w:val="002D60D3"/>
    <w:rsid w:val="002D60F0"/>
    <w:rsid w:val="002D610A"/>
    <w:rsid w:val="002D6123"/>
    <w:rsid w:val="002D6131"/>
    <w:rsid w:val="002D613A"/>
    <w:rsid w:val="002D61F6"/>
    <w:rsid w:val="002D620D"/>
    <w:rsid w:val="002D6273"/>
    <w:rsid w:val="002D6285"/>
    <w:rsid w:val="002D62F2"/>
    <w:rsid w:val="002D6358"/>
    <w:rsid w:val="002D639F"/>
    <w:rsid w:val="002D6517"/>
    <w:rsid w:val="002D6526"/>
    <w:rsid w:val="002D662D"/>
    <w:rsid w:val="002D6639"/>
    <w:rsid w:val="002D66E1"/>
    <w:rsid w:val="002D678E"/>
    <w:rsid w:val="002D6846"/>
    <w:rsid w:val="002D6964"/>
    <w:rsid w:val="002D6971"/>
    <w:rsid w:val="002D69C3"/>
    <w:rsid w:val="002D6A1D"/>
    <w:rsid w:val="002D6A63"/>
    <w:rsid w:val="002D6A80"/>
    <w:rsid w:val="002D6B59"/>
    <w:rsid w:val="002D6B8A"/>
    <w:rsid w:val="002D6BB0"/>
    <w:rsid w:val="002D6C16"/>
    <w:rsid w:val="002D6C5B"/>
    <w:rsid w:val="002D6C7E"/>
    <w:rsid w:val="002D6CAB"/>
    <w:rsid w:val="002D6D95"/>
    <w:rsid w:val="002D6DC8"/>
    <w:rsid w:val="002D6E3A"/>
    <w:rsid w:val="002D6E3D"/>
    <w:rsid w:val="002D6E8C"/>
    <w:rsid w:val="002D6E9D"/>
    <w:rsid w:val="002D6EEC"/>
    <w:rsid w:val="002D6F0D"/>
    <w:rsid w:val="002D6F21"/>
    <w:rsid w:val="002D6F32"/>
    <w:rsid w:val="002D6F67"/>
    <w:rsid w:val="002D7042"/>
    <w:rsid w:val="002D7044"/>
    <w:rsid w:val="002D71A2"/>
    <w:rsid w:val="002D71D0"/>
    <w:rsid w:val="002D7289"/>
    <w:rsid w:val="002D72A1"/>
    <w:rsid w:val="002D733A"/>
    <w:rsid w:val="002D7388"/>
    <w:rsid w:val="002D73EF"/>
    <w:rsid w:val="002D7418"/>
    <w:rsid w:val="002D746F"/>
    <w:rsid w:val="002D749F"/>
    <w:rsid w:val="002D7514"/>
    <w:rsid w:val="002D7525"/>
    <w:rsid w:val="002D7528"/>
    <w:rsid w:val="002D754E"/>
    <w:rsid w:val="002D781C"/>
    <w:rsid w:val="002D788F"/>
    <w:rsid w:val="002D79C9"/>
    <w:rsid w:val="002D7A0A"/>
    <w:rsid w:val="002D7A4B"/>
    <w:rsid w:val="002D7A64"/>
    <w:rsid w:val="002D7A85"/>
    <w:rsid w:val="002D7ACE"/>
    <w:rsid w:val="002D7B6A"/>
    <w:rsid w:val="002D7CA7"/>
    <w:rsid w:val="002D7D9F"/>
    <w:rsid w:val="002D7DB4"/>
    <w:rsid w:val="002D7E06"/>
    <w:rsid w:val="002D7E3F"/>
    <w:rsid w:val="002D7E7B"/>
    <w:rsid w:val="002D7E8E"/>
    <w:rsid w:val="002D7EAD"/>
    <w:rsid w:val="002D7EC0"/>
    <w:rsid w:val="002D7ED3"/>
    <w:rsid w:val="002D7EF5"/>
    <w:rsid w:val="002D7F20"/>
    <w:rsid w:val="002D9F8B"/>
    <w:rsid w:val="002E003C"/>
    <w:rsid w:val="002E0074"/>
    <w:rsid w:val="002E00A8"/>
    <w:rsid w:val="002E0128"/>
    <w:rsid w:val="002E019F"/>
    <w:rsid w:val="002E0229"/>
    <w:rsid w:val="002E025C"/>
    <w:rsid w:val="002E02B2"/>
    <w:rsid w:val="002E02EC"/>
    <w:rsid w:val="002E032C"/>
    <w:rsid w:val="002E032F"/>
    <w:rsid w:val="002E045D"/>
    <w:rsid w:val="002E045E"/>
    <w:rsid w:val="002E0466"/>
    <w:rsid w:val="002E0482"/>
    <w:rsid w:val="002E048A"/>
    <w:rsid w:val="002E04F9"/>
    <w:rsid w:val="002E0557"/>
    <w:rsid w:val="002E05AC"/>
    <w:rsid w:val="002E05CD"/>
    <w:rsid w:val="002E05D9"/>
    <w:rsid w:val="002E05EA"/>
    <w:rsid w:val="002E0684"/>
    <w:rsid w:val="002E06C7"/>
    <w:rsid w:val="002E073F"/>
    <w:rsid w:val="002E079F"/>
    <w:rsid w:val="002E07A0"/>
    <w:rsid w:val="002E07B2"/>
    <w:rsid w:val="002E07EF"/>
    <w:rsid w:val="002E0801"/>
    <w:rsid w:val="002E082A"/>
    <w:rsid w:val="002E09B5"/>
    <w:rsid w:val="002E09E8"/>
    <w:rsid w:val="002E0B0C"/>
    <w:rsid w:val="002E0B57"/>
    <w:rsid w:val="002E0B8B"/>
    <w:rsid w:val="002E0BB9"/>
    <w:rsid w:val="002E0C1E"/>
    <w:rsid w:val="002E0C74"/>
    <w:rsid w:val="002E0DCC"/>
    <w:rsid w:val="002E0DE4"/>
    <w:rsid w:val="002E0E75"/>
    <w:rsid w:val="002E0E80"/>
    <w:rsid w:val="002E0EBC"/>
    <w:rsid w:val="002E0EBF"/>
    <w:rsid w:val="002E100D"/>
    <w:rsid w:val="002E1026"/>
    <w:rsid w:val="002E103D"/>
    <w:rsid w:val="002E105C"/>
    <w:rsid w:val="002E1064"/>
    <w:rsid w:val="002E10CD"/>
    <w:rsid w:val="002E10DC"/>
    <w:rsid w:val="002E114E"/>
    <w:rsid w:val="002E11DD"/>
    <w:rsid w:val="002E127C"/>
    <w:rsid w:val="002E12F5"/>
    <w:rsid w:val="002E1339"/>
    <w:rsid w:val="002E1357"/>
    <w:rsid w:val="002E135A"/>
    <w:rsid w:val="002E1372"/>
    <w:rsid w:val="002E1376"/>
    <w:rsid w:val="002E1390"/>
    <w:rsid w:val="002E13F8"/>
    <w:rsid w:val="002E144D"/>
    <w:rsid w:val="002E147C"/>
    <w:rsid w:val="002E14AB"/>
    <w:rsid w:val="002E1615"/>
    <w:rsid w:val="002E164B"/>
    <w:rsid w:val="002E16FD"/>
    <w:rsid w:val="002E17B9"/>
    <w:rsid w:val="002E17C1"/>
    <w:rsid w:val="002E189C"/>
    <w:rsid w:val="002E18E3"/>
    <w:rsid w:val="002E192B"/>
    <w:rsid w:val="002E193C"/>
    <w:rsid w:val="002E194F"/>
    <w:rsid w:val="002E1965"/>
    <w:rsid w:val="002E198F"/>
    <w:rsid w:val="002E1A35"/>
    <w:rsid w:val="002E1A93"/>
    <w:rsid w:val="002E1AA8"/>
    <w:rsid w:val="002E1AF4"/>
    <w:rsid w:val="002E1B0B"/>
    <w:rsid w:val="002E1B2E"/>
    <w:rsid w:val="002E1BBD"/>
    <w:rsid w:val="002E1BDC"/>
    <w:rsid w:val="002E1C4C"/>
    <w:rsid w:val="002E1C55"/>
    <w:rsid w:val="002E1D3C"/>
    <w:rsid w:val="002E1D77"/>
    <w:rsid w:val="002E1DC1"/>
    <w:rsid w:val="002E1ED2"/>
    <w:rsid w:val="002E1F23"/>
    <w:rsid w:val="002E1FBD"/>
    <w:rsid w:val="002E1FC0"/>
    <w:rsid w:val="002E1FCD"/>
    <w:rsid w:val="002E1FDD"/>
    <w:rsid w:val="002E20B2"/>
    <w:rsid w:val="002E2185"/>
    <w:rsid w:val="002E218F"/>
    <w:rsid w:val="002E21D4"/>
    <w:rsid w:val="002E223D"/>
    <w:rsid w:val="002E2253"/>
    <w:rsid w:val="002E22A8"/>
    <w:rsid w:val="002E2304"/>
    <w:rsid w:val="002E230A"/>
    <w:rsid w:val="002E233D"/>
    <w:rsid w:val="002E2340"/>
    <w:rsid w:val="002E2349"/>
    <w:rsid w:val="002E239F"/>
    <w:rsid w:val="002E242C"/>
    <w:rsid w:val="002E244C"/>
    <w:rsid w:val="002E2517"/>
    <w:rsid w:val="002E2538"/>
    <w:rsid w:val="002E2554"/>
    <w:rsid w:val="002E25F8"/>
    <w:rsid w:val="002E27B9"/>
    <w:rsid w:val="002E27BF"/>
    <w:rsid w:val="002E281F"/>
    <w:rsid w:val="002E2837"/>
    <w:rsid w:val="002E286D"/>
    <w:rsid w:val="002E28E7"/>
    <w:rsid w:val="002E2951"/>
    <w:rsid w:val="002E2954"/>
    <w:rsid w:val="002E29B9"/>
    <w:rsid w:val="002E29BD"/>
    <w:rsid w:val="002E29F9"/>
    <w:rsid w:val="002E2AD2"/>
    <w:rsid w:val="002E2B30"/>
    <w:rsid w:val="002E2BA6"/>
    <w:rsid w:val="002E2BDA"/>
    <w:rsid w:val="002E2BDD"/>
    <w:rsid w:val="002E2C2F"/>
    <w:rsid w:val="002E2CAA"/>
    <w:rsid w:val="002E2CD0"/>
    <w:rsid w:val="002E2D37"/>
    <w:rsid w:val="002E2D78"/>
    <w:rsid w:val="002E2D8A"/>
    <w:rsid w:val="002E2DD0"/>
    <w:rsid w:val="002E2E5C"/>
    <w:rsid w:val="002E2E94"/>
    <w:rsid w:val="002E2EE4"/>
    <w:rsid w:val="002E2F19"/>
    <w:rsid w:val="002E2F39"/>
    <w:rsid w:val="002E2FCA"/>
    <w:rsid w:val="002E305F"/>
    <w:rsid w:val="002E30DD"/>
    <w:rsid w:val="002E30E5"/>
    <w:rsid w:val="002E3132"/>
    <w:rsid w:val="002E3223"/>
    <w:rsid w:val="002E3235"/>
    <w:rsid w:val="002E32C8"/>
    <w:rsid w:val="002E32D2"/>
    <w:rsid w:val="002E3318"/>
    <w:rsid w:val="002E3345"/>
    <w:rsid w:val="002E3444"/>
    <w:rsid w:val="002E344A"/>
    <w:rsid w:val="002E346A"/>
    <w:rsid w:val="002E34F3"/>
    <w:rsid w:val="002E350E"/>
    <w:rsid w:val="002E358E"/>
    <w:rsid w:val="002E35E4"/>
    <w:rsid w:val="002E3606"/>
    <w:rsid w:val="002E366D"/>
    <w:rsid w:val="002E3756"/>
    <w:rsid w:val="002E3762"/>
    <w:rsid w:val="002E3788"/>
    <w:rsid w:val="002E378C"/>
    <w:rsid w:val="002E37E5"/>
    <w:rsid w:val="002E37E7"/>
    <w:rsid w:val="002E3853"/>
    <w:rsid w:val="002E3911"/>
    <w:rsid w:val="002E3950"/>
    <w:rsid w:val="002E398E"/>
    <w:rsid w:val="002E3BF3"/>
    <w:rsid w:val="002E3C05"/>
    <w:rsid w:val="002E3C12"/>
    <w:rsid w:val="002E3C7A"/>
    <w:rsid w:val="002E3CEA"/>
    <w:rsid w:val="002E3D28"/>
    <w:rsid w:val="002E3D42"/>
    <w:rsid w:val="002E3DE7"/>
    <w:rsid w:val="002E3DF5"/>
    <w:rsid w:val="002E3E5A"/>
    <w:rsid w:val="002E3EE5"/>
    <w:rsid w:val="002E3F83"/>
    <w:rsid w:val="002E4076"/>
    <w:rsid w:val="002E4078"/>
    <w:rsid w:val="002E40CF"/>
    <w:rsid w:val="002E4222"/>
    <w:rsid w:val="002E422C"/>
    <w:rsid w:val="002E42E2"/>
    <w:rsid w:val="002E4336"/>
    <w:rsid w:val="002E43B6"/>
    <w:rsid w:val="002E4433"/>
    <w:rsid w:val="002E4486"/>
    <w:rsid w:val="002E4496"/>
    <w:rsid w:val="002E44B9"/>
    <w:rsid w:val="002E44EA"/>
    <w:rsid w:val="002E450E"/>
    <w:rsid w:val="002E455E"/>
    <w:rsid w:val="002E4564"/>
    <w:rsid w:val="002E464B"/>
    <w:rsid w:val="002E4661"/>
    <w:rsid w:val="002E466A"/>
    <w:rsid w:val="002E4684"/>
    <w:rsid w:val="002E473D"/>
    <w:rsid w:val="002E47BA"/>
    <w:rsid w:val="002E4941"/>
    <w:rsid w:val="002E4995"/>
    <w:rsid w:val="002E49C2"/>
    <w:rsid w:val="002E4A02"/>
    <w:rsid w:val="002E4A7B"/>
    <w:rsid w:val="002E4AD9"/>
    <w:rsid w:val="002E4B21"/>
    <w:rsid w:val="002E4B9E"/>
    <w:rsid w:val="002E4BE9"/>
    <w:rsid w:val="002E4C0D"/>
    <w:rsid w:val="002E4C40"/>
    <w:rsid w:val="002E4C90"/>
    <w:rsid w:val="002E4D6F"/>
    <w:rsid w:val="002E4E24"/>
    <w:rsid w:val="002E4E65"/>
    <w:rsid w:val="002E4E8D"/>
    <w:rsid w:val="002E4F00"/>
    <w:rsid w:val="002E4F07"/>
    <w:rsid w:val="002E4F4C"/>
    <w:rsid w:val="002E4F60"/>
    <w:rsid w:val="002E4F64"/>
    <w:rsid w:val="002E50DB"/>
    <w:rsid w:val="002E5190"/>
    <w:rsid w:val="002E51EE"/>
    <w:rsid w:val="002E51FE"/>
    <w:rsid w:val="002E52D7"/>
    <w:rsid w:val="002E5350"/>
    <w:rsid w:val="002E5367"/>
    <w:rsid w:val="002E53AB"/>
    <w:rsid w:val="002E53B0"/>
    <w:rsid w:val="002E53C5"/>
    <w:rsid w:val="002E540A"/>
    <w:rsid w:val="002E541B"/>
    <w:rsid w:val="002E547A"/>
    <w:rsid w:val="002E54B0"/>
    <w:rsid w:val="002E54CD"/>
    <w:rsid w:val="002E5533"/>
    <w:rsid w:val="002E5577"/>
    <w:rsid w:val="002E55C4"/>
    <w:rsid w:val="002E55F6"/>
    <w:rsid w:val="002E5693"/>
    <w:rsid w:val="002E56AD"/>
    <w:rsid w:val="002E56B0"/>
    <w:rsid w:val="002E5701"/>
    <w:rsid w:val="002E5726"/>
    <w:rsid w:val="002E5743"/>
    <w:rsid w:val="002E57BD"/>
    <w:rsid w:val="002E5848"/>
    <w:rsid w:val="002E5895"/>
    <w:rsid w:val="002E58B7"/>
    <w:rsid w:val="002E58F5"/>
    <w:rsid w:val="002E5905"/>
    <w:rsid w:val="002E592F"/>
    <w:rsid w:val="002E594C"/>
    <w:rsid w:val="002E59AB"/>
    <w:rsid w:val="002E59F1"/>
    <w:rsid w:val="002E59FA"/>
    <w:rsid w:val="002E5A6F"/>
    <w:rsid w:val="002E5BAF"/>
    <w:rsid w:val="002E5BD5"/>
    <w:rsid w:val="002E5C9D"/>
    <w:rsid w:val="002E5D08"/>
    <w:rsid w:val="002E5D0F"/>
    <w:rsid w:val="002E5D11"/>
    <w:rsid w:val="002E5D20"/>
    <w:rsid w:val="002E5D62"/>
    <w:rsid w:val="002E5E08"/>
    <w:rsid w:val="002E5E94"/>
    <w:rsid w:val="002E60A2"/>
    <w:rsid w:val="002E60AA"/>
    <w:rsid w:val="002E60BB"/>
    <w:rsid w:val="002E60E7"/>
    <w:rsid w:val="002E6122"/>
    <w:rsid w:val="002E620F"/>
    <w:rsid w:val="002E622F"/>
    <w:rsid w:val="002E6256"/>
    <w:rsid w:val="002E62B4"/>
    <w:rsid w:val="002E62DC"/>
    <w:rsid w:val="002E64C4"/>
    <w:rsid w:val="002E64F3"/>
    <w:rsid w:val="002E656A"/>
    <w:rsid w:val="002E65C4"/>
    <w:rsid w:val="002E6600"/>
    <w:rsid w:val="002E665E"/>
    <w:rsid w:val="002E666F"/>
    <w:rsid w:val="002E66B6"/>
    <w:rsid w:val="002E66BB"/>
    <w:rsid w:val="002E6773"/>
    <w:rsid w:val="002E684D"/>
    <w:rsid w:val="002E68B0"/>
    <w:rsid w:val="002E68BE"/>
    <w:rsid w:val="002E68D8"/>
    <w:rsid w:val="002E6960"/>
    <w:rsid w:val="002E699E"/>
    <w:rsid w:val="002E6A05"/>
    <w:rsid w:val="002E6AA2"/>
    <w:rsid w:val="002E6AF4"/>
    <w:rsid w:val="002E6AFF"/>
    <w:rsid w:val="002E6B11"/>
    <w:rsid w:val="002E6B2C"/>
    <w:rsid w:val="002E6B3B"/>
    <w:rsid w:val="002E6BE3"/>
    <w:rsid w:val="002E6C84"/>
    <w:rsid w:val="002E6D60"/>
    <w:rsid w:val="002E6EF3"/>
    <w:rsid w:val="002E6EF7"/>
    <w:rsid w:val="002E6F15"/>
    <w:rsid w:val="002E6F24"/>
    <w:rsid w:val="002E6F2C"/>
    <w:rsid w:val="002E6F6F"/>
    <w:rsid w:val="002E6F94"/>
    <w:rsid w:val="002E6FE3"/>
    <w:rsid w:val="002E6FF1"/>
    <w:rsid w:val="002E700C"/>
    <w:rsid w:val="002E711F"/>
    <w:rsid w:val="002E7142"/>
    <w:rsid w:val="002E7151"/>
    <w:rsid w:val="002E7170"/>
    <w:rsid w:val="002E7181"/>
    <w:rsid w:val="002E71A2"/>
    <w:rsid w:val="002E71AA"/>
    <w:rsid w:val="002E721A"/>
    <w:rsid w:val="002E722E"/>
    <w:rsid w:val="002E7281"/>
    <w:rsid w:val="002E7440"/>
    <w:rsid w:val="002E7487"/>
    <w:rsid w:val="002E74AC"/>
    <w:rsid w:val="002E7564"/>
    <w:rsid w:val="002E75BE"/>
    <w:rsid w:val="002E75BF"/>
    <w:rsid w:val="002E75C1"/>
    <w:rsid w:val="002E75E5"/>
    <w:rsid w:val="002E7616"/>
    <w:rsid w:val="002E7629"/>
    <w:rsid w:val="002E772B"/>
    <w:rsid w:val="002E774A"/>
    <w:rsid w:val="002E779A"/>
    <w:rsid w:val="002E779B"/>
    <w:rsid w:val="002E77CF"/>
    <w:rsid w:val="002E77D8"/>
    <w:rsid w:val="002E7AF9"/>
    <w:rsid w:val="002E7B29"/>
    <w:rsid w:val="002E7BBA"/>
    <w:rsid w:val="002E7C12"/>
    <w:rsid w:val="002E7C34"/>
    <w:rsid w:val="002E7D01"/>
    <w:rsid w:val="002E7D42"/>
    <w:rsid w:val="002E7E3C"/>
    <w:rsid w:val="002E7F7D"/>
    <w:rsid w:val="002E7F9F"/>
    <w:rsid w:val="002E7FC0"/>
    <w:rsid w:val="002E7FF4"/>
    <w:rsid w:val="002E7FFB"/>
    <w:rsid w:val="002E7FFE"/>
    <w:rsid w:val="002F0177"/>
    <w:rsid w:val="002F01B5"/>
    <w:rsid w:val="002F022B"/>
    <w:rsid w:val="002F0312"/>
    <w:rsid w:val="002F035A"/>
    <w:rsid w:val="002F03BE"/>
    <w:rsid w:val="002F042F"/>
    <w:rsid w:val="002F0432"/>
    <w:rsid w:val="002F044B"/>
    <w:rsid w:val="002F0465"/>
    <w:rsid w:val="002F0642"/>
    <w:rsid w:val="002F06B0"/>
    <w:rsid w:val="002F06C8"/>
    <w:rsid w:val="002F0764"/>
    <w:rsid w:val="002F07A9"/>
    <w:rsid w:val="002F07CA"/>
    <w:rsid w:val="002F07E3"/>
    <w:rsid w:val="002F0811"/>
    <w:rsid w:val="002F0821"/>
    <w:rsid w:val="002F08C6"/>
    <w:rsid w:val="002F09BB"/>
    <w:rsid w:val="002F09DB"/>
    <w:rsid w:val="002F09E8"/>
    <w:rsid w:val="002F0A0A"/>
    <w:rsid w:val="002F0A8A"/>
    <w:rsid w:val="002F0AFA"/>
    <w:rsid w:val="002F0B03"/>
    <w:rsid w:val="002F0C2E"/>
    <w:rsid w:val="002F0D18"/>
    <w:rsid w:val="002F0EA0"/>
    <w:rsid w:val="002F0EBA"/>
    <w:rsid w:val="002F0FBC"/>
    <w:rsid w:val="002F0FC1"/>
    <w:rsid w:val="002F0FE6"/>
    <w:rsid w:val="002F0FFE"/>
    <w:rsid w:val="002F10BB"/>
    <w:rsid w:val="002F1147"/>
    <w:rsid w:val="002F114D"/>
    <w:rsid w:val="002F11C6"/>
    <w:rsid w:val="002F11D7"/>
    <w:rsid w:val="002F11EC"/>
    <w:rsid w:val="002F1242"/>
    <w:rsid w:val="002F1247"/>
    <w:rsid w:val="002F1258"/>
    <w:rsid w:val="002F1267"/>
    <w:rsid w:val="002F12A2"/>
    <w:rsid w:val="002F12C8"/>
    <w:rsid w:val="002F1381"/>
    <w:rsid w:val="002F13C2"/>
    <w:rsid w:val="002F1522"/>
    <w:rsid w:val="002F15C6"/>
    <w:rsid w:val="002F1688"/>
    <w:rsid w:val="002F175B"/>
    <w:rsid w:val="002F17AD"/>
    <w:rsid w:val="002F17C6"/>
    <w:rsid w:val="002F180C"/>
    <w:rsid w:val="002F1880"/>
    <w:rsid w:val="002F18D2"/>
    <w:rsid w:val="002F1A6C"/>
    <w:rsid w:val="002F1A74"/>
    <w:rsid w:val="002F1ADB"/>
    <w:rsid w:val="002F1AE8"/>
    <w:rsid w:val="002F1BA8"/>
    <w:rsid w:val="002F1C3A"/>
    <w:rsid w:val="002F1C91"/>
    <w:rsid w:val="002F1CBD"/>
    <w:rsid w:val="002F1CEB"/>
    <w:rsid w:val="002F1CF0"/>
    <w:rsid w:val="002F1D67"/>
    <w:rsid w:val="002F1D75"/>
    <w:rsid w:val="002F1D8D"/>
    <w:rsid w:val="002F1DC4"/>
    <w:rsid w:val="002F1DCC"/>
    <w:rsid w:val="002F1DFB"/>
    <w:rsid w:val="002F1E5F"/>
    <w:rsid w:val="002F1E97"/>
    <w:rsid w:val="002F1EC8"/>
    <w:rsid w:val="002F1FCC"/>
    <w:rsid w:val="002F211D"/>
    <w:rsid w:val="002F2138"/>
    <w:rsid w:val="002F2180"/>
    <w:rsid w:val="002F21C2"/>
    <w:rsid w:val="002F231D"/>
    <w:rsid w:val="002F238C"/>
    <w:rsid w:val="002F2435"/>
    <w:rsid w:val="002F2436"/>
    <w:rsid w:val="002F25F3"/>
    <w:rsid w:val="002F2644"/>
    <w:rsid w:val="002F2675"/>
    <w:rsid w:val="002F269A"/>
    <w:rsid w:val="002F26CC"/>
    <w:rsid w:val="002F2712"/>
    <w:rsid w:val="002F2724"/>
    <w:rsid w:val="002F2733"/>
    <w:rsid w:val="002F281C"/>
    <w:rsid w:val="002F2865"/>
    <w:rsid w:val="002F28E7"/>
    <w:rsid w:val="002F2935"/>
    <w:rsid w:val="002F2951"/>
    <w:rsid w:val="002F295B"/>
    <w:rsid w:val="002F29F6"/>
    <w:rsid w:val="002F2A18"/>
    <w:rsid w:val="002F2A1B"/>
    <w:rsid w:val="002F2A4A"/>
    <w:rsid w:val="002F2AAE"/>
    <w:rsid w:val="002F2B2C"/>
    <w:rsid w:val="002F2BEA"/>
    <w:rsid w:val="002F2C07"/>
    <w:rsid w:val="002F2C61"/>
    <w:rsid w:val="002F2C90"/>
    <w:rsid w:val="002F2CAF"/>
    <w:rsid w:val="002F2CEA"/>
    <w:rsid w:val="002F2CEF"/>
    <w:rsid w:val="002F2CF5"/>
    <w:rsid w:val="002F2CFD"/>
    <w:rsid w:val="002F2D40"/>
    <w:rsid w:val="002F2D7E"/>
    <w:rsid w:val="002F2D80"/>
    <w:rsid w:val="002F2D84"/>
    <w:rsid w:val="002F2DBC"/>
    <w:rsid w:val="002F2E23"/>
    <w:rsid w:val="002F2EE5"/>
    <w:rsid w:val="002F2EF3"/>
    <w:rsid w:val="002F2F18"/>
    <w:rsid w:val="002F3019"/>
    <w:rsid w:val="002F301D"/>
    <w:rsid w:val="002F303D"/>
    <w:rsid w:val="002F30D3"/>
    <w:rsid w:val="002F3112"/>
    <w:rsid w:val="002F3123"/>
    <w:rsid w:val="002F3169"/>
    <w:rsid w:val="002F3199"/>
    <w:rsid w:val="002F31A3"/>
    <w:rsid w:val="002F321C"/>
    <w:rsid w:val="002F3287"/>
    <w:rsid w:val="002F32A6"/>
    <w:rsid w:val="002F32F3"/>
    <w:rsid w:val="002F330D"/>
    <w:rsid w:val="002F331E"/>
    <w:rsid w:val="002F3496"/>
    <w:rsid w:val="002F34BC"/>
    <w:rsid w:val="002F3500"/>
    <w:rsid w:val="002F35FA"/>
    <w:rsid w:val="002F365B"/>
    <w:rsid w:val="002F3674"/>
    <w:rsid w:val="002F36C0"/>
    <w:rsid w:val="002F36C6"/>
    <w:rsid w:val="002F36DA"/>
    <w:rsid w:val="002F378F"/>
    <w:rsid w:val="002F3807"/>
    <w:rsid w:val="002F38C6"/>
    <w:rsid w:val="002F38F4"/>
    <w:rsid w:val="002F3980"/>
    <w:rsid w:val="002F398F"/>
    <w:rsid w:val="002F3A0D"/>
    <w:rsid w:val="002F3AAC"/>
    <w:rsid w:val="002F3ADE"/>
    <w:rsid w:val="002F3C53"/>
    <w:rsid w:val="002F3E7B"/>
    <w:rsid w:val="002F3EA0"/>
    <w:rsid w:val="002F3F34"/>
    <w:rsid w:val="002F3F4A"/>
    <w:rsid w:val="002F3F55"/>
    <w:rsid w:val="002F3FA0"/>
    <w:rsid w:val="002F409A"/>
    <w:rsid w:val="002F40EA"/>
    <w:rsid w:val="002F4108"/>
    <w:rsid w:val="002F4137"/>
    <w:rsid w:val="002F4197"/>
    <w:rsid w:val="002F41C4"/>
    <w:rsid w:val="002F42FD"/>
    <w:rsid w:val="002F43A0"/>
    <w:rsid w:val="002F444E"/>
    <w:rsid w:val="002F4477"/>
    <w:rsid w:val="002F447D"/>
    <w:rsid w:val="002F450C"/>
    <w:rsid w:val="002F451D"/>
    <w:rsid w:val="002F4667"/>
    <w:rsid w:val="002F46E0"/>
    <w:rsid w:val="002F4701"/>
    <w:rsid w:val="002F471A"/>
    <w:rsid w:val="002F4720"/>
    <w:rsid w:val="002F4789"/>
    <w:rsid w:val="002F47BD"/>
    <w:rsid w:val="002F48DA"/>
    <w:rsid w:val="002F48EE"/>
    <w:rsid w:val="002F491F"/>
    <w:rsid w:val="002F4930"/>
    <w:rsid w:val="002F49CF"/>
    <w:rsid w:val="002F4A82"/>
    <w:rsid w:val="002F4AE2"/>
    <w:rsid w:val="002F4AED"/>
    <w:rsid w:val="002F4B16"/>
    <w:rsid w:val="002F4B3E"/>
    <w:rsid w:val="002F4B58"/>
    <w:rsid w:val="002F4B61"/>
    <w:rsid w:val="002F4B76"/>
    <w:rsid w:val="002F4BA8"/>
    <w:rsid w:val="002F4C8B"/>
    <w:rsid w:val="002F4CC3"/>
    <w:rsid w:val="002F4CD8"/>
    <w:rsid w:val="002F4D03"/>
    <w:rsid w:val="002F4D28"/>
    <w:rsid w:val="002F4D43"/>
    <w:rsid w:val="002F4DD4"/>
    <w:rsid w:val="002F4DF8"/>
    <w:rsid w:val="002F4E65"/>
    <w:rsid w:val="002F4EE9"/>
    <w:rsid w:val="002F4EFF"/>
    <w:rsid w:val="002F4F54"/>
    <w:rsid w:val="002F500B"/>
    <w:rsid w:val="002F502B"/>
    <w:rsid w:val="002F509D"/>
    <w:rsid w:val="002F5108"/>
    <w:rsid w:val="002F5136"/>
    <w:rsid w:val="002F5167"/>
    <w:rsid w:val="002F5293"/>
    <w:rsid w:val="002F52A3"/>
    <w:rsid w:val="002F52D0"/>
    <w:rsid w:val="002F538B"/>
    <w:rsid w:val="002F541A"/>
    <w:rsid w:val="002F55FB"/>
    <w:rsid w:val="002F55FC"/>
    <w:rsid w:val="002F5635"/>
    <w:rsid w:val="002F56C7"/>
    <w:rsid w:val="002F5734"/>
    <w:rsid w:val="002F5767"/>
    <w:rsid w:val="002F5817"/>
    <w:rsid w:val="002F58E9"/>
    <w:rsid w:val="002F58FA"/>
    <w:rsid w:val="002F5936"/>
    <w:rsid w:val="002F5A0F"/>
    <w:rsid w:val="002F5A2A"/>
    <w:rsid w:val="002F5A42"/>
    <w:rsid w:val="002F5B17"/>
    <w:rsid w:val="002F5BA5"/>
    <w:rsid w:val="002F5BB9"/>
    <w:rsid w:val="002F5C2D"/>
    <w:rsid w:val="002F5C6D"/>
    <w:rsid w:val="002F5D2E"/>
    <w:rsid w:val="002F5D33"/>
    <w:rsid w:val="002F5DD5"/>
    <w:rsid w:val="002F5E83"/>
    <w:rsid w:val="002F5E9D"/>
    <w:rsid w:val="002F5F89"/>
    <w:rsid w:val="002F5F9A"/>
    <w:rsid w:val="002F607E"/>
    <w:rsid w:val="002F609D"/>
    <w:rsid w:val="002F626A"/>
    <w:rsid w:val="002F62F0"/>
    <w:rsid w:val="002F6315"/>
    <w:rsid w:val="002F63AA"/>
    <w:rsid w:val="002F643A"/>
    <w:rsid w:val="002F64F8"/>
    <w:rsid w:val="002F6592"/>
    <w:rsid w:val="002F6664"/>
    <w:rsid w:val="002F66E4"/>
    <w:rsid w:val="002F6729"/>
    <w:rsid w:val="002F67C0"/>
    <w:rsid w:val="002F67E1"/>
    <w:rsid w:val="002F6801"/>
    <w:rsid w:val="002F6828"/>
    <w:rsid w:val="002F6842"/>
    <w:rsid w:val="002F689B"/>
    <w:rsid w:val="002F690D"/>
    <w:rsid w:val="002F69E9"/>
    <w:rsid w:val="002F6A34"/>
    <w:rsid w:val="002F6A3B"/>
    <w:rsid w:val="002F6A5C"/>
    <w:rsid w:val="002F6A8A"/>
    <w:rsid w:val="002F6AA4"/>
    <w:rsid w:val="002F6BBA"/>
    <w:rsid w:val="002F6C43"/>
    <w:rsid w:val="002F6C47"/>
    <w:rsid w:val="002F6CE2"/>
    <w:rsid w:val="002F6CE8"/>
    <w:rsid w:val="002F6D0E"/>
    <w:rsid w:val="002F6D2B"/>
    <w:rsid w:val="002F6D75"/>
    <w:rsid w:val="002F6E80"/>
    <w:rsid w:val="002F6EBA"/>
    <w:rsid w:val="002F6EEB"/>
    <w:rsid w:val="002F6FDE"/>
    <w:rsid w:val="002F703F"/>
    <w:rsid w:val="002F7050"/>
    <w:rsid w:val="002F70C2"/>
    <w:rsid w:val="002F70C9"/>
    <w:rsid w:val="002F70D8"/>
    <w:rsid w:val="002F70E5"/>
    <w:rsid w:val="002F716B"/>
    <w:rsid w:val="002F7255"/>
    <w:rsid w:val="002F729B"/>
    <w:rsid w:val="002F72AC"/>
    <w:rsid w:val="002F7322"/>
    <w:rsid w:val="002F73DB"/>
    <w:rsid w:val="002F7425"/>
    <w:rsid w:val="002F7442"/>
    <w:rsid w:val="002F755B"/>
    <w:rsid w:val="002F7655"/>
    <w:rsid w:val="002F766B"/>
    <w:rsid w:val="002F778E"/>
    <w:rsid w:val="002F77A8"/>
    <w:rsid w:val="002F7861"/>
    <w:rsid w:val="002F788E"/>
    <w:rsid w:val="002F7910"/>
    <w:rsid w:val="002F792D"/>
    <w:rsid w:val="002F79C7"/>
    <w:rsid w:val="002F7A0D"/>
    <w:rsid w:val="002F7A3E"/>
    <w:rsid w:val="002F7A51"/>
    <w:rsid w:val="002F7B2D"/>
    <w:rsid w:val="002F7C66"/>
    <w:rsid w:val="002F7D1B"/>
    <w:rsid w:val="002F7D93"/>
    <w:rsid w:val="002F7D97"/>
    <w:rsid w:val="002F7D9C"/>
    <w:rsid w:val="002F7E25"/>
    <w:rsid w:val="002F7E31"/>
    <w:rsid w:val="002F7E58"/>
    <w:rsid w:val="002F7F0A"/>
    <w:rsid w:val="002F7F7D"/>
    <w:rsid w:val="0030002E"/>
    <w:rsid w:val="0030008E"/>
    <w:rsid w:val="00300130"/>
    <w:rsid w:val="00300178"/>
    <w:rsid w:val="003001CB"/>
    <w:rsid w:val="003001D9"/>
    <w:rsid w:val="003001F5"/>
    <w:rsid w:val="00300203"/>
    <w:rsid w:val="00300233"/>
    <w:rsid w:val="0030026A"/>
    <w:rsid w:val="0030030A"/>
    <w:rsid w:val="0030033E"/>
    <w:rsid w:val="00300367"/>
    <w:rsid w:val="003003A8"/>
    <w:rsid w:val="00300479"/>
    <w:rsid w:val="0030049C"/>
    <w:rsid w:val="003004A4"/>
    <w:rsid w:val="003004AD"/>
    <w:rsid w:val="003004F4"/>
    <w:rsid w:val="0030054B"/>
    <w:rsid w:val="00300560"/>
    <w:rsid w:val="00300587"/>
    <w:rsid w:val="003005DC"/>
    <w:rsid w:val="0030067C"/>
    <w:rsid w:val="003006CA"/>
    <w:rsid w:val="003007BF"/>
    <w:rsid w:val="003007FE"/>
    <w:rsid w:val="003007FF"/>
    <w:rsid w:val="00300850"/>
    <w:rsid w:val="0030090B"/>
    <w:rsid w:val="00300937"/>
    <w:rsid w:val="00300982"/>
    <w:rsid w:val="00300AAA"/>
    <w:rsid w:val="00300B5A"/>
    <w:rsid w:val="00300BAB"/>
    <w:rsid w:val="00300BD2"/>
    <w:rsid w:val="00300BFB"/>
    <w:rsid w:val="00300CF4"/>
    <w:rsid w:val="00300D09"/>
    <w:rsid w:val="00300D17"/>
    <w:rsid w:val="00300D42"/>
    <w:rsid w:val="00300D9A"/>
    <w:rsid w:val="00300E6F"/>
    <w:rsid w:val="00300F98"/>
    <w:rsid w:val="00300FA2"/>
    <w:rsid w:val="00301002"/>
    <w:rsid w:val="00301182"/>
    <w:rsid w:val="0030118B"/>
    <w:rsid w:val="003011B7"/>
    <w:rsid w:val="00301216"/>
    <w:rsid w:val="00301236"/>
    <w:rsid w:val="00301329"/>
    <w:rsid w:val="00301381"/>
    <w:rsid w:val="003013E9"/>
    <w:rsid w:val="003013FC"/>
    <w:rsid w:val="0030142C"/>
    <w:rsid w:val="00301434"/>
    <w:rsid w:val="0030147F"/>
    <w:rsid w:val="0030166A"/>
    <w:rsid w:val="003016FD"/>
    <w:rsid w:val="00301766"/>
    <w:rsid w:val="003017A4"/>
    <w:rsid w:val="003018CC"/>
    <w:rsid w:val="0030191F"/>
    <w:rsid w:val="003019C2"/>
    <w:rsid w:val="00301AA3"/>
    <w:rsid w:val="00301AB5"/>
    <w:rsid w:val="00301ACD"/>
    <w:rsid w:val="00301BD1"/>
    <w:rsid w:val="00301C4F"/>
    <w:rsid w:val="00301C53"/>
    <w:rsid w:val="00301CA5"/>
    <w:rsid w:val="00301CD2"/>
    <w:rsid w:val="00301CF1"/>
    <w:rsid w:val="00301D04"/>
    <w:rsid w:val="00301DB0"/>
    <w:rsid w:val="00301E7E"/>
    <w:rsid w:val="00301F07"/>
    <w:rsid w:val="00301F3E"/>
    <w:rsid w:val="003020F1"/>
    <w:rsid w:val="0030216B"/>
    <w:rsid w:val="00302222"/>
    <w:rsid w:val="0030223D"/>
    <w:rsid w:val="00302267"/>
    <w:rsid w:val="003022D9"/>
    <w:rsid w:val="003022DC"/>
    <w:rsid w:val="00302355"/>
    <w:rsid w:val="0030237D"/>
    <w:rsid w:val="003023CB"/>
    <w:rsid w:val="0030242A"/>
    <w:rsid w:val="00302452"/>
    <w:rsid w:val="003024E3"/>
    <w:rsid w:val="00302525"/>
    <w:rsid w:val="0030255A"/>
    <w:rsid w:val="0030264E"/>
    <w:rsid w:val="0030266C"/>
    <w:rsid w:val="003026F5"/>
    <w:rsid w:val="0030277F"/>
    <w:rsid w:val="0030279E"/>
    <w:rsid w:val="00302882"/>
    <w:rsid w:val="003028B3"/>
    <w:rsid w:val="003028BC"/>
    <w:rsid w:val="003028DF"/>
    <w:rsid w:val="0030291E"/>
    <w:rsid w:val="0030293F"/>
    <w:rsid w:val="00302A95"/>
    <w:rsid w:val="00302AB1"/>
    <w:rsid w:val="00302AFC"/>
    <w:rsid w:val="00302B5A"/>
    <w:rsid w:val="00302B8F"/>
    <w:rsid w:val="00302C14"/>
    <w:rsid w:val="00302CBD"/>
    <w:rsid w:val="00302CE1"/>
    <w:rsid w:val="00302D15"/>
    <w:rsid w:val="00302D2C"/>
    <w:rsid w:val="00302DA8"/>
    <w:rsid w:val="00302DC1"/>
    <w:rsid w:val="00302DD2"/>
    <w:rsid w:val="00302DE5"/>
    <w:rsid w:val="00302EA0"/>
    <w:rsid w:val="00302EAD"/>
    <w:rsid w:val="00302EC0"/>
    <w:rsid w:val="00302F37"/>
    <w:rsid w:val="00302F69"/>
    <w:rsid w:val="00302F99"/>
    <w:rsid w:val="0030302E"/>
    <w:rsid w:val="003030B2"/>
    <w:rsid w:val="003030D1"/>
    <w:rsid w:val="00303123"/>
    <w:rsid w:val="00303171"/>
    <w:rsid w:val="003031EF"/>
    <w:rsid w:val="0030322F"/>
    <w:rsid w:val="0030329A"/>
    <w:rsid w:val="003032B0"/>
    <w:rsid w:val="00303321"/>
    <w:rsid w:val="00303362"/>
    <w:rsid w:val="00303398"/>
    <w:rsid w:val="003033C6"/>
    <w:rsid w:val="0030342C"/>
    <w:rsid w:val="0030344E"/>
    <w:rsid w:val="00303481"/>
    <w:rsid w:val="00303603"/>
    <w:rsid w:val="003036A7"/>
    <w:rsid w:val="00303723"/>
    <w:rsid w:val="003037D1"/>
    <w:rsid w:val="0030381E"/>
    <w:rsid w:val="00303845"/>
    <w:rsid w:val="00303867"/>
    <w:rsid w:val="00303952"/>
    <w:rsid w:val="00303972"/>
    <w:rsid w:val="0030397D"/>
    <w:rsid w:val="003039A7"/>
    <w:rsid w:val="003039B2"/>
    <w:rsid w:val="003039B4"/>
    <w:rsid w:val="00303A87"/>
    <w:rsid w:val="00303AB3"/>
    <w:rsid w:val="00303ABE"/>
    <w:rsid w:val="00303B06"/>
    <w:rsid w:val="00303C09"/>
    <w:rsid w:val="00303C16"/>
    <w:rsid w:val="00303C41"/>
    <w:rsid w:val="00303CA3"/>
    <w:rsid w:val="00303D12"/>
    <w:rsid w:val="00303D9A"/>
    <w:rsid w:val="00303E45"/>
    <w:rsid w:val="00303EAC"/>
    <w:rsid w:val="00303EDF"/>
    <w:rsid w:val="00303F09"/>
    <w:rsid w:val="00304032"/>
    <w:rsid w:val="0030409E"/>
    <w:rsid w:val="003040AA"/>
    <w:rsid w:val="003040AC"/>
    <w:rsid w:val="003040BA"/>
    <w:rsid w:val="0030427C"/>
    <w:rsid w:val="00304363"/>
    <w:rsid w:val="00304474"/>
    <w:rsid w:val="003044C0"/>
    <w:rsid w:val="003044E9"/>
    <w:rsid w:val="003044FB"/>
    <w:rsid w:val="00304682"/>
    <w:rsid w:val="003046AF"/>
    <w:rsid w:val="00304720"/>
    <w:rsid w:val="00304791"/>
    <w:rsid w:val="0030479D"/>
    <w:rsid w:val="003047D1"/>
    <w:rsid w:val="00304831"/>
    <w:rsid w:val="0030484F"/>
    <w:rsid w:val="003048A4"/>
    <w:rsid w:val="003048FF"/>
    <w:rsid w:val="00304970"/>
    <w:rsid w:val="0030499C"/>
    <w:rsid w:val="003049AB"/>
    <w:rsid w:val="003049C7"/>
    <w:rsid w:val="003049C9"/>
    <w:rsid w:val="00304A44"/>
    <w:rsid w:val="00304A47"/>
    <w:rsid w:val="00304AAF"/>
    <w:rsid w:val="00304AD1"/>
    <w:rsid w:val="00304BBE"/>
    <w:rsid w:val="00304C71"/>
    <w:rsid w:val="00304CDD"/>
    <w:rsid w:val="00304D76"/>
    <w:rsid w:val="00304D94"/>
    <w:rsid w:val="00304DB3"/>
    <w:rsid w:val="00304ECD"/>
    <w:rsid w:val="00304F12"/>
    <w:rsid w:val="00304F55"/>
    <w:rsid w:val="00304FAE"/>
    <w:rsid w:val="00305046"/>
    <w:rsid w:val="00305099"/>
    <w:rsid w:val="00305173"/>
    <w:rsid w:val="003051AF"/>
    <w:rsid w:val="003052F8"/>
    <w:rsid w:val="00305328"/>
    <w:rsid w:val="00305456"/>
    <w:rsid w:val="003054CD"/>
    <w:rsid w:val="0030554D"/>
    <w:rsid w:val="00305585"/>
    <w:rsid w:val="00305588"/>
    <w:rsid w:val="003055D7"/>
    <w:rsid w:val="00305608"/>
    <w:rsid w:val="0030560A"/>
    <w:rsid w:val="00305617"/>
    <w:rsid w:val="0030561F"/>
    <w:rsid w:val="003056BD"/>
    <w:rsid w:val="00305706"/>
    <w:rsid w:val="003057AB"/>
    <w:rsid w:val="00305812"/>
    <w:rsid w:val="0030581F"/>
    <w:rsid w:val="003058D3"/>
    <w:rsid w:val="003058D9"/>
    <w:rsid w:val="00305948"/>
    <w:rsid w:val="003059A2"/>
    <w:rsid w:val="00305A52"/>
    <w:rsid w:val="00305A96"/>
    <w:rsid w:val="00305A9C"/>
    <w:rsid w:val="00305C0D"/>
    <w:rsid w:val="00305C95"/>
    <w:rsid w:val="00305CC8"/>
    <w:rsid w:val="00305E13"/>
    <w:rsid w:val="00305ECC"/>
    <w:rsid w:val="00305F72"/>
    <w:rsid w:val="00305FDD"/>
    <w:rsid w:val="00306045"/>
    <w:rsid w:val="00306066"/>
    <w:rsid w:val="003060A8"/>
    <w:rsid w:val="00306140"/>
    <w:rsid w:val="003061C7"/>
    <w:rsid w:val="003061E7"/>
    <w:rsid w:val="003061EE"/>
    <w:rsid w:val="00306214"/>
    <w:rsid w:val="00306282"/>
    <w:rsid w:val="003062C0"/>
    <w:rsid w:val="003062F5"/>
    <w:rsid w:val="00306311"/>
    <w:rsid w:val="0030639D"/>
    <w:rsid w:val="00306421"/>
    <w:rsid w:val="0030646C"/>
    <w:rsid w:val="00306482"/>
    <w:rsid w:val="0030659B"/>
    <w:rsid w:val="003065EA"/>
    <w:rsid w:val="003065EF"/>
    <w:rsid w:val="00306635"/>
    <w:rsid w:val="0030663E"/>
    <w:rsid w:val="00306753"/>
    <w:rsid w:val="00306754"/>
    <w:rsid w:val="003067C9"/>
    <w:rsid w:val="003067F1"/>
    <w:rsid w:val="0030680E"/>
    <w:rsid w:val="00306811"/>
    <w:rsid w:val="00306823"/>
    <w:rsid w:val="00306832"/>
    <w:rsid w:val="00306848"/>
    <w:rsid w:val="00306891"/>
    <w:rsid w:val="0030689F"/>
    <w:rsid w:val="00306923"/>
    <w:rsid w:val="00306935"/>
    <w:rsid w:val="00306A46"/>
    <w:rsid w:val="00306AE1"/>
    <w:rsid w:val="00306B42"/>
    <w:rsid w:val="00306B83"/>
    <w:rsid w:val="00306BA1"/>
    <w:rsid w:val="00306BC4"/>
    <w:rsid w:val="00306C02"/>
    <w:rsid w:val="00306C25"/>
    <w:rsid w:val="00306C42"/>
    <w:rsid w:val="00306D2E"/>
    <w:rsid w:val="00306D3E"/>
    <w:rsid w:val="00306D45"/>
    <w:rsid w:val="00306D50"/>
    <w:rsid w:val="00306D5D"/>
    <w:rsid w:val="00306E4C"/>
    <w:rsid w:val="00306EFB"/>
    <w:rsid w:val="00306F40"/>
    <w:rsid w:val="00306F67"/>
    <w:rsid w:val="003070AD"/>
    <w:rsid w:val="00307118"/>
    <w:rsid w:val="0030712A"/>
    <w:rsid w:val="0030713F"/>
    <w:rsid w:val="00307152"/>
    <w:rsid w:val="0030719E"/>
    <w:rsid w:val="003071D6"/>
    <w:rsid w:val="00307245"/>
    <w:rsid w:val="00307385"/>
    <w:rsid w:val="0030744B"/>
    <w:rsid w:val="00307462"/>
    <w:rsid w:val="003074DF"/>
    <w:rsid w:val="003074E6"/>
    <w:rsid w:val="0030754F"/>
    <w:rsid w:val="0030762A"/>
    <w:rsid w:val="0030763D"/>
    <w:rsid w:val="00307664"/>
    <w:rsid w:val="0030768C"/>
    <w:rsid w:val="003076B9"/>
    <w:rsid w:val="00307732"/>
    <w:rsid w:val="003077C7"/>
    <w:rsid w:val="00307863"/>
    <w:rsid w:val="00307871"/>
    <w:rsid w:val="003078A7"/>
    <w:rsid w:val="003078AE"/>
    <w:rsid w:val="003078B5"/>
    <w:rsid w:val="0030799E"/>
    <w:rsid w:val="003079A0"/>
    <w:rsid w:val="00307A11"/>
    <w:rsid w:val="00307A76"/>
    <w:rsid w:val="00307AA0"/>
    <w:rsid w:val="00307AA4"/>
    <w:rsid w:val="00307AAB"/>
    <w:rsid w:val="00307ADB"/>
    <w:rsid w:val="00307AE2"/>
    <w:rsid w:val="00307B5B"/>
    <w:rsid w:val="00307BA7"/>
    <w:rsid w:val="00307BD7"/>
    <w:rsid w:val="00307CD7"/>
    <w:rsid w:val="00307D3C"/>
    <w:rsid w:val="00307D77"/>
    <w:rsid w:val="00307DF6"/>
    <w:rsid w:val="00307E44"/>
    <w:rsid w:val="00307EB0"/>
    <w:rsid w:val="00307EB9"/>
    <w:rsid w:val="00307EC4"/>
    <w:rsid w:val="00307EC6"/>
    <w:rsid w:val="00307F30"/>
    <w:rsid w:val="00307F40"/>
    <w:rsid w:val="00307F65"/>
    <w:rsid w:val="00310035"/>
    <w:rsid w:val="003100D4"/>
    <w:rsid w:val="00310196"/>
    <w:rsid w:val="003101AD"/>
    <w:rsid w:val="003101C2"/>
    <w:rsid w:val="003101C3"/>
    <w:rsid w:val="003101EB"/>
    <w:rsid w:val="00310204"/>
    <w:rsid w:val="003102AB"/>
    <w:rsid w:val="00310309"/>
    <w:rsid w:val="003103E5"/>
    <w:rsid w:val="003103F6"/>
    <w:rsid w:val="003104DF"/>
    <w:rsid w:val="003105B0"/>
    <w:rsid w:val="003106A8"/>
    <w:rsid w:val="00310707"/>
    <w:rsid w:val="003107B0"/>
    <w:rsid w:val="003107BD"/>
    <w:rsid w:val="00310857"/>
    <w:rsid w:val="003108CB"/>
    <w:rsid w:val="00310986"/>
    <w:rsid w:val="003109D8"/>
    <w:rsid w:val="003109F1"/>
    <w:rsid w:val="00310A0A"/>
    <w:rsid w:val="00310A10"/>
    <w:rsid w:val="00310A6F"/>
    <w:rsid w:val="00310B05"/>
    <w:rsid w:val="00310B1F"/>
    <w:rsid w:val="00310B3D"/>
    <w:rsid w:val="00310C05"/>
    <w:rsid w:val="00310C1D"/>
    <w:rsid w:val="00310CBF"/>
    <w:rsid w:val="00310D3C"/>
    <w:rsid w:val="00310D55"/>
    <w:rsid w:val="00310E21"/>
    <w:rsid w:val="00310E9A"/>
    <w:rsid w:val="00310EB7"/>
    <w:rsid w:val="00310EDD"/>
    <w:rsid w:val="00310EF1"/>
    <w:rsid w:val="00310EFC"/>
    <w:rsid w:val="00310F2B"/>
    <w:rsid w:val="00310F2E"/>
    <w:rsid w:val="00310F5A"/>
    <w:rsid w:val="00310FDD"/>
    <w:rsid w:val="00311128"/>
    <w:rsid w:val="00311191"/>
    <w:rsid w:val="00311260"/>
    <w:rsid w:val="00311378"/>
    <w:rsid w:val="00311406"/>
    <w:rsid w:val="0031145A"/>
    <w:rsid w:val="00311491"/>
    <w:rsid w:val="0031150D"/>
    <w:rsid w:val="0031154E"/>
    <w:rsid w:val="0031158F"/>
    <w:rsid w:val="00311594"/>
    <w:rsid w:val="00311598"/>
    <w:rsid w:val="003115A2"/>
    <w:rsid w:val="003115EB"/>
    <w:rsid w:val="0031160D"/>
    <w:rsid w:val="003117A0"/>
    <w:rsid w:val="0031180C"/>
    <w:rsid w:val="0031181B"/>
    <w:rsid w:val="003118D4"/>
    <w:rsid w:val="00311956"/>
    <w:rsid w:val="00311A02"/>
    <w:rsid w:val="00311A99"/>
    <w:rsid w:val="00311AC2"/>
    <w:rsid w:val="00311B0A"/>
    <w:rsid w:val="00311B35"/>
    <w:rsid w:val="00311B36"/>
    <w:rsid w:val="00311C9F"/>
    <w:rsid w:val="00311CF9"/>
    <w:rsid w:val="00311D22"/>
    <w:rsid w:val="00311E0A"/>
    <w:rsid w:val="00311E3E"/>
    <w:rsid w:val="00311E84"/>
    <w:rsid w:val="00311E8C"/>
    <w:rsid w:val="00311EDF"/>
    <w:rsid w:val="00311EEC"/>
    <w:rsid w:val="00311EEF"/>
    <w:rsid w:val="00311FBF"/>
    <w:rsid w:val="0031201D"/>
    <w:rsid w:val="00312031"/>
    <w:rsid w:val="00312053"/>
    <w:rsid w:val="00312092"/>
    <w:rsid w:val="0031219E"/>
    <w:rsid w:val="00312317"/>
    <w:rsid w:val="0031231B"/>
    <w:rsid w:val="00312329"/>
    <w:rsid w:val="0031233A"/>
    <w:rsid w:val="0031239A"/>
    <w:rsid w:val="003123D6"/>
    <w:rsid w:val="00312504"/>
    <w:rsid w:val="003126BF"/>
    <w:rsid w:val="003126D6"/>
    <w:rsid w:val="003126E8"/>
    <w:rsid w:val="00312703"/>
    <w:rsid w:val="00312769"/>
    <w:rsid w:val="0031280C"/>
    <w:rsid w:val="00312852"/>
    <w:rsid w:val="00312855"/>
    <w:rsid w:val="0031287F"/>
    <w:rsid w:val="0031289B"/>
    <w:rsid w:val="003128A9"/>
    <w:rsid w:val="003129C6"/>
    <w:rsid w:val="00312A1F"/>
    <w:rsid w:val="00312A25"/>
    <w:rsid w:val="00312A43"/>
    <w:rsid w:val="00312A9A"/>
    <w:rsid w:val="00312ACB"/>
    <w:rsid w:val="00312B28"/>
    <w:rsid w:val="00312B8B"/>
    <w:rsid w:val="00312CBA"/>
    <w:rsid w:val="00312DE1"/>
    <w:rsid w:val="00312DEA"/>
    <w:rsid w:val="00312E28"/>
    <w:rsid w:val="00312F2D"/>
    <w:rsid w:val="00312F72"/>
    <w:rsid w:val="00312FA7"/>
    <w:rsid w:val="00312FA9"/>
    <w:rsid w:val="00313082"/>
    <w:rsid w:val="0031308E"/>
    <w:rsid w:val="003130C7"/>
    <w:rsid w:val="00313138"/>
    <w:rsid w:val="0031318B"/>
    <w:rsid w:val="00313237"/>
    <w:rsid w:val="0031334F"/>
    <w:rsid w:val="00313463"/>
    <w:rsid w:val="00313481"/>
    <w:rsid w:val="003134D3"/>
    <w:rsid w:val="003134E5"/>
    <w:rsid w:val="003134E9"/>
    <w:rsid w:val="00313540"/>
    <w:rsid w:val="00313551"/>
    <w:rsid w:val="00313631"/>
    <w:rsid w:val="003136B2"/>
    <w:rsid w:val="00313744"/>
    <w:rsid w:val="003137F9"/>
    <w:rsid w:val="00313823"/>
    <w:rsid w:val="00313833"/>
    <w:rsid w:val="003138E4"/>
    <w:rsid w:val="00313946"/>
    <w:rsid w:val="0031396C"/>
    <w:rsid w:val="00313A1F"/>
    <w:rsid w:val="00313A2F"/>
    <w:rsid w:val="00313A50"/>
    <w:rsid w:val="00313AE5"/>
    <w:rsid w:val="00313AED"/>
    <w:rsid w:val="00313C11"/>
    <w:rsid w:val="00313C4A"/>
    <w:rsid w:val="00313C79"/>
    <w:rsid w:val="00313C83"/>
    <w:rsid w:val="00313DC5"/>
    <w:rsid w:val="00313E4F"/>
    <w:rsid w:val="00313E61"/>
    <w:rsid w:val="00313ED3"/>
    <w:rsid w:val="00313F06"/>
    <w:rsid w:val="00313F13"/>
    <w:rsid w:val="00313F50"/>
    <w:rsid w:val="00313F78"/>
    <w:rsid w:val="00313FC4"/>
    <w:rsid w:val="00313FEC"/>
    <w:rsid w:val="0031404C"/>
    <w:rsid w:val="003140DC"/>
    <w:rsid w:val="00314133"/>
    <w:rsid w:val="00314139"/>
    <w:rsid w:val="003141E1"/>
    <w:rsid w:val="003141EF"/>
    <w:rsid w:val="00314236"/>
    <w:rsid w:val="00314241"/>
    <w:rsid w:val="0031427E"/>
    <w:rsid w:val="0031430B"/>
    <w:rsid w:val="00314425"/>
    <w:rsid w:val="00314485"/>
    <w:rsid w:val="003144EC"/>
    <w:rsid w:val="00314538"/>
    <w:rsid w:val="00314545"/>
    <w:rsid w:val="00314661"/>
    <w:rsid w:val="0031466B"/>
    <w:rsid w:val="00314684"/>
    <w:rsid w:val="0031474C"/>
    <w:rsid w:val="0031478E"/>
    <w:rsid w:val="003147F0"/>
    <w:rsid w:val="003148A6"/>
    <w:rsid w:val="003148F3"/>
    <w:rsid w:val="00314A4B"/>
    <w:rsid w:val="00314A5B"/>
    <w:rsid w:val="00314ADD"/>
    <w:rsid w:val="00314AE9"/>
    <w:rsid w:val="00314AF7"/>
    <w:rsid w:val="00314B2D"/>
    <w:rsid w:val="00314B3C"/>
    <w:rsid w:val="00314B53"/>
    <w:rsid w:val="00314C12"/>
    <w:rsid w:val="00314C78"/>
    <w:rsid w:val="00314CA2"/>
    <w:rsid w:val="00314CC4"/>
    <w:rsid w:val="00314CF5"/>
    <w:rsid w:val="00314D63"/>
    <w:rsid w:val="00314E59"/>
    <w:rsid w:val="00314ECB"/>
    <w:rsid w:val="00314F80"/>
    <w:rsid w:val="00315017"/>
    <w:rsid w:val="00315082"/>
    <w:rsid w:val="0031509C"/>
    <w:rsid w:val="00315127"/>
    <w:rsid w:val="003151FA"/>
    <w:rsid w:val="00315258"/>
    <w:rsid w:val="0031526C"/>
    <w:rsid w:val="0031529A"/>
    <w:rsid w:val="00315319"/>
    <w:rsid w:val="0031539A"/>
    <w:rsid w:val="003153AE"/>
    <w:rsid w:val="003153EF"/>
    <w:rsid w:val="0031540A"/>
    <w:rsid w:val="00315464"/>
    <w:rsid w:val="003154B0"/>
    <w:rsid w:val="0031553D"/>
    <w:rsid w:val="00315560"/>
    <w:rsid w:val="003155DF"/>
    <w:rsid w:val="0031563F"/>
    <w:rsid w:val="00315651"/>
    <w:rsid w:val="003157B9"/>
    <w:rsid w:val="003157F2"/>
    <w:rsid w:val="0031582E"/>
    <w:rsid w:val="0031593B"/>
    <w:rsid w:val="00315987"/>
    <w:rsid w:val="00315A84"/>
    <w:rsid w:val="00315BE0"/>
    <w:rsid w:val="00315C2C"/>
    <w:rsid w:val="00315C9D"/>
    <w:rsid w:val="00315CB6"/>
    <w:rsid w:val="00315CCA"/>
    <w:rsid w:val="00315D16"/>
    <w:rsid w:val="00315D8E"/>
    <w:rsid w:val="00315DA1"/>
    <w:rsid w:val="00315DF0"/>
    <w:rsid w:val="00315DF5"/>
    <w:rsid w:val="00315E18"/>
    <w:rsid w:val="00315E29"/>
    <w:rsid w:val="00315E8C"/>
    <w:rsid w:val="00315EA6"/>
    <w:rsid w:val="00315ED6"/>
    <w:rsid w:val="00315EF4"/>
    <w:rsid w:val="00315F21"/>
    <w:rsid w:val="00315F57"/>
    <w:rsid w:val="00315F5D"/>
    <w:rsid w:val="00315F62"/>
    <w:rsid w:val="00315FBA"/>
    <w:rsid w:val="003160F4"/>
    <w:rsid w:val="003160FD"/>
    <w:rsid w:val="0031614B"/>
    <w:rsid w:val="00316169"/>
    <w:rsid w:val="00316240"/>
    <w:rsid w:val="00316259"/>
    <w:rsid w:val="003162AF"/>
    <w:rsid w:val="00316314"/>
    <w:rsid w:val="00316383"/>
    <w:rsid w:val="003163A8"/>
    <w:rsid w:val="0031643A"/>
    <w:rsid w:val="00316458"/>
    <w:rsid w:val="00316657"/>
    <w:rsid w:val="0031672B"/>
    <w:rsid w:val="00316947"/>
    <w:rsid w:val="00316997"/>
    <w:rsid w:val="003169A2"/>
    <w:rsid w:val="003169CC"/>
    <w:rsid w:val="00316A24"/>
    <w:rsid w:val="00316A54"/>
    <w:rsid w:val="00316BC3"/>
    <w:rsid w:val="00316C2B"/>
    <w:rsid w:val="00316CE3"/>
    <w:rsid w:val="00316CEA"/>
    <w:rsid w:val="00316D0C"/>
    <w:rsid w:val="00316D21"/>
    <w:rsid w:val="00316D4F"/>
    <w:rsid w:val="00316DAE"/>
    <w:rsid w:val="00316DB0"/>
    <w:rsid w:val="00316E3E"/>
    <w:rsid w:val="00316F4A"/>
    <w:rsid w:val="00316F92"/>
    <w:rsid w:val="00316FB1"/>
    <w:rsid w:val="00316FE8"/>
    <w:rsid w:val="00316FEB"/>
    <w:rsid w:val="0031704F"/>
    <w:rsid w:val="0031710E"/>
    <w:rsid w:val="003171EE"/>
    <w:rsid w:val="00317212"/>
    <w:rsid w:val="003172E0"/>
    <w:rsid w:val="00317409"/>
    <w:rsid w:val="0031740C"/>
    <w:rsid w:val="0031741A"/>
    <w:rsid w:val="0031744D"/>
    <w:rsid w:val="0031751D"/>
    <w:rsid w:val="003175B2"/>
    <w:rsid w:val="003175D3"/>
    <w:rsid w:val="0031760A"/>
    <w:rsid w:val="00317685"/>
    <w:rsid w:val="00317720"/>
    <w:rsid w:val="0031773B"/>
    <w:rsid w:val="0031776D"/>
    <w:rsid w:val="003177BE"/>
    <w:rsid w:val="003178DA"/>
    <w:rsid w:val="00317974"/>
    <w:rsid w:val="00317A33"/>
    <w:rsid w:val="00317A8F"/>
    <w:rsid w:val="00317AF0"/>
    <w:rsid w:val="00317B37"/>
    <w:rsid w:val="00317B55"/>
    <w:rsid w:val="00317BD4"/>
    <w:rsid w:val="00317C57"/>
    <w:rsid w:val="00317CA2"/>
    <w:rsid w:val="00317CE9"/>
    <w:rsid w:val="00317DAA"/>
    <w:rsid w:val="00317E5F"/>
    <w:rsid w:val="00317F88"/>
    <w:rsid w:val="00317FDD"/>
    <w:rsid w:val="0032004E"/>
    <w:rsid w:val="00320092"/>
    <w:rsid w:val="0032016E"/>
    <w:rsid w:val="003201CF"/>
    <w:rsid w:val="0032029F"/>
    <w:rsid w:val="003202AC"/>
    <w:rsid w:val="003202F2"/>
    <w:rsid w:val="003203B3"/>
    <w:rsid w:val="003203C2"/>
    <w:rsid w:val="003203DC"/>
    <w:rsid w:val="003203DF"/>
    <w:rsid w:val="0032041E"/>
    <w:rsid w:val="00320458"/>
    <w:rsid w:val="00320466"/>
    <w:rsid w:val="00320477"/>
    <w:rsid w:val="003204F3"/>
    <w:rsid w:val="0032050B"/>
    <w:rsid w:val="00320533"/>
    <w:rsid w:val="0032060B"/>
    <w:rsid w:val="00320650"/>
    <w:rsid w:val="003206B4"/>
    <w:rsid w:val="003206E8"/>
    <w:rsid w:val="00320709"/>
    <w:rsid w:val="00320731"/>
    <w:rsid w:val="003207DE"/>
    <w:rsid w:val="003208F0"/>
    <w:rsid w:val="003208F3"/>
    <w:rsid w:val="0032098A"/>
    <w:rsid w:val="00320A5B"/>
    <w:rsid w:val="00320AF0"/>
    <w:rsid w:val="00320B46"/>
    <w:rsid w:val="00320B54"/>
    <w:rsid w:val="00320B72"/>
    <w:rsid w:val="00320B7C"/>
    <w:rsid w:val="00320BA6"/>
    <w:rsid w:val="00320BDC"/>
    <w:rsid w:val="00320C09"/>
    <w:rsid w:val="00320C4F"/>
    <w:rsid w:val="00320CE5"/>
    <w:rsid w:val="00320D31"/>
    <w:rsid w:val="00320D3D"/>
    <w:rsid w:val="00320D4D"/>
    <w:rsid w:val="00320DAB"/>
    <w:rsid w:val="00320E48"/>
    <w:rsid w:val="00320ECD"/>
    <w:rsid w:val="00320F6D"/>
    <w:rsid w:val="00320F8C"/>
    <w:rsid w:val="00320FBA"/>
    <w:rsid w:val="0032103A"/>
    <w:rsid w:val="00321187"/>
    <w:rsid w:val="00321191"/>
    <w:rsid w:val="00321275"/>
    <w:rsid w:val="00321280"/>
    <w:rsid w:val="0032129C"/>
    <w:rsid w:val="003212A2"/>
    <w:rsid w:val="003213B0"/>
    <w:rsid w:val="00321420"/>
    <w:rsid w:val="00321515"/>
    <w:rsid w:val="00321530"/>
    <w:rsid w:val="00321597"/>
    <w:rsid w:val="00321599"/>
    <w:rsid w:val="00321605"/>
    <w:rsid w:val="00321623"/>
    <w:rsid w:val="0032165E"/>
    <w:rsid w:val="0032165F"/>
    <w:rsid w:val="00321685"/>
    <w:rsid w:val="003216E6"/>
    <w:rsid w:val="003216F1"/>
    <w:rsid w:val="00321702"/>
    <w:rsid w:val="0032174D"/>
    <w:rsid w:val="003217B8"/>
    <w:rsid w:val="003217E8"/>
    <w:rsid w:val="003218A9"/>
    <w:rsid w:val="00321942"/>
    <w:rsid w:val="0032194C"/>
    <w:rsid w:val="00321953"/>
    <w:rsid w:val="0032199F"/>
    <w:rsid w:val="003219C7"/>
    <w:rsid w:val="00321B4A"/>
    <w:rsid w:val="00321B91"/>
    <w:rsid w:val="00321CA1"/>
    <w:rsid w:val="00321CB2"/>
    <w:rsid w:val="00321CB9"/>
    <w:rsid w:val="00321D15"/>
    <w:rsid w:val="00321D4D"/>
    <w:rsid w:val="00321D9A"/>
    <w:rsid w:val="00321EC7"/>
    <w:rsid w:val="00321F06"/>
    <w:rsid w:val="00321F39"/>
    <w:rsid w:val="00321F59"/>
    <w:rsid w:val="00321F64"/>
    <w:rsid w:val="00321F9A"/>
    <w:rsid w:val="00321FE2"/>
    <w:rsid w:val="00321FEB"/>
    <w:rsid w:val="00321FFE"/>
    <w:rsid w:val="0032206E"/>
    <w:rsid w:val="0032209E"/>
    <w:rsid w:val="00322164"/>
    <w:rsid w:val="0032217F"/>
    <w:rsid w:val="00322197"/>
    <w:rsid w:val="003221FF"/>
    <w:rsid w:val="00322214"/>
    <w:rsid w:val="00322259"/>
    <w:rsid w:val="003222A6"/>
    <w:rsid w:val="003222CD"/>
    <w:rsid w:val="0032234A"/>
    <w:rsid w:val="003223F2"/>
    <w:rsid w:val="00322407"/>
    <w:rsid w:val="00322414"/>
    <w:rsid w:val="00322499"/>
    <w:rsid w:val="0032249E"/>
    <w:rsid w:val="00322519"/>
    <w:rsid w:val="00322527"/>
    <w:rsid w:val="00322541"/>
    <w:rsid w:val="00322569"/>
    <w:rsid w:val="00322583"/>
    <w:rsid w:val="00322769"/>
    <w:rsid w:val="0032281A"/>
    <w:rsid w:val="0032282C"/>
    <w:rsid w:val="003228B8"/>
    <w:rsid w:val="00322907"/>
    <w:rsid w:val="00322A6E"/>
    <w:rsid w:val="00322A85"/>
    <w:rsid w:val="00322AB3"/>
    <w:rsid w:val="00322B0D"/>
    <w:rsid w:val="00322B62"/>
    <w:rsid w:val="00322B6F"/>
    <w:rsid w:val="00322C17"/>
    <w:rsid w:val="00322C2F"/>
    <w:rsid w:val="00322C5F"/>
    <w:rsid w:val="00322C6F"/>
    <w:rsid w:val="00322C70"/>
    <w:rsid w:val="00322C81"/>
    <w:rsid w:val="00322CAE"/>
    <w:rsid w:val="00322DB6"/>
    <w:rsid w:val="00322DED"/>
    <w:rsid w:val="00322F55"/>
    <w:rsid w:val="00322FA9"/>
    <w:rsid w:val="00322FD0"/>
    <w:rsid w:val="00322FEB"/>
    <w:rsid w:val="0032303D"/>
    <w:rsid w:val="00323115"/>
    <w:rsid w:val="00323121"/>
    <w:rsid w:val="00323149"/>
    <w:rsid w:val="003231C7"/>
    <w:rsid w:val="003231E3"/>
    <w:rsid w:val="00323312"/>
    <w:rsid w:val="00323361"/>
    <w:rsid w:val="00323445"/>
    <w:rsid w:val="00323574"/>
    <w:rsid w:val="00323592"/>
    <w:rsid w:val="00323645"/>
    <w:rsid w:val="003236C6"/>
    <w:rsid w:val="003236C7"/>
    <w:rsid w:val="003236D0"/>
    <w:rsid w:val="003236D3"/>
    <w:rsid w:val="00323746"/>
    <w:rsid w:val="00323784"/>
    <w:rsid w:val="00323798"/>
    <w:rsid w:val="0032381F"/>
    <w:rsid w:val="003238FA"/>
    <w:rsid w:val="003239E3"/>
    <w:rsid w:val="00323B05"/>
    <w:rsid w:val="00323B0A"/>
    <w:rsid w:val="00323B13"/>
    <w:rsid w:val="00323BB9"/>
    <w:rsid w:val="00323C3D"/>
    <w:rsid w:val="00323C6F"/>
    <w:rsid w:val="00323C70"/>
    <w:rsid w:val="00323C7E"/>
    <w:rsid w:val="00323CCD"/>
    <w:rsid w:val="00323CEC"/>
    <w:rsid w:val="00323D02"/>
    <w:rsid w:val="00323DE5"/>
    <w:rsid w:val="00323E24"/>
    <w:rsid w:val="00323EFA"/>
    <w:rsid w:val="00324031"/>
    <w:rsid w:val="00324057"/>
    <w:rsid w:val="00324136"/>
    <w:rsid w:val="0032421A"/>
    <w:rsid w:val="00324242"/>
    <w:rsid w:val="0032426F"/>
    <w:rsid w:val="0032427F"/>
    <w:rsid w:val="0032429E"/>
    <w:rsid w:val="003242AF"/>
    <w:rsid w:val="003242E3"/>
    <w:rsid w:val="00324393"/>
    <w:rsid w:val="003243A5"/>
    <w:rsid w:val="003243D7"/>
    <w:rsid w:val="0032443B"/>
    <w:rsid w:val="0032455D"/>
    <w:rsid w:val="003247BB"/>
    <w:rsid w:val="003247EF"/>
    <w:rsid w:val="00324821"/>
    <w:rsid w:val="00324894"/>
    <w:rsid w:val="00324947"/>
    <w:rsid w:val="0032494F"/>
    <w:rsid w:val="003249C0"/>
    <w:rsid w:val="00324BC2"/>
    <w:rsid w:val="00324BCC"/>
    <w:rsid w:val="00324CA8"/>
    <w:rsid w:val="00324CAB"/>
    <w:rsid w:val="00324CB2"/>
    <w:rsid w:val="00324D04"/>
    <w:rsid w:val="00324D08"/>
    <w:rsid w:val="00324D8F"/>
    <w:rsid w:val="00324DA8"/>
    <w:rsid w:val="00324E0B"/>
    <w:rsid w:val="00324E1E"/>
    <w:rsid w:val="00324F2E"/>
    <w:rsid w:val="00325085"/>
    <w:rsid w:val="003250C8"/>
    <w:rsid w:val="0032511F"/>
    <w:rsid w:val="00325138"/>
    <w:rsid w:val="00325258"/>
    <w:rsid w:val="00325272"/>
    <w:rsid w:val="0032528F"/>
    <w:rsid w:val="003252F1"/>
    <w:rsid w:val="00325373"/>
    <w:rsid w:val="003253DB"/>
    <w:rsid w:val="0032545B"/>
    <w:rsid w:val="00325466"/>
    <w:rsid w:val="0032547A"/>
    <w:rsid w:val="003254C2"/>
    <w:rsid w:val="0032551B"/>
    <w:rsid w:val="00325582"/>
    <w:rsid w:val="003255C2"/>
    <w:rsid w:val="00325663"/>
    <w:rsid w:val="003256F9"/>
    <w:rsid w:val="0032574C"/>
    <w:rsid w:val="00325785"/>
    <w:rsid w:val="003257AA"/>
    <w:rsid w:val="00325838"/>
    <w:rsid w:val="0032589F"/>
    <w:rsid w:val="003258D9"/>
    <w:rsid w:val="003259B7"/>
    <w:rsid w:val="00325A3B"/>
    <w:rsid w:val="00325ADF"/>
    <w:rsid w:val="00325BCA"/>
    <w:rsid w:val="00325BDB"/>
    <w:rsid w:val="00325CDB"/>
    <w:rsid w:val="00325D20"/>
    <w:rsid w:val="00325D40"/>
    <w:rsid w:val="00325DA0"/>
    <w:rsid w:val="00325DE3"/>
    <w:rsid w:val="00325E2F"/>
    <w:rsid w:val="00325E48"/>
    <w:rsid w:val="00325E6F"/>
    <w:rsid w:val="00325F69"/>
    <w:rsid w:val="00326045"/>
    <w:rsid w:val="003260A5"/>
    <w:rsid w:val="003260F0"/>
    <w:rsid w:val="0032610A"/>
    <w:rsid w:val="0032622D"/>
    <w:rsid w:val="003262DE"/>
    <w:rsid w:val="0032630A"/>
    <w:rsid w:val="003263FE"/>
    <w:rsid w:val="00326421"/>
    <w:rsid w:val="00326458"/>
    <w:rsid w:val="0032646C"/>
    <w:rsid w:val="00326491"/>
    <w:rsid w:val="0032654A"/>
    <w:rsid w:val="003265F2"/>
    <w:rsid w:val="00326611"/>
    <w:rsid w:val="0032661E"/>
    <w:rsid w:val="003266F3"/>
    <w:rsid w:val="00326765"/>
    <w:rsid w:val="003267D3"/>
    <w:rsid w:val="0032683D"/>
    <w:rsid w:val="00326899"/>
    <w:rsid w:val="0032695C"/>
    <w:rsid w:val="00326961"/>
    <w:rsid w:val="003269C1"/>
    <w:rsid w:val="003269D7"/>
    <w:rsid w:val="00326A78"/>
    <w:rsid w:val="00326A85"/>
    <w:rsid w:val="00326A9E"/>
    <w:rsid w:val="00326B2A"/>
    <w:rsid w:val="00326BC3"/>
    <w:rsid w:val="00326BF4"/>
    <w:rsid w:val="00326C68"/>
    <w:rsid w:val="00326CA8"/>
    <w:rsid w:val="00326CD9"/>
    <w:rsid w:val="00326D16"/>
    <w:rsid w:val="00326D46"/>
    <w:rsid w:val="00326E44"/>
    <w:rsid w:val="00326F3F"/>
    <w:rsid w:val="00326F63"/>
    <w:rsid w:val="00326F64"/>
    <w:rsid w:val="00326F69"/>
    <w:rsid w:val="00326F8D"/>
    <w:rsid w:val="00326FAE"/>
    <w:rsid w:val="00327019"/>
    <w:rsid w:val="00327138"/>
    <w:rsid w:val="00327140"/>
    <w:rsid w:val="00327200"/>
    <w:rsid w:val="003272BB"/>
    <w:rsid w:val="0032734C"/>
    <w:rsid w:val="0032734E"/>
    <w:rsid w:val="003274F7"/>
    <w:rsid w:val="003274FE"/>
    <w:rsid w:val="003275C5"/>
    <w:rsid w:val="00327608"/>
    <w:rsid w:val="00327659"/>
    <w:rsid w:val="003276D5"/>
    <w:rsid w:val="0032778F"/>
    <w:rsid w:val="00327852"/>
    <w:rsid w:val="003278C2"/>
    <w:rsid w:val="003278DA"/>
    <w:rsid w:val="0032795D"/>
    <w:rsid w:val="00327971"/>
    <w:rsid w:val="003279ED"/>
    <w:rsid w:val="00327A74"/>
    <w:rsid w:val="00327AA1"/>
    <w:rsid w:val="00327AC1"/>
    <w:rsid w:val="00327ADE"/>
    <w:rsid w:val="00327B2E"/>
    <w:rsid w:val="00327BA6"/>
    <w:rsid w:val="00327CAD"/>
    <w:rsid w:val="00327D29"/>
    <w:rsid w:val="00327D77"/>
    <w:rsid w:val="00327E36"/>
    <w:rsid w:val="00327EB7"/>
    <w:rsid w:val="00327EBB"/>
    <w:rsid w:val="00327EBF"/>
    <w:rsid w:val="00327FB0"/>
    <w:rsid w:val="00327FC1"/>
    <w:rsid w:val="00330051"/>
    <w:rsid w:val="003300BE"/>
    <w:rsid w:val="003300D7"/>
    <w:rsid w:val="003301B4"/>
    <w:rsid w:val="003301CD"/>
    <w:rsid w:val="0033022E"/>
    <w:rsid w:val="00330252"/>
    <w:rsid w:val="00330341"/>
    <w:rsid w:val="00330398"/>
    <w:rsid w:val="003303CE"/>
    <w:rsid w:val="0033041A"/>
    <w:rsid w:val="00330423"/>
    <w:rsid w:val="0033044D"/>
    <w:rsid w:val="0033045A"/>
    <w:rsid w:val="0033048F"/>
    <w:rsid w:val="003304D1"/>
    <w:rsid w:val="003304ED"/>
    <w:rsid w:val="00330649"/>
    <w:rsid w:val="00330650"/>
    <w:rsid w:val="0033065B"/>
    <w:rsid w:val="00330728"/>
    <w:rsid w:val="00330750"/>
    <w:rsid w:val="003307E0"/>
    <w:rsid w:val="00330829"/>
    <w:rsid w:val="003308A7"/>
    <w:rsid w:val="003308B5"/>
    <w:rsid w:val="003308DE"/>
    <w:rsid w:val="00330957"/>
    <w:rsid w:val="00330976"/>
    <w:rsid w:val="003309BF"/>
    <w:rsid w:val="003309C5"/>
    <w:rsid w:val="003309F6"/>
    <w:rsid w:val="00330B26"/>
    <w:rsid w:val="00330B60"/>
    <w:rsid w:val="00330B61"/>
    <w:rsid w:val="00330B6C"/>
    <w:rsid w:val="00330BD6"/>
    <w:rsid w:val="00330C12"/>
    <w:rsid w:val="00330C18"/>
    <w:rsid w:val="00330C3A"/>
    <w:rsid w:val="00330C6A"/>
    <w:rsid w:val="00330D06"/>
    <w:rsid w:val="00330D2D"/>
    <w:rsid w:val="00330D2F"/>
    <w:rsid w:val="00330D36"/>
    <w:rsid w:val="00330D4A"/>
    <w:rsid w:val="00330D7C"/>
    <w:rsid w:val="00330E40"/>
    <w:rsid w:val="00330E6E"/>
    <w:rsid w:val="00330E9F"/>
    <w:rsid w:val="00330EA9"/>
    <w:rsid w:val="00330EF6"/>
    <w:rsid w:val="00330F1D"/>
    <w:rsid w:val="00330F87"/>
    <w:rsid w:val="00331047"/>
    <w:rsid w:val="0033110C"/>
    <w:rsid w:val="003311B1"/>
    <w:rsid w:val="00331206"/>
    <w:rsid w:val="00331254"/>
    <w:rsid w:val="0033131A"/>
    <w:rsid w:val="00331329"/>
    <w:rsid w:val="00331334"/>
    <w:rsid w:val="00331357"/>
    <w:rsid w:val="0033142A"/>
    <w:rsid w:val="00331475"/>
    <w:rsid w:val="003314AA"/>
    <w:rsid w:val="00331534"/>
    <w:rsid w:val="00331565"/>
    <w:rsid w:val="0033166D"/>
    <w:rsid w:val="0033174E"/>
    <w:rsid w:val="00331753"/>
    <w:rsid w:val="0033179A"/>
    <w:rsid w:val="003317EE"/>
    <w:rsid w:val="00331936"/>
    <w:rsid w:val="00331960"/>
    <w:rsid w:val="003319B0"/>
    <w:rsid w:val="003319B1"/>
    <w:rsid w:val="00331AB3"/>
    <w:rsid w:val="00331B1D"/>
    <w:rsid w:val="00331B73"/>
    <w:rsid w:val="00331C46"/>
    <w:rsid w:val="00331C65"/>
    <w:rsid w:val="00331CC7"/>
    <w:rsid w:val="00331D02"/>
    <w:rsid w:val="00331D15"/>
    <w:rsid w:val="00331D28"/>
    <w:rsid w:val="00331D60"/>
    <w:rsid w:val="00331E0D"/>
    <w:rsid w:val="00331E64"/>
    <w:rsid w:val="00331E7F"/>
    <w:rsid w:val="00331F44"/>
    <w:rsid w:val="00331F81"/>
    <w:rsid w:val="00331F9C"/>
    <w:rsid w:val="00331FAE"/>
    <w:rsid w:val="00331FC7"/>
    <w:rsid w:val="00331FCD"/>
    <w:rsid w:val="00332020"/>
    <w:rsid w:val="00332035"/>
    <w:rsid w:val="003320C3"/>
    <w:rsid w:val="003320E9"/>
    <w:rsid w:val="00332228"/>
    <w:rsid w:val="0033224D"/>
    <w:rsid w:val="00332280"/>
    <w:rsid w:val="0033232F"/>
    <w:rsid w:val="00332337"/>
    <w:rsid w:val="00332338"/>
    <w:rsid w:val="0033234C"/>
    <w:rsid w:val="00332365"/>
    <w:rsid w:val="003323E9"/>
    <w:rsid w:val="0033242C"/>
    <w:rsid w:val="00332440"/>
    <w:rsid w:val="00332457"/>
    <w:rsid w:val="003324A5"/>
    <w:rsid w:val="003324D8"/>
    <w:rsid w:val="00332531"/>
    <w:rsid w:val="00332568"/>
    <w:rsid w:val="003325CB"/>
    <w:rsid w:val="003325D7"/>
    <w:rsid w:val="0033265E"/>
    <w:rsid w:val="003326C7"/>
    <w:rsid w:val="003326EA"/>
    <w:rsid w:val="0033274C"/>
    <w:rsid w:val="00332761"/>
    <w:rsid w:val="00332790"/>
    <w:rsid w:val="00332886"/>
    <w:rsid w:val="00332A5F"/>
    <w:rsid w:val="00332A68"/>
    <w:rsid w:val="00332AF8"/>
    <w:rsid w:val="00332B00"/>
    <w:rsid w:val="00332BC7"/>
    <w:rsid w:val="00332BDB"/>
    <w:rsid w:val="00332C1A"/>
    <w:rsid w:val="00332C27"/>
    <w:rsid w:val="00332CA8"/>
    <w:rsid w:val="00332D1A"/>
    <w:rsid w:val="00332DA8"/>
    <w:rsid w:val="00332DAE"/>
    <w:rsid w:val="00332DD2"/>
    <w:rsid w:val="00332EB1"/>
    <w:rsid w:val="00332EBD"/>
    <w:rsid w:val="00332F0D"/>
    <w:rsid w:val="00332F39"/>
    <w:rsid w:val="00332F48"/>
    <w:rsid w:val="00332F56"/>
    <w:rsid w:val="00332F58"/>
    <w:rsid w:val="00332F76"/>
    <w:rsid w:val="00332F82"/>
    <w:rsid w:val="00332FBD"/>
    <w:rsid w:val="00333003"/>
    <w:rsid w:val="0033301F"/>
    <w:rsid w:val="0033303D"/>
    <w:rsid w:val="00333058"/>
    <w:rsid w:val="003330AA"/>
    <w:rsid w:val="0033311C"/>
    <w:rsid w:val="003331CD"/>
    <w:rsid w:val="003331E0"/>
    <w:rsid w:val="00333416"/>
    <w:rsid w:val="00333456"/>
    <w:rsid w:val="003334CD"/>
    <w:rsid w:val="00333546"/>
    <w:rsid w:val="00333671"/>
    <w:rsid w:val="0033367E"/>
    <w:rsid w:val="003336A7"/>
    <w:rsid w:val="003336AF"/>
    <w:rsid w:val="003336C6"/>
    <w:rsid w:val="00333729"/>
    <w:rsid w:val="0033376E"/>
    <w:rsid w:val="00333895"/>
    <w:rsid w:val="0033389B"/>
    <w:rsid w:val="003338C8"/>
    <w:rsid w:val="003339AD"/>
    <w:rsid w:val="003339B5"/>
    <w:rsid w:val="003339EA"/>
    <w:rsid w:val="00333AEA"/>
    <w:rsid w:val="00333B07"/>
    <w:rsid w:val="00333B0E"/>
    <w:rsid w:val="00333C8F"/>
    <w:rsid w:val="00333D00"/>
    <w:rsid w:val="00333D3F"/>
    <w:rsid w:val="00333DCD"/>
    <w:rsid w:val="00333EC1"/>
    <w:rsid w:val="00333EF3"/>
    <w:rsid w:val="00333EFA"/>
    <w:rsid w:val="00333F1C"/>
    <w:rsid w:val="00333F3D"/>
    <w:rsid w:val="00333F4A"/>
    <w:rsid w:val="00334024"/>
    <w:rsid w:val="0033403B"/>
    <w:rsid w:val="0033409A"/>
    <w:rsid w:val="0033425F"/>
    <w:rsid w:val="003343BC"/>
    <w:rsid w:val="00334429"/>
    <w:rsid w:val="00334491"/>
    <w:rsid w:val="00334501"/>
    <w:rsid w:val="00334553"/>
    <w:rsid w:val="00334682"/>
    <w:rsid w:val="00334686"/>
    <w:rsid w:val="003346B0"/>
    <w:rsid w:val="003346BD"/>
    <w:rsid w:val="003346C0"/>
    <w:rsid w:val="003346CF"/>
    <w:rsid w:val="0033470B"/>
    <w:rsid w:val="003347E1"/>
    <w:rsid w:val="003347FE"/>
    <w:rsid w:val="00334862"/>
    <w:rsid w:val="00334870"/>
    <w:rsid w:val="0033488C"/>
    <w:rsid w:val="0033491D"/>
    <w:rsid w:val="003349A9"/>
    <w:rsid w:val="003349D4"/>
    <w:rsid w:val="003349FF"/>
    <w:rsid w:val="00334AF0"/>
    <w:rsid w:val="00334AF7"/>
    <w:rsid w:val="00334B8A"/>
    <w:rsid w:val="00334BF9"/>
    <w:rsid w:val="00334C39"/>
    <w:rsid w:val="00334C4C"/>
    <w:rsid w:val="00334C5E"/>
    <w:rsid w:val="00334CF1"/>
    <w:rsid w:val="00334D58"/>
    <w:rsid w:val="00334DE3"/>
    <w:rsid w:val="00334E19"/>
    <w:rsid w:val="00334E46"/>
    <w:rsid w:val="00334EBF"/>
    <w:rsid w:val="00334F13"/>
    <w:rsid w:val="00334F14"/>
    <w:rsid w:val="00334F67"/>
    <w:rsid w:val="00334FB4"/>
    <w:rsid w:val="0033509C"/>
    <w:rsid w:val="0033510C"/>
    <w:rsid w:val="0033514C"/>
    <w:rsid w:val="00335154"/>
    <w:rsid w:val="003351BC"/>
    <w:rsid w:val="00335236"/>
    <w:rsid w:val="00335250"/>
    <w:rsid w:val="0033527A"/>
    <w:rsid w:val="00335295"/>
    <w:rsid w:val="003352C5"/>
    <w:rsid w:val="00335336"/>
    <w:rsid w:val="0033533D"/>
    <w:rsid w:val="0033533F"/>
    <w:rsid w:val="003353C2"/>
    <w:rsid w:val="00335439"/>
    <w:rsid w:val="00335450"/>
    <w:rsid w:val="003354CD"/>
    <w:rsid w:val="003354F6"/>
    <w:rsid w:val="00335530"/>
    <w:rsid w:val="00335578"/>
    <w:rsid w:val="00335587"/>
    <w:rsid w:val="00335599"/>
    <w:rsid w:val="003355E8"/>
    <w:rsid w:val="003356F2"/>
    <w:rsid w:val="00335957"/>
    <w:rsid w:val="00335A28"/>
    <w:rsid w:val="00335A4D"/>
    <w:rsid w:val="00335AE0"/>
    <w:rsid w:val="00335B25"/>
    <w:rsid w:val="00335B38"/>
    <w:rsid w:val="00335B89"/>
    <w:rsid w:val="00335BB0"/>
    <w:rsid w:val="00335BBF"/>
    <w:rsid w:val="00335C2D"/>
    <w:rsid w:val="00335C42"/>
    <w:rsid w:val="00335C77"/>
    <w:rsid w:val="00335C89"/>
    <w:rsid w:val="00335C8D"/>
    <w:rsid w:val="00335D68"/>
    <w:rsid w:val="00335D69"/>
    <w:rsid w:val="00335E86"/>
    <w:rsid w:val="00335EC4"/>
    <w:rsid w:val="00335EF3"/>
    <w:rsid w:val="00335F35"/>
    <w:rsid w:val="00335F37"/>
    <w:rsid w:val="00335F58"/>
    <w:rsid w:val="00335F77"/>
    <w:rsid w:val="0033625B"/>
    <w:rsid w:val="00336273"/>
    <w:rsid w:val="00336286"/>
    <w:rsid w:val="00336288"/>
    <w:rsid w:val="00336311"/>
    <w:rsid w:val="0033635B"/>
    <w:rsid w:val="0033640C"/>
    <w:rsid w:val="0033642A"/>
    <w:rsid w:val="003364C3"/>
    <w:rsid w:val="003364D3"/>
    <w:rsid w:val="003364EA"/>
    <w:rsid w:val="00336617"/>
    <w:rsid w:val="0033662F"/>
    <w:rsid w:val="0033665B"/>
    <w:rsid w:val="00336661"/>
    <w:rsid w:val="0033666F"/>
    <w:rsid w:val="00336672"/>
    <w:rsid w:val="0033677A"/>
    <w:rsid w:val="003367C4"/>
    <w:rsid w:val="003367F1"/>
    <w:rsid w:val="00336873"/>
    <w:rsid w:val="003368DE"/>
    <w:rsid w:val="003368F1"/>
    <w:rsid w:val="00336950"/>
    <w:rsid w:val="00336997"/>
    <w:rsid w:val="003369E8"/>
    <w:rsid w:val="00336A41"/>
    <w:rsid w:val="00336AC7"/>
    <w:rsid w:val="00336B1B"/>
    <w:rsid w:val="00336BCA"/>
    <w:rsid w:val="00336C1F"/>
    <w:rsid w:val="00336C73"/>
    <w:rsid w:val="00336C81"/>
    <w:rsid w:val="00336C89"/>
    <w:rsid w:val="00336CBF"/>
    <w:rsid w:val="00336CC2"/>
    <w:rsid w:val="00336D15"/>
    <w:rsid w:val="00336D86"/>
    <w:rsid w:val="00336D8F"/>
    <w:rsid w:val="00336DB2"/>
    <w:rsid w:val="00336E55"/>
    <w:rsid w:val="00336E5E"/>
    <w:rsid w:val="00336E93"/>
    <w:rsid w:val="00336EAC"/>
    <w:rsid w:val="00336EFF"/>
    <w:rsid w:val="00336F13"/>
    <w:rsid w:val="00336F63"/>
    <w:rsid w:val="00336FDA"/>
    <w:rsid w:val="00336FFA"/>
    <w:rsid w:val="00336FFC"/>
    <w:rsid w:val="00337014"/>
    <w:rsid w:val="0033701E"/>
    <w:rsid w:val="00337056"/>
    <w:rsid w:val="0033707C"/>
    <w:rsid w:val="003370B3"/>
    <w:rsid w:val="0033712F"/>
    <w:rsid w:val="00337171"/>
    <w:rsid w:val="0033729B"/>
    <w:rsid w:val="0033729D"/>
    <w:rsid w:val="0033729F"/>
    <w:rsid w:val="0033733A"/>
    <w:rsid w:val="003374A3"/>
    <w:rsid w:val="003374BA"/>
    <w:rsid w:val="00337580"/>
    <w:rsid w:val="003375F5"/>
    <w:rsid w:val="0033773D"/>
    <w:rsid w:val="0033774E"/>
    <w:rsid w:val="0033774F"/>
    <w:rsid w:val="00337753"/>
    <w:rsid w:val="0033782D"/>
    <w:rsid w:val="003378B5"/>
    <w:rsid w:val="00337926"/>
    <w:rsid w:val="0033792B"/>
    <w:rsid w:val="00337964"/>
    <w:rsid w:val="003379CE"/>
    <w:rsid w:val="00337A48"/>
    <w:rsid w:val="00337A93"/>
    <w:rsid w:val="00337A9C"/>
    <w:rsid w:val="00337ACD"/>
    <w:rsid w:val="00337C36"/>
    <w:rsid w:val="00337C79"/>
    <w:rsid w:val="00337CFE"/>
    <w:rsid w:val="00337D4F"/>
    <w:rsid w:val="00337DAE"/>
    <w:rsid w:val="00337DDA"/>
    <w:rsid w:val="00337EE5"/>
    <w:rsid w:val="00337F1E"/>
    <w:rsid w:val="00337F53"/>
    <w:rsid w:val="00337F8C"/>
    <w:rsid w:val="00337FA6"/>
    <w:rsid w:val="00337FCC"/>
    <w:rsid w:val="00337FFB"/>
    <w:rsid w:val="0034008B"/>
    <w:rsid w:val="003400AA"/>
    <w:rsid w:val="003400EE"/>
    <w:rsid w:val="00340114"/>
    <w:rsid w:val="0034019C"/>
    <w:rsid w:val="0034033C"/>
    <w:rsid w:val="00340384"/>
    <w:rsid w:val="0034039D"/>
    <w:rsid w:val="003403AA"/>
    <w:rsid w:val="003403D9"/>
    <w:rsid w:val="003403E9"/>
    <w:rsid w:val="00340435"/>
    <w:rsid w:val="0034046F"/>
    <w:rsid w:val="003404DA"/>
    <w:rsid w:val="003405BA"/>
    <w:rsid w:val="00340605"/>
    <w:rsid w:val="0034061D"/>
    <w:rsid w:val="00340678"/>
    <w:rsid w:val="00340753"/>
    <w:rsid w:val="0034077B"/>
    <w:rsid w:val="0034077D"/>
    <w:rsid w:val="00340787"/>
    <w:rsid w:val="003407FA"/>
    <w:rsid w:val="0034084A"/>
    <w:rsid w:val="00340948"/>
    <w:rsid w:val="00340A8D"/>
    <w:rsid w:val="00340AC4"/>
    <w:rsid w:val="00340B3C"/>
    <w:rsid w:val="00340BB1"/>
    <w:rsid w:val="00340C1F"/>
    <w:rsid w:val="00340D35"/>
    <w:rsid w:val="00340D3F"/>
    <w:rsid w:val="00340D43"/>
    <w:rsid w:val="00340DEC"/>
    <w:rsid w:val="00340E2E"/>
    <w:rsid w:val="00340E60"/>
    <w:rsid w:val="00340F0C"/>
    <w:rsid w:val="00340F54"/>
    <w:rsid w:val="00340F75"/>
    <w:rsid w:val="00340F7A"/>
    <w:rsid w:val="00340FB5"/>
    <w:rsid w:val="00340FF4"/>
    <w:rsid w:val="0034100D"/>
    <w:rsid w:val="0034100F"/>
    <w:rsid w:val="0034102E"/>
    <w:rsid w:val="00341034"/>
    <w:rsid w:val="00341082"/>
    <w:rsid w:val="0034109A"/>
    <w:rsid w:val="003410BB"/>
    <w:rsid w:val="003410F5"/>
    <w:rsid w:val="003410FE"/>
    <w:rsid w:val="0034117D"/>
    <w:rsid w:val="00341184"/>
    <w:rsid w:val="003411C8"/>
    <w:rsid w:val="003411CF"/>
    <w:rsid w:val="003411F9"/>
    <w:rsid w:val="00341216"/>
    <w:rsid w:val="003412AA"/>
    <w:rsid w:val="003412C4"/>
    <w:rsid w:val="003414F9"/>
    <w:rsid w:val="00341563"/>
    <w:rsid w:val="003415D7"/>
    <w:rsid w:val="0034167F"/>
    <w:rsid w:val="003416A3"/>
    <w:rsid w:val="003416AA"/>
    <w:rsid w:val="003416B0"/>
    <w:rsid w:val="0034179B"/>
    <w:rsid w:val="0034186C"/>
    <w:rsid w:val="003418D6"/>
    <w:rsid w:val="00341926"/>
    <w:rsid w:val="0034192F"/>
    <w:rsid w:val="00341ACE"/>
    <w:rsid w:val="00341AEB"/>
    <w:rsid w:val="00341B03"/>
    <w:rsid w:val="00341B3D"/>
    <w:rsid w:val="00341B51"/>
    <w:rsid w:val="00341B6E"/>
    <w:rsid w:val="00341B79"/>
    <w:rsid w:val="00341B96"/>
    <w:rsid w:val="00341B9E"/>
    <w:rsid w:val="00341CC0"/>
    <w:rsid w:val="00341D1C"/>
    <w:rsid w:val="00341D41"/>
    <w:rsid w:val="00341D4C"/>
    <w:rsid w:val="00341F4D"/>
    <w:rsid w:val="00342007"/>
    <w:rsid w:val="0034201C"/>
    <w:rsid w:val="00342020"/>
    <w:rsid w:val="0034208E"/>
    <w:rsid w:val="003421E2"/>
    <w:rsid w:val="00342273"/>
    <w:rsid w:val="003422A3"/>
    <w:rsid w:val="00342316"/>
    <w:rsid w:val="00342329"/>
    <w:rsid w:val="00342400"/>
    <w:rsid w:val="0034241E"/>
    <w:rsid w:val="00342512"/>
    <w:rsid w:val="0034259F"/>
    <w:rsid w:val="003425DB"/>
    <w:rsid w:val="003426A3"/>
    <w:rsid w:val="003426BD"/>
    <w:rsid w:val="003426E3"/>
    <w:rsid w:val="003426EE"/>
    <w:rsid w:val="00342718"/>
    <w:rsid w:val="00342763"/>
    <w:rsid w:val="003427D0"/>
    <w:rsid w:val="003427D3"/>
    <w:rsid w:val="0034280B"/>
    <w:rsid w:val="0034293E"/>
    <w:rsid w:val="003429AD"/>
    <w:rsid w:val="00342A2A"/>
    <w:rsid w:val="00342A87"/>
    <w:rsid w:val="00342AB3"/>
    <w:rsid w:val="00342AC3"/>
    <w:rsid w:val="00342B05"/>
    <w:rsid w:val="00342B3F"/>
    <w:rsid w:val="00342CCD"/>
    <w:rsid w:val="00342D59"/>
    <w:rsid w:val="00342D89"/>
    <w:rsid w:val="00342DE5"/>
    <w:rsid w:val="00342E1A"/>
    <w:rsid w:val="00342E27"/>
    <w:rsid w:val="00342EA8"/>
    <w:rsid w:val="00342EE9"/>
    <w:rsid w:val="00342F4D"/>
    <w:rsid w:val="00342FA6"/>
    <w:rsid w:val="00342FFD"/>
    <w:rsid w:val="00343013"/>
    <w:rsid w:val="0034304A"/>
    <w:rsid w:val="003430A9"/>
    <w:rsid w:val="003430B0"/>
    <w:rsid w:val="003430E3"/>
    <w:rsid w:val="00343136"/>
    <w:rsid w:val="003431C7"/>
    <w:rsid w:val="00343240"/>
    <w:rsid w:val="00343270"/>
    <w:rsid w:val="003432A4"/>
    <w:rsid w:val="003432EC"/>
    <w:rsid w:val="0034341C"/>
    <w:rsid w:val="00343445"/>
    <w:rsid w:val="00343463"/>
    <w:rsid w:val="003435AB"/>
    <w:rsid w:val="0034361F"/>
    <w:rsid w:val="00343674"/>
    <w:rsid w:val="00343683"/>
    <w:rsid w:val="003436EE"/>
    <w:rsid w:val="003436F8"/>
    <w:rsid w:val="00343798"/>
    <w:rsid w:val="00343836"/>
    <w:rsid w:val="003438BB"/>
    <w:rsid w:val="003438C2"/>
    <w:rsid w:val="00343999"/>
    <w:rsid w:val="00343A04"/>
    <w:rsid w:val="00343A7E"/>
    <w:rsid w:val="00343A85"/>
    <w:rsid w:val="00343A9B"/>
    <w:rsid w:val="00343AF1"/>
    <w:rsid w:val="00343B38"/>
    <w:rsid w:val="00343BF1"/>
    <w:rsid w:val="00343C4B"/>
    <w:rsid w:val="00343CD1"/>
    <w:rsid w:val="00343D4D"/>
    <w:rsid w:val="00343E57"/>
    <w:rsid w:val="00343F21"/>
    <w:rsid w:val="00343F4D"/>
    <w:rsid w:val="00343F78"/>
    <w:rsid w:val="00343FAE"/>
    <w:rsid w:val="00343FB0"/>
    <w:rsid w:val="00344012"/>
    <w:rsid w:val="0034404F"/>
    <w:rsid w:val="003440FE"/>
    <w:rsid w:val="0034410B"/>
    <w:rsid w:val="003441D4"/>
    <w:rsid w:val="003441DC"/>
    <w:rsid w:val="0034422D"/>
    <w:rsid w:val="0034426A"/>
    <w:rsid w:val="0034428D"/>
    <w:rsid w:val="00344309"/>
    <w:rsid w:val="00344361"/>
    <w:rsid w:val="003443AD"/>
    <w:rsid w:val="003443BC"/>
    <w:rsid w:val="003443CC"/>
    <w:rsid w:val="003443D4"/>
    <w:rsid w:val="003444B5"/>
    <w:rsid w:val="003444E9"/>
    <w:rsid w:val="003444F4"/>
    <w:rsid w:val="0034455C"/>
    <w:rsid w:val="0034455E"/>
    <w:rsid w:val="003446D8"/>
    <w:rsid w:val="003446E9"/>
    <w:rsid w:val="0034473A"/>
    <w:rsid w:val="003447AD"/>
    <w:rsid w:val="003447F3"/>
    <w:rsid w:val="0034487A"/>
    <w:rsid w:val="003448D8"/>
    <w:rsid w:val="003449C5"/>
    <w:rsid w:val="003449D1"/>
    <w:rsid w:val="00344A3C"/>
    <w:rsid w:val="00344A4E"/>
    <w:rsid w:val="00344A5C"/>
    <w:rsid w:val="00344ABE"/>
    <w:rsid w:val="00344AF5"/>
    <w:rsid w:val="00344B7B"/>
    <w:rsid w:val="00344BB6"/>
    <w:rsid w:val="00344C57"/>
    <w:rsid w:val="00344D0A"/>
    <w:rsid w:val="00344D20"/>
    <w:rsid w:val="00344D3A"/>
    <w:rsid w:val="00344DF2"/>
    <w:rsid w:val="00344DFD"/>
    <w:rsid w:val="00344E3B"/>
    <w:rsid w:val="00344EAA"/>
    <w:rsid w:val="00344F56"/>
    <w:rsid w:val="00344F71"/>
    <w:rsid w:val="00344F78"/>
    <w:rsid w:val="0034503A"/>
    <w:rsid w:val="0034503F"/>
    <w:rsid w:val="0034509F"/>
    <w:rsid w:val="00345121"/>
    <w:rsid w:val="00345196"/>
    <w:rsid w:val="003451A1"/>
    <w:rsid w:val="003451CC"/>
    <w:rsid w:val="003451DE"/>
    <w:rsid w:val="0034523E"/>
    <w:rsid w:val="0034532A"/>
    <w:rsid w:val="00345346"/>
    <w:rsid w:val="00345352"/>
    <w:rsid w:val="00345383"/>
    <w:rsid w:val="003453C8"/>
    <w:rsid w:val="003453E8"/>
    <w:rsid w:val="003453EF"/>
    <w:rsid w:val="0034542E"/>
    <w:rsid w:val="003454FE"/>
    <w:rsid w:val="003455CB"/>
    <w:rsid w:val="0034568B"/>
    <w:rsid w:val="00345782"/>
    <w:rsid w:val="00345799"/>
    <w:rsid w:val="003458A3"/>
    <w:rsid w:val="003458B2"/>
    <w:rsid w:val="00345962"/>
    <w:rsid w:val="003459AB"/>
    <w:rsid w:val="00345A07"/>
    <w:rsid w:val="00345A3B"/>
    <w:rsid w:val="00345A44"/>
    <w:rsid w:val="00345BB0"/>
    <w:rsid w:val="00345CC6"/>
    <w:rsid w:val="00345D46"/>
    <w:rsid w:val="00345F4D"/>
    <w:rsid w:val="00345FB3"/>
    <w:rsid w:val="00345FDC"/>
    <w:rsid w:val="0034608C"/>
    <w:rsid w:val="003461BB"/>
    <w:rsid w:val="00346230"/>
    <w:rsid w:val="00346254"/>
    <w:rsid w:val="0034626C"/>
    <w:rsid w:val="00346289"/>
    <w:rsid w:val="003462A2"/>
    <w:rsid w:val="0034634A"/>
    <w:rsid w:val="0034641A"/>
    <w:rsid w:val="0034641B"/>
    <w:rsid w:val="00346433"/>
    <w:rsid w:val="0034645E"/>
    <w:rsid w:val="0034648E"/>
    <w:rsid w:val="003464FF"/>
    <w:rsid w:val="00346535"/>
    <w:rsid w:val="00346615"/>
    <w:rsid w:val="00346657"/>
    <w:rsid w:val="003466EF"/>
    <w:rsid w:val="0034671E"/>
    <w:rsid w:val="0034676E"/>
    <w:rsid w:val="003467BE"/>
    <w:rsid w:val="003467CD"/>
    <w:rsid w:val="003467DE"/>
    <w:rsid w:val="003468D9"/>
    <w:rsid w:val="0034693A"/>
    <w:rsid w:val="0034696F"/>
    <w:rsid w:val="003469C6"/>
    <w:rsid w:val="003469E9"/>
    <w:rsid w:val="003469F5"/>
    <w:rsid w:val="00346A3D"/>
    <w:rsid w:val="00346A4D"/>
    <w:rsid w:val="00346AA9"/>
    <w:rsid w:val="00346AAA"/>
    <w:rsid w:val="00346AD2"/>
    <w:rsid w:val="00346D1C"/>
    <w:rsid w:val="00346D36"/>
    <w:rsid w:val="00346D80"/>
    <w:rsid w:val="00346DBE"/>
    <w:rsid w:val="00346DCA"/>
    <w:rsid w:val="00347066"/>
    <w:rsid w:val="003470A3"/>
    <w:rsid w:val="00347119"/>
    <w:rsid w:val="00347140"/>
    <w:rsid w:val="0034719F"/>
    <w:rsid w:val="003471AD"/>
    <w:rsid w:val="003471B3"/>
    <w:rsid w:val="0034723E"/>
    <w:rsid w:val="00347253"/>
    <w:rsid w:val="0034727D"/>
    <w:rsid w:val="0034727F"/>
    <w:rsid w:val="003472DD"/>
    <w:rsid w:val="00347306"/>
    <w:rsid w:val="00347349"/>
    <w:rsid w:val="00347375"/>
    <w:rsid w:val="00347417"/>
    <w:rsid w:val="0034742E"/>
    <w:rsid w:val="00347445"/>
    <w:rsid w:val="00347492"/>
    <w:rsid w:val="0034754B"/>
    <w:rsid w:val="003475EC"/>
    <w:rsid w:val="003475FE"/>
    <w:rsid w:val="00347608"/>
    <w:rsid w:val="003476AE"/>
    <w:rsid w:val="00347783"/>
    <w:rsid w:val="0034780B"/>
    <w:rsid w:val="00347816"/>
    <w:rsid w:val="003478AE"/>
    <w:rsid w:val="003478BF"/>
    <w:rsid w:val="00347947"/>
    <w:rsid w:val="00347B21"/>
    <w:rsid w:val="00347BBB"/>
    <w:rsid w:val="00347C20"/>
    <w:rsid w:val="00347C2E"/>
    <w:rsid w:val="00347C3B"/>
    <w:rsid w:val="00347C6E"/>
    <w:rsid w:val="00347C79"/>
    <w:rsid w:val="00347CF5"/>
    <w:rsid w:val="00347DDA"/>
    <w:rsid w:val="00347DDC"/>
    <w:rsid w:val="00347E12"/>
    <w:rsid w:val="00347E25"/>
    <w:rsid w:val="00347EA4"/>
    <w:rsid w:val="00347EAC"/>
    <w:rsid w:val="00347ECE"/>
    <w:rsid w:val="00347EE9"/>
    <w:rsid w:val="00347FC5"/>
    <w:rsid w:val="00347FF8"/>
    <w:rsid w:val="00350103"/>
    <w:rsid w:val="003503E2"/>
    <w:rsid w:val="0035040F"/>
    <w:rsid w:val="003504DD"/>
    <w:rsid w:val="003504E1"/>
    <w:rsid w:val="003504E6"/>
    <w:rsid w:val="00350595"/>
    <w:rsid w:val="003505A0"/>
    <w:rsid w:val="0035061C"/>
    <w:rsid w:val="0035071A"/>
    <w:rsid w:val="003507B9"/>
    <w:rsid w:val="003507F5"/>
    <w:rsid w:val="003508FF"/>
    <w:rsid w:val="00350996"/>
    <w:rsid w:val="00350A45"/>
    <w:rsid w:val="00350A61"/>
    <w:rsid w:val="00350A75"/>
    <w:rsid w:val="00350A78"/>
    <w:rsid w:val="00350AC9"/>
    <w:rsid w:val="00350B18"/>
    <w:rsid w:val="00350C92"/>
    <w:rsid w:val="00350D97"/>
    <w:rsid w:val="00350DAA"/>
    <w:rsid w:val="00350DC2"/>
    <w:rsid w:val="00350E98"/>
    <w:rsid w:val="00350EA2"/>
    <w:rsid w:val="00350F64"/>
    <w:rsid w:val="00350F71"/>
    <w:rsid w:val="00350FF0"/>
    <w:rsid w:val="0035105E"/>
    <w:rsid w:val="00351060"/>
    <w:rsid w:val="00351065"/>
    <w:rsid w:val="0035108C"/>
    <w:rsid w:val="0035121A"/>
    <w:rsid w:val="0035125E"/>
    <w:rsid w:val="003512F3"/>
    <w:rsid w:val="00351354"/>
    <w:rsid w:val="0035145B"/>
    <w:rsid w:val="003514E3"/>
    <w:rsid w:val="003514FC"/>
    <w:rsid w:val="00351539"/>
    <w:rsid w:val="0035153F"/>
    <w:rsid w:val="00351549"/>
    <w:rsid w:val="0035156B"/>
    <w:rsid w:val="003515E8"/>
    <w:rsid w:val="00351758"/>
    <w:rsid w:val="003517C3"/>
    <w:rsid w:val="003517E9"/>
    <w:rsid w:val="0035187E"/>
    <w:rsid w:val="003518D5"/>
    <w:rsid w:val="003518FD"/>
    <w:rsid w:val="00351959"/>
    <w:rsid w:val="00351964"/>
    <w:rsid w:val="0035196E"/>
    <w:rsid w:val="00351A10"/>
    <w:rsid w:val="00351AE1"/>
    <w:rsid w:val="00351B05"/>
    <w:rsid w:val="00351C57"/>
    <w:rsid w:val="00351CE9"/>
    <w:rsid w:val="00351D1C"/>
    <w:rsid w:val="00351D26"/>
    <w:rsid w:val="00351DB4"/>
    <w:rsid w:val="00351DE2"/>
    <w:rsid w:val="00351E03"/>
    <w:rsid w:val="00351EE9"/>
    <w:rsid w:val="00351F15"/>
    <w:rsid w:val="00351F6E"/>
    <w:rsid w:val="00351FC1"/>
    <w:rsid w:val="00351FDA"/>
    <w:rsid w:val="00351FEA"/>
    <w:rsid w:val="003520CA"/>
    <w:rsid w:val="003521A9"/>
    <w:rsid w:val="003521C4"/>
    <w:rsid w:val="00352224"/>
    <w:rsid w:val="003522D4"/>
    <w:rsid w:val="00352321"/>
    <w:rsid w:val="00352366"/>
    <w:rsid w:val="00352370"/>
    <w:rsid w:val="003523DE"/>
    <w:rsid w:val="0035243E"/>
    <w:rsid w:val="0035261B"/>
    <w:rsid w:val="00352634"/>
    <w:rsid w:val="0035270C"/>
    <w:rsid w:val="00352718"/>
    <w:rsid w:val="00352766"/>
    <w:rsid w:val="00352827"/>
    <w:rsid w:val="0035285B"/>
    <w:rsid w:val="003528C4"/>
    <w:rsid w:val="00352ABA"/>
    <w:rsid w:val="00352AD8"/>
    <w:rsid w:val="00352AF1"/>
    <w:rsid w:val="00352B8B"/>
    <w:rsid w:val="00352BDA"/>
    <w:rsid w:val="00352CC9"/>
    <w:rsid w:val="00352D59"/>
    <w:rsid w:val="00352D9A"/>
    <w:rsid w:val="00352DF0"/>
    <w:rsid w:val="00352DFA"/>
    <w:rsid w:val="00352E57"/>
    <w:rsid w:val="00352E66"/>
    <w:rsid w:val="00352E6E"/>
    <w:rsid w:val="00352EAD"/>
    <w:rsid w:val="00352F41"/>
    <w:rsid w:val="00352F42"/>
    <w:rsid w:val="00352FE6"/>
    <w:rsid w:val="0035301F"/>
    <w:rsid w:val="0035302D"/>
    <w:rsid w:val="00353099"/>
    <w:rsid w:val="00353118"/>
    <w:rsid w:val="0035315D"/>
    <w:rsid w:val="0035316D"/>
    <w:rsid w:val="00353175"/>
    <w:rsid w:val="00353180"/>
    <w:rsid w:val="003531FE"/>
    <w:rsid w:val="00353246"/>
    <w:rsid w:val="0035337F"/>
    <w:rsid w:val="0035338C"/>
    <w:rsid w:val="003533EC"/>
    <w:rsid w:val="003533F4"/>
    <w:rsid w:val="00353454"/>
    <w:rsid w:val="00353478"/>
    <w:rsid w:val="00353556"/>
    <w:rsid w:val="00353567"/>
    <w:rsid w:val="0035356C"/>
    <w:rsid w:val="00353598"/>
    <w:rsid w:val="003535AB"/>
    <w:rsid w:val="0035365A"/>
    <w:rsid w:val="0035366A"/>
    <w:rsid w:val="0035368A"/>
    <w:rsid w:val="003536ED"/>
    <w:rsid w:val="00353727"/>
    <w:rsid w:val="003538CF"/>
    <w:rsid w:val="00353983"/>
    <w:rsid w:val="003539DE"/>
    <w:rsid w:val="003539E1"/>
    <w:rsid w:val="00353A31"/>
    <w:rsid w:val="00353DB1"/>
    <w:rsid w:val="00353DF0"/>
    <w:rsid w:val="00353E58"/>
    <w:rsid w:val="00353E8C"/>
    <w:rsid w:val="00353F2F"/>
    <w:rsid w:val="00353F99"/>
    <w:rsid w:val="00353FAA"/>
    <w:rsid w:val="00353FD8"/>
    <w:rsid w:val="0035408C"/>
    <w:rsid w:val="00354105"/>
    <w:rsid w:val="00354155"/>
    <w:rsid w:val="0035415A"/>
    <w:rsid w:val="003541D5"/>
    <w:rsid w:val="003541DD"/>
    <w:rsid w:val="00354352"/>
    <w:rsid w:val="003543D4"/>
    <w:rsid w:val="0035444B"/>
    <w:rsid w:val="00354457"/>
    <w:rsid w:val="0035449E"/>
    <w:rsid w:val="003544EC"/>
    <w:rsid w:val="00354599"/>
    <w:rsid w:val="003545FD"/>
    <w:rsid w:val="003546EB"/>
    <w:rsid w:val="003546EE"/>
    <w:rsid w:val="00354833"/>
    <w:rsid w:val="003548A6"/>
    <w:rsid w:val="00354950"/>
    <w:rsid w:val="0035497A"/>
    <w:rsid w:val="00354A49"/>
    <w:rsid w:val="00354AC1"/>
    <w:rsid w:val="00354AFF"/>
    <w:rsid w:val="00354B84"/>
    <w:rsid w:val="00354B86"/>
    <w:rsid w:val="00354BA4"/>
    <w:rsid w:val="00354BEF"/>
    <w:rsid w:val="00354C95"/>
    <w:rsid w:val="00354D3C"/>
    <w:rsid w:val="00354D98"/>
    <w:rsid w:val="00354DA8"/>
    <w:rsid w:val="00354DD1"/>
    <w:rsid w:val="00354E9F"/>
    <w:rsid w:val="00354EFA"/>
    <w:rsid w:val="00354F1E"/>
    <w:rsid w:val="00354F84"/>
    <w:rsid w:val="00354FAB"/>
    <w:rsid w:val="003550D5"/>
    <w:rsid w:val="0035514F"/>
    <w:rsid w:val="00355167"/>
    <w:rsid w:val="00355172"/>
    <w:rsid w:val="00355270"/>
    <w:rsid w:val="00355362"/>
    <w:rsid w:val="003553A8"/>
    <w:rsid w:val="00355451"/>
    <w:rsid w:val="003554E2"/>
    <w:rsid w:val="003554EB"/>
    <w:rsid w:val="00355537"/>
    <w:rsid w:val="003555FD"/>
    <w:rsid w:val="0035560A"/>
    <w:rsid w:val="0035565D"/>
    <w:rsid w:val="00355715"/>
    <w:rsid w:val="00355756"/>
    <w:rsid w:val="0035579D"/>
    <w:rsid w:val="003557C6"/>
    <w:rsid w:val="0035590F"/>
    <w:rsid w:val="00355916"/>
    <w:rsid w:val="0035597B"/>
    <w:rsid w:val="003559F1"/>
    <w:rsid w:val="00355A9A"/>
    <w:rsid w:val="00355B04"/>
    <w:rsid w:val="00355B2B"/>
    <w:rsid w:val="00355B79"/>
    <w:rsid w:val="00355BB5"/>
    <w:rsid w:val="00355C15"/>
    <w:rsid w:val="00355C23"/>
    <w:rsid w:val="00355C37"/>
    <w:rsid w:val="00355C7F"/>
    <w:rsid w:val="00355D27"/>
    <w:rsid w:val="00355D58"/>
    <w:rsid w:val="00355E80"/>
    <w:rsid w:val="00355EFA"/>
    <w:rsid w:val="00355F10"/>
    <w:rsid w:val="0035603A"/>
    <w:rsid w:val="00356145"/>
    <w:rsid w:val="003561CD"/>
    <w:rsid w:val="003562A5"/>
    <w:rsid w:val="003563B8"/>
    <w:rsid w:val="0035645C"/>
    <w:rsid w:val="003564CA"/>
    <w:rsid w:val="003564CE"/>
    <w:rsid w:val="00356567"/>
    <w:rsid w:val="0035672D"/>
    <w:rsid w:val="00356730"/>
    <w:rsid w:val="003567D9"/>
    <w:rsid w:val="0035684D"/>
    <w:rsid w:val="0035686B"/>
    <w:rsid w:val="003569DC"/>
    <w:rsid w:val="003569F0"/>
    <w:rsid w:val="00356A01"/>
    <w:rsid w:val="00356A36"/>
    <w:rsid w:val="00356A4F"/>
    <w:rsid w:val="00356AF2"/>
    <w:rsid w:val="00356B8E"/>
    <w:rsid w:val="00356BDF"/>
    <w:rsid w:val="00356C03"/>
    <w:rsid w:val="00356C21"/>
    <w:rsid w:val="00356DB3"/>
    <w:rsid w:val="00356DDD"/>
    <w:rsid w:val="00356E46"/>
    <w:rsid w:val="00356E74"/>
    <w:rsid w:val="00356EA5"/>
    <w:rsid w:val="00356EC4"/>
    <w:rsid w:val="00356EC7"/>
    <w:rsid w:val="00356EDB"/>
    <w:rsid w:val="00356EE7"/>
    <w:rsid w:val="00356EF8"/>
    <w:rsid w:val="00356F80"/>
    <w:rsid w:val="00356FC4"/>
    <w:rsid w:val="00356FCF"/>
    <w:rsid w:val="00357063"/>
    <w:rsid w:val="003570F4"/>
    <w:rsid w:val="0035712C"/>
    <w:rsid w:val="003571FE"/>
    <w:rsid w:val="003572B9"/>
    <w:rsid w:val="003572DB"/>
    <w:rsid w:val="003572E8"/>
    <w:rsid w:val="00357323"/>
    <w:rsid w:val="00357394"/>
    <w:rsid w:val="00357396"/>
    <w:rsid w:val="003573B1"/>
    <w:rsid w:val="003574A5"/>
    <w:rsid w:val="0035755D"/>
    <w:rsid w:val="0035755E"/>
    <w:rsid w:val="00357578"/>
    <w:rsid w:val="0035765D"/>
    <w:rsid w:val="00357787"/>
    <w:rsid w:val="00357797"/>
    <w:rsid w:val="003577A7"/>
    <w:rsid w:val="0035783B"/>
    <w:rsid w:val="00357864"/>
    <w:rsid w:val="00357890"/>
    <w:rsid w:val="003578AE"/>
    <w:rsid w:val="003578D1"/>
    <w:rsid w:val="0035794F"/>
    <w:rsid w:val="00357991"/>
    <w:rsid w:val="00357A22"/>
    <w:rsid w:val="00357A54"/>
    <w:rsid w:val="00357AAB"/>
    <w:rsid w:val="00357AF4"/>
    <w:rsid w:val="00357AF5"/>
    <w:rsid w:val="00357B24"/>
    <w:rsid w:val="00357BE9"/>
    <w:rsid w:val="00357CE9"/>
    <w:rsid w:val="00357CEB"/>
    <w:rsid w:val="00357D35"/>
    <w:rsid w:val="00357D57"/>
    <w:rsid w:val="00357E8E"/>
    <w:rsid w:val="00357F35"/>
    <w:rsid w:val="00357F36"/>
    <w:rsid w:val="00357F72"/>
    <w:rsid w:val="00357F95"/>
    <w:rsid w:val="00357FFE"/>
    <w:rsid w:val="00360016"/>
    <w:rsid w:val="003600AC"/>
    <w:rsid w:val="003600EE"/>
    <w:rsid w:val="00360111"/>
    <w:rsid w:val="00360145"/>
    <w:rsid w:val="00360151"/>
    <w:rsid w:val="00360187"/>
    <w:rsid w:val="003601AB"/>
    <w:rsid w:val="003601BA"/>
    <w:rsid w:val="0036020C"/>
    <w:rsid w:val="00360234"/>
    <w:rsid w:val="00360277"/>
    <w:rsid w:val="0036029E"/>
    <w:rsid w:val="003602F9"/>
    <w:rsid w:val="003603CC"/>
    <w:rsid w:val="003603D2"/>
    <w:rsid w:val="00360400"/>
    <w:rsid w:val="0036044E"/>
    <w:rsid w:val="00360452"/>
    <w:rsid w:val="0036047B"/>
    <w:rsid w:val="0036060C"/>
    <w:rsid w:val="0036062C"/>
    <w:rsid w:val="0036064A"/>
    <w:rsid w:val="0036065B"/>
    <w:rsid w:val="003606A3"/>
    <w:rsid w:val="00360731"/>
    <w:rsid w:val="0036074E"/>
    <w:rsid w:val="00360813"/>
    <w:rsid w:val="00360886"/>
    <w:rsid w:val="00360AEF"/>
    <w:rsid w:val="00360AFE"/>
    <w:rsid w:val="00360B73"/>
    <w:rsid w:val="00360B7D"/>
    <w:rsid w:val="00360BC2"/>
    <w:rsid w:val="00360BCD"/>
    <w:rsid w:val="00360C3A"/>
    <w:rsid w:val="00360D62"/>
    <w:rsid w:val="00360DAD"/>
    <w:rsid w:val="00360E0E"/>
    <w:rsid w:val="00360E53"/>
    <w:rsid w:val="00360E98"/>
    <w:rsid w:val="00360EC4"/>
    <w:rsid w:val="00360F2E"/>
    <w:rsid w:val="0036103C"/>
    <w:rsid w:val="0036114A"/>
    <w:rsid w:val="00361152"/>
    <w:rsid w:val="00361162"/>
    <w:rsid w:val="00361172"/>
    <w:rsid w:val="003612A1"/>
    <w:rsid w:val="003612B4"/>
    <w:rsid w:val="00361358"/>
    <w:rsid w:val="00361361"/>
    <w:rsid w:val="00361369"/>
    <w:rsid w:val="003613B7"/>
    <w:rsid w:val="00361416"/>
    <w:rsid w:val="003614AE"/>
    <w:rsid w:val="0036154A"/>
    <w:rsid w:val="00361651"/>
    <w:rsid w:val="003616F6"/>
    <w:rsid w:val="003617BA"/>
    <w:rsid w:val="00361838"/>
    <w:rsid w:val="00361840"/>
    <w:rsid w:val="003618DE"/>
    <w:rsid w:val="003618F0"/>
    <w:rsid w:val="0036193D"/>
    <w:rsid w:val="003619FF"/>
    <w:rsid w:val="00361A6C"/>
    <w:rsid w:val="00361A71"/>
    <w:rsid w:val="00361B79"/>
    <w:rsid w:val="00361BD6"/>
    <w:rsid w:val="00361C45"/>
    <w:rsid w:val="00361C50"/>
    <w:rsid w:val="00361C5E"/>
    <w:rsid w:val="00361D74"/>
    <w:rsid w:val="00361D7C"/>
    <w:rsid w:val="00361DB2"/>
    <w:rsid w:val="00361DD4"/>
    <w:rsid w:val="00361DF2"/>
    <w:rsid w:val="00361E0D"/>
    <w:rsid w:val="00361E93"/>
    <w:rsid w:val="00361EF3"/>
    <w:rsid w:val="00361F24"/>
    <w:rsid w:val="00361F82"/>
    <w:rsid w:val="00361FB9"/>
    <w:rsid w:val="00361FBD"/>
    <w:rsid w:val="00362013"/>
    <w:rsid w:val="00362032"/>
    <w:rsid w:val="00362093"/>
    <w:rsid w:val="00362108"/>
    <w:rsid w:val="003621AA"/>
    <w:rsid w:val="00362240"/>
    <w:rsid w:val="003622A0"/>
    <w:rsid w:val="003622BB"/>
    <w:rsid w:val="003622CE"/>
    <w:rsid w:val="00362322"/>
    <w:rsid w:val="00362366"/>
    <w:rsid w:val="003623B0"/>
    <w:rsid w:val="003623FD"/>
    <w:rsid w:val="0036242D"/>
    <w:rsid w:val="0036247C"/>
    <w:rsid w:val="003624BF"/>
    <w:rsid w:val="003625EF"/>
    <w:rsid w:val="00362639"/>
    <w:rsid w:val="00362653"/>
    <w:rsid w:val="00362689"/>
    <w:rsid w:val="003627AA"/>
    <w:rsid w:val="003627CF"/>
    <w:rsid w:val="00362851"/>
    <w:rsid w:val="003628BB"/>
    <w:rsid w:val="00362926"/>
    <w:rsid w:val="0036293A"/>
    <w:rsid w:val="00362A95"/>
    <w:rsid w:val="00362B7B"/>
    <w:rsid w:val="00362B94"/>
    <w:rsid w:val="00362C13"/>
    <w:rsid w:val="00362C3D"/>
    <w:rsid w:val="00362CD3"/>
    <w:rsid w:val="00362D60"/>
    <w:rsid w:val="00362D8B"/>
    <w:rsid w:val="00362D9C"/>
    <w:rsid w:val="00362E25"/>
    <w:rsid w:val="00362E37"/>
    <w:rsid w:val="00362E5C"/>
    <w:rsid w:val="00362E7C"/>
    <w:rsid w:val="00362EA4"/>
    <w:rsid w:val="00362F89"/>
    <w:rsid w:val="00362FDF"/>
    <w:rsid w:val="00363029"/>
    <w:rsid w:val="00363078"/>
    <w:rsid w:val="003630EC"/>
    <w:rsid w:val="003630FF"/>
    <w:rsid w:val="003631BE"/>
    <w:rsid w:val="003631C1"/>
    <w:rsid w:val="00363236"/>
    <w:rsid w:val="0036327E"/>
    <w:rsid w:val="003632CD"/>
    <w:rsid w:val="00363307"/>
    <w:rsid w:val="00363356"/>
    <w:rsid w:val="0036339D"/>
    <w:rsid w:val="003633AD"/>
    <w:rsid w:val="003633F3"/>
    <w:rsid w:val="003633FC"/>
    <w:rsid w:val="0036342C"/>
    <w:rsid w:val="00363474"/>
    <w:rsid w:val="00363476"/>
    <w:rsid w:val="00363544"/>
    <w:rsid w:val="0036359F"/>
    <w:rsid w:val="00363625"/>
    <w:rsid w:val="00363638"/>
    <w:rsid w:val="00363660"/>
    <w:rsid w:val="003636BA"/>
    <w:rsid w:val="00363733"/>
    <w:rsid w:val="00363778"/>
    <w:rsid w:val="0036383E"/>
    <w:rsid w:val="003638CF"/>
    <w:rsid w:val="00363959"/>
    <w:rsid w:val="00363961"/>
    <w:rsid w:val="00363AAA"/>
    <w:rsid w:val="00363B40"/>
    <w:rsid w:val="00363B81"/>
    <w:rsid w:val="00363BE0"/>
    <w:rsid w:val="00363BE9"/>
    <w:rsid w:val="00363C3C"/>
    <w:rsid w:val="00363CD5"/>
    <w:rsid w:val="00363D04"/>
    <w:rsid w:val="00363D10"/>
    <w:rsid w:val="00363D2D"/>
    <w:rsid w:val="00363D6B"/>
    <w:rsid w:val="00363F13"/>
    <w:rsid w:val="00363F70"/>
    <w:rsid w:val="0036401D"/>
    <w:rsid w:val="0036402E"/>
    <w:rsid w:val="003640C4"/>
    <w:rsid w:val="0036418B"/>
    <w:rsid w:val="00364213"/>
    <w:rsid w:val="0036426F"/>
    <w:rsid w:val="0036429E"/>
    <w:rsid w:val="003642A9"/>
    <w:rsid w:val="00364354"/>
    <w:rsid w:val="003643ED"/>
    <w:rsid w:val="0036447D"/>
    <w:rsid w:val="003644C4"/>
    <w:rsid w:val="003644E1"/>
    <w:rsid w:val="00364525"/>
    <w:rsid w:val="003645BF"/>
    <w:rsid w:val="003645C6"/>
    <w:rsid w:val="00364606"/>
    <w:rsid w:val="00364745"/>
    <w:rsid w:val="0036477A"/>
    <w:rsid w:val="003647B0"/>
    <w:rsid w:val="0036485C"/>
    <w:rsid w:val="00364884"/>
    <w:rsid w:val="00364922"/>
    <w:rsid w:val="0036493F"/>
    <w:rsid w:val="0036495B"/>
    <w:rsid w:val="003649D0"/>
    <w:rsid w:val="003649F3"/>
    <w:rsid w:val="00364A0F"/>
    <w:rsid w:val="00364A8E"/>
    <w:rsid w:val="00364AAE"/>
    <w:rsid w:val="00364B41"/>
    <w:rsid w:val="00364BBD"/>
    <w:rsid w:val="00364C0B"/>
    <w:rsid w:val="00364C94"/>
    <w:rsid w:val="00364CD2"/>
    <w:rsid w:val="00364D15"/>
    <w:rsid w:val="00364D34"/>
    <w:rsid w:val="00364D53"/>
    <w:rsid w:val="00364E2F"/>
    <w:rsid w:val="00364EA6"/>
    <w:rsid w:val="00364EBC"/>
    <w:rsid w:val="00364EC0"/>
    <w:rsid w:val="00364F42"/>
    <w:rsid w:val="00364FBD"/>
    <w:rsid w:val="00365005"/>
    <w:rsid w:val="00365035"/>
    <w:rsid w:val="003650B5"/>
    <w:rsid w:val="003650BE"/>
    <w:rsid w:val="0036515C"/>
    <w:rsid w:val="003651A9"/>
    <w:rsid w:val="00365246"/>
    <w:rsid w:val="0036528E"/>
    <w:rsid w:val="003652B5"/>
    <w:rsid w:val="003652F4"/>
    <w:rsid w:val="0036531C"/>
    <w:rsid w:val="00365365"/>
    <w:rsid w:val="00365378"/>
    <w:rsid w:val="003653DD"/>
    <w:rsid w:val="0036541F"/>
    <w:rsid w:val="0036542D"/>
    <w:rsid w:val="00365456"/>
    <w:rsid w:val="00365466"/>
    <w:rsid w:val="00365514"/>
    <w:rsid w:val="00365575"/>
    <w:rsid w:val="003655AF"/>
    <w:rsid w:val="003655DD"/>
    <w:rsid w:val="00365613"/>
    <w:rsid w:val="003656C6"/>
    <w:rsid w:val="00365718"/>
    <w:rsid w:val="003657B4"/>
    <w:rsid w:val="0036586F"/>
    <w:rsid w:val="003658B4"/>
    <w:rsid w:val="003658E6"/>
    <w:rsid w:val="00365912"/>
    <w:rsid w:val="0036594E"/>
    <w:rsid w:val="003659BD"/>
    <w:rsid w:val="00365A3F"/>
    <w:rsid w:val="00365AFA"/>
    <w:rsid w:val="00365AFE"/>
    <w:rsid w:val="00365B2B"/>
    <w:rsid w:val="00365B39"/>
    <w:rsid w:val="00365B7E"/>
    <w:rsid w:val="00365BDC"/>
    <w:rsid w:val="00365BEC"/>
    <w:rsid w:val="00365D9E"/>
    <w:rsid w:val="00365DA0"/>
    <w:rsid w:val="00365DFC"/>
    <w:rsid w:val="00365EA7"/>
    <w:rsid w:val="00365EE4"/>
    <w:rsid w:val="00365F86"/>
    <w:rsid w:val="00365FBB"/>
    <w:rsid w:val="0036609C"/>
    <w:rsid w:val="003660BA"/>
    <w:rsid w:val="00366110"/>
    <w:rsid w:val="00366163"/>
    <w:rsid w:val="00366209"/>
    <w:rsid w:val="00366263"/>
    <w:rsid w:val="003662D1"/>
    <w:rsid w:val="0036637B"/>
    <w:rsid w:val="003663C5"/>
    <w:rsid w:val="003663FE"/>
    <w:rsid w:val="003663FF"/>
    <w:rsid w:val="00366467"/>
    <w:rsid w:val="00366489"/>
    <w:rsid w:val="0036648C"/>
    <w:rsid w:val="003664EC"/>
    <w:rsid w:val="00366529"/>
    <w:rsid w:val="00366534"/>
    <w:rsid w:val="00366535"/>
    <w:rsid w:val="0036656A"/>
    <w:rsid w:val="003665CA"/>
    <w:rsid w:val="00366670"/>
    <w:rsid w:val="00366690"/>
    <w:rsid w:val="00366746"/>
    <w:rsid w:val="003667ED"/>
    <w:rsid w:val="0036680A"/>
    <w:rsid w:val="00366856"/>
    <w:rsid w:val="00366898"/>
    <w:rsid w:val="003668C6"/>
    <w:rsid w:val="003668CE"/>
    <w:rsid w:val="0036695F"/>
    <w:rsid w:val="003669AE"/>
    <w:rsid w:val="00366A0A"/>
    <w:rsid w:val="00366A4D"/>
    <w:rsid w:val="00366A7C"/>
    <w:rsid w:val="00366A9C"/>
    <w:rsid w:val="00366B25"/>
    <w:rsid w:val="00366BCC"/>
    <w:rsid w:val="00366C69"/>
    <w:rsid w:val="00366C91"/>
    <w:rsid w:val="00366D09"/>
    <w:rsid w:val="00366D1E"/>
    <w:rsid w:val="00366D43"/>
    <w:rsid w:val="00366E1C"/>
    <w:rsid w:val="00366E7C"/>
    <w:rsid w:val="00366E86"/>
    <w:rsid w:val="00366EC1"/>
    <w:rsid w:val="00366F87"/>
    <w:rsid w:val="00366FA1"/>
    <w:rsid w:val="003670A3"/>
    <w:rsid w:val="00367127"/>
    <w:rsid w:val="0036719A"/>
    <w:rsid w:val="003671B8"/>
    <w:rsid w:val="00367210"/>
    <w:rsid w:val="003672CB"/>
    <w:rsid w:val="0036730A"/>
    <w:rsid w:val="00367349"/>
    <w:rsid w:val="0036738B"/>
    <w:rsid w:val="003673A8"/>
    <w:rsid w:val="00367408"/>
    <w:rsid w:val="00367414"/>
    <w:rsid w:val="00367454"/>
    <w:rsid w:val="00367481"/>
    <w:rsid w:val="00367535"/>
    <w:rsid w:val="00367561"/>
    <w:rsid w:val="003675D2"/>
    <w:rsid w:val="00367601"/>
    <w:rsid w:val="00367617"/>
    <w:rsid w:val="00367650"/>
    <w:rsid w:val="00367668"/>
    <w:rsid w:val="0036775C"/>
    <w:rsid w:val="003677CB"/>
    <w:rsid w:val="003677F0"/>
    <w:rsid w:val="00367846"/>
    <w:rsid w:val="003678C8"/>
    <w:rsid w:val="003678F3"/>
    <w:rsid w:val="003679A8"/>
    <w:rsid w:val="003679DB"/>
    <w:rsid w:val="00367A0B"/>
    <w:rsid w:val="00367A0E"/>
    <w:rsid w:val="00367A4A"/>
    <w:rsid w:val="00367B05"/>
    <w:rsid w:val="00367B0C"/>
    <w:rsid w:val="00367B88"/>
    <w:rsid w:val="00367BB0"/>
    <w:rsid w:val="00367BB5"/>
    <w:rsid w:val="00367BE2"/>
    <w:rsid w:val="00367C03"/>
    <w:rsid w:val="00367C2A"/>
    <w:rsid w:val="00367C3E"/>
    <w:rsid w:val="00367CC3"/>
    <w:rsid w:val="00367CD3"/>
    <w:rsid w:val="00367D2E"/>
    <w:rsid w:val="00367EC3"/>
    <w:rsid w:val="00367EC4"/>
    <w:rsid w:val="00367F34"/>
    <w:rsid w:val="00367FC9"/>
    <w:rsid w:val="00370014"/>
    <w:rsid w:val="003700B1"/>
    <w:rsid w:val="003700B6"/>
    <w:rsid w:val="0037010C"/>
    <w:rsid w:val="0037017E"/>
    <w:rsid w:val="00370185"/>
    <w:rsid w:val="0037028C"/>
    <w:rsid w:val="003702B8"/>
    <w:rsid w:val="003702F9"/>
    <w:rsid w:val="00370330"/>
    <w:rsid w:val="00370375"/>
    <w:rsid w:val="003703B9"/>
    <w:rsid w:val="0037042D"/>
    <w:rsid w:val="003704FC"/>
    <w:rsid w:val="003705BB"/>
    <w:rsid w:val="003705C3"/>
    <w:rsid w:val="003705F9"/>
    <w:rsid w:val="0037070C"/>
    <w:rsid w:val="00370764"/>
    <w:rsid w:val="003707A8"/>
    <w:rsid w:val="00370826"/>
    <w:rsid w:val="00370867"/>
    <w:rsid w:val="003708AA"/>
    <w:rsid w:val="003708C1"/>
    <w:rsid w:val="003708CA"/>
    <w:rsid w:val="003709A0"/>
    <w:rsid w:val="003709B6"/>
    <w:rsid w:val="00370A07"/>
    <w:rsid w:val="00370A48"/>
    <w:rsid w:val="00370A9F"/>
    <w:rsid w:val="00370AB1"/>
    <w:rsid w:val="00370AE2"/>
    <w:rsid w:val="00370B0C"/>
    <w:rsid w:val="00370BC4"/>
    <w:rsid w:val="00370CE7"/>
    <w:rsid w:val="00370D4E"/>
    <w:rsid w:val="00370DE7"/>
    <w:rsid w:val="00370DF1"/>
    <w:rsid w:val="00370E57"/>
    <w:rsid w:val="00370F8B"/>
    <w:rsid w:val="00371003"/>
    <w:rsid w:val="00371010"/>
    <w:rsid w:val="003710A0"/>
    <w:rsid w:val="003710A2"/>
    <w:rsid w:val="003711C1"/>
    <w:rsid w:val="0037122B"/>
    <w:rsid w:val="0037123C"/>
    <w:rsid w:val="00371276"/>
    <w:rsid w:val="00371282"/>
    <w:rsid w:val="00371292"/>
    <w:rsid w:val="003713D3"/>
    <w:rsid w:val="0037147C"/>
    <w:rsid w:val="00371487"/>
    <w:rsid w:val="003714E4"/>
    <w:rsid w:val="00371512"/>
    <w:rsid w:val="003715C7"/>
    <w:rsid w:val="003715F5"/>
    <w:rsid w:val="0037164E"/>
    <w:rsid w:val="00371688"/>
    <w:rsid w:val="003716B5"/>
    <w:rsid w:val="003716C1"/>
    <w:rsid w:val="003717EB"/>
    <w:rsid w:val="0037185C"/>
    <w:rsid w:val="0037187A"/>
    <w:rsid w:val="00371880"/>
    <w:rsid w:val="00371893"/>
    <w:rsid w:val="003718C8"/>
    <w:rsid w:val="00371A11"/>
    <w:rsid w:val="00371A69"/>
    <w:rsid w:val="00371AA8"/>
    <w:rsid w:val="00371AB7"/>
    <w:rsid w:val="00371BD4"/>
    <w:rsid w:val="00371BD5"/>
    <w:rsid w:val="00371BDC"/>
    <w:rsid w:val="00371D74"/>
    <w:rsid w:val="00371DA4"/>
    <w:rsid w:val="00371E0C"/>
    <w:rsid w:val="00371E32"/>
    <w:rsid w:val="00371E3A"/>
    <w:rsid w:val="00371E3F"/>
    <w:rsid w:val="00371E73"/>
    <w:rsid w:val="00371E85"/>
    <w:rsid w:val="00371E87"/>
    <w:rsid w:val="00371F0D"/>
    <w:rsid w:val="00371F77"/>
    <w:rsid w:val="00371F9C"/>
    <w:rsid w:val="00372000"/>
    <w:rsid w:val="00372002"/>
    <w:rsid w:val="00372087"/>
    <w:rsid w:val="003720E4"/>
    <w:rsid w:val="003720FB"/>
    <w:rsid w:val="0037210E"/>
    <w:rsid w:val="003721BE"/>
    <w:rsid w:val="003721FB"/>
    <w:rsid w:val="00372213"/>
    <w:rsid w:val="00372287"/>
    <w:rsid w:val="003722D5"/>
    <w:rsid w:val="003722E3"/>
    <w:rsid w:val="00372332"/>
    <w:rsid w:val="0037237C"/>
    <w:rsid w:val="00372407"/>
    <w:rsid w:val="00372416"/>
    <w:rsid w:val="0037245F"/>
    <w:rsid w:val="003724C7"/>
    <w:rsid w:val="003724E9"/>
    <w:rsid w:val="00372564"/>
    <w:rsid w:val="0037257C"/>
    <w:rsid w:val="003725AB"/>
    <w:rsid w:val="003725B7"/>
    <w:rsid w:val="003725BC"/>
    <w:rsid w:val="003725CE"/>
    <w:rsid w:val="003725E0"/>
    <w:rsid w:val="003725FC"/>
    <w:rsid w:val="00372639"/>
    <w:rsid w:val="00372649"/>
    <w:rsid w:val="0037264E"/>
    <w:rsid w:val="00372678"/>
    <w:rsid w:val="0037270E"/>
    <w:rsid w:val="00372725"/>
    <w:rsid w:val="0037272C"/>
    <w:rsid w:val="00372754"/>
    <w:rsid w:val="003727E5"/>
    <w:rsid w:val="003728DA"/>
    <w:rsid w:val="0037293A"/>
    <w:rsid w:val="003729DB"/>
    <w:rsid w:val="00372A15"/>
    <w:rsid w:val="00372A25"/>
    <w:rsid w:val="00372AEA"/>
    <w:rsid w:val="00372B09"/>
    <w:rsid w:val="00372CE5"/>
    <w:rsid w:val="00372CFF"/>
    <w:rsid w:val="00372D1D"/>
    <w:rsid w:val="00372D23"/>
    <w:rsid w:val="00372D29"/>
    <w:rsid w:val="00372D61"/>
    <w:rsid w:val="00372DAB"/>
    <w:rsid w:val="00372E50"/>
    <w:rsid w:val="00372E56"/>
    <w:rsid w:val="00372E85"/>
    <w:rsid w:val="003730FD"/>
    <w:rsid w:val="00373172"/>
    <w:rsid w:val="0037322F"/>
    <w:rsid w:val="0037333A"/>
    <w:rsid w:val="00373398"/>
    <w:rsid w:val="003734BE"/>
    <w:rsid w:val="003734FE"/>
    <w:rsid w:val="0037352E"/>
    <w:rsid w:val="00373551"/>
    <w:rsid w:val="0037365B"/>
    <w:rsid w:val="00373691"/>
    <w:rsid w:val="003736D8"/>
    <w:rsid w:val="00373764"/>
    <w:rsid w:val="003737A8"/>
    <w:rsid w:val="00373873"/>
    <w:rsid w:val="003738BF"/>
    <w:rsid w:val="003738FF"/>
    <w:rsid w:val="00373983"/>
    <w:rsid w:val="003739E7"/>
    <w:rsid w:val="003739F9"/>
    <w:rsid w:val="00373A1F"/>
    <w:rsid w:val="00373A85"/>
    <w:rsid w:val="00373AFC"/>
    <w:rsid w:val="00373B64"/>
    <w:rsid w:val="00373BA5"/>
    <w:rsid w:val="00373BFA"/>
    <w:rsid w:val="00373CBC"/>
    <w:rsid w:val="00373DA3"/>
    <w:rsid w:val="00373DE8"/>
    <w:rsid w:val="00373F4C"/>
    <w:rsid w:val="00373F5F"/>
    <w:rsid w:val="00373FDB"/>
    <w:rsid w:val="00374063"/>
    <w:rsid w:val="00374138"/>
    <w:rsid w:val="0037413D"/>
    <w:rsid w:val="00374160"/>
    <w:rsid w:val="00374186"/>
    <w:rsid w:val="003741F9"/>
    <w:rsid w:val="00374226"/>
    <w:rsid w:val="0037429B"/>
    <w:rsid w:val="003742A7"/>
    <w:rsid w:val="003742C7"/>
    <w:rsid w:val="0037436B"/>
    <w:rsid w:val="003743BE"/>
    <w:rsid w:val="00374403"/>
    <w:rsid w:val="0037441B"/>
    <w:rsid w:val="00374578"/>
    <w:rsid w:val="0037459A"/>
    <w:rsid w:val="003745E3"/>
    <w:rsid w:val="00374601"/>
    <w:rsid w:val="0037461C"/>
    <w:rsid w:val="0037461F"/>
    <w:rsid w:val="0037463E"/>
    <w:rsid w:val="0037466D"/>
    <w:rsid w:val="003747EA"/>
    <w:rsid w:val="003747EC"/>
    <w:rsid w:val="003748B3"/>
    <w:rsid w:val="003748C8"/>
    <w:rsid w:val="003748D0"/>
    <w:rsid w:val="00374962"/>
    <w:rsid w:val="003749B1"/>
    <w:rsid w:val="00374A88"/>
    <w:rsid w:val="00374AC9"/>
    <w:rsid w:val="00374B07"/>
    <w:rsid w:val="00374C2E"/>
    <w:rsid w:val="00374C5B"/>
    <w:rsid w:val="00374CD9"/>
    <w:rsid w:val="00374CE7"/>
    <w:rsid w:val="00374D45"/>
    <w:rsid w:val="00374D4A"/>
    <w:rsid w:val="00374D6B"/>
    <w:rsid w:val="00374DE2"/>
    <w:rsid w:val="00374E14"/>
    <w:rsid w:val="00374E70"/>
    <w:rsid w:val="00374EDE"/>
    <w:rsid w:val="00374F12"/>
    <w:rsid w:val="00374F29"/>
    <w:rsid w:val="00374FD0"/>
    <w:rsid w:val="00374FDC"/>
    <w:rsid w:val="00375006"/>
    <w:rsid w:val="0037509D"/>
    <w:rsid w:val="003750B5"/>
    <w:rsid w:val="003750C1"/>
    <w:rsid w:val="003750F8"/>
    <w:rsid w:val="00375121"/>
    <w:rsid w:val="003751FF"/>
    <w:rsid w:val="0037520E"/>
    <w:rsid w:val="003752F7"/>
    <w:rsid w:val="003753CE"/>
    <w:rsid w:val="003753D6"/>
    <w:rsid w:val="003753E4"/>
    <w:rsid w:val="0037558F"/>
    <w:rsid w:val="00375672"/>
    <w:rsid w:val="00375789"/>
    <w:rsid w:val="0037583F"/>
    <w:rsid w:val="003758B0"/>
    <w:rsid w:val="003758EC"/>
    <w:rsid w:val="00375902"/>
    <w:rsid w:val="00375A64"/>
    <w:rsid w:val="00375AB0"/>
    <w:rsid w:val="00375ABC"/>
    <w:rsid w:val="00375B45"/>
    <w:rsid w:val="00375BA6"/>
    <w:rsid w:val="00375BCD"/>
    <w:rsid w:val="00375C08"/>
    <w:rsid w:val="00375C39"/>
    <w:rsid w:val="00375C97"/>
    <w:rsid w:val="00375CBB"/>
    <w:rsid w:val="00375CFF"/>
    <w:rsid w:val="00375D71"/>
    <w:rsid w:val="00375D7C"/>
    <w:rsid w:val="00375E10"/>
    <w:rsid w:val="00375E36"/>
    <w:rsid w:val="00375E55"/>
    <w:rsid w:val="00375EC5"/>
    <w:rsid w:val="00375F03"/>
    <w:rsid w:val="00375F43"/>
    <w:rsid w:val="00375F54"/>
    <w:rsid w:val="003760ED"/>
    <w:rsid w:val="003760F8"/>
    <w:rsid w:val="0037612A"/>
    <w:rsid w:val="00376183"/>
    <w:rsid w:val="003761AF"/>
    <w:rsid w:val="003761B0"/>
    <w:rsid w:val="003761C3"/>
    <w:rsid w:val="003761C7"/>
    <w:rsid w:val="003761D6"/>
    <w:rsid w:val="0037622B"/>
    <w:rsid w:val="0037627B"/>
    <w:rsid w:val="00376292"/>
    <w:rsid w:val="003762BD"/>
    <w:rsid w:val="003762FC"/>
    <w:rsid w:val="00376309"/>
    <w:rsid w:val="00376339"/>
    <w:rsid w:val="00376346"/>
    <w:rsid w:val="00376369"/>
    <w:rsid w:val="003766B7"/>
    <w:rsid w:val="00376709"/>
    <w:rsid w:val="00376752"/>
    <w:rsid w:val="003767BC"/>
    <w:rsid w:val="003767CB"/>
    <w:rsid w:val="003767F2"/>
    <w:rsid w:val="0037685E"/>
    <w:rsid w:val="00376928"/>
    <w:rsid w:val="00376959"/>
    <w:rsid w:val="0037697A"/>
    <w:rsid w:val="003769A4"/>
    <w:rsid w:val="00376A55"/>
    <w:rsid w:val="00376BBD"/>
    <w:rsid w:val="00376C49"/>
    <w:rsid w:val="00376CA8"/>
    <w:rsid w:val="00376D11"/>
    <w:rsid w:val="00376D59"/>
    <w:rsid w:val="00376D75"/>
    <w:rsid w:val="00376EBC"/>
    <w:rsid w:val="00376F7F"/>
    <w:rsid w:val="00376F89"/>
    <w:rsid w:val="0037700A"/>
    <w:rsid w:val="00377016"/>
    <w:rsid w:val="0037702A"/>
    <w:rsid w:val="0037711E"/>
    <w:rsid w:val="003771BE"/>
    <w:rsid w:val="003771CF"/>
    <w:rsid w:val="003771DD"/>
    <w:rsid w:val="0037723B"/>
    <w:rsid w:val="0037724B"/>
    <w:rsid w:val="0037727B"/>
    <w:rsid w:val="00377293"/>
    <w:rsid w:val="003772D6"/>
    <w:rsid w:val="003772E9"/>
    <w:rsid w:val="0037731A"/>
    <w:rsid w:val="003773F0"/>
    <w:rsid w:val="003773F6"/>
    <w:rsid w:val="00377521"/>
    <w:rsid w:val="00377522"/>
    <w:rsid w:val="0037753D"/>
    <w:rsid w:val="0037754D"/>
    <w:rsid w:val="00377579"/>
    <w:rsid w:val="003775E9"/>
    <w:rsid w:val="00377805"/>
    <w:rsid w:val="0037786D"/>
    <w:rsid w:val="0037786E"/>
    <w:rsid w:val="00377897"/>
    <w:rsid w:val="003778DB"/>
    <w:rsid w:val="0037794A"/>
    <w:rsid w:val="003779DC"/>
    <w:rsid w:val="00377A48"/>
    <w:rsid w:val="00377A52"/>
    <w:rsid w:val="00377B4A"/>
    <w:rsid w:val="00377B8D"/>
    <w:rsid w:val="00377BB8"/>
    <w:rsid w:val="00377BE1"/>
    <w:rsid w:val="00377BEA"/>
    <w:rsid w:val="00377BF4"/>
    <w:rsid w:val="00377BF5"/>
    <w:rsid w:val="00377BFC"/>
    <w:rsid w:val="00377C36"/>
    <w:rsid w:val="00377D10"/>
    <w:rsid w:val="00377D38"/>
    <w:rsid w:val="00377EAB"/>
    <w:rsid w:val="00377EBC"/>
    <w:rsid w:val="00377FB4"/>
    <w:rsid w:val="00380044"/>
    <w:rsid w:val="0038005C"/>
    <w:rsid w:val="00380141"/>
    <w:rsid w:val="00380158"/>
    <w:rsid w:val="0038017E"/>
    <w:rsid w:val="00380232"/>
    <w:rsid w:val="00380259"/>
    <w:rsid w:val="0038027D"/>
    <w:rsid w:val="00380353"/>
    <w:rsid w:val="003803CF"/>
    <w:rsid w:val="003803E4"/>
    <w:rsid w:val="00380461"/>
    <w:rsid w:val="0038049C"/>
    <w:rsid w:val="0038054C"/>
    <w:rsid w:val="0038055C"/>
    <w:rsid w:val="00380574"/>
    <w:rsid w:val="003805B2"/>
    <w:rsid w:val="003805DF"/>
    <w:rsid w:val="00380641"/>
    <w:rsid w:val="00380677"/>
    <w:rsid w:val="003806AF"/>
    <w:rsid w:val="00380724"/>
    <w:rsid w:val="00380755"/>
    <w:rsid w:val="00380759"/>
    <w:rsid w:val="003807A3"/>
    <w:rsid w:val="0038080C"/>
    <w:rsid w:val="00380825"/>
    <w:rsid w:val="003808C8"/>
    <w:rsid w:val="00380944"/>
    <w:rsid w:val="0038097F"/>
    <w:rsid w:val="00380A55"/>
    <w:rsid w:val="00380ACF"/>
    <w:rsid w:val="00380AF5"/>
    <w:rsid w:val="00380B67"/>
    <w:rsid w:val="00380CEA"/>
    <w:rsid w:val="00380D09"/>
    <w:rsid w:val="00380DFE"/>
    <w:rsid w:val="00380E06"/>
    <w:rsid w:val="00380E28"/>
    <w:rsid w:val="00380EBF"/>
    <w:rsid w:val="00380EC3"/>
    <w:rsid w:val="00380F39"/>
    <w:rsid w:val="00380F6D"/>
    <w:rsid w:val="00380F92"/>
    <w:rsid w:val="00380F98"/>
    <w:rsid w:val="00380FF2"/>
    <w:rsid w:val="00381035"/>
    <w:rsid w:val="003810A4"/>
    <w:rsid w:val="00381121"/>
    <w:rsid w:val="00381154"/>
    <w:rsid w:val="00381192"/>
    <w:rsid w:val="003811D2"/>
    <w:rsid w:val="00381286"/>
    <w:rsid w:val="003812E5"/>
    <w:rsid w:val="003813DA"/>
    <w:rsid w:val="00381441"/>
    <w:rsid w:val="0038147C"/>
    <w:rsid w:val="003814B0"/>
    <w:rsid w:val="003814FF"/>
    <w:rsid w:val="003815FC"/>
    <w:rsid w:val="00381611"/>
    <w:rsid w:val="003816DC"/>
    <w:rsid w:val="0038171B"/>
    <w:rsid w:val="0038177F"/>
    <w:rsid w:val="0038178C"/>
    <w:rsid w:val="0038183D"/>
    <w:rsid w:val="00381A78"/>
    <w:rsid w:val="00381AA8"/>
    <w:rsid w:val="00381AB7"/>
    <w:rsid w:val="00381AEB"/>
    <w:rsid w:val="00381B74"/>
    <w:rsid w:val="00381BD4"/>
    <w:rsid w:val="00381BF4"/>
    <w:rsid w:val="00381C71"/>
    <w:rsid w:val="00381C8F"/>
    <w:rsid w:val="00381D40"/>
    <w:rsid w:val="00381DBC"/>
    <w:rsid w:val="00381E1C"/>
    <w:rsid w:val="00381E77"/>
    <w:rsid w:val="00381E78"/>
    <w:rsid w:val="00381E87"/>
    <w:rsid w:val="00381EA2"/>
    <w:rsid w:val="00381EC1"/>
    <w:rsid w:val="00381F6A"/>
    <w:rsid w:val="00382065"/>
    <w:rsid w:val="0038211C"/>
    <w:rsid w:val="00382189"/>
    <w:rsid w:val="003821DD"/>
    <w:rsid w:val="0038222B"/>
    <w:rsid w:val="0038228D"/>
    <w:rsid w:val="003822AD"/>
    <w:rsid w:val="003822CF"/>
    <w:rsid w:val="00382522"/>
    <w:rsid w:val="00382555"/>
    <w:rsid w:val="00382574"/>
    <w:rsid w:val="00382635"/>
    <w:rsid w:val="00382670"/>
    <w:rsid w:val="0038267F"/>
    <w:rsid w:val="0038268C"/>
    <w:rsid w:val="0038275A"/>
    <w:rsid w:val="00382780"/>
    <w:rsid w:val="00382784"/>
    <w:rsid w:val="003827B0"/>
    <w:rsid w:val="003828DF"/>
    <w:rsid w:val="00382974"/>
    <w:rsid w:val="00382B33"/>
    <w:rsid w:val="00382B8B"/>
    <w:rsid w:val="00382B94"/>
    <w:rsid w:val="00382BA2"/>
    <w:rsid w:val="00382BFF"/>
    <w:rsid w:val="00382C85"/>
    <w:rsid w:val="00382CE5"/>
    <w:rsid w:val="00382D45"/>
    <w:rsid w:val="00382DDA"/>
    <w:rsid w:val="00382EBE"/>
    <w:rsid w:val="00382ECC"/>
    <w:rsid w:val="00382F04"/>
    <w:rsid w:val="00382F0E"/>
    <w:rsid w:val="00382F29"/>
    <w:rsid w:val="00382FB9"/>
    <w:rsid w:val="00383034"/>
    <w:rsid w:val="003830AA"/>
    <w:rsid w:val="003830CD"/>
    <w:rsid w:val="003831D1"/>
    <w:rsid w:val="0038324A"/>
    <w:rsid w:val="0038325C"/>
    <w:rsid w:val="003832D2"/>
    <w:rsid w:val="003832F2"/>
    <w:rsid w:val="0038336B"/>
    <w:rsid w:val="003833E4"/>
    <w:rsid w:val="003833F3"/>
    <w:rsid w:val="0038342D"/>
    <w:rsid w:val="003834A5"/>
    <w:rsid w:val="00383592"/>
    <w:rsid w:val="003835A3"/>
    <w:rsid w:val="003835C9"/>
    <w:rsid w:val="0038364E"/>
    <w:rsid w:val="0038367E"/>
    <w:rsid w:val="003836BB"/>
    <w:rsid w:val="003836F2"/>
    <w:rsid w:val="003836F5"/>
    <w:rsid w:val="0038373A"/>
    <w:rsid w:val="0038375C"/>
    <w:rsid w:val="00383788"/>
    <w:rsid w:val="00383789"/>
    <w:rsid w:val="003837AD"/>
    <w:rsid w:val="003837FC"/>
    <w:rsid w:val="00383861"/>
    <w:rsid w:val="003838D7"/>
    <w:rsid w:val="003838E2"/>
    <w:rsid w:val="00383927"/>
    <w:rsid w:val="0038398A"/>
    <w:rsid w:val="00383A18"/>
    <w:rsid w:val="00383AF5"/>
    <w:rsid w:val="00383B49"/>
    <w:rsid w:val="00383B50"/>
    <w:rsid w:val="00383B86"/>
    <w:rsid w:val="00383B89"/>
    <w:rsid w:val="00383BA9"/>
    <w:rsid w:val="00383BCC"/>
    <w:rsid w:val="00383C6F"/>
    <w:rsid w:val="00383C8B"/>
    <w:rsid w:val="00383CF8"/>
    <w:rsid w:val="00383DB7"/>
    <w:rsid w:val="00383DC2"/>
    <w:rsid w:val="00383EEE"/>
    <w:rsid w:val="00383FF8"/>
    <w:rsid w:val="00384033"/>
    <w:rsid w:val="003840F7"/>
    <w:rsid w:val="00384104"/>
    <w:rsid w:val="00384105"/>
    <w:rsid w:val="0038416E"/>
    <w:rsid w:val="003841FE"/>
    <w:rsid w:val="00384352"/>
    <w:rsid w:val="00384355"/>
    <w:rsid w:val="00384413"/>
    <w:rsid w:val="0038444C"/>
    <w:rsid w:val="00384484"/>
    <w:rsid w:val="003844D3"/>
    <w:rsid w:val="0038457D"/>
    <w:rsid w:val="0038458C"/>
    <w:rsid w:val="003845BA"/>
    <w:rsid w:val="003845FF"/>
    <w:rsid w:val="0038461A"/>
    <w:rsid w:val="00384643"/>
    <w:rsid w:val="0038464D"/>
    <w:rsid w:val="0038465A"/>
    <w:rsid w:val="0038465F"/>
    <w:rsid w:val="00384662"/>
    <w:rsid w:val="003846B4"/>
    <w:rsid w:val="003846CB"/>
    <w:rsid w:val="003846D6"/>
    <w:rsid w:val="0038473C"/>
    <w:rsid w:val="00384773"/>
    <w:rsid w:val="003847CD"/>
    <w:rsid w:val="00384804"/>
    <w:rsid w:val="00384868"/>
    <w:rsid w:val="003848B2"/>
    <w:rsid w:val="00384934"/>
    <w:rsid w:val="003849E0"/>
    <w:rsid w:val="00384B4D"/>
    <w:rsid w:val="00384B51"/>
    <w:rsid w:val="00384BD5"/>
    <w:rsid w:val="00384C99"/>
    <w:rsid w:val="00384CC0"/>
    <w:rsid w:val="00384D04"/>
    <w:rsid w:val="00384D05"/>
    <w:rsid w:val="00384D83"/>
    <w:rsid w:val="00384DAD"/>
    <w:rsid w:val="00384DE1"/>
    <w:rsid w:val="00384E9D"/>
    <w:rsid w:val="00384F90"/>
    <w:rsid w:val="00384FF1"/>
    <w:rsid w:val="00385014"/>
    <w:rsid w:val="003850A7"/>
    <w:rsid w:val="00385137"/>
    <w:rsid w:val="003851C7"/>
    <w:rsid w:val="0038521D"/>
    <w:rsid w:val="0038531E"/>
    <w:rsid w:val="00385327"/>
    <w:rsid w:val="0038533F"/>
    <w:rsid w:val="00385370"/>
    <w:rsid w:val="00385406"/>
    <w:rsid w:val="00385488"/>
    <w:rsid w:val="00385527"/>
    <w:rsid w:val="0038557D"/>
    <w:rsid w:val="003855B6"/>
    <w:rsid w:val="003855E8"/>
    <w:rsid w:val="0038561F"/>
    <w:rsid w:val="00385637"/>
    <w:rsid w:val="00385642"/>
    <w:rsid w:val="003856C3"/>
    <w:rsid w:val="00385787"/>
    <w:rsid w:val="00385823"/>
    <w:rsid w:val="00385848"/>
    <w:rsid w:val="00385889"/>
    <w:rsid w:val="00385979"/>
    <w:rsid w:val="00385AED"/>
    <w:rsid w:val="00385BB1"/>
    <w:rsid w:val="00385C48"/>
    <w:rsid w:val="00385C76"/>
    <w:rsid w:val="00385C79"/>
    <w:rsid w:val="00385DB3"/>
    <w:rsid w:val="00385E07"/>
    <w:rsid w:val="00385E87"/>
    <w:rsid w:val="00385F1B"/>
    <w:rsid w:val="00385F32"/>
    <w:rsid w:val="00385FC7"/>
    <w:rsid w:val="00386081"/>
    <w:rsid w:val="0038611E"/>
    <w:rsid w:val="00386150"/>
    <w:rsid w:val="003861FE"/>
    <w:rsid w:val="0038626A"/>
    <w:rsid w:val="00386395"/>
    <w:rsid w:val="0038640C"/>
    <w:rsid w:val="00386433"/>
    <w:rsid w:val="003864A2"/>
    <w:rsid w:val="00386515"/>
    <w:rsid w:val="00386534"/>
    <w:rsid w:val="0038653F"/>
    <w:rsid w:val="00386556"/>
    <w:rsid w:val="00386562"/>
    <w:rsid w:val="003865CA"/>
    <w:rsid w:val="00386624"/>
    <w:rsid w:val="0038670A"/>
    <w:rsid w:val="003867BF"/>
    <w:rsid w:val="003867D9"/>
    <w:rsid w:val="0038684C"/>
    <w:rsid w:val="0038687B"/>
    <w:rsid w:val="003868BB"/>
    <w:rsid w:val="00386902"/>
    <w:rsid w:val="0038692E"/>
    <w:rsid w:val="00386973"/>
    <w:rsid w:val="00386A16"/>
    <w:rsid w:val="00386A69"/>
    <w:rsid w:val="00386AA2"/>
    <w:rsid w:val="00386AEB"/>
    <w:rsid w:val="00386AEC"/>
    <w:rsid w:val="00386B6C"/>
    <w:rsid w:val="00386B97"/>
    <w:rsid w:val="00386BC9"/>
    <w:rsid w:val="00386BE5"/>
    <w:rsid w:val="00386C0E"/>
    <w:rsid w:val="00386C40"/>
    <w:rsid w:val="00386C5A"/>
    <w:rsid w:val="00386C5F"/>
    <w:rsid w:val="00386C60"/>
    <w:rsid w:val="00386CA4"/>
    <w:rsid w:val="00386D80"/>
    <w:rsid w:val="00386DDA"/>
    <w:rsid w:val="00386DDD"/>
    <w:rsid w:val="00386DE7"/>
    <w:rsid w:val="00386DFB"/>
    <w:rsid w:val="00386F8B"/>
    <w:rsid w:val="00387091"/>
    <w:rsid w:val="003870B3"/>
    <w:rsid w:val="003870F3"/>
    <w:rsid w:val="00387168"/>
    <w:rsid w:val="003871DA"/>
    <w:rsid w:val="0038722A"/>
    <w:rsid w:val="003872B3"/>
    <w:rsid w:val="00387331"/>
    <w:rsid w:val="003873BE"/>
    <w:rsid w:val="00387440"/>
    <w:rsid w:val="00387481"/>
    <w:rsid w:val="003874AE"/>
    <w:rsid w:val="0038754F"/>
    <w:rsid w:val="0038758E"/>
    <w:rsid w:val="003875A7"/>
    <w:rsid w:val="003875AB"/>
    <w:rsid w:val="0038766C"/>
    <w:rsid w:val="003876C6"/>
    <w:rsid w:val="003877BE"/>
    <w:rsid w:val="003877CD"/>
    <w:rsid w:val="003877E3"/>
    <w:rsid w:val="00387824"/>
    <w:rsid w:val="003878AE"/>
    <w:rsid w:val="00387997"/>
    <w:rsid w:val="003879D1"/>
    <w:rsid w:val="00387AAF"/>
    <w:rsid w:val="00387B21"/>
    <w:rsid w:val="00387B2F"/>
    <w:rsid w:val="00387BB0"/>
    <w:rsid w:val="00387BB9"/>
    <w:rsid w:val="00387BD4"/>
    <w:rsid w:val="00387C36"/>
    <w:rsid w:val="00387C75"/>
    <w:rsid w:val="00387D18"/>
    <w:rsid w:val="00387E0C"/>
    <w:rsid w:val="00387E6F"/>
    <w:rsid w:val="00387F82"/>
    <w:rsid w:val="00387F91"/>
    <w:rsid w:val="0039001A"/>
    <w:rsid w:val="00390071"/>
    <w:rsid w:val="0039011A"/>
    <w:rsid w:val="0039015C"/>
    <w:rsid w:val="00390177"/>
    <w:rsid w:val="003901CB"/>
    <w:rsid w:val="00390285"/>
    <w:rsid w:val="003902A6"/>
    <w:rsid w:val="003902CD"/>
    <w:rsid w:val="00390319"/>
    <w:rsid w:val="0039031C"/>
    <w:rsid w:val="003903BA"/>
    <w:rsid w:val="003903DF"/>
    <w:rsid w:val="00390422"/>
    <w:rsid w:val="00390436"/>
    <w:rsid w:val="00390490"/>
    <w:rsid w:val="00390515"/>
    <w:rsid w:val="00390566"/>
    <w:rsid w:val="00390573"/>
    <w:rsid w:val="003906AF"/>
    <w:rsid w:val="003906D2"/>
    <w:rsid w:val="003906F4"/>
    <w:rsid w:val="00390705"/>
    <w:rsid w:val="0039076A"/>
    <w:rsid w:val="003908A5"/>
    <w:rsid w:val="00390945"/>
    <w:rsid w:val="003909DA"/>
    <w:rsid w:val="00390A2C"/>
    <w:rsid w:val="00390A35"/>
    <w:rsid w:val="00390A56"/>
    <w:rsid w:val="00390A87"/>
    <w:rsid w:val="00390BD9"/>
    <w:rsid w:val="00390C41"/>
    <w:rsid w:val="00390CAA"/>
    <w:rsid w:val="00390CE2"/>
    <w:rsid w:val="00390D96"/>
    <w:rsid w:val="00390DA2"/>
    <w:rsid w:val="00390DF7"/>
    <w:rsid w:val="00390E58"/>
    <w:rsid w:val="00390F06"/>
    <w:rsid w:val="00390F24"/>
    <w:rsid w:val="00390F35"/>
    <w:rsid w:val="003910A9"/>
    <w:rsid w:val="003910BC"/>
    <w:rsid w:val="00391140"/>
    <w:rsid w:val="0039114B"/>
    <w:rsid w:val="0039115F"/>
    <w:rsid w:val="003911B7"/>
    <w:rsid w:val="00391322"/>
    <w:rsid w:val="00391356"/>
    <w:rsid w:val="0039137B"/>
    <w:rsid w:val="003913A3"/>
    <w:rsid w:val="003913C4"/>
    <w:rsid w:val="00391466"/>
    <w:rsid w:val="003914BC"/>
    <w:rsid w:val="003915F8"/>
    <w:rsid w:val="0039163D"/>
    <w:rsid w:val="00391686"/>
    <w:rsid w:val="003916D5"/>
    <w:rsid w:val="003916FF"/>
    <w:rsid w:val="00391766"/>
    <w:rsid w:val="003917D3"/>
    <w:rsid w:val="003917EC"/>
    <w:rsid w:val="003918BE"/>
    <w:rsid w:val="003918DF"/>
    <w:rsid w:val="003918F4"/>
    <w:rsid w:val="0039196D"/>
    <w:rsid w:val="003919BC"/>
    <w:rsid w:val="00391AD5"/>
    <w:rsid w:val="00391AF8"/>
    <w:rsid w:val="00391AFE"/>
    <w:rsid w:val="00391B3B"/>
    <w:rsid w:val="00391BC8"/>
    <w:rsid w:val="00391D43"/>
    <w:rsid w:val="00391E58"/>
    <w:rsid w:val="00391E5A"/>
    <w:rsid w:val="00391ECE"/>
    <w:rsid w:val="00391EE1"/>
    <w:rsid w:val="00391EE9"/>
    <w:rsid w:val="00391F32"/>
    <w:rsid w:val="00391FE5"/>
    <w:rsid w:val="00392132"/>
    <w:rsid w:val="003921D6"/>
    <w:rsid w:val="003921E3"/>
    <w:rsid w:val="0039226B"/>
    <w:rsid w:val="0039227B"/>
    <w:rsid w:val="003922C6"/>
    <w:rsid w:val="00392347"/>
    <w:rsid w:val="003923AF"/>
    <w:rsid w:val="003923B4"/>
    <w:rsid w:val="003923D5"/>
    <w:rsid w:val="00392437"/>
    <w:rsid w:val="00392472"/>
    <w:rsid w:val="003925B9"/>
    <w:rsid w:val="00392608"/>
    <w:rsid w:val="0039261C"/>
    <w:rsid w:val="00392755"/>
    <w:rsid w:val="00392845"/>
    <w:rsid w:val="003929EE"/>
    <w:rsid w:val="003929FE"/>
    <w:rsid w:val="00392A66"/>
    <w:rsid w:val="00392A82"/>
    <w:rsid w:val="00392AED"/>
    <w:rsid w:val="00392B3F"/>
    <w:rsid w:val="00392B99"/>
    <w:rsid w:val="00392C45"/>
    <w:rsid w:val="00392C61"/>
    <w:rsid w:val="00392CA6"/>
    <w:rsid w:val="00392D4A"/>
    <w:rsid w:val="00392E03"/>
    <w:rsid w:val="00392E18"/>
    <w:rsid w:val="00392E5C"/>
    <w:rsid w:val="00392EC2"/>
    <w:rsid w:val="00392F1C"/>
    <w:rsid w:val="00392FC6"/>
    <w:rsid w:val="00392FE9"/>
    <w:rsid w:val="003930C5"/>
    <w:rsid w:val="00393134"/>
    <w:rsid w:val="0039313C"/>
    <w:rsid w:val="00393280"/>
    <w:rsid w:val="00393308"/>
    <w:rsid w:val="003933BC"/>
    <w:rsid w:val="00393430"/>
    <w:rsid w:val="00393452"/>
    <w:rsid w:val="0039345E"/>
    <w:rsid w:val="0039349E"/>
    <w:rsid w:val="0039349F"/>
    <w:rsid w:val="003935AB"/>
    <w:rsid w:val="003935B2"/>
    <w:rsid w:val="0039363A"/>
    <w:rsid w:val="003936D0"/>
    <w:rsid w:val="0039373D"/>
    <w:rsid w:val="00393764"/>
    <w:rsid w:val="003939B0"/>
    <w:rsid w:val="003939E2"/>
    <w:rsid w:val="00393A15"/>
    <w:rsid w:val="00393AD0"/>
    <w:rsid w:val="00393C23"/>
    <w:rsid w:val="00393CE2"/>
    <w:rsid w:val="00393D07"/>
    <w:rsid w:val="00393D64"/>
    <w:rsid w:val="00393DF8"/>
    <w:rsid w:val="00393E18"/>
    <w:rsid w:val="00393EA3"/>
    <w:rsid w:val="00393EBA"/>
    <w:rsid w:val="00393F11"/>
    <w:rsid w:val="00393F2B"/>
    <w:rsid w:val="00393F3B"/>
    <w:rsid w:val="00393FA0"/>
    <w:rsid w:val="00393FAA"/>
    <w:rsid w:val="00394039"/>
    <w:rsid w:val="0039409A"/>
    <w:rsid w:val="0039410A"/>
    <w:rsid w:val="0039416E"/>
    <w:rsid w:val="00394174"/>
    <w:rsid w:val="00394319"/>
    <w:rsid w:val="00394361"/>
    <w:rsid w:val="00394364"/>
    <w:rsid w:val="0039437F"/>
    <w:rsid w:val="0039444E"/>
    <w:rsid w:val="0039445D"/>
    <w:rsid w:val="003944F9"/>
    <w:rsid w:val="00394505"/>
    <w:rsid w:val="00394524"/>
    <w:rsid w:val="00394545"/>
    <w:rsid w:val="0039455E"/>
    <w:rsid w:val="003945B4"/>
    <w:rsid w:val="0039466D"/>
    <w:rsid w:val="003946F5"/>
    <w:rsid w:val="0039474F"/>
    <w:rsid w:val="00394753"/>
    <w:rsid w:val="003947D0"/>
    <w:rsid w:val="00394839"/>
    <w:rsid w:val="00394841"/>
    <w:rsid w:val="00394874"/>
    <w:rsid w:val="00394881"/>
    <w:rsid w:val="003948DF"/>
    <w:rsid w:val="00394936"/>
    <w:rsid w:val="00394946"/>
    <w:rsid w:val="003949B0"/>
    <w:rsid w:val="003949F9"/>
    <w:rsid w:val="00394A5F"/>
    <w:rsid w:val="00394AB5"/>
    <w:rsid w:val="00394C12"/>
    <w:rsid w:val="00394C34"/>
    <w:rsid w:val="00394CF1"/>
    <w:rsid w:val="00394D7A"/>
    <w:rsid w:val="00394E4D"/>
    <w:rsid w:val="00394F15"/>
    <w:rsid w:val="00394F78"/>
    <w:rsid w:val="00394FDF"/>
    <w:rsid w:val="00395071"/>
    <w:rsid w:val="00395078"/>
    <w:rsid w:val="0039509B"/>
    <w:rsid w:val="003950A7"/>
    <w:rsid w:val="003950CC"/>
    <w:rsid w:val="003950FE"/>
    <w:rsid w:val="0039511F"/>
    <w:rsid w:val="0039512B"/>
    <w:rsid w:val="0039518F"/>
    <w:rsid w:val="003951E5"/>
    <w:rsid w:val="00395337"/>
    <w:rsid w:val="003953BD"/>
    <w:rsid w:val="00395570"/>
    <w:rsid w:val="00395646"/>
    <w:rsid w:val="0039568A"/>
    <w:rsid w:val="00395695"/>
    <w:rsid w:val="0039569D"/>
    <w:rsid w:val="0039587D"/>
    <w:rsid w:val="0039598C"/>
    <w:rsid w:val="00395995"/>
    <w:rsid w:val="003959E7"/>
    <w:rsid w:val="00395A6F"/>
    <w:rsid w:val="00395B59"/>
    <w:rsid w:val="00395B6F"/>
    <w:rsid w:val="00395C23"/>
    <w:rsid w:val="00395CD4"/>
    <w:rsid w:val="00395CF1"/>
    <w:rsid w:val="00395DB7"/>
    <w:rsid w:val="00395DD6"/>
    <w:rsid w:val="00395E8A"/>
    <w:rsid w:val="00395F26"/>
    <w:rsid w:val="00395FD1"/>
    <w:rsid w:val="00395FF0"/>
    <w:rsid w:val="0039602F"/>
    <w:rsid w:val="0039603B"/>
    <w:rsid w:val="00396042"/>
    <w:rsid w:val="00396062"/>
    <w:rsid w:val="00396072"/>
    <w:rsid w:val="0039607E"/>
    <w:rsid w:val="003960F2"/>
    <w:rsid w:val="00396132"/>
    <w:rsid w:val="00396170"/>
    <w:rsid w:val="00396247"/>
    <w:rsid w:val="00396297"/>
    <w:rsid w:val="003962A8"/>
    <w:rsid w:val="0039634C"/>
    <w:rsid w:val="0039635C"/>
    <w:rsid w:val="00396403"/>
    <w:rsid w:val="003964B2"/>
    <w:rsid w:val="00396500"/>
    <w:rsid w:val="00396574"/>
    <w:rsid w:val="003965CD"/>
    <w:rsid w:val="00396672"/>
    <w:rsid w:val="003966FB"/>
    <w:rsid w:val="003968B2"/>
    <w:rsid w:val="003968C7"/>
    <w:rsid w:val="003968FD"/>
    <w:rsid w:val="0039692C"/>
    <w:rsid w:val="00396968"/>
    <w:rsid w:val="00396982"/>
    <w:rsid w:val="003969DD"/>
    <w:rsid w:val="003969E1"/>
    <w:rsid w:val="00396A59"/>
    <w:rsid w:val="00396A96"/>
    <w:rsid w:val="00396AEA"/>
    <w:rsid w:val="00396AF0"/>
    <w:rsid w:val="00396B19"/>
    <w:rsid w:val="00396BB6"/>
    <w:rsid w:val="00396BCE"/>
    <w:rsid w:val="00396C99"/>
    <w:rsid w:val="00396EBD"/>
    <w:rsid w:val="00396EC5"/>
    <w:rsid w:val="00396F45"/>
    <w:rsid w:val="00396FE7"/>
    <w:rsid w:val="00397092"/>
    <w:rsid w:val="00397104"/>
    <w:rsid w:val="003971A9"/>
    <w:rsid w:val="003971EB"/>
    <w:rsid w:val="003972B8"/>
    <w:rsid w:val="003973EF"/>
    <w:rsid w:val="0039742A"/>
    <w:rsid w:val="00397580"/>
    <w:rsid w:val="003975FF"/>
    <w:rsid w:val="0039760D"/>
    <w:rsid w:val="00397638"/>
    <w:rsid w:val="0039764A"/>
    <w:rsid w:val="0039765B"/>
    <w:rsid w:val="003977AC"/>
    <w:rsid w:val="003977B3"/>
    <w:rsid w:val="0039788B"/>
    <w:rsid w:val="003978A0"/>
    <w:rsid w:val="003978C5"/>
    <w:rsid w:val="00397966"/>
    <w:rsid w:val="003979B1"/>
    <w:rsid w:val="003979B4"/>
    <w:rsid w:val="00397A00"/>
    <w:rsid w:val="00397A67"/>
    <w:rsid w:val="00397A84"/>
    <w:rsid w:val="00397AE1"/>
    <w:rsid w:val="00397B1D"/>
    <w:rsid w:val="00397B1F"/>
    <w:rsid w:val="00397C7E"/>
    <w:rsid w:val="00397C8A"/>
    <w:rsid w:val="00397D21"/>
    <w:rsid w:val="00397DBC"/>
    <w:rsid w:val="00397F51"/>
    <w:rsid w:val="00397F9A"/>
    <w:rsid w:val="00397FA7"/>
    <w:rsid w:val="003A0004"/>
    <w:rsid w:val="003A0008"/>
    <w:rsid w:val="003A00B7"/>
    <w:rsid w:val="003A00B8"/>
    <w:rsid w:val="003A00F6"/>
    <w:rsid w:val="003A0161"/>
    <w:rsid w:val="003A02E8"/>
    <w:rsid w:val="003A0356"/>
    <w:rsid w:val="003A0360"/>
    <w:rsid w:val="003A037E"/>
    <w:rsid w:val="003A04A6"/>
    <w:rsid w:val="003A04DE"/>
    <w:rsid w:val="003A0509"/>
    <w:rsid w:val="003A0539"/>
    <w:rsid w:val="003A0568"/>
    <w:rsid w:val="003A059B"/>
    <w:rsid w:val="003A06D2"/>
    <w:rsid w:val="003A074B"/>
    <w:rsid w:val="003A0766"/>
    <w:rsid w:val="003A0779"/>
    <w:rsid w:val="003A0816"/>
    <w:rsid w:val="003A082A"/>
    <w:rsid w:val="003A0900"/>
    <w:rsid w:val="003A092C"/>
    <w:rsid w:val="003A0945"/>
    <w:rsid w:val="003A095E"/>
    <w:rsid w:val="003A0960"/>
    <w:rsid w:val="003A0A3E"/>
    <w:rsid w:val="003A0A67"/>
    <w:rsid w:val="003A0A6B"/>
    <w:rsid w:val="003A0A86"/>
    <w:rsid w:val="003A0A90"/>
    <w:rsid w:val="003A0AE6"/>
    <w:rsid w:val="003A0BEB"/>
    <w:rsid w:val="003A0C8D"/>
    <w:rsid w:val="003A0CE7"/>
    <w:rsid w:val="003A0D90"/>
    <w:rsid w:val="003A0DA9"/>
    <w:rsid w:val="003A0E04"/>
    <w:rsid w:val="003A0E52"/>
    <w:rsid w:val="003A0E62"/>
    <w:rsid w:val="003A0F69"/>
    <w:rsid w:val="003A0F93"/>
    <w:rsid w:val="003A0FE4"/>
    <w:rsid w:val="003A0FE5"/>
    <w:rsid w:val="003A0FF5"/>
    <w:rsid w:val="003A10ED"/>
    <w:rsid w:val="003A10FE"/>
    <w:rsid w:val="003A116E"/>
    <w:rsid w:val="003A117B"/>
    <w:rsid w:val="003A11B2"/>
    <w:rsid w:val="003A12B4"/>
    <w:rsid w:val="003A1357"/>
    <w:rsid w:val="003A1378"/>
    <w:rsid w:val="003A139B"/>
    <w:rsid w:val="003A13CA"/>
    <w:rsid w:val="003A1427"/>
    <w:rsid w:val="003A14F1"/>
    <w:rsid w:val="003A1500"/>
    <w:rsid w:val="003A150E"/>
    <w:rsid w:val="003A1577"/>
    <w:rsid w:val="003A15CD"/>
    <w:rsid w:val="003A15D5"/>
    <w:rsid w:val="003A1637"/>
    <w:rsid w:val="003A1648"/>
    <w:rsid w:val="003A1687"/>
    <w:rsid w:val="003A1693"/>
    <w:rsid w:val="003A1697"/>
    <w:rsid w:val="003A1757"/>
    <w:rsid w:val="003A1833"/>
    <w:rsid w:val="003A18F0"/>
    <w:rsid w:val="003A19DA"/>
    <w:rsid w:val="003A19DD"/>
    <w:rsid w:val="003A1A80"/>
    <w:rsid w:val="003A1B62"/>
    <w:rsid w:val="003A1BC9"/>
    <w:rsid w:val="003A1BED"/>
    <w:rsid w:val="003A1DA8"/>
    <w:rsid w:val="003A1E22"/>
    <w:rsid w:val="003A1E34"/>
    <w:rsid w:val="003A1E7E"/>
    <w:rsid w:val="003A1EF2"/>
    <w:rsid w:val="003A1F15"/>
    <w:rsid w:val="003A1FAD"/>
    <w:rsid w:val="003A1FE9"/>
    <w:rsid w:val="003A2030"/>
    <w:rsid w:val="003A2093"/>
    <w:rsid w:val="003A20A8"/>
    <w:rsid w:val="003A20C1"/>
    <w:rsid w:val="003A20C2"/>
    <w:rsid w:val="003A20C5"/>
    <w:rsid w:val="003A210E"/>
    <w:rsid w:val="003A2126"/>
    <w:rsid w:val="003A218A"/>
    <w:rsid w:val="003A21EC"/>
    <w:rsid w:val="003A2294"/>
    <w:rsid w:val="003A22A7"/>
    <w:rsid w:val="003A22CD"/>
    <w:rsid w:val="003A22DE"/>
    <w:rsid w:val="003A22FD"/>
    <w:rsid w:val="003A2374"/>
    <w:rsid w:val="003A237D"/>
    <w:rsid w:val="003A25A5"/>
    <w:rsid w:val="003A25AB"/>
    <w:rsid w:val="003A2605"/>
    <w:rsid w:val="003A2650"/>
    <w:rsid w:val="003A2653"/>
    <w:rsid w:val="003A266F"/>
    <w:rsid w:val="003A2742"/>
    <w:rsid w:val="003A2812"/>
    <w:rsid w:val="003A281C"/>
    <w:rsid w:val="003A286C"/>
    <w:rsid w:val="003A28B5"/>
    <w:rsid w:val="003A28EE"/>
    <w:rsid w:val="003A2908"/>
    <w:rsid w:val="003A2925"/>
    <w:rsid w:val="003A2958"/>
    <w:rsid w:val="003A295D"/>
    <w:rsid w:val="003A2A41"/>
    <w:rsid w:val="003A2A56"/>
    <w:rsid w:val="003A2A7F"/>
    <w:rsid w:val="003A2A82"/>
    <w:rsid w:val="003A2AAE"/>
    <w:rsid w:val="003A2ABF"/>
    <w:rsid w:val="003A2AE2"/>
    <w:rsid w:val="003A2AFF"/>
    <w:rsid w:val="003A2B86"/>
    <w:rsid w:val="003A2BB8"/>
    <w:rsid w:val="003A2BE0"/>
    <w:rsid w:val="003A2CB7"/>
    <w:rsid w:val="003A2CE3"/>
    <w:rsid w:val="003A2CF1"/>
    <w:rsid w:val="003A2D3F"/>
    <w:rsid w:val="003A2D83"/>
    <w:rsid w:val="003A2E24"/>
    <w:rsid w:val="003A2E4F"/>
    <w:rsid w:val="003A2EE2"/>
    <w:rsid w:val="003A2EFE"/>
    <w:rsid w:val="003A2F13"/>
    <w:rsid w:val="003A2F27"/>
    <w:rsid w:val="003A2F2D"/>
    <w:rsid w:val="003A2FBE"/>
    <w:rsid w:val="003A3001"/>
    <w:rsid w:val="003A3033"/>
    <w:rsid w:val="003A3042"/>
    <w:rsid w:val="003A30AC"/>
    <w:rsid w:val="003A31CC"/>
    <w:rsid w:val="003A3262"/>
    <w:rsid w:val="003A32BA"/>
    <w:rsid w:val="003A330A"/>
    <w:rsid w:val="003A338E"/>
    <w:rsid w:val="003A33C5"/>
    <w:rsid w:val="003A33CA"/>
    <w:rsid w:val="003A3501"/>
    <w:rsid w:val="003A356C"/>
    <w:rsid w:val="003A357A"/>
    <w:rsid w:val="003A3600"/>
    <w:rsid w:val="003A36C2"/>
    <w:rsid w:val="003A3705"/>
    <w:rsid w:val="003A37AB"/>
    <w:rsid w:val="003A37FB"/>
    <w:rsid w:val="003A3910"/>
    <w:rsid w:val="003A393D"/>
    <w:rsid w:val="003A398B"/>
    <w:rsid w:val="003A3A51"/>
    <w:rsid w:val="003A3C37"/>
    <w:rsid w:val="003A3C63"/>
    <w:rsid w:val="003A3C98"/>
    <w:rsid w:val="003A3CC7"/>
    <w:rsid w:val="003A3CFB"/>
    <w:rsid w:val="003A3DF9"/>
    <w:rsid w:val="003A3E4F"/>
    <w:rsid w:val="003A3F08"/>
    <w:rsid w:val="003A3F45"/>
    <w:rsid w:val="003A3F4E"/>
    <w:rsid w:val="003A400F"/>
    <w:rsid w:val="003A403F"/>
    <w:rsid w:val="003A418B"/>
    <w:rsid w:val="003A419E"/>
    <w:rsid w:val="003A41A9"/>
    <w:rsid w:val="003A41F5"/>
    <w:rsid w:val="003A4266"/>
    <w:rsid w:val="003A4299"/>
    <w:rsid w:val="003A430C"/>
    <w:rsid w:val="003A43D1"/>
    <w:rsid w:val="003A4445"/>
    <w:rsid w:val="003A445E"/>
    <w:rsid w:val="003A4474"/>
    <w:rsid w:val="003A44F9"/>
    <w:rsid w:val="003A4501"/>
    <w:rsid w:val="003A4539"/>
    <w:rsid w:val="003A4599"/>
    <w:rsid w:val="003A45AE"/>
    <w:rsid w:val="003A45B8"/>
    <w:rsid w:val="003A464F"/>
    <w:rsid w:val="003A46CF"/>
    <w:rsid w:val="003A46EE"/>
    <w:rsid w:val="003A4716"/>
    <w:rsid w:val="003A48BC"/>
    <w:rsid w:val="003A49A1"/>
    <w:rsid w:val="003A49AA"/>
    <w:rsid w:val="003A49D4"/>
    <w:rsid w:val="003A4A3B"/>
    <w:rsid w:val="003A4ABF"/>
    <w:rsid w:val="003A4B86"/>
    <w:rsid w:val="003A4BB5"/>
    <w:rsid w:val="003A4BDB"/>
    <w:rsid w:val="003A4BF7"/>
    <w:rsid w:val="003A4C0A"/>
    <w:rsid w:val="003A4C44"/>
    <w:rsid w:val="003A4CA5"/>
    <w:rsid w:val="003A4D7C"/>
    <w:rsid w:val="003A4EC0"/>
    <w:rsid w:val="003A4EE0"/>
    <w:rsid w:val="003A5015"/>
    <w:rsid w:val="003A50B3"/>
    <w:rsid w:val="003A51DE"/>
    <w:rsid w:val="003A52E5"/>
    <w:rsid w:val="003A5310"/>
    <w:rsid w:val="003A533F"/>
    <w:rsid w:val="003A542B"/>
    <w:rsid w:val="003A54C2"/>
    <w:rsid w:val="003A54CC"/>
    <w:rsid w:val="003A554E"/>
    <w:rsid w:val="003A5584"/>
    <w:rsid w:val="003A55D6"/>
    <w:rsid w:val="003A55F6"/>
    <w:rsid w:val="003A5608"/>
    <w:rsid w:val="003A56C3"/>
    <w:rsid w:val="003A56FB"/>
    <w:rsid w:val="003A573C"/>
    <w:rsid w:val="003A5742"/>
    <w:rsid w:val="003A5762"/>
    <w:rsid w:val="003A5790"/>
    <w:rsid w:val="003A59F2"/>
    <w:rsid w:val="003A5A3C"/>
    <w:rsid w:val="003A5AF9"/>
    <w:rsid w:val="003A5B83"/>
    <w:rsid w:val="003A5BA6"/>
    <w:rsid w:val="003A5BFF"/>
    <w:rsid w:val="003A5C1B"/>
    <w:rsid w:val="003A5C5D"/>
    <w:rsid w:val="003A5C83"/>
    <w:rsid w:val="003A5D29"/>
    <w:rsid w:val="003A5D7B"/>
    <w:rsid w:val="003A5D8A"/>
    <w:rsid w:val="003A5DFC"/>
    <w:rsid w:val="003A5E47"/>
    <w:rsid w:val="003A5E51"/>
    <w:rsid w:val="003A5F2B"/>
    <w:rsid w:val="003A5F8C"/>
    <w:rsid w:val="003A5F96"/>
    <w:rsid w:val="003A5FE1"/>
    <w:rsid w:val="003A6006"/>
    <w:rsid w:val="003A6046"/>
    <w:rsid w:val="003A6058"/>
    <w:rsid w:val="003A6125"/>
    <w:rsid w:val="003A6200"/>
    <w:rsid w:val="003A62E8"/>
    <w:rsid w:val="003A6303"/>
    <w:rsid w:val="003A6353"/>
    <w:rsid w:val="003A65E5"/>
    <w:rsid w:val="003A6610"/>
    <w:rsid w:val="003A664D"/>
    <w:rsid w:val="003A670F"/>
    <w:rsid w:val="003A67EA"/>
    <w:rsid w:val="003A680A"/>
    <w:rsid w:val="003A6841"/>
    <w:rsid w:val="003A68A6"/>
    <w:rsid w:val="003A68F3"/>
    <w:rsid w:val="003A6980"/>
    <w:rsid w:val="003A6A8A"/>
    <w:rsid w:val="003A6B22"/>
    <w:rsid w:val="003A6C1C"/>
    <w:rsid w:val="003A6C7C"/>
    <w:rsid w:val="003A6CA3"/>
    <w:rsid w:val="003A6D06"/>
    <w:rsid w:val="003A6D5C"/>
    <w:rsid w:val="003A6D6C"/>
    <w:rsid w:val="003A6D87"/>
    <w:rsid w:val="003A6DBC"/>
    <w:rsid w:val="003A6E21"/>
    <w:rsid w:val="003A6E62"/>
    <w:rsid w:val="003A6FA3"/>
    <w:rsid w:val="003A6FE5"/>
    <w:rsid w:val="003A70FC"/>
    <w:rsid w:val="003A710C"/>
    <w:rsid w:val="003A7185"/>
    <w:rsid w:val="003A723D"/>
    <w:rsid w:val="003A72C2"/>
    <w:rsid w:val="003A7373"/>
    <w:rsid w:val="003A7389"/>
    <w:rsid w:val="003A73BE"/>
    <w:rsid w:val="003A748D"/>
    <w:rsid w:val="003A74C7"/>
    <w:rsid w:val="003A7617"/>
    <w:rsid w:val="003A76A9"/>
    <w:rsid w:val="003A76FC"/>
    <w:rsid w:val="003A7744"/>
    <w:rsid w:val="003A77A9"/>
    <w:rsid w:val="003A77F9"/>
    <w:rsid w:val="003A7974"/>
    <w:rsid w:val="003A79DD"/>
    <w:rsid w:val="003A7A18"/>
    <w:rsid w:val="003A7AA1"/>
    <w:rsid w:val="003A7AC0"/>
    <w:rsid w:val="003A7BAC"/>
    <w:rsid w:val="003A7C07"/>
    <w:rsid w:val="003A7C31"/>
    <w:rsid w:val="003A7C35"/>
    <w:rsid w:val="003A7CE9"/>
    <w:rsid w:val="003A7D0A"/>
    <w:rsid w:val="003A7D10"/>
    <w:rsid w:val="003A7DB1"/>
    <w:rsid w:val="003A7DBD"/>
    <w:rsid w:val="003A7E09"/>
    <w:rsid w:val="003A7E50"/>
    <w:rsid w:val="003A7EF3"/>
    <w:rsid w:val="003A7F13"/>
    <w:rsid w:val="003A7F7F"/>
    <w:rsid w:val="003B0051"/>
    <w:rsid w:val="003B007A"/>
    <w:rsid w:val="003B011E"/>
    <w:rsid w:val="003B0123"/>
    <w:rsid w:val="003B0147"/>
    <w:rsid w:val="003B0232"/>
    <w:rsid w:val="003B023E"/>
    <w:rsid w:val="003B0280"/>
    <w:rsid w:val="003B0329"/>
    <w:rsid w:val="003B0356"/>
    <w:rsid w:val="003B047D"/>
    <w:rsid w:val="003B04E7"/>
    <w:rsid w:val="003B0513"/>
    <w:rsid w:val="003B0720"/>
    <w:rsid w:val="003B07F6"/>
    <w:rsid w:val="003B0835"/>
    <w:rsid w:val="003B08F2"/>
    <w:rsid w:val="003B09B7"/>
    <w:rsid w:val="003B0BA1"/>
    <w:rsid w:val="003B0CE9"/>
    <w:rsid w:val="003B0D75"/>
    <w:rsid w:val="003B0DC2"/>
    <w:rsid w:val="003B0DEE"/>
    <w:rsid w:val="003B0E27"/>
    <w:rsid w:val="003B0E2D"/>
    <w:rsid w:val="003B0E91"/>
    <w:rsid w:val="003B0EF3"/>
    <w:rsid w:val="003B0F1A"/>
    <w:rsid w:val="003B0F1D"/>
    <w:rsid w:val="003B0F32"/>
    <w:rsid w:val="003B0F73"/>
    <w:rsid w:val="003B0F84"/>
    <w:rsid w:val="003B0FD4"/>
    <w:rsid w:val="003B106F"/>
    <w:rsid w:val="003B10C7"/>
    <w:rsid w:val="003B111E"/>
    <w:rsid w:val="003B1139"/>
    <w:rsid w:val="003B113F"/>
    <w:rsid w:val="003B1163"/>
    <w:rsid w:val="003B1178"/>
    <w:rsid w:val="003B117B"/>
    <w:rsid w:val="003B1235"/>
    <w:rsid w:val="003B1299"/>
    <w:rsid w:val="003B12A9"/>
    <w:rsid w:val="003B12ED"/>
    <w:rsid w:val="003B12F9"/>
    <w:rsid w:val="003B133F"/>
    <w:rsid w:val="003B137D"/>
    <w:rsid w:val="003B1388"/>
    <w:rsid w:val="003B13B2"/>
    <w:rsid w:val="003B13DF"/>
    <w:rsid w:val="003B13F5"/>
    <w:rsid w:val="003B143B"/>
    <w:rsid w:val="003B14D6"/>
    <w:rsid w:val="003B1520"/>
    <w:rsid w:val="003B1556"/>
    <w:rsid w:val="003B1594"/>
    <w:rsid w:val="003B15AE"/>
    <w:rsid w:val="003B15EC"/>
    <w:rsid w:val="003B168E"/>
    <w:rsid w:val="003B1698"/>
    <w:rsid w:val="003B169C"/>
    <w:rsid w:val="003B16A4"/>
    <w:rsid w:val="003B1757"/>
    <w:rsid w:val="003B1786"/>
    <w:rsid w:val="003B17D8"/>
    <w:rsid w:val="003B1805"/>
    <w:rsid w:val="003B185B"/>
    <w:rsid w:val="003B185C"/>
    <w:rsid w:val="003B18E4"/>
    <w:rsid w:val="003B1920"/>
    <w:rsid w:val="003B19A8"/>
    <w:rsid w:val="003B1A23"/>
    <w:rsid w:val="003B1A9B"/>
    <w:rsid w:val="003B1AE1"/>
    <w:rsid w:val="003B1BF8"/>
    <w:rsid w:val="003B1C1D"/>
    <w:rsid w:val="003B1CF8"/>
    <w:rsid w:val="003B1D84"/>
    <w:rsid w:val="003B1DB6"/>
    <w:rsid w:val="003B1F84"/>
    <w:rsid w:val="003B1FDE"/>
    <w:rsid w:val="003B2040"/>
    <w:rsid w:val="003B206E"/>
    <w:rsid w:val="003B20A3"/>
    <w:rsid w:val="003B2128"/>
    <w:rsid w:val="003B2167"/>
    <w:rsid w:val="003B21AF"/>
    <w:rsid w:val="003B2203"/>
    <w:rsid w:val="003B2223"/>
    <w:rsid w:val="003B227A"/>
    <w:rsid w:val="003B2305"/>
    <w:rsid w:val="003B2367"/>
    <w:rsid w:val="003B23C5"/>
    <w:rsid w:val="003B23E9"/>
    <w:rsid w:val="003B2483"/>
    <w:rsid w:val="003B2573"/>
    <w:rsid w:val="003B25C2"/>
    <w:rsid w:val="003B2683"/>
    <w:rsid w:val="003B272B"/>
    <w:rsid w:val="003B2761"/>
    <w:rsid w:val="003B2766"/>
    <w:rsid w:val="003B27B6"/>
    <w:rsid w:val="003B282A"/>
    <w:rsid w:val="003B2831"/>
    <w:rsid w:val="003B286A"/>
    <w:rsid w:val="003B28E8"/>
    <w:rsid w:val="003B2947"/>
    <w:rsid w:val="003B2952"/>
    <w:rsid w:val="003B29C1"/>
    <w:rsid w:val="003B2A0F"/>
    <w:rsid w:val="003B2AC2"/>
    <w:rsid w:val="003B2C2A"/>
    <w:rsid w:val="003B2C53"/>
    <w:rsid w:val="003B2E1F"/>
    <w:rsid w:val="003B2EB8"/>
    <w:rsid w:val="003B2F1A"/>
    <w:rsid w:val="003B2F60"/>
    <w:rsid w:val="003B2F65"/>
    <w:rsid w:val="003B2FC7"/>
    <w:rsid w:val="003B3018"/>
    <w:rsid w:val="003B302F"/>
    <w:rsid w:val="003B3074"/>
    <w:rsid w:val="003B31B4"/>
    <w:rsid w:val="003B31B7"/>
    <w:rsid w:val="003B31F1"/>
    <w:rsid w:val="003B332D"/>
    <w:rsid w:val="003B33EA"/>
    <w:rsid w:val="003B3474"/>
    <w:rsid w:val="003B34C2"/>
    <w:rsid w:val="003B356C"/>
    <w:rsid w:val="003B3582"/>
    <w:rsid w:val="003B3688"/>
    <w:rsid w:val="003B36A7"/>
    <w:rsid w:val="003B36DB"/>
    <w:rsid w:val="003B36E8"/>
    <w:rsid w:val="003B378B"/>
    <w:rsid w:val="003B37D5"/>
    <w:rsid w:val="003B37EC"/>
    <w:rsid w:val="003B3834"/>
    <w:rsid w:val="003B3837"/>
    <w:rsid w:val="003B3857"/>
    <w:rsid w:val="003B38EF"/>
    <w:rsid w:val="003B390E"/>
    <w:rsid w:val="003B3915"/>
    <w:rsid w:val="003B39B7"/>
    <w:rsid w:val="003B39E8"/>
    <w:rsid w:val="003B3A06"/>
    <w:rsid w:val="003B3A52"/>
    <w:rsid w:val="003B3A79"/>
    <w:rsid w:val="003B3B29"/>
    <w:rsid w:val="003B3B47"/>
    <w:rsid w:val="003B3C9D"/>
    <w:rsid w:val="003B3CFA"/>
    <w:rsid w:val="003B3D16"/>
    <w:rsid w:val="003B3E55"/>
    <w:rsid w:val="003B3EA6"/>
    <w:rsid w:val="003B3ED3"/>
    <w:rsid w:val="003B3EEA"/>
    <w:rsid w:val="003B3F79"/>
    <w:rsid w:val="003B3F94"/>
    <w:rsid w:val="003B4016"/>
    <w:rsid w:val="003B4084"/>
    <w:rsid w:val="003B40B0"/>
    <w:rsid w:val="003B4180"/>
    <w:rsid w:val="003B4186"/>
    <w:rsid w:val="003B41B0"/>
    <w:rsid w:val="003B4235"/>
    <w:rsid w:val="003B4245"/>
    <w:rsid w:val="003B4254"/>
    <w:rsid w:val="003B425C"/>
    <w:rsid w:val="003B42BD"/>
    <w:rsid w:val="003B42C7"/>
    <w:rsid w:val="003B42F7"/>
    <w:rsid w:val="003B4331"/>
    <w:rsid w:val="003B4416"/>
    <w:rsid w:val="003B44E5"/>
    <w:rsid w:val="003B450F"/>
    <w:rsid w:val="003B4512"/>
    <w:rsid w:val="003B4578"/>
    <w:rsid w:val="003B45DD"/>
    <w:rsid w:val="003B46A3"/>
    <w:rsid w:val="003B46D6"/>
    <w:rsid w:val="003B47A0"/>
    <w:rsid w:val="003B47BA"/>
    <w:rsid w:val="003B47BC"/>
    <w:rsid w:val="003B4898"/>
    <w:rsid w:val="003B4994"/>
    <w:rsid w:val="003B49A0"/>
    <w:rsid w:val="003B4A23"/>
    <w:rsid w:val="003B4A73"/>
    <w:rsid w:val="003B4AAD"/>
    <w:rsid w:val="003B4B4F"/>
    <w:rsid w:val="003B4B6F"/>
    <w:rsid w:val="003B4B9D"/>
    <w:rsid w:val="003B4BD5"/>
    <w:rsid w:val="003B4C53"/>
    <w:rsid w:val="003B4C5C"/>
    <w:rsid w:val="003B4D4F"/>
    <w:rsid w:val="003B4E26"/>
    <w:rsid w:val="003B4E33"/>
    <w:rsid w:val="003B4E36"/>
    <w:rsid w:val="003B4E47"/>
    <w:rsid w:val="003B4F5B"/>
    <w:rsid w:val="003B4FE5"/>
    <w:rsid w:val="003B5090"/>
    <w:rsid w:val="003B50AD"/>
    <w:rsid w:val="003B5121"/>
    <w:rsid w:val="003B5128"/>
    <w:rsid w:val="003B5130"/>
    <w:rsid w:val="003B5136"/>
    <w:rsid w:val="003B51A3"/>
    <w:rsid w:val="003B520F"/>
    <w:rsid w:val="003B5260"/>
    <w:rsid w:val="003B52FB"/>
    <w:rsid w:val="003B5466"/>
    <w:rsid w:val="003B549A"/>
    <w:rsid w:val="003B5583"/>
    <w:rsid w:val="003B558D"/>
    <w:rsid w:val="003B55DB"/>
    <w:rsid w:val="003B55F7"/>
    <w:rsid w:val="003B56A2"/>
    <w:rsid w:val="003B56BF"/>
    <w:rsid w:val="003B56C0"/>
    <w:rsid w:val="003B56C5"/>
    <w:rsid w:val="003B5727"/>
    <w:rsid w:val="003B57A2"/>
    <w:rsid w:val="003B57E7"/>
    <w:rsid w:val="003B58A2"/>
    <w:rsid w:val="003B58F2"/>
    <w:rsid w:val="003B58F7"/>
    <w:rsid w:val="003B5916"/>
    <w:rsid w:val="003B5968"/>
    <w:rsid w:val="003B5A7F"/>
    <w:rsid w:val="003B5B0F"/>
    <w:rsid w:val="003B5BAD"/>
    <w:rsid w:val="003B5BD3"/>
    <w:rsid w:val="003B5CBF"/>
    <w:rsid w:val="003B5CC4"/>
    <w:rsid w:val="003B5CC6"/>
    <w:rsid w:val="003B5D1D"/>
    <w:rsid w:val="003B5D28"/>
    <w:rsid w:val="003B5DC1"/>
    <w:rsid w:val="003B5DCF"/>
    <w:rsid w:val="003B5DDA"/>
    <w:rsid w:val="003B5DF3"/>
    <w:rsid w:val="003B5E16"/>
    <w:rsid w:val="003B5E27"/>
    <w:rsid w:val="003B5E45"/>
    <w:rsid w:val="003B5E5A"/>
    <w:rsid w:val="003B5EBB"/>
    <w:rsid w:val="003B5EC7"/>
    <w:rsid w:val="003B5F88"/>
    <w:rsid w:val="003B5FBB"/>
    <w:rsid w:val="003B5FEE"/>
    <w:rsid w:val="003B5FFF"/>
    <w:rsid w:val="003B60F7"/>
    <w:rsid w:val="003B6110"/>
    <w:rsid w:val="003B6141"/>
    <w:rsid w:val="003B6233"/>
    <w:rsid w:val="003B623B"/>
    <w:rsid w:val="003B628C"/>
    <w:rsid w:val="003B63F3"/>
    <w:rsid w:val="003B6428"/>
    <w:rsid w:val="003B645B"/>
    <w:rsid w:val="003B64CE"/>
    <w:rsid w:val="003B6580"/>
    <w:rsid w:val="003B6583"/>
    <w:rsid w:val="003B6659"/>
    <w:rsid w:val="003B665D"/>
    <w:rsid w:val="003B6686"/>
    <w:rsid w:val="003B671A"/>
    <w:rsid w:val="003B6733"/>
    <w:rsid w:val="003B673B"/>
    <w:rsid w:val="003B676B"/>
    <w:rsid w:val="003B6807"/>
    <w:rsid w:val="003B6812"/>
    <w:rsid w:val="003B681E"/>
    <w:rsid w:val="003B685C"/>
    <w:rsid w:val="003B68CF"/>
    <w:rsid w:val="003B68D3"/>
    <w:rsid w:val="003B68D4"/>
    <w:rsid w:val="003B69B5"/>
    <w:rsid w:val="003B69EA"/>
    <w:rsid w:val="003B6B04"/>
    <w:rsid w:val="003B6B42"/>
    <w:rsid w:val="003B6BA3"/>
    <w:rsid w:val="003B6BD5"/>
    <w:rsid w:val="003B6BEC"/>
    <w:rsid w:val="003B6C10"/>
    <w:rsid w:val="003B6C4E"/>
    <w:rsid w:val="003B6D4D"/>
    <w:rsid w:val="003B6DA5"/>
    <w:rsid w:val="003B6EF6"/>
    <w:rsid w:val="003B6FD5"/>
    <w:rsid w:val="003B6FF5"/>
    <w:rsid w:val="003B6FFC"/>
    <w:rsid w:val="003B7085"/>
    <w:rsid w:val="003B70E1"/>
    <w:rsid w:val="003B7190"/>
    <w:rsid w:val="003B71E1"/>
    <w:rsid w:val="003B7203"/>
    <w:rsid w:val="003B7233"/>
    <w:rsid w:val="003B7262"/>
    <w:rsid w:val="003B7279"/>
    <w:rsid w:val="003B7354"/>
    <w:rsid w:val="003B73DC"/>
    <w:rsid w:val="003B7452"/>
    <w:rsid w:val="003B74AD"/>
    <w:rsid w:val="003B74E7"/>
    <w:rsid w:val="003B7526"/>
    <w:rsid w:val="003B75B1"/>
    <w:rsid w:val="003B761D"/>
    <w:rsid w:val="003B7656"/>
    <w:rsid w:val="003B7690"/>
    <w:rsid w:val="003B7704"/>
    <w:rsid w:val="003B773F"/>
    <w:rsid w:val="003B77C1"/>
    <w:rsid w:val="003B77FB"/>
    <w:rsid w:val="003B77FE"/>
    <w:rsid w:val="003B7867"/>
    <w:rsid w:val="003B78C0"/>
    <w:rsid w:val="003B7A40"/>
    <w:rsid w:val="003B7ACB"/>
    <w:rsid w:val="003B7AD7"/>
    <w:rsid w:val="003B7ADA"/>
    <w:rsid w:val="003B7B2A"/>
    <w:rsid w:val="003B7C31"/>
    <w:rsid w:val="003B7C32"/>
    <w:rsid w:val="003B7DD0"/>
    <w:rsid w:val="003B7E69"/>
    <w:rsid w:val="003B7ED3"/>
    <w:rsid w:val="003B7EE0"/>
    <w:rsid w:val="003B7EE1"/>
    <w:rsid w:val="003B7F2E"/>
    <w:rsid w:val="003B7FBA"/>
    <w:rsid w:val="003C023B"/>
    <w:rsid w:val="003C0275"/>
    <w:rsid w:val="003C0282"/>
    <w:rsid w:val="003C02D5"/>
    <w:rsid w:val="003C03DE"/>
    <w:rsid w:val="003C0404"/>
    <w:rsid w:val="003C0409"/>
    <w:rsid w:val="003C0435"/>
    <w:rsid w:val="003C0458"/>
    <w:rsid w:val="003C047E"/>
    <w:rsid w:val="003C04D9"/>
    <w:rsid w:val="003C0503"/>
    <w:rsid w:val="003C0570"/>
    <w:rsid w:val="003C0577"/>
    <w:rsid w:val="003C05C5"/>
    <w:rsid w:val="003C05E8"/>
    <w:rsid w:val="003C0745"/>
    <w:rsid w:val="003C0756"/>
    <w:rsid w:val="003C076D"/>
    <w:rsid w:val="003C07C7"/>
    <w:rsid w:val="003C0880"/>
    <w:rsid w:val="003C0903"/>
    <w:rsid w:val="003C0932"/>
    <w:rsid w:val="003C0936"/>
    <w:rsid w:val="003C093B"/>
    <w:rsid w:val="003C0979"/>
    <w:rsid w:val="003C0998"/>
    <w:rsid w:val="003C09CC"/>
    <w:rsid w:val="003C0A20"/>
    <w:rsid w:val="003C0A31"/>
    <w:rsid w:val="003C0AC5"/>
    <w:rsid w:val="003C0B15"/>
    <w:rsid w:val="003C0BBF"/>
    <w:rsid w:val="003C0C69"/>
    <w:rsid w:val="003C0CDF"/>
    <w:rsid w:val="003C0D39"/>
    <w:rsid w:val="003C0DDF"/>
    <w:rsid w:val="003C0E11"/>
    <w:rsid w:val="003C0E4C"/>
    <w:rsid w:val="003C0E74"/>
    <w:rsid w:val="003C0F1A"/>
    <w:rsid w:val="003C0F31"/>
    <w:rsid w:val="003C0F42"/>
    <w:rsid w:val="003C0F72"/>
    <w:rsid w:val="003C0F86"/>
    <w:rsid w:val="003C0F8E"/>
    <w:rsid w:val="003C105C"/>
    <w:rsid w:val="003C10B7"/>
    <w:rsid w:val="003C10BD"/>
    <w:rsid w:val="003C1168"/>
    <w:rsid w:val="003C11F5"/>
    <w:rsid w:val="003C121F"/>
    <w:rsid w:val="003C12C6"/>
    <w:rsid w:val="003C1360"/>
    <w:rsid w:val="003C13CC"/>
    <w:rsid w:val="003C1428"/>
    <w:rsid w:val="003C14AD"/>
    <w:rsid w:val="003C15A2"/>
    <w:rsid w:val="003C16D4"/>
    <w:rsid w:val="003C171D"/>
    <w:rsid w:val="003C1787"/>
    <w:rsid w:val="003C17B5"/>
    <w:rsid w:val="003C17E7"/>
    <w:rsid w:val="003C183A"/>
    <w:rsid w:val="003C184E"/>
    <w:rsid w:val="003C1873"/>
    <w:rsid w:val="003C1882"/>
    <w:rsid w:val="003C1899"/>
    <w:rsid w:val="003C18B2"/>
    <w:rsid w:val="003C18CC"/>
    <w:rsid w:val="003C18F5"/>
    <w:rsid w:val="003C18FA"/>
    <w:rsid w:val="003C19A6"/>
    <w:rsid w:val="003C19D9"/>
    <w:rsid w:val="003C1A0E"/>
    <w:rsid w:val="003C1AC7"/>
    <w:rsid w:val="003C1BAB"/>
    <w:rsid w:val="003C1C09"/>
    <w:rsid w:val="003C1C71"/>
    <w:rsid w:val="003C1CE8"/>
    <w:rsid w:val="003C1D08"/>
    <w:rsid w:val="003C1D21"/>
    <w:rsid w:val="003C1D2E"/>
    <w:rsid w:val="003C1DF3"/>
    <w:rsid w:val="003C1E03"/>
    <w:rsid w:val="003C1E18"/>
    <w:rsid w:val="003C1E1C"/>
    <w:rsid w:val="003C1EA2"/>
    <w:rsid w:val="003C1F29"/>
    <w:rsid w:val="003C1FF0"/>
    <w:rsid w:val="003C207A"/>
    <w:rsid w:val="003C20A2"/>
    <w:rsid w:val="003C219F"/>
    <w:rsid w:val="003C21EC"/>
    <w:rsid w:val="003C22A0"/>
    <w:rsid w:val="003C22B2"/>
    <w:rsid w:val="003C2352"/>
    <w:rsid w:val="003C237A"/>
    <w:rsid w:val="003C238C"/>
    <w:rsid w:val="003C23CE"/>
    <w:rsid w:val="003C24BC"/>
    <w:rsid w:val="003C251F"/>
    <w:rsid w:val="003C25D9"/>
    <w:rsid w:val="003C2693"/>
    <w:rsid w:val="003C26F4"/>
    <w:rsid w:val="003C276B"/>
    <w:rsid w:val="003C2797"/>
    <w:rsid w:val="003C27BC"/>
    <w:rsid w:val="003C28E2"/>
    <w:rsid w:val="003C292F"/>
    <w:rsid w:val="003C29EC"/>
    <w:rsid w:val="003C2A2A"/>
    <w:rsid w:val="003C2A5A"/>
    <w:rsid w:val="003C2A9D"/>
    <w:rsid w:val="003C2AF4"/>
    <w:rsid w:val="003C2B10"/>
    <w:rsid w:val="003C2B8F"/>
    <w:rsid w:val="003C2C2C"/>
    <w:rsid w:val="003C2C9D"/>
    <w:rsid w:val="003C2CB6"/>
    <w:rsid w:val="003C2CD9"/>
    <w:rsid w:val="003C2D27"/>
    <w:rsid w:val="003C2D79"/>
    <w:rsid w:val="003C2E20"/>
    <w:rsid w:val="003C2E9B"/>
    <w:rsid w:val="003C2EFD"/>
    <w:rsid w:val="003C2F5E"/>
    <w:rsid w:val="003C2FAE"/>
    <w:rsid w:val="003C3121"/>
    <w:rsid w:val="003C3178"/>
    <w:rsid w:val="003C3183"/>
    <w:rsid w:val="003C31C2"/>
    <w:rsid w:val="003C31E3"/>
    <w:rsid w:val="003C3236"/>
    <w:rsid w:val="003C3243"/>
    <w:rsid w:val="003C325D"/>
    <w:rsid w:val="003C3274"/>
    <w:rsid w:val="003C3279"/>
    <w:rsid w:val="003C32FA"/>
    <w:rsid w:val="003C3310"/>
    <w:rsid w:val="003C33CF"/>
    <w:rsid w:val="003C33D8"/>
    <w:rsid w:val="003C349E"/>
    <w:rsid w:val="003C34A2"/>
    <w:rsid w:val="003C351A"/>
    <w:rsid w:val="003C35C7"/>
    <w:rsid w:val="003C35FB"/>
    <w:rsid w:val="003C370F"/>
    <w:rsid w:val="003C3761"/>
    <w:rsid w:val="003C37A3"/>
    <w:rsid w:val="003C37A8"/>
    <w:rsid w:val="003C37D9"/>
    <w:rsid w:val="003C37EB"/>
    <w:rsid w:val="003C387B"/>
    <w:rsid w:val="003C388D"/>
    <w:rsid w:val="003C38BE"/>
    <w:rsid w:val="003C3963"/>
    <w:rsid w:val="003C39AA"/>
    <w:rsid w:val="003C39C4"/>
    <w:rsid w:val="003C39E5"/>
    <w:rsid w:val="003C3A1A"/>
    <w:rsid w:val="003C3A96"/>
    <w:rsid w:val="003C3A9D"/>
    <w:rsid w:val="003C3C48"/>
    <w:rsid w:val="003C3C57"/>
    <w:rsid w:val="003C3D4C"/>
    <w:rsid w:val="003C3E16"/>
    <w:rsid w:val="003C3E46"/>
    <w:rsid w:val="003C3E82"/>
    <w:rsid w:val="003C3FFF"/>
    <w:rsid w:val="003C403C"/>
    <w:rsid w:val="003C40A1"/>
    <w:rsid w:val="003C4176"/>
    <w:rsid w:val="003C4361"/>
    <w:rsid w:val="003C437C"/>
    <w:rsid w:val="003C438F"/>
    <w:rsid w:val="003C43A2"/>
    <w:rsid w:val="003C43D4"/>
    <w:rsid w:val="003C4513"/>
    <w:rsid w:val="003C4533"/>
    <w:rsid w:val="003C4569"/>
    <w:rsid w:val="003C458B"/>
    <w:rsid w:val="003C45B4"/>
    <w:rsid w:val="003C45DD"/>
    <w:rsid w:val="003C45E9"/>
    <w:rsid w:val="003C45F5"/>
    <w:rsid w:val="003C45F7"/>
    <w:rsid w:val="003C468A"/>
    <w:rsid w:val="003C4699"/>
    <w:rsid w:val="003C46AB"/>
    <w:rsid w:val="003C46B2"/>
    <w:rsid w:val="003C46C7"/>
    <w:rsid w:val="003C4736"/>
    <w:rsid w:val="003C482A"/>
    <w:rsid w:val="003C48E0"/>
    <w:rsid w:val="003C48E2"/>
    <w:rsid w:val="003C492C"/>
    <w:rsid w:val="003C496C"/>
    <w:rsid w:val="003C4980"/>
    <w:rsid w:val="003C49E9"/>
    <w:rsid w:val="003C4A08"/>
    <w:rsid w:val="003C4BF6"/>
    <w:rsid w:val="003C4C55"/>
    <w:rsid w:val="003C4C99"/>
    <w:rsid w:val="003C4CA0"/>
    <w:rsid w:val="003C4D30"/>
    <w:rsid w:val="003C4E4F"/>
    <w:rsid w:val="003C4E81"/>
    <w:rsid w:val="003C4ED5"/>
    <w:rsid w:val="003C5068"/>
    <w:rsid w:val="003C5108"/>
    <w:rsid w:val="003C5197"/>
    <w:rsid w:val="003C519E"/>
    <w:rsid w:val="003C51EB"/>
    <w:rsid w:val="003C52A6"/>
    <w:rsid w:val="003C53A5"/>
    <w:rsid w:val="003C54EB"/>
    <w:rsid w:val="003C554F"/>
    <w:rsid w:val="003C5642"/>
    <w:rsid w:val="003C565E"/>
    <w:rsid w:val="003C567E"/>
    <w:rsid w:val="003C5693"/>
    <w:rsid w:val="003C577C"/>
    <w:rsid w:val="003C577E"/>
    <w:rsid w:val="003C5915"/>
    <w:rsid w:val="003C5938"/>
    <w:rsid w:val="003C5957"/>
    <w:rsid w:val="003C59E6"/>
    <w:rsid w:val="003C5A0B"/>
    <w:rsid w:val="003C5A55"/>
    <w:rsid w:val="003C5B0B"/>
    <w:rsid w:val="003C5B16"/>
    <w:rsid w:val="003C5B6D"/>
    <w:rsid w:val="003C5B79"/>
    <w:rsid w:val="003C5B88"/>
    <w:rsid w:val="003C5C1D"/>
    <w:rsid w:val="003C5C9A"/>
    <w:rsid w:val="003C5CA4"/>
    <w:rsid w:val="003C5E51"/>
    <w:rsid w:val="003C5F36"/>
    <w:rsid w:val="003C5F3D"/>
    <w:rsid w:val="003C5F5C"/>
    <w:rsid w:val="003C6188"/>
    <w:rsid w:val="003C6212"/>
    <w:rsid w:val="003C621E"/>
    <w:rsid w:val="003C62A7"/>
    <w:rsid w:val="003C6305"/>
    <w:rsid w:val="003C6426"/>
    <w:rsid w:val="003C645E"/>
    <w:rsid w:val="003C65A9"/>
    <w:rsid w:val="003C668A"/>
    <w:rsid w:val="003C674D"/>
    <w:rsid w:val="003C675E"/>
    <w:rsid w:val="003C6793"/>
    <w:rsid w:val="003C67CA"/>
    <w:rsid w:val="003C68AC"/>
    <w:rsid w:val="003C68DA"/>
    <w:rsid w:val="003C68F9"/>
    <w:rsid w:val="003C696D"/>
    <w:rsid w:val="003C69C0"/>
    <w:rsid w:val="003C6A42"/>
    <w:rsid w:val="003C6A60"/>
    <w:rsid w:val="003C6B27"/>
    <w:rsid w:val="003C6BE6"/>
    <w:rsid w:val="003C6CA1"/>
    <w:rsid w:val="003C6D16"/>
    <w:rsid w:val="003C6D23"/>
    <w:rsid w:val="003C6D4C"/>
    <w:rsid w:val="003C6D98"/>
    <w:rsid w:val="003C6DE6"/>
    <w:rsid w:val="003C6F55"/>
    <w:rsid w:val="003C6FCF"/>
    <w:rsid w:val="003C6FD2"/>
    <w:rsid w:val="003C7009"/>
    <w:rsid w:val="003C70B0"/>
    <w:rsid w:val="003C7118"/>
    <w:rsid w:val="003C7147"/>
    <w:rsid w:val="003C71CC"/>
    <w:rsid w:val="003C71E2"/>
    <w:rsid w:val="003C726C"/>
    <w:rsid w:val="003C7293"/>
    <w:rsid w:val="003C72AA"/>
    <w:rsid w:val="003C73D1"/>
    <w:rsid w:val="003C748F"/>
    <w:rsid w:val="003C74F2"/>
    <w:rsid w:val="003C7539"/>
    <w:rsid w:val="003C7555"/>
    <w:rsid w:val="003C7722"/>
    <w:rsid w:val="003C7734"/>
    <w:rsid w:val="003C77C1"/>
    <w:rsid w:val="003C782B"/>
    <w:rsid w:val="003C782F"/>
    <w:rsid w:val="003C7851"/>
    <w:rsid w:val="003C785E"/>
    <w:rsid w:val="003C79D2"/>
    <w:rsid w:val="003C7A69"/>
    <w:rsid w:val="003C7A93"/>
    <w:rsid w:val="003C7B42"/>
    <w:rsid w:val="003C7BDE"/>
    <w:rsid w:val="003C7C39"/>
    <w:rsid w:val="003C7CF0"/>
    <w:rsid w:val="003C7D62"/>
    <w:rsid w:val="003C7D89"/>
    <w:rsid w:val="003C7D90"/>
    <w:rsid w:val="003C7E0E"/>
    <w:rsid w:val="003C7E3A"/>
    <w:rsid w:val="003C7E77"/>
    <w:rsid w:val="003C7EF8"/>
    <w:rsid w:val="003C7FB8"/>
    <w:rsid w:val="003C7FC4"/>
    <w:rsid w:val="003D00A4"/>
    <w:rsid w:val="003D012A"/>
    <w:rsid w:val="003D0218"/>
    <w:rsid w:val="003D04E8"/>
    <w:rsid w:val="003D0527"/>
    <w:rsid w:val="003D063F"/>
    <w:rsid w:val="003D06AC"/>
    <w:rsid w:val="003D06BC"/>
    <w:rsid w:val="003D0728"/>
    <w:rsid w:val="003D0730"/>
    <w:rsid w:val="003D07C9"/>
    <w:rsid w:val="003D0828"/>
    <w:rsid w:val="003D089D"/>
    <w:rsid w:val="003D08D3"/>
    <w:rsid w:val="003D08F4"/>
    <w:rsid w:val="003D09D2"/>
    <w:rsid w:val="003D0B29"/>
    <w:rsid w:val="003D0B34"/>
    <w:rsid w:val="003D0B8B"/>
    <w:rsid w:val="003D0BAF"/>
    <w:rsid w:val="003D0BFD"/>
    <w:rsid w:val="003D0C3B"/>
    <w:rsid w:val="003D0C51"/>
    <w:rsid w:val="003D0C56"/>
    <w:rsid w:val="003D0CAB"/>
    <w:rsid w:val="003D0CB7"/>
    <w:rsid w:val="003D0CC3"/>
    <w:rsid w:val="003D0CF7"/>
    <w:rsid w:val="003D0D32"/>
    <w:rsid w:val="003D0D69"/>
    <w:rsid w:val="003D0DDA"/>
    <w:rsid w:val="003D0DED"/>
    <w:rsid w:val="003D0DFD"/>
    <w:rsid w:val="003D0F3A"/>
    <w:rsid w:val="003D0F55"/>
    <w:rsid w:val="003D1000"/>
    <w:rsid w:val="003D1016"/>
    <w:rsid w:val="003D10C7"/>
    <w:rsid w:val="003D10F2"/>
    <w:rsid w:val="003D1120"/>
    <w:rsid w:val="003D1208"/>
    <w:rsid w:val="003D120C"/>
    <w:rsid w:val="003D1248"/>
    <w:rsid w:val="003D1335"/>
    <w:rsid w:val="003D13A8"/>
    <w:rsid w:val="003D1402"/>
    <w:rsid w:val="003D1409"/>
    <w:rsid w:val="003D14A8"/>
    <w:rsid w:val="003D14DB"/>
    <w:rsid w:val="003D160D"/>
    <w:rsid w:val="003D1664"/>
    <w:rsid w:val="003D16AB"/>
    <w:rsid w:val="003D1701"/>
    <w:rsid w:val="003D1773"/>
    <w:rsid w:val="003D1781"/>
    <w:rsid w:val="003D17EA"/>
    <w:rsid w:val="003D17F1"/>
    <w:rsid w:val="003D19FC"/>
    <w:rsid w:val="003D1A36"/>
    <w:rsid w:val="003D1A3E"/>
    <w:rsid w:val="003D1CDA"/>
    <w:rsid w:val="003D1DE0"/>
    <w:rsid w:val="003D1EBA"/>
    <w:rsid w:val="003D201F"/>
    <w:rsid w:val="003D2104"/>
    <w:rsid w:val="003D210B"/>
    <w:rsid w:val="003D214E"/>
    <w:rsid w:val="003D21D9"/>
    <w:rsid w:val="003D222F"/>
    <w:rsid w:val="003D22CD"/>
    <w:rsid w:val="003D22E5"/>
    <w:rsid w:val="003D2385"/>
    <w:rsid w:val="003D23F3"/>
    <w:rsid w:val="003D245A"/>
    <w:rsid w:val="003D2481"/>
    <w:rsid w:val="003D24B0"/>
    <w:rsid w:val="003D24B6"/>
    <w:rsid w:val="003D24D0"/>
    <w:rsid w:val="003D24DB"/>
    <w:rsid w:val="003D2523"/>
    <w:rsid w:val="003D2594"/>
    <w:rsid w:val="003D25C5"/>
    <w:rsid w:val="003D26A5"/>
    <w:rsid w:val="003D26F9"/>
    <w:rsid w:val="003D2724"/>
    <w:rsid w:val="003D274F"/>
    <w:rsid w:val="003D276A"/>
    <w:rsid w:val="003D277E"/>
    <w:rsid w:val="003D2782"/>
    <w:rsid w:val="003D27B5"/>
    <w:rsid w:val="003D2818"/>
    <w:rsid w:val="003D28BB"/>
    <w:rsid w:val="003D28C1"/>
    <w:rsid w:val="003D2986"/>
    <w:rsid w:val="003D2A3C"/>
    <w:rsid w:val="003D2AE2"/>
    <w:rsid w:val="003D2B43"/>
    <w:rsid w:val="003D2B63"/>
    <w:rsid w:val="003D2BB4"/>
    <w:rsid w:val="003D2BFF"/>
    <w:rsid w:val="003D2C36"/>
    <w:rsid w:val="003D2C5E"/>
    <w:rsid w:val="003D2DAD"/>
    <w:rsid w:val="003D2DAF"/>
    <w:rsid w:val="003D2DD8"/>
    <w:rsid w:val="003D2E0A"/>
    <w:rsid w:val="003D2E35"/>
    <w:rsid w:val="003D2EC2"/>
    <w:rsid w:val="003D2F3E"/>
    <w:rsid w:val="003D2F47"/>
    <w:rsid w:val="003D2F57"/>
    <w:rsid w:val="003D2FDF"/>
    <w:rsid w:val="003D3051"/>
    <w:rsid w:val="003D309F"/>
    <w:rsid w:val="003D3127"/>
    <w:rsid w:val="003D3293"/>
    <w:rsid w:val="003D330A"/>
    <w:rsid w:val="003D3342"/>
    <w:rsid w:val="003D3379"/>
    <w:rsid w:val="003D33A1"/>
    <w:rsid w:val="003D33A8"/>
    <w:rsid w:val="003D3443"/>
    <w:rsid w:val="003D34C3"/>
    <w:rsid w:val="003D34D2"/>
    <w:rsid w:val="003D34E3"/>
    <w:rsid w:val="003D34E5"/>
    <w:rsid w:val="003D3603"/>
    <w:rsid w:val="003D36ED"/>
    <w:rsid w:val="003D3783"/>
    <w:rsid w:val="003D3797"/>
    <w:rsid w:val="003D3866"/>
    <w:rsid w:val="003D392E"/>
    <w:rsid w:val="003D3949"/>
    <w:rsid w:val="003D39CC"/>
    <w:rsid w:val="003D39F3"/>
    <w:rsid w:val="003D3AA7"/>
    <w:rsid w:val="003D3ABE"/>
    <w:rsid w:val="003D3B37"/>
    <w:rsid w:val="003D3BBB"/>
    <w:rsid w:val="003D3C94"/>
    <w:rsid w:val="003D3E66"/>
    <w:rsid w:val="003D3E9C"/>
    <w:rsid w:val="003D3F31"/>
    <w:rsid w:val="003D3F8B"/>
    <w:rsid w:val="003D3FBF"/>
    <w:rsid w:val="003D3FCA"/>
    <w:rsid w:val="003D4018"/>
    <w:rsid w:val="003D4181"/>
    <w:rsid w:val="003D41C7"/>
    <w:rsid w:val="003D41E8"/>
    <w:rsid w:val="003D421F"/>
    <w:rsid w:val="003D4322"/>
    <w:rsid w:val="003D433C"/>
    <w:rsid w:val="003D4351"/>
    <w:rsid w:val="003D43D4"/>
    <w:rsid w:val="003D43F5"/>
    <w:rsid w:val="003D4471"/>
    <w:rsid w:val="003D448E"/>
    <w:rsid w:val="003D44C3"/>
    <w:rsid w:val="003D452E"/>
    <w:rsid w:val="003D4557"/>
    <w:rsid w:val="003D45CD"/>
    <w:rsid w:val="003D470D"/>
    <w:rsid w:val="003D4741"/>
    <w:rsid w:val="003D4788"/>
    <w:rsid w:val="003D47AE"/>
    <w:rsid w:val="003D47CB"/>
    <w:rsid w:val="003D47D4"/>
    <w:rsid w:val="003D47FE"/>
    <w:rsid w:val="003D4805"/>
    <w:rsid w:val="003D4818"/>
    <w:rsid w:val="003D487B"/>
    <w:rsid w:val="003D49D3"/>
    <w:rsid w:val="003D49D8"/>
    <w:rsid w:val="003D4B7A"/>
    <w:rsid w:val="003D4C41"/>
    <w:rsid w:val="003D4C65"/>
    <w:rsid w:val="003D4D72"/>
    <w:rsid w:val="003D4DDB"/>
    <w:rsid w:val="003D4E1A"/>
    <w:rsid w:val="003D4ED1"/>
    <w:rsid w:val="003D4F46"/>
    <w:rsid w:val="003D4F89"/>
    <w:rsid w:val="003D4FBD"/>
    <w:rsid w:val="003D4FCE"/>
    <w:rsid w:val="003D5120"/>
    <w:rsid w:val="003D5210"/>
    <w:rsid w:val="003D526A"/>
    <w:rsid w:val="003D52DD"/>
    <w:rsid w:val="003D52E7"/>
    <w:rsid w:val="003D52F5"/>
    <w:rsid w:val="003D537D"/>
    <w:rsid w:val="003D5395"/>
    <w:rsid w:val="003D53AA"/>
    <w:rsid w:val="003D5449"/>
    <w:rsid w:val="003D5482"/>
    <w:rsid w:val="003D5543"/>
    <w:rsid w:val="003D5557"/>
    <w:rsid w:val="003D5567"/>
    <w:rsid w:val="003D556A"/>
    <w:rsid w:val="003D558E"/>
    <w:rsid w:val="003D55D0"/>
    <w:rsid w:val="003D55EC"/>
    <w:rsid w:val="003D5628"/>
    <w:rsid w:val="003D563B"/>
    <w:rsid w:val="003D5667"/>
    <w:rsid w:val="003D566B"/>
    <w:rsid w:val="003D5686"/>
    <w:rsid w:val="003D56AC"/>
    <w:rsid w:val="003D56AE"/>
    <w:rsid w:val="003D5702"/>
    <w:rsid w:val="003D5704"/>
    <w:rsid w:val="003D571D"/>
    <w:rsid w:val="003D5781"/>
    <w:rsid w:val="003D5827"/>
    <w:rsid w:val="003D5835"/>
    <w:rsid w:val="003D5928"/>
    <w:rsid w:val="003D5948"/>
    <w:rsid w:val="003D5999"/>
    <w:rsid w:val="003D5A1A"/>
    <w:rsid w:val="003D5A69"/>
    <w:rsid w:val="003D5AA9"/>
    <w:rsid w:val="003D5B08"/>
    <w:rsid w:val="003D5B5F"/>
    <w:rsid w:val="003D5BE2"/>
    <w:rsid w:val="003D5BEE"/>
    <w:rsid w:val="003D5C4E"/>
    <w:rsid w:val="003D5CF1"/>
    <w:rsid w:val="003D5D25"/>
    <w:rsid w:val="003D5D39"/>
    <w:rsid w:val="003D5D7C"/>
    <w:rsid w:val="003D5EDF"/>
    <w:rsid w:val="003D5F4F"/>
    <w:rsid w:val="003D5F9B"/>
    <w:rsid w:val="003D6078"/>
    <w:rsid w:val="003D6177"/>
    <w:rsid w:val="003D618B"/>
    <w:rsid w:val="003D6192"/>
    <w:rsid w:val="003D6204"/>
    <w:rsid w:val="003D6207"/>
    <w:rsid w:val="003D6249"/>
    <w:rsid w:val="003D6274"/>
    <w:rsid w:val="003D630F"/>
    <w:rsid w:val="003D63E0"/>
    <w:rsid w:val="003D6421"/>
    <w:rsid w:val="003D64E1"/>
    <w:rsid w:val="003D6544"/>
    <w:rsid w:val="003D6551"/>
    <w:rsid w:val="003D655D"/>
    <w:rsid w:val="003D6611"/>
    <w:rsid w:val="003D663A"/>
    <w:rsid w:val="003D6645"/>
    <w:rsid w:val="003D673D"/>
    <w:rsid w:val="003D6743"/>
    <w:rsid w:val="003D6853"/>
    <w:rsid w:val="003D68A1"/>
    <w:rsid w:val="003D6A69"/>
    <w:rsid w:val="003D6A9C"/>
    <w:rsid w:val="003D6ACC"/>
    <w:rsid w:val="003D6B03"/>
    <w:rsid w:val="003D6B12"/>
    <w:rsid w:val="003D6B31"/>
    <w:rsid w:val="003D6BA0"/>
    <w:rsid w:val="003D6BCC"/>
    <w:rsid w:val="003D6C05"/>
    <w:rsid w:val="003D6C1F"/>
    <w:rsid w:val="003D6D31"/>
    <w:rsid w:val="003D6D41"/>
    <w:rsid w:val="003D6D79"/>
    <w:rsid w:val="003D6E59"/>
    <w:rsid w:val="003D6F77"/>
    <w:rsid w:val="003D6F8E"/>
    <w:rsid w:val="003D6FDD"/>
    <w:rsid w:val="003D701E"/>
    <w:rsid w:val="003D7050"/>
    <w:rsid w:val="003D7060"/>
    <w:rsid w:val="003D711C"/>
    <w:rsid w:val="003D71A8"/>
    <w:rsid w:val="003D71B0"/>
    <w:rsid w:val="003D71EB"/>
    <w:rsid w:val="003D7291"/>
    <w:rsid w:val="003D72F1"/>
    <w:rsid w:val="003D7303"/>
    <w:rsid w:val="003D733E"/>
    <w:rsid w:val="003D73EA"/>
    <w:rsid w:val="003D746B"/>
    <w:rsid w:val="003D746D"/>
    <w:rsid w:val="003D74A3"/>
    <w:rsid w:val="003D7510"/>
    <w:rsid w:val="003D753D"/>
    <w:rsid w:val="003D75D4"/>
    <w:rsid w:val="003D75F4"/>
    <w:rsid w:val="003D761A"/>
    <w:rsid w:val="003D7628"/>
    <w:rsid w:val="003D7668"/>
    <w:rsid w:val="003D766D"/>
    <w:rsid w:val="003D76BB"/>
    <w:rsid w:val="003D76EC"/>
    <w:rsid w:val="003D772B"/>
    <w:rsid w:val="003D7781"/>
    <w:rsid w:val="003D77EA"/>
    <w:rsid w:val="003D7813"/>
    <w:rsid w:val="003D781F"/>
    <w:rsid w:val="003D7843"/>
    <w:rsid w:val="003D784B"/>
    <w:rsid w:val="003D7873"/>
    <w:rsid w:val="003D797F"/>
    <w:rsid w:val="003D7981"/>
    <w:rsid w:val="003D7995"/>
    <w:rsid w:val="003D7A3A"/>
    <w:rsid w:val="003D7A4C"/>
    <w:rsid w:val="003D7AD1"/>
    <w:rsid w:val="003D7B26"/>
    <w:rsid w:val="003D7B84"/>
    <w:rsid w:val="003D7BBC"/>
    <w:rsid w:val="003D7BDF"/>
    <w:rsid w:val="003D7C0A"/>
    <w:rsid w:val="003D7CE1"/>
    <w:rsid w:val="003D7D04"/>
    <w:rsid w:val="003D7D63"/>
    <w:rsid w:val="003D7DA9"/>
    <w:rsid w:val="003D7E06"/>
    <w:rsid w:val="003D7E15"/>
    <w:rsid w:val="003D7E30"/>
    <w:rsid w:val="003D7E3A"/>
    <w:rsid w:val="003D7E56"/>
    <w:rsid w:val="003D7F21"/>
    <w:rsid w:val="003D7F74"/>
    <w:rsid w:val="003E0015"/>
    <w:rsid w:val="003E004E"/>
    <w:rsid w:val="003E0058"/>
    <w:rsid w:val="003E007F"/>
    <w:rsid w:val="003E015A"/>
    <w:rsid w:val="003E015C"/>
    <w:rsid w:val="003E0281"/>
    <w:rsid w:val="003E02E0"/>
    <w:rsid w:val="003E032E"/>
    <w:rsid w:val="003E03A1"/>
    <w:rsid w:val="003E03C5"/>
    <w:rsid w:val="003E0427"/>
    <w:rsid w:val="003E044A"/>
    <w:rsid w:val="003E05C0"/>
    <w:rsid w:val="003E05C7"/>
    <w:rsid w:val="003E06B8"/>
    <w:rsid w:val="003E0753"/>
    <w:rsid w:val="003E0761"/>
    <w:rsid w:val="003E07DF"/>
    <w:rsid w:val="003E087E"/>
    <w:rsid w:val="003E0A47"/>
    <w:rsid w:val="003E0A49"/>
    <w:rsid w:val="003E0A6C"/>
    <w:rsid w:val="003E0A6F"/>
    <w:rsid w:val="003E0A78"/>
    <w:rsid w:val="003E0A79"/>
    <w:rsid w:val="003E0AF3"/>
    <w:rsid w:val="003E0AF8"/>
    <w:rsid w:val="003E0B38"/>
    <w:rsid w:val="003E0B59"/>
    <w:rsid w:val="003E0D58"/>
    <w:rsid w:val="003E0D9E"/>
    <w:rsid w:val="003E0DAE"/>
    <w:rsid w:val="003E0DC9"/>
    <w:rsid w:val="003E0F4F"/>
    <w:rsid w:val="003E0FC3"/>
    <w:rsid w:val="003E0FCF"/>
    <w:rsid w:val="003E1086"/>
    <w:rsid w:val="003E1112"/>
    <w:rsid w:val="003E1192"/>
    <w:rsid w:val="003E1198"/>
    <w:rsid w:val="003E119C"/>
    <w:rsid w:val="003E11B5"/>
    <w:rsid w:val="003E1239"/>
    <w:rsid w:val="003E1308"/>
    <w:rsid w:val="003E13B3"/>
    <w:rsid w:val="003E13D1"/>
    <w:rsid w:val="003E1403"/>
    <w:rsid w:val="003E150C"/>
    <w:rsid w:val="003E1534"/>
    <w:rsid w:val="003E1702"/>
    <w:rsid w:val="003E176C"/>
    <w:rsid w:val="003E18BE"/>
    <w:rsid w:val="003E18FE"/>
    <w:rsid w:val="003E199C"/>
    <w:rsid w:val="003E1A18"/>
    <w:rsid w:val="003E1A38"/>
    <w:rsid w:val="003E1A6B"/>
    <w:rsid w:val="003E1A71"/>
    <w:rsid w:val="003E1A7A"/>
    <w:rsid w:val="003E1A86"/>
    <w:rsid w:val="003E1A98"/>
    <w:rsid w:val="003E1B0F"/>
    <w:rsid w:val="003E1C62"/>
    <w:rsid w:val="003E1D19"/>
    <w:rsid w:val="003E1D9C"/>
    <w:rsid w:val="003E1DA8"/>
    <w:rsid w:val="003E1E09"/>
    <w:rsid w:val="003E1E2D"/>
    <w:rsid w:val="003E1EB5"/>
    <w:rsid w:val="003E1F23"/>
    <w:rsid w:val="003E1F2A"/>
    <w:rsid w:val="003E1F38"/>
    <w:rsid w:val="003E1FEC"/>
    <w:rsid w:val="003E2041"/>
    <w:rsid w:val="003E210B"/>
    <w:rsid w:val="003E2152"/>
    <w:rsid w:val="003E218D"/>
    <w:rsid w:val="003E2191"/>
    <w:rsid w:val="003E21DC"/>
    <w:rsid w:val="003E21EC"/>
    <w:rsid w:val="003E2229"/>
    <w:rsid w:val="003E22B6"/>
    <w:rsid w:val="003E2334"/>
    <w:rsid w:val="003E23B2"/>
    <w:rsid w:val="003E23C0"/>
    <w:rsid w:val="003E2416"/>
    <w:rsid w:val="003E2494"/>
    <w:rsid w:val="003E2666"/>
    <w:rsid w:val="003E26BA"/>
    <w:rsid w:val="003E2720"/>
    <w:rsid w:val="003E276A"/>
    <w:rsid w:val="003E27A9"/>
    <w:rsid w:val="003E2879"/>
    <w:rsid w:val="003E28A4"/>
    <w:rsid w:val="003E28B1"/>
    <w:rsid w:val="003E293C"/>
    <w:rsid w:val="003E2941"/>
    <w:rsid w:val="003E2B28"/>
    <w:rsid w:val="003E2C5E"/>
    <w:rsid w:val="003E2C9E"/>
    <w:rsid w:val="003E2CA3"/>
    <w:rsid w:val="003E2CA4"/>
    <w:rsid w:val="003E2D04"/>
    <w:rsid w:val="003E2D49"/>
    <w:rsid w:val="003E2DD5"/>
    <w:rsid w:val="003E2DF8"/>
    <w:rsid w:val="003E2E76"/>
    <w:rsid w:val="003E2E81"/>
    <w:rsid w:val="003E2EC7"/>
    <w:rsid w:val="003E2EC9"/>
    <w:rsid w:val="003E2EF1"/>
    <w:rsid w:val="003E2F03"/>
    <w:rsid w:val="003E2F93"/>
    <w:rsid w:val="003E2F96"/>
    <w:rsid w:val="003E2FB9"/>
    <w:rsid w:val="003E309C"/>
    <w:rsid w:val="003E313D"/>
    <w:rsid w:val="003E3156"/>
    <w:rsid w:val="003E3162"/>
    <w:rsid w:val="003E31E9"/>
    <w:rsid w:val="003E3214"/>
    <w:rsid w:val="003E329D"/>
    <w:rsid w:val="003E332D"/>
    <w:rsid w:val="003E33AB"/>
    <w:rsid w:val="003E3407"/>
    <w:rsid w:val="003E3425"/>
    <w:rsid w:val="003E3494"/>
    <w:rsid w:val="003E34AC"/>
    <w:rsid w:val="003E34BF"/>
    <w:rsid w:val="003E34D1"/>
    <w:rsid w:val="003E34F4"/>
    <w:rsid w:val="003E3528"/>
    <w:rsid w:val="003E3541"/>
    <w:rsid w:val="003E357E"/>
    <w:rsid w:val="003E3600"/>
    <w:rsid w:val="003E364E"/>
    <w:rsid w:val="003E3657"/>
    <w:rsid w:val="003E3661"/>
    <w:rsid w:val="003E368B"/>
    <w:rsid w:val="003E3698"/>
    <w:rsid w:val="003E36CD"/>
    <w:rsid w:val="003E37D0"/>
    <w:rsid w:val="003E3808"/>
    <w:rsid w:val="003E38D3"/>
    <w:rsid w:val="003E38FA"/>
    <w:rsid w:val="003E3921"/>
    <w:rsid w:val="003E397F"/>
    <w:rsid w:val="003E39C5"/>
    <w:rsid w:val="003E3A10"/>
    <w:rsid w:val="003E3BB3"/>
    <w:rsid w:val="003E3C22"/>
    <w:rsid w:val="003E3C38"/>
    <w:rsid w:val="003E3C53"/>
    <w:rsid w:val="003E3C83"/>
    <w:rsid w:val="003E3CD4"/>
    <w:rsid w:val="003E3CFE"/>
    <w:rsid w:val="003E3ECF"/>
    <w:rsid w:val="003E3F2E"/>
    <w:rsid w:val="003E3F5C"/>
    <w:rsid w:val="003E4016"/>
    <w:rsid w:val="003E4042"/>
    <w:rsid w:val="003E4071"/>
    <w:rsid w:val="003E40CB"/>
    <w:rsid w:val="003E4102"/>
    <w:rsid w:val="003E41D3"/>
    <w:rsid w:val="003E420D"/>
    <w:rsid w:val="003E4233"/>
    <w:rsid w:val="003E4251"/>
    <w:rsid w:val="003E4283"/>
    <w:rsid w:val="003E42AE"/>
    <w:rsid w:val="003E4359"/>
    <w:rsid w:val="003E4389"/>
    <w:rsid w:val="003E4399"/>
    <w:rsid w:val="003E43A0"/>
    <w:rsid w:val="003E44B2"/>
    <w:rsid w:val="003E44B9"/>
    <w:rsid w:val="003E44BC"/>
    <w:rsid w:val="003E4692"/>
    <w:rsid w:val="003E469F"/>
    <w:rsid w:val="003E46B8"/>
    <w:rsid w:val="003E4708"/>
    <w:rsid w:val="003E4811"/>
    <w:rsid w:val="003E4921"/>
    <w:rsid w:val="003E49F7"/>
    <w:rsid w:val="003E4A4B"/>
    <w:rsid w:val="003E4A82"/>
    <w:rsid w:val="003E4AE5"/>
    <w:rsid w:val="003E4BAE"/>
    <w:rsid w:val="003E4BE1"/>
    <w:rsid w:val="003E4C0B"/>
    <w:rsid w:val="003E4C3D"/>
    <w:rsid w:val="003E4C73"/>
    <w:rsid w:val="003E4C89"/>
    <w:rsid w:val="003E4C8A"/>
    <w:rsid w:val="003E4C92"/>
    <w:rsid w:val="003E4CF4"/>
    <w:rsid w:val="003E4CFE"/>
    <w:rsid w:val="003E4D9B"/>
    <w:rsid w:val="003E4DA0"/>
    <w:rsid w:val="003E4DA7"/>
    <w:rsid w:val="003E4DF2"/>
    <w:rsid w:val="003E4F9D"/>
    <w:rsid w:val="003E5022"/>
    <w:rsid w:val="003E5100"/>
    <w:rsid w:val="003E5131"/>
    <w:rsid w:val="003E518A"/>
    <w:rsid w:val="003E5197"/>
    <w:rsid w:val="003E5240"/>
    <w:rsid w:val="003E5284"/>
    <w:rsid w:val="003E52C4"/>
    <w:rsid w:val="003E52E9"/>
    <w:rsid w:val="003E52F1"/>
    <w:rsid w:val="003E5366"/>
    <w:rsid w:val="003E538B"/>
    <w:rsid w:val="003E53E9"/>
    <w:rsid w:val="003E542F"/>
    <w:rsid w:val="003E545D"/>
    <w:rsid w:val="003E548E"/>
    <w:rsid w:val="003E54A8"/>
    <w:rsid w:val="003E5507"/>
    <w:rsid w:val="003E554D"/>
    <w:rsid w:val="003E55B8"/>
    <w:rsid w:val="003E55C0"/>
    <w:rsid w:val="003E561A"/>
    <w:rsid w:val="003E5644"/>
    <w:rsid w:val="003E5646"/>
    <w:rsid w:val="003E5657"/>
    <w:rsid w:val="003E5726"/>
    <w:rsid w:val="003E5755"/>
    <w:rsid w:val="003E5863"/>
    <w:rsid w:val="003E5877"/>
    <w:rsid w:val="003E58F8"/>
    <w:rsid w:val="003E5927"/>
    <w:rsid w:val="003E5946"/>
    <w:rsid w:val="003E5A23"/>
    <w:rsid w:val="003E5AF6"/>
    <w:rsid w:val="003E5B88"/>
    <w:rsid w:val="003E5BD7"/>
    <w:rsid w:val="003E5C31"/>
    <w:rsid w:val="003E5D2A"/>
    <w:rsid w:val="003E5D63"/>
    <w:rsid w:val="003E5DDA"/>
    <w:rsid w:val="003E5E4B"/>
    <w:rsid w:val="003E5EB2"/>
    <w:rsid w:val="003E5EDB"/>
    <w:rsid w:val="003E5EF9"/>
    <w:rsid w:val="003E5F0D"/>
    <w:rsid w:val="003E5F7D"/>
    <w:rsid w:val="003E5FBC"/>
    <w:rsid w:val="003E6061"/>
    <w:rsid w:val="003E60E4"/>
    <w:rsid w:val="003E60ED"/>
    <w:rsid w:val="003E61BD"/>
    <w:rsid w:val="003E6206"/>
    <w:rsid w:val="003E621D"/>
    <w:rsid w:val="003E623A"/>
    <w:rsid w:val="003E62D3"/>
    <w:rsid w:val="003E62D5"/>
    <w:rsid w:val="003E62DA"/>
    <w:rsid w:val="003E62F3"/>
    <w:rsid w:val="003E63B8"/>
    <w:rsid w:val="003E642D"/>
    <w:rsid w:val="003E6497"/>
    <w:rsid w:val="003E64D9"/>
    <w:rsid w:val="003E65AA"/>
    <w:rsid w:val="003E65EF"/>
    <w:rsid w:val="003E6623"/>
    <w:rsid w:val="003E664C"/>
    <w:rsid w:val="003E6657"/>
    <w:rsid w:val="003E6680"/>
    <w:rsid w:val="003E6690"/>
    <w:rsid w:val="003E6699"/>
    <w:rsid w:val="003E66AE"/>
    <w:rsid w:val="003E66C4"/>
    <w:rsid w:val="003E673B"/>
    <w:rsid w:val="003E678F"/>
    <w:rsid w:val="003E67E2"/>
    <w:rsid w:val="003E6814"/>
    <w:rsid w:val="003E687F"/>
    <w:rsid w:val="003E689E"/>
    <w:rsid w:val="003E68BD"/>
    <w:rsid w:val="003E68FD"/>
    <w:rsid w:val="003E6906"/>
    <w:rsid w:val="003E6926"/>
    <w:rsid w:val="003E693D"/>
    <w:rsid w:val="003E69AE"/>
    <w:rsid w:val="003E6A20"/>
    <w:rsid w:val="003E6AC3"/>
    <w:rsid w:val="003E6AF7"/>
    <w:rsid w:val="003E6B9A"/>
    <w:rsid w:val="003E6C59"/>
    <w:rsid w:val="003E6CCB"/>
    <w:rsid w:val="003E6E26"/>
    <w:rsid w:val="003E6E6F"/>
    <w:rsid w:val="003E6EDE"/>
    <w:rsid w:val="003E6F31"/>
    <w:rsid w:val="003E6FCE"/>
    <w:rsid w:val="003E6FE2"/>
    <w:rsid w:val="003E7026"/>
    <w:rsid w:val="003E7027"/>
    <w:rsid w:val="003E703A"/>
    <w:rsid w:val="003E7048"/>
    <w:rsid w:val="003E704E"/>
    <w:rsid w:val="003E7069"/>
    <w:rsid w:val="003E70FC"/>
    <w:rsid w:val="003E714F"/>
    <w:rsid w:val="003E7166"/>
    <w:rsid w:val="003E71BE"/>
    <w:rsid w:val="003E71C3"/>
    <w:rsid w:val="003E7209"/>
    <w:rsid w:val="003E7222"/>
    <w:rsid w:val="003E725A"/>
    <w:rsid w:val="003E72A9"/>
    <w:rsid w:val="003E73F4"/>
    <w:rsid w:val="003E7435"/>
    <w:rsid w:val="003E7439"/>
    <w:rsid w:val="003E75AD"/>
    <w:rsid w:val="003E75F7"/>
    <w:rsid w:val="003E7675"/>
    <w:rsid w:val="003E76BC"/>
    <w:rsid w:val="003E76E2"/>
    <w:rsid w:val="003E7762"/>
    <w:rsid w:val="003E776D"/>
    <w:rsid w:val="003E7775"/>
    <w:rsid w:val="003E7794"/>
    <w:rsid w:val="003E7979"/>
    <w:rsid w:val="003E7A1E"/>
    <w:rsid w:val="003E7AF9"/>
    <w:rsid w:val="003E7B2A"/>
    <w:rsid w:val="003E7BBF"/>
    <w:rsid w:val="003E7C30"/>
    <w:rsid w:val="003E7DB9"/>
    <w:rsid w:val="003E7DC7"/>
    <w:rsid w:val="003E7EF1"/>
    <w:rsid w:val="003E7F5F"/>
    <w:rsid w:val="003E7F82"/>
    <w:rsid w:val="003F0031"/>
    <w:rsid w:val="003F014A"/>
    <w:rsid w:val="003F0151"/>
    <w:rsid w:val="003F01D2"/>
    <w:rsid w:val="003F026B"/>
    <w:rsid w:val="003F0278"/>
    <w:rsid w:val="003F02AD"/>
    <w:rsid w:val="003F0311"/>
    <w:rsid w:val="003F03DB"/>
    <w:rsid w:val="003F0476"/>
    <w:rsid w:val="003F04C2"/>
    <w:rsid w:val="003F04D3"/>
    <w:rsid w:val="003F050C"/>
    <w:rsid w:val="003F056E"/>
    <w:rsid w:val="003F065D"/>
    <w:rsid w:val="003F07BF"/>
    <w:rsid w:val="003F0823"/>
    <w:rsid w:val="003F0824"/>
    <w:rsid w:val="003F0889"/>
    <w:rsid w:val="003F08D7"/>
    <w:rsid w:val="003F0906"/>
    <w:rsid w:val="003F094F"/>
    <w:rsid w:val="003F099C"/>
    <w:rsid w:val="003F099F"/>
    <w:rsid w:val="003F0A3E"/>
    <w:rsid w:val="003F0AEF"/>
    <w:rsid w:val="003F0B5F"/>
    <w:rsid w:val="003F0BAE"/>
    <w:rsid w:val="003F0D80"/>
    <w:rsid w:val="003F0E05"/>
    <w:rsid w:val="003F0E1A"/>
    <w:rsid w:val="003F0E3C"/>
    <w:rsid w:val="003F0EBA"/>
    <w:rsid w:val="003F0F63"/>
    <w:rsid w:val="003F1056"/>
    <w:rsid w:val="003F10D0"/>
    <w:rsid w:val="003F11D7"/>
    <w:rsid w:val="003F126B"/>
    <w:rsid w:val="003F1350"/>
    <w:rsid w:val="003F13AE"/>
    <w:rsid w:val="003F13F1"/>
    <w:rsid w:val="003F1432"/>
    <w:rsid w:val="003F14ED"/>
    <w:rsid w:val="003F1517"/>
    <w:rsid w:val="003F15FC"/>
    <w:rsid w:val="003F16A4"/>
    <w:rsid w:val="003F1746"/>
    <w:rsid w:val="003F1764"/>
    <w:rsid w:val="003F176D"/>
    <w:rsid w:val="003F17F1"/>
    <w:rsid w:val="003F182C"/>
    <w:rsid w:val="003F186D"/>
    <w:rsid w:val="003F18BF"/>
    <w:rsid w:val="003F18DD"/>
    <w:rsid w:val="003F1979"/>
    <w:rsid w:val="003F19E6"/>
    <w:rsid w:val="003F19F3"/>
    <w:rsid w:val="003F1B0E"/>
    <w:rsid w:val="003F1BC8"/>
    <w:rsid w:val="003F1D83"/>
    <w:rsid w:val="003F1DDD"/>
    <w:rsid w:val="003F1E01"/>
    <w:rsid w:val="003F1E32"/>
    <w:rsid w:val="003F1F1E"/>
    <w:rsid w:val="003F1F46"/>
    <w:rsid w:val="003F1F5D"/>
    <w:rsid w:val="003F1F9E"/>
    <w:rsid w:val="003F1FA6"/>
    <w:rsid w:val="003F203C"/>
    <w:rsid w:val="003F20F7"/>
    <w:rsid w:val="003F214B"/>
    <w:rsid w:val="003F2153"/>
    <w:rsid w:val="003F21B2"/>
    <w:rsid w:val="003F2225"/>
    <w:rsid w:val="003F2288"/>
    <w:rsid w:val="003F22C3"/>
    <w:rsid w:val="003F22DC"/>
    <w:rsid w:val="003F23AD"/>
    <w:rsid w:val="003F244C"/>
    <w:rsid w:val="003F24C5"/>
    <w:rsid w:val="003F24F0"/>
    <w:rsid w:val="003F2530"/>
    <w:rsid w:val="003F257B"/>
    <w:rsid w:val="003F260B"/>
    <w:rsid w:val="003F2637"/>
    <w:rsid w:val="003F2639"/>
    <w:rsid w:val="003F263D"/>
    <w:rsid w:val="003F264C"/>
    <w:rsid w:val="003F2655"/>
    <w:rsid w:val="003F269F"/>
    <w:rsid w:val="003F2742"/>
    <w:rsid w:val="003F2759"/>
    <w:rsid w:val="003F2782"/>
    <w:rsid w:val="003F2790"/>
    <w:rsid w:val="003F27FF"/>
    <w:rsid w:val="003F288A"/>
    <w:rsid w:val="003F289C"/>
    <w:rsid w:val="003F28C7"/>
    <w:rsid w:val="003F28E3"/>
    <w:rsid w:val="003F2954"/>
    <w:rsid w:val="003F2957"/>
    <w:rsid w:val="003F29FC"/>
    <w:rsid w:val="003F2AA4"/>
    <w:rsid w:val="003F2BC9"/>
    <w:rsid w:val="003F2C65"/>
    <w:rsid w:val="003F2C77"/>
    <w:rsid w:val="003F2CB3"/>
    <w:rsid w:val="003F2D07"/>
    <w:rsid w:val="003F2D41"/>
    <w:rsid w:val="003F2D85"/>
    <w:rsid w:val="003F2DCD"/>
    <w:rsid w:val="003F2DE9"/>
    <w:rsid w:val="003F2E30"/>
    <w:rsid w:val="003F2E36"/>
    <w:rsid w:val="003F2E55"/>
    <w:rsid w:val="003F2E72"/>
    <w:rsid w:val="003F2EEF"/>
    <w:rsid w:val="003F2F31"/>
    <w:rsid w:val="003F2F48"/>
    <w:rsid w:val="003F2F8B"/>
    <w:rsid w:val="003F2F99"/>
    <w:rsid w:val="003F304B"/>
    <w:rsid w:val="003F316D"/>
    <w:rsid w:val="003F31BD"/>
    <w:rsid w:val="003F31EE"/>
    <w:rsid w:val="003F32D8"/>
    <w:rsid w:val="003F3371"/>
    <w:rsid w:val="003F3399"/>
    <w:rsid w:val="003F33D0"/>
    <w:rsid w:val="003F34AA"/>
    <w:rsid w:val="003F3632"/>
    <w:rsid w:val="003F363D"/>
    <w:rsid w:val="003F370C"/>
    <w:rsid w:val="003F374F"/>
    <w:rsid w:val="003F378E"/>
    <w:rsid w:val="003F37A7"/>
    <w:rsid w:val="003F3811"/>
    <w:rsid w:val="003F381B"/>
    <w:rsid w:val="003F3859"/>
    <w:rsid w:val="003F38CE"/>
    <w:rsid w:val="003F38E6"/>
    <w:rsid w:val="003F3914"/>
    <w:rsid w:val="003F3936"/>
    <w:rsid w:val="003F3A0F"/>
    <w:rsid w:val="003F3A70"/>
    <w:rsid w:val="003F3A8C"/>
    <w:rsid w:val="003F3ACF"/>
    <w:rsid w:val="003F3B19"/>
    <w:rsid w:val="003F3B40"/>
    <w:rsid w:val="003F3B62"/>
    <w:rsid w:val="003F3B75"/>
    <w:rsid w:val="003F3C07"/>
    <w:rsid w:val="003F3C09"/>
    <w:rsid w:val="003F3C5E"/>
    <w:rsid w:val="003F3C82"/>
    <w:rsid w:val="003F3D0E"/>
    <w:rsid w:val="003F3DA2"/>
    <w:rsid w:val="003F3DD3"/>
    <w:rsid w:val="003F3E02"/>
    <w:rsid w:val="003F3EB1"/>
    <w:rsid w:val="003F3F46"/>
    <w:rsid w:val="003F3F8F"/>
    <w:rsid w:val="003F405B"/>
    <w:rsid w:val="003F411D"/>
    <w:rsid w:val="003F4144"/>
    <w:rsid w:val="003F41AB"/>
    <w:rsid w:val="003F420F"/>
    <w:rsid w:val="003F4223"/>
    <w:rsid w:val="003F4249"/>
    <w:rsid w:val="003F42E8"/>
    <w:rsid w:val="003F4341"/>
    <w:rsid w:val="003F434A"/>
    <w:rsid w:val="003F446A"/>
    <w:rsid w:val="003F44CE"/>
    <w:rsid w:val="003F44F2"/>
    <w:rsid w:val="003F4652"/>
    <w:rsid w:val="003F4653"/>
    <w:rsid w:val="003F468B"/>
    <w:rsid w:val="003F469B"/>
    <w:rsid w:val="003F46A9"/>
    <w:rsid w:val="003F46D5"/>
    <w:rsid w:val="003F47BD"/>
    <w:rsid w:val="003F482F"/>
    <w:rsid w:val="003F4926"/>
    <w:rsid w:val="003F494E"/>
    <w:rsid w:val="003F4B35"/>
    <w:rsid w:val="003F4B52"/>
    <w:rsid w:val="003F4BDA"/>
    <w:rsid w:val="003F4BE1"/>
    <w:rsid w:val="003F4C46"/>
    <w:rsid w:val="003F4D46"/>
    <w:rsid w:val="003F4D65"/>
    <w:rsid w:val="003F4DC9"/>
    <w:rsid w:val="003F4E48"/>
    <w:rsid w:val="003F4E68"/>
    <w:rsid w:val="003F4E89"/>
    <w:rsid w:val="003F4F25"/>
    <w:rsid w:val="003F4F4C"/>
    <w:rsid w:val="003F4FA8"/>
    <w:rsid w:val="003F501C"/>
    <w:rsid w:val="003F50A7"/>
    <w:rsid w:val="003F50D1"/>
    <w:rsid w:val="003F5179"/>
    <w:rsid w:val="003F517F"/>
    <w:rsid w:val="003F51A1"/>
    <w:rsid w:val="003F51D9"/>
    <w:rsid w:val="003F5280"/>
    <w:rsid w:val="003F52DB"/>
    <w:rsid w:val="003F5364"/>
    <w:rsid w:val="003F53F9"/>
    <w:rsid w:val="003F54A8"/>
    <w:rsid w:val="003F54D4"/>
    <w:rsid w:val="003F5547"/>
    <w:rsid w:val="003F5586"/>
    <w:rsid w:val="003F55B7"/>
    <w:rsid w:val="003F55F4"/>
    <w:rsid w:val="003F5618"/>
    <w:rsid w:val="003F5646"/>
    <w:rsid w:val="003F566F"/>
    <w:rsid w:val="003F56A1"/>
    <w:rsid w:val="003F56AE"/>
    <w:rsid w:val="003F572B"/>
    <w:rsid w:val="003F5793"/>
    <w:rsid w:val="003F57C4"/>
    <w:rsid w:val="003F5809"/>
    <w:rsid w:val="003F5810"/>
    <w:rsid w:val="003F5851"/>
    <w:rsid w:val="003F5902"/>
    <w:rsid w:val="003F5904"/>
    <w:rsid w:val="003F59DC"/>
    <w:rsid w:val="003F5A0F"/>
    <w:rsid w:val="003F5A69"/>
    <w:rsid w:val="003F5AA2"/>
    <w:rsid w:val="003F5AED"/>
    <w:rsid w:val="003F5B2B"/>
    <w:rsid w:val="003F5B83"/>
    <w:rsid w:val="003F5C3E"/>
    <w:rsid w:val="003F5C43"/>
    <w:rsid w:val="003F5C60"/>
    <w:rsid w:val="003F5C7F"/>
    <w:rsid w:val="003F5C86"/>
    <w:rsid w:val="003F5D58"/>
    <w:rsid w:val="003F5D61"/>
    <w:rsid w:val="003F5D64"/>
    <w:rsid w:val="003F5E2A"/>
    <w:rsid w:val="003F5E38"/>
    <w:rsid w:val="003F5E4B"/>
    <w:rsid w:val="003F5E6F"/>
    <w:rsid w:val="003F5E72"/>
    <w:rsid w:val="003F5F12"/>
    <w:rsid w:val="003F5FA1"/>
    <w:rsid w:val="003F5FBD"/>
    <w:rsid w:val="003F5FCD"/>
    <w:rsid w:val="003F6139"/>
    <w:rsid w:val="003F6149"/>
    <w:rsid w:val="003F61C0"/>
    <w:rsid w:val="003F61DE"/>
    <w:rsid w:val="003F61F9"/>
    <w:rsid w:val="003F623D"/>
    <w:rsid w:val="003F6360"/>
    <w:rsid w:val="003F638B"/>
    <w:rsid w:val="003F63C4"/>
    <w:rsid w:val="003F6403"/>
    <w:rsid w:val="003F6411"/>
    <w:rsid w:val="003F6487"/>
    <w:rsid w:val="003F6597"/>
    <w:rsid w:val="003F65A6"/>
    <w:rsid w:val="003F666B"/>
    <w:rsid w:val="003F66A3"/>
    <w:rsid w:val="003F66C9"/>
    <w:rsid w:val="003F67A2"/>
    <w:rsid w:val="003F6863"/>
    <w:rsid w:val="003F6870"/>
    <w:rsid w:val="003F6884"/>
    <w:rsid w:val="003F6904"/>
    <w:rsid w:val="003F692A"/>
    <w:rsid w:val="003F6982"/>
    <w:rsid w:val="003F698C"/>
    <w:rsid w:val="003F6AC5"/>
    <w:rsid w:val="003F6B34"/>
    <w:rsid w:val="003F6B7D"/>
    <w:rsid w:val="003F6BD1"/>
    <w:rsid w:val="003F6BD3"/>
    <w:rsid w:val="003F6C38"/>
    <w:rsid w:val="003F6C49"/>
    <w:rsid w:val="003F6C74"/>
    <w:rsid w:val="003F6CA0"/>
    <w:rsid w:val="003F6CE5"/>
    <w:rsid w:val="003F6DF0"/>
    <w:rsid w:val="003F6E33"/>
    <w:rsid w:val="003F6E46"/>
    <w:rsid w:val="003F7005"/>
    <w:rsid w:val="003F70E8"/>
    <w:rsid w:val="003F716B"/>
    <w:rsid w:val="003F71B1"/>
    <w:rsid w:val="003F723E"/>
    <w:rsid w:val="003F72DD"/>
    <w:rsid w:val="003F72E9"/>
    <w:rsid w:val="003F737A"/>
    <w:rsid w:val="003F7406"/>
    <w:rsid w:val="003F743C"/>
    <w:rsid w:val="003F7507"/>
    <w:rsid w:val="003F75FD"/>
    <w:rsid w:val="003F7673"/>
    <w:rsid w:val="003F767E"/>
    <w:rsid w:val="003F76B9"/>
    <w:rsid w:val="003F7724"/>
    <w:rsid w:val="003F77B2"/>
    <w:rsid w:val="003F781C"/>
    <w:rsid w:val="003F7880"/>
    <w:rsid w:val="003F78BF"/>
    <w:rsid w:val="003F7909"/>
    <w:rsid w:val="003F7982"/>
    <w:rsid w:val="003F7996"/>
    <w:rsid w:val="003F79A5"/>
    <w:rsid w:val="003F79D2"/>
    <w:rsid w:val="003F7AC3"/>
    <w:rsid w:val="003F7AFC"/>
    <w:rsid w:val="003F7BDA"/>
    <w:rsid w:val="003F7CE1"/>
    <w:rsid w:val="003F7D79"/>
    <w:rsid w:val="003F7E47"/>
    <w:rsid w:val="003F7FDC"/>
    <w:rsid w:val="003F7FE1"/>
    <w:rsid w:val="0040002C"/>
    <w:rsid w:val="00400060"/>
    <w:rsid w:val="00400180"/>
    <w:rsid w:val="004001A8"/>
    <w:rsid w:val="004001F8"/>
    <w:rsid w:val="00400240"/>
    <w:rsid w:val="004002B9"/>
    <w:rsid w:val="0040040F"/>
    <w:rsid w:val="00400428"/>
    <w:rsid w:val="0040047A"/>
    <w:rsid w:val="00400490"/>
    <w:rsid w:val="0040050C"/>
    <w:rsid w:val="00400663"/>
    <w:rsid w:val="0040066A"/>
    <w:rsid w:val="0040070B"/>
    <w:rsid w:val="0040072C"/>
    <w:rsid w:val="00400785"/>
    <w:rsid w:val="0040078E"/>
    <w:rsid w:val="0040082B"/>
    <w:rsid w:val="0040085E"/>
    <w:rsid w:val="004008B2"/>
    <w:rsid w:val="004009B1"/>
    <w:rsid w:val="00400A08"/>
    <w:rsid w:val="00400A2A"/>
    <w:rsid w:val="00400A82"/>
    <w:rsid w:val="00400A98"/>
    <w:rsid w:val="00400AD6"/>
    <w:rsid w:val="00400B20"/>
    <w:rsid w:val="00400B74"/>
    <w:rsid w:val="00400BC1"/>
    <w:rsid w:val="00400C2D"/>
    <w:rsid w:val="00400D1C"/>
    <w:rsid w:val="00400D68"/>
    <w:rsid w:val="00400DAB"/>
    <w:rsid w:val="00400DD0"/>
    <w:rsid w:val="00400DE5"/>
    <w:rsid w:val="00400E0C"/>
    <w:rsid w:val="00400EC2"/>
    <w:rsid w:val="00400EFA"/>
    <w:rsid w:val="00400F9D"/>
    <w:rsid w:val="00400FAB"/>
    <w:rsid w:val="00400FC5"/>
    <w:rsid w:val="00401026"/>
    <w:rsid w:val="0040103B"/>
    <w:rsid w:val="004010F6"/>
    <w:rsid w:val="0040110B"/>
    <w:rsid w:val="00401251"/>
    <w:rsid w:val="00401262"/>
    <w:rsid w:val="00401267"/>
    <w:rsid w:val="0040136C"/>
    <w:rsid w:val="0040137F"/>
    <w:rsid w:val="004014A5"/>
    <w:rsid w:val="0040157E"/>
    <w:rsid w:val="004015E9"/>
    <w:rsid w:val="004016D2"/>
    <w:rsid w:val="004016D7"/>
    <w:rsid w:val="0040183B"/>
    <w:rsid w:val="00401855"/>
    <w:rsid w:val="004018E8"/>
    <w:rsid w:val="004019BA"/>
    <w:rsid w:val="00401A60"/>
    <w:rsid w:val="00401AC3"/>
    <w:rsid w:val="00401AC8"/>
    <w:rsid w:val="00401B28"/>
    <w:rsid w:val="00401B55"/>
    <w:rsid w:val="00401BA2"/>
    <w:rsid w:val="00401BCE"/>
    <w:rsid w:val="00401BFF"/>
    <w:rsid w:val="00401C07"/>
    <w:rsid w:val="00401C5C"/>
    <w:rsid w:val="00401C8C"/>
    <w:rsid w:val="00401C94"/>
    <w:rsid w:val="00401D5B"/>
    <w:rsid w:val="00401D7E"/>
    <w:rsid w:val="00401DB8"/>
    <w:rsid w:val="00401E76"/>
    <w:rsid w:val="00401ED3"/>
    <w:rsid w:val="00401F29"/>
    <w:rsid w:val="00401F97"/>
    <w:rsid w:val="00401FE6"/>
    <w:rsid w:val="0040202C"/>
    <w:rsid w:val="00402092"/>
    <w:rsid w:val="004020CA"/>
    <w:rsid w:val="004020EA"/>
    <w:rsid w:val="004021DA"/>
    <w:rsid w:val="004021DB"/>
    <w:rsid w:val="0040220F"/>
    <w:rsid w:val="0040221F"/>
    <w:rsid w:val="00402239"/>
    <w:rsid w:val="00402270"/>
    <w:rsid w:val="00402328"/>
    <w:rsid w:val="0040239F"/>
    <w:rsid w:val="004023AB"/>
    <w:rsid w:val="004023AC"/>
    <w:rsid w:val="004023CB"/>
    <w:rsid w:val="00402413"/>
    <w:rsid w:val="004024A4"/>
    <w:rsid w:val="0040252D"/>
    <w:rsid w:val="004025DD"/>
    <w:rsid w:val="00402632"/>
    <w:rsid w:val="0040267A"/>
    <w:rsid w:val="004027BB"/>
    <w:rsid w:val="0040289E"/>
    <w:rsid w:val="00402964"/>
    <w:rsid w:val="00402A16"/>
    <w:rsid w:val="00402B4F"/>
    <w:rsid w:val="00402B75"/>
    <w:rsid w:val="00402B8F"/>
    <w:rsid w:val="00402C49"/>
    <w:rsid w:val="00402C79"/>
    <w:rsid w:val="00402D5D"/>
    <w:rsid w:val="00402D94"/>
    <w:rsid w:val="00402EA1"/>
    <w:rsid w:val="00402ED4"/>
    <w:rsid w:val="00402F62"/>
    <w:rsid w:val="00402F8D"/>
    <w:rsid w:val="00403148"/>
    <w:rsid w:val="00403266"/>
    <w:rsid w:val="004032D6"/>
    <w:rsid w:val="0040330D"/>
    <w:rsid w:val="0040339D"/>
    <w:rsid w:val="004033D7"/>
    <w:rsid w:val="0040344A"/>
    <w:rsid w:val="00403594"/>
    <w:rsid w:val="004035E8"/>
    <w:rsid w:val="0040360A"/>
    <w:rsid w:val="00403627"/>
    <w:rsid w:val="00403674"/>
    <w:rsid w:val="004036F0"/>
    <w:rsid w:val="004037A9"/>
    <w:rsid w:val="004037DC"/>
    <w:rsid w:val="00403812"/>
    <w:rsid w:val="00403834"/>
    <w:rsid w:val="00403861"/>
    <w:rsid w:val="00403864"/>
    <w:rsid w:val="00403883"/>
    <w:rsid w:val="00403892"/>
    <w:rsid w:val="004038AF"/>
    <w:rsid w:val="0040399B"/>
    <w:rsid w:val="004039E1"/>
    <w:rsid w:val="00403A16"/>
    <w:rsid w:val="00403A21"/>
    <w:rsid w:val="00403A85"/>
    <w:rsid w:val="00403ACC"/>
    <w:rsid w:val="00403AFA"/>
    <w:rsid w:val="00403BB4"/>
    <w:rsid w:val="00403BF4"/>
    <w:rsid w:val="00403C96"/>
    <w:rsid w:val="00403CD5"/>
    <w:rsid w:val="00403CDD"/>
    <w:rsid w:val="00403D7C"/>
    <w:rsid w:val="00403D80"/>
    <w:rsid w:val="00403D9A"/>
    <w:rsid w:val="00403E17"/>
    <w:rsid w:val="00403E20"/>
    <w:rsid w:val="00403E2E"/>
    <w:rsid w:val="00403E89"/>
    <w:rsid w:val="00403EB9"/>
    <w:rsid w:val="00403FBB"/>
    <w:rsid w:val="00403FD2"/>
    <w:rsid w:val="0040405A"/>
    <w:rsid w:val="004040B9"/>
    <w:rsid w:val="00404133"/>
    <w:rsid w:val="00404138"/>
    <w:rsid w:val="004041A2"/>
    <w:rsid w:val="004041F3"/>
    <w:rsid w:val="00404213"/>
    <w:rsid w:val="0040422A"/>
    <w:rsid w:val="00404235"/>
    <w:rsid w:val="00404253"/>
    <w:rsid w:val="00404260"/>
    <w:rsid w:val="004042B1"/>
    <w:rsid w:val="004042C0"/>
    <w:rsid w:val="004042DE"/>
    <w:rsid w:val="0040432F"/>
    <w:rsid w:val="00404354"/>
    <w:rsid w:val="004044B1"/>
    <w:rsid w:val="004044C6"/>
    <w:rsid w:val="004046C5"/>
    <w:rsid w:val="004046E7"/>
    <w:rsid w:val="004046FD"/>
    <w:rsid w:val="00404776"/>
    <w:rsid w:val="00404794"/>
    <w:rsid w:val="004047AC"/>
    <w:rsid w:val="00404808"/>
    <w:rsid w:val="00404935"/>
    <w:rsid w:val="004049A1"/>
    <w:rsid w:val="00404B0C"/>
    <w:rsid w:val="00404B54"/>
    <w:rsid w:val="00404BD4"/>
    <w:rsid w:val="00404BD8"/>
    <w:rsid w:val="00404C04"/>
    <w:rsid w:val="00404C17"/>
    <w:rsid w:val="00404F59"/>
    <w:rsid w:val="00404F67"/>
    <w:rsid w:val="004050C6"/>
    <w:rsid w:val="0040510D"/>
    <w:rsid w:val="0040514A"/>
    <w:rsid w:val="00405236"/>
    <w:rsid w:val="00405276"/>
    <w:rsid w:val="004052C5"/>
    <w:rsid w:val="00405387"/>
    <w:rsid w:val="00405408"/>
    <w:rsid w:val="0040540B"/>
    <w:rsid w:val="0040544B"/>
    <w:rsid w:val="00405493"/>
    <w:rsid w:val="004054EF"/>
    <w:rsid w:val="00405551"/>
    <w:rsid w:val="004055BD"/>
    <w:rsid w:val="004055CE"/>
    <w:rsid w:val="004055D4"/>
    <w:rsid w:val="00405651"/>
    <w:rsid w:val="0040566B"/>
    <w:rsid w:val="00405687"/>
    <w:rsid w:val="00405747"/>
    <w:rsid w:val="00405786"/>
    <w:rsid w:val="00405854"/>
    <w:rsid w:val="00405875"/>
    <w:rsid w:val="0040593F"/>
    <w:rsid w:val="00405A3B"/>
    <w:rsid w:val="00405A75"/>
    <w:rsid w:val="00405A9D"/>
    <w:rsid w:val="00405AB7"/>
    <w:rsid w:val="00405AC0"/>
    <w:rsid w:val="00405ACF"/>
    <w:rsid w:val="00405ADC"/>
    <w:rsid w:val="00405B4A"/>
    <w:rsid w:val="00405B79"/>
    <w:rsid w:val="00405BF6"/>
    <w:rsid w:val="00405C5B"/>
    <w:rsid w:val="00405C8D"/>
    <w:rsid w:val="00405CD5"/>
    <w:rsid w:val="00405CF7"/>
    <w:rsid w:val="00405D71"/>
    <w:rsid w:val="00405DB9"/>
    <w:rsid w:val="00405E01"/>
    <w:rsid w:val="00405E94"/>
    <w:rsid w:val="00405ED5"/>
    <w:rsid w:val="00405ED7"/>
    <w:rsid w:val="00405EF7"/>
    <w:rsid w:val="00405F20"/>
    <w:rsid w:val="00405F29"/>
    <w:rsid w:val="00405F55"/>
    <w:rsid w:val="00405FE0"/>
    <w:rsid w:val="0040600A"/>
    <w:rsid w:val="00406140"/>
    <w:rsid w:val="004062C1"/>
    <w:rsid w:val="00406322"/>
    <w:rsid w:val="00406358"/>
    <w:rsid w:val="004063B4"/>
    <w:rsid w:val="00406407"/>
    <w:rsid w:val="00406428"/>
    <w:rsid w:val="00406494"/>
    <w:rsid w:val="004064C2"/>
    <w:rsid w:val="00406520"/>
    <w:rsid w:val="00406534"/>
    <w:rsid w:val="00406570"/>
    <w:rsid w:val="00406619"/>
    <w:rsid w:val="0040662D"/>
    <w:rsid w:val="00406689"/>
    <w:rsid w:val="004066C7"/>
    <w:rsid w:val="004066CA"/>
    <w:rsid w:val="004066DC"/>
    <w:rsid w:val="00406700"/>
    <w:rsid w:val="00406705"/>
    <w:rsid w:val="00406766"/>
    <w:rsid w:val="00406793"/>
    <w:rsid w:val="004067AB"/>
    <w:rsid w:val="0040683E"/>
    <w:rsid w:val="00406875"/>
    <w:rsid w:val="0040697B"/>
    <w:rsid w:val="00406A99"/>
    <w:rsid w:val="00406AC2"/>
    <w:rsid w:val="00406B39"/>
    <w:rsid w:val="00406B45"/>
    <w:rsid w:val="00406B9F"/>
    <w:rsid w:val="00406BB2"/>
    <w:rsid w:val="00406BDD"/>
    <w:rsid w:val="00406BF8"/>
    <w:rsid w:val="00406C6F"/>
    <w:rsid w:val="00406D04"/>
    <w:rsid w:val="00406D0B"/>
    <w:rsid w:val="00406D1C"/>
    <w:rsid w:val="00406DFD"/>
    <w:rsid w:val="00406E57"/>
    <w:rsid w:val="00406EDE"/>
    <w:rsid w:val="00406EEF"/>
    <w:rsid w:val="00406F94"/>
    <w:rsid w:val="00406FAB"/>
    <w:rsid w:val="00406FD9"/>
    <w:rsid w:val="004070F0"/>
    <w:rsid w:val="0040710F"/>
    <w:rsid w:val="004071BE"/>
    <w:rsid w:val="004071E0"/>
    <w:rsid w:val="00407389"/>
    <w:rsid w:val="0040751F"/>
    <w:rsid w:val="0040756D"/>
    <w:rsid w:val="004075D3"/>
    <w:rsid w:val="00407647"/>
    <w:rsid w:val="0040772A"/>
    <w:rsid w:val="00407779"/>
    <w:rsid w:val="004077D2"/>
    <w:rsid w:val="004077FD"/>
    <w:rsid w:val="00407828"/>
    <w:rsid w:val="00407853"/>
    <w:rsid w:val="004078A3"/>
    <w:rsid w:val="004078B5"/>
    <w:rsid w:val="0040792C"/>
    <w:rsid w:val="00407997"/>
    <w:rsid w:val="004079EB"/>
    <w:rsid w:val="00407A31"/>
    <w:rsid w:val="00407A74"/>
    <w:rsid w:val="00407B62"/>
    <w:rsid w:val="00407BC1"/>
    <w:rsid w:val="00407C44"/>
    <w:rsid w:val="00407C88"/>
    <w:rsid w:val="00407C93"/>
    <w:rsid w:val="00407D14"/>
    <w:rsid w:val="00407D3D"/>
    <w:rsid w:val="00407E14"/>
    <w:rsid w:val="00407E22"/>
    <w:rsid w:val="00407E3D"/>
    <w:rsid w:val="00407E5A"/>
    <w:rsid w:val="00407F05"/>
    <w:rsid w:val="00407FB8"/>
    <w:rsid w:val="00407FBC"/>
    <w:rsid w:val="004100B9"/>
    <w:rsid w:val="0041018E"/>
    <w:rsid w:val="004101E4"/>
    <w:rsid w:val="004102F5"/>
    <w:rsid w:val="0041034B"/>
    <w:rsid w:val="00410395"/>
    <w:rsid w:val="00410461"/>
    <w:rsid w:val="004104D6"/>
    <w:rsid w:val="0041050A"/>
    <w:rsid w:val="004105B9"/>
    <w:rsid w:val="004105C5"/>
    <w:rsid w:val="004105D7"/>
    <w:rsid w:val="00410613"/>
    <w:rsid w:val="00410628"/>
    <w:rsid w:val="004106B8"/>
    <w:rsid w:val="004106C0"/>
    <w:rsid w:val="00410728"/>
    <w:rsid w:val="004107C4"/>
    <w:rsid w:val="004107D0"/>
    <w:rsid w:val="004108A6"/>
    <w:rsid w:val="004108D0"/>
    <w:rsid w:val="00410928"/>
    <w:rsid w:val="00410A3F"/>
    <w:rsid w:val="00410B44"/>
    <w:rsid w:val="00410B69"/>
    <w:rsid w:val="00410B83"/>
    <w:rsid w:val="00410BBE"/>
    <w:rsid w:val="00410BD7"/>
    <w:rsid w:val="00410E07"/>
    <w:rsid w:val="00410EB4"/>
    <w:rsid w:val="00410ECC"/>
    <w:rsid w:val="00410ED4"/>
    <w:rsid w:val="00410F12"/>
    <w:rsid w:val="00410F4E"/>
    <w:rsid w:val="00410F93"/>
    <w:rsid w:val="00410F9A"/>
    <w:rsid w:val="00410FC0"/>
    <w:rsid w:val="00411037"/>
    <w:rsid w:val="00411057"/>
    <w:rsid w:val="004110FD"/>
    <w:rsid w:val="00411254"/>
    <w:rsid w:val="00411341"/>
    <w:rsid w:val="00411359"/>
    <w:rsid w:val="0041141C"/>
    <w:rsid w:val="00411498"/>
    <w:rsid w:val="00411509"/>
    <w:rsid w:val="00411535"/>
    <w:rsid w:val="00411549"/>
    <w:rsid w:val="00411624"/>
    <w:rsid w:val="00411675"/>
    <w:rsid w:val="0041170F"/>
    <w:rsid w:val="004117D9"/>
    <w:rsid w:val="0041186A"/>
    <w:rsid w:val="004118CB"/>
    <w:rsid w:val="004119A5"/>
    <w:rsid w:val="004119C2"/>
    <w:rsid w:val="004119C6"/>
    <w:rsid w:val="00411A60"/>
    <w:rsid w:val="00411BBF"/>
    <w:rsid w:val="00411BFF"/>
    <w:rsid w:val="00411D0B"/>
    <w:rsid w:val="00411E03"/>
    <w:rsid w:val="00411E63"/>
    <w:rsid w:val="00411E94"/>
    <w:rsid w:val="00411E9A"/>
    <w:rsid w:val="00411F3E"/>
    <w:rsid w:val="00411FB3"/>
    <w:rsid w:val="0041202E"/>
    <w:rsid w:val="00412118"/>
    <w:rsid w:val="00412120"/>
    <w:rsid w:val="0041212B"/>
    <w:rsid w:val="004121FD"/>
    <w:rsid w:val="00412258"/>
    <w:rsid w:val="004122D5"/>
    <w:rsid w:val="00412326"/>
    <w:rsid w:val="00412371"/>
    <w:rsid w:val="004123B3"/>
    <w:rsid w:val="004123F0"/>
    <w:rsid w:val="0041243A"/>
    <w:rsid w:val="0041245D"/>
    <w:rsid w:val="004124FD"/>
    <w:rsid w:val="00412557"/>
    <w:rsid w:val="00412564"/>
    <w:rsid w:val="004125A1"/>
    <w:rsid w:val="004125E4"/>
    <w:rsid w:val="004125F7"/>
    <w:rsid w:val="00412611"/>
    <w:rsid w:val="00412654"/>
    <w:rsid w:val="00412661"/>
    <w:rsid w:val="0041276F"/>
    <w:rsid w:val="0041279A"/>
    <w:rsid w:val="004127B6"/>
    <w:rsid w:val="004127D0"/>
    <w:rsid w:val="004127DC"/>
    <w:rsid w:val="004128B3"/>
    <w:rsid w:val="0041298B"/>
    <w:rsid w:val="00412A46"/>
    <w:rsid w:val="00412A83"/>
    <w:rsid w:val="00412AC1"/>
    <w:rsid w:val="00412BF7"/>
    <w:rsid w:val="00412C02"/>
    <w:rsid w:val="00412CFF"/>
    <w:rsid w:val="00412D8F"/>
    <w:rsid w:val="00412E0E"/>
    <w:rsid w:val="00412ECB"/>
    <w:rsid w:val="00412EE0"/>
    <w:rsid w:val="00412F4D"/>
    <w:rsid w:val="00412FBC"/>
    <w:rsid w:val="00413018"/>
    <w:rsid w:val="004130B1"/>
    <w:rsid w:val="0041313E"/>
    <w:rsid w:val="00413192"/>
    <w:rsid w:val="004131DE"/>
    <w:rsid w:val="004131E9"/>
    <w:rsid w:val="004132AE"/>
    <w:rsid w:val="004132B7"/>
    <w:rsid w:val="00413337"/>
    <w:rsid w:val="00413397"/>
    <w:rsid w:val="004133B1"/>
    <w:rsid w:val="004133E9"/>
    <w:rsid w:val="00413416"/>
    <w:rsid w:val="0041347C"/>
    <w:rsid w:val="00413484"/>
    <w:rsid w:val="004135B5"/>
    <w:rsid w:val="00413633"/>
    <w:rsid w:val="00413651"/>
    <w:rsid w:val="004136E9"/>
    <w:rsid w:val="0041372E"/>
    <w:rsid w:val="0041373F"/>
    <w:rsid w:val="0041381B"/>
    <w:rsid w:val="0041383F"/>
    <w:rsid w:val="00413848"/>
    <w:rsid w:val="00413882"/>
    <w:rsid w:val="004139B0"/>
    <w:rsid w:val="004139CB"/>
    <w:rsid w:val="004139D0"/>
    <w:rsid w:val="00413A30"/>
    <w:rsid w:val="00413A3B"/>
    <w:rsid w:val="00413A91"/>
    <w:rsid w:val="00413BF0"/>
    <w:rsid w:val="00413C4D"/>
    <w:rsid w:val="00413C69"/>
    <w:rsid w:val="00413C81"/>
    <w:rsid w:val="00413CA9"/>
    <w:rsid w:val="00413CF5"/>
    <w:rsid w:val="00413D6D"/>
    <w:rsid w:val="00413EAE"/>
    <w:rsid w:val="00413F48"/>
    <w:rsid w:val="00414097"/>
    <w:rsid w:val="00414103"/>
    <w:rsid w:val="00414108"/>
    <w:rsid w:val="004141C2"/>
    <w:rsid w:val="004141CD"/>
    <w:rsid w:val="00414325"/>
    <w:rsid w:val="0041432E"/>
    <w:rsid w:val="00414362"/>
    <w:rsid w:val="0041438F"/>
    <w:rsid w:val="004143DE"/>
    <w:rsid w:val="0041442C"/>
    <w:rsid w:val="00414570"/>
    <w:rsid w:val="0041467C"/>
    <w:rsid w:val="00414798"/>
    <w:rsid w:val="0041479B"/>
    <w:rsid w:val="0041482A"/>
    <w:rsid w:val="00414865"/>
    <w:rsid w:val="00414893"/>
    <w:rsid w:val="004148CC"/>
    <w:rsid w:val="00414A1F"/>
    <w:rsid w:val="00414A25"/>
    <w:rsid w:val="00414BBE"/>
    <w:rsid w:val="00414BD3"/>
    <w:rsid w:val="00414BEB"/>
    <w:rsid w:val="00414C1F"/>
    <w:rsid w:val="00414CC6"/>
    <w:rsid w:val="00414CD0"/>
    <w:rsid w:val="00414CF3"/>
    <w:rsid w:val="00414D29"/>
    <w:rsid w:val="00414D4F"/>
    <w:rsid w:val="00414E10"/>
    <w:rsid w:val="00414F09"/>
    <w:rsid w:val="00414F39"/>
    <w:rsid w:val="00414F4E"/>
    <w:rsid w:val="004150AC"/>
    <w:rsid w:val="004150F2"/>
    <w:rsid w:val="00415141"/>
    <w:rsid w:val="00415147"/>
    <w:rsid w:val="004151E0"/>
    <w:rsid w:val="00415299"/>
    <w:rsid w:val="004153E7"/>
    <w:rsid w:val="00415468"/>
    <w:rsid w:val="0041550C"/>
    <w:rsid w:val="004155A0"/>
    <w:rsid w:val="0041560F"/>
    <w:rsid w:val="0041567B"/>
    <w:rsid w:val="004156B5"/>
    <w:rsid w:val="004156B7"/>
    <w:rsid w:val="00415700"/>
    <w:rsid w:val="00415712"/>
    <w:rsid w:val="00415754"/>
    <w:rsid w:val="0041576C"/>
    <w:rsid w:val="00415771"/>
    <w:rsid w:val="0041578D"/>
    <w:rsid w:val="004157B2"/>
    <w:rsid w:val="004158A9"/>
    <w:rsid w:val="004158AF"/>
    <w:rsid w:val="00415924"/>
    <w:rsid w:val="00415A31"/>
    <w:rsid w:val="00415A6A"/>
    <w:rsid w:val="00415AB6"/>
    <w:rsid w:val="00415B48"/>
    <w:rsid w:val="00415B66"/>
    <w:rsid w:val="00415C17"/>
    <w:rsid w:val="00415C4B"/>
    <w:rsid w:val="00415D06"/>
    <w:rsid w:val="00415D26"/>
    <w:rsid w:val="00415D6D"/>
    <w:rsid w:val="00415EB8"/>
    <w:rsid w:val="00415EEE"/>
    <w:rsid w:val="00415F0A"/>
    <w:rsid w:val="00415F50"/>
    <w:rsid w:val="00415F51"/>
    <w:rsid w:val="00415F53"/>
    <w:rsid w:val="00415F54"/>
    <w:rsid w:val="00415F61"/>
    <w:rsid w:val="00415FFB"/>
    <w:rsid w:val="00416095"/>
    <w:rsid w:val="004160C1"/>
    <w:rsid w:val="0041612C"/>
    <w:rsid w:val="00416183"/>
    <w:rsid w:val="004161C5"/>
    <w:rsid w:val="0041630E"/>
    <w:rsid w:val="00416312"/>
    <w:rsid w:val="00416330"/>
    <w:rsid w:val="004163C4"/>
    <w:rsid w:val="004163CE"/>
    <w:rsid w:val="004163E4"/>
    <w:rsid w:val="004164FF"/>
    <w:rsid w:val="00416500"/>
    <w:rsid w:val="00416524"/>
    <w:rsid w:val="0041654E"/>
    <w:rsid w:val="00416637"/>
    <w:rsid w:val="0041669E"/>
    <w:rsid w:val="00416722"/>
    <w:rsid w:val="00416730"/>
    <w:rsid w:val="00416765"/>
    <w:rsid w:val="0041676F"/>
    <w:rsid w:val="00416796"/>
    <w:rsid w:val="004167F0"/>
    <w:rsid w:val="00416879"/>
    <w:rsid w:val="004168A3"/>
    <w:rsid w:val="004168E9"/>
    <w:rsid w:val="004169C9"/>
    <w:rsid w:val="00416A63"/>
    <w:rsid w:val="00416AA9"/>
    <w:rsid w:val="00416B6C"/>
    <w:rsid w:val="00416B71"/>
    <w:rsid w:val="00416B88"/>
    <w:rsid w:val="00416D46"/>
    <w:rsid w:val="00416D4D"/>
    <w:rsid w:val="00416D5A"/>
    <w:rsid w:val="00416DA3"/>
    <w:rsid w:val="00416E0D"/>
    <w:rsid w:val="00416E2A"/>
    <w:rsid w:val="00416E2C"/>
    <w:rsid w:val="00416E6E"/>
    <w:rsid w:val="00416E76"/>
    <w:rsid w:val="00416E7E"/>
    <w:rsid w:val="00416EDC"/>
    <w:rsid w:val="00416F0D"/>
    <w:rsid w:val="00416FB7"/>
    <w:rsid w:val="00417020"/>
    <w:rsid w:val="00417087"/>
    <w:rsid w:val="004170A6"/>
    <w:rsid w:val="004170AB"/>
    <w:rsid w:val="00417110"/>
    <w:rsid w:val="00417174"/>
    <w:rsid w:val="004171B1"/>
    <w:rsid w:val="004171F0"/>
    <w:rsid w:val="00417233"/>
    <w:rsid w:val="004172A5"/>
    <w:rsid w:val="00417356"/>
    <w:rsid w:val="004173AC"/>
    <w:rsid w:val="004174BD"/>
    <w:rsid w:val="00417536"/>
    <w:rsid w:val="00417542"/>
    <w:rsid w:val="00417587"/>
    <w:rsid w:val="00417597"/>
    <w:rsid w:val="00417618"/>
    <w:rsid w:val="0041769E"/>
    <w:rsid w:val="004176AB"/>
    <w:rsid w:val="0041771B"/>
    <w:rsid w:val="00417733"/>
    <w:rsid w:val="00417750"/>
    <w:rsid w:val="00417770"/>
    <w:rsid w:val="00417797"/>
    <w:rsid w:val="004177C6"/>
    <w:rsid w:val="00417814"/>
    <w:rsid w:val="004178D5"/>
    <w:rsid w:val="00417930"/>
    <w:rsid w:val="004179E8"/>
    <w:rsid w:val="00417A06"/>
    <w:rsid w:val="00417B68"/>
    <w:rsid w:val="00417C8D"/>
    <w:rsid w:val="00417CA8"/>
    <w:rsid w:val="00417D3F"/>
    <w:rsid w:val="00417DDB"/>
    <w:rsid w:val="00417E44"/>
    <w:rsid w:val="00417E90"/>
    <w:rsid w:val="00417EBD"/>
    <w:rsid w:val="00417EFA"/>
    <w:rsid w:val="00417F97"/>
    <w:rsid w:val="00417FF4"/>
    <w:rsid w:val="00420060"/>
    <w:rsid w:val="004200A3"/>
    <w:rsid w:val="004200CC"/>
    <w:rsid w:val="004200E6"/>
    <w:rsid w:val="004200F7"/>
    <w:rsid w:val="004201BE"/>
    <w:rsid w:val="004201D5"/>
    <w:rsid w:val="004202D8"/>
    <w:rsid w:val="004202F3"/>
    <w:rsid w:val="00420345"/>
    <w:rsid w:val="004203AB"/>
    <w:rsid w:val="004203F4"/>
    <w:rsid w:val="004203FF"/>
    <w:rsid w:val="0042040E"/>
    <w:rsid w:val="00420432"/>
    <w:rsid w:val="00420490"/>
    <w:rsid w:val="004204A9"/>
    <w:rsid w:val="004204D5"/>
    <w:rsid w:val="0042050E"/>
    <w:rsid w:val="0042052D"/>
    <w:rsid w:val="004205B3"/>
    <w:rsid w:val="004205E4"/>
    <w:rsid w:val="0042082C"/>
    <w:rsid w:val="00420938"/>
    <w:rsid w:val="00420982"/>
    <w:rsid w:val="00420A86"/>
    <w:rsid w:val="00420A9F"/>
    <w:rsid w:val="00420AFC"/>
    <w:rsid w:val="00420B3D"/>
    <w:rsid w:val="00420C0B"/>
    <w:rsid w:val="00420C2B"/>
    <w:rsid w:val="00420C3A"/>
    <w:rsid w:val="00420CA0"/>
    <w:rsid w:val="00420D94"/>
    <w:rsid w:val="00420DF3"/>
    <w:rsid w:val="00420F0D"/>
    <w:rsid w:val="00420F19"/>
    <w:rsid w:val="00420F35"/>
    <w:rsid w:val="00420FB9"/>
    <w:rsid w:val="00420FE0"/>
    <w:rsid w:val="00420FE4"/>
    <w:rsid w:val="00421026"/>
    <w:rsid w:val="00421085"/>
    <w:rsid w:val="004210A7"/>
    <w:rsid w:val="004210B4"/>
    <w:rsid w:val="0042114E"/>
    <w:rsid w:val="0042119F"/>
    <w:rsid w:val="00421278"/>
    <w:rsid w:val="004212B2"/>
    <w:rsid w:val="004212DA"/>
    <w:rsid w:val="0042139C"/>
    <w:rsid w:val="004213CC"/>
    <w:rsid w:val="0042140C"/>
    <w:rsid w:val="00421420"/>
    <w:rsid w:val="00421432"/>
    <w:rsid w:val="00421433"/>
    <w:rsid w:val="004214AE"/>
    <w:rsid w:val="004214B6"/>
    <w:rsid w:val="00421527"/>
    <w:rsid w:val="0042154B"/>
    <w:rsid w:val="0042169E"/>
    <w:rsid w:val="00421760"/>
    <w:rsid w:val="004217A6"/>
    <w:rsid w:val="004217EB"/>
    <w:rsid w:val="00421846"/>
    <w:rsid w:val="0042187B"/>
    <w:rsid w:val="0042187C"/>
    <w:rsid w:val="004219AB"/>
    <w:rsid w:val="004219D4"/>
    <w:rsid w:val="004219FC"/>
    <w:rsid w:val="00421A10"/>
    <w:rsid w:val="00421A12"/>
    <w:rsid w:val="00421ADA"/>
    <w:rsid w:val="00421B15"/>
    <w:rsid w:val="00421B46"/>
    <w:rsid w:val="00421B72"/>
    <w:rsid w:val="00421BE3"/>
    <w:rsid w:val="00421C67"/>
    <w:rsid w:val="00421C75"/>
    <w:rsid w:val="00421CDC"/>
    <w:rsid w:val="00421CF2"/>
    <w:rsid w:val="00421D08"/>
    <w:rsid w:val="00421D1F"/>
    <w:rsid w:val="00421D34"/>
    <w:rsid w:val="00421D37"/>
    <w:rsid w:val="00421DC0"/>
    <w:rsid w:val="00421DEB"/>
    <w:rsid w:val="00421E34"/>
    <w:rsid w:val="00421E88"/>
    <w:rsid w:val="00421EEF"/>
    <w:rsid w:val="00421F90"/>
    <w:rsid w:val="00421F96"/>
    <w:rsid w:val="004220E4"/>
    <w:rsid w:val="004220F0"/>
    <w:rsid w:val="0042216A"/>
    <w:rsid w:val="00422171"/>
    <w:rsid w:val="0042225B"/>
    <w:rsid w:val="00422365"/>
    <w:rsid w:val="00422378"/>
    <w:rsid w:val="004223E6"/>
    <w:rsid w:val="004224D9"/>
    <w:rsid w:val="004224FA"/>
    <w:rsid w:val="00422557"/>
    <w:rsid w:val="004225BD"/>
    <w:rsid w:val="00422622"/>
    <w:rsid w:val="00422645"/>
    <w:rsid w:val="004226B6"/>
    <w:rsid w:val="00422743"/>
    <w:rsid w:val="0042277E"/>
    <w:rsid w:val="00422790"/>
    <w:rsid w:val="004227F7"/>
    <w:rsid w:val="004228A2"/>
    <w:rsid w:val="004228BA"/>
    <w:rsid w:val="00422A69"/>
    <w:rsid w:val="00422A98"/>
    <w:rsid w:val="00422AA3"/>
    <w:rsid w:val="00422BBB"/>
    <w:rsid w:val="00422BE4"/>
    <w:rsid w:val="00422C4C"/>
    <w:rsid w:val="00422CA0"/>
    <w:rsid w:val="00422D12"/>
    <w:rsid w:val="00422D9B"/>
    <w:rsid w:val="00422E03"/>
    <w:rsid w:val="00422E68"/>
    <w:rsid w:val="00422F54"/>
    <w:rsid w:val="00422FA6"/>
    <w:rsid w:val="00423019"/>
    <w:rsid w:val="0042302A"/>
    <w:rsid w:val="00423130"/>
    <w:rsid w:val="00423171"/>
    <w:rsid w:val="0042319C"/>
    <w:rsid w:val="004231E4"/>
    <w:rsid w:val="00423208"/>
    <w:rsid w:val="0042321C"/>
    <w:rsid w:val="0042325D"/>
    <w:rsid w:val="00423285"/>
    <w:rsid w:val="004232AD"/>
    <w:rsid w:val="0042333A"/>
    <w:rsid w:val="00423340"/>
    <w:rsid w:val="004233DC"/>
    <w:rsid w:val="00423606"/>
    <w:rsid w:val="0042360F"/>
    <w:rsid w:val="00423661"/>
    <w:rsid w:val="004236AC"/>
    <w:rsid w:val="004236B9"/>
    <w:rsid w:val="0042375D"/>
    <w:rsid w:val="00423844"/>
    <w:rsid w:val="004238FC"/>
    <w:rsid w:val="00423A42"/>
    <w:rsid w:val="00423AA0"/>
    <w:rsid w:val="00423AC5"/>
    <w:rsid w:val="00423ACA"/>
    <w:rsid w:val="00423AED"/>
    <w:rsid w:val="00423BFA"/>
    <w:rsid w:val="00423C87"/>
    <w:rsid w:val="00423CE7"/>
    <w:rsid w:val="00423CEF"/>
    <w:rsid w:val="00423D20"/>
    <w:rsid w:val="00423D96"/>
    <w:rsid w:val="00423DF3"/>
    <w:rsid w:val="00423EAA"/>
    <w:rsid w:val="00423EFD"/>
    <w:rsid w:val="00423F60"/>
    <w:rsid w:val="00423F74"/>
    <w:rsid w:val="00423FED"/>
    <w:rsid w:val="0042404A"/>
    <w:rsid w:val="0042405B"/>
    <w:rsid w:val="00424097"/>
    <w:rsid w:val="004240CA"/>
    <w:rsid w:val="0042419D"/>
    <w:rsid w:val="004241DD"/>
    <w:rsid w:val="0042423F"/>
    <w:rsid w:val="00424283"/>
    <w:rsid w:val="00424426"/>
    <w:rsid w:val="004244E3"/>
    <w:rsid w:val="00424550"/>
    <w:rsid w:val="00424592"/>
    <w:rsid w:val="004245D5"/>
    <w:rsid w:val="004246E6"/>
    <w:rsid w:val="00424710"/>
    <w:rsid w:val="00424717"/>
    <w:rsid w:val="00424727"/>
    <w:rsid w:val="00424776"/>
    <w:rsid w:val="004247A3"/>
    <w:rsid w:val="00424831"/>
    <w:rsid w:val="0042487A"/>
    <w:rsid w:val="00424978"/>
    <w:rsid w:val="004249A9"/>
    <w:rsid w:val="004249B2"/>
    <w:rsid w:val="004249E8"/>
    <w:rsid w:val="00424A4F"/>
    <w:rsid w:val="00424A8F"/>
    <w:rsid w:val="00424A9E"/>
    <w:rsid w:val="00424AC9"/>
    <w:rsid w:val="00424BC6"/>
    <w:rsid w:val="00424C01"/>
    <w:rsid w:val="00424C82"/>
    <w:rsid w:val="00424CF2"/>
    <w:rsid w:val="00424D3E"/>
    <w:rsid w:val="00424DB6"/>
    <w:rsid w:val="00424E36"/>
    <w:rsid w:val="00424ECF"/>
    <w:rsid w:val="00424F25"/>
    <w:rsid w:val="00424F42"/>
    <w:rsid w:val="00425026"/>
    <w:rsid w:val="00425028"/>
    <w:rsid w:val="0042502A"/>
    <w:rsid w:val="00425050"/>
    <w:rsid w:val="0042505D"/>
    <w:rsid w:val="004250E2"/>
    <w:rsid w:val="004251DB"/>
    <w:rsid w:val="00425205"/>
    <w:rsid w:val="0042529C"/>
    <w:rsid w:val="0042535C"/>
    <w:rsid w:val="004253BD"/>
    <w:rsid w:val="004253D5"/>
    <w:rsid w:val="004253E4"/>
    <w:rsid w:val="004253FA"/>
    <w:rsid w:val="00425495"/>
    <w:rsid w:val="004254A8"/>
    <w:rsid w:val="0042554E"/>
    <w:rsid w:val="0042558F"/>
    <w:rsid w:val="004255E0"/>
    <w:rsid w:val="004255E1"/>
    <w:rsid w:val="00425640"/>
    <w:rsid w:val="00425680"/>
    <w:rsid w:val="00425695"/>
    <w:rsid w:val="004256B1"/>
    <w:rsid w:val="00425916"/>
    <w:rsid w:val="00425974"/>
    <w:rsid w:val="00425A70"/>
    <w:rsid w:val="00425A7C"/>
    <w:rsid w:val="00425B96"/>
    <w:rsid w:val="00425C01"/>
    <w:rsid w:val="00425C56"/>
    <w:rsid w:val="00425D37"/>
    <w:rsid w:val="00425D53"/>
    <w:rsid w:val="00425DAD"/>
    <w:rsid w:val="00425E4D"/>
    <w:rsid w:val="00425E79"/>
    <w:rsid w:val="00425EEE"/>
    <w:rsid w:val="00425F56"/>
    <w:rsid w:val="00425F73"/>
    <w:rsid w:val="00425FB2"/>
    <w:rsid w:val="00426009"/>
    <w:rsid w:val="0042600B"/>
    <w:rsid w:val="0042604D"/>
    <w:rsid w:val="00426074"/>
    <w:rsid w:val="004260DF"/>
    <w:rsid w:val="0042616E"/>
    <w:rsid w:val="0042617D"/>
    <w:rsid w:val="004261FA"/>
    <w:rsid w:val="0042621A"/>
    <w:rsid w:val="00426237"/>
    <w:rsid w:val="00426284"/>
    <w:rsid w:val="004262E8"/>
    <w:rsid w:val="0042632D"/>
    <w:rsid w:val="00426340"/>
    <w:rsid w:val="004263B7"/>
    <w:rsid w:val="0042645B"/>
    <w:rsid w:val="004264A7"/>
    <w:rsid w:val="004264C9"/>
    <w:rsid w:val="004265CC"/>
    <w:rsid w:val="00426673"/>
    <w:rsid w:val="004266BE"/>
    <w:rsid w:val="004267AB"/>
    <w:rsid w:val="0042681A"/>
    <w:rsid w:val="00426992"/>
    <w:rsid w:val="00426A0F"/>
    <w:rsid w:val="00426A7D"/>
    <w:rsid w:val="00426AB8"/>
    <w:rsid w:val="00426AB9"/>
    <w:rsid w:val="00426ACD"/>
    <w:rsid w:val="00426BAB"/>
    <w:rsid w:val="00426BE7"/>
    <w:rsid w:val="00426C28"/>
    <w:rsid w:val="00426C53"/>
    <w:rsid w:val="00426C58"/>
    <w:rsid w:val="00426CA5"/>
    <w:rsid w:val="00426D9C"/>
    <w:rsid w:val="00426E46"/>
    <w:rsid w:val="00426ED6"/>
    <w:rsid w:val="00426FD9"/>
    <w:rsid w:val="00426FF6"/>
    <w:rsid w:val="00427026"/>
    <w:rsid w:val="00427062"/>
    <w:rsid w:val="0042710A"/>
    <w:rsid w:val="0042715D"/>
    <w:rsid w:val="00427192"/>
    <w:rsid w:val="004271E4"/>
    <w:rsid w:val="0042721D"/>
    <w:rsid w:val="0042726C"/>
    <w:rsid w:val="004272A8"/>
    <w:rsid w:val="004272F3"/>
    <w:rsid w:val="004272F8"/>
    <w:rsid w:val="0042732A"/>
    <w:rsid w:val="00427390"/>
    <w:rsid w:val="00427475"/>
    <w:rsid w:val="00427499"/>
    <w:rsid w:val="0042757B"/>
    <w:rsid w:val="0042759F"/>
    <w:rsid w:val="004275C1"/>
    <w:rsid w:val="004275C9"/>
    <w:rsid w:val="0042766D"/>
    <w:rsid w:val="004276B0"/>
    <w:rsid w:val="004276D0"/>
    <w:rsid w:val="004276F6"/>
    <w:rsid w:val="004277F6"/>
    <w:rsid w:val="0042786E"/>
    <w:rsid w:val="00427928"/>
    <w:rsid w:val="00427932"/>
    <w:rsid w:val="00427952"/>
    <w:rsid w:val="00427965"/>
    <w:rsid w:val="00427A26"/>
    <w:rsid w:val="00427AE9"/>
    <w:rsid w:val="00427B0E"/>
    <w:rsid w:val="00427BE2"/>
    <w:rsid w:val="00427BFD"/>
    <w:rsid w:val="00427C55"/>
    <w:rsid w:val="00427C6C"/>
    <w:rsid w:val="00427E0E"/>
    <w:rsid w:val="00427E1C"/>
    <w:rsid w:val="00427F51"/>
    <w:rsid w:val="00430022"/>
    <w:rsid w:val="0043005E"/>
    <w:rsid w:val="00430093"/>
    <w:rsid w:val="004300CD"/>
    <w:rsid w:val="00430108"/>
    <w:rsid w:val="00430114"/>
    <w:rsid w:val="0043014D"/>
    <w:rsid w:val="00430157"/>
    <w:rsid w:val="0043020D"/>
    <w:rsid w:val="00430246"/>
    <w:rsid w:val="00430276"/>
    <w:rsid w:val="004302C9"/>
    <w:rsid w:val="0043030C"/>
    <w:rsid w:val="00430371"/>
    <w:rsid w:val="004303F9"/>
    <w:rsid w:val="004304D5"/>
    <w:rsid w:val="004304E6"/>
    <w:rsid w:val="00430546"/>
    <w:rsid w:val="004305CE"/>
    <w:rsid w:val="004305F8"/>
    <w:rsid w:val="00430601"/>
    <w:rsid w:val="00430630"/>
    <w:rsid w:val="0043064C"/>
    <w:rsid w:val="0043067D"/>
    <w:rsid w:val="004306FC"/>
    <w:rsid w:val="0043073C"/>
    <w:rsid w:val="0043073D"/>
    <w:rsid w:val="00430748"/>
    <w:rsid w:val="00430772"/>
    <w:rsid w:val="00430783"/>
    <w:rsid w:val="0043079F"/>
    <w:rsid w:val="004307E4"/>
    <w:rsid w:val="0043084B"/>
    <w:rsid w:val="0043085A"/>
    <w:rsid w:val="00430895"/>
    <w:rsid w:val="004308D2"/>
    <w:rsid w:val="00430973"/>
    <w:rsid w:val="00430A18"/>
    <w:rsid w:val="00430A95"/>
    <w:rsid w:val="00430B10"/>
    <w:rsid w:val="00430B51"/>
    <w:rsid w:val="00430BB6"/>
    <w:rsid w:val="00430CB7"/>
    <w:rsid w:val="00430CD1"/>
    <w:rsid w:val="00430CD9"/>
    <w:rsid w:val="00430D16"/>
    <w:rsid w:val="00430D20"/>
    <w:rsid w:val="00430D70"/>
    <w:rsid w:val="00430D7E"/>
    <w:rsid w:val="00430D80"/>
    <w:rsid w:val="00430DA4"/>
    <w:rsid w:val="00430DD5"/>
    <w:rsid w:val="00430E20"/>
    <w:rsid w:val="00430EA2"/>
    <w:rsid w:val="00430EBF"/>
    <w:rsid w:val="00430F0D"/>
    <w:rsid w:val="00430F2A"/>
    <w:rsid w:val="00430F51"/>
    <w:rsid w:val="00430F8A"/>
    <w:rsid w:val="00430F8B"/>
    <w:rsid w:val="00430F97"/>
    <w:rsid w:val="00431072"/>
    <w:rsid w:val="004310F6"/>
    <w:rsid w:val="004311F1"/>
    <w:rsid w:val="004311F5"/>
    <w:rsid w:val="00431209"/>
    <w:rsid w:val="00431274"/>
    <w:rsid w:val="0043129B"/>
    <w:rsid w:val="00431439"/>
    <w:rsid w:val="00431484"/>
    <w:rsid w:val="004314AD"/>
    <w:rsid w:val="0043153F"/>
    <w:rsid w:val="00431569"/>
    <w:rsid w:val="004315E5"/>
    <w:rsid w:val="00431763"/>
    <w:rsid w:val="004317B6"/>
    <w:rsid w:val="004317BB"/>
    <w:rsid w:val="00431896"/>
    <w:rsid w:val="00431993"/>
    <w:rsid w:val="004319D1"/>
    <w:rsid w:val="00431A1D"/>
    <w:rsid w:val="00431A20"/>
    <w:rsid w:val="00431ABC"/>
    <w:rsid w:val="00431AD0"/>
    <w:rsid w:val="00431AE6"/>
    <w:rsid w:val="00431B67"/>
    <w:rsid w:val="00431BC0"/>
    <w:rsid w:val="00431C47"/>
    <w:rsid w:val="00431CD0"/>
    <w:rsid w:val="00431CD2"/>
    <w:rsid w:val="00431D08"/>
    <w:rsid w:val="00431DA3"/>
    <w:rsid w:val="00431DA5"/>
    <w:rsid w:val="00431DC0"/>
    <w:rsid w:val="00431DD1"/>
    <w:rsid w:val="00431DDF"/>
    <w:rsid w:val="00431DEA"/>
    <w:rsid w:val="00431E52"/>
    <w:rsid w:val="00431E65"/>
    <w:rsid w:val="00431EA4"/>
    <w:rsid w:val="00431ED3"/>
    <w:rsid w:val="00431ED6"/>
    <w:rsid w:val="00431F72"/>
    <w:rsid w:val="00431F8F"/>
    <w:rsid w:val="00431F9B"/>
    <w:rsid w:val="00431FC3"/>
    <w:rsid w:val="0043202A"/>
    <w:rsid w:val="004320B8"/>
    <w:rsid w:val="00432233"/>
    <w:rsid w:val="004322EE"/>
    <w:rsid w:val="00432308"/>
    <w:rsid w:val="00432318"/>
    <w:rsid w:val="00432374"/>
    <w:rsid w:val="0043237A"/>
    <w:rsid w:val="004323A0"/>
    <w:rsid w:val="0043240A"/>
    <w:rsid w:val="0043243B"/>
    <w:rsid w:val="00432458"/>
    <w:rsid w:val="00432496"/>
    <w:rsid w:val="004324FE"/>
    <w:rsid w:val="0043256F"/>
    <w:rsid w:val="004325A8"/>
    <w:rsid w:val="004325C9"/>
    <w:rsid w:val="004325CC"/>
    <w:rsid w:val="004325FA"/>
    <w:rsid w:val="004325FD"/>
    <w:rsid w:val="00432643"/>
    <w:rsid w:val="004326DD"/>
    <w:rsid w:val="00432707"/>
    <w:rsid w:val="00432810"/>
    <w:rsid w:val="0043281E"/>
    <w:rsid w:val="004328A3"/>
    <w:rsid w:val="0043292A"/>
    <w:rsid w:val="00432932"/>
    <w:rsid w:val="004329EA"/>
    <w:rsid w:val="00432A4B"/>
    <w:rsid w:val="00432B08"/>
    <w:rsid w:val="00432B40"/>
    <w:rsid w:val="00432B58"/>
    <w:rsid w:val="00432BFF"/>
    <w:rsid w:val="00432C44"/>
    <w:rsid w:val="00432D49"/>
    <w:rsid w:val="00432D79"/>
    <w:rsid w:val="00432DE0"/>
    <w:rsid w:val="00432DFD"/>
    <w:rsid w:val="00432E99"/>
    <w:rsid w:val="00432F9B"/>
    <w:rsid w:val="00433007"/>
    <w:rsid w:val="004330BE"/>
    <w:rsid w:val="004330C3"/>
    <w:rsid w:val="00433110"/>
    <w:rsid w:val="0043313B"/>
    <w:rsid w:val="00433180"/>
    <w:rsid w:val="004332CD"/>
    <w:rsid w:val="0043330F"/>
    <w:rsid w:val="00433340"/>
    <w:rsid w:val="00433401"/>
    <w:rsid w:val="00433421"/>
    <w:rsid w:val="0043344E"/>
    <w:rsid w:val="004334BE"/>
    <w:rsid w:val="0043351B"/>
    <w:rsid w:val="00433620"/>
    <w:rsid w:val="00433623"/>
    <w:rsid w:val="00433706"/>
    <w:rsid w:val="0043373D"/>
    <w:rsid w:val="00433764"/>
    <w:rsid w:val="0043378E"/>
    <w:rsid w:val="004337E6"/>
    <w:rsid w:val="00433812"/>
    <w:rsid w:val="004338F6"/>
    <w:rsid w:val="0043396A"/>
    <w:rsid w:val="004339A0"/>
    <w:rsid w:val="004339CC"/>
    <w:rsid w:val="004339E5"/>
    <w:rsid w:val="00433A09"/>
    <w:rsid w:val="00433A5D"/>
    <w:rsid w:val="00433A9F"/>
    <w:rsid w:val="00433AA1"/>
    <w:rsid w:val="00433AAB"/>
    <w:rsid w:val="00433AE1"/>
    <w:rsid w:val="00433B12"/>
    <w:rsid w:val="00433B1F"/>
    <w:rsid w:val="00433B86"/>
    <w:rsid w:val="00433D05"/>
    <w:rsid w:val="00433D0B"/>
    <w:rsid w:val="00433D88"/>
    <w:rsid w:val="00433D94"/>
    <w:rsid w:val="00433DC6"/>
    <w:rsid w:val="00433E21"/>
    <w:rsid w:val="00433E69"/>
    <w:rsid w:val="00433F4A"/>
    <w:rsid w:val="00434001"/>
    <w:rsid w:val="0043414D"/>
    <w:rsid w:val="004342A0"/>
    <w:rsid w:val="004342C3"/>
    <w:rsid w:val="004343BF"/>
    <w:rsid w:val="004343CF"/>
    <w:rsid w:val="00434512"/>
    <w:rsid w:val="00434536"/>
    <w:rsid w:val="00434565"/>
    <w:rsid w:val="004346F6"/>
    <w:rsid w:val="00434741"/>
    <w:rsid w:val="00434833"/>
    <w:rsid w:val="00434834"/>
    <w:rsid w:val="004348C5"/>
    <w:rsid w:val="0043499B"/>
    <w:rsid w:val="004349E3"/>
    <w:rsid w:val="00434B31"/>
    <w:rsid w:val="00434C9A"/>
    <w:rsid w:val="00434C9F"/>
    <w:rsid w:val="00434D34"/>
    <w:rsid w:val="00434D3F"/>
    <w:rsid w:val="00434D7E"/>
    <w:rsid w:val="00434D8E"/>
    <w:rsid w:val="00434DDC"/>
    <w:rsid w:val="00434ED4"/>
    <w:rsid w:val="00434F44"/>
    <w:rsid w:val="00434F52"/>
    <w:rsid w:val="0043507B"/>
    <w:rsid w:val="0043508F"/>
    <w:rsid w:val="00435153"/>
    <w:rsid w:val="00435163"/>
    <w:rsid w:val="004351BD"/>
    <w:rsid w:val="004351D0"/>
    <w:rsid w:val="004351D6"/>
    <w:rsid w:val="004351FD"/>
    <w:rsid w:val="00435242"/>
    <w:rsid w:val="004352FC"/>
    <w:rsid w:val="00435359"/>
    <w:rsid w:val="004353A9"/>
    <w:rsid w:val="004353C0"/>
    <w:rsid w:val="004353EC"/>
    <w:rsid w:val="00435417"/>
    <w:rsid w:val="0043544E"/>
    <w:rsid w:val="004354D5"/>
    <w:rsid w:val="00435556"/>
    <w:rsid w:val="00435561"/>
    <w:rsid w:val="0043559F"/>
    <w:rsid w:val="0043561F"/>
    <w:rsid w:val="004356AB"/>
    <w:rsid w:val="00435895"/>
    <w:rsid w:val="00435921"/>
    <w:rsid w:val="00435936"/>
    <w:rsid w:val="004359E6"/>
    <w:rsid w:val="004359EB"/>
    <w:rsid w:val="00435A20"/>
    <w:rsid w:val="00435A74"/>
    <w:rsid w:val="00435A8F"/>
    <w:rsid w:val="00435B07"/>
    <w:rsid w:val="00435B47"/>
    <w:rsid w:val="00435BAF"/>
    <w:rsid w:val="00435BBB"/>
    <w:rsid w:val="00435BCA"/>
    <w:rsid w:val="00435BCF"/>
    <w:rsid w:val="00435BE3"/>
    <w:rsid w:val="00435CB5"/>
    <w:rsid w:val="00435CEB"/>
    <w:rsid w:val="00435D6C"/>
    <w:rsid w:val="00435D70"/>
    <w:rsid w:val="00435E1A"/>
    <w:rsid w:val="00435E64"/>
    <w:rsid w:val="00435FED"/>
    <w:rsid w:val="00435FEF"/>
    <w:rsid w:val="00436043"/>
    <w:rsid w:val="00436078"/>
    <w:rsid w:val="00436124"/>
    <w:rsid w:val="0043615B"/>
    <w:rsid w:val="0043615D"/>
    <w:rsid w:val="00436181"/>
    <w:rsid w:val="004361CC"/>
    <w:rsid w:val="004362B6"/>
    <w:rsid w:val="004362BE"/>
    <w:rsid w:val="004362C5"/>
    <w:rsid w:val="004362E5"/>
    <w:rsid w:val="004362ED"/>
    <w:rsid w:val="00436356"/>
    <w:rsid w:val="0043636E"/>
    <w:rsid w:val="004363BB"/>
    <w:rsid w:val="0043644E"/>
    <w:rsid w:val="004364DA"/>
    <w:rsid w:val="00436504"/>
    <w:rsid w:val="00436575"/>
    <w:rsid w:val="0043668A"/>
    <w:rsid w:val="004366D2"/>
    <w:rsid w:val="00436788"/>
    <w:rsid w:val="00436830"/>
    <w:rsid w:val="0043683D"/>
    <w:rsid w:val="0043686B"/>
    <w:rsid w:val="0043693F"/>
    <w:rsid w:val="00436944"/>
    <w:rsid w:val="00436A60"/>
    <w:rsid w:val="00436B0C"/>
    <w:rsid w:val="00436B13"/>
    <w:rsid w:val="00436B21"/>
    <w:rsid w:val="00436B7A"/>
    <w:rsid w:val="00436C11"/>
    <w:rsid w:val="00436C48"/>
    <w:rsid w:val="00436C91"/>
    <w:rsid w:val="00436CD3"/>
    <w:rsid w:val="00436D26"/>
    <w:rsid w:val="00436EB6"/>
    <w:rsid w:val="00436FC4"/>
    <w:rsid w:val="00436FCE"/>
    <w:rsid w:val="00437069"/>
    <w:rsid w:val="00437224"/>
    <w:rsid w:val="0043727F"/>
    <w:rsid w:val="00437285"/>
    <w:rsid w:val="00437293"/>
    <w:rsid w:val="004372B0"/>
    <w:rsid w:val="004372B9"/>
    <w:rsid w:val="00437358"/>
    <w:rsid w:val="0043736A"/>
    <w:rsid w:val="004373B7"/>
    <w:rsid w:val="004373F6"/>
    <w:rsid w:val="0043743F"/>
    <w:rsid w:val="0043747E"/>
    <w:rsid w:val="0043748D"/>
    <w:rsid w:val="004374E1"/>
    <w:rsid w:val="004375BE"/>
    <w:rsid w:val="00437666"/>
    <w:rsid w:val="0043773B"/>
    <w:rsid w:val="00437768"/>
    <w:rsid w:val="0043777A"/>
    <w:rsid w:val="00437855"/>
    <w:rsid w:val="0043785A"/>
    <w:rsid w:val="0043788E"/>
    <w:rsid w:val="00437910"/>
    <w:rsid w:val="00437971"/>
    <w:rsid w:val="00437A89"/>
    <w:rsid w:val="00437AA3"/>
    <w:rsid w:val="00437AA8"/>
    <w:rsid w:val="00437B1A"/>
    <w:rsid w:val="00437B68"/>
    <w:rsid w:val="00437B8B"/>
    <w:rsid w:val="00437B99"/>
    <w:rsid w:val="00437BBB"/>
    <w:rsid w:val="00437C3E"/>
    <w:rsid w:val="00437C95"/>
    <w:rsid w:val="00437CE1"/>
    <w:rsid w:val="00437D2F"/>
    <w:rsid w:val="00437D35"/>
    <w:rsid w:val="00437F04"/>
    <w:rsid w:val="00437F35"/>
    <w:rsid w:val="00437F50"/>
    <w:rsid w:val="00440095"/>
    <w:rsid w:val="004400A1"/>
    <w:rsid w:val="004400DA"/>
    <w:rsid w:val="00440164"/>
    <w:rsid w:val="00440175"/>
    <w:rsid w:val="00440213"/>
    <w:rsid w:val="004402A4"/>
    <w:rsid w:val="004402A5"/>
    <w:rsid w:val="0044033D"/>
    <w:rsid w:val="0044035E"/>
    <w:rsid w:val="0044045C"/>
    <w:rsid w:val="004404A2"/>
    <w:rsid w:val="0044050A"/>
    <w:rsid w:val="0044053B"/>
    <w:rsid w:val="00440609"/>
    <w:rsid w:val="00440628"/>
    <w:rsid w:val="00440759"/>
    <w:rsid w:val="004407D1"/>
    <w:rsid w:val="004407EA"/>
    <w:rsid w:val="00440827"/>
    <w:rsid w:val="00440872"/>
    <w:rsid w:val="00440877"/>
    <w:rsid w:val="0044087E"/>
    <w:rsid w:val="00440905"/>
    <w:rsid w:val="00440942"/>
    <w:rsid w:val="00440A0B"/>
    <w:rsid w:val="00440A90"/>
    <w:rsid w:val="00440B9D"/>
    <w:rsid w:val="00440BC9"/>
    <w:rsid w:val="00440C0B"/>
    <w:rsid w:val="00440CA7"/>
    <w:rsid w:val="00440CAC"/>
    <w:rsid w:val="00440CB9"/>
    <w:rsid w:val="00440D2C"/>
    <w:rsid w:val="00440D9D"/>
    <w:rsid w:val="00440DE3"/>
    <w:rsid w:val="00440E41"/>
    <w:rsid w:val="00440E7B"/>
    <w:rsid w:val="00440FF7"/>
    <w:rsid w:val="00441090"/>
    <w:rsid w:val="00441102"/>
    <w:rsid w:val="00441112"/>
    <w:rsid w:val="0044116E"/>
    <w:rsid w:val="004411A6"/>
    <w:rsid w:val="004411C1"/>
    <w:rsid w:val="00441274"/>
    <w:rsid w:val="004414A4"/>
    <w:rsid w:val="00441560"/>
    <w:rsid w:val="0044163C"/>
    <w:rsid w:val="00441670"/>
    <w:rsid w:val="0044168F"/>
    <w:rsid w:val="004416AB"/>
    <w:rsid w:val="004416C0"/>
    <w:rsid w:val="00441723"/>
    <w:rsid w:val="00441740"/>
    <w:rsid w:val="004417D7"/>
    <w:rsid w:val="004417EF"/>
    <w:rsid w:val="0044186B"/>
    <w:rsid w:val="004418C9"/>
    <w:rsid w:val="004418F8"/>
    <w:rsid w:val="0044195C"/>
    <w:rsid w:val="00441A86"/>
    <w:rsid w:val="00441AF1"/>
    <w:rsid w:val="00441BA8"/>
    <w:rsid w:val="00441BD5"/>
    <w:rsid w:val="00441C6C"/>
    <w:rsid w:val="00441C7A"/>
    <w:rsid w:val="00441CA0"/>
    <w:rsid w:val="00441CAD"/>
    <w:rsid w:val="00441CD0"/>
    <w:rsid w:val="00441D20"/>
    <w:rsid w:val="00441D28"/>
    <w:rsid w:val="00441D81"/>
    <w:rsid w:val="00441E23"/>
    <w:rsid w:val="00441E91"/>
    <w:rsid w:val="00441F75"/>
    <w:rsid w:val="00441FE1"/>
    <w:rsid w:val="004421F8"/>
    <w:rsid w:val="00442223"/>
    <w:rsid w:val="00442286"/>
    <w:rsid w:val="004422CA"/>
    <w:rsid w:val="004422F3"/>
    <w:rsid w:val="0044236D"/>
    <w:rsid w:val="004424AC"/>
    <w:rsid w:val="004424ED"/>
    <w:rsid w:val="0044253B"/>
    <w:rsid w:val="00442582"/>
    <w:rsid w:val="0044258B"/>
    <w:rsid w:val="0044260B"/>
    <w:rsid w:val="0044270F"/>
    <w:rsid w:val="0044273C"/>
    <w:rsid w:val="00442740"/>
    <w:rsid w:val="0044279C"/>
    <w:rsid w:val="00442857"/>
    <w:rsid w:val="00442881"/>
    <w:rsid w:val="00442885"/>
    <w:rsid w:val="004428F2"/>
    <w:rsid w:val="004429DE"/>
    <w:rsid w:val="004429EE"/>
    <w:rsid w:val="004429F3"/>
    <w:rsid w:val="00442A26"/>
    <w:rsid w:val="00442A4D"/>
    <w:rsid w:val="00442B0D"/>
    <w:rsid w:val="00442B66"/>
    <w:rsid w:val="00442C3B"/>
    <w:rsid w:val="00442D6F"/>
    <w:rsid w:val="00442E06"/>
    <w:rsid w:val="00442E83"/>
    <w:rsid w:val="00442F03"/>
    <w:rsid w:val="00442F66"/>
    <w:rsid w:val="004430CE"/>
    <w:rsid w:val="004430D3"/>
    <w:rsid w:val="0044311A"/>
    <w:rsid w:val="00443191"/>
    <w:rsid w:val="004431AB"/>
    <w:rsid w:val="004431F7"/>
    <w:rsid w:val="00443264"/>
    <w:rsid w:val="00443265"/>
    <w:rsid w:val="0044329A"/>
    <w:rsid w:val="0044329F"/>
    <w:rsid w:val="0044331E"/>
    <w:rsid w:val="00443323"/>
    <w:rsid w:val="00443369"/>
    <w:rsid w:val="004433F6"/>
    <w:rsid w:val="0044343A"/>
    <w:rsid w:val="00443500"/>
    <w:rsid w:val="0044351B"/>
    <w:rsid w:val="0044356A"/>
    <w:rsid w:val="004435D6"/>
    <w:rsid w:val="004435E2"/>
    <w:rsid w:val="004435F2"/>
    <w:rsid w:val="0044361D"/>
    <w:rsid w:val="0044363A"/>
    <w:rsid w:val="00443686"/>
    <w:rsid w:val="004436BD"/>
    <w:rsid w:val="004436C8"/>
    <w:rsid w:val="00443753"/>
    <w:rsid w:val="00443762"/>
    <w:rsid w:val="00443776"/>
    <w:rsid w:val="0044377E"/>
    <w:rsid w:val="004438B1"/>
    <w:rsid w:val="004438B7"/>
    <w:rsid w:val="00443952"/>
    <w:rsid w:val="0044398D"/>
    <w:rsid w:val="004439A8"/>
    <w:rsid w:val="004439FB"/>
    <w:rsid w:val="00443A0B"/>
    <w:rsid w:val="00443A2E"/>
    <w:rsid w:val="00443A9C"/>
    <w:rsid w:val="00443AAA"/>
    <w:rsid w:val="00443BB3"/>
    <w:rsid w:val="00443BEC"/>
    <w:rsid w:val="00443C2A"/>
    <w:rsid w:val="00443CC7"/>
    <w:rsid w:val="00443D2B"/>
    <w:rsid w:val="00443D5B"/>
    <w:rsid w:val="00443E72"/>
    <w:rsid w:val="00443ECA"/>
    <w:rsid w:val="00443EEB"/>
    <w:rsid w:val="00443F36"/>
    <w:rsid w:val="00443FA5"/>
    <w:rsid w:val="00443FB7"/>
    <w:rsid w:val="0044401B"/>
    <w:rsid w:val="00444020"/>
    <w:rsid w:val="0044402F"/>
    <w:rsid w:val="00444088"/>
    <w:rsid w:val="004440A1"/>
    <w:rsid w:val="0044413C"/>
    <w:rsid w:val="004441B1"/>
    <w:rsid w:val="00444215"/>
    <w:rsid w:val="00444259"/>
    <w:rsid w:val="0044428E"/>
    <w:rsid w:val="004442C0"/>
    <w:rsid w:val="0044433D"/>
    <w:rsid w:val="00444343"/>
    <w:rsid w:val="0044453F"/>
    <w:rsid w:val="004445D9"/>
    <w:rsid w:val="00444683"/>
    <w:rsid w:val="0044483D"/>
    <w:rsid w:val="004448FC"/>
    <w:rsid w:val="00444962"/>
    <w:rsid w:val="00444A15"/>
    <w:rsid w:val="00444A2C"/>
    <w:rsid w:val="00444A38"/>
    <w:rsid w:val="00444A56"/>
    <w:rsid w:val="00444A96"/>
    <w:rsid w:val="00444A98"/>
    <w:rsid w:val="00444AD2"/>
    <w:rsid w:val="00444B84"/>
    <w:rsid w:val="00444BCC"/>
    <w:rsid w:val="00444C37"/>
    <w:rsid w:val="00444C7B"/>
    <w:rsid w:val="00444C7D"/>
    <w:rsid w:val="00444C8D"/>
    <w:rsid w:val="00444C9D"/>
    <w:rsid w:val="00444D2A"/>
    <w:rsid w:val="00444DCC"/>
    <w:rsid w:val="00444DE0"/>
    <w:rsid w:val="00444E08"/>
    <w:rsid w:val="00444EDD"/>
    <w:rsid w:val="00444F91"/>
    <w:rsid w:val="00445035"/>
    <w:rsid w:val="004450C8"/>
    <w:rsid w:val="004450DA"/>
    <w:rsid w:val="0044514B"/>
    <w:rsid w:val="00445164"/>
    <w:rsid w:val="004451B9"/>
    <w:rsid w:val="00445270"/>
    <w:rsid w:val="004452A4"/>
    <w:rsid w:val="004453E6"/>
    <w:rsid w:val="00445434"/>
    <w:rsid w:val="00445467"/>
    <w:rsid w:val="004454F6"/>
    <w:rsid w:val="00445554"/>
    <w:rsid w:val="00445750"/>
    <w:rsid w:val="00445779"/>
    <w:rsid w:val="004458A3"/>
    <w:rsid w:val="0044595F"/>
    <w:rsid w:val="004459C4"/>
    <w:rsid w:val="00445A39"/>
    <w:rsid w:val="00445A50"/>
    <w:rsid w:val="00445A67"/>
    <w:rsid w:val="00445AC1"/>
    <w:rsid w:val="00445AE0"/>
    <w:rsid w:val="00445B0E"/>
    <w:rsid w:val="00445B18"/>
    <w:rsid w:val="00445C11"/>
    <w:rsid w:val="00445D25"/>
    <w:rsid w:val="00445D4D"/>
    <w:rsid w:val="00445D78"/>
    <w:rsid w:val="00445F1C"/>
    <w:rsid w:val="00445F25"/>
    <w:rsid w:val="004460D0"/>
    <w:rsid w:val="004460DC"/>
    <w:rsid w:val="00446165"/>
    <w:rsid w:val="004461BC"/>
    <w:rsid w:val="004461D7"/>
    <w:rsid w:val="0044623E"/>
    <w:rsid w:val="00446251"/>
    <w:rsid w:val="0044625A"/>
    <w:rsid w:val="00446265"/>
    <w:rsid w:val="00446274"/>
    <w:rsid w:val="004462B8"/>
    <w:rsid w:val="0044631D"/>
    <w:rsid w:val="0044636B"/>
    <w:rsid w:val="004463D8"/>
    <w:rsid w:val="0044644B"/>
    <w:rsid w:val="00446463"/>
    <w:rsid w:val="00446489"/>
    <w:rsid w:val="004464A7"/>
    <w:rsid w:val="004464AC"/>
    <w:rsid w:val="004464D0"/>
    <w:rsid w:val="004465A5"/>
    <w:rsid w:val="004465F5"/>
    <w:rsid w:val="004465F9"/>
    <w:rsid w:val="0044663C"/>
    <w:rsid w:val="004466AC"/>
    <w:rsid w:val="00446734"/>
    <w:rsid w:val="00446736"/>
    <w:rsid w:val="00446742"/>
    <w:rsid w:val="00446786"/>
    <w:rsid w:val="004467E8"/>
    <w:rsid w:val="0044680E"/>
    <w:rsid w:val="00446837"/>
    <w:rsid w:val="0044685F"/>
    <w:rsid w:val="0044688D"/>
    <w:rsid w:val="004468BF"/>
    <w:rsid w:val="004468DA"/>
    <w:rsid w:val="004468F5"/>
    <w:rsid w:val="00446920"/>
    <w:rsid w:val="0044692A"/>
    <w:rsid w:val="00446A00"/>
    <w:rsid w:val="00446AA1"/>
    <w:rsid w:val="00446B86"/>
    <w:rsid w:val="00446BE6"/>
    <w:rsid w:val="00446C6C"/>
    <w:rsid w:val="00446DBA"/>
    <w:rsid w:val="00446DBC"/>
    <w:rsid w:val="00446EB3"/>
    <w:rsid w:val="00446EC5"/>
    <w:rsid w:val="00446EF1"/>
    <w:rsid w:val="004470D6"/>
    <w:rsid w:val="00447110"/>
    <w:rsid w:val="00447127"/>
    <w:rsid w:val="00447162"/>
    <w:rsid w:val="004471D9"/>
    <w:rsid w:val="004472CB"/>
    <w:rsid w:val="004472E5"/>
    <w:rsid w:val="004472E9"/>
    <w:rsid w:val="004472F9"/>
    <w:rsid w:val="00447330"/>
    <w:rsid w:val="00447346"/>
    <w:rsid w:val="0044734F"/>
    <w:rsid w:val="004473CE"/>
    <w:rsid w:val="00447424"/>
    <w:rsid w:val="00447465"/>
    <w:rsid w:val="00447484"/>
    <w:rsid w:val="00447517"/>
    <w:rsid w:val="004475E3"/>
    <w:rsid w:val="004476A2"/>
    <w:rsid w:val="004476DB"/>
    <w:rsid w:val="004477CC"/>
    <w:rsid w:val="004478C6"/>
    <w:rsid w:val="00447911"/>
    <w:rsid w:val="00447934"/>
    <w:rsid w:val="00447954"/>
    <w:rsid w:val="00447989"/>
    <w:rsid w:val="004479A5"/>
    <w:rsid w:val="004479B0"/>
    <w:rsid w:val="004479DE"/>
    <w:rsid w:val="00447A52"/>
    <w:rsid w:val="00447A74"/>
    <w:rsid w:val="00447B2D"/>
    <w:rsid w:val="00447B31"/>
    <w:rsid w:val="00447B37"/>
    <w:rsid w:val="00447B7E"/>
    <w:rsid w:val="00447BFF"/>
    <w:rsid w:val="00447C4C"/>
    <w:rsid w:val="00447C5A"/>
    <w:rsid w:val="00447D41"/>
    <w:rsid w:val="00447DF0"/>
    <w:rsid w:val="00447E4D"/>
    <w:rsid w:val="00447E5E"/>
    <w:rsid w:val="00447EFB"/>
    <w:rsid w:val="00447F0D"/>
    <w:rsid w:val="0045000E"/>
    <w:rsid w:val="00450096"/>
    <w:rsid w:val="004500F0"/>
    <w:rsid w:val="00450159"/>
    <w:rsid w:val="004501C6"/>
    <w:rsid w:val="0045027E"/>
    <w:rsid w:val="00450296"/>
    <w:rsid w:val="004503B9"/>
    <w:rsid w:val="004503E3"/>
    <w:rsid w:val="0045049A"/>
    <w:rsid w:val="004504CB"/>
    <w:rsid w:val="0045050A"/>
    <w:rsid w:val="0045050B"/>
    <w:rsid w:val="0045055B"/>
    <w:rsid w:val="00450578"/>
    <w:rsid w:val="004505AB"/>
    <w:rsid w:val="004505B1"/>
    <w:rsid w:val="004505B8"/>
    <w:rsid w:val="00450696"/>
    <w:rsid w:val="004506F6"/>
    <w:rsid w:val="0045073A"/>
    <w:rsid w:val="00450758"/>
    <w:rsid w:val="004508A7"/>
    <w:rsid w:val="004508CB"/>
    <w:rsid w:val="00450995"/>
    <w:rsid w:val="00450A6D"/>
    <w:rsid w:val="00450B09"/>
    <w:rsid w:val="00450B2C"/>
    <w:rsid w:val="00450B86"/>
    <w:rsid w:val="00450BE3"/>
    <w:rsid w:val="00450C21"/>
    <w:rsid w:val="00450D07"/>
    <w:rsid w:val="00450D18"/>
    <w:rsid w:val="00450D3D"/>
    <w:rsid w:val="00450D82"/>
    <w:rsid w:val="00450E99"/>
    <w:rsid w:val="00450F19"/>
    <w:rsid w:val="00450F39"/>
    <w:rsid w:val="00450F52"/>
    <w:rsid w:val="00450FF8"/>
    <w:rsid w:val="0045100E"/>
    <w:rsid w:val="00451041"/>
    <w:rsid w:val="004511EB"/>
    <w:rsid w:val="0045120E"/>
    <w:rsid w:val="004512C8"/>
    <w:rsid w:val="004512DE"/>
    <w:rsid w:val="004512FA"/>
    <w:rsid w:val="0045137D"/>
    <w:rsid w:val="004513C2"/>
    <w:rsid w:val="004513F0"/>
    <w:rsid w:val="004513F6"/>
    <w:rsid w:val="00451419"/>
    <w:rsid w:val="00451486"/>
    <w:rsid w:val="004514E7"/>
    <w:rsid w:val="004514FE"/>
    <w:rsid w:val="0045155A"/>
    <w:rsid w:val="00451601"/>
    <w:rsid w:val="00451655"/>
    <w:rsid w:val="0045165B"/>
    <w:rsid w:val="004516C8"/>
    <w:rsid w:val="004516E8"/>
    <w:rsid w:val="0045180B"/>
    <w:rsid w:val="004518C0"/>
    <w:rsid w:val="004518D7"/>
    <w:rsid w:val="004519A5"/>
    <w:rsid w:val="00451A9C"/>
    <w:rsid w:val="00451AFF"/>
    <w:rsid w:val="00451B0C"/>
    <w:rsid w:val="00451B1B"/>
    <w:rsid w:val="00451B51"/>
    <w:rsid w:val="00451B9F"/>
    <w:rsid w:val="00451C5F"/>
    <w:rsid w:val="00451C7B"/>
    <w:rsid w:val="00451CC6"/>
    <w:rsid w:val="00451D05"/>
    <w:rsid w:val="00451E2F"/>
    <w:rsid w:val="00451EA1"/>
    <w:rsid w:val="00451F11"/>
    <w:rsid w:val="00451F68"/>
    <w:rsid w:val="00451FCE"/>
    <w:rsid w:val="00452080"/>
    <w:rsid w:val="00452092"/>
    <w:rsid w:val="00452117"/>
    <w:rsid w:val="00452125"/>
    <w:rsid w:val="004521DE"/>
    <w:rsid w:val="004521E2"/>
    <w:rsid w:val="0045221D"/>
    <w:rsid w:val="00452269"/>
    <w:rsid w:val="00452345"/>
    <w:rsid w:val="004524FF"/>
    <w:rsid w:val="004525C5"/>
    <w:rsid w:val="004525EC"/>
    <w:rsid w:val="0045263E"/>
    <w:rsid w:val="0045263F"/>
    <w:rsid w:val="0045269E"/>
    <w:rsid w:val="00452764"/>
    <w:rsid w:val="004527AF"/>
    <w:rsid w:val="004527EA"/>
    <w:rsid w:val="00452842"/>
    <w:rsid w:val="0045288F"/>
    <w:rsid w:val="004528DF"/>
    <w:rsid w:val="00452A10"/>
    <w:rsid w:val="00452A40"/>
    <w:rsid w:val="00452A6B"/>
    <w:rsid w:val="00452AE4"/>
    <w:rsid w:val="00452AE5"/>
    <w:rsid w:val="00452B34"/>
    <w:rsid w:val="00452BC6"/>
    <w:rsid w:val="00452C6A"/>
    <w:rsid w:val="00452CA2"/>
    <w:rsid w:val="00452CC0"/>
    <w:rsid w:val="00452D03"/>
    <w:rsid w:val="00452D68"/>
    <w:rsid w:val="00452DB8"/>
    <w:rsid w:val="00452DBE"/>
    <w:rsid w:val="00452E4D"/>
    <w:rsid w:val="00452F2B"/>
    <w:rsid w:val="00452F40"/>
    <w:rsid w:val="00452F4E"/>
    <w:rsid w:val="00453018"/>
    <w:rsid w:val="00453091"/>
    <w:rsid w:val="004530C1"/>
    <w:rsid w:val="00453234"/>
    <w:rsid w:val="00453262"/>
    <w:rsid w:val="004532F0"/>
    <w:rsid w:val="004534DE"/>
    <w:rsid w:val="0045350E"/>
    <w:rsid w:val="0045353C"/>
    <w:rsid w:val="00453545"/>
    <w:rsid w:val="00453550"/>
    <w:rsid w:val="00453620"/>
    <w:rsid w:val="0045362E"/>
    <w:rsid w:val="004536C2"/>
    <w:rsid w:val="004536DE"/>
    <w:rsid w:val="004537D9"/>
    <w:rsid w:val="004538D1"/>
    <w:rsid w:val="00453936"/>
    <w:rsid w:val="00453937"/>
    <w:rsid w:val="00453966"/>
    <w:rsid w:val="004539A8"/>
    <w:rsid w:val="004539A9"/>
    <w:rsid w:val="00453A9D"/>
    <w:rsid w:val="00453B1E"/>
    <w:rsid w:val="00453B4E"/>
    <w:rsid w:val="00453B82"/>
    <w:rsid w:val="00453C09"/>
    <w:rsid w:val="00453C3A"/>
    <w:rsid w:val="00453D5A"/>
    <w:rsid w:val="00453DAE"/>
    <w:rsid w:val="00453DFE"/>
    <w:rsid w:val="00453E12"/>
    <w:rsid w:val="00453E66"/>
    <w:rsid w:val="00453E71"/>
    <w:rsid w:val="00453FEA"/>
    <w:rsid w:val="00454021"/>
    <w:rsid w:val="004540BF"/>
    <w:rsid w:val="00454151"/>
    <w:rsid w:val="00454200"/>
    <w:rsid w:val="0045434C"/>
    <w:rsid w:val="00454366"/>
    <w:rsid w:val="0045437E"/>
    <w:rsid w:val="0045451E"/>
    <w:rsid w:val="0045451F"/>
    <w:rsid w:val="0045461C"/>
    <w:rsid w:val="0045463A"/>
    <w:rsid w:val="0045464D"/>
    <w:rsid w:val="004546A0"/>
    <w:rsid w:val="004546AF"/>
    <w:rsid w:val="004546EA"/>
    <w:rsid w:val="0045471F"/>
    <w:rsid w:val="0045473C"/>
    <w:rsid w:val="0045478C"/>
    <w:rsid w:val="00454877"/>
    <w:rsid w:val="0045487E"/>
    <w:rsid w:val="004548F2"/>
    <w:rsid w:val="004549CD"/>
    <w:rsid w:val="00454A1F"/>
    <w:rsid w:val="00454A2D"/>
    <w:rsid w:val="00454A3F"/>
    <w:rsid w:val="00454A43"/>
    <w:rsid w:val="00454AC9"/>
    <w:rsid w:val="00454AFB"/>
    <w:rsid w:val="00454BC7"/>
    <w:rsid w:val="00454BFA"/>
    <w:rsid w:val="00454C42"/>
    <w:rsid w:val="00454D45"/>
    <w:rsid w:val="00454E2B"/>
    <w:rsid w:val="00454E33"/>
    <w:rsid w:val="00454F0F"/>
    <w:rsid w:val="00454F23"/>
    <w:rsid w:val="00454F7E"/>
    <w:rsid w:val="00454FAF"/>
    <w:rsid w:val="00454FD2"/>
    <w:rsid w:val="00455002"/>
    <w:rsid w:val="0045505B"/>
    <w:rsid w:val="0045506D"/>
    <w:rsid w:val="004550CC"/>
    <w:rsid w:val="004550F0"/>
    <w:rsid w:val="0045517B"/>
    <w:rsid w:val="004551A1"/>
    <w:rsid w:val="00455258"/>
    <w:rsid w:val="0045528F"/>
    <w:rsid w:val="004552D5"/>
    <w:rsid w:val="004552EF"/>
    <w:rsid w:val="00455323"/>
    <w:rsid w:val="00455358"/>
    <w:rsid w:val="00455484"/>
    <w:rsid w:val="004554E6"/>
    <w:rsid w:val="00455578"/>
    <w:rsid w:val="0045557D"/>
    <w:rsid w:val="004555F5"/>
    <w:rsid w:val="0045563A"/>
    <w:rsid w:val="0045566A"/>
    <w:rsid w:val="0045570D"/>
    <w:rsid w:val="004557B7"/>
    <w:rsid w:val="004557EB"/>
    <w:rsid w:val="00455818"/>
    <w:rsid w:val="00455851"/>
    <w:rsid w:val="0045587B"/>
    <w:rsid w:val="004558A9"/>
    <w:rsid w:val="00455915"/>
    <w:rsid w:val="00455924"/>
    <w:rsid w:val="00455969"/>
    <w:rsid w:val="004559FF"/>
    <w:rsid w:val="00455A08"/>
    <w:rsid w:val="00455A4D"/>
    <w:rsid w:val="00455A94"/>
    <w:rsid w:val="00455A9E"/>
    <w:rsid w:val="00455AAB"/>
    <w:rsid w:val="00455BF0"/>
    <w:rsid w:val="00455C33"/>
    <w:rsid w:val="00455C62"/>
    <w:rsid w:val="00455C79"/>
    <w:rsid w:val="00455CD0"/>
    <w:rsid w:val="00455CD5"/>
    <w:rsid w:val="00455D03"/>
    <w:rsid w:val="00455D04"/>
    <w:rsid w:val="00455D38"/>
    <w:rsid w:val="00455D6E"/>
    <w:rsid w:val="00455DDA"/>
    <w:rsid w:val="00455ED8"/>
    <w:rsid w:val="00455F72"/>
    <w:rsid w:val="00455F80"/>
    <w:rsid w:val="00455FEB"/>
    <w:rsid w:val="0045601F"/>
    <w:rsid w:val="004560BB"/>
    <w:rsid w:val="00456111"/>
    <w:rsid w:val="0045613C"/>
    <w:rsid w:val="0045620D"/>
    <w:rsid w:val="00456259"/>
    <w:rsid w:val="00456264"/>
    <w:rsid w:val="004562A6"/>
    <w:rsid w:val="004562FB"/>
    <w:rsid w:val="00456301"/>
    <w:rsid w:val="0045633C"/>
    <w:rsid w:val="00456405"/>
    <w:rsid w:val="0045640C"/>
    <w:rsid w:val="00456495"/>
    <w:rsid w:val="0045649A"/>
    <w:rsid w:val="004564D3"/>
    <w:rsid w:val="0045651B"/>
    <w:rsid w:val="00456569"/>
    <w:rsid w:val="004565E4"/>
    <w:rsid w:val="004565F8"/>
    <w:rsid w:val="00456677"/>
    <w:rsid w:val="0045668A"/>
    <w:rsid w:val="004566CE"/>
    <w:rsid w:val="004566D0"/>
    <w:rsid w:val="00456739"/>
    <w:rsid w:val="0045677E"/>
    <w:rsid w:val="00456797"/>
    <w:rsid w:val="00456798"/>
    <w:rsid w:val="0045688C"/>
    <w:rsid w:val="004568E0"/>
    <w:rsid w:val="00456969"/>
    <w:rsid w:val="0045697E"/>
    <w:rsid w:val="00456991"/>
    <w:rsid w:val="00456997"/>
    <w:rsid w:val="004569B8"/>
    <w:rsid w:val="004569C2"/>
    <w:rsid w:val="004569EA"/>
    <w:rsid w:val="00456A45"/>
    <w:rsid w:val="00456B11"/>
    <w:rsid w:val="00456B48"/>
    <w:rsid w:val="00456B4A"/>
    <w:rsid w:val="00456B55"/>
    <w:rsid w:val="00456B94"/>
    <w:rsid w:val="00456B97"/>
    <w:rsid w:val="00456C54"/>
    <w:rsid w:val="00456C69"/>
    <w:rsid w:val="00456C99"/>
    <w:rsid w:val="00456CA0"/>
    <w:rsid w:val="00456D3D"/>
    <w:rsid w:val="00456DD2"/>
    <w:rsid w:val="00456DD9"/>
    <w:rsid w:val="00456E8E"/>
    <w:rsid w:val="00456FEE"/>
    <w:rsid w:val="00456FF3"/>
    <w:rsid w:val="004570C1"/>
    <w:rsid w:val="004570EE"/>
    <w:rsid w:val="00457132"/>
    <w:rsid w:val="00457147"/>
    <w:rsid w:val="0045725B"/>
    <w:rsid w:val="0045725C"/>
    <w:rsid w:val="004572BC"/>
    <w:rsid w:val="0045741E"/>
    <w:rsid w:val="0045744A"/>
    <w:rsid w:val="00457489"/>
    <w:rsid w:val="00457490"/>
    <w:rsid w:val="004574BD"/>
    <w:rsid w:val="004574C9"/>
    <w:rsid w:val="00457505"/>
    <w:rsid w:val="0045755D"/>
    <w:rsid w:val="0045755F"/>
    <w:rsid w:val="00457595"/>
    <w:rsid w:val="00457647"/>
    <w:rsid w:val="004576E4"/>
    <w:rsid w:val="00457845"/>
    <w:rsid w:val="0045796F"/>
    <w:rsid w:val="00457975"/>
    <w:rsid w:val="00457A5C"/>
    <w:rsid w:val="00457A94"/>
    <w:rsid w:val="00457A9E"/>
    <w:rsid w:val="00457B25"/>
    <w:rsid w:val="00457B31"/>
    <w:rsid w:val="00457B37"/>
    <w:rsid w:val="00457B4A"/>
    <w:rsid w:val="00457B75"/>
    <w:rsid w:val="00457CDF"/>
    <w:rsid w:val="00457CF4"/>
    <w:rsid w:val="00457D36"/>
    <w:rsid w:val="00457D58"/>
    <w:rsid w:val="00457D97"/>
    <w:rsid w:val="00457E6D"/>
    <w:rsid w:val="00457EC7"/>
    <w:rsid w:val="00457EC8"/>
    <w:rsid w:val="00457EE6"/>
    <w:rsid w:val="00457F18"/>
    <w:rsid w:val="00460010"/>
    <w:rsid w:val="0046002A"/>
    <w:rsid w:val="0046005D"/>
    <w:rsid w:val="004600C1"/>
    <w:rsid w:val="00460231"/>
    <w:rsid w:val="00460338"/>
    <w:rsid w:val="00460412"/>
    <w:rsid w:val="00460421"/>
    <w:rsid w:val="00460512"/>
    <w:rsid w:val="0046052B"/>
    <w:rsid w:val="00460568"/>
    <w:rsid w:val="004605C9"/>
    <w:rsid w:val="004605F2"/>
    <w:rsid w:val="00460616"/>
    <w:rsid w:val="00460619"/>
    <w:rsid w:val="00460636"/>
    <w:rsid w:val="0046073B"/>
    <w:rsid w:val="004607DC"/>
    <w:rsid w:val="00460819"/>
    <w:rsid w:val="0046081F"/>
    <w:rsid w:val="004608CC"/>
    <w:rsid w:val="00460957"/>
    <w:rsid w:val="004609CE"/>
    <w:rsid w:val="00460A96"/>
    <w:rsid w:val="00460B24"/>
    <w:rsid w:val="00460BB6"/>
    <w:rsid w:val="00460BEB"/>
    <w:rsid w:val="00460C92"/>
    <w:rsid w:val="00460C99"/>
    <w:rsid w:val="00460CDD"/>
    <w:rsid w:val="00460D56"/>
    <w:rsid w:val="00460DA7"/>
    <w:rsid w:val="00460E19"/>
    <w:rsid w:val="00460EE3"/>
    <w:rsid w:val="00460F27"/>
    <w:rsid w:val="00460F35"/>
    <w:rsid w:val="00460F54"/>
    <w:rsid w:val="00460F8B"/>
    <w:rsid w:val="00461088"/>
    <w:rsid w:val="004610C3"/>
    <w:rsid w:val="004610E5"/>
    <w:rsid w:val="0046111E"/>
    <w:rsid w:val="004611DC"/>
    <w:rsid w:val="00461250"/>
    <w:rsid w:val="004612AF"/>
    <w:rsid w:val="004612FD"/>
    <w:rsid w:val="00461397"/>
    <w:rsid w:val="004614F0"/>
    <w:rsid w:val="004615D5"/>
    <w:rsid w:val="00461626"/>
    <w:rsid w:val="0046169F"/>
    <w:rsid w:val="004616A7"/>
    <w:rsid w:val="004616CA"/>
    <w:rsid w:val="004616EC"/>
    <w:rsid w:val="0046171F"/>
    <w:rsid w:val="00461731"/>
    <w:rsid w:val="004617B1"/>
    <w:rsid w:val="0046186F"/>
    <w:rsid w:val="004618D6"/>
    <w:rsid w:val="004619D4"/>
    <w:rsid w:val="00461B0E"/>
    <w:rsid w:val="00461B19"/>
    <w:rsid w:val="00461B5C"/>
    <w:rsid w:val="00461B67"/>
    <w:rsid w:val="00461B68"/>
    <w:rsid w:val="00461BBF"/>
    <w:rsid w:val="00461BD6"/>
    <w:rsid w:val="00461C53"/>
    <w:rsid w:val="00461CB6"/>
    <w:rsid w:val="00461CCA"/>
    <w:rsid w:val="00461D33"/>
    <w:rsid w:val="00461DE2"/>
    <w:rsid w:val="00461DEF"/>
    <w:rsid w:val="00461ED2"/>
    <w:rsid w:val="00461EEE"/>
    <w:rsid w:val="00462000"/>
    <w:rsid w:val="00462099"/>
    <w:rsid w:val="004620DD"/>
    <w:rsid w:val="0046213B"/>
    <w:rsid w:val="00462143"/>
    <w:rsid w:val="00462175"/>
    <w:rsid w:val="0046220E"/>
    <w:rsid w:val="0046228E"/>
    <w:rsid w:val="004622C4"/>
    <w:rsid w:val="004622E6"/>
    <w:rsid w:val="0046230F"/>
    <w:rsid w:val="00462377"/>
    <w:rsid w:val="0046238E"/>
    <w:rsid w:val="00462416"/>
    <w:rsid w:val="00462417"/>
    <w:rsid w:val="00462486"/>
    <w:rsid w:val="004624D1"/>
    <w:rsid w:val="00462560"/>
    <w:rsid w:val="004625A9"/>
    <w:rsid w:val="004625CA"/>
    <w:rsid w:val="004625D0"/>
    <w:rsid w:val="00462629"/>
    <w:rsid w:val="00462666"/>
    <w:rsid w:val="00462699"/>
    <w:rsid w:val="00462715"/>
    <w:rsid w:val="0046272E"/>
    <w:rsid w:val="0046275E"/>
    <w:rsid w:val="004627F7"/>
    <w:rsid w:val="00462801"/>
    <w:rsid w:val="00462837"/>
    <w:rsid w:val="00462844"/>
    <w:rsid w:val="0046287E"/>
    <w:rsid w:val="0046293A"/>
    <w:rsid w:val="004629C6"/>
    <w:rsid w:val="004629E2"/>
    <w:rsid w:val="00462A04"/>
    <w:rsid w:val="00462A2B"/>
    <w:rsid w:val="00462A32"/>
    <w:rsid w:val="00462AE7"/>
    <w:rsid w:val="00462AEB"/>
    <w:rsid w:val="00462B03"/>
    <w:rsid w:val="00462B1D"/>
    <w:rsid w:val="00462B6F"/>
    <w:rsid w:val="00462BDD"/>
    <w:rsid w:val="00462C83"/>
    <w:rsid w:val="00462CD2"/>
    <w:rsid w:val="00462D1F"/>
    <w:rsid w:val="00462D50"/>
    <w:rsid w:val="00462DBE"/>
    <w:rsid w:val="00462DFB"/>
    <w:rsid w:val="00462EB8"/>
    <w:rsid w:val="00462F1E"/>
    <w:rsid w:val="00462F27"/>
    <w:rsid w:val="00462F75"/>
    <w:rsid w:val="00463024"/>
    <w:rsid w:val="00463089"/>
    <w:rsid w:val="004631A9"/>
    <w:rsid w:val="004631BF"/>
    <w:rsid w:val="004632A7"/>
    <w:rsid w:val="004632B1"/>
    <w:rsid w:val="00463346"/>
    <w:rsid w:val="00463365"/>
    <w:rsid w:val="0046338F"/>
    <w:rsid w:val="004633A0"/>
    <w:rsid w:val="004633F6"/>
    <w:rsid w:val="0046346D"/>
    <w:rsid w:val="0046348A"/>
    <w:rsid w:val="00463493"/>
    <w:rsid w:val="004634EB"/>
    <w:rsid w:val="00463549"/>
    <w:rsid w:val="004635A0"/>
    <w:rsid w:val="004636EF"/>
    <w:rsid w:val="004637F0"/>
    <w:rsid w:val="0046381F"/>
    <w:rsid w:val="00463896"/>
    <w:rsid w:val="00463975"/>
    <w:rsid w:val="004639A2"/>
    <w:rsid w:val="004639F5"/>
    <w:rsid w:val="004639F7"/>
    <w:rsid w:val="00463AA8"/>
    <w:rsid w:val="00463AF6"/>
    <w:rsid w:val="00463B58"/>
    <w:rsid w:val="00463BC6"/>
    <w:rsid w:val="00463BE1"/>
    <w:rsid w:val="00463BE5"/>
    <w:rsid w:val="00463BEA"/>
    <w:rsid w:val="00463C17"/>
    <w:rsid w:val="00463C36"/>
    <w:rsid w:val="00463C51"/>
    <w:rsid w:val="00463D54"/>
    <w:rsid w:val="00463E33"/>
    <w:rsid w:val="00463E61"/>
    <w:rsid w:val="00463E66"/>
    <w:rsid w:val="00463EBA"/>
    <w:rsid w:val="00463EC7"/>
    <w:rsid w:val="00463ECE"/>
    <w:rsid w:val="00463EEC"/>
    <w:rsid w:val="00463FBD"/>
    <w:rsid w:val="00463FEE"/>
    <w:rsid w:val="0046403E"/>
    <w:rsid w:val="0046403F"/>
    <w:rsid w:val="0046405C"/>
    <w:rsid w:val="004640E0"/>
    <w:rsid w:val="0046415A"/>
    <w:rsid w:val="00464211"/>
    <w:rsid w:val="0046423B"/>
    <w:rsid w:val="0046428D"/>
    <w:rsid w:val="004642DA"/>
    <w:rsid w:val="00464346"/>
    <w:rsid w:val="00464424"/>
    <w:rsid w:val="00464450"/>
    <w:rsid w:val="004644BE"/>
    <w:rsid w:val="0046450B"/>
    <w:rsid w:val="00464553"/>
    <w:rsid w:val="0046457F"/>
    <w:rsid w:val="004645AF"/>
    <w:rsid w:val="0046463C"/>
    <w:rsid w:val="00464662"/>
    <w:rsid w:val="004646E4"/>
    <w:rsid w:val="00464717"/>
    <w:rsid w:val="004647DA"/>
    <w:rsid w:val="00464842"/>
    <w:rsid w:val="00464869"/>
    <w:rsid w:val="004648F8"/>
    <w:rsid w:val="00464923"/>
    <w:rsid w:val="00464A01"/>
    <w:rsid w:val="00464A1B"/>
    <w:rsid w:val="00464AD6"/>
    <w:rsid w:val="00464B39"/>
    <w:rsid w:val="00464BE1"/>
    <w:rsid w:val="00464BF6"/>
    <w:rsid w:val="00464C94"/>
    <w:rsid w:val="00464E1E"/>
    <w:rsid w:val="00464E62"/>
    <w:rsid w:val="00464EF0"/>
    <w:rsid w:val="00464FC8"/>
    <w:rsid w:val="00464FDB"/>
    <w:rsid w:val="00465006"/>
    <w:rsid w:val="004650A3"/>
    <w:rsid w:val="004650AD"/>
    <w:rsid w:val="0046510B"/>
    <w:rsid w:val="0046515F"/>
    <w:rsid w:val="0046518C"/>
    <w:rsid w:val="00465197"/>
    <w:rsid w:val="004653A4"/>
    <w:rsid w:val="00465491"/>
    <w:rsid w:val="00465571"/>
    <w:rsid w:val="0046557D"/>
    <w:rsid w:val="004655F8"/>
    <w:rsid w:val="00465683"/>
    <w:rsid w:val="004656CD"/>
    <w:rsid w:val="004656CE"/>
    <w:rsid w:val="00465727"/>
    <w:rsid w:val="00465773"/>
    <w:rsid w:val="004657F0"/>
    <w:rsid w:val="004657F8"/>
    <w:rsid w:val="0046583A"/>
    <w:rsid w:val="00465882"/>
    <w:rsid w:val="004659D6"/>
    <w:rsid w:val="00465A64"/>
    <w:rsid w:val="00465B13"/>
    <w:rsid w:val="00465B63"/>
    <w:rsid w:val="00465BC5"/>
    <w:rsid w:val="00465C47"/>
    <w:rsid w:val="00465C7A"/>
    <w:rsid w:val="00465CFC"/>
    <w:rsid w:val="00465D36"/>
    <w:rsid w:val="00465E27"/>
    <w:rsid w:val="00465E9B"/>
    <w:rsid w:val="00465EB8"/>
    <w:rsid w:val="00465F4D"/>
    <w:rsid w:val="00465F97"/>
    <w:rsid w:val="00466043"/>
    <w:rsid w:val="004660FA"/>
    <w:rsid w:val="0046614C"/>
    <w:rsid w:val="00466162"/>
    <w:rsid w:val="0046621D"/>
    <w:rsid w:val="004662A7"/>
    <w:rsid w:val="004662BF"/>
    <w:rsid w:val="004662CA"/>
    <w:rsid w:val="004662E4"/>
    <w:rsid w:val="00466341"/>
    <w:rsid w:val="0046641D"/>
    <w:rsid w:val="0046644B"/>
    <w:rsid w:val="00466495"/>
    <w:rsid w:val="004664FE"/>
    <w:rsid w:val="004665AE"/>
    <w:rsid w:val="00466815"/>
    <w:rsid w:val="0046682B"/>
    <w:rsid w:val="0046682F"/>
    <w:rsid w:val="00466871"/>
    <w:rsid w:val="0046687F"/>
    <w:rsid w:val="004668D0"/>
    <w:rsid w:val="004668D8"/>
    <w:rsid w:val="004668E5"/>
    <w:rsid w:val="00466973"/>
    <w:rsid w:val="004669F6"/>
    <w:rsid w:val="00466A06"/>
    <w:rsid w:val="00466A0C"/>
    <w:rsid w:val="00466A0E"/>
    <w:rsid w:val="00466A4C"/>
    <w:rsid w:val="00466B25"/>
    <w:rsid w:val="00466B73"/>
    <w:rsid w:val="00466C6B"/>
    <w:rsid w:val="00466C8B"/>
    <w:rsid w:val="00466CD4"/>
    <w:rsid w:val="00466D24"/>
    <w:rsid w:val="00466EF0"/>
    <w:rsid w:val="00466F13"/>
    <w:rsid w:val="00466F51"/>
    <w:rsid w:val="00466F56"/>
    <w:rsid w:val="00466F6B"/>
    <w:rsid w:val="00466F6C"/>
    <w:rsid w:val="00467038"/>
    <w:rsid w:val="0046706C"/>
    <w:rsid w:val="00467106"/>
    <w:rsid w:val="004671CE"/>
    <w:rsid w:val="00467233"/>
    <w:rsid w:val="00467279"/>
    <w:rsid w:val="004672EA"/>
    <w:rsid w:val="0046733F"/>
    <w:rsid w:val="0046741A"/>
    <w:rsid w:val="004674DC"/>
    <w:rsid w:val="004674F4"/>
    <w:rsid w:val="00467507"/>
    <w:rsid w:val="00467532"/>
    <w:rsid w:val="00467683"/>
    <w:rsid w:val="004676A4"/>
    <w:rsid w:val="004676B5"/>
    <w:rsid w:val="004676E1"/>
    <w:rsid w:val="00467742"/>
    <w:rsid w:val="004677A9"/>
    <w:rsid w:val="004677B3"/>
    <w:rsid w:val="004677F8"/>
    <w:rsid w:val="00467853"/>
    <w:rsid w:val="0046785D"/>
    <w:rsid w:val="00467882"/>
    <w:rsid w:val="004678BC"/>
    <w:rsid w:val="004678D2"/>
    <w:rsid w:val="0046791E"/>
    <w:rsid w:val="00467943"/>
    <w:rsid w:val="00467967"/>
    <w:rsid w:val="0046796F"/>
    <w:rsid w:val="00467ADD"/>
    <w:rsid w:val="00467B56"/>
    <w:rsid w:val="00467BDA"/>
    <w:rsid w:val="00467C32"/>
    <w:rsid w:val="00467C6A"/>
    <w:rsid w:val="00467CCF"/>
    <w:rsid w:val="00467D21"/>
    <w:rsid w:val="00467D4C"/>
    <w:rsid w:val="00467D9A"/>
    <w:rsid w:val="00467DA0"/>
    <w:rsid w:val="00467DB9"/>
    <w:rsid w:val="00467DE7"/>
    <w:rsid w:val="00467E3E"/>
    <w:rsid w:val="00467EB7"/>
    <w:rsid w:val="00467EC2"/>
    <w:rsid w:val="00467EC7"/>
    <w:rsid w:val="00467FAC"/>
    <w:rsid w:val="00470000"/>
    <w:rsid w:val="00470043"/>
    <w:rsid w:val="004700A7"/>
    <w:rsid w:val="0047020F"/>
    <w:rsid w:val="0047022D"/>
    <w:rsid w:val="00470370"/>
    <w:rsid w:val="00470541"/>
    <w:rsid w:val="0047056B"/>
    <w:rsid w:val="00470594"/>
    <w:rsid w:val="004706CA"/>
    <w:rsid w:val="00470705"/>
    <w:rsid w:val="00470709"/>
    <w:rsid w:val="004707C4"/>
    <w:rsid w:val="00470821"/>
    <w:rsid w:val="004708BF"/>
    <w:rsid w:val="004708DA"/>
    <w:rsid w:val="004708E4"/>
    <w:rsid w:val="0047094E"/>
    <w:rsid w:val="004709BA"/>
    <w:rsid w:val="00470AEA"/>
    <w:rsid w:val="00470B8E"/>
    <w:rsid w:val="00470C1D"/>
    <w:rsid w:val="00470C35"/>
    <w:rsid w:val="00470CE9"/>
    <w:rsid w:val="00470D51"/>
    <w:rsid w:val="00470D6D"/>
    <w:rsid w:val="00470D89"/>
    <w:rsid w:val="00470DBA"/>
    <w:rsid w:val="00470DE1"/>
    <w:rsid w:val="00470DEF"/>
    <w:rsid w:val="00470DFC"/>
    <w:rsid w:val="00470EF8"/>
    <w:rsid w:val="00470F10"/>
    <w:rsid w:val="00470F51"/>
    <w:rsid w:val="00470FE0"/>
    <w:rsid w:val="00471022"/>
    <w:rsid w:val="00471064"/>
    <w:rsid w:val="004710F2"/>
    <w:rsid w:val="00471193"/>
    <w:rsid w:val="00471203"/>
    <w:rsid w:val="004712DE"/>
    <w:rsid w:val="00471331"/>
    <w:rsid w:val="00471392"/>
    <w:rsid w:val="00471466"/>
    <w:rsid w:val="004714DF"/>
    <w:rsid w:val="004714FC"/>
    <w:rsid w:val="00471554"/>
    <w:rsid w:val="00471558"/>
    <w:rsid w:val="004715BA"/>
    <w:rsid w:val="004715CB"/>
    <w:rsid w:val="004715F7"/>
    <w:rsid w:val="0047169E"/>
    <w:rsid w:val="004716EA"/>
    <w:rsid w:val="004717A2"/>
    <w:rsid w:val="004717A4"/>
    <w:rsid w:val="004717E9"/>
    <w:rsid w:val="00471833"/>
    <w:rsid w:val="00471834"/>
    <w:rsid w:val="004718AE"/>
    <w:rsid w:val="004718EF"/>
    <w:rsid w:val="0047191C"/>
    <w:rsid w:val="00471922"/>
    <w:rsid w:val="00471959"/>
    <w:rsid w:val="004719A9"/>
    <w:rsid w:val="004719B0"/>
    <w:rsid w:val="00471A41"/>
    <w:rsid w:val="00471A49"/>
    <w:rsid w:val="00471AFB"/>
    <w:rsid w:val="00471C26"/>
    <w:rsid w:val="00471CBE"/>
    <w:rsid w:val="00471D36"/>
    <w:rsid w:val="00471D7B"/>
    <w:rsid w:val="00471DE1"/>
    <w:rsid w:val="00471EAF"/>
    <w:rsid w:val="00471ECB"/>
    <w:rsid w:val="00471FAE"/>
    <w:rsid w:val="00472017"/>
    <w:rsid w:val="004720F7"/>
    <w:rsid w:val="0047211F"/>
    <w:rsid w:val="0047216F"/>
    <w:rsid w:val="00472170"/>
    <w:rsid w:val="004721A5"/>
    <w:rsid w:val="004721D4"/>
    <w:rsid w:val="00472266"/>
    <w:rsid w:val="004722A0"/>
    <w:rsid w:val="00472434"/>
    <w:rsid w:val="004724DE"/>
    <w:rsid w:val="00472510"/>
    <w:rsid w:val="0047257E"/>
    <w:rsid w:val="004725C1"/>
    <w:rsid w:val="0047264A"/>
    <w:rsid w:val="004726DD"/>
    <w:rsid w:val="00472850"/>
    <w:rsid w:val="0047285B"/>
    <w:rsid w:val="0047287F"/>
    <w:rsid w:val="004728C4"/>
    <w:rsid w:val="004728DB"/>
    <w:rsid w:val="0047298A"/>
    <w:rsid w:val="004729E6"/>
    <w:rsid w:val="00472AB8"/>
    <w:rsid w:val="00472B3C"/>
    <w:rsid w:val="00472B9B"/>
    <w:rsid w:val="00472C52"/>
    <w:rsid w:val="00472C84"/>
    <w:rsid w:val="00472CA8"/>
    <w:rsid w:val="00472CD0"/>
    <w:rsid w:val="00472D14"/>
    <w:rsid w:val="00472D99"/>
    <w:rsid w:val="00472E0F"/>
    <w:rsid w:val="00472E59"/>
    <w:rsid w:val="00472EDD"/>
    <w:rsid w:val="00472F67"/>
    <w:rsid w:val="00472FD2"/>
    <w:rsid w:val="00473145"/>
    <w:rsid w:val="004731F5"/>
    <w:rsid w:val="00473228"/>
    <w:rsid w:val="0047324C"/>
    <w:rsid w:val="004732C6"/>
    <w:rsid w:val="004732D4"/>
    <w:rsid w:val="0047336A"/>
    <w:rsid w:val="004733AD"/>
    <w:rsid w:val="00473403"/>
    <w:rsid w:val="0047345A"/>
    <w:rsid w:val="0047348C"/>
    <w:rsid w:val="004735A8"/>
    <w:rsid w:val="004735B3"/>
    <w:rsid w:val="004735C7"/>
    <w:rsid w:val="004735DF"/>
    <w:rsid w:val="0047363D"/>
    <w:rsid w:val="004736BA"/>
    <w:rsid w:val="0047378D"/>
    <w:rsid w:val="004737BC"/>
    <w:rsid w:val="0047384B"/>
    <w:rsid w:val="004738D7"/>
    <w:rsid w:val="004738FC"/>
    <w:rsid w:val="0047394C"/>
    <w:rsid w:val="00473955"/>
    <w:rsid w:val="0047397E"/>
    <w:rsid w:val="00473984"/>
    <w:rsid w:val="00473A5C"/>
    <w:rsid w:val="00473A99"/>
    <w:rsid w:val="00473AA7"/>
    <w:rsid w:val="00473C0D"/>
    <w:rsid w:val="00473C9E"/>
    <w:rsid w:val="00473CC7"/>
    <w:rsid w:val="00473CCC"/>
    <w:rsid w:val="00473D12"/>
    <w:rsid w:val="00473D6E"/>
    <w:rsid w:val="00473D82"/>
    <w:rsid w:val="00473E57"/>
    <w:rsid w:val="00473E98"/>
    <w:rsid w:val="00473F1C"/>
    <w:rsid w:val="0047400D"/>
    <w:rsid w:val="00474014"/>
    <w:rsid w:val="004740D5"/>
    <w:rsid w:val="00474169"/>
    <w:rsid w:val="0047417F"/>
    <w:rsid w:val="00474210"/>
    <w:rsid w:val="0047429E"/>
    <w:rsid w:val="00474334"/>
    <w:rsid w:val="00474347"/>
    <w:rsid w:val="00474364"/>
    <w:rsid w:val="004743B7"/>
    <w:rsid w:val="004743F1"/>
    <w:rsid w:val="00474408"/>
    <w:rsid w:val="0047442B"/>
    <w:rsid w:val="004744CC"/>
    <w:rsid w:val="004744E9"/>
    <w:rsid w:val="00474526"/>
    <w:rsid w:val="0047452E"/>
    <w:rsid w:val="00474568"/>
    <w:rsid w:val="004745DE"/>
    <w:rsid w:val="00474611"/>
    <w:rsid w:val="00474621"/>
    <w:rsid w:val="004746DC"/>
    <w:rsid w:val="00474743"/>
    <w:rsid w:val="0047476D"/>
    <w:rsid w:val="004747F4"/>
    <w:rsid w:val="00474890"/>
    <w:rsid w:val="004748BE"/>
    <w:rsid w:val="00474912"/>
    <w:rsid w:val="0047496B"/>
    <w:rsid w:val="004749D2"/>
    <w:rsid w:val="004749EC"/>
    <w:rsid w:val="00474A05"/>
    <w:rsid w:val="00474A47"/>
    <w:rsid w:val="00474AB0"/>
    <w:rsid w:val="00474ADF"/>
    <w:rsid w:val="00474B32"/>
    <w:rsid w:val="00474B5B"/>
    <w:rsid w:val="00474B87"/>
    <w:rsid w:val="00474C33"/>
    <w:rsid w:val="00474C6D"/>
    <w:rsid w:val="00474CD0"/>
    <w:rsid w:val="00474CF7"/>
    <w:rsid w:val="00474D28"/>
    <w:rsid w:val="00474D6F"/>
    <w:rsid w:val="00474D70"/>
    <w:rsid w:val="00474D89"/>
    <w:rsid w:val="00474DC1"/>
    <w:rsid w:val="00474E19"/>
    <w:rsid w:val="00474E1B"/>
    <w:rsid w:val="00474E2B"/>
    <w:rsid w:val="00474F7F"/>
    <w:rsid w:val="00474FAA"/>
    <w:rsid w:val="00474FC3"/>
    <w:rsid w:val="0047501F"/>
    <w:rsid w:val="004750EE"/>
    <w:rsid w:val="00475187"/>
    <w:rsid w:val="00475192"/>
    <w:rsid w:val="00475294"/>
    <w:rsid w:val="004752C4"/>
    <w:rsid w:val="00475372"/>
    <w:rsid w:val="004753E5"/>
    <w:rsid w:val="004753E8"/>
    <w:rsid w:val="00475420"/>
    <w:rsid w:val="00475441"/>
    <w:rsid w:val="00475489"/>
    <w:rsid w:val="004755F9"/>
    <w:rsid w:val="00475644"/>
    <w:rsid w:val="00475665"/>
    <w:rsid w:val="0047567D"/>
    <w:rsid w:val="0047568A"/>
    <w:rsid w:val="00475699"/>
    <w:rsid w:val="00475899"/>
    <w:rsid w:val="004759D2"/>
    <w:rsid w:val="00475A2F"/>
    <w:rsid w:val="00475A73"/>
    <w:rsid w:val="00475A7B"/>
    <w:rsid w:val="00475A9A"/>
    <w:rsid w:val="00475B0D"/>
    <w:rsid w:val="00475B97"/>
    <w:rsid w:val="00475BDF"/>
    <w:rsid w:val="00475BEA"/>
    <w:rsid w:val="00475C08"/>
    <w:rsid w:val="00475C22"/>
    <w:rsid w:val="00475C25"/>
    <w:rsid w:val="00475C56"/>
    <w:rsid w:val="00475C9E"/>
    <w:rsid w:val="00475CC3"/>
    <w:rsid w:val="00475E45"/>
    <w:rsid w:val="00475E83"/>
    <w:rsid w:val="00475EC5"/>
    <w:rsid w:val="00475EEA"/>
    <w:rsid w:val="00475EF2"/>
    <w:rsid w:val="00475F2A"/>
    <w:rsid w:val="00475FA1"/>
    <w:rsid w:val="00475FCE"/>
    <w:rsid w:val="00476019"/>
    <w:rsid w:val="0047604B"/>
    <w:rsid w:val="00476053"/>
    <w:rsid w:val="00476068"/>
    <w:rsid w:val="00476076"/>
    <w:rsid w:val="00476086"/>
    <w:rsid w:val="004760CD"/>
    <w:rsid w:val="0047618D"/>
    <w:rsid w:val="004761A4"/>
    <w:rsid w:val="004761B0"/>
    <w:rsid w:val="0047626B"/>
    <w:rsid w:val="00476279"/>
    <w:rsid w:val="00476287"/>
    <w:rsid w:val="004762D2"/>
    <w:rsid w:val="00476375"/>
    <w:rsid w:val="004763C6"/>
    <w:rsid w:val="004763C7"/>
    <w:rsid w:val="00476406"/>
    <w:rsid w:val="00476407"/>
    <w:rsid w:val="004764C8"/>
    <w:rsid w:val="0047652C"/>
    <w:rsid w:val="00476613"/>
    <w:rsid w:val="0047675F"/>
    <w:rsid w:val="00476788"/>
    <w:rsid w:val="00476803"/>
    <w:rsid w:val="00476872"/>
    <w:rsid w:val="004768A3"/>
    <w:rsid w:val="004769A3"/>
    <w:rsid w:val="00476A0E"/>
    <w:rsid w:val="00476A2F"/>
    <w:rsid w:val="00476A60"/>
    <w:rsid w:val="00476A8A"/>
    <w:rsid w:val="00476AC2"/>
    <w:rsid w:val="00476B3A"/>
    <w:rsid w:val="00476BBE"/>
    <w:rsid w:val="00476C10"/>
    <w:rsid w:val="00476CF8"/>
    <w:rsid w:val="00476D3C"/>
    <w:rsid w:val="00476D40"/>
    <w:rsid w:val="00476DD3"/>
    <w:rsid w:val="00476DEF"/>
    <w:rsid w:val="00476DFD"/>
    <w:rsid w:val="00476E30"/>
    <w:rsid w:val="00476E81"/>
    <w:rsid w:val="00476EAD"/>
    <w:rsid w:val="00476F3E"/>
    <w:rsid w:val="00476F4B"/>
    <w:rsid w:val="00477008"/>
    <w:rsid w:val="004770C9"/>
    <w:rsid w:val="004770EA"/>
    <w:rsid w:val="00477247"/>
    <w:rsid w:val="00477255"/>
    <w:rsid w:val="0047726E"/>
    <w:rsid w:val="00477278"/>
    <w:rsid w:val="004773AA"/>
    <w:rsid w:val="004773B1"/>
    <w:rsid w:val="004773EC"/>
    <w:rsid w:val="004774FA"/>
    <w:rsid w:val="004775C5"/>
    <w:rsid w:val="00477611"/>
    <w:rsid w:val="00477657"/>
    <w:rsid w:val="004776F7"/>
    <w:rsid w:val="00477715"/>
    <w:rsid w:val="004777C3"/>
    <w:rsid w:val="00477824"/>
    <w:rsid w:val="0047784C"/>
    <w:rsid w:val="00477868"/>
    <w:rsid w:val="00477945"/>
    <w:rsid w:val="00477A24"/>
    <w:rsid w:val="00477B16"/>
    <w:rsid w:val="00477B3D"/>
    <w:rsid w:val="00477B63"/>
    <w:rsid w:val="00477B7B"/>
    <w:rsid w:val="00477BC4"/>
    <w:rsid w:val="00477BEA"/>
    <w:rsid w:val="00477BF4"/>
    <w:rsid w:val="00477C50"/>
    <w:rsid w:val="00477C7F"/>
    <w:rsid w:val="00477CBF"/>
    <w:rsid w:val="00477CEE"/>
    <w:rsid w:val="00477D73"/>
    <w:rsid w:val="00477E7F"/>
    <w:rsid w:val="00477E80"/>
    <w:rsid w:val="00477F1B"/>
    <w:rsid w:val="00477F47"/>
    <w:rsid w:val="00477F77"/>
    <w:rsid w:val="00477FC8"/>
    <w:rsid w:val="00480090"/>
    <w:rsid w:val="00480105"/>
    <w:rsid w:val="0048010F"/>
    <w:rsid w:val="00480164"/>
    <w:rsid w:val="004801D0"/>
    <w:rsid w:val="0048027D"/>
    <w:rsid w:val="004802C2"/>
    <w:rsid w:val="00480305"/>
    <w:rsid w:val="00480362"/>
    <w:rsid w:val="0048039E"/>
    <w:rsid w:val="004803B7"/>
    <w:rsid w:val="004803B8"/>
    <w:rsid w:val="00480434"/>
    <w:rsid w:val="00480472"/>
    <w:rsid w:val="004804B8"/>
    <w:rsid w:val="004804EC"/>
    <w:rsid w:val="004805A5"/>
    <w:rsid w:val="004805BF"/>
    <w:rsid w:val="00480615"/>
    <w:rsid w:val="0048063C"/>
    <w:rsid w:val="00480666"/>
    <w:rsid w:val="004806A3"/>
    <w:rsid w:val="004806B7"/>
    <w:rsid w:val="004806C0"/>
    <w:rsid w:val="004806EA"/>
    <w:rsid w:val="004807CC"/>
    <w:rsid w:val="0048088C"/>
    <w:rsid w:val="004808C3"/>
    <w:rsid w:val="00480931"/>
    <w:rsid w:val="00480974"/>
    <w:rsid w:val="004809AC"/>
    <w:rsid w:val="00480A9B"/>
    <w:rsid w:val="00480AFE"/>
    <w:rsid w:val="00480B5C"/>
    <w:rsid w:val="00480C4F"/>
    <w:rsid w:val="00480C56"/>
    <w:rsid w:val="00480C7B"/>
    <w:rsid w:val="00480D12"/>
    <w:rsid w:val="00480D75"/>
    <w:rsid w:val="00480DB9"/>
    <w:rsid w:val="00480EC5"/>
    <w:rsid w:val="00480F2D"/>
    <w:rsid w:val="00480F2F"/>
    <w:rsid w:val="00480F31"/>
    <w:rsid w:val="00480F79"/>
    <w:rsid w:val="00480FD0"/>
    <w:rsid w:val="00480FE5"/>
    <w:rsid w:val="00480FE9"/>
    <w:rsid w:val="00481000"/>
    <w:rsid w:val="0048101B"/>
    <w:rsid w:val="00481039"/>
    <w:rsid w:val="0048106E"/>
    <w:rsid w:val="00481089"/>
    <w:rsid w:val="004810CC"/>
    <w:rsid w:val="004810DC"/>
    <w:rsid w:val="004810EC"/>
    <w:rsid w:val="00481172"/>
    <w:rsid w:val="004811C3"/>
    <w:rsid w:val="004811D3"/>
    <w:rsid w:val="004811ED"/>
    <w:rsid w:val="00481273"/>
    <w:rsid w:val="004812E2"/>
    <w:rsid w:val="004813FF"/>
    <w:rsid w:val="00481453"/>
    <w:rsid w:val="004814C9"/>
    <w:rsid w:val="004814D4"/>
    <w:rsid w:val="004814EA"/>
    <w:rsid w:val="004814FB"/>
    <w:rsid w:val="0048154F"/>
    <w:rsid w:val="00481570"/>
    <w:rsid w:val="00481577"/>
    <w:rsid w:val="00481591"/>
    <w:rsid w:val="00481618"/>
    <w:rsid w:val="00481627"/>
    <w:rsid w:val="004816B0"/>
    <w:rsid w:val="00481730"/>
    <w:rsid w:val="0048176F"/>
    <w:rsid w:val="004817AA"/>
    <w:rsid w:val="004817CE"/>
    <w:rsid w:val="0048185A"/>
    <w:rsid w:val="004818E1"/>
    <w:rsid w:val="0048192F"/>
    <w:rsid w:val="0048193E"/>
    <w:rsid w:val="00481981"/>
    <w:rsid w:val="00481A94"/>
    <w:rsid w:val="00481AD1"/>
    <w:rsid w:val="00481B13"/>
    <w:rsid w:val="00481B19"/>
    <w:rsid w:val="00481CF7"/>
    <w:rsid w:val="00481D32"/>
    <w:rsid w:val="00481E03"/>
    <w:rsid w:val="0048204A"/>
    <w:rsid w:val="004820AC"/>
    <w:rsid w:val="004820DB"/>
    <w:rsid w:val="004820FE"/>
    <w:rsid w:val="0048221D"/>
    <w:rsid w:val="00482237"/>
    <w:rsid w:val="0048223A"/>
    <w:rsid w:val="00482367"/>
    <w:rsid w:val="004823AF"/>
    <w:rsid w:val="004823F3"/>
    <w:rsid w:val="004823F6"/>
    <w:rsid w:val="00482457"/>
    <w:rsid w:val="004824A3"/>
    <w:rsid w:val="0048254A"/>
    <w:rsid w:val="004825BE"/>
    <w:rsid w:val="004825C3"/>
    <w:rsid w:val="004825E5"/>
    <w:rsid w:val="0048274C"/>
    <w:rsid w:val="0048277B"/>
    <w:rsid w:val="004827BC"/>
    <w:rsid w:val="00482832"/>
    <w:rsid w:val="0048284A"/>
    <w:rsid w:val="00482954"/>
    <w:rsid w:val="00482999"/>
    <w:rsid w:val="00482A13"/>
    <w:rsid w:val="00482AA4"/>
    <w:rsid w:val="00482B5A"/>
    <w:rsid w:val="00482B75"/>
    <w:rsid w:val="00482B99"/>
    <w:rsid w:val="00482BEC"/>
    <w:rsid w:val="00482C4D"/>
    <w:rsid w:val="00482C7C"/>
    <w:rsid w:val="00482CB0"/>
    <w:rsid w:val="00482CC1"/>
    <w:rsid w:val="00482D31"/>
    <w:rsid w:val="00482E1D"/>
    <w:rsid w:val="00482E56"/>
    <w:rsid w:val="00482EA1"/>
    <w:rsid w:val="00482EB9"/>
    <w:rsid w:val="00482F73"/>
    <w:rsid w:val="00482F9E"/>
    <w:rsid w:val="0048310F"/>
    <w:rsid w:val="0048312F"/>
    <w:rsid w:val="00483180"/>
    <w:rsid w:val="004831F1"/>
    <w:rsid w:val="00483223"/>
    <w:rsid w:val="00483233"/>
    <w:rsid w:val="00483266"/>
    <w:rsid w:val="004832A0"/>
    <w:rsid w:val="00483421"/>
    <w:rsid w:val="0048342D"/>
    <w:rsid w:val="004834EB"/>
    <w:rsid w:val="00483557"/>
    <w:rsid w:val="00483564"/>
    <w:rsid w:val="004836A2"/>
    <w:rsid w:val="004836A7"/>
    <w:rsid w:val="004836B2"/>
    <w:rsid w:val="0048372F"/>
    <w:rsid w:val="0048382F"/>
    <w:rsid w:val="004838F4"/>
    <w:rsid w:val="00483911"/>
    <w:rsid w:val="00483929"/>
    <w:rsid w:val="00483950"/>
    <w:rsid w:val="004839C7"/>
    <w:rsid w:val="00483A6A"/>
    <w:rsid w:val="00483A9B"/>
    <w:rsid w:val="00483AD0"/>
    <w:rsid w:val="00483C6B"/>
    <w:rsid w:val="00483CD1"/>
    <w:rsid w:val="00483D39"/>
    <w:rsid w:val="00483D53"/>
    <w:rsid w:val="00483DD9"/>
    <w:rsid w:val="00483E28"/>
    <w:rsid w:val="00483E4A"/>
    <w:rsid w:val="00483E6B"/>
    <w:rsid w:val="00483E7A"/>
    <w:rsid w:val="00483E8F"/>
    <w:rsid w:val="00483F36"/>
    <w:rsid w:val="00483F5E"/>
    <w:rsid w:val="00483F7C"/>
    <w:rsid w:val="0048402C"/>
    <w:rsid w:val="00484074"/>
    <w:rsid w:val="004840B7"/>
    <w:rsid w:val="00484149"/>
    <w:rsid w:val="00484165"/>
    <w:rsid w:val="00484174"/>
    <w:rsid w:val="0048418A"/>
    <w:rsid w:val="00484238"/>
    <w:rsid w:val="00484265"/>
    <w:rsid w:val="00484285"/>
    <w:rsid w:val="004842D6"/>
    <w:rsid w:val="0048430F"/>
    <w:rsid w:val="00484339"/>
    <w:rsid w:val="0048433C"/>
    <w:rsid w:val="0048433D"/>
    <w:rsid w:val="00484396"/>
    <w:rsid w:val="004843A2"/>
    <w:rsid w:val="0048444D"/>
    <w:rsid w:val="00484457"/>
    <w:rsid w:val="00484514"/>
    <w:rsid w:val="0048451B"/>
    <w:rsid w:val="00484551"/>
    <w:rsid w:val="00484616"/>
    <w:rsid w:val="0048464C"/>
    <w:rsid w:val="004846B7"/>
    <w:rsid w:val="004846D7"/>
    <w:rsid w:val="004847E3"/>
    <w:rsid w:val="0048482B"/>
    <w:rsid w:val="00484869"/>
    <w:rsid w:val="0048489A"/>
    <w:rsid w:val="004848EE"/>
    <w:rsid w:val="0048491B"/>
    <w:rsid w:val="0048493D"/>
    <w:rsid w:val="00484940"/>
    <w:rsid w:val="00484943"/>
    <w:rsid w:val="004849A1"/>
    <w:rsid w:val="00484A3D"/>
    <w:rsid w:val="00484A7B"/>
    <w:rsid w:val="00484B0B"/>
    <w:rsid w:val="00484B60"/>
    <w:rsid w:val="00484BEE"/>
    <w:rsid w:val="00484C50"/>
    <w:rsid w:val="00484C51"/>
    <w:rsid w:val="00484C69"/>
    <w:rsid w:val="00484C74"/>
    <w:rsid w:val="00484CB9"/>
    <w:rsid w:val="00484CFB"/>
    <w:rsid w:val="00484D64"/>
    <w:rsid w:val="00484DCF"/>
    <w:rsid w:val="00484E6F"/>
    <w:rsid w:val="00484F3B"/>
    <w:rsid w:val="00484F9E"/>
    <w:rsid w:val="00484FA3"/>
    <w:rsid w:val="00484FC4"/>
    <w:rsid w:val="0048502A"/>
    <w:rsid w:val="00485076"/>
    <w:rsid w:val="00485137"/>
    <w:rsid w:val="004851A4"/>
    <w:rsid w:val="004851CD"/>
    <w:rsid w:val="0048524B"/>
    <w:rsid w:val="00485371"/>
    <w:rsid w:val="0048537B"/>
    <w:rsid w:val="0048537E"/>
    <w:rsid w:val="004853DE"/>
    <w:rsid w:val="00485473"/>
    <w:rsid w:val="0048548A"/>
    <w:rsid w:val="0048548F"/>
    <w:rsid w:val="0048559A"/>
    <w:rsid w:val="004855C1"/>
    <w:rsid w:val="004855CB"/>
    <w:rsid w:val="00485724"/>
    <w:rsid w:val="0048579E"/>
    <w:rsid w:val="00485828"/>
    <w:rsid w:val="00485842"/>
    <w:rsid w:val="00485871"/>
    <w:rsid w:val="00485959"/>
    <w:rsid w:val="00485A61"/>
    <w:rsid w:val="00485BB8"/>
    <w:rsid w:val="00485C84"/>
    <w:rsid w:val="00485D11"/>
    <w:rsid w:val="00485D24"/>
    <w:rsid w:val="00485E79"/>
    <w:rsid w:val="00485E82"/>
    <w:rsid w:val="00485E9D"/>
    <w:rsid w:val="00485ED7"/>
    <w:rsid w:val="00485EF5"/>
    <w:rsid w:val="00486024"/>
    <w:rsid w:val="00486042"/>
    <w:rsid w:val="00486065"/>
    <w:rsid w:val="00486066"/>
    <w:rsid w:val="0048610F"/>
    <w:rsid w:val="00486138"/>
    <w:rsid w:val="00486154"/>
    <w:rsid w:val="00486155"/>
    <w:rsid w:val="004861EB"/>
    <w:rsid w:val="00486355"/>
    <w:rsid w:val="00486440"/>
    <w:rsid w:val="004864DB"/>
    <w:rsid w:val="004864DE"/>
    <w:rsid w:val="0048650E"/>
    <w:rsid w:val="00486516"/>
    <w:rsid w:val="00486553"/>
    <w:rsid w:val="0048660D"/>
    <w:rsid w:val="00486668"/>
    <w:rsid w:val="004866C2"/>
    <w:rsid w:val="0048670B"/>
    <w:rsid w:val="004867DF"/>
    <w:rsid w:val="0048683E"/>
    <w:rsid w:val="00486844"/>
    <w:rsid w:val="00486867"/>
    <w:rsid w:val="00486999"/>
    <w:rsid w:val="004869CA"/>
    <w:rsid w:val="00486A29"/>
    <w:rsid w:val="00486B32"/>
    <w:rsid w:val="00486B71"/>
    <w:rsid w:val="00486B93"/>
    <w:rsid w:val="00486C06"/>
    <w:rsid w:val="00486D9A"/>
    <w:rsid w:val="00486DDB"/>
    <w:rsid w:val="00486DDE"/>
    <w:rsid w:val="00486DE8"/>
    <w:rsid w:val="00486E19"/>
    <w:rsid w:val="00486E2A"/>
    <w:rsid w:val="00486E80"/>
    <w:rsid w:val="00486EB0"/>
    <w:rsid w:val="00486EDB"/>
    <w:rsid w:val="00486F73"/>
    <w:rsid w:val="00486FD9"/>
    <w:rsid w:val="00486FEF"/>
    <w:rsid w:val="00486FFB"/>
    <w:rsid w:val="00487030"/>
    <w:rsid w:val="00487061"/>
    <w:rsid w:val="00487098"/>
    <w:rsid w:val="004870EF"/>
    <w:rsid w:val="004870FD"/>
    <w:rsid w:val="00487150"/>
    <w:rsid w:val="004871A0"/>
    <w:rsid w:val="00487276"/>
    <w:rsid w:val="0048735A"/>
    <w:rsid w:val="0048735D"/>
    <w:rsid w:val="00487405"/>
    <w:rsid w:val="00487492"/>
    <w:rsid w:val="004874E7"/>
    <w:rsid w:val="004875F6"/>
    <w:rsid w:val="004875FD"/>
    <w:rsid w:val="00487624"/>
    <w:rsid w:val="004876A3"/>
    <w:rsid w:val="00487729"/>
    <w:rsid w:val="0048776A"/>
    <w:rsid w:val="00487858"/>
    <w:rsid w:val="004878B9"/>
    <w:rsid w:val="004878F6"/>
    <w:rsid w:val="0048796F"/>
    <w:rsid w:val="004879D3"/>
    <w:rsid w:val="004879FC"/>
    <w:rsid w:val="00487A34"/>
    <w:rsid w:val="00487A45"/>
    <w:rsid w:val="00487A6E"/>
    <w:rsid w:val="00487A7C"/>
    <w:rsid w:val="00487A8C"/>
    <w:rsid w:val="00487ACA"/>
    <w:rsid w:val="00487B54"/>
    <w:rsid w:val="00487BB6"/>
    <w:rsid w:val="00487C69"/>
    <w:rsid w:val="00487C86"/>
    <w:rsid w:val="00487D61"/>
    <w:rsid w:val="00487DF8"/>
    <w:rsid w:val="00487E07"/>
    <w:rsid w:val="00487E1A"/>
    <w:rsid w:val="00487E1E"/>
    <w:rsid w:val="00487E55"/>
    <w:rsid w:val="00487E9B"/>
    <w:rsid w:val="00487E9C"/>
    <w:rsid w:val="00487F14"/>
    <w:rsid w:val="00487F2A"/>
    <w:rsid w:val="00487F71"/>
    <w:rsid w:val="00487F7A"/>
    <w:rsid w:val="00490049"/>
    <w:rsid w:val="0049004B"/>
    <w:rsid w:val="0049007F"/>
    <w:rsid w:val="0049008E"/>
    <w:rsid w:val="004900C5"/>
    <w:rsid w:val="004900D5"/>
    <w:rsid w:val="004900E3"/>
    <w:rsid w:val="00490115"/>
    <w:rsid w:val="00490129"/>
    <w:rsid w:val="00490171"/>
    <w:rsid w:val="00490205"/>
    <w:rsid w:val="00490253"/>
    <w:rsid w:val="0049034A"/>
    <w:rsid w:val="0049035F"/>
    <w:rsid w:val="004903B4"/>
    <w:rsid w:val="00490450"/>
    <w:rsid w:val="00490495"/>
    <w:rsid w:val="004905A5"/>
    <w:rsid w:val="0049061C"/>
    <w:rsid w:val="00490691"/>
    <w:rsid w:val="004906CC"/>
    <w:rsid w:val="00490750"/>
    <w:rsid w:val="00490755"/>
    <w:rsid w:val="0049089D"/>
    <w:rsid w:val="00490906"/>
    <w:rsid w:val="004909A6"/>
    <w:rsid w:val="004909BD"/>
    <w:rsid w:val="004909C1"/>
    <w:rsid w:val="00490A68"/>
    <w:rsid w:val="00490ACD"/>
    <w:rsid w:val="00490AF5"/>
    <w:rsid w:val="00490AF7"/>
    <w:rsid w:val="00490B41"/>
    <w:rsid w:val="00490BDB"/>
    <w:rsid w:val="00490C35"/>
    <w:rsid w:val="00490D1B"/>
    <w:rsid w:val="00490DE4"/>
    <w:rsid w:val="00490E78"/>
    <w:rsid w:val="00490E93"/>
    <w:rsid w:val="00490F5C"/>
    <w:rsid w:val="00490FAB"/>
    <w:rsid w:val="00490FF5"/>
    <w:rsid w:val="00491023"/>
    <w:rsid w:val="0049102A"/>
    <w:rsid w:val="0049103B"/>
    <w:rsid w:val="0049104F"/>
    <w:rsid w:val="0049105D"/>
    <w:rsid w:val="0049106A"/>
    <w:rsid w:val="0049107E"/>
    <w:rsid w:val="00491136"/>
    <w:rsid w:val="00491180"/>
    <w:rsid w:val="004911C1"/>
    <w:rsid w:val="00491247"/>
    <w:rsid w:val="004912F6"/>
    <w:rsid w:val="00491319"/>
    <w:rsid w:val="00491344"/>
    <w:rsid w:val="00491365"/>
    <w:rsid w:val="00491409"/>
    <w:rsid w:val="00491430"/>
    <w:rsid w:val="0049143D"/>
    <w:rsid w:val="00491489"/>
    <w:rsid w:val="004914AC"/>
    <w:rsid w:val="004914C7"/>
    <w:rsid w:val="004915A0"/>
    <w:rsid w:val="004915B0"/>
    <w:rsid w:val="0049161F"/>
    <w:rsid w:val="00491696"/>
    <w:rsid w:val="00491780"/>
    <w:rsid w:val="00491784"/>
    <w:rsid w:val="00491917"/>
    <w:rsid w:val="0049191C"/>
    <w:rsid w:val="0049194B"/>
    <w:rsid w:val="004919B4"/>
    <w:rsid w:val="00491A1D"/>
    <w:rsid w:val="00491A26"/>
    <w:rsid w:val="00491A41"/>
    <w:rsid w:val="00491AA7"/>
    <w:rsid w:val="00491AEB"/>
    <w:rsid w:val="00491B6E"/>
    <w:rsid w:val="00491B98"/>
    <w:rsid w:val="00491C7C"/>
    <w:rsid w:val="00491CBC"/>
    <w:rsid w:val="00491D9D"/>
    <w:rsid w:val="00491DAA"/>
    <w:rsid w:val="00491EE1"/>
    <w:rsid w:val="00491FD1"/>
    <w:rsid w:val="00492027"/>
    <w:rsid w:val="00492087"/>
    <w:rsid w:val="00492155"/>
    <w:rsid w:val="004921C5"/>
    <w:rsid w:val="004921CF"/>
    <w:rsid w:val="0049222C"/>
    <w:rsid w:val="00492295"/>
    <w:rsid w:val="0049233C"/>
    <w:rsid w:val="00492456"/>
    <w:rsid w:val="004924DD"/>
    <w:rsid w:val="00492519"/>
    <w:rsid w:val="004925CA"/>
    <w:rsid w:val="004925D5"/>
    <w:rsid w:val="00492600"/>
    <w:rsid w:val="00492637"/>
    <w:rsid w:val="00492640"/>
    <w:rsid w:val="0049272C"/>
    <w:rsid w:val="00492749"/>
    <w:rsid w:val="0049275A"/>
    <w:rsid w:val="0049278D"/>
    <w:rsid w:val="004927AB"/>
    <w:rsid w:val="004927AF"/>
    <w:rsid w:val="00492936"/>
    <w:rsid w:val="00492996"/>
    <w:rsid w:val="004929A4"/>
    <w:rsid w:val="00492A1F"/>
    <w:rsid w:val="00492A3A"/>
    <w:rsid w:val="00492A5F"/>
    <w:rsid w:val="00492ACC"/>
    <w:rsid w:val="00492AFF"/>
    <w:rsid w:val="00492C07"/>
    <w:rsid w:val="00492C6A"/>
    <w:rsid w:val="00492CFF"/>
    <w:rsid w:val="00492D88"/>
    <w:rsid w:val="00492E45"/>
    <w:rsid w:val="00492F6C"/>
    <w:rsid w:val="00492FCB"/>
    <w:rsid w:val="00492FF5"/>
    <w:rsid w:val="00493043"/>
    <w:rsid w:val="00493084"/>
    <w:rsid w:val="004930CE"/>
    <w:rsid w:val="004930E5"/>
    <w:rsid w:val="00493156"/>
    <w:rsid w:val="00493176"/>
    <w:rsid w:val="00493185"/>
    <w:rsid w:val="004931CF"/>
    <w:rsid w:val="004932B0"/>
    <w:rsid w:val="00493343"/>
    <w:rsid w:val="00493356"/>
    <w:rsid w:val="004933BC"/>
    <w:rsid w:val="004933C8"/>
    <w:rsid w:val="00493419"/>
    <w:rsid w:val="00493489"/>
    <w:rsid w:val="004934E1"/>
    <w:rsid w:val="004935DA"/>
    <w:rsid w:val="00493698"/>
    <w:rsid w:val="004936FE"/>
    <w:rsid w:val="0049381D"/>
    <w:rsid w:val="00493852"/>
    <w:rsid w:val="00493A05"/>
    <w:rsid w:val="00493A25"/>
    <w:rsid w:val="00493A99"/>
    <w:rsid w:val="00493ACF"/>
    <w:rsid w:val="00493BD5"/>
    <w:rsid w:val="00493C78"/>
    <w:rsid w:val="00493C9A"/>
    <w:rsid w:val="00493CDB"/>
    <w:rsid w:val="00493D10"/>
    <w:rsid w:val="00493D58"/>
    <w:rsid w:val="00493D92"/>
    <w:rsid w:val="00493DE3"/>
    <w:rsid w:val="00493E04"/>
    <w:rsid w:val="00493ED1"/>
    <w:rsid w:val="00493F43"/>
    <w:rsid w:val="00493F74"/>
    <w:rsid w:val="00493F7A"/>
    <w:rsid w:val="00493FF6"/>
    <w:rsid w:val="00494025"/>
    <w:rsid w:val="00494037"/>
    <w:rsid w:val="004940A1"/>
    <w:rsid w:val="00494147"/>
    <w:rsid w:val="00494174"/>
    <w:rsid w:val="00494190"/>
    <w:rsid w:val="004941B5"/>
    <w:rsid w:val="004942A6"/>
    <w:rsid w:val="00494315"/>
    <w:rsid w:val="00494354"/>
    <w:rsid w:val="004943B3"/>
    <w:rsid w:val="004943E3"/>
    <w:rsid w:val="004944C7"/>
    <w:rsid w:val="0049454B"/>
    <w:rsid w:val="004945A0"/>
    <w:rsid w:val="004945F9"/>
    <w:rsid w:val="0049460C"/>
    <w:rsid w:val="00494614"/>
    <w:rsid w:val="00494640"/>
    <w:rsid w:val="00494678"/>
    <w:rsid w:val="0049469A"/>
    <w:rsid w:val="004947A1"/>
    <w:rsid w:val="004947C0"/>
    <w:rsid w:val="00494814"/>
    <w:rsid w:val="00494878"/>
    <w:rsid w:val="004948DF"/>
    <w:rsid w:val="00494A18"/>
    <w:rsid w:val="00494A1B"/>
    <w:rsid w:val="00494A28"/>
    <w:rsid w:val="00494A3E"/>
    <w:rsid w:val="00494A98"/>
    <w:rsid w:val="00494B6B"/>
    <w:rsid w:val="00494BC9"/>
    <w:rsid w:val="00494BD3"/>
    <w:rsid w:val="00494C15"/>
    <w:rsid w:val="00494C36"/>
    <w:rsid w:val="00494C43"/>
    <w:rsid w:val="00494CB3"/>
    <w:rsid w:val="00494CBA"/>
    <w:rsid w:val="00494CF6"/>
    <w:rsid w:val="00494DA1"/>
    <w:rsid w:val="00494E03"/>
    <w:rsid w:val="00494E4B"/>
    <w:rsid w:val="00494E6B"/>
    <w:rsid w:val="00494E9A"/>
    <w:rsid w:val="00494F3A"/>
    <w:rsid w:val="00494FC6"/>
    <w:rsid w:val="00494FE3"/>
    <w:rsid w:val="00494FFC"/>
    <w:rsid w:val="00495091"/>
    <w:rsid w:val="004950A7"/>
    <w:rsid w:val="004950F2"/>
    <w:rsid w:val="00495263"/>
    <w:rsid w:val="00495274"/>
    <w:rsid w:val="004952C1"/>
    <w:rsid w:val="00495303"/>
    <w:rsid w:val="0049536F"/>
    <w:rsid w:val="004953A5"/>
    <w:rsid w:val="00495460"/>
    <w:rsid w:val="004954B5"/>
    <w:rsid w:val="004954F5"/>
    <w:rsid w:val="00495562"/>
    <w:rsid w:val="004955EA"/>
    <w:rsid w:val="004955EF"/>
    <w:rsid w:val="004955F8"/>
    <w:rsid w:val="0049560E"/>
    <w:rsid w:val="00495692"/>
    <w:rsid w:val="00495884"/>
    <w:rsid w:val="0049594C"/>
    <w:rsid w:val="00495950"/>
    <w:rsid w:val="00495985"/>
    <w:rsid w:val="004959B9"/>
    <w:rsid w:val="00495B3E"/>
    <w:rsid w:val="00495B8F"/>
    <w:rsid w:val="00495C23"/>
    <w:rsid w:val="00495C8C"/>
    <w:rsid w:val="00495CD9"/>
    <w:rsid w:val="00495D2A"/>
    <w:rsid w:val="00495DB9"/>
    <w:rsid w:val="00495E17"/>
    <w:rsid w:val="00495E37"/>
    <w:rsid w:val="00495E7B"/>
    <w:rsid w:val="00495ED8"/>
    <w:rsid w:val="00495EE5"/>
    <w:rsid w:val="00495EE9"/>
    <w:rsid w:val="00495FDD"/>
    <w:rsid w:val="00496008"/>
    <w:rsid w:val="00496082"/>
    <w:rsid w:val="004960D0"/>
    <w:rsid w:val="00496128"/>
    <w:rsid w:val="00496151"/>
    <w:rsid w:val="00496194"/>
    <w:rsid w:val="00496197"/>
    <w:rsid w:val="00496328"/>
    <w:rsid w:val="0049632B"/>
    <w:rsid w:val="00496399"/>
    <w:rsid w:val="004963B8"/>
    <w:rsid w:val="004963CE"/>
    <w:rsid w:val="004964CA"/>
    <w:rsid w:val="004964FB"/>
    <w:rsid w:val="0049652F"/>
    <w:rsid w:val="0049657A"/>
    <w:rsid w:val="00496587"/>
    <w:rsid w:val="0049659A"/>
    <w:rsid w:val="004965EC"/>
    <w:rsid w:val="00496618"/>
    <w:rsid w:val="0049665D"/>
    <w:rsid w:val="00496671"/>
    <w:rsid w:val="00496742"/>
    <w:rsid w:val="00496789"/>
    <w:rsid w:val="0049683F"/>
    <w:rsid w:val="004968A5"/>
    <w:rsid w:val="004968C9"/>
    <w:rsid w:val="00496935"/>
    <w:rsid w:val="0049694E"/>
    <w:rsid w:val="004969E1"/>
    <w:rsid w:val="00496A1B"/>
    <w:rsid w:val="00496A35"/>
    <w:rsid w:val="00496A36"/>
    <w:rsid w:val="00496AAA"/>
    <w:rsid w:val="00496C3C"/>
    <w:rsid w:val="00496C6B"/>
    <w:rsid w:val="00496D43"/>
    <w:rsid w:val="00496DA4"/>
    <w:rsid w:val="00496E50"/>
    <w:rsid w:val="00496EA4"/>
    <w:rsid w:val="00496FEE"/>
    <w:rsid w:val="00497155"/>
    <w:rsid w:val="004971DA"/>
    <w:rsid w:val="00497247"/>
    <w:rsid w:val="00497249"/>
    <w:rsid w:val="00497337"/>
    <w:rsid w:val="00497390"/>
    <w:rsid w:val="00497394"/>
    <w:rsid w:val="004973F4"/>
    <w:rsid w:val="004973F7"/>
    <w:rsid w:val="0049741E"/>
    <w:rsid w:val="004974E3"/>
    <w:rsid w:val="004974E8"/>
    <w:rsid w:val="004974F9"/>
    <w:rsid w:val="0049755D"/>
    <w:rsid w:val="004975FC"/>
    <w:rsid w:val="0049766E"/>
    <w:rsid w:val="004976A0"/>
    <w:rsid w:val="00497728"/>
    <w:rsid w:val="00497886"/>
    <w:rsid w:val="0049788A"/>
    <w:rsid w:val="0049788C"/>
    <w:rsid w:val="00497893"/>
    <w:rsid w:val="00497928"/>
    <w:rsid w:val="0049792D"/>
    <w:rsid w:val="004979BE"/>
    <w:rsid w:val="004979E4"/>
    <w:rsid w:val="004979E6"/>
    <w:rsid w:val="00497A1F"/>
    <w:rsid w:val="00497A57"/>
    <w:rsid w:val="00497ABA"/>
    <w:rsid w:val="00497B4E"/>
    <w:rsid w:val="00497C49"/>
    <w:rsid w:val="00497CD9"/>
    <w:rsid w:val="00497CFF"/>
    <w:rsid w:val="00497DB0"/>
    <w:rsid w:val="00497DCE"/>
    <w:rsid w:val="00497E3F"/>
    <w:rsid w:val="00497FF0"/>
    <w:rsid w:val="004A0056"/>
    <w:rsid w:val="004A00CB"/>
    <w:rsid w:val="004A00D9"/>
    <w:rsid w:val="004A0341"/>
    <w:rsid w:val="004A034F"/>
    <w:rsid w:val="004A0381"/>
    <w:rsid w:val="004A03B6"/>
    <w:rsid w:val="004A03F2"/>
    <w:rsid w:val="004A0414"/>
    <w:rsid w:val="004A0437"/>
    <w:rsid w:val="004A0441"/>
    <w:rsid w:val="004A04C1"/>
    <w:rsid w:val="004A053F"/>
    <w:rsid w:val="004A0571"/>
    <w:rsid w:val="004A058D"/>
    <w:rsid w:val="004A058E"/>
    <w:rsid w:val="004A05A2"/>
    <w:rsid w:val="004A05B7"/>
    <w:rsid w:val="004A05C1"/>
    <w:rsid w:val="004A060A"/>
    <w:rsid w:val="004A0667"/>
    <w:rsid w:val="004A069B"/>
    <w:rsid w:val="004A07D1"/>
    <w:rsid w:val="004A07E1"/>
    <w:rsid w:val="004A07EE"/>
    <w:rsid w:val="004A07EF"/>
    <w:rsid w:val="004A0834"/>
    <w:rsid w:val="004A08A5"/>
    <w:rsid w:val="004A08BC"/>
    <w:rsid w:val="004A09FD"/>
    <w:rsid w:val="004A0A62"/>
    <w:rsid w:val="004A0A63"/>
    <w:rsid w:val="004A0BDC"/>
    <w:rsid w:val="004A0D1B"/>
    <w:rsid w:val="004A0D73"/>
    <w:rsid w:val="004A0D8E"/>
    <w:rsid w:val="004A0DD3"/>
    <w:rsid w:val="004A0E33"/>
    <w:rsid w:val="004A0E6B"/>
    <w:rsid w:val="004A0E72"/>
    <w:rsid w:val="004A0F71"/>
    <w:rsid w:val="004A0F89"/>
    <w:rsid w:val="004A0F8F"/>
    <w:rsid w:val="004A10D4"/>
    <w:rsid w:val="004A12A2"/>
    <w:rsid w:val="004A12F7"/>
    <w:rsid w:val="004A1394"/>
    <w:rsid w:val="004A1395"/>
    <w:rsid w:val="004A13AA"/>
    <w:rsid w:val="004A13EA"/>
    <w:rsid w:val="004A14A9"/>
    <w:rsid w:val="004A14D5"/>
    <w:rsid w:val="004A151B"/>
    <w:rsid w:val="004A1535"/>
    <w:rsid w:val="004A15A8"/>
    <w:rsid w:val="004A1608"/>
    <w:rsid w:val="004A1636"/>
    <w:rsid w:val="004A169B"/>
    <w:rsid w:val="004A169C"/>
    <w:rsid w:val="004A16C6"/>
    <w:rsid w:val="004A16D2"/>
    <w:rsid w:val="004A16DA"/>
    <w:rsid w:val="004A170D"/>
    <w:rsid w:val="004A172B"/>
    <w:rsid w:val="004A18B5"/>
    <w:rsid w:val="004A18FE"/>
    <w:rsid w:val="004A1924"/>
    <w:rsid w:val="004A198D"/>
    <w:rsid w:val="004A19BB"/>
    <w:rsid w:val="004A1A16"/>
    <w:rsid w:val="004A1AE0"/>
    <w:rsid w:val="004A1B09"/>
    <w:rsid w:val="004A1BB3"/>
    <w:rsid w:val="004A1BD6"/>
    <w:rsid w:val="004A1C3E"/>
    <w:rsid w:val="004A1C71"/>
    <w:rsid w:val="004A1CCF"/>
    <w:rsid w:val="004A1CF4"/>
    <w:rsid w:val="004A1D18"/>
    <w:rsid w:val="004A1D56"/>
    <w:rsid w:val="004A1DBF"/>
    <w:rsid w:val="004A1E01"/>
    <w:rsid w:val="004A1E1C"/>
    <w:rsid w:val="004A1E45"/>
    <w:rsid w:val="004A1ECF"/>
    <w:rsid w:val="004A1EDE"/>
    <w:rsid w:val="004A1F39"/>
    <w:rsid w:val="004A1F59"/>
    <w:rsid w:val="004A1F87"/>
    <w:rsid w:val="004A1FDB"/>
    <w:rsid w:val="004A1FE6"/>
    <w:rsid w:val="004A2099"/>
    <w:rsid w:val="004A2109"/>
    <w:rsid w:val="004A216E"/>
    <w:rsid w:val="004A21AD"/>
    <w:rsid w:val="004A21E8"/>
    <w:rsid w:val="004A2253"/>
    <w:rsid w:val="004A2254"/>
    <w:rsid w:val="004A225C"/>
    <w:rsid w:val="004A2317"/>
    <w:rsid w:val="004A233F"/>
    <w:rsid w:val="004A236F"/>
    <w:rsid w:val="004A2544"/>
    <w:rsid w:val="004A259E"/>
    <w:rsid w:val="004A260D"/>
    <w:rsid w:val="004A268F"/>
    <w:rsid w:val="004A26A7"/>
    <w:rsid w:val="004A26EA"/>
    <w:rsid w:val="004A2720"/>
    <w:rsid w:val="004A273C"/>
    <w:rsid w:val="004A277A"/>
    <w:rsid w:val="004A2824"/>
    <w:rsid w:val="004A2945"/>
    <w:rsid w:val="004A298A"/>
    <w:rsid w:val="004A29D8"/>
    <w:rsid w:val="004A29EF"/>
    <w:rsid w:val="004A2A1B"/>
    <w:rsid w:val="004A2B18"/>
    <w:rsid w:val="004A2B43"/>
    <w:rsid w:val="004A2C72"/>
    <w:rsid w:val="004A2CD5"/>
    <w:rsid w:val="004A2D06"/>
    <w:rsid w:val="004A2D6F"/>
    <w:rsid w:val="004A2E37"/>
    <w:rsid w:val="004A2F06"/>
    <w:rsid w:val="004A2F68"/>
    <w:rsid w:val="004A2F92"/>
    <w:rsid w:val="004A2FBC"/>
    <w:rsid w:val="004A2FD4"/>
    <w:rsid w:val="004A305C"/>
    <w:rsid w:val="004A30AD"/>
    <w:rsid w:val="004A3169"/>
    <w:rsid w:val="004A31BD"/>
    <w:rsid w:val="004A32AD"/>
    <w:rsid w:val="004A3302"/>
    <w:rsid w:val="004A331B"/>
    <w:rsid w:val="004A3376"/>
    <w:rsid w:val="004A3392"/>
    <w:rsid w:val="004A33A9"/>
    <w:rsid w:val="004A341E"/>
    <w:rsid w:val="004A34B2"/>
    <w:rsid w:val="004A34E2"/>
    <w:rsid w:val="004A34F0"/>
    <w:rsid w:val="004A34FB"/>
    <w:rsid w:val="004A357A"/>
    <w:rsid w:val="004A359F"/>
    <w:rsid w:val="004A360F"/>
    <w:rsid w:val="004A368B"/>
    <w:rsid w:val="004A3765"/>
    <w:rsid w:val="004A3852"/>
    <w:rsid w:val="004A3887"/>
    <w:rsid w:val="004A3A44"/>
    <w:rsid w:val="004A3A58"/>
    <w:rsid w:val="004A3A63"/>
    <w:rsid w:val="004A3A65"/>
    <w:rsid w:val="004A3A89"/>
    <w:rsid w:val="004A3ABC"/>
    <w:rsid w:val="004A3B37"/>
    <w:rsid w:val="004A3BE1"/>
    <w:rsid w:val="004A3C36"/>
    <w:rsid w:val="004A3CBF"/>
    <w:rsid w:val="004A3CEE"/>
    <w:rsid w:val="004A3D17"/>
    <w:rsid w:val="004A3D47"/>
    <w:rsid w:val="004A3D74"/>
    <w:rsid w:val="004A3DFD"/>
    <w:rsid w:val="004A3E18"/>
    <w:rsid w:val="004A3E72"/>
    <w:rsid w:val="004A3E7D"/>
    <w:rsid w:val="004A3EE3"/>
    <w:rsid w:val="004A3EEA"/>
    <w:rsid w:val="004A3F25"/>
    <w:rsid w:val="004A3F9E"/>
    <w:rsid w:val="004A3FAD"/>
    <w:rsid w:val="004A3FD0"/>
    <w:rsid w:val="004A3FF2"/>
    <w:rsid w:val="004A4106"/>
    <w:rsid w:val="004A411B"/>
    <w:rsid w:val="004A4230"/>
    <w:rsid w:val="004A429A"/>
    <w:rsid w:val="004A42ED"/>
    <w:rsid w:val="004A4348"/>
    <w:rsid w:val="004A437E"/>
    <w:rsid w:val="004A43C3"/>
    <w:rsid w:val="004A444A"/>
    <w:rsid w:val="004A449B"/>
    <w:rsid w:val="004A44C9"/>
    <w:rsid w:val="004A46B7"/>
    <w:rsid w:val="004A47AF"/>
    <w:rsid w:val="004A47DD"/>
    <w:rsid w:val="004A486D"/>
    <w:rsid w:val="004A4892"/>
    <w:rsid w:val="004A48D6"/>
    <w:rsid w:val="004A48FD"/>
    <w:rsid w:val="004A497F"/>
    <w:rsid w:val="004A49AB"/>
    <w:rsid w:val="004A49D1"/>
    <w:rsid w:val="004A49E1"/>
    <w:rsid w:val="004A4A01"/>
    <w:rsid w:val="004A4A0F"/>
    <w:rsid w:val="004A4BB5"/>
    <w:rsid w:val="004A4BD8"/>
    <w:rsid w:val="004A4C73"/>
    <w:rsid w:val="004A4CD4"/>
    <w:rsid w:val="004A4D37"/>
    <w:rsid w:val="004A4D7E"/>
    <w:rsid w:val="004A4DCF"/>
    <w:rsid w:val="004A4DD3"/>
    <w:rsid w:val="004A4DE4"/>
    <w:rsid w:val="004A4E3A"/>
    <w:rsid w:val="004A4EE9"/>
    <w:rsid w:val="004A4F19"/>
    <w:rsid w:val="004A4F45"/>
    <w:rsid w:val="004A4F71"/>
    <w:rsid w:val="004A4F7C"/>
    <w:rsid w:val="004A4FA8"/>
    <w:rsid w:val="004A5047"/>
    <w:rsid w:val="004A504E"/>
    <w:rsid w:val="004A511B"/>
    <w:rsid w:val="004A5135"/>
    <w:rsid w:val="004A5143"/>
    <w:rsid w:val="004A5238"/>
    <w:rsid w:val="004A5286"/>
    <w:rsid w:val="004A52A9"/>
    <w:rsid w:val="004A5359"/>
    <w:rsid w:val="004A5374"/>
    <w:rsid w:val="004A539A"/>
    <w:rsid w:val="004A53C9"/>
    <w:rsid w:val="004A53CD"/>
    <w:rsid w:val="004A54A4"/>
    <w:rsid w:val="004A54C4"/>
    <w:rsid w:val="004A5551"/>
    <w:rsid w:val="004A55B0"/>
    <w:rsid w:val="004A56DA"/>
    <w:rsid w:val="004A5722"/>
    <w:rsid w:val="004A57E2"/>
    <w:rsid w:val="004A580D"/>
    <w:rsid w:val="004A582C"/>
    <w:rsid w:val="004A587E"/>
    <w:rsid w:val="004A58B5"/>
    <w:rsid w:val="004A58D9"/>
    <w:rsid w:val="004A5966"/>
    <w:rsid w:val="004A59DE"/>
    <w:rsid w:val="004A59DF"/>
    <w:rsid w:val="004A5A68"/>
    <w:rsid w:val="004A5A6F"/>
    <w:rsid w:val="004A5AA1"/>
    <w:rsid w:val="004A5B1A"/>
    <w:rsid w:val="004A5B3E"/>
    <w:rsid w:val="004A5B93"/>
    <w:rsid w:val="004A5BA4"/>
    <w:rsid w:val="004A5BFA"/>
    <w:rsid w:val="004A5CC8"/>
    <w:rsid w:val="004A5CCE"/>
    <w:rsid w:val="004A5CEF"/>
    <w:rsid w:val="004A5D80"/>
    <w:rsid w:val="004A5F0A"/>
    <w:rsid w:val="004A5F2C"/>
    <w:rsid w:val="004A5F8F"/>
    <w:rsid w:val="004A600D"/>
    <w:rsid w:val="004A60E0"/>
    <w:rsid w:val="004A61C0"/>
    <w:rsid w:val="004A61DA"/>
    <w:rsid w:val="004A6388"/>
    <w:rsid w:val="004A63BB"/>
    <w:rsid w:val="004A64B6"/>
    <w:rsid w:val="004A6548"/>
    <w:rsid w:val="004A6605"/>
    <w:rsid w:val="004A663A"/>
    <w:rsid w:val="004A663D"/>
    <w:rsid w:val="004A6669"/>
    <w:rsid w:val="004A66F5"/>
    <w:rsid w:val="004A6809"/>
    <w:rsid w:val="004A682B"/>
    <w:rsid w:val="004A6872"/>
    <w:rsid w:val="004A6875"/>
    <w:rsid w:val="004A68F7"/>
    <w:rsid w:val="004A69C0"/>
    <w:rsid w:val="004A69D3"/>
    <w:rsid w:val="004A69E6"/>
    <w:rsid w:val="004A6A22"/>
    <w:rsid w:val="004A6A9B"/>
    <w:rsid w:val="004A6C6A"/>
    <w:rsid w:val="004A6E2E"/>
    <w:rsid w:val="004A6E58"/>
    <w:rsid w:val="004A6E9E"/>
    <w:rsid w:val="004A6EA4"/>
    <w:rsid w:val="004A6EF5"/>
    <w:rsid w:val="004A70DD"/>
    <w:rsid w:val="004A7145"/>
    <w:rsid w:val="004A7159"/>
    <w:rsid w:val="004A7195"/>
    <w:rsid w:val="004A7237"/>
    <w:rsid w:val="004A73F5"/>
    <w:rsid w:val="004A749C"/>
    <w:rsid w:val="004A74D1"/>
    <w:rsid w:val="004A75A1"/>
    <w:rsid w:val="004A75D3"/>
    <w:rsid w:val="004A7750"/>
    <w:rsid w:val="004A78DD"/>
    <w:rsid w:val="004A7933"/>
    <w:rsid w:val="004A7985"/>
    <w:rsid w:val="004A79C1"/>
    <w:rsid w:val="004A7A8F"/>
    <w:rsid w:val="004A7BDB"/>
    <w:rsid w:val="004A7C1B"/>
    <w:rsid w:val="004A7E81"/>
    <w:rsid w:val="004A7ECB"/>
    <w:rsid w:val="004A7F06"/>
    <w:rsid w:val="004A7F0A"/>
    <w:rsid w:val="004A7F28"/>
    <w:rsid w:val="004A7FFD"/>
    <w:rsid w:val="004B00D0"/>
    <w:rsid w:val="004B00E2"/>
    <w:rsid w:val="004B016A"/>
    <w:rsid w:val="004B01B3"/>
    <w:rsid w:val="004B01F1"/>
    <w:rsid w:val="004B024C"/>
    <w:rsid w:val="004B0289"/>
    <w:rsid w:val="004B0321"/>
    <w:rsid w:val="004B0381"/>
    <w:rsid w:val="004B0410"/>
    <w:rsid w:val="004B0444"/>
    <w:rsid w:val="004B0447"/>
    <w:rsid w:val="004B067A"/>
    <w:rsid w:val="004B0797"/>
    <w:rsid w:val="004B07E7"/>
    <w:rsid w:val="004B0808"/>
    <w:rsid w:val="004B084C"/>
    <w:rsid w:val="004B089D"/>
    <w:rsid w:val="004B08BB"/>
    <w:rsid w:val="004B08CB"/>
    <w:rsid w:val="004B0989"/>
    <w:rsid w:val="004B09BB"/>
    <w:rsid w:val="004B09D6"/>
    <w:rsid w:val="004B0A8F"/>
    <w:rsid w:val="004B0AC6"/>
    <w:rsid w:val="004B0AD5"/>
    <w:rsid w:val="004B0B6C"/>
    <w:rsid w:val="004B0BD7"/>
    <w:rsid w:val="004B0BD9"/>
    <w:rsid w:val="004B0C0A"/>
    <w:rsid w:val="004B0C71"/>
    <w:rsid w:val="004B0DBC"/>
    <w:rsid w:val="004B0DC7"/>
    <w:rsid w:val="004B0DD2"/>
    <w:rsid w:val="004B0E1E"/>
    <w:rsid w:val="004B0E62"/>
    <w:rsid w:val="004B0EA6"/>
    <w:rsid w:val="004B0F39"/>
    <w:rsid w:val="004B0F7C"/>
    <w:rsid w:val="004B10C8"/>
    <w:rsid w:val="004B1118"/>
    <w:rsid w:val="004B1141"/>
    <w:rsid w:val="004B115A"/>
    <w:rsid w:val="004B1170"/>
    <w:rsid w:val="004B11A3"/>
    <w:rsid w:val="004B11DC"/>
    <w:rsid w:val="004B1278"/>
    <w:rsid w:val="004B1403"/>
    <w:rsid w:val="004B1438"/>
    <w:rsid w:val="004B1484"/>
    <w:rsid w:val="004B1554"/>
    <w:rsid w:val="004B158C"/>
    <w:rsid w:val="004B1594"/>
    <w:rsid w:val="004B1602"/>
    <w:rsid w:val="004B1666"/>
    <w:rsid w:val="004B167C"/>
    <w:rsid w:val="004B16A0"/>
    <w:rsid w:val="004B1767"/>
    <w:rsid w:val="004B1772"/>
    <w:rsid w:val="004B179C"/>
    <w:rsid w:val="004B17A6"/>
    <w:rsid w:val="004B1858"/>
    <w:rsid w:val="004B1860"/>
    <w:rsid w:val="004B1877"/>
    <w:rsid w:val="004B18C2"/>
    <w:rsid w:val="004B18FC"/>
    <w:rsid w:val="004B19DA"/>
    <w:rsid w:val="004B1A04"/>
    <w:rsid w:val="004B1AE4"/>
    <w:rsid w:val="004B1BB1"/>
    <w:rsid w:val="004B1BCF"/>
    <w:rsid w:val="004B1C2F"/>
    <w:rsid w:val="004B1C8B"/>
    <w:rsid w:val="004B1CF8"/>
    <w:rsid w:val="004B1CFC"/>
    <w:rsid w:val="004B1DCE"/>
    <w:rsid w:val="004B1DF1"/>
    <w:rsid w:val="004B1F0A"/>
    <w:rsid w:val="004B1FCB"/>
    <w:rsid w:val="004B2050"/>
    <w:rsid w:val="004B20D0"/>
    <w:rsid w:val="004B20E2"/>
    <w:rsid w:val="004B216D"/>
    <w:rsid w:val="004B2366"/>
    <w:rsid w:val="004B23E8"/>
    <w:rsid w:val="004B24BE"/>
    <w:rsid w:val="004B258E"/>
    <w:rsid w:val="004B2593"/>
    <w:rsid w:val="004B261F"/>
    <w:rsid w:val="004B2627"/>
    <w:rsid w:val="004B278A"/>
    <w:rsid w:val="004B2895"/>
    <w:rsid w:val="004B28D5"/>
    <w:rsid w:val="004B294D"/>
    <w:rsid w:val="004B297F"/>
    <w:rsid w:val="004B29C3"/>
    <w:rsid w:val="004B29EE"/>
    <w:rsid w:val="004B2A70"/>
    <w:rsid w:val="004B2A7D"/>
    <w:rsid w:val="004B2B7A"/>
    <w:rsid w:val="004B2B84"/>
    <w:rsid w:val="004B2BEF"/>
    <w:rsid w:val="004B2C71"/>
    <w:rsid w:val="004B2CBE"/>
    <w:rsid w:val="004B2D18"/>
    <w:rsid w:val="004B2D57"/>
    <w:rsid w:val="004B2D8A"/>
    <w:rsid w:val="004B2D92"/>
    <w:rsid w:val="004B2DFE"/>
    <w:rsid w:val="004B2E24"/>
    <w:rsid w:val="004B2E6B"/>
    <w:rsid w:val="004B3016"/>
    <w:rsid w:val="004B301D"/>
    <w:rsid w:val="004B3085"/>
    <w:rsid w:val="004B30A9"/>
    <w:rsid w:val="004B30D7"/>
    <w:rsid w:val="004B3121"/>
    <w:rsid w:val="004B3150"/>
    <w:rsid w:val="004B3188"/>
    <w:rsid w:val="004B3210"/>
    <w:rsid w:val="004B321D"/>
    <w:rsid w:val="004B3257"/>
    <w:rsid w:val="004B32E3"/>
    <w:rsid w:val="004B3304"/>
    <w:rsid w:val="004B3343"/>
    <w:rsid w:val="004B335C"/>
    <w:rsid w:val="004B336C"/>
    <w:rsid w:val="004B338D"/>
    <w:rsid w:val="004B340D"/>
    <w:rsid w:val="004B344A"/>
    <w:rsid w:val="004B349E"/>
    <w:rsid w:val="004B34CD"/>
    <w:rsid w:val="004B3511"/>
    <w:rsid w:val="004B3541"/>
    <w:rsid w:val="004B35C9"/>
    <w:rsid w:val="004B3634"/>
    <w:rsid w:val="004B3688"/>
    <w:rsid w:val="004B36FD"/>
    <w:rsid w:val="004B36FF"/>
    <w:rsid w:val="004B375F"/>
    <w:rsid w:val="004B37ED"/>
    <w:rsid w:val="004B3809"/>
    <w:rsid w:val="004B3895"/>
    <w:rsid w:val="004B3900"/>
    <w:rsid w:val="004B392C"/>
    <w:rsid w:val="004B39D2"/>
    <w:rsid w:val="004B3A2E"/>
    <w:rsid w:val="004B3A97"/>
    <w:rsid w:val="004B3B70"/>
    <w:rsid w:val="004B3C07"/>
    <w:rsid w:val="004B3D04"/>
    <w:rsid w:val="004B3D6A"/>
    <w:rsid w:val="004B3EC5"/>
    <w:rsid w:val="004B3EEA"/>
    <w:rsid w:val="004B3F4E"/>
    <w:rsid w:val="004B3F58"/>
    <w:rsid w:val="004B3FA2"/>
    <w:rsid w:val="004B3FE8"/>
    <w:rsid w:val="004B400B"/>
    <w:rsid w:val="004B4124"/>
    <w:rsid w:val="004B422A"/>
    <w:rsid w:val="004B4232"/>
    <w:rsid w:val="004B427F"/>
    <w:rsid w:val="004B42A7"/>
    <w:rsid w:val="004B42D4"/>
    <w:rsid w:val="004B42ED"/>
    <w:rsid w:val="004B43E8"/>
    <w:rsid w:val="004B450A"/>
    <w:rsid w:val="004B450C"/>
    <w:rsid w:val="004B452B"/>
    <w:rsid w:val="004B459C"/>
    <w:rsid w:val="004B45A7"/>
    <w:rsid w:val="004B45DB"/>
    <w:rsid w:val="004B45F8"/>
    <w:rsid w:val="004B4608"/>
    <w:rsid w:val="004B46B9"/>
    <w:rsid w:val="004B470C"/>
    <w:rsid w:val="004B473A"/>
    <w:rsid w:val="004B4769"/>
    <w:rsid w:val="004B48D9"/>
    <w:rsid w:val="004B4908"/>
    <w:rsid w:val="004B499E"/>
    <w:rsid w:val="004B49C7"/>
    <w:rsid w:val="004B49CA"/>
    <w:rsid w:val="004B4A03"/>
    <w:rsid w:val="004B4A21"/>
    <w:rsid w:val="004B4A5B"/>
    <w:rsid w:val="004B4A87"/>
    <w:rsid w:val="004B4AEE"/>
    <w:rsid w:val="004B4B45"/>
    <w:rsid w:val="004B4BA5"/>
    <w:rsid w:val="004B4C7C"/>
    <w:rsid w:val="004B4CE7"/>
    <w:rsid w:val="004B4D05"/>
    <w:rsid w:val="004B4D2E"/>
    <w:rsid w:val="004B4D91"/>
    <w:rsid w:val="004B4E46"/>
    <w:rsid w:val="004B4E54"/>
    <w:rsid w:val="004B4E9C"/>
    <w:rsid w:val="004B4F16"/>
    <w:rsid w:val="004B4F45"/>
    <w:rsid w:val="004B4FA0"/>
    <w:rsid w:val="004B4FB7"/>
    <w:rsid w:val="004B4FF1"/>
    <w:rsid w:val="004B50CA"/>
    <w:rsid w:val="004B516D"/>
    <w:rsid w:val="004B51A4"/>
    <w:rsid w:val="004B51EE"/>
    <w:rsid w:val="004B5202"/>
    <w:rsid w:val="004B5246"/>
    <w:rsid w:val="004B5256"/>
    <w:rsid w:val="004B52AF"/>
    <w:rsid w:val="004B52FD"/>
    <w:rsid w:val="004B537D"/>
    <w:rsid w:val="004B5388"/>
    <w:rsid w:val="004B54A7"/>
    <w:rsid w:val="004B54AA"/>
    <w:rsid w:val="004B54EA"/>
    <w:rsid w:val="004B5528"/>
    <w:rsid w:val="004B55AE"/>
    <w:rsid w:val="004B55F9"/>
    <w:rsid w:val="004B55FF"/>
    <w:rsid w:val="004B5619"/>
    <w:rsid w:val="004B5649"/>
    <w:rsid w:val="004B5655"/>
    <w:rsid w:val="004B5680"/>
    <w:rsid w:val="004B5683"/>
    <w:rsid w:val="004B5724"/>
    <w:rsid w:val="004B57AB"/>
    <w:rsid w:val="004B584F"/>
    <w:rsid w:val="004B5853"/>
    <w:rsid w:val="004B5870"/>
    <w:rsid w:val="004B589E"/>
    <w:rsid w:val="004B59F5"/>
    <w:rsid w:val="004B5A69"/>
    <w:rsid w:val="004B5AA0"/>
    <w:rsid w:val="004B5AC3"/>
    <w:rsid w:val="004B5B34"/>
    <w:rsid w:val="004B5B52"/>
    <w:rsid w:val="004B5B58"/>
    <w:rsid w:val="004B5B98"/>
    <w:rsid w:val="004B5E41"/>
    <w:rsid w:val="004B5F12"/>
    <w:rsid w:val="004B5F55"/>
    <w:rsid w:val="004B5FE3"/>
    <w:rsid w:val="004B60FE"/>
    <w:rsid w:val="004B614B"/>
    <w:rsid w:val="004B6280"/>
    <w:rsid w:val="004B62CD"/>
    <w:rsid w:val="004B62D8"/>
    <w:rsid w:val="004B630A"/>
    <w:rsid w:val="004B6399"/>
    <w:rsid w:val="004B6470"/>
    <w:rsid w:val="004B6482"/>
    <w:rsid w:val="004B6486"/>
    <w:rsid w:val="004B653D"/>
    <w:rsid w:val="004B654F"/>
    <w:rsid w:val="004B655C"/>
    <w:rsid w:val="004B65B9"/>
    <w:rsid w:val="004B65F7"/>
    <w:rsid w:val="004B66B4"/>
    <w:rsid w:val="004B67A3"/>
    <w:rsid w:val="004B689A"/>
    <w:rsid w:val="004B68CE"/>
    <w:rsid w:val="004B68EA"/>
    <w:rsid w:val="004B68FF"/>
    <w:rsid w:val="004B6901"/>
    <w:rsid w:val="004B6963"/>
    <w:rsid w:val="004B6964"/>
    <w:rsid w:val="004B699B"/>
    <w:rsid w:val="004B69A6"/>
    <w:rsid w:val="004B69F7"/>
    <w:rsid w:val="004B69FE"/>
    <w:rsid w:val="004B6A07"/>
    <w:rsid w:val="004B6A70"/>
    <w:rsid w:val="004B6B14"/>
    <w:rsid w:val="004B6B37"/>
    <w:rsid w:val="004B6BE9"/>
    <w:rsid w:val="004B6C35"/>
    <w:rsid w:val="004B6C3F"/>
    <w:rsid w:val="004B6C70"/>
    <w:rsid w:val="004B6E75"/>
    <w:rsid w:val="004B6FAD"/>
    <w:rsid w:val="004B6FBE"/>
    <w:rsid w:val="004B6FF8"/>
    <w:rsid w:val="004B7000"/>
    <w:rsid w:val="004B703A"/>
    <w:rsid w:val="004B7051"/>
    <w:rsid w:val="004B7052"/>
    <w:rsid w:val="004B7089"/>
    <w:rsid w:val="004B708C"/>
    <w:rsid w:val="004B70CF"/>
    <w:rsid w:val="004B7184"/>
    <w:rsid w:val="004B7264"/>
    <w:rsid w:val="004B72EA"/>
    <w:rsid w:val="004B7374"/>
    <w:rsid w:val="004B73B4"/>
    <w:rsid w:val="004B73D1"/>
    <w:rsid w:val="004B73FB"/>
    <w:rsid w:val="004B742D"/>
    <w:rsid w:val="004B747D"/>
    <w:rsid w:val="004B74BA"/>
    <w:rsid w:val="004B76B0"/>
    <w:rsid w:val="004B7722"/>
    <w:rsid w:val="004B77C7"/>
    <w:rsid w:val="004B7910"/>
    <w:rsid w:val="004B7923"/>
    <w:rsid w:val="004B7941"/>
    <w:rsid w:val="004B7961"/>
    <w:rsid w:val="004B79EB"/>
    <w:rsid w:val="004B7A05"/>
    <w:rsid w:val="004B7A7C"/>
    <w:rsid w:val="004B7A83"/>
    <w:rsid w:val="004B7B11"/>
    <w:rsid w:val="004B7C16"/>
    <w:rsid w:val="004B7C7A"/>
    <w:rsid w:val="004B7C82"/>
    <w:rsid w:val="004B7C87"/>
    <w:rsid w:val="004B7CFD"/>
    <w:rsid w:val="004B7E5A"/>
    <w:rsid w:val="004B7E8E"/>
    <w:rsid w:val="004B7F3E"/>
    <w:rsid w:val="004C0089"/>
    <w:rsid w:val="004C016B"/>
    <w:rsid w:val="004C01B6"/>
    <w:rsid w:val="004C01C3"/>
    <w:rsid w:val="004C024D"/>
    <w:rsid w:val="004C0380"/>
    <w:rsid w:val="004C03E7"/>
    <w:rsid w:val="004C0410"/>
    <w:rsid w:val="004C0476"/>
    <w:rsid w:val="004C0498"/>
    <w:rsid w:val="004C04B4"/>
    <w:rsid w:val="004C04BE"/>
    <w:rsid w:val="004C0505"/>
    <w:rsid w:val="004C0576"/>
    <w:rsid w:val="004C057E"/>
    <w:rsid w:val="004C05A8"/>
    <w:rsid w:val="004C05B5"/>
    <w:rsid w:val="004C062A"/>
    <w:rsid w:val="004C06C9"/>
    <w:rsid w:val="004C0726"/>
    <w:rsid w:val="004C075B"/>
    <w:rsid w:val="004C0764"/>
    <w:rsid w:val="004C07DD"/>
    <w:rsid w:val="004C0888"/>
    <w:rsid w:val="004C08BB"/>
    <w:rsid w:val="004C096D"/>
    <w:rsid w:val="004C09A9"/>
    <w:rsid w:val="004C09BC"/>
    <w:rsid w:val="004C09C5"/>
    <w:rsid w:val="004C09D1"/>
    <w:rsid w:val="004C09E7"/>
    <w:rsid w:val="004C0A88"/>
    <w:rsid w:val="004C0A9A"/>
    <w:rsid w:val="004C0ABF"/>
    <w:rsid w:val="004C0AC4"/>
    <w:rsid w:val="004C0B3E"/>
    <w:rsid w:val="004C0BB3"/>
    <w:rsid w:val="004C0BBB"/>
    <w:rsid w:val="004C0BDC"/>
    <w:rsid w:val="004C0DD6"/>
    <w:rsid w:val="004C0DE7"/>
    <w:rsid w:val="004C0E0D"/>
    <w:rsid w:val="004C0E74"/>
    <w:rsid w:val="004C0E77"/>
    <w:rsid w:val="004C0E81"/>
    <w:rsid w:val="004C0EA5"/>
    <w:rsid w:val="004C0EAB"/>
    <w:rsid w:val="004C0ECE"/>
    <w:rsid w:val="004C0F1D"/>
    <w:rsid w:val="004C0F25"/>
    <w:rsid w:val="004C108C"/>
    <w:rsid w:val="004C10BA"/>
    <w:rsid w:val="004C1136"/>
    <w:rsid w:val="004C11FF"/>
    <w:rsid w:val="004C124C"/>
    <w:rsid w:val="004C131D"/>
    <w:rsid w:val="004C1358"/>
    <w:rsid w:val="004C135D"/>
    <w:rsid w:val="004C136F"/>
    <w:rsid w:val="004C13A6"/>
    <w:rsid w:val="004C1460"/>
    <w:rsid w:val="004C14B7"/>
    <w:rsid w:val="004C14D6"/>
    <w:rsid w:val="004C155E"/>
    <w:rsid w:val="004C1680"/>
    <w:rsid w:val="004C174A"/>
    <w:rsid w:val="004C1775"/>
    <w:rsid w:val="004C17C6"/>
    <w:rsid w:val="004C1805"/>
    <w:rsid w:val="004C1836"/>
    <w:rsid w:val="004C183D"/>
    <w:rsid w:val="004C1864"/>
    <w:rsid w:val="004C1867"/>
    <w:rsid w:val="004C1906"/>
    <w:rsid w:val="004C197E"/>
    <w:rsid w:val="004C1986"/>
    <w:rsid w:val="004C19FA"/>
    <w:rsid w:val="004C1A60"/>
    <w:rsid w:val="004C1A91"/>
    <w:rsid w:val="004C1AE3"/>
    <w:rsid w:val="004C1BBE"/>
    <w:rsid w:val="004C1C4B"/>
    <w:rsid w:val="004C1C70"/>
    <w:rsid w:val="004C1D81"/>
    <w:rsid w:val="004C1DA8"/>
    <w:rsid w:val="004C1DB8"/>
    <w:rsid w:val="004C1E16"/>
    <w:rsid w:val="004C1E63"/>
    <w:rsid w:val="004C1E9D"/>
    <w:rsid w:val="004C1F42"/>
    <w:rsid w:val="004C1F60"/>
    <w:rsid w:val="004C1FD6"/>
    <w:rsid w:val="004C2067"/>
    <w:rsid w:val="004C20A7"/>
    <w:rsid w:val="004C2117"/>
    <w:rsid w:val="004C2164"/>
    <w:rsid w:val="004C21AD"/>
    <w:rsid w:val="004C21C0"/>
    <w:rsid w:val="004C2269"/>
    <w:rsid w:val="004C234B"/>
    <w:rsid w:val="004C2373"/>
    <w:rsid w:val="004C23EF"/>
    <w:rsid w:val="004C2428"/>
    <w:rsid w:val="004C24C1"/>
    <w:rsid w:val="004C250D"/>
    <w:rsid w:val="004C252E"/>
    <w:rsid w:val="004C25A2"/>
    <w:rsid w:val="004C2615"/>
    <w:rsid w:val="004C2654"/>
    <w:rsid w:val="004C2657"/>
    <w:rsid w:val="004C2664"/>
    <w:rsid w:val="004C2730"/>
    <w:rsid w:val="004C274C"/>
    <w:rsid w:val="004C2794"/>
    <w:rsid w:val="004C27E2"/>
    <w:rsid w:val="004C285E"/>
    <w:rsid w:val="004C2875"/>
    <w:rsid w:val="004C2A24"/>
    <w:rsid w:val="004C2AA3"/>
    <w:rsid w:val="004C2ACF"/>
    <w:rsid w:val="004C2C16"/>
    <w:rsid w:val="004C2CC6"/>
    <w:rsid w:val="004C2D78"/>
    <w:rsid w:val="004C2DB3"/>
    <w:rsid w:val="004C2E26"/>
    <w:rsid w:val="004C2E64"/>
    <w:rsid w:val="004C2E7C"/>
    <w:rsid w:val="004C2ED2"/>
    <w:rsid w:val="004C2F0B"/>
    <w:rsid w:val="004C2F62"/>
    <w:rsid w:val="004C2F74"/>
    <w:rsid w:val="004C2F8D"/>
    <w:rsid w:val="004C2FD5"/>
    <w:rsid w:val="004C3005"/>
    <w:rsid w:val="004C310C"/>
    <w:rsid w:val="004C3150"/>
    <w:rsid w:val="004C31D6"/>
    <w:rsid w:val="004C327E"/>
    <w:rsid w:val="004C3291"/>
    <w:rsid w:val="004C32A3"/>
    <w:rsid w:val="004C3316"/>
    <w:rsid w:val="004C3405"/>
    <w:rsid w:val="004C346E"/>
    <w:rsid w:val="004C34D6"/>
    <w:rsid w:val="004C34DB"/>
    <w:rsid w:val="004C350D"/>
    <w:rsid w:val="004C3634"/>
    <w:rsid w:val="004C3680"/>
    <w:rsid w:val="004C3708"/>
    <w:rsid w:val="004C373D"/>
    <w:rsid w:val="004C37A4"/>
    <w:rsid w:val="004C38C4"/>
    <w:rsid w:val="004C38FE"/>
    <w:rsid w:val="004C391F"/>
    <w:rsid w:val="004C3957"/>
    <w:rsid w:val="004C3982"/>
    <w:rsid w:val="004C399F"/>
    <w:rsid w:val="004C3A49"/>
    <w:rsid w:val="004C3A85"/>
    <w:rsid w:val="004C3A91"/>
    <w:rsid w:val="004C3B04"/>
    <w:rsid w:val="004C3B2E"/>
    <w:rsid w:val="004C3B73"/>
    <w:rsid w:val="004C3B7D"/>
    <w:rsid w:val="004C3BFE"/>
    <w:rsid w:val="004C3C2C"/>
    <w:rsid w:val="004C3D3F"/>
    <w:rsid w:val="004C3D8A"/>
    <w:rsid w:val="004C3DED"/>
    <w:rsid w:val="004C3E01"/>
    <w:rsid w:val="004C3EEC"/>
    <w:rsid w:val="004C3EF9"/>
    <w:rsid w:val="004C3FAA"/>
    <w:rsid w:val="004C41BE"/>
    <w:rsid w:val="004C41D9"/>
    <w:rsid w:val="004C41DC"/>
    <w:rsid w:val="004C41EC"/>
    <w:rsid w:val="004C4277"/>
    <w:rsid w:val="004C4293"/>
    <w:rsid w:val="004C431F"/>
    <w:rsid w:val="004C4467"/>
    <w:rsid w:val="004C447A"/>
    <w:rsid w:val="004C44A4"/>
    <w:rsid w:val="004C4588"/>
    <w:rsid w:val="004C45E5"/>
    <w:rsid w:val="004C462D"/>
    <w:rsid w:val="004C4651"/>
    <w:rsid w:val="004C465E"/>
    <w:rsid w:val="004C4669"/>
    <w:rsid w:val="004C4687"/>
    <w:rsid w:val="004C4694"/>
    <w:rsid w:val="004C46C3"/>
    <w:rsid w:val="004C47FE"/>
    <w:rsid w:val="004C4840"/>
    <w:rsid w:val="004C4851"/>
    <w:rsid w:val="004C494B"/>
    <w:rsid w:val="004C498F"/>
    <w:rsid w:val="004C49FC"/>
    <w:rsid w:val="004C4A19"/>
    <w:rsid w:val="004C4A84"/>
    <w:rsid w:val="004C4C1C"/>
    <w:rsid w:val="004C4C6C"/>
    <w:rsid w:val="004C4C95"/>
    <w:rsid w:val="004C4C9B"/>
    <w:rsid w:val="004C4CD9"/>
    <w:rsid w:val="004C4DB5"/>
    <w:rsid w:val="004C4DF6"/>
    <w:rsid w:val="004C4DF8"/>
    <w:rsid w:val="004C4E05"/>
    <w:rsid w:val="004C4EE1"/>
    <w:rsid w:val="004C4F3C"/>
    <w:rsid w:val="004C4F92"/>
    <w:rsid w:val="004C4FA6"/>
    <w:rsid w:val="004C4FE1"/>
    <w:rsid w:val="004C506C"/>
    <w:rsid w:val="004C50A6"/>
    <w:rsid w:val="004C50EE"/>
    <w:rsid w:val="004C5131"/>
    <w:rsid w:val="004C5132"/>
    <w:rsid w:val="004C51B6"/>
    <w:rsid w:val="004C5216"/>
    <w:rsid w:val="004C5232"/>
    <w:rsid w:val="004C525D"/>
    <w:rsid w:val="004C525E"/>
    <w:rsid w:val="004C52C0"/>
    <w:rsid w:val="004C52F2"/>
    <w:rsid w:val="004C53A6"/>
    <w:rsid w:val="004C5503"/>
    <w:rsid w:val="004C5509"/>
    <w:rsid w:val="004C5562"/>
    <w:rsid w:val="004C5578"/>
    <w:rsid w:val="004C55A0"/>
    <w:rsid w:val="004C55F0"/>
    <w:rsid w:val="004C5678"/>
    <w:rsid w:val="004C5698"/>
    <w:rsid w:val="004C56E1"/>
    <w:rsid w:val="004C5792"/>
    <w:rsid w:val="004C57E6"/>
    <w:rsid w:val="004C5817"/>
    <w:rsid w:val="004C5845"/>
    <w:rsid w:val="004C5921"/>
    <w:rsid w:val="004C595D"/>
    <w:rsid w:val="004C5999"/>
    <w:rsid w:val="004C59AC"/>
    <w:rsid w:val="004C5A03"/>
    <w:rsid w:val="004C5C5D"/>
    <w:rsid w:val="004C5CFC"/>
    <w:rsid w:val="004C5D29"/>
    <w:rsid w:val="004C5D87"/>
    <w:rsid w:val="004C5F1B"/>
    <w:rsid w:val="004C5F87"/>
    <w:rsid w:val="004C5FA3"/>
    <w:rsid w:val="004C6005"/>
    <w:rsid w:val="004C6046"/>
    <w:rsid w:val="004C6113"/>
    <w:rsid w:val="004C6193"/>
    <w:rsid w:val="004C61A6"/>
    <w:rsid w:val="004C61EB"/>
    <w:rsid w:val="004C6228"/>
    <w:rsid w:val="004C6288"/>
    <w:rsid w:val="004C62B9"/>
    <w:rsid w:val="004C6319"/>
    <w:rsid w:val="004C6351"/>
    <w:rsid w:val="004C6355"/>
    <w:rsid w:val="004C63E9"/>
    <w:rsid w:val="004C641F"/>
    <w:rsid w:val="004C6441"/>
    <w:rsid w:val="004C651F"/>
    <w:rsid w:val="004C665C"/>
    <w:rsid w:val="004C6822"/>
    <w:rsid w:val="004C6828"/>
    <w:rsid w:val="004C68FD"/>
    <w:rsid w:val="004C6935"/>
    <w:rsid w:val="004C69EC"/>
    <w:rsid w:val="004C6A1B"/>
    <w:rsid w:val="004C6A45"/>
    <w:rsid w:val="004C6A77"/>
    <w:rsid w:val="004C6B15"/>
    <w:rsid w:val="004C6B22"/>
    <w:rsid w:val="004C6B43"/>
    <w:rsid w:val="004C6C45"/>
    <w:rsid w:val="004C6D6A"/>
    <w:rsid w:val="004C6DD5"/>
    <w:rsid w:val="004C6FB9"/>
    <w:rsid w:val="004C70D9"/>
    <w:rsid w:val="004C7106"/>
    <w:rsid w:val="004C7131"/>
    <w:rsid w:val="004C7182"/>
    <w:rsid w:val="004C71A4"/>
    <w:rsid w:val="004C71D6"/>
    <w:rsid w:val="004C7292"/>
    <w:rsid w:val="004C73DA"/>
    <w:rsid w:val="004C7473"/>
    <w:rsid w:val="004C74A8"/>
    <w:rsid w:val="004C752F"/>
    <w:rsid w:val="004C764B"/>
    <w:rsid w:val="004C76D3"/>
    <w:rsid w:val="004C76F9"/>
    <w:rsid w:val="004C7706"/>
    <w:rsid w:val="004C774C"/>
    <w:rsid w:val="004C7764"/>
    <w:rsid w:val="004C77DA"/>
    <w:rsid w:val="004C77DE"/>
    <w:rsid w:val="004C7818"/>
    <w:rsid w:val="004C7830"/>
    <w:rsid w:val="004C7844"/>
    <w:rsid w:val="004C7851"/>
    <w:rsid w:val="004C797B"/>
    <w:rsid w:val="004C7A56"/>
    <w:rsid w:val="004C7AAD"/>
    <w:rsid w:val="004C7BE5"/>
    <w:rsid w:val="004C7C5F"/>
    <w:rsid w:val="004C7C72"/>
    <w:rsid w:val="004C7CAF"/>
    <w:rsid w:val="004C7D08"/>
    <w:rsid w:val="004C7D23"/>
    <w:rsid w:val="004C7D4A"/>
    <w:rsid w:val="004C7DBD"/>
    <w:rsid w:val="004C7DDD"/>
    <w:rsid w:val="004C7E00"/>
    <w:rsid w:val="004C7E26"/>
    <w:rsid w:val="004C7E6D"/>
    <w:rsid w:val="004D002A"/>
    <w:rsid w:val="004D0107"/>
    <w:rsid w:val="004D012F"/>
    <w:rsid w:val="004D0142"/>
    <w:rsid w:val="004D0146"/>
    <w:rsid w:val="004D0149"/>
    <w:rsid w:val="004D021C"/>
    <w:rsid w:val="004D0232"/>
    <w:rsid w:val="004D0269"/>
    <w:rsid w:val="004D02B6"/>
    <w:rsid w:val="004D02EB"/>
    <w:rsid w:val="004D0481"/>
    <w:rsid w:val="004D04C9"/>
    <w:rsid w:val="004D0577"/>
    <w:rsid w:val="004D065A"/>
    <w:rsid w:val="004D0744"/>
    <w:rsid w:val="004D078D"/>
    <w:rsid w:val="004D07CE"/>
    <w:rsid w:val="004D080C"/>
    <w:rsid w:val="004D0846"/>
    <w:rsid w:val="004D0895"/>
    <w:rsid w:val="004D08F1"/>
    <w:rsid w:val="004D099A"/>
    <w:rsid w:val="004D09FD"/>
    <w:rsid w:val="004D0A07"/>
    <w:rsid w:val="004D0A3D"/>
    <w:rsid w:val="004D0A57"/>
    <w:rsid w:val="004D0A65"/>
    <w:rsid w:val="004D0AD0"/>
    <w:rsid w:val="004D0C08"/>
    <w:rsid w:val="004D0C5D"/>
    <w:rsid w:val="004D0CBC"/>
    <w:rsid w:val="004D0CFB"/>
    <w:rsid w:val="004D0DB7"/>
    <w:rsid w:val="004D0DC7"/>
    <w:rsid w:val="004D0EC5"/>
    <w:rsid w:val="004D0ED7"/>
    <w:rsid w:val="004D0F8D"/>
    <w:rsid w:val="004D0FD0"/>
    <w:rsid w:val="004D0FEA"/>
    <w:rsid w:val="004D100C"/>
    <w:rsid w:val="004D1033"/>
    <w:rsid w:val="004D1085"/>
    <w:rsid w:val="004D10D7"/>
    <w:rsid w:val="004D113A"/>
    <w:rsid w:val="004D11F4"/>
    <w:rsid w:val="004D1230"/>
    <w:rsid w:val="004D12A7"/>
    <w:rsid w:val="004D12AA"/>
    <w:rsid w:val="004D12AC"/>
    <w:rsid w:val="004D12ED"/>
    <w:rsid w:val="004D12F3"/>
    <w:rsid w:val="004D133C"/>
    <w:rsid w:val="004D1344"/>
    <w:rsid w:val="004D1358"/>
    <w:rsid w:val="004D1466"/>
    <w:rsid w:val="004D1479"/>
    <w:rsid w:val="004D148E"/>
    <w:rsid w:val="004D148F"/>
    <w:rsid w:val="004D14CD"/>
    <w:rsid w:val="004D14EB"/>
    <w:rsid w:val="004D150B"/>
    <w:rsid w:val="004D1511"/>
    <w:rsid w:val="004D151B"/>
    <w:rsid w:val="004D1643"/>
    <w:rsid w:val="004D1691"/>
    <w:rsid w:val="004D1696"/>
    <w:rsid w:val="004D171C"/>
    <w:rsid w:val="004D17E9"/>
    <w:rsid w:val="004D1837"/>
    <w:rsid w:val="004D18A4"/>
    <w:rsid w:val="004D1935"/>
    <w:rsid w:val="004D198B"/>
    <w:rsid w:val="004D1B39"/>
    <w:rsid w:val="004D1CAD"/>
    <w:rsid w:val="004D1CB9"/>
    <w:rsid w:val="004D1CFF"/>
    <w:rsid w:val="004D1D49"/>
    <w:rsid w:val="004D1DD7"/>
    <w:rsid w:val="004D1DDF"/>
    <w:rsid w:val="004D1E2F"/>
    <w:rsid w:val="004D1E34"/>
    <w:rsid w:val="004D1E62"/>
    <w:rsid w:val="004D1E86"/>
    <w:rsid w:val="004D1F2E"/>
    <w:rsid w:val="004D1F58"/>
    <w:rsid w:val="004D2006"/>
    <w:rsid w:val="004D2098"/>
    <w:rsid w:val="004D20C4"/>
    <w:rsid w:val="004D2162"/>
    <w:rsid w:val="004D216F"/>
    <w:rsid w:val="004D2241"/>
    <w:rsid w:val="004D229D"/>
    <w:rsid w:val="004D22BD"/>
    <w:rsid w:val="004D22F6"/>
    <w:rsid w:val="004D230C"/>
    <w:rsid w:val="004D23CE"/>
    <w:rsid w:val="004D240C"/>
    <w:rsid w:val="004D2452"/>
    <w:rsid w:val="004D2461"/>
    <w:rsid w:val="004D250E"/>
    <w:rsid w:val="004D254B"/>
    <w:rsid w:val="004D2563"/>
    <w:rsid w:val="004D2654"/>
    <w:rsid w:val="004D26CC"/>
    <w:rsid w:val="004D271D"/>
    <w:rsid w:val="004D2752"/>
    <w:rsid w:val="004D2827"/>
    <w:rsid w:val="004D28B5"/>
    <w:rsid w:val="004D28E9"/>
    <w:rsid w:val="004D2978"/>
    <w:rsid w:val="004D298A"/>
    <w:rsid w:val="004D29AB"/>
    <w:rsid w:val="004D2A3D"/>
    <w:rsid w:val="004D2A74"/>
    <w:rsid w:val="004D2AA3"/>
    <w:rsid w:val="004D2B09"/>
    <w:rsid w:val="004D2B56"/>
    <w:rsid w:val="004D2B70"/>
    <w:rsid w:val="004D2B7C"/>
    <w:rsid w:val="004D2BA1"/>
    <w:rsid w:val="004D2BA9"/>
    <w:rsid w:val="004D2BB8"/>
    <w:rsid w:val="004D2C84"/>
    <w:rsid w:val="004D2CCA"/>
    <w:rsid w:val="004D2CD9"/>
    <w:rsid w:val="004D2E29"/>
    <w:rsid w:val="004D2E53"/>
    <w:rsid w:val="004D2E96"/>
    <w:rsid w:val="004D2EF5"/>
    <w:rsid w:val="004D2F13"/>
    <w:rsid w:val="004D2FD0"/>
    <w:rsid w:val="004D2FF3"/>
    <w:rsid w:val="004D303C"/>
    <w:rsid w:val="004D313D"/>
    <w:rsid w:val="004D316C"/>
    <w:rsid w:val="004D31E4"/>
    <w:rsid w:val="004D3218"/>
    <w:rsid w:val="004D3258"/>
    <w:rsid w:val="004D329D"/>
    <w:rsid w:val="004D32A4"/>
    <w:rsid w:val="004D32EE"/>
    <w:rsid w:val="004D33E4"/>
    <w:rsid w:val="004D3443"/>
    <w:rsid w:val="004D348E"/>
    <w:rsid w:val="004D3499"/>
    <w:rsid w:val="004D34AB"/>
    <w:rsid w:val="004D350E"/>
    <w:rsid w:val="004D3561"/>
    <w:rsid w:val="004D35A4"/>
    <w:rsid w:val="004D35F5"/>
    <w:rsid w:val="004D3606"/>
    <w:rsid w:val="004D360F"/>
    <w:rsid w:val="004D368E"/>
    <w:rsid w:val="004D3691"/>
    <w:rsid w:val="004D36BA"/>
    <w:rsid w:val="004D37BD"/>
    <w:rsid w:val="004D37DC"/>
    <w:rsid w:val="004D3812"/>
    <w:rsid w:val="004D3882"/>
    <w:rsid w:val="004D38F7"/>
    <w:rsid w:val="004D38FC"/>
    <w:rsid w:val="004D391B"/>
    <w:rsid w:val="004D3924"/>
    <w:rsid w:val="004D39B1"/>
    <w:rsid w:val="004D39BE"/>
    <w:rsid w:val="004D3A1A"/>
    <w:rsid w:val="004D3A92"/>
    <w:rsid w:val="004D3BFC"/>
    <w:rsid w:val="004D3C2B"/>
    <w:rsid w:val="004D3C3C"/>
    <w:rsid w:val="004D3CC9"/>
    <w:rsid w:val="004D3CCE"/>
    <w:rsid w:val="004D3CF3"/>
    <w:rsid w:val="004D3D2A"/>
    <w:rsid w:val="004D3D56"/>
    <w:rsid w:val="004D3D6D"/>
    <w:rsid w:val="004D3DCC"/>
    <w:rsid w:val="004D3EAD"/>
    <w:rsid w:val="004D3F21"/>
    <w:rsid w:val="004D3F5D"/>
    <w:rsid w:val="004D3F84"/>
    <w:rsid w:val="004D4037"/>
    <w:rsid w:val="004D4145"/>
    <w:rsid w:val="004D41C9"/>
    <w:rsid w:val="004D41D6"/>
    <w:rsid w:val="004D41EA"/>
    <w:rsid w:val="004D425C"/>
    <w:rsid w:val="004D4276"/>
    <w:rsid w:val="004D4292"/>
    <w:rsid w:val="004D42E6"/>
    <w:rsid w:val="004D4306"/>
    <w:rsid w:val="004D436E"/>
    <w:rsid w:val="004D4384"/>
    <w:rsid w:val="004D43B8"/>
    <w:rsid w:val="004D43CB"/>
    <w:rsid w:val="004D4461"/>
    <w:rsid w:val="004D44FF"/>
    <w:rsid w:val="004D45D9"/>
    <w:rsid w:val="004D45EE"/>
    <w:rsid w:val="004D46D1"/>
    <w:rsid w:val="004D4780"/>
    <w:rsid w:val="004D479E"/>
    <w:rsid w:val="004D47AE"/>
    <w:rsid w:val="004D47F1"/>
    <w:rsid w:val="004D486A"/>
    <w:rsid w:val="004D48A1"/>
    <w:rsid w:val="004D48BE"/>
    <w:rsid w:val="004D4935"/>
    <w:rsid w:val="004D4994"/>
    <w:rsid w:val="004D499D"/>
    <w:rsid w:val="004D49E2"/>
    <w:rsid w:val="004D4A4D"/>
    <w:rsid w:val="004D4AE0"/>
    <w:rsid w:val="004D4AF1"/>
    <w:rsid w:val="004D4B33"/>
    <w:rsid w:val="004D4B74"/>
    <w:rsid w:val="004D4B87"/>
    <w:rsid w:val="004D4BAA"/>
    <w:rsid w:val="004D4BAF"/>
    <w:rsid w:val="004D4C96"/>
    <w:rsid w:val="004D4D5A"/>
    <w:rsid w:val="004D4DFB"/>
    <w:rsid w:val="004D4E2C"/>
    <w:rsid w:val="004D4E32"/>
    <w:rsid w:val="004D4EA9"/>
    <w:rsid w:val="004D4EB9"/>
    <w:rsid w:val="004D4F60"/>
    <w:rsid w:val="004D503A"/>
    <w:rsid w:val="004D506A"/>
    <w:rsid w:val="004D508E"/>
    <w:rsid w:val="004D509A"/>
    <w:rsid w:val="004D5170"/>
    <w:rsid w:val="004D51AF"/>
    <w:rsid w:val="004D51BA"/>
    <w:rsid w:val="004D51BE"/>
    <w:rsid w:val="004D5272"/>
    <w:rsid w:val="004D5298"/>
    <w:rsid w:val="004D52C5"/>
    <w:rsid w:val="004D52F2"/>
    <w:rsid w:val="004D53A2"/>
    <w:rsid w:val="004D53B4"/>
    <w:rsid w:val="004D545C"/>
    <w:rsid w:val="004D54C2"/>
    <w:rsid w:val="004D5515"/>
    <w:rsid w:val="004D556D"/>
    <w:rsid w:val="004D558A"/>
    <w:rsid w:val="004D55D5"/>
    <w:rsid w:val="004D5667"/>
    <w:rsid w:val="004D567F"/>
    <w:rsid w:val="004D5702"/>
    <w:rsid w:val="004D570C"/>
    <w:rsid w:val="004D57AD"/>
    <w:rsid w:val="004D582D"/>
    <w:rsid w:val="004D585F"/>
    <w:rsid w:val="004D5883"/>
    <w:rsid w:val="004D58B0"/>
    <w:rsid w:val="004D58D1"/>
    <w:rsid w:val="004D5909"/>
    <w:rsid w:val="004D591C"/>
    <w:rsid w:val="004D59BC"/>
    <w:rsid w:val="004D59D9"/>
    <w:rsid w:val="004D5A1C"/>
    <w:rsid w:val="004D5A1E"/>
    <w:rsid w:val="004D5AC3"/>
    <w:rsid w:val="004D5B1A"/>
    <w:rsid w:val="004D5B23"/>
    <w:rsid w:val="004D5B5C"/>
    <w:rsid w:val="004D5BA0"/>
    <w:rsid w:val="004D5BFF"/>
    <w:rsid w:val="004D5C4B"/>
    <w:rsid w:val="004D5C50"/>
    <w:rsid w:val="004D5CD1"/>
    <w:rsid w:val="004D5CF3"/>
    <w:rsid w:val="004D5D74"/>
    <w:rsid w:val="004D5D7B"/>
    <w:rsid w:val="004D5DBB"/>
    <w:rsid w:val="004D5DC8"/>
    <w:rsid w:val="004D5DF2"/>
    <w:rsid w:val="004D5F1C"/>
    <w:rsid w:val="004D5FF2"/>
    <w:rsid w:val="004D5FF5"/>
    <w:rsid w:val="004D6162"/>
    <w:rsid w:val="004D61A1"/>
    <w:rsid w:val="004D61FB"/>
    <w:rsid w:val="004D627E"/>
    <w:rsid w:val="004D62B7"/>
    <w:rsid w:val="004D6358"/>
    <w:rsid w:val="004D6447"/>
    <w:rsid w:val="004D64F9"/>
    <w:rsid w:val="004D6527"/>
    <w:rsid w:val="004D6541"/>
    <w:rsid w:val="004D6554"/>
    <w:rsid w:val="004D65B9"/>
    <w:rsid w:val="004D669C"/>
    <w:rsid w:val="004D66CC"/>
    <w:rsid w:val="004D66D6"/>
    <w:rsid w:val="004D6714"/>
    <w:rsid w:val="004D672E"/>
    <w:rsid w:val="004D6790"/>
    <w:rsid w:val="004D6837"/>
    <w:rsid w:val="004D688C"/>
    <w:rsid w:val="004D6A08"/>
    <w:rsid w:val="004D6A5F"/>
    <w:rsid w:val="004D6AB5"/>
    <w:rsid w:val="004D6AD3"/>
    <w:rsid w:val="004D6B36"/>
    <w:rsid w:val="004D6B39"/>
    <w:rsid w:val="004D6BD2"/>
    <w:rsid w:val="004D6C22"/>
    <w:rsid w:val="004D6C96"/>
    <w:rsid w:val="004D6CBD"/>
    <w:rsid w:val="004D6DB3"/>
    <w:rsid w:val="004D6E5E"/>
    <w:rsid w:val="004D6E60"/>
    <w:rsid w:val="004D6EC3"/>
    <w:rsid w:val="004D6EC5"/>
    <w:rsid w:val="004D6EF1"/>
    <w:rsid w:val="004D6F17"/>
    <w:rsid w:val="004D7050"/>
    <w:rsid w:val="004D70E5"/>
    <w:rsid w:val="004D7148"/>
    <w:rsid w:val="004D7173"/>
    <w:rsid w:val="004D7179"/>
    <w:rsid w:val="004D71BD"/>
    <w:rsid w:val="004D71CD"/>
    <w:rsid w:val="004D7247"/>
    <w:rsid w:val="004D7281"/>
    <w:rsid w:val="004D7303"/>
    <w:rsid w:val="004D7381"/>
    <w:rsid w:val="004D73B1"/>
    <w:rsid w:val="004D73C3"/>
    <w:rsid w:val="004D7661"/>
    <w:rsid w:val="004D76A9"/>
    <w:rsid w:val="004D7704"/>
    <w:rsid w:val="004D771E"/>
    <w:rsid w:val="004D777D"/>
    <w:rsid w:val="004D77AD"/>
    <w:rsid w:val="004D7800"/>
    <w:rsid w:val="004D7852"/>
    <w:rsid w:val="004D7853"/>
    <w:rsid w:val="004D799B"/>
    <w:rsid w:val="004D7A0A"/>
    <w:rsid w:val="004D7A41"/>
    <w:rsid w:val="004D7B26"/>
    <w:rsid w:val="004D7BBF"/>
    <w:rsid w:val="004D7C4E"/>
    <w:rsid w:val="004D7C9F"/>
    <w:rsid w:val="004D7CC8"/>
    <w:rsid w:val="004D7CFA"/>
    <w:rsid w:val="004D7D5D"/>
    <w:rsid w:val="004D7D9B"/>
    <w:rsid w:val="004D7DC2"/>
    <w:rsid w:val="004D7E60"/>
    <w:rsid w:val="004D7EC1"/>
    <w:rsid w:val="004D7FD3"/>
    <w:rsid w:val="004D7FED"/>
    <w:rsid w:val="004E00C6"/>
    <w:rsid w:val="004E0104"/>
    <w:rsid w:val="004E02CD"/>
    <w:rsid w:val="004E02CF"/>
    <w:rsid w:val="004E033F"/>
    <w:rsid w:val="004E03BD"/>
    <w:rsid w:val="004E0456"/>
    <w:rsid w:val="004E04AF"/>
    <w:rsid w:val="004E04BD"/>
    <w:rsid w:val="004E04DB"/>
    <w:rsid w:val="004E04F7"/>
    <w:rsid w:val="004E0597"/>
    <w:rsid w:val="004E0724"/>
    <w:rsid w:val="004E079B"/>
    <w:rsid w:val="004E07C8"/>
    <w:rsid w:val="004E0863"/>
    <w:rsid w:val="004E0883"/>
    <w:rsid w:val="004E090E"/>
    <w:rsid w:val="004E0B67"/>
    <w:rsid w:val="004E0C5C"/>
    <w:rsid w:val="004E0C9D"/>
    <w:rsid w:val="004E0D73"/>
    <w:rsid w:val="004E0E58"/>
    <w:rsid w:val="004E0FD5"/>
    <w:rsid w:val="004E108B"/>
    <w:rsid w:val="004E11D1"/>
    <w:rsid w:val="004E11D3"/>
    <w:rsid w:val="004E122C"/>
    <w:rsid w:val="004E1361"/>
    <w:rsid w:val="004E1367"/>
    <w:rsid w:val="004E147E"/>
    <w:rsid w:val="004E153C"/>
    <w:rsid w:val="004E16B9"/>
    <w:rsid w:val="004E16E0"/>
    <w:rsid w:val="004E17AD"/>
    <w:rsid w:val="004E186E"/>
    <w:rsid w:val="004E187A"/>
    <w:rsid w:val="004E1981"/>
    <w:rsid w:val="004E199A"/>
    <w:rsid w:val="004E19A4"/>
    <w:rsid w:val="004E19BB"/>
    <w:rsid w:val="004E1A82"/>
    <w:rsid w:val="004E1A92"/>
    <w:rsid w:val="004E1AEC"/>
    <w:rsid w:val="004E1BB2"/>
    <w:rsid w:val="004E1BBB"/>
    <w:rsid w:val="004E1CA8"/>
    <w:rsid w:val="004E1D2A"/>
    <w:rsid w:val="004E1DB3"/>
    <w:rsid w:val="004E1DC8"/>
    <w:rsid w:val="004E1DDE"/>
    <w:rsid w:val="004E1E1B"/>
    <w:rsid w:val="004E1E42"/>
    <w:rsid w:val="004E1E66"/>
    <w:rsid w:val="004E1EFC"/>
    <w:rsid w:val="004E1F2A"/>
    <w:rsid w:val="004E1F63"/>
    <w:rsid w:val="004E1FA1"/>
    <w:rsid w:val="004E1FBD"/>
    <w:rsid w:val="004E1FFF"/>
    <w:rsid w:val="004E204D"/>
    <w:rsid w:val="004E205A"/>
    <w:rsid w:val="004E20AF"/>
    <w:rsid w:val="004E20C2"/>
    <w:rsid w:val="004E2123"/>
    <w:rsid w:val="004E2139"/>
    <w:rsid w:val="004E21CE"/>
    <w:rsid w:val="004E22D1"/>
    <w:rsid w:val="004E22DD"/>
    <w:rsid w:val="004E2346"/>
    <w:rsid w:val="004E23A3"/>
    <w:rsid w:val="004E23A9"/>
    <w:rsid w:val="004E23D1"/>
    <w:rsid w:val="004E23D2"/>
    <w:rsid w:val="004E2403"/>
    <w:rsid w:val="004E24A4"/>
    <w:rsid w:val="004E2579"/>
    <w:rsid w:val="004E26C4"/>
    <w:rsid w:val="004E26E6"/>
    <w:rsid w:val="004E2705"/>
    <w:rsid w:val="004E2712"/>
    <w:rsid w:val="004E275A"/>
    <w:rsid w:val="004E2763"/>
    <w:rsid w:val="004E28BA"/>
    <w:rsid w:val="004E2A83"/>
    <w:rsid w:val="004E2AB4"/>
    <w:rsid w:val="004E2AF6"/>
    <w:rsid w:val="004E2B08"/>
    <w:rsid w:val="004E2C0E"/>
    <w:rsid w:val="004E2C3E"/>
    <w:rsid w:val="004E2C7D"/>
    <w:rsid w:val="004E2CA7"/>
    <w:rsid w:val="004E2D0B"/>
    <w:rsid w:val="004E2D1B"/>
    <w:rsid w:val="004E2EAA"/>
    <w:rsid w:val="004E2F0B"/>
    <w:rsid w:val="004E2FBC"/>
    <w:rsid w:val="004E3019"/>
    <w:rsid w:val="004E30E2"/>
    <w:rsid w:val="004E316E"/>
    <w:rsid w:val="004E3180"/>
    <w:rsid w:val="004E31E7"/>
    <w:rsid w:val="004E321A"/>
    <w:rsid w:val="004E328F"/>
    <w:rsid w:val="004E32D1"/>
    <w:rsid w:val="004E3301"/>
    <w:rsid w:val="004E344D"/>
    <w:rsid w:val="004E3465"/>
    <w:rsid w:val="004E34F8"/>
    <w:rsid w:val="004E3675"/>
    <w:rsid w:val="004E36C7"/>
    <w:rsid w:val="004E3769"/>
    <w:rsid w:val="004E37B6"/>
    <w:rsid w:val="004E389B"/>
    <w:rsid w:val="004E38E2"/>
    <w:rsid w:val="004E3927"/>
    <w:rsid w:val="004E3979"/>
    <w:rsid w:val="004E398B"/>
    <w:rsid w:val="004E3A00"/>
    <w:rsid w:val="004E3A49"/>
    <w:rsid w:val="004E3A62"/>
    <w:rsid w:val="004E3AFE"/>
    <w:rsid w:val="004E3B2E"/>
    <w:rsid w:val="004E3C0B"/>
    <w:rsid w:val="004E3C8D"/>
    <w:rsid w:val="004E3D13"/>
    <w:rsid w:val="004E3DF0"/>
    <w:rsid w:val="004E3F08"/>
    <w:rsid w:val="004E3F0E"/>
    <w:rsid w:val="004E3F3D"/>
    <w:rsid w:val="004E3F5B"/>
    <w:rsid w:val="004E3F7A"/>
    <w:rsid w:val="004E3FEC"/>
    <w:rsid w:val="004E404C"/>
    <w:rsid w:val="004E4115"/>
    <w:rsid w:val="004E4144"/>
    <w:rsid w:val="004E4186"/>
    <w:rsid w:val="004E4237"/>
    <w:rsid w:val="004E42B4"/>
    <w:rsid w:val="004E435B"/>
    <w:rsid w:val="004E43B0"/>
    <w:rsid w:val="004E441B"/>
    <w:rsid w:val="004E4484"/>
    <w:rsid w:val="004E44C5"/>
    <w:rsid w:val="004E44D3"/>
    <w:rsid w:val="004E456C"/>
    <w:rsid w:val="004E4595"/>
    <w:rsid w:val="004E465F"/>
    <w:rsid w:val="004E47A2"/>
    <w:rsid w:val="004E47EA"/>
    <w:rsid w:val="004E4804"/>
    <w:rsid w:val="004E481C"/>
    <w:rsid w:val="004E483C"/>
    <w:rsid w:val="004E4848"/>
    <w:rsid w:val="004E4874"/>
    <w:rsid w:val="004E496B"/>
    <w:rsid w:val="004E49B3"/>
    <w:rsid w:val="004E49E8"/>
    <w:rsid w:val="004E49F9"/>
    <w:rsid w:val="004E4A06"/>
    <w:rsid w:val="004E4A18"/>
    <w:rsid w:val="004E4A86"/>
    <w:rsid w:val="004E4B25"/>
    <w:rsid w:val="004E4B44"/>
    <w:rsid w:val="004E4C13"/>
    <w:rsid w:val="004E4C3E"/>
    <w:rsid w:val="004E4C6C"/>
    <w:rsid w:val="004E4C75"/>
    <w:rsid w:val="004E4D2D"/>
    <w:rsid w:val="004E4D40"/>
    <w:rsid w:val="004E4D72"/>
    <w:rsid w:val="004E4DAB"/>
    <w:rsid w:val="004E4DE0"/>
    <w:rsid w:val="004E4E7E"/>
    <w:rsid w:val="004E4F6B"/>
    <w:rsid w:val="004E5037"/>
    <w:rsid w:val="004E503E"/>
    <w:rsid w:val="004E5144"/>
    <w:rsid w:val="004E5168"/>
    <w:rsid w:val="004E51B1"/>
    <w:rsid w:val="004E51FE"/>
    <w:rsid w:val="004E5209"/>
    <w:rsid w:val="004E5288"/>
    <w:rsid w:val="004E528D"/>
    <w:rsid w:val="004E5303"/>
    <w:rsid w:val="004E530B"/>
    <w:rsid w:val="004E5382"/>
    <w:rsid w:val="004E5395"/>
    <w:rsid w:val="004E53B0"/>
    <w:rsid w:val="004E540C"/>
    <w:rsid w:val="004E5422"/>
    <w:rsid w:val="004E543B"/>
    <w:rsid w:val="004E5478"/>
    <w:rsid w:val="004E548F"/>
    <w:rsid w:val="004E5665"/>
    <w:rsid w:val="004E56F8"/>
    <w:rsid w:val="004E570F"/>
    <w:rsid w:val="004E5727"/>
    <w:rsid w:val="004E582E"/>
    <w:rsid w:val="004E5861"/>
    <w:rsid w:val="004E587B"/>
    <w:rsid w:val="004E58D7"/>
    <w:rsid w:val="004E5920"/>
    <w:rsid w:val="004E5930"/>
    <w:rsid w:val="004E5935"/>
    <w:rsid w:val="004E5A30"/>
    <w:rsid w:val="004E5B40"/>
    <w:rsid w:val="004E5B94"/>
    <w:rsid w:val="004E5B9B"/>
    <w:rsid w:val="004E5C1F"/>
    <w:rsid w:val="004E5C87"/>
    <w:rsid w:val="004E5D4B"/>
    <w:rsid w:val="004E5DA2"/>
    <w:rsid w:val="004E5F4C"/>
    <w:rsid w:val="004E5F8E"/>
    <w:rsid w:val="004E5F98"/>
    <w:rsid w:val="004E5FA2"/>
    <w:rsid w:val="004E5FD2"/>
    <w:rsid w:val="004E5FD3"/>
    <w:rsid w:val="004E5FE3"/>
    <w:rsid w:val="004E5FFB"/>
    <w:rsid w:val="004E6015"/>
    <w:rsid w:val="004E6031"/>
    <w:rsid w:val="004E6053"/>
    <w:rsid w:val="004E61DF"/>
    <w:rsid w:val="004E61E3"/>
    <w:rsid w:val="004E6263"/>
    <w:rsid w:val="004E62AD"/>
    <w:rsid w:val="004E636C"/>
    <w:rsid w:val="004E63C2"/>
    <w:rsid w:val="004E63D0"/>
    <w:rsid w:val="004E63FC"/>
    <w:rsid w:val="004E6473"/>
    <w:rsid w:val="004E6489"/>
    <w:rsid w:val="004E6542"/>
    <w:rsid w:val="004E65C6"/>
    <w:rsid w:val="004E6602"/>
    <w:rsid w:val="004E6606"/>
    <w:rsid w:val="004E664F"/>
    <w:rsid w:val="004E665A"/>
    <w:rsid w:val="004E666A"/>
    <w:rsid w:val="004E66B9"/>
    <w:rsid w:val="004E679F"/>
    <w:rsid w:val="004E67B2"/>
    <w:rsid w:val="004E67C1"/>
    <w:rsid w:val="004E697C"/>
    <w:rsid w:val="004E69FB"/>
    <w:rsid w:val="004E6A0B"/>
    <w:rsid w:val="004E6A89"/>
    <w:rsid w:val="004E6AA8"/>
    <w:rsid w:val="004E6C25"/>
    <w:rsid w:val="004E6C7E"/>
    <w:rsid w:val="004E6C82"/>
    <w:rsid w:val="004E6C94"/>
    <w:rsid w:val="004E6CBB"/>
    <w:rsid w:val="004E6D7C"/>
    <w:rsid w:val="004E6DE3"/>
    <w:rsid w:val="004E6E18"/>
    <w:rsid w:val="004E6E8B"/>
    <w:rsid w:val="004E6EFE"/>
    <w:rsid w:val="004E6F33"/>
    <w:rsid w:val="004E6F40"/>
    <w:rsid w:val="004E6FAB"/>
    <w:rsid w:val="004E6FD8"/>
    <w:rsid w:val="004E6FF3"/>
    <w:rsid w:val="004E702C"/>
    <w:rsid w:val="004E7062"/>
    <w:rsid w:val="004E70E2"/>
    <w:rsid w:val="004E712C"/>
    <w:rsid w:val="004E713D"/>
    <w:rsid w:val="004E7141"/>
    <w:rsid w:val="004E718C"/>
    <w:rsid w:val="004E7235"/>
    <w:rsid w:val="004E727D"/>
    <w:rsid w:val="004E72B6"/>
    <w:rsid w:val="004E72C8"/>
    <w:rsid w:val="004E72FA"/>
    <w:rsid w:val="004E7336"/>
    <w:rsid w:val="004E7356"/>
    <w:rsid w:val="004E73A2"/>
    <w:rsid w:val="004E744D"/>
    <w:rsid w:val="004E7530"/>
    <w:rsid w:val="004E75FD"/>
    <w:rsid w:val="004E7600"/>
    <w:rsid w:val="004E7603"/>
    <w:rsid w:val="004E76CF"/>
    <w:rsid w:val="004E7742"/>
    <w:rsid w:val="004E7808"/>
    <w:rsid w:val="004E789E"/>
    <w:rsid w:val="004E78DF"/>
    <w:rsid w:val="004E79B9"/>
    <w:rsid w:val="004E7A05"/>
    <w:rsid w:val="004E7A08"/>
    <w:rsid w:val="004E7A0F"/>
    <w:rsid w:val="004E7A29"/>
    <w:rsid w:val="004E7A9B"/>
    <w:rsid w:val="004E7A9E"/>
    <w:rsid w:val="004E7AD2"/>
    <w:rsid w:val="004E7AD8"/>
    <w:rsid w:val="004E7AFC"/>
    <w:rsid w:val="004E7BA3"/>
    <w:rsid w:val="004E7BAA"/>
    <w:rsid w:val="004E7BB2"/>
    <w:rsid w:val="004E7BB9"/>
    <w:rsid w:val="004E7BFC"/>
    <w:rsid w:val="004E7E1E"/>
    <w:rsid w:val="004E7E79"/>
    <w:rsid w:val="004E7FD0"/>
    <w:rsid w:val="004F003B"/>
    <w:rsid w:val="004F00CC"/>
    <w:rsid w:val="004F0101"/>
    <w:rsid w:val="004F0141"/>
    <w:rsid w:val="004F0195"/>
    <w:rsid w:val="004F01C3"/>
    <w:rsid w:val="004F01EC"/>
    <w:rsid w:val="004F0221"/>
    <w:rsid w:val="004F0232"/>
    <w:rsid w:val="004F0312"/>
    <w:rsid w:val="004F03A0"/>
    <w:rsid w:val="004F0434"/>
    <w:rsid w:val="004F049A"/>
    <w:rsid w:val="004F049F"/>
    <w:rsid w:val="004F04B9"/>
    <w:rsid w:val="004F05B9"/>
    <w:rsid w:val="004F0628"/>
    <w:rsid w:val="004F06FB"/>
    <w:rsid w:val="004F06FF"/>
    <w:rsid w:val="004F071E"/>
    <w:rsid w:val="004F0816"/>
    <w:rsid w:val="004F081B"/>
    <w:rsid w:val="004F08B1"/>
    <w:rsid w:val="004F08EA"/>
    <w:rsid w:val="004F090B"/>
    <w:rsid w:val="004F0942"/>
    <w:rsid w:val="004F09E9"/>
    <w:rsid w:val="004F09F7"/>
    <w:rsid w:val="004F0A1E"/>
    <w:rsid w:val="004F0AD1"/>
    <w:rsid w:val="004F0B63"/>
    <w:rsid w:val="004F0CCB"/>
    <w:rsid w:val="004F0CD6"/>
    <w:rsid w:val="004F0D61"/>
    <w:rsid w:val="004F0D85"/>
    <w:rsid w:val="004F0DC3"/>
    <w:rsid w:val="004F0DF1"/>
    <w:rsid w:val="004F0E03"/>
    <w:rsid w:val="004F0E5A"/>
    <w:rsid w:val="004F0EA8"/>
    <w:rsid w:val="004F0EE2"/>
    <w:rsid w:val="004F0EED"/>
    <w:rsid w:val="004F0F66"/>
    <w:rsid w:val="004F0F86"/>
    <w:rsid w:val="004F0F94"/>
    <w:rsid w:val="004F0FC0"/>
    <w:rsid w:val="004F1033"/>
    <w:rsid w:val="004F10BA"/>
    <w:rsid w:val="004F10EC"/>
    <w:rsid w:val="004F118D"/>
    <w:rsid w:val="004F11F8"/>
    <w:rsid w:val="004F12EE"/>
    <w:rsid w:val="004F12FD"/>
    <w:rsid w:val="004F1359"/>
    <w:rsid w:val="004F13AE"/>
    <w:rsid w:val="004F145B"/>
    <w:rsid w:val="004F1500"/>
    <w:rsid w:val="004F1539"/>
    <w:rsid w:val="004F153C"/>
    <w:rsid w:val="004F1587"/>
    <w:rsid w:val="004F1623"/>
    <w:rsid w:val="004F170C"/>
    <w:rsid w:val="004F170F"/>
    <w:rsid w:val="004F1781"/>
    <w:rsid w:val="004F17B1"/>
    <w:rsid w:val="004F181B"/>
    <w:rsid w:val="004F188B"/>
    <w:rsid w:val="004F18B1"/>
    <w:rsid w:val="004F1900"/>
    <w:rsid w:val="004F1970"/>
    <w:rsid w:val="004F19F1"/>
    <w:rsid w:val="004F1A0F"/>
    <w:rsid w:val="004F1A48"/>
    <w:rsid w:val="004F1A62"/>
    <w:rsid w:val="004F1B05"/>
    <w:rsid w:val="004F1B24"/>
    <w:rsid w:val="004F1BB4"/>
    <w:rsid w:val="004F1C21"/>
    <w:rsid w:val="004F1D61"/>
    <w:rsid w:val="004F1D70"/>
    <w:rsid w:val="004F1D80"/>
    <w:rsid w:val="004F1D9C"/>
    <w:rsid w:val="004F1E7B"/>
    <w:rsid w:val="004F1FCB"/>
    <w:rsid w:val="004F20A0"/>
    <w:rsid w:val="004F2116"/>
    <w:rsid w:val="004F2123"/>
    <w:rsid w:val="004F2169"/>
    <w:rsid w:val="004F2189"/>
    <w:rsid w:val="004F218B"/>
    <w:rsid w:val="004F21B6"/>
    <w:rsid w:val="004F2253"/>
    <w:rsid w:val="004F22FA"/>
    <w:rsid w:val="004F236B"/>
    <w:rsid w:val="004F2533"/>
    <w:rsid w:val="004F2623"/>
    <w:rsid w:val="004F2650"/>
    <w:rsid w:val="004F265A"/>
    <w:rsid w:val="004F2662"/>
    <w:rsid w:val="004F2695"/>
    <w:rsid w:val="004F26BB"/>
    <w:rsid w:val="004F27F2"/>
    <w:rsid w:val="004F27FF"/>
    <w:rsid w:val="004F2847"/>
    <w:rsid w:val="004F2853"/>
    <w:rsid w:val="004F28A9"/>
    <w:rsid w:val="004F294F"/>
    <w:rsid w:val="004F29BB"/>
    <w:rsid w:val="004F2AC6"/>
    <w:rsid w:val="004F2AD6"/>
    <w:rsid w:val="004F2ADA"/>
    <w:rsid w:val="004F2B77"/>
    <w:rsid w:val="004F2C2C"/>
    <w:rsid w:val="004F2DB3"/>
    <w:rsid w:val="004F2DFF"/>
    <w:rsid w:val="004F2E28"/>
    <w:rsid w:val="004F2F87"/>
    <w:rsid w:val="004F2FFD"/>
    <w:rsid w:val="004F303B"/>
    <w:rsid w:val="004F3080"/>
    <w:rsid w:val="004F308C"/>
    <w:rsid w:val="004F3095"/>
    <w:rsid w:val="004F311C"/>
    <w:rsid w:val="004F31A6"/>
    <w:rsid w:val="004F31F4"/>
    <w:rsid w:val="004F328A"/>
    <w:rsid w:val="004F32D6"/>
    <w:rsid w:val="004F32FB"/>
    <w:rsid w:val="004F331B"/>
    <w:rsid w:val="004F345B"/>
    <w:rsid w:val="004F34C8"/>
    <w:rsid w:val="004F3510"/>
    <w:rsid w:val="004F35B0"/>
    <w:rsid w:val="004F35B7"/>
    <w:rsid w:val="004F35E4"/>
    <w:rsid w:val="004F36DF"/>
    <w:rsid w:val="004F36EC"/>
    <w:rsid w:val="004F3792"/>
    <w:rsid w:val="004F3832"/>
    <w:rsid w:val="004F3837"/>
    <w:rsid w:val="004F384D"/>
    <w:rsid w:val="004F388F"/>
    <w:rsid w:val="004F38FB"/>
    <w:rsid w:val="004F391F"/>
    <w:rsid w:val="004F392E"/>
    <w:rsid w:val="004F39A4"/>
    <w:rsid w:val="004F39A6"/>
    <w:rsid w:val="004F39C9"/>
    <w:rsid w:val="004F39F2"/>
    <w:rsid w:val="004F3A17"/>
    <w:rsid w:val="004F3B9E"/>
    <w:rsid w:val="004F3C23"/>
    <w:rsid w:val="004F3C63"/>
    <w:rsid w:val="004F3C91"/>
    <w:rsid w:val="004F3D03"/>
    <w:rsid w:val="004F3D69"/>
    <w:rsid w:val="004F3D6C"/>
    <w:rsid w:val="004F3F23"/>
    <w:rsid w:val="004F3F29"/>
    <w:rsid w:val="004F4071"/>
    <w:rsid w:val="004F40A8"/>
    <w:rsid w:val="004F417B"/>
    <w:rsid w:val="004F4186"/>
    <w:rsid w:val="004F41BF"/>
    <w:rsid w:val="004F41D1"/>
    <w:rsid w:val="004F42BF"/>
    <w:rsid w:val="004F42E6"/>
    <w:rsid w:val="004F4379"/>
    <w:rsid w:val="004F441B"/>
    <w:rsid w:val="004F449D"/>
    <w:rsid w:val="004F44FE"/>
    <w:rsid w:val="004F4506"/>
    <w:rsid w:val="004F4515"/>
    <w:rsid w:val="004F45D2"/>
    <w:rsid w:val="004F45E0"/>
    <w:rsid w:val="004F45F8"/>
    <w:rsid w:val="004F460D"/>
    <w:rsid w:val="004F461D"/>
    <w:rsid w:val="004F4677"/>
    <w:rsid w:val="004F46A6"/>
    <w:rsid w:val="004F4714"/>
    <w:rsid w:val="004F4757"/>
    <w:rsid w:val="004F47DC"/>
    <w:rsid w:val="004F4897"/>
    <w:rsid w:val="004F48AB"/>
    <w:rsid w:val="004F491B"/>
    <w:rsid w:val="004F494F"/>
    <w:rsid w:val="004F4A0F"/>
    <w:rsid w:val="004F4A22"/>
    <w:rsid w:val="004F4A5D"/>
    <w:rsid w:val="004F4B67"/>
    <w:rsid w:val="004F4BD2"/>
    <w:rsid w:val="004F4C51"/>
    <w:rsid w:val="004F4CA8"/>
    <w:rsid w:val="004F4DB7"/>
    <w:rsid w:val="004F4DC3"/>
    <w:rsid w:val="004F4E3C"/>
    <w:rsid w:val="004F4EC1"/>
    <w:rsid w:val="004F4F23"/>
    <w:rsid w:val="004F4F2F"/>
    <w:rsid w:val="004F4F5D"/>
    <w:rsid w:val="004F4FA7"/>
    <w:rsid w:val="004F4FB8"/>
    <w:rsid w:val="004F4FCE"/>
    <w:rsid w:val="004F50D3"/>
    <w:rsid w:val="004F5196"/>
    <w:rsid w:val="004F5267"/>
    <w:rsid w:val="004F528C"/>
    <w:rsid w:val="004F53DD"/>
    <w:rsid w:val="004F5460"/>
    <w:rsid w:val="004F547F"/>
    <w:rsid w:val="004F54AE"/>
    <w:rsid w:val="004F55E3"/>
    <w:rsid w:val="004F5661"/>
    <w:rsid w:val="004F5665"/>
    <w:rsid w:val="004F5780"/>
    <w:rsid w:val="004F5789"/>
    <w:rsid w:val="004F57AC"/>
    <w:rsid w:val="004F57B3"/>
    <w:rsid w:val="004F582E"/>
    <w:rsid w:val="004F583A"/>
    <w:rsid w:val="004F583D"/>
    <w:rsid w:val="004F5845"/>
    <w:rsid w:val="004F5848"/>
    <w:rsid w:val="004F5895"/>
    <w:rsid w:val="004F58D5"/>
    <w:rsid w:val="004F58FD"/>
    <w:rsid w:val="004F591B"/>
    <w:rsid w:val="004F5A38"/>
    <w:rsid w:val="004F5AC9"/>
    <w:rsid w:val="004F5B60"/>
    <w:rsid w:val="004F5B86"/>
    <w:rsid w:val="004F5C51"/>
    <w:rsid w:val="004F5C76"/>
    <w:rsid w:val="004F5CEE"/>
    <w:rsid w:val="004F5D36"/>
    <w:rsid w:val="004F5E79"/>
    <w:rsid w:val="004F5F08"/>
    <w:rsid w:val="004F5FA5"/>
    <w:rsid w:val="004F5FE2"/>
    <w:rsid w:val="004F6043"/>
    <w:rsid w:val="004F616B"/>
    <w:rsid w:val="004F62E5"/>
    <w:rsid w:val="004F62FB"/>
    <w:rsid w:val="004F6312"/>
    <w:rsid w:val="004F632A"/>
    <w:rsid w:val="004F642E"/>
    <w:rsid w:val="004F645F"/>
    <w:rsid w:val="004F6462"/>
    <w:rsid w:val="004F647A"/>
    <w:rsid w:val="004F64AE"/>
    <w:rsid w:val="004F64DA"/>
    <w:rsid w:val="004F6575"/>
    <w:rsid w:val="004F65C8"/>
    <w:rsid w:val="004F666D"/>
    <w:rsid w:val="004F66FA"/>
    <w:rsid w:val="004F6703"/>
    <w:rsid w:val="004F675C"/>
    <w:rsid w:val="004F6773"/>
    <w:rsid w:val="004F67AD"/>
    <w:rsid w:val="004F68D8"/>
    <w:rsid w:val="004F69D8"/>
    <w:rsid w:val="004F69F5"/>
    <w:rsid w:val="004F6A6C"/>
    <w:rsid w:val="004F6B6B"/>
    <w:rsid w:val="004F6BD3"/>
    <w:rsid w:val="004F6BF2"/>
    <w:rsid w:val="004F6C82"/>
    <w:rsid w:val="004F6ECF"/>
    <w:rsid w:val="004F6F3E"/>
    <w:rsid w:val="004F6F56"/>
    <w:rsid w:val="004F6FBF"/>
    <w:rsid w:val="004F702A"/>
    <w:rsid w:val="004F7083"/>
    <w:rsid w:val="004F70F0"/>
    <w:rsid w:val="004F70FF"/>
    <w:rsid w:val="004F7118"/>
    <w:rsid w:val="004F711C"/>
    <w:rsid w:val="004F722D"/>
    <w:rsid w:val="004F7246"/>
    <w:rsid w:val="004F7313"/>
    <w:rsid w:val="004F73F1"/>
    <w:rsid w:val="004F7484"/>
    <w:rsid w:val="004F74A4"/>
    <w:rsid w:val="004F7508"/>
    <w:rsid w:val="004F75FA"/>
    <w:rsid w:val="004F75FC"/>
    <w:rsid w:val="004F76B4"/>
    <w:rsid w:val="004F7705"/>
    <w:rsid w:val="004F7719"/>
    <w:rsid w:val="004F7755"/>
    <w:rsid w:val="004F776C"/>
    <w:rsid w:val="004F77EA"/>
    <w:rsid w:val="004F780A"/>
    <w:rsid w:val="004F7857"/>
    <w:rsid w:val="004F789D"/>
    <w:rsid w:val="004F789F"/>
    <w:rsid w:val="004F78B2"/>
    <w:rsid w:val="004F78BE"/>
    <w:rsid w:val="004F7917"/>
    <w:rsid w:val="004F793D"/>
    <w:rsid w:val="004F793F"/>
    <w:rsid w:val="004F794E"/>
    <w:rsid w:val="004F7A53"/>
    <w:rsid w:val="004F7A91"/>
    <w:rsid w:val="004F7AA6"/>
    <w:rsid w:val="004F7AB8"/>
    <w:rsid w:val="004F7BA7"/>
    <w:rsid w:val="004F7BCE"/>
    <w:rsid w:val="004F7C12"/>
    <w:rsid w:val="004F7C4D"/>
    <w:rsid w:val="004F7C61"/>
    <w:rsid w:val="004F7DDB"/>
    <w:rsid w:val="004F7E2A"/>
    <w:rsid w:val="004F7EB5"/>
    <w:rsid w:val="004F7F5C"/>
    <w:rsid w:val="004F7FB8"/>
    <w:rsid w:val="004F7FD5"/>
    <w:rsid w:val="004F7FF3"/>
    <w:rsid w:val="00500077"/>
    <w:rsid w:val="0050007E"/>
    <w:rsid w:val="005000F2"/>
    <w:rsid w:val="00500136"/>
    <w:rsid w:val="00500150"/>
    <w:rsid w:val="005001BC"/>
    <w:rsid w:val="00500226"/>
    <w:rsid w:val="0050026F"/>
    <w:rsid w:val="005002BF"/>
    <w:rsid w:val="005002F6"/>
    <w:rsid w:val="00500378"/>
    <w:rsid w:val="005003D3"/>
    <w:rsid w:val="00500401"/>
    <w:rsid w:val="0050043D"/>
    <w:rsid w:val="0050046D"/>
    <w:rsid w:val="00500495"/>
    <w:rsid w:val="005004AD"/>
    <w:rsid w:val="005004B2"/>
    <w:rsid w:val="00500563"/>
    <w:rsid w:val="005005B9"/>
    <w:rsid w:val="005006D6"/>
    <w:rsid w:val="00500839"/>
    <w:rsid w:val="0050087D"/>
    <w:rsid w:val="005008D5"/>
    <w:rsid w:val="005008F4"/>
    <w:rsid w:val="00500AB6"/>
    <w:rsid w:val="00500AF4"/>
    <w:rsid w:val="00500B44"/>
    <w:rsid w:val="00500BBD"/>
    <w:rsid w:val="00500BFE"/>
    <w:rsid w:val="00500C1D"/>
    <w:rsid w:val="00500C3B"/>
    <w:rsid w:val="00500C44"/>
    <w:rsid w:val="00500CB9"/>
    <w:rsid w:val="00500D69"/>
    <w:rsid w:val="00500D6A"/>
    <w:rsid w:val="00500E04"/>
    <w:rsid w:val="00500E8E"/>
    <w:rsid w:val="00500EA4"/>
    <w:rsid w:val="00500F2E"/>
    <w:rsid w:val="00500F9A"/>
    <w:rsid w:val="00500F9F"/>
    <w:rsid w:val="00500FAB"/>
    <w:rsid w:val="00500FB5"/>
    <w:rsid w:val="0050104F"/>
    <w:rsid w:val="005010D2"/>
    <w:rsid w:val="005010F4"/>
    <w:rsid w:val="00501105"/>
    <w:rsid w:val="00501181"/>
    <w:rsid w:val="00501182"/>
    <w:rsid w:val="00501196"/>
    <w:rsid w:val="005011C5"/>
    <w:rsid w:val="00501245"/>
    <w:rsid w:val="00501254"/>
    <w:rsid w:val="005012BC"/>
    <w:rsid w:val="0050132D"/>
    <w:rsid w:val="00501338"/>
    <w:rsid w:val="0050133F"/>
    <w:rsid w:val="00501386"/>
    <w:rsid w:val="005013C5"/>
    <w:rsid w:val="005014D9"/>
    <w:rsid w:val="005014FE"/>
    <w:rsid w:val="00501500"/>
    <w:rsid w:val="0050154F"/>
    <w:rsid w:val="00501550"/>
    <w:rsid w:val="0050156D"/>
    <w:rsid w:val="0050170F"/>
    <w:rsid w:val="00501748"/>
    <w:rsid w:val="00501766"/>
    <w:rsid w:val="005017B2"/>
    <w:rsid w:val="00501809"/>
    <w:rsid w:val="00501860"/>
    <w:rsid w:val="00501941"/>
    <w:rsid w:val="0050197B"/>
    <w:rsid w:val="00501A8F"/>
    <w:rsid w:val="00501B2B"/>
    <w:rsid w:val="00501B44"/>
    <w:rsid w:val="00501B57"/>
    <w:rsid w:val="00501B76"/>
    <w:rsid w:val="00501BA1"/>
    <w:rsid w:val="00501BB4"/>
    <w:rsid w:val="00501BB7"/>
    <w:rsid w:val="00501BC7"/>
    <w:rsid w:val="00501BE0"/>
    <w:rsid w:val="00501D05"/>
    <w:rsid w:val="00501D74"/>
    <w:rsid w:val="00501E58"/>
    <w:rsid w:val="00501EA1"/>
    <w:rsid w:val="00501F26"/>
    <w:rsid w:val="00501F2C"/>
    <w:rsid w:val="00501FE5"/>
    <w:rsid w:val="00502052"/>
    <w:rsid w:val="00502080"/>
    <w:rsid w:val="00502087"/>
    <w:rsid w:val="005020A0"/>
    <w:rsid w:val="005020C9"/>
    <w:rsid w:val="005020D3"/>
    <w:rsid w:val="005020DE"/>
    <w:rsid w:val="00502105"/>
    <w:rsid w:val="00502212"/>
    <w:rsid w:val="00502227"/>
    <w:rsid w:val="0050224E"/>
    <w:rsid w:val="00502285"/>
    <w:rsid w:val="005022B1"/>
    <w:rsid w:val="005022FA"/>
    <w:rsid w:val="0050230E"/>
    <w:rsid w:val="0050233F"/>
    <w:rsid w:val="005023A6"/>
    <w:rsid w:val="005023E5"/>
    <w:rsid w:val="005023F3"/>
    <w:rsid w:val="00502454"/>
    <w:rsid w:val="00502544"/>
    <w:rsid w:val="0050257F"/>
    <w:rsid w:val="00502594"/>
    <w:rsid w:val="005025BD"/>
    <w:rsid w:val="005025C1"/>
    <w:rsid w:val="00502642"/>
    <w:rsid w:val="0050268C"/>
    <w:rsid w:val="00502774"/>
    <w:rsid w:val="005027B2"/>
    <w:rsid w:val="00502842"/>
    <w:rsid w:val="0050286C"/>
    <w:rsid w:val="00502889"/>
    <w:rsid w:val="00502908"/>
    <w:rsid w:val="00502913"/>
    <w:rsid w:val="0050293B"/>
    <w:rsid w:val="00502971"/>
    <w:rsid w:val="005029AB"/>
    <w:rsid w:val="005029C7"/>
    <w:rsid w:val="00502A08"/>
    <w:rsid w:val="00502B41"/>
    <w:rsid w:val="00502C4D"/>
    <w:rsid w:val="00502CDB"/>
    <w:rsid w:val="00502D8F"/>
    <w:rsid w:val="00502E0F"/>
    <w:rsid w:val="00502EC6"/>
    <w:rsid w:val="00502F21"/>
    <w:rsid w:val="00502F2A"/>
    <w:rsid w:val="00502FA1"/>
    <w:rsid w:val="00502FD2"/>
    <w:rsid w:val="0050304E"/>
    <w:rsid w:val="005030C8"/>
    <w:rsid w:val="0050317F"/>
    <w:rsid w:val="005031DB"/>
    <w:rsid w:val="0050323E"/>
    <w:rsid w:val="00503269"/>
    <w:rsid w:val="005032A3"/>
    <w:rsid w:val="0050338C"/>
    <w:rsid w:val="005034C4"/>
    <w:rsid w:val="005034D7"/>
    <w:rsid w:val="00503518"/>
    <w:rsid w:val="0050360F"/>
    <w:rsid w:val="00503618"/>
    <w:rsid w:val="00503689"/>
    <w:rsid w:val="005036E5"/>
    <w:rsid w:val="00503774"/>
    <w:rsid w:val="005037E2"/>
    <w:rsid w:val="005037EA"/>
    <w:rsid w:val="00503813"/>
    <w:rsid w:val="0050385E"/>
    <w:rsid w:val="005038D5"/>
    <w:rsid w:val="0050390E"/>
    <w:rsid w:val="00503920"/>
    <w:rsid w:val="00503964"/>
    <w:rsid w:val="005039B8"/>
    <w:rsid w:val="00503A64"/>
    <w:rsid w:val="00503A74"/>
    <w:rsid w:val="00503B32"/>
    <w:rsid w:val="00503BB5"/>
    <w:rsid w:val="00503C0C"/>
    <w:rsid w:val="00503C58"/>
    <w:rsid w:val="00503CA0"/>
    <w:rsid w:val="00503D2D"/>
    <w:rsid w:val="00503DDF"/>
    <w:rsid w:val="00503DF2"/>
    <w:rsid w:val="00503E5D"/>
    <w:rsid w:val="00503E77"/>
    <w:rsid w:val="00503E81"/>
    <w:rsid w:val="00503EFA"/>
    <w:rsid w:val="00504038"/>
    <w:rsid w:val="00504082"/>
    <w:rsid w:val="00504105"/>
    <w:rsid w:val="0050414B"/>
    <w:rsid w:val="00504284"/>
    <w:rsid w:val="005042B0"/>
    <w:rsid w:val="0050430A"/>
    <w:rsid w:val="0050431A"/>
    <w:rsid w:val="00504352"/>
    <w:rsid w:val="00504357"/>
    <w:rsid w:val="005043DB"/>
    <w:rsid w:val="005043E9"/>
    <w:rsid w:val="00504448"/>
    <w:rsid w:val="005044C7"/>
    <w:rsid w:val="00504570"/>
    <w:rsid w:val="005045E5"/>
    <w:rsid w:val="00504622"/>
    <w:rsid w:val="0050466A"/>
    <w:rsid w:val="00504671"/>
    <w:rsid w:val="005046D2"/>
    <w:rsid w:val="005047FC"/>
    <w:rsid w:val="0050483C"/>
    <w:rsid w:val="00504871"/>
    <w:rsid w:val="005048C7"/>
    <w:rsid w:val="0050494F"/>
    <w:rsid w:val="005049E4"/>
    <w:rsid w:val="00504A90"/>
    <w:rsid w:val="00504A94"/>
    <w:rsid w:val="00504AB9"/>
    <w:rsid w:val="00504B70"/>
    <w:rsid w:val="00504C07"/>
    <w:rsid w:val="00504D13"/>
    <w:rsid w:val="00504D50"/>
    <w:rsid w:val="00504D7F"/>
    <w:rsid w:val="00504D9E"/>
    <w:rsid w:val="00504DA8"/>
    <w:rsid w:val="00504DAF"/>
    <w:rsid w:val="00504DEE"/>
    <w:rsid w:val="00504E29"/>
    <w:rsid w:val="00504E3F"/>
    <w:rsid w:val="00504E5E"/>
    <w:rsid w:val="00504EA7"/>
    <w:rsid w:val="00504F4C"/>
    <w:rsid w:val="00504F7E"/>
    <w:rsid w:val="00504FD2"/>
    <w:rsid w:val="00504FD8"/>
    <w:rsid w:val="00505000"/>
    <w:rsid w:val="00505062"/>
    <w:rsid w:val="00505088"/>
    <w:rsid w:val="00505094"/>
    <w:rsid w:val="00505116"/>
    <w:rsid w:val="0050516C"/>
    <w:rsid w:val="00505185"/>
    <w:rsid w:val="005051C2"/>
    <w:rsid w:val="005051F5"/>
    <w:rsid w:val="0050527A"/>
    <w:rsid w:val="005052B3"/>
    <w:rsid w:val="005052D5"/>
    <w:rsid w:val="00505376"/>
    <w:rsid w:val="005053EC"/>
    <w:rsid w:val="0050541E"/>
    <w:rsid w:val="005054EA"/>
    <w:rsid w:val="0050551D"/>
    <w:rsid w:val="00505601"/>
    <w:rsid w:val="0050562D"/>
    <w:rsid w:val="0050566E"/>
    <w:rsid w:val="0050567A"/>
    <w:rsid w:val="00505693"/>
    <w:rsid w:val="005056CA"/>
    <w:rsid w:val="00505714"/>
    <w:rsid w:val="00505753"/>
    <w:rsid w:val="0050580B"/>
    <w:rsid w:val="0050581E"/>
    <w:rsid w:val="0050582F"/>
    <w:rsid w:val="00505848"/>
    <w:rsid w:val="005058BB"/>
    <w:rsid w:val="00505ACB"/>
    <w:rsid w:val="00505ADD"/>
    <w:rsid w:val="00505ADE"/>
    <w:rsid w:val="00505AEB"/>
    <w:rsid w:val="00505B26"/>
    <w:rsid w:val="00505BAC"/>
    <w:rsid w:val="00505BC7"/>
    <w:rsid w:val="00505BEF"/>
    <w:rsid w:val="00505C1C"/>
    <w:rsid w:val="00505C1E"/>
    <w:rsid w:val="00505C3C"/>
    <w:rsid w:val="00505C5C"/>
    <w:rsid w:val="00505D21"/>
    <w:rsid w:val="00505D2A"/>
    <w:rsid w:val="00505D72"/>
    <w:rsid w:val="00505E07"/>
    <w:rsid w:val="00505E0C"/>
    <w:rsid w:val="00505EBA"/>
    <w:rsid w:val="00505ECD"/>
    <w:rsid w:val="00505F59"/>
    <w:rsid w:val="00505FFD"/>
    <w:rsid w:val="005060D6"/>
    <w:rsid w:val="005061B5"/>
    <w:rsid w:val="0050626E"/>
    <w:rsid w:val="0050627C"/>
    <w:rsid w:val="005062AF"/>
    <w:rsid w:val="005062D5"/>
    <w:rsid w:val="00506344"/>
    <w:rsid w:val="005063AE"/>
    <w:rsid w:val="005063B2"/>
    <w:rsid w:val="00506560"/>
    <w:rsid w:val="005065A6"/>
    <w:rsid w:val="005065B0"/>
    <w:rsid w:val="005065C4"/>
    <w:rsid w:val="005065D1"/>
    <w:rsid w:val="0050661F"/>
    <w:rsid w:val="00506659"/>
    <w:rsid w:val="00506673"/>
    <w:rsid w:val="0050675E"/>
    <w:rsid w:val="00506791"/>
    <w:rsid w:val="005067F5"/>
    <w:rsid w:val="005068A7"/>
    <w:rsid w:val="005068E7"/>
    <w:rsid w:val="00506929"/>
    <w:rsid w:val="0050692C"/>
    <w:rsid w:val="00506954"/>
    <w:rsid w:val="0050698E"/>
    <w:rsid w:val="005069BB"/>
    <w:rsid w:val="005069BF"/>
    <w:rsid w:val="005069C3"/>
    <w:rsid w:val="005069E4"/>
    <w:rsid w:val="00506A02"/>
    <w:rsid w:val="00506A1E"/>
    <w:rsid w:val="00506A21"/>
    <w:rsid w:val="00506A3F"/>
    <w:rsid w:val="00506B21"/>
    <w:rsid w:val="00506B96"/>
    <w:rsid w:val="00506BBA"/>
    <w:rsid w:val="00506BC2"/>
    <w:rsid w:val="00506CCB"/>
    <w:rsid w:val="00506D50"/>
    <w:rsid w:val="00506DBA"/>
    <w:rsid w:val="00506DE0"/>
    <w:rsid w:val="00506E58"/>
    <w:rsid w:val="00506EA8"/>
    <w:rsid w:val="00506EED"/>
    <w:rsid w:val="00506F36"/>
    <w:rsid w:val="00507016"/>
    <w:rsid w:val="00507063"/>
    <w:rsid w:val="005070FD"/>
    <w:rsid w:val="00507108"/>
    <w:rsid w:val="0050714F"/>
    <w:rsid w:val="00507153"/>
    <w:rsid w:val="0050715D"/>
    <w:rsid w:val="005071C7"/>
    <w:rsid w:val="0050720B"/>
    <w:rsid w:val="005072C1"/>
    <w:rsid w:val="005072F3"/>
    <w:rsid w:val="0050743C"/>
    <w:rsid w:val="005074D2"/>
    <w:rsid w:val="00507540"/>
    <w:rsid w:val="005075F6"/>
    <w:rsid w:val="00507641"/>
    <w:rsid w:val="00507684"/>
    <w:rsid w:val="005076AF"/>
    <w:rsid w:val="005076BA"/>
    <w:rsid w:val="005076D9"/>
    <w:rsid w:val="005076F8"/>
    <w:rsid w:val="0050772F"/>
    <w:rsid w:val="00507737"/>
    <w:rsid w:val="00507740"/>
    <w:rsid w:val="00507856"/>
    <w:rsid w:val="0050788C"/>
    <w:rsid w:val="005078CE"/>
    <w:rsid w:val="00507905"/>
    <w:rsid w:val="00507994"/>
    <w:rsid w:val="0050799F"/>
    <w:rsid w:val="00507A23"/>
    <w:rsid w:val="00507A8F"/>
    <w:rsid w:val="00507B1F"/>
    <w:rsid w:val="00507C24"/>
    <w:rsid w:val="00507C28"/>
    <w:rsid w:val="00507C7D"/>
    <w:rsid w:val="00507E59"/>
    <w:rsid w:val="00507EC2"/>
    <w:rsid w:val="00507EEE"/>
    <w:rsid w:val="00507F07"/>
    <w:rsid w:val="00507F6D"/>
    <w:rsid w:val="0051009C"/>
    <w:rsid w:val="005100B0"/>
    <w:rsid w:val="00510108"/>
    <w:rsid w:val="0051015A"/>
    <w:rsid w:val="005101C0"/>
    <w:rsid w:val="00510200"/>
    <w:rsid w:val="005102E4"/>
    <w:rsid w:val="00510358"/>
    <w:rsid w:val="00510387"/>
    <w:rsid w:val="00510399"/>
    <w:rsid w:val="00510481"/>
    <w:rsid w:val="005104B0"/>
    <w:rsid w:val="005104EE"/>
    <w:rsid w:val="0051051E"/>
    <w:rsid w:val="00510524"/>
    <w:rsid w:val="0051058F"/>
    <w:rsid w:val="00510599"/>
    <w:rsid w:val="005105D3"/>
    <w:rsid w:val="00510613"/>
    <w:rsid w:val="0051061D"/>
    <w:rsid w:val="00510629"/>
    <w:rsid w:val="00510760"/>
    <w:rsid w:val="00510776"/>
    <w:rsid w:val="005107CE"/>
    <w:rsid w:val="005107ED"/>
    <w:rsid w:val="00510863"/>
    <w:rsid w:val="00510878"/>
    <w:rsid w:val="00510911"/>
    <w:rsid w:val="00510953"/>
    <w:rsid w:val="00510985"/>
    <w:rsid w:val="005109AA"/>
    <w:rsid w:val="00510AA4"/>
    <w:rsid w:val="00510B71"/>
    <w:rsid w:val="00510B97"/>
    <w:rsid w:val="00510C17"/>
    <w:rsid w:val="00510CC5"/>
    <w:rsid w:val="00510D19"/>
    <w:rsid w:val="00510D3E"/>
    <w:rsid w:val="00510D7D"/>
    <w:rsid w:val="00510E46"/>
    <w:rsid w:val="00510E8A"/>
    <w:rsid w:val="00510EF8"/>
    <w:rsid w:val="0051100D"/>
    <w:rsid w:val="00511048"/>
    <w:rsid w:val="00511122"/>
    <w:rsid w:val="00511124"/>
    <w:rsid w:val="00511136"/>
    <w:rsid w:val="00511157"/>
    <w:rsid w:val="0051119C"/>
    <w:rsid w:val="005111B4"/>
    <w:rsid w:val="005111CB"/>
    <w:rsid w:val="005111CE"/>
    <w:rsid w:val="005111D1"/>
    <w:rsid w:val="00511244"/>
    <w:rsid w:val="00511326"/>
    <w:rsid w:val="005113B7"/>
    <w:rsid w:val="00511406"/>
    <w:rsid w:val="0051143E"/>
    <w:rsid w:val="005114AD"/>
    <w:rsid w:val="00511508"/>
    <w:rsid w:val="005115CF"/>
    <w:rsid w:val="005115D7"/>
    <w:rsid w:val="005115E4"/>
    <w:rsid w:val="0051165E"/>
    <w:rsid w:val="005116ED"/>
    <w:rsid w:val="00511776"/>
    <w:rsid w:val="005117B8"/>
    <w:rsid w:val="00511997"/>
    <w:rsid w:val="005119C2"/>
    <w:rsid w:val="005119D9"/>
    <w:rsid w:val="005119FA"/>
    <w:rsid w:val="005119FE"/>
    <w:rsid w:val="00511A8D"/>
    <w:rsid w:val="00511B92"/>
    <w:rsid w:val="00511BBB"/>
    <w:rsid w:val="00511C06"/>
    <w:rsid w:val="00511D36"/>
    <w:rsid w:val="00511D92"/>
    <w:rsid w:val="00511DA9"/>
    <w:rsid w:val="00511DBE"/>
    <w:rsid w:val="00511DD3"/>
    <w:rsid w:val="00511E55"/>
    <w:rsid w:val="00511F18"/>
    <w:rsid w:val="00511F50"/>
    <w:rsid w:val="00511F6E"/>
    <w:rsid w:val="00511FAB"/>
    <w:rsid w:val="00511FF2"/>
    <w:rsid w:val="00512060"/>
    <w:rsid w:val="005120F5"/>
    <w:rsid w:val="0051214A"/>
    <w:rsid w:val="00512199"/>
    <w:rsid w:val="005121BA"/>
    <w:rsid w:val="005121E0"/>
    <w:rsid w:val="0051220E"/>
    <w:rsid w:val="00512213"/>
    <w:rsid w:val="0051228B"/>
    <w:rsid w:val="005123B0"/>
    <w:rsid w:val="0051240F"/>
    <w:rsid w:val="005124BC"/>
    <w:rsid w:val="005124C1"/>
    <w:rsid w:val="005125BD"/>
    <w:rsid w:val="005125BF"/>
    <w:rsid w:val="005126FD"/>
    <w:rsid w:val="005128F6"/>
    <w:rsid w:val="00512905"/>
    <w:rsid w:val="00512912"/>
    <w:rsid w:val="00512ACD"/>
    <w:rsid w:val="00512B4A"/>
    <w:rsid w:val="00512C3A"/>
    <w:rsid w:val="00512C71"/>
    <w:rsid w:val="00512CC4"/>
    <w:rsid w:val="00512CD5"/>
    <w:rsid w:val="00512D27"/>
    <w:rsid w:val="00512D58"/>
    <w:rsid w:val="00512D66"/>
    <w:rsid w:val="00512D96"/>
    <w:rsid w:val="00512DF4"/>
    <w:rsid w:val="00512E72"/>
    <w:rsid w:val="00512E9C"/>
    <w:rsid w:val="00512EE9"/>
    <w:rsid w:val="00512F01"/>
    <w:rsid w:val="00512F3B"/>
    <w:rsid w:val="00512F69"/>
    <w:rsid w:val="00512FCD"/>
    <w:rsid w:val="00513019"/>
    <w:rsid w:val="0051306A"/>
    <w:rsid w:val="005130C3"/>
    <w:rsid w:val="00513110"/>
    <w:rsid w:val="00513117"/>
    <w:rsid w:val="00513130"/>
    <w:rsid w:val="00513193"/>
    <w:rsid w:val="005131F9"/>
    <w:rsid w:val="00513212"/>
    <w:rsid w:val="005132A9"/>
    <w:rsid w:val="00513328"/>
    <w:rsid w:val="00513385"/>
    <w:rsid w:val="00513398"/>
    <w:rsid w:val="005133B5"/>
    <w:rsid w:val="005133C5"/>
    <w:rsid w:val="00513459"/>
    <w:rsid w:val="005135E1"/>
    <w:rsid w:val="00513650"/>
    <w:rsid w:val="00513657"/>
    <w:rsid w:val="00513683"/>
    <w:rsid w:val="00513705"/>
    <w:rsid w:val="005137B6"/>
    <w:rsid w:val="005137CB"/>
    <w:rsid w:val="005138B6"/>
    <w:rsid w:val="005138D7"/>
    <w:rsid w:val="005138E6"/>
    <w:rsid w:val="00513910"/>
    <w:rsid w:val="00513925"/>
    <w:rsid w:val="00513971"/>
    <w:rsid w:val="00513997"/>
    <w:rsid w:val="00513A30"/>
    <w:rsid w:val="00513B11"/>
    <w:rsid w:val="00513B2D"/>
    <w:rsid w:val="00513B60"/>
    <w:rsid w:val="00513B72"/>
    <w:rsid w:val="00513C04"/>
    <w:rsid w:val="00513C2C"/>
    <w:rsid w:val="00513C48"/>
    <w:rsid w:val="00513CF7"/>
    <w:rsid w:val="00513D18"/>
    <w:rsid w:val="00513D62"/>
    <w:rsid w:val="00513D7B"/>
    <w:rsid w:val="00513E99"/>
    <w:rsid w:val="00513EA4"/>
    <w:rsid w:val="00514033"/>
    <w:rsid w:val="00514039"/>
    <w:rsid w:val="0051408B"/>
    <w:rsid w:val="005140A2"/>
    <w:rsid w:val="005141B8"/>
    <w:rsid w:val="005141DE"/>
    <w:rsid w:val="0051431B"/>
    <w:rsid w:val="00514349"/>
    <w:rsid w:val="0051435C"/>
    <w:rsid w:val="005143A4"/>
    <w:rsid w:val="00514423"/>
    <w:rsid w:val="00514469"/>
    <w:rsid w:val="005144A2"/>
    <w:rsid w:val="005144B7"/>
    <w:rsid w:val="005145FE"/>
    <w:rsid w:val="00514608"/>
    <w:rsid w:val="00514640"/>
    <w:rsid w:val="005147A8"/>
    <w:rsid w:val="005147DB"/>
    <w:rsid w:val="005147EE"/>
    <w:rsid w:val="0051485C"/>
    <w:rsid w:val="00514915"/>
    <w:rsid w:val="0051492E"/>
    <w:rsid w:val="00514953"/>
    <w:rsid w:val="00514982"/>
    <w:rsid w:val="005149B4"/>
    <w:rsid w:val="00514A00"/>
    <w:rsid w:val="00514A42"/>
    <w:rsid w:val="00514A46"/>
    <w:rsid w:val="00514A82"/>
    <w:rsid w:val="00514BA4"/>
    <w:rsid w:val="00514C0F"/>
    <w:rsid w:val="00514C3A"/>
    <w:rsid w:val="00514C59"/>
    <w:rsid w:val="00514D8A"/>
    <w:rsid w:val="00514DBE"/>
    <w:rsid w:val="00514DC2"/>
    <w:rsid w:val="00514E44"/>
    <w:rsid w:val="00514E64"/>
    <w:rsid w:val="00514E9C"/>
    <w:rsid w:val="00514F1F"/>
    <w:rsid w:val="00515021"/>
    <w:rsid w:val="0051511D"/>
    <w:rsid w:val="00515163"/>
    <w:rsid w:val="00515181"/>
    <w:rsid w:val="00515188"/>
    <w:rsid w:val="00515322"/>
    <w:rsid w:val="00515327"/>
    <w:rsid w:val="00515343"/>
    <w:rsid w:val="00515396"/>
    <w:rsid w:val="0051539C"/>
    <w:rsid w:val="005153A2"/>
    <w:rsid w:val="005153AD"/>
    <w:rsid w:val="005153BF"/>
    <w:rsid w:val="005153FD"/>
    <w:rsid w:val="00515416"/>
    <w:rsid w:val="005154B4"/>
    <w:rsid w:val="00515544"/>
    <w:rsid w:val="0051556B"/>
    <w:rsid w:val="00515586"/>
    <w:rsid w:val="005155C9"/>
    <w:rsid w:val="005155DC"/>
    <w:rsid w:val="00515641"/>
    <w:rsid w:val="005156D9"/>
    <w:rsid w:val="005157BD"/>
    <w:rsid w:val="005157E9"/>
    <w:rsid w:val="00515930"/>
    <w:rsid w:val="005159D9"/>
    <w:rsid w:val="005159FF"/>
    <w:rsid w:val="00515A0A"/>
    <w:rsid w:val="00515A9B"/>
    <w:rsid w:val="00515AA1"/>
    <w:rsid w:val="00515AC1"/>
    <w:rsid w:val="00515B97"/>
    <w:rsid w:val="00515BE1"/>
    <w:rsid w:val="00515BF5"/>
    <w:rsid w:val="00515BFD"/>
    <w:rsid w:val="00515C05"/>
    <w:rsid w:val="00515C0A"/>
    <w:rsid w:val="00515C77"/>
    <w:rsid w:val="00515D96"/>
    <w:rsid w:val="00515DA8"/>
    <w:rsid w:val="00515DC9"/>
    <w:rsid w:val="00515DE2"/>
    <w:rsid w:val="00515E48"/>
    <w:rsid w:val="00515ECF"/>
    <w:rsid w:val="00515F4D"/>
    <w:rsid w:val="00515F53"/>
    <w:rsid w:val="00515F79"/>
    <w:rsid w:val="00515F92"/>
    <w:rsid w:val="00515FAE"/>
    <w:rsid w:val="00516018"/>
    <w:rsid w:val="0051608F"/>
    <w:rsid w:val="00516092"/>
    <w:rsid w:val="005160BA"/>
    <w:rsid w:val="005160DB"/>
    <w:rsid w:val="005161FE"/>
    <w:rsid w:val="005162EA"/>
    <w:rsid w:val="005162F0"/>
    <w:rsid w:val="005163E4"/>
    <w:rsid w:val="00516430"/>
    <w:rsid w:val="005164A1"/>
    <w:rsid w:val="005164DD"/>
    <w:rsid w:val="005164FC"/>
    <w:rsid w:val="005165A0"/>
    <w:rsid w:val="005165AD"/>
    <w:rsid w:val="005165DA"/>
    <w:rsid w:val="00516712"/>
    <w:rsid w:val="00516730"/>
    <w:rsid w:val="0051677A"/>
    <w:rsid w:val="00516789"/>
    <w:rsid w:val="005167D5"/>
    <w:rsid w:val="00516802"/>
    <w:rsid w:val="0051688E"/>
    <w:rsid w:val="00516955"/>
    <w:rsid w:val="00516982"/>
    <w:rsid w:val="005169C9"/>
    <w:rsid w:val="005169E3"/>
    <w:rsid w:val="005169EC"/>
    <w:rsid w:val="00516A27"/>
    <w:rsid w:val="00516A49"/>
    <w:rsid w:val="00516B4C"/>
    <w:rsid w:val="00516B6F"/>
    <w:rsid w:val="00516C4B"/>
    <w:rsid w:val="00516C94"/>
    <w:rsid w:val="00516CFD"/>
    <w:rsid w:val="00516D16"/>
    <w:rsid w:val="00516E4B"/>
    <w:rsid w:val="00516E90"/>
    <w:rsid w:val="00516F5D"/>
    <w:rsid w:val="00516F6C"/>
    <w:rsid w:val="00516FAF"/>
    <w:rsid w:val="0051701D"/>
    <w:rsid w:val="00517040"/>
    <w:rsid w:val="00517086"/>
    <w:rsid w:val="00517174"/>
    <w:rsid w:val="00517197"/>
    <w:rsid w:val="005171FF"/>
    <w:rsid w:val="00517264"/>
    <w:rsid w:val="00517271"/>
    <w:rsid w:val="005172B4"/>
    <w:rsid w:val="00517359"/>
    <w:rsid w:val="0051737C"/>
    <w:rsid w:val="0051743A"/>
    <w:rsid w:val="0051752A"/>
    <w:rsid w:val="00517614"/>
    <w:rsid w:val="005176BF"/>
    <w:rsid w:val="005177F5"/>
    <w:rsid w:val="00517886"/>
    <w:rsid w:val="005178C3"/>
    <w:rsid w:val="005179F2"/>
    <w:rsid w:val="00517A8A"/>
    <w:rsid w:val="00517AA2"/>
    <w:rsid w:val="00517B14"/>
    <w:rsid w:val="00517B67"/>
    <w:rsid w:val="00517BBB"/>
    <w:rsid w:val="00517BD9"/>
    <w:rsid w:val="00517D73"/>
    <w:rsid w:val="00517DF6"/>
    <w:rsid w:val="00517E46"/>
    <w:rsid w:val="00517E65"/>
    <w:rsid w:val="00517E6C"/>
    <w:rsid w:val="00517EB6"/>
    <w:rsid w:val="00517F38"/>
    <w:rsid w:val="00517F61"/>
    <w:rsid w:val="00517F6F"/>
    <w:rsid w:val="00520021"/>
    <w:rsid w:val="00520091"/>
    <w:rsid w:val="00520120"/>
    <w:rsid w:val="00520154"/>
    <w:rsid w:val="005201C9"/>
    <w:rsid w:val="0052023C"/>
    <w:rsid w:val="00520255"/>
    <w:rsid w:val="00520358"/>
    <w:rsid w:val="00520367"/>
    <w:rsid w:val="00520387"/>
    <w:rsid w:val="00520392"/>
    <w:rsid w:val="005203B3"/>
    <w:rsid w:val="00520431"/>
    <w:rsid w:val="00520436"/>
    <w:rsid w:val="00520460"/>
    <w:rsid w:val="0052049E"/>
    <w:rsid w:val="005204B4"/>
    <w:rsid w:val="0052056A"/>
    <w:rsid w:val="00520575"/>
    <w:rsid w:val="0052059C"/>
    <w:rsid w:val="005205E5"/>
    <w:rsid w:val="005205ED"/>
    <w:rsid w:val="00520728"/>
    <w:rsid w:val="00520736"/>
    <w:rsid w:val="00520758"/>
    <w:rsid w:val="00520764"/>
    <w:rsid w:val="00520793"/>
    <w:rsid w:val="005207A6"/>
    <w:rsid w:val="005207B3"/>
    <w:rsid w:val="00520928"/>
    <w:rsid w:val="0052097B"/>
    <w:rsid w:val="00520A06"/>
    <w:rsid w:val="00520A2C"/>
    <w:rsid w:val="00520A85"/>
    <w:rsid w:val="00520AB1"/>
    <w:rsid w:val="00520AD8"/>
    <w:rsid w:val="00520B68"/>
    <w:rsid w:val="00520BD8"/>
    <w:rsid w:val="00520BE6"/>
    <w:rsid w:val="00520C9F"/>
    <w:rsid w:val="00520CA6"/>
    <w:rsid w:val="00520DB4"/>
    <w:rsid w:val="00520F18"/>
    <w:rsid w:val="00520F1F"/>
    <w:rsid w:val="00520FAA"/>
    <w:rsid w:val="00521016"/>
    <w:rsid w:val="00521139"/>
    <w:rsid w:val="00521191"/>
    <w:rsid w:val="00521360"/>
    <w:rsid w:val="00521371"/>
    <w:rsid w:val="00521391"/>
    <w:rsid w:val="00521409"/>
    <w:rsid w:val="00521424"/>
    <w:rsid w:val="005214F7"/>
    <w:rsid w:val="00521546"/>
    <w:rsid w:val="00521608"/>
    <w:rsid w:val="005216B5"/>
    <w:rsid w:val="005216C3"/>
    <w:rsid w:val="005216CD"/>
    <w:rsid w:val="00521745"/>
    <w:rsid w:val="0052175C"/>
    <w:rsid w:val="00521777"/>
    <w:rsid w:val="0052180A"/>
    <w:rsid w:val="0052188E"/>
    <w:rsid w:val="005218E0"/>
    <w:rsid w:val="00521908"/>
    <w:rsid w:val="00521A4E"/>
    <w:rsid w:val="00521A70"/>
    <w:rsid w:val="00521AEB"/>
    <w:rsid w:val="00521B4C"/>
    <w:rsid w:val="00521C8E"/>
    <w:rsid w:val="00521CD5"/>
    <w:rsid w:val="00521D4B"/>
    <w:rsid w:val="00521E16"/>
    <w:rsid w:val="00521E22"/>
    <w:rsid w:val="00521E51"/>
    <w:rsid w:val="00521E5C"/>
    <w:rsid w:val="00521E73"/>
    <w:rsid w:val="00521E81"/>
    <w:rsid w:val="00521E85"/>
    <w:rsid w:val="00521F34"/>
    <w:rsid w:val="00521F59"/>
    <w:rsid w:val="00521F71"/>
    <w:rsid w:val="00521FD2"/>
    <w:rsid w:val="00522036"/>
    <w:rsid w:val="0052205B"/>
    <w:rsid w:val="0052205C"/>
    <w:rsid w:val="00522081"/>
    <w:rsid w:val="005220A7"/>
    <w:rsid w:val="005220F5"/>
    <w:rsid w:val="00522146"/>
    <w:rsid w:val="005221A3"/>
    <w:rsid w:val="005221FC"/>
    <w:rsid w:val="005222C7"/>
    <w:rsid w:val="005222F7"/>
    <w:rsid w:val="00522306"/>
    <w:rsid w:val="00522330"/>
    <w:rsid w:val="00522343"/>
    <w:rsid w:val="00522395"/>
    <w:rsid w:val="00522485"/>
    <w:rsid w:val="0052249A"/>
    <w:rsid w:val="005224AE"/>
    <w:rsid w:val="005224E3"/>
    <w:rsid w:val="005224EE"/>
    <w:rsid w:val="00522543"/>
    <w:rsid w:val="0052257F"/>
    <w:rsid w:val="00522664"/>
    <w:rsid w:val="005226D7"/>
    <w:rsid w:val="005226DD"/>
    <w:rsid w:val="00522752"/>
    <w:rsid w:val="0052279C"/>
    <w:rsid w:val="005227B7"/>
    <w:rsid w:val="005227BE"/>
    <w:rsid w:val="005227FD"/>
    <w:rsid w:val="00522815"/>
    <w:rsid w:val="0052288F"/>
    <w:rsid w:val="005228B7"/>
    <w:rsid w:val="005228C3"/>
    <w:rsid w:val="005228E4"/>
    <w:rsid w:val="005228F8"/>
    <w:rsid w:val="00522981"/>
    <w:rsid w:val="00522AEE"/>
    <w:rsid w:val="00522B4D"/>
    <w:rsid w:val="00522B7E"/>
    <w:rsid w:val="00522B8B"/>
    <w:rsid w:val="00522BB5"/>
    <w:rsid w:val="00522BE3"/>
    <w:rsid w:val="00522C4F"/>
    <w:rsid w:val="00522C65"/>
    <w:rsid w:val="00522CA8"/>
    <w:rsid w:val="00522D33"/>
    <w:rsid w:val="00522DA2"/>
    <w:rsid w:val="00522EBA"/>
    <w:rsid w:val="00522ED3"/>
    <w:rsid w:val="00522F19"/>
    <w:rsid w:val="00522F46"/>
    <w:rsid w:val="00522F67"/>
    <w:rsid w:val="00522FA3"/>
    <w:rsid w:val="00523042"/>
    <w:rsid w:val="00523070"/>
    <w:rsid w:val="00523082"/>
    <w:rsid w:val="0052308A"/>
    <w:rsid w:val="005230F8"/>
    <w:rsid w:val="005230FF"/>
    <w:rsid w:val="00523110"/>
    <w:rsid w:val="005231B2"/>
    <w:rsid w:val="005231EB"/>
    <w:rsid w:val="0052320D"/>
    <w:rsid w:val="005232AD"/>
    <w:rsid w:val="005232F5"/>
    <w:rsid w:val="00523350"/>
    <w:rsid w:val="00523416"/>
    <w:rsid w:val="005234B6"/>
    <w:rsid w:val="0052351A"/>
    <w:rsid w:val="00523577"/>
    <w:rsid w:val="005235E1"/>
    <w:rsid w:val="00523604"/>
    <w:rsid w:val="00523622"/>
    <w:rsid w:val="00523663"/>
    <w:rsid w:val="0052367D"/>
    <w:rsid w:val="0052368D"/>
    <w:rsid w:val="005236F6"/>
    <w:rsid w:val="00523734"/>
    <w:rsid w:val="00523775"/>
    <w:rsid w:val="0052379F"/>
    <w:rsid w:val="005237AA"/>
    <w:rsid w:val="00523835"/>
    <w:rsid w:val="005238C8"/>
    <w:rsid w:val="005238DB"/>
    <w:rsid w:val="00523907"/>
    <w:rsid w:val="00523989"/>
    <w:rsid w:val="005239DD"/>
    <w:rsid w:val="00523A2F"/>
    <w:rsid w:val="00523A9A"/>
    <w:rsid w:val="00523B06"/>
    <w:rsid w:val="00523B5E"/>
    <w:rsid w:val="00523B66"/>
    <w:rsid w:val="00523B80"/>
    <w:rsid w:val="00523B97"/>
    <w:rsid w:val="00523BC5"/>
    <w:rsid w:val="00523C07"/>
    <w:rsid w:val="00523C2D"/>
    <w:rsid w:val="00523C65"/>
    <w:rsid w:val="00523C7E"/>
    <w:rsid w:val="00523D14"/>
    <w:rsid w:val="00523DB4"/>
    <w:rsid w:val="00523DF6"/>
    <w:rsid w:val="00523E0C"/>
    <w:rsid w:val="00523E50"/>
    <w:rsid w:val="00523F9B"/>
    <w:rsid w:val="00523FED"/>
    <w:rsid w:val="005240AE"/>
    <w:rsid w:val="005240EB"/>
    <w:rsid w:val="00524163"/>
    <w:rsid w:val="0052422B"/>
    <w:rsid w:val="0052430E"/>
    <w:rsid w:val="0052431C"/>
    <w:rsid w:val="00524333"/>
    <w:rsid w:val="00524362"/>
    <w:rsid w:val="0052438B"/>
    <w:rsid w:val="00524395"/>
    <w:rsid w:val="005243E9"/>
    <w:rsid w:val="00524409"/>
    <w:rsid w:val="00524529"/>
    <w:rsid w:val="00524647"/>
    <w:rsid w:val="00524697"/>
    <w:rsid w:val="00524794"/>
    <w:rsid w:val="00524826"/>
    <w:rsid w:val="00524837"/>
    <w:rsid w:val="00524841"/>
    <w:rsid w:val="0052487F"/>
    <w:rsid w:val="0052489A"/>
    <w:rsid w:val="005248B0"/>
    <w:rsid w:val="005248E6"/>
    <w:rsid w:val="0052495C"/>
    <w:rsid w:val="0052499D"/>
    <w:rsid w:val="00524A84"/>
    <w:rsid w:val="00524AC4"/>
    <w:rsid w:val="00524AFB"/>
    <w:rsid w:val="00524B4D"/>
    <w:rsid w:val="00524B53"/>
    <w:rsid w:val="00524C29"/>
    <w:rsid w:val="00524CA1"/>
    <w:rsid w:val="00524CA8"/>
    <w:rsid w:val="00524D84"/>
    <w:rsid w:val="00524DB4"/>
    <w:rsid w:val="00524DD3"/>
    <w:rsid w:val="00524ECE"/>
    <w:rsid w:val="00524EE7"/>
    <w:rsid w:val="00524F52"/>
    <w:rsid w:val="00525003"/>
    <w:rsid w:val="005250DF"/>
    <w:rsid w:val="0052511E"/>
    <w:rsid w:val="00525145"/>
    <w:rsid w:val="00525253"/>
    <w:rsid w:val="00525337"/>
    <w:rsid w:val="005253BA"/>
    <w:rsid w:val="00525481"/>
    <w:rsid w:val="005254EC"/>
    <w:rsid w:val="005254F5"/>
    <w:rsid w:val="0052555E"/>
    <w:rsid w:val="00525665"/>
    <w:rsid w:val="005256E7"/>
    <w:rsid w:val="0052579B"/>
    <w:rsid w:val="005257C4"/>
    <w:rsid w:val="005257D5"/>
    <w:rsid w:val="005257DD"/>
    <w:rsid w:val="00525865"/>
    <w:rsid w:val="005258C5"/>
    <w:rsid w:val="005258E9"/>
    <w:rsid w:val="005259A2"/>
    <w:rsid w:val="00525A27"/>
    <w:rsid w:val="00525A9D"/>
    <w:rsid w:val="00525ABD"/>
    <w:rsid w:val="00525B3A"/>
    <w:rsid w:val="00525B46"/>
    <w:rsid w:val="00525B4E"/>
    <w:rsid w:val="00525BCA"/>
    <w:rsid w:val="00525BCB"/>
    <w:rsid w:val="00525BE6"/>
    <w:rsid w:val="00525C8F"/>
    <w:rsid w:val="00525CA5"/>
    <w:rsid w:val="00525D09"/>
    <w:rsid w:val="00525D47"/>
    <w:rsid w:val="00525DF2"/>
    <w:rsid w:val="00525DF6"/>
    <w:rsid w:val="00525E16"/>
    <w:rsid w:val="00525E45"/>
    <w:rsid w:val="00525E7C"/>
    <w:rsid w:val="00525EB7"/>
    <w:rsid w:val="00525F27"/>
    <w:rsid w:val="00525F54"/>
    <w:rsid w:val="0052604B"/>
    <w:rsid w:val="005260E1"/>
    <w:rsid w:val="005260F8"/>
    <w:rsid w:val="00526125"/>
    <w:rsid w:val="0052612B"/>
    <w:rsid w:val="0052615C"/>
    <w:rsid w:val="005261D6"/>
    <w:rsid w:val="0052639B"/>
    <w:rsid w:val="005263AE"/>
    <w:rsid w:val="005263D1"/>
    <w:rsid w:val="00526413"/>
    <w:rsid w:val="00526519"/>
    <w:rsid w:val="00526552"/>
    <w:rsid w:val="00526567"/>
    <w:rsid w:val="0052657F"/>
    <w:rsid w:val="005265A5"/>
    <w:rsid w:val="005265B8"/>
    <w:rsid w:val="0052660A"/>
    <w:rsid w:val="00526612"/>
    <w:rsid w:val="0052661C"/>
    <w:rsid w:val="005266C1"/>
    <w:rsid w:val="005266ED"/>
    <w:rsid w:val="00526712"/>
    <w:rsid w:val="0052678B"/>
    <w:rsid w:val="005267CD"/>
    <w:rsid w:val="00526836"/>
    <w:rsid w:val="00526863"/>
    <w:rsid w:val="00526865"/>
    <w:rsid w:val="005268BD"/>
    <w:rsid w:val="00526920"/>
    <w:rsid w:val="005269BD"/>
    <w:rsid w:val="005269C9"/>
    <w:rsid w:val="00526A3F"/>
    <w:rsid w:val="00526A93"/>
    <w:rsid w:val="00526BCC"/>
    <w:rsid w:val="00526BED"/>
    <w:rsid w:val="00526C25"/>
    <w:rsid w:val="00526C99"/>
    <w:rsid w:val="00526D32"/>
    <w:rsid w:val="00526D3B"/>
    <w:rsid w:val="00526D5E"/>
    <w:rsid w:val="00526E5D"/>
    <w:rsid w:val="00526ED7"/>
    <w:rsid w:val="00526F14"/>
    <w:rsid w:val="00526F2E"/>
    <w:rsid w:val="0052707B"/>
    <w:rsid w:val="00527099"/>
    <w:rsid w:val="00527150"/>
    <w:rsid w:val="005271DA"/>
    <w:rsid w:val="0052730D"/>
    <w:rsid w:val="00527327"/>
    <w:rsid w:val="005274A1"/>
    <w:rsid w:val="005274AC"/>
    <w:rsid w:val="005274EA"/>
    <w:rsid w:val="0052759C"/>
    <w:rsid w:val="005275B4"/>
    <w:rsid w:val="0052764F"/>
    <w:rsid w:val="00527876"/>
    <w:rsid w:val="005278D5"/>
    <w:rsid w:val="00527939"/>
    <w:rsid w:val="0052795E"/>
    <w:rsid w:val="0052797C"/>
    <w:rsid w:val="005279F8"/>
    <w:rsid w:val="00527A30"/>
    <w:rsid w:val="00527B38"/>
    <w:rsid w:val="00527B39"/>
    <w:rsid w:val="00527B3A"/>
    <w:rsid w:val="00527BC9"/>
    <w:rsid w:val="00527BD2"/>
    <w:rsid w:val="00527C09"/>
    <w:rsid w:val="00527C14"/>
    <w:rsid w:val="00527C5D"/>
    <w:rsid w:val="00527C9C"/>
    <w:rsid w:val="00527CA2"/>
    <w:rsid w:val="00527CB2"/>
    <w:rsid w:val="00527CF5"/>
    <w:rsid w:val="00527E3B"/>
    <w:rsid w:val="00527E6C"/>
    <w:rsid w:val="00527E7F"/>
    <w:rsid w:val="00527EEB"/>
    <w:rsid w:val="00527F01"/>
    <w:rsid w:val="00527F40"/>
    <w:rsid w:val="00527F57"/>
    <w:rsid w:val="00527FCC"/>
    <w:rsid w:val="00527FD7"/>
    <w:rsid w:val="00527FEB"/>
    <w:rsid w:val="00530043"/>
    <w:rsid w:val="00530047"/>
    <w:rsid w:val="00530053"/>
    <w:rsid w:val="00530171"/>
    <w:rsid w:val="0053018B"/>
    <w:rsid w:val="00530190"/>
    <w:rsid w:val="0053026F"/>
    <w:rsid w:val="005304EE"/>
    <w:rsid w:val="005306D1"/>
    <w:rsid w:val="00530791"/>
    <w:rsid w:val="00530843"/>
    <w:rsid w:val="00530874"/>
    <w:rsid w:val="00530888"/>
    <w:rsid w:val="00530907"/>
    <w:rsid w:val="0053095A"/>
    <w:rsid w:val="0053096B"/>
    <w:rsid w:val="00530970"/>
    <w:rsid w:val="00530982"/>
    <w:rsid w:val="005309F4"/>
    <w:rsid w:val="00530A4D"/>
    <w:rsid w:val="00530A59"/>
    <w:rsid w:val="00530A90"/>
    <w:rsid w:val="00530B2B"/>
    <w:rsid w:val="00530B5E"/>
    <w:rsid w:val="00530B94"/>
    <w:rsid w:val="00530BA6"/>
    <w:rsid w:val="00530C68"/>
    <w:rsid w:val="00530C75"/>
    <w:rsid w:val="00530DFD"/>
    <w:rsid w:val="00530E08"/>
    <w:rsid w:val="00530EFF"/>
    <w:rsid w:val="00530F45"/>
    <w:rsid w:val="005310A3"/>
    <w:rsid w:val="005311AC"/>
    <w:rsid w:val="00531279"/>
    <w:rsid w:val="00531309"/>
    <w:rsid w:val="0053133E"/>
    <w:rsid w:val="00531359"/>
    <w:rsid w:val="00531370"/>
    <w:rsid w:val="005313EF"/>
    <w:rsid w:val="005314F0"/>
    <w:rsid w:val="00531541"/>
    <w:rsid w:val="00531571"/>
    <w:rsid w:val="00531597"/>
    <w:rsid w:val="00531720"/>
    <w:rsid w:val="005317D1"/>
    <w:rsid w:val="0053181E"/>
    <w:rsid w:val="00531835"/>
    <w:rsid w:val="00531A7C"/>
    <w:rsid w:val="00531A7F"/>
    <w:rsid w:val="00531ABA"/>
    <w:rsid w:val="00531AF8"/>
    <w:rsid w:val="00531B1A"/>
    <w:rsid w:val="00531B84"/>
    <w:rsid w:val="00531B89"/>
    <w:rsid w:val="00531BDD"/>
    <w:rsid w:val="00531BE8"/>
    <w:rsid w:val="00531C00"/>
    <w:rsid w:val="00531C47"/>
    <w:rsid w:val="00531CA0"/>
    <w:rsid w:val="00531CC1"/>
    <w:rsid w:val="00531CC6"/>
    <w:rsid w:val="00531D28"/>
    <w:rsid w:val="00531DAE"/>
    <w:rsid w:val="00531E4A"/>
    <w:rsid w:val="00531E53"/>
    <w:rsid w:val="00531E54"/>
    <w:rsid w:val="00531E66"/>
    <w:rsid w:val="00531E9A"/>
    <w:rsid w:val="00531ED1"/>
    <w:rsid w:val="00531EF3"/>
    <w:rsid w:val="00531EF7"/>
    <w:rsid w:val="00531F98"/>
    <w:rsid w:val="0053200C"/>
    <w:rsid w:val="005320E0"/>
    <w:rsid w:val="0053215F"/>
    <w:rsid w:val="0053216C"/>
    <w:rsid w:val="00532191"/>
    <w:rsid w:val="00532228"/>
    <w:rsid w:val="00532272"/>
    <w:rsid w:val="00532326"/>
    <w:rsid w:val="00532438"/>
    <w:rsid w:val="00532447"/>
    <w:rsid w:val="005324C7"/>
    <w:rsid w:val="0053261C"/>
    <w:rsid w:val="0053277D"/>
    <w:rsid w:val="005327FD"/>
    <w:rsid w:val="0053281F"/>
    <w:rsid w:val="00532834"/>
    <w:rsid w:val="005328D7"/>
    <w:rsid w:val="00532985"/>
    <w:rsid w:val="005329C6"/>
    <w:rsid w:val="005329EC"/>
    <w:rsid w:val="005329F2"/>
    <w:rsid w:val="00532A2C"/>
    <w:rsid w:val="00532A41"/>
    <w:rsid w:val="00532A62"/>
    <w:rsid w:val="00532A8E"/>
    <w:rsid w:val="00532ABB"/>
    <w:rsid w:val="00532B80"/>
    <w:rsid w:val="00532BD7"/>
    <w:rsid w:val="00532C98"/>
    <w:rsid w:val="00532C9E"/>
    <w:rsid w:val="00532CF2"/>
    <w:rsid w:val="00532D7E"/>
    <w:rsid w:val="00532DBB"/>
    <w:rsid w:val="00532DEE"/>
    <w:rsid w:val="00532E1E"/>
    <w:rsid w:val="00532E73"/>
    <w:rsid w:val="00532E8C"/>
    <w:rsid w:val="00533096"/>
    <w:rsid w:val="005330F0"/>
    <w:rsid w:val="005330FB"/>
    <w:rsid w:val="0053310F"/>
    <w:rsid w:val="005331D0"/>
    <w:rsid w:val="00533223"/>
    <w:rsid w:val="005332EB"/>
    <w:rsid w:val="00533303"/>
    <w:rsid w:val="00533392"/>
    <w:rsid w:val="005333DD"/>
    <w:rsid w:val="005334BF"/>
    <w:rsid w:val="005334D4"/>
    <w:rsid w:val="0053356F"/>
    <w:rsid w:val="00533631"/>
    <w:rsid w:val="005336C6"/>
    <w:rsid w:val="00533722"/>
    <w:rsid w:val="00533727"/>
    <w:rsid w:val="00533813"/>
    <w:rsid w:val="00533882"/>
    <w:rsid w:val="00533883"/>
    <w:rsid w:val="005338B1"/>
    <w:rsid w:val="005338B2"/>
    <w:rsid w:val="005338F7"/>
    <w:rsid w:val="0053390C"/>
    <w:rsid w:val="00533A3D"/>
    <w:rsid w:val="00533A3F"/>
    <w:rsid w:val="00533AD3"/>
    <w:rsid w:val="00533AFD"/>
    <w:rsid w:val="00533B1D"/>
    <w:rsid w:val="00533BDB"/>
    <w:rsid w:val="00533BEB"/>
    <w:rsid w:val="00533C14"/>
    <w:rsid w:val="00533CDE"/>
    <w:rsid w:val="00533CDF"/>
    <w:rsid w:val="00533D0C"/>
    <w:rsid w:val="00533D12"/>
    <w:rsid w:val="00533D16"/>
    <w:rsid w:val="00533D59"/>
    <w:rsid w:val="00533E0C"/>
    <w:rsid w:val="00533E6A"/>
    <w:rsid w:val="00533E6C"/>
    <w:rsid w:val="00533E95"/>
    <w:rsid w:val="00533F15"/>
    <w:rsid w:val="00533FCD"/>
    <w:rsid w:val="00534000"/>
    <w:rsid w:val="00534001"/>
    <w:rsid w:val="0053405D"/>
    <w:rsid w:val="0053408F"/>
    <w:rsid w:val="0053411A"/>
    <w:rsid w:val="0053413D"/>
    <w:rsid w:val="0053416D"/>
    <w:rsid w:val="005341A0"/>
    <w:rsid w:val="0053422C"/>
    <w:rsid w:val="005342BF"/>
    <w:rsid w:val="00534484"/>
    <w:rsid w:val="00534492"/>
    <w:rsid w:val="00534500"/>
    <w:rsid w:val="00534525"/>
    <w:rsid w:val="005345F2"/>
    <w:rsid w:val="0053464A"/>
    <w:rsid w:val="00534671"/>
    <w:rsid w:val="00534735"/>
    <w:rsid w:val="005347F7"/>
    <w:rsid w:val="0053483C"/>
    <w:rsid w:val="0053485F"/>
    <w:rsid w:val="00534893"/>
    <w:rsid w:val="005349A3"/>
    <w:rsid w:val="005349D9"/>
    <w:rsid w:val="00534A0B"/>
    <w:rsid w:val="00534AC8"/>
    <w:rsid w:val="00534BA3"/>
    <w:rsid w:val="00534BD2"/>
    <w:rsid w:val="00534C28"/>
    <w:rsid w:val="00534C4D"/>
    <w:rsid w:val="00534C8B"/>
    <w:rsid w:val="00534D0F"/>
    <w:rsid w:val="00534E39"/>
    <w:rsid w:val="00534E63"/>
    <w:rsid w:val="00534E82"/>
    <w:rsid w:val="00534E83"/>
    <w:rsid w:val="00534E9A"/>
    <w:rsid w:val="00534F3D"/>
    <w:rsid w:val="00534F9B"/>
    <w:rsid w:val="0053508B"/>
    <w:rsid w:val="0053509F"/>
    <w:rsid w:val="005350D7"/>
    <w:rsid w:val="005350FD"/>
    <w:rsid w:val="005351DC"/>
    <w:rsid w:val="005351FA"/>
    <w:rsid w:val="00535245"/>
    <w:rsid w:val="00535266"/>
    <w:rsid w:val="005352EE"/>
    <w:rsid w:val="00535334"/>
    <w:rsid w:val="005353CE"/>
    <w:rsid w:val="0053544C"/>
    <w:rsid w:val="0053548E"/>
    <w:rsid w:val="00535605"/>
    <w:rsid w:val="00535619"/>
    <w:rsid w:val="00535667"/>
    <w:rsid w:val="0053566F"/>
    <w:rsid w:val="0053569E"/>
    <w:rsid w:val="00535722"/>
    <w:rsid w:val="00535831"/>
    <w:rsid w:val="00535965"/>
    <w:rsid w:val="0053597B"/>
    <w:rsid w:val="005359A6"/>
    <w:rsid w:val="00535C92"/>
    <w:rsid w:val="00535CE5"/>
    <w:rsid w:val="00535CE7"/>
    <w:rsid w:val="00535D05"/>
    <w:rsid w:val="00535D4B"/>
    <w:rsid w:val="00535D6E"/>
    <w:rsid w:val="00535D87"/>
    <w:rsid w:val="00535DB0"/>
    <w:rsid w:val="00535DE0"/>
    <w:rsid w:val="00535DE8"/>
    <w:rsid w:val="00535EDC"/>
    <w:rsid w:val="00535F38"/>
    <w:rsid w:val="00535F8C"/>
    <w:rsid w:val="00535F9F"/>
    <w:rsid w:val="00535FB5"/>
    <w:rsid w:val="00535FC9"/>
    <w:rsid w:val="00536026"/>
    <w:rsid w:val="0053608F"/>
    <w:rsid w:val="00536099"/>
    <w:rsid w:val="005360B8"/>
    <w:rsid w:val="00536101"/>
    <w:rsid w:val="00536161"/>
    <w:rsid w:val="00536211"/>
    <w:rsid w:val="005363B0"/>
    <w:rsid w:val="005363FD"/>
    <w:rsid w:val="0053643F"/>
    <w:rsid w:val="0053655D"/>
    <w:rsid w:val="00536587"/>
    <w:rsid w:val="005365DF"/>
    <w:rsid w:val="0053660B"/>
    <w:rsid w:val="0053660C"/>
    <w:rsid w:val="0053662D"/>
    <w:rsid w:val="005366D0"/>
    <w:rsid w:val="0053674F"/>
    <w:rsid w:val="00536760"/>
    <w:rsid w:val="0053682D"/>
    <w:rsid w:val="0053683B"/>
    <w:rsid w:val="0053686A"/>
    <w:rsid w:val="005368E7"/>
    <w:rsid w:val="00536A59"/>
    <w:rsid w:val="00536A90"/>
    <w:rsid w:val="00536ADA"/>
    <w:rsid w:val="00536B84"/>
    <w:rsid w:val="00536BB7"/>
    <w:rsid w:val="00536CAB"/>
    <w:rsid w:val="00536D7B"/>
    <w:rsid w:val="00536DF2"/>
    <w:rsid w:val="00536DFD"/>
    <w:rsid w:val="00536E7F"/>
    <w:rsid w:val="00536EE9"/>
    <w:rsid w:val="00536EF9"/>
    <w:rsid w:val="00536F15"/>
    <w:rsid w:val="00536F27"/>
    <w:rsid w:val="00536F29"/>
    <w:rsid w:val="00536F58"/>
    <w:rsid w:val="00536F71"/>
    <w:rsid w:val="00537027"/>
    <w:rsid w:val="00537040"/>
    <w:rsid w:val="0053708A"/>
    <w:rsid w:val="00537173"/>
    <w:rsid w:val="00537200"/>
    <w:rsid w:val="00537224"/>
    <w:rsid w:val="0053727F"/>
    <w:rsid w:val="0053730E"/>
    <w:rsid w:val="00537330"/>
    <w:rsid w:val="005373B6"/>
    <w:rsid w:val="005373C4"/>
    <w:rsid w:val="005373DD"/>
    <w:rsid w:val="005373E6"/>
    <w:rsid w:val="005373FE"/>
    <w:rsid w:val="0053741F"/>
    <w:rsid w:val="005374F3"/>
    <w:rsid w:val="0053750B"/>
    <w:rsid w:val="0053761B"/>
    <w:rsid w:val="0053765E"/>
    <w:rsid w:val="005376A9"/>
    <w:rsid w:val="005376ED"/>
    <w:rsid w:val="005376F6"/>
    <w:rsid w:val="005378DE"/>
    <w:rsid w:val="00537958"/>
    <w:rsid w:val="00537A18"/>
    <w:rsid w:val="00537A6E"/>
    <w:rsid w:val="00537A82"/>
    <w:rsid w:val="00537B45"/>
    <w:rsid w:val="00537B4B"/>
    <w:rsid w:val="00537C1B"/>
    <w:rsid w:val="00537C50"/>
    <w:rsid w:val="00537C74"/>
    <w:rsid w:val="00537C78"/>
    <w:rsid w:val="00537CBF"/>
    <w:rsid w:val="00537E35"/>
    <w:rsid w:val="00537EEE"/>
    <w:rsid w:val="00537FF0"/>
    <w:rsid w:val="005400B0"/>
    <w:rsid w:val="005400D0"/>
    <w:rsid w:val="005400E2"/>
    <w:rsid w:val="0054016C"/>
    <w:rsid w:val="005401D4"/>
    <w:rsid w:val="005401F0"/>
    <w:rsid w:val="00540206"/>
    <w:rsid w:val="00540218"/>
    <w:rsid w:val="00540279"/>
    <w:rsid w:val="005402A8"/>
    <w:rsid w:val="005402AC"/>
    <w:rsid w:val="005403AA"/>
    <w:rsid w:val="005403BC"/>
    <w:rsid w:val="0054045E"/>
    <w:rsid w:val="0054046F"/>
    <w:rsid w:val="005405B9"/>
    <w:rsid w:val="0054060B"/>
    <w:rsid w:val="0054072D"/>
    <w:rsid w:val="00540772"/>
    <w:rsid w:val="0054081C"/>
    <w:rsid w:val="00540826"/>
    <w:rsid w:val="0054084E"/>
    <w:rsid w:val="00540889"/>
    <w:rsid w:val="005408A6"/>
    <w:rsid w:val="0054091C"/>
    <w:rsid w:val="00540922"/>
    <w:rsid w:val="0054094B"/>
    <w:rsid w:val="005409D4"/>
    <w:rsid w:val="005409E2"/>
    <w:rsid w:val="00540A06"/>
    <w:rsid w:val="00540A38"/>
    <w:rsid w:val="00540A51"/>
    <w:rsid w:val="00540A7B"/>
    <w:rsid w:val="00540A95"/>
    <w:rsid w:val="00540AA2"/>
    <w:rsid w:val="00540B4B"/>
    <w:rsid w:val="00540B97"/>
    <w:rsid w:val="00540BE8"/>
    <w:rsid w:val="00540C06"/>
    <w:rsid w:val="00540C10"/>
    <w:rsid w:val="00540C2C"/>
    <w:rsid w:val="00540CA6"/>
    <w:rsid w:val="00540CCA"/>
    <w:rsid w:val="00540D68"/>
    <w:rsid w:val="00540D9C"/>
    <w:rsid w:val="00540DEC"/>
    <w:rsid w:val="00540F09"/>
    <w:rsid w:val="00540F24"/>
    <w:rsid w:val="00540F5C"/>
    <w:rsid w:val="00540FC2"/>
    <w:rsid w:val="00541053"/>
    <w:rsid w:val="00541106"/>
    <w:rsid w:val="00541178"/>
    <w:rsid w:val="00541193"/>
    <w:rsid w:val="005411CD"/>
    <w:rsid w:val="005412D2"/>
    <w:rsid w:val="00541301"/>
    <w:rsid w:val="00541376"/>
    <w:rsid w:val="005413B7"/>
    <w:rsid w:val="005413E4"/>
    <w:rsid w:val="00541423"/>
    <w:rsid w:val="00541457"/>
    <w:rsid w:val="00541493"/>
    <w:rsid w:val="0054155C"/>
    <w:rsid w:val="00541631"/>
    <w:rsid w:val="00541684"/>
    <w:rsid w:val="005416CE"/>
    <w:rsid w:val="0054176B"/>
    <w:rsid w:val="00541792"/>
    <w:rsid w:val="005417B3"/>
    <w:rsid w:val="005417F8"/>
    <w:rsid w:val="0054183A"/>
    <w:rsid w:val="005418A8"/>
    <w:rsid w:val="005419EB"/>
    <w:rsid w:val="00541A43"/>
    <w:rsid w:val="00541A67"/>
    <w:rsid w:val="00541A97"/>
    <w:rsid w:val="00541AA3"/>
    <w:rsid w:val="00541AA4"/>
    <w:rsid w:val="00541AA6"/>
    <w:rsid w:val="00541ACC"/>
    <w:rsid w:val="00541ACF"/>
    <w:rsid w:val="00541B0C"/>
    <w:rsid w:val="00541B3B"/>
    <w:rsid w:val="00541B6B"/>
    <w:rsid w:val="00541CC6"/>
    <w:rsid w:val="00541CE0"/>
    <w:rsid w:val="00541D1B"/>
    <w:rsid w:val="00541D49"/>
    <w:rsid w:val="00541D7A"/>
    <w:rsid w:val="00541D8A"/>
    <w:rsid w:val="00541E9C"/>
    <w:rsid w:val="00542077"/>
    <w:rsid w:val="0054210D"/>
    <w:rsid w:val="0054212A"/>
    <w:rsid w:val="005421A6"/>
    <w:rsid w:val="00542229"/>
    <w:rsid w:val="0054222D"/>
    <w:rsid w:val="00542314"/>
    <w:rsid w:val="00542474"/>
    <w:rsid w:val="00542483"/>
    <w:rsid w:val="005424AC"/>
    <w:rsid w:val="005424B6"/>
    <w:rsid w:val="005424DC"/>
    <w:rsid w:val="0054260A"/>
    <w:rsid w:val="00542650"/>
    <w:rsid w:val="005426BB"/>
    <w:rsid w:val="00542769"/>
    <w:rsid w:val="0054293E"/>
    <w:rsid w:val="00542995"/>
    <w:rsid w:val="00542A47"/>
    <w:rsid w:val="00542A8A"/>
    <w:rsid w:val="00542AA2"/>
    <w:rsid w:val="00542AD9"/>
    <w:rsid w:val="00542ADC"/>
    <w:rsid w:val="00542B03"/>
    <w:rsid w:val="00542B06"/>
    <w:rsid w:val="00542BBA"/>
    <w:rsid w:val="00542C37"/>
    <w:rsid w:val="00542C58"/>
    <w:rsid w:val="00542C8B"/>
    <w:rsid w:val="00542DA8"/>
    <w:rsid w:val="00542DCE"/>
    <w:rsid w:val="00542DFE"/>
    <w:rsid w:val="00542E40"/>
    <w:rsid w:val="00542E53"/>
    <w:rsid w:val="00542ED3"/>
    <w:rsid w:val="00542F47"/>
    <w:rsid w:val="00542F9B"/>
    <w:rsid w:val="00543070"/>
    <w:rsid w:val="00543182"/>
    <w:rsid w:val="005431B9"/>
    <w:rsid w:val="005431DF"/>
    <w:rsid w:val="00543225"/>
    <w:rsid w:val="00543263"/>
    <w:rsid w:val="00543265"/>
    <w:rsid w:val="005432E1"/>
    <w:rsid w:val="0054330B"/>
    <w:rsid w:val="0054331E"/>
    <w:rsid w:val="00543339"/>
    <w:rsid w:val="005433A5"/>
    <w:rsid w:val="005434CF"/>
    <w:rsid w:val="00543530"/>
    <w:rsid w:val="00543560"/>
    <w:rsid w:val="00543569"/>
    <w:rsid w:val="005435A1"/>
    <w:rsid w:val="005435FA"/>
    <w:rsid w:val="0054360A"/>
    <w:rsid w:val="0054360D"/>
    <w:rsid w:val="00543765"/>
    <w:rsid w:val="005437BA"/>
    <w:rsid w:val="005438E7"/>
    <w:rsid w:val="00543A97"/>
    <w:rsid w:val="00543B57"/>
    <w:rsid w:val="00543BA7"/>
    <w:rsid w:val="00543C1D"/>
    <w:rsid w:val="00543C1E"/>
    <w:rsid w:val="00543D2B"/>
    <w:rsid w:val="00543D43"/>
    <w:rsid w:val="00543D60"/>
    <w:rsid w:val="00543D79"/>
    <w:rsid w:val="00543E11"/>
    <w:rsid w:val="00543E90"/>
    <w:rsid w:val="00543EE3"/>
    <w:rsid w:val="00543EFA"/>
    <w:rsid w:val="00543F2B"/>
    <w:rsid w:val="00543F30"/>
    <w:rsid w:val="00543F77"/>
    <w:rsid w:val="00543FD7"/>
    <w:rsid w:val="00544079"/>
    <w:rsid w:val="005440E2"/>
    <w:rsid w:val="00544112"/>
    <w:rsid w:val="00544142"/>
    <w:rsid w:val="005441D8"/>
    <w:rsid w:val="005441FF"/>
    <w:rsid w:val="0054426D"/>
    <w:rsid w:val="00544278"/>
    <w:rsid w:val="005442D7"/>
    <w:rsid w:val="00544304"/>
    <w:rsid w:val="00544319"/>
    <w:rsid w:val="0054441A"/>
    <w:rsid w:val="0054446E"/>
    <w:rsid w:val="005444BD"/>
    <w:rsid w:val="00544519"/>
    <w:rsid w:val="00544523"/>
    <w:rsid w:val="0054454B"/>
    <w:rsid w:val="005445C7"/>
    <w:rsid w:val="00544654"/>
    <w:rsid w:val="00544657"/>
    <w:rsid w:val="005448B4"/>
    <w:rsid w:val="005448EF"/>
    <w:rsid w:val="00544936"/>
    <w:rsid w:val="005449AD"/>
    <w:rsid w:val="00544AC6"/>
    <w:rsid w:val="00544AF7"/>
    <w:rsid w:val="00544B13"/>
    <w:rsid w:val="00544B7B"/>
    <w:rsid w:val="00544BE9"/>
    <w:rsid w:val="00544C41"/>
    <w:rsid w:val="00544C6A"/>
    <w:rsid w:val="00544C6B"/>
    <w:rsid w:val="00544C70"/>
    <w:rsid w:val="00544C9B"/>
    <w:rsid w:val="00544CA0"/>
    <w:rsid w:val="00544D64"/>
    <w:rsid w:val="00544DB2"/>
    <w:rsid w:val="00544DF8"/>
    <w:rsid w:val="00544E31"/>
    <w:rsid w:val="00544E32"/>
    <w:rsid w:val="00544F2A"/>
    <w:rsid w:val="00544F48"/>
    <w:rsid w:val="00544F5C"/>
    <w:rsid w:val="00544F7A"/>
    <w:rsid w:val="00545050"/>
    <w:rsid w:val="00545062"/>
    <w:rsid w:val="0054506C"/>
    <w:rsid w:val="005450D1"/>
    <w:rsid w:val="005450E6"/>
    <w:rsid w:val="00545145"/>
    <w:rsid w:val="0054516A"/>
    <w:rsid w:val="00545183"/>
    <w:rsid w:val="0054519F"/>
    <w:rsid w:val="005451AB"/>
    <w:rsid w:val="00545203"/>
    <w:rsid w:val="00545237"/>
    <w:rsid w:val="00545259"/>
    <w:rsid w:val="00545276"/>
    <w:rsid w:val="005452B9"/>
    <w:rsid w:val="00545347"/>
    <w:rsid w:val="00545396"/>
    <w:rsid w:val="005453C3"/>
    <w:rsid w:val="005453CD"/>
    <w:rsid w:val="0054542F"/>
    <w:rsid w:val="00545493"/>
    <w:rsid w:val="0054551A"/>
    <w:rsid w:val="005455AB"/>
    <w:rsid w:val="005455AF"/>
    <w:rsid w:val="005455D0"/>
    <w:rsid w:val="005455FC"/>
    <w:rsid w:val="00545635"/>
    <w:rsid w:val="00545644"/>
    <w:rsid w:val="00545663"/>
    <w:rsid w:val="00545674"/>
    <w:rsid w:val="005456CD"/>
    <w:rsid w:val="005456F9"/>
    <w:rsid w:val="00545726"/>
    <w:rsid w:val="00545729"/>
    <w:rsid w:val="00545754"/>
    <w:rsid w:val="00545777"/>
    <w:rsid w:val="00545793"/>
    <w:rsid w:val="00545836"/>
    <w:rsid w:val="00545906"/>
    <w:rsid w:val="0054591C"/>
    <w:rsid w:val="005459DC"/>
    <w:rsid w:val="005459E1"/>
    <w:rsid w:val="00545A5F"/>
    <w:rsid w:val="00545A93"/>
    <w:rsid w:val="00545ABD"/>
    <w:rsid w:val="00545AEC"/>
    <w:rsid w:val="00545BBA"/>
    <w:rsid w:val="00545BFB"/>
    <w:rsid w:val="00545C32"/>
    <w:rsid w:val="00545C57"/>
    <w:rsid w:val="00545C6A"/>
    <w:rsid w:val="00545C84"/>
    <w:rsid w:val="00545C9E"/>
    <w:rsid w:val="00545CF3"/>
    <w:rsid w:val="00545D2D"/>
    <w:rsid w:val="00545D4F"/>
    <w:rsid w:val="00545DAF"/>
    <w:rsid w:val="00545DF4"/>
    <w:rsid w:val="00545EF8"/>
    <w:rsid w:val="00545F28"/>
    <w:rsid w:val="00545F52"/>
    <w:rsid w:val="00545FD5"/>
    <w:rsid w:val="00546072"/>
    <w:rsid w:val="005460D0"/>
    <w:rsid w:val="005460F8"/>
    <w:rsid w:val="0054610D"/>
    <w:rsid w:val="00546124"/>
    <w:rsid w:val="0054622C"/>
    <w:rsid w:val="0054627C"/>
    <w:rsid w:val="00546291"/>
    <w:rsid w:val="00546292"/>
    <w:rsid w:val="0054629A"/>
    <w:rsid w:val="005462B4"/>
    <w:rsid w:val="005462CD"/>
    <w:rsid w:val="0054630C"/>
    <w:rsid w:val="0054633C"/>
    <w:rsid w:val="0054634C"/>
    <w:rsid w:val="00546359"/>
    <w:rsid w:val="00546454"/>
    <w:rsid w:val="005464EF"/>
    <w:rsid w:val="00546524"/>
    <w:rsid w:val="00546573"/>
    <w:rsid w:val="005465BE"/>
    <w:rsid w:val="005465D5"/>
    <w:rsid w:val="00546677"/>
    <w:rsid w:val="00546712"/>
    <w:rsid w:val="005467D6"/>
    <w:rsid w:val="0054681B"/>
    <w:rsid w:val="00546869"/>
    <w:rsid w:val="005468F0"/>
    <w:rsid w:val="005468FE"/>
    <w:rsid w:val="0054697A"/>
    <w:rsid w:val="00546A2C"/>
    <w:rsid w:val="00546AF9"/>
    <w:rsid w:val="00546B2A"/>
    <w:rsid w:val="00546B32"/>
    <w:rsid w:val="00546B5E"/>
    <w:rsid w:val="00546BAE"/>
    <w:rsid w:val="00546C33"/>
    <w:rsid w:val="00546C5E"/>
    <w:rsid w:val="00546CF3"/>
    <w:rsid w:val="00546D71"/>
    <w:rsid w:val="00546DAC"/>
    <w:rsid w:val="00546DE0"/>
    <w:rsid w:val="00546DF9"/>
    <w:rsid w:val="00546E07"/>
    <w:rsid w:val="00546EBE"/>
    <w:rsid w:val="00546F1F"/>
    <w:rsid w:val="0054706B"/>
    <w:rsid w:val="0054707B"/>
    <w:rsid w:val="0054715E"/>
    <w:rsid w:val="00547176"/>
    <w:rsid w:val="0054723E"/>
    <w:rsid w:val="0054724E"/>
    <w:rsid w:val="0054727D"/>
    <w:rsid w:val="005472DA"/>
    <w:rsid w:val="005473FF"/>
    <w:rsid w:val="00547486"/>
    <w:rsid w:val="005474C4"/>
    <w:rsid w:val="005474D1"/>
    <w:rsid w:val="00547514"/>
    <w:rsid w:val="005475DF"/>
    <w:rsid w:val="005475E2"/>
    <w:rsid w:val="0054761D"/>
    <w:rsid w:val="00547621"/>
    <w:rsid w:val="005476C6"/>
    <w:rsid w:val="005476E7"/>
    <w:rsid w:val="005478E8"/>
    <w:rsid w:val="00547918"/>
    <w:rsid w:val="005479A7"/>
    <w:rsid w:val="00547A8A"/>
    <w:rsid w:val="00547B6E"/>
    <w:rsid w:val="00547BCD"/>
    <w:rsid w:val="00547C32"/>
    <w:rsid w:val="00547C73"/>
    <w:rsid w:val="00547E41"/>
    <w:rsid w:val="00547E4B"/>
    <w:rsid w:val="00547E5F"/>
    <w:rsid w:val="00547F4A"/>
    <w:rsid w:val="00547FD8"/>
    <w:rsid w:val="0055001A"/>
    <w:rsid w:val="005500FC"/>
    <w:rsid w:val="00550108"/>
    <w:rsid w:val="00550178"/>
    <w:rsid w:val="00550181"/>
    <w:rsid w:val="00550255"/>
    <w:rsid w:val="00550297"/>
    <w:rsid w:val="0055041A"/>
    <w:rsid w:val="00550459"/>
    <w:rsid w:val="005504CB"/>
    <w:rsid w:val="005504EE"/>
    <w:rsid w:val="0055053B"/>
    <w:rsid w:val="005505D4"/>
    <w:rsid w:val="00550623"/>
    <w:rsid w:val="00550751"/>
    <w:rsid w:val="00550763"/>
    <w:rsid w:val="005507B8"/>
    <w:rsid w:val="005507CC"/>
    <w:rsid w:val="005508E5"/>
    <w:rsid w:val="00550964"/>
    <w:rsid w:val="00550977"/>
    <w:rsid w:val="005509AA"/>
    <w:rsid w:val="005509AB"/>
    <w:rsid w:val="00550A44"/>
    <w:rsid w:val="00550C8E"/>
    <w:rsid w:val="00550CAC"/>
    <w:rsid w:val="00550CD3"/>
    <w:rsid w:val="00550D01"/>
    <w:rsid w:val="00550D11"/>
    <w:rsid w:val="00550D26"/>
    <w:rsid w:val="00550D63"/>
    <w:rsid w:val="00550D70"/>
    <w:rsid w:val="00550DD8"/>
    <w:rsid w:val="00550E5A"/>
    <w:rsid w:val="00550F22"/>
    <w:rsid w:val="00550FD0"/>
    <w:rsid w:val="00551012"/>
    <w:rsid w:val="00551036"/>
    <w:rsid w:val="005510C0"/>
    <w:rsid w:val="005510E1"/>
    <w:rsid w:val="005511E2"/>
    <w:rsid w:val="00551232"/>
    <w:rsid w:val="0055124E"/>
    <w:rsid w:val="005512C3"/>
    <w:rsid w:val="00551300"/>
    <w:rsid w:val="00551315"/>
    <w:rsid w:val="0055134B"/>
    <w:rsid w:val="005514A3"/>
    <w:rsid w:val="0055151F"/>
    <w:rsid w:val="00551576"/>
    <w:rsid w:val="005515B6"/>
    <w:rsid w:val="005515F6"/>
    <w:rsid w:val="005516C9"/>
    <w:rsid w:val="00551702"/>
    <w:rsid w:val="00551787"/>
    <w:rsid w:val="005517E4"/>
    <w:rsid w:val="005517F3"/>
    <w:rsid w:val="00551800"/>
    <w:rsid w:val="0055180A"/>
    <w:rsid w:val="00551811"/>
    <w:rsid w:val="005518FD"/>
    <w:rsid w:val="0055198B"/>
    <w:rsid w:val="005519C0"/>
    <w:rsid w:val="00551BCB"/>
    <w:rsid w:val="00551BE0"/>
    <w:rsid w:val="00551C66"/>
    <w:rsid w:val="00551CD0"/>
    <w:rsid w:val="00551CE4"/>
    <w:rsid w:val="00551E2C"/>
    <w:rsid w:val="00551E6F"/>
    <w:rsid w:val="00551EF0"/>
    <w:rsid w:val="00551F0D"/>
    <w:rsid w:val="00551FF8"/>
    <w:rsid w:val="00552122"/>
    <w:rsid w:val="005521BE"/>
    <w:rsid w:val="0055226E"/>
    <w:rsid w:val="005522AF"/>
    <w:rsid w:val="005523F7"/>
    <w:rsid w:val="0055240C"/>
    <w:rsid w:val="0055249E"/>
    <w:rsid w:val="005524C5"/>
    <w:rsid w:val="005524CF"/>
    <w:rsid w:val="005524E1"/>
    <w:rsid w:val="0055259F"/>
    <w:rsid w:val="005526DC"/>
    <w:rsid w:val="005527C4"/>
    <w:rsid w:val="005527D7"/>
    <w:rsid w:val="005528E2"/>
    <w:rsid w:val="0055292F"/>
    <w:rsid w:val="00552952"/>
    <w:rsid w:val="005529A7"/>
    <w:rsid w:val="005529C1"/>
    <w:rsid w:val="00552A03"/>
    <w:rsid w:val="00552B5F"/>
    <w:rsid w:val="00552BFE"/>
    <w:rsid w:val="00552C27"/>
    <w:rsid w:val="00552C8F"/>
    <w:rsid w:val="00552C96"/>
    <w:rsid w:val="00552CF1"/>
    <w:rsid w:val="00552D0C"/>
    <w:rsid w:val="00552D32"/>
    <w:rsid w:val="00552DFB"/>
    <w:rsid w:val="00552E18"/>
    <w:rsid w:val="00552E9C"/>
    <w:rsid w:val="00552ED0"/>
    <w:rsid w:val="00552ED5"/>
    <w:rsid w:val="00552FF4"/>
    <w:rsid w:val="005530CC"/>
    <w:rsid w:val="005530FC"/>
    <w:rsid w:val="0055322D"/>
    <w:rsid w:val="00553251"/>
    <w:rsid w:val="00553256"/>
    <w:rsid w:val="0055325C"/>
    <w:rsid w:val="005532A8"/>
    <w:rsid w:val="005532D3"/>
    <w:rsid w:val="005532EC"/>
    <w:rsid w:val="00553352"/>
    <w:rsid w:val="0055335F"/>
    <w:rsid w:val="00553371"/>
    <w:rsid w:val="00553386"/>
    <w:rsid w:val="005533D2"/>
    <w:rsid w:val="00553432"/>
    <w:rsid w:val="00553436"/>
    <w:rsid w:val="00553590"/>
    <w:rsid w:val="005535EE"/>
    <w:rsid w:val="005535F4"/>
    <w:rsid w:val="0055361E"/>
    <w:rsid w:val="00553659"/>
    <w:rsid w:val="0055366E"/>
    <w:rsid w:val="0055371A"/>
    <w:rsid w:val="00553744"/>
    <w:rsid w:val="0055378F"/>
    <w:rsid w:val="005537BE"/>
    <w:rsid w:val="00553821"/>
    <w:rsid w:val="00553865"/>
    <w:rsid w:val="005538E2"/>
    <w:rsid w:val="005538E7"/>
    <w:rsid w:val="005539BD"/>
    <w:rsid w:val="00553A95"/>
    <w:rsid w:val="00553AC6"/>
    <w:rsid w:val="00553B8E"/>
    <w:rsid w:val="00553BAD"/>
    <w:rsid w:val="00553BDE"/>
    <w:rsid w:val="00553D17"/>
    <w:rsid w:val="00553D65"/>
    <w:rsid w:val="00553DCA"/>
    <w:rsid w:val="00553E0C"/>
    <w:rsid w:val="00553E3C"/>
    <w:rsid w:val="00553E44"/>
    <w:rsid w:val="00553EB9"/>
    <w:rsid w:val="00553ECB"/>
    <w:rsid w:val="00553ED9"/>
    <w:rsid w:val="00553F16"/>
    <w:rsid w:val="00553F82"/>
    <w:rsid w:val="00553FA9"/>
    <w:rsid w:val="00553FAA"/>
    <w:rsid w:val="00553FBA"/>
    <w:rsid w:val="00553FED"/>
    <w:rsid w:val="00554069"/>
    <w:rsid w:val="0055409B"/>
    <w:rsid w:val="005540B5"/>
    <w:rsid w:val="005540BD"/>
    <w:rsid w:val="005540E9"/>
    <w:rsid w:val="0055415D"/>
    <w:rsid w:val="005541E5"/>
    <w:rsid w:val="005542EA"/>
    <w:rsid w:val="0055434F"/>
    <w:rsid w:val="00554369"/>
    <w:rsid w:val="00554470"/>
    <w:rsid w:val="005544FA"/>
    <w:rsid w:val="00554544"/>
    <w:rsid w:val="00554552"/>
    <w:rsid w:val="00554583"/>
    <w:rsid w:val="005545DE"/>
    <w:rsid w:val="005545EA"/>
    <w:rsid w:val="005546C2"/>
    <w:rsid w:val="00554713"/>
    <w:rsid w:val="00554727"/>
    <w:rsid w:val="00554731"/>
    <w:rsid w:val="00554794"/>
    <w:rsid w:val="005547B6"/>
    <w:rsid w:val="005547EA"/>
    <w:rsid w:val="0055486D"/>
    <w:rsid w:val="00554977"/>
    <w:rsid w:val="005549A5"/>
    <w:rsid w:val="005549CA"/>
    <w:rsid w:val="00554A6D"/>
    <w:rsid w:val="00554A87"/>
    <w:rsid w:val="00554A90"/>
    <w:rsid w:val="00554B0B"/>
    <w:rsid w:val="00554B11"/>
    <w:rsid w:val="00554BA0"/>
    <w:rsid w:val="00554BCB"/>
    <w:rsid w:val="00554BCE"/>
    <w:rsid w:val="00554CAF"/>
    <w:rsid w:val="00554CBB"/>
    <w:rsid w:val="00554CCD"/>
    <w:rsid w:val="00554DD9"/>
    <w:rsid w:val="00554DFE"/>
    <w:rsid w:val="00554E4B"/>
    <w:rsid w:val="00554E58"/>
    <w:rsid w:val="00554EA7"/>
    <w:rsid w:val="00554EE8"/>
    <w:rsid w:val="00554EEE"/>
    <w:rsid w:val="00554F1C"/>
    <w:rsid w:val="00554F3E"/>
    <w:rsid w:val="00554F60"/>
    <w:rsid w:val="00554F6C"/>
    <w:rsid w:val="00554FFD"/>
    <w:rsid w:val="00555069"/>
    <w:rsid w:val="0055509B"/>
    <w:rsid w:val="0055509C"/>
    <w:rsid w:val="005550D5"/>
    <w:rsid w:val="005550E1"/>
    <w:rsid w:val="005550E6"/>
    <w:rsid w:val="005551A0"/>
    <w:rsid w:val="005552A7"/>
    <w:rsid w:val="00555367"/>
    <w:rsid w:val="00555393"/>
    <w:rsid w:val="005554B1"/>
    <w:rsid w:val="0055550D"/>
    <w:rsid w:val="005555AA"/>
    <w:rsid w:val="005555CC"/>
    <w:rsid w:val="005556A8"/>
    <w:rsid w:val="005556B5"/>
    <w:rsid w:val="00555731"/>
    <w:rsid w:val="00555811"/>
    <w:rsid w:val="00555922"/>
    <w:rsid w:val="00555A32"/>
    <w:rsid w:val="00555AC6"/>
    <w:rsid w:val="00555ADC"/>
    <w:rsid w:val="00555B22"/>
    <w:rsid w:val="00555B72"/>
    <w:rsid w:val="00555BB3"/>
    <w:rsid w:val="00555C03"/>
    <w:rsid w:val="00555CAB"/>
    <w:rsid w:val="00555CE1"/>
    <w:rsid w:val="00555D98"/>
    <w:rsid w:val="00555E14"/>
    <w:rsid w:val="00555E52"/>
    <w:rsid w:val="00555E97"/>
    <w:rsid w:val="00556008"/>
    <w:rsid w:val="00556027"/>
    <w:rsid w:val="00556069"/>
    <w:rsid w:val="005560E6"/>
    <w:rsid w:val="00556293"/>
    <w:rsid w:val="005562FF"/>
    <w:rsid w:val="0055637F"/>
    <w:rsid w:val="0055639A"/>
    <w:rsid w:val="005563B9"/>
    <w:rsid w:val="005563D3"/>
    <w:rsid w:val="00556456"/>
    <w:rsid w:val="005564F5"/>
    <w:rsid w:val="00556516"/>
    <w:rsid w:val="00556608"/>
    <w:rsid w:val="00556692"/>
    <w:rsid w:val="0055673D"/>
    <w:rsid w:val="00556769"/>
    <w:rsid w:val="0055676B"/>
    <w:rsid w:val="0055678D"/>
    <w:rsid w:val="005567C4"/>
    <w:rsid w:val="005567E7"/>
    <w:rsid w:val="0055683B"/>
    <w:rsid w:val="0055687B"/>
    <w:rsid w:val="00556898"/>
    <w:rsid w:val="005569B1"/>
    <w:rsid w:val="005569B3"/>
    <w:rsid w:val="00556B6B"/>
    <w:rsid w:val="00556BA4"/>
    <w:rsid w:val="00556C39"/>
    <w:rsid w:val="00556C41"/>
    <w:rsid w:val="00556C52"/>
    <w:rsid w:val="00556CED"/>
    <w:rsid w:val="00556E72"/>
    <w:rsid w:val="00556E86"/>
    <w:rsid w:val="00556EAF"/>
    <w:rsid w:val="00556EC2"/>
    <w:rsid w:val="00556ED2"/>
    <w:rsid w:val="00556EDA"/>
    <w:rsid w:val="00556EF7"/>
    <w:rsid w:val="00556F0C"/>
    <w:rsid w:val="00556F3B"/>
    <w:rsid w:val="00556F73"/>
    <w:rsid w:val="00557012"/>
    <w:rsid w:val="00557088"/>
    <w:rsid w:val="005570A8"/>
    <w:rsid w:val="00557122"/>
    <w:rsid w:val="00557139"/>
    <w:rsid w:val="0055716F"/>
    <w:rsid w:val="005571DE"/>
    <w:rsid w:val="0055727F"/>
    <w:rsid w:val="00557349"/>
    <w:rsid w:val="0055735F"/>
    <w:rsid w:val="0055741C"/>
    <w:rsid w:val="0055743E"/>
    <w:rsid w:val="005574D9"/>
    <w:rsid w:val="005574EE"/>
    <w:rsid w:val="00557504"/>
    <w:rsid w:val="0055753F"/>
    <w:rsid w:val="00557650"/>
    <w:rsid w:val="0055767D"/>
    <w:rsid w:val="005576BC"/>
    <w:rsid w:val="00557845"/>
    <w:rsid w:val="0055787A"/>
    <w:rsid w:val="005578A4"/>
    <w:rsid w:val="005578BD"/>
    <w:rsid w:val="005578C9"/>
    <w:rsid w:val="005579A9"/>
    <w:rsid w:val="00557AD1"/>
    <w:rsid w:val="00557ADD"/>
    <w:rsid w:val="00557B36"/>
    <w:rsid w:val="00557BF7"/>
    <w:rsid w:val="00557C43"/>
    <w:rsid w:val="00557CAE"/>
    <w:rsid w:val="00557CBD"/>
    <w:rsid w:val="00557CC0"/>
    <w:rsid w:val="00557DFA"/>
    <w:rsid w:val="00557E24"/>
    <w:rsid w:val="00557E44"/>
    <w:rsid w:val="00557E4E"/>
    <w:rsid w:val="00557F6B"/>
    <w:rsid w:val="00557F71"/>
    <w:rsid w:val="00557F86"/>
    <w:rsid w:val="00557F8C"/>
    <w:rsid w:val="00557FA5"/>
    <w:rsid w:val="00560172"/>
    <w:rsid w:val="00560204"/>
    <w:rsid w:val="00560219"/>
    <w:rsid w:val="00560246"/>
    <w:rsid w:val="00560319"/>
    <w:rsid w:val="0056036A"/>
    <w:rsid w:val="005603F6"/>
    <w:rsid w:val="00560411"/>
    <w:rsid w:val="0056046B"/>
    <w:rsid w:val="00560476"/>
    <w:rsid w:val="005604C6"/>
    <w:rsid w:val="0056051E"/>
    <w:rsid w:val="00560523"/>
    <w:rsid w:val="0056053A"/>
    <w:rsid w:val="00560595"/>
    <w:rsid w:val="0056066E"/>
    <w:rsid w:val="00560694"/>
    <w:rsid w:val="005607B7"/>
    <w:rsid w:val="005607D9"/>
    <w:rsid w:val="005607F2"/>
    <w:rsid w:val="005608EF"/>
    <w:rsid w:val="00560925"/>
    <w:rsid w:val="00560935"/>
    <w:rsid w:val="00560961"/>
    <w:rsid w:val="0056097F"/>
    <w:rsid w:val="005609CA"/>
    <w:rsid w:val="005609D7"/>
    <w:rsid w:val="00560A29"/>
    <w:rsid w:val="00560CA4"/>
    <w:rsid w:val="00560CAD"/>
    <w:rsid w:val="00560D11"/>
    <w:rsid w:val="00560DE7"/>
    <w:rsid w:val="00560E31"/>
    <w:rsid w:val="00560E6E"/>
    <w:rsid w:val="00560ED7"/>
    <w:rsid w:val="00560F5C"/>
    <w:rsid w:val="00560F71"/>
    <w:rsid w:val="00560FBE"/>
    <w:rsid w:val="00560FFF"/>
    <w:rsid w:val="0056100D"/>
    <w:rsid w:val="005610E5"/>
    <w:rsid w:val="00561102"/>
    <w:rsid w:val="00561131"/>
    <w:rsid w:val="00561194"/>
    <w:rsid w:val="005611CF"/>
    <w:rsid w:val="005611EF"/>
    <w:rsid w:val="0056127E"/>
    <w:rsid w:val="00561285"/>
    <w:rsid w:val="005612C9"/>
    <w:rsid w:val="005612D6"/>
    <w:rsid w:val="00561373"/>
    <w:rsid w:val="005613B5"/>
    <w:rsid w:val="0056143A"/>
    <w:rsid w:val="005615F8"/>
    <w:rsid w:val="00561638"/>
    <w:rsid w:val="005616B9"/>
    <w:rsid w:val="005616BF"/>
    <w:rsid w:val="005616C3"/>
    <w:rsid w:val="005616C6"/>
    <w:rsid w:val="005616EE"/>
    <w:rsid w:val="00561732"/>
    <w:rsid w:val="0056180F"/>
    <w:rsid w:val="00561877"/>
    <w:rsid w:val="005618C1"/>
    <w:rsid w:val="005618F8"/>
    <w:rsid w:val="0056191E"/>
    <w:rsid w:val="00561968"/>
    <w:rsid w:val="00561986"/>
    <w:rsid w:val="00561A04"/>
    <w:rsid w:val="00561ACB"/>
    <w:rsid w:val="00561B6F"/>
    <w:rsid w:val="00561BA5"/>
    <w:rsid w:val="00561BD2"/>
    <w:rsid w:val="00561BED"/>
    <w:rsid w:val="00561C69"/>
    <w:rsid w:val="00561DD5"/>
    <w:rsid w:val="00561EE5"/>
    <w:rsid w:val="00561F5B"/>
    <w:rsid w:val="00561FB7"/>
    <w:rsid w:val="00562089"/>
    <w:rsid w:val="00562130"/>
    <w:rsid w:val="00562197"/>
    <w:rsid w:val="005621AB"/>
    <w:rsid w:val="0056220C"/>
    <w:rsid w:val="005622B4"/>
    <w:rsid w:val="0056233A"/>
    <w:rsid w:val="0056238A"/>
    <w:rsid w:val="00562510"/>
    <w:rsid w:val="0056256B"/>
    <w:rsid w:val="00562584"/>
    <w:rsid w:val="005625F3"/>
    <w:rsid w:val="00562684"/>
    <w:rsid w:val="005626E0"/>
    <w:rsid w:val="0056270B"/>
    <w:rsid w:val="00562740"/>
    <w:rsid w:val="00562880"/>
    <w:rsid w:val="005628A8"/>
    <w:rsid w:val="005628B7"/>
    <w:rsid w:val="005628E8"/>
    <w:rsid w:val="00562A38"/>
    <w:rsid w:val="00562A60"/>
    <w:rsid w:val="00562B32"/>
    <w:rsid w:val="00562B3E"/>
    <w:rsid w:val="00562B5C"/>
    <w:rsid w:val="00562B91"/>
    <w:rsid w:val="00562C81"/>
    <w:rsid w:val="00562CCE"/>
    <w:rsid w:val="00562CE9"/>
    <w:rsid w:val="00562D36"/>
    <w:rsid w:val="00562DBB"/>
    <w:rsid w:val="00562DEA"/>
    <w:rsid w:val="00562E13"/>
    <w:rsid w:val="00562E2C"/>
    <w:rsid w:val="00562E94"/>
    <w:rsid w:val="00562F24"/>
    <w:rsid w:val="00562F71"/>
    <w:rsid w:val="00562F81"/>
    <w:rsid w:val="0056308B"/>
    <w:rsid w:val="005630A3"/>
    <w:rsid w:val="005630B2"/>
    <w:rsid w:val="00563159"/>
    <w:rsid w:val="0056315A"/>
    <w:rsid w:val="0056315D"/>
    <w:rsid w:val="00563174"/>
    <w:rsid w:val="00563281"/>
    <w:rsid w:val="0056329E"/>
    <w:rsid w:val="005632DE"/>
    <w:rsid w:val="0056334E"/>
    <w:rsid w:val="0056335C"/>
    <w:rsid w:val="005633D3"/>
    <w:rsid w:val="0056341A"/>
    <w:rsid w:val="005634AB"/>
    <w:rsid w:val="005634B7"/>
    <w:rsid w:val="0056350D"/>
    <w:rsid w:val="0056356B"/>
    <w:rsid w:val="0056359B"/>
    <w:rsid w:val="005635AB"/>
    <w:rsid w:val="005635DB"/>
    <w:rsid w:val="00563699"/>
    <w:rsid w:val="00563717"/>
    <w:rsid w:val="00563788"/>
    <w:rsid w:val="00563795"/>
    <w:rsid w:val="00563824"/>
    <w:rsid w:val="005638F6"/>
    <w:rsid w:val="005638F8"/>
    <w:rsid w:val="00563929"/>
    <w:rsid w:val="00563A00"/>
    <w:rsid w:val="00563A5C"/>
    <w:rsid w:val="00563B55"/>
    <w:rsid w:val="00563B5E"/>
    <w:rsid w:val="00563BC9"/>
    <w:rsid w:val="00563BF9"/>
    <w:rsid w:val="00563BFB"/>
    <w:rsid w:val="00563C48"/>
    <w:rsid w:val="00563C50"/>
    <w:rsid w:val="00563C77"/>
    <w:rsid w:val="00563C92"/>
    <w:rsid w:val="00563C93"/>
    <w:rsid w:val="00563D0F"/>
    <w:rsid w:val="00563D27"/>
    <w:rsid w:val="00563EFD"/>
    <w:rsid w:val="00563FE0"/>
    <w:rsid w:val="005640DF"/>
    <w:rsid w:val="0056411D"/>
    <w:rsid w:val="00564294"/>
    <w:rsid w:val="005642EB"/>
    <w:rsid w:val="0056434F"/>
    <w:rsid w:val="005643CD"/>
    <w:rsid w:val="0056445D"/>
    <w:rsid w:val="0056446A"/>
    <w:rsid w:val="005644A7"/>
    <w:rsid w:val="005644EC"/>
    <w:rsid w:val="005644F1"/>
    <w:rsid w:val="00564574"/>
    <w:rsid w:val="005645C3"/>
    <w:rsid w:val="00564644"/>
    <w:rsid w:val="0056465C"/>
    <w:rsid w:val="0056466B"/>
    <w:rsid w:val="005646A1"/>
    <w:rsid w:val="005647DC"/>
    <w:rsid w:val="0056483E"/>
    <w:rsid w:val="005648CE"/>
    <w:rsid w:val="0056490B"/>
    <w:rsid w:val="00564933"/>
    <w:rsid w:val="005649C4"/>
    <w:rsid w:val="00564A56"/>
    <w:rsid w:val="00564B22"/>
    <w:rsid w:val="00564B23"/>
    <w:rsid w:val="00564B6B"/>
    <w:rsid w:val="00564B71"/>
    <w:rsid w:val="00564B75"/>
    <w:rsid w:val="00564BF2"/>
    <w:rsid w:val="00564C6D"/>
    <w:rsid w:val="00564CBE"/>
    <w:rsid w:val="00564CE1"/>
    <w:rsid w:val="00564DA6"/>
    <w:rsid w:val="00564E12"/>
    <w:rsid w:val="00564E57"/>
    <w:rsid w:val="00564E5E"/>
    <w:rsid w:val="00564EE5"/>
    <w:rsid w:val="00564F7C"/>
    <w:rsid w:val="00564F89"/>
    <w:rsid w:val="00564F8B"/>
    <w:rsid w:val="00564FFA"/>
    <w:rsid w:val="00565021"/>
    <w:rsid w:val="00565034"/>
    <w:rsid w:val="00565040"/>
    <w:rsid w:val="0056507E"/>
    <w:rsid w:val="00565100"/>
    <w:rsid w:val="00565137"/>
    <w:rsid w:val="00565188"/>
    <w:rsid w:val="005651EC"/>
    <w:rsid w:val="00565217"/>
    <w:rsid w:val="0056525C"/>
    <w:rsid w:val="00565269"/>
    <w:rsid w:val="00565309"/>
    <w:rsid w:val="0056539C"/>
    <w:rsid w:val="00565463"/>
    <w:rsid w:val="00565472"/>
    <w:rsid w:val="0056548B"/>
    <w:rsid w:val="00565530"/>
    <w:rsid w:val="0056556E"/>
    <w:rsid w:val="0056559B"/>
    <w:rsid w:val="005655D0"/>
    <w:rsid w:val="00565720"/>
    <w:rsid w:val="00565748"/>
    <w:rsid w:val="00565755"/>
    <w:rsid w:val="00565868"/>
    <w:rsid w:val="00565876"/>
    <w:rsid w:val="0056587F"/>
    <w:rsid w:val="0056594E"/>
    <w:rsid w:val="00565A05"/>
    <w:rsid w:val="00565B12"/>
    <w:rsid w:val="00565B3E"/>
    <w:rsid w:val="00565BF1"/>
    <w:rsid w:val="00565C14"/>
    <w:rsid w:val="00565C58"/>
    <w:rsid w:val="00565C68"/>
    <w:rsid w:val="00565C76"/>
    <w:rsid w:val="00565C88"/>
    <w:rsid w:val="00565D76"/>
    <w:rsid w:val="00565DA0"/>
    <w:rsid w:val="00565E07"/>
    <w:rsid w:val="00565E85"/>
    <w:rsid w:val="00565E87"/>
    <w:rsid w:val="00565E9B"/>
    <w:rsid w:val="00565ECA"/>
    <w:rsid w:val="00565ED4"/>
    <w:rsid w:val="00565EE3"/>
    <w:rsid w:val="00565F3C"/>
    <w:rsid w:val="00565F4B"/>
    <w:rsid w:val="00565F87"/>
    <w:rsid w:val="00565FD5"/>
    <w:rsid w:val="00566156"/>
    <w:rsid w:val="005661D9"/>
    <w:rsid w:val="00566261"/>
    <w:rsid w:val="0056632D"/>
    <w:rsid w:val="005663C2"/>
    <w:rsid w:val="005663E6"/>
    <w:rsid w:val="005664E7"/>
    <w:rsid w:val="0056661A"/>
    <w:rsid w:val="00566655"/>
    <w:rsid w:val="005666A3"/>
    <w:rsid w:val="005666AC"/>
    <w:rsid w:val="005666B7"/>
    <w:rsid w:val="005666BD"/>
    <w:rsid w:val="00566718"/>
    <w:rsid w:val="005667D1"/>
    <w:rsid w:val="0056688E"/>
    <w:rsid w:val="005669C7"/>
    <w:rsid w:val="00566A6E"/>
    <w:rsid w:val="00566AA5"/>
    <w:rsid w:val="00566B5B"/>
    <w:rsid w:val="00566BCB"/>
    <w:rsid w:val="00566BE1"/>
    <w:rsid w:val="00566D4E"/>
    <w:rsid w:val="00566DB4"/>
    <w:rsid w:val="00566DCE"/>
    <w:rsid w:val="00566EB9"/>
    <w:rsid w:val="00566EF9"/>
    <w:rsid w:val="00566F9F"/>
    <w:rsid w:val="0056700B"/>
    <w:rsid w:val="0056700D"/>
    <w:rsid w:val="00567057"/>
    <w:rsid w:val="0056706D"/>
    <w:rsid w:val="0056714B"/>
    <w:rsid w:val="0056714E"/>
    <w:rsid w:val="00567272"/>
    <w:rsid w:val="005672A5"/>
    <w:rsid w:val="00567378"/>
    <w:rsid w:val="005673FD"/>
    <w:rsid w:val="00567454"/>
    <w:rsid w:val="00567462"/>
    <w:rsid w:val="00567487"/>
    <w:rsid w:val="00567638"/>
    <w:rsid w:val="00567695"/>
    <w:rsid w:val="00567717"/>
    <w:rsid w:val="0056771A"/>
    <w:rsid w:val="00567725"/>
    <w:rsid w:val="00567757"/>
    <w:rsid w:val="005677C3"/>
    <w:rsid w:val="005677D3"/>
    <w:rsid w:val="0056780B"/>
    <w:rsid w:val="00567861"/>
    <w:rsid w:val="005678A5"/>
    <w:rsid w:val="0056794B"/>
    <w:rsid w:val="00567963"/>
    <w:rsid w:val="005679F7"/>
    <w:rsid w:val="00567B3E"/>
    <w:rsid w:val="00567BBF"/>
    <w:rsid w:val="00567BD6"/>
    <w:rsid w:val="00567BEC"/>
    <w:rsid w:val="00567C9A"/>
    <w:rsid w:val="00567D4C"/>
    <w:rsid w:val="00567D6B"/>
    <w:rsid w:val="00567D97"/>
    <w:rsid w:val="00567DAA"/>
    <w:rsid w:val="00567E1A"/>
    <w:rsid w:val="00567E7B"/>
    <w:rsid w:val="00567EE4"/>
    <w:rsid w:val="0057001D"/>
    <w:rsid w:val="00570027"/>
    <w:rsid w:val="00570032"/>
    <w:rsid w:val="00570034"/>
    <w:rsid w:val="0057007C"/>
    <w:rsid w:val="005700E8"/>
    <w:rsid w:val="00570103"/>
    <w:rsid w:val="005701CD"/>
    <w:rsid w:val="00570309"/>
    <w:rsid w:val="00570311"/>
    <w:rsid w:val="005703A1"/>
    <w:rsid w:val="005703AE"/>
    <w:rsid w:val="005703CC"/>
    <w:rsid w:val="00570448"/>
    <w:rsid w:val="00570456"/>
    <w:rsid w:val="00570460"/>
    <w:rsid w:val="00570483"/>
    <w:rsid w:val="00570499"/>
    <w:rsid w:val="005704A0"/>
    <w:rsid w:val="005704F0"/>
    <w:rsid w:val="00570542"/>
    <w:rsid w:val="00570548"/>
    <w:rsid w:val="00570649"/>
    <w:rsid w:val="00570697"/>
    <w:rsid w:val="005706A2"/>
    <w:rsid w:val="005706D4"/>
    <w:rsid w:val="00570762"/>
    <w:rsid w:val="0057077F"/>
    <w:rsid w:val="0057080F"/>
    <w:rsid w:val="0057087F"/>
    <w:rsid w:val="005708EB"/>
    <w:rsid w:val="00570930"/>
    <w:rsid w:val="00570931"/>
    <w:rsid w:val="00570A60"/>
    <w:rsid w:val="00570AB7"/>
    <w:rsid w:val="00570B5C"/>
    <w:rsid w:val="00570BBB"/>
    <w:rsid w:val="00570C28"/>
    <w:rsid w:val="00570C49"/>
    <w:rsid w:val="00570CEC"/>
    <w:rsid w:val="00570D0E"/>
    <w:rsid w:val="00570D39"/>
    <w:rsid w:val="00570DD0"/>
    <w:rsid w:val="00570E54"/>
    <w:rsid w:val="00570E87"/>
    <w:rsid w:val="00570EAB"/>
    <w:rsid w:val="00570EBE"/>
    <w:rsid w:val="00570F1D"/>
    <w:rsid w:val="00570F37"/>
    <w:rsid w:val="00570F8D"/>
    <w:rsid w:val="00570FB3"/>
    <w:rsid w:val="00570FB9"/>
    <w:rsid w:val="00570FF5"/>
    <w:rsid w:val="00571009"/>
    <w:rsid w:val="005710C7"/>
    <w:rsid w:val="005710F6"/>
    <w:rsid w:val="00571180"/>
    <w:rsid w:val="00571255"/>
    <w:rsid w:val="00571300"/>
    <w:rsid w:val="00571369"/>
    <w:rsid w:val="0057138B"/>
    <w:rsid w:val="005713A2"/>
    <w:rsid w:val="005713F7"/>
    <w:rsid w:val="005714F9"/>
    <w:rsid w:val="00571514"/>
    <w:rsid w:val="005715F0"/>
    <w:rsid w:val="005715F5"/>
    <w:rsid w:val="00571616"/>
    <w:rsid w:val="0057174F"/>
    <w:rsid w:val="00571775"/>
    <w:rsid w:val="005717D7"/>
    <w:rsid w:val="0057187E"/>
    <w:rsid w:val="005718F8"/>
    <w:rsid w:val="00571A11"/>
    <w:rsid w:val="00571A23"/>
    <w:rsid w:val="00571A30"/>
    <w:rsid w:val="00571A6C"/>
    <w:rsid w:val="00571A90"/>
    <w:rsid w:val="00571ACE"/>
    <w:rsid w:val="00571AFE"/>
    <w:rsid w:val="00571B69"/>
    <w:rsid w:val="00571B7B"/>
    <w:rsid w:val="00571BD4"/>
    <w:rsid w:val="00571BF1"/>
    <w:rsid w:val="00571C21"/>
    <w:rsid w:val="00571C3E"/>
    <w:rsid w:val="00571CD8"/>
    <w:rsid w:val="00571DFE"/>
    <w:rsid w:val="00571E39"/>
    <w:rsid w:val="00571E7B"/>
    <w:rsid w:val="00571F44"/>
    <w:rsid w:val="00571FB0"/>
    <w:rsid w:val="00571FEC"/>
    <w:rsid w:val="00572006"/>
    <w:rsid w:val="0057200C"/>
    <w:rsid w:val="00572015"/>
    <w:rsid w:val="00572018"/>
    <w:rsid w:val="00572040"/>
    <w:rsid w:val="0057204D"/>
    <w:rsid w:val="0057208B"/>
    <w:rsid w:val="00572097"/>
    <w:rsid w:val="00572105"/>
    <w:rsid w:val="00572122"/>
    <w:rsid w:val="005721B4"/>
    <w:rsid w:val="005721B6"/>
    <w:rsid w:val="005721EE"/>
    <w:rsid w:val="00572237"/>
    <w:rsid w:val="00572293"/>
    <w:rsid w:val="005722B7"/>
    <w:rsid w:val="00572308"/>
    <w:rsid w:val="0057231E"/>
    <w:rsid w:val="00572361"/>
    <w:rsid w:val="005723D1"/>
    <w:rsid w:val="00572498"/>
    <w:rsid w:val="005724A3"/>
    <w:rsid w:val="0057251A"/>
    <w:rsid w:val="00572563"/>
    <w:rsid w:val="00572674"/>
    <w:rsid w:val="00572694"/>
    <w:rsid w:val="005726C2"/>
    <w:rsid w:val="005726F6"/>
    <w:rsid w:val="00572755"/>
    <w:rsid w:val="00572756"/>
    <w:rsid w:val="00572761"/>
    <w:rsid w:val="005727BA"/>
    <w:rsid w:val="005727DF"/>
    <w:rsid w:val="005727E3"/>
    <w:rsid w:val="00572816"/>
    <w:rsid w:val="00572836"/>
    <w:rsid w:val="005728FB"/>
    <w:rsid w:val="00572979"/>
    <w:rsid w:val="005729C1"/>
    <w:rsid w:val="00572A26"/>
    <w:rsid w:val="00572B69"/>
    <w:rsid w:val="00572B83"/>
    <w:rsid w:val="00572BA1"/>
    <w:rsid w:val="00572C56"/>
    <w:rsid w:val="00572D56"/>
    <w:rsid w:val="00572D6C"/>
    <w:rsid w:val="00572EA1"/>
    <w:rsid w:val="00572F60"/>
    <w:rsid w:val="00572FA2"/>
    <w:rsid w:val="00573015"/>
    <w:rsid w:val="00573121"/>
    <w:rsid w:val="00573139"/>
    <w:rsid w:val="00573197"/>
    <w:rsid w:val="0057319D"/>
    <w:rsid w:val="00573270"/>
    <w:rsid w:val="00573282"/>
    <w:rsid w:val="00573341"/>
    <w:rsid w:val="00573394"/>
    <w:rsid w:val="00573435"/>
    <w:rsid w:val="0057345B"/>
    <w:rsid w:val="005734A2"/>
    <w:rsid w:val="005734AE"/>
    <w:rsid w:val="005734F4"/>
    <w:rsid w:val="00573617"/>
    <w:rsid w:val="005736AE"/>
    <w:rsid w:val="005736EC"/>
    <w:rsid w:val="0057374E"/>
    <w:rsid w:val="005737CE"/>
    <w:rsid w:val="0057387E"/>
    <w:rsid w:val="005738ED"/>
    <w:rsid w:val="00573962"/>
    <w:rsid w:val="00573985"/>
    <w:rsid w:val="0057398C"/>
    <w:rsid w:val="00573990"/>
    <w:rsid w:val="00573996"/>
    <w:rsid w:val="00573A39"/>
    <w:rsid w:val="00573AF7"/>
    <w:rsid w:val="00573BBD"/>
    <w:rsid w:val="00573BFF"/>
    <w:rsid w:val="00573C96"/>
    <w:rsid w:val="00573CC8"/>
    <w:rsid w:val="00573CDA"/>
    <w:rsid w:val="00573D4B"/>
    <w:rsid w:val="00573DBF"/>
    <w:rsid w:val="00573DEB"/>
    <w:rsid w:val="00573F31"/>
    <w:rsid w:val="00573F47"/>
    <w:rsid w:val="00573FDC"/>
    <w:rsid w:val="00573FF9"/>
    <w:rsid w:val="00574209"/>
    <w:rsid w:val="00574273"/>
    <w:rsid w:val="00574285"/>
    <w:rsid w:val="005742CA"/>
    <w:rsid w:val="0057436B"/>
    <w:rsid w:val="00574450"/>
    <w:rsid w:val="00574466"/>
    <w:rsid w:val="00574474"/>
    <w:rsid w:val="005744A1"/>
    <w:rsid w:val="005744A3"/>
    <w:rsid w:val="005744A6"/>
    <w:rsid w:val="005744B0"/>
    <w:rsid w:val="0057450C"/>
    <w:rsid w:val="00574576"/>
    <w:rsid w:val="0057463E"/>
    <w:rsid w:val="005746CE"/>
    <w:rsid w:val="005746DF"/>
    <w:rsid w:val="00574724"/>
    <w:rsid w:val="00574769"/>
    <w:rsid w:val="00574793"/>
    <w:rsid w:val="0057479A"/>
    <w:rsid w:val="005747B2"/>
    <w:rsid w:val="005747C8"/>
    <w:rsid w:val="005747F4"/>
    <w:rsid w:val="00574815"/>
    <w:rsid w:val="00574834"/>
    <w:rsid w:val="00574872"/>
    <w:rsid w:val="005748B0"/>
    <w:rsid w:val="00574928"/>
    <w:rsid w:val="0057495F"/>
    <w:rsid w:val="005749AA"/>
    <w:rsid w:val="00574AB7"/>
    <w:rsid w:val="00574ADB"/>
    <w:rsid w:val="00574B27"/>
    <w:rsid w:val="00574B59"/>
    <w:rsid w:val="00574BEF"/>
    <w:rsid w:val="00574BFE"/>
    <w:rsid w:val="00574C25"/>
    <w:rsid w:val="00574C5D"/>
    <w:rsid w:val="00574C85"/>
    <w:rsid w:val="00574D8E"/>
    <w:rsid w:val="00574D9B"/>
    <w:rsid w:val="00574DC9"/>
    <w:rsid w:val="00574E16"/>
    <w:rsid w:val="00574F5A"/>
    <w:rsid w:val="00574FA7"/>
    <w:rsid w:val="00575062"/>
    <w:rsid w:val="00575101"/>
    <w:rsid w:val="00575117"/>
    <w:rsid w:val="00575184"/>
    <w:rsid w:val="005751AE"/>
    <w:rsid w:val="005751DA"/>
    <w:rsid w:val="005752D9"/>
    <w:rsid w:val="005752DA"/>
    <w:rsid w:val="005752E2"/>
    <w:rsid w:val="0057545F"/>
    <w:rsid w:val="005754DA"/>
    <w:rsid w:val="005754E2"/>
    <w:rsid w:val="00575508"/>
    <w:rsid w:val="0057553F"/>
    <w:rsid w:val="00575578"/>
    <w:rsid w:val="005755A6"/>
    <w:rsid w:val="00575600"/>
    <w:rsid w:val="00575618"/>
    <w:rsid w:val="0057566F"/>
    <w:rsid w:val="00575671"/>
    <w:rsid w:val="00575688"/>
    <w:rsid w:val="005756CA"/>
    <w:rsid w:val="005756F0"/>
    <w:rsid w:val="0057570F"/>
    <w:rsid w:val="00575723"/>
    <w:rsid w:val="00575755"/>
    <w:rsid w:val="005757AA"/>
    <w:rsid w:val="00575895"/>
    <w:rsid w:val="00575907"/>
    <w:rsid w:val="0057591F"/>
    <w:rsid w:val="00575A16"/>
    <w:rsid w:val="00575A5C"/>
    <w:rsid w:val="00575B15"/>
    <w:rsid w:val="00575B3F"/>
    <w:rsid w:val="00575B80"/>
    <w:rsid w:val="00575B9C"/>
    <w:rsid w:val="00575CE6"/>
    <w:rsid w:val="00575D7E"/>
    <w:rsid w:val="00575DC7"/>
    <w:rsid w:val="005760D7"/>
    <w:rsid w:val="005760E7"/>
    <w:rsid w:val="005760F2"/>
    <w:rsid w:val="00576117"/>
    <w:rsid w:val="00576143"/>
    <w:rsid w:val="005761A4"/>
    <w:rsid w:val="00576251"/>
    <w:rsid w:val="005762A0"/>
    <w:rsid w:val="0057630B"/>
    <w:rsid w:val="00576312"/>
    <w:rsid w:val="00576327"/>
    <w:rsid w:val="0057639F"/>
    <w:rsid w:val="0057646B"/>
    <w:rsid w:val="00576533"/>
    <w:rsid w:val="0057653C"/>
    <w:rsid w:val="0057658E"/>
    <w:rsid w:val="005765AD"/>
    <w:rsid w:val="005765DD"/>
    <w:rsid w:val="00576606"/>
    <w:rsid w:val="00576610"/>
    <w:rsid w:val="00576655"/>
    <w:rsid w:val="0057666D"/>
    <w:rsid w:val="005766EE"/>
    <w:rsid w:val="00576781"/>
    <w:rsid w:val="005767DF"/>
    <w:rsid w:val="00576806"/>
    <w:rsid w:val="00576810"/>
    <w:rsid w:val="00576879"/>
    <w:rsid w:val="0057688D"/>
    <w:rsid w:val="00576981"/>
    <w:rsid w:val="00576990"/>
    <w:rsid w:val="005769BF"/>
    <w:rsid w:val="005769DC"/>
    <w:rsid w:val="00576A37"/>
    <w:rsid w:val="00576A3C"/>
    <w:rsid w:val="00576A5D"/>
    <w:rsid w:val="00576A6B"/>
    <w:rsid w:val="00576A91"/>
    <w:rsid w:val="00576AAC"/>
    <w:rsid w:val="00576B42"/>
    <w:rsid w:val="00576B61"/>
    <w:rsid w:val="00576B76"/>
    <w:rsid w:val="00576BF8"/>
    <w:rsid w:val="00576C37"/>
    <w:rsid w:val="00576C81"/>
    <w:rsid w:val="00576CB1"/>
    <w:rsid w:val="00576D6B"/>
    <w:rsid w:val="00576D90"/>
    <w:rsid w:val="00576E34"/>
    <w:rsid w:val="00576EF8"/>
    <w:rsid w:val="00576F5C"/>
    <w:rsid w:val="00576F77"/>
    <w:rsid w:val="00576F8B"/>
    <w:rsid w:val="00576FA6"/>
    <w:rsid w:val="00576FDA"/>
    <w:rsid w:val="00577030"/>
    <w:rsid w:val="0057703C"/>
    <w:rsid w:val="00577057"/>
    <w:rsid w:val="00577061"/>
    <w:rsid w:val="005771D3"/>
    <w:rsid w:val="005771E0"/>
    <w:rsid w:val="0057722A"/>
    <w:rsid w:val="0057722B"/>
    <w:rsid w:val="0057726E"/>
    <w:rsid w:val="005772A6"/>
    <w:rsid w:val="00577332"/>
    <w:rsid w:val="0057752C"/>
    <w:rsid w:val="00577597"/>
    <w:rsid w:val="005776D8"/>
    <w:rsid w:val="005776DB"/>
    <w:rsid w:val="0057778A"/>
    <w:rsid w:val="005777DA"/>
    <w:rsid w:val="0057781D"/>
    <w:rsid w:val="00577834"/>
    <w:rsid w:val="0057785A"/>
    <w:rsid w:val="005778BE"/>
    <w:rsid w:val="005778F0"/>
    <w:rsid w:val="0057795A"/>
    <w:rsid w:val="0057795F"/>
    <w:rsid w:val="0057797C"/>
    <w:rsid w:val="00577986"/>
    <w:rsid w:val="005779A3"/>
    <w:rsid w:val="00577A36"/>
    <w:rsid w:val="00577AF0"/>
    <w:rsid w:val="00577BEC"/>
    <w:rsid w:val="00577C9D"/>
    <w:rsid w:val="00577CDD"/>
    <w:rsid w:val="00577D10"/>
    <w:rsid w:val="00577D56"/>
    <w:rsid w:val="00577DE4"/>
    <w:rsid w:val="00577E77"/>
    <w:rsid w:val="00577F39"/>
    <w:rsid w:val="00577F57"/>
    <w:rsid w:val="00577F81"/>
    <w:rsid w:val="00577FA2"/>
    <w:rsid w:val="00577FC1"/>
    <w:rsid w:val="0058000E"/>
    <w:rsid w:val="0058001F"/>
    <w:rsid w:val="00580028"/>
    <w:rsid w:val="005800BB"/>
    <w:rsid w:val="005800BC"/>
    <w:rsid w:val="005800E4"/>
    <w:rsid w:val="00580115"/>
    <w:rsid w:val="00580185"/>
    <w:rsid w:val="005801E9"/>
    <w:rsid w:val="005801FD"/>
    <w:rsid w:val="0058021F"/>
    <w:rsid w:val="00580267"/>
    <w:rsid w:val="0058027E"/>
    <w:rsid w:val="00580302"/>
    <w:rsid w:val="005803B0"/>
    <w:rsid w:val="005803F7"/>
    <w:rsid w:val="005803FD"/>
    <w:rsid w:val="00580433"/>
    <w:rsid w:val="005804EE"/>
    <w:rsid w:val="0058050D"/>
    <w:rsid w:val="00580585"/>
    <w:rsid w:val="005806FC"/>
    <w:rsid w:val="00580731"/>
    <w:rsid w:val="00580736"/>
    <w:rsid w:val="00580763"/>
    <w:rsid w:val="005808A6"/>
    <w:rsid w:val="005808C3"/>
    <w:rsid w:val="005808DF"/>
    <w:rsid w:val="005808FD"/>
    <w:rsid w:val="00580902"/>
    <w:rsid w:val="00580930"/>
    <w:rsid w:val="00580970"/>
    <w:rsid w:val="00580A09"/>
    <w:rsid w:val="00580A88"/>
    <w:rsid w:val="00580AB6"/>
    <w:rsid w:val="00580B40"/>
    <w:rsid w:val="00580BD1"/>
    <w:rsid w:val="00580BD9"/>
    <w:rsid w:val="00580D0B"/>
    <w:rsid w:val="00580EBC"/>
    <w:rsid w:val="00580EF8"/>
    <w:rsid w:val="00580F4A"/>
    <w:rsid w:val="00580F51"/>
    <w:rsid w:val="00580F73"/>
    <w:rsid w:val="00580FB3"/>
    <w:rsid w:val="0058100F"/>
    <w:rsid w:val="0058112C"/>
    <w:rsid w:val="0058119D"/>
    <w:rsid w:val="0058128B"/>
    <w:rsid w:val="005812A8"/>
    <w:rsid w:val="005812EB"/>
    <w:rsid w:val="00581361"/>
    <w:rsid w:val="00581404"/>
    <w:rsid w:val="0058147E"/>
    <w:rsid w:val="005814B4"/>
    <w:rsid w:val="005814C3"/>
    <w:rsid w:val="005814CB"/>
    <w:rsid w:val="005814CD"/>
    <w:rsid w:val="0058152C"/>
    <w:rsid w:val="00581559"/>
    <w:rsid w:val="005816B4"/>
    <w:rsid w:val="005816EB"/>
    <w:rsid w:val="005817D6"/>
    <w:rsid w:val="005817EE"/>
    <w:rsid w:val="005817FA"/>
    <w:rsid w:val="0058187C"/>
    <w:rsid w:val="00581883"/>
    <w:rsid w:val="00581958"/>
    <w:rsid w:val="005819A9"/>
    <w:rsid w:val="00581A03"/>
    <w:rsid w:val="00581AA1"/>
    <w:rsid w:val="00581B05"/>
    <w:rsid w:val="00581B92"/>
    <w:rsid w:val="00581C74"/>
    <w:rsid w:val="00581CD4"/>
    <w:rsid w:val="00581CE1"/>
    <w:rsid w:val="00581D6E"/>
    <w:rsid w:val="00581D7C"/>
    <w:rsid w:val="00581DA5"/>
    <w:rsid w:val="00581E26"/>
    <w:rsid w:val="00581E5A"/>
    <w:rsid w:val="00581E63"/>
    <w:rsid w:val="00581E68"/>
    <w:rsid w:val="00581ED5"/>
    <w:rsid w:val="00581F22"/>
    <w:rsid w:val="00581F2C"/>
    <w:rsid w:val="00581F52"/>
    <w:rsid w:val="00581F55"/>
    <w:rsid w:val="00581FAA"/>
    <w:rsid w:val="00581FEF"/>
    <w:rsid w:val="0058200C"/>
    <w:rsid w:val="005820C0"/>
    <w:rsid w:val="005821B2"/>
    <w:rsid w:val="005821F6"/>
    <w:rsid w:val="00582246"/>
    <w:rsid w:val="00582274"/>
    <w:rsid w:val="005822EC"/>
    <w:rsid w:val="0058235F"/>
    <w:rsid w:val="005823D9"/>
    <w:rsid w:val="00582444"/>
    <w:rsid w:val="005824A7"/>
    <w:rsid w:val="00582511"/>
    <w:rsid w:val="0058252C"/>
    <w:rsid w:val="005825A6"/>
    <w:rsid w:val="005825E2"/>
    <w:rsid w:val="00582637"/>
    <w:rsid w:val="00582658"/>
    <w:rsid w:val="0058265C"/>
    <w:rsid w:val="005826BE"/>
    <w:rsid w:val="0058286E"/>
    <w:rsid w:val="0058287C"/>
    <w:rsid w:val="0058287E"/>
    <w:rsid w:val="00582891"/>
    <w:rsid w:val="005828D8"/>
    <w:rsid w:val="0058294C"/>
    <w:rsid w:val="005829ED"/>
    <w:rsid w:val="005829FE"/>
    <w:rsid w:val="00582A13"/>
    <w:rsid w:val="00582A9F"/>
    <w:rsid w:val="00582AD9"/>
    <w:rsid w:val="00582BF9"/>
    <w:rsid w:val="00582C09"/>
    <w:rsid w:val="00582C48"/>
    <w:rsid w:val="00582C9A"/>
    <w:rsid w:val="00582D2E"/>
    <w:rsid w:val="00582D73"/>
    <w:rsid w:val="00582D80"/>
    <w:rsid w:val="00582D96"/>
    <w:rsid w:val="00582DDE"/>
    <w:rsid w:val="00582EA5"/>
    <w:rsid w:val="00582EFB"/>
    <w:rsid w:val="00582F33"/>
    <w:rsid w:val="00582F81"/>
    <w:rsid w:val="00582FB2"/>
    <w:rsid w:val="00582FFB"/>
    <w:rsid w:val="00583052"/>
    <w:rsid w:val="00583073"/>
    <w:rsid w:val="005830B1"/>
    <w:rsid w:val="005830E4"/>
    <w:rsid w:val="0058310F"/>
    <w:rsid w:val="005831C0"/>
    <w:rsid w:val="005831E5"/>
    <w:rsid w:val="00583243"/>
    <w:rsid w:val="00583255"/>
    <w:rsid w:val="005832A2"/>
    <w:rsid w:val="0058330B"/>
    <w:rsid w:val="00583476"/>
    <w:rsid w:val="005834E6"/>
    <w:rsid w:val="005834E9"/>
    <w:rsid w:val="00583553"/>
    <w:rsid w:val="00583656"/>
    <w:rsid w:val="005836EF"/>
    <w:rsid w:val="00583871"/>
    <w:rsid w:val="005838F1"/>
    <w:rsid w:val="00583974"/>
    <w:rsid w:val="00583AF2"/>
    <w:rsid w:val="00583AFF"/>
    <w:rsid w:val="00583BDA"/>
    <w:rsid w:val="00583C21"/>
    <w:rsid w:val="00583C2F"/>
    <w:rsid w:val="00583C34"/>
    <w:rsid w:val="00583C55"/>
    <w:rsid w:val="00583C81"/>
    <w:rsid w:val="00583D31"/>
    <w:rsid w:val="00583DB5"/>
    <w:rsid w:val="00583DF9"/>
    <w:rsid w:val="00583E04"/>
    <w:rsid w:val="00583EB8"/>
    <w:rsid w:val="00583FA8"/>
    <w:rsid w:val="00583FFB"/>
    <w:rsid w:val="00583FFE"/>
    <w:rsid w:val="0058404D"/>
    <w:rsid w:val="005840BD"/>
    <w:rsid w:val="0058410A"/>
    <w:rsid w:val="0058412D"/>
    <w:rsid w:val="0058416B"/>
    <w:rsid w:val="00584179"/>
    <w:rsid w:val="0058419F"/>
    <w:rsid w:val="00584225"/>
    <w:rsid w:val="0058425E"/>
    <w:rsid w:val="005842BE"/>
    <w:rsid w:val="005842E5"/>
    <w:rsid w:val="00584331"/>
    <w:rsid w:val="00584499"/>
    <w:rsid w:val="005844A9"/>
    <w:rsid w:val="005844B8"/>
    <w:rsid w:val="005844F3"/>
    <w:rsid w:val="00584542"/>
    <w:rsid w:val="005845AF"/>
    <w:rsid w:val="005845BD"/>
    <w:rsid w:val="005845E7"/>
    <w:rsid w:val="00584614"/>
    <w:rsid w:val="0058467C"/>
    <w:rsid w:val="005846DE"/>
    <w:rsid w:val="00584739"/>
    <w:rsid w:val="0058487E"/>
    <w:rsid w:val="0058495D"/>
    <w:rsid w:val="00584A0D"/>
    <w:rsid w:val="00584AC8"/>
    <w:rsid w:val="00584ACE"/>
    <w:rsid w:val="00584B4A"/>
    <w:rsid w:val="00584B7B"/>
    <w:rsid w:val="00584BAA"/>
    <w:rsid w:val="00584C69"/>
    <w:rsid w:val="00584C9C"/>
    <w:rsid w:val="00584CBD"/>
    <w:rsid w:val="00584D54"/>
    <w:rsid w:val="00584D58"/>
    <w:rsid w:val="00584D9C"/>
    <w:rsid w:val="00584DFE"/>
    <w:rsid w:val="00584E74"/>
    <w:rsid w:val="00584F4B"/>
    <w:rsid w:val="00584FCD"/>
    <w:rsid w:val="0058501A"/>
    <w:rsid w:val="005850B3"/>
    <w:rsid w:val="005850E2"/>
    <w:rsid w:val="0058512F"/>
    <w:rsid w:val="0058515C"/>
    <w:rsid w:val="0058516D"/>
    <w:rsid w:val="0058522A"/>
    <w:rsid w:val="005852B6"/>
    <w:rsid w:val="00585338"/>
    <w:rsid w:val="0058542D"/>
    <w:rsid w:val="00585456"/>
    <w:rsid w:val="0058548B"/>
    <w:rsid w:val="005854AA"/>
    <w:rsid w:val="005854B3"/>
    <w:rsid w:val="005854C0"/>
    <w:rsid w:val="005854E8"/>
    <w:rsid w:val="0058554E"/>
    <w:rsid w:val="00585585"/>
    <w:rsid w:val="00585636"/>
    <w:rsid w:val="005856BA"/>
    <w:rsid w:val="005856EF"/>
    <w:rsid w:val="005856FB"/>
    <w:rsid w:val="00585832"/>
    <w:rsid w:val="00585936"/>
    <w:rsid w:val="0058598D"/>
    <w:rsid w:val="00585A7D"/>
    <w:rsid w:val="00585BE1"/>
    <w:rsid w:val="00585C17"/>
    <w:rsid w:val="00585D8B"/>
    <w:rsid w:val="00585DBE"/>
    <w:rsid w:val="00585DC9"/>
    <w:rsid w:val="00585EE6"/>
    <w:rsid w:val="00585F7E"/>
    <w:rsid w:val="00585FA4"/>
    <w:rsid w:val="00585FC2"/>
    <w:rsid w:val="00585FD2"/>
    <w:rsid w:val="0058603A"/>
    <w:rsid w:val="00586065"/>
    <w:rsid w:val="0058616F"/>
    <w:rsid w:val="005861A0"/>
    <w:rsid w:val="00586233"/>
    <w:rsid w:val="00586257"/>
    <w:rsid w:val="00586293"/>
    <w:rsid w:val="005862D5"/>
    <w:rsid w:val="005862E8"/>
    <w:rsid w:val="0058632E"/>
    <w:rsid w:val="0058637D"/>
    <w:rsid w:val="005863A3"/>
    <w:rsid w:val="0058642A"/>
    <w:rsid w:val="00586451"/>
    <w:rsid w:val="00586469"/>
    <w:rsid w:val="00586473"/>
    <w:rsid w:val="005864DB"/>
    <w:rsid w:val="00586506"/>
    <w:rsid w:val="00586566"/>
    <w:rsid w:val="0058667A"/>
    <w:rsid w:val="00586681"/>
    <w:rsid w:val="005866A2"/>
    <w:rsid w:val="005866F1"/>
    <w:rsid w:val="0058672C"/>
    <w:rsid w:val="00586747"/>
    <w:rsid w:val="00586785"/>
    <w:rsid w:val="0058679A"/>
    <w:rsid w:val="005868AA"/>
    <w:rsid w:val="005868D5"/>
    <w:rsid w:val="00586908"/>
    <w:rsid w:val="00586972"/>
    <w:rsid w:val="00586976"/>
    <w:rsid w:val="00586990"/>
    <w:rsid w:val="005869A1"/>
    <w:rsid w:val="00586A98"/>
    <w:rsid w:val="00586B32"/>
    <w:rsid w:val="00586BFC"/>
    <w:rsid w:val="00586C2B"/>
    <w:rsid w:val="00586C50"/>
    <w:rsid w:val="00586CAF"/>
    <w:rsid w:val="00586CF0"/>
    <w:rsid w:val="00586D38"/>
    <w:rsid w:val="00586D46"/>
    <w:rsid w:val="00586D6B"/>
    <w:rsid w:val="00586E80"/>
    <w:rsid w:val="00586EC9"/>
    <w:rsid w:val="00586ED9"/>
    <w:rsid w:val="00586F2A"/>
    <w:rsid w:val="00586FD5"/>
    <w:rsid w:val="00586FFE"/>
    <w:rsid w:val="00587028"/>
    <w:rsid w:val="005870C0"/>
    <w:rsid w:val="00587109"/>
    <w:rsid w:val="0058726B"/>
    <w:rsid w:val="0058727F"/>
    <w:rsid w:val="0058731A"/>
    <w:rsid w:val="00587322"/>
    <w:rsid w:val="00587353"/>
    <w:rsid w:val="005874BC"/>
    <w:rsid w:val="005874DC"/>
    <w:rsid w:val="00587507"/>
    <w:rsid w:val="00587562"/>
    <w:rsid w:val="005875F5"/>
    <w:rsid w:val="00587684"/>
    <w:rsid w:val="005876B8"/>
    <w:rsid w:val="005877DF"/>
    <w:rsid w:val="00587811"/>
    <w:rsid w:val="00587899"/>
    <w:rsid w:val="005878BD"/>
    <w:rsid w:val="00587914"/>
    <w:rsid w:val="00587944"/>
    <w:rsid w:val="00587981"/>
    <w:rsid w:val="00587A40"/>
    <w:rsid w:val="00587A97"/>
    <w:rsid w:val="00587AAA"/>
    <w:rsid w:val="00587AB9"/>
    <w:rsid w:val="00587B20"/>
    <w:rsid w:val="00587B51"/>
    <w:rsid w:val="00587B63"/>
    <w:rsid w:val="00587B6F"/>
    <w:rsid w:val="00587C08"/>
    <w:rsid w:val="00587C1D"/>
    <w:rsid w:val="00587C29"/>
    <w:rsid w:val="00587C76"/>
    <w:rsid w:val="00587C98"/>
    <w:rsid w:val="00587CB5"/>
    <w:rsid w:val="00587DBC"/>
    <w:rsid w:val="00587ED3"/>
    <w:rsid w:val="00587EEF"/>
    <w:rsid w:val="00587F3B"/>
    <w:rsid w:val="00587F63"/>
    <w:rsid w:val="00587FB9"/>
    <w:rsid w:val="00587FF1"/>
    <w:rsid w:val="0059008A"/>
    <w:rsid w:val="0059009C"/>
    <w:rsid w:val="005900F8"/>
    <w:rsid w:val="005901AE"/>
    <w:rsid w:val="005901DE"/>
    <w:rsid w:val="005901DF"/>
    <w:rsid w:val="005901E0"/>
    <w:rsid w:val="00590227"/>
    <w:rsid w:val="00590231"/>
    <w:rsid w:val="005903F6"/>
    <w:rsid w:val="00590410"/>
    <w:rsid w:val="005904A7"/>
    <w:rsid w:val="0059050D"/>
    <w:rsid w:val="00590573"/>
    <w:rsid w:val="0059065B"/>
    <w:rsid w:val="0059068E"/>
    <w:rsid w:val="005906A8"/>
    <w:rsid w:val="005906C2"/>
    <w:rsid w:val="005907C3"/>
    <w:rsid w:val="00590831"/>
    <w:rsid w:val="005908AE"/>
    <w:rsid w:val="005908B3"/>
    <w:rsid w:val="005908B6"/>
    <w:rsid w:val="005909FC"/>
    <w:rsid w:val="00590A76"/>
    <w:rsid w:val="00590ACA"/>
    <w:rsid w:val="00590AFE"/>
    <w:rsid w:val="00590BB9"/>
    <w:rsid w:val="00590C14"/>
    <w:rsid w:val="00590D13"/>
    <w:rsid w:val="00590D1C"/>
    <w:rsid w:val="00590ED5"/>
    <w:rsid w:val="00590F1C"/>
    <w:rsid w:val="00590F71"/>
    <w:rsid w:val="00590FA8"/>
    <w:rsid w:val="00591097"/>
    <w:rsid w:val="005910AD"/>
    <w:rsid w:val="005910F8"/>
    <w:rsid w:val="00591100"/>
    <w:rsid w:val="00591108"/>
    <w:rsid w:val="005911BD"/>
    <w:rsid w:val="0059122D"/>
    <w:rsid w:val="00591264"/>
    <w:rsid w:val="005912DA"/>
    <w:rsid w:val="005912EC"/>
    <w:rsid w:val="0059134B"/>
    <w:rsid w:val="005913DD"/>
    <w:rsid w:val="005914F1"/>
    <w:rsid w:val="005915A9"/>
    <w:rsid w:val="00591608"/>
    <w:rsid w:val="00591612"/>
    <w:rsid w:val="00591630"/>
    <w:rsid w:val="00591776"/>
    <w:rsid w:val="00591804"/>
    <w:rsid w:val="00591835"/>
    <w:rsid w:val="005918CD"/>
    <w:rsid w:val="005918D5"/>
    <w:rsid w:val="00591933"/>
    <w:rsid w:val="0059195C"/>
    <w:rsid w:val="00591A83"/>
    <w:rsid w:val="00591AD6"/>
    <w:rsid w:val="00591B0F"/>
    <w:rsid w:val="00591B63"/>
    <w:rsid w:val="00591B68"/>
    <w:rsid w:val="00591B79"/>
    <w:rsid w:val="00591BC4"/>
    <w:rsid w:val="00591BC9"/>
    <w:rsid w:val="00591C57"/>
    <w:rsid w:val="00591DC0"/>
    <w:rsid w:val="00591DF7"/>
    <w:rsid w:val="00591E26"/>
    <w:rsid w:val="00591E37"/>
    <w:rsid w:val="00591E6D"/>
    <w:rsid w:val="00591E90"/>
    <w:rsid w:val="00591ECA"/>
    <w:rsid w:val="00591EE9"/>
    <w:rsid w:val="00591F30"/>
    <w:rsid w:val="00591F9D"/>
    <w:rsid w:val="00592009"/>
    <w:rsid w:val="00592065"/>
    <w:rsid w:val="00592080"/>
    <w:rsid w:val="00592094"/>
    <w:rsid w:val="005920B3"/>
    <w:rsid w:val="005920D8"/>
    <w:rsid w:val="00592148"/>
    <w:rsid w:val="00592159"/>
    <w:rsid w:val="00592175"/>
    <w:rsid w:val="0059219A"/>
    <w:rsid w:val="005921B0"/>
    <w:rsid w:val="005921D2"/>
    <w:rsid w:val="0059226C"/>
    <w:rsid w:val="005922EA"/>
    <w:rsid w:val="0059232B"/>
    <w:rsid w:val="0059232F"/>
    <w:rsid w:val="00592338"/>
    <w:rsid w:val="005923FD"/>
    <w:rsid w:val="00592426"/>
    <w:rsid w:val="005924F9"/>
    <w:rsid w:val="0059254D"/>
    <w:rsid w:val="005925B5"/>
    <w:rsid w:val="005925C9"/>
    <w:rsid w:val="005925D1"/>
    <w:rsid w:val="005925EB"/>
    <w:rsid w:val="005925F2"/>
    <w:rsid w:val="005925F6"/>
    <w:rsid w:val="0059264A"/>
    <w:rsid w:val="0059266C"/>
    <w:rsid w:val="0059267F"/>
    <w:rsid w:val="0059269A"/>
    <w:rsid w:val="005926A3"/>
    <w:rsid w:val="0059271D"/>
    <w:rsid w:val="0059273E"/>
    <w:rsid w:val="00592854"/>
    <w:rsid w:val="0059286F"/>
    <w:rsid w:val="00592A02"/>
    <w:rsid w:val="00592A11"/>
    <w:rsid w:val="00592A3D"/>
    <w:rsid w:val="00592A45"/>
    <w:rsid w:val="00592C10"/>
    <w:rsid w:val="00592C4B"/>
    <w:rsid w:val="00592CA1"/>
    <w:rsid w:val="00592D09"/>
    <w:rsid w:val="00592D6F"/>
    <w:rsid w:val="00592D74"/>
    <w:rsid w:val="00592DC0"/>
    <w:rsid w:val="00592DDB"/>
    <w:rsid w:val="00592E52"/>
    <w:rsid w:val="00592E55"/>
    <w:rsid w:val="00592EA6"/>
    <w:rsid w:val="00592ED4"/>
    <w:rsid w:val="00592F5A"/>
    <w:rsid w:val="00592F9B"/>
    <w:rsid w:val="0059304F"/>
    <w:rsid w:val="00593098"/>
    <w:rsid w:val="005930F0"/>
    <w:rsid w:val="00593188"/>
    <w:rsid w:val="005931EC"/>
    <w:rsid w:val="0059321F"/>
    <w:rsid w:val="005933B2"/>
    <w:rsid w:val="005933C7"/>
    <w:rsid w:val="00593413"/>
    <w:rsid w:val="0059350A"/>
    <w:rsid w:val="0059353C"/>
    <w:rsid w:val="005935D6"/>
    <w:rsid w:val="0059360E"/>
    <w:rsid w:val="00593673"/>
    <w:rsid w:val="00593692"/>
    <w:rsid w:val="0059379E"/>
    <w:rsid w:val="005937A7"/>
    <w:rsid w:val="0059382D"/>
    <w:rsid w:val="00593890"/>
    <w:rsid w:val="005938BB"/>
    <w:rsid w:val="005938DE"/>
    <w:rsid w:val="00593901"/>
    <w:rsid w:val="00593904"/>
    <w:rsid w:val="005939D7"/>
    <w:rsid w:val="00593A1B"/>
    <w:rsid w:val="00593A2B"/>
    <w:rsid w:val="00593A99"/>
    <w:rsid w:val="00593B0B"/>
    <w:rsid w:val="00593B75"/>
    <w:rsid w:val="00593BDA"/>
    <w:rsid w:val="00593CD9"/>
    <w:rsid w:val="00593D59"/>
    <w:rsid w:val="00593DB9"/>
    <w:rsid w:val="00593DBC"/>
    <w:rsid w:val="00593DBE"/>
    <w:rsid w:val="00593DE9"/>
    <w:rsid w:val="00593E41"/>
    <w:rsid w:val="00593EDE"/>
    <w:rsid w:val="00593F33"/>
    <w:rsid w:val="00593F35"/>
    <w:rsid w:val="00593F86"/>
    <w:rsid w:val="00593F8C"/>
    <w:rsid w:val="00594147"/>
    <w:rsid w:val="0059429E"/>
    <w:rsid w:val="005942D6"/>
    <w:rsid w:val="00594393"/>
    <w:rsid w:val="0059440A"/>
    <w:rsid w:val="005944D9"/>
    <w:rsid w:val="00594552"/>
    <w:rsid w:val="00594641"/>
    <w:rsid w:val="00594677"/>
    <w:rsid w:val="00594730"/>
    <w:rsid w:val="005947AA"/>
    <w:rsid w:val="005947C6"/>
    <w:rsid w:val="00594805"/>
    <w:rsid w:val="00594849"/>
    <w:rsid w:val="00594888"/>
    <w:rsid w:val="0059496A"/>
    <w:rsid w:val="005949AA"/>
    <w:rsid w:val="005949B6"/>
    <w:rsid w:val="005949CC"/>
    <w:rsid w:val="005949DF"/>
    <w:rsid w:val="00594A77"/>
    <w:rsid w:val="00594B22"/>
    <w:rsid w:val="00594B3A"/>
    <w:rsid w:val="00594D21"/>
    <w:rsid w:val="00594D82"/>
    <w:rsid w:val="00594DE9"/>
    <w:rsid w:val="00594DFA"/>
    <w:rsid w:val="00594E2E"/>
    <w:rsid w:val="00594E3E"/>
    <w:rsid w:val="00594E43"/>
    <w:rsid w:val="00594E57"/>
    <w:rsid w:val="00594E59"/>
    <w:rsid w:val="00594E67"/>
    <w:rsid w:val="00594ECB"/>
    <w:rsid w:val="00594F5F"/>
    <w:rsid w:val="00594F82"/>
    <w:rsid w:val="00594FCE"/>
    <w:rsid w:val="00595040"/>
    <w:rsid w:val="0059508A"/>
    <w:rsid w:val="005950D5"/>
    <w:rsid w:val="00595123"/>
    <w:rsid w:val="00595294"/>
    <w:rsid w:val="005952A5"/>
    <w:rsid w:val="00595319"/>
    <w:rsid w:val="0059538F"/>
    <w:rsid w:val="005953CA"/>
    <w:rsid w:val="00595417"/>
    <w:rsid w:val="0059546C"/>
    <w:rsid w:val="0059548C"/>
    <w:rsid w:val="00595490"/>
    <w:rsid w:val="0059560C"/>
    <w:rsid w:val="0059560F"/>
    <w:rsid w:val="00595619"/>
    <w:rsid w:val="005956BF"/>
    <w:rsid w:val="005956E5"/>
    <w:rsid w:val="005956F4"/>
    <w:rsid w:val="00595746"/>
    <w:rsid w:val="0059574B"/>
    <w:rsid w:val="00595773"/>
    <w:rsid w:val="005957BF"/>
    <w:rsid w:val="00595802"/>
    <w:rsid w:val="00595824"/>
    <w:rsid w:val="00595852"/>
    <w:rsid w:val="0059586F"/>
    <w:rsid w:val="00595938"/>
    <w:rsid w:val="005959E3"/>
    <w:rsid w:val="00595A25"/>
    <w:rsid w:val="00595A77"/>
    <w:rsid w:val="00595BAA"/>
    <w:rsid w:val="00595BDE"/>
    <w:rsid w:val="00595C1B"/>
    <w:rsid w:val="00595C3C"/>
    <w:rsid w:val="00595D14"/>
    <w:rsid w:val="00595D22"/>
    <w:rsid w:val="00595D24"/>
    <w:rsid w:val="00595D94"/>
    <w:rsid w:val="00595DB9"/>
    <w:rsid w:val="00595E36"/>
    <w:rsid w:val="00595E40"/>
    <w:rsid w:val="00595E59"/>
    <w:rsid w:val="00595ED0"/>
    <w:rsid w:val="00595EDC"/>
    <w:rsid w:val="00595EF9"/>
    <w:rsid w:val="00595F55"/>
    <w:rsid w:val="00595F9D"/>
    <w:rsid w:val="005960CA"/>
    <w:rsid w:val="0059611F"/>
    <w:rsid w:val="005961A6"/>
    <w:rsid w:val="005961AE"/>
    <w:rsid w:val="00596222"/>
    <w:rsid w:val="0059623F"/>
    <w:rsid w:val="00596264"/>
    <w:rsid w:val="005962A4"/>
    <w:rsid w:val="005962B4"/>
    <w:rsid w:val="005962BC"/>
    <w:rsid w:val="00596366"/>
    <w:rsid w:val="005963A2"/>
    <w:rsid w:val="00596438"/>
    <w:rsid w:val="00596473"/>
    <w:rsid w:val="00596491"/>
    <w:rsid w:val="005964C0"/>
    <w:rsid w:val="0059650F"/>
    <w:rsid w:val="00596613"/>
    <w:rsid w:val="0059664E"/>
    <w:rsid w:val="005966BF"/>
    <w:rsid w:val="005966FC"/>
    <w:rsid w:val="00596712"/>
    <w:rsid w:val="005967E2"/>
    <w:rsid w:val="00596881"/>
    <w:rsid w:val="005968C0"/>
    <w:rsid w:val="005968CD"/>
    <w:rsid w:val="005969A9"/>
    <w:rsid w:val="005969DA"/>
    <w:rsid w:val="00596A04"/>
    <w:rsid w:val="00596A2D"/>
    <w:rsid w:val="00596AE8"/>
    <w:rsid w:val="00596AEC"/>
    <w:rsid w:val="00596B07"/>
    <w:rsid w:val="00596B14"/>
    <w:rsid w:val="00596B39"/>
    <w:rsid w:val="00596C0C"/>
    <w:rsid w:val="00596C6C"/>
    <w:rsid w:val="00596D16"/>
    <w:rsid w:val="00596D92"/>
    <w:rsid w:val="00596DAB"/>
    <w:rsid w:val="00596DD9"/>
    <w:rsid w:val="00596E67"/>
    <w:rsid w:val="00596E8C"/>
    <w:rsid w:val="00596E9E"/>
    <w:rsid w:val="00596F77"/>
    <w:rsid w:val="00596F7A"/>
    <w:rsid w:val="00596FCA"/>
    <w:rsid w:val="00597006"/>
    <w:rsid w:val="005970AB"/>
    <w:rsid w:val="0059714C"/>
    <w:rsid w:val="0059715E"/>
    <w:rsid w:val="005971D8"/>
    <w:rsid w:val="005971DE"/>
    <w:rsid w:val="00597332"/>
    <w:rsid w:val="00597336"/>
    <w:rsid w:val="00597379"/>
    <w:rsid w:val="00597398"/>
    <w:rsid w:val="005973F8"/>
    <w:rsid w:val="00597595"/>
    <w:rsid w:val="005975AC"/>
    <w:rsid w:val="005975B1"/>
    <w:rsid w:val="0059760A"/>
    <w:rsid w:val="0059763C"/>
    <w:rsid w:val="00597667"/>
    <w:rsid w:val="005976A9"/>
    <w:rsid w:val="005976C3"/>
    <w:rsid w:val="005976FE"/>
    <w:rsid w:val="005977CB"/>
    <w:rsid w:val="0059783B"/>
    <w:rsid w:val="005978BF"/>
    <w:rsid w:val="005978DB"/>
    <w:rsid w:val="0059793B"/>
    <w:rsid w:val="005979A7"/>
    <w:rsid w:val="005979C9"/>
    <w:rsid w:val="005979E6"/>
    <w:rsid w:val="00597A57"/>
    <w:rsid w:val="00597AB2"/>
    <w:rsid w:val="00597B87"/>
    <w:rsid w:val="00597BBB"/>
    <w:rsid w:val="00597C08"/>
    <w:rsid w:val="00597CB1"/>
    <w:rsid w:val="00597CD9"/>
    <w:rsid w:val="00597CDD"/>
    <w:rsid w:val="00597EA3"/>
    <w:rsid w:val="00597ED8"/>
    <w:rsid w:val="00597EE8"/>
    <w:rsid w:val="00597F22"/>
    <w:rsid w:val="00597FC8"/>
    <w:rsid w:val="005A005A"/>
    <w:rsid w:val="005A0084"/>
    <w:rsid w:val="005A0098"/>
    <w:rsid w:val="005A0108"/>
    <w:rsid w:val="005A01DB"/>
    <w:rsid w:val="005A0203"/>
    <w:rsid w:val="005A0313"/>
    <w:rsid w:val="005A0353"/>
    <w:rsid w:val="005A0383"/>
    <w:rsid w:val="005A03EF"/>
    <w:rsid w:val="005A046F"/>
    <w:rsid w:val="005A0490"/>
    <w:rsid w:val="005A05F0"/>
    <w:rsid w:val="005A0663"/>
    <w:rsid w:val="005A0691"/>
    <w:rsid w:val="005A0731"/>
    <w:rsid w:val="005A076E"/>
    <w:rsid w:val="005A07F8"/>
    <w:rsid w:val="005A0860"/>
    <w:rsid w:val="005A0A57"/>
    <w:rsid w:val="005A0AD8"/>
    <w:rsid w:val="005A0B18"/>
    <w:rsid w:val="005A0C48"/>
    <w:rsid w:val="005A0C7A"/>
    <w:rsid w:val="005A0D50"/>
    <w:rsid w:val="005A0E32"/>
    <w:rsid w:val="005A0E48"/>
    <w:rsid w:val="005A0EFE"/>
    <w:rsid w:val="005A0F3E"/>
    <w:rsid w:val="005A10A3"/>
    <w:rsid w:val="005A10B2"/>
    <w:rsid w:val="005A1145"/>
    <w:rsid w:val="005A1222"/>
    <w:rsid w:val="005A1248"/>
    <w:rsid w:val="005A12BA"/>
    <w:rsid w:val="005A12F1"/>
    <w:rsid w:val="005A142F"/>
    <w:rsid w:val="005A1456"/>
    <w:rsid w:val="005A14D5"/>
    <w:rsid w:val="005A1522"/>
    <w:rsid w:val="005A152B"/>
    <w:rsid w:val="005A158E"/>
    <w:rsid w:val="005A1675"/>
    <w:rsid w:val="005A1686"/>
    <w:rsid w:val="005A175B"/>
    <w:rsid w:val="005A17EB"/>
    <w:rsid w:val="005A1819"/>
    <w:rsid w:val="005A1830"/>
    <w:rsid w:val="005A1838"/>
    <w:rsid w:val="005A183D"/>
    <w:rsid w:val="005A1844"/>
    <w:rsid w:val="005A187A"/>
    <w:rsid w:val="005A1A36"/>
    <w:rsid w:val="005A1A64"/>
    <w:rsid w:val="005A1A77"/>
    <w:rsid w:val="005A1A97"/>
    <w:rsid w:val="005A1B55"/>
    <w:rsid w:val="005A1BCF"/>
    <w:rsid w:val="005A1C31"/>
    <w:rsid w:val="005A1C39"/>
    <w:rsid w:val="005A1C46"/>
    <w:rsid w:val="005A1C91"/>
    <w:rsid w:val="005A1CAA"/>
    <w:rsid w:val="005A1D0D"/>
    <w:rsid w:val="005A1D10"/>
    <w:rsid w:val="005A1D9A"/>
    <w:rsid w:val="005A1DD6"/>
    <w:rsid w:val="005A1E56"/>
    <w:rsid w:val="005A1F1C"/>
    <w:rsid w:val="005A1F37"/>
    <w:rsid w:val="005A1F38"/>
    <w:rsid w:val="005A1F61"/>
    <w:rsid w:val="005A2017"/>
    <w:rsid w:val="005A20BD"/>
    <w:rsid w:val="005A20CF"/>
    <w:rsid w:val="005A2180"/>
    <w:rsid w:val="005A2191"/>
    <w:rsid w:val="005A21F4"/>
    <w:rsid w:val="005A227C"/>
    <w:rsid w:val="005A228A"/>
    <w:rsid w:val="005A22EF"/>
    <w:rsid w:val="005A2304"/>
    <w:rsid w:val="005A2441"/>
    <w:rsid w:val="005A24A5"/>
    <w:rsid w:val="005A24BA"/>
    <w:rsid w:val="005A24CF"/>
    <w:rsid w:val="005A2530"/>
    <w:rsid w:val="005A25F4"/>
    <w:rsid w:val="005A260F"/>
    <w:rsid w:val="005A265B"/>
    <w:rsid w:val="005A26B9"/>
    <w:rsid w:val="005A2707"/>
    <w:rsid w:val="005A272E"/>
    <w:rsid w:val="005A287A"/>
    <w:rsid w:val="005A2890"/>
    <w:rsid w:val="005A28A6"/>
    <w:rsid w:val="005A2900"/>
    <w:rsid w:val="005A2962"/>
    <w:rsid w:val="005A29C8"/>
    <w:rsid w:val="005A2ACE"/>
    <w:rsid w:val="005A2B10"/>
    <w:rsid w:val="005A2BF2"/>
    <w:rsid w:val="005A2BFC"/>
    <w:rsid w:val="005A2C0C"/>
    <w:rsid w:val="005A2C49"/>
    <w:rsid w:val="005A2CE7"/>
    <w:rsid w:val="005A2D22"/>
    <w:rsid w:val="005A2D46"/>
    <w:rsid w:val="005A2D92"/>
    <w:rsid w:val="005A2D98"/>
    <w:rsid w:val="005A2DD9"/>
    <w:rsid w:val="005A2E48"/>
    <w:rsid w:val="005A2ED6"/>
    <w:rsid w:val="005A2F1F"/>
    <w:rsid w:val="005A3010"/>
    <w:rsid w:val="005A3024"/>
    <w:rsid w:val="005A3066"/>
    <w:rsid w:val="005A3082"/>
    <w:rsid w:val="005A30B7"/>
    <w:rsid w:val="005A3166"/>
    <w:rsid w:val="005A31A3"/>
    <w:rsid w:val="005A320A"/>
    <w:rsid w:val="005A3246"/>
    <w:rsid w:val="005A329F"/>
    <w:rsid w:val="005A32DF"/>
    <w:rsid w:val="005A3320"/>
    <w:rsid w:val="005A33CF"/>
    <w:rsid w:val="005A33E7"/>
    <w:rsid w:val="005A33FE"/>
    <w:rsid w:val="005A3455"/>
    <w:rsid w:val="005A349A"/>
    <w:rsid w:val="005A352B"/>
    <w:rsid w:val="005A35FC"/>
    <w:rsid w:val="005A3699"/>
    <w:rsid w:val="005A36FA"/>
    <w:rsid w:val="005A371B"/>
    <w:rsid w:val="005A37A7"/>
    <w:rsid w:val="005A3887"/>
    <w:rsid w:val="005A38A9"/>
    <w:rsid w:val="005A38AC"/>
    <w:rsid w:val="005A3907"/>
    <w:rsid w:val="005A396D"/>
    <w:rsid w:val="005A3A4B"/>
    <w:rsid w:val="005A3BBF"/>
    <w:rsid w:val="005A3C3B"/>
    <w:rsid w:val="005A3C97"/>
    <w:rsid w:val="005A3DD9"/>
    <w:rsid w:val="005A3DFB"/>
    <w:rsid w:val="005A3E35"/>
    <w:rsid w:val="005A3E9A"/>
    <w:rsid w:val="005A3EDF"/>
    <w:rsid w:val="005A3F48"/>
    <w:rsid w:val="005A4099"/>
    <w:rsid w:val="005A40F9"/>
    <w:rsid w:val="005A411D"/>
    <w:rsid w:val="005A4122"/>
    <w:rsid w:val="005A4164"/>
    <w:rsid w:val="005A41B3"/>
    <w:rsid w:val="005A41FD"/>
    <w:rsid w:val="005A427C"/>
    <w:rsid w:val="005A42C4"/>
    <w:rsid w:val="005A43AC"/>
    <w:rsid w:val="005A4405"/>
    <w:rsid w:val="005A4449"/>
    <w:rsid w:val="005A44D7"/>
    <w:rsid w:val="005A4545"/>
    <w:rsid w:val="005A4572"/>
    <w:rsid w:val="005A4576"/>
    <w:rsid w:val="005A461B"/>
    <w:rsid w:val="005A46C7"/>
    <w:rsid w:val="005A46ED"/>
    <w:rsid w:val="005A4716"/>
    <w:rsid w:val="005A473D"/>
    <w:rsid w:val="005A4742"/>
    <w:rsid w:val="005A47A9"/>
    <w:rsid w:val="005A4800"/>
    <w:rsid w:val="005A4839"/>
    <w:rsid w:val="005A4891"/>
    <w:rsid w:val="005A48AD"/>
    <w:rsid w:val="005A49CE"/>
    <w:rsid w:val="005A4A99"/>
    <w:rsid w:val="005A4AC1"/>
    <w:rsid w:val="005A4B37"/>
    <w:rsid w:val="005A4B58"/>
    <w:rsid w:val="005A4B62"/>
    <w:rsid w:val="005A4B7F"/>
    <w:rsid w:val="005A4B88"/>
    <w:rsid w:val="005A4BA8"/>
    <w:rsid w:val="005A4BCB"/>
    <w:rsid w:val="005A4BD9"/>
    <w:rsid w:val="005A4BF2"/>
    <w:rsid w:val="005A4C8B"/>
    <w:rsid w:val="005A4D59"/>
    <w:rsid w:val="005A4D7F"/>
    <w:rsid w:val="005A4DC6"/>
    <w:rsid w:val="005A4E03"/>
    <w:rsid w:val="005A4E6B"/>
    <w:rsid w:val="005A4F31"/>
    <w:rsid w:val="005A4F96"/>
    <w:rsid w:val="005A50B2"/>
    <w:rsid w:val="005A50D5"/>
    <w:rsid w:val="005A511B"/>
    <w:rsid w:val="005A5136"/>
    <w:rsid w:val="005A5157"/>
    <w:rsid w:val="005A517E"/>
    <w:rsid w:val="005A51B8"/>
    <w:rsid w:val="005A52AA"/>
    <w:rsid w:val="005A52AD"/>
    <w:rsid w:val="005A52DC"/>
    <w:rsid w:val="005A538C"/>
    <w:rsid w:val="005A541C"/>
    <w:rsid w:val="005A54BB"/>
    <w:rsid w:val="005A552D"/>
    <w:rsid w:val="005A5533"/>
    <w:rsid w:val="005A5578"/>
    <w:rsid w:val="005A55D3"/>
    <w:rsid w:val="005A55D4"/>
    <w:rsid w:val="005A55F0"/>
    <w:rsid w:val="005A560C"/>
    <w:rsid w:val="005A5620"/>
    <w:rsid w:val="005A562D"/>
    <w:rsid w:val="005A567B"/>
    <w:rsid w:val="005A56D5"/>
    <w:rsid w:val="005A573E"/>
    <w:rsid w:val="005A57DD"/>
    <w:rsid w:val="005A583C"/>
    <w:rsid w:val="005A5847"/>
    <w:rsid w:val="005A5853"/>
    <w:rsid w:val="005A58F3"/>
    <w:rsid w:val="005A5928"/>
    <w:rsid w:val="005A5949"/>
    <w:rsid w:val="005A5996"/>
    <w:rsid w:val="005A59A8"/>
    <w:rsid w:val="005A59C5"/>
    <w:rsid w:val="005A59D9"/>
    <w:rsid w:val="005A5A01"/>
    <w:rsid w:val="005A5A76"/>
    <w:rsid w:val="005A5ABA"/>
    <w:rsid w:val="005A5B8A"/>
    <w:rsid w:val="005A5C02"/>
    <w:rsid w:val="005A5C1A"/>
    <w:rsid w:val="005A5CBE"/>
    <w:rsid w:val="005A5CCF"/>
    <w:rsid w:val="005A5D57"/>
    <w:rsid w:val="005A5DA7"/>
    <w:rsid w:val="005A5E3D"/>
    <w:rsid w:val="005A5F12"/>
    <w:rsid w:val="005A5F1E"/>
    <w:rsid w:val="005A5FAB"/>
    <w:rsid w:val="005A6083"/>
    <w:rsid w:val="005A60B6"/>
    <w:rsid w:val="005A60EE"/>
    <w:rsid w:val="005A6138"/>
    <w:rsid w:val="005A6175"/>
    <w:rsid w:val="005A61CA"/>
    <w:rsid w:val="005A61DF"/>
    <w:rsid w:val="005A61F0"/>
    <w:rsid w:val="005A61FF"/>
    <w:rsid w:val="005A62E6"/>
    <w:rsid w:val="005A649D"/>
    <w:rsid w:val="005A651E"/>
    <w:rsid w:val="005A652A"/>
    <w:rsid w:val="005A6538"/>
    <w:rsid w:val="005A6541"/>
    <w:rsid w:val="005A65F6"/>
    <w:rsid w:val="005A661E"/>
    <w:rsid w:val="005A6656"/>
    <w:rsid w:val="005A6679"/>
    <w:rsid w:val="005A6690"/>
    <w:rsid w:val="005A66B1"/>
    <w:rsid w:val="005A6723"/>
    <w:rsid w:val="005A672B"/>
    <w:rsid w:val="005A672C"/>
    <w:rsid w:val="005A67EF"/>
    <w:rsid w:val="005A6824"/>
    <w:rsid w:val="005A6854"/>
    <w:rsid w:val="005A689A"/>
    <w:rsid w:val="005A68F9"/>
    <w:rsid w:val="005A69A3"/>
    <w:rsid w:val="005A69F6"/>
    <w:rsid w:val="005A6AD2"/>
    <w:rsid w:val="005A6B4F"/>
    <w:rsid w:val="005A6C6C"/>
    <w:rsid w:val="005A6D91"/>
    <w:rsid w:val="005A6E5B"/>
    <w:rsid w:val="005A6F66"/>
    <w:rsid w:val="005A6FFF"/>
    <w:rsid w:val="005A70AB"/>
    <w:rsid w:val="005A716C"/>
    <w:rsid w:val="005A7183"/>
    <w:rsid w:val="005A7194"/>
    <w:rsid w:val="005A7410"/>
    <w:rsid w:val="005A744B"/>
    <w:rsid w:val="005A7465"/>
    <w:rsid w:val="005A74A4"/>
    <w:rsid w:val="005A74C3"/>
    <w:rsid w:val="005A75C1"/>
    <w:rsid w:val="005A7691"/>
    <w:rsid w:val="005A772E"/>
    <w:rsid w:val="005A7759"/>
    <w:rsid w:val="005A788B"/>
    <w:rsid w:val="005A7999"/>
    <w:rsid w:val="005A79F8"/>
    <w:rsid w:val="005A7A2F"/>
    <w:rsid w:val="005A7A33"/>
    <w:rsid w:val="005A7A3A"/>
    <w:rsid w:val="005A7A7C"/>
    <w:rsid w:val="005A7AF9"/>
    <w:rsid w:val="005A7AFA"/>
    <w:rsid w:val="005A7B1A"/>
    <w:rsid w:val="005A7B5F"/>
    <w:rsid w:val="005A7BD5"/>
    <w:rsid w:val="005A7CD0"/>
    <w:rsid w:val="005A7CD7"/>
    <w:rsid w:val="005A7D69"/>
    <w:rsid w:val="005A7D7F"/>
    <w:rsid w:val="005A7E28"/>
    <w:rsid w:val="005A7ED3"/>
    <w:rsid w:val="005B0009"/>
    <w:rsid w:val="005B001A"/>
    <w:rsid w:val="005B00BC"/>
    <w:rsid w:val="005B00DA"/>
    <w:rsid w:val="005B0144"/>
    <w:rsid w:val="005B0185"/>
    <w:rsid w:val="005B0281"/>
    <w:rsid w:val="005B02C5"/>
    <w:rsid w:val="005B02EB"/>
    <w:rsid w:val="005B03E8"/>
    <w:rsid w:val="005B0428"/>
    <w:rsid w:val="005B0450"/>
    <w:rsid w:val="005B0492"/>
    <w:rsid w:val="005B053E"/>
    <w:rsid w:val="005B05CE"/>
    <w:rsid w:val="005B05EE"/>
    <w:rsid w:val="005B061E"/>
    <w:rsid w:val="005B0634"/>
    <w:rsid w:val="005B0666"/>
    <w:rsid w:val="005B0861"/>
    <w:rsid w:val="005B0934"/>
    <w:rsid w:val="005B0981"/>
    <w:rsid w:val="005B09AA"/>
    <w:rsid w:val="005B0A02"/>
    <w:rsid w:val="005B0A26"/>
    <w:rsid w:val="005B0A58"/>
    <w:rsid w:val="005B0A89"/>
    <w:rsid w:val="005B0BE9"/>
    <w:rsid w:val="005B0BF4"/>
    <w:rsid w:val="005B0C1A"/>
    <w:rsid w:val="005B0CCD"/>
    <w:rsid w:val="005B0D1C"/>
    <w:rsid w:val="005B0D69"/>
    <w:rsid w:val="005B0D6A"/>
    <w:rsid w:val="005B0DF5"/>
    <w:rsid w:val="005B0E89"/>
    <w:rsid w:val="005B0F93"/>
    <w:rsid w:val="005B0FEA"/>
    <w:rsid w:val="005B1047"/>
    <w:rsid w:val="005B1062"/>
    <w:rsid w:val="005B10F9"/>
    <w:rsid w:val="005B1139"/>
    <w:rsid w:val="005B11D2"/>
    <w:rsid w:val="005B11D7"/>
    <w:rsid w:val="005B12A9"/>
    <w:rsid w:val="005B12D4"/>
    <w:rsid w:val="005B13F1"/>
    <w:rsid w:val="005B1517"/>
    <w:rsid w:val="005B154F"/>
    <w:rsid w:val="005B1560"/>
    <w:rsid w:val="005B15E4"/>
    <w:rsid w:val="005B1604"/>
    <w:rsid w:val="005B1671"/>
    <w:rsid w:val="005B178A"/>
    <w:rsid w:val="005B17A7"/>
    <w:rsid w:val="005B1825"/>
    <w:rsid w:val="005B191B"/>
    <w:rsid w:val="005B193F"/>
    <w:rsid w:val="005B19C5"/>
    <w:rsid w:val="005B1AAA"/>
    <w:rsid w:val="005B1B9B"/>
    <w:rsid w:val="005B1BDC"/>
    <w:rsid w:val="005B1C18"/>
    <w:rsid w:val="005B1EBC"/>
    <w:rsid w:val="005B1EC0"/>
    <w:rsid w:val="005B1EEE"/>
    <w:rsid w:val="005B1F77"/>
    <w:rsid w:val="005B2024"/>
    <w:rsid w:val="005B208A"/>
    <w:rsid w:val="005B20C6"/>
    <w:rsid w:val="005B20DB"/>
    <w:rsid w:val="005B20EC"/>
    <w:rsid w:val="005B2172"/>
    <w:rsid w:val="005B21F0"/>
    <w:rsid w:val="005B2200"/>
    <w:rsid w:val="005B2244"/>
    <w:rsid w:val="005B2279"/>
    <w:rsid w:val="005B2358"/>
    <w:rsid w:val="005B2368"/>
    <w:rsid w:val="005B236D"/>
    <w:rsid w:val="005B2385"/>
    <w:rsid w:val="005B2398"/>
    <w:rsid w:val="005B23E3"/>
    <w:rsid w:val="005B24D2"/>
    <w:rsid w:val="005B2506"/>
    <w:rsid w:val="005B2511"/>
    <w:rsid w:val="005B25B1"/>
    <w:rsid w:val="005B25F4"/>
    <w:rsid w:val="005B26EE"/>
    <w:rsid w:val="005B272C"/>
    <w:rsid w:val="005B277A"/>
    <w:rsid w:val="005B2788"/>
    <w:rsid w:val="005B2836"/>
    <w:rsid w:val="005B2879"/>
    <w:rsid w:val="005B2940"/>
    <w:rsid w:val="005B2993"/>
    <w:rsid w:val="005B29F4"/>
    <w:rsid w:val="005B29FA"/>
    <w:rsid w:val="005B2A3D"/>
    <w:rsid w:val="005B2A6A"/>
    <w:rsid w:val="005B2B66"/>
    <w:rsid w:val="005B2BA1"/>
    <w:rsid w:val="005B2BE6"/>
    <w:rsid w:val="005B2CAF"/>
    <w:rsid w:val="005B2CC8"/>
    <w:rsid w:val="005B2CF7"/>
    <w:rsid w:val="005B2F55"/>
    <w:rsid w:val="005B2F60"/>
    <w:rsid w:val="005B307B"/>
    <w:rsid w:val="005B3096"/>
    <w:rsid w:val="005B30D2"/>
    <w:rsid w:val="005B317E"/>
    <w:rsid w:val="005B31B8"/>
    <w:rsid w:val="005B31D5"/>
    <w:rsid w:val="005B32FE"/>
    <w:rsid w:val="005B3340"/>
    <w:rsid w:val="005B33A9"/>
    <w:rsid w:val="005B33CB"/>
    <w:rsid w:val="005B33F2"/>
    <w:rsid w:val="005B341C"/>
    <w:rsid w:val="005B3426"/>
    <w:rsid w:val="005B3493"/>
    <w:rsid w:val="005B3496"/>
    <w:rsid w:val="005B355D"/>
    <w:rsid w:val="005B3565"/>
    <w:rsid w:val="005B3614"/>
    <w:rsid w:val="005B3616"/>
    <w:rsid w:val="005B3626"/>
    <w:rsid w:val="005B3650"/>
    <w:rsid w:val="005B368E"/>
    <w:rsid w:val="005B36E5"/>
    <w:rsid w:val="005B3720"/>
    <w:rsid w:val="005B3756"/>
    <w:rsid w:val="005B37BD"/>
    <w:rsid w:val="005B3810"/>
    <w:rsid w:val="005B38D2"/>
    <w:rsid w:val="005B38F0"/>
    <w:rsid w:val="005B38FD"/>
    <w:rsid w:val="005B39C8"/>
    <w:rsid w:val="005B39DF"/>
    <w:rsid w:val="005B3A83"/>
    <w:rsid w:val="005B3A96"/>
    <w:rsid w:val="005B3B04"/>
    <w:rsid w:val="005B3B10"/>
    <w:rsid w:val="005B3BB1"/>
    <w:rsid w:val="005B3CA1"/>
    <w:rsid w:val="005B3CAB"/>
    <w:rsid w:val="005B3CFC"/>
    <w:rsid w:val="005B3D21"/>
    <w:rsid w:val="005B3EE0"/>
    <w:rsid w:val="005B3EE3"/>
    <w:rsid w:val="005B3EFA"/>
    <w:rsid w:val="005B3F53"/>
    <w:rsid w:val="005B3FA1"/>
    <w:rsid w:val="005B3FAC"/>
    <w:rsid w:val="005B3FC0"/>
    <w:rsid w:val="005B3FF1"/>
    <w:rsid w:val="005B4037"/>
    <w:rsid w:val="005B4063"/>
    <w:rsid w:val="005B407F"/>
    <w:rsid w:val="005B4143"/>
    <w:rsid w:val="005B41D2"/>
    <w:rsid w:val="005B41FD"/>
    <w:rsid w:val="005B4213"/>
    <w:rsid w:val="005B4222"/>
    <w:rsid w:val="005B4237"/>
    <w:rsid w:val="005B424F"/>
    <w:rsid w:val="005B4260"/>
    <w:rsid w:val="005B42A2"/>
    <w:rsid w:val="005B432D"/>
    <w:rsid w:val="005B437B"/>
    <w:rsid w:val="005B4386"/>
    <w:rsid w:val="005B43CE"/>
    <w:rsid w:val="005B44A6"/>
    <w:rsid w:val="005B44F3"/>
    <w:rsid w:val="005B452B"/>
    <w:rsid w:val="005B4760"/>
    <w:rsid w:val="005B47E1"/>
    <w:rsid w:val="005B484E"/>
    <w:rsid w:val="005B488F"/>
    <w:rsid w:val="005B4934"/>
    <w:rsid w:val="005B49EC"/>
    <w:rsid w:val="005B4A15"/>
    <w:rsid w:val="005B4A9F"/>
    <w:rsid w:val="005B4AED"/>
    <w:rsid w:val="005B4B4B"/>
    <w:rsid w:val="005B4C37"/>
    <w:rsid w:val="005B4C55"/>
    <w:rsid w:val="005B4C8E"/>
    <w:rsid w:val="005B4D47"/>
    <w:rsid w:val="005B4DA8"/>
    <w:rsid w:val="005B4E27"/>
    <w:rsid w:val="005B4E8B"/>
    <w:rsid w:val="005B4EA1"/>
    <w:rsid w:val="005B4F52"/>
    <w:rsid w:val="005B5070"/>
    <w:rsid w:val="005B5083"/>
    <w:rsid w:val="005B50BA"/>
    <w:rsid w:val="005B50C7"/>
    <w:rsid w:val="005B50E6"/>
    <w:rsid w:val="005B50EA"/>
    <w:rsid w:val="005B5172"/>
    <w:rsid w:val="005B5208"/>
    <w:rsid w:val="005B5234"/>
    <w:rsid w:val="005B5326"/>
    <w:rsid w:val="005B549E"/>
    <w:rsid w:val="005B554A"/>
    <w:rsid w:val="005B557A"/>
    <w:rsid w:val="005B5585"/>
    <w:rsid w:val="005B57E8"/>
    <w:rsid w:val="005B584A"/>
    <w:rsid w:val="005B58F8"/>
    <w:rsid w:val="005B58FF"/>
    <w:rsid w:val="005B5B34"/>
    <w:rsid w:val="005B5B42"/>
    <w:rsid w:val="005B5BA3"/>
    <w:rsid w:val="005B5BE4"/>
    <w:rsid w:val="005B5BE6"/>
    <w:rsid w:val="005B5C16"/>
    <w:rsid w:val="005B5C77"/>
    <w:rsid w:val="005B5CA6"/>
    <w:rsid w:val="005B5CCB"/>
    <w:rsid w:val="005B5CDA"/>
    <w:rsid w:val="005B5CFF"/>
    <w:rsid w:val="005B5D1B"/>
    <w:rsid w:val="005B5D73"/>
    <w:rsid w:val="005B5D9E"/>
    <w:rsid w:val="005B5E9C"/>
    <w:rsid w:val="005B5EAC"/>
    <w:rsid w:val="005B5EE7"/>
    <w:rsid w:val="005B5EF2"/>
    <w:rsid w:val="005B607F"/>
    <w:rsid w:val="005B613C"/>
    <w:rsid w:val="005B6157"/>
    <w:rsid w:val="005B615B"/>
    <w:rsid w:val="005B6243"/>
    <w:rsid w:val="005B63A8"/>
    <w:rsid w:val="005B6417"/>
    <w:rsid w:val="005B6435"/>
    <w:rsid w:val="005B64CC"/>
    <w:rsid w:val="005B6527"/>
    <w:rsid w:val="005B653F"/>
    <w:rsid w:val="005B6542"/>
    <w:rsid w:val="005B6545"/>
    <w:rsid w:val="005B65C3"/>
    <w:rsid w:val="005B6698"/>
    <w:rsid w:val="005B669C"/>
    <w:rsid w:val="005B66E2"/>
    <w:rsid w:val="005B678E"/>
    <w:rsid w:val="005B67C9"/>
    <w:rsid w:val="005B67EF"/>
    <w:rsid w:val="005B680A"/>
    <w:rsid w:val="005B6829"/>
    <w:rsid w:val="005B684E"/>
    <w:rsid w:val="005B6891"/>
    <w:rsid w:val="005B68F1"/>
    <w:rsid w:val="005B699F"/>
    <w:rsid w:val="005B69DE"/>
    <w:rsid w:val="005B69EE"/>
    <w:rsid w:val="005B6A01"/>
    <w:rsid w:val="005B6A6B"/>
    <w:rsid w:val="005B6B2F"/>
    <w:rsid w:val="005B6B3E"/>
    <w:rsid w:val="005B6CE3"/>
    <w:rsid w:val="005B6D06"/>
    <w:rsid w:val="005B6DED"/>
    <w:rsid w:val="005B6E14"/>
    <w:rsid w:val="005B6E26"/>
    <w:rsid w:val="005B6E2C"/>
    <w:rsid w:val="005B6E43"/>
    <w:rsid w:val="005B6FA3"/>
    <w:rsid w:val="005B703B"/>
    <w:rsid w:val="005B7062"/>
    <w:rsid w:val="005B7071"/>
    <w:rsid w:val="005B7102"/>
    <w:rsid w:val="005B7151"/>
    <w:rsid w:val="005B717C"/>
    <w:rsid w:val="005B717F"/>
    <w:rsid w:val="005B719C"/>
    <w:rsid w:val="005B72D9"/>
    <w:rsid w:val="005B7346"/>
    <w:rsid w:val="005B7378"/>
    <w:rsid w:val="005B7406"/>
    <w:rsid w:val="005B7428"/>
    <w:rsid w:val="005B7560"/>
    <w:rsid w:val="005B7686"/>
    <w:rsid w:val="005B7741"/>
    <w:rsid w:val="005B77BD"/>
    <w:rsid w:val="005B78E0"/>
    <w:rsid w:val="005B7956"/>
    <w:rsid w:val="005B79A2"/>
    <w:rsid w:val="005B79FF"/>
    <w:rsid w:val="005B7A47"/>
    <w:rsid w:val="005B7A4D"/>
    <w:rsid w:val="005B7AFB"/>
    <w:rsid w:val="005B7B04"/>
    <w:rsid w:val="005B7BCD"/>
    <w:rsid w:val="005B7D04"/>
    <w:rsid w:val="005B7D3C"/>
    <w:rsid w:val="005B7D89"/>
    <w:rsid w:val="005B7DFA"/>
    <w:rsid w:val="005B7E6A"/>
    <w:rsid w:val="005B7EBA"/>
    <w:rsid w:val="005B7F93"/>
    <w:rsid w:val="005C0001"/>
    <w:rsid w:val="005C0032"/>
    <w:rsid w:val="005C0080"/>
    <w:rsid w:val="005C00DB"/>
    <w:rsid w:val="005C0185"/>
    <w:rsid w:val="005C0213"/>
    <w:rsid w:val="005C045D"/>
    <w:rsid w:val="005C0474"/>
    <w:rsid w:val="005C04F7"/>
    <w:rsid w:val="005C050F"/>
    <w:rsid w:val="005C0510"/>
    <w:rsid w:val="005C058F"/>
    <w:rsid w:val="005C05F3"/>
    <w:rsid w:val="005C05FF"/>
    <w:rsid w:val="005C067C"/>
    <w:rsid w:val="005C06F4"/>
    <w:rsid w:val="005C0726"/>
    <w:rsid w:val="005C0771"/>
    <w:rsid w:val="005C0779"/>
    <w:rsid w:val="005C0787"/>
    <w:rsid w:val="005C079C"/>
    <w:rsid w:val="005C07B9"/>
    <w:rsid w:val="005C088E"/>
    <w:rsid w:val="005C0915"/>
    <w:rsid w:val="005C09BF"/>
    <w:rsid w:val="005C09FD"/>
    <w:rsid w:val="005C0A72"/>
    <w:rsid w:val="005C0B8F"/>
    <w:rsid w:val="005C0C2A"/>
    <w:rsid w:val="005C0CCF"/>
    <w:rsid w:val="005C0D47"/>
    <w:rsid w:val="005C0D62"/>
    <w:rsid w:val="005C0D71"/>
    <w:rsid w:val="005C0D84"/>
    <w:rsid w:val="005C0DD0"/>
    <w:rsid w:val="005C0E34"/>
    <w:rsid w:val="005C0E54"/>
    <w:rsid w:val="005C0EE8"/>
    <w:rsid w:val="005C0F83"/>
    <w:rsid w:val="005C0FAA"/>
    <w:rsid w:val="005C0FAE"/>
    <w:rsid w:val="005C1003"/>
    <w:rsid w:val="005C117E"/>
    <w:rsid w:val="005C1180"/>
    <w:rsid w:val="005C11AD"/>
    <w:rsid w:val="005C11E3"/>
    <w:rsid w:val="005C11EC"/>
    <w:rsid w:val="005C1313"/>
    <w:rsid w:val="005C13DF"/>
    <w:rsid w:val="005C1493"/>
    <w:rsid w:val="005C169A"/>
    <w:rsid w:val="005C1771"/>
    <w:rsid w:val="005C179B"/>
    <w:rsid w:val="005C193E"/>
    <w:rsid w:val="005C195F"/>
    <w:rsid w:val="005C1996"/>
    <w:rsid w:val="005C1A78"/>
    <w:rsid w:val="005C1ABC"/>
    <w:rsid w:val="005C1AE6"/>
    <w:rsid w:val="005C1B17"/>
    <w:rsid w:val="005C1B41"/>
    <w:rsid w:val="005C1B59"/>
    <w:rsid w:val="005C1B64"/>
    <w:rsid w:val="005C1B66"/>
    <w:rsid w:val="005C1BA9"/>
    <w:rsid w:val="005C1C4A"/>
    <w:rsid w:val="005C1C7A"/>
    <w:rsid w:val="005C1D56"/>
    <w:rsid w:val="005C1D9F"/>
    <w:rsid w:val="005C1DFE"/>
    <w:rsid w:val="005C1EE9"/>
    <w:rsid w:val="005C1EF5"/>
    <w:rsid w:val="005C1F1F"/>
    <w:rsid w:val="005C1F3C"/>
    <w:rsid w:val="005C1F42"/>
    <w:rsid w:val="005C1F91"/>
    <w:rsid w:val="005C1FA2"/>
    <w:rsid w:val="005C1FB7"/>
    <w:rsid w:val="005C1FB9"/>
    <w:rsid w:val="005C2013"/>
    <w:rsid w:val="005C217F"/>
    <w:rsid w:val="005C218E"/>
    <w:rsid w:val="005C21AF"/>
    <w:rsid w:val="005C222B"/>
    <w:rsid w:val="005C22F8"/>
    <w:rsid w:val="005C2333"/>
    <w:rsid w:val="005C2370"/>
    <w:rsid w:val="005C23B2"/>
    <w:rsid w:val="005C23B8"/>
    <w:rsid w:val="005C2469"/>
    <w:rsid w:val="005C24CE"/>
    <w:rsid w:val="005C2511"/>
    <w:rsid w:val="005C2564"/>
    <w:rsid w:val="005C2581"/>
    <w:rsid w:val="005C25B5"/>
    <w:rsid w:val="005C2662"/>
    <w:rsid w:val="005C26D6"/>
    <w:rsid w:val="005C2789"/>
    <w:rsid w:val="005C278E"/>
    <w:rsid w:val="005C2852"/>
    <w:rsid w:val="005C2942"/>
    <w:rsid w:val="005C299E"/>
    <w:rsid w:val="005C29BB"/>
    <w:rsid w:val="005C29C8"/>
    <w:rsid w:val="005C2B5E"/>
    <w:rsid w:val="005C2B72"/>
    <w:rsid w:val="005C2C14"/>
    <w:rsid w:val="005C2C31"/>
    <w:rsid w:val="005C2D20"/>
    <w:rsid w:val="005C2D7A"/>
    <w:rsid w:val="005C2DCC"/>
    <w:rsid w:val="005C2E5A"/>
    <w:rsid w:val="005C2EDC"/>
    <w:rsid w:val="005C2FAA"/>
    <w:rsid w:val="005C3027"/>
    <w:rsid w:val="005C309F"/>
    <w:rsid w:val="005C3106"/>
    <w:rsid w:val="005C3122"/>
    <w:rsid w:val="005C312A"/>
    <w:rsid w:val="005C315A"/>
    <w:rsid w:val="005C31E2"/>
    <w:rsid w:val="005C31EE"/>
    <w:rsid w:val="005C3211"/>
    <w:rsid w:val="005C3226"/>
    <w:rsid w:val="005C32F3"/>
    <w:rsid w:val="005C3333"/>
    <w:rsid w:val="005C333F"/>
    <w:rsid w:val="005C33DC"/>
    <w:rsid w:val="005C33E6"/>
    <w:rsid w:val="005C33EB"/>
    <w:rsid w:val="005C33F3"/>
    <w:rsid w:val="005C33FB"/>
    <w:rsid w:val="005C3405"/>
    <w:rsid w:val="005C3495"/>
    <w:rsid w:val="005C356E"/>
    <w:rsid w:val="005C35B8"/>
    <w:rsid w:val="005C35E2"/>
    <w:rsid w:val="005C35F9"/>
    <w:rsid w:val="005C363E"/>
    <w:rsid w:val="005C3694"/>
    <w:rsid w:val="005C36D9"/>
    <w:rsid w:val="005C373E"/>
    <w:rsid w:val="005C3833"/>
    <w:rsid w:val="005C3895"/>
    <w:rsid w:val="005C38B3"/>
    <w:rsid w:val="005C38D9"/>
    <w:rsid w:val="005C39E4"/>
    <w:rsid w:val="005C3A2B"/>
    <w:rsid w:val="005C3A8A"/>
    <w:rsid w:val="005C3B4C"/>
    <w:rsid w:val="005C3B5B"/>
    <w:rsid w:val="005C3B64"/>
    <w:rsid w:val="005C3BB1"/>
    <w:rsid w:val="005C3BF4"/>
    <w:rsid w:val="005C3C13"/>
    <w:rsid w:val="005C3C47"/>
    <w:rsid w:val="005C3C71"/>
    <w:rsid w:val="005C3CB9"/>
    <w:rsid w:val="005C3CCF"/>
    <w:rsid w:val="005C3CFD"/>
    <w:rsid w:val="005C3D46"/>
    <w:rsid w:val="005C3E28"/>
    <w:rsid w:val="005C3EEE"/>
    <w:rsid w:val="005C3F3E"/>
    <w:rsid w:val="005C3FF6"/>
    <w:rsid w:val="005C402E"/>
    <w:rsid w:val="005C4063"/>
    <w:rsid w:val="005C4077"/>
    <w:rsid w:val="005C40D0"/>
    <w:rsid w:val="005C410F"/>
    <w:rsid w:val="005C41CC"/>
    <w:rsid w:val="005C41FE"/>
    <w:rsid w:val="005C4263"/>
    <w:rsid w:val="005C42B1"/>
    <w:rsid w:val="005C430F"/>
    <w:rsid w:val="005C43FC"/>
    <w:rsid w:val="005C446C"/>
    <w:rsid w:val="005C4484"/>
    <w:rsid w:val="005C449E"/>
    <w:rsid w:val="005C44B0"/>
    <w:rsid w:val="005C44D6"/>
    <w:rsid w:val="005C44DF"/>
    <w:rsid w:val="005C44F3"/>
    <w:rsid w:val="005C457E"/>
    <w:rsid w:val="005C4590"/>
    <w:rsid w:val="005C4672"/>
    <w:rsid w:val="005C46C6"/>
    <w:rsid w:val="005C46D6"/>
    <w:rsid w:val="005C46EF"/>
    <w:rsid w:val="005C4761"/>
    <w:rsid w:val="005C4762"/>
    <w:rsid w:val="005C47A2"/>
    <w:rsid w:val="005C47AF"/>
    <w:rsid w:val="005C47B5"/>
    <w:rsid w:val="005C47BA"/>
    <w:rsid w:val="005C47DE"/>
    <w:rsid w:val="005C480C"/>
    <w:rsid w:val="005C494B"/>
    <w:rsid w:val="005C494F"/>
    <w:rsid w:val="005C4959"/>
    <w:rsid w:val="005C4986"/>
    <w:rsid w:val="005C4997"/>
    <w:rsid w:val="005C49D9"/>
    <w:rsid w:val="005C4A22"/>
    <w:rsid w:val="005C4A33"/>
    <w:rsid w:val="005C4A9A"/>
    <w:rsid w:val="005C4AAB"/>
    <w:rsid w:val="005C4BA2"/>
    <w:rsid w:val="005C4BD5"/>
    <w:rsid w:val="005C4C71"/>
    <w:rsid w:val="005C4DC5"/>
    <w:rsid w:val="005C4E2F"/>
    <w:rsid w:val="005C4E6F"/>
    <w:rsid w:val="005C4EAE"/>
    <w:rsid w:val="005C4F0C"/>
    <w:rsid w:val="005C50A7"/>
    <w:rsid w:val="005C50D5"/>
    <w:rsid w:val="005C50FB"/>
    <w:rsid w:val="005C510E"/>
    <w:rsid w:val="005C5170"/>
    <w:rsid w:val="005C523E"/>
    <w:rsid w:val="005C5253"/>
    <w:rsid w:val="005C534E"/>
    <w:rsid w:val="005C5353"/>
    <w:rsid w:val="005C536C"/>
    <w:rsid w:val="005C5386"/>
    <w:rsid w:val="005C53D6"/>
    <w:rsid w:val="005C5410"/>
    <w:rsid w:val="005C546A"/>
    <w:rsid w:val="005C549F"/>
    <w:rsid w:val="005C54B4"/>
    <w:rsid w:val="005C551F"/>
    <w:rsid w:val="005C561B"/>
    <w:rsid w:val="005C5629"/>
    <w:rsid w:val="005C567E"/>
    <w:rsid w:val="005C56BB"/>
    <w:rsid w:val="005C573E"/>
    <w:rsid w:val="005C57AA"/>
    <w:rsid w:val="005C582D"/>
    <w:rsid w:val="005C5922"/>
    <w:rsid w:val="005C5AAE"/>
    <w:rsid w:val="005C5AB4"/>
    <w:rsid w:val="005C5BC7"/>
    <w:rsid w:val="005C5BEB"/>
    <w:rsid w:val="005C5DCD"/>
    <w:rsid w:val="005C5E45"/>
    <w:rsid w:val="005C5F38"/>
    <w:rsid w:val="005C5F56"/>
    <w:rsid w:val="005C5FAF"/>
    <w:rsid w:val="005C5FC2"/>
    <w:rsid w:val="005C5FEA"/>
    <w:rsid w:val="005C6024"/>
    <w:rsid w:val="005C6048"/>
    <w:rsid w:val="005C6073"/>
    <w:rsid w:val="005C609C"/>
    <w:rsid w:val="005C60B6"/>
    <w:rsid w:val="005C6108"/>
    <w:rsid w:val="005C6131"/>
    <w:rsid w:val="005C6198"/>
    <w:rsid w:val="005C61DB"/>
    <w:rsid w:val="005C6209"/>
    <w:rsid w:val="005C62B5"/>
    <w:rsid w:val="005C62FB"/>
    <w:rsid w:val="005C62FE"/>
    <w:rsid w:val="005C6370"/>
    <w:rsid w:val="005C63A2"/>
    <w:rsid w:val="005C63A6"/>
    <w:rsid w:val="005C641B"/>
    <w:rsid w:val="005C643D"/>
    <w:rsid w:val="005C65A8"/>
    <w:rsid w:val="005C65EB"/>
    <w:rsid w:val="005C6637"/>
    <w:rsid w:val="005C6652"/>
    <w:rsid w:val="005C6677"/>
    <w:rsid w:val="005C667C"/>
    <w:rsid w:val="005C66A2"/>
    <w:rsid w:val="005C66B4"/>
    <w:rsid w:val="005C66D8"/>
    <w:rsid w:val="005C671B"/>
    <w:rsid w:val="005C6785"/>
    <w:rsid w:val="005C6809"/>
    <w:rsid w:val="005C6828"/>
    <w:rsid w:val="005C685D"/>
    <w:rsid w:val="005C6883"/>
    <w:rsid w:val="005C68B5"/>
    <w:rsid w:val="005C692E"/>
    <w:rsid w:val="005C6933"/>
    <w:rsid w:val="005C693C"/>
    <w:rsid w:val="005C6977"/>
    <w:rsid w:val="005C698C"/>
    <w:rsid w:val="005C6996"/>
    <w:rsid w:val="005C6A03"/>
    <w:rsid w:val="005C6A44"/>
    <w:rsid w:val="005C6A59"/>
    <w:rsid w:val="005C6AB1"/>
    <w:rsid w:val="005C6B58"/>
    <w:rsid w:val="005C6BB8"/>
    <w:rsid w:val="005C6C06"/>
    <w:rsid w:val="005C6CB4"/>
    <w:rsid w:val="005C6CE2"/>
    <w:rsid w:val="005C6D28"/>
    <w:rsid w:val="005C6D84"/>
    <w:rsid w:val="005C6E03"/>
    <w:rsid w:val="005C6E30"/>
    <w:rsid w:val="005C6EC8"/>
    <w:rsid w:val="005C6F35"/>
    <w:rsid w:val="005C6F47"/>
    <w:rsid w:val="005C6F59"/>
    <w:rsid w:val="005C6F5A"/>
    <w:rsid w:val="005C6FC2"/>
    <w:rsid w:val="005C6FC4"/>
    <w:rsid w:val="005C6FCE"/>
    <w:rsid w:val="005C7025"/>
    <w:rsid w:val="005C70D0"/>
    <w:rsid w:val="005C71C9"/>
    <w:rsid w:val="005C7267"/>
    <w:rsid w:val="005C72DD"/>
    <w:rsid w:val="005C7328"/>
    <w:rsid w:val="005C7364"/>
    <w:rsid w:val="005C736B"/>
    <w:rsid w:val="005C7372"/>
    <w:rsid w:val="005C74DF"/>
    <w:rsid w:val="005C758A"/>
    <w:rsid w:val="005C7631"/>
    <w:rsid w:val="005C7711"/>
    <w:rsid w:val="005C780B"/>
    <w:rsid w:val="005C782B"/>
    <w:rsid w:val="005C7831"/>
    <w:rsid w:val="005C7894"/>
    <w:rsid w:val="005C78AD"/>
    <w:rsid w:val="005C7903"/>
    <w:rsid w:val="005C79DC"/>
    <w:rsid w:val="005C7AA5"/>
    <w:rsid w:val="005C7ABB"/>
    <w:rsid w:val="005C7AEC"/>
    <w:rsid w:val="005C7B1C"/>
    <w:rsid w:val="005C7B32"/>
    <w:rsid w:val="005C7C22"/>
    <w:rsid w:val="005C7C41"/>
    <w:rsid w:val="005C7CB1"/>
    <w:rsid w:val="005C7CEB"/>
    <w:rsid w:val="005C7D16"/>
    <w:rsid w:val="005C7D31"/>
    <w:rsid w:val="005C7D43"/>
    <w:rsid w:val="005C7D61"/>
    <w:rsid w:val="005C7D9C"/>
    <w:rsid w:val="005C7DEE"/>
    <w:rsid w:val="005C7E7E"/>
    <w:rsid w:val="005C7EB3"/>
    <w:rsid w:val="005C7F5D"/>
    <w:rsid w:val="005C7FCB"/>
    <w:rsid w:val="005C7FD5"/>
    <w:rsid w:val="005D0008"/>
    <w:rsid w:val="005D0117"/>
    <w:rsid w:val="005D0136"/>
    <w:rsid w:val="005D034D"/>
    <w:rsid w:val="005D04A1"/>
    <w:rsid w:val="005D04CC"/>
    <w:rsid w:val="005D0698"/>
    <w:rsid w:val="005D079F"/>
    <w:rsid w:val="005D07F9"/>
    <w:rsid w:val="005D0801"/>
    <w:rsid w:val="005D0879"/>
    <w:rsid w:val="005D088A"/>
    <w:rsid w:val="005D0A2F"/>
    <w:rsid w:val="005D0B26"/>
    <w:rsid w:val="005D0B7B"/>
    <w:rsid w:val="005D0B8E"/>
    <w:rsid w:val="005D0BBD"/>
    <w:rsid w:val="005D0C0F"/>
    <w:rsid w:val="005D0C4B"/>
    <w:rsid w:val="005D0D0E"/>
    <w:rsid w:val="005D0D9E"/>
    <w:rsid w:val="005D0DCD"/>
    <w:rsid w:val="005D0E55"/>
    <w:rsid w:val="005D0E8C"/>
    <w:rsid w:val="005D0F53"/>
    <w:rsid w:val="005D0F80"/>
    <w:rsid w:val="005D0FD4"/>
    <w:rsid w:val="005D127A"/>
    <w:rsid w:val="005D135B"/>
    <w:rsid w:val="005D1384"/>
    <w:rsid w:val="005D13A1"/>
    <w:rsid w:val="005D1435"/>
    <w:rsid w:val="005D1446"/>
    <w:rsid w:val="005D14AB"/>
    <w:rsid w:val="005D152D"/>
    <w:rsid w:val="005D159C"/>
    <w:rsid w:val="005D160B"/>
    <w:rsid w:val="005D172D"/>
    <w:rsid w:val="005D1765"/>
    <w:rsid w:val="005D1774"/>
    <w:rsid w:val="005D178D"/>
    <w:rsid w:val="005D180E"/>
    <w:rsid w:val="005D1862"/>
    <w:rsid w:val="005D188F"/>
    <w:rsid w:val="005D18E0"/>
    <w:rsid w:val="005D1907"/>
    <w:rsid w:val="005D19B5"/>
    <w:rsid w:val="005D19D8"/>
    <w:rsid w:val="005D1BDD"/>
    <w:rsid w:val="005D1C0F"/>
    <w:rsid w:val="005D1CCD"/>
    <w:rsid w:val="005D1E31"/>
    <w:rsid w:val="005D1E65"/>
    <w:rsid w:val="005D1EC5"/>
    <w:rsid w:val="005D1EDA"/>
    <w:rsid w:val="005D1F46"/>
    <w:rsid w:val="005D205F"/>
    <w:rsid w:val="005D218B"/>
    <w:rsid w:val="005D2223"/>
    <w:rsid w:val="005D2227"/>
    <w:rsid w:val="005D2234"/>
    <w:rsid w:val="005D230B"/>
    <w:rsid w:val="005D23C3"/>
    <w:rsid w:val="005D23D9"/>
    <w:rsid w:val="005D245B"/>
    <w:rsid w:val="005D2501"/>
    <w:rsid w:val="005D2533"/>
    <w:rsid w:val="005D25ED"/>
    <w:rsid w:val="005D267B"/>
    <w:rsid w:val="005D26AB"/>
    <w:rsid w:val="005D26E8"/>
    <w:rsid w:val="005D26EF"/>
    <w:rsid w:val="005D29D1"/>
    <w:rsid w:val="005D2A85"/>
    <w:rsid w:val="005D2B25"/>
    <w:rsid w:val="005D2B90"/>
    <w:rsid w:val="005D2BB2"/>
    <w:rsid w:val="005D2CBB"/>
    <w:rsid w:val="005D2D00"/>
    <w:rsid w:val="005D2D67"/>
    <w:rsid w:val="005D2D68"/>
    <w:rsid w:val="005D2D89"/>
    <w:rsid w:val="005D2DF1"/>
    <w:rsid w:val="005D2E41"/>
    <w:rsid w:val="005D2EA2"/>
    <w:rsid w:val="005D2EBB"/>
    <w:rsid w:val="005D2EED"/>
    <w:rsid w:val="005D2F4E"/>
    <w:rsid w:val="005D2F80"/>
    <w:rsid w:val="005D2FD4"/>
    <w:rsid w:val="005D30BB"/>
    <w:rsid w:val="005D3148"/>
    <w:rsid w:val="005D31B3"/>
    <w:rsid w:val="005D3289"/>
    <w:rsid w:val="005D32A1"/>
    <w:rsid w:val="005D32A5"/>
    <w:rsid w:val="005D331D"/>
    <w:rsid w:val="005D335B"/>
    <w:rsid w:val="005D3463"/>
    <w:rsid w:val="005D35A8"/>
    <w:rsid w:val="005D35D8"/>
    <w:rsid w:val="005D35F0"/>
    <w:rsid w:val="005D36E1"/>
    <w:rsid w:val="005D3717"/>
    <w:rsid w:val="005D371B"/>
    <w:rsid w:val="005D3739"/>
    <w:rsid w:val="005D37C7"/>
    <w:rsid w:val="005D37D3"/>
    <w:rsid w:val="005D3855"/>
    <w:rsid w:val="005D3877"/>
    <w:rsid w:val="005D394F"/>
    <w:rsid w:val="005D39BF"/>
    <w:rsid w:val="005D3A37"/>
    <w:rsid w:val="005D3A69"/>
    <w:rsid w:val="005D3B26"/>
    <w:rsid w:val="005D3B61"/>
    <w:rsid w:val="005D3B93"/>
    <w:rsid w:val="005D3BDC"/>
    <w:rsid w:val="005D3C3A"/>
    <w:rsid w:val="005D3C4A"/>
    <w:rsid w:val="005D3C6C"/>
    <w:rsid w:val="005D3CC2"/>
    <w:rsid w:val="005D3D2D"/>
    <w:rsid w:val="005D3D83"/>
    <w:rsid w:val="005D3DD2"/>
    <w:rsid w:val="005D3DDD"/>
    <w:rsid w:val="005D3E94"/>
    <w:rsid w:val="005D3E97"/>
    <w:rsid w:val="005D3EC6"/>
    <w:rsid w:val="005D3F69"/>
    <w:rsid w:val="005D400F"/>
    <w:rsid w:val="005D403F"/>
    <w:rsid w:val="005D40A0"/>
    <w:rsid w:val="005D40C9"/>
    <w:rsid w:val="005D40D5"/>
    <w:rsid w:val="005D4105"/>
    <w:rsid w:val="005D410F"/>
    <w:rsid w:val="005D413F"/>
    <w:rsid w:val="005D41C2"/>
    <w:rsid w:val="005D41CE"/>
    <w:rsid w:val="005D4275"/>
    <w:rsid w:val="005D42A2"/>
    <w:rsid w:val="005D431B"/>
    <w:rsid w:val="005D4396"/>
    <w:rsid w:val="005D4435"/>
    <w:rsid w:val="005D4448"/>
    <w:rsid w:val="005D450C"/>
    <w:rsid w:val="005D4568"/>
    <w:rsid w:val="005D4642"/>
    <w:rsid w:val="005D4652"/>
    <w:rsid w:val="005D466C"/>
    <w:rsid w:val="005D471F"/>
    <w:rsid w:val="005D4766"/>
    <w:rsid w:val="005D47EC"/>
    <w:rsid w:val="005D4815"/>
    <w:rsid w:val="005D482F"/>
    <w:rsid w:val="005D484E"/>
    <w:rsid w:val="005D489C"/>
    <w:rsid w:val="005D48B1"/>
    <w:rsid w:val="005D4947"/>
    <w:rsid w:val="005D49F6"/>
    <w:rsid w:val="005D49FE"/>
    <w:rsid w:val="005D4B22"/>
    <w:rsid w:val="005D4B89"/>
    <w:rsid w:val="005D4C6B"/>
    <w:rsid w:val="005D4C94"/>
    <w:rsid w:val="005D4CE2"/>
    <w:rsid w:val="005D4D29"/>
    <w:rsid w:val="005D4D7F"/>
    <w:rsid w:val="005D4EEF"/>
    <w:rsid w:val="005D4F25"/>
    <w:rsid w:val="005D4F8A"/>
    <w:rsid w:val="005D502D"/>
    <w:rsid w:val="005D5038"/>
    <w:rsid w:val="005D50E4"/>
    <w:rsid w:val="005D5103"/>
    <w:rsid w:val="005D5168"/>
    <w:rsid w:val="005D51F6"/>
    <w:rsid w:val="005D5299"/>
    <w:rsid w:val="005D52B7"/>
    <w:rsid w:val="005D5317"/>
    <w:rsid w:val="005D53A6"/>
    <w:rsid w:val="005D53B3"/>
    <w:rsid w:val="005D53DB"/>
    <w:rsid w:val="005D5410"/>
    <w:rsid w:val="005D5431"/>
    <w:rsid w:val="005D543A"/>
    <w:rsid w:val="005D5445"/>
    <w:rsid w:val="005D549B"/>
    <w:rsid w:val="005D54F4"/>
    <w:rsid w:val="005D5528"/>
    <w:rsid w:val="005D555B"/>
    <w:rsid w:val="005D560A"/>
    <w:rsid w:val="005D5660"/>
    <w:rsid w:val="005D56BD"/>
    <w:rsid w:val="005D5713"/>
    <w:rsid w:val="005D5749"/>
    <w:rsid w:val="005D57FD"/>
    <w:rsid w:val="005D5827"/>
    <w:rsid w:val="005D5977"/>
    <w:rsid w:val="005D5993"/>
    <w:rsid w:val="005D5A40"/>
    <w:rsid w:val="005D5A4D"/>
    <w:rsid w:val="005D5B2F"/>
    <w:rsid w:val="005D5B43"/>
    <w:rsid w:val="005D5BE2"/>
    <w:rsid w:val="005D5BE5"/>
    <w:rsid w:val="005D5C02"/>
    <w:rsid w:val="005D5C52"/>
    <w:rsid w:val="005D5C6D"/>
    <w:rsid w:val="005D5CA8"/>
    <w:rsid w:val="005D5CCD"/>
    <w:rsid w:val="005D5CF8"/>
    <w:rsid w:val="005D5D70"/>
    <w:rsid w:val="005D5D89"/>
    <w:rsid w:val="005D5D9C"/>
    <w:rsid w:val="005D5DBA"/>
    <w:rsid w:val="005D5DE4"/>
    <w:rsid w:val="005D5E24"/>
    <w:rsid w:val="005D5FDC"/>
    <w:rsid w:val="005D604A"/>
    <w:rsid w:val="005D6057"/>
    <w:rsid w:val="005D6067"/>
    <w:rsid w:val="005D609A"/>
    <w:rsid w:val="005D60F2"/>
    <w:rsid w:val="005D60FD"/>
    <w:rsid w:val="005D610B"/>
    <w:rsid w:val="005D617E"/>
    <w:rsid w:val="005D6186"/>
    <w:rsid w:val="005D61B9"/>
    <w:rsid w:val="005D6209"/>
    <w:rsid w:val="005D62C5"/>
    <w:rsid w:val="005D62D0"/>
    <w:rsid w:val="005D6301"/>
    <w:rsid w:val="005D6329"/>
    <w:rsid w:val="005D63C3"/>
    <w:rsid w:val="005D63ED"/>
    <w:rsid w:val="005D6407"/>
    <w:rsid w:val="005D64D1"/>
    <w:rsid w:val="005D66B7"/>
    <w:rsid w:val="005D6705"/>
    <w:rsid w:val="005D672C"/>
    <w:rsid w:val="005D6769"/>
    <w:rsid w:val="005D6804"/>
    <w:rsid w:val="005D682E"/>
    <w:rsid w:val="005D68A4"/>
    <w:rsid w:val="005D68BB"/>
    <w:rsid w:val="005D68F4"/>
    <w:rsid w:val="005D69D5"/>
    <w:rsid w:val="005D6A3D"/>
    <w:rsid w:val="005D6A9C"/>
    <w:rsid w:val="005D6B82"/>
    <w:rsid w:val="005D6B9C"/>
    <w:rsid w:val="005D6C13"/>
    <w:rsid w:val="005D6C5B"/>
    <w:rsid w:val="005D6C66"/>
    <w:rsid w:val="005D6CBE"/>
    <w:rsid w:val="005D6EB3"/>
    <w:rsid w:val="005D6EE3"/>
    <w:rsid w:val="005D6F77"/>
    <w:rsid w:val="005D6FAA"/>
    <w:rsid w:val="005D6FC7"/>
    <w:rsid w:val="005D6FDF"/>
    <w:rsid w:val="005D6FF2"/>
    <w:rsid w:val="005D7050"/>
    <w:rsid w:val="005D70CB"/>
    <w:rsid w:val="005D7117"/>
    <w:rsid w:val="005D71B0"/>
    <w:rsid w:val="005D71EC"/>
    <w:rsid w:val="005D71F0"/>
    <w:rsid w:val="005D7289"/>
    <w:rsid w:val="005D72C5"/>
    <w:rsid w:val="005D72E3"/>
    <w:rsid w:val="005D7430"/>
    <w:rsid w:val="005D74CD"/>
    <w:rsid w:val="005D762A"/>
    <w:rsid w:val="005D7703"/>
    <w:rsid w:val="005D7723"/>
    <w:rsid w:val="005D7797"/>
    <w:rsid w:val="005D77ED"/>
    <w:rsid w:val="005D7803"/>
    <w:rsid w:val="005D79F8"/>
    <w:rsid w:val="005D7A25"/>
    <w:rsid w:val="005D7A36"/>
    <w:rsid w:val="005D7A7A"/>
    <w:rsid w:val="005D7AE1"/>
    <w:rsid w:val="005D7B26"/>
    <w:rsid w:val="005D7BBC"/>
    <w:rsid w:val="005D7C57"/>
    <w:rsid w:val="005D7C83"/>
    <w:rsid w:val="005D7C94"/>
    <w:rsid w:val="005D7D19"/>
    <w:rsid w:val="005D7D4F"/>
    <w:rsid w:val="005D7D53"/>
    <w:rsid w:val="005D7D71"/>
    <w:rsid w:val="005D7D97"/>
    <w:rsid w:val="005D7EB2"/>
    <w:rsid w:val="005D7F6E"/>
    <w:rsid w:val="005D7FAD"/>
    <w:rsid w:val="005E0006"/>
    <w:rsid w:val="005E000F"/>
    <w:rsid w:val="005E0040"/>
    <w:rsid w:val="005E0044"/>
    <w:rsid w:val="005E004D"/>
    <w:rsid w:val="005E0055"/>
    <w:rsid w:val="005E00CA"/>
    <w:rsid w:val="005E00CD"/>
    <w:rsid w:val="005E00DE"/>
    <w:rsid w:val="005E0274"/>
    <w:rsid w:val="005E0367"/>
    <w:rsid w:val="005E036A"/>
    <w:rsid w:val="005E03AD"/>
    <w:rsid w:val="005E043C"/>
    <w:rsid w:val="005E0481"/>
    <w:rsid w:val="005E0489"/>
    <w:rsid w:val="005E04C0"/>
    <w:rsid w:val="005E053C"/>
    <w:rsid w:val="005E05F6"/>
    <w:rsid w:val="005E0624"/>
    <w:rsid w:val="005E065F"/>
    <w:rsid w:val="005E0692"/>
    <w:rsid w:val="005E06D4"/>
    <w:rsid w:val="005E0715"/>
    <w:rsid w:val="005E07D1"/>
    <w:rsid w:val="005E07D6"/>
    <w:rsid w:val="005E0872"/>
    <w:rsid w:val="005E0924"/>
    <w:rsid w:val="005E09E5"/>
    <w:rsid w:val="005E0A5D"/>
    <w:rsid w:val="005E0AED"/>
    <w:rsid w:val="005E0B96"/>
    <w:rsid w:val="005E0BBC"/>
    <w:rsid w:val="005E0C2B"/>
    <w:rsid w:val="005E0CE3"/>
    <w:rsid w:val="005E0CFC"/>
    <w:rsid w:val="005E0D4A"/>
    <w:rsid w:val="005E0D58"/>
    <w:rsid w:val="005E0DBF"/>
    <w:rsid w:val="005E0DC6"/>
    <w:rsid w:val="005E0DF3"/>
    <w:rsid w:val="005E0E08"/>
    <w:rsid w:val="005E0E48"/>
    <w:rsid w:val="005E0E62"/>
    <w:rsid w:val="005E0F03"/>
    <w:rsid w:val="005E0F0C"/>
    <w:rsid w:val="005E0F18"/>
    <w:rsid w:val="005E0F22"/>
    <w:rsid w:val="005E108C"/>
    <w:rsid w:val="005E1127"/>
    <w:rsid w:val="005E113B"/>
    <w:rsid w:val="005E12A5"/>
    <w:rsid w:val="005E12A7"/>
    <w:rsid w:val="005E1486"/>
    <w:rsid w:val="005E1497"/>
    <w:rsid w:val="005E14F5"/>
    <w:rsid w:val="005E14F8"/>
    <w:rsid w:val="005E1578"/>
    <w:rsid w:val="005E1673"/>
    <w:rsid w:val="005E171F"/>
    <w:rsid w:val="005E1748"/>
    <w:rsid w:val="005E174D"/>
    <w:rsid w:val="005E17B9"/>
    <w:rsid w:val="005E1879"/>
    <w:rsid w:val="005E187C"/>
    <w:rsid w:val="005E193D"/>
    <w:rsid w:val="005E1971"/>
    <w:rsid w:val="005E1A99"/>
    <w:rsid w:val="005E1AB7"/>
    <w:rsid w:val="005E1AEC"/>
    <w:rsid w:val="005E1BA7"/>
    <w:rsid w:val="005E1BAC"/>
    <w:rsid w:val="005E1BD5"/>
    <w:rsid w:val="005E1C46"/>
    <w:rsid w:val="005E1C48"/>
    <w:rsid w:val="005E1C50"/>
    <w:rsid w:val="005E1C78"/>
    <w:rsid w:val="005E1E9A"/>
    <w:rsid w:val="005E1F8B"/>
    <w:rsid w:val="005E1F93"/>
    <w:rsid w:val="005E1FFF"/>
    <w:rsid w:val="005E200A"/>
    <w:rsid w:val="005E2015"/>
    <w:rsid w:val="005E2027"/>
    <w:rsid w:val="005E2067"/>
    <w:rsid w:val="005E2103"/>
    <w:rsid w:val="005E2109"/>
    <w:rsid w:val="005E212C"/>
    <w:rsid w:val="005E21B7"/>
    <w:rsid w:val="005E21CD"/>
    <w:rsid w:val="005E227C"/>
    <w:rsid w:val="005E2346"/>
    <w:rsid w:val="005E23ED"/>
    <w:rsid w:val="005E2446"/>
    <w:rsid w:val="005E24E4"/>
    <w:rsid w:val="005E24E8"/>
    <w:rsid w:val="005E2567"/>
    <w:rsid w:val="005E26FA"/>
    <w:rsid w:val="005E2739"/>
    <w:rsid w:val="005E2741"/>
    <w:rsid w:val="005E2940"/>
    <w:rsid w:val="005E296F"/>
    <w:rsid w:val="005E2985"/>
    <w:rsid w:val="005E29F7"/>
    <w:rsid w:val="005E2AE7"/>
    <w:rsid w:val="005E2B1C"/>
    <w:rsid w:val="005E2B4D"/>
    <w:rsid w:val="005E2BA2"/>
    <w:rsid w:val="005E2BFC"/>
    <w:rsid w:val="005E2C94"/>
    <w:rsid w:val="005E2CF9"/>
    <w:rsid w:val="005E2D0C"/>
    <w:rsid w:val="005E2D24"/>
    <w:rsid w:val="005E2D98"/>
    <w:rsid w:val="005E2E17"/>
    <w:rsid w:val="005E2E4A"/>
    <w:rsid w:val="005E2E57"/>
    <w:rsid w:val="005E2E5D"/>
    <w:rsid w:val="005E2F65"/>
    <w:rsid w:val="005E2F6A"/>
    <w:rsid w:val="005E2F7C"/>
    <w:rsid w:val="005E2FA2"/>
    <w:rsid w:val="005E3004"/>
    <w:rsid w:val="005E30B3"/>
    <w:rsid w:val="005E30BE"/>
    <w:rsid w:val="005E30D3"/>
    <w:rsid w:val="005E30E1"/>
    <w:rsid w:val="005E3189"/>
    <w:rsid w:val="005E3277"/>
    <w:rsid w:val="005E3290"/>
    <w:rsid w:val="005E32CC"/>
    <w:rsid w:val="005E3309"/>
    <w:rsid w:val="005E3433"/>
    <w:rsid w:val="005E3436"/>
    <w:rsid w:val="005E34B8"/>
    <w:rsid w:val="005E3552"/>
    <w:rsid w:val="005E35AC"/>
    <w:rsid w:val="005E3609"/>
    <w:rsid w:val="005E361B"/>
    <w:rsid w:val="005E3625"/>
    <w:rsid w:val="005E36B7"/>
    <w:rsid w:val="005E36C9"/>
    <w:rsid w:val="005E3729"/>
    <w:rsid w:val="005E3790"/>
    <w:rsid w:val="005E3818"/>
    <w:rsid w:val="005E387A"/>
    <w:rsid w:val="005E3893"/>
    <w:rsid w:val="005E38C5"/>
    <w:rsid w:val="005E3A59"/>
    <w:rsid w:val="005E3A83"/>
    <w:rsid w:val="005E3ADB"/>
    <w:rsid w:val="005E3AE3"/>
    <w:rsid w:val="005E3BDB"/>
    <w:rsid w:val="005E3C3F"/>
    <w:rsid w:val="005E3D26"/>
    <w:rsid w:val="005E3E40"/>
    <w:rsid w:val="005E3E52"/>
    <w:rsid w:val="005E3E86"/>
    <w:rsid w:val="005E3EAD"/>
    <w:rsid w:val="005E3ECE"/>
    <w:rsid w:val="005E3F6D"/>
    <w:rsid w:val="005E4065"/>
    <w:rsid w:val="005E40A4"/>
    <w:rsid w:val="005E40E9"/>
    <w:rsid w:val="005E410B"/>
    <w:rsid w:val="005E413F"/>
    <w:rsid w:val="005E41E2"/>
    <w:rsid w:val="005E4238"/>
    <w:rsid w:val="005E4249"/>
    <w:rsid w:val="005E4254"/>
    <w:rsid w:val="005E4286"/>
    <w:rsid w:val="005E431D"/>
    <w:rsid w:val="005E443A"/>
    <w:rsid w:val="005E448C"/>
    <w:rsid w:val="005E44E6"/>
    <w:rsid w:val="005E454F"/>
    <w:rsid w:val="005E45CE"/>
    <w:rsid w:val="005E4629"/>
    <w:rsid w:val="005E4649"/>
    <w:rsid w:val="005E4680"/>
    <w:rsid w:val="005E46B4"/>
    <w:rsid w:val="005E46C0"/>
    <w:rsid w:val="005E46D2"/>
    <w:rsid w:val="005E474A"/>
    <w:rsid w:val="005E487C"/>
    <w:rsid w:val="005E4935"/>
    <w:rsid w:val="005E4962"/>
    <w:rsid w:val="005E4A49"/>
    <w:rsid w:val="005E4A64"/>
    <w:rsid w:val="005E4B66"/>
    <w:rsid w:val="005E4BC2"/>
    <w:rsid w:val="005E4C20"/>
    <w:rsid w:val="005E4C4C"/>
    <w:rsid w:val="005E4D30"/>
    <w:rsid w:val="005E4D6C"/>
    <w:rsid w:val="005E4DB7"/>
    <w:rsid w:val="005E4DDE"/>
    <w:rsid w:val="005E4E77"/>
    <w:rsid w:val="005E4E9C"/>
    <w:rsid w:val="005E4F13"/>
    <w:rsid w:val="005E4F24"/>
    <w:rsid w:val="005E4FD9"/>
    <w:rsid w:val="005E503D"/>
    <w:rsid w:val="005E50AB"/>
    <w:rsid w:val="005E50E0"/>
    <w:rsid w:val="005E50E2"/>
    <w:rsid w:val="005E5108"/>
    <w:rsid w:val="005E512B"/>
    <w:rsid w:val="005E5160"/>
    <w:rsid w:val="005E51A3"/>
    <w:rsid w:val="005E521E"/>
    <w:rsid w:val="005E523E"/>
    <w:rsid w:val="005E526A"/>
    <w:rsid w:val="005E52B1"/>
    <w:rsid w:val="005E52C6"/>
    <w:rsid w:val="005E5324"/>
    <w:rsid w:val="005E54CD"/>
    <w:rsid w:val="005E557B"/>
    <w:rsid w:val="005E55B6"/>
    <w:rsid w:val="005E55F2"/>
    <w:rsid w:val="005E565A"/>
    <w:rsid w:val="005E56D1"/>
    <w:rsid w:val="005E56F3"/>
    <w:rsid w:val="005E5712"/>
    <w:rsid w:val="005E571A"/>
    <w:rsid w:val="005E58DE"/>
    <w:rsid w:val="005E58E0"/>
    <w:rsid w:val="005E598D"/>
    <w:rsid w:val="005E59A6"/>
    <w:rsid w:val="005E59BF"/>
    <w:rsid w:val="005E59E4"/>
    <w:rsid w:val="005E5B4F"/>
    <w:rsid w:val="005E5BF3"/>
    <w:rsid w:val="005E5BFD"/>
    <w:rsid w:val="005E5D0D"/>
    <w:rsid w:val="005E5E2D"/>
    <w:rsid w:val="005E5E34"/>
    <w:rsid w:val="005E5F28"/>
    <w:rsid w:val="005E5F36"/>
    <w:rsid w:val="005E5F44"/>
    <w:rsid w:val="005E5F4E"/>
    <w:rsid w:val="005E5F55"/>
    <w:rsid w:val="005E5FB2"/>
    <w:rsid w:val="005E5FFA"/>
    <w:rsid w:val="005E6025"/>
    <w:rsid w:val="005E6032"/>
    <w:rsid w:val="005E6076"/>
    <w:rsid w:val="005E60A5"/>
    <w:rsid w:val="005E6133"/>
    <w:rsid w:val="005E6167"/>
    <w:rsid w:val="005E61ED"/>
    <w:rsid w:val="005E61F1"/>
    <w:rsid w:val="005E62B1"/>
    <w:rsid w:val="005E63CF"/>
    <w:rsid w:val="005E6444"/>
    <w:rsid w:val="005E64D9"/>
    <w:rsid w:val="005E64EE"/>
    <w:rsid w:val="005E64FD"/>
    <w:rsid w:val="005E658A"/>
    <w:rsid w:val="005E65B7"/>
    <w:rsid w:val="005E65F1"/>
    <w:rsid w:val="005E66A2"/>
    <w:rsid w:val="005E672A"/>
    <w:rsid w:val="005E6789"/>
    <w:rsid w:val="005E67A7"/>
    <w:rsid w:val="005E67E2"/>
    <w:rsid w:val="005E67FB"/>
    <w:rsid w:val="005E6898"/>
    <w:rsid w:val="005E6914"/>
    <w:rsid w:val="005E6938"/>
    <w:rsid w:val="005E6947"/>
    <w:rsid w:val="005E6948"/>
    <w:rsid w:val="005E6A29"/>
    <w:rsid w:val="005E6A62"/>
    <w:rsid w:val="005E6AD2"/>
    <w:rsid w:val="005E6AE6"/>
    <w:rsid w:val="005E6B49"/>
    <w:rsid w:val="005E6B66"/>
    <w:rsid w:val="005E6B86"/>
    <w:rsid w:val="005E6BA7"/>
    <w:rsid w:val="005E6BE4"/>
    <w:rsid w:val="005E6CC8"/>
    <w:rsid w:val="005E6D63"/>
    <w:rsid w:val="005E6D84"/>
    <w:rsid w:val="005E6DF2"/>
    <w:rsid w:val="005E6E54"/>
    <w:rsid w:val="005E6E56"/>
    <w:rsid w:val="005E6E66"/>
    <w:rsid w:val="005E6EF0"/>
    <w:rsid w:val="005E6F26"/>
    <w:rsid w:val="005E6F47"/>
    <w:rsid w:val="005E6FBC"/>
    <w:rsid w:val="005E6FBE"/>
    <w:rsid w:val="005E6FCA"/>
    <w:rsid w:val="005E7053"/>
    <w:rsid w:val="005E70B9"/>
    <w:rsid w:val="005E70D3"/>
    <w:rsid w:val="005E70FB"/>
    <w:rsid w:val="005E7185"/>
    <w:rsid w:val="005E71EE"/>
    <w:rsid w:val="005E734B"/>
    <w:rsid w:val="005E73F0"/>
    <w:rsid w:val="005E7415"/>
    <w:rsid w:val="005E7492"/>
    <w:rsid w:val="005E7513"/>
    <w:rsid w:val="005E7538"/>
    <w:rsid w:val="005E75A2"/>
    <w:rsid w:val="005E75D9"/>
    <w:rsid w:val="005E75F5"/>
    <w:rsid w:val="005E766E"/>
    <w:rsid w:val="005E767A"/>
    <w:rsid w:val="005E768C"/>
    <w:rsid w:val="005E76B8"/>
    <w:rsid w:val="005E7851"/>
    <w:rsid w:val="005E78BD"/>
    <w:rsid w:val="005E78D5"/>
    <w:rsid w:val="005E7910"/>
    <w:rsid w:val="005E79C3"/>
    <w:rsid w:val="005E79CC"/>
    <w:rsid w:val="005E79F2"/>
    <w:rsid w:val="005E7A50"/>
    <w:rsid w:val="005E7A6A"/>
    <w:rsid w:val="005E7AE2"/>
    <w:rsid w:val="005E7B7F"/>
    <w:rsid w:val="005E7B88"/>
    <w:rsid w:val="005E7B9A"/>
    <w:rsid w:val="005E7BBA"/>
    <w:rsid w:val="005E7C5A"/>
    <w:rsid w:val="005E7CEE"/>
    <w:rsid w:val="005E7D81"/>
    <w:rsid w:val="005E7DBC"/>
    <w:rsid w:val="005E7E0A"/>
    <w:rsid w:val="005E7E67"/>
    <w:rsid w:val="005E7E70"/>
    <w:rsid w:val="005E7F62"/>
    <w:rsid w:val="005E7F96"/>
    <w:rsid w:val="005F0014"/>
    <w:rsid w:val="005F0026"/>
    <w:rsid w:val="005F0072"/>
    <w:rsid w:val="005F010A"/>
    <w:rsid w:val="005F0186"/>
    <w:rsid w:val="005F01A5"/>
    <w:rsid w:val="005F0257"/>
    <w:rsid w:val="005F02FC"/>
    <w:rsid w:val="005F03A6"/>
    <w:rsid w:val="005F03BC"/>
    <w:rsid w:val="005F03C6"/>
    <w:rsid w:val="005F03D0"/>
    <w:rsid w:val="005F03DB"/>
    <w:rsid w:val="005F0439"/>
    <w:rsid w:val="005F049C"/>
    <w:rsid w:val="005F04C7"/>
    <w:rsid w:val="005F050B"/>
    <w:rsid w:val="005F0527"/>
    <w:rsid w:val="005F05B6"/>
    <w:rsid w:val="005F05BA"/>
    <w:rsid w:val="005F0618"/>
    <w:rsid w:val="005F0652"/>
    <w:rsid w:val="005F06C5"/>
    <w:rsid w:val="005F06F6"/>
    <w:rsid w:val="005F0749"/>
    <w:rsid w:val="005F0773"/>
    <w:rsid w:val="005F082B"/>
    <w:rsid w:val="005F0870"/>
    <w:rsid w:val="005F088A"/>
    <w:rsid w:val="005F094C"/>
    <w:rsid w:val="005F0A85"/>
    <w:rsid w:val="005F0ACC"/>
    <w:rsid w:val="005F0B64"/>
    <w:rsid w:val="005F0B7A"/>
    <w:rsid w:val="005F0B9E"/>
    <w:rsid w:val="005F0C35"/>
    <w:rsid w:val="005F0C37"/>
    <w:rsid w:val="005F0C49"/>
    <w:rsid w:val="005F0D13"/>
    <w:rsid w:val="005F0D46"/>
    <w:rsid w:val="005F0E80"/>
    <w:rsid w:val="005F0F8B"/>
    <w:rsid w:val="005F0FFC"/>
    <w:rsid w:val="005F1116"/>
    <w:rsid w:val="005F114E"/>
    <w:rsid w:val="005F1186"/>
    <w:rsid w:val="005F1214"/>
    <w:rsid w:val="005F12A2"/>
    <w:rsid w:val="005F12DB"/>
    <w:rsid w:val="005F130E"/>
    <w:rsid w:val="005F1321"/>
    <w:rsid w:val="005F1363"/>
    <w:rsid w:val="005F13B7"/>
    <w:rsid w:val="005F1420"/>
    <w:rsid w:val="005F1588"/>
    <w:rsid w:val="005F15C3"/>
    <w:rsid w:val="005F15E8"/>
    <w:rsid w:val="005F1626"/>
    <w:rsid w:val="005F1679"/>
    <w:rsid w:val="005F167E"/>
    <w:rsid w:val="005F16B1"/>
    <w:rsid w:val="005F16E3"/>
    <w:rsid w:val="005F1770"/>
    <w:rsid w:val="005F180E"/>
    <w:rsid w:val="005F1846"/>
    <w:rsid w:val="005F186A"/>
    <w:rsid w:val="005F1878"/>
    <w:rsid w:val="005F18D8"/>
    <w:rsid w:val="005F18E1"/>
    <w:rsid w:val="005F1957"/>
    <w:rsid w:val="005F196F"/>
    <w:rsid w:val="005F1A1B"/>
    <w:rsid w:val="005F1AB9"/>
    <w:rsid w:val="005F1AD1"/>
    <w:rsid w:val="005F1ADE"/>
    <w:rsid w:val="005F1BE2"/>
    <w:rsid w:val="005F1C34"/>
    <w:rsid w:val="005F1CB0"/>
    <w:rsid w:val="005F1CBA"/>
    <w:rsid w:val="005F1D14"/>
    <w:rsid w:val="005F1D5B"/>
    <w:rsid w:val="005F1D99"/>
    <w:rsid w:val="005F1EA5"/>
    <w:rsid w:val="005F1EAB"/>
    <w:rsid w:val="005F1F9D"/>
    <w:rsid w:val="005F207B"/>
    <w:rsid w:val="005F20AD"/>
    <w:rsid w:val="005F2128"/>
    <w:rsid w:val="005F212C"/>
    <w:rsid w:val="005F21A9"/>
    <w:rsid w:val="005F229B"/>
    <w:rsid w:val="005F2369"/>
    <w:rsid w:val="005F2457"/>
    <w:rsid w:val="005F2554"/>
    <w:rsid w:val="005F260A"/>
    <w:rsid w:val="005F2668"/>
    <w:rsid w:val="005F2682"/>
    <w:rsid w:val="005F268C"/>
    <w:rsid w:val="005F2702"/>
    <w:rsid w:val="005F2804"/>
    <w:rsid w:val="005F2833"/>
    <w:rsid w:val="005F2844"/>
    <w:rsid w:val="005F2845"/>
    <w:rsid w:val="005F2A91"/>
    <w:rsid w:val="005F2AEA"/>
    <w:rsid w:val="005F2B07"/>
    <w:rsid w:val="005F2C0E"/>
    <w:rsid w:val="005F2CAB"/>
    <w:rsid w:val="005F2D18"/>
    <w:rsid w:val="005F2D24"/>
    <w:rsid w:val="005F2D34"/>
    <w:rsid w:val="005F2D7E"/>
    <w:rsid w:val="005F2E13"/>
    <w:rsid w:val="005F2E5A"/>
    <w:rsid w:val="005F2E73"/>
    <w:rsid w:val="005F2E80"/>
    <w:rsid w:val="005F2E82"/>
    <w:rsid w:val="005F2E9B"/>
    <w:rsid w:val="005F2EB8"/>
    <w:rsid w:val="005F2EE8"/>
    <w:rsid w:val="005F2F7B"/>
    <w:rsid w:val="005F2F85"/>
    <w:rsid w:val="005F2F8D"/>
    <w:rsid w:val="005F3047"/>
    <w:rsid w:val="005F3086"/>
    <w:rsid w:val="005F30D4"/>
    <w:rsid w:val="005F30D6"/>
    <w:rsid w:val="005F3164"/>
    <w:rsid w:val="005F3175"/>
    <w:rsid w:val="005F31A2"/>
    <w:rsid w:val="005F31A4"/>
    <w:rsid w:val="005F3257"/>
    <w:rsid w:val="005F325D"/>
    <w:rsid w:val="005F3282"/>
    <w:rsid w:val="005F32C0"/>
    <w:rsid w:val="005F32CD"/>
    <w:rsid w:val="005F332D"/>
    <w:rsid w:val="005F347E"/>
    <w:rsid w:val="005F349F"/>
    <w:rsid w:val="005F34B1"/>
    <w:rsid w:val="005F352A"/>
    <w:rsid w:val="005F3661"/>
    <w:rsid w:val="005F367B"/>
    <w:rsid w:val="005F3800"/>
    <w:rsid w:val="005F394E"/>
    <w:rsid w:val="005F399B"/>
    <w:rsid w:val="005F39A5"/>
    <w:rsid w:val="005F3A07"/>
    <w:rsid w:val="005F3A25"/>
    <w:rsid w:val="005F3A56"/>
    <w:rsid w:val="005F3A59"/>
    <w:rsid w:val="005F3A80"/>
    <w:rsid w:val="005F3BD7"/>
    <w:rsid w:val="005F3C29"/>
    <w:rsid w:val="005F3C3F"/>
    <w:rsid w:val="005F3C56"/>
    <w:rsid w:val="005F3C6E"/>
    <w:rsid w:val="005F3DAB"/>
    <w:rsid w:val="005F3E0A"/>
    <w:rsid w:val="005F3EFB"/>
    <w:rsid w:val="005F3F61"/>
    <w:rsid w:val="005F3F80"/>
    <w:rsid w:val="005F3F8F"/>
    <w:rsid w:val="005F4035"/>
    <w:rsid w:val="005F40B1"/>
    <w:rsid w:val="005F40CB"/>
    <w:rsid w:val="005F40D5"/>
    <w:rsid w:val="005F4102"/>
    <w:rsid w:val="005F4125"/>
    <w:rsid w:val="005F4134"/>
    <w:rsid w:val="005F414E"/>
    <w:rsid w:val="005F419D"/>
    <w:rsid w:val="005F4249"/>
    <w:rsid w:val="005F4299"/>
    <w:rsid w:val="005F42B0"/>
    <w:rsid w:val="005F42E8"/>
    <w:rsid w:val="005F42EE"/>
    <w:rsid w:val="005F4337"/>
    <w:rsid w:val="005F43A6"/>
    <w:rsid w:val="005F43FE"/>
    <w:rsid w:val="005F4501"/>
    <w:rsid w:val="005F4535"/>
    <w:rsid w:val="005F4579"/>
    <w:rsid w:val="005F45C5"/>
    <w:rsid w:val="005F45E6"/>
    <w:rsid w:val="005F460C"/>
    <w:rsid w:val="005F4638"/>
    <w:rsid w:val="005F4659"/>
    <w:rsid w:val="005F4702"/>
    <w:rsid w:val="005F4816"/>
    <w:rsid w:val="005F4846"/>
    <w:rsid w:val="005F4925"/>
    <w:rsid w:val="005F4935"/>
    <w:rsid w:val="005F4937"/>
    <w:rsid w:val="005F4A52"/>
    <w:rsid w:val="005F4B0A"/>
    <w:rsid w:val="005F4B22"/>
    <w:rsid w:val="005F4B46"/>
    <w:rsid w:val="005F4B82"/>
    <w:rsid w:val="005F4BD3"/>
    <w:rsid w:val="005F4D18"/>
    <w:rsid w:val="005F4D89"/>
    <w:rsid w:val="005F4F08"/>
    <w:rsid w:val="005F4F90"/>
    <w:rsid w:val="005F50AB"/>
    <w:rsid w:val="005F50F1"/>
    <w:rsid w:val="005F5103"/>
    <w:rsid w:val="005F51C9"/>
    <w:rsid w:val="005F5211"/>
    <w:rsid w:val="005F530A"/>
    <w:rsid w:val="005F532F"/>
    <w:rsid w:val="005F53EB"/>
    <w:rsid w:val="005F53F4"/>
    <w:rsid w:val="005F53FE"/>
    <w:rsid w:val="005F5489"/>
    <w:rsid w:val="005F549C"/>
    <w:rsid w:val="005F564A"/>
    <w:rsid w:val="005F565E"/>
    <w:rsid w:val="005F5660"/>
    <w:rsid w:val="005F56BA"/>
    <w:rsid w:val="005F5766"/>
    <w:rsid w:val="005F57C7"/>
    <w:rsid w:val="005F57CA"/>
    <w:rsid w:val="005F5893"/>
    <w:rsid w:val="005F5905"/>
    <w:rsid w:val="005F5993"/>
    <w:rsid w:val="005F59BC"/>
    <w:rsid w:val="005F59F4"/>
    <w:rsid w:val="005F5A51"/>
    <w:rsid w:val="005F5AC8"/>
    <w:rsid w:val="005F5B53"/>
    <w:rsid w:val="005F5B8E"/>
    <w:rsid w:val="005F5C97"/>
    <w:rsid w:val="005F5D33"/>
    <w:rsid w:val="005F5D5D"/>
    <w:rsid w:val="005F5DDA"/>
    <w:rsid w:val="005F5E07"/>
    <w:rsid w:val="005F5ED5"/>
    <w:rsid w:val="005F5F7D"/>
    <w:rsid w:val="005F5FDE"/>
    <w:rsid w:val="005F5FE7"/>
    <w:rsid w:val="005F6038"/>
    <w:rsid w:val="005F609B"/>
    <w:rsid w:val="005F6146"/>
    <w:rsid w:val="005F617C"/>
    <w:rsid w:val="005F61C4"/>
    <w:rsid w:val="005F61D3"/>
    <w:rsid w:val="005F6273"/>
    <w:rsid w:val="005F6274"/>
    <w:rsid w:val="005F62AB"/>
    <w:rsid w:val="005F6328"/>
    <w:rsid w:val="005F6388"/>
    <w:rsid w:val="005F6433"/>
    <w:rsid w:val="005F6501"/>
    <w:rsid w:val="005F6553"/>
    <w:rsid w:val="005F65D9"/>
    <w:rsid w:val="005F6613"/>
    <w:rsid w:val="005F66D0"/>
    <w:rsid w:val="005F66E5"/>
    <w:rsid w:val="005F66FC"/>
    <w:rsid w:val="005F6736"/>
    <w:rsid w:val="005F68C0"/>
    <w:rsid w:val="005F690C"/>
    <w:rsid w:val="005F69AD"/>
    <w:rsid w:val="005F69D3"/>
    <w:rsid w:val="005F69D5"/>
    <w:rsid w:val="005F6A31"/>
    <w:rsid w:val="005F6ACB"/>
    <w:rsid w:val="005F6AEA"/>
    <w:rsid w:val="005F6B6F"/>
    <w:rsid w:val="005F6B94"/>
    <w:rsid w:val="005F6C50"/>
    <w:rsid w:val="005F6CAB"/>
    <w:rsid w:val="005F6CBA"/>
    <w:rsid w:val="005F6CC9"/>
    <w:rsid w:val="005F6E23"/>
    <w:rsid w:val="005F6E8E"/>
    <w:rsid w:val="005F6F62"/>
    <w:rsid w:val="005F6F9C"/>
    <w:rsid w:val="005F703C"/>
    <w:rsid w:val="005F70CF"/>
    <w:rsid w:val="005F7131"/>
    <w:rsid w:val="005F7154"/>
    <w:rsid w:val="005F71B4"/>
    <w:rsid w:val="005F71BA"/>
    <w:rsid w:val="005F71C8"/>
    <w:rsid w:val="005F7263"/>
    <w:rsid w:val="005F72C0"/>
    <w:rsid w:val="005F72C1"/>
    <w:rsid w:val="005F733C"/>
    <w:rsid w:val="005F73D4"/>
    <w:rsid w:val="005F73DB"/>
    <w:rsid w:val="005F741D"/>
    <w:rsid w:val="005F750B"/>
    <w:rsid w:val="005F758E"/>
    <w:rsid w:val="005F76FB"/>
    <w:rsid w:val="005F7738"/>
    <w:rsid w:val="005F77A0"/>
    <w:rsid w:val="005F77FF"/>
    <w:rsid w:val="005F7827"/>
    <w:rsid w:val="005F783F"/>
    <w:rsid w:val="005F7887"/>
    <w:rsid w:val="005F7951"/>
    <w:rsid w:val="005F7996"/>
    <w:rsid w:val="005F79DA"/>
    <w:rsid w:val="005F7A13"/>
    <w:rsid w:val="005F7A4B"/>
    <w:rsid w:val="005F7AA2"/>
    <w:rsid w:val="005F7ABC"/>
    <w:rsid w:val="005F7B7F"/>
    <w:rsid w:val="005F7B90"/>
    <w:rsid w:val="005F7C01"/>
    <w:rsid w:val="005F7CA2"/>
    <w:rsid w:val="005F7D4A"/>
    <w:rsid w:val="005F7D58"/>
    <w:rsid w:val="005F7D81"/>
    <w:rsid w:val="005F7DCC"/>
    <w:rsid w:val="005F7E2F"/>
    <w:rsid w:val="005F7E98"/>
    <w:rsid w:val="005F7F33"/>
    <w:rsid w:val="005F7F89"/>
    <w:rsid w:val="005F7FD1"/>
    <w:rsid w:val="0060009A"/>
    <w:rsid w:val="006000C1"/>
    <w:rsid w:val="00600126"/>
    <w:rsid w:val="00600201"/>
    <w:rsid w:val="006002AB"/>
    <w:rsid w:val="00600306"/>
    <w:rsid w:val="00600332"/>
    <w:rsid w:val="00600353"/>
    <w:rsid w:val="006003F9"/>
    <w:rsid w:val="0060041D"/>
    <w:rsid w:val="0060049D"/>
    <w:rsid w:val="00600519"/>
    <w:rsid w:val="0060051E"/>
    <w:rsid w:val="00600588"/>
    <w:rsid w:val="006005D0"/>
    <w:rsid w:val="006006CE"/>
    <w:rsid w:val="006006D1"/>
    <w:rsid w:val="006007D9"/>
    <w:rsid w:val="006007E7"/>
    <w:rsid w:val="0060082E"/>
    <w:rsid w:val="006008FE"/>
    <w:rsid w:val="00600934"/>
    <w:rsid w:val="00600956"/>
    <w:rsid w:val="0060097C"/>
    <w:rsid w:val="006009DD"/>
    <w:rsid w:val="00600A1B"/>
    <w:rsid w:val="00600C4C"/>
    <w:rsid w:val="00600C64"/>
    <w:rsid w:val="00600CF7"/>
    <w:rsid w:val="00600E95"/>
    <w:rsid w:val="00600F10"/>
    <w:rsid w:val="00600F1D"/>
    <w:rsid w:val="00600F83"/>
    <w:rsid w:val="00600FEE"/>
    <w:rsid w:val="0060104C"/>
    <w:rsid w:val="00601098"/>
    <w:rsid w:val="006010B8"/>
    <w:rsid w:val="006010CA"/>
    <w:rsid w:val="00601131"/>
    <w:rsid w:val="006011C7"/>
    <w:rsid w:val="00601201"/>
    <w:rsid w:val="00601234"/>
    <w:rsid w:val="0060124C"/>
    <w:rsid w:val="0060125E"/>
    <w:rsid w:val="00601288"/>
    <w:rsid w:val="00601390"/>
    <w:rsid w:val="006013A6"/>
    <w:rsid w:val="006013C9"/>
    <w:rsid w:val="00601416"/>
    <w:rsid w:val="00601458"/>
    <w:rsid w:val="006014AD"/>
    <w:rsid w:val="006014F8"/>
    <w:rsid w:val="00601545"/>
    <w:rsid w:val="006015E6"/>
    <w:rsid w:val="006015EA"/>
    <w:rsid w:val="00601625"/>
    <w:rsid w:val="006016C3"/>
    <w:rsid w:val="006016F0"/>
    <w:rsid w:val="00601877"/>
    <w:rsid w:val="0060188B"/>
    <w:rsid w:val="006018BD"/>
    <w:rsid w:val="006018C8"/>
    <w:rsid w:val="006018CD"/>
    <w:rsid w:val="00601A4B"/>
    <w:rsid w:val="00601AFD"/>
    <w:rsid w:val="00601BD1"/>
    <w:rsid w:val="00601C06"/>
    <w:rsid w:val="00601C16"/>
    <w:rsid w:val="00601C2B"/>
    <w:rsid w:val="00601CBD"/>
    <w:rsid w:val="00601CC4"/>
    <w:rsid w:val="00601D33"/>
    <w:rsid w:val="00601D60"/>
    <w:rsid w:val="00601D6B"/>
    <w:rsid w:val="00601D76"/>
    <w:rsid w:val="00601F64"/>
    <w:rsid w:val="00602053"/>
    <w:rsid w:val="006020B4"/>
    <w:rsid w:val="006020BD"/>
    <w:rsid w:val="006020E6"/>
    <w:rsid w:val="0060215C"/>
    <w:rsid w:val="0060220E"/>
    <w:rsid w:val="0060223B"/>
    <w:rsid w:val="0060224F"/>
    <w:rsid w:val="0060228F"/>
    <w:rsid w:val="006023BA"/>
    <w:rsid w:val="006023EE"/>
    <w:rsid w:val="0060244D"/>
    <w:rsid w:val="00602478"/>
    <w:rsid w:val="006024F2"/>
    <w:rsid w:val="00602578"/>
    <w:rsid w:val="006025CF"/>
    <w:rsid w:val="0060265F"/>
    <w:rsid w:val="006026BA"/>
    <w:rsid w:val="0060295D"/>
    <w:rsid w:val="00602986"/>
    <w:rsid w:val="0060298E"/>
    <w:rsid w:val="00602998"/>
    <w:rsid w:val="006029EE"/>
    <w:rsid w:val="00602A8D"/>
    <w:rsid w:val="00602AD0"/>
    <w:rsid w:val="00602B6A"/>
    <w:rsid w:val="00602BAD"/>
    <w:rsid w:val="00602C05"/>
    <w:rsid w:val="00602C1D"/>
    <w:rsid w:val="00602CA8"/>
    <w:rsid w:val="00602D70"/>
    <w:rsid w:val="00602D91"/>
    <w:rsid w:val="00602E65"/>
    <w:rsid w:val="00602F49"/>
    <w:rsid w:val="00602F55"/>
    <w:rsid w:val="00602FE4"/>
    <w:rsid w:val="00603145"/>
    <w:rsid w:val="00603330"/>
    <w:rsid w:val="00603351"/>
    <w:rsid w:val="00603439"/>
    <w:rsid w:val="00603582"/>
    <w:rsid w:val="00603592"/>
    <w:rsid w:val="006035EB"/>
    <w:rsid w:val="00603661"/>
    <w:rsid w:val="00603755"/>
    <w:rsid w:val="0060376C"/>
    <w:rsid w:val="00603839"/>
    <w:rsid w:val="0060385D"/>
    <w:rsid w:val="006038B4"/>
    <w:rsid w:val="006038BD"/>
    <w:rsid w:val="00603929"/>
    <w:rsid w:val="006039BE"/>
    <w:rsid w:val="00603A1D"/>
    <w:rsid w:val="00603A5E"/>
    <w:rsid w:val="00603A8A"/>
    <w:rsid w:val="00603AB7"/>
    <w:rsid w:val="00603ABE"/>
    <w:rsid w:val="00603AD9"/>
    <w:rsid w:val="00603BDC"/>
    <w:rsid w:val="00603C0E"/>
    <w:rsid w:val="00603C17"/>
    <w:rsid w:val="00603CAD"/>
    <w:rsid w:val="00603D60"/>
    <w:rsid w:val="00603D95"/>
    <w:rsid w:val="00603DE5"/>
    <w:rsid w:val="00603E22"/>
    <w:rsid w:val="00603E51"/>
    <w:rsid w:val="00603EA0"/>
    <w:rsid w:val="00603F9D"/>
    <w:rsid w:val="00603FEC"/>
    <w:rsid w:val="00603FF5"/>
    <w:rsid w:val="00603FFF"/>
    <w:rsid w:val="0060400B"/>
    <w:rsid w:val="0060405F"/>
    <w:rsid w:val="006040E5"/>
    <w:rsid w:val="006041C8"/>
    <w:rsid w:val="00604216"/>
    <w:rsid w:val="006042C9"/>
    <w:rsid w:val="00604325"/>
    <w:rsid w:val="00604391"/>
    <w:rsid w:val="0060445F"/>
    <w:rsid w:val="0060446A"/>
    <w:rsid w:val="00604475"/>
    <w:rsid w:val="006044FC"/>
    <w:rsid w:val="00604527"/>
    <w:rsid w:val="00604575"/>
    <w:rsid w:val="006045A0"/>
    <w:rsid w:val="0060463E"/>
    <w:rsid w:val="006046B0"/>
    <w:rsid w:val="00604907"/>
    <w:rsid w:val="006049F5"/>
    <w:rsid w:val="006049FD"/>
    <w:rsid w:val="00604A0E"/>
    <w:rsid w:val="00604A6A"/>
    <w:rsid w:val="00604AC3"/>
    <w:rsid w:val="00604ADA"/>
    <w:rsid w:val="00604BB4"/>
    <w:rsid w:val="00604C03"/>
    <w:rsid w:val="00604C33"/>
    <w:rsid w:val="00604C4E"/>
    <w:rsid w:val="00604C7E"/>
    <w:rsid w:val="00604CBD"/>
    <w:rsid w:val="00604D71"/>
    <w:rsid w:val="00604D86"/>
    <w:rsid w:val="00604D9E"/>
    <w:rsid w:val="00604E78"/>
    <w:rsid w:val="00604EFB"/>
    <w:rsid w:val="00604F20"/>
    <w:rsid w:val="00604F26"/>
    <w:rsid w:val="00604F41"/>
    <w:rsid w:val="00604F58"/>
    <w:rsid w:val="006050E0"/>
    <w:rsid w:val="006051A5"/>
    <w:rsid w:val="006051F4"/>
    <w:rsid w:val="00605337"/>
    <w:rsid w:val="00605350"/>
    <w:rsid w:val="0060536E"/>
    <w:rsid w:val="00605382"/>
    <w:rsid w:val="00605404"/>
    <w:rsid w:val="0060548E"/>
    <w:rsid w:val="00605498"/>
    <w:rsid w:val="0060560D"/>
    <w:rsid w:val="0060564A"/>
    <w:rsid w:val="0060567A"/>
    <w:rsid w:val="006056A5"/>
    <w:rsid w:val="006056C1"/>
    <w:rsid w:val="00605715"/>
    <w:rsid w:val="0060571C"/>
    <w:rsid w:val="006057E3"/>
    <w:rsid w:val="006057FE"/>
    <w:rsid w:val="006058BE"/>
    <w:rsid w:val="00605918"/>
    <w:rsid w:val="00605965"/>
    <w:rsid w:val="006059F4"/>
    <w:rsid w:val="006059F5"/>
    <w:rsid w:val="00605A1B"/>
    <w:rsid w:val="00605A7A"/>
    <w:rsid w:val="00605AF6"/>
    <w:rsid w:val="00605B64"/>
    <w:rsid w:val="00605BAA"/>
    <w:rsid w:val="00605C26"/>
    <w:rsid w:val="00605CF7"/>
    <w:rsid w:val="00605D0B"/>
    <w:rsid w:val="00605D12"/>
    <w:rsid w:val="00605D27"/>
    <w:rsid w:val="00605D68"/>
    <w:rsid w:val="00605D86"/>
    <w:rsid w:val="00605D8C"/>
    <w:rsid w:val="00605DBC"/>
    <w:rsid w:val="00605E00"/>
    <w:rsid w:val="00605E30"/>
    <w:rsid w:val="00605E9C"/>
    <w:rsid w:val="00605EE4"/>
    <w:rsid w:val="00605F42"/>
    <w:rsid w:val="00605F5F"/>
    <w:rsid w:val="00605FD5"/>
    <w:rsid w:val="006060CF"/>
    <w:rsid w:val="006060DF"/>
    <w:rsid w:val="00606105"/>
    <w:rsid w:val="0060613D"/>
    <w:rsid w:val="00606205"/>
    <w:rsid w:val="00606264"/>
    <w:rsid w:val="00606392"/>
    <w:rsid w:val="006063B0"/>
    <w:rsid w:val="006063D8"/>
    <w:rsid w:val="006063F9"/>
    <w:rsid w:val="00606404"/>
    <w:rsid w:val="00606560"/>
    <w:rsid w:val="006065A2"/>
    <w:rsid w:val="00606659"/>
    <w:rsid w:val="0060667E"/>
    <w:rsid w:val="00606698"/>
    <w:rsid w:val="006066EF"/>
    <w:rsid w:val="0060672D"/>
    <w:rsid w:val="00606768"/>
    <w:rsid w:val="00606805"/>
    <w:rsid w:val="00606927"/>
    <w:rsid w:val="00606998"/>
    <w:rsid w:val="006069CE"/>
    <w:rsid w:val="00606A5E"/>
    <w:rsid w:val="00606AFF"/>
    <w:rsid w:val="00606B81"/>
    <w:rsid w:val="00606C15"/>
    <w:rsid w:val="00606C52"/>
    <w:rsid w:val="00606D20"/>
    <w:rsid w:val="00606DAB"/>
    <w:rsid w:val="00606E4C"/>
    <w:rsid w:val="00606EE1"/>
    <w:rsid w:val="00606F22"/>
    <w:rsid w:val="00606F90"/>
    <w:rsid w:val="00606FAD"/>
    <w:rsid w:val="00606FB5"/>
    <w:rsid w:val="00606FDE"/>
    <w:rsid w:val="00606FEA"/>
    <w:rsid w:val="00607001"/>
    <w:rsid w:val="00607008"/>
    <w:rsid w:val="00607069"/>
    <w:rsid w:val="006070CD"/>
    <w:rsid w:val="006070D0"/>
    <w:rsid w:val="00607140"/>
    <w:rsid w:val="006071D0"/>
    <w:rsid w:val="0060720E"/>
    <w:rsid w:val="00607210"/>
    <w:rsid w:val="00607221"/>
    <w:rsid w:val="00607355"/>
    <w:rsid w:val="006073AA"/>
    <w:rsid w:val="006073C5"/>
    <w:rsid w:val="00607450"/>
    <w:rsid w:val="0060745D"/>
    <w:rsid w:val="0060747F"/>
    <w:rsid w:val="006074D0"/>
    <w:rsid w:val="006075F0"/>
    <w:rsid w:val="0060761B"/>
    <w:rsid w:val="00607678"/>
    <w:rsid w:val="00607687"/>
    <w:rsid w:val="0060773F"/>
    <w:rsid w:val="00607765"/>
    <w:rsid w:val="0060782B"/>
    <w:rsid w:val="006078E8"/>
    <w:rsid w:val="006079F0"/>
    <w:rsid w:val="00607B11"/>
    <w:rsid w:val="00607B29"/>
    <w:rsid w:val="00607B52"/>
    <w:rsid w:val="00607C8A"/>
    <w:rsid w:val="00607CE5"/>
    <w:rsid w:val="00607D32"/>
    <w:rsid w:val="00607D48"/>
    <w:rsid w:val="00607DAE"/>
    <w:rsid w:val="00607DDC"/>
    <w:rsid w:val="00607E3E"/>
    <w:rsid w:val="00607F2C"/>
    <w:rsid w:val="00607F7D"/>
    <w:rsid w:val="00607FA0"/>
    <w:rsid w:val="00607FDD"/>
    <w:rsid w:val="00607FF8"/>
    <w:rsid w:val="00610076"/>
    <w:rsid w:val="006100E8"/>
    <w:rsid w:val="00610112"/>
    <w:rsid w:val="00610119"/>
    <w:rsid w:val="0061013E"/>
    <w:rsid w:val="00610174"/>
    <w:rsid w:val="00610178"/>
    <w:rsid w:val="006101AA"/>
    <w:rsid w:val="006102CF"/>
    <w:rsid w:val="006102E2"/>
    <w:rsid w:val="0061043C"/>
    <w:rsid w:val="00610483"/>
    <w:rsid w:val="006104B2"/>
    <w:rsid w:val="006104BE"/>
    <w:rsid w:val="00610529"/>
    <w:rsid w:val="006105BE"/>
    <w:rsid w:val="00610643"/>
    <w:rsid w:val="00610669"/>
    <w:rsid w:val="006106D5"/>
    <w:rsid w:val="006106DA"/>
    <w:rsid w:val="0061073D"/>
    <w:rsid w:val="0061073F"/>
    <w:rsid w:val="006107DA"/>
    <w:rsid w:val="00610814"/>
    <w:rsid w:val="00610834"/>
    <w:rsid w:val="00610886"/>
    <w:rsid w:val="0061089E"/>
    <w:rsid w:val="00610900"/>
    <w:rsid w:val="00610908"/>
    <w:rsid w:val="0061093A"/>
    <w:rsid w:val="006109AA"/>
    <w:rsid w:val="006109F8"/>
    <w:rsid w:val="006109FD"/>
    <w:rsid w:val="00610A04"/>
    <w:rsid w:val="00610B79"/>
    <w:rsid w:val="00610BBA"/>
    <w:rsid w:val="00610C41"/>
    <w:rsid w:val="00610C86"/>
    <w:rsid w:val="00610CA3"/>
    <w:rsid w:val="00610CF2"/>
    <w:rsid w:val="00610D3D"/>
    <w:rsid w:val="00610D5C"/>
    <w:rsid w:val="00610EC7"/>
    <w:rsid w:val="00610ECA"/>
    <w:rsid w:val="00610ED9"/>
    <w:rsid w:val="00610EEA"/>
    <w:rsid w:val="00610F11"/>
    <w:rsid w:val="00610F93"/>
    <w:rsid w:val="0061100C"/>
    <w:rsid w:val="00611101"/>
    <w:rsid w:val="00611119"/>
    <w:rsid w:val="006111F1"/>
    <w:rsid w:val="00611268"/>
    <w:rsid w:val="00611299"/>
    <w:rsid w:val="006112CB"/>
    <w:rsid w:val="006113CF"/>
    <w:rsid w:val="00611437"/>
    <w:rsid w:val="006114BA"/>
    <w:rsid w:val="006114E8"/>
    <w:rsid w:val="00611570"/>
    <w:rsid w:val="006115AD"/>
    <w:rsid w:val="006115C2"/>
    <w:rsid w:val="006115F0"/>
    <w:rsid w:val="006116CD"/>
    <w:rsid w:val="006116EF"/>
    <w:rsid w:val="0061171F"/>
    <w:rsid w:val="00611743"/>
    <w:rsid w:val="00611822"/>
    <w:rsid w:val="006118B7"/>
    <w:rsid w:val="006118E2"/>
    <w:rsid w:val="00611A5C"/>
    <w:rsid w:val="00611AB2"/>
    <w:rsid w:val="00611B40"/>
    <w:rsid w:val="00611B47"/>
    <w:rsid w:val="00611C2F"/>
    <w:rsid w:val="00611C3A"/>
    <w:rsid w:val="00611C5F"/>
    <w:rsid w:val="00611CA6"/>
    <w:rsid w:val="00611D1A"/>
    <w:rsid w:val="00611E33"/>
    <w:rsid w:val="00611E9A"/>
    <w:rsid w:val="00611EA1"/>
    <w:rsid w:val="00611ECF"/>
    <w:rsid w:val="00611EE6"/>
    <w:rsid w:val="00611F3C"/>
    <w:rsid w:val="00612008"/>
    <w:rsid w:val="00612073"/>
    <w:rsid w:val="006120A7"/>
    <w:rsid w:val="006120A8"/>
    <w:rsid w:val="006120CD"/>
    <w:rsid w:val="0061214B"/>
    <w:rsid w:val="00612198"/>
    <w:rsid w:val="0061219D"/>
    <w:rsid w:val="006121A6"/>
    <w:rsid w:val="0061224B"/>
    <w:rsid w:val="006122E3"/>
    <w:rsid w:val="00612313"/>
    <w:rsid w:val="0061231E"/>
    <w:rsid w:val="006123F1"/>
    <w:rsid w:val="00612446"/>
    <w:rsid w:val="006124E4"/>
    <w:rsid w:val="00612533"/>
    <w:rsid w:val="00612572"/>
    <w:rsid w:val="00612609"/>
    <w:rsid w:val="0061266B"/>
    <w:rsid w:val="00612730"/>
    <w:rsid w:val="00612764"/>
    <w:rsid w:val="00612769"/>
    <w:rsid w:val="00612783"/>
    <w:rsid w:val="006127A2"/>
    <w:rsid w:val="006127D1"/>
    <w:rsid w:val="00612933"/>
    <w:rsid w:val="00612952"/>
    <w:rsid w:val="00612A91"/>
    <w:rsid w:val="00612AEE"/>
    <w:rsid w:val="00612B9B"/>
    <w:rsid w:val="00612BA5"/>
    <w:rsid w:val="00612CCD"/>
    <w:rsid w:val="00612D00"/>
    <w:rsid w:val="00612D24"/>
    <w:rsid w:val="00612D46"/>
    <w:rsid w:val="00612DAA"/>
    <w:rsid w:val="00612E1A"/>
    <w:rsid w:val="00612ED9"/>
    <w:rsid w:val="00612EDE"/>
    <w:rsid w:val="00612EE9"/>
    <w:rsid w:val="00612F29"/>
    <w:rsid w:val="00612F3C"/>
    <w:rsid w:val="00613095"/>
    <w:rsid w:val="006130C1"/>
    <w:rsid w:val="006130FC"/>
    <w:rsid w:val="006131C2"/>
    <w:rsid w:val="006131E9"/>
    <w:rsid w:val="00613230"/>
    <w:rsid w:val="0061329A"/>
    <w:rsid w:val="00613305"/>
    <w:rsid w:val="0061331D"/>
    <w:rsid w:val="006133F2"/>
    <w:rsid w:val="0061340D"/>
    <w:rsid w:val="00613420"/>
    <w:rsid w:val="00613541"/>
    <w:rsid w:val="006135CF"/>
    <w:rsid w:val="00613652"/>
    <w:rsid w:val="0061365F"/>
    <w:rsid w:val="006136D7"/>
    <w:rsid w:val="006137B1"/>
    <w:rsid w:val="006137D0"/>
    <w:rsid w:val="006137DD"/>
    <w:rsid w:val="0061387A"/>
    <w:rsid w:val="00613905"/>
    <w:rsid w:val="00613927"/>
    <w:rsid w:val="0061393A"/>
    <w:rsid w:val="006139C4"/>
    <w:rsid w:val="00613A05"/>
    <w:rsid w:val="00613A45"/>
    <w:rsid w:val="00613B02"/>
    <w:rsid w:val="00613B6C"/>
    <w:rsid w:val="00613BA6"/>
    <w:rsid w:val="00613BAB"/>
    <w:rsid w:val="00613BAC"/>
    <w:rsid w:val="00613C94"/>
    <w:rsid w:val="00613CE5"/>
    <w:rsid w:val="00613D3A"/>
    <w:rsid w:val="00613E3D"/>
    <w:rsid w:val="00613E52"/>
    <w:rsid w:val="00613E83"/>
    <w:rsid w:val="00613ECF"/>
    <w:rsid w:val="00613ED7"/>
    <w:rsid w:val="00613F39"/>
    <w:rsid w:val="00613F4E"/>
    <w:rsid w:val="00614103"/>
    <w:rsid w:val="0061411E"/>
    <w:rsid w:val="0061412C"/>
    <w:rsid w:val="0061416F"/>
    <w:rsid w:val="006141A9"/>
    <w:rsid w:val="00614230"/>
    <w:rsid w:val="0061426D"/>
    <w:rsid w:val="006142CE"/>
    <w:rsid w:val="00614399"/>
    <w:rsid w:val="006143F5"/>
    <w:rsid w:val="0061442C"/>
    <w:rsid w:val="0061445F"/>
    <w:rsid w:val="00614473"/>
    <w:rsid w:val="00614484"/>
    <w:rsid w:val="0061456D"/>
    <w:rsid w:val="006145FE"/>
    <w:rsid w:val="00614644"/>
    <w:rsid w:val="00614668"/>
    <w:rsid w:val="00614682"/>
    <w:rsid w:val="00614718"/>
    <w:rsid w:val="00614754"/>
    <w:rsid w:val="00614821"/>
    <w:rsid w:val="00614843"/>
    <w:rsid w:val="00614865"/>
    <w:rsid w:val="006148E0"/>
    <w:rsid w:val="0061497B"/>
    <w:rsid w:val="00614984"/>
    <w:rsid w:val="006149A7"/>
    <w:rsid w:val="006149AA"/>
    <w:rsid w:val="00614B09"/>
    <w:rsid w:val="00614B12"/>
    <w:rsid w:val="00614BE0"/>
    <w:rsid w:val="00614C07"/>
    <w:rsid w:val="00614D61"/>
    <w:rsid w:val="00614E18"/>
    <w:rsid w:val="00614E69"/>
    <w:rsid w:val="00614E8D"/>
    <w:rsid w:val="00614EFC"/>
    <w:rsid w:val="00614F3D"/>
    <w:rsid w:val="00614F62"/>
    <w:rsid w:val="00614F78"/>
    <w:rsid w:val="00615007"/>
    <w:rsid w:val="00615018"/>
    <w:rsid w:val="00615082"/>
    <w:rsid w:val="00615132"/>
    <w:rsid w:val="00615162"/>
    <w:rsid w:val="0061518A"/>
    <w:rsid w:val="006151F6"/>
    <w:rsid w:val="00615205"/>
    <w:rsid w:val="00615292"/>
    <w:rsid w:val="006152A8"/>
    <w:rsid w:val="00615322"/>
    <w:rsid w:val="006153F2"/>
    <w:rsid w:val="00615415"/>
    <w:rsid w:val="00615464"/>
    <w:rsid w:val="006154FE"/>
    <w:rsid w:val="006155F1"/>
    <w:rsid w:val="0061564C"/>
    <w:rsid w:val="00615661"/>
    <w:rsid w:val="006157B7"/>
    <w:rsid w:val="00615816"/>
    <w:rsid w:val="00615884"/>
    <w:rsid w:val="0061594D"/>
    <w:rsid w:val="00615ACD"/>
    <w:rsid w:val="00615B36"/>
    <w:rsid w:val="00615BCB"/>
    <w:rsid w:val="00615BE5"/>
    <w:rsid w:val="00615CE9"/>
    <w:rsid w:val="00615DE8"/>
    <w:rsid w:val="00615E54"/>
    <w:rsid w:val="00615E70"/>
    <w:rsid w:val="00615EBB"/>
    <w:rsid w:val="00615F0F"/>
    <w:rsid w:val="00615F3B"/>
    <w:rsid w:val="00615F3D"/>
    <w:rsid w:val="00615F96"/>
    <w:rsid w:val="00615FD1"/>
    <w:rsid w:val="00615FF0"/>
    <w:rsid w:val="0061602B"/>
    <w:rsid w:val="006160BE"/>
    <w:rsid w:val="0061613F"/>
    <w:rsid w:val="00616150"/>
    <w:rsid w:val="0061615A"/>
    <w:rsid w:val="0061616E"/>
    <w:rsid w:val="00616176"/>
    <w:rsid w:val="006161F2"/>
    <w:rsid w:val="006161FA"/>
    <w:rsid w:val="0061638C"/>
    <w:rsid w:val="006163C0"/>
    <w:rsid w:val="006164AA"/>
    <w:rsid w:val="006164DE"/>
    <w:rsid w:val="0061672B"/>
    <w:rsid w:val="00616742"/>
    <w:rsid w:val="006167A9"/>
    <w:rsid w:val="006169F8"/>
    <w:rsid w:val="00616A07"/>
    <w:rsid w:val="00616A28"/>
    <w:rsid w:val="00616A56"/>
    <w:rsid w:val="00616A70"/>
    <w:rsid w:val="00616ABC"/>
    <w:rsid w:val="00616B38"/>
    <w:rsid w:val="00616B98"/>
    <w:rsid w:val="00616C7F"/>
    <w:rsid w:val="00616D60"/>
    <w:rsid w:val="00616DE7"/>
    <w:rsid w:val="00616E1E"/>
    <w:rsid w:val="00616E56"/>
    <w:rsid w:val="00616F19"/>
    <w:rsid w:val="00616F20"/>
    <w:rsid w:val="00616F5B"/>
    <w:rsid w:val="00616F99"/>
    <w:rsid w:val="00616FAF"/>
    <w:rsid w:val="0061707C"/>
    <w:rsid w:val="006170B2"/>
    <w:rsid w:val="0061718D"/>
    <w:rsid w:val="0061727A"/>
    <w:rsid w:val="00617294"/>
    <w:rsid w:val="006172F8"/>
    <w:rsid w:val="006173AC"/>
    <w:rsid w:val="006173C7"/>
    <w:rsid w:val="0061741B"/>
    <w:rsid w:val="0061743D"/>
    <w:rsid w:val="0061744C"/>
    <w:rsid w:val="00617519"/>
    <w:rsid w:val="00617523"/>
    <w:rsid w:val="0061752B"/>
    <w:rsid w:val="00617536"/>
    <w:rsid w:val="00617550"/>
    <w:rsid w:val="00617589"/>
    <w:rsid w:val="00617593"/>
    <w:rsid w:val="006175E5"/>
    <w:rsid w:val="00617664"/>
    <w:rsid w:val="00617667"/>
    <w:rsid w:val="0061769B"/>
    <w:rsid w:val="006176F0"/>
    <w:rsid w:val="0061770D"/>
    <w:rsid w:val="0061783E"/>
    <w:rsid w:val="0061786E"/>
    <w:rsid w:val="006178A8"/>
    <w:rsid w:val="006178A9"/>
    <w:rsid w:val="006178E3"/>
    <w:rsid w:val="006179EA"/>
    <w:rsid w:val="00617ADB"/>
    <w:rsid w:val="00617B6B"/>
    <w:rsid w:val="00617C08"/>
    <w:rsid w:val="00617C3D"/>
    <w:rsid w:val="00617D2C"/>
    <w:rsid w:val="00617D80"/>
    <w:rsid w:val="00617E5B"/>
    <w:rsid w:val="00617E80"/>
    <w:rsid w:val="00617EAE"/>
    <w:rsid w:val="00617EBB"/>
    <w:rsid w:val="00617EE9"/>
    <w:rsid w:val="00617F49"/>
    <w:rsid w:val="00617F53"/>
    <w:rsid w:val="00620050"/>
    <w:rsid w:val="0062013E"/>
    <w:rsid w:val="006201E6"/>
    <w:rsid w:val="00620252"/>
    <w:rsid w:val="00620255"/>
    <w:rsid w:val="00620288"/>
    <w:rsid w:val="00620302"/>
    <w:rsid w:val="00620395"/>
    <w:rsid w:val="006203A0"/>
    <w:rsid w:val="006203E1"/>
    <w:rsid w:val="0062047C"/>
    <w:rsid w:val="006204CA"/>
    <w:rsid w:val="00620546"/>
    <w:rsid w:val="00620584"/>
    <w:rsid w:val="006205D9"/>
    <w:rsid w:val="006206C7"/>
    <w:rsid w:val="00620718"/>
    <w:rsid w:val="00620805"/>
    <w:rsid w:val="00620870"/>
    <w:rsid w:val="00620886"/>
    <w:rsid w:val="006208DB"/>
    <w:rsid w:val="006209B7"/>
    <w:rsid w:val="006209F7"/>
    <w:rsid w:val="00620AD1"/>
    <w:rsid w:val="00620AE1"/>
    <w:rsid w:val="00620B51"/>
    <w:rsid w:val="00620B71"/>
    <w:rsid w:val="00620BF8"/>
    <w:rsid w:val="00620CED"/>
    <w:rsid w:val="00620D8F"/>
    <w:rsid w:val="00620DB8"/>
    <w:rsid w:val="00620E19"/>
    <w:rsid w:val="00620E22"/>
    <w:rsid w:val="00620ED5"/>
    <w:rsid w:val="00620F19"/>
    <w:rsid w:val="00621005"/>
    <w:rsid w:val="00621027"/>
    <w:rsid w:val="00621086"/>
    <w:rsid w:val="0062116A"/>
    <w:rsid w:val="006211BD"/>
    <w:rsid w:val="006211DE"/>
    <w:rsid w:val="006211F0"/>
    <w:rsid w:val="006211FA"/>
    <w:rsid w:val="0062128D"/>
    <w:rsid w:val="006212BC"/>
    <w:rsid w:val="00621311"/>
    <w:rsid w:val="0062133E"/>
    <w:rsid w:val="00621356"/>
    <w:rsid w:val="00621360"/>
    <w:rsid w:val="006213F0"/>
    <w:rsid w:val="00621463"/>
    <w:rsid w:val="00621486"/>
    <w:rsid w:val="006214C0"/>
    <w:rsid w:val="006214CD"/>
    <w:rsid w:val="006217A5"/>
    <w:rsid w:val="00621803"/>
    <w:rsid w:val="00621864"/>
    <w:rsid w:val="00621877"/>
    <w:rsid w:val="0062193A"/>
    <w:rsid w:val="00621999"/>
    <w:rsid w:val="006219A8"/>
    <w:rsid w:val="006219DA"/>
    <w:rsid w:val="00621A03"/>
    <w:rsid w:val="00621A44"/>
    <w:rsid w:val="00621A7D"/>
    <w:rsid w:val="00621A9B"/>
    <w:rsid w:val="00621AC2"/>
    <w:rsid w:val="00621B33"/>
    <w:rsid w:val="00621BA5"/>
    <w:rsid w:val="00621BD2"/>
    <w:rsid w:val="00621BE4"/>
    <w:rsid w:val="00621BEE"/>
    <w:rsid w:val="00621C5D"/>
    <w:rsid w:val="00621D1B"/>
    <w:rsid w:val="00621DF4"/>
    <w:rsid w:val="00621E23"/>
    <w:rsid w:val="00621E71"/>
    <w:rsid w:val="00621E79"/>
    <w:rsid w:val="00621EF5"/>
    <w:rsid w:val="00621F93"/>
    <w:rsid w:val="00621FC9"/>
    <w:rsid w:val="006220DE"/>
    <w:rsid w:val="006220F1"/>
    <w:rsid w:val="006220F2"/>
    <w:rsid w:val="0062212E"/>
    <w:rsid w:val="0062218C"/>
    <w:rsid w:val="006221A0"/>
    <w:rsid w:val="0062223C"/>
    <w:rsid w:val="006222D9"/>
    <w:rsid w:val="006222F8"/>
    <w:rsid w:val="0062231C"/>
    <w:rsid w:val="00622339"/>
    <w:rsid w:val="00622343"/>
    <w:rsid w:val="006223D9"/>
    <w:rsid w:val="006223E9"/>
    <w:rsid w:val="00622401"/>
    <w:rsid w:val="0062240B"/>
    <w:rsid w:val="00622442"/>
    <w:rsid w:val="0062248B"/>
    <w:rsid w:val="0062248E"/>
    <w:rsid w:val="006224C3"/>
    <w:rsid w:val="0062250E"/>
    <w:rsid w:val="006225A7"/>
    <w:rsid w:val="006225C5"/>
    <w:rsid w:val="006225F8"/>
    <w:rsid w:val="00622604"/>
    <w:rsid w:val="00622672"/>
    <w:rsid w:val="00622702"/>
    <w:rsid w:val="00622727"/>
    <w:rsid w:val="006227FF"/>
    <w:rsid w:val="00622851"/>
    <w:rsid w:val="006228C9"/>
    <w:rsid w:val="00622957"/>
    <w:rsid w:val="00622A5A"/>
    <w:rsid w:val="00622A82"/>
    <w:rsid w:val="00622A8E"/>
    <w:rsid w:val="00622AAF"/>
    <w:rsid w:val="00622B0A"/>
    <w:rsid w:val="00622B93"/>
    <w:rsid w:val="00622BC7"/>
    <w:rsid w:val="00622BE5"/>
    <w:rsid w:val="00622C94"/>
    <w:rsid w:val="00622CF8"/>
    <w:rsid w:val="00622D32"/>
    <w:rsid w:val="00622DF2"/>
    <w:rsid w:val="00622E27"/>
    <w:rsid w:val="00622EE5"/>
    <w:rsid w:val="00622F75"/>
    <w:rsid w:val="00622FB1"/>
    <w:rsid w:val="00623030"/>
    <w:rsid w:val="006230CF"/>
    <w:rsid w:val="006230D1"/>
    <w:rsid w:val="00623134"/>
    <w:rsid w:val="00623137"/>
    <w:rsid w:val="00623149"/>
    <w:rsid w:val="00623190"/>
    <w:rsid w:val="00623219"/>
    <w:rsid w:val="006232FA"/>
    <w:rsid w:val="0062337C"/>
    <w:rsid w:val="00623387"/>
    <w:rsid w:val="00623399"/>
    <w:rsid w:val="00623423"/>
    <w:rsid w:val="0062349F"/>
    <w:rsid w:val="00623507"/>
    <w:rsid w:val="006235BB"/>
    <w:rsid w:val="006236EC"/>
    <w:rsid w:val="006236F6"/>
    <w:rsid w:val="006237B6"/>
    <w:rsid w:val="006237F7"/>
    <w:rsid w:val="006238B7"/>
    <w:rsid w:val="0062391A"/>
    <w:rsid w:val="00623953"/>
    <w:rsid w:val="00623994"/>
    <w:rsid w:val="006239B3"/>
    <w:rsid w:val="006239EB"/>
    <w:rsid w:val="00623A4D"/>
    <w:rsid w:val="00623AA2"/>
    <w:rsid w:val="00623AAB"/>
    <w:rsid w:val="00623BA9"/>
    <w:rsid w:val="00623BFD"/>
    <w:rsid w:val="00623C7F"/>
    <w:rsid w:val="00623C83"/>
    <w:rsid w:val="00623D01"/>
    <w:rsid w:val="00623D15"/>
    <w:rsid w:val="00623E2F"/>
    <w:rsid w:val="00623E39"/>
    <w:rsid w:val="00623E92"/>
    <w:rsid w:val="00623F25"/>
    <w:rsid w:val="00623F2F"/>
    <w:rsid w:val="00624096"/>
    <w:rsid w:val="006240CD"/>
    <w:rsid w:val="0062411A"/>
    <w:rsid w:val="00624146"/>
    <w:rsid w:val="0062415F"/>
    <w:rsid w:val="0062418A"/>
    <w:rsid w:val="00624283"/>
    <w:rsid w:val="006242F4"/>
    <w:rsid w:val="0062432C"/>
    <w:rsid w:val="00624398"/>
    <w:rsid w:val="006243A9"/>
    <w:rsid w:val="006243CB"/>
    <w:rsid w:val="0062447F"/>
    <w:rsid w:val="006244C6"/>
    <w:rsid w:val="00624511"/>
    <w:rsid w:val="0062459C"/>
    <w:rsid w:val="00624679"/>
    <w:rsid w:val="006246AE"/>
    <w:rsid w:val="00624716"/>
    <w:rsid w:val="0062474C"/>
    <w:rsid w:val="006247DA"/>
    <w:rsid w:val="00624818"/>
    <w:rsid w:val="00624822"/>
    <w:rsid w:val="0062485D"/>
    <w:rsid w:val="00624874"/>
    <w:rsid w:val="00624885"/>
    <w:rsid w:val="006248B7"/>
    <w:rsid w:val="00624918"/>
    <w:rsid w:val="0062491C"/>
    <w:rsid w:val="0062492F"/>
    <w:rsid w:val="00624959"/>
    <w:rsid w:val="006249A6"/>
    <w:rsid w:val="006249D1"/>
    <w:rsid w:val="006249E5"/>
    <w:rsid w:val="00624A29"/>
    <w:rsid w:val="00624A43"/>
    <w:rsid w:val="00624B33"/>
    <w:rsid w:val="00624B5F"/>
    <w:rsid w:val="00624B6C"/>
    <w:rsid w:val="00624C1D"/>
    <w:rsid w:val="00624CAA"/>
    <w:rsid w:val="00624D5A"/>
    <w:rsid w:val="00624DC2"/>
    <w:rsid w:val="00624DE2"/>
    <w:rsid w:val="00624DFC"/>
    <w:rsid w:val="00624E83"/>
    <w:rsid w:val="00624EF4"/>
    <w:rsid w:val="00624F05"/>
    <w:rsid w:val="00624F17"/>
    <w:rsid w:val="0062510C"/>
    <w:rsid w:val="00625146"/>
    <w:rsid w:val="00625147"/>
    <w:rsid w:val="00625168"/>
    <w:rsid w:val="00625179"/>
    <w:rsid w:val="006251EF"/>
    <w:rsid w:val="0062520A"/>
    <w:rsid w:val="00625237"/>
    <w:rsid w:val="00625274"/>
    <w:rsid w:val="00625344"/>
    <w:rsid w:val="006253A0"/>
    <w:rsid w:val="00625583"/>
    <w:rsid w:val="006255F8"/>
    <w:rsid w:val="00625644"/>
    <w:rsid w:val="0062571B"/>
    <w:rsid w:val="006257F9"/>
    <w:rsid w:val="00625882"/>
    <w:rsid w:val="006258A5"/>
    <w:rsid w:val="006258E4"/>
    <w:rsid w:val="00625A12"/>
    <w:rsid w:val="00625A89"/>
    <w:rsid w:val="00625AAD"/>
    <w:rsid w:val="00625ACA"/>
    <w:rsid w:val="00625AD0"/>
    <w:rsid w:val="00625AF2"/>
    <w:rsid w:val="00625B0D"/>
    <w:rsid w:val="00625B92"/>
    <w:rsid w:val="00625BB0"/>
    <w:rsid w:val="00625D08"/>
    <w:rsid w:val="00625D3C"/>
    <w:rsid w:val="00625D63"/>
    <w:rsid w:val="00625E1F"/>
    <w:rsid w:val="00625E55"/>
    <w:rsid w:val="00625EE9"/>
    <w:rsid w:val="00625F8C"/>
    <w:rsid w:val="00625FCE"/>
    <w:rsid w:val="00625FFB"/>
    <w:rsid w:val="00626049"/>
    <w:rsid w:val="0062604F"/>
    <w:rsid w:val="00626104"/>
    <w:rsid w:val="006261B0"/>
    <w:rsid w:val="0062636E"/>
    <w:rsid w:val="00626403"/>
    <w:rsid w:val="006264B0"/>
    <w:rsid w:val="006264CD"/>
    <w:rsid w:val="006265D1"/>
    <w:rsid w:val="00626665"/>
    <w:rsid w:val="0062679C"/>
    <w:rsid w:val="0062679E"/>
    <w:rsid w:val="006267AA"/>
    <w:rsid w:val="00626827"/>
    <w:rsid w:val="00626941"/>
    <w:rsid w:val="006269F4"/>
    <w:rsid w:val="006269FE"/>
    <w:rsid w:val="00626A26"/>
    <w:rsid w:val="00626A65"/>
    <w:rsid w:val="00626B07"/>
    <w:rsid w:val="00626B12"/>
    <w:rsid w:val="00626B1B"/>
    <w:rsid w:val="00626B4F"/>
    <w:rsid w:val="00626B61"/>
    <w:rsid w:val="00626C53"/>
    <w:rsid w:val="00626C69"/>
    <w:rsid w:val="00626C6E"/>
    <w:rsid w:val="00626D11"/>
    <w:rsid w:val="00626DCF"/>
    <w:rsid w:val="00626E54"/>
    <w:rsid w:val="00626F64"/>
    <w:rsid w:val="00626FDD"/>
    <w:rsid w:val="00627000"/>
    <w:rsid w:val="00627046"/>
    <w:rsid w:val="00627088"/>
    <w:rsid w:val="00627097"/>
    <w:rsid w:val="006270B9"/>
    <w:rsid w:val="0062711F"/>
    <w:rsid w:val="00627135"/>
    <w:rsid w:val="00627138"/>
    <w:rsid w:val="00627140"/>
    <w:rsid w:val="0062718C"/>
    <w:rsid w:val="006271DF"/>
    <w:rsid w:val="00627271"/>
    <w:rsid w:val="006272B4"/>
    <w:rsid w:val="0062730F"/>
    <w:rsid w:val="006273F1"/>
    <w:rsid w:val="0062743F"/>
    <w:rsid w:val="0062757A"/>
    <w:rsid w:val="00627585"/>
    <w:rsid w:val="006275AF"/>
    <w:rsid w:val="00627641"/>
    <w:rsid w:val="006276F6"/>
    <w:rsid w:val="0062775B"/>
    <w:rsid w:val="00627935"/>
    <w:rsid w:val="006279AE"/>
    <w:rsid w:val="006279AF"/>
    <w:rsid w:val="00627A34"/>
    <w:rsid w:val="00627A7B"/>
    <w:rsid w:val="00627B05"/>
    <w:rsid w:val="00627B29"/>
    <w:rsid w:val="00627B7C"/>
    <w:rsid w:val="00627B94"/>
    <w:rsid w:val="00627C8D"/>
    <w:rsid w:val="00627CE4"/>
    <w:rsid w:val="00627DEC"/>
    <w:rsid w:val="00627E61"/>
    <w:rsid w:val="00627E7B"/>
    <w:rsid w:val="00627E98"/>
    <w:rsid w:val="00627EBD"/>
    <w:rsid w:val="00627F91"/>
    <w:rsid w:val="00627FFD"/>
    <w:rsid w:val="00630047"/>
    <w:rsid w:val="00630069"/>
    <w:rsid w:val="00630071"/>
    <w:rsid w:val="006300D5"/>
    <w:rsid w:val="006301C2"/>
    <w:rsid w:val="00630208"/>
    <w:rsid w:val="00630313"/>
    <w:rsid w:val="0063038F"/>
    <w:rsid w:val="0063045D"/>
    <w:rsid w:val="0063057A"/>
    <w:rsid w:val="00630612"/>
    <w:rsid w:val="0063066D"/>
    <w:rsid w:val="006306B8"/>
    <w:rsid w:val="00630844"/>
    <w:rsid w:val="0063084B"/>
    <w:rsid w:val="006308C9"/>
    <w:rsid w:val="006308CA"/>
    <w:rsid w:val="006308F4"/>
    <w:rsid w:val="0063096D"/>
    <w:rsid w:val="006309A7"/>
    <w:rsid w:val="00630A06"/>
    <w:rsid w:val="00630A10"/>
    <w:rsid w:val="00630AE5"/>
    <w:rsid w:val="00630AF6"/>
    <w:rsid w:val="00630B39"/>
    <w:rsid w:val="00630B3F"/>
    <w:rsid w:val="00630BBD"/>
    <w:rsid w:val="00630C20"/>
    <w:rsid w:val="00630C8E"/>
    <w:rsid w:val="00630D4C"/>
    <w:rsid w:val="00630D51"/>
    <w:rsid w:val="00630E1D"/>
    <w:rsid w:val="00630E24"/>
    <w:rsid w:val="00630E7C"/>
    <w:rsid w:val="00630F58"/>
    <w:rsid w:val="00630F60"/>
    <w:rsid w:val="00630F86"/>
    <w:rsid w:val="00630F99"/>
    <w:rsid w:val="00630F9E"/>
    <w:rsid w:val="00630FE3"/>
    <w:rsid w:val="00630FEC"/>
    <w:rsid w:val="0063109D"/>
    <w:rsid w:val="006310B2"/>
    <w:rsid w:val="00631129"/>
    <w:rsid w:val="00631155"/>
    <w:rsid w:val="00631170"/>
    <w:rsid w:val="00631348"/>
    <w:rsid w:val="0063137F"/>
    <w:rsid w:val="006313D0"/>
    <w:rsid w:val="006313F9"/>
    <w:rsid w:val="00631408"/>
    <w:rsid w:val="00631420"/>
    <w:rsid w:val="00631423"/>
    <w:rsid w:val="0063145D"/>
    <w:rsid w:val="006314CA"/>
    <w:rsid w:val="006314D1"/>
    <w:rsid w:val="0063153D"/>
    <w:rsid w:val="00631561"/>
    <w:rsid w:val="0063177B"/>
    <w:rsid w:val="006317AB"/>
    <w:rsid w:val="006317AD"/>
    <w:rsid w:val="006319D1"/>
    <w:rsid w:val="006319EC"/>
    <w:rsid w:val="00631A56"/>
    <w:rsid w:val="00631A94"/>
    <w:rsid w:val="00631B5A"/>
    <w:rsid w:val="00631BF9"/>
    <w:rsid w:val="00631C80"/>
    <w:rsid w:val="00631DD8"/>
    <w:rsid w:val="00631DE6"/>
    <w:rsid w:val="00631E1B"/>
    <w:rsid w:val="00631E47"/>
    <w:rsid w:val="00631F99"/>
    <w:rsid w:val="00631F9B"/>
    <w:rsid w:val="00631FC1"/>
    <w:rsid w:val="00631FE5"/>
    <w:rsid w:val="0063202F"/>
    <w:rsid w:val="0063215C"/>
    <w:rsid w:val="006321B9"/>
    <w:rsid w:val="00632318"/>
    <w:rsid w:val="006323AA"/>
    <w:rsid w:val="006323DA"/>
    <w:rsid w:val="006324E3"/>
    <w:rsid w:val="00632509"/>
    <w:rsid w:val="0063250A"/>
    <w:rsid w:val="006325B2"/>
    <w:rsid w:val="006325D1"/>
    <w:rsid w:val="0063268B"/>
    <w:rsid w:val="006326FB"/>
    <w:rsid w:val="00632826"/>
    <w:rsid w:val="0063284C"/>
    <w:rsid w:val="00632857"/>
    <w:rsid w:val="006328BD"/>
    <w:rsid w:val="00632910"/>
    <w:rsid w:val="00632928"/>
    <w:rsid w:val="00632A53"/>
    <w:rsid w:val="00632B38"/>
    <w:rsid w:val="00632C1C"/>
    <w:rsid w:val="00632D83"/>
    <w:rsid w:val="00632D8E"/>
    <w:rsid w:val="00632E3D"/>
    <w:rsid w:val="00632E49"/>
    <w:rsid w:val="00632ECD"/>
    <w:rsid w:val="00632ED0"/>
    <w:rsid w:val="00632F23"/>
    <w:rsid w:val="00632F7A"/>
    <w:rsid w:val="00632FA7"/>
    <w:rsid w:val="00632FCC"/>
    <w:rsid w:val="00632FF2"/>
    <w:rsid w:val="0063302E"/>
    <w:rsid w:val="00633066"/>
    <w:rsid w:val="006330DE"/>
    <w:rsid w:val="006330F5"/>
    <w:rsid w:val="00633114"/>
    <w:rsid w:val="006331DF"/>
    <w:rsid w:val="006331ED"/>
    <w:rsid w:val="00633250"/>
    <w:rsid w:val="0063328B"/>
    <w:rsid w:val="00633296"/>
    <w:rsid w:val="006332FD"/>
    <w:rsid w:val="00633434"/>
    <w:rsid w:val="0063348E"/>
    <w:rsid w:val="00633536"/>
    <w:rsid w:val="0063356F"/>
    <w:rsid w:val="006335DB"/>
    <w:rsid w:val="00633642"/>
    <w:rsid w:val="006336E6"/>
    <w:rsid w:val="0063370D"/>
    <w:rsid w:val="0063372A"/>
    <w:rsid w:val="0063381D"/>
    <w:rsid w:val="00633842"/>
    <w:rsid w:val="006338A6"/>
    <w:rsid w:val="0063390F"/>
    <w:rsid w:val="0063391D"/>
    <w:rsid w:val="00633926"/>
    <w:rsid w:val="0063394D"/>
    <w:rsid w:val="00633A66"/>
    <w:rsid w:val="00633AD7"/>
    <w:rsid w:val="00633AF8"/>
    <w:rsid w:val="00633B14"/>
    <w:rsid w:val="00633B23"/>
    <w:rsid w:val="00633B76"/>
    <w:rsid w:val="00633D19"/>
    <w:rsid w:val="00633D26"/>
    <w:rsid w:val="00633D89"/>
    <w:rsid w:val="00633EDC"/>
    <w:rsid w:val="00633FDD"/>
    <w:rsid w:val="006340E1"/>
    <w:rsid w:val="0063415B"/>
    <w:rsid w:val="00634174"/>
    <w:rsid w:val="00634208"/>
    <w:rsid w:val="0063426C"/>
    <w:rsid w:val="006343DC"/>
    <w:rsid w:val="00634401"/>
    <w:rsid w:val="00634436"/>
    <w:rsid w:val="00634459"/>
    <w:rsid w:val="006344DA"/>
    <w:rsid w:val="0063451D"/>
    <w:rsid w:val="0063453A"/>
    <w:rsid w:val="00634549"/>
    <w:rsid w:val="00634551"/>
    <w:rsid w:val="00634566"/>
    <w:rsid w:val="006345BE"/>
    <w:rsid w:val="00634644"/>
    <w:rsid w:val="00634651"/>
    <w:rsid w:val="0063467D"/>
    <w:rsid w:val="0063475E"/>
    <w:rsid w:val="006347CB"/>
    <w:rsid w:val="006347F1"/>
    <w:rsid w:val="00634888"/>
    <w:rsid w:val="006348FD"/>
    <w:rsid w:val="0063497A"/>
    <w:rsid w:val="006349DD"/>
    <w:rsid w:val="00634A80"/>
    <w:rsid w:val="00634A83"/>
    <w:rsid w:val="00634A8B"/>
    <w:rsid w:val="00634B61"/>
    <w:rsid w:val="00634C53"/>
    <w:rsid w:val="00634CE4"/>
    <w:rsid w:val="00634D0C"/>
    <w:rsid w:val="00634D1E"/>
    <w:rsid w:val="00634DB7"/>
    <w:rsid w:val="00634E01"/>
    <w:rsid w:val="00634E30"/>
    <w:rsid w:val="00634E4C"/>
    <w:rsid w:val="006350E2"/>
    <w:rsid w:val="00635117"/>
    <w:rsid w:val="00635126"/>
    <w:rsid w:val="00635127"/>
    <w:rsid w:val="0063512A"/>
    <w:rsid w:val="0063518C"/>
    <w:rsid w:val="006351EF"/>
    <w:rsid w:val="00635239"/>
    <w:rsid w:val="006352D4"/>
    <w:rsid w:val="006352D9"/>
    <w:rsid w:val="006352E9"/>
    <w:rsid w:val="006353A0"/>
    <w:rsid w:val="006353F3"/>
    <w:rsid w:val="00635400"/>
    <w:rsid w:val="00635408"/>
    <w:rsid w:val="0063545D"/>
    <w:rsid w:val="00635509"/>
    <w:rsid w:val="0063551A"/>
    <w:rsid w:val="00635541"/>
    <w:rsid w:val="00635586"/>
    <w:rsid w:val="0063561C"/>
    <w:rsid w:val="006356DF"/>
    <w:rsid w:val="006356EC"/>
    <w:rsid w:val="006357A4"/>
    <w:rsid w:val="006357D7"/>
    <w:rsid w:val="006357FF"/>
    <w:rsid w:val="00635A3B"/>
    <w:rsid w:val="00635A79"/>
    <w:rsid w:val="00635A91"/>
    <w:rsid w:val="00635AA7"/>
    <w:rsid w:val="00635AB2"/>
    <w:rsid w:val="00635AEF"/>
    <w:rsid w:val="00635BC5"/>
    <w:rsid w:val="00635C59"/>
    <w:rsid w:val="00635C88"/>
    <w:rsid w:val="00635D26"/>
    <w:rsid w:val="00635E00"/>
    <w:rsid w:val="00635E0D"/>
    <w:rsid w:val="00635E70"/>
    <w:rsid w:val="00635EBC"/>
    <w:rsid w:val="00636011"/>
    <w:rsid w:val="00636046"/>
    <w:rsid w:val="00636066"/>
    <w:rsid w:val="0063629B"/>
    <w:rsid w:val="0063637A"/>
    <w:rsid w:val="006363A4"/>
    <w:rsid w:val="006363AB"/>
    <w:rsid w:val="0063644F"/>
    <w:rsid w:val="0063645C"/>
    <w:rsid w:val="00636528"/>
    <w:rsid w:val="00636585"/>
    <w:rsid w:val="006366E6"/>
    <w:rsid w:val="00636755"/>
    <w:rsid w:val="00636777"/>
    <w:rsid w:val="00636798"/>
    <w:rsid w:val="006367E2"/>
    <w:rsid w:val="006368A9"/>
    <w:rsid w:val="00636A1E"/>
    <w:rsid w:val="00636A27"/>
    <w:rsid w:val="00636A55"/>
    <w:rsid w:val="00636AAB"/>
    <w:rsid w:val="00636AE9"/>
    <w:rsid w:val="00636B94"/>
    <w:rsid w:val="00636BAB"/>
    <w:rsid w:val="00636BD7"/>
    <w:rsid w:val="00636C3F"/>
    <w:rsid w:val="00636CBA"/>
    <w:rsid w:val="00636D18"/>
    <w:rsid w:val="00636DBB"/>
    <w:rsid w:val="00636DC8"/>
    <w:rsid w:val="00636DCA"/>
    <w:rsid w:val="00636E89"/>
    <w:rsid w:val="00636EA4"/>
    <w:rsid w:val="00636EC6"/>
    <w:rsid w:val="00636F3A"/>
    <w:rsid w:val="00636F60"/>
    <w:rsid w:val="00636FA2"/>
    <w:rsid w:val="00636FB4"/>
    <w:rsid w:val="00636FB5"/>
    <w:rsid w:val="0063702B"/>
    <w:rsid w:val="006370D8"/>
    <w:rsid w:val="006370EF"/>
    <w:rsid w:val="0063715D"/>
    <w:rsid w:val="00637170"/>
    <w:rsid w:val="00637275"/>
    <w:rsid w:val="006372A5"/>
    <w:rsid w:val="00637366"/>
    <w:rsid w:val="006373DB"/>
    <w:rsid w:val="006373E0"/>
    <w:rsid w:val="00637459"/>
    <w:rsid w:val="00637518"/>
    <w:rsid w:val="00637521"/>
    <w:rsid w:val="006375CB"/>
    <w:rsid w:val="006375D5"/>
    <w:rsid w:val="00637606"/>
    <w:rsid w:val="0063762E"/>
    <w:rsid w:val="00637662"/>
    <w:rsid w:val="00637723"/>
    <w:rsid w:val="00637724"/>
    <w:rsid w:val="0063773F"/>
    <w:rsid w:val="00637763"/>
    <w:rsid w:val="006377A1"/>
    <w:rsid w:val="00637811"/>
    <w:rsid w:val="00637816"/>
    <w:rsid w:val="00637980"/>
    <w:rsid w:val="00637A7E"/>
    <w:rsid w:val="00637AC1"/>
    <w:rsid w:val="00637B05"/>
    <w:rsid w:val="00637B53"/>
    <w:rsid w:val="00637B5B"/>
    <w:rsid w:val="00637B64"/>
    <w:rsid w:val="00637C1A"/>
    <w:rsid w:val="00637C54"/>
    <w:rsid w:val="00637C5E"/>
    <w:rsid w:val="00637CC0"/>
    <w:rsid w:val="00637D4F"/>
    <w:rsid w:val="00637D94"/>
    <w:rsid w:val="00637DF5"/>
    <w:rsid w:val="00637EC1"/>
    <w:rsid w:val="00637F09"/>
    <w:rsid w:val="00637F15"/>
    <w:rsid w:val="00637F74"/>
    <w:rsid w:val="00637FB3"/>
    <w:rsid w:val="00640011"/>
    <w:rsid w:val="006401E8"/>
    <w:rsid w:val="00640215"/>
    <w:rsid w:val="0064022B"/>
    <w:rsid w:val="006402AA"/>
    <w:rsid w:val="00640352"/>
    <w:rsid w:val="00640450"/>
    <w:rsid w:val="0064045A"/>
    <w:rsid w:val="006405BA"/>
    <w:rsid w:val="006405DE"/>
    <w:rsid w:val="006405F9"/>
    <w:rsid w:val="00640688"/>
    <w:rsid w:val="006406E8"/>
    <w:rsid w:val="0064073A"/>
    <w:rsid w:val="0064076D"/>
    <w:rsid w:val="006407E1"/>
    <w:rsid w:val="00640820"/>
    <w:rsid w:val="0064083E"/>
    <w:rsid w:val="0064086C"/>
    <w:rsid w:val="006409BF"/>
    <w:rsid w:val="00640A47"/>
    <w:rsid w:val="00640AC9"/>
    <w:rsid w:val="00640B4A"/>
    <w:rsid w:val="00640B4B"/>
    <w:rsid w:val="00640C27"/>
    <w:rsid w:val="00640C44"/>
    <w:rsid w:val="00640C6E"/>
    <w:rsid w:val="00640CD6"/>
    <w:rsid w:val="00640D3E"/>
    <w:rsid w:val="00640D91"/>
    <w:rsid w:val="00640DE8"/>
    <w:rsid w:val="00640E1B"/>
    <w:rsid w:val="00641000"/>
    <w:rsid w:val="00641090"/>
    <w:rsid w:val="006410E8"/>
    <w:rsid w:val="00641100"/>
    <w:rsid w:val="0064118A"/>
    <w:rsid w:val="006411C1"/>
    <w:rsid w:val="006411D7"/>
    <w:rsid w:val="006411EA"/>
    <w:rsid w:val="00641268"/>
    <w:rsid w:val="00641300"/>
    <w:rsid w:val="00641324"/>
    <w:rsid w:val="006413D1"/>
    <w:rsid w:val="006413D7"/>
    <w:rsid w:val="00641402"/>
    <w:rsid w:val="0064145E"/>
    <w:rsid w:val="006414A9"/>
    <w:rsid w:val="006414E6"/>
    <w:rsid w:val="00641566"/>
    <w:rsid w:val="00641589"/>
    <w:rsid w:val="0064171D"/>
    <w:rsid w:val="0064175B"/>
    <w:rsid w:val="0064176A"/>
    <w:rsid w:val="00641789"/>
    <w:rsid w:val="006417F0"/>
    <w:rsid w:val="00641848"/>
    <w:rsid w:val="0064185E"/>
    <w:rsid w:val="006418C0"/>
    <w:rsid w:val="00641947"/>
    <w:rsid w:val="00641A1A"/>
    <w:rsid w:val="00641A25"/>
    <w:rsid w:val="00641A32"/>
    <w:rsid w:val="00641A61"/>
    <w:rsid w:val="00641AFB"/>
    <w:rsid w:val="00641B5F"/>
    <w:rsid w:val="00641B77"/>
    <w:rsid w:val="00641C28"/>
    <w:rsid w:val="00641C33"/>
    <w:rsid w:val="00641C8F"/>
    <w:rsid w:val="00641CDC"/>
    <w:rsid w:val="00641D07"/>
    <w:rsid w:val="00641DFF"/>
    <w:rsid w:val="00641E3A"/>
    <w:rsid w:val="00641E55"/>
    <w:rsid w:val="00641ED9"/>
    <w:rsid w:val="00641EDE"/>
    <w:rsid w:val="00641EE1"/>
    <w:rsid w:val="00641F3E"/>
    <w:rsid w:val="00641FA6"/>
    <w:rsid w:val="0064204E"/>
    <w:rsid w:val="0064219E"/>
    <w:rsid w:val="0064225A"/>
    <w:rsid w:val="0064229D"/>
    <w:rsid w:val="006423AD"/>
    <w:rsid w:val="006424B6"/>
    <w:rsid w:val="00642508"/>
    <w:rsid w:val="00642533"/>
    <w:rsid w:val="00642603"/>
    <w:rsid w:val="00642626"/>
    <w:rsid w:val="0064263A"/>
    <w:rsid w:val="006426ED"/>
    <w:rsid w:val="00642790"/>
    <w:rsid w:val="006427E3"/>
    <w:rsid w:val="006427F4"/>
    <w:rsid w:val="00642800"/>
    <w:rsid w:val="00642847"/>
    <w:rsid w:val="00642894"/>
    <w:rsid w:val="00642896"/>
    <w:rsid w:val="006428D1"/>
    <w:rsid w:val="0064291D"/>
    <w:rsid w:val="00642983"/>
    <w:rsid w:val="00642994"/>
    <w:rsid w:val="006429FA"/>
    <w:rsid w:val="00642A37"/>
    <w:rsid w:val="00642A39"/>
    <w:rsid w:val="00642A51"/>
    <w:rsid w:val="00642B23"/>
    <w:rsid w:val="00642B25"/>
    <w:rsid w:val="00642B2A"/>
    <w:rsid w:val="00642B37"/>
    <w:rsid w:val="00642B53"/>
    <w:rsid w:val="00642B61"/>
    <w:rsid w:val="00642D30"/>
    <w:rsid w:val="00642D3E"/>
    <w:rsid w:val="00642D9B"/>
    <w:rsid w:val="00642DA6"/>
    <w:rsid w:val="00642DCA"/>
    <w:rsid w:val="00642E5A"/>
    <w:rsid w:val="00642EC7"/>
    <w:rsid w:val="00642F29"/>
    <w:rsid w:val="00642F56"/>
    <w:rsid w:val="00642FF0"/>
    <w:rsid w:val="0064303C"/>
    <w:rsid w:val="00643085"/>
    <w:rsid w:val="006430D2"/>
    <w:rsid w:val="006430EF"/>
    <w:rsid w:val="006430F9"/>
    <w:rsid w:val="00643186"/>
    <w:rsid w:val="006431C1"/>
    <w:rsid w:val="00643269"/>
    <w:rsid w:val="00643287"/>
    <w:rsid w:val="00643305"/>
    <w:rsid w:val="00643307"/>
    <w:rsid w:val="0064338E"/>
    <w:rsid w:val="0064346F"/>
    <w:rsid w:val="00643477"/>
    <w:rsid w:val="006434A3"/>
    <w:rsid w:val="0064353F"/>
    <w:rsid w:val="00643589"/>
    <w:rsid w:val="0064359C"/>
    <w:rsid w:val="0064359F"/>
    <w:rsid w:val="00643606"/>
    <w:rsid w:val="006436A0"/>
    <w:rsid w:val="00643704"/>
    <w:rsid w:val="00643729"/>
    <w:rsid w:val="0064377D"/>
    <w:rsid w:val="006437A8"/>
    <w:rsid w:val="0064380C"/>
    <w:rsid w:val="00643844"/>
    <w:rsid w:val="00643923"/>
    <w:rsid w:val="00643992"/>
    <w:rsid w:val="0064399B"/>
    <w:rsid w:val="00643A92"/>
    <w:rsid w:val="00643AB9"/>
    <w:rsid w:val="00643AC0"/>
    <w:rsid w:val="00643B0B"/>
    <w:rsid w:val="00643B5A"/>
    <w:rsid w:val="00643BAC"/>
    <w:rsid w:val="00643C15"/>
    <w:rsid w:val="00643CCC"/>
    <w:rsid w:val="00643E3E"/>
    <w:rsid w:val="00643E89"/>
    <w:rsid w:val="00643EA5"/>
    <w:rsid w:val="00643F28"/>
    <w:rsid w:val="00643FE0"/>
    <w:rsid w:val="00644028"/>
    <w:rsid w:val="006440D7"/>
    <w:rsid w:val="00644136"/>
    <w:rsid w:val="00644161"/>
    <w:rsid w:val="00644193"/>
    <w:rsid w:val="006441AC"/>
    <w:rsid w:val="006441D4"/>
    <w:rsid w:val="00644229"/>
    <w:rsid w:val="0064425C"/>
    <w:rsid w:val="00644276"/>
    <w:rsid w:val="00644297"/>
    <w:rsid w:val="006442C0"/>
    <w:rsid w:val="00644326"/>
    <w:rsid w:val="0064448B"/>
    <w:rsid w:val="006444B8"/>
    <w:rsid w:val="006444C5"/>
    <w:rsid w:val="0064453A"/>
    <w:rsid w:val="0064453B"/>
    <w:rsid w:val="006446EC"/>
    <w:rsid w:val="00644710"/>
    <w:rsid w:val="00644740"/>
    <w:rsid w:val="00644749"/>
    <w:rsid w:val="00644754"/>
    <w:rsid w:val="00644765"/>
    <w:rsid w:val="00644841"/>
    <w:rsid w:val="006449E8"/>
    <w:rsid w:val="006449FF"/>
    <w:rsid w:val="00644A20"/>
    <w:rsid w:val="00644ABE"/>
    <w:rsid w:val="00644AEC"/>
    <w:rsid w:val="00644AF5"/>
    <w:rsid w:val="00644B1A"/>
    <w:rsid w:val="00644B83"/>
    <w:rsid w:val="00644BD4"/>
    <w:rsid w:val="00644CE7"/>
    <w:rsid w:val="00644E6B"/>
    <w:rsid w:val="00644E84"/>
    <w:rsid w:val="00644ECA"/>
    <w:rsid w:val="00644F3C"/>
    <w:rsid w:val="00644FFD"/>
    <w:rsid w:val="0064505F"/>
    <w:rsid w:val="0064511F"/>
    <w:rsid w:val="00645158"/>
    <w:rsid w:val="0064522D"/>
    <w:rsid w:val="00645242"/>
    <w:rsid w:val="006452D2"/>
    <w:rsid w:val="00645304"/>
    <w:rsid w:val="00645337"/>
    <w:rsid w:val="006454C6"/>
    <w:rsid w:val="0064553D"/>
    <w:rsid w:val="0064559F"/>
    <w:rsid w:val="006455CA"/>
    <w:rsid w:val="006455E4"/>
    <w:rsid w:val="0064562C"/>
    <w:rsid w:val="006456F6"/>
    <w:rsid w:val="00645751"/>
    <w:rsid w:val="0064579B"/>
    <w:rsid w:val="006457B3"/>
    <w:rsid w:val="00645846"/>
    <w:rsid w:val="00645916"/>
    <w:rsid w:val="00645982"/>
    <w:rsid w:val="006459F5"/>
    <w:rsid w:val="00645A1E"/>
    <w:rsid w:val="00645A8B"/>
    <w:rsid w:val="00645AAC"/>
    <w:rsid w:val="00645AE7"/>
    <w:rsid w:val="00645B53"/>
    <w:rsid w:val="00645BBC"/>
    <w:rsid w:val="00645C32"/>
    <w:rsid w:val="00645C55"/>
    <w:rsid w:val="00645CA4"/>
    <w:rsid w:val="00645CC3"/>
    <w:rsid w:val="00645EBB"/>
    <w:rsid w:val="00645F16"/>
    <w:rsid w:val="00645FEA"/>
    <w:rsid w:val="00645FFD"/>
    <w:rsid w:val="0064601F"/>
    <w:rsid w:val="0064609D"/>
    <w:rsid w:val="006460CF"/>
    <w:rsid w:val="006460E2"/>
    <w:rsid w:val="00646249"/>
    <w:rsid w:val="00646299"/>
    <w:rsid w:val="006462F0"/>
    <w:rsid w:val="00646352"/>
    <w:rsid w:val="00646358"/>
    <w:rsid w:val="00646359"/>
    <w:rsid w:val="00646457"/>
    <w:rsid w:val="0064645A"/>
    <w:rsid w:val="0064648F"/>
    <w:rsid w:val="006464C6"/>
    <w:rsid w:val="006464CA"/>
    <w:rsid w:val="00646517"/>
    <w:rsid w:val="0064654A"/>
    <w:rsid w:val="0064655D"/>
    <w:rsid w:val="0064656B"/>
    <w:rsid w:val="00646575"/>
    <w:rsid w:val="00646579"/>
    <w:rsid w:val="006465D8"/>
    <w:rsid w:val="006465E2"/>
    <w:rsid w:val="00646632"/>
    <w:rsid w:val="006466F3"/>
    <w:rsid w:val="0064670A"/>
    <w:rsid w:val="006467B4"/>
    <w:rsid w:val="006467FF"/>
    <w:rsid w:val="00646825"/>
    <w:rsid w:val="006468F7"/>
    <w:rsid w:val="00646910"/>
    <w:rsid w:val="00646937"/>
    <w:rsid w:val="00646943"/>
    <w:rsid w:val="0064694B"/>
    <w:rsid w:val="00646A83"/>
    <w:rsid w:val="00646A92"/>
    <w:rsid w:val="00646A9A"/>
    <w:rsid w:val="00646B54"/>
    <w:rsid w:val="00646B84"/>
    <w:rsid w:val="00646B95"/>
    <w:rsid w:val="00646BE0"/>
    <w:rsid w:val="00646BEA"/>
    <w:rsid w:val="00646BFB"/>
    <w:rsid w:val="00646C4F"/>
    <w:rsid w:val="00646C8B"/>
    <w:rsid w:val="00646CA2"/>
    <w:rsid w:val="00646CFF"/>
    <w:rsid w:val="00646D0F"/>
    <w:rsid w:val="00646D47"/>
    <w:rsid w:val="00646D70"/>
    <w:rsid w:val="00646DC3"/>
    <w:rsid w:val="00646E2F"/>
    <w:rsid w:val="00646E42"/>
    <w:rsid w:val="00646E8E"/>
    <w:rsid w:val="00646ED8"/>
    <w:rsid w:val="0064708E"/>
    <w:rsid w:val="006470E2"/>
    <w:rsid w:val="00647102"/>
    <w:rsid w:val="00647128"/>
    <w:rsid w:val="006471A6"/>
    <w:rsid w:val="006471D1"/>
    <w:rsid w:val="00647248"/>
    <w:rsid w:val="00647304"/>
    <w:rsid w:val="0064730D"/>
    <w:rsid w:val="0064745A"/>
    <w:rsid w:val="00647529"/>
    <w:rsid w:val="0064753F"/>
    <w:rsid w:val="00647592"/>
    <w:rsid w:val="006475BC"/>
    <w:rsid w:val="0064760F"/>
    <w:rsid w:val="00647675"/>
    <w:rsid w:val="006476BD"/>
    <w:rsid w:val="00647725"/>
    <w:rsid w:val="006477CE"/>
    <w:rsid w:val="00647824"/>
    <w:rsid w:val="0064789E"/>
    <w:rsid w:val="0064795D"/>
    <w:rsid w:val="006479FD"/>
    <w:rsid w:val="00647A7C"/>
    <w:rsid w:val="00647B3A"/>
    <w:rsid w:val="00647B4A"/>
    <w:rsid w:val="00647BA5"/>
    <w:rsid w:val="00647BBF"/>
    <w:rsid w:val="00647C20"/>
    <w:rsid w:val="00647C8F"/>
    <w:rsid w:val="00647C99"/>
    <w:rsid w:val="00647CD2"/>
    <w:rsid w:val="00647D55"/>
    <w:rsid w:val="00647DD9"/>
    <w:rsid w:val="00647E17"/>
    <w:rsid w:val="00647EC2"/>
    <w:rsid w:val="00647F23"/>
    <w:rsid w:val="00647F58"/>
    <w:rsid w:val="00647F88"/>
    <w:rsid w:val="00647F8C"/>
    <w:rsid w:val="006500A8"/>
    <w:rsid w:val="006500D9"/>
    <w:rsid w:val="0065013E"/>
    <w:rsid w:val="00650216"/>
    <w:rsid w:val="006502A0"/>
    <w:rsid w:val="006502C3"/>
    <w:rsid w:val="006502DE"/>
    <w:rsid w:val="006502F5"/>
    <w:rsid w:val="00650305"/>
    <w:rsid w:val="0065037A"/>
    <w:rsid w:val="00650438"/>
    <w:rsid w:val="006504B3"/>
    <w:rsid w:val="00650561"/>
    <w:rsid w:val="006505CC"/>
    <w:rsid w:val="0065060F"/>
    <w:rsid w:val="006506DD"/>
    <w:rsid w:val="00650700"/>
    <w:rsid w:val="00650761"/>
    <w:rsid w:val="006507D0"/>
    <w:rsid w:val="006507D9"/>
    <w:rsid w:val="00650809"/>
    <w:rsid w:val="006509AD"/>
    <w:rsid w:val="006509B9"/>
    <w:rsid w:val="006509F3"/>
    <w:rsid w:val="00650A2B"/>
    <w:rsid w:val="00650A7E"/>
    <w:rsid w:val="00650A92"/>
    <w:rsid w:val="00650B54"/>
    <w:rsid w:val="00650C4B"/>
    <w:rsid w:val="00650C97"/>
    <w:rsid w:val="00650D27"/>
    <w:rsid w:val="00650D54"/>
    <w:rsid w:val="00650D5A"/>
    <w:rsid w:val="00650E07"/>
    <w:rsid w:val="00650F31"/>
    <w:rsid w:val="00650F8C"/>
    <w:rsid w:val="0065102C"/>
    <w:rsid w:val="00651043"/>
    <w:rsid w:val="006510D2"/>
    <w:rsid w:val="0065110C"/>
    <w:rsid w:val="0065112B"/>
    <w:rsid w:val="0065120F"/>
    <w:rsid w:val="006512BC"/>
    <w:rsid w:val="00651339"/>
    <w:rsid w:val="006513AD"/>
    <w:rsid w:val="006513F0"/>
    <w:rsid w:val="00651431"/>
    <w:rsid w:val="006514A9"/>
    <w:rsid w:val="006514B5"/>
    <w:rsid w:val="00651520"/>
    <w:rsid w:val="00651595"/>
    <w:rsid w:val="006515E5"/>
    <w:rsid w:val="00651800"/>
    <w:rsid w:val="006518A2"/>
    <w:rsid w:val="00651927"/>
    <w:rsid w:val="006519F0"/>
    <w:rsid w:val="00651A37"/>
    <w:rsid w:val="00651A4F"/>
    <w:rsid w:val="00651AF4"/>
    <w:rsid w:val="00651B27"/>
    <w:rsid w:val="00651B9D"/>
    <w:rsid w:val="00651C0E"/>
    <w:rsid w:val="00651C51"/>
    <w:rsid w:val="00651C58"/>
    <w:rsid w:val="00651C95"/>
    <w:rsid w:val="00651CD9"/>
    <w:rsid w:val="00651D07"/>
    <w:rsid w:val="00651D7C"/>
    <w:rsid w:val="00651DFB"/>
    <w:rsid w:val="00651EC5"/>
    <w:rsid w:val="00651F9A"/>
    <w:rsid w:val="00651FDE"/>
    <w:rsid w:val="00651FFA"/>
    <w:rsid w:val="00652001"/>
    <w:rsid w:val="00652088"/>
    <w:rsid w:val="006520A1"/>
    <w:rsid w:val="00652208"/>
    <w:rsid w:val="00652211"/>
    <w:rsid w:val="0065228F"/>
    <w:rsid w:val="006522B1"/>
    <w:rsid w:val="006522C6"/>
    <w:rsid w:val="00652370"/>
    <w:rsid w:val="006523A1"/>
    <w:rsid w:val="006523C2"/>
    <w:rsid w:val="0065243F"/>
    <w:rsid w:val="00652455"/>
    <w:rsid w:val="006524F7"/>
    <w:rsid w:val="0065254D"/>
    <w:rsid w:val="006525DF"/>
    <w:rsid w:val="00652600"/>
    <w:rsid w:val="00652643"/>
    <w:rsid w:val="0065264A"/>
    <w:rsid w:val="0065276E"/>
    <w:rsid w:val="006527D5"/>
    <w:rsid w:val="006527E6"/>
    <w:rsid w:val="0065281B"/>
    <w:rsid w:val="00652898"/>
    <w:rsid w:val="006528B5"/>
    <w:rsid w:val="006528F2"/>
    <w:rsid w:val="00652980"/>
    <w:rsid w:val="00652989"/>
    <w:rsid w:val="006529D7"/>
    <w:rsid w:val="006529F8"/>
    <w:rsid w:val="00652A49"/>
    <w:rsid w:val="00652AE5"/>
    <w:rsid w:val="00652B22"/>
    <w:rsid w:val="00652B50"/>
    <w:rsid w:val="00652C52"/>
    <w:rsid w:val="00652D3B"/>
    <w:rsid w:val="00652F42"/>
    <w:rsid w:val="00652FF2"/>
    <w:rsid w:val="0065300A"/>
    <w:rsid w:val="00653049"/>
    <w:rsid w:val="00653085"/>
    <w:rsid w:val="0065308D"/>
    <w:rsid w:val="00653098"/>
    <w:rsid w:val="006530DD"/>
    <w:rsid w:val="0065312A"/>
    <w:rsid w:val="0065312F"/>
    <w:rsid w:val="00653298"/>
    <w:rsid w:val="00653314"/>
    <w:rsid w:val="006533C0"/>
    <w:rsid w:val="00653497"/>
    <w:rsid w:val="0065349B"/>
    <w:rsid w:val="006534F7"/>
    <w:rsid w:val="00653511"/>
    <w:rsid w:val="006535CC"/>
    <w:rsid w:val="00653601"/>
    <w:rsid w:val="0065360C"/>
    <w:rsid w:val="00653614"/>
    <w:rsid w:val="00653663"/>
    <w:rsid w:val="006536D8"/>
    <w:rsid w:val="006536EE"/>
    <w:rsid w:val="006536EF"/>
    <w:rsid w:val="00653728"/>
    <w:rsid w:val="0065377F"/>
    <w:rsid w:val="006537A7"/>
    <w:rsid w:val="006537B5"/>
    <w:rsid w:val="00653845"/>
    <w:rsid w:val="00653890"/>
    <w:rsid w:val="00653893"/>
    <w:rsid w:val="006538B5"/>
    <w:rsid w:val="006538FB"/>
    <w:rsid w:val="00653942"/>
    <w:rsid w:val="00653950"/>
    <w:rsid w:val="00653992"/>
    <w:rsid w:val="006539C7"/>
    <w:rsid w:val="006539E7"/>
    <w:rsid w:val="00653A71"/>
    <w:rsid w:val="00653AA3"/>
    <w:rsid w:val="00653AA9"/>
    <w:rsid w:val="00653AC8"/>
    <w:rsid w:val="00653AE3"/>
    <w:rsid w:val="00653B03"/>
    <w:rsid w:val="00653B98"/>
    <w:rsid w:val="00653BAE"/>
    <w:rsid w:val="00653BFD"/>
    <w:rsid w:val="00653DFD"/>
    <w:rsid w:val="00653E56"/>
    <w:rsid w:val="00653F0E"/>
    <w:rsid w:val="00653F74"/>
    <w:rsid w:val="00653FB3"/>
    <w:rsid w:val="0065400F"/>
    <w:rsid w:val="00654085"/>
    <w:rsid w:val="006540CB"/>
    <w:rsid w:val="006541A4"/>
    <w:rsid w:val="0065426F"/>
    <w:rsid w:val="006542DA"/>
    <w:rsid w:val="006542E6"/>
    <w:rsid w:val="00654306"/>
    <w:rsid w:val="00654348"/>
    <w:rsid w:val="00654363"/>
    <w:rsid w:val="00654429"/>
    <w:rsid w:val="006545C3"/>
    <w:rsid w:val="0065462A"/>
    <w:rsid w:val="006546AD"/>
    <w:rsid w:val="006546AE"/>
    <w:rsid w:val="006546FB"/>
    <w:rsid w:val="00654743"/>
    <w:rsid w:val="00654807"/>
    <w:rsid w:val="00654816"/>
    <w:rsid w:val="0065485E"/>
    <w:rsid w:val="0065492E"/>
    <w:rsid w:val="006549B4"/>
    <w:rsid w:val="006549EA"/>
    <w:rsid w:val="00654A1E"/>
    <w:rsid w:val="00654ABC"/>
    <w:rsid w:val="00654AEC"/>
    <w:rsid w:val="00654B16"/>
    <w:rsid w:val="00654BE2"/>
    <w:rsid w:val="00654C0B"/>
    <w:rsid w:val="00654C0C"/>
    <w:rsid w:val="00654C66"/>
    <w:rsid w:val="00654C6A"/>
    <w:rsid w:val="00654E0A"/>
    <w:rsid w:val="00654ED7"/>
    <w:rsid w:val="00654F70"/>
    <w:rsid w:val="00654F75"/>
    <w:rsid w:val="00654F8A"/>
    <w:rsid w:val="00654FE3"/>
    <w:rsid w:val="00654FF8"/>
    <w:rsid w:val="006550B2"/>
    <w:rsid w:val="006550DE"/>
    <w:rsid w:val="00655120"/>
    <w:rsid w:val="00655159"/>
    <w:rsid w:val="00655162"/>
    <w:rsid w:val="00655169"/>
    <w:rsid w:val="00655172"/>
    <w:rsid w:val="006551BF"/>
    <w:rsid w:val="006551E4"/>
    <w:rsid w:val="00655257"/>
    <w:rsid w:val="00655293"/>
    <w:rsid w:val="00655320"/>
    <w:rsid w:val="0065532E"/>
    <w:rsid w:val="006553BD"/>
    <w:rsid w:val="0065540F"/>
    <w:rsid w:val="00655431"/>
    <w:rsid w:val="006554A6"/>
    <w:rsid w:val="006554BF"/>
    <w:rsid w:val="0065559D"/>
    <w:rsid w:val="006555BC"/>
    <w:rsid w:val="006555E8"/>
    <w:rsid w:val="006555F8"/>
    <w:rsid w:val="0065561E"/>
    <w:rsid w:val="00655630"/>
    <w:rsid w:val="00655646"/>
    <w:rsid w:val="006556E1"/>
    <w:rsid w:val="00655769"/>
    <w:rsid w:val="0065577B"/>
    <w:rsid w:val="006557A2"/>
    <w:rsid w:val="006557B2"/>
    <w:rsid w:val="0065586B"/>
    <w:rsid w:val="0065587A"/>
    <w:rsid w:val="00655963"/>
    <w:rsid w:val="00655974"/>
    <w:rsid w:val="006559D3"/>
    <w:rsid w:val="006559FE"/>
    <w:rsid w:val="00655B18"/>
    <w:rsid w:val="00655BA9"/>
    <w:rsid w:val="00655BD5"/>
    <w:rsid w:val="00655BDC"/>
    <w:rsid w:val="00655CBB"/>
    <w:rsid w:val="00655CC0"/>
    <w:rsid w:val="00655D24"/>
    <w:rsid w:val="00655D36"/>
    <w:rsid w:val="00655D73"/>
    <w:rsid w:val="00655DD0"/>
    <w:rsid w:val="00655EC8"/>
    <w:rsid w:val="00655F16"/>
    <w:rsid w:val="00655F38"/>
    <w:rsid w:val="00655FC6"/>
    <w:rsid w:val="00655FE0"/>
    <w:rsid w:val="006560A4"/>
    <w:rsid w:val="006560D4"/>
    <w:rsid w:val="00656180"/>
    <w:rsid w:val="00656286"/>
    <w:rsid w:val="006562A1"/>
    <w:rsid w:val="0065632D"/>
    <w:rsid w:val="00656356"/>
    <w:rsid w:val="006563AC"/>
    <w:rsid w:val="00656434"/>
    <w:rsid w:val="00656465"/>
    <w:rsid w:val="0065649E"/>
    <w:rsid w:val="006564D4"/>
    <w:rsid w:val="00656504"/>
    <w:rsid w:val="00656520"/>
    <w:rsid w:val="00656560"/>
    <w:rsid w:val="0065656A"/>
    <w:rsid w:val="006565C7"/>
    <w:rsid w:val="006566AF"/>
    <w:rsid w:val="006566E3"/>
    <w:rsid w:val="006566F9"/>
    <w:rsid w:val="0065674A"/>
    <w:rsid w:val="00656751"/>
    <w:rsid w:val="006567B8"/>
    <w:rsid w:val="0065682F"/>
    <w:rsid w:val="00656858"/>
    <w:rsid w:val="006568B6"/>
    <w:rsid w:val="006568C3"/>
    <w:rsid w:val="00656909"/>
    <w:rsid w:val="00656995"/>
    <w:rsid w:val="00656A07"/>
    <w:rsid w:val="00656A7A"/>
    <w:rsid w:val="00656B03"/>
    <w:rsid w:val="00656B3F"/>
    <w:rsid w:val="00656B84"/>
    <w:rsid w:val="00656BF6"/>
    <w:rsid w:val="00656C26"/>
    <w:rsid w:val="00656C70"/>
    <w:rsid w:val="00656C98"/>
    <w:rsid w:val="00656CB7"/>
    <w:rsid w:val="00656D1D"/>
    <w:rsid w:val="00656D56"/>
    <w:rsid w:val="00656D7C"/>
    <w:rsid w:val="00656E89"/>
    <w:rsid w:val="00656EA2"/>
    <w:rsid w:val="00656ED4"/>
    <w:rsid w:val="00656F0C"/>
    <w:rsid w:val="00656F4F"/>
    <w:rsid w:val="00656F78"/>
    <w:rsid w:val="00656FD4"/>
    <w:rsid w:val="00657019"/>
    <w:rsid w:val="006572B5"/>
    <w:rsid w:val="0065738D"/>
    <w:rsid w:val="006573A0"/>
    <w:rsid w:val="006573C2"/>
    <w:rsid w:val="00657403"/>
    <w:rsid w:val="00657460"/>
    <w:rsid w:val="006574F6"/>
    <w:rsid w:val="00657501"/>
    <w:rsid w:val="0065751F"/>
    <w:rsid w:val="00657592"/>
    <w:rsid w:val="006575AC"/>
    <w:rsid w:val="006575DA"/>
    <w:rsid w:val="00657673"/>
    <w:rsid w:val="006576B2"/>
    <w:rsid w:val="0065772B"/>
    <w:rsid w:val="00657762"/>
    <w:rsid w:val="006577D7"/>
    <w:rsid w:val="00657807"/>
    <w:rsid w:val="0065781E"/>
    <w:rsid w:val="00657870"/>
    <w:rsid w:val="006578D1"/>
    <w:rsid w:val="006578D7"/>
    <w:rsid w:val="006578E1"/>
    <w:rsid w:val="006578E9"/>
    <w:rsid w:val="006578FE"/>
    <w:rsid w:val="00657A39"/>
    <w:rsid w:val="00657A71"/>
    <w:rsid w:val="00657C54"/>
    <w:rsid w:val="00657C61"/>
    <w:rsid w:val="00657CA0"/>
    <w:rsid w:val="00657D00"/>
    <w:rsid w:val="00657D47"/>
    <w:rsid w:val="00657E08"/>
    <w:rsid w:val="00657E4F"/>
    <w:rsid w:val="00657E7D"/>
    <w:rsid w:val="00657F08"/>
    <w:rsid w:val="00657F0F"/>
    <w:rsid w:val="00657F64"/>
    <w:rsid w:val="00657FB0"/>
    <w:rsid w:val="00657FE2"/>
    <w:rsid w:val="00657FE4"/>
    <w:rsid w:val="00657FF0"/>
    <w:rsid w:val="00660002"/>
    <w:rsid w:val="00660044"/>
    <w:rsid w:val="00660100"/>
    <w:rsid w:val="006601A3"/>
    <w:rsid w:val="006601DA"/>
    <w:rsid w:val="00660256"/>
    <w:rsid w:val="00660263"/>
    <w:rsid w:val="0066026F"/>
    <w:rsid w:val="0066030C"/>
    <w:rsid w:val="00660395"/>
    <w:rsid w:val="006603B5"/>
    <w:rsid w:val="006603C6"/>
    <w:rsid w:val="00660461"/>
    <w:rsid w:val="0066046D"/>
    <w:rsid w:val="006605A4"/>
    <w:rsid w:val="006606BC"/>
    <w:rsid w:val="006606D5"/>
    <w:rsid w:val="0066075C"/>
    <w:rsid w:val="00660791"/>
    <w:rsid w:val="006608CF"/>
    <w:rsid w:val="006608D1"/>
    <w:rsid w:val="006608D7"/>
    <w:rsid w:val="006609C5"/>
    <w:rsid w:val="00660A26"/>
    <w:rsid w:val="00660ABE"/>
    <w:rsid w:val="00660AD4"/>
    <w:rsid w:val="00660B28"/>
    <w:rsid w:val="00660B40"/>
    <w:rsid w:val="00660BCC"/>
    <w:rsid w:val="00660BD6"/>
    <w:rsid w:val="00660CD2"/>
    <w:rsid w:val="00660D78"/>
    <w:rsid w:val="00660DC0"/>
    <w:rsid w:val="00660DD0"/>
    <w:rsid w:val="00660DEE"/>
    <w:rsid w:val="00660E89"/>
    <w:rsid w:val="00660E95"/>
    <w:rsid w:val="00660E9A"/>
    <w:rsid w:val="00660F22"/>
    <w:rsid w:val="00660F42"/>
    <w:rsid w:val="00660F85"/>
    <w:rsid w:val="00661017"/>
    <w:rsid w:val="0066109C"/>
    <w:rsid w:val="006610A8"/>
    <w:rsid w:val="00661227"/>
    <w:rsid w:val="00661362"/>
    <w:rsid w:val="00661368"/>
    <w:rsid w:val="006614B9"/>
    <w:rsid w:val="006614C0"/>
    <w:rsid w:val="006614DE"/>
    <w:rsid w:val="006615F2"/>
    <w:rsid w:val="0066169E"/>
    <w:rsid w:val="006616D8"/>
    <w:rsid w:val="0066170D"/>
    <w:rsid w:val="0066178A"/>
    <w:rsid w:val="006618B4"/>
    <w:rsid w:val="0066191F"/>
    <w:rsid w:val="00661934"/>
    <w:rsid w:val="00661986"/>
    <w:rsid w:val="006619E0"/>
    <w:rsid w:val="006619E2"/>
    <w:rsid w:val="00661A1F"/>
    <w:rsid w:val="00661A49"/>
    <w:rsid w:val="00661B6F"/>
    <w:rsid w:val="00661B81"/>
    <w:rsid w:val="00661C0F"/>
    <w:rsid w:val="00661D1A"/>
    <w:rsid w:val="00661D95"/>
    <w:rsid w:val="00661DE4"/>
    <w:rsid w:val="00661DEA"/>
    <w:rsid w:val="00661E4F"/>
    <w:rsid w:val="00661E72"/>
    <w:rsid w:val="00661F4F"/>
    <w:rsid w:val="00661F72"/>
    <w:rsid w:val="00661F82"/>
    <w:rsid w:val="00661FA0"/>
    <w:rsid w:val="00661FA7"/>
    <w:rsid w:val="00662007"/>
    <w:rsid w:val="00662086"/>
    <w:rsid w:val="00662197"/>
    <w:rsid w:val="006621BA"/>
    <w:rsid w:val="006621C7"/>
    <w:rsid w:val="006621FF"/>
    <w:rsid w:val="006622AB"/>
    <w:rsid w:val="006622C7"/>
    <w:rsid w:val="00662322"/>
    <w:rsid w:val="0066232A"/>
    <w:rsid w:val="0066234F"/>
    <w:rsid w:val="0066235D"/>
    <w:rsid w:val="0066236E"/>
    <w:rsid w:val="006623B9"/>
    <w:rsid w:val="006623D2"/>
    <w:rsid w:val="006623EE"/>
    <w:rsid w:val="0066242C"/>
    <w:rsid w:val="006624CF"/>
    <w:rsid w:val="00662555"/>
    <w:rsid w:val="006625B6"/>
    <w:rsid w:val="006625E5"/>
    <w:rsid w:val="006627AA"/>
    <w:rsid w:val="006627B7"/>
    <w:rsid w:val="006627C9"/>
    <w:rsid w:val="006627D1"/>
    <w:rsid w:val="00662813"/>
    <w:rsid w:val="0066288C"/>
    <w:rsid w:val="006628A4"/>
    <w:rsid w:val="006628BE"/>
    <w:rsid w:val="006628EB"/>
    <w:rsid w:val="00662922"/>
    <w:rsid w:val="00662ABB"/>
    <w:rsid w:val="00662AEF"/>
    <w:rsid w:val="00662B59"/>
    <w:rsid w:val="00662B90"/>
    <w:rsid w:val="00662BCC"/>
    <w:rsid w:val="00662C01"/>
    <w:rsid w:val="00662C47"/>
    <w:rsid w:val="00662CF5"/>
    <w:rsid w:val="00662D0D"/>
    <w:rsid w:val="00662E18"/>
    <w:rsid w:val="00662FE9"/>
    <w:rsid w:val="00662FF5"/>
    <w:rsid w:val="006630FA"/>
    <w:rsid w:val="006631BF"/>
    <w:rsid w:val="0066320E"/>
    <w:rsid w:val="00663245"/>
    <w:rsid w:val="00663252"/>
    <w:rsid w:val="006632B8"/>
    <w:rsid w:val="006632FD"/>
    <w:rsid w:val="0066334F"/>
    <w:rsid w:val="006633E0"/>
    <w:rsid w:val="006633FC"/>
    <w:rsid w:val="0066346E"/>
    <w:rsid w:val="00663490"/>
    <w:rsid w:val="006634DB"/>
    <w:rsid w:val="00663582"/>
    <w:rsid w:val="006635F7"/>
    <w:rsid w:val="006635FB"/>
    <w:rsid w:val="00663612"/>
    <w:rsid w:val="00663653"/>
    <w:rsid w:val="00663696"/>
    <w:rsid w:val="0066382A"/>
    <w:rsid w:val="006638F8"/>
    <w:rsid w:val="0066399D"/>
    <w:rsid w:val="006639A3"/>
    <w:rsid w:val="006639DE"/>
    <w:rsid w:val="00663A3D"/>
    <w:rsid w:val="00663A79"/>
    <w:rsid w:val="00663AA0"/>
    <w:rsid w:val="00663AE5"/>
    <w:rsid w:val="00663AFD"/>
    <w:rsid w:val="00663B1B"/>
    <w:rsid w:val="00663C12"/>
    <w:rsid w:val="00663CA4"/>
    <w:rsid w:val="00663CDE"/>
    <w:rsid w:val="00663DBC"/>
    <w:rsid w:val="00663DD9"/>
    <w:rsid w:val="00663E25"/>
    <w:rsid w:val="00663F12"/>
    <w:rsid w:val="00663F20"/>
    <w:rsid w:val="00663F82"/>
    <w:rsid w:val="00663FD0"/>
    <w:rsid w:val="0066407F"/>
    <w:rsid w:val="00664095"/>
    <w:rsid w:val="006640A7"/>
    <w:rsid w:val="006640C1"/>
    <w:rsid w:val="0066417B"/>
    <w:rsid w:val="006641A8"/>
    <w:rsid w:val="006641BB"/>
    <w:rsid w:val="00664213"/>
    <w:rsid w:val="00664340"/>
    <w:rsid w:val="006643EA"/>
    <w:rsid w:val="00664426"/>
    <w:rsid w:val="00664432"/>
    <w:rsid w:val="0066443E"/>
    <w:rsid w:val="0066444B"/>
    <w:rsid w:val="00664489"/>
    <w:rsid w:val="00664576"/>
    <w:rsid w:val="00664588"/>
    <w:rsid w:val="006645D4"/>
    <w:rsid w:val="0066461C"/>
    <w:rsid w:val="0066464B"/>
    <w:rsid w:val="00664660"/>
    <w:rsid w:val="006646C8"/>
    <w:rsid w:val="006646FB"/>
    <w:rsid w:val="006647D4"/>
    <w:rsid w:val="00664857"/>
    <w:rsid w:val="006648B1"/>
    <w:rsid w:val="006648CC"/>
    <w:rsid w:val="006648ED"/>
    <w:rsid w:val="00664903"/>
    <w:rsid w:val="00664962"/>
    <w:rsid w:val="00664A77"/>
    <w:rsid w:val="00664ABB"/>
    <w:rsid w:val="00664B4C"/>
    <w:rsid w:val="00664B52"/>
    <w:rsid w:val="00664BAB"/>
    <w:rsid w:val="00664BF7"/>
    <w:rsid w:val="00664C4F"/>
    <w:rsid w:val="00664CAE"/>
    <w:rsid w:val="00664CD0"/>
    <w:rsid w:val="00664D16"/>
    <w:rsid w:val="00664DCF"/>
    <w:rsid w:val="00664E8A"/>
    <w:rsid w:val="00664FFC"/>
    <w:rsid w:val="00665069"/>
    <w:rsid w:val="006650C8"/>
    <w:rsid w:val="0066510C"/>
    <w:rsid w:val="00665118"/>
    <w:rsid w:val="00665164"/>
    <w:rsid w:val="00665180"/>
    <w:rsid w:val="00665272"/>
    <w:rsid w:val="006652EA"/>
    <w:rsid w:val="0066532F"/>
    <w:rsid w:val="00665390"/>
    <w:rsid w:val="00665435"/>
    <w:rsid w:val="006654B6"/>
    <w:rsid w:val="00665516"/>
    <w:rsid w:val="0066554F"/>
    <w:rsid w:val="00665582"/>
    <w:rsid w:val="006655C5"/>
    <w:rsid w:val="006655F6"/>
    <w:rsid w:val="00665601"/>
    <w:rsid w:val="00665678"/>
    <w:rsid w:val="00665682"/>
    <w:rsid w:val="006656DF"/>
    <w:rsid w:val="006657C5"/>
    <w:rsid w:val="006657F3"/>
    <w:rsid w:val="0066583D"/>
    <w:rsid w:val="00665843"/>
    <w:rsid w:val="00665A0E"/>
    <w:rsid w:val="00665A90"/>
    <w:rsid w:val="00665A9F"/>
    <w:rsid w:val="00665B27"/>
    <w:rsid w:val="00665B3E"/>
    <w:rsid w:val="00665B82"/>
    <w:rsid w:val="00665C14"/>
    <w:rsid w:val="00665C3C"/>
    <w:rsid w:val="00665C5F"/>
    <w:rsid w:val="00665C89"/>
    <w:rsid w:val="00665C9D"/>
    <w:rsid w:val="00665CC4"/>
    <w:rsid w:val="00665D0B"/>
    <w:rsid w:val="00665D0C"/>
    <w:rsid w:val="00665DE2"/>
    <w:rsid w:val="00665E68"/>
    <w:rsid w:val="00665EBF"/>
    <w:rsid w:val="00665ECF"/>
    <w:rsid w:val="00665F50"/>
    <w:rsid w:val="0066611A"/>
    <w:rsid w:val="00666133"/>
    <w:rsid w:val="0066613A"/>
    <w:rsid w:val="0066624E"/>
    <w:rsid w:val="00666297"/>
    <w:rsid w:val="006662ED"/>
    <w:rsid w:val="00666322"/>
    <w:rsid w:val="00666386"/>
    <w:rsid w:val="006663F6"/>
    <w:rsid w:val="00666416"/>
    <w:rsid w:val="006664A7"/>
    <w:rsid w:val="00666503"/>
    <w:rsid w:val="006665E7"/>
    <w:rsid w:val="0066664E"/>
    <w:rsid w:val="0066665A"/>
    <w:rsid w:val="006666C0"/>
    <w:rsid w:val="00666729"/>
    <w:rsid w:val="00666743"/>
    <w:rsid w:val="00666749"/>
    <w:rsid w:val="00666759"/>
    <w:rsid w:val="0066684E"/>
    <w:rsid w:val="0066688E"/>
    <w:rsid w:val="00666898"/>
    <w:rsid w:val="00666A11"/>
    <w:rsid w:val="00666A25"/>
    <w:rsid w:val="00666AD4"/>
    <w:rsid w:val="00666ADD"/>
    <w:rsid w:val="00666B35"/>
    <w:rsid w:val="00666B6F"/>
    <w:rsid w:val="00666BE5"/>
    <w:rsid w:val="00666C3A"/>
    <w:rsid w:val="00666C55"/>
    <w:rsid w:val="00666C6F"/>
    <w:rsid w:val="00666CE5"/>
    <w:rsid w:val="00666D47"/>
    <w:rsid w:val="00666DE2"/>
    <w:rsid w:val="00666E22"/>
    <w:rsid w:val="00666E93"/>
    <w:rsid w:val="00666F28"/>
    <w:rsid w:val="00666F88"/>
    <w:rsid w:val="00666FA3"/>
    <w:rsid w:val="00666FB7"/>
    <w:rsid w:val="00666FCE"/>
    <w:rsid w:val="00666FCF"/>
    <w:rsid w:val="00667045"/>
    <w:rsid w:val="00667050"/>
    <w:rsid w:val="006670C6"/>
    <w:rsid w:val="006670D4"/>
    <w:rsid w:val="00667136"/>
    <w:rsid w:val="00667169"/>
    <w:rsid w:val="0066717B"/>
    <w:rsid w:val="00667273"/>
    <w:rsid w:val="00667289"/>
    <w:rsid w:val="006672D5"/>
    <w:rsid w:val="00667389"/>
    <w:rsid w:val="006673C4"/>
    <w:rsid w:val="006673E7"/>
    <w:rsid w:val="0066746C"/>
    <w:rsid w:val="00667571"/>
    <w:rsid w:val="00667576"/>
    <w:rsid w:val="006675A2"/>
    <w:rsid w:val="00667618"/>
    <w:rsid w:val="00667936"/>
    <w:rsid w:val="00667A2B"/>
    <w:rsid w:val="00667AC9"/>
    <w:rsid w:val="00667B80"/>
    <w:rsid w:val="00667BE7"/>
    <w:rsid w:val="00667C7B"/>
    <w:rsid w:val="00667D06"/>
    <w:rsid w:val="00667D4C"/>
    <w:rsid w:val="00667D50"/>
    <w:rsid w:val="00667D8D"/>
    <w:rsid w:val="00667D98"/>
    <w:rsid w:val="00667E6D"/>
    <w:rsid w:val="00667E86"/>
    <w:rsid w:val="00667EC4"/>
    <w:rsid w:val="00667F6D"/>
    <w:rsid w:val="00667FF9"/>
    <w:rsid w:val="006700BC"/>
    <w:rsid w:val="00670194"/>
    <w:rsid w:val="006702ED"/>
    <w:rsid w:val="0067031F"/>
    <w:rsid w:val="00670330"/>
    <w:rsid w:val="00670344"/>
    <w:rsid w:val="006703A4"/>
    <w:rsid w:val="006703CB"/>
    <w:rsid w:val="006703FD"/>
    <w:rsid w:val="006704D6"/>
    <w:rsid w:val="00670541"/>
    <w:rsid w:val="00670587"/>
    <w:rsid w:val="006705F0"/>
    <w:rsid w:val="00670688"/>
    <w:rsid w:val="006706CA"/>
    <w:rsid w:val="006706D2"/>
    <w:rsid w:val="00670726"/>
    <w:rsid w:val="00670736"/>
    <w:rsid w:val="00670767"/>
    <w:rsid w:val="0067077C"/>
    <w:rsid w:val="006707AD"/>
    <w:rsid w:val="006707E8"/>
    <w:rsid w:val="006707F7"/>
    <w:rsid w:val="006707FD"/>
    <w:rsid w:val="00670821"/>
    <w:rsid w:val="0067084F"/>
    <w:rsid w:val="0067090B"/>
    <w:rsid w:val="00670967"/>
    <w:rsid w:val="00670999"/>
    <w:rsid w:val="006709B2"/>
    <w:rsid w:val="00670C23"/>
    <w:rsid w:val="00670D02"/>
    <w:rsid w:val="00670D45"/>
    <w:rsid w:val="00670E26"/>
    <w:rsid w:val="00670E4A"/>
    <w:rsid w:val="00670F36"/>
    <w:rsid w:val="00670F6B"/>
    <w:rsid w:val="00670F76"/>
    <w:rsid w:val="00670FA7"/>
    <w:rsid w:val="0067104F"/>
    <w:rsid w:val="00671169"/>
    <w:rsid w:val="0067119B"/>
    <w:rsid w:val="006711BB"/>
    <w:rsid w:val="00671210"/>
    <w:rsid w:val="00671284"/>
    <w:rsid w:val="0067130A"/>
    <w:rsid w:val="0067130F"/>
    <w:rsid w:val="00671333"/>
    <w:rsid w:val="0067135A"/>
    <w:rsid w:val="0067148C"/>
    <w:rsid w:val="006714D6"/>
    <w:rsid w:val="006714FA"/>
    <w:rsid w:val="0067153F"/>
    <w:rsid w:val="006715CD"/>
    <w:rsid w:val="006715DA"/>
    <w:rsid w:val="006716C5"/>
    <w:rsid w:val="006717EA"/>
    <w:rsid w:val="00671816"/>
    <w:rsid w:val="00671842"/>
    <w:rsid w:val="00671869"/>
    <w:rsid w:val="006718B0"/>
    <w:rsid w:val="00671979"/>
    <w:rsid w:val="006719FC"/>
    <w:rsid w:val="00671A0F"/>
    <w:rsid w:val="00671AF0"/>
    <w:rsid w:val="00671BBC"/>
    <w:rsid w:val="00671BE2"/>
    <w:rsid w:val="00671C02"/>
    <w:rsid w:val="00671C1F"/>
    <w:rsid w:val="00671CAA"/>
    <w:rsid w:val="00671CE4"/>
    <w:rsid w:val="00671D22"/>
    <w:rsid w:val="00671D5A"/>
    <w:rsid w:val="00671DA3"/>
    <w:rsid w:val="00671E16"/>
    <w:rsid w:val="00671E49"/>
    <w:rsid w:val="00671F20"/>
    <w:rsid w:val="00671F33"/>
    <w:rsid w:val="00671F73"/>
    <w:rsid w:val="006720E8"/>
    <w:rsid w:val="00672139"/>
    <w:rsid w:val="00672196"/>
    <w:rsid w:val="00672199"/>
    <w:rsid w:val="006721B7"/>
    <w:rsid w:val="006721B8"/>
    <w:rsid w:val="006721E4"/>
    <w:rsid w:val="00672254"/>
    <w:rsid w:val="0067225D"/>
    <w:rsid w:val="00672411"/>
    <w:rsid w:val="0067251E"/>
    <w:rsid w:val="00672582"/>
    <w:rsid w:val="00672603"/>
    <w:rsid w:val="00672605"/>
    <w:rsid w:val="00672624"/>
    <w:rsid w:val="00672644"/>
    <w:rsid w:val="00672706"/>
    <w:rsid w:val="00672738"/>
    <w:rsid w:val="00672855"/>
    <w:rsid w:val="006728F3"/>
    <w:rsid w:val="0067299A"/>
    <w:rsid w:val="0067299D"/>
    <w:rsid w:val="006729C9"/>
    <w:rsid w:val="006729E5"/>
    <w:rsid w:val="00672A05"/>
    <w:rsid w:val="00672A58"/>
    <w:rsid w:val="00672BE2"/>
    <w:rsid w:val="00672CB3"/>
    <w:rsid w:val="00672D1C"/>
    <w:rsid w:val="00672E6B"/>
    <w:rsid w:val="00672EBB"/>
    <w:rsid w:val="00672F5C"/>
    <w:rsid w:val="00672F5F"/>
    <w:rsid w:val="00672F74"/>
    <w:rsid w:val="00672FA3"/>
    <w:rsid w:val="00673003"/>
    <w:rsid w:val="00673027"/>
    <w:rsid w:val="0067304C"/>
    <w:rsid w:val="00673088"/>
    <w:rsid w:val="006730BA"/>
    <w:rsid w:val="006730CC"/>
    <w:rsid w:val="006730EF"/>
    <w:rsid w:val="006731E1"/>
    <w:rsid w:val="0067323E"/>
    <w:rsid w:val="00673375"/>
    <w:rsid w:val="00673399"/>
    <w:rsid w:val="006733B5"/>
    <w:rsid w:val="006733CA"/>
    <w:rsid w:val="00673417"/>
    <w:rsid w:val="00673455"/>
    <w:rsid w:val="0067347D"/>
    <w:rsid w:val="006735E2"/>
    <w:rsid w:val="0067372D"/>
    <w:rsid w:val="00673745"/>
    <w:rsid w:val="006737E9"/>
    <w:rsid w:val="00673846"/>
    <w:rsid w:val="0067386A"/>
    <w:rsid w:val="006738FD"/>
    <w:rsid w:val="00673965"/>
    <w:rsid w:val="006739D5"/>
    <w:rsid w:val="00673A57"/>
    <w:rsid w:val="00673A97"/>
    <w:rsid w:val="00673AB1"/>
    <w:rsid w:val="00673C15"/>
    <w:rsid w:val="00673C20"/>
    <w:rsid w:val="00673C21"/>
    <w:rsid w:val="00673C2E"/>
    <w:rsid w:val="00673C80"/>
    <w:rsid w:val="00673CE2"/>
    <w:rsid w:val="00673D75"/>
    <w:rsid w:val="00673DC8"/>
    <w:rsid w:val="00673DDD"/>
    <w:rsid w:val="00673E5E"/>
    <w:rsid w:val="00673EAB"/>
    <w:rsid w:val="00673EC4"/>
    <w:rsid w:val="00673EC8"/>
    <w:rsid w:val="00673F12"/>
    <w:rsid w:val="00673FDE"/>
    <w:rsid w:val="006740B3"/>
    <w:rsid w:val="006740B6"/>
    <w:rsid w:val="00674122"/>
    <w:rsid w:val="00674151"/>
    <w:rsid w:val="006741E6"/>
    <w:rsid w:val="00674253"/>
    <w:rsid w:val="0067428D"/>
    <w:rsid w:val="0067430F"/>
    <w:rsid w:val="00674340"/>
    <w:rsid w:val="00674545"/>
    <w:rsid w:val="0067454A"/>
    <w:rsid w:val="0067458E"/>
    <w:rsid w:val="0067459F"/>
    <w:rsid w:val="006745D5"/>
    <w:rsid w:val="0067469F"/>
    <w:rsid w:val="00674703"/>
    <w:rsid w:val="00674729"/>
    <w:rsid w:val="006747A3"/>
    <w:rsid w:val="00674801"/>
    <w:rsid w:val="0067481E"/>
    <w:rsid w:val="006748CE"/>
    <w:rsid w:val="0067492A"/>
    <w:rsid w:val="00674B0F"/>
    <w:rsid w:val="00674BA2"/>
    <w:rsid w:val="00674BB2"/>
    <w:rsid w:val="00674C46"/>
    <w:rsid w:val="00674C6C"/>
    <w:rsid w:val="00674D7D"/>
    <w:rsid w:val="00674E44"/>
    <w:rsid w:val="00674F21"/>
    <w:rsid w:val="00674F4C"/>
    <w:rsid w:val="00674FBC"/>
    <w:rsid w:val="00674FE8"/>
    <w:rsid w:val="00675023"/>
    <w:rsid w:val="00675050"/>
    <w:rsid w:val="006750F6"/>
    <w:rsid w:val="00675170"/>
    <w:rsid w:val="006751C2"/>
    <w:rsid w:val="00675226"/>
    <w:rsid w:val="00675285"/>
    <w:rsid w:val="006752EB"/>
    <w:rsid w:val="00675340"/>
    <w:rsid w:val="006753B3"/>
    <w:rsid w:val="006753B8"/>
    <w:rsid w:val="006753BA"/>
    <w:rsid w:val="006753CA"/>
    <w:rsid w:val="0067548B"/>
    <w:rsid w:val="006754AF"/>
    <w:rsid w:val="006754B1"/>
    <w:rsid w:val="00675767"/>
    <w:rsid w:val="006757A5"/>
    <w:rsid w:val="006757B8"/>
    <w:rsid w:val="0067580C"/>
    <w:rsid w:val="00675837"/>
    <w:rsid w:val="00675883"/>
    <w:rsid w:val="0067589A"/>
    <w:rsid w:val="0067594C"/>
    <w:rsid w:val="00675977"/>
    <w:rsid w:val="00675997"/>
    <w:rsid w:val="00675A30"/>
    <w:rsid w:val="00675A4B"/>
    <w:rsid w:val="00675A6E"/>
    <w:rsid w:val="00675AAD"/>
    <w:rsid w:val="00675B49"/>
    <w:rsid w:val="00675B57"/>
    <w:rsid w:val="00675B7D"/>
    <w:rsid w:val="00675C2A"/>
    <w:rsid w:val="00675C84"/>
    <w:rsid w:val="00675CB5"/>
    <w:rsid w:val="00675D91"/>
    <w:rsid w:val="00675E07"/>
    <w:rsid w:val="00675F37"/>
    <w:rsid w:val="00675F5A"/>
    <w:rsid w:val="00676003"/>
    <w:rsid w:val="00676058"/>
    <w:rsid w:val="006761F2"/>
    <w:rsid w:val="006761F3"/>
    <w:rsid w:val="00676251"/>
    <w:rsid w:val="0067633C"/>
    <w:rsid w:val="00676495"/>
    <w:rsid w:val="0067654A"/>
    <w:rsid w:val="006765EF"/>
    <w:rsid w:val="0067660B"/>
    <w:rsid w:val="006767C6"/>
    <w:rsid w:val="0067682A"/>
    <w:rsid w:val="006768A6"/>
    <w:rsid w:val="00676998"/>
    <w:rsid w:val="0067699D"/>
    <w:rsid w:val="006769D4"/>
    <w:rsid w:val="00676A76"/>
    <w:rsid w:val="00676A8C"/>
    <w:rsid w:val="00676B9A"/>
    <w:rsid w:val="00676BFF"/>
    <w:rsid w:val="00676C0D"/>
    <w:rsid w:val="00676D0F"/>
    <w:rsid w:val="00676D1D"/>
    <w:rsid w:val="00676D53"/>
    <w:rsid w:val="00676EC3"/>
    <w:rsid w:val="00676F4D"/>
    <w:rsid w:val="00676FC9"/>
    <w:rsid w:val="0067713D"/>
    <w:rsid w:val="00677163"/>
    <w:rsid w:val="006771EF"/>
    <w:rsid w:val="0067721B"/>
    <w:rsid w:val="00677242"/>
    <w:rsid w:val="0067727F"/>
    <w:rsid w:val="006772C4"/>
    <w:rsid w:val="006772F6"/>
    <w:rsid w:val="006773A2"/>
    <w:rsid w:val="006773DB"/>
    <w:rsid w:val="00677434"/>
    <w:rsid w:val="0067744C"/>
    <w:rsid w:val="006774B9"/>
    <w:rsid w:val="006774E8"/>
    <w:rsid w:val="00677519"/>
    <w:rsid w:val="00677523"/>
    <w:rsid w:val="00677580"/>
    <w:rsid w:val="00677581"/>
    <w:rsid w:val="006775C7"/>
    <w:rsid w:val="0067762D"/>
    <w:rsid w:val="00677697"/>
    <w:rsid w:val="006776B3"/>
    <w:rsid w:val="00677734"/>
    <w:rsid w:val="0067778E"/>
    <w:rsid w:val="006777AA"/>
    <w:rsid w:val="00677995"/>
    <w:rsid w:val="006779F8"/>
    <w:rsid w:val="00677A06"/>
    <w:rsid w:val="00677A2D"/>
    <w:rsid w:val="00677A99"/>
    <w:rsid w:val="00677AF3"/>
    <w:rsid w:val="00677B02"/>
    <w:rsid w:val="00677B54"/>
    <w:rsid w:val="00677B83"/>
    <w:rsid w:val="00677B8C"/>
    <w:rsid w:val="00677B99"/>
    <w:rsid w:val="00677CDA"/>
    <w:rsid w:val="00677CF9"/>
    <w:rsid w:val="00677D2F"/>
    <w:rsid w:val="00677EA6"/>
    <w:rsid w:val="00677F44"/>
    <w:rsid w:val="00677FA4"/>
    <w:rsid w:val="0068000A"/>
    <w:rsid w:val="0068002E"/>
    <w:rsid w:val="00680057"/>
    <w:rsid w:val="00680113"/>
    <w:rsid w:val="00680124"/>
    <w:rsid w:val="00680203"/>
    <w:rsid w:val="00680209"/>
    <w:rsid w:val="006802B6"/>
    <w:rsid w:val="0068031F"/>
    <w:rsid w:val="00680395"/>
    <w:rsid w:val="00680460"/>
    <w:rsid w:val="0068046F"/>
    <w:rsid w:val="00680471"/>
    <w:rsid w:val="00680495"/>
    <w:rsid w:val="006804E8"/>
    <w:rsid w:val="006805A5"/>
    <w:rsid w:val="00680601"/>
    <w:rsid w:val="0068060A"/>
    <w:rsid w:val="00680615"/>
    <w:rsid w:val="0068061C"/>
    <w:rsid w:val="006806AB"/>
    <w:rsid w:val="006806CC"/>
    <w:rsid w:val="0068073A"/>
    <w:rsid w:val="0068077E"/>
    <w:rsid w:val="006807C7"/>
    <w:rsid w:val="006807F0"/>
    <w:rsid w:val="00680801"/>
    <w:rsid w:val="006808C5"/>
    <w:rsid w:val="0068090E"/>
    <w:rsid w:val="00680956"/>
    <w:rsid w:val="00680984"/>
    <w:rsid w:val="006809AD"/>
    <w:rsid w:val="00680A25"/>
    <w:rsid w:val="00680A35"/>
    <w:rsid w:val="00680A8F"/>
    <w:rsid w:val="00680ACF"/>
    <w:rsid w:val="00680B56"/>
    <w:rsid w:val="00680B67"/>
    <w:rsid w:val="00680B7C"/>
    <w:rsid w:val="00680C08"/>
    <w:rsid w:val="00680C8F"/>
    <w:rsid w:val="00680D34"/>
    <w:rsid w:val="00680E14"/>
    <w:rsid w:val="00680E24"/>
    <w:rsid w:val="00680EC3"/>
    <w:rsid w:val="00680FB5"/>
    <w:rsid w:val="00681020"/>
    <w:rsid w:val="006810AF"/>
    <w:rsid w:val="00681150"/>
    <w:rsid w:val="0068118C"/>
    <w:rsid w:val="00681228"/>
    <w:rsid w:val="00681243"/>
    <w:rsid w:val="006812AB"/>
    <w:rsid w:val="0068130D"/>
    <w:rsid w:val="00681401"/>
    <w:rsid w:val="0068144A"/>
    <w:rsid w:val="006814F1"/>
    <w:rsid w:val="00681535"/>
    <w:rsid w:val="006815AC"/>
    <w:rsid w:val="006815AF"/>
    <w:rsid w:val="006815FB"/>
    <w:rsid w:val="00681803"/>
    <w:rsid w:val="00681888"/>
    <w:rsid w:val="00681922"/>
    <w:rsid w:val="00681A07"/>
    <w:rsid w:val="00681A36"/>
    <w:rsid w:val="00681B36"/>
    <w:rsid w:val="00681B5F"/>
    <w:rsid w:val="00681C20"/>
    <w:rsid w:val="00681C52"/>
    <w:rsid w:val="00681D02"/>
    <w:rsid w:val="00681D1C"/>
    <w:rsid w:val="00681D5E"/>
    <w:rsid w:val="00681DBE"/>
    <w:rsid w:val="00681DE5"/>
    <w:rsid w:val="00681DF2"/>
    <w:rsid w:val="00681EC6"/>
    <w:rsid w:val="00682039"/>
    <w:rsid w:val="00682045"/>
    <w:rsid w:val="006820D0"/>
    <w:rsid w:val="006820FF"/>
    <w:rsid w:val="0068217D"/>
    <w:rsid w:val="00682184"/>
    <w:rsid w:val="006821B7"/>
    <w:rsid w:val="006821CA"/>
    <w:rsid w:val="006823AD"/>
    <w:rsid w:val="006823CF"/>
    <w:rsid w:val="006823E2"/>
    <w:rsid w:val="006824CD"/>
    <w:rsid w:val="0068250E"/>
    <w:rsid w:val="00682539"/>
    <w:rsid w:val="0068253D"/>
    <w:rsid w:val="0068259B"/>
    <w:rsid w:val="00682605"/>
    <w:rsid w:val="006826B0"/>
    <w:rsid w:val="006826D5"/>
    <w:rsid w:val="00682730"/>
    <w:rsid w:val="0068275B"/>
    <w:rsid w:val="006827C7"/>
    <w:rsid w:val="006827F8"/>
    <w:rsid w:val="00682872"/>
    <w:rsid w:val="006828C0"/>
    <w:rsid w:val="00682A95"/>
    <w:rsid w:val="00682AA0"/>
    <w:rsid w:val="00682AC5"/>
    <w:rsid w:val="00682ADA"/>
    <w:rsid w:val="00682BC6"/>
    <w:rsid w:val="00682BE5"/>
    <w:rsid w:val="00682C09"/>
    <w:rsid w:val="00682CB6"/>
    <w:rsid w:val="00682CDF"/>
    <w:rsid w:val="00682CEF"/>
    <w:rsid w:val="00682D4F"/>
    <w:rsid w:val="00682DF7"/>
    <w:rsid w:val="00682E50"/>
    <w:rsid w:val="00682E63"/>
    <w:rsid w:val="00682ED5"/>
    <w:rsid w:val="00682EE3"/>
    <w:rsid w:val="00682F18"/>
    <w:rsid w:val="00682F7B"/>
    <w:rsid w:val="00682FF1"/>
    <w:rsid w:val="00683052"/>
    <w:rsid w:val="0068308F"/>
    <w:rsid w:val="00683165"/>
    <w:rsid w:val="006831D5"/>
    <w:rsid w:val="0068323A"/>
    <w:rsid w:val="0068324E"/>
    <w:rsid w:val="0068326F"/>
    <w:rsid w:val="00683322"/>
    <w:rsid w:val="00683332"/>
    <w:rsid w:val="006833D1"/>
    <w:rsid w:val="00683419"/>
    <w:rsid w:val="0068344E"/>
    <w:rsid w:val="0068349A"/>
    <w:rsid w:val="006834C5"/>
    <w:rsid w:val="006834F9"/>
    <w:rsid w:val="00683541"/>
    <w:rsid w:val="006835EB"/>
    <w:rsid w:val="006835EE"/>
    <w:rsid w:val="006835FD"/>
    <w:rsid w:val="00683670"/>
    <w:rsid w:val="0068372F"/>
    <w:rsid w:val="00683745"/>
    <w:rsid w:val="00683833"/>
    <w:rsid w:val="00683A6D"/>
    <w:rsid w:val="00683A8D"/>
    <w:rsid w:val="00683BBD"/>
    <w:rsid w:val="00683C8D"/>
    <w:rsid w:val="00683D5D"/>
    <w:rsid w:val="00683DCA"/>
    <w:rsid w:val="00683E32"/>
    <w:rsid w:val="00683E90"/>
    <w:rsid w:val="00683ED0"/>
    <w:rsid w:val="00683F3A"/>
    <w:rsid w:val="00683F57"/>
    <w:rsid w:val="00683F70"/>
    <w:rsid w:val="00683F8E"/>
    <w:rsid w:val="00683FAB"/>
    <w:rsid w:val="00683FB3"/>
    <w:rsid w:val="00683FB5"/>
    <w:rsid w:val="00683FFD"/>
    <w:rsid w:val="0068404F"/>
    <w:rsid w:val="006840A5"/>
    <w:rsid w:val="0068415B"/>
    <w:rsid w:val="0068417B"/>
    <w:rsid w:val="00684186"/>
    <w:rsid w:val="006841B7"/>
    <w:rsid w:val="006841F5"/>
    <w:rsid w:val="0068423F"/>
    <w:rsid w:val="00684316"/>
    <w:rsid w:val="0068431F"/>
    <w:rsid w:val="0068432D"/>
    <w:rsid w:val="00684422"/>
    <w:rsid w:val="00684480"/>
    <w:rsid w:val="006844CF"/>
    <w:rsid w:val="0068458B"/>
    <w:rsid w:val="0068458E"/>
    <w:rsid w:val="00684610"/>
    <w:rsid w:val="0068461C"/>
    <w:rsid w:val="0068462F"/>
    <w:rsid w:val="0068469F"/>
    <w:rsid w:val="006846B6"/>
    <w:rsid w:val="006846EF"/>
    <w:rsid w:val="0068472C"/>
    <w:rsid w:val="00684757"/>
    <w:rsid w:val="00684762"/>
    <w:rsid w:val="00684864"/>
    <w:rsid w:val="0068488F"/>
    <w:rsid w:val="006848E2"/>
    <w:rsid w:val="00684A75"/>
    <w:rsid w:val="00684AC1"/>
    <w:rsid w:val="00684ADA"/>
    <w:rsid w:val="00684B30"/>
    <w:rsid w:val="00684C3F"/>
    <w:rsid w:val="00684C92"/>
    <w:rsid w:val="00684CE6"/>
    <w:rsid w:val="00684DF1"/>
    <w:rsid w:val="00684EBE"/>
    <w:rsid w:val="00684F1A"/>
    <w:rsid w:val="00684F2C"/>
    <w:rsid w:val="00684F62"/>
    <w:rsid w:val="0068509C"/>
    <w:rsid w:val="00685158"/>
    <w:rsid w:val="0068518E"/>
    <w:rsid w:val="00685216"/>
    <w:rsid w:val="006852C6"/>
    <w:rsid w:val="00685331"/>
    <w:rsid w:val="0068538F"/>
    <w:rsid w:val="00685703"/>
    <w:rsid w:val="0068575F"/>
    <w:rsid w:val="006857E6"/>
    <w:rsid w:val="006859C4"/>
    <w:rsid w:val="00685A5B"/>
    <w:rsid w:val="00685A61"/>
    <w:rsid w:val="00685A6B"/>
    <w:rsid w:val="00685A85"/>
    <w:rsid w:val="00685AB3"/>
    <w:rsid w:val="00685B0F"/>
    <w:rsid w:val="00685B2D"/>
    <w:rsid w:val="00685B47"/>
    <w:rsid w:val="00685B5B"/>
    <w:rsid w:val="00685B9F"/>
    <w:rsid w:val="00685BB7"/>
    <w:rsid w:val="00685BC9"/>
    <w:rsid w:val="00685BCB"/>
    <w:rsid w:val="00685CBE"/>
    <w:rsid w:val="00685D3E"/>
    <w:rsid w:val="00685D4C"/>
    <w:rsid w:val="00685D91"/>
    <w:rsid w:val="00685DCA"/>
    <w:rsid w:val="00685E10"/>
    <w:rsid w:val="00685E22"/>
    <w:rsid w:val="00685E58"/>
    <w:rsid w:val="00685F1A"/>
    <w:rsid w:val="00686066"/>
    <w:rsid w:val="00686406"/>
    <w:rsid w:val="00686443"/>
    <w:rsid w:val="006864D6"/>
    <w:rsid w:val="00686500"/>
    <w:rsid w:val="0068654F"/>
    <w:rsid w:val="00686580"/>
    <w:rsid w:val="00686590"/>
    <w:rsid w:val="0068665D"/>
    <w:rsid w:val="0068679E"/>
    <w:rsid w:val="006868A4"/>
    <w:rsid w:val="006868DF"/>
    <w:rsid w:val="00686964"/>
    <w:rsid w:val="006869CA"/>
    <w:rsid w:val="006869D1"/>
    <w:rsid w:val="006869E1"/>
    <w:rsid w:val="00686A44"/>
    <w:rsid w:val="00686A53"/>
    <w:rsid w:val="00686B0A"/>
    <w:rsid w:val="00686B24"/>
    <w:rsid w:val="00686B40"/>
    <w:rsid w:val="00686BE0"/>
    <w:rsid w:val="00686C30"/>
    <w:rsid w:val="00686C48"/>
    <w:rsid w:val="00686C67"/>
    <w:rsid w:val="00686CA4"/>
    <w:rsid w:val="00686CA6"/>
    <w:rsid w:val="00686CC3"/>
    <w:rsid w:val="00686CC7"/>
    <w:rsid w:val="00686CF8"/>
    <w:rsid w:val="00686D08"/>
    <w:rsid w:val="00686D5A"/>
    <w:rsid w:val="00686D7E"/>
    <w:rsid w:val="00686D81"/>
    <w:rsid w:val="00686DE9"/>
    <w:rsid w:val="00686E02"/>
    <w:rsid w:val="00686E9E"/>
    <w:rsid w:val="00686F2A"/>
    <w:rsid w:val="00686FAA"/>
    <w:rsid w:val="00686FE7"/>
    <w:rsid w:val="00686FF0"/>
    <w:rsid w:val="00686FF4"/>
    <w:rsid w:val="00686FF5"/>
    <w:rsid w:val="00687143"/>
    <w:rsid w:val="006871B4"/>
    <w:rsid w:val="00687223"/>
    <w:rsid w:val="006872D8"/>
    <w:rsid w:val="0068737D"/>
    <w:rsid w:val="006874EF"/>
    <w:rsid w:val="00687510"/>
    <w:rsid w:val="00687520"/>
    <w:rsid w:val="00687567"/>
    <w:rsid w:val="006876BA"/>
    <w:rsid w:val="00687779"/>
    <w:rsid w:val="00687784"/>
    <w:rsid w:val="00687794"/>
    <w:rsid w:val="00687812"/>
    <w:rsid w:val="00687854"/>
    <w:rsid w:val="00687863"/>
    <w:rsid w:val="00687887"/>
    <w:rsid w:val="0068789A"/>
    <w:rsid w:val="006878E8"/>
    <w:rsid w:val="006878FD"/>
    <w:rsid w:val="00687924"/>
    <w:rsid w:val="0068795F"/>
    <w:rsid w:val="00687970"/>
    <w:rsid w:val="00687973"/>
    <w:rsid w:val="006879BB"/>
    <w:rsid w:val="00687A36"/>
    <w:rsid w:val="00687A8E"/>
    <w:rsid w:val="00687AD6"/>
    <w:rsid w:val="00687B35"/>
    <w:rsid w:val="00687B3B"/>
    <w:rsid w:val="00687B4D"/>
    <w:rsid w:val="00687C36"/>
    <w:rsid w:val="00687CAD"/>
    <w:rsid w:val="00687D75"/>
    <w:rsid w:val="00687E20"/>
    <w:rsid w:val="00687EAB"/>
    <w:rsid w:val="00687F15"/>
    <w:rsid w:val="00687F1A"/>
    <w:rsid w:val="00687FBC"/>
    <w:rsid w:val="00690047"/>
    <w:rsid w:val="00690067"/>
    <w:rsid w:val="006900FE"/>
    <w:rsid w:val="00690132"/>
    <w:rsid w:val="00690141"/>
    <w:rsid w:val="00690161"/>
    <w:rsid w:val="006901B5"/>
    <w:rsid w:val="0069021F"/>
    <w:rsid w:val="00690293"/>
    <w:rsid w:val="0069034B"/>
    <w:rsid w:val="0069042C"/>
    <w:rsid w:val="006905FD"/>
    <w:rsid w:val="00690683"/>
    <w:rsid w:val="00690686"/>
    <w:rsid w:val="00690695"/>
    <w:rsid w:val="006906BA"/>
    <w:rsid w:val="0069083B"/>
    <w:rsid w:val="006908A0"/>
    <w:rsid w:val="006908E8"/>
    <w:rsid w:val="00690902"/>
    <w:rsid w:val="00690939"/>
    <w:rsid w:val="00690953"/>
    <w:rsid w:val="006909B4"/>
    <w:rsid w:val="006909CE"/>
    <w:rsid w:val="006909EF"/>
    <w:rsid w:val="00690A1F"/>
    <w:rsid w:val="00690AC6"/>
    <w:rsid w:val="00690AE8"/>
    <w:rsid w:val="00690B0B"/>
    <w:rsid w:val="00690BDA"/>
    <w:rsid w:val="00690C2C"/>
    <w:rsid w:val="00690F34"/>
    <w:rsid w:val="00690F3A"/>
    <w:rsid w:val="00690FB0"/>
    <w:rsid w:val="00690FC1"/>
    <w:rsid w:val="00690FE7"/>
    <w:rsid w:val="006910A5"/>
    <w:rsid w:val="006910D6"/>
    <w:rsid w:val="006910DE"/>
    <w:rsid w:val="006911EB"/>
    <w:rsid w:val="00691242"/>
    <w:rsid w:val="00691295"/>
    <w:rsid w:val="006912F2"/>
    <w:rsid w:val="006913D2"/>
    <w:rsid w:val="006913FC"/>
    <w:rsid w:val="00691409"/>
    <w:rsid w:val="00691411"/>
    <w:rsid w:val="00691427"/>
    <w:rsid w:val="00691488"/>
    <w:rsid w:val="006914A1"/>
    <w:rsid w:val="0069150A"/>
    <w:rsid w:val="00691522"/>
    <w:rsid w:val="00691582"/>
    <w:rsid w:val="00691679"/>
    <w:rsid w:val="006916BD"/>
    <w:rsid w:val="0069178C"/>
    <w:rsid w:val="0069179E"/>
    <w:rsid w:val="00691888"/>
    <w:rsid w:val="0069192D"/>
    <w:rsid w:val="00691948"/>
    <w:rsid w:val="00691958"/>
    <w:rsid w:val="00691A0D"/>
    <w:rsid w:val="00691A31"/>
    <w:rsid w:val="00691B5F"/>
    <w:rsid w:val="00691B76"/>
    <w:rsid w:val="00691BA4"/>
    <w:rsid w:val="00691BBC"/>
    <w:rsid w:val="00691C1F"/>
    <w:rsid w:val="00691C6F"/>
    <w:rsid w:val="00691CEC"/>
    <w:rsid w:val="00691D01"/>
    <w:rsid w:val="00691E66"/>
    <w:rsid w:val="00691ED4"/>
    <w:rsid w:val="00691EE0"/>
    <w:rsid w:val="00691EF8"/>
    <w:rsid w:val="00691F7E"/>
    <w:rsid w:val="006920CA"/>
    <w:rsid w:val="006920F2"/>
    <w:rsid w:val="006920F6"/>
    <w:rsid w:val="006920F8"/>
    <w:rsid w:val="0069211A"/>
    <w:rsid w:val="0069215B"/>
    <w:rsid w:val="006921A4"/>
    <w:rsid w:val="00692269"/>
    <w:rsid w:val="0069231E"/>
    <w:rsid w:val="0069238D"/>
    <w:rsid w:val="0069256B"/>
    <w:rsid w:val="006925B2"/>
    <w:rsid w:val="006925E3"/>
    <w:rsid w:val="00692612"/>
    <w:rsid w:val="00692618"/>
    <w:rsid w:val="0069261B"/>
    <w:rsid w:val="0069262E"/>
    <w:rsid w:val="0069268F"/>
    <w:rsid w:val="00692696"/>
    <w:rsid w:val="006926A6"/>
    <w:rsid w:val="006926D8"/>
    <w:rsid w:val="006927BE"/>
    <w:rsid w:val="006927E3"/>
    <w:rsid w:val="0069280C"/>
    <w:rsid w:val="0069286E"/>
    <w:rsid w:val="00692883"/>
    <w:rsid w:val="006928C6"/>
    <w:rsid w:val="0069291C"/>
    <w:rsid w:val="00692A25"/>
    <w:rsid w:val="00692A47"/>
    <w:rsid w:val="00692A84"/>
    <w:rsid w:val="00692BE8"/>
    <w:rsid w:val="00692C29"/>
    <w:rsid w:val="00692C45"/>
    <w:rsid w:val="00692CB9"/>
    <w:rsid w:val="00692CFF"/>
    <w:rsid w:val="00692D2B"/>
    <w:rsid w:val="00692D33"/>
    <w:rsid w:val="00692D3B"/>
    <w:rsid w:val="00692D6C"/>
    <w:rsid w:val="00692DBA"/>
    <w:rsid w:val="00692DF8"/>
    <w:rsid w:val="00692E4E"/>
    <w:rsid w:val="00692EE0"/>
    <w:rsid w:val="00692F2B"/>
    <w:rsid w:val="00692FA6"/>
    <w:rsid w:val="00692FD6"/>
    <w:rsid w:val="00693005"/>
    <w:rsid w:val="00693042"/>
    <w:rsid w:val="0069309F"/>
    <w:rsid w:val="006930AB"/>
    <w:rsid w:val="0069319A"/>
    <w:rsid w:val="006931A7"/>
    <w:rsid w:val="006931DC"/>
    <w:rsid w:val="0069331F"/>
    <w:rsid w:val="00693339"/>
    <w:rsid w:val="00693376"/>
    <w:rsid w:val="006933FF"/>
    <w:rsid w:val="00693426"/>
    <w:rsid w:val="00693453"/>
    <w:rsid w:val="00693485"/>
    <w:rsid w:val="0069349F"/>
    <w:rsid w:val="006934C0"/>
    <w:rsid w:val="006934FA"/>
    <w:rsid w:val="00693568"/>
    <w:rsid w:val="0069358E"/>
    <w:rsid w:val="006935E4"/>
    <w:rsid w:val="00693645"/>
    <w:rsid w:val="00693662"/>
    <w:rsid w:val="00693689"/>
    <w:rsid w:val="006937CD"/>
    <w:rsid w:val="006937D4"/>
    <w:rsid w:val="006937E3"/>
    <w:rsid w:val="0069384E"/>
    <w:rsid w:val="006938AB"/>
    <w:rsid w:val="006938B5"/>
    <w:rsid w:val="006938D7"/>
    <w:rsid w:val="0069390D"/>
    <w:rsid w:val="00693931"/>
    <w:rsid w:val="0069394A"/>
    <w:rsid w:val="006939D2"/>
    <w:rsid w:val="00693A49"/>
    <w:rsid w:val="00693B2A"/>
    <w:rsid w:val="00693BCF"/>
    <w:rsid w:val="00693C9B"/>
    <w:rsid w:val="00693CEF"/>
    <w:rsid w:val="00693D07"/>
    <w:rsid w:val="00693D73"/>
    <w:rsid w:val="00693DAE"/>
    <w:rsid w:val="00693E14"/>
    <w:rsid w:val="00693E18"/>
    <w:rsid w:val="00693E39"/>
    <w:rsid w:val="00693E7B"/>
    <w:rsid w:val="00693E96"/>
    <w:rsid w:val="00693EA8"/>
    <w:rsid w:val="00693EE9"/>
    <w:rsid w:val="00693F0B"/>
    <w:rsid w:val="00693F4F"/>
    <w:rsid w:val="00694009"/>
    <w:rsid w:val="0069408F"/>
    <w:rsid w:val="006941F2"/>
    <w:rsid w:val="0069421A"/>
    <w:rsid w:val="00694346"/>
    <w:rsid w:val="006943AF"/>
    <w:rsid w:val="006943D1"/>
    <w:rsid w:val="00694400"/>
    <w:rsid w:val="0069445E"/>
    <w:rsid w:val="00694570"/>
    <w:rsid w:val="006945A8"/>
    <w:rsid w:val="006945ED"/>
    <w:rsid w:val="0069460D"/>
    <w:rsid w:val="0069463D"/>
    <w:rsid w:val="0069463F"/>
    <w:rsid w:val="0069473B"/>
    <w:rsid w:val="0069477F"/>
    <w:rsid w:val="0069479F"/>
    <w:rsid w:val="006947C0"/>
    <w:rsid w:val="00694884"/>
    <w:rsid w:val="006948AF"/>
    <w:rsid w:val="006948B0"/>
    <w:rsid w:val="006948BA"/>
    <w:rsid w:val="00694928"/>
    <w:rsid w:val="00694952"/>
    <w:rsid w:val="006949F9"/>
    <w:rsid w:val="00694A26"/>
    <w:rsid w:val="00694A73"/>
    <w:rsid w:val="00694A75"/>
    <w:rsid w:val="00694AF1"/>
    <w:rsid w:val="00694B41"/>
    <w:rsid w:val="00694B5D"/>
    <w:rsid w:val="00694B64"/>
    <w:rsid w:val="00694B6C"/>
    <w:rsid w:val="00694BCE"/>
    <w:rsid w:val="00694C0E"/>
    <w:rsid w:val="00694D2E"/>
    <w:rsid w:val="00694DD5"/>
    <w:rsid w:val="00694DF6"/>
    <w:rsid w:val="00694DF9"/>
    <w:rsid w:val="00694E50"/>
    <w:rsid w:val="00694F80"/>
    <w:rsid w:val="00694FC4"/>
    <w:rsid w:val="0069508D"/>
    <w:rsid w:val="006950E7"/>
    <w:rsid w:val="006951A8"/>
    <w:rsid w:val="006952C2"/>
    <w:rsid w:val="006952E0"/>
    <w:rsid w:val="006952E7"/>
    <w:rsid w:val="00695351"/>
    <w:rsid w:val="00695426"/>
    <w:rsid w:val="006955E7"/>
    <w:rsid w:val="00695669"/>
    <w:rsid w:val="0069575A"/>
    <w:rsid w:val="00695795"/>
    <w:rsid w:val="006957C5"/>
    <w:rsid w:val="006958DF"/>
    <w:rsid w:val="0069591F"/>
    <w:rsid w:val="00695945"/>
    <w:rsid w:val="00695966"/>
    <w:rsid w:val="00695972"/>
    <w:rsid w:val="00695A1C"/>
    <w:rsid w:val="00695A43"/>
    <w:rsid w:val="00695A59"/>
    <w:rsid w:val="00695A65"/>
    <w:rsid w:val="00695A74"/>
    <w:rsid w:val="00695ACC"/>
    <w:rsid w:val="00695B78"/>
    <w:rsid w:val="00695B83"/>
    <w:rsid w:val="00695C5B"/>
    <w:rsid w:val="00695CBF"/>
    <w:rsid w:val="00695CF4"/>
    <w:rsid w:val="00695E91"/>
    <w:rsid w:val="00695FAE"/>
    <w:rsid w:val="00695FCF"/>
    <w:rsid w:val="006960C9"/>
    <w:rsid w:val="0069616D"/>
    <w:rsid w:val="006961F7"/>
    <w:rsid w:val="00696238"/>
    <w:rsid w:val="006962B1"/>
    <w:rsid w:val="0069638F"/>
    <w:rsid w:val="006963A5"/>
    <w:rsid w:val="006963EC"/>
    <w:rsid w:val="00696561"/>
    <w:rsid w:val="006965D8"/>
    <w:rsid w:val="006966F5"/>
    <w:rsid w:val="00696889"/>
    <w:rsid w:val="0069690B"/>
    <w:rsid w:val="00696929"/>
    <w:rsid w:val="006969FA"/>
    <w:rsid w:val="00696A04"/>
    <w:rsid w:val="00696A65"/>
    <w:rsid w:val="00696A76"/>
    <w:rsid w:val="00696A7B"/>
    <w:rsid w:val="00696AA2"/>
    <w:rsid w:val="00696B1A"/>
    <w:rsid w:val="00696B2D"/>
    <w:rsid w:val="00696C3A"/>
    <w:rsid w:val="00696C65"/>
    <w:rsid w:val="00696C9A"/>
    <w:rsid w:val="00696CB0"/>
    <w:rsid w:val="00696CE6"/>
    <w:rsid w:val="00696D57"/>
    <w:rsid w:val="00696D65"/>
    <w:rsid w:val="00696DB9"/>
    <w:rsid w:val="00696ED0"/>
    <w:rsid w:val="00696EE8"/>
    <w:rsid w:val="00696EEB"/>
    <w:rsid w:val="00696F43"/>
    <w:rsid w:val="00696F9C"/>
    <w:rsid w:val="00697040"/>
    <w:rsid w:val="00697075"/>
    <w:rsid w:val="006971B8"/>
    <w:rsid w:val="00697210"/>
    <w:rsid w:val="00697355"/>
    <w:rsid w:val="00697364"/>
    <w:rsid w:val="006973CA"/>
    <w:rsid w:val="0069745C"/>
    <w:rsid w:val="00697516"/>
    <w:rsid w:val="0069763B"/>
    <w:rsid w:val="00697731"/>
    <w:rsid w:val="00697755"/>
    <w:rsid w:val="006978B6"/>
    <w:rsid w:val="00697A48"/>
    <w:rsid w:val="00697B1E"/>
    <w:rsid w:val="00697BC6"/>
    <w:rsid w:val="00697C07"/>
    <w:rsid w:val="00697C56"/>
    <w:rsid w:val="00697D07"/>
    <w:rsid w:val="00697D39"/>
    <w:rsid w:val="00697DD6"/>
    <w:rsid w:val="00697E06"/>
    <w:rsid w:val="00697E70"/>
    <w:rsid w:val="00697ED4"/>
    <w:rsid w:val="00697F39"/>
    <w:rsid w:val="00697F5C"/>
    <w:rsid w:val="00697FC2"/>
    <w:rsid w:val="00697FCF"/>
    <w:rsid w:val="006A0018"/>
    <w:rsid w:val="006A0060"/>
    <w:rsid w:val="006A00B5"/>
    <w:rsid w:val="006A0107"/>
    <w:rsid w:val="006A01A2"/>
    <w:rsid w:val="006A0236"/>
    <w:rsid w:val="006A026F"/>
    <w:rsid w:val="006A02C8"/>
    <w:rsid w:val="006A03AA"/>
    <w:rsid w:val="006A03C4"/>
    <w:rsid w:val="006A042C"/>
    <w:rsid w:val="006A043B"/>
    <w:rsid w:val="006A050E"/>
    <w:rsid w:val="006A052D"/>
    <w:rsid w:val="006A053A"/>
    <w:rsid w:val="006A0561"/>
    <w:rsid w:val="006A057C"/>
    <w:rsid w:val="006A05AB"/>
    <w:rsid w:val="006A06DB"/>
    <w:rsid w:val="006A06EC"/>
    <w:rsid w:val="006A0702"/>
    <w:rsid w:val="006A071F"/>
    <w:rsid w:val="006A0750"/>
    <w:rsid w:val="006A080D"/>
    <w:rsid w:val="006A0810"/>
    <w:rsid w:val="006A082E"/>
    <w:rsid w:val="006A0929"/>
    <w:rsid w:val="006A09C5"/>
    <w:rsid w:val="006A09EB"/>
    <w:rsid w:val="006A0A09"/>
    <w:rsid w:val="006A0B20"/>
    <w:rsid w:val="006A0BF7"/>
    <w:rsid w:val="006A0C6B"/>
    <w:rsid w:val="006A0D4E"/>
    <w:rsid w:val="006A0D5A"/>
    <w:rsid w:val="006A0DA3"/>
    <w:rsid w:val="006A0DC5"/>
    <w:rsid w:val="006A0DD5"/>
    <w:rsid w:val="006A0F6F"/>
    <w:rsid w:val="006A0F9B"/>
    <w:rsid w:val="006A1006"/>
    <w:rsid w:val="006A10B3"/>
    <w:rsid w:val="006A10BF"/>
    <w:rsid w:val="006A11D8"/>
    <w:rsid w:val="006A12DC"/>
    <w:rsid w:val="006A12DF"/>
    <w:rsid w:val="006A12E2"/>
    <w:rsid w:val="006A12EB"/>
    <w:rsid w:val="006A12F0"/>
    <w:rsid w:val="006A131B"/>
    <w:rsid w:val="006A142B"/>
    <w:rsid w:val="006A1487"/>
    <w:rsid w:val="006A14D1"/>
    <w:rsid w:val="006A15D5"/>
    <w:rsid w:val="006A166A"/>
    <w:rsid w:val="006A166D"/>
    <w:rsid w:val="006A167F"/>
    <w:rsid w:val="006A16F3"/>
    <w:rsid w:val="006A16FB"/>
    <w:rsid w:val="006A1730"/>
    <w:rsid w:val="006A173B"/>
    <w:rsid w:val="006A175E"/>
    <w:rsid w:val="006A1780"/>
    <w:rsid w:val="006A183E"/>
    <w:rsid w:val="006A1855"/>
    <w:rsid w:val="006A188E"/>
    <w:rsid w:val="006A1982"/>
    <w:rsid w:val="006A198B"/>
    <w:rsid w:val="006A19A1"/>
    <w:rsid w:val="006A19B4"/>
    <w:rsid w:val="006A19BF"/>
    <w:rsid w:val="006A19FC"/>
    <w:rsid w:val="006A1A5C"/>
    <w:rsid w:val="006A1A78"/>
    <w:rsid w:val="006A1AAB"/>
    <w:rsid w:val="006A1F42"/>
    <w:rsid w:val="006A1F7E"/>
    <w:rsid w:val="006A2006"/>
    <w:rsid w:val="006A20A3"/>
    <w:rsid w:val="006A20BB"/>
    <w:rsid w:val="006A2107"/>
    <w:rsid w:val="006A2196"/>
    <w:rsid w:val="006A2216"/>
    <w:rsid w:val="006A2217"/>
    <w:rsid w:val="006A2238"/>
    <w:rsid w:val="006A22DD"/>
    <w:rsid w:val="006A2417"/>
    <w:rsid w:val="006A241A"/>
    <w:rsid w:val="006A241C"/>
    <w:rsid w:val="006A2458"/>
    <w:rsid w:val="006A2468"/>
    <w:rsid w:val="006A248E"/>
    <w:rsid w:val="006A251B"/>
    <w:rsid w:val="006A2546"/>
    <w:rsid w:val="006A25D4"/>
    <w:rsid w:val="006A25F2"/>
    <w:rsid w:val="006A260A"/>
    <w:rsid w:val="006A2642"/>
    <w:rsid w:val="006A267F"/>
    <w:rsid w:val="006A26C3"/>
    <w:rsid w:val="006A2823"/>
    <w:rsid w:val="006A285D"/>
    <w:rsid w:val="006A28C0"/>
    <w:rsid w:val="006A2987"/>
    <w:rsid w:val="006A2A67"/>
    <w:rsid w:val="006A2AB5"/>
    <w:rsid w:val="006A2AB7"/>
    <w:rsid w:val="006A2AC4"/>
    <w:rsid w:val="006A2B2F"/>
    <w:rsid w:val="006A2BA3"/>
    <w:rsid w:val="006A2BC5"/>
    <w:rsid w:val="006A2BE1"/>
    <w:rsid w:val="006A2C6E"/>
    <w:rsid w:val="006A2D57"/>
    <w:rsid w:val="006A2DAE"/>
    <w:rsid w:val="006A2DC6"/>
    <w:rsid w:val="006A2DD4"/>
    <w:rsid w:val="006A2E0C"/>
    <w:rsid w:val="006A2E54"/>
    <w:rsid w:val="006A2EEF"/>
    <w:rsid w:val="006A2EFB"/>
    <w:rsid w:val="006A2F43"/>
    <w:rsid w:val="006A2FD5"/>
    <w:rsid w:val="006A306F"/>
    <w:rsid w:val="006A30A0"/>
    <w:rsid w:val="006A30AA"/>
    <w:rsid w:val="006A30C4"/>
    <w:rsid w:val="006A30D8"/>
    <w:rsid w:val="006A3127"/>
    <w:rsid w:val="006A3178"/>
    <w:rsid w:val="006A31F7"/>
    <w:rsid w:val="006A3227"/>
    <w:rsid w:val="006A32FD"/>
    <w:rsid w:val="006A3382"/>
    <w:rsid w:val="006A33AA"/>
    <w:rsid w:val="006A33E5"/>
    <w:rsid w:val="006A3484"/>
    <w:rsid w:val="006A34AC"/>
    <w:rsid w:val="006A34B7"/>
    <w:rsid w:val="006A34D5"/>
    <w:rsid w:val="006A3532"/>
    <w:rsid w:val="006A353C"/>
    <w:rsid w:val="006A35EC"/>
    <w:rsid w:val="006A36E1"/>
    <w:rsid w:val="006A3726"/>
    <w:rsid w:val="006A374E"/>
    <w:rsid w:val="006A3766"/>
    <w:rsid w:val="006A37D9"/>
    <w:rsid w:val="006A3840"/>
    <w:rsid w:val="006A387B"/>
    <w:rsid w:val="006A38C1"/>
    <w:rsid w:val="006A3A40"/>
    <w:rsid w:val="006A3AA9"/>
    <w:rsid w:val="006A3AC8"/>
    <w:rsid w:val="006A3B63"/>
    <w:rsid w:val="006A3BD5"/>
    <w:rsid w:val="006A3DCE"/>
    <w:rsid w:val="006A3DDC"/>
    <w:rsid w:val="006A3E04"/>
    <w:rsid w:val="006A3F07"/>
    <w:rsid w:val="006A3F5C"/>
    <w:rsid w:val="006A40A3"/>
    <w:rsid w:val="006A4135"/>
    <w:rsid w:val="006A41FC"/>
    <w:rsid w:val="006A42DC"/>
    <w:rsid w:val="006A433E"/>
    <w:rsid w:val="006A434F"/>
    <w:rsid w:val="006A439C"/>
    <w:rsid w:val="006A43F5"/>
    <w:rsid w:val="006A443F"/>
    <w:rsid w:val="006A4488"/>
    <w:rsid w:val="006A44C8"/>
    <w:rsid w:val="006A44D9"/>
    <w:rsid w:val="006A44E4"/>
    <w:rsid w:val="006A452A"/>
    <w:rsid w:val="006A46B5"/>
    <w:rsid w:val="006A46E1"/>
    <w:rsid w:val="006A4751"/>
    <w:rsid w:val="006A476C"/>
    <w:rsid w:val="006A487D"/>
    <w:rsid w:val="006A48AF"/>
    <w:rsid w:val="006A49AA"/>
    <w:rsid w:val="006A49F9"/>
    <w:rsid w:val="006A4A18"/>
    <w:rsid w:val="006A4A9B"/>
    <w:rsid w:val="006A4B7F"/>
    <w:rsid w:val="006A4BD3"/>
    <w:rsid w:val="006A4C15"/>
    <w:rsid w:val="006A4C33"/>
    <w:rsid w:val="006A4C4C"/>
    <w:rsid w:val="006A4D8F"/>
    <w:rsid w:val="006A4DA4"/>
    <w:rsid w:val="006A4DE9"/>
    <w:rsid w:val="006A4E19"/>
    <w:rsid w:val="006A4E1C"/>
    <w:rsid w:val="006A4E5B"/>
    <w:rsid w:val="006A4ED4"/>
    <w:rsid w:val="006A4F84"/>
    <w:rsid w:val="006A5031"/>
    <w:rsid w:val="006A5045"/>
    <w:rsid w:val="006A5060"/>
    <w:rsid w:val="006A51D5"/>
    <w:rsid w:val="006A52A9"/>
    <w:rsid w:val="006A5313"/>
    <w:rsid w:val="006A5366"/>
    <w:rsid w:val="006A53D6"/>
    <w:rsid w:val="006A53F8"/>
    <w:rsid w:val="006A541F"/>
    <w:rsid w:val="006A5514"/>
    <w:rsid w:val="006A5515"/>
    <w:rsid w:val="006A554F"/>
    <w:rsid w:val="006A5569"/>
    <w:rsid w:val="006A559F"/>
    <w:rsid w:val="006A55BA"/>
    <w:rsid w:val="006A567D"/>
    <w:rsid w:val="006A5683"/>
    <w:rsid w:val="006A573F"/>
    <w:rsid w:val="006A5771"/>
    <w:rsid w:val="006A5773"/>
    <w:rsid w:val="006A5787"/>
    <w:rsid w:val="006A582E"/>
    <w:rsid w:val="006A58A6"/>
    <w:rsid w:val="006A58B9"/>
    <w:rsid w:val="006A595D"/>
    <w:rsid w:val="006A5960"/>
    <w:rsid w:val="006A5977"/>
    <w:rsid w:val="006A59DE"/>
    <w:rsid w:val="006A5A21"/>
    <w:rsid w:val="006A5A57"/>
    <w:rsid w:val="006A5A7A"/>
    <w:rsid w:val="006A5B65"/>
    <w:rsid w:val="006A5BA8"/>
    <w:rsid w:val="006A5C93"/>
    <w:rsid w:val="006A5CE1"/>
    <w:rsid w:val="006A5E4A"/>
    <w:rsid w:val="006A5E8D"/>
    <w:rsid w:val="006A5F18"/>
    <w:rsid w:val="006A5F48"/>
    <w:rsid w:val="006A5F7E"/>
    <w:rsid w:val="006A60B8"/>
    <w:rsid w:val="006A6133"/>
    <w:rsid w:val="006A61F9"/>
    <w:rsid w:val="006A62C7"/>
    <w:rsid w:val="006A62D2"/>
    <w:rsid w:val="006A632C"/>
    <w:rsid w:val="006A638D"/>
    <w:rsid w:val="006A6436"/>
    <w:rsid w:val="006A6519"/>
    <w:rsid w:val="006A6525"/>
    <w:rsid w:val="006A6545"/>
    <w:rsid w:val="006A66ED"/>
    <w:rsid w:val="006A678C"/>
    <w:rsid w:val="006A67D3"/>
    <w:rsid w:val="006A6944"/>
    <w:rsid w:val="006A69B7"/>
    <w:rsid w:val="006A6A1A"/>
    <w:rsid w:val="006A6A51"/>
    <w:rsid w:val="006A6AC7"/>
    <w:rsid w:val="006A6B03"/>
    <w:rsid w:val="006A6B1D"/>
    <w:rsid w:val="006A6BB1"/>
    <w:rsid w:val="006A6BE4"/>
    <w:rsid w:val="006A6C53"/>
    <w:rsid w:val="006A6D03"/>
    <w:rsid w:val="006A6D33"/>
    <w:rsid w:val="006A6D4B"/>
    <w:rsid w:val="006A6E6F"/>
    <w:rsid w:val="006A6EE8"/>
    <w:rsid w:val="006A6F58"/>
    <w:rsid w:val="006A6FFA"/>
    <w:rsid w:val="006A7065"/>
    <w:rsid w:val="006A7159"/>
    <w:rsid w:val="006A71D9"/>
    <w:rsid w:val="006A721B"/>
    <w:rsid w:val="006A722A"/>
    <w:rsid w:val="006A724A"/>
    <w:rsid w:val="006A7259"/>
    <w:rsid w:val="006A7469"/>
    <w:rsid w:val="006A751E"/>
    <w:rsid w:val="006A75CB"/>
    <w:rsid w:val="006A7640"/>
    <w:rsid w:val="006A76A9"/>
    <w:rsid w:val="006A76B2"/>
    <w:rsid w:val="006A76E0"/>
    <w:rsid w:val="006A76F7"/>
    <w:rsid w:val="006A778B"/>
    <w:rsid w:val="006A77E9"/>
    <w:rsid w:val="006A78ED"/>
    <w:rsid w:val="006A7913"/>
    <w:rsid w:val="006A7920"/>
    <w:rsid w:val="006A79CF"/>
    <w:rsid w:val="006A7AB8"/>
    <w:rsid w:val="006A7AC0"/>
    <w:rsid w:val="006A7ADD"/>
    <w:rsid w:val="006A7AEA"/>
    <w:rsid w:val="006A7B91"/>
    <w:rsid w:val="006A7C77"/>
    <w:rsid w:val="006A7C8D"/>
    <w:rsid w:val="006A7CA8"/>
    <w:rsid w:val="006A7CE3"/>
    <w:rsid w:val="006A7CE6"/>
    <w:rsid w:val="006A7D4A"/>
    <w:rsid w:val="006A7D60"/>
    <w:rsid w:val="006A7D68"/>
    <w:rsid w:val="006A7D8E"/>
    <w:rsid w:val="006A7E12"/>
    <w:rsid w:val="006A7E13"/>
    <w:rsid w:val="006A7E40"/>
    <w:rsid w:val="006A7E47"/>
    <w:rsid w:val="006A7F14"/>
    <w:rsid w:val="006A7F1C"/>
    <w:rsid w:val="006A7F70"/>
    <w:rsid w:val="006A7F82"/>
    <w:rsid w:val="006B0018"/>
    <w:rsid w:val="006B00AB"/>
    <w:rsid w:val="006B012B"/>
    <w:rsid w:val="006B013B"/>
    <w:rsid w:val="006B019C"/>
    <w:rsid w:val="006B01AD"/>
    <w:rsid w:val="006B01E7"/>
    <w:rsid w:val="006B027B"/>
    <w:rsid w:val="006B02BD"/>
    <w:rsid w:val="006B02EB"/>
    <w:rsid w:val="006B0349"/>
    <w:rsid w:val="006B0455"/>
    <w:rsid w:val="006B045A"/>
    <w:rsid w:val="006B0469"/>
    <w:rsid w:val="006B0500"/>
    <w:rsid w:val="006B0538"/>
    <w:rsid w:val="006B0552"/>
    <w:rsid w:val="006B058D"/>
    <w:rsid w:val="006B0605"/>
    <w:rsid w:val="006B0621"/>
    <w:rsid w:val="006B062C"/>
    <w:rsid w:val="006B063E"/>
    <w:rsid w:val="006B0647"/>
    <w:rsid w:val="006B0652"/>
    <w:rsid w:val="006B0689"/>
    <w:rsid w:val="006B06C0"/>
    <w:rsid w:val="006B06CF"/>
    <w:rsid w:val="006B06E2"/>
    <w:rsid w:val="006B06FD"/>
    <w:rsid w:val="006B077F"/>
    <w:rsid w:val="006B07E6"/>
    <w:rsid w:val="006B07ED"/>
    <w:rsid w:val="006B07F5"/>
    <w:rsid w:val="006B081E"/>
    <w:rsid w:val="006B082F"/>
    <w:rsid w:val="006B089F"/>
    <w:rsid w:val="006B094E"/>
    <w:rsid w:val="006B098F"/>
    <w:rsid w:val="006B09C9"/>
    <w:rsid w:val="006B09CB"/>
    <w:rsid w:val="006B0A93"/>
    <w:rsid w:val="006B0B6A"/>
    <w:rsid w:val="006B0BB7"/>
    <w:rsid w:val="006B0BD0"/>
    <w:rsid w:val="006B0BDF"/>
    <w:rsid w:val="006B0C04"/>
    <w:rsid w:val="006B0C10"/>
    <w:rsid w:val="006B0C1E"/>
    <w:rsid w:val="006B0C24"/>
    <w:rsid w:val="006B0CEE"/>
    <w:rsid w:val="006B0D13"/>
    <w:rsid w:val="006B0D84"/>
    <w:rsid w:val="006B0EA2"/>
    <w:rsid w:val="006B0EE7"/>
    <w:rsid w:val="006B0FE4"/>
    <w:rsid w:val="006B102C"/>
    <w:rsid w:val="006B1078"/>
    <w:rsid w:val="006B1088"/>
    <w:rsid w:val="006B10D5"/>
    <w:rsid w:val="006B10FE"/>
    <w:rsid w:val="006B12FA"/>
    <w:rsid w:val="006B1324"/>
    <w:rsid w:val="006B13ED"/>
    <w:rsid w:val="006B140F"/>
    <w:rsid w:val="006B145A"/>
    <w:rsid w:val="006B14A9"/>
    <w:rsid w:val="006B14E9"/>
    <w:rsid w:val="006B15D3"/>
    <w:rsid w:val="006B1643"/>
    <w:rsid w:val="006B1670"/>
    <w:rsid w:val="006B1699"/>
    <w:rsid w:val="006B16EE"/>
    <w:rsid w:val="006B172F"/>
    <w:rsid w:val="006B1785"/>
    <w:rsid w:val="006B183D"/>
    <w:rsid w:val="006B186B"/>
    <w:rsid w:val="006B18CA"/>
    <w:rsid w:val="006B18FD"/>
    <w:rsid w:val="006B1A01"/>
    <w:rsid w:val="006B1A18"/>
    <w:rsid w:val="006B1AB3"/>
    <w:rsid w:val="006B1B26"/>
    <w:rsid w:val="006B1B6E"/>
    <w:rsid w:val="006B1B88"/>
    <w:rsid w:val="006B1BBF"/>
    <w:rsid w:val="006B1BE4"/>
    <w:rsid w:val="006B1C47"/>
    <w:rsid w:val="006B1DF9"/>
    <w:rsid w:val="006B1EA3"/>
    <w:rsid w:val="006B1EA9"/>
    <w:rsid w:val="006B1EBE"/>
    <w:rsid w:val="006B1F10"/>
    <w:rsid w:val="006B1F4C"/>
    <w:rsid w:val="006B1FB2"/>
    <w:rsid w:val="006B2063"/>
    <w:rsid w:val="006B20A8"/>
    <w:rsid w:val="006B20DE"/>
    <w:rsid w:val="006B20F1"/>
    <w:rsid w:val="006B213A"/>
    <w:rsid w:val="006B21B9"/>
    <w:rsid w:val="006B21C5"/>
    <w:rsid w:val="006B21D6"/>
    <w:rsid w:val="006B222D"/>
    <w:rsid w:val="006B2249"/>
    <w:rsid w:val="006B2257"/>
    <w:rsid w:val="006B22ED"/>
    <w:rsid w:val="006B2313"/>
    <w:rsid w:val="006B2336"/>
    <w:rsid w:val="006B2383"/>
    <w:rsid w:val="006B2397"/>
    <w:rsid w:val="006B2418"/>
    <w:rsid w:val="006B24A2"/>
    <w:rsid w:val="006B24E5"/>
    <w:rsid w:val="006B24FC"/>
    <w:rsid w:val="006B25B6"/>
    <w:rsid w:val="006B25BA"/>
    <w:rsid w:val="006B25BE"/>
    <w:rsid w:val="006B2631"/>
    <w:rsid w:val="006B26D2"/>
    <w:rsid w:val="006B2753"/>
    <w:rsid w:val="006B27AA"/>
    <w:rsid w:val="006B2838"/>
    <w:rsid w:val="006B2843"/>
    <w:rsid w:val="006B293D"/>
    <w:rsid w:val="006B294E"/>
    <w:rsid w:val="006B298D"/>
    <w:rsid w:val="006B29F1"/>
    <w:rsid w:val="006B2A0B"/>
    <w:rsid w:val="006B2A26"/>
    <w:rsid w:val="006B2A3D"/>
    <w:rsid w:val="006B2A5C"/>
    <w:rsid w:val="006B2AE1"/>
    <w:rsid w:val="006B2BB3"/>
    <w:rsid w:val="006B2BD1"/>
    <w:rsid w:val="006B2C31"/>
    <w:rsid w:val="006B2C6E"/>
    <w:rsid w:val="006B2C7C"/>
    <w:rsid w:val="006B2CCB"/>
    <w:rsid w:val="006B2CFB"/>
    <w:rsid w:val="006B2D51"/>
    <w:rsid w:val="006B2D6B"/>
    <w:rsid w:val="006B2D6C"/>
    <w:rsid w:val="006B2D78"/>
    <w:rsid w:val="006B2DD6"/>
    <w:rsid w:val="006B2E1F"/>
    <w:rsid w:val="006B2EC8"/>
    <w:rsid w:val="006B2F1D"/>
    <w:rsid w:val="006B2FDD"/>
    <w:rsid w:val="006B2FEA"/>
    <w:rsid w:val="006B3010"/>
    <w:rsid w:val="006B3012"/>
    <w:rsid w:val="006B3029"/>
    <w:rsid w:val="006B30F4"/>
    <w:rsid w:val="006B31DC"/>
    <w:rsid w:val="006B32BB"/>
    <w:rsid w:val="006B332E"/>
    <w:rsid w:val="006B339F"/>
    <w:rsid w:val="006B33F0"/>
    <w:rsid w:val="006B3509"/>
    <w:rsid w:val="006B3517"/>
    <w:rsid w:val="006B356E"/>
    <w:rsid w:val="006B35A8"/>
    <w:rsid w:val="006B35D1"/>
    <w:rsid w:val="006B3655"/>
    <w:rsid w:val="006B36CF"/>
    <w:rsid w:val="006B3716"/>
    <w:rsid w:val="006B37F5"/>
    <w:rsid w:val="006B3811"/>
    <w:rsid w:val="006B383F"/>
    <w:rsid w:val="006B3871"/>
    <w:rsid w:val="006B38AC"/>
    <w:rsid w:val="006B3901"/>
    <w:rsid w:val="006B398D"/>
    <w:rsid w:val="006B3A45"/>
    <w:rsid w:val="006B3A56"/>
    <w:rsid w:val="006B3AE1"/>
    <w:rsid w:val="006B3AF3"/>
    <w:rsid w:val="006B3B23"/>
    <w:rsid w:val="006B3B63"/>
    <w:rsid w:val="006B3BA3"/>
    <w:rsid w:val="006B3BAC"/>
    <w:rsid w:val="006B3BD2"/>
    <w:rsid w:val="006B3BDD"/>
    <w:rsid w:val="006B3C48"/>
    <w:rsid w:val="006B3C87"/>
    <w:rsid w:val="006B3CFE"/>
    <w:rsid w:val="006B3D7A"/>
    <w:rsid w:val="006B3DC2"/>
    <w:rsid w:val="006B3E40"/>
    <w:rsid w:val="006B3EA9"/>
    <w:rsid w:val="006B3ECB"/>
    <w:rsid w:val="006B3F35"/>
    <w:rsid w:val="006B4039"/>
    <w:rsid w:val="006B40CB"/>
    <w:rsid w:val="006B40D7"/>
    <w:rsid w:val="006B40FE"/>
    <w:rsid w:val="006B41B9"/>
    <w:rsid w:val="006B4206"/>
    <w:rsid w:val="006B4243"/>
    <w:rsid w:val="006B42CF"/>
    <w:rsid w:val="006B42D5"/>
    <w:rsid w:val="006B4308"/>
    <w:rsid w:val="006B4424"/>
    <w:rsid w:val="006B4434"/>
    <w:rsid w:val="006B45D6"/>
    <w:rsid w:val="006B4679"/>
    <w:rsid w:val="006B4681"/>
    <w:rsid w:val="006B4693"/>
    <w:rsid w:val="006B46A0"/>
    <w:rsid w:val="006B4781"/>
    <w:rsid w:val="006B47CC"/>
    <w:rsid w:val="006B4A13"/>
    <w:rsid w:val="006B4A32"/>
    <w:rsid w:val="006B4BAE"/>
    <w:rsid w:val="006B4BC1"/>
    <w:rsid w:val="006B4BEE"/>
    <w:rsid w:val="006B4C2A"/>
    <w:rsid w:val="006B4C42"/>
    <w:rsid w:val="006B4C62"/>
    <w:rsid w:val="006B4D03"/>
    <w:rsid w:val="006B4D43"/>
    <w:rsid w:val="006B4D4A"/>
    <w:rsid w:val="006B4D4B"/>
    <w:rsid w:val="006B4D9B"/>
    <w:rsid w:val="006B4E86"/>
    <w:rsid w:val="006B4F10"/>
    <w:rsid w:val="006B4FA6"/>
    <w:rsid w:val="006B4FD9"/>
    <w:rsid w:val="006B500E"/>
    <w:rsid w:val="006B5030"/>
    <w:rsid w:val="006B50E0"/>
    <w:rsid w:val="006B52A2"/>
    <w:rsid w:val="006B5302"/>
    <w:rsid w:val="006B5335"/>
    <w:rsid w:val="006B53D7"/>
    <w:rsid w:val="006B548E"/>
    <w:rsid w:val="006B54D9"/>
    <w:rsid w:val="006B5574"/>
    <w:rsid w:val="006B563A"/>
    <w:rsid w:val="006B566D"/>
    <w:rsid w:val="006B567C"/>
    <w:rsid w:val="006B56E1"/>
    <w:rsid w:val="006B5710"/>
    <w:rsid w:val="006B57B1"/>
    <w:rsid w:val="006B5908"/>
    <w:rsid w:val="006B59CA"/>
    <w:rsid w:val="006B59D4"/>
    <w:rsid w:val="006B59F8"/>
    <w:rsid w:val="006B5A55"/>
    <w:rsid w:val="006B5A8E"/>
    <w:rsid w:val="006B5B30"/>
    <w:rsid w:val="006B5B4C"/>
    <w:rsid w:val="006B5BAA"/>
    <w:rsid w:val="006B5BB0"/>
    <w:rsid w:val="006B5BEF"/>
    <w:rsid w:val="006B5C0F"/>
    <w:rsid w:val="006B5CE1"/>
    <w:rsid w:val="006B5D24"/>
    <w:rsid w:val="006B5D47"/>
    <w:rsid w:val="006B5D84"/>
    <w:rsid w:val="006B5DDB"/>
    <w:rsid w:val="006B5DF1"/>
    <w:rsid w:val="006B5DF8"/>
    <w:rsid w:val="006B5EED"/>
    <w:rsid w:val="006B5F27"/>
    <w:rsid w:val="006B5F34"/>
    <w:rsid w:val="006B5F3E"/>
    <w:rsid w:val="006B5FBC"/>
    <w:rsid w:val="006B6018"/>
    <w:rsid w:val="006B609B"/>
    <w:rsid w:val="006B6155"/>
    <w:rsid w:val="006B61F0"/>
    <w:rsid w:val="006B61FB"/>
    <w:rsid w:val="006B620B"/>
    <w:rsid w:val="006B62B5"/>
    <w:rsid w:val="006B62E7"/>
    <w:rsid w:val="006B62F5"/>
    <w:rsid w:val="006B636C"/>
    <w:rsid w:val="006B6432"/>
    <w:rsid w:val="006B6490"/>
    <w:rsid w:val="006B64D2"/>
    <w:rsid w:val="006B650A"/>
    <w:rsid w:val="006B6526"/>
    <w:rsid w:val="006B6564"/>
    <w:rsid w:val="006B6586"/>
    <w:rsid w:val="006B65A6"/>
    <w:rsid w:val="006B65EF"/>
    <w:rsid w:val="006B65FC"/>
    <w:rsid w:val="006B662A"/>
    <w:rsid w:val="006B6647"/>
    <w:rsid w:val="006B670D"/>
    <w:rsid w:val="006B6740"/>
    <w:rsid w:val="006B6779"/>
    <w:rsid w:val="006B6805"/>
    <w:rsid w:val="006B6814"/>
    <w:rsid w:val="006B6894"/>
    <w:rsid w:val="006B6918"/>
    <w:rsid w:val="006B691E"/>
    <w:rsid w:val="006B69B6"/>
    <w:rsid w:val="006B6A16"/>
    <w:rsid w:val="006B6A29"/>
    <w:rsid w:val="006B6ABF"/>
    <w:rsid w:val="006B6B2D"/>
    <w:rsid w:val="006B6C1E"/>
    <w:rsid w:val="006B6D4D"/>
    <w:rsid w:val="006B6DCD"/>
    <w:rsid w:val="006B6E08"/>
    <w:rsid w:val="006B6E14"/>
    <w:rsid w:val="006B6E79"/>
    <w:rsid w:val="006B6E82"/>
    <w:rsid w:val="006B6EB7"/>
    <w:rsid w:val="006B6F77"/>
    <w:rsid w:val="006B7008"/>
    <w:rsid w:val="006B7019"/>
    <w:rsid w:val="006B702B"/>
    <w:rsid w:val="006B7063"/>
    <w:rsid w:val="006B709B"/>
    <w:rsid w:val="006B70BD"/>
    <w:rsid w:val="006B70F7"/>
    <w:rsid w:val="006B718F"/>
    <w:rsid w:val="006B71AE"/>
    <w:rsid w:val="006B7263"/>
    <w:rsid w:val="006B72DB"/>
    <w:rsid w:val="006B7396"/>
    <w:rsid w:val="006B73C4"/>
    <w:rsid w:val="006B73FD"/>
    <w:rsid w:val="006B7416"/>
    <w:rsid w:val="006B7443"/>
    <w:rsid w:val="006B7489"/>
    <w:rsid w:val="006B74E2"/>
    <w:rsid w:val="006B7525"/>
    <w:rsid w:val="006B758C"/>
    <w:rsid w:val="006B75AC"/>
    <w:rsid w:val="006B7602"/>
    <w:rsid w:val="006B764B"/>
    <w:rsid w:val="006B766F"/>
    <w:rsid w:val="006B76F3"/>
    <w:rsid w:val="006B7760"/>
    <w:rsid w:val="006B7772"/>
    <w:rsid w:val="006B777D"/>
    <w:rsid w:val="006B7786"/>
    <w:rsid w:val="006B7787"/>
    <w:rsid w:val="006B77B5"/>
    <w:rsid w:val="006B7808"/>
    <w:rsid w:val="006B78D8"/>
    <w:rsid w:val="006B78E3"/>
    <w:rsid w:val="006B78E9"/>
    <w:rsid w:val="006B7914"/>
    <w:rsid w:val="006B7AA6"/>
    <w:rsid w:val="006B7AD4"/>
    <w:rsid w:val="006B7C11"/>
    <w:rsid w:val="006B7C2E"/>
    <w:rsid w:val="006B7C4A"/>
    <w:rsid w:val="006B7C6E"/>
    <w:rsid w:val="006B7CB9"/>
    <w:rsid w:val="006B7D35"/>
    <w:rsid w:val="006B7D38"/>
    <w:rsid w:val="006B7DB6"/>
    <w:rsid w:val="006B7E0A"/>
    <w:rsid w:val="006B7E20"/>
    <w:rsid w:val="006B7E78"/>
    <w:rsid w:val="006B7EF2"/>
    <w:rsid w:val="006B7EF3"/>
    <w:rsid w:val="006B7F06"/>
    <w:rsid w:val="006B7F66"/>
    <w:rsid w:val="006B7FDB"/>
    <w:rsid w:val="006C001E"/>
    <w:rsid w:val="006C0051"/>
    <w:rsid w:val="006C00A9"/>
    <w:rsid w:val="006C00BA"/>
    <w:rsid w:val="006C0180"/>
    <w:rsid w:val="006C0191"/>
    <w:rsid w:val="006C01C8"/>
    <w:rsid w:val="006C01F5"/>
    <w:rsid w:val="006C0221"/>
    <w:rsid w:val="006C0377"/>
    <w:rsid w:val="006C041D"/>
    <w:rsid w:val="006C0421"/>
    <w:rsid w:val="006C045C"/>
    <w:rsid w:val="006C04AC"/>
    <w:rsid w:val="006C0507"/>
    <w:rsid w:val="006C050E"/>
    <w:rsid w:val="006C0555"/>
    <w:rsid w:val="006C0583"/>
    <w:rsid w:val="006C060F"/>
    <w:rsid w:val="006C074D"/>
    <w:rsid w:val="006C078F"/>
    <w:rsid w:val="006C07A5"/>
    <w:rsid w:val="006C09DB"/>
    <w:rsid w:val="006C09DE"/>
    <w:rsid w:val="006C09F4"/>
    <w:rsid w:val="006C0A1B"/>
    <w:rsid w:val="006C0A55"/>
    <w:rsid w:val="006C0A8E"/>
    <w:rsid w:val="006C0A8F"/>
    <w:rsid w:val="006C0AB6"/>
    <w:rsid w:val="006C0AE1"/>
    <w:rsid w:val="006C0B31"/>
    <w:rsid w:val="006C0BC9"/>
    <w:rsid w:val="006C0C8A"/>
    <w:rsid w:val="006C0D19"/>
    <w:rsid w:val="006C0D7E"/>
    <w:rsid w:val="006C0D8E"/>
    <w:rsid w:val="006C0E14"/>
    <w:rsid w:val="006C0E53"/>
    <w:rsid w:val="006C0EB8"/>
    <w:rsid w:val="006C0ECD"/>
    <w:rsid w:val="006C0ED6"/>
    <w:rsid w:val="006C0F35"/>
    <w:rsid w:val="006C0F7D"/>
    <w:rsid w:val="006C103C"/>
    <w:rsid w:val="006C1060"/>
    <w:rsid w:val="006C108A"/>
    <w:rsid w:val="006C10F1"/>
    <w:rsid w:val="006C112B"/>
    <w:rsid w:val="006C122E"/>
    <w:rsid w:val="006C1273"/>
    <w:rsid w:val="006C12D0"/>
    <w:rsid w:val="006C12EB"/>
    <w:rsid w:val="006C1301"/>
    <w:rsid w:val="006C1319"/>
    <w:rsid w:val="006C132F"/>
    <w:rsid w:val="006C13C7"/>
    <w:rsid w:val="006C1435"/>
    <w:rsid w:val="006C1461"/>
    <w:rsid w:val="006C1499"/>
    <w:rsid w:val="006C158F"/>
    <w:rsid w:val="006C1642"/>
    <w:rsid w:val="006C1690"/>
    <w:rsid w:val="006C1692"/>
    <w:rsid w:val="006C16E0"/>
    <w:rsid w:val="006C1762"/>
    <w:rsid w:val="006C1876"/>
    <w:rsid w:val="006C18A4"/>
    <w:rsid w:val="006C19F3"/>
    <w:rsid w:val="006C1A5A"/>
    <w:rsid w:val="006C1A81"/>
    <w:rsid w:val="006C1B03"/>
    <w:rsid w:val="006C1B07"/>
    <w:rsid w:val="006C1B6C"/>
    <w:rsid w:val="006C1BC3"/>
    <w:rsid w:val="006C1BE1"/>
    <w:rsid w:val="006C1C22"/>
    <w:rsid w:val="006C1D94"/>
    <w:rsid w:val="006C1EA2"/>
    <w:rsid w:val="006C1EE5"/>
    <w:rsid w:val="006C20C2"/>
    <w:rsid w:val="006C20E1"/>
    <w:rsid w:val="006C2127"/>
    <w:rsid w:val="006C214D"/>
    <w:rsid w:val="006C21AD"/>
    <w:rsid w:val="006C225C"/>
    <w:rsid w:val="006C2279"/>
    <w:rsid w:val="006C2349"/>
    <w:rsid w:val="006C23CD"/>
    <w:rsid w:val="006C23EA"/>
    <w:rsid w:val="006C241F"/>
    <w:rsid w:val="006C2451"/>
    <w:rsid w:val="006C24F5"/>
    <w:rsid w:val="006C25A8"/>
    <w:rsid w:val="006C25F8"/>
    <w:rsid w:val="006C2628"/>
    <w:rsid w:val="006C26F2"/>
    <w:rsid w:val="006C2705"/>
    <w:rsid w:val="006C2719"/>
    <w:rsid w:val="006C271F"/>
    <w:rsid w:val="006C2794"/>
    <w:rsid w:val="006C27F9"/>
    <w:rsid w:val="006C2839"/>
    <w:rsid w:val="006C29A3"/>
    <w:rsid w:val="006C2A12"/>
    <w:rsid w:val="006C2A1A"/>
    <w:rsid w:val="006C2A27"/>
    <w:rsid w:val="006C2A88"/>
    <w:rsid w:val="006C2B11"/>
    <w:rsid w:val="006C2B1B"/>
    <w:rsid w:val="006C2B5D"/>
    <w:rsid w:val="006C2B63"/>
    <w:rsid w:val="006C2C7E"/>
    <w:rsid w:val="006C2DF0"/>
    <w:rsid w:val="006C2F39"/>
    <w:rsid w:val="006C2FBE"/>
    <w:rsid w:val="006C2FE8"/>
    <w:rsid w:val="006C3006"/>
    <w:rsid w:val="006C300F"/>
    <w:rsid w:val="006C301A"/>
    <w:rsid w:val="006C304A"/>
    <w:rsid w:val="006C31F1"/>
    <w:rsid w:val="006C32A6"/>
    <w:rsid w:val="006C32E4"/>
    <w:rsid w:val="006C33E9"/>
    <w:rsid w:val="006C3410"/>
    <w:rsid w:val="006C34FD"/>
    <w:rsid w:val="006C3588"/>
    <w:rsid w:val="006C3617"/>
    <w:rsid w:val="006C362F"/>
    <w:rsid w:val="006C3646"/>
    <w:rsid w:val="006C3667"/>
    <w:rsid w:val="006C36A7"/>
    <w:rsid w:val="006C36BA"/>
    <w:rsid w:val="006C36F7"/>
    <w:rsid w:val="006C372F"/>
    <w:rsid w:val="006C375E"/>
    <w:rsid w:val="006C3891"/>
    <w:rsid w:val="006C38A8"/>
    <w:rsid w:val="006C38BA"/>
    <w:rsid w:val="006C38DB"/>
    <w:rsid w:val="006C3A3A"/>
    <w:rsid w:val="006C3A3E"/>
    <w:rsid w:val="006C3B06"/>
    <w:rsid w:val="006C3B2B"/>
    <w:rsid w:val="006C3B7B"/>
    <w:rsid w:val="006C3C14"/>
    <w:rsid w:val="006C3C79"/>
    <w:rsid w:val="006C3C9F"/>
    <w:rsid w:val="006C3CF3"/>
    <w:rsid w:val="006C3D52"/>
    <w:rsid w:val="006C3D5F"/>
    <w:rsid w:val="006C3E21"/>
    <w:rsid w:val="006C3E28"/>
    <w:rsid w:val="006C3EC1"/>
    <w:rsid w:val="006C3F0F"/>
    <w:rsid w:val="006C3F33"/>
    <w:rsid w:val="006C3F6B"/>
    <w:rsid w:val="006C3F96"/>
    <w:rsid w:val="006C3F9E"/>
    <w:rsid w:val="006C4071"/>
    <w:rsid w:val="006C41E4"/>
    <w:rsid w:val="006C4208"/>
    <w:rsid w:val="006C421C"/>
    <w:rsid w:val="006C4259"/>
    <w:rsid w:val="006C440D"/>
    <w:rsid w:val="006C4411"/>
    <w:rsid w:val="006C443F"/>
    <w:rsid w:val="006C44F0"/>
    <w:rsid w:val="006C4519"/>
    <w:rsid w:val="006C4534"/>
    <w:rsid w:val="006C459D"/>
    <w:rsid w:val="006C45B1"/>
    <w:rsid w:val="006C4665"/>
    <w:rsid w:val="006C4883"/>
    <w:rsid w:val="006C489E"/>
    <w:rsid w:val="006C48A3"/>
    <w:rsid w:val="006C499E"/>
    <w:rsid w:val="006C49B2"/>
    <w:rsid w:val="006C49C2"/>
    <w:rsid w:val="006C4A2F"/>
    <w:rsid w:val="006C4A72"/>
    <w:rsid w:val="006C4A87"/>
    <w:rsid w:val="006C4B3A"/>
    <w:rsid w:val="006C4BE4"/>
    <w:rsid w:val="006C4BF3"/>
    <w:rsid w:val="006C4BFF"/>
    <w:rsid w:val="006C4C07"/>
    <w:rsid w:val="006C4C13"/>
    <w:rsid w:val="006C4C5F"/>
    <w:rsid w:val="006C4CAB"/>
    <w:rsid w:val="006C4D33"/>
    <w:rsid w:val="006C4D62"/>
    <w:rsid w:val="006C4DAB"/>
    <w:rsid w:val="006C4DB3"/>
    <w:rsid w:val="006C4DFC"/>
    <w:rsid w:val="006C4E23"/>
    <w:rsid w:val="006C4E48"/>
    <w:rsid w:val="006C4E5A"/>
    <w:rsid w:val="006C4FF8"/>
    <w:rsid w:val="006C5032"/>
    <w:rsid w:val="006C503D"/>
    <w:rsid w:val="006C507F"/>
    <w:rsid w:val="006C5184"/>
    <w:rsid w:val="006C51B5"/>
    <w:rsid w:val="006C52DE"/>
    <w:rsid w:val="006C52F2"/>
    <w:rsid w:val="006C5435"/>
    <w:rsid w:val="006C54B0"/>
    <w:rsid w:val="006C54F0"/>
    <w:rsid w:val="006C5556"/>
    <w:rsid w:val="006C5591"/>
    <w:rsid w:val="006C5596"/>
    <w:rsid w:val="006C55A1"/>
    <w:rsid w:val="006C55F1"/>
    <w:rsid w:val="006C5602"/>
    <w:rsid w:val="006C560C"/>
    <w:rsid w:val="006C5614"/>
    <w:rsid w:val="006C5650"/>
    <w:rsid w:val="006C56D5"/>
    <w:rsid w:val="006C575D"/>
    <w:rsid w:val="006C5862"/>
    <w:rsid w:val="006C5868"/>
    <w:rsid w:val="006C58CE"/>
    <w:rsid w:val="006C592B"/>
    <w:rsid w:val="006C59AA"/>
    <w:rsid w:val="006C59C2"/>
    <w:rsid w:val="006C5A0C"/>
    <w:rsid w:val="006C5A88"/>
    <w:rsid w:val="006C5A95"/>
    <w:rsid w:val="006C5ADB"/>
    <w:rsid w:val="006C5B13"/>
    <w:rsid w:val="006C5B2E"/>
    <w:rsid w:val="006C5BC2"/>
    <w:rsid w:val="006C5BD2"/>
    <w:rsid w:val="006C5C19"/>
    <w:rsid w:val="006C5C88"/>
    <w:rsid w:val="006C5D87"/>
    <w:rsid w:val="006C5DC0"/>
    <w:rsid w:val="006C5E72"/>
    <w:rsid w:val="006C5ED8"/>
    <w:rsid w:val="006C5F13"/>
    <w:rsid w:val="006C5F85"/>
    <w:rsid w:val="006C5FE1"/>
    <w:rsid w:val="006C6046"/>
    <w:rsid w:val="006C60B9"/>
    <w:rsid w:val="006C6115"/>
    <w:rsid w:val="006C6118"/>
    <w:rsid w:val="006C6136"/>
    <w:rsid w:val="006C61A4"/>
    <w:rsid w:val="006C61B7"/>
    <w:rsid w:val="006C61C8"/>
    <w:rsid w:val="006C61F9"/>
    <w:rsid w:val="006C620F"/>
    <w:rsid w:val="006C6214"/>
    <w:rsid w:val="006C624E"/>
    <w:rsid w:val="006C626B"/>
    <w:rsid w:val="006C62A9"/>
    <w:rsid w:val="006C62CF"/>
    <w:rsid w:val="006C631B"/>
    <w:rsid w:val="006C6395"/>
    <w:rsid w:val="006C6420"/>
    <w:rsid w:val="006C6433"/>
    <w:rsid w:val="006C6438"/>
    <w:rsid w:val="006C6452"/>
    <w:rsid w:val="006C649C"/>
    <w:rsid w:val="006C64CF"/>
    <w:rsid w:val="006C6505"/>
    <w:rsid w:val="006C6660"/>
    <w:rsid w:val="006C671A"/>
    <w:rsid w:val="006C6790"/>
    <w:rsid w:val="006C6864"/>
    <w:rsid w:val="006C697C"/>
    <w:rsid w:val="006C6A5E"/>
    <w:rsid w:val="006C6A65"/>
    <w:rsid w:val="006C6AE4"/>
    <w:rsid w:val="006C6B0C"/>
    <w:rsid w:val="006C6B0D"/>
    <w:rsid w:val="006C6B81"/>
    <w:rsid w:val="006C6BFA"/>
    <w:rsid w:val="006C6C24"/>
    <w:rsid w:val="006C6C5F"/>
    <w:rsid w:val="006C6DFD"/>
    <w:rsid w:val="006C6E5E"/>
    <w:rsid w:val="006C6F0A"/>
    <w:rsid w:val="006C6F11"/>
    <w:rsid w:val="006C6F43"/>
    <w:rsid w:val="006C70A1"/>
    <w:rsid w:val="006C70BC"/>
    <w:rsid w:val="006C70E1"/>
    <w:rsid w:val="006C714B"/>
    <w:rsid w:val="006C7166"/>
    <w:rsid w:val="006C7299"/>
    <w:rsid w:val="006C729A"/>
    <w:rsid w:val="006C7443"/>
    <w:rsid w:val="006C7507"/>
    <w:rsid w:val="006C7532"/>
    <w:rsid w:val="006C75A5"/>
    <w:rsid w:val="006C7637"/>
    <w:rsid w:val="006C76C2"/>
    <w:rsid w:val="006C76EB"/>
    <w:rsid w:val="006C7735"/>
    <w:rsid w:val="006C7794"/>
    <w:rsid w:val="006C77AD"/>
    <w:rsid w:val="006C77DB"/>
    <w:rsid w:val="006C7807"/>
    <w:rsid w:val="006C7818"/>
    <w:rsid w:val="006C7881"/>
    <w:rsid w:val="006C7927"/>
    <w:rsid w:val="006C792B"/>
    <w:rsid w:val="006C79A4"/>
    <w:rsid w:val="006C79FC"/>
    <w:rsid w:val="006C7A6B"/>
    <w:rsid w:val="006C7AAF"/>
    <w:rsid w:val="006C7BBB"/>
    <w:rsid w:val="006C7C96"/>
    <w:rsid w:val="006C7CA4"/>
    <w:rsid w:val="006C7CEE"/>
    <w:rsid w:val="006C7CFD"/>
    <w:rsid w:val="006C7CFF"/>
    <w:rsid w:val="006C7D15"/>
    <w:rsid w:val="006C7DB6"/>
    <w:rsid w:val="006C7DBC"/>
    <w:rsid w:val="006C7E77"/>
    <w:rsid w:val="006C7EE2"/>
    <w:rsid w:val="006C7F74"/>
    <w:rsid w:val="006D0016"/>
    <w:rsid w:val="006D0020"/>
    <w:rsid w:val="006D00D1"/>
    <w:rsid w:val="006D0117"/>
    <w:rsid w:val="006D027E"/>
    <w:rsid w:val="006D02C8"/>
    <w:rsid w:val="006D02E4"/>
    <w:rsid w:val="006D035A"/>
    <w:rsid w:val="006D03A8"/>
    <w:rsid w:val="006D03D3"/>
    <w:rsid w:val="006D03EE"/>
    <w:rsid w:val="006D042E"/>
    <w:rsid w:val="006D04B3"/>
    <w:rsid w:val="006D058E"/>
    <w:rsid w:val="006D059F"/>
    <w:rsid w:val="006D0604"/>
    <w:rsid w:val="006D068D"/>
    <w:rsid w:val="006D0692"/>
    <w:rsid w:val="006D06A9"/>
    <w:rsid w:val="006D06C0"/>
    <w:rsid w:val="006D06C4"/>
    <w:rsid w:val="006D06D5"/>
    <w:rsid w:val="006D06DB"/>
    <w:rsid w:val="006D06F5"/>
    <w:rsid w:val="006D06FE"/>
    <w:rsid w:val="006D0708"/>
    <w:rsid w:val="006D0713"/>
    <w:rsid w:val="006D072B"/>
    <w:rsid w:val="006D0744"/>
    <w:rsid w:val="006D07DD"/>
    <w:rsid w:val="006D081E"/>
    <w:rsid w:val="006D082B"/>
    <w:rsid w:val="006D0873"/>
    <w:rsid w:val="006D088D"/>
    <w:rsid w:val="006D08F9"/>
    <w:rsid w:val="006D09A1"/>
    <w:rsid w:val="006D0ABE"/>
    <w:rsid w:val="006D0ACD"/>
    <w:rsid w:val="006D0AD2"/>
    <w:rsid w:val="006D0AE1"/>
    <w:rsid w:val="006D0B2B"/>
    <w:rsid w:val="006D0B40"/>
    <w:rsid w:val="006D0B63"/>
    <w:rsid w:val="006D0C25"/>
    <w:rsid w:val="006D0D89"/>
    <w:rsid w:val="006D0E85"/>
    <w:rsid w:val="006D0EB4"/>
    <w:rsid w:val="006D0EDA"/>
    <w:rsid w:val="006D0F8B"/>
    <w:rsid w:val="006D0FDF"/>
    <w:rsid w:val="006D0FED"/>
    <w:rsid w:val="006D1039"/>
    <w:rsid w:val="006D1049"/>
    <w:rsid w:val="006D108B"/>
    <w:rsid w:val="006D10B6"/>
    <w:rsid w:val="006D118B"/>
    <w:rsid w:val="006D11B1"/>
    <w:rsid w:val="006D12C0"/>
    <w:rsid w:val="006D12F6"/>
    <w:rsid w:val="006D1342"/>
    <w:rsid w:val="006D135C"/>
    <w:rsid w:val="006D13E5"/>
    <w:rsid w:val="006D1541"/>
    <w:rsid w:val="006D154D"/>
    <w:rsid w:val="006D1599"/>
    <w:rsid w:val="006D16E5"/>
    <w:rsid w:val="006D1709"/>
    <w:rsid w:val="006D170B"/>
    <w:rsid w:val="006D1741"/>
    <w:rsid w:val="006D1760"/>
    <w:rsid w:val="006D17C4"/>
    <w:rsid w:val="006D17C7"/>
    <w:rsid w:val="006D17F4"/>
    <w:rsid w:val="006D181E"/>
    <w:rsid w:val="006D1855"/>
    <w:rsid w:val="006D187B"/>
    <w:rsid w:val="006D18ED"/>
    <w:rsid w:val="006D1949"/>
    <w:rsid w:val="006D19E8"/>
    <w:rsid w:val="006D1A08"/>
    <w:rsid w:val="006D1A38"/>
    <w:rsid w:val="006D1A81"/>
    <w:rsid w:val="006D1A82"/>
    <w:rsid w:val="006D1A8A"/>
    <w:rsid w:val="006D1AA3"/>
    <w:rsid w:val="006D1AC3"/>
    <w:rsid w:val="006D1AF7"/>
    <w:rsid w:val="006D1B0A"/>
    <w:rsid w:val="006D1BAA"/>
    <w:rsid w:val="006D1BC8"/>
    <w:rsid w:val="006D1C09"/>
    <w:rsid w:val="006D1CE4"/>
    <w:rsid w:val="006D1D00"/>
    <w:rsid w:val="006D1F29"/>
    <w:rsid w:val="006D1F93"/>
    <w:rsid w:val="006D2134"/>
    <w:rsid w:val="006D2195"/>
    <w:rsid w:val="006D21BC"/>
    <w:rsid w:val="006D21CE"/>
    <w:rsid w:val="006D21D5"/>
    <w:rsid w:val="006D224D"/>
    <w:rsid w:val="006D2263"/>
    <w:rsid w:val="006D23AB"/>
    <w:rsid w:val="006D23C0"/>
    <w:rsid w:val="006D25FE"/>
    <w:rsid w:val="006D266F"/>
    <w:rsid w:val="006D26A6"/>
    <w:rsid w:val="006D26B7"/>
    <w:rsid w:val="006D26FE"/>
    <w:rsid w:val="006D2726"/>
    <w:rsid w:val="006D277A"/>
    <w:rsid w:val="006D27AD"/>
    <w:rsid w:val="006D27BA"/>
    <w:rsid w:val="006D27F1"/>
    <w:rsid w:val="006D27F2"/>
    <w:rsid w:val="006D2823"/>
    <w:rsid w:val="006D2832"/>
    <w:rsid w:val="006D28BB"/>
    <w:rsid w:val="006D29DA"/>
    <w:rsid w:val="006D2AC6"/>
    <w:rsid w:val="006D2AD0"/>
    <w:rsid w:val="006D2B7E"/>
    <w:rsid w:val="006D2BF3"/>
    <w:rsid w:val="006D2C4D"/>
    <w:rsid w:val="006D2CAF"/>
    <w:rsid w:val="006D2CC6"/>
    <w:rsid w:val="006D2D3D"/>
    <w:rsid w:val="006D2DC7"/>
    <w:rsid w:val="006D2DF2"/>
    <w:rsid w:val="006D2F0D"/>
    <w:rsid w:val="006D2FD9"/>
    <w:rsid w:val="006D3100"/>
    <w:rsid w:val="006D314D"/>
    <w:rsid w:val="006D3177"/>
    <w:rsid w:val="006D317F"/>
    <w:rsid w:val="006D31D1"/>
    <w:rsid w:val="006D31D9"/>
    <w:rsid w:val="006D31F1"/>
    <w:rsid w:val="006D3217"/>
    <w:rsid w:val="006D3236"/>
    <w:rsid w:val="006D3256"/>
    <w:rsid w:val="006D32A9"/>
    <w:rsid w:val="006D32E5"/>
    <w:rsid w:val="006D3386"/>
    <w:rsid w:val="006D33DA"/>
    <w:rsid w:val="006D34BE"/>
    <w:rsid w:val="006D350E"/>
    <w:rsid w:val="006D3592"/>
    <w:rsid w:val="006D35A0"/>
    <w:rsid w:val="006D35F7"/>
    <w:rsid w:val="006D3637"/>
    <w:rsid w:val="006D368D"/>
    <w:rsid w:val="006D36AB"/>
    <w:rsid w:val="006D36AF"/>
    <w:rsid w:val="006D36EC"/>
    <w:rsid w:val="006D36FD"/>
    <w:rsid w:val="006D371E"/>
    <w:rsid w:val="006D3726"/>
    <w:rsid w:val="006D37D1"/>
    <w:rsid w:val="006D3876"/>
    <w:rsid w:val="006D3981"/>
    <w:rsid w:val="006D39BA"/>
    <w:rsid w:val="006D3A3E"/>
    <w:rsid w:val="006D3AC8"/>
    <w:rsid w:val="006D3AC9"/>
    <w:rsid w:val="006D3ADE"/>
    <w:rsid w:val="006D3AEB"/>
    <w:rsid w:val="006D3C6B"/>
    <w:rsid w:val="006D3D6D"/>
    <w:rsid w:val="006D3E44"/>
    <w:rsid w:val="006D3EC9"/>
    <w:rsid w:val="006D3ED2"/>
    <w:rsid w:val="006D3F5D"/>
    <w:rsid w:val="006D4052"/>
    <w:rsid w:val="006D4125"/>
    <w:rsid w:val="006D416E"/>
    <w:rsid w:val="006D419F"/>
    <w:rsid w:val="006D41E7"/>
    <w:rsid w:val="006D420C"/>
    <w:rsid w:val="006D4226"/>
    <w:rsid w:val="006D4401"/>
    <w:rsid w:val="006D448A"/>
    <w:rsid w:val="006D44BF"/>
    <w:rsid w:val="006D4556"/>
    <w:rsid w:val="006D459E"/>
    <w:rsid w:val="006D45C6"/>
    <w:rsid w:val="006D4616"/>
    <w:rsid w:val="006D462F"/>
    <w:rsid w:val="006D4839"/>
    <w:rsid w:val="006D491D"/>
    <w:rsid w:val="006D491E"/>
    <w:rsid w:val="006D4973"/>
    <w:rsid w:val="006D4A6E"/>
    <w:rsid w:val="006D4AC8"/>
    <w:rsid w:val="006D4AD9"/>
    <w:rsid w:val="006D4AFD"/>
    <w:rsid w:val="006D4B57"/>
    <w:rsid w:val="006D4BF6"/>
    <w:rsid w:val="006D4C71"/>
    <w:rsid w:val="006D4C83"/>
    <w:rsid w:val="006D4CC5"/>
    <w:rsid w:val="006D4D43"/>
    <w:rsid w:val="006D4DD2"/>
    <w:rsid w:val="006D4E33"/>
    <w:rsid w:val="006D4F91"/>
    <w:rsid w:val="006D4FA9"/>
    <w:rsid w:val="006D5034"/>
    <w:rsid w:val="006D5078"/>
    <w:rsid w:val="006D5097"/>
    <w:rsid w:val="006D50A6"/>
    <w:rsid w:val="006D5135"/>
    <w:rsid w:val="006D5145"/>
    <w:rsid w:val="006D514F"/>
    <w:rsid w:val="006D517B"/>
    <w:rsid w:val="006D51D3"/>
    <w:rsid w:val="006D51FA"/>
    <w:rsid w:val="006D529C"/>
    <w:rsid w:val="006D52E8"/>
    <w:rsid w:val="006D5321"/>
    <w:rsid w:val="006D5409"/>
    <w:rsid w:val="006D544B"/>
    <w:rsid w:val="006D549E"/>
    <w:rsid w:val="006D54EB"/>
    <w:rsid w:val="006D55FF"/>
    <w:rsid w:val="006D561B"/>
    <w:rsid w:val="006D5640"/>
    <w:rsid w:val="006D5681"/>
    <w:rsid w:val="006D56D9"/>
    <w:rsid w:val="006D571A"/>
    <w:rsid w:val="006D574F"/>
    <w:rsid w:val="006D5789"/>
    <w:rsid w:val="006D5872"/>
    <w:rsid w:val="006D5877"/>
    <w:rsid w:val="006D5890"/>
    <w:rsid w:val="006D5A69"/>
    <w:rsid w:val="006D5A88"/>
    <w:rsid w:val="006D5ACE"/>
    <w:rsid w:val="006D5C00"/>
    <w:rsid w:val="006D5D1C"/>
    <w:rsid w:val="006D5D43"/>
    <w:rsid w:val="006D5DA5"/>
    <w:rsid w:val="006D5DAD"/>
    <w:rsid w:val="006D5DEC"/>
    <w:rsid w:val="006D5E67"/>
    <w:rsid w:val="006D5E94"/>
    <w:rsid w:val="006D5ECC"/>
    <w:rsid w:val="006D5F88"/>
    <w:rsid w:val="006D5F8D"/>
    <w:rsid w:val="006D5FA6"/>
    <w:rsid w:val="006D5FAA"/>
    <w:rsid w:val="006D5FFE"/>
    <w:rsid w:val="006D6013"/>
    <w:rsid w:val="006D6058"/>
    <w:rsid w:val="006D605A"/>
    <w:rsid w:val="006D607F"/>
    <w:rsid w:val="006D60B2"/>
    <w:rsid w:val="006D6165"/>
    <w:rsid w:val="006D61F6"/>
    <w:rsid w:val="006D621E"/>
    <w:rsid w:val="006D6265"/>
    <w:rsid w:val="006D62AC"/>
    <w:rsid w:val="006D6326"/>
    <w:rsid w:val="006D632C"/>
    <w:rsid w:val="006D6340"/>
    <w:rsid w:val="006D63CE"/>
    <w:rsid w:val="006D648D"/>
    <w:rsid w:val="006D64FA"/>
    <w:rsid w:val="006D6528"/>
    <w:rsid w:val="006D6643"/>
    <w:rsid w:val="006D6707"/>
    <w:rsid w:val="006D675B"/>
    <w:rsid w:val="006D67E6"/>
    <w:rsid w:val="006D686D"/>
    <w:rsid w:val="006D6881"/>
    <w:rsid w:val="006D68A7"/>
    <w:rsid w:val="006D6905"/>
    <w:rsid w:val="006D691C"/>
    <w:rsid w:val="006D69F9"/>
    <w:rsid w:val="006D6A49"/>
    <w:rsid w:val="006D6A50"/>
    <w:rsid w:val="006D6B1B"/>
    <w:rsid w:val="006D6B83"/>
    <w:rsid w:val="006D6D2F"/>
    <w:rsid w:val="006D6D8F"/>
    <w:rsid w:val="006D6DAE"/>
    <w:rsid w:val="006D6DF5"/>
    <w:rsid w:val="006D6EF9"/>
    <w:rsid w:val="006D6FA1"/>
    <w:rsid w:val="006D6FAB"/>
    <w:rsid w:val="006D6FAC"/>
    <w:rsid w:val="006D70C9"/>
    <w:rsid w:val="006D711C"/>
    <w:rsid w:val="006D714E"/>
    <w:rsid w:val="006D7194"/>
    <w:rsid w:val="006D71E0"/>
    <w:rsid w:val="006D7361"/>
    <w:rsid w:val="006D74D4"/>
    <w:rsid w:val="006D74E4"/>
    <w:rsid w:val="006D7589"/>
    <w:rsid w:val="006D75A7"/>
    <w:rsid w:val="006D75EF"/>
    <w:rsid w:val="006D765C"/>
    <w:rsid w:val="006D7665"/>
    <w:rsid w:val="006D76FF"/>
    <w:rsid w:val="006D770A"/>
    <w:rsid w:val="006D770D"/>
    <w:rsid w:val="006D7710"/>
    <w:rsid w:val="006D7777"/>
    <w:rsid w:val="006D77E0"/>
    <w:rsid w:val="006D78E6"/>
    <w:rsid w:val="006D78E8"/>
    <w:rsid w:val="006D792C"/>
    <w:rsid w:val="006D7978"/>
    <w:rsid w:val="006D79E2"/>
    <w:rsid w:val="006D7A3E"/>
    <w:rsid w:val="006D7AB6"/>
    <w:rsid w:val="006D7B1B"/>
    <w:rsid w:val="006D7C6B"/>
    <w:rsid w:val="006D7D0E"/>
    <w:rsid w:val="006D7DA2"/>
    <w:rsid w:val="006D7DEE"/>
    <w:rsid w:val="006D7DFA"/>
    <w:rsid w:val="006D7EE0"/>
    <w:rsid w:val="006D7F9E"/>
    <w:rsid w:val="006E0015"/>
    <w:rsid w:val="006E0064"/>
    <w:rsid w:val="006E00EE"/>
    <w:rsid w:val="006E0168"/>
    <w:rsid w:val="006E0182"/>
    <w:rsid w:val="006E01CF"/>
    <w:rsid w:val="006E024B"/>
    <w:rsid w:val="006E0255"/>
    <w:rsid w:val="006E0434"/>
    <w:rsid w:val="006E0533"/>
    <w:rsid w:val="006E0664"/>
    <w:rsid w:val="006E066F"/>
    <w:rsid w:val="006E0767"/>
    <w:rsid w:val="006E078D"/>
    <w:rsid w:val="006E0795"/>
    <w:rsid w:val="006E0859"/>
    <w:rsid w:val="006E08A0"/>
    <w:rsid w:val="006E098C"/>
    <w:rsid w:val="006E0A16"/>
    <w:rsid w:val="006E0A19"/>
    <w:rsid w:val="006E0A50"/>
    <w:rsid w:val="006E0A67"/>
    <w:rsid w:val="006E0BD4"/>
    <w:rsid w:val="006E0C29"/>
    <w:rsid w:val="006E0C62"/>
    <w:rsid w:val="006E0D04"/>
    <w:rsid w:val="006E0D42"/>
    <w:rsid w:val="006E0D46"/>
    <w:rsid w:val="006E0D83"/>
    <w:rsid w:val="006E0DD9"/>
    <w:rsid w:val="006E0ED7"/>
    <w:rsid w:val="006E0EE5"/>
    <w:rsid w:val="006E0F5B"/>
    <w:rsid w:val="006E0F72"/>
    <w:rsid w:val="006E0FE6"/>
    <w:rsid w:val="006E101A"/>
    <w:rsid w:val="006E1089"/>
    <w:rsid w:val="006E10E3"/>
    <w:rsid w:val="006E1144"/>
    <w:rsid w:val="006E1227"/>
    <w:rsid w:val="006E1252"/>
    <w:rsid w:val="006E1297"/>
    <w:rsid w:val="006E12CA"/>
    <w:rsid w:val="006E1303"/>
    <w:rsid w:val="006E1312"/>
    <w:rsid w:val="006E13BB"/>
    <w:rsid w:val="006E13EF"/>
    <w:rsid w:val="006E1401"/>
    <w:rsid w:val="006E14D3"/>
    <w:rsid w:val="006E14DC"/>
    <w:rsid w:val="006E1537"/>
    <w:rsid w:val="006E15C1"/>
    <w:rsid w:val="006E15CF"/>
    <w:rsid w:val="006E15DF"/>
    <w:rsid w:val="006E15E3"/>
    <w:rsid w:val="006E16E6"/>
    <w:rsid w:val="006E171C"/>
    <w:rsid w:val="006E172D"/>
    <w:rsid w:val="006E17CC"/>
    <w:rsid w:val="006E180C"/>
    <w:rsid w:val="006E1888"/>
    <w:rsid w:val="006E190B"/>
    <w:rsid w:val="006E1919"/>
    <w:rsid w:val="006E1929"/>
    <w:rsid w:val="006E19C8"/>
    <w:rsid w:val="006E19D3"/>
    <w:rsid w:val="006E19F2"/>
    <w:rsid w:val="006E1A00"/>
    <w:rsid w:val="006E1A84"/>
    <w:rsid w:val="006E1AA0"/>
    <w:rsid w:val="006E1AF8"/>
    <w:rsid w:val="006E1B07"/>
    <w:rsid w:val="006E1B30"/>
    <w:rsid w:val="006E1C26"/>
    <w:rsid w:val="006E1CC5"/>
    <w:rsid w:val="006E1CFA"/>
    <w:rsid w:val="006E1D0B"/>
    <w:rsid w:val="006E1D38"/>
    <w:rsid w:val="006E1DBB"/>
    <w:rsid w:val="006E1EC1"/>
    <w:rsid w:val="006E1F75"/>
    <w:rsid w:val="006E2086"/>
    <w:rsid w:val="006E2109"/>
    <w:rsid w:val="006E210C"/>
    <w:rsid w:val="006E213E"/>
    <w:rsid w:val="006E214D"/>
    <w:rsid w:val="006E2163"/>
    <w:rsid w:val="006E2164"/>
    <w:rsid w:val="006E216B"/>
    <w:rsid w:val="006E219F"/>
    <w:rsid w:val="006E2207"/>
    <w:rsid w:val="006E225E"/>
    <w:rsid w:val="006E2365"/>
    <w:rsid w:val="006E23CF"/>
    <w:rsid w:val="006E2494"/>
    <w:rsid w:val="006E24C5"/>
    <w:rsid w:val="006E24D9"/>
    <w:rsid w:val="006E25D6"/>
    <w:rsid w:val="006E25D8"/>
    <w:rsid w:val="006E25E2"/>
    <w:rsid w:val="006E26A5"/>
    <w:rsid w:val="006E26DB"/>
    <w:rsid w:val="006E26EF"/>
    <w:rsid w:val="006E2753"/>
    <w:rsid w:val="006E27C8"/>
    <w:rsid w:val="006E2825"/>
    <w:rsid w:val="006E2869"/>
    <w:rsid w:val="006E28EE"/>
    <w:rsid w:val="006E28F7"/>
    <w:rsid w:val="006E2A3B"/>
    <w:rsid w:val="006E2A47"/>
    <w:rsid w:val="006E2A49"/>
    <w:rsid w:val="006E2A80"/>
    <w:rsid w:val="006E2A85"/>
    <w:rsid w:val="006E2ABB"/>
    <w:rsid w:val="006E2AE3"/>
    <w:rsid w:val="006E2B29"/>
    <w:rsid w:val="006E2B42"/>
    <w:rsid w:val="006E2B58"/>
    <w:rsid w:val="006E2B7B"/>
    <w:rsid w:val="006E2C00"/>
    <w:rsid w:val="006E2C57"/>
    <w:rsid w:val="006E2C89"/>
    <w:rsid w:val="006E2CCD"/>
    <w:rsid w:val="006E2CCE"/>
    <w:rsid w:val="006E2DC2"/>
    <w:rsid w:val="006E2F72"/>
    <w:rsid w:val="006E3025"/>
    <w:rsid w:val="006E306C"/>
    <w:rsid w:val="006E3180"/>
    <w:rsid w:val="006E31A1"/>
    <w:rsid w:val="006E31D0"/>
    <w:rsid w:val="006E31FD"/>
    <w:rsid w:val="006E32E8"/>
    <w:rsid w:val="006E3315"/>
    <w:rsid w:val="006E3385"/>
    <w:rsid w:val="006E343C"/>
    <w:rsid w:val="006E34DF"/>
    <w:rsid w:val="006E358B"/>
    <w:rsid w:val="006E3635"/>
    <w:rsid w:val="006E3674"/>
    <w:rsid w:val="006E36F8"/>
    <w:rsid w:val="006E373A"/>
    <w:rsid w:val="006E374C"/>
    <w:rsid w:val="006E377A"/>
    <w:rsid w:val="006E37FC"/>
    <w:rsid w:val="006E382A"/>
    <w:rsid w:val="006E3842"/>
    <w:rsid w:val="006E38B8"/>
    <w:rsid w:val="006E38F1"/>
    <w:rsid w:val="006E38FA"/>
    <w:rsid w:val="006E3948"/>
    <w:rsid w:val="006E399F"/>
    <w:rsid w:val="006E39DD"/>
    <w:rsid w:val="006E39ED"/>
    <w:rsid w:val="006E39F8"/>
    <w:rsid w:val="006E3A0A"/>
    <w:rsid w:val="006E3BD8"/>
    <w:rsid w:val="006E3C43"/>
    <w:rsid w:val="006E3CD9"/>
    <w:rsid w:val="006E3D6D"/>
    <w:rsid w:val="006E3D71"/>
    <w:rsid w:val="006E3DDF"/>
    <w:rsid w:val="006E3EDE"/>
    <w:rsid w:val="006E40A8"/>
    <w:rsid w:val="006E40BA"/>
    <w:rsid w:val="006E40C2"/>
    <w:rsid w:val="006E4113"/>
    <w:rsid w:val="006E411A"/>
    <w:rsid w:val="006E4127"/>
    <w:rsid w:val="006E4168"/>
    <w:rsid w:val="006E41A6"/>
    <w:rsid w:val="006E41B4"/>
    <w:rsid w:val="006E42C1"/>
    <w:rsid w:val="006E42CA"/>
    <w:rsid w:val="006E4318"/>
    <w:rsid w:val="006E4341"/>
    <w:rsid w:val="006E4388"/>
    <w:rsid w:val="006E43A2"/>
    <w:rsid w:val="006E4404"/>
    <w:rsid w:val="006E444D"/>
    <w:rsid w:val="006E4464"/>
    <w:rsid w:val="006E44BD"/>
    <w:rsid w:val="006E4523"/>
    <w:rsid w:val="006E4549"/>
    <w:rsid w:val="006E4575"/>
    <w:rsid w:val="006E45F1"/>
    <w:rsid w:val="006E46CE"/>
    <w:rsid w:val="006E47A7"/>
    <w:rsid w:val="006E47E2"/>
    <w:rsid w:val="006E4816"/>
    <w:rsid w:val="006E4832"/>
    <w:rsid w:val="006E4901"/>
    <w:rsid w:val="006E491D"/>
    <w:rsid w:val="006E4959"/>
    <w:rsid w:val="006E49E7"/>
    <w:rsid w:val="006E49EB"/>
    <w:rsid w:val="006E4A77"/>
    <w:rsid w:val="006E4A8B"/>
    <w:rsid w:val="006E4AC5"/>
    <w:rsid w:val="006E4B70"/>
    <w:rsid w:val="006E4B80"/>
    <w:rsid w:val="006E4BFF"/>
    <w:rsid w:val="006E4C4B"/>
    <w:rsid w:val="006E4C63"/>
    <w:rsid w:val="006E4C91"/>
    <w:rsid w:val="006E4CAC"/>
    <w:rsid w:val="006E4D24"/>
    <w:rsid w:val="006E4D4A"/>
    <w:rsid w:val="006E4DAF"/>
    <w:rsid w:val="006E4E82"/>
    <w:rsid w:val="006E4EC4"/>
    <w:rsid w:val="006E4F31"/>
    <w:rsid w:val="006E4FCC"/>
    <w:rsid w:val="006E506A"/>
    <w:rsid w:val="006E5127"/>
    <w:rsid w:val="006E515C"/>
    <w:rsid w:val="006E521E"/>
    <w:rsid w:val="006E528B"/>
    <w:rsid w:val="006E5387"/>
    <w:rsid w:val="006E54C0"/>
    <w:rsid w:val="006E54ED"/>
    <w:rsid w:val="006E551B"/>
    <w:rsid w:val="006E55BE"/>
    <w:rsid w:val="006E564B"/>
    <w:rsid w:val="006E5676"/>
    <w:rsid w:val="006E5706"/>
    <w:rsid w:val="006E5736"/>
    <w:rsid w:val="006E5782"/>
    <w:rsid w:val="006E578E"/>
    <w:rsid w:val="006E57DF"/>
    <w:rsid w:val="006E57F7"/>
    <w:rsid w:val="006E5863"/>
    <w:rsid w:val="006E58C2"/>
    <w:rsid w:val="006E5A29"/>
    <w:rsid w:val="006E5A68"/>
    <w:rsid w:val="006E5C36"/>
    <w:rsid w:val="006E5C4F"/>
    <w:rsid w:val="006E5CA7"/>
    <w:rsid w:val="006E5CB0"/>
    <w:rsid w:val="006E5D32"/>
    <w:rsid w:val="006E5D51"/>
    <w:rsid w:val="006E5D86"/>
    <w:rsid w:val="006E5D96"/>
    <w:rsid w:val="006E5E13"/>
    <w:rsid w:val="006E5EF5"/>
    <w:rsid w:val="006E5F78"/>
    <w:rsid w:val="006E6093"/>
    <w:rsid w:val="006E60B6"/>
    <w:rsid w:val="006E6167"/>
    <w:rsid w:val="006E61C2"/>
    <w:rsid w:val="006E626C"/>
    <w:rsid w:val="006E63EB"/>
    <w:rsid w:val="006E6405"/>
    <w:rsid w:val="006E6442"/>
    <w:rsid w:val="006E645A"/>
    <w:rsid w:val="006E6462"/>
    <w:rsid w:val="006E646E"/>
    <w:rsid w:val="006E6476"/>
    <w:rsid w:val="006E64B4"/>
    <w:rsid w:val="006E64C3"/>
    <w:rsid w:val="006E6623"/>
    <w:rsid w:val="006E680F"/>
    <w:rsid w:val="006E6851"/>
    <w:rsid w:val="006E686E"/>
    <w:rsid w:val="006E68BF"/>
    <w:rsid w:val="006E699D"/>
    <w:rsid w:val="006E69EB"/>
    <w:rsid w:val="006E6A46"/>
    <w:rsid w:val="006E6A47"/>
    <w:rsid w:val="006E6B04"/>
    <w:rsid w:val="006E6B84"/>
    <w:rsid w:val="006E6C3B"/>
    <w:rsid w:val="006E6CAB"/>
    <w:rsid w:val="006E6CE0"/>
    <w:rsid w:val="006E6CF0"/>
    <w:rsid w:val="006E6D8A"/>
    <w:rsid w:val="006E6E9A"/>
    <w:rsid w:val="006E6EB1"/>
    <w:rsid w:val="006E6EB4"/>
    <w:rsid w:val="006E6F03"/>
    <w:rsid w:val="006E6F2B"/>
    <w:rsid w:val="006E6F4D"/>
    <w:rsid w:val="006E6F8A"/>
    <w:rsid w:val="006E6FB9"/>
    <w:rsid w:val="006E7007"/>
    <w:rsid w:val="006E705F"/>
    <w:rsid w:val="006E7064"/>
    <w:rsid w:val="006E70AE"/>
    <w:rsid w:val="006E7180"/>
    <w:rsid w:val="006E71E4"/>
    <w:rsid w:val="006E7246"/>
    <w:rsid w:val="006E727E"/>
    <w:rsid w:val="006E7396"/>
    <w:rsid w:val="006E73C3"/>
    <w:rsid w:val="006E7454"/>
    <w:rsid w:val="006E7466"/>
    <w:rsid w:val="006E74E8"/>
    <w:rsid w:val="006E753F"/>
    <w:rsid w:val="006E760A"/>
    <w:rsid w:val="006E7726"/>
    <w:rsid w:val="006E7796"/>
    <w:rsid w:val="006E784E"/>
    <w:rsid w:val="006E7873"/>
    <w:rsid w:val="006E78A3"/>
    <w:rsid w:val="006E790D"/>
    <w:rsid w:val="006E79F9"/>
    <w:rsid w:val="006E7A42"/>
    <w:rsid w:val="006E7A87"/>
    <w:rsid w:val="006E7AA1"/>
    <w:rsid w:val="006E7B6B"/>
    <w:rsid w:val="006E7B7C"/>
    <w:rsid w:val="006E7BA5"/>
    <w:rsid w:val="006E7BC1"/>
    <w:rsid w:val="006E7C0A"/>
    <w:rsid w:val="006E7C6C"/>
    <w:rsid w:val="006E7CCC"/>
    <w:rsid w:val="006E7F51"/>
    <w:rsid w:val="006E7FCF"/>
    <w:rsid w:val="006E7FF4"/>
    <w:rsid w:val="006F00B3"/>
    <w:rsid w:val="006F00F3"/>
    <w:rsid w:val="006F00F8"/>
    <w:rsid w:val="006F0132"/>
    <w:rsid w:val="006F0198"/>
    <w:rsid w:val="006F01A3"/>
    <w:rsid w:val="006F0219"/>
    <w:rsid w:val="006F02C7"/>
    <w:rsid w:val="006F0311"/>
    <w:rsid w:val="006F0315"/>
    <w:rsid w:val="006F034E"/>
    <w:rsid w:val="006F0358"/>
    <w:rsid w:val="006F0389"/>
    <w:rsid w:val="006F0402"/>
    <w:rsid w:val="006F048D"/>
    <w:rsid w:val="006F048E"/>
    <w:rsid w:val="006F05D8"/>
    <w:rsid w:val="006F0643"/>
    <w:rsid w:val="006F06A2"/>
    <w:rsid w:val="006F06A9"/>
    <w:rsid w:val="006F06AF"/>
    <w:rsid w:val="006F0749"/>
    <w:rsid w:val="006F0755"/>
    <w:rsid w:val="006F07C4"/>
    <w:rsid w:val="006F07E1"/>
    <w:rsid w:val="006F0859"/>
    <w:rsid w:val="006F08B8"/>
    <w:rsid w:val="006F091D"/>
    <w:rsid w:val="006F091E"/>
    <w:rsid w:val="006F0970"/>
    <w:rsid w:val="006F09A8"/>
    <w:rsid w:val="006F09B2"/>
    <w:rsid w:val="006F09D4"/>
    <w:rsid w:val="006F09E8"/>
    <w:rsid w:val="006F0A71"/>
    <w:rsid w:val="006F0AC8"/>
    <w:rsid w:val="006F0AE8"/>
    <w:rsid w:val="006F0AF8"/>
    <w:rsid w:val="006F0C9E"/>
    <w:rsid w:val="006F0CC2"/>
    <w:rsid w:val="006F0D19"/>
    <w:rsid w:val="006F0D2E"/>
    <w:rsid w:val="006F0E01"/>
    <w:rsid w:val="006F0EB8"/>
    <w:rsid w:val="006F0EFE"/>
    <w:rsid w:val="006F0F45"/>
    <w:rsid w:val="006F104B"/>
    <w:rsid w:val="006F1055"/>
    <w:rsid w:val="006F1062"/>
    <w:rsid w:val="006F109E"/>
    <w:rsid w:val="006F1118"/>
    <w:rsid w:val="006F1193"/>
    <w:rsid w:val="006F11EE"/>
    <w:rsid w:val="006F1213"/>
    <w:rsid w:val="006F1429"/>
    <w:rsid w:val="006F1544"/>
    <w:rsid w:val="006F1561"/>
    <w:rsid w:val="006F1628"/>
    <w:rsid w:val="006F168B"/>
    <w:rsid w:val="006F168F"/>
    <w:rsid w:val="006F16A2"/>
    <w:rsid w:val="006F16B6"/>
    <w:rsid w:val="006F175E"/>
    <w:rsid w:val="006F1765"/>
    <w:rsid w:val="006F1782"/>
    <w:rsid w:val="006F1822"/>
    <w:rsid w:val="006F1847"/>
    <w:rsid w:val="006F18F9"/>
    <w:rsid w:val="006F193E"/>
    <w:rsid w:val="006F19B4"/>
    <w:rsid w:val="006F19E4"/>
    <w:rsid w:val="006F1A1B"/>
    <w:rsid w:val="006F1A54"/>
    <w:rsid w:val="006F1B72"/>
    <w:rsid w:val="006F1BB7"/>
    <w:rsid w:val="006F1C09"/>
    <w:rsid w:val="006F1C31"/>
    <w:rsid w:val="006F1CAC"/>
    <w:rsid w:val="006F1CB6"/>
    <w:rsid w:val="006F1CE8"/>
    <w:rsid w:val="006F1DD7"/>
    <w:rsid w:val="006F1E6F"/>
    <w:rsid w:val="006F1EB9"/>
    <w:rsid w:val="006F1F49"/>
    <w:rsid w:val="006F1FB3"/>
    <w:rsid w:val="006F1FDC"/>
    <w:rsid w:val="006F2030"/>
    <w:rsid w:val="006F203E"/>
    <w:rsid w:val="006F20B7"/>
    <w:rsid w:val="006F212A"/>
    <w:rsid w:val="006F2148"/>
    <w:rsid w:val="006F219A"/>
    <w:rsid w:val="006F21E3"/>
    <w:rsid w:val="006F223B"/>
    <w:rsid w:val="006F224D"/>
    <w:rsid w:val="006F228B"/>
    <w:rsid w:val="006F22C3"/>
    <w:rsid w:val="006F22EB"/>
    <w:rsid w:val="006F2347"/>
    <w:rsid w:val="006F2358"/>
    <w:rsid w:val="006F2360"/>
    <w:rsid w:val="006F2480"/>
    <w:rsid w:val="006F24A4"/>
    <w:rsid w:val="006F2503"/>
    <w:rsid w:val="006F2559"/>
    <w:rsid w:val="006F25F4"/>
    <w:rsid w:val="006F2609"/>
    <w:rsid w:val="006F2626"/>
    <w:rsid w:val="006F271C"/>
    <w:rsid w:val="006F273C"/>
    <w:rsid w:val="006F2779"/>
    <w:rsid w:val="006F2864"/>
    <w:rsid w:val="006F287B"/>
    <w:rsid w:val="006F29AE"/>
    <w:rsid w:val="006F2A43"/>
    <w:rsid w:val="006F2A72"/>
    <w:rsid w:val="006F2ABE"/>
    <w:rsid w:val="006F2AC1"/>
    <w:rsid w:val="006F2B81"/>
    <w:rsid w:val="006F2B8C"/>
    <w:rsid w:val="006F2C13"/>
    <w:rsid w:val="006F2C54"/>
    <w:rsid w:val="006F2C5F"/>
    <w:rsid w:val="006F2CB2"/>
    <w:rsid w:val="006F2D40"/>
    <w:rsid w:val="006F2DAA"/>
    <w:rsid w:val="006F2DFC"/>
    <w:rsid w:val="006F2E34"/>
    <w:rsid w:val="006F2F22"/>
    <w:rsid w:val="006F2FBA"/>
    <w:rsid w:val="006F3005"/>
    <w:rsid w:val="006F302D"/>
    <w:rsid w:val="006F3074"/>
    <w:rsid w:val="006F30BF"/>
    <w:rsid w:val="006F3178"/>
    <w:rsid w:val="006F3187"/>
    <w:rsid w:val="006F31F3"/>
    <w:rsid w:val="006F3252"/>
    <w:rsid w:val="006F327A"/>
    <w:rsid w:val="006F3284"/>
    <w:rsid w:val="006F3303"/>
    <w:rsid w:val="006F334A"/>
    <w:rsid w:val="006F33A9"/>
    <w:rsid w:val="006F33F7"/>
    <w:rsid w:val="006F3411"/>
    <w:rsid w:val="006F3453"/>
    <w:rsid w:val="006F3483"/>
    <w:rsid w:val="006F3550"/>
    <w:rsid w:val="006F3554"/>
    <w:rsid w:val="006F35EF"/>
    <w:rsid w:val="006F35FA"/>
    <w:rsid w:val="006F36A7"/>
    <w:rsid w:val="006F36B8"/>
    <w:rsid w:val="006F3736"/>
    <w:rsid w:val="006F38D2"/>
    <w:rsid w:val="006F396E"/>
    <w:rsid w:val="006F3AF4"/>
    <w:rsid w:val="006F3B65"/>
    <w:rsid w:val="006F3C67"/>
    <w:rsid w:val="006F3D21"/>
    <w:rsid w:val="006F3D4D"/>
    <w:rsid w:val="006F3D68"/>
    <w:rsid w:val="006F3E66"/>
    <w:rsid w:val="006F3EE3"/>
    <w:rsid w:val="006F3F2D"/>
    <w:rsid w:val="006F3F70"/>
    <w:rsid w:val="006F3F75"/>
    <w:rsid w:val="006F3FAE"/>
    <w:rsid w:val="006F3FBA"/>
    <w:rsid w:val="006F3FF2"/>
    <w:rsid w:val="006F40A7"/>
    <w:rsid w:val="006F40B6"/>
    <w:rsid w:val="006F40CF"/>
    <w:rsid w:val="006F40F2"/>
    <w:rsid w:val="006F4128"/>
    <w:rsid w:val="006F41F0"/>
    <w:rsid w:val="006F431F"/>
    <w:rsid w:val="006F433F"/>
    <w:rsid w:val="006F4404"/>
    <w:rsid w:val="006F4465"/>
    <w:rsid w:val="006F4584"/>
    <w:rsid w:val="006F458B"/>
    <w:rsid w:val="006F45A3"/>
    <w:rsid w:val="006F465F"/>
    <w:rsid w:val="006F46DF"/>
    <w:rsid w:val="006F46FF"/>
    <w:rsid w:val="006F4700"/>
    <w:rsid w:val="006F4848"/>
    <w:rsid w:val="006F4854"/>
    <w:rsid w:val="006F49B0"/>
    <w:rsid w:val="006F49EF"/>
    <w:rsid w:val="006F4A08"/>
    <w:rsid w:val="006F4A44"/>
    <w:rsid w:val="006F4A60"/>
    <w:rsid w:val="006F4A78"/>
    <w:rsid w:val="006F4B06"/>
    <w:rsid w:val="006F4B09"/>
    <w:rsid w:val="006F4CC4"/>
    <w:rsid w:val="006F4CC5"/>
    <w:rsid w:val="006F4CE0"/>
    <w:rsid w:val="006F4D6E"/>
    <w:rsid w:val="006F4DA2"/>
    <w:rsid w:val="006F4DE5"/>
    <w:rsid w:val="006F4DEE"/>
    <w:rsid w:val="006F4E3D"/>
    <w:rsid w:val="006F4F02"/>
    <w:rsid w:val="006F4FC1"/>
    <w:rsid w:val="006F5016"/>
    <w:rsid w:val="006F5079"/>
    <w:rsid w:val="006F50BC"/>
    <w:rsid w:val="006F51EE"/>
    <w:rsid w:val="006F51F7"/>
    <w:rsid w:val="006F520F"/>
    <w:rsid w:val="006F5249"/>
    <w:rsid w:val="006F528D"/>
    <w:rsid w:val="006F529B"/>
    <w:rsid w:val="006F537A"/>
    <w:rsid w:val="006F537C"/>
    <w:rsid w:val="006F5464"/>
    <w:rsid w:val="006F549A"/>
    <w:rsid w:val="006F54A2"/>
    <w:rsid w:val="006F54B2"/>
    <w:rsid w:val="006F54CC"/>
    <w:rsid w:val="006F5515"/>
    <w:rsid w:val="006F558F"/>
    <w:rsid w:val="006F55A2"/>
    <w:rsid w:val="006F55BD"/>
    <w:rsid w:val="006F55CB"/>
    <w:rsid w:val="006F55F3"/>
    <w:rsid w:val="006F55F8"/>
    <w:rsid w:val="006F5617"/>
    <w:rsid w:val="006F5636"/>
    <w:rsid w:val="006F563B"/>
    <w:rsid w:val="006F567B"/>
    <w:rsid w:val="006F56E5"/>
    <w:rsid w:val="006F56F6"/>
    <w:rsid w:val="006F578C"/>
    <w:rsid w:val="006F5827"/>
    <w:rsid w:val="006F58F2"/>
    <w:rsid w:val="006F590F"/>
    <w:rsid w:val="006F5919"/>
    <w:rsid w:val="006F591E"/>
    <w:rsid w:val="006F599C"/>
    <w:rsid w:val="006F5A52"/>
    <w:rsid w:val="006F5A75"/>
    <w:rsid w:val="006F5A9D"/>
    <w:rsid w:val="006F5AF5"/>
    <w:rsid w:val="006F5B2D"/>
    <w:rsid w:val="006F5CCC"/>
    <w:rsid w:val="006F5CE0"/>
    <w:rsid w:val="006F5D70"/>
    <w:rsid w:val="006F5EDA"/>
    <w:rsid w:val="006F5F1A"/>
    <w:rsid w:val="006F5F43"/>
    <w:rsid w:val="006F6075"/>
    <w:rsid w:val="006F60EC"/>
    <w:rsid w:val="006F611D"/>
    <w:rsid w:val="006F618C"/>
    <w:rsid w:val="006F61CE"/>
    <w:rsid w:val="006F6260"/>
    <w:rsid w:val="006F62B2"/>
    <w:rsid w:val="006F62EC"/>
    <w:rsid w:val="006F634D"/>
    <w:rsid w:val="006F638B"/>
    <w:rsid w:val="006F6393"/>
    <w:rsid w:val="006F63A3"/>
    <w:rsid w:val="006F63E5"/>
    <w:rsid w:val="006F63F8"/>
    <w:rsid w:val="006F64C1"/>
    <w:rsid w:val="006F652A"/>
    <w:rsid w:val="006F65EF"/>
    <w:rsid w:val="006F6608"/>
    <w:rsid w:val="006F660D"/>
    <w:rsid w:val="006F66F5"/>
    <w:rsid w:val="006F678D"/>
    <w:rsid w:val="006F67C5"/>
    <w:rsid w:val="006F6832"/>
    <w:rsid w:val="006F6841"/>
    <w:rsid w:val="006F6AB3"/>
    <w:rsid w:val="006F6AB5"/>
    <w:rsid w:val="006F6C6A"/>
    <w:rsid w:val="006F6C85"/>
    <w:rsid w:val="006F6CBD"/>
    <w:rsid w:val="006F6CC9"/>
    <w:rsid w:val="006F6D0C"/>
    <w:rsid w:val="006F6D25"/>
    <w:rsid w:val="006F6D8C"/>
    <w:rsid w:val="006F6D9C"/>
    <w:rsid w:val="006F6DFF"/>
    <w:rsid w:val="006F6E23"/>
    <w:rsid w:val="006F6E9C"/>
    <w:rsid w:val="006F6EA9"/>
    <w:rsid w:val="006F6EDB"/>
    <w:rsid w:val="006F6F32"/>
    <w:rsid w:val="006F6F43"/>
    <w:rsid w:val="006F6FE9"/>
    <w:rsid w:val="006F7006"/>
    <w:rsid w:val="006F702C"/>
    <w:rsid w:val="006F70A1"/>
    <w:rsid w:val="006F70B3"/>
    <w:rsid w:val="006F70BC"/>
    <w:rsid w:val="006F70F0"/>
    <w:rsid w:val="006F7131"/>
    <w:rsid w:val="006F71F3"/>
    <w:rsid w:val="006F7209"/>
    <w:rsid w:val="006F7218"/>
    <w:rsid w:val="006F722D"/>
    <w:rsid w:val="006F724E"/>
    <w:rsid w:val="006F7254"/>
    <w:rsid w:val="006F728F"/>
    <w:rsid w:val="006F72BE"/>
    <w:rsid w:val="006F7319"/>
    <w:rsid w:val="006F734E"/>
    <w:rsid w:val="006F7471"/>
    <w:rsid w:val="006F74F6"/>
    <w:rsid w:val="006F75EA"/>
    <w:rsid w:val="006F7606"/>
    <w:rsid w:val="006F7629"/>
    <w:rsid w:val="006F767A"/>
    <w:rsid w:val="006F76BE"/>
    <w:rsid w:val="006F77E6"/>
    <w:rsid w:val="006F783D"/>
    <w:rsid w:val="006F7896"/>
    <w:rsid w:val="006F78B5"/>
    <w:rsid w:val="006F78E5"/>
    <w:rsid w:val="006F78F2"/>
    <w:rsid w:val="006F78FB"/>
    <w:rsid w:val="006F7927"/>
    <w:rsid w:val="006F7947"/>
    <w:rsid w:val="006F794C"/>
    <w:rsid w:val="006F795D"/>
    <w:rsid w:val="006F7995"/>
    <w:rsid w:val="006F7A1C"/>
    <w:rsid w:val="006F7AE4"/>
    <w:rsid w:val="006F7AEF"/>
    <w:rsid w:val="006F7B1E"/>
    <w:rsid w:val="006F7B79"/>
    <w:rsid w:val="006F7C04"/>
    <w:rsid w:val="006F7DB4"/>
    <w:rsid w:val="006F7E4B"/>
    <w:rsid w:val="006F7E8D"/>
    <w:rsid w:val="006F7EB1"/>
    <w:rsid w:val="006F7EDE"/>
    <w:rsid w:val="006F7F08"/>
    <w:rsid w:val="006F7F2D"/>
    <w:rsid w:val="006F7F65"/>
    <w:rsid w:val="006F7F68"/>
    <w:rsid w:val="006F7FE3"/>
    <w:rsid w:val="0070000D"/>
    <w:rsid w:val="00700096"/>
    <w:rsid w:val="007000B3"/>
    <w:rsid w:val="007000DF"/>
    <w:rsid w:val="00700155"/>
    <w:rsid w:val="0070015B"/>
    <w:rsid w:val="0070019C"/>
    <w:rsid w:val="007001B9"/>
    <w:rsid w:val="00700212"/>
    <w:rsid w:val="0070022B"/>
    <w:rsid w:val="007003BA"/>
    <w:rsid w:val="00700404"/>
    <w:rsid w:val="00700418"/>
    <w:rsid w:val="0070041C"/>
    <w:rsid w:val="0070044B"/>
    <w:rsid w:val="007004B4"/>
    <w:rsid w:val="0070067E"/>
    <w:rsid w:val="007007FB"/>
    <w:rsid w:val="0070084D"/>
    <w:rsid w:val="00700869"/>
    <w:rsid w:val="00700877"/>
    <w:rsid w:val="0070090F"/>
    <w:rsid w:val="00700980"/>
    <w:rsid w:val="0070099D"/>
    <w:rsid w:val="00700A5A"/>
    <w:rsid w:val="00700AE3"/>
    <w:rsid w:val="00700B43"/>
    <w:rsid w:val="00700C34"/>
    <w:rsid w:val="00700D24"/>
    <w:rsid w:val="00700D61"/>
    <w:rsid w:val="00700D63"/>
    <w:rsid w:val="00700E05"/>
    <w:rsid w:val="00700E21"/>
    <w:rsid w:val="00700E25"/>
    <w:rsid w:val="00700E90"/>
    <w:rsid w:val="00700EA0"/>
    <w:rsid w:val="00700EC8"/>
    <w:rsid w:val="00700ECD"/>
    <w:rsid w:val="00700F47"/>
    <w:rsid w:val="0070101F"/>
    <w:rsid w:val="00701039"/>
    <w:rsid w:val="00701072"/>
    <w:rsid w:val="007010AC"/>
    <w:rsid w:val="00701138"/>
    <w:rsid w:val="00701182"/>
    <w:rsid w:val="0070119E"/>
    <w:rsid w:val="007011D0"/>
    <w:rsid w:val="00701223"/>
    <w:rsid w:val="00701261"/>
    <w:rsid w:val="00701266"/>
    <w:rsid w:val="0070126B"/>
    <w:rsid w:val="0070128C"/>
    <w:rsid w:val="00701339"/>
    <w:rsid w:val="00701394"/>
    <w:rsid w:val="00701473"/>
    <w:rsid w:val="00701474"/>
    <w:rsid w:val="00701482"/>
    <w:rsid w:val="0070149A"/>
    <w:rsid w:val="007014D9"/>
    <w:rsid w:val="007014F5"/>
    <w:rsid w:val="00701513"/>
    <w:rsid w:val="0070155F"/>
    <w:rsid w:val="00701596"/>
    <w:rsid w:val="0070160D"/>
    <w:rsid w:val="00701665"/>
    <w:rsid w:val="007016E5"/>
    <w:rsid w:val="00701767"/>
    <w:rsid w:val="007017F2"/>
    <w:rsid w:val="0070183B"/>
    <w:rsid w:val="007018AA"/>
    <w:rsid w:val="007018AF"/>
    <w:rsid w:val="007018DE"/>
    <w:rsid w:val="007018FF"/>
    <w:rsid w:val="0070192B"/>
    <w:rsid w:val="00701973"/>
    <w:rsid w:val="007019FE"/>
    <w:rsid w:val="00701A7B"/>
    <w:rsid w:val="00701A7C"/>
    <w:rsid w:val="00701A99"/>
    <w:rsid w:val="00701AD0"/>
    <w:rsid w:val="00701B81"/>
    <w:rsid w:val="00701C18"/>
    <w:rsid w:val="00701C45"/>
    <w:rsid w:val="00701D3B"/>
    <w:rsid w:val="00701D6D"/>
    <w:rsid w:val="00701D93"/>
    <w:rsid w:val="00701E66"/>
    <w:rsid w:val="00701E71"/>
    <w:rsid w:val="00701E88"/>
    <w:rsid w:val="00701FA6"/>
    <w:rsid w:val="00701FAE"/>
    <w:rsid w:val="00702017"/>
    <w:rsid w:val="00702097"/>
    <w:rsid w:val="007020F5"/>
    <w:rsid w:val="007021E2"/>
    <w:rsid w:val="007021F0"/>
    <w:rsid w:val="0070226B"/>
    <w:rsid w:val="00702307"/>
    <w:rsid w:val="007023B7"/>
    <w:rsid w:val="00702485"/>
    <w:rsid w:val="007024DF"/>
    <w:rsid w:val="007024F3"/>
    <w:rsid w:val="0070256E"/>
    <w:rsid w:val="007025C0"/>
    <w:rsid w:val="007025ED"/>
    <w:rsid w:val="0070263E"/>
    <w:rsid w:val="00702650"/>
    <w:rsid w:val="0070268E"/>
    <w:rsid w:val="007027AF"/>
    <w:rsid w:val="007027C8"/>
    <w:rsid w:val="007027EC"/>
    <w:rsid w:val="00702884"/>
    <w:rsid w:val="00702894"/>
    <w:rsid w:val="00702904"/>
    <w:rsid w:val="007029E7"/>
    <w:rsid w:val="00702B84"/>
    <w:rsid w:val="00702B8E"/>
    <w:rsid w:val="00702C82"/>
    <w:rsid w:val="00702D04"/>
    <w:rsid w:val="00702D27"/>
    <w:rsid w:val="00702E7C"/>
    <w:rsid w:val="00702F1D"/>
    <w:rsid w:val="00702F63"/>
    <w:rsid w:val="00702F82"/>
    <w:rsid w:val="00702F89"/>
    <w:rsid w:val="0070308E"/>
    <w:rsid w:val="007030B6"/>
    <w:rsid w:val="007030D8"/>
    <w:rsid w:val="007031AB"/>
    <w:rsid w:val="007031AF"/>
    <w:rsid w:val="00703223"/>
    <w:rsid w:val="0070322F"/>
    <w:rsid w:val="0070329D"/>
    <w:rsid w:val="007032F8"/>
    <w:rsid w:val="0070331E"/>
    <w:rsid w:val="0070337B"/>
    <w:rsid w:val="007033AF"/>
    <w:rsid w:val="007033CB"/>
    <w:rsid w:val="007033ED"/>
    <w:rsid w:val="00703436"/>
    <w:rsid w:val="00703440"/>
    <w:rsid w:val="007034C3"/>
    <w:rsid w:val="007034EA"/>
    <w:rsid w:val="00703505"/>
    <w:rsid w:val="00703522"/>
    <w:rsid w:val="0070359A"/>
    <w:rsid w:val="007036F6"/>
    <w:rsid w:val="0070375D"/>
    <w:rsid w:val="0070377F"/>
    <w:rsid w:val="007037C7"/>
    <w:rsid w:val="007037ED"/>
    <w:rsid w:val="0070380B"/>
    <w:rsid w:val="007038A5"/>
    <w:rsid w:val="007038B4"/>
    <w:rsid w:val="007038EA"/>
    <w:rsid w:val="0070391D"/>
    <w:rsid w:val="00703982"/>
    <w:rsid w:val="007039BC"/>
    <w:rsid w:val="007039F9"/>
    <w:rsid w:val="00703A09"/>
    <w:rsid w:val="00703A50"/>
    <w:rsid w:val="00703AE4"/>
    <w:rsid w:val="00703AE8"/>
    <w:rsid w:val="00703AF9"/>
    <w:rsid w:val="00703B7E"/>
    <w:rsid w:val="00703BC1"/>
    <w:rsid w:val="00703C55"/>
    <w:rsid w:val="00703C7D"/>
    <w:rsid w:val="00703DCE"/>
    <w:rsid w:val="00703E4A"/>
    <w:rsid w:val="00703EA3"/>
    <w:rsid w:val="00703F15"/>
    <w:rsid w:val="00703F4C"/>
    <w:rsid w:val="00703F53"/>
    <w:rsid w:val="00703FF2"/>
    <w:rsid w:val="00704037"/>
    <w:rsid w:val="00704067"/>
    <w:rsid w:val="007040AD"/>
    <w:rsid w:val="007040AE"/>
    <w:rsid w:val="00704117"/>
    <w:rsid w:val="0070417C"/>
    <w:rsid w:val="00704209"/>
    <w:rsid w:val="00704238"/>
    <w:rsid w:val="0070425F"/>
    <w:rsid w:val="00704263"/>
    <w:rsid w:val="0070432E"/>
    <w:rsid w:val="00704349"/>
    <w:rsid w:val="007043AF"/>
    <w:rsid w:val="007043C3"/>
    <w:rsid w:val="0070444C"/>
    <w:rsid w:val="00704579"/>
    <w:rsid w:val="0070458D"/>
    <w:rsid w:val="0070459C"/>
    <w:rsid w:val="007045DC"/>
    <w:rsid w:val="007045FA"/>
    <w:rsid w:val="00704614"/>
    <w:rsid w:val="00704664"/>
    <w:rsid w:val="007046D0"/>
    <w:rsid w:val="00704788"/>
    <w:rsid w:val="007048A8"/>
    <w:rsid w:val="00704920"/>
    <w:rsid w:val="00704944"/>
    <w:rsid w:val="00704986"/>
    <w:rsid w:val="007049C7"/>
    <w:rsid w:val="007049E0"/>
    <w:rsid w:val="007049E1"/>
    <w:rsid w:val="00704A10"/>
    <w:rsid w:val="00704A39"/>
    <w:rsid w:val="00704A3C"/>
    <w:rsid w:val="00704A4A"/>
    <w:rsid w:val="00704AD2"/>
    <w:rsid w:val="00704AED"/>
    <w:rsid w:val="00704B06"/>
    <w:rsid w:val="00704B3C"/>
    <w:rsid w:val="00704BF5"/>
    <w:rsid w:val="00704C6A"/>
    <w:rsid w:val="00704CDD"/>
    <w:rsid w:val="00704D81"/>
    <w:rsid w:val="00704DBB"/>
    <w:rsid w:val="00704DCE"/>
    <w:rsid w:val="00704DDE"/>
    <w:rsid w:val="00704EBA"/>
    <w:rsid w:val="00704F80"/>
    <w:rsid w:val="00704FA6"/>
    <w:rsid w:val="0070509B"/>
    <w:rsid w:val="007050DB"/>
    <w:rsid w:val="00705164"/>
    <w:rsid w:val="007051AD"/>
    <w:rsid w:val="007051CD"/>
    <w:rsid w:val="007051D0"/>
    <w:rsid w:val="007051E1"/>
    <w:rsid w:val="007051FD"/>
    <w:rsid w:val="007052D3"/>
    <w:rsid w:val="0070533E"/>
    <w:rsid w:val="00705346"/>
    <w:rsid w:val="00705451"/>
    <w:rsid w:val="00705476"/>
    <w:rsid w:val="0070554C"/>
    <w:rsid w:val="00705563"/>
    <w:rsid w:val="007055A4"/>
    <w:rsid w:val="007055A5"/>
    <w:rsid w:val="007055AE"/>
    <w:rsid w:val="007055E8"/>
    <w:rsid w:val="0070571E"/>
    <w:rsid w:val="0070576B"/>
    <w:rsid w:val="00705798"/>
    <w:rsid w:val="007057D5"/>
    <w:rsid w:val="007057FA"/>
    <w:rsid w:val="00705831"/>
    <w:rsid w:val="007058F9"/>
    <w:rsid w:val="0070597C"/>
    <w:rsid w:val="007059D0"/>
    <w:rsid w:val="00705A31"/>
    <w:rsid w:val="00705A8B"/>
    <w:rsid w:val="00705B10"/>
    <w:rsid w:val="00705B11"/>
    <w:rsid w:val="00705B3E"/>
    <w:rsid w:val="00705BED"/>
    <w:rsid w:val="00705C97"/>
    <w:rsid w:val="00705CAA"/>
    <w:rsid w:val="00705CF5"/>
    <w:rsid w:val="00705D33"/>
    <w:rsid w:val="00705D58"/>
    <w:rsid w:val="00705D69"/>
    <w:rsid w:val="00705D86"/>
    <w:rsid w:val="00705E0C"/>
    <w:rsid w:val="00705E70"/>
    <w:rsid w:val="00705ED3"/>
    <w:rsid w:val="00705F4E"/>
    <w:rsid w:val="0070600B"/>
    <w:rsid w:val="0070603E"/>
    <w:rsid w:val="007060E1"/>
    <w:rsid w:val="00706126"/>
    <w:rsid w:val="00706213"/>
    <w:rsid w:val="0070621E"/>
    <w:rsid w:val="00706321"/>
    <w:rsid w:val="00706323"/>
    <w:rsid w:val="00706379"/>
    <w:rsid w:val="007063BA"/>
    <w:rsid w:val="007063CA"/>
    <w:rsid w:val="007063F6"/>
    <w:rsid w:val="007064C2"/>
    <w:rsid w:val="0070661A"/>
    <w:rsid w:val="00706651"/>
    <w:rsid w:val="007067A8"/>
    <w:rsid w:val="007067AF"/>
    <w:rsid w:val="007067EA"/>
    <w:rsid w:val="00706838"/>
    <w:rsid w:val="0070683A"/>
    <w:rsid w:val="00706863"/>
    <w:rsid w:val="00706991"/>
    <w:rsid w:val="00706998"/>
    <w:rsid w:val="007069CA"/>
    <w:rsid w:val="00706AA0"/>
    <w:rsid w:val="00706B37"/>
    <w:rsid w:val="00706B3C"/>
    <w:rsid w:val="00706B53"/>
    <w:rsid w:val="00706B7B"/>
    <w:rsid w:val="00706BF7"/>
    <w:rsid w:val="00706C21"/>
    <w:rsid w:val="00706C33"/>
    <w:rsid w:val="00706C3C"/>
    <w:rsid w:val="00706C43"/>
    <w:rsid w:val="00706C65"/>
    <w:rsid w:val="00706C72"/>
    <w:rsid w:val="00706CDC"/>
    <w:rsid w:val="00706DB9"/>
    <w:rsid w:val="00706DCB"/>
    <w:rsid w:val="00706DF5"/>
    <w:rsid w:val="00706E0C"/>
    <w:rsid w:val="00706ED8"/>
    <w:rsid w:val="00706F04"/>
    <w:rsid w:val="00706FB2"/>
    <w:rsid w:val="00706FC1"/>
    <w:rsid w:val="00707082"/>
    <w:rsid w:val="007071A0"/>
    <w:rsid w:val="007072B5"/>
    <w:rsid w:val="0070740E"/>
    <w:rsid w:val="00707434"/>
    <w:rsid w:val="00707443"/>
    <w:rsid w:val="0070744B"/>
    <w:rsid w:val="0070747F"/>
    <w:rsid w:val="00707510"/>
    <w:rsid w:val="00707586"/>
    <w:rsid w:val="007076BE"/>
    <w:rsid w:val="007076E2"/>
    <w:rsid w:val="00707719"/>
    <w:rsid w:val="00707730"/>
    <w:rsid w:val="00707749"/>
    <w:rsid w:val="00707758"/>
    <w:rsid w:val="0070778B"/>
    <w:rsid w:val="00707854"/>
    <w:rsid w:val="00707896"/>
    <w:rsid w:val="007079E7"/>
    <w:rsid w:val="00707A5A"/>
    <w:rsid w:val="00707B63"/>
    <w:rsid w:val="00707B88"/>
    <w:rsid w:val="00707BD6"/>
    <w:rsid w:val="00707C39"/>
    <w:rsid w:val="00707CC7"/>
    <w:rsid w:val="00707CD5"/>
    <w:rsid w:val="00707CD9"/>
    <w:rsid w:val="00707CFD"/>
    <w:rsid w:val="00707D6F"/>
    <w:rsid w:val="00707E59"/>
    <w:rsid w:val="00707E95"/>
    <w:rsid w:val="00707F07"/>
    <w:rsid w:val="00707F7A"/>
    <w:rsid w:val="00707F7B"/>
    <w:rsid w:val="00707FCB"/>
    <w:rsid w:val="00710027"/>
    <w:rsid w:val="00710043"/>
    <w:rsid w:val="00710065"/>
    <w:rsid w:val="0071006F"/>
    <w:rsid w:val="007100A6"/>
    <w:rsid w:val="00710176"/>
    <w:rsid w:val="00710182"/>
    <w:rsid w:val="007101A0"/>
    <w:rsid w:val="007101B3"/>
    <w:rsid w:val="00710359"/>
    <w:rsid w:val="00710378"/>
    <w:rsid w:val="007103AF"/>
    <w:rsid w:val="007103E6"/>
    <w:rsid w:val="00710444"/>
    <w:rsid w:val="007104E6"/>
    <w:rsid w:val="0071052D"/>
    <w:rsid w:val="0071060D"/>
    <w:rsid w:val="00710629"/>
    <w:rsid w:val="00710666"/>
    <w:rsid w:val="00710700"/>
    <w:rsid w:val="00710806"/>
    <w:rsid w:val="0071084D"/>
    <w:rsid w:val="007108A3"/>
    <w:rsid w:val="007108A9"/>
    <w:rsid w:val="007108B4"/>
    <w:rsid w:val="007108EF"/>
    <w:rsid w:val="00710985"/>
    <w:rsid w:val="007109BF"/>
    <w:rsid w:val="007109FF"/>
    <w:rsid w:val="00710A08"/>
    <w:rsid w:val="00710B35"/>
    <w:rsid w:val="00710B3F"/>
    <w:rsid w:val="00710B4D"/>
    <w:rsid w:val="00710B6F"/>
    <w:rsid w:val="00710BB1"/>
    <w:rsid w:val="00710BF1"/>
    <w:rsid w:val="00710BFB"/>
    <w:rsid w:val="00710C1A"/>
    <w:rsid w:val="00710C38"/>
    <w:rsid w:val="00710C9B"/>
    <w:rsid w:val="00710CBF"/>
    <w:rsid w:val="00710CCF"/>
    <w:rsid w:val="00710D28"/>
    <w:rsid w:val="00710D65"/>
    <w:rsid w:val="00710DB9"/>
    <w:rsid w:val="00710DCA"/>
    <w:rsid w:val="00710E83"/>
    <w:rsid w:val="00710E97"/>
    <w:rsid w:val="00710EAD"/>
    <w:rsid w:val="00710EDD"/>
    <w:rsid w:val="00710EFD"/>
    <w:rsid w:val="00710F64"/>
    <w:rsid w:val="00710FAE"/>
    <w:rsid w:val="00710FF2"/>
    <w:rsid w:val="00711029"/>
    <w:rsid w:val="0071106C"/>
    <w:rsid w:val="007110D9"/>
    <w:rsid w:val="0071114A"/>
    <w:rsid w:val="00711169"/>
    <w:rsid w:val="0071117F"/>
    <w:rsid w:val="007111A5"/>
    <w:rsid w:val="007111CB"/>
    <w:rsid w:val="00711221"/>
    <w:rsid w:val="00711253"/>
    <w:rsid w:val="00711298"/>
    <w:rsid w:val="007112DD"/>
    <w:rsid w:val="00711323"/>
    <w:rsid w:val="00711342"/>
    <w:rsid w:val="007113EC"/>
    <w:rsid w:val="00711405"/>
    <w:rsid w:val="00711444"/>
    <w:rsid w:val="007114B7"/>
    <w:rsid w:val="0071151B"/>
    <w:rsid w:val="0071151E"/>
    <w:rsid w:val="00711564"/>
    <w:rsid w:val="00711603"/>
    <w:rsid w:val="00711647"/>
    <w:rsid w:val="007116CF"/>
    <w:rsid w:val="00711887"/>
    <w:rsid w:val="0071188D"/>
    <w:rsid w:val="00711AB7"/>
    <w:rsid w:val="00711B11"/>
    <w:rsid w:val="00711B14"/>
    <w:rsid w:val="00711B81"/>
    <w:rsid w:val="00711BC3"/>
    <w:rsid w:val="00711C44"/>
    <w:rsid w:val="00711C5E"/>
    <w:rsid w:val="00711CCD"/>
    <w:rsid w:val="00711CD5"/>
    <w:rsid w:val="00711CF7"/>
    <w:rsid w:val="00711D1F"/>
    <w:rsid w:val="00711D22"/>
    <w:rsid w:val="00711D2C"/>
    <w:rsid w:val="00711D5D"/>
    <w:rsid w:val="00711E6D"/>
    <w:rsid w:val="00711EF0"/>
    <w:rsid w:val="00711F94"/>
    <w:rsid w:val="007120B8"/>
    <w:rsid w:val="007120D3"/>
    <w:rsid w:val="007120E3"/>
    <w:rsid w:val="00712167"/>
    <w:rsid w:val="007122EA"/>
    <w:rsid w:val="007122ED"/>
    <w:rsid w:val="00712301"/>
    <w:rsid w:val="007124EA"/>
    <w:rsid w:val="00712592"/>
    <w:rsid w:val="007125F3"/>
    <w:rsid w:val="00712607"/>
    <w:rsid w:val="0071269C"/>
    <w:rsid w:val="007126F7"/>
    <w:rsid w:val="007127B1"/>
    <w:rsid w:val="007127B8"/>
    <w:rsid w:val="007128DB"/>
    <w:rsid w:val="0071292D"/>
    <w:rsid w:val="00712A0C"/>
    <w:rsid w:val="00712AE7"/>
    <w:rsid w:val="00712B46"/>
    <w:rsid w:val="00712B54"/>
    <w:rsid w:val="00712B57"/>
    <w:rsid w:val="00712B5D"/>
    <w:rsid w:val="00712BBB"/>
    <w:rsid w:val="00712C14"/>
    <w:rsid w:val="00712C56"/>
    <w:rsid w:val="00712CD4"/>
    <w:rsid w:val="00712CDA"/>
    <w:rsid w:val="00712CF1"/>
    <w:rsid w:val="00712D61"/>
    <w:rsid w:val="00712DA1"/>
    <w:rsid w:val="00712DC3"/>
    <w:rsid w:val="00712E63"/>
    <w:rsid w:val="00712E75"/>
    <w:rsid w:val="00712EA7"/>
    <w:rsid w:val="00712FA0"/>
    <w:rsid w:val="00713008"/>
    <w:rsid w:val="007130D5"/>
    <w:rsid w:val="00713149"/>
    <w:rsid w:val="007132AA"/>
    <w:rsid w:val="0071336D"/>
    <w:rsid w:val="007133F7"/>
    <w:rsid w:val="00713420"/>
    <w:rsid w:val="0071342E"/>
    <w:rsid w:val="00713554"/>
    <w:rsid w:val="007135AE"/>
    <w:rsid w:val="007135D4"/>
    <w:rsid w:val="007135F4"/>
    <w:rsid w:val="0071363F"/>
    <w:rsid w:val="00713691"/>
    <w:rsid w:val="007136C8"/>
    <w:rsid w:val="007136CF"/>
    <w:rsid w:val="007136E3"/>
    <w:rsid w:val="0071370D"/>
    <w:rsid w:val="0071374E"/>
    <w:rsid w:val="0071378A"/>
    <w:rsid w:val="007137B6"/>
    <w:rsid w:val="0071388A"/>
    <w:rsid w:val="0071393F"/>
    <w:rsid w:val="007139BA"/>
    <w:rsid w:val="007139D1"/>
    <w:rsid w:val="00713A02"/>
    <w:rsid w:val="00713A7B"/>
    <w:rsid w:val="00713AF5"/>
    <w:rsid w:val="00713B34"/>
    <w:rsid w:val="00713BBA"/>
    <w:rsid w:val="00713C44"/>
    <w:rsid w:val="00713C45"/>
    <w:rsid w:val="00713C82"/>
    <w:rsid w:val="00713D22"/>
    <w:rsid w:val="00713D76"/>
    <w:rsid w:val="00713D9C"/>
    <w:rsid w:val="00713ECA"/>
    <w:rsid w:val="00713ED1"/>
    <w:rsid w:val="00713EF3"/>
    <w:rsid w:val="00713EFC"/>
    <w:rsid w:val="00713F41"/>
    <w:rsid w:val="00713F72"/>
    <w:rsid w:val="00713FB2"/>
    <w:rsid w:val="007140DE"/>
    <w:rsid w:val="0071417B"/>
    <w:rsid w:val="007141AA"/>
    <w:rsid w:val="007141DB"/>
    <w:rsid w:val="007141F3"/>
    <w:rsid w:val="00714284"/>
    <w:rsid w:val="00714321"/>
    <w:rsid w:val="00714335"/>
    <w:rsid w:val="00714339"/>
    <w:rsid w:val="0071446A"/>
    <w:rsid w:val="007144CA"/>
    <w:rsid w:val="007144EB"/>
    <w:rsid w:val="0071453C"/>
    <w:rsid w:val="0071453E"/>
    <w:rsid w:val="00714558"/>
    <w:rsid w:val="0071457F"/>
    <w:rsid w:val="007145A5"/>
    <w:rsid w:val="00714612"/>
    <w:rsid w:val="007146C9"/>
    <w:rsid w:val="00714708"/>
    <w:rsid w:val="007148BF"/>
    <w:rsid w:val="007148C3"/>
    <w:rsid w:val="007148F7"/>
    <w:rsid w:val="00714966"/>
    <w:rsid w:val="00714A1F"/>
    <w:rsid w:val="00714A88"/>
    <w:rsid w:val="00714A95"/>
    <w:rsid w:val="00714AC3"/>
    <w:rsid w:val="00714AD3"/>
    <w:rsid w:val="00714B19"/>
    <w:rsid w:val="00714B3E"/>
    <w:rsid w:val="00714C83"/>
    <w:rsid w:val="00714CEC"/>
    <w:rsid w:val="00714CEF"/>
    <w:rsid w:val="00714DC1"/>
    <w:rsid w:val="00714DEB"/>
    <w:rsid w:val="00714DF3"/>
    <w:rsid w:val="00714E01"/>
    <w:rsid w:val="00714E2E"/>
    <w:rsid w:val="00714E76"/>
    <w:rsid w:val="00714E7F"/>
    <w:rsid w:val="00714ED2"/>
    <w:rsid w:val="00714F04"/>
    <w:rsid w:val="00714F17"/>
    <w:rsid w:val="00714F7E"/>
    <w:rsid w:val="00714FAF"/>
    <w:rsid w:val="00714FF2"/>
    <w:rsid w:val="00715004"/>
    <w:rsid w:val="007150E3"/>
    <w:rsid w:val="007151C5"/>
    <w:rsid w:val="00715288"/>
    <w:rsid w:val="0071529A"/>
    <w:rsid w:val="007152B9"/>
    <w:rsid w:val="007152FD"/>
    <w:rsid w:val="0071536F"/>
    <w:rsid w:val="00715395"/>
    <w:rsid w:val="00715460"/>
    <w:rsid w:val="007154E1"/>
    <w:rsid w:val="00715543"/>
    <w:rsid w:val="00715581"/>
    <w:rsid w:val="0071559B"/>
    <w:rsid w:val="007156F2"/>
    <w:rsid w:val="007156FE"/>
    <w:rsid w:val="00715887"/>
    <w:rsid w:val="007159F0"/>
    <w:rsid w:val="00715B30"/>
    <w:rsid w:val="00715B41"/>
    <w:rsid w:val="00715B52"/>
    <w:rsid w:val="00715B7E"/>
    <w:rsid w:val="00715BB6"/>
    <w:rsid w:val="00715C2B"/>
    <w:rsid w:val="00715D1D"/>
    <w:rsid w:val="00715D46"/>
    <w:rsid w:val="00715DD3"/>
    <w:rsid w:val="00715F0C"/>
    <w:rsid w:val="00715FED"/>
    <w:rsid w:val="00716043"/>
    <w:rsid w:val="00716067"/>
    <w:rsid w:val="0071608B"/>
    <w:rsid w:val="007160BC"/>
    <w:rsid w:val="007160E7"/>
    <w:rsid w:val="00716102"/>
    <w:rsid w:val="007161B5"/>
    <w:rsid w:val="007161BB"/>
    <w:rsid w:val="007161F0"/>
    <w:rsid w:val="00716298"/>
    <w:rsid w:val="007162A6"/>
    <w:rsid w:val="007162FB"/>
    <w:rsid w:val="00716353"/>
    <w:rsid w:val="007163D1"/>
    <w:rsid w:val="0071650F"/>
    <w:rsid w:val="0071652E"/>
    <w:rsid w:val="0071655C"/>
    <w:rsid w:val="007165A4"/>
    <w:rsid w:val="007165E0"/>
    <w:rsid w:val="007165F3"/>
    <w:rsid w:val="00716644"/>
    <w:rsid w:val="00716692"/>
    <w:rsid w:val="0071671D"/>
    <w:rsid w:val="00716750"/>
    <w:rsid w:val="00716789"/>
    <w:rsid w:val="007167CF"/>
    <w:rsid w:val="00716831"/>
    <w:rsid w:val="0071684D"/>
    <w:rsid w:val="00716868"/>
    <w:rsid w:val="0071686B"/>
    <w:rsid w:val="0071687B"/>
    <w:rsid w:val="007168CA"/>
    <w:rsid w:val="00716914"/>
    <w:rsid w:val="00716934"/>
    <w:rsid w:val="00716958"/>
    <w:rsid w:val="00716962"/>
    <w:rsid w:val="00716A2B"/>
    <w:rsid w:val="00716A9B"/>
    <w:rsid w:val="00716AD3"/>
    <w:rsid w:val="00716B20"/>
    <w:rsid w:val="00716C04"/>
    <w:rsid w:val="00716C50"/>
    <w:rsid w:val="00716C87"/>
    <w:rsid w:val="00716CF5"/>
    <w:rsid w:val="00716D8A"/>
    <w:rsid w:val="00716E1D"/>
    <w:rsid w:val="00716E9E"/>
    <w:rsid w:val="00716EED"/>
    <w:rsid w:val="00716F4C"/>
    <w:rsid w:val="00716FA4"/>
    <w:rsid w:val="00716FC6"/>
    <w:rsid w:val="0071700A"/>
    <w:rsid w:val="007170E6"/>
    <w:rsid w:val="00717151"/>
    <w:rsid w:val="007171FE"/>
    <w:rsid w:val="00717218"/>
    <w:rsid w:val="0071725E"/>
    <w:rsid w:val="007172A4"/>
    <w:rsid w:val="00717373"/>
    <w:rsid w:val="007173AB"/>
    <w:rsid w:val="007173CC"/>
    <w:rsid w:val="007173E1"/>
    <w:rsid w:val="0071752E"/>
    <w:rsid w:val="00717547"/>
    <w:rsid w:val="00717562"/>
    <w:rsid w:val="00717641"/>
    <w:rsid w:val="00717688"/>
    <w:rsid w:val="007176E6"/>
    <w:rsid w:val="0071787C"/>
    <w:rsid w:val="007178FE"/>
    <w:rsid w:val="00717931"/>
    <w:rsid w:val="0071797D"/>
    <w:rsid w:val="00717A52"/>
    <w:rsid w:val="00717A61"/>
    <w:rsid w:val="00717AAA"/>
    <w:rsid w:val="00717ACC"/>
    <w:rsid w:val="00717AE2"/>
    <w:rsid w:val="00717B1F"/>
    <w:rsid w:val="00717BB8"/>
    <w:rsid w:val="00717BE3"/>
    <w:rsid w:val="00717BF2"/>
    <w:rsid w:val="00717C1B"/>
    <w:rsid w:val="00717C84"/>
    <w:rsid w:val="00717C8C"/>
    <w:rsid w:val="00717CCB"/>
    <w:rsid w:val="00717D5C"/>
    <w:rsid w:val="00717D87"/>
    <w:rsid w:val="00717DB4"/>
    <w:rsid w:val="00717DB6"/>
    <w:rsid w:val="00717DD0"/>
    <w:rsid w:val="00717E0E"/>
    <w:rsid w:val="00717EDB"/>
    <w:rsid w:val="00717F8E"/>
    <w:rsid w:val="00717FA8"/>
    <w:rsid w:val="00717FE1"/>
    <w:rsid w:val="00720023"/>
    <w:rsid w:val="0072006D"/>
    <w:rsid w:val="007200F6"/>
    <w:rsid w:val="00720160"/>
    <w:rsid w:val="007201CF"/>
    <w:rsid w:val="00720284"/>
    <w:rsid w:val="00720292"/>
    <w:rsid w:val="007202B6"/>
    <w:rsid w:val="0072036A"/>
    <w:rsid w:val="0072038A"/>
    <w:rsid w:val="007203C9"/>
    <w:rsid w:val="0072043D"/>
    <w:rsid w:val="00720480"/>
    <w:rsid w:val="007204ED"/>
    <w:rsid w:val="007204FE"/>
    <w:rsid w:val="007205D5"/>
    <w:rsid w:val="00720712"/>
    <w:rsid w:val="007207B4"/>
    <w:rsid w:val="007208D0"/>
    <w:rsid w:val="00720916"/>
    <w:rsid w:val="0072093C"/>
    <w:rsid w:val="007209AC"/>
    <w:rsid w:val="00720A27"/>
    <w:rsid w:val="00720B26"/>
    <w:rsid w:val="00720B33"/>
    <w:rsid w:val="00720B96"/>
    <w:rsid w:val="00720BA5"/>
    <w:rsid w:val="00720C01"/>
    <w:rsid w:val="00720C13"/>
    <w:rsid w:val="00720C69"/>
    <w:rsid w:val="00720E5B"/>
    <w:rsid w:val="00720E6F"/>
    <w:rsid w:val="00720EB9"/>
    <w:rsid w:val="00720F6F"/>
    <w:rsid w:val="00720F7D"/>
    <w:rsid w:val="00721113"/>
    <w:rsid w:val="0072129B"/>
    <w:rsid w:val="0072129E"/>
    <w:rsid w:val="007212D7"/>
    <w:rsid w:val="007212F5"/>
    <w:rsid w:val="00721344"/>
    <w:rsid w:val="0072135A"/>
    <w:rsid w:val="00721361"/>
    <w:rsid w:val="00721371"/>
    <w:rsid w:val="00721377"/>
    <w:rsid w:val="0072137C"/>
    <w:rsid w:val="00721399"/>
    <w:rsid w:val="007213E3"/>
    <w:rsid w:val="007213FF"/>
    <w:rsid w:val="007214C1"/>
    <w:rsid w:val="00721699"/>
    <w:rsid w:val="00721747"/>
    <w:rsid w:val="00721752"/>
    <w:rsid w:val="007217B7"/>
    <w:rsid w:val="0072188F"/>
    <w:rsid w:val="007218C3"/>
    <w:rsid w:val="007219C1"/>
    <w:rsid w:val="007219D8"/>
    <w:rsid w:val="00721A15"/>
    <w:rsid w:val="00721A2D"/>
    <w:rsid w:val="00721A86"/>
    <w:rsid w:val="00721AE1"/>
    <w:rsid w:val="00721AFE"/>
    <w:rsid w:val="00721B2A"/>
    <w:rsid w:val="00721B52"/>
    <w:rsid w:val="00721B53"/>
    <w:rsid w:val="00721B99"/>
    <w:rsid w:val="00721BBC"/>
    <w:rsid w:val="00721BEA"/>
    <w:rsid w:val="00721CB0"/>
    <w:rsid w:val="00721D3B"/>
    <w:rsid w:val="00721DEA"/>
    <w:rsid w:val="00721E47"/>
    <w:rsid w:val="00721E4C"/>
    <w:rsid w:val="00721E59"/>
    <w:rsid w:val="00721F78"/>
    <w:rsid w:val="00722001"/>
    <w:rsid w:val="007220AB"/>
    <w:rsid w:val="007220DC"/>
    <w:rsid w:val="007220DF"/>
    <w:rsid w:val="00722164"/>
    <w:rsid w:val="00722192"/>
    <w:rsid w:val="007221B3"/>
    <w:rsid w:val="00722212"/>
    <w:rsid w:val="0072221C"/>
    <w:rsid w:val="0072225A"/>
    <w:rsid w:val="0072235D"/>
    <w:rsid w:val="007223C2"/>
    <w:rsid w:val="007223CA"/>
    <w:rsid w:val="007223E3"/>
    <w:rsid w:val="007223F8"/>
    <w:rsid w:val="0072240D"/>
    <w:rsid w:val="0072247E"/>
    <w:rsid w:val="0072249D"/>
    <w:rsid w:val="00722545"/>
    <w:rsid w:val="007225D5"/>
    <w:rsid w:val="00722626"/>
    <w:rsid w:val="0072274B"/>
    <w:rsid w:val="00722854"/>
    <w:rsid w:val="0072293F"/>
    <w:rsid w:val="0072298E"/>
    <w:rsid w:val="007229D1"/>
    <w:rsid w:val="00722A4A"/>
    <w:rsid w:val="00722A8E"/>
    <w:rsid w:val="00722AA2"/>
    <w:rsid w:val="00722B95"/>
    <w:rsid w:val="00722BA3"/>
    <w:rsid w:val="00722CA7"/>
    <w:rsid w:val="00722CC3"/>
    <w:rsid w:val="00722CF9"/>
    <w:rsid w:val="00722D22"/>
    <w:rsid w:val="00722DFD"/>
    <w:rsid w:val="00722E0E"/>
    <w:rsid w:val="00722E5D"/>
    <w:rsid w:val="00722F3F"/>
    <w:rsid w:val="00722F66"/>
    <w:rsid w:val="00722F7D"/>
    <w:rsid w:val="00722F9F"/>
    <w:rsid w:val="00723058"/>
    <w:rsid w:val="00723072"/>
    <w:rsid w:val="0072307F"/>
    <w:rsid w:val="007230DB"/>
    <w:rsid w:val="007231A9"/>
    <w:rsid w:val="0072320E"/>
    <w:rsid w:val="0072326D"/>
    <w:rsid w:val="00723276"/>
    <w:rsid w:val="0072327B"/>
    <w:rsid w:val="007232B7"/>
    <w:rsid w:val="0072331E"/>
    <w:rsid w:val="0072332C"/>
    <w:rsid w:val="00723336"/>
    <w:rsid w:val="00723386"/>
    <w:rsid w:val="00723397"/>
    <w:rsid w:val="007233AA"/>
    <w:rsid w:val="007233AF"/>
    <w:rsid w:val="00723428"/>
    <w:rsid w:val="007234AA"/>
    <w:rsid w:val="007234AD"/>
    <w:rsid w:val="007234C4"/>
    <w:rsid w:val="007234DA"/>
    <w:rsid w:val="00723581"/>
    <w:rsid w:val="00723596"/>
    <w:rsid w:val="007235C5"/>
    <w:rsid w:val="0072362E"/>
    <w:rsid w:val="0072363B"/>
    <w:rsid w:val="007236E2"/>
    <w:rsid w:val="00723700"/>
    <w:rsid w:val="0072373E"/>
    <w:rsid w:val="00723770"/>
    <w:rsid w:val="0072382C"/>
    <w:rsid w:val="00723861"/>
    <w:rsid w:val="0072386D"/>
    <w:rsid w:val="007238BE"/>
    <w:rsid w:val="0072393F"/>
    <w:rsid w:val="0072395D"/>
    <w:rsid w:val="007239F6"/>
    <w:rsid w:val="007239F9"/>
    <w:rsid w:val="00723A3B"/>
    <w:rsid w:val="00723A61"/>
    <w:rsid w:val="00723AC4"/>
    <w:rsid w:val="00723B9B"/>
    <w:rsid w:val="00723C4F"/>
    <w:rsid w:val="00723C8C"/>
    <w:rsid w:val="00723CE3"/>
    <w:rsid w:val="00723D11"/>
    <w:rsid w:val="00723D45"/>
    <w:rsid w:val="00723DD9"/>
    <w:rsid w:val="00723DFA"/>
    <w:rsid w:val="00723E1B"/>
    <w:rsid w:val="00723E1F"/>
    <w:rsid w:val="00723E22"/>
    <w:rsid w:val="00723E34"/>
    <w:rsid w:val="00723E3A"/>
    <w:rsid w:val="00723EF7"/>
    <w:rsid w:val="00723F23"/>
    <w:rsid w:val="00723F27"/>
    <w:rsid w:val="00723F2C"/>
    <w:rsid w:val="00724067"/>
    <w:rsid w:val="00724095"/>
    <w:rsid w:val="00724114"/>
    <w:rsid w:val="0072413E"/>
    <w:rsid w:val="007241A4"/>
    <w:rsid w:val="007241E9"/>
    <w:rsid w:val="00724261"/>
    <w:rsid w:val="00724274"/>
    <w:rsid w:val="0072427E"/>
    <w:rsid w:val="007242AC"/>
    <w:rsid w:val="007242BD"/>
    <w:rsid w:val="00724315"/>
    <w:rsid w:val="0072433C"/>
    <w:rsid w:val="00724391"/>
    <w:rsid w:val="007243EA"/>
    <w:rsid w:val="00724472"/>
    <w:rsid w:val="00724510"/>
    <w:rsid w:val="00724552"/>
    <w:rsid w:val="007245FE"/>
    <w:rsid w:val="00724634"/>
    <w:rsid w:val="00724655"/>
    <w:rsid w:val="00724660"/>
    <w:rsid w:val="007246F4"/>
    <w:rsid w:val="00724730"/>
    <w:rsid w:val="00724881"/>
    <w:rsid w:val="00724888"/>
    <w:rsid w:val="00724896"/>
    <w:rsid w:val="007248B8"/>
    <w:rsid w:val="007248C7"/>
    <w:rsid w:val="0072495E"/>
    <w:rsid w:val="00724A6A"/>
    <w:rsid w:val="00724AFB"/>
    <w:rsid w:val="00724BB5"/>
    <w:rsid w:val="00724C1C"/>
    <w:rsid w:val="00724CDB"/>
    <w:rsid w:val="00724DAD"/>
    <w:rsid w:val="00724DC2"/>
    <w:rsid w:val="00724DEB"/>
    <w:rsid w:val="00724E03"/>
    <w:rsid w:val="00724E72"/>
    <w:rsid w:val="00724FDE"/>
    <w:rsid w:val="0072500D"/>
    <w:rsid w:val="00725010"/>
    <w:rsid w:val="00725051"/>
    <w:rsid w:val="00725136"/>
    <w:rsid w:val="00725150"/>
    <w:rsid w:val="00725199"/>
    <w:rsid w:val="007251B5"/>
    <w:rsid w:val="0072521B"/>
    <w:rsid w:val="00725254"/>
    <w:rsid w:val="0072531B"/>
    <w:rsid w:val="0072533B"/>
    <w:rsid w:val="00725365"/>
    <w:rsid w:val="007253AC"/>
    <w:rsid w:val="007253BC"/>
    <w:rsid w:val="0072549B"/>
    <w:rsid w:val="00725509"/>
    <w:rsid w:val="0072552A"/>
    <w:rsid w:val="0072564B"/>
    <w:rsid w:val="00725663"/>
    <w:rsid w:val="00725707"/>
    <w:rsid w:val="00725748"/>
    <w:rsid w:val="00725784"/>
    <w:rsid w:val="007257EA"/>
    <w:rsid w:val="0072583E"/>
    <w:rsid w:val="0072584E"/>
    <w:rsid w:val="00725879"/>
    <w:rsid w:val="00725983"/>
    <w:rsid w:val="00725984"/>
    <w:rsid w:val="007259AD"/>
    <w:rsid w:val="007259BF"/>
    <w:rsid w:val="00725A3E"/>
    <w:rsid w:val="00725AF1"/>
    <w:rsid w:val="00725B43"/>
    <w:rsid w:val="00725B48"/>
    <w:rsid w:val="00725B85"/>
    <w:rsid w:val="00725B94"/>
    <w:rsid w:val="00725C8A"/>
    <w:rsid w:val="00725D38"/>
    <w:rsid w:val="00725D63"/>
    <w:rsid w:val="00725E39"/>
    <w:rsid w:val="00725E73"/>
    <w:rsid w:val="00725EB6"/>
    <w:rsid w:val="00725F4D"/>
    <w:rsid w:val="00725F53"/>
    <w:rsid w:val="00725FE0"/>
    <w:rsid w:val="00725FEE"/>
    <w:rsid w:val="0072613D"/>
    <w:rsid w:val="007261BA"/>
    <w:rsid w:val="007261D3"/>
    <w:rsid w:val="007261D8"/>
    <w:rsid w:val="00726270"/>
    <w:rsid w:val="007262CD"/>
    <w:rsid w:val="007262F6"/>
    <w:rsid w:val="00726325"/>
    <w:rsid w:val="0072634E"/>
    <w:rsid w:val="007263C1"/>
    <w:rsid w:val="00726417"/>
    <w:rsid w:val="00726422"/>
    <w:rsid w:val="0072652C"/>
    <w:rsid w:val="007265B4"/>
    <w:rsid w:val="007266C1"/>
    <w:rsid w:val="007267B4"/>
    <w:rsid w:val="00726801"/>
    <w:rsid w:val="0072689A"/>
    <w:rsid w:val="007268C7"/>
    <w:rsid w:val="007268E0"/>
    <w:rsid w:val="00726955"/>
    <w:rsid w:val="00726971"/>
    <w:rsid w:val="007269B2"/>
    <w:rsid w:val="007269BD"/>
    <w:rsid w:val="007269D9"/>
    <w:rsid w:val="00726B13"/>
    <w:rsid w:val="00726C32"/>
    <w:rsid w:val="00726CA8"/>
    <w:rsid w:val="00726D22"/>
    <w:rsid w:val="00726D26"/>
    <w:rsid w:val="00726F3E"/>
    <w:rsid w:val="00726F42"/>
    <w:rsid w:val="00727038"/>
    <w:rsid w:val="00727071"/>
    <w:rsid w:val="007270A0"/>
    <w:rsid w:val="007270E3"/>
    <w:rsid w:val="00727123"/>
    <w:rsid w:val="0072714A"/>
    <w:rsid w:val="00727172"/>
    <w:rsid w:val="007271A1"/>
    <w:rsid w:val="007271B4"/>
    <w:rsid w:val="00727252"/>
    <w:rsid w:val="0072727A"/>
    <w:rsid w:val="007272BB"/>
    <w:rsid w:val="007272E6"/>
    <w:rsid w:val="00727305"/>
    <w:rsid w:val="0072732C"/>
    <w:rsid w:val="00727410"/>
    <w:rsid w:val="007274F4"/>
    <w:rsid w:val="00727556"/>
    <w:rsid w:val="00727566"/>
    <w:rsid w:val="00727584"/>
    <w:rsid w:val="007275AD"/>
    <w:rsid w:val="007275DC"/>
    <w:rsid w:val="0072760D"/>
    <w:rsid w:val="00727638"/>
    <w:rsid w:val="0072769F"/>
    <w:rsid w:val="00727741"/>
    <w:rsid w:val="007277C2"/>
    <w:rsid w:val="007277CB"/>
    <w:rsid w:val="00727911"/>
    <w:rsid w:val="00727A2D"/>
    <w:rsid w:val="00727A5B"/>
    <w:rsid w:val="00727AF3"/>
    <w:rsid w:val="00727B00"/>
    <w:rsid w:val="00727B89"/>
    <w:rsid w:val="00727D02"/>
    <w:rsid w:val="00727D56"/>
    <w:rsid w:val="00727D61"/>
    <w:rsid w:val="00727D88"/>
    <w:rsid w:val="00727DF0"/>
    <w:rsid w:val="00727E12"/>
    <w:rsid w:val="00727E26"/>
    <w:rsid w:val="00727E72"/>
    <w:rsid w:val="00727EB9"/>
    <w:rsid w:val="00727EF1"/>
    <w:rsid w:val="00727F42"/>
    <w:rsid w:val="00727FDD"/>
    <w:rsid w:val="007300A5"/>
    <w:rsid w:val="0073012C"/>
    <w:rsid w:val="007301B8"/>
    <w:rsid w:val="00730267"/>
    <w:rsid w:val="0073027E"/>
    <w:rsid w:val="007303CB"/>
    <w:rsid w:val="00730481"/>
    <w:rsid w:val="007304B5"/>
    <w:rsid w:val="0073059A"/>
    <w:rsid w:val="007305BB"/>
    <w:rsid w:val="0073065E"/>
    <w:rsid w:val="007306B1"/>
    <w:rsid w:val="0073070E"/>
    <w:rsid w:val="007307A0"/>
    <w:rsid w:val="007307BF"/>
    <w:rsid w:val="007307C6"/>
    <w:rsid w:val="007307EC"/>
    <w:rsid w:val="007308F7"/>
    <w:rsid w:val="007308FF"/>
    <w:rsid w:val="00730907"/>
    <w:rsid w:val="00730A1D"/>
    <w:rsid w:val="00730AB6"/>
    <w:rsid w:val="00730B48"/>
    <w:rsid w:val="00730BC6"/>
    <w:rsid w:val="00730BC7"/>
    <w:rsid w:val="00730C45"/>
    <w:rsid w:val="00730CFA"/>
    <w:rsid w:val="00730DA2"/>
    <w:rsid w:val="00730E12"/>
    <w:rsid w:val="00730E91"/>
    <w:rsid w:val="00730E9E"/>
    <w:rsid w:val="00730EC8"/>
    <w:rsid w:val="00730F77"/>
    <w:rsid w:val="00730FE3"/>
    <w:rsid w:val="00731091"/>
    <w:rsid w:val="007310E7"/>
    <w:rsid w:val="00731137"/>
    <w:rsid w:val="00731147"/>
    <w:rsid w:val="0073117C"/>
    <w:rsid w:val="0073126C"/>
    <w:rsid w:val="007312C2"/>
    <w:rsid w:val="007312E0"/>
    <w:rsid w:val="007312FA"/>
    <w:rsid w:val="007313EA"/>
    <w:rsid w:val="0073140D"/>
    <w:rsid w:val="00731434"/>
    <w:rsid w:val="00731457"/>
    <w:rsid w:val="00731493"/>
    <w:rsid w:val="00731495"/>
    <w:rsid w:val="00731556"/>
    <w:rsid w:val="0073167C"/>
    <w:rsid w:val="007316C6"/>
    <w:rsid w:val="007316E1"/>
    <w:rsid w:val="007316F1"/>
    <w:rsid w:val="0073171B"/>
    <w:rsid w:val="007317F7"/>
    <w:rsid w:val="007318A4"/>
    <w:rsid w:val="00731905"/>
    <w:rsid w:val="00731994"/>
    <w:rsid w:val="00731A0C"/>
    <w:rsid w:val="00731A96"/>
    <w:rsid w:val="00731BA4"/>
    <w:rsid w:val="00731C0F"/>
    <w:rsid w:val="00731CD1"/>
    <w:rsid w:val="00731D04"/>
    <w:rsid w:val="00731D0B"/>
    <w:rsid w:val="00731DA1"/>
    <w:rsid w:val="00731DB3"/>
    <w:rsid w:val="00731E4A"/>
    <w:rsid w:val="00731E54"/>
    <w:rsid w:val="00731F2B"/>
    <w:rsid w:val="00731F2C"/>
    <w:rsid w:val="0073200A"/>
    <w:rsid w:val="00732048"/>
    <w:rsid w:val="0073205C"/>
    <w:rsid w:val="007320CD"/>
    <w:rsid w:val="00732114"/>
    <w:rsid w:val="00732180"/>
    <w:rsid w:val="007321B4"/>
    <w:rsid w:val="007322C0"/>
    <w:rsid w:val="00732315"/>
    <w:rsid w:val="0073243E"/>
    <w:rsid w:val="00732457"/>
    <w:rsid w:val="0073246C"/>
    <w:rsid w:val="00732506"/>
    <w:rsid w:val="00732536"/>
    <w:rsid w:val="0073257F"/>
    <w:rsid w:val="00732596"/>
    <w:rsid w:val="007325C6"/>
    <w:rsid w:val="007325D8"/>
    <w:rsid w:val="007325FD"/>
    <w:rsid w:val="00732605"/>
    <w:rsid w:val="00732629"/>
    <w:rsid w:val="0073263A"/>
    <w:rsid w:val="00732673"/>
    <w:rsid w:val="0073273A"/>
    <w:rsid w:val="0073278E"/>
    <w:rsid w:val="00732793"/>
    <w:rsid w:val="00732867"/>
    <w:rsid w:val="007328AD"/>
    <w:rsid w:val="007328DD"/>
    <w:rsid w:val="00732952"/>
    <w:rsid w:val="00732A2B"/>
    <w:rsid w:val="00732AE5"/>
    <w:rsid w:val="00732BB4"/>
    <w:rsid w:val="00732C00"/>
    <w:rsid w:val="00732C15"/>
    <w:rsid w:val="00732CBC"/>
    <w:rsid w:val="00732CC3"/>
    <w:rsid w:val="00732DD3"/>
    <w:rsid w:val="00732DE5"/>
    <w:rsid w:val="00732E32"/>
    <w:rsid w:val="00732EF4"/>
    <w:rsid w:val="00732F16"/>
    <w:rsid w:val="0073306B"/>
    <w:rsid w:val="0073306F"/>
    <w:rsid w:val="0073308E"/>
    <w:rsid w:val="00733099"/>
    <w:rsid w:val="007330EA"/>
    <w:rsid w:val="007330F1"/>
    <w:rsid w:val="00733127"/>
    <w:rsid w:val="0073316E"/>
    <w:rsid w:val="007331C0"/>
    <w:rsid w:val="0073325A"/>
    <w:rsid w:val="0073329B"/>
    <w:rsid w:val="0073330A"/>
    <w:rsid w:val="00733351"/>
    <w:rsid w:val="00733359"/>
    <w:rsid w:val="0073341B"/>
    <w:rsid w:val="0073349A"/>
    <w:rsid w:val="007334A1"/>
    <w:rsid w:val="007335A3"/>
    <w:rsid w:val="0073366A"/>
    <w:rsid w:val="00733712"/>
    <w:rsid w:val="00733723"/>
    <w:rsid w:val="00733754"/>
    <w:rsid w:val="00733796"/>
    <w:rsid w:val="007337C2"/>
    <w:rsid w:val="007337FE"/>
    <w:rsid w:val="00733888"/>
    <w:rsid w:val="0073391C"/>
    <w:rsid w:val="00733922"/>
    <w:rsid w:val="0073398B"/>
    <w:rsid w:val="00733A12"/>
    <w:rsid w:val="00733A95"/>
    <w:rsid w:val="00733B39"/>
    <w:rsid w:val="00733BA3"/>
    <w:rsid w:val="00733C6B"/>
    <w:rsid w:val="00733CE2"/>
    <w:rsid w:val="00733D4B"/>
    <w:rsid w:val="00733DBC"/>
    <w:rsid w:val="00733DC1"/>
    <w:rsid w:val="00733DF8"/>
    <w:rsid w:val="00733E68"/>
    <w:rsid w:val="00733E9C"/>
    <w:rsid w:val="00733EDA"/>
    <w:rsid w:val="00733FC8"/>
    <w:rsid w:val="00733FE6"/>
    <w:rsid w:val="00733FEB"/>
    <w:rsid w:val="0073408F"/>
    <w:rsid w:val="0073419B"/>
    <w:rsid w:val="007341ED"/>
    <w:rsid w:val="00734341"/>
    <w:rsid w:val="0073438A"/>
    <w:rsid w:val="007343B4"/>
    <w:rsid w:val="007343DF"/>
    <w:rsid w:val="00734415"/>
    <w:rsid w:val="0073449A"/>
    <w:rsid w:val="0073449C"/>
    <w:rsid w:val="007344FC"/>
    <w:rsid w:val="00734504"/>
    <w:rsid w:val="00734565"/>
    <w:rsid w:val="00734574"/>
    <w:rsid w:val="0073458C"/>
    <w:rsid w:val="00734616"/>
    <w:rsid w:val="00734791"/>
    <w:rsid w:val="0073482E"/>
    <w:rsid w:val="007348F4"/>
    <w:rsid w:val="0073498C"/>
    <w:rsid w:val="00734A37"/>
    <w:rsid w:val="00734A3D"/>
    <w:rsid w:val="00734A82"/>
    <w:rsid w:val="00734B77"/>
    <w:rsid w:val="00734BEE"/>
    <w:rsid w:val="00734C5B"/>
    <w:rsid w:val="00734CDB"/>
    <w:rsid w:val="00734D17"/>
    <w:rsid w:val="00734E75"/>
    <w:rsid w:val="00734F04"/>
    <w:rsid w:val="00734F6A"/>
    <w:rsid w:val="00734F82"/>
    <w:rsid w:val="00734FBF"/>
    <w:rsid w:val="00735087"/>
    <w:rsid w:val="0073509E"/>
    <w:rsid w:val="00735150"/>
    <w:rsid w:val="0073519B"/>
    <w:rsid w:val="007351E1"/>
    <w:rsid w:val="00735264"/>
    <w:rsid w:val="00735304"/>
    <w:rsid w:val="00735317"/>
    <w:rsid w:val="00735318"/>
    <w:rsid w:val="00735398"/>
    <w:rsid w:val="007353C5"/>
    <w:rsid w:val="007353D6"/>
    <w:rsid w:val="0073541F"/>
    <w:rsid w:val="00735469"/>
    <w:rsid w:val="007354A4"/>
    <w:rsid w:val="00735504"/>
    <w:rsid w:val="00735506"/>
    <w:rsid w:val="00735521"/>
    <w:rsid w:val="0073556A"/>
    <w:rsid w:val="0073563E"/>
    <w:rsid w:val="00735697"/>
    <w:rsid w:val="007356C4"/>
    <w:rsid w:val="007356CE"/>
    <w:rsid w:val="00735710"/>
    <w:rsid w:val="00735752"/>
    <w:rsid w:val="00735880"/>
    <w:rsid w:val="00735967"/>
    <w:rsid w:val="0073598F"/>
    <w:rsid w:val="00735A12"/>
    <w:rsid w:val="00735B85"/>
    <w:rsid w:val="00735D4C"/>
    <w:rsid w:val="00735D8F"/>
    <w:rsid w:val="00735DAB"/>
    <w:rsid w:val="00735E7A"/>
    <w:rsid w:val="00735F14"/>
    <w:rsid w:val="00735F16"/>
    <w:rsid w:val="00735F1B"/>
    <w:rsid w:val="00735F25"/>
    <w:rsid w:val="00735F67"/>
    <w:rsid w:val="00735F98"/>
    <w:rsid w:val="00736038"/>
    <w:rsid w:val="007360B2"/>
    <w:rsid w:val="007360E9"/>
    <w:rsid w:val="0073616D"/>
    <w:rsid w:val="00736178"/>
    <w:rsid w:val="00736210"/>
    <w:rsid w:val="00736313"/>
    <w:rsid w:val="00736344"/>
    <w:rsid w:val="00736506"/>
    <w:rsid w:val="0073653A"/>
    <w:rsid w:val="00736694"/>
    <w:rsid w:val="007366CD"/>
    <w:rsid w:val="007366ED"/>
    <w:rsid w:val="0073675A"/>
    <w:rsid w:val="0073678B"/>
    <w:rsid w:val="00736816"/>
    <w:rsid w:val="007368C4"/>
    <w:rsid w:val="007368C8"/>
    <w:rsid w:val="0073694B"/>
    <w:rsid w:val="00736967"/>
    <w:rsid w:val="0073699D"/>
    <w:rsid w:val="007369A8"/>
    <w:rsid w:val="00736A6E"/>
    <w:rsid w:val="00736A86"/>
    <w:rsid w:val="00736A9A"/>
    <w:rsid w:val="00736B38"/>
    <w:rsid w:val="00736B3C"/>
    <w:rsid w:val="00736B7B"/>
    <w:rsid w:val="00736B81"/>
    <w:rsid w:val="00736C46"/>
    <w:rsid w:val="00736C5D"/>
    <w:rsid w:val="00736CA0"/>
    <w:rsid w:val="00736CDE"/>
    <w:rsid w:val="00736D5A"/>
    <w:rsid w:val="00736EB3"/>
    <w:rsid w:val="00736F4F"/>
    <w:rsid w:val="00736F8B"/>
    <w:rsid w:val="00736FC5"/>
    <w:rsid w:val="00736FDA"/>
    <w:rsid w:val="007370A5"/>
    <w:rsid w:val="007370BF"/>
    <w:rsid w:val="00737269"/>
    <w:rsid w:val="00737294"/>
    <w:rsid w:val="007372CD"/>
    <w:rsid w:val="007372FC"/>
    <w:rsid w:val="00737318"/>
    <w:rsid w:val="007373EE"/>
    <w:rsid w:val="007373F3"/>
    <w:rsid w:val="00737404"/>
    <w:rsid w:val="00737493"/>
    <w:rsid w:val="007374C0"/>
    <w:rsid w:val="00737553"/>
    <w:rsid w:val="0073756B"/>
    <w:rsid w:val="0073762C"/>
    <w:rsid w:val="00737631"/>
    <w:rsid w:val="00737693"/>
    <w:rsid w:val="00737774"/>
    <w:rsid w:val="0073780B"/>
    <w:rsid w:val="00737825"/>
    <w:rsid w:val="00737871"/>
    <w:rsid w:val="007378AE"/>
    <w:rsid w:val="007378D8"/>
    <w:rsid w:val="007378FD"/>
    <w:rsid w:val="0073790F"/>
    <w:rsid w:val="00737914"/>
    <w:rsid w:val="00737915"/>
    <w:rsid w:val="00737A80"/>
    <w:rsid w:val="00737B9D"/>
    <w:rsid w:val="00737BD6"/>
    <w:rsid w:val="00737C03"/>
    <w:rsid w:val="00737CCF"/>
    <w:rsid w:val="00737CEF"/>
    <w:rsid w:val="00737D3D"/>
    <w:rsid w:val="00737D48"/>
    <w:rsid w:val="00737D90"/>
    <w:rsid w:val="00737DA7"/>
    <w:rsid w:val="00737DDA"/>
    <w:rsid w:val="00737E47"/>
    <w:rsid w:val="00737EA9"/>
    <w:rsid w:val="00737EF8"/>
    <w:rsid w:val="00740091"/>
    <w:rsid w:val="007400B4"/>
    <w:rsid w:val="007400BB"/>
    <w:rsid w:val="0074019D"/>
    <w:rsid w:val="0074019F"/>
    <w:rsid w:val="007401A0"/>
    <w:rsid w:val="007401D6"/>
    <w:rsid w:val="007401FA"/>
    <w:rsid w:val="007402CC"/>
    <w:rsid w:val="0074046B"/>
    <w:rsid w:val="007404AD"/>
    <w:rsid w:val="0074054B"/>
    <w:rsid w:val="00740587"/>
    <w:rsid w:val="007405E2"/>
    <w:rsid w:val="007405E7"/>
    <w:rsid w:val="0074060E"/>
    <w:rsid w:val="00740624"/>
    <w:rsid w:val="0074065E"/>
    <w:rsid w:val="0074070D"/>
    <w:rsid w:val="007407F6"/>
    <w:rsid w:val="00740819"/>
    <w:rsid w:val="00740827"/>
    <w:rsid w:val="00740834"/>
    <w:rsid w:val="0074084A"/>
    <w:rsid w:val="007408BD"/>
    <w:rsid w:val="00740999"/>
    <w:rsid w:val="007409BB"/>
    <w:rsid w:val="007409BE"/>
    <w:rsid w:val="007409D1"/>
    <w:rsid w:val="00740A38"/>
    <w:rsid w:val="00740AC4"/>
    <w:rsid w:val="00740B4D"/>
    <w:rsid w:val="00740B5D"/>
    <w:rsid w:val="00740B9F"/>
    <w:rsid w:val="00740BD2"/>
    <w:rsid w:val="00740C63"/>
    <w:rsid w:val="00740C68"/>
    <w:rsid w:val="00740C8E"/>
    <w:rsid w:val="00740D35"/>
    <w:rsid w:val="00740D57"/>
    <w:rsid w:val="00740D60"/>
    <w:rsid w:val="00740D88"/>
    <w:rsid w:val="00740DEE"/>
    <w:rsid w:val="00740E92"/>
    <w:rsid w:val="00740EAC"/>
    <w:rsid w:val="00740F8A"/>
    <w:rsid w:val="00740FC8"/>
    <w:rsid w:val="0074100E"/>
    <w:rsid w:val="0074102F"/>
    <w:rsid w:val="007410E4"/>
    <w:rsid w:val="007411B1"/>
    <w:rsid w:val="0074120E"/>
    <w:rsid w:val="00741233"/>
    <w:rsid w:val="00741290"/>
    <w:rsid w:val="007412EF"/>
    <w:rsid w:val="007413D8"/>
    <w:rsid w:val="0074146B"/>
    <w:rsid w:val="007414A5"/>
    <w:rsid w:val="007414C1"/>
    <w:rsid w:val="00741547"/>
    <w:rsid w:val="007415B7"/>
    <w:rsid w:val="007415C6"/>
    <w:rsid w:val="007415F1"/>
    <w:rsid w:val="0074160E"/>
    <w:rsid w:val="00741615"/>
    <w:rsid w:val="0074162B"/>
    <w:rsid w:val="00741660"/>
    <w:rsid w:val="0074167D"/>
    <w:rsid w:val="0074169F"/>
    <w:rsid w:val="0074179D"/>
    <w:rsid w:val="00741836"/>
    <w:rsid w:val="0074193F"/>
    <w:rsid w:val="00741986"/>
    <w:rsid w:val="00741A0F"/>
    <w:rsid w:val="00741A86"/>
    <w:rsid w:val="00741ADA"/>
    <w:rsid w:val="00741AF3"/>
    <w:rsid w:val="00741B56"/>
    <w:rsid w:val="00741B79"/>
    <w:rsid w:val="00741BDD"/>
    <w:rsid w:val="00741C57"/>
    <w:rsid w:val="00741C90"/>
    <w:rsid w:val="00741CDB"/>
    <w:rsid w:val="00741D19"/>
    <w:rsid w:val="00741D3A"/>
    <w:rsid w:val="00741DA2"/>
    <w:rsid w:val="00741DA8"/>
    <w:rsid w:val="00741DC4"/>
    <w:rsid w:val="00741F0D"/>
    <w:rsid w:val="00741F0F"/>
    <w:rsid w:val="00741F19"/>
    <w:rsid w:val="00741F4F"/>
    <w:rsid w:val="00741F5E"/>
    <w:rsid w:val="00741F68"/>
    <w:rsid w:val="007420F3"/>
    <w:rsid w:val="0074213A"/>
    <w:rsid w:val="00742146"/>
    <w:rsid w:val="0074224F"/>
    <w:rsid w:val="00742287"/>
    <w:rsid w:val="0074235B"/>
    <w:rsid w:val="0074237E"/>
    <w:rsid w:val="00742387"/>
    <w:rsid w:val="0074241F"/>
    <w:rsid w:val="00742444"/>
    <w:rsid w:val="00742488"/>
    <w:rsid w:val="007424BA"/>
    <w:rsid w:val="007424BB"/>
    <w:rsid w:val="007424BF"/>
    <w:rsid w:val="007424C4"/>
    <w:rsid w:val="007424D4"/>
    <w:rsid w:val="007424DE"/>
    <w:rsid w:val="0074250A"/>
    <w:rsid w:val="0074251F"/>
    <w:rsid w:val="00742677"/>
    <w:rsid w:val="007426A2"/>
    <w:rsid w:val="007426D6"/>
    <w:rsid w:val="007428DE"/>
    <w:rsid w:val="007428EA"/>
    <w:rsid w:val="0074296C"/>
    <w:rsid w:val="007429A2"/>
    <w:rsid w:val="007429EE"/>
    <w:rsid w:val="00742A1E"/>
    <w:rsid w:val="00742A2D"/>
    <w:rsid w:val="00742A6B"/>
    <w:rsid w:val="00742A7A"/>
    <w:rsid w:val="00742B7C"/>
    <w:rsid w:val="00742BD0"/>
    <w:rsid w:val="00742CE9"/>
    <w:rsid w:val="00742D53"/>
    <w:rsid w:val="00742D6A"/>
    <w:rsid w:val="00742DA2"/>
    <w:rsid w:val="00742E06"/>
    <w:rsid w:val="00742E0F"/>
    <w:rsid w:val="00742E8A"/>
    <w:rsid w:val="00742ECF"/>
    <w:rsid w:val="00742F46"/>
    <w:rsid w:val="00742FB9"/>
    <w:rsid w:val="00742FBA"/>
    <w:rsid w:val="0074308C"/>
    <w:rsid w:val="0074318F"/>
    <w:rsid w:val="007431CA"/>
    <w:rsid w:val="00743262"/>
    <w:rsid w:val="00743314"/>
    <w:rsid w:val="00743353"/>
    <w:rsid w:val="007433D9"/>
    <w:rsid w:val="007433F8"/>
    <w:rsid w:val="0074347C"/>
    <w:rsid w:val="0074349B"/>
    <w:rsid w:val="00743502"/>
    <w:rsid w:val="007436E9"/>
    <w:rsid w:val="00743748"/>
    <w:rsid w:val="00743757"/>
    <w:rsid w:val="007437C1"/>
    <w:rsid w:val="00743892"/>
    <w:rsid w:val="007438E3"/>
    <w:rsid w:val="00743978"/>
    <w:rsid w:val="007439C8"/>
    <w:rsid w:val="00743B78"/>
    <w:rsid w:val="00743B9E"/>
    <w:rsid w:val="00743BA8"/>
    <w:rsid w:val="00743CCE"/>
    <w:rsid w:val="00743CFC"/>
    <w:rsid w:val="00743CFD"/>
    <w:rsid w:val="00743D42"/>
    <w:rsid w:val="00743D4A"/>
    <w:rsid w:val="00743D4C"/>
    <w:rsid w:val="00743D85"/>
    <w:rsid w:val="00743DE8"/>
    <w:rsid w:val="00743E85"/>
    <w:rsid w:val="00743EC0"/>
    <w:rsid w:val="00743F4B"/>
    <w:rsid w:val="00743F81"/>
    <w:rsid w:val="00743F95"/>
    <w:rsid w:val="00743FA2"/>
    <w:rsid w:val="00743FAD"/>
    <w:rsid w:val="00743FAF"/>
    <w:rsid w:val="00743FEE"/>
    <w:rsid w:val="00743FEF"/>
    <w:rsid w:val="00744064"/>
    <w:rsid w:val="007440C3"/>
    <w:rsid w:val="00744116"/>
    <w:rsid w:val="0074411A"/>
    <w:rsid w:val="00744134"/>
    <w:rsid w:val="00744164"/>
    <w:rsid w:val="007441BC"/>
    <w:rsid w:val="00744219"/>
    <w:rsid w:val="0074428F"/>
    <w:rsid w:val="00744327"/>
    <w:rsid w:val="00744377"/>
    <w:rsid w:val="007443C7"/>
    <w:rsid w:val="00744438"/>
    <w:rsid w:val="00744468"/>
    <w:rsid w:val="0074447C"/>
    <w:rsid w:val="007444CC"/>
    <w:rsid w:val="00744572"/>
    <w:rsid w:val="0074458D"/>
    <w:rsid w:val="007445DA"/>
    <w:rsid w:val="007445E9"/>
    <w:rsid w:val="00744672"/>
    <w:rsid w:val="007446B4"/>
    <w:rsid w:val="00744765"/>
    <w:rsid w:val="00744832"/>
    <w:rsid w:val="00744897"/>
    <w:rsid w:val="007448EE"/>
    <w:rsid w:val="007449DA"/>
    <w:rsid w:val="007449DC"/>
    <w:rsid w:val="00744A70"/>
    <w:rsid w:val="00744AA2"/>
    <w:rsid w:val="00744B3D"/>
    <w:rsid w:val="00744B5D"/>
    <w:rsid w:val="00744B95"/>
    <w:rsid w:val="00744BA2"/>
    <w:rsid w:val="00744BAE"/>
    <w:rsid w:val="00744CCB"/>
    <w:rsid w:val="00744CDF"/>
    <w:rsid w:val="00744D47"/>
    <w:rsid w:val="00744D99"/>
    <w:rsid w:val="00744DD2"/>
    <w:rsid w:val="00744DFD"/>
    <w:rsid w:val="00744F18"/>
    <w:rsid w:val="00744F2A"/>
    <w:rsid w:val="00744F3A"/>
    <w:rsid w:val="00744F4C"/>
    <w:rsid w:val="00744F92"/>
    <w:rsid w:val="00744FAD"/>
    <w:rsid w:val="007450C1"/>
    <w:rsid w:val="007451AE"/>
    <w:rsid w:val="007451D1"/>
    <w:rsid w:val="00745206"/>
    <w:rsid w:val="0074522A"/>
    <w:rsid w:val="0074532A"/>
    <w:rsid w:val="0074544D"/>
    <w:rsid w:val="00745468"/>
    <w:rsid w:val="00745533"/>
    <w:rsid w:val="00745556"/>
    <w:rsid w:val="0074560F"/>
    <w:rsid w:val="00745612"/>
    <w:rsid w:val="00745675"/>
    <w:rsid w:val="0074573B"/>
    <w:rsid w:val="00745764"/>
    <w:rsid w:val="0074578B"/>
    <w:rsid w:val="007457C1"/>
    <w:rsid w:val="0074583E"/>
    <w:rsid w:val="00745872"/>
    <w:rsid w:val="007458B6"/>
    <w:rsid w:val="007458C3"/>
    <w:rsid w:val="007458EC"/>
    <w:rsid w:val="007459BB"/>
    <w:rsid w:val="007459E1"/>
    <w:rsid w:val="00745AE4"/>
    <w:rsid w:val="00745B84"/>
    <w:rsid w:val="00745BF5"/>
    <w:rsid w:val="00745D10"/>
    <w:rsid w:val="00745D19"/>
    <w:rsid w:val="00745D74"/>
    <w:rsid w:val="00745D9B"/>
    <w:rsid w:val="00745DB7"/>
    <w:rsid w:val="00745DE8"/>
    <w:rsid w:val="00745DE9"/>
    <w:rsid w:val="00745E50"/>
    <w:rsid w:val="00745E88"/>
    <w:rsid w:val="00745EA6"/>
    <w:rsid w:val="00745FB4"/>
    <w:rsid w:val="007460F1"/>
    <w:rsid w:val="00746264"/>
    <w:rsid w:val="0074636F"/>
    <w:rsid w:val="0074641D"/>
    <w:rsid w:val="007464C0"/>
    <w:rsid w:val="007464C7"/>
    <w:rsid w:val="00746519"/>
    <w:rsid w:val="0074651A"/>
    <w:rsid w:val="00746523"/>
    <w:rsid w:val="00746526"/>
    <w:rsid w:val="007466B3"/>
    <w:rsid w:val="0074673D"/>
    <w:rsid w:val="0074676B"/>
    <w:rsid w:val="00746807"/>
    <w:rsid w:val="007468A3"/>
    <w:rsid w:val="007468C0"/>
    <w:rsid w:val="00746935"/>
    <w:rsid w:val="0074695B"/>
    <w:rsid w:val="007469BA"/>
    <w:rsid w:val="007469DE"/>
    <w:rsid w:val="007469F3"/>
    <w:rsid w:val="00746A47"/>
    <w:rsid w:val="00746AD1"/>
    <w:rsid w:val="00746C48"/>
    <w:rsid w:val="00746C5A"/>
    <w:rsid w:val="00746C75"/>
    <w:rsid w:val="00746D12"/>
    <w:rsid w:val="00746D98"/>
    <w:rsid w:val="00746EB1"/>
    <w:rsid w:val="00747078"/>
    <w:rsid w:val="00747083"/>
    <w:rsid w:val="00747106"/>
    <w:rsid w:val="00747182"/>
    <w:rsid w:val="0074718D"/>
    <w:rsid w:val="00747192"/>
    <w:rsid w:val="007471FC"/>
    <w:rsid w:val="007472F3"/>
    <w:rsid w:val="00747310"/>
    <w:rsid w:val="0074733E"/>
    <w:rsid w:val="007473A8"/>
    <w:rsid w:val="00747409"/>
    <w:rsid w:val="0074744A"/>
    <w:rsid w:val="00747462"/>
    <w:rsid w:val="0074748C"/>
    <w:rsid w:val="00747567"/>
    <w:rsid w:val="007475A9"/>
    <w:rsid w:val="007475F0"/>
    <w:rsid w:val="007475F6"/>
    <w:rsid w:val="007476C3"/>
    <w:rsid w:val="007476DA"/>
    <w:rsid w:val="0074774A"/>
    <w:rsid w:val="0074778A"/>
    <w:rsid w:val="007477B4"/>
    <w:rsid w:val="007478BA"/>
    <w:rsid w:val="007478C6"/>
    <w:rsid w:val="00747994"/>
    <w:rsid w:val="00747AA1"/>
    <w:rsid w:val="00747AAB"/>
    <w:rsid w:val="00747AEC"/>
    <w:rsid w:val="00747B01"/>
    <w:rsid w:val="00747B39"/>
    <w:rsid w:val="00747B77"/>
    <w:rsid w:val="00747B9B"/>
    <w:rsid w:val="00747BA4"/>
    <w:rsid w:val="00747C13"/>
    <w:rsid w:val="00747CCA"/>
    <w:rsid w:val="00747DFD"/>
    <w:rsid w:val="0075002A"/>
    <w:rsid w:val="00750093"/>
    <w:rsid w:val="007501BD"/>
    <w:rsid w:val="007501CE"/>
    <w:rsid w:val="00750271"/>
    <w:rsid w:val="007503B6"/>
    <w:rsid w:val="007504B9"/>
    <w:rsid w:val="00750528"/>
    <w:rsid w:val="00750537"/>
    <w:rsid w:val="00750565"/>
    <w:rsid w:val="00750625"/>
    <w:rsid w:val="00750640"/>
    <w:rsid w:val="0075069D"/>
    <w:rsid w:val="007506F1"/>
    <w:rsid w:val="00750704"/>
    <w:rsid w:val="0075083D"/>
    <w:rsid w:val="00750896"/>
    <w:rsid w:val="00750929"/>
    <w:rsid w:val="00750943"/>
    <w:rsid w:val="007509F3"/>
    <w:rsid w:val="00750B40"/>
    <w:rsid w:val="00750B77"/>
    <w:rsid w:val="00750BE0"/>
    <w:rsid w:val="00750BF6"/>
    <w:rsid w:val="00750C22"/>
    <w:rsid w:val="00750C32"/>
    <w:rsid w:val="00750C68"/>
    <w:rsid w:val="00750C9D"/>
    <w:rsid w:val="00750CFA"/>
    <w:rsid w:val="00750D33"/>
    <w:rsid w:val="00750D6B"/>
    <w:rsid w:val="00750DE5"/>
    <w:rsid w:val="00750E2D"/>
    <w:rsid w:val="00750E4F"/>
    <w:rsid w:val="00750E5A"/>
    <w:rsid w:val="00750F1F"/>
    <w:rsid w:val="00750F44"/>
    <w:rsid w:val="00751040"/>
    <w:rsid w:val="007510B5"/>
    <w:rsid w:val="00751115"/>
    <w:rsid w:val="00751160"/>
    <w:rsid w:val="00751164"/>
    <w:rsid w:val="00751194"/>
    <w:rsid w:val="0075130C"/>
    <w:rsid w:val="0075132E"/>
    <w:rsid w:val="007513AB"/>
    <w:rsid w:val="007513BF"/>
    <w:rsid w:val="0075154C"/>
    <w:rsid w:val="0075159D"/>
    <w:rsid w:val="007515BB"/>
    <w:rsid w:val="007515F0"/>
    <w:rsid w:val="00751651"/>
    <w:rsid w:val="007516C5"/>
    <w:rsid w:val="007517A5"/>
    <w:rsid w:val="00751836"/>
    <w:rsid w:val="0075183C"/>
    <w:rsid w:val="00751926"/>
    <w:rsid w:val="0075194C"/>
    <w:rsid w:val="00751986"/>
    <w:rsid w:val="007519B6"/>
    <w:rsid w:val="00751A8F"/>
    <w:rsid w:val="00751AB9"/>
    <w:rsid w:val="00751ABD"/>
    <w:rsid w:val="00751B50"/>
    <w:rsid w:val="00751B82"/>
    <w:rsid w:val="00751BB5"/>
    <w:rsid w:val="00751BF7"/>
    <w:rsid w:val="00751C67"/>
    <w:rsid w:val="00751C6D"/>
    <w:rsid w:val="00751CD6"/>
    <w:rsid w:val="00751CE9"/>
    <w:rsid w:val="00751CFB"/>
    <w:rsid w:val="00751DC6"/>
    <w:rsid w:val="00751F55"/>
    <w:rsid w:val="00751FE2"/>
    <w:rsid w:val="00752033"/>
    <w:rsid w:val="00752050"/>
    <w:rsid w:val="007520A5"/>
    <w:rsid w:val="00752128"/>
    <w:rsid w:val="007522BC"/>
    <w:rsid w:val="007522F0"/>
    <w:rsid w:val="00752393"/>
    <w:rsid w:val="007523E3"/>
    <w:rsid w:val="007523F1"/>
    <w:rsid w:val="0075248F"/>
    <w:rsid w:val="00752521"/>
    <w:rsid w:val="007525DA"/>
    <w:rsid w:val="00752651"/>
    <w:rsid w:val="0075265F"/>
    <w:rsid w:val="0075266C"/>
    <w:rsid w:val="00752719"/>
    <w:rsid w:val="0075275F"/>
    <w:rsid w:val="00752894"/>
    <w:rsid w:val="007528BC"/>
    <w:rsid w:val="007529F3"/>
    <w:rsid w:val="00752AEC"/>
    <w:rsid w:val="00752C41"/>
    <w:rsid w:val="00752C89"/>
    <w:rsid w:val="00752C8E"/>
    <w:rsid w:val="00752CF3"/>
    <w:rsid w:val="00752D6D"/>
    <w:rsid w:val="00752E05"/>
    <w:rsid w:val="00752E16"/>
    <w:rsid w:val="00752E83"/>
    <w:rsid w:val="00752EED"/>
    <w:rsid w:val="00752F34"/>
    <w:rsid w:val="00752FD8"/>
    <w:rsid w:val="007530C0"/>
    <w:rsid w:val="00753125"/>
    <w:rsid w:val="0075312C"/>
    <w:rsid w:val="00753155"/>
    <w:rsid w:val="007531E9"/>
    <w:rsid w:val="00753239"/>
    <w:rsid w:val="007532D5"/>
    <w:rsid w:val="007533DF"/>
    <w:rsid w:val="0075347B"/>
    <w:rsid w:val="007534A8"/>
    <w:rsid w:val="007535D7"/>
    <w:rsid w:val="00753648"/>
    <w:rsid w:val="0075374D"/>
    <w:rsid w:val="00753879"/>
    <w:rsid w:val="007538DE"/>
    <w:rsid w:val="00753919"/>
    <w:rsid w:val="0075399B"/>
    <w:rsid w:val="007539FC"/>
    <w:rsid w:val="00753A76"/>
    <w:rsid w:val="00753A8C"/>
    <w:rsid w:val="00753B3C"/>
    <w:rsid w:val="00753B87"/>
    <w:rsid w:val="00753BFE"/>
    <w:rsid w:val="00753CD2"/>
    <w:rsid w:val="00753CE7"/>
    <w:rsid w:val="00753CEA"/>
    <w:rsid w:val="00753D1C"/>
    <w:rsid w:val="00753D2F"/>
    <w:rsid w:val="00753D49"/>
    <w:rsid w:val="00753D66"/>
    <w:rsid w:val="00753D90"/>
    <w:rsid w:val="00753E71"/>
    <w:rsid w:val="00753E7B"/>
    <w:rsid w:val="00753EA5"/>
    <w:rsid w:val="00753EF6"/>
    <w:rsid w:val="00753F1B"/>
    <w:rsid w:val="00753F65"/>
    <w:rsid w:val="00753FD1"/>
    <w:rsid w:val="0075400E"/>
    <w:rsid w:val="0075403C"/>
    <w:rsid w:val="00754112"/>
    <w:rsid w:val="0075411B"/>
    <w:rsid w:val="0075419E"/>
    <w:rsid w:val="007542B3"/>
    <w:rsid w:val="007542E0"/>
    <w:rsid w:val="007544BD"/>
    <w:rsid w:val="0075456C"/>
    <w:rsid w:val="007545E7"/>
    <w:rsid w:val="00754607"/>
    <w:rsid w:val="007546CC"/>
    <w:rsid w:val="007546E0"/>
    <w:rsid w:val="00754879"/>
    <w:rsid w:val="007548BE"/>
    <w:rsid w:val="00754911"/>
    <w:rsid w:val="00754929"/>
    <w:rsid w:val="00754979"/>
    <w:rsid w:val="00754AAD"/>
    <w:rsid w:val="00754CD3"/>
    <w:rsid w:val="00754CE5"/>
    <w:rsid w:val="00754D4B"/>
    <w:rsid w:val="00754DAA"/>
    <w:rsid w:val="00754E80"/>
    <w:rsid w:val="00754EC2"/>
    <w:rsid w:val="00754EE2"/>
    <w:rsid w:val="00754F04"/>
    <w:rsid w:val="00754F42"/>
    <w:rsid w:val="00754F84"/>
    <w:rsid w:val="00754FCF"/>
    <w:rsid w:val="00754FFB"/>
    <w:rsid w:val="00755038"/>
    <w:rsid w:val="0075504B"/>
    <w:rsid w:val="007550B3"/>
    <w:rsid w:val="007550CA"/>
    <w:rsid w:val="007550F7"/>
    <w:rsid w:val="00755119"/>
    <w:rsid w:val="0075511A"/>
    <w:rsid w:val="00755124"/>
    <w:rsid w:val="0075517F"/>
    <w:rsid w:val="0075520B"/>
    <w:rsid w:val="0075526E"/>
    <w:rsid w:val="0075528E"/>
    <w:rsid w:val="00755333"/>
    <w:rsid w:val="0075535F"/>
    <w:rsid w:val="0075537A"/>
    <w:rsid w:val="007553DD"/>
    <w:rsid w:val="0075541A"/>
    <w:rsid w:val="00755468"/>
    <w:rsid w:val="0075546E"/>
    <w:rsid w:val="00755470"/>
    <w:rsid w:val="0075550B"/>
    <w:rsid w:val="0075550F"/>
    <w:rsid w:val="007555A7"/>
    <w:rsid w:val="007555CC"/>
    <w:rsid w:val="0075561E"/>
    <w:rsid w:val="0075570C"/>
    <w:rsid w:val="00755721"/>
    <w:rsid w:val="007557E4"/>
    <w:rsid w:val="00755925"/>
    <w:rsid w:val="00755934"/>
    <w:rsid w:val="00755A59"/>
    <w:rsid w:val="00755AF8"/>
    <w:rsid w:val="00755BB8"/>
    <w:rsid w:val="00755BD5"/>
    <w:rsid w:val="00755C0C"/>
    <w:rsid w:val="00755CD8"/>
    <w:rsid w:val="00755DAE"/>
    <w:rsid w:val="00755DF5"/>
    <w:rsid w:val="00755E41"/>
    <w:rsid w:val="00755E51"/>
    <w:rsid w:val="00755E7C"/>
    <w:rsid w:val="00755F14"/>
    <w:rsid w:val="00755F15"/>
    <w:rsid w:val="00755FE8"/>
    <w:rsid w:val="00756034"/>
    <w:rsid w:val="00756182"/>
    <w:rsid w:val="00756188"/>
    <w:rsid w:val="007561B4"/>
    <w:rsid w:val="007561F1"/>
    <w:rsid w:val="00756238"/>
    <w:rsid w:val="00756267"/>
    <w:rsid w:val="00756286"/>
    <w:rsid w:val="0075637A"/>
    <w:rsid w:val="007563CD"/>
    <w:rsid w:val="0075642B"/>
    <w:rsid w:val="007564C1"/>
    <w:rsid w:val="007564E4"/>
    <w:rsid w:val="00756512"/>
    <w:rsid w:val="00756571"/>
    <w:rsid w:val="007565DD"/>
    <w:rsid w:val="007565FD"/>
    <w:rsid w:val="0075663C"/>
    <w:rsid w:val="00756646"/>
    <w:rsid w:val="0075668D"/>
    <w:rsid w:val="0075675C"/>
    <w:rsid w:val="0075677E"/>
    <w:rsid w:val="007567CE"/>
    <w:rsid w:val="007567F7"/>
    <w:rsid w:val="00756882"/>
    <w:rsid w:val="007568A0"/>
    <w:rsid w:val="007568F5"/>
    <w:rsid w:val="0075690D"/>
    <w:rsid w:val="00756919"/>
    <w:rsid w:val="0075699C"/>
    <w:rsid w:val="007569D6"/>
    <w:rsid w:val="00756A31"/>
    <w:rsid w:val="00756AD0"/>
    <w:rsid w:val="00756B19"/>
    <w:rsid w:val="00756B25"/>
    <w:rsid w:val="00756BA5"/>
    <w:rsid w:val="00756BC3"/>
    <w:rsid w:val="00756BD7"/>
    <w:rsid w:val="00756C2C"/>
    <w:rsid w:val="00756C3D"/>
    <w:rsid w:val="00756D7B"/>
    <w:rsid w:val="00756DFC"/>
    <w:rsid w:val="00756E2E"/>
    <w:rsid w:val="00756E72"/>
    <w:rsid w:val="00756E7A"/>
    <w:rsid w:val="00756E84"/>
    <w:rsid w:val="00756EC8"/>
    <w:rsid w:val="00757045"/>
    <w:rsid w:val="0075705A"/>
    <w:rsid w:val="00757080"/>
    <w:rsid w:val="00757141"/>
    <w:rsid w:val="00757194"/>
    <w:rsid w:val="007571E9"/>
    <w:rsid w:val="00757216"/>
    <w:rsid w:val="0075721D"/>
    <w:rsid w:val="00757267"/>
    <w:rsid w:val="007572F8"/>
    <w:rsid w:val="007572FE"/>
    <w:rsid w:val="007573F8"/>
    <w:rsid w:val="00757437"/>
    <w:rsid w:val="00757492"/>
    <w:rsid w:val="00757495"/>
    <w:rsid w:val="007574CC"/>
    <w:rsid w:val="007574DA"/>
    <w:rsid w:val="007574F6"/>
    <w:rsid w:val="0075753B"/>
    <w:rsid w:val="00757561"/>
    <w:rsid w:val="0075758F"/>
    <w:rsid w:val="007575DF"/>
    <w:rsid w:val="00757632"/>
    <w:rsid w:val="00757641"/>
    <w:rsid w:val="0075768E"/>
    <w:rsid w:val="007577A7"/>
    <w:rsid w:val="007577EA"/>
    <w:rsid w:val="007578CB"/>
    <w:rsid w:val="0075793D"/>
    <w:rsid w:val="00757A1B"/>
    <w:rsid w:val="00757A49"/>
    <w:rsid w:val="00757A64"/>
    <w:rsid w:val="00757AA8"/>
    <w:rsid w:val="00757AD9"/>
    <w:rsid w:val="00757B44"/>
    <w:rsid w:val="00757B6B"/>
    <w:rsid w:val="00757BE3"/>
    <w:rsid w:val="00757C36"/>
    <w:rsid w:val="00757D2A"/>
    <w:rsid w:val="00757D39"/>
    <w:rsid w:val="00757DC4"/>
    <w:rsid w:val="00757DD6"/>
    <w:rsid w:val="00757DE2"/>
    <w:rsid w:val="00757E03"/>
    <w:rsid w:val="00757ECD"/>
    <w:rsid w:val="00757FAE"/>
    <w:rsid w:val="00757FD6"/>
    <w:rsid w:val="00757FF4"/>
    <w:rsid w:val="007600D5"/>
    <w:rsid w:val="0076013E"/>
    <w:rsid w:val="00760148"/>
    <w:rsid w:val="007601AF"/>
    <w:rsid w:val="007601C5"/>
    <w:rsid w:val="007601DA"/>
    <w:rsid w:val="00760208"/>
    <w:rsid w:val="007602C4"/>
    <w:rsid w:val="00760343"/>
    <w:rsid w:val="00760382"/>
    <w:rsid w:val="007603EE"/>
    <w:rsid w:val="00760477"/>
    <w:rsid w:val="00760478"/>
    <w:rsid w:val="0076048F"/>
    <w:rsid w:val="007604A4"/>
    <w:rsid w:val="0076052C"/>
    <w:rsid w:val="00760539"/>
    <w:rsid w:val="00760559"/>
    <w:rsid w:val="00760569"/>
    <w:rsid w:val="0076059E"/>
    <w:rsid w:val="00760607"/>
    <w:rsid w:val="007606FB"/>
    <w:rsid w:val="00760701"/>
    <w:rsid w:val="0076073B"/>
    <w:rsid w:val="0076077E"/>
    <w:rsid w:val="0076079F"/>
    <w:rsid w:val="007607CA"/>
    <w:rsid w:val="0076086B"/>
    <w:rsid w:val="0076089C"/>
    <w:rsid w:val="007608FF"/>
    <w:rsid w:val="00760909"/>
    <w:rsid w:val="00760934"/>
    <w:rsid w:val="0076094C"/>
    <w:rsid w:val="0076096B"/>
    <w:rsid w:val="00760AE2"/>
    <w:rsid w:val="00760B1C"/>
    <w:rsid w:val="00760BC2"/>
    <w:rsid w:val="00760BD3"/>
    <w:rsid w:val="00760C2A"/>
    <w:rsid w:val="00760C32"/>
    <w:rsid w:val="00760C7F"/>
    <w:rsid w:val="00760D9B"/>
    <w:rsid w:val="00760E0D"/>
    <w:rsid w:val="00760E3C"/>
    <w:rsid w:val="00760EC8"/>
    <w:rsid w:val="00760ED2"/>
    <w:rsid w:val="00760FF8"/>
    <w:rsid w:val="00761027"/>
    <w:rsid w:val="00761036"/>
    <w:rsid w:val="00761081"/>
    <w:rsid w:val="007610FB"/>
    <w:rsid w:val="00761100"/>
    <w:rsid w:val="00761129"/>
    <w:rsid w:val="007611BD"/>
    <w:rsid w:val="007611FE"/>
    <w:rsid w:val="0076123A"/>
    <w:rsid w:val="00761260"/>
    <w:rsid w:val="00761398"/>
    <w:rsid w:val="007613A1"/>
    <w:rsid w:val="007613BA"/>
    <w:rsid w:val="007613DB"/>
    <w:rsid w:val="00761402"/>
    <w:rsid w:val="0076140E"/>
    <w:rsid w:val="0076143A"/>
    <w:rsid w:val="007614D0"/>
    <w:rsid w:val="00761536"/>
    <w:rsid w:val="0076158F"/>
    <w:rsid w:val="00761590"/>
    <w:rsid w:val="0076162E"/>
    <w:rsid w:val="007616B2"/>
    <w:rsid w:val="0076172C"/>
    <w:rsid w:val="00761736"/>
    <w:rsid w:val="00761745"/>
    <w:rsid w:val="007617D5"/>
    <w:rsid w:val="00761874"/>
    <w:rsid w:val="00761885"/>
    <w:rsid w:val="007618E9"/>
    <w:rsid w:val="0076197F"/>
    <w:rsid w:val="007619AA"/>
    <w:rsid w:val="007619D0"/>
    <w:rsid w:val="00761A88"/>
    <w:rsid w:val="00761A8A"/>
    <w:rsid w:val="00761ADB"/>
    <w:rsid w:val="00761BF0"/>
    <w:rsid w:val="00761C33"/>
    <w:rsid w:val="00761CF5"/>
    <w:rsid w:val="00761D80"/>
    <w:rsid w:val="00761DBF"/>
    <w:rsid w:val="00761E46"/>
    <w:rsid w:val="00761EAF"/>
    <w:rsid w:val="00761F2D"/>
    <w:rsid w:val="00761FCA"/>
    <w:rsid w:val="00761FD2"/>
    <w:rsid w:val="00761FFF"/>
    <w:rsid w:val="007620D2"/>
    <w:rsid w:val="00762194"/>
    <w:rsid w:val="007621D3"/>
    <w:rsid w:val="007622F5"/>
    <w:rsid w:val="00762316"/>
    <w:rsid w:val="00762364"/>
    <w:rsid w:val="00762391"/>
    <w:rsid w:val="00762399"/>
    <w:rsid w:val="007623A4"/>
    <w:rsid w:val="007624E3"/>
    <w:rsid w:val="00762535"/>
    <w:rsid w:val="007625D8"/>
    <w:rsid w:val="00762665"/>
    <w:rsid w:val="007626B2"/>
    <w:rsid w:val="007626B7"/>
    <w:rsid w:val="007626F0"/>
    <w:rsid w:val="007627EB"/>
    <w:rsid w:val="007627EC"/>
    <w:rsid w:val="007628D4"/>
    <w:rsid w:val="007628DA"/>
    <w:rsid w:val="007629A6"/>
    <w:rsid w:val="007629B6"/>
    <w:rsid w:val="00762A0C"/>
    <w:rsid w:val="00762A64"/>
    <w:rsid w:val="00762AB0"/>
    <w:rsid w:val="00762AF3"/>
    <w:rsid w:val="00762B70"/>
    <w:rsid w:val="00762B90"/>
    <w:rsid w:val="00762BA2"/>
    <w:rsid w:val="00762C7C"/>
    <w:rsid w:val="00762C9D"/>
    <w:rsid w:val="00762CB7"/>
    <w:rsid w:val="00762CCE"/>
    <w:rsid w:val="00762D01"/>
    <w:rsid w:val="00762D08"/>
    <w:rsid w:val="00762DBA"/>
    <w:rsid w:val="00762DFB"/>
    <w:rsid w:val="00762F3B"/>
    <w:rsid w:val="0076303D"/>
    <w:rsid w:val="00763047"/>
    <w:rsid w:val="00763054"/>
    <w:rsid w:val="00763075"/>
    <w:rsid w:val="007630E1"/>
    <w:rsid w:val="0076313F"/>
    <w:rsid w:val="0076314C"/>
    <w:rsid w:val="007631C8"/>
    <w:rsid w:val="007631CE"/>
    <w:rsid w:val="00763287"/>
    <w:rsid w:val="00763348"/>
    <w:rsid w:val="00763417"/>
    <w:rsid w:val="007634A7"/>
    <w:rsid w:val="007634B4"/>
    <w:rsid w:val="0076350D"/>
    <w:rsid w:val="00763559"/>
    <w:rsid w:val="00763566"/>
    <w:rsid w:val="007635AC"/>
    <w:rsid w:val="0076361A"/>
    <w:rsid w:val="00763660"/>
    <w:rsid w:val="00763668"/>
    <w:rsid w:val="007636A5"/>
    <w:rsid w:val="007636CD"/>
    <w:rsid w:val="00763746"/>
    <w:rsid w:val="007637F2"/>
    <w:rsid w:val="00763871"/>
    <w:rsid w:val="0076389D"/>
    <w:rsid w:val="007638E3"/>
    <w:rsid w:val="0076390C"/>
    <w:rsid w:val="00763A68"/>
    <w:rsid w:val="00763B44"/>
    <w:rsid w:val="00763BB1"/>
    <w:rsid w:val="00763BD0"/>
    <w:rsid w:val="00763BE8"/>
    <w:rsid w:val="00763BFC"/>
    <w:rsid w:val="00763CF6"/>
    <w:rsid w:val="00763D01"/>
    <w:rsid w:val="00763D0F"/>
    <w:rsid w:val="00763D9B"/>
    <w:rsid w:val="00763E8F"/>
    <w:rsid w:val="00763EB2"/>
    <w:rsid w:val="00763F1D"/>
    <w:rsid w:val="00763FB0"/>
    <w:rsid w:val="00763FDF"/>
    <w:rsid w:val="0076402C"/>
    <w:rsid w:val="00764080"/>
    <w:rsid w:val="007640BA"/>
    <w:rsid w:val="00764149"/>
    <w:rsid w:val="0076414D"/>
    <w:rsid w:val="00764263"/>
    <w:rsid w:val="0076427B"/>
    <w:rsid w:val="0076429A"/>
    <w:rsid w:val="007642B2"/>
    <w:rsid w:val="007642BC"/>
    <w:rsid w:val="007642C5"/>
    <w:rsid w:val="00764321"/>
    <w:rsid w:val="007643B7"/>
    <w:rsid w:val="0076441E"/>
    <w:rsid w:val="007645DE"/>
    <w:rsid w:val="007645F3"/>
    <w:rsid w:val="00764606"/>
    <w:rsid w:val="0076460B"/>
    <w:rsid w:val="00764644"/>
    <w:rsid w:val="00764655"/>
    <w:rsid w:val="0076466A"/>
    <w:rsid w:val="0076469B"/>
    <w:rsid w:val="00764769"/>
    <w:rsid w:val="00764817"/>
    <w:rsid w:val="00764845"/>
    <w:rsid w:val="00764853"/>
    <w:rsid w:val="007648BC"/>
    <w:rsid w:val="007648CE"/>
    <w:rsid w:val="007648FF"/>
    <w:rsid w:val="00764936"/>
    <w:rsid w:val="007649DC"/>
    <w:rsid w:val="00764A0E"/>
    <w:rsid w:val="00764A93"/>
    <w:rsid w:val="00764AB0"/>
    <w:rsid w:val="00764B91"/>
    <w:rsid w:val="00764BC5"/>
    <w:rsid w:val="00764C0F"/>
    <w:rsid w:val="00764C7D"/>
    <w:rsid w:val="00764CC5"/>
    <w:rsid w:val="00764D70"/>
    <w:rsid w:val="00764EE2"/>
    <w:rsid w:val="00764F19"/>
    <w:rsid w:val="00764F9D"/>
    <w:rsid w:val="00765089"/>
    <w:rsid w:val="0076516B"/>
    <w:rsid w:val="0076516E"/>
    <w:rsid w:val="00765249"/>
    <w:rsid w:val="00765287"/>
    <w:rsid w:val="007652A0"/>
    <w:rsid w:val="007652D5"/>
    <w:rsid w:val="00765391"/>
    <w:rsid w:val="007653CE"/>
    <w:rsid w:val="00765484"/>
    <w:rsid w:val="007654BD"/>
    <w:rsid w:val="00765504"/>
    <w:rsid w:val="00765511"/>
    <w:rsid w:val="0076554F"/>
    <w:rsid w:val="00765559"/>
    <w:rsid w:val="00765591"/>
    <w:rsid w:val="007655DA"/>
    <w:rsid w:val="00765623"/>
    <w:rsid w:val="00765753"/>
    <w:rsid w:val="0076576B"/>
    <w:rsid w:val="007657AE"/>
    <w:rsid w:val="00765838"/>
    <w:rsid w:val="007658EF"/>
    <w:rsid w:val="0076598E"/>
    <w:rsid w:val="00765A45"/>
    <w:rsid w:val="00765A8E"/>
    <w:rsid w:val="00765AB3"/>
    <w:rsid w:val="00765ACD"/>
    <w:rsid w:val="00765AEC"/>
    <w:rsid w:val="00765AF9"/>
    <w:rsid w:val="00765AFF"/>
    <w:rsid w:val="00765B76"/>
    <w:rsid w:val="00765B8B"/>
    <w:rsid w:val="00765C96"/>
    <w:rsid w:val="00765CA2"/>
    <w:rsid w:val="00765CB3"/>
    <w:rsid w:val="00765D3C"/>
    <w:rsid w:val="00765DC0"/>
    <w:rsid w:val="00765E7E"/>
    <w:rsid w:val="00765EBD"/>
    <w:rsid w:val="00765EF5"/>
    <w:rsid w:val="00765F0E"/>
    <w:rsid w:val="00765F88"/>
    <w:rsid w:val="0076618D"/>
    <w:rsid w:val="00766194"/>
    <w:rsid w:val="00766196"/>
    <w:rsid w:val="00766205"/>
    <w:rsid w:val="0076628A"/>
    <w:rsid w:val="00766296"/>
    <w:rsid w:val="007662B1"/>
    <w:rsid w:val="0076645C"/>
    <w:rsid w:val="007664F8"/>
    <w:rsid w:val="0076661B"/>
    <w:rsid w:val="00766677"/>
    <w:rsid w:val="007666BB"/>
    <w:rsid w:val="007666D2"/>
    <w:rsid w:val="007666D7"/>
    <w:rsid w:val="00766720"/>
    <w:rsid w:val="00766838"/>
    <w:rsid w:val="00766853"/>
    <w:rsid w:val="007668A3"/>
    <w:rsid w:val="007668B0"/>
    <w:rsid w:val="00766A01"/>
    <w:rsid w:val="00766A59"/>
    <w:rsid w:val="00766A7B"/>
    <w:rsid w:val="00766AF0"/>
    <w:rsid w:val="00766B65"/>
    <w:rsid w:val="00766B83"/>
    <w:rsid w:val="00766BC9"/>
    <w:rsid w:val="00766C58"/>
    <w:rsid w:val="00766C70"/>
    <w:rsid w:val="00766CFB"/>
    <w:rsid w:val="00766D2A"/>
    <w:rsid w:val="00766DD7"/>
    <w:rsid w:val="00766DFA"/>
    <w:rsid w:val="00766F0A"/>
    <w:rsid w:val="00766F1D"/>
    <w:rsid w:val="00766F20"/>
    <w:rsid w:val="00766F6E"/>
    <w:rsid w:val="00766F80"/>
    <w:rsid w:val="00766F90"/>
    <w:rsid w:val="00766FE1"/>
    <w:rsid w:val="00766FEF"/>
    <w:rsid w:val="00767023"/>
    <w:rsid w:val="0076704F"/>
    <w:rsid w:val="00767055"/>
    <w:rsid w:val="0076705D"/>
    <w:rsid w:val="007670EF"/>
    <w:rsid w:val="007671E4"/>
    <w:rsid w:val="00767218"/>
    <w:rsid w:val="00767229"/>
    <w:rsid w:val="0076724B"/>
    <w:rsid w:val="007672C0"/>
    <w:rsid w:val="00767367"/>
    <w:rsid w:val="00767400"/>
    <w:rsid w:val="00767405"/>
    <w:rsid w:val="00767414"/>
    <w:rsid w:val="0076745C"/>
    <w:rsid w:val="007675E1"/>
    <w:rsid w:val="00767612"/>
    <w:rsid w:val="00767619"/>
    <w:rsid w:val="00767667"/>
    <w:rsid w:val="0076767F"/>
    <w:rsid w:val="00767701"/>
    <w:rsid w:val="0076780C"/>
    <w:rsid w:val="00767897"/>
    <w:rsid w:val="007678D8"/>
    <w:rsid w:val="00767976"/>
    <w:rsid w:val="007679A0"/>
    <w:rsid w:val="007679D0"/>
    <w:rsid w:val="00767A04"/>
    <w:rsid w:val="00767A1D"/>
    <w:rsid w:val="00767A4A"/>
    <w:rsid w:val="00767AAD"/>
    <w:rsid w:val="00767AB3"/>
    <w:rsid w:val="00767AC0"/>
    <w:rsid w:val="00767ACB"/>
    <w:rsid w:val="00767AE5"/>
    <w:rsid w:val="00767B88"/>
    <w:rsid w:val="00767BCB"/>
    <w:rsid w:val="00767C64"/>
    <w:rsid w:val="00767C80"/>
    <w:rsid w:val="00767E57"/>
    <w:rsid w:val="00767F71"/>
    <w:rsid w:val="00767FE2"/>
    <w:rsid w:val="00767FFD"/>
    <w:rsid w:val="00770089"/>
    <w:rsid w:val="007700B8"/>
    <w:rsid w:val="007700BF"/>
    <w:rsid w:val="0077012D"/>
    <w:rsid w:val="007701F2"/>
    <w:rsid w:val="00770208"/>
    <w:rsid w:val="0077022E"/>
    <w:rsid w:val="00770237"/>
    <w:rsid w:val="0077026B"/>
    <w:rsid w:val="0077029B"/>
    <w:rsid w:val="00770359"/>
    <w:rsid w:val="007704A5"/>
    <w:rsid w:val="007704EC"/>
    <w:rsid w:val="007705EC"/>
    <w:rsid w:val="0077063C"/>
    <w:rsid w:val="007706A2"/>
    <w:rsid w:val="007706BA"/>
    <w:rsid w:val="00770702"/>
    <w:rsid w:val="0077071C"/>
    <w:rsid w:val="007708D0"/>
    <w:rsid w:val="00770948"/>
    <w:rsid w:val="00770963"/>
    <w:rsid w:val="00770983"/>
    <w:rsid w:val="00770AEC"/>
    <w:rsid w:val="00770B01"/>
    <w:rsid w:val="00770B59"/>
    <w:rsid w:val="00770B77"/>
    <w:rsid w:val="00770B8B"/>
    <w:rsid w:val="00770B8F"/>
    <w:rsid w:val="00770BEE"/>
    <w:rsid w:val="00770C45"/>
    <w:rsid w:val="00770DDD"/>
    <w:rsid w:val="00770EF0"/>
    <w:rsid w:val="00770F09"/>
    <w:rsid w:val="00770FE6"/>
    <w:rsid w:val="00771044"/>
    <w:rsid w:val="007710E6"/>
    <w:rsid w:val="007710F7"/>
    <w:rsid w:val="0077117E"/>
    <w:rsid w:val="007711D9"/>
    <w:rsid w:val="0077121E"/>
    <w:rsid w:val="0077132C"/>
    <w:rsid w:val="0077133E"/>
    <w:rsid w:val="0077135B"/>
    <w:rsid w:val="00771532"/>
    <w:rsid w:val="007716C5"/>
    <w:rsid w:val="00771701"/>
    <w:rsid w:val="00771843"/>
    <w:rsid w:val="007718CE"/>
    <w:rsid w:val="00771945"/>
    <w:rsid w:val="00771951"/>
    <w:rsid w:val="00771A4F"/>
    <w:rsid w:val="00771B34"/>
    <w:rsid w:val="00771C02"/>
    <w:rsid w:val="00771C51"/>
    <w:rsid w:val="00771C82"/>
    <w:rsid w:val="00771D15"/>
    <w:rsid w:val="00771DBD"/>
    <w:rsid w:val="00771DEE"/>
    <w:rsid w:val="00771E27"/>
    <w:rsid w:val="00771E3E"/>
    <w:rsid w:val="00771F02"/>
    <w:rsid w:val="00771F54"/>
    <w:rsid w:val="0077203C"/>
    <w:rsid w:val="007721EF"/>
    <w:rsid w:val="00772238"/>
    <w:rsid w:val="00772278"/>
    <w:rsid w:val="0077229D"/>
    <w:rsid w:val="00772315"/>
    <w:rsid w:val="00772321"/>
    <w:rsid w:val="00772330"/>
    <w:rsid w:val="0077238A"/>
    <w:rsid w:val="00772399"/>
    <w:rsid w:val="007723AD"/>
    <w:rsid w:val="007723EB"/>
    <w:rsid w:val="007724E8"/>
    <w:rsid w:val="007725B7"/>
    <w:rsid w:val="00772675"/>
    <w:rsid w:val="007726A9"/>
    <w:rsid w:val="00772792"/>
    <w:rsid w:val="007727BD"/>
    <w:rsid w:val="007727FB"/>
    <w:rsid w:val="00772804"/>
    <w:rsid w:val="00772808"/>
    <w:rsid w:val="00772886"/>
    <w:rsid w:val="007728AC"/>
    <w:rsid w:val="007728B4"/>
    <w:rsid w:val="00772933"/>
    <w:rsid w:val="007729CD"/>
    <w:rsid w:val="00772AC4"/>
    <w:rsid w:val="00772ADC"/>
    <w:rsid w:val="00772B0B"/>
    <w:rsid w:val="00772C7A"/>
    <w:rsid w:val="00772C7E"/>
    <w:rsid w:val="00772CC6"/>
    <w:rsid w:val="00772D32"/>
    <w:rsid w:val="00772D7C"/>
    <w:rsid w:val="00772D92"/>
    <w:rsid w:val="00772E33"/>
    <w:rsid w:val="00772E36"/>
    <w:rsid w:val="00772FDA"/>
    <w:rsid w:val="00773049"/>
    <w:rsid w:val="00773053"/>
    <w:rsid w:val="0077306F"/>
    <w:rsid w:val="00773164"/>
    <w:rsid w:val="0077320E"/>
    <w:rsid w:val="00773250"/>
    <w:rsid w:val="007732F3"/>
    <w:rsid w:val="007733C7"/>
    <w:rsid w:val="0077343E"/>
    <w:rsid w:val="0077343F"/>
    <w:rsid w:val="00773470"/>
    <w:rsid w:val="007735AC"/>
    <w:rsid w:val="0077367A"/>
    <w:rsid w:val="0077371B"/>
    <w:rsid w:val="00773746"/>
    <w:rsid w:val="00773751"/>
    <w:rsid w:val="007737D4"/>
    <w:rsid w:val="00773800"/>
    <w:rsid w:val="00773841"/>
    <w:rsid w:val="00773950"/>
    <w:rsid w:val="00773991"/>
    <w:rsid w:val="007739F7"/>
    <w:rsid w:val="00773AEB"/>
    <w:rsid w:val="00773BAF"/>
    <w:rsid w:val="00773C66"/>
    <w:rsid w:val="00773C8D"/>
    <w:rsid w:val="00773CD5"/>
    <w:rsid w:val="00773D14"/>
    <w:rsid w:val="00773D5F"/>
    <w:rsid w:val="00773D90"/>
    <w:rsid w:val="00773DCB"/>
    <w:rsid w:val="00773DE4"/>
    <w:rsid w:val="00773DF8"/>
    <w:rsid w:val="00773EFB"/>
    <w:rsid w:val="00773F2F"/>
    <w:rsid w:val="00774045"/>
    <w:rsid w:val="0077408A"/>
    <w:rsid w:val="007740DC"/>
    <w:rsid w:val="00774167"/>
    <w:rsid w:val="007741C6"/>
    <w:rsid w:val="007741D3"/>
    <w:rsid w:val="0077423C"/>
    <w:rsid w:val="0077425B"/>
    <w:rsid w:val="007742F7"/>
    <w:rsid w:val="00774314"/>
    <w:rsid w:val="00774383"/>
    <w:rsid w:val="007743C3"/>
    <w:rsid w:val="00774400"/>
    <w:rsid w:val="0077448C"/>
    <w:rsid w:val="00774494"/>
    <w:rsid w:val="00774573"/>
    <w:rsid w:val="00774581"/>
    <w:rsid w:val="007745D7"/>
    <w:rsid w:val="007745D9"/>
    <w:rsid w:val="00774715"/>
    <w:rsid w:val="00774746"/>
    <w:rsid w:val="0077483A"/>
    <w:rsid w:val="007748C3"/>
    <w:rsid w:val="00774930"/>
    <w:rsid w:val="0077494D"/>
    <w:rsid w:val="00774A1D"/>
    <w:rsid w:val="00774AA0"/>
    <w:rsid w:val="00774AB0"/>
    <w:rsid w:val="00774ADD"/>
    <w:rsid w:val="00774B3E"/>
    <w:rsid w:val="00774B53"/>
    <w:rsid w:val="00774BA1"/>
    <w:rsid w:val="00774CF8"/>
    <w:rsid w:val="00774D29"/>
    <w:rsid w:val="00774D3C"/>
    <w:rsid w:val="00774D3F"/>
    <w:rsid w:val="00774D82"/>
    <w:rsid w:val="00774EC8"/>
    <w:rsid w:val="00774F10"/>
    <w:rsid w:val="00774F28"/>
    <w:rsid w:val="00774F5A"/>
    <w:rsid w:val="00774FDD"/>
    <w:rsid w:val="0077507C"/>
    <w:rsid w:val="007750A4"/>
    <w:rsid w:val="00775109"/>
    <w:rsid w:val="00775137"/>
    <w:rsid w:val="00775139"/>
    <w:rsid w:val="00775165"/>
    <w:rsid w:val="007751F2"/>
    <w:rsid w:val="007751F5"/>
    <w:rsid w:val="00775250"/>
    <w:rsid w:val="00775277"/>
    <w:rsid w:val="007752DB"/>
    <w:rsid w:val="007752F1"/>
    <w:rsid w:val="0077538A"/>
    <w:rsid w:val="0077541C"/>
    <w:rsid w:val="00775550"/>
    <w:rsid w:val="00775557"/>
    <w:rsid w:val="007755CB"/>
    <w:rsid w:val="007755DC"/>
    <w:rsid w:val="0077563F"/>
    <w:rsid w:val="00775665"/>
    <w:rsid w:val="007756D7"/>
    <w:rsid w:val="007756DE"/>
    <w:rsid w:val="007757EA"/>
    <w:rsid w:val="007757EB"/>
    <w:rsid w:val="007757EF"/>
    <w:rsid w:val="0077580A"/>
    <w:rsid w:val="00775820"/>
    <w:rsid w:val="00775888"/>
    <w:rsid w:val="00775931"/>
    <w:rsid w:val="00775998"/>
    <w:rsid w:val="007759A4"/>
    <w:rsid w:val="00775AD2"/>
    <w:rsid w:val="00775C09"/>
    <w:rsid w:val="00775C21"/>
    <w:rsid w:val="00775C28"/>
    <w:rsid w:val="00775C4F"/>
    <w:rsid w:val="00775C81"/>
    <w:rsid w:val="00775C97"/>
    <w:rsid w:val="00775CF1"/>
    <w:rsid w:val="00775D0E"/>
    <w:rsid w:val="00775DE0"/>
    <w:rsid w:val="00775E69"/>
    <w:rsid w:val="00775E71"/>
    <w:rsid w:val="00775F3D"/>
    <w:rsid w:val="00775F79"/>
    <w:rsid w:val="00775F7E"/>
    <w:rsid w:val="00775FA4"/>
    <w:rsid w:val="00775FBE"/>
    <w:rsid w:val="00775FE4"/>
    <w:rsid w:val="0077600D"/>
    <w:rsid w:val="0077605E"/>
    <w:rsid w:val="007760CA"/>
    <w:rsid w:val="00776239"/>
    <w:rsid w:val="00776296"/>
    <w:rsid w:val="007762B0"/>
    <w:rsid w:val="007762CA"/>
    <w:rsid w:val="007762E3"/>
    <w:rsid w:val="00776338"/>
    <w:rsid w:val="007763F5"/>
    <w:rsid w:val="00776427"/>
    <w:rsid w:val="007764BB"/>
    <w:rsid w:val="00776557"/>
    <w:rsid w:val="00776560"/>
    <w:rsid w:val="0077657B"/>
    <w:rsid w:val="007765E5"/>
    <w:rsid w:val="00776626"/>
    <w:rsid w:val="00776689"/>
    <w:rsid w:val="0077669E"/>
    <w:rsid w:val="007766A0"/>
    <w:rsid w:val="00776702"/>
    <w:rsid w:val="00776753"/>
    <w:rsid w:val="00776786"/>
    <w:rsid w:val="00776859"/>
    <w:rsid w:val="00776867"/>
    <w:rsid w:val="00776868"/>
    <w:rsid w:val="00776896"/>
    <w:rsid w:val="007768A4"/>
    <w:rsid w:val="007768B5"/>
    <w:rsid w:val="00776911"/>
    <w:rsid w:val="00776963"/>
    <w:rsid w:val="0077698C"/>
    <w:rsid w:val="007769D8"/>
    <w:rsid w:val="00776A12"/>
    <w:rsid w:val="00776C09"/>
    <w:rsid w:val="00776CC7"/>
    <w:rsid w:val="00776DA8"/>
    <w:rsid w:val="00776DD1"/>
    <w:rsid w:val="00776DD6"/>
    <w:rsid w:val="00776DFA"/>
    <w:rsid w:val="00776EFD"/>
    <w:rsid w:val="00776F24"/>
    <w:rsid w:val="00776F8E"/>
    <w:rsid w:val="00776FE0"/>
    <w:rsid w:val="0077700B"/>
    <w:rsid w:val="0077707C"/>
    <w:rsid w:val="007770E9"/>
    <w:rsid w:val="007770FA"/>
    <w:rsid w:val="007770FD"/>
    <w:rsid w:val="00777139"/>
    <w:rsid w:val="00777180"/>
    <w:rsid w:val="0077718C"/>
    <w:rsid w:val="007771E2"/>
    <w:rsid w:val="007772F1"/>
    <w:rsid w:val="0077731B"/>
    <w:rsid w:val="00777364"/>
    <w:rsid w:val="007773B8"/>
    <w:rsid w:val="0077743F"/>
    <w:rsid w:val="007774FB"/>
    <w:rsid w:val="00777542"/>
    <w:rsid w:val="007776C9"/>
    <w:rsid w:val="00777859"/>
    <w:rsid w:val="00777864"/>
    <w:rsid w:val="0077787F"/>
    <w:rsid w:val="0077789D"/>
    <w:rsid w:val="007778A4"/>
    <w:rsid w:val="00777968"/>
    <w:rsid w:val="0077799D"/>
    <w:rsid w:val="007779AC"/>
    <w:rsid w:val="007779B9"/>
    <w:rsid w:val="00777A9E"/>
    <w:rsid w:val="00777AF4"/>
    <w:rsid w:val="00777B16"/>
    <w:rsid w:val="00777BD3"/>
    <w:rsid w:val="00777C12"/>
    <w:rsid w:val="00777E44"/>
    <w:rsid w:val="00777F05"/>
    <w:rsid w:val="00777F32"/>
    <w:rsid w:val="00777F7C"/>
    <w:rsid w:val="00777FC4"/>
    <w:rsid w:val="00777FF6"/>
    <w:rsid w:val="0078001A"/>
    <w:rsid w:val="0078007F"/>
    <w:rsid w:val="007800A8"/>
    <w:rsid w:val="007801B6"/>
    <w:rsid w:val="007801FE"/>
    <w:rsid w:val="00780203"/>
    <w:rsid w:val="00780249"/>
    <w:rsid w:val="007802E3"/>
    <w:rsid w:val="00780376"/>
    <w:rsid w:val="00780399"/>
    <w:rsid w:val="007803A6"/>
    <w:rsid w:val="007803B9"/>
    <w:rsid w:val="00780434"/>
    <w:rsid w:val="007804C8"/>
    <w:rsid w:val="00780511"/>
    <w:rsid w:val="00780547"/>
    <w:rsid w:val="0078055A"/>
    <w:rsid w:val="007805B8"/>
    <w:rsid w:val="007805C2"/>
    <w:rsid w:val="007805FA"/>
    <w:rsid w:val="00780645"/>
    <w:rsid w:val="007806D3"/>
    <w:rsid w:val="007806EE"/>
    <w:rsid w:val="007807CB"/>
    <w:rsid w:val="00780805"/>
    <w:rsid w:val="00780862"/>
    <w:rsid w:val="00780968"/>
    <w:rsid w:val="007809C9"/>
    <w:rsid w:val="00780A5B"/>
    <w:rsid w:val="00780B4A"/>
    <w:rsid w:val="00780B50"/>
    <w:rsid w:val="00780B51"/>
    <w:rsid w:val="00780B66"/>
    <w:rsid w:val="00780BB1"/>
    <w:rsid w:val="00780C13"/>
    <w:rsid w:val="00780C3E"/>
    <w:rsid w:val="00780C44"/>
    <w:rsid w:val="00780CAE"/>
    <w:rsid w:val="00780CC8"/>
    <w:rsid w:val="00780CD2"/>
    <w:rsid w:val="00780D5A"/>
    <w:rsid w:val="00780DA9"/>
    <w:rsid w:val="00780E6A"/>
    <w:rsid w:val="00780F69"/>
    <w:rsid w:val="00780F81"/>
    <w:rsid w:val="00781011"/>
    <w:rsid w:val="00781097"/>
    <w:rsid w:val="007810CF"/>
    <w:rsid w:val="0078112D"/>
    <w:rsid w:val="00781180"/>
    <w:rsid w:val="007811A0"/>
    <w:rsid w:val="007811D8"/>
    <w:rsid w:val="00781289"/>
    <w:rsid w:val="00781297"/>
    <w:rsid w:val="007812D1"/>
    <w:rsid w:val="007812D4"/>
    <w:rsid w:val="00781343"/>
    <w:rsid w:val="0078134E"/>
    <w:rsid w:val="0078136F"/>
    <w:rsid w:val="00781370"/>
    <w:rsid w:val="007813AA"/>
    <w:rsid w:val="007813AD"/>
    <w:rsid w:val="007814CD"/>
    <w:rsid w:val="00781577"/>
    <w:rsid w:val="007815A6"/>
    <w:rsid w:val="007815E2"/>
    <w:rsid w:val="0078168B"/>
    <w:rsid w:val="00781746"/>
    <w:rsid w:val="00781748"/>
    <w:rsid w:val="00781783"/>
    <w:rsid w:val="007817A0"/>
    <w:rsid w:val="00781865"/>
    <w:rsid w:val="0078190D"/>
    <w:rsid w:val="0078197A"/>
    <w:rsid w:val="0078197F"/>
    <w:rsid w:val="007819F5"/>
    <w:rsid w:val="00781A91"/>
    <w:rsid w:val="00781AD1"/>
    <w:rsid w:val="00781B8F"/>
    <w:rsid w:val="00781C35"/>
    <w:rsid w:val="00781C7F"/>
    <w:rsid w:val="00781E46"/>
    <w:rsid w:val="00781E55"/>
    <w:rsid w:val="00781E87"/>
    <w:rsid w:val="00781EAD"/>
    <w:rsid w:val="00781F09"/>
    <w:rsid w:val="00781FF7"/>
    <w:rsid w:val="0078200A"/>
    <w:rsid w:val="00782041"/>
    <w:rsid w:val="0078209E"/>
    <w:rsid w:val="007820FC"/>
    <w:rsid w:val="00782158"/>
    <w:rsid w:val="00782161"/>
    <w:rsid w:val="00782281"/>
    <w:rsid w:val="00782285"/>
    <w:rsid w:val="007822E0"/>
    <w:rsid w:val="007822E8"/>
    <w:rsid w:val="0078235A"/>
    <w:rsid w:val="00782391"/>
    <w:rsid w:val="00782415"/>
    <w:rsid w:val="0078242F"/>
    <w:rsid w:val="00782523"/>
    <w:rsid w:val="0078255B"/>
    <w:rsid w:val="00782585"/>
    <w:rsid w:val="007825DD"/>
    <w:rsid w:val="007826CE"/>
    <w:rsid w:val="007826FB"/>
    <w:rsid w:val="007826FE"/>
    <w:rsid w:val="00782727"/>
    <w:rsid w:val="007827CD"/>
    <w:rsid w:val="007827DA"/>
    <w:rsid w:val="007828CF"/>
    <w:rsid w:val="00782969"/>
    <w:rsid w:val="00782975"/>
    <w:rsid w:val="0078297D"/>
    <w:rsid w:val="007829B3"/>
    <w:rsid w:val="00782A4A"/>
    <w:rsid w:val="00782A79"/>
    <w:rsid w:val="00782ACE"/>
    <w:rsid w:val="00782B8E"/>
    <w:rsid w:val="00782BBD"/>
    <w:rsid w:val="00782C00"/>
    <w:rsid w:val="00782C09"/>
    <w:rsid w:val="00782C3F"/>
    <w:rsid w:val="00782C40"/>
    <w:rsid w:val="00782C4C"/>
    <w:rsid w:val="00782D21"/>
    <w:rsid w:val="00782D29"/>
    <w:rsid w:val="00782D3E"/>
    <w:rsid w:val="00782D59"/>
    <w:rsid w:val="00782D80"/>
    <w:rsid w:val="00782D86"/>
    <w:rsid w:val="00782DDF"/>
    <w:rsid w:val="00782DE2"/>
    <w:rsid w:val="00782E67"/>
    <w:rsid w:val="00782F1B"/>
    <w:rsid w:val="00782F47"/>
    <w:rsid w:val="0078304F"/>
    <w:rsid w:val="0078308B"/>
    <w:rsid w:val="007830C7"/>
    <w:rsid w:val="0078315D"/>
    <w:rsid w:val="007831BA"/>
    <w:rsid w:val="007831C3"/>
    <w:rsid w:val="007831DE"/>
    <w:rsid w:val="0078322A"/>
    <w:rsid w:val="0078330C"/>
    <w:rsid w:val="0078338B"/>
    <w:rsid w:val="0078341B"/>
    <w:rsid w:val="0078347D"/>
    <w:rsid w:val="007834A7"/>
    <w:rsid w:val="0078354A"/>
    <w:rsid w:val="007835B4"/>
    <w:rsid w:val="007835D6"/>
    <w:rsid w:val="007835E8"/>
    <w:rsid w:val="0078366B"/>
    <w:rsid w:val="007836C8"/>
    <w:rsid w:val="007836F2"/>
    <w:rsid w:val="00783793"/>
    <w:rsid w:val="007837BE"/>
    <w:rsid w:val="007837DF"/>
    <w:rsid w:val="00783834"/>
    <w:rsid w:val="0078395B"/>
    <w:rsid w:val="007839DB"/>
    <w:rsid w:val="00783A75"/>
    <w:rsid w:val="00783ACF"/>
    <w:rsid w:val="00783B36"/>
    <w:rsid w:val="00783BB5"/>
    <w:rsid w:val="00783C27"/>
    <w:rsid w:val="00783C2F"/>
    <w:rsid w:val="00783CE7"/>
    <w:rsid w:val="00783D19"/>
    <w:rsid w:val="00783D1D"/>
    <w:rsid w:val="00783D27"/>
    <w:rsid w:val="00783D66"/>
    <w:rsid w:val="00783E0B"/>
    <w:rsid w:val="00783EB4"/>
    <w:rsid w:val="00783F03"/>
    <w:rsid w:val="00783F58"/>
    <w:rsid w:val="00783F8C"/>
    <w:rsid w:val="00784027"/>
    <w:rsid w:val="00784072"/>
    <w:rsid w:val="0078412C"/>
    <w:rsid w:val="00784256"/>
    <w:rsid w:val="00784263"/>
    <w:rsid w:val="00784283"/>
    <w:rsid w:val="007842F9"/>
    <w:rsid w:val="0078434A"/>
    <w:rsid w:val="00784368"/>
    <w:rsid w:val="007843EB"/>
    <w:rsid w:val="00784445"/>
    <w:rsid w:val="0078444C"/>
    <w:rsid w:val="00784494"/>
    <w:rsid w:val="00784536"/>
    <w:rsid w:val="00784759"/>
    <w:rsid w:val="00784793"/>
    <w:rsid w:val="0078484A"/>
    <w:rsid w:val="00784948"/>
    <w:rsid w:val="0078497A"/>
    <w:rsid w:val="00784985"/>
    <w:rsid w:val="007849B1"/>
    <w:rsid w:val="00784A18"/>
    <w:rsid w:val="00784AB6"/>
    <w:rsid w:val="00784ACA"/>
    <w:rsid w:val="00784AD2"/>
    <w:rsid w:val="00784ADF"/>
    <w:rsid w:val="00784AE3"/>
    <w:rsid w:val="00784B57"/>
    <w:rsid w:val="00784B72"/>
    <w:rsid w:val="00784BAE"/>
    <w:rsid w:val="00784BEC"/>
    <w:rsid w:val="00784C39"/>
    <w:rsid w:val="00784C75"/>
    <w:rsid w:val="00784DCA"/>
    <w:rsid w:val="00784DF6"/>
    <w:rsid w:val="00784E01"/>
    <w:rsid w:val="00784E14"/>
    <w:rsid w:val="00784E6E"/>
    <w:rsid w:val="00784E9A"/>
    <w:rsid w:val="00784EEF"/>
    <w:rsid w:val="00784F1C"/>
    <w:rsid w:val="00784F62"/>
    <w:rsid w:val="00784FBE"/>
    <w:rsid w:val="00785084"/>
    <w:rsid w:val="007850E8"/>
    <w:rsid w:val="00785104"/>
    <w:rsid w:val="00785178"/>
    <w:rsid w:val="007852E2"/>
    <w:rsid w:val="00785329"/>
    <w:rsid w:val="00785419"/>
    <w:rsid w:val="00785612"/>
    <w:rsid w:val="00785643"/>
    <w:rsid w:val="0078564E"/>
    <w:rsid w:val="00785665"/>
    <w:rsid w:val="00785669"/>
    <w:rsid w:val="007856B0"/>
    <w:rsid w:val="007856B9"/>
    <w:rsid w:val="007856F5"/>
    <w:rsid w:val="0078579D"/>
    <w:rsid w:val="0078582F"/>
    <w:rsid w:val="00785867"/>
    <w:rsid w:val="0078588F"/>
    <w:rsid w:val="007858F7"/>
    <w:rsid w:val="00785909"/>
    <w:rsid w:val="00785928"/>
    <w:rsid w:val="0078593F"/>
    <w:rsid w:val="007859BF"/>
    <w:rsid w:val="007859C3"/>
    <w:rsid w:val="00785A32"/>
    <w:rsid w:val="00785B38"/>
    <w:rsid w:val="00785B3D"/>
    <w:rsid w:val="00785B6E"/>
    <w:rsid w:val="00785B97"/>
    <w:rsid w:val="00785BEC"/>
    <w:rsid w:val="00785C02"/>
    <w:rsid w:val="00785C55"/>
    <w:rsid w:val="00785D63"/>
    <w:rsid w:val="00785DA6"/>
    <w:rsid w:val="00785DD8"/>
    <w:rsid w:val="00785ED9"/>
    <w:rsid w:val="00785F40"/>
    <w:rsid w:val="00785F78"/>
    <w:rsid w:val="00785F88"/>
    <w:rsid w:val="00785FB2"/>
    <w:rsid w:val="00785FBA"/>
    <w:rsid w:val="00785FCF"/>
    <w:rsid w:val="00785FF9"/>
    <w:rsid w:val="00786047"/>
    <w:rsid w:val="007860B0"/>
    <w:rsid w:val="0078611A"/>
    <w:rsid w:val="00786177"/>
    <w:rsid w:val="00786316"/>
    <w:rsid w:val="00786381"/>
    <w:rsid w:val="00786391"/>
    <w:rsid w:val="00786440"/>
    <w:rsid w:val="007864E0"/>
    <w:rsid w:val="007864E4"/>
    <w:rsid w:val="00786503"/>
    <w:rsid w:val="00786537"/>
    <w:rsid w:val="00786570"/>
    <w:rsid w:val="00786654"/>
    <w:rsid w:val="00786694"/>
    <w:rsid w:val="007866D2"/>
    <w:rsid w:val="007866DF"/>
    <w:rsid w:val="00786703"/>
    <w:rsid w:val="007867B4"/>
    <w:rsid w:val="007867CD"/>
    <w:rsid w:val="00786838"/>
    <w:rsid w:val="007868B2"/>
    <w:rsid w:val="007868DF"/>
    <w:rsid w:val="00786945"/>
    <w:rsid w:val="00786963"/>
    <w:rsid w:val="007869D2"/>
    <w:rsid w:val="007869E4"/>
    <w:rsid w:val="007869EB"/>
    <w:rsid w:val="00786A34"/>
    <w:rsid w:val="00786A38"/>
    <w:rsid w:val="00786AC4"/>
    <w:rsid w:val="00786ADE"/>
    <w:rsid w:val="00786B41"/>
    <w:rsid w:val="00786B55"/>
    <w:rsid w:val="00786BA6"/>
    <w:rsid w:val="00786CCA"/>
    <w:rsid w:val="00786D12"/>
    <w:rsid w:val="00786D34"/>
    <w:rsid w:val="00786F58"/>
    <w:rsid w:val="00787021"/>
    <w:rsid w:val="007870C1"/>
    <w:rsid w:val="00787137"/>
    <w:rsid w:val="00787163"/>
    <w:rsid w:val="007871DF"/>
    <w:rsid w:val="0078724C"/>
    <w:rsid w:val="0078727B"/>
    <w:rsid w:val="0078729D"/>
    <w:rsid w:val="007872F9"/>
    <w:rsid w:val="0078736B"/>
    <w:rsid w:val="007873BC"/>
    <w:rsid w:val="007874A4"/>
    <w:rsid w:val="00787567"/>
    <w:rsid w:val="00787569"/>
    <w:rsid w:val="007875A2"/>
    <w:rsid w:val="007875CD"/>
    <w:rsid w:val="00787615"/>
    <w:rsid w:val="00787627"/>
    <w:rsid w:val="007876C0"/>
    <w:rsid w:val="007877C7"/>
    <w:rsid w:val="00787846"/>
    <w:rsid w:val="00787877"/>
    <w:rsid w:val="00787927"/>
    <w:rsid w:val="0078793A"/>
    <w:rsid w:val="007879D4"/>
    <w:rsid w:val="007879EA"/>
    <w:rsid w:val="007879EF"/>
    <w:rsid w:val="00787AD1"/>
    <w:rsid w:val="00787AF4"/>
    <w:rsid w:val="00787B09"/>
    <w:rsid w:val="00787BF0"/>
    <w:rsid w:val="00787C05"/>
    <w:rsid w:val="00787C74"/>
    <w:rsid w:val="00787CD9"/>
    <w:rsid w:val="00787D18"/>
    <w:rsid w:val="00787D72"/>
    <w:rsid w:val="00787DB5"/>
    <w:rsid w:val="00787DB9"/>
    <w:rsid w:val="00787DFE"/>
    <w:rsid w:val="00787EF3"/>
    <w:rsid w:val="00787F19"/>
    <w:rsid w:val="00787FA9"/>
    <w:rsid w:val="0079008B"/>
    <w:rsid w:val="00790110"/>
    <w:rsid w:val="007902AA"/>
    <w:rsid w:val="007902F6"/>
    <w:rsid w:val="00790320"/>
    <w:rsid w:val="007903EA"/>
    <w:rsid w:val="007903ED"/>
    <w:rsid w:val="007905E8"/>
    <w:rsid w:val="007905F2"/>
    <w:rsid w:val="007906D1"/>
    <w:rsid w:val="007906D8"/>
    <w:rsid w:val="00790715"/>
    <w:rsid w:val="007908A7"/>
    <w:rsid w:val="00790944"/>
    <w:rsid w:val="007909FB"/>
    <w:rsid w:val="00790A4E"/>
    <w:rsid w:val="00790A59"/>
    <w:rsid w:val="00790B5C"/>
    <w:rsid w:val="00790BC6"/>
    <w:rsid w:val="00790D87"/>
    <w:rsid w:val="00790D98"/>
    <w:rsid w:val="00790E20"/>
    <w:rsid w:val="00790E33"/>
    <w:rsid w:val="00790EB9"/>
    <w:rsid w:val="00790EDC"/>
    <w:rsid w:val="00790F20"/>
    <w:rsid w:val="00790FE4"/>
    <w:rsid w:val="00791010"/>
    <w:rsid w:val="00791098"/>
    <w:rsid w:val="007910C9"/>
    <w:rsid w:val="007910ED"/>
    <w:rsid w:val="0079114C"/>
    <w:rsid w:val="007911C4"/>
    <w:rsid w:val="007911DE"/>
    <w:rsid w:val="0079128B"/>
    <w:rsid w:val="007912F4"/>
    <w:rsid w:val="007912FA"/>
    <w:rsid w:val="00791312"/>
    <w:rsid w:val="0079134F"/>
    <w:rsid w:val="00791356"/>
    <w:rsid w:val="007913C3"/>
    <w:rsid w:val="007913CC"/>
    <w:rsid w:val="007913E7"/>
    <w:rsid w:val="00791460"/>
    <w:rsid w:val="0079146F"/>
    <w:rsid w:val="0079151F"/>
    <w:rsid w:val="0079161F"/>
    <w:rsid w:val="00791700"/>
    <w:rsid w:val="00791770"/>
    <w:rsid w:val="0079184A"/>
    <w:rsid w:val="00791880"/>
    <w:rsid w:val="007918D1"/>
    <w:rsid w:val="00791917"/>
    <w:rsid w:val="007919E5"/>
    <w:rsid w:val="00791A56"/>
    <w:rsid w:val="00791AB4"/>
    <w:rsid w:val="00791AF4"/>
    <w:rsid w:val="00791C17"/>
    <w:rsid w:val="00791C56"/>
    <w:rsid w:val="00791C62"/>
    <w:rsid w:val="00791C95"/>
    <w:rsid w:val="00791CCE"/>
    <w:rsid w:val="00791E7D"/>
    <w:rsid w:val="00791EC2"/>
    <w:rsid w:val="00791F13"/>
    <w:rsid w:val="00791F28"/>
    <w:rsid w:val="00791FBF"/>
    <w:rsid w:val="00791FCC"/>
    <w:rsid w:val="00791FDE"/>
    <w:rsid w:val="007920DC"/>
    <w:rsid w:val="007920F7"/>
    <w:rsid w:val="0079216F"/>
    <w:rsid w:val="0079217A"/>
    <w:rsid w:val="007921AE"/>
    <w:rsid w:val="0079222B"/>
    <w:rsid w:val="00792273"/>
    <w:rsid w:val="007922DE"/>
    <w:rsid w:val="00792368"/>
    <w:rsid w:val="00792390"/>
    <w:rsid w:val="00792482"/>
    <w:rsid w:val="0079259A"/>
    <w:rsid w:val="00792685"/>
    <w:rsid w:val="007926A5"/>
    <w:rsid w:val="007926BF"/>
    <w:rsid w:val="00792743"/>
    <w:rsid w:val="00792831"/>
    <w:rsid w:val="0079291C"/>
    <w:rsid w:val="0079295B"/>
    <w:rsid w:val="007929CD"/>
    <w:rsid w:val="00792A55"/>
    <w:rsid w:val="00792AD5"/>
    <w:rsid w:val="00792AE2"/>
    <w:rsid w:val="00792BC5"/>
    <w:rsid w:val="00792C7B"/>
    <w:rsid w:val="00792D88"/>
    <w:rsid w:val="00792DF8"/>
    <w:rsid w:val="00792E2A"/>
    <w:rsid w:val="00792E63"/>
    <w:rsid w:val="00792E69"/>
    <w:rsid w:val="00792E9D"/>
    <w:rsid w:val="00792EE2"/>
    <w:rsid w:val="00792EF3"/>
    <w:rsid w:val="00792F4D"/>
    <w:rsid w:val="00792FBB"/>
    <w:rsid w:val="0079303C"/>
    <w:rsid w:val="0079304A"/>
    <w:rsid w:val="00793117"/>
    <w:rsid w:val="007931C1"/>
    <w:rsid w:val="007931D7"/>
    <w:rsid w:val="0079320A"/>
    <w:rsid w:val="007932FC"/>
    <w:rsid w:val="00793348"/>
    <w:rsid w:val="00793370"/>
    <w:rsid w:val="00793383"/>
    <w:rsid w:val="007933CC"/>
    <w:rsid w:val="00793404"/>
    <w:rsid w:val="0079341C"/>
    <w:rsid w:val="0079348D"/>
    <w:rsid w:val="00793524"/>
    <w:rsid w:val="00793539"/>
    <w:rsid w:val="00793607"/>
    <w:rsid w:val="0079361C"/>
    <w:rsid w:val="00793641"/>
    <w:rsid w:val="0079364D"/>
    <w:rsid w:val="00793665"/>
    <w:rsid w:val="0079367E"/>
    <w:rsid w:val="00793788"/>
    <w:rsid w:val="0079379A"/>
    <w:rsid w:val="007937C9"/>
    <w:rsid w:val="007937EB"/>
    <w:rsid w:val="0079383A"/>
    <w:rsid w:val="00793885"/>
    <w:rsid w:val="00793913"/>
    <w:rsid w:val="007939CD"/>
    <w:rsid w:val="00793A0E"/>
    <w:rsid w:val="00793A33"/>
    <w:rsid w:val="00793A4D"/>
    <w:rsid w:val="00793AAE"/>
    <w:rsid w:val="00793B66"/>
    <w:rsid w:val="00793B89"/>
    <w:rsid w:val="00793C2F"/>
    <w:rsid w:val="00793C99"/>
    <w:rsid w:val="00793D06"/>
    <w:rsid w:val="00793D42"/>
    <w:rsid w:val="00793D53"/>
    <w:rsid w:val="00793DB0"/>
    <w:rsid w:val="00793F62"/>
    <w:rsid w:val="00793F69"/>
    <w:rsid w:val="00793F95"/>
    <w:rsid w:val="00793FB2"/>
    <w:rsid w:val="00793FEC"/>
    <w:rsid w:val="00794025"/>
    <w:rsid w:val="00794064"/>
    <w:rsid w:val="007940A1"/>
    <w:rsid w:val="007940E5"/>
    <w:rsid w:val="007941BA"/>
    <w:rsid w:val="007941D2"/>
    <w:rsid w:val="00794323"/>
    <w:rsid w:val="00794380"/>
    <w:rsid w:val="007943A9"/>
    <w:rsid w:val="00794519"/>
    <w:rsid w:val="0079457D"/>
    <w:rsid w:val="007945C6"/>
    <w:rsid w:val="00794692"/>
    <w:rsid w:val="007946BF"/>
    <w:rsid w:val="00794732"/>
    <w:rsid w:val="0079473D"/>
    <w:rsid w:val="00794766"/>
    <w:rsid w:val="00794782"/>
    <w:rsid w:val="00794795"/>
    <w:rsid w:val="00794815"/>
    <w:rsid w:val="0079482F"/>
    <w:rsid w:val="00794890"/>
    <w:rsid w:val="007948B9"/>
    <w:rsid w:val="00794966"/>
    <w:rsid w:val="007949A6"/>
    <w:rsid w:val="007949D1"/>
    <w:rsid w:val="007949E8"/>
    <w:rsid w:val="00794B45"/>
    <w:rsid w:val="00794B81"/>
    <w:rsid w:val="00794BD6"/>
    <w:rsid w:val="00794DC5"/>
    <w:rsid w:val="00794E13"/>
    <w:rsid w:val="00794F16"/>
    <w:rsid w:val="00794F79"/>
    <w:rsid w:val="0079501F"/>
    <w:rsid w:val="0079514B"/>
    <w:rsid w:val="007951C6"/>
    <w:rsid w:val="0079523A"/>
    <w:rsid w:val="00795289"/>
    <w:rsid w:val="007952B3"/>
    <w:rsid w:val="007952F2"/>
    <w:rsid w:val="0079536E"/>
    <w:rsid w:val="0079538C"/>
    <w:rsid w:val="0079541F"/>
    <w:rsid w:val="00795436"/>
    <w:rsid w:val="00795438"/>
    <w:rsid w:val="0079546F"/>
    <w:rsid w:val="00795543"/>
    <w:rsid w:val="0079554F"/>
    <w:rsid w:val="00795550"/>
    <w:rsid w:val="007955D7"/>
    <w:rsid w:val="007955E9"/>
    <w:rsid w:val="007955F4"/>
    <w:rsid w:val="007956B1"/>
    <w:rsid w:val="007956DA"/>
    <w:rsid w:val="00795717"/>
    <w:rsid w:val="00795723"/>
    <w:rsid w:val="007957C2"/>
    <w:rsid w:val="00795843"/>
    <w:rsid w:val="00795890"/>
    <w:rsid w:val="007958B4"/>
    <w:rsid w:val="00795928"/>
    <w:rsid w:val="00795A18"/>
    <w:rsid w:val="00795A2F"/>
    <w:rsid w:val="00795A4A"/>
    <w:rsid w:val="00795B20"/>
    <w:rsid w:val="00795B79"/>
    <w:rsid w:val="00795BD7"/>
    <w:rsid w:val="00795C3D"/>
    <w:rsid w:val="00795CB9"/>
    <w:rsid w:val="00795CD5"/>
    <w:rsid w:val="00795CE7"/>
    <w:rsid w:val="00795DEB"/>
    <w:rsid w:val="00795E6E"/>
    <w:rsid w:val="00796078"/>
    <w:rsid w:val="00796166"/>
    <w:rsid w:val="007961E4"/>
    <w:rsid w:val="00796280"/>
    <w:rsid w:val="00796496"/>
    <w:rsid w:val="007965C7"/>
    <w:rsid w:val="007965C9"/>
    <w:rsid w:val="007965F5"/>
    <w:rsid w:val="007966CC"/>
    <w:rsid w:val="007966FC"/>
    <w:rsid w:val="0079672C"/>
    <w:rsid w:val="0079674A"/>
    <w:rsid w:val="0079675F"/>
    <w:rsid w:val="0079676C"/>
    <w:rsid w:val="00796907"/>
    <w:rsid w:val="0079690F"/>
    <w:rsid w:val="0079691D"/>
    <w:rsid w:val="00796991"/>
    <w:rsid w:val="007969CD"/>
    <w:rsid w:val="00796A1C"/>
    <w:rsid w:val="00796A33"/>
    <w:rsid w:val="00796AA2"/>
    <w:rsid w:val="00796AB6"/>
    <w:rsid w:val="00796ADB"/>
    <w:rsid w:val="00796BD1"/>
    <w:rsid w:val="00796C31"/>
    <w:rsid w:val="00796C4A"/>
    <w:rsid w:val="00796C9D"/>
    <w:rsid w:val="00796CC7"/>
    <w:rsid w:val="00796CF0"/>
    <w:rsid w:val="00796DF7"/>
    <w:rsid w:val="00796EAB"/>
    <w:rsid w:val="00796EE3"/>
    <w:rsid w:val="00796F28"/>
    <w:rsid w:val="00796F52"/>
    <w:rsid w:val="00796F7C"/>
    <w:rsid w:val="00796FE0"/>
    <w:rsid w:val="007970DF"/>
    <w:rsid w:val="007970EA"/>
    <w:rsid w:val="007970F9"/>
    <w:rsid w:val="007970FF"/>
    <w:rsid w:val="007971DB"/>
    <w:rsid w:val="00797221"/>
    <w:rsid w:val="00797287"/>
    <w:rsid w:val="00797390"/>
    <w:rsid w:val="007973C1"/>
    <w:rsid w:val="00797454"/>
    <w:rsid w:val="0079758B"/>
    <w:rsid w:val="00797592"/>
    <w:rsid w:val="007975C1"/>
    <w:rsid w:val="007975D1"/>
    <w:rsid w:val="0079763C"/>
    <w:rsid w:val="00797662"/>
    <w:rsid w:val="0079767E"/>
    <w:rsid w:val="0079768F"/>
    <w:rsid w:val="007976F8"/>
    <w:rsid w:val="0079772F"/>
    <w:rsid w:val="007977C3"/>
    <w:rsid w:val="007977E6"/>
    <w:rsid w:val="00797805"/>
    <w:rsid w:val="00797811"/>
    <w:rsid w:val="00797862"/>
    <w:rsid w:val="0079786F"/>
    <w:rsid w:val="00797888"/>
    <w:rsid w:val="00797934"/>
    <w:rsid w:val="0079793D"/>
    <w:rsid w:val="00797980"/>
    <w:rsid w:val="007979D5"/>
    <w:rsid w:val="007979E6"/>
    <w:rsid w:val="00797A19"/>
    <w:rsid w:val="00797A4F"/>
    <w:rsid w:val="00797A7B"/>
    <w:rsid w:val="00797B80"/>
    <w:rsid w:val="00797C05"/>
    <w:rsid w:val="00797C98"/>
    <w:rsid w:val="00797C9D"/>
    <w:rsid w:val="00797CB6"/>
    <w:rsid w:val="00797CE4"/>
    <w:rsid w:val="00797DCA"/>
    <w:rsid w:val="00797DEF"/>
    <w:rsid w:val="00797E43"/>
    <w:rsid w:val="00797E7F"/>
    <w:rsid w:val="00797EC5"/>
    <w:rsid w:val="00797F0C"/>
    <w:rsid w:val="007A0009"/>
    <w:rsid w:val="007A0134"/>
    <w:rsid w:val="007A015E"/>
    <w:rsid w:val="007A0267"/>
    <w:rsid w:val="007A02A0"/>
    <w:rsid w:val="007A03C5"/>
    <w:rsid w:val="007A04A6"/>
    <w:rsid w:val="007A05C2"/>
    <w:rsid w:val="007A071F"/>
    <w:rsid w:val="007A0748"/>
    <w:rsid w:val="007A0778"/>
    <w:rsid w:val="007A079A"/>
    <w:rsid w:val="007A07A1"/>
    <w:rsid w:val="007A07ED"/>
    <w:rsid w:val="007A0821"/>
    <w:rsid w:val="007A0849"/>
    <w:rsid w:val="007A08E3"/>
    <w:rsid w:val="007A0926"/>
    <w:rsid w:val="007A0953"/>
    <w:rsid w:val="007A09DC"/>
    <w:rsid w:val="007A0A58"/>
    <w:rsid w:val="007A0A6D"/>
    <w:rsid w:val="007A0ADF"/>
    <w:rsid w:val="007A0B28"/>
    <w:rsid w:val="007A0B8D"/>
    <w:rsid w:val="007A0C01"/>
    <w:rsid w:val="007A0C50"/>
    <w:rsid w:val="007A0C6F"/>
    <w:rsid w:val="007A0C70"/>
    <w:rsid w:val="007A0CBF"/>
    <w:rsid w:val="007A0CF3"/>
    <w:rsid w:val="007A0D11"/>
    <w:rsid w:val="007A0D15"/>
    <w:rsid w:val="007A0DD7"/>
    <w:rsid w:val="007A0DDD"/>
    <w:rsid w:val="007A0F04"/>
    <w:rsid w:val="007A0F48"/>
    <w:rsid w:val="007A0F6C"/>
    <w:rsid w:val="007A0FF8"/>
    <w:rsid w:val="007A1014"/>
    <w:rsid w:val="007A101E"/>
    <w:rsid w:val="007A1233"/>
    <w:rsid w:val="007A124F"/>
    <w:rsid w:val="007A1292"/>
    <w:rsid w:val="007A12A3"/>
    <w:rsid w:val="007A12B6"/>
    <w:rsid w:val="007A1337"/>
    <w:rsid w:val="007A141C"/>
    <w:rsid w:val="007A1497"/>
    <w:rsid w:val="007A14A3"/>
    <w:rsid w:val="007A14D8"/>
    <w:rsid w:val="007A14E5"/>
    <w:rsid w:val="007A1521"/>
    <w:rsid w:val="007A1585"/>
    <w:rsid w:val="007A1626"/>
    <w:rsid w:val="007A1630"/>
    <w:rsid w:val="007A16BA"/>
    <w:rsid w:val="007A16BD"/>
    <w:rsid w:val="007A1768"/>
    <w:rsid w:val="007A17F0"/>
    <w:rsid w:val="007A189A"/>
    <w:rsid w:val="007A18B5"/>
    <w:rsid w:val="007A1990"/>
    <w:rsid w:val="007A1997"/>
    <w:rsid w:val="007A19A1"/>
    <w:rsid w:val="007A1A1E"/>
    <w:rsid w:val="007A1A2A"/>
    <w:rsid w:val="007A1B1F"/>
    <w:rsid w:val="007A1B4B"/>
    <w:rsid w:val="007A1B59"/>
    <w:rsid w:val="007A1C0B"/>
    <w:rsid w:val="007A1C32"/>
    <w:rsid w:val="007A1DE1"/>
    <w:rsid w:val="007A1ECC"/>
    <w:rsid w:val="007A1EFF"/>
    <w:rsid w:val="007A1F9F"/>
    <w:rsid w:val="007A1FE2"/>
    <w:rsid w:val="007A1FF0"/>
    <w:rsid w:val="007A2036"/>
    <w:rsid w:val="007A209D"/>
    <w:rsid w:val="007A20A6"/>
    <w:rsid w:val="007A20BD"/>
    <w:rsid w:val="007A212D"/>
    <w:rsid w:val="007A2251"/>
    <w:rsid w:val="007A225B"/>
    <w:rsid w:val="007A22F3"/>
    <w:rsid w:val="007A230D"/>
    <w:rsid w:val="007A231B"/>
    <w:rsid w:val="007A2351"/>
    <w:rsid w:val="007A238E"/>
    <w:rsid w:val="007A23EF"/>
    <w:rsid w:val="007A2475"/>
    <w:rsid w:val="007A24DB"/>
    <w:rsid w:val="007A253F"/>
    <w:rsid w:val="007A258D"/>
    <w:rsid w:val="007A25BA"/>
    <w:rsid w:val="007A262E"/>
    <w:rsid w:val="007A2649"/>
    <w:rsid w:val="007A2704"/>
    <w:rsid w:val="007A279B"/>
    <w:rsid w:val="007A2A47"/>
    <w:rsid w:val="007A2AB4"/>
    <w:rsid w:val="007A2ABC"/>
    <w:rsid w:val="007A2AC8"/>
    <w:rsid w:val="007A2B49"/>
    <w:rsid w:val="007A2C9B"/>
    <w:rsid w:val="007A2CBB"/>
    <w:rsid w:val="007A2D36"/>
    <w:rsid w:val="007A2DB4"/>
    <w:rsid w:val="007A2DBD"/>
    <w:rsid w:val="007A2E5E"/>
    <w:rsid w:val="007A2E81"/>
    <w:rsid w:val="007A2EA3"/>
    <w:rsid w:val="007A2EE2"/>
    <w:rsid w:val="007A2F32"/>
    <w:rsid w:val="007A2F47"/>
    <w:rsid w:val="007A2FF5"/>
    <w:rsid w:val="007A3033"/>
    <w:rsid w:val="007A3163"/>
    <w:rsid w:val="007A3167"/>
    <w:rsid w:val="007A3180"/>
    <w:rsid w:val="007A31A7"/>
    <w:rsid w:val="007A31A9"/>
    <w:rsid w:val="007A3227"/>
    <w:rsid w:val="007A32D2"/>
    <w:rsid w:val="007A32ED"/>
    <w:rsid w:val="007A3304"/>
    <w:rsid w:val="007A3312"/>
    <w:rsid w:val="007A3335"/>
    <w:rsid w:val="007A339F"/>
    <w:rsid w:val="007A33B5"/>
    <w:rsid w:val="007A3448"/>
    <w:rsid w:val="007A344C"/>
    <w:rsid w:val="007A3526"/>
    <w:rsid w:val="007A3581"/>
    <w:rsid w:val="007A358C"/>
    <w:rsid w:val="007A35E0"/>
    <w:rsid w:val="007A35F6"/>
    <w:rsid w:val="007A36E9"/>
    <w:rsid w:val="007A372A"/>
    <w:rsid w:val="007A3742"/>
    <w:rsid w:val="007A376A"/>
    <w:rsid w:val="007A3787"/>
    <w:rsid w:val="007A378B"/>
    <w:rsid w:val="007A3798"/>
    <w:rsid w:val="007A37E4"/>
    <w:rsid w:val="007A38A1"/>
    <w:rsid w:val="007A3968"/>
    <w:rsid w:val="007A39A4"/>
    <w:rsid w:val="007A3B7C"/>
    <w:rsid w:val="007A3BE4"/>
    <w:rsid w:val="007A3C41"/>
    <w:rsid w:val="007A3C73"/>
    <w:rsid w:val="007A3CB3"/>
    <w:rsid w:val="007A3CEC"/>
    <w:rsid w:val="007A3D99"/>
    <w:rsid w:val="007A3DB2"/>
    <w:rsid w:val="007A3DE5"/>
    <w:rsid w:val="007A3DEA"/>
    <w:rsid w:val="007A3E55"/>
    <w:rsid w:val="007A3E74"/>
    <w:rsid w:val="007A3EB1"/>
    <w:rsid w:val="007A3F1F"/>
    <w:rsid w:val="007A3F70"/>
    <w:rsid w:val="007A3F80"/>
    <w:rsid w:val="007A3FBE"/>
    <w:rsid w:val="007A3FD6"/>
    <w:rsid w:val="007A40D2"/>
    <w:rsid w:val="007A4108"/>
    <w:rsid w:val="007A41D1"/>
    <w:rsid w:val="007A4207"/>
    <w:rsid w:val="007A424E"/>
    <w:rsid w:val="007A426B"/>
    <w:rsid w:val="007A427A"/>
    <w:rsid w:val="007A428D"/>
    <w:rsid w:val="007A429C"/>
    <w:rsid w:val="007A429D"/>
    <w:rsid w:val="007A42D2"/>
    <w:rsid w:val="007A4300"/>
    <w:rsid w:val="007A4336"/>
    <w:rsid w:val="007A4367"/>
    <w:rsid w:val="007A4369"/>
    <w:rsid w:val="007A4380"/>
    <w:rsid w:val="007A43E9"/>
    <w:rsid w:val="007A4436"/>
    <w:rsid w:val="007A4449"/>
    <w:rsid w:val="007A449D"/>
    <w:rsid w:val="007A44B2"/>
    <w:rsid w:val="007A44BE"/>
    <w:rsid w:val="007A466F"/>
    <w:rsid w:val="007A469B"/>
    <w:rsid w:val="007A4722"/>
    <w:rsid w:val="007A47C9"/>
    <w:rsid w:val="007A484D"/>
    <w:rsid w:val="007A48A0"/>
    <w:rsid w:val="007A48D1"/>
    <w:rsid w:val="007A49B5"/>
    <w:rsid w:val="007A4A1A"/>
    <w:rsid w:val="007A4A2C"/>
    <w:rsid w:val="007A4A9E"/>
    <w:rsid w:val="007A4AD1"/>
    <w:rsid w:val="007A4B21"/>
    <w:rsid w:val="007A4BE9"/>
    <w:rsid w:val="007A4D0C"/>
    <w:rsid w:val="007A4D5D"/>
    <w:rsid w:val="007A4DB4"/>
    <w:rsid w:val="007A4E59"/>
    <w:rsid w:val="007A4EB0"/>
    <w:rsid w:val="007A4EE6"/>
    <w:rsid w:val="007A4F5F"/>
    <w:rsid w:val="007A4FDD"/>
    <w:rsid w:val="007A4FEA"/>
    <w:rsid w:val="007A5008"/>
    <w:rsid w:val="007A5034"/>
    <w:rsid w:val="007A505E"/>
    <w:rsid w:val="007A508F"/>
    <w:rsid w:val="007A509C"/>
    <w:rsid w:val="007A5140"/>
    <w:rsid w:val="007A5179"/>
    <w:rsid w:val="007A52A6"/>
    <w:rsid w:val="007A52B8"/>
    <w:rsid w:val="007A5301"/>
    <w:rsid w:val="007A5369"/>
    <w:rsid w:val="007A53DD"/>
    <w:rsid w:val="007A53DF"/>
    <w:rsid w:val="007A5477"/>
    <w:rsid w:val="007A551A"/>
    <w:rsid w:val="007A55F7"/>
    <w:rsid w:val="007A55FE"/>
    <w:rsid w:val="007A562B"/>
    <w:rsid w:val="007A566E"/>
    <w:rsid w:val="007A5684"/>
    <w:rsid w:val="007A56C4"/>
    <w:rsid w:val="007A56F5"/>
    <w:rsid w:val="007A5769"/>
    <w:rsid w:val="007A57AE"/>
    <w:rsid w:val="007A5870"/>
    <w:rsid w:val="007A587D"/>
    <w:rsid w:val="007A588A"/>
    <w:rsid w:val="007A593C"/>
    <w:rsid w:val="007A598E"/>
    <w:rsid w:val="007A5A78"/>
    <w:rsid w:val="007A5A84"/>
    <w:rsid w:val="007A5BD1"/>
    <w:rsid w:val="007A5BD4"/>
    <w:rsid w:val="007A5C61"/>
    <w:rsid w:val="007A5CFD"/>
    <w:rsid w:val="007A5D56"/>
    <w:rsid w:val="007A5DC7"/>
    <w:rsid w:val="007A5DCF"/>
    <w:rsid w:val="007A5E03"/>
    <w:rsid w:val="007A5E2F"/>
    <w:rsid w:val="007A5E4D"/>
    <w:rsid w:val="007A5E9F"/>
    <w:rsid w:val="007A5EE4"/>
    <w:rsid w:val="007A5EFB"/>
    <w:rsid w:val="007A5F49"/>
    <w:rsid w:val="007A602A"/>
    <w:rsid w:val="007A606D"/>
    <w:rsid w:val="007A60C6"/>
    <w:rsid w:val="007A60DC"/>
    <w:rsid w:val="007A6151"/>
    <w:rsid w:val="007A61AC"/>
    <w:rsid w:val="007A61D5"/>
    <w:rsid w:val="007A61E4"/>
    <w:rsid w:val="007A6258"/>
    <w:rsid w:val="007A6365"/>
    <w:rsid w:val="007A63D2"/>
    <w:rsid w:val="007A63F1"/>
    <w:rsid w:val="007A63F5"/>
    <w:rsid w:val="007A6446"/>
    <w:rsid w:val="007A6451"/>
    <w:rsid w:val="007A6539"/>
    <w:rsid w:val="007A656A"/>
    <w:rsid w:val="007A659B"/>
    <w:rsid w:val="007A65AA"/>
    <w:rsid w:val="007A65CE"/>
    <w:rsid w:val="007A65DF"/>
    <w:rsid w:val="007A667B"/>
    <w:rsid w:val="007A6722"/>
    <w:rsid w:val="007A676D"/>
    <w:rsid w:val="007A67CF"/>
    <w:rsid w:val="007A67D4"/>
    <w:rsid w:val="007A688E"/>
    <w:rsid w:val="007A68D4"/>
    <w:rsid w:val="007A6A44"/>
    <w:rsid w:val="007A6A72"/>
    <w:rsid w:val="007A6A79"/>
    <w:rsid w:val="007A6A83"/>
    <w:rsid w:val="007A6AD1"/>
    <w:rsid w:val="007A6ADA"/>
    <w:rsid w:val="007A6B38"/>
    <w:rsid w:val="007A6B57"/>
    <w:rsid w:val="007A6B97"/>
    <w:rsid w:val="007A6BE7"/>
    <w:rsid w:val="007A6C02"/>
    <w:rsid w:val="007A6C04"/>
    <w:rsid w:val="007A6C94"/>
    <w:rsid w:val="007A6CF3"/>
    <w:rsid w:val="007A6D5D"/>
    <w:rsid w:val="007A6DC3"/>
    <w:rsid w:val="007A6E03"/>
    <w:rsid w:val="007A6E9F"/>
    <w:rsid w:val="007A6EB4"/>
    <w:rsid w:val="007A6F1D"/>
    <w:rsid w:val="007A6FB3"/>
    <w:rsid w:val="007A7064"/>
    <w:rsid w:val="007A70FC"/>
    <w:rsid w:val="007A7140"/>
    <w:rsid w:val="007A714B"/>
    <w:rsid w:val="007A7221"/>
    <w:rsid w:val="007A7238"/>
    <w:rsid w:val="007A727C"/>
    <w:rsid w:val="007A7290"/>
    <w:rsid w:val="007A72AC"/>
    <w:rsid w:val="007A72FA"/>
    <w:rsid w:val="007A7304"/>
    <w:rsid w:val="007A730D"/>
    <w:rsid w:val="007A7330"/>
    <w:rsid w:val="007A7407"/>
    <w:rsid w:val="007A7412"/>
    <w:rsid w:val="007A7481"/>
    <w:rsid w:val="007A7482"/>
    <w:rsid w:val="007A7488"/>
    <w:rsid w:val="007A75C0"/>
    <w:rsid w:val="007A75FA"/>
    <w:rsid w:val="007A771C"/>
    <w:rsid w:val="007A7752"/>
    <w:rsid w:val="007A775E"/>
    <w:rsid w:val="007A77B1"/>
    <w:rsid w:val="007A77EC"/>
    <w:rsid w:val="007A780F"/>
    <w:rsid w:val="007A78A3"/>
    <w:rsid w:val="007A78DE"/>
    <w:rsid w:val="007A78F0"/>
    <w:rsid w:val="007A78F1"/>
    <w:rsid w:val="007A7904"/>
    <w:rsid w:val="007A7948"/>
    <w:rsid w:val="007A7971"/>
    <w:rsid w:val="007A7A3B"/>
    <w:rsid w:val="007A7B59"/>
    <w:rsid w:val="007A7BE5"/>
    <w:rsid w:val="007A7BED"/>
    <w:rsid w:val="007A7C2E"/>
    <w:rsid w:val="007A7C8E"/>
    <w:rsid w:val="007A7D24"/>
    <w:rsid w:val="007A7D5C"/>
    <w:rsid w:val="007A7D70"/>
    <w:rsid w:val="007A7D7C"/>
    <w:rsid w:val="007A7E3D"/>
    <w:rsid w:val="007A7E58"/>
    <w:rsid w:val="007A7ED3"/>
    <w:rsid w:val="007B0013"/>
    <w:rsid w:val="007B0177"/>
    <w:rsid w:val="007B0269"/>
    <w:rsid w:val="007B033E"/>
    <w:rsid w:val="007B03C8"/>
    <w:rsid w:val="007B0417"/>
    <w:rsid w:val="007B045D"/>
    <w:rsid w:val="007B0467"/>
    <w:rsid w:val="007B0489"/>
    <w:rsid w:val="007B052E"/>
    <w:rsid w:val="007B0535"/>
    <w:rsid w:val="007B0539"/>
    <w:rsid w:val="007B0542"/>
    <w:rsid w:val="007B05F4"/>
    <w:rsid w:val="007B05F8"/>
    <w:rsid w:val="007B066A"/>
    <w:rsid w:val="007B069E"/>
    <w:rsid w:val="007B06DB"/>
    <w:rsid w:val="007B07D5"/>
    <w:rsid w:val="007B081D"/>
    <w:rsid w:val="007B0837"/>
    <w:rsid w:val="007B0895"/>
    <w:rsid w:val="007B08D8"/>
    <w:rsid w:val="007B0AA1"/>
    <w:rsid w:val="007B0AB3"/>
    <w:rsid w:val="007B0AB6"/>
    <w:rsid w:val="007B0B55"/>
    <w:rsid w:val="007B0C6F"/>
    <w:rsid w:val="007B0D94"/>
    <w:rsid w:val="007B0E5B"/>
    <w:rsid w:val="007B0E97"/>
    <w:rsid w:val="007B0ED5"/>
    <w:rsid w:val="007B0F60"/>
    <w:rsid w:val="007B0FEC"/>
    <w:rsid w:val="007B1010"/>
    <w:rsid w:val="007B102B"/>
    <w:rsid w:val="007B111F"/>
    <w:rsid w:val="007B1161"/>
    <w:rsid w:val="007B11AA"/>
    <w:rsid w:val="007B11AE"/>
    <w:rsid w:val="007B1270"/>
    <w:rsid w:val="007B1357"/>
    <w:rsid w:val="007B13C2"/>
    <w:rsid w:val="007B1405"/>
    <w:rsid w:val="007B14BE"/>
    <w:rsid w:val="007B15D5"/>
    <w:rsid w:val="007B1605"/>
    <w:rsid w:val="007B1695"/>
    <w:rsid w:val="007B16F3"/>
    <w:rsid w:val="007B16F5"/>
    <w:rsid w:val="007B1779"/>
    <w:rsid w:val="007B178F"/>
    <w:rsid w:val="007B1796"/>
    <w:rsid w:val="007B1840"/>
    <w:rsid w:val="007B1986"/>
    <w:rsid w:val="007B19B6"/>
    <w:rsid w:val="007B19B7"/>
    <w:rsid w:val="007B1A6C"/>
    <w:rsid w:val="007B1A82"/>
    <w:rsid w:val="007B1A99"/>
    <w:rsid w:val="007B1AAE"/>
    <w:rsid w:val="007B1B61"/>
    <w:rsid w:val="007B1B8E"/>
    <w:rsid w:val="007B1C15"/>
    <w:rsid w:val="007B1C17"/>
    <w:rsid w:val="007B1C2C"/>
    <w:rsid w:val="007B1C33"/>
    <w:rsid w:val="007B1C4F"/>
    <w:rsid w:val="007B1C74"/>
    <w:rsid w:val="007B1CA6"/>
    <w:rsid w:val="007B1CF7"/>
    <w:rsid w:val="007B1D38"/>
    <w:rsid w:val="007B1D56"/>
    <w:rsid w:val="007B1F01"/>
    <w:rsid w:val="007B1FDC"/>
    <w:rsid w:val="007B2034"/>
    <w:rsid w:val="007B207B"/>
    <w:rsid w:val="007B2128"/>
    <w:rsid w:val="007B214A"/>
    <w:rsid w:val="007B2152"/>
    <w:rsid w:val="007B2301"/>
    <w:rsid w:val="007B2309"/>
    <w:rsid w:val="007B231A"/>
    <w:rsid w:val="007B23C0"/>
    <w:rsid w:val="007B23E2"/>
    <w:rsid w:val="007B2417"/>
    <w:rsid w:val="007B241F"/>
    <w:rsid w:val="007B2562"/>
    <w:rsid w:val="007B257B"/>
    <w:rsid w:val="007B25F2"/>
    <w:rsid w:val="007B2665"/>
    <w:rsid w:val="007B2696"/>
    <w:rsid w:val="007B26C5"/>
    <w:rsid w:val="007B26CC"/>
    <w:rsid w:val="007B26E4"/>
    <w:rsid w:val="007B2756"/>
    <w:rsid w:val="007B280E"/>
    <w:rsid w:val="007B28BC"/>
    <w:rsid w:val="007B2952"/>
    <w:rsid w:val="007B29D6"/>
    <w:rsid w:val="007B2A0E"/>
    <w:rsid w:val="007B2AA6"/>
    <w:rsid w:val="007B2ABC"/>
    <w:rsid w:val="007B2AC8"/>
    <w:rsid w:val="007B2B59"/>
    <w:rsid w:val="007B2BF1"/>
    <w:rsid w:val="007B2C0E"/>
    <w:rsid w:val="007B2C40"/>
    <w:rsid w:val="007B2C51"/>
    <w:rsid w:val="007B2C59"/>
    <w:rsid w:val="007B2D6F"/>
    <w:rsid w:val="007B2EB0"/>
    <w:rsid w:val="007B2F1F"/>
    <w:rsid w:val="007B2F2A"/>
    <w:rsid w:val="007B2F32"/>
    <w:rsid w:val="007B2F3D"/>
    <w:rsid w:val="007B2F88"/>
    <w:rsid w:val="007B2FD5"/>
    <w:rsid w:val="007B2FF2"/>
    <w:rsid w:val="007B3035"/>
    <w:rsid w:val="007B30F5"/>
    <w:rsid w:val="007B33B5"/>
    <w:rsid w:val="007B33E8"/>
    <w:rsid w:val="007B3464"/>
    <w:rsid w:val="007B3480"/>
    <w:rsid w:val="007B34CC"/>
    <w:rsid w:val="007B3534"/>
    <w:rsid w:val="007B356C"/>
    <w:rsid w:val="007B35EA"/>
    <w:rsid w:val="007B36B4"/>
    <w:rsid w:val="007B36DA"/>
    <w:rsid w:val="007B373B"/>
    <w:rsid w:val="007B37C6"/>
    <w:rsid w:val="007B3802"/>
    <w:rsid w:val="007B3807"/>
    <w:rsid w:val="007B3861"/>
    <w:rsid w:val="007B3873"/>
    <w:rsid w:val="007B387A"/>
    <w:rsid w:val="007B390B"/>
    <w:rsid w:val="007B39D7"/>
    <w:rsid w:val="007B3A13"/>
    <w:rsid w:val="007B3A5E"/>
    <w:rsid w:val="007B3C89"/>
    <w:rsid w:val="007B3CE3"/>
    <w:rsid w:val="007B3D0E"/>
    <w:rsid w:val="007B3E4F"/>
    <w:rsid w:val="007B3E6E"/>
    <w:rsid w:val="007B3E76"/>
    <w:rsid w:val="007B3EB1"/>
    <w:rsid w:val="007B3F15"/>
    <w:rsid w:val="007B3F36"/>
    <w:rsid w:val="007B3F7D"/>
    <w:rsid w:val="007B3F98"/>
    <w:rsid w:val="007B4003"/>
    <w:rsid w:val="007B401C"/>
    <w:rsid w:val="007B4035"/>
    <w:rsid w:val="007B404D"/>
    <w:rsid w:val="007B407D"/>
    <w:rsid w:val="007B40E8"/>
    <w:rsid w:val="007B4149"/>
    <w:rsid w:val="007B415A"/>
    <w:rsid w:val="007B419A"/>
    <w:rsid w:val="007B420B"/>
    <w:rsid w:val="007B4243"/>
    <w:rsid w:val="007B4285"/>
    <w:rsid w:val="007B4320"/>
    <w:rsid w:val="007B435C"/>
    <w:rsid w:val="007B4377"/>
    <w:rsid w:val="007B43CD"/>
    <w:rsid w:val="007B447D"/>
    <w:rsid w:val="007B451E"/>
    <w:rsid w:val="007B4580"/>
    <w:rsid w:val="007B45FD"/>
    <w:rsid w:val="007B4634"/>
    <w:rsid w:val="007B46F8"/>
    <w:rsid w:val="007B475C"/>
    <w:rsid w:val="007B4786"/>
    <w:rsid w:val="007B4817"/>
    <w:rsid w:val="007B481B"/>
    <w:rsid w:val="007B4831"/>
    <w:rsid w:val="007B4855"/>
    <w:rsid w:val="007B48BD"/>
    <w:rsid w:val="007B48FB"/>
    <w:rsid w:val="007B4929"/>
    <w:rsid w:val="007B498E"/>
    <w:rsid w:val="007B49C9"/>
    <w:rsid w:val="007B49DF"/>
    <w:rsid w:val="007B4A64"/>
    <w:rsid w:val="007B4B7D"/>
    <w:rsid w:val="007B4BAD"/>
    <w:rsid w:val="007B4C56"/>
    <w:rsid w:val="007B4C91"/>
    <w:rsid w:val="007B4CBB"/>
    <w:rsid w:val="007B4D5E"/>
    <w:rsid w:val="007B4D62"/>
    <w:rsid w:val="007B4DB7"/>
    <w:rsid w:val="007B4DD5"/>
    <w:rsid w:val="007B4DEF"/>
    <w:rsid w:val="007B4DF1"/>
    <w:rsid w:val="007B4DF7"/>
    <w:rsid w:val="007B4E5C"/>
    <w:rsid w:val="007B4EBA"/>
    <w:rsid w:val="007B4ECE"/>
    <w:rsid w:val="007B4F2F"/>
    <w:rsid w:val="007B4FA1"/>
    <w:rsid w:val="007B503C"/>
    <w:rsid w:val="007B50BF"/>
    <w:rsid w:val="007B50C1"/>
    <w:rsid w:val="007B513D"/>
    <w:rsid w:val="007B51AA"/>
    <w:rsid w:val="007B5297"/>
    <w:rsid w:val="007B52AE"/>
    <w:rsid w:val="007B5346"/>
    <w:rsid w:val="007B538F"/>
    <w:rsid w:val="007B53B3"/>
    <w:rsid w:val="007B53DF"/>
    <w:rsid w:val="007B540B"/>
    <w:rsid w:val="007B54CA"/>
    <w:rsid w:val="007B54CB"/>
    <w:rsid w:val="007B5619"/>
    <w:rsid w:val="007B573C"/>
    <w:rsid w:val="007B5757"/>
    <w:rsid w:val="007B5807"/>
    <w:rsid w:val="007B5A0E"/>
    <w:rsid w:val="007B5A6A"/>
    <w:rsid w:val="007B5A87"/>
    <w:rsid w:val="007B5AB2"/>
    <w:rsid w:val="007B5AC2"/>
    <w:rsid w:val="007B5B21"/>
    <w:rsid w:val="007B5B7B"/>
    <w:rsid w:val="007B5B87"/>
    <w:rsid w:val="007B5B8B"/>
    <w:rsid w:val="007B5BA0"/>
    <w:rsid w:val="007B5C72"/>
    <w:rsid w:val="007B5D0B"/>
    <w:rsid w:val="007B5D1D"/>
    <w:rsid w:val="007B5DCE"/>
    <w:rsid w:val="007B5DDF"/>
    <w:rsid w:val="007B5E98"/>
    <w:rsid w:val="007B5EEB"/>
    <w:rsid w:val="007B5F18"/>
    <w:rsid w:val="007B5F58"/>
    <w:rsid w:val="007B5F8C"/>
    <w:rsid w:val="007B5FB5"/>
    <w:rsid w:val="007B5FC7"/>
    <w:rsid w:val="007B603F"/>
    <w:rsid w:val="007B6064"/>
    <w:rsid w:val="007B6070"/>
    <w:rsid w:val="007B60A1"/>
    <w:rsid w:val="007B60CA"/>
    <w:rsid w:val="007B60DF"/>
    <w:rsid w:val="007B61DE"/>
    <w:rsid w:val="007B6225"/>
    <w:rsid w:val="007B62A1"/>
    <w:rsid w:val="007B6378"/>
    <w:rsid w:val="007B642A"/>
    <w:rsid w:val="007B649B"/>
    <w:rsid w:val="007B649D"/>
    <w:rsid w:val="007B666B"/>
    <w:rsid w:val="007B6687"/>
    <w:rsid w:val="007B669B"/>
    <w:rsid w:val="007B669E"/>
    <w:rsid w:val="007B66E8"/>
    <w:rsid w:val="007B68EE"/>
    <w:rsid w:val="007B68FC"/>
    <w:rsid w:val="007B691D"/>
    <w:rsid w:val="007B692F"/>
    <w:rsid w:val="007B6934"/>
    <w:rsid w:val="007B698E"/>
    <w:rsid w:val="007B69C6"/>
    <w:rsid w:val="007B69CB"/>
    <w:rsid w:val="007B6AC2"/>
    <w:rsid w:val="007B6B05"/>
    <w:rsid w:val="007B6B9F"/>
    <w:rsid w:val="007B6BC4"/>
    <w:rsid w:val="007B6CA2"/>
    <w:rsid w:val="007B6D83"/>
    <w:rsid w:val="007B6DA7"/>
    <w:rsid w:val="007B6DC1"/>
    <w:rsid w:val="007B6EF5"/>
    <w:rsid w:val="007B6F86"/>
    <w:rsid w:val="007B6FD2"/>
    <w:rsid w:val="007B705F"/>
    <w:rsid w:val="007B7069"/>
    <w:rsid w:val="007B7079"/>
    <w:rsid w:val="007B70BF"/>
    <w:rsid w:val="007B7186"/>
    <w:rsid w:val="007B71F8"/>
    <w:rsid w:val="007B7283"/>
    <w:rsid w:val="007B733A"/>
    <w:rsid w:val="007B7379"/>
    <w:rsid w:val="007B7382"/>
    <w:rsid w:val="007B738A"/>
    <w:rsid w:val="007B73B0"/>
    <w:rsid w:val="007B7423"/>
    <w:rsid w:val="007B746B"/>
    <w:rsid w:val="007B74AA"/>
    <w:rsid w:val="007B74BD"/>
    <w:rsid w:val="007B7551"/>
    <w:rsid w:val="007B75B6"/>
    <w:rsid w:val="007B7600"/>
    <w:rsid w:val="007B764E"/>
    <w:rsid w:val="007B769E"/>
    <w:rsid w:val="007B7794"/>
    <w:rsid w:val="007B77AA"/>
    <w:rsid w:val="007B783E"/>
    <w:rsid w:val="007B787B"/>
    <w:rsid w:val="007B787E"/>
    <w:rsid w:val="007B7882"/>
    <w:rsid w:val="007B7905"/>
    <w:rsid w:val="007B7991"/>
    <w:rsid w:val="007B79AE"/>
    <w:rsid w:val="007B7A49"/>
    <w:rsid w:val="007B7A6A"/>
    <w:rsid w:val="007B7B1B"/>
    <w:rsid w:val="007B7BCD"/>
    <w:rsid w:val="007B7C2B"/>
    <w:rsid w:val="007B7CEB"/>
    <w:rsid w:val="007B7CF4"/>
    <w:rsid w:val="007B7D5C"/>
    <w:rsid w:val="007B7DA7"/>
    <w:rsid w:val="007B7DCF"/>
    <w:rsid w:val="007B7E88"/>
    <w:rsid w:val="007B7F3F"/>
    <w:rsid w:val="007B7F58"/>
    <w:rsid w:val="007B7F99"/>
    <w:rsid w:val="007B7FC3"/>
    <w:rsid w:val="007B7FEB"/>
    <w:rsid w:val="007C003A"/>
    <w:rsid w:val="007C0079"/>
    <w:rsid w:val="007C0110"/>
    <w:rsid w:val="007C0164"/>
    <w:rsid w:val="007C0197"/>
    <w:rsid w:val="007C0266"/>
    <w:rsid w:val="007C0272"/>
    <w:rsid w:val="007C0284"/>
    <w:rsid w:val="007C02A4"/>
    <w:rsid w:val="007C02AD"/>
    <w:rsid w:val="007C035A"/>
    <w:rsid w:val="007C03A3"/>
    <w:rsid w:val="007C0476"/>
    <w:rsid w:val="007C049F"/>
    <w:rsid w:val="007C054D"/>
    <w:rsid w:val="007C05B8"/>
    <w:rsid w:val="007C0616"/>
    <w:rsid w:val="007C06FE"/>
    <w:rsid w:val="007C0715"/>
    <w:rsid w:val="007C073A"/>
    <w:rsid w:val="007C07B4"/>
    <w:rsid w:val="007C07CE"/>
    <w:rsid w:val="007C07F0"/>
    <w:rsid w:val="007C086E"/>
    <w:rsid w:val="007C0874"/>
    <w:rsid w:val="007C087A"/>
    <w:rsid w:val="007C08F6"/>
    <w:rsid w:val="007C09DC"/>
    <w:rsid w:val="007C09FE"/>
    <w:rsid w:val="007C0A16"/>
    <w:rsid w:val="007C0A2C"/>
    <w:rsid w:val="007C0A6C"/>
    <w:rsid w:val="007C0B3E"/>
    <w:rsid w:val="007C0B4A"/>
    <w:rsid w:val="007C0B5F"/>
    <w:rsid w:val="007C0B97"/>
    <w:rsid w:val="007C0BB9"/>
    <w:rsid w:val="007C0CF5"/>
    <w:rsid w:val="007C0D35"/>
    <w:rsid w:val="007C0D40"/>
    <w:rsid w:val="007C0DBE"/>
    <w:rsid w:val="007C0DDD"/>
    <w:rsid w:val="007C0F6E"/>
    <w:rsid w:val="007C0F7B"/>
    <w:rsid w:val="007C1066"/>
    <w:rsid w:val="007C10A2"/>
    <w:rsid w:val="007C114E"/>
    <w:rsid w:val="007C11B8"/>
    <w:rsid w:val="007C1206"/>
    <w:rsid w:val="007C1229"/>
    <w:rsid w:val="007C12FB"/>
    <w:rsid w:val="007C13E7"/>
    <w:rsid w:val="007C14A0"/>
    <w:rsid w:val="007C151F"/>
    <w:rsid w:val="007C157D"/>
    <w:rsid w:val="007C1631"/>
    <w:rsid w:val="007C1677"/>
    <w:rsid w:val="007C1688"/>
    <w:rsid w:val="007C169A"/>
    <w:rsid w:val="007C17B2"/>
    <w:rsid w:val="007C17B7"/>
    <w:rsid w:val="007C17CA"/>
    <w:rsid w:val="007C1819"/>
    <w:rsid w:val="007C197F"/>
    <w:rsid w:val="007C1992"/>
    <w:rsid w:val="007C199B"/>
    <w:rsid w:val="007C19E1"/>
    <w:rsid w:val="007C1B05"/>
    <w:rsid w:val="007C1B21"/>
    <w:rsid w:val="007C1B4A"/>
    <w:rsid w:val="007C1B4C"/>
    <w:rsid w:val="007C1B81"/>
    <w:rsid w:val="007C1BED"/>
    <w:rsid w:val="007C1C1C"/>
    <w:rsid w:val="007C1C9E"/>
    <w:rsid w:val="007C1CB5"/>
    <w:rsid w:val="007C1D10"/>
    <w:rsid w:val="007C1DAF"/>
    <w:rsid w:val="007C1E53"/>
    <w:rsid w:val="007C1E6F"/>
    <w:rsid w:val="007C1EEA"/>
    <w:rsid w:val="007C1F6C"/>
    <w:rsid w:val="007C1F8E"/>
    <w:rsid w:val="007C1FA9"/>
    <w:rsid w:val="007C1FDA"/>
    <w:rsid w:val="007C208A"/>
    <w:rsid w:val="007C20FE"/>
    <w:rsid w:val="007C21CD"/>
    <w:rsid w:val="007C2203"/>
    <w:rsid w:val="007C222D"/>
    <w:rsid w:val="007C223E"/>
    <w:rsid w:val="007C2251"/>
    <w:rsid w:val="007C2279"/>
    <w:rsid w:val="007C22BB"/>
    <w:rsid w:val="007C22C6"/>
    <w:rsid w:val="007C2309"/>
    <w:rsid w:val="007C2315"/>
    <w:rsid w:val="007C234A"/>
    <w:rsid w:val="007C249C"/>
    <w:rsid w:val="007C254D"/>
    <w:rsid w:val="007C2562"/>
    <w:rsid w:val="007C25C7"/>
    <w:rsid w:val="007C2645"/>
    <w:rsid w:val="007C267E"/>
    <w:rsid w:val="007C26AA"/>
    <w:rsid w:val="007C26EE"/>
    <w:rsid w:val="007C2793"/>
    <w:rsid w:val="007C2812"/>
    <w:rsid w:val="007C2836"/>
    <w:rsid w:val="007C289E"/>
    <w:rsid w:val="007C292F"/>
    <w:rsid w:val="007C2952"/>
    <w:rsid w:val="007C2A01"/>
    <w:rsid w:val="007C2A09"/>
    <w:rsid w:val="007C2A41"/>
    <w:rsid w:val="007C2AB2"/>
    <w:rsid w:val="007C2ADB"/>
    <w:rsid w:val="007C2B28"/>
    <w:rsid w:val="007C2CB5"/>
    <w:rsid w:val="007C2CEC"/>
    <w:rsid w:val="007C2D03"/>
    <w:rsid w:val="007C2D70"/>
    <w:rsid w:val="007C2E14"/>
    <w:rsid w:val="007C2E1F"/>
    <w:rsid w:val="007C2E65"/>
    <w:rsid w:val="007C2FC5"/>
    <w:rsid w:val="007C3090"/>
    <w:rsid w:val="007C30DB"/>
    <w:rsid w:val="007C3142"/>
    <w:rsid w:val="007C31B1"/>
    <w:rsid w:val="007C31DC"/>
    <w:rsid w:val="007C322C"/>
    <w:rsid w:val="007C326E"/>
    <w:rsid w:val="007C3277"/>
    <w:rsid w:val="007C32BE"/>
    <w:rsid w:val="007C32DA"/>
    <w:rsid w:val="007C334D"/>
    <w:rsid w:val="007C338A"/>
    <w:rsid w:val="007C33AC"/>
    <w:rsid w:val="007C343A"/>
    <w:rsid w:val="007C344D"/>
    <w:rsid w:val="007C34A1"/>
    <w:rsid w:val="007C34B6"/>
    <w:rsid w:val="007C34F6"/>
    <w:rsid w:val="007C354C"/>
    <w:rsid w:val="007C3583"/>
    <w:rsid w:val="007C35CD"/>
    <w:rsid w:val="007C364B"/>
    <w:rsid w:val="007C3674"/>
    <w:rsid w:val="007C379A"/>
    <w:rsid w:val="007C37F2"/>
    <w:rsid w:val="007C38A6"/>
    <w:rsid w:val="007C38F4"/>
    <w:rsid w:val="007C3979"/>
    <w:rsid w:val="007C3982"/>
    <w:rsid w:val="007C3AAD"/>
    <w:rsid w:val="007C3C06"/>
    <w:rsid w:val="007C3C31"/>
    <w:rsid w:val="007C3C4D"/>
    <w:rsid w:val="007C3C7F"/>
    <w:rsid w:val="007C3CD5"/>
    <w:rsid w:val="007C3D49"/>
    <w:rsid w:val="007C3D4C"/>
    <w:rsid w:val="007C3D64"/>
    <w:rsid w:val="007C3D96"/>
    <w:rsid w:val="007C3F30"/>
    <w:rsid w:val="007C3F74"/>
    <w:rsid w:val="007C3FF4"/>
    <w:rsid w:val="007C4025"/>
    <w:rsid w:val="007C40A4"/>
    <w:rsid w:val="007C40C4"/>
    <w:rsid w:val="007C40FC"/>
    <w:rsid w:val="007C4144"/>
    <w:rsid w:val="007C418C"/>
    <w:rsid w:val="007C423E"/>
    <w:rsid w:val="007C427D"/>
    <w:rsid w:val="007C4310"/>
    <w:rsid w:val="007C435F"/>
    <w:rsid w:val="007C43A0"/>
    <w:rsid w:val="007C43F6"/>
    <w:rsid w:val="007C4434"/>
    <w:rsid w:val="007C44EF"/>
    <w:rsid w:val="007C4536"/>
    <w:rsid w:val="007C453A"/>
    <w:rsid w:val="007C45C4"/>
    <w:rsid w:val="007C45D7"/>
    <w:rsid w:val="007C45E9"/>
    <w:rsid w:val="007C4628"/>
    <w:rsid w:val="007C4651"/>
    <w:rsid w:val="007C4666"/>
    <w:rsid w:val="007C4687"/>
    <w:rsid w:val="007C46AF"/>
    <w:rsid w:val="007C4721"/>
    <w:rsid w:val="007C47AA"/>
    <w:rsid w:val="007C4813"/>
    <w:rsid w:val="007C4964"/>
    <w:rsid w:val="007C4A36"/>
    <w:rsid w:val="007C4AAB"/>
    <w:rsid w:val="007C4AB2"/>
    <w:rsid w:val="007C4AE0"/>
    <w:rsid w:val="007C4C0B"/>
    <w:rsid w:val="007C4C46"/>
    <w:rsid w:val="007C4CBC"/>
    <w:rsid w:val="007C4D1A"/>
    <w:rsid w:val="007C4DFE"/>
    <w:rsid w:val="007C4E08"/>
    <w:rsid w:val="007C4E4E"/>
    <w:rsid w:val="007C4E55"/>
    <w:rsid w:val="007C4E7A"/>
    <w:rsid w:val="007C4F08"/>
    <w:rsid w:val="007C4FC4"/>
    <w:rsid w:val="007C4FF4"/>
    <w:rsid w:val="007C5019"/>
    <w:rsid w:val="007C5037"/>
    <w:rsid w:val="007C503A"/>
    <w:rsid w:val="007C50C3"/>
    <w:rsid w:val="007C50D5"/>
    <w:rsid w:val="007C50E4"/>
    <w:rsid w:val="007C516A"/>
    <w:rsid w:val="007C517D"/>
    <w:rsid w:val="007C5191"/>
    <w:rsid w:val="007C5198"/>
    <w:rsid w:val="007C51EA"/>
    <w:rsid w:val="007C5263"/>
    <w:rsid w:val="007C52CF"/>
    <w:rsid w:val="007C5327"/>
    <w:rsid w:val="007C532D"/>
    <w:rsid w:val="007C534E"/>
    <w:rsid w:val="007C5384"/>
    <w:rsid w:val="007C539A"/>
    <w:rsid w:val="007C539C"/>
    <w:rsid w:val="007C539D"/>
    <w:rsid w:val="007C5449"/>
    <w:rsid w:val="007C5482"/>
    <w:rsid w:val="007C54B3"/>
    <w:rsid w:val="007C555E"/>
    <w:rsid w:val="007C55A7"/>
    <w:rsid w:val="007C5677"/>
    <w:rsid w:val="007C5727"/>
    <w:rsid w:val="007C57D4"/>
    <w:rsid w:val="007C583D"/>
    <w:rsid w:val="007C58D8"/>
    <w:rsid w:val="007C58E4"/>
    <w:rsid w:val="007C5935"/>
    <w:rsid w:val="007C5954"/>
    <w:rsid w:val="007C5958"/>
    <w:rsid w:val="007C596B"/>
    <w:rsid w:val="007C5A41"/>
    <w:rsid w:val="007C5A7B"/>
    <w:rsid w:val="007C5A8D"/>
    <w:rsid w:val="007C5B21"/>
    <w:rsid w:val="007C5C63"/>
    <w:rsid w:val="007C5C89"/>
    <w:rsid w:val="007C5CB1"/>
    <w:rsid w:val="007C5CE7"/>
    <w:rsid w:val="007C5D22"/>
    <w:rsid w:val="007C5D3D"/>
    <w:rsid w:val="007C5DDD"/>
    <w:rsid w:val="007C5DFA"/>
    <w:rsid w:val="007C5E38"/>
    <w:rsid w:val="007C5E3D"/>
    <w:rsid w:val="007C5E85"/>
    <w:rsid w:val="007C5EFE"/>
    <w:rsid w:val="007C5F48"/>
    <w:rsid w:val="007C5F62"/>
    <w:rsid w:val="007C5FE6"/>
    <w:rsid w:val="007C6014"/>
    <w:rsid w:val="007C604C"/>
    <w:rsid w:val="007C60FE"/>
    <w:rsid w:val="007C613E"/>
    <w:rsid w:val="007C61A0"/>
    <w:rsid w:val="007C6252"/>
    <w:rsid w:val="007C626B"/>
    <w:rsid w:val="007C62A9"/>
    <w:rsid w:val="007C634A"/>
    <w:rsid w:val="007C63C0"/>
    <w:rsid w:val="007C63DF"/>
    <w:rsid w:val="007C6480"/>
    <w:rsid w:val="007C649E"/>
    <w:rsid w:val="007C652B"/>
    <w:rsid w:val="007C654D"/>
    <w:rsid w:val="007C6566"/>
    <w:rsid w:val="007C65B3"/>
    <w:rsid w:val="007C65EA"/>
    <w:rsid w:val="007C66EC"/>
    <w:rsid w:val="007C670E"/>
    <w:rsid w:val="007C680B"/>
    <w:rsid w:val="007C6839"/>
    <w:rsid w:val="007C6859"/>
    <w:rsid w:val="007C6893"/>
    <w:rsid w:val="007C689B"/>
    <w:rsid w:val="007C68C1"/>
    <w:rsid w:val="007C68CB"/>
    <w:rsid w:val="007C697D"/>
    <w:rsid w:val="007C69EE"/>
    <w:rsid w:val="007C6A10"/>
    <w:rsid w:val="007C6A50"/>
    <w:rsid w:val="007C6A53"/>
    <w:rsid w:val="007C6A98"/>
    <w:rsid w:val="007C6ACA"/>
    <w:rsid w:val="007C6B28"/>
    <w:rsid w:val="007C6BA7"/>
    <w:rsid w:val="007C6BFB"/>
    <w:rsid w:val="007C6C1D"/>
    <w:rsid w:val="007C6CCA"/>
    <w:rsid w:val="007C6D54"/>
    <w:rsid w:val="007C6D78"/>
    <w:rsid w:val="007C6D8C"/>
    <w:rsid w:val="007C6DF2"/>
    <w:rsid w:val="007C6E4D"/>
    <w:rsid w:val="007C6EA3"/>
    <w:rsid w:val="007C6F0B"/>
    <w:rsid w:val="007C6F19"/>
    <w:rsid w:val="007C6F31"/>
    <w:rsid w:val="007C6F85"/>
    <w:rsid w:val="007C6FCC"/>
    <w:rsid w:val="007C7020"/>
    <w:rsid w:val="007C7027"/>
    <w:rsid w:val="007C7055"/>
    <w:rsid w:val="007C7138"/>
    <w:rsid w:val="007C7177"/>
    <w:rsid w:val="007C7183"/>
    <w:rsid w:val="007C71E8"/>
    <w:rsid w:val="007C722C"/>
    <w:rsid w:val="007C72FC"/>
    <w:rsid w:val="007C73B1"/>
    <w:rsid w:val="007C73E1"/>
    <w:rsid w:val="007C7528"/>
    <w:rsid w:val="007C7559"/>
    <w:rsid w:val="007C75B5"/>
    <w:rsid w:val="007C76C1"/>
    <w:rsid w:val="007C7715"/>
    <w:rsid w:val="007C7750"/>
    <w:rsid w:val="007C777F"/>
    <w:rsid w:val="007C7792"/>
    <w:rsid w:val="007C779C"/>
    <w:rsid w:val="007C77D5"/>
    <w:rsid w:val="007C7894"/>
    <w:rsid w:val="007C78D6"/>
    <w:rsid w:val="007C790B"/>
    <w:rsid w:val="007C79F0"/>
    <w:rsid w:val="007C7A58"/>
    <w:rsid w:val="007C7A67"/>
    <w:rsid w:val="007C7A70"/>
    <w:rsid w:val="007C7AD8"/>
    <w:rsid w:val="007C7AEF"/>
    <w:rsid w:val="007C7BA5"/>
    <w:rsid w:val="007C7BC6"/>
    <w:rsid w:val="007C7D79"/>
    <w:rsid w:val="007C7DCE"/>
    <w:rsid w:val="007C7DE1"/>
    <w:rsid w:val="007C7E04"/>
    <w:rsid w:val="007C7FA1"/>
    <w:rsid w:val="007D0005"/>
    <w:rsid w:val="007D000D"/>
    <w:rsid w:val="007D0014"/>
    <w:rsid w:val="007D0028"/>
    <w:rsid w:val="007D017B"/>
    <w:rsid w:val="007D01B0"/>
    <w:rsid w:val="007D0277"/>
    <w:rsid w:val="007D02A9"/>
    <w:rsid w:val="007D03E1"/>
    <w:rsid w:val="007D0447"/>
    <w:rsid w:val="007D044B"/>
    <w:rsid w:val="007D04B6"/>
    <w:rsid w:val="007D0509"/>
    <w:rsid w:val="007D056A"/>
    <w:rsid w:val="007D0603"/>
    <w:rsid w:val="007D0653"/>
    <w:rsid w:val="007D066C"/>
    <w:rsid w:val="007D0672"/>
    <w:rsid w:val="007D0683"/>
    <w:rsid w:val="007D06C8"/>
    <w:rsid w:val="007D06E6"/>
    <w:rsid w:val="007D0719"/>
    <w:rsid w:val="007D07AB"/>
    <w:rsid w:val="007D08C2"/>
    <w:rsid w:val="007D090A"/>
    <w:rsid w:val="007D0953"/>
    <w:rsid w:val="007D09CE"/>
    <w:rsid w:val="007D0A1C"/>
    <w:rsid w:val="007D0A39"/>
    <w:rsid w:val="007D0A65"/>
    <w:rsid w:val="007D0A6D"/>
    <w:rsid w:val="007D0B86"/>
    <w:rsid w:val="007D0B8F"/>
    <w:rsid w:val="007D0BA7"/>
    <w:rsid w:val="007D0BD3"/>
    <w:rsid w:val="007D0C05"/>
    <w:rsid w:val="007D0C84"/>
    <w:rsid w:val="007D0C9C"/>
    <w:rsid w:val="007D0CD6"/>
    <w:rsid w:val="007D0D81"/>
    <w:rsid w:val="007D0DA8"/>
    <w:rsid w:val="007D0E58"/>
    <w:rsid w:val="007D0E9E"/>
    <w:rsid w:val="007D0FE0"/>
    <w:rsid w:val="007D0FE6"/>
    <w:rsid w:val="007D1029"/>
    <w:rsid w:val="007D103C"/>
    <w:rsid w:val="007D1041"/>
    <w:rsid w:val="007D1093"/>
    <w:rsid w:val="007D10AE"/>
    <w:rsid w:val="007D112C"/>
    <w:rsid w:val="007D115D"/>
    <w:rsid w:val="007D118C"/>
    <w:rsid w:val="007D1193"/>
    <w:rsid w:val="007D12E2"/>
    <w:rsid w:val="007D140E"/>
    <w:rsid w:val="007D150E"/>
    <w:rsid w:val="007D1513"/>
    <w:rsid w:val="007D1517"/>
    <w:rsid w:val="007D156A"/>
    <w:rsid w:val="007D15A2"/>
    <w:rsid w:val="007D16E9"/>
    <w:rsid w:val="007D1809"/>
    <w:rsid w:val="007D183A"/>
    <w:rsid w:val="007D1849"/>
    <w:rsid w:val="007D1905"/>
    <w:rsid w:val="007D1977"/>
    <w:rsid w:val="007D1A1B"/>
    <w:rsid w:val="007D1BAB"/>
    <w:rsid w:val="007D1BDF"/>
    <w:rsid w:val="007D1C08"/>
    <w:rsid w:val="007D1CAD"/>
    <w:rsid w:val="007D1CE2"/>
    <w:rsid w:val="007D1D2D"/>
    <w:rsid w:val="007D1D37"/>
    <w:rsid w:val="007D1DC3"/>
    <w:rsid w:val="007D1DF8"/>
    <w:rsid w:val="007D1E0E"/>
    <w:rsid w:val="007D1EBD"/>
    <w:rsid w:val="007D1F12"/>
    <w:rsid w:val="007D1F16"/>
    <w:rsid w:val="007D1FF5"/>
    <w:rsid w:val="007D2011"/>
    <w:rsid w:val="007D2029"/>
    <w:rsid w:val="007D207C"/>
    <w:rsid w:val="007D20FE"/>
    <w:rsid w:val="007D218B"/>
    <w:rsid w:val="007D218F"/>
    <w:rsid w:val="007D219B"/>
    <w:rsid w:val="007D21FF"/>
    <w:rsid w:val="007D2218"/>
    <w:rsid w:val="007D225C"/>
    <w:rsid w:val="007D234E"/>
    <w:rsid w:val="007D2440"/>
    <w:rsid w:val="007D2545"/>
    <w:rsid w:val="007D257A"/>
    <w:rsid w:val="007D25D5"/>
    <w:rsid w:val="007D2647"/>
    <w:rsid w:val="007D26BA"/>
    <w:rsid w:val="007D26E0"/>
    <w:rsid w:val="007D27A8"/>
    <w:rsid w:val="007D27FF"/>
    <w:rsid w:val="007D2842"/>
    <w:rsid w:val="007D2896"/>
    <w:rsid w:val="007D28AE"/>
    <w:rsid w:val="007D28B3"/>
    <w:rsid w:val="007D28B4"/>
    <w:rsid w:val="007D28D0"/>
    <w:rsid w:val="007D28F4"/>
    <w:rsid w:val="007D2906"/>
    <w:rsid w:val="007D2907"/>
    <w:rsid w:val="007D2993"/>
    <w:rsid w:val="007D29B8"/>
    <w:rsid w:val="007D2A00"/>
    <w:rsid w:val="007D2A1F"/>
    <w:rsid w:val="007D2B36"/>
    <w:rsid w:val="007D2B9A"/>
    <w:rsid w:val="007D2C2C"/>
    <w:rsid w:val="007D2DAC"/>
    <w:rsid w:val="007D2E49"/>
    <w:rsid w:val="007D2EB5"/>
    <w:rsid w:val="007D2EEF"/>
    <w:rsid w:val="007D2F67"/>
    <w:rsid w:val="007D2FD1"/>
    <w:rsid w:val="007D2FF0"/>
    <w:rsid w:val="007D3017"/>
    <w:rsid w:val="007D316F"/>
    <w:rsid w:val="007D317F"/>
    <w:rsid w:val="007D3227"/>
    <w:rsid w:val="007D331F"/>
    <w:rsid w:val="007D3335"/>
    <w:rsid w:val="007D33B8"/>
    <w:rsid w:val="007D33D9"/>
    <w:rsid w:val="007D3473"/>
    <w:rsid w:val="007D3496"/>
    <w:rsid w:val="007D349E"/>
    <w:rsid w:val="007D34E0"/>
    <w:rsid w:val="007D3503"/>
    <w:rsid w:val="007D350A"/>
    <w:rsid w:val="007D3590"/>
    <w:rsid w:val="007D35BF"/>
    <w:rsid w:val="007D35DE"/>
    <w:rsid w:val="007D362A"/>
    <w:rsid w:val="007D3674"/>
    <w:rsid w:val="007D36B0"/>
    <w:rsid w:val="007D36FA"/>
    <w:rsid w:val="007D374B"/>
    <w:rsid w:val="007D375E"/>
    <w:rsid w:val="007D37D2"/>
    <w:rsid w:val="007D38A6"/>
    <w:rsid w:val="007D3966"/>
    <w:rsid w:val="007D39BC"/>
    <w:rsid w:val="007D3AAF"/>
    <w:rsid w:val="007D3AE0"/>
    <w:rsid w:val="007D3B6F"/>
    <w:rsid w:val="007D3B7C"/>
    <w:rsid w:val="007D3B89"/>
    <w:rsid w:val="007D3BFC"/>
    <w:rsid w:val="007D3C39"/>
    <w:rsid w:val="007D3C44"/>
    <w:rsid w:val="007D3CA8"/>
    <w:rsid w:val="007D3E02"/>
    <w:rsid w:val="007D3E94"/>
    <w:rsid w:val="007D3F7B"/>
    <w:rsid w:val="007D3F80"/>
    <w:rsid w:val="007D4064"/>
    <w:rsid w:val="007D409E"/>
    <w:rsid w:val="007D40C1"/>
    <w:rsid w:val="007D4229"/>
    <w:rsid w:val="007D42A0"/>
    <w:rsid w:val="007D42AF"/>
    <w:rsid w:val="007D42DE"/>
    <w:rsid w:val="007D4304"/>
    <w:rsid w:val="007D437E"/>
    <w:rsid w:val="007D4397"/>
    <w:rsid w:val="007D43CA"/>
    <w:rsid w:val="007D43DD"/>
    <w:rsid w:val="007D440C"/>
    <w:rsid w:val="007D4470"/>
    <w:rsid w:val="007D447F"/>
    <w:rsid w:val="007D455F"/>
    <w:rsid w:val="007D4563"/>
    <w:rsid w:val="007D458B"/>
    <w:rsid w:val="007D45A9"/>
    <w:rsid w:val="007D45BC"/>
    <w:rsid w:val="007D45F3"/>
    <w:rsid w:val="007D45F9"/>
    <w:rsid w:val="007D460F"/>
    <w:rsid w:val="007D4673"/>
    <w:rsid w:val="007D46D0"/>
    <w:rsid w:val="007D46F3"/>
    <w:rsid w:val="007D4718"/>
    <w:rsid w:val="007D4719"/>
    <w:rsid w:val="007D472C"/>
    <w:rsid w:val="007D47B0"/>
    <w:rsid w:val="007D48F3"/>
    <w:rsid w:val="007D49B6"/>
    <w:rsid w:val="007D4B17"/>
    <w:rsid w:val="007D4B74"/>
    <w:rsid w:val="007D4C11"/>
    <w:rsid w:val="007D4C6B"/>
    <w:rsid w:val="007D4C7B"/>
    <w:rsid w:val="007D4C99"/>
    <w:rsid w:val="007D4CFC"/>
    <w:rsid w:val="007D4DD8"/>
    <w:rsid w:val="007D4E35"/>
    <w:rsid w:val="007D4E51"/>
    <w:rsid w:val="007D4E5A"/>
    <w:rsid w:val="007D4E89"/>
    <w:rsid w:val="007D4EA8"/>
    <w:rsid w:val="007D4ED1"/>
    <w:rsid w:val="007D4F0E"/>
    <w:rsid w:val="007D5040"/>
    <w:rsid w:val="007D50FF"/>
    <w:rsid w:val="007D5151"/>
    <w:rsid w:val="007D5157"/>
    <w:rsid w:val="007D5247"/>
    <w:rsid w:val="007D5298"/>
    <w:rsid w:val="007D52CD"/>
    <w:rsid w:val="007D52D8"/>
    <w:rsid w:val="007D52DF"/>
    <w:rsid w:val="007D531C"/>
    <w:rsid w:val="007D535D"/>
    <w:rsid w:val="007D5367"/>
    <w:rsid w:val="007D53E6"/>
    <w:rsid w:val="007D5409"/>
    <w:rsid w:val="007D5412"/>
    <w:rsid w:val="007D54BD"/>
    <w:rsid w:val="007D55BC"/>
    <w:rsid w:val="007D55E6"/>
    <w:rsid w:val="007D5615"/>
    <w:rsid w:val="007D5626"/>
    <w:rsid w:val="007D5660"/>
    <w:rsid w:val="007D569A"/>
    <w:rsid w:val="007D56ED"/>
    <w:rsid w:val="007D577B"/>
    <w:rsid w:val="007D5804"/>
    <w:rsid w:val="007D5849"/>
    <w:rsid w:val="007D588D"/>
    <w:rsid w:val="007D58E5"/>
    <w:rsid w:val="007D5926"/>
    <w:rsid w:val="007D5947"/>
    <w:rsid w:val="007D5A10"/>
    <w:rsid w:val="007D5A43"/>
    <w:rsid w:val="007D5AAF"/>
    <w:rsid w:val="007D5B27"/>
    <w:rsid w:val="007D5B65"/>
    <w:rsid w:val="007D5BA2"/>
    <w:rsid w:val="007D5C86"/>
    <w:rsid w:val="007D5C96"/>
    <w:rsid w:val="007D5DD0"/>
    <w:rsid w:val="007D5E6F"/>
    <w:rsid w:val="007D5E9B"/>
    <w:rsid w:val="007D5EE0"/>
    <w:rsid w:val="007D5EEB"/>
    <w:rsid w:val="007D5F44"/>
    <w:rsid w:val="007D5F59"/>
    <w:rsid w:val="007D5F65"/>
    <w:rsid w:val="007D5F66"/>
    <w:rsid w:val="007D5F72"/>
    <w:rsid w:val="007D5FA7"/>
    <w:rsid w:val="007D6017"/>
    <w:rsid w:val="007D6058"/>
    <w:rsid w:val="007D608C"/>
    <w:rsid w:val="007D60BC"/>
    <w:rsid w:val="007D60F6"/>
    <w:rsid w:val="007D610B"/>
    <w:rsid w:val="007D611C"/>
    <w:rsid w:val="007D61A3"/>
    <w:rsid w:val="007D623B"/>
    <w:rsid w:val="007D6252"/>
    <w:rsid w:val="007D6260"/>
    <w:rsid w:val="007D62B5"/>
    <w:rsid w:val="007D62BE"/>
    <w:rsid w:val="007D62DA"/>
    <w:rsid w:val="007D631F"/>
    <w:rsid w:val="007D6322"/>
    <w:rsid w:val="007D6368"/>
    <w:rsid w:val="007D63AC"/>
    <w:rsid w:val="007D643C"/>
    <w:rsid w:val="007D64BC"/>
    <w:rsid w:val="007D6559"/>
    <w:rsid w:val="007D6677"/>
    <w:rsid w:val="007D66BE"/>
    <w:rsid w:val="007D66C5"/>
    <w:rsid w:val="007D66F7"/>
    <w:rsid w:val="007D6812"/>
    <w:rsid w:val="007D6922"/>
    <w:rsid w:val="007D69A0"/>
    <w:rsid w:val="007D69FE"/>
    <w:rsid w:val="007D6A37"/>
    <w:rsid w:val="007D6AB7"/>
    <w:rsid w:val="007D6BA8"/>
    <w:rsid w:val="007D6BAB"/>
    <w:rsid w:val="007D6C22"/>
    <w:rsid w:val="007D6C4E"/>
    <w:rsid w:val="007D6D2E"/>
    <w:rsid w:val="007D6D68"/>
    <w:rsid w:val="007D6D8F"/>
    <w:rsid w:val="007D6DAB"/>
    <w:rsid w:val="007D6E01"/>
    <w:rsid w:val="007D6E04"/>
    <w:rsid w:val="007D6F13"/>
    <w:rsid w:val="007D6F34"/>
    <w:rsid w:val="007D6F7D"/>
    <w:rsid w:val="007D6FF0"/>
    <w:rsid w:val="007D7032"/>
    <w:rsid w:val="007D712F"/>
    <w:rsid w:val="007D7190"/>
    <w:rsid w:val="007D71B9"/>
    <w:rsid w:val="007D71F2"/>
    <w:rsid w:val="007D723F"/>
    <w:rsid w:val="007D728C"/>
    <w:rsid w:val="007D728F"/>
    <w:rsid w:val="007D72F8"/>
    <w:rsid w:val="007D7344"/>
    <w:rsid w:val="007D7362"/>
    <w:rsid w:val="007D7377"/>
    <w:rsid w:val="007D73B9"/>
    <w:rsid w:val="007D7543"/>
    <w:rsid w:val="007D7563"/>
    <w:rsid w:val="007D75C6"/>
    <w:rsid w:val="007D75F8"/>
    <w:rsid w:val="007D762C"/>
    <w:rsid w:val="007D766E"/>
    <w:rsid w:val="007D7737"/>
    <w:rsid w:val="007D7795"/>
    <w:rsid w:val="007D77CF"/>
    <w:rsid w:val="007D7812"/>
    <w:rsid w:val="007D7813"/>
    <w:rsid w:val="007D7876"/>
    <w:rsid w:val="007D790C"/>
    <w:rsid w:val="007D7987"/>
    <w:rsid w:val="007D7AED"/>
    <w:rsid w:val="007D7B9C"/>
    <w:rsid w:val="007D7BFD"/>
    <w:rsid w:val="007D7DE5"/>
    <w:rsid w:val="007D7E40"/>
    <w:rsid w:val="007D7E42"/>
    <w:rsid w:val="007E0021"/>
    <w:rsid w:val="007E0030"/>
    <w:rsid w:val="007E0047"/>
    <w:rsid w:val="007E00CC"/>
    <w:rsid w:val="007E0144"/>
    <w:rsid w:val="007E0167"/>
    <w:rsid w:val="007E019C"/>
    <w:rsid w:val="007E0270"/>
    <w:rsid w:val="007E02B1"/>
    <w:rsid w:val="007E037B"/>
    <w:rsid w:val="007E04B9"/>
    <w:rsid w:val="007E050D"/>
    <w:rsid w:val="007E05C6"/>
    <w:rsid w:val="007E063C"/>
    <w:rsid w:val="007E06ED"/>
    <w:rsid w:val="007E07A9"/>
    <w:rsid w:val="007E0836"/>
    <w:rsid w:val="007E0894"/>
    <w:rsid w:val="007E08A8"/>
    <w:rsid w:val="007E08BB"/>
    <w:rsid w:val="007E08C9"/>
    <w:rsid w:val="007E08EA"/>
    <w:rsid w:val="007E0942"/>
    <w:rsid w:val="007E094B"/>
    <w:rsid w:val="007E09B9"/>
    <w:rsid w:val="007E09CD"/>
    <w:rsid w:val="007E0A2D"/>
    <w:rsid w:val="007E0A2E"/>
    <w:rsid w:val="007E0A4C"/>
    <w:rsid w:val="007E0A69"/>
    <w:rsid w:val="007E0A70"/>
    <w:rsid w:val="007E0AB9"/>
    <w:rsid w:val="007E0ABF"/>
    <w:rsid w:val="007E0AC2"/>
    <w:rsid w:val="007E0B23"/>
    <w:rsid w:val="007E0BC9"/>
    <w:rsid w:val="007E0C3E"/>
    <w:rsid w:val="007E0C47"/>
    <w:rsid w:val="007E0C59"/>
    <w:rsid w:val="007E0C5D"/>
    <w:rsid w:val="007E0CF9"/>
    <w:rsid w:val="007E0D02"/>
    <w:rsid w:val="007E0D3F"/>
    <w:rsid w:val="007E0D60"/>
    <w:rsid w:val="007E0DD9"/>
    <w:rsid w:val="007E0E99"/>
    <w:rsid w:val="007E0E9B"/>
    <w:rsid w:val="007E0EA7"/>
    <w:rsid w:val="007E0F41"/>
    <w:rsid w:val="007E1013"/>
    <w:rsid w:val="007E107D"/>
    <w:rsid w:val="007E10C4"/>
    <w:rsid w:val="007E11A5"/>
    <w:rsid w:val="007E11C1"/>
    <w:rsid w:val="007E127C"/>
    <w:rsid w:val="007E1299"/>
    <w:rsid w:val="007E1529"/>
    <w:rsid w:val="007E1590"/>
    <w:rsid w:val="007E1677"/>
    <w:rsid w:val="007E16CA"/>
    <w:rsid w:val="007E16D5"/>
    <w:rsid w:val="007E1717"/>
    <w:rsid w:val="007E173F"/>
    <w:rsid w:val="007E17F3"/>
    <w:rsid w:val="007E18DC"/>
    <w:rsid w:val="007E193F"/>
    <w:rsid w:val="007E19A1"/>
    <w:rsid w:val="007E19D0"/>
    <w:rsid w:val="007E19F6"/>
    <w:rsid w:val="007E1A00"/>
    <w:rsid w:val="007E1A04"/>
    <w:rsid w:val="007E1A6B"/>
    <w:rsid w:val="007E1A75"/>
    <w:rsid w:val="007E1AD0"/>
    <w:rsid w:val="007E1B4D"/>
    <w:rsid w:val="007E1BAF"/>
    <w:rsid w:val="007E1C3F"/>
    <w:rsid w:val="007E1C6F"/>
    <w:rsid w:val="007E1CA0"/>
    <w:rsid w:val="007E1CF8"/>
    <w:rsid w:val="007E1D50"/>
    <w:rsid w:val="007E1D6D"/>
    <w:rsid w:val="007E1DBB"/>
    <w:rsid w:val="007E1E63"/>
    <w:rsid w:val="007E1EB9"/>
    <w:rsid w:val="007E1EEC"/>
    <w:rsid w:val="007E1F9A"/>
    <w:rsid w:val="007E207B"/>
    <w:rsid w:val="007E2087"/>
    <w:rsid w:val="007E20AB"/>
    <w:rsid w:val="007E2129"/>
    <w:rsid w:val="007E21C5"/>
    <w:rsid w:val="007E21DD"/>
    <w:rsid w:val="007E2227"/>
    <w:rsid w:val="007E231A"/>
    <w:rsid w:val="007E2343"/>
    <w:rsid w:val="007E2385"/>
    <w:rsid w:val="007E239E"/>
    <w:rsid w:val="007E23A1"/>
    <w:rsid w:val="007E23D3"/>
    <w:rsid w:val="007E23F0"/>
    <w:rsid w:val="007E247F"/>
    <w:rsid w:val="007E24A6"/>
    <w:rsid w:val="007E2523"/>
    <w:rsid w:val="007E25F5"/>
    <w:rsid w:val="007E2642"/>
    <w:rsid w:val="007E269D"/>
    <w:rsid w:val="007E26D7"/>
    <w:rsid w:val="007E272D"/>
    <w:rsid w:val="007E278A"/>
    <w:rsid w:val="007E27EF"/>
    <w:rsid w:val="007E2829"/>
    <w:rsid w:val="007E2871"/>
    <w:rsid w:val="007E2956"/>
    <w:rsid w:val="007E2998"/>
    <w:rsid w:val="007E2AFF"/>
    <w:rsid w:val="007E2B2F"/>
    <w:rsid w:val="007E2B8D"/>
    <w:rsid w:val="007E2B9F"/>
    <w:rsid w:val="007E2BAD"/>
    <w:rsid w:val="007E2BD0"/>
    <w:rsid w:val="007E2BF6"/>
    <w:rsid w:val="007E2C04"/>
    <w:rsid w:val="007E2C4A"/>
    <w:rsid w:val="007E2C5D"/>
    <w:rsid w:val="007E2CA2"/>
    <w:rsid w:val="007E2CCD"/>
    <w:rsid w:val="007E2CCF"/>
    <w:rsid w:val="007E2CDA"/>
    <w:rsid w:val="007E2D0D"/>
    <w:rsid w:val="007E2D58"/>
    <w:rsid w:val="007E2EA9"/>
    <w:rsid w:val="007E2F06"/>
    <w:rsid w:val="007E2F22"/>
    <w:rsid w:val="007E2F9E"/>
    <w:rsid w:val="007E2FDF"/>
    <w:rsid w:val="007E3047"/>
    <w:rsid w:val="007E307E"/>
    <w:rsid w:val="007E30F1"/>
    <w:rsid w:val="007E30F2"/>
    <w:rsid w:val="007E31A6"/>
    <w:rsid w:val="007E31E0"/>
    <w:rsid w:val="007E3304"/>
    <w:rsid w:val="007E3340"/>
    <w:rsid w:val="007E33AB"/>
    <w:rsid w:val="007E33EC"/>
    <w:rsid w:val="007E33F0"/>
    <w:rsid w:val="007E3463"/>
    <w:rsid w:val="007E3514"/>
    <w:rsid w:val="007E3586"/>
    <w:rsid w:val="007E3624"/>
    <w:rsid w:val="007E3640"/>
    <w:rsid w:val="007E3698"/>
    <w:rsid w:val="007E378D"/>
    <w:rsid w:val="007E37A3"/>
    <w:rsid w:val="007E37CC"/>
    <w:rsid w:val="007E37D4"/>
    <w:rsid w:val="007E3824"/>
    <w:rsid w:val="007E38BE"/>
    <w:rsid w:val="007E39D6"/>
    <w:rsid w:val="007E39F9"/>
    <w:rsid w:val="007E3A29"/>
    <w:rsid w:val="007E3A44"/>
    <w:rsid w:val="007E3A6E"/>
    <w:rsid w:val="007E3A78"/>
    <w:rsid w:val="007E3B34"/>
    <w:rsid w:val="007E3BD3"/>
    <w:rsid w:val="007E3C3C"/>
    <w:rsid w:val="007E3CE1"/>
    <w:rsid w:val="007E3CF0"/>
    <w:rsid w:val="007E3E10"/>
    <w:rsid w:val="007E3EC4"/>
    <w:rsid w:val="007E3F0B"/>
    <w:rsid w:val="007E3FB5"/>
    <w:rsid w:val="007E4015"/>
    <w:rsid w:val="007E4051"/>
    <w:rsid w:val="007E40EA"/>
    <w:rsid w:val="007E40F1"/>
    <w:rsid w:val="007E4193"/>
    <w:rsid w:val="007E4198"/>
    <w:rsid w:val="007E41BA"/>
    <w:rsid w:val="007E425B"/>
    <w:rsid w:val="007E4264"/>
    <w:rsid w:val="007E427A"/>
    <w:rsid w:val="007E4296"/>
    <w:rsid w:val="007E4299"/>
    <w:rsid w:val="007E4313"/>
    <w:rsid w:val="007E434A"/>
    <w:rsid w:val="007E43B7"/>
    <w:rsid w:val="007E4428"/>
    <w:rsid w:val="007E4499"/>
    <w:rsid w:val="007E45A8"/>
    <w:rsid w:val="007E45CF"/>
    <w:rsid w:val="007E4693"/>
    <w:rsid w:val="007E46F2"/>
    <w:rsid w:val="007E473F"/>
    <w:rsid w:val="007E478E"/>
    <w:rsid w:val="007E4796"/>
    <w:rsid w:val="007E47BF"/>
    <w:rsid w:val="007E47C3"/>
    <w:rsid w:val="007E47F6"/>
    <w:rsid w:val="007E486F"/>
    <w:rsid w:val="007E499D"/>
    <w:rsid w:val="007E49A6"/>
    <w:rsid w:val="007E4A1D"/>
    <w:rsid w:val="007E4ACB"/>
    <w:rsid w:val="007E4AE9"/>
    <w:rsid w:val="007E4B82"/>
    <w:rsid w:val="007E4BB4"/>
    <w:rsid w:val="007E4BBD"/>
    <w:rsid w:val="007E4BBE"/>
    <w:rsid w:val="007E4C2C"/>
    <w:rsid w:val="007E4C49"/>
    <w:rsid w:val="007E4D17"/>
    <w:rsid w:val="007E4D90"/>
    <w:rsid w:val="007E4E5D"/>
    <w:rsid w:val="007E4EFC"/>
    <w:rsid w:val="007E4FE0"/>
    <w:rsid w:val="007E50E8"/>
    <w:rsid w:val="007E510E"/>
    <w:rsid w:val="007E519D"/>
    <w:rsid w:val="007E5251"/>
    <w:rsid w:val="007E525B"/>
    <w:rsid w:val="007E528E"/>
    <w:rsid w:val="007E52D7"/>
    <w:rsid w:val="007E52FF"/>
    <w:rsid w:val="007E532F"/>
    <w:rsid w:val="007E5347"/>
    <w:rsid w:val="007E5409"/>
    <w:rsid w:val="007E5440"/>
    <w:rsid w:val="007E547C"/>
    <w:rsid w:val="007E5488"/>
    <w:rsid w:val="007E5547"/>
    <w:rsid w:val="007E5561"/>
    <w:rsid w:val="007E5593"/>
    <w:rsid w:val="007E55F8"/>
    <w:rsid w:val="007E563E"/>
    <w:rsid w:val="007E5698"/>
    <w:rsid w:val="007E569C"/>
    <w:rsid w:val="007E5768"/>
    <w:rsid w:val="007E5875"/>
    <w:rsid w:val="007E5907"/>
    <w:rsid w:val="007E5918"/>
    <w:rsid w:val="007E59C6"/>
    <w:rsid w:val="007E5A22"/>
    <w:rsid w:val="007E5A41"/>
    <w:rsid w:val="007E5AE7"/>
    <w:rsid w:val="007E5AFD"/>
    <w:rsid w:val="007E5B57"/>
    <w:rsid w:val="007E5CF6"/>
    <w:rsid w:val="007E5E05"/>
    <w:rsid w:val="007E5E41"/>
    <w:rsid w:val="007E5E7C"/>
    <w:rsid w:val="007E5F2E"/>
    <w:rsid w:val="007E5F87"/>
    <w:rsid w:val="007E6007"/>
    <w:rsid w:val="007E6076"/>
    <w:rsid w:val="007E6101"/>
    <w:rsid w:val="007E610D"/>
    <w:rsid w:val="007E61BC"/>
    <w:rsid w:val="007E62AC"/>
    <w:rsid w:val="007E62E5"/>
    <w:rsid w:val="007E6359"/>
    <w:rsid w:val="007E635A"/>
    <w:rsid w:val="007E6375"/>
    <w:rsid w:val="007E6493"/>
    <w:rsid w:val="007E64FB"/>
    <w:rsid w:val="007E65A4"/>
    <w:rsid w:val="007E65E4"/>
    <w:rsid w:val="007E66B4"/>
    <w:rsid w:val="007E66E4"/>
    <w:rsid w:val="007E6753"/>
    <w:rsid w:val="007E6755"/>
    <w:rsid w:val="007E67ED"/>
    <w:rsid w:val="007E67F3"/>
    <w:rsid w:val="007E68B8"/>
    <w:rsid w:val="007E68D2"/>
    <w:rsid w:val="007E68F5"/>
    <w:rsid w:val="007E695D"/>
    <w:rsid w:val="007E6969"/>
    <w:rsid w:val="007E699C"/>
    <w:rsid w:val="007E6A3D"/>
    <w:rsid w:val="007E6A59"/>
    <w:rsid w:val="007E6B11"/>
    <w:rsid w:val="007E6B2D"/>
    <w:rsid w:val="007E6E1D"/>
    <w:rsid w:val="007E6E31"/>
    <w:rsid w:val="007E6E43"/>
    <w:rsid w:val="007E6E6C"/>
    <w:rsid w:val="007E6E89"/>
    <w:rsid w:val="007E7066"/>
    <w:rsid w:val="007E7090"/>
    <w:rsid w:val="007E70A5"/>
    <w:rsid w:val="007E7147"/>
    <w:rsid w:val="007E7245"/>
    <w:rsid w:val="007E7268"/>
    <w:rsid w:val="007E72BB"/>
    <w:rsid w:val="007E72F3"/>
    <w:rsid w:val="007E7384"/>
    <w:rsid w:val="007E73D1"/>
    <w:rsid w:val="007E7486"/>
    <w:rsid w:val="007E7488"/>
    <w:rsid w:val="007E7492"/>
    <w:rsid w:val="007E749D"/>
    <w:rsid w:val="007E74CD"/>
    <w:rsid w:val="007E74D7"/>
    <w:rsid w:val="007E7500"/>
    <w:rsid w:val="007E752F"/>
    <w:rsid w:val="007E7552"/>
    <w:rsid w:val="007E75F3"/>
    <w:rsid w:val="007E75FD"/>
    <w:rsid w:val="007E765A"/>
    <w:rsid w:val="007E76B0"/>
    <w:rsid w:val="007E7717"/>
    <w:rsid w:val="007E777D"/>
    <w:rsid w:val="007E77B9"/>
    <w:rsid w:val="007E782E"/>
    <w:rsid w:val="007E7883"/>
    <w:rsid w:val="007E78CE"/>
    <w:rsid w:val="007E78D7"/>
    <w:rsid w:val="007E78EA"/>
    <w:rsid w:val="007E793E"/>
    <w:rsid w:val="007E7977"/>
    <w:rsid w:val="007E79D7"/>
    <w:rsid w:val="007E7A6E"/>
    <w:rsid w:val="007E7AC8"/>
    <w:rsid w:val="007E7ACC"/>
    <w:rsid w:val="007E7B49"/>
    <w:rsid w:val="007E7B5E"/>
    <w:rsid w:val="007E7BC1"/>
    <w:rsid w:val="007E7C72"/>
    <w:rsid w:val="007E7C9C"/>
    <w:rsid w:val="007E7CB6"/>
    <w:rsid w:val="007E7D17"/>
    <w:rsid w:val="007E7DAA"/>
    <w:rsid w:val="007E7DC7"/>
    <w:rsid w:val="007E7DC9"/>
    <w:rsid w:val="007E7EA3"/>
    <w:rsid w:val="007F0038"/>
    <w:rsid w:val="007F0094"/>
    <w:rsid w:val="007F009D"/>
    <w:rsid w:val="007F0126"/>
    <w:rsid w:val="007F0199"/>
    <w:rsid w:val="007F01DF"/>
    <w:rsid w:val="007F023D"/>
    <w:rsid w:val="007F02EC"/>
    <w:rsid w:val="007F0305"/>
    <w:rsid w:val="007F0372"/>
    <w:rsid w:val="007F0373"/>
    <w:rsid w:val="007F03B3"/>
    <w:rsid w:val="007F03DD"/>
    <w:rsid w:val="007F044B"/>
    <w:rsid w:val="007F04D2"/>
    <w:rsid w:val="007F0634"/>
    <w:rsid w:val="007F068A"/>
    <w:rsid w:val="007F06D5"/>
    <w:rsid w:val="007F07EE"/>
    <w:rsid w:val="007F0816"/>
    <w:rsid w:val="007F081F"/>
    <w:rsid w:val="007F086E"/>
    <w:rsid w:val="007F08E5"/>
    <w:rsid w:val="007F08ED"/>
    <w:rsid w:val="007F0AF9"/>
    <w:rsid w:val="007F0B82"/>
    <w:rsid w:val="007F0C82"/>
    <w:rsid w:val="007F0C91"/>
    <w:rsid w:val="007F0CA1"/>
    <w:rsid w:val="007F0D9B"/>
    <w:rsid w:val="007F0DD0"/>
    <w:rsid w:val="007F0E76"/>
    <w:rsid w:val="007F0E9E"/>
    <w:rsid w:val="007F0EFC"/>
    <w:rsid w:val="007F0F84"/>
    <w:rsid w:val="007F0FC0"/>
    <w:rsid w:val="007F0FCE"/>
    <w:rsid w:val="007F108C"/>
    <w:rsid w:val="007F111C"/>
    <w:rsid w:val="007F1128"/>
    <w:rsid w:val="007F1175"/>
    <w:rsid w:val="007F12A7"/>
    <w:rsid w:val="007F12CA"/>
    <w:rsid w:val="007F1330"/>
    <w:rsid w:val="007F1335"/>
    <w:rsid w:val="007F1413"/>
    <w:rsid w:val="007F147D"/>
    <w:rsid w:val="007F1495"/>
    <w:rsid w:val="007F16DC"/>
    <w:rsid w:val="007F176B"/>
    <w:rsid w:val="007F17B5"/>
    <w:rsid w:val="007F17BA"/>
    <w:rsid w:val="007F17CF"/>
    <w:rsid w:val="007F18B3"/>
    <w:rsid w:val="007F19D1"/>
    <w:rsid w:val="007F1A50"/>
    <w:rsid w:val="007F1A69"/>
    <w:rsid w:val="007F1A94"/>
    <w:rsid w:val="007F1B07"/>
    <w:rsid w:val="007F1B23"/>
    <w:rsid w:val="007F1B8B"/>
    <w:rsid w:val="007F1BCD"/>
    <w:rsid w:val="007F1BDC"/>
    <w:rsid w:val="007F1BEF"/>
    <w:rsid w:val="007F1C7F"/>
    <w:rsid w:val="007F1C96"/>
    <w:rsid w:val="007F1D39"/>
    <w:rsid w:val="007F1E5D"/>
    <w:rsid w:val="007F1F27"/>
    <w:rsid w:val="007F1F42"/>
    <w:rsid w:val="007F1F75"/>
    <w:rsid w:val="007F1F83"/>
    <w:rsid w:val="007F1FA2"/>
    <w:rsid w:val="007F1FCC"/>
    <w:rsid w:val="007F2009"/>
    <w:rsid w:val="007F2059"/>
    <w:rsid w:val="007F20C7"/>
    <w:rsid w:val="007F2122"/>
    <w:rsid w:val="007F2141"/>
    <w:rsid w:val="007F222D"/>
    <w:rsid w:val="007F223C"/>
    <w:rsid w:val="007F224F"/>
    <w:rsid w:val="007F2273"/>
    <w:rsid w:val="007F22A7"/>
    <w:rsid w:val="007F22AD"/>
    <w:rsid w:val="007F22F0"/>
    <w:rsid w:val="007F22FC"/>
    <w:rsid w:val="007F2306"/>
    <w:rsid w:val="007F2307"/>
    <w:rsid w:val="007F237A"/>
    <w:rsid w:val="007F2392"/>
    <w:rsid w:val="007F252D"/>
    <w:rsid w:val="007F2595"/>
    <w:rsid w:val="007F25D1"/>
    <w:rsid w:val="007F2634"/>
    <w:rsid w:val="007F2637"/>
    <w:rsid w:val="007F2657"/>
    <w:rsid w:val="007F2671"/>
    <w:rsid w:val="007F2674"/>
    <w:rsid w:val="007F26A0"/>
    <w:rsid w:val="007F271B"/>
    <w:rsid w:val="007F274B"/>
    <w:rsid w:val="007F2784"/>
    <w:rsid w:val="007F2844"/>
    <w:rsid w:val="007F2862"/>
    <w:rsid w:val="007F28F3"/>
    <w:rsid w:val="007F291D"/>
    <w:rsid w:val="007F296E"/>
    <w:rsid w:val="007F29A4"/>
    <w:rsid w:val="007F2A5B"/>
    <w:rsid w:val="007F2A9B"/>
    <w:rsid w:val="007F2B14"/>
    <w:rsid w:val="007F2B70"/>
    <w:rsid w:val="007F2C73"/>
    <w:rsid w:val="007F2C79"/>
    <w:rsid w:val="007F2C8A"/>
    <w:rsid w:val="007F2CD5"/>
    <w:rsid w:val="007F2D5A"/>
    <w:rsid w:val="007F2DA8"/>
    <w:rsid w:val="007F2F1A"/>
    <w:rsid w:val="007F2F5D"/>
    <w:rsid w:val="007F2F5E"/>
    <w:rsid w:val="007F2F74"/>
    <w:rsid w:val="007F306B"/>
    <w:rsid w:val="007F30AC"/>
    <w:rsid w:val="007F30D8"/>
    <w:rsid w:val="007F314C"/>
    <w:rsid w:val="007F3181"/>
    <w:rsid w:val="007F31F9"/>
    <w:rsid w:val="007F3359"/>
    <w:rsid w:val="007F3361"/>
    <w:rsid w:val="007F33C3"/>
    <w:rsid w:val="007F33E2"/>
    <w:rsid w:val="007F3417"/>
    <w:rsid w:val="007F342C"/>
    <w:rsid w:val="007F349C"/>
    <w:rsid w:val="007F34B2"/>
    <w:rsid w:val="007F34B7"/>
    <w:rsid w:val="007F352E"/>
    <w:rsid w:val="007F3543"/>
    <w:rsid w:val="007F3573"/>
    <w:rsid w:val="007F358A"/>
    <w:rsid w:val="007F359E"/>
    <w:rsid w:val="007F3678"/>
    <w:rsid w:val="007F36AC"/>
    <w:rsid w:val="007F36F0"/>
    <w:rsid w:val="007F36FC"/>
    <w:rsid w:val="007F374E"/>
    <w:rsid w:val="007F37F8"/>
    <w:rsid w:val="007F3802"/>
    <w:rsid w:val="007F3899"/>
    <w:rsid w:val="007F38B4"/>
    <w:rsid w:val="007F38B9"/>
    <w:rsid w:val="007F3920"/>
    <w:rsid w:val="007F3933"/>
    <w:rsid w:val="007F3998"/>
    <w:rsid w:val="007F39D2"/>
    <w:rsid w:val="007F3B61"/>
    <w:rsid w:val="007F3BB6"/>
    <w:rsid w:val="007F3BD5"/>
    <w:rsid w:val="007F3BD7"/>
    <w:rsid w:val="007F3D6F"/>
    <w:rsid w:val="007F3E7A"/>
    <w:rsid w:val="007F3EBE"/>
    <w:rsid w:val="007F3F20"/>
    <w:rsid w:val="007F3F51"/>
    <w:rsid w:val="007F3F56"/>
    <w:rsid w:val="007F40AB"/>
    <w:rsid w:val="007F40B6"/>
    <w:rsid w:val="007F41EB"/>
    <w:rsid w:val="007F4221"/>
    <w:rsid w:val="007F422B"/>
    <w:rsid w:val="007F4267"/>
    <w:rsid w:val="007F42EA"/>
    <w:rsid w:val="007F4309"/>
    <w:rsid w:val="007F433A"/>
    <w:rsid w:val="007F433C"/>
    <w:rsid w:val="007F437F"/>
    <w:rsid w:val="007F4396"/>
    <w:rsid w:val="007F441D"/>
    <w:rsid w:val="007F4531"/>
    <w:rsid w:val="007F4598"/>
    <w:rsid w:val="007F463B"/>
    <w:rsid w:val="007F4698"/>
    <w:rsid w:val="007F46E6"/>
    <w:rsid w:val="007F4739"/>
    <w:rsid w:val="007F475E"/>
    <w:rsid w:val="007F4788"/>
    <w:rsid w:val="007F479C"/>
    <w:rsid w:val="007F47FF"/>
    <w:rsid w:val="007F4821"/>
    <w:rsid w:val="007F4A21"/>
    <w:rsid w:val="007F4B76"/>
    <w:rsid w:val="007F4B9B"/>
    <w:rsid w:val="007F4BDF"/>
    <w:rsid w:val="007F4C0E"/>
    <w:rsid w:val="007F4C1D"/>
    <w:rsid w:val="007F4C31"/>
    <w:rsid w:val="007F4C78"/>
    <w:rsid w:val="007F4D8C"/>
    <w:rsid w:val="007F4E79"/>
    <w:rsid w:val="007F4EF1"/>
    <w:rsid w:val="007F4F3A"/>
    <w:rsid w:val="007F4F6A"/>
    <w:rsid w:val="007F4F84"/>
    <w:rsid w:val="007F4FBF"/>
    <w:rsid w:val="007F504C"/>
    <w:rsid w:val="007F5082"/>
    <w:rsid w:val="007F50FD"/>
    <w:rsid w:val="007F512F"/>
    <w:rsid w:val="007F5191"/>
    <w:rsid w:val="007F51BE"/>
    <w:rsid w:val="007F5284"/>
    <w:rsid w:val="007F52BD"/>
    <w:rsid w:val="007F5311"/>
    <w:rsid w:val="007F5337"/>
    <w:rsid w:val="007F541B"/>
    <w:rsid w:val="007F5428"/>
    <w:rsid w:val="007F5637"/>
    <w:rsid w:val="007F563E"/>
    <w:rsid w:val="007F56CA"/>
    <w:rsid w:val="007F56E4"/>
    <w:rsid w:val="007F5734"/>
    <w:rsid w:val="007F5779"/>
    <w:rsid w:val="007F57F6"/>
    <w:rsid w:val="007F582B"/>
    <w:rsid w:val="007F5878"/>
    <w:rsid w:val="007F588A"/>
    <w:rsid w:val="007F58D8"/>
    <w:rsid w:val="007F58E6"/>
    <w:rsid w:val="007F58EF"/>
    <w:rsid w:val="007F596B"/>
    <w:rsid w:val="007F5C15"/>
    <w:rsid w:val="007F5C56"/>
    <w:rsid w:val="007F5C6D"/>
    <w:rsid w:val="007F5C91"/>
    <w:rsid w:val="007F5D01"/>
    <w:rsid w:val="007F5D10"/>
    <w:rsid w:val="007F5D15"/>
    <w:rsid w:val="007F5DA9"/>
    <w:rsid w:val="007F5DE1"/>
    <w:rsid w:val="007F5DF3"/>
    <w:rsid w:val="007F5EA1"/>
    <w:rsid w:val="007F5EA7"/>
    <w:rsid w:val="007F5F21"/>
    <w:rsid w:val="007F5F44"/>
    <w:rsid w:val="007F607C"/>
    <w:rsid w:val="007F60C0"/>
    <w:rsid w:val="007F60CB"/>
    <w:rsid w:val="007F6125"/>
    <w:rsid w:val="007F615F"/>
    <w:rsid w:val="007F617A"/>
    <w:rsid w:val="007F6196"/>
    <w:rsid w:val="007F61B9"/>
    <w:rsid w:val="007F61C7"/>
    <w:rsid w:val="007F623C"/>
    <w:rsid w:val="007F6311"/>
    <w:rsid w:val="007F6427"/>
    <w:rsid w:val="007F658D"/>
    <w:rsid w:val="007F65B0"/>
    <w:rsid w:val="007F65D9"/>
    <w:rsid w:val="007F6698"/>
    <w:rsid w:val="007F66D1"/>
    <w:rsid w:val="007F66E6"/>
    <w:rsid w:val="007F66EA"/>
    <w:rsid w:val="007F66F4"/>
    <w:rsid w:val="007F674C"/>
    <w:rsid w:val="007F6780"/>
    <w:rsid w:val="007F67A1"/>
    <w:rsid w:val="007F6832"/>
    <w:rsid w:val="007F6834"/>
    <w:rsid w:val="007F6868"/>
    <w:rsid w:val="007F6893"/>
    <w:rsid w:val="007F68AD"/>
    <w:rsid w:val="007F68D9"/>
    <w:rsid w:val="007F69DF"/>
    <w:rsid w:val="007F6A6D"/>
    <w:rsid w:val="007F6AA5"/>
    <w:rsid w:val="007F6AC5"/>
    <w:rsid w:val="007F6AFF"/>
    <w:rsid w:val="007F6BBD"/>
    <w:rsid w:val="007F6C1A"/>
    <w:rsid w:val="007F6CFB"/>
    <w:rsid w:val="007F6DEA"/>
    <w:rsid w:val="007F6E06"/>
    <w:rsid w:val="007F6E3A"/>
    <w:rsid w:val="007F6E65"/>
    <w:rsid w:val="007F6E7C"/>
    <w:rsid w:val="007F6E93"/>
    <w:rsid w:val="007F6F7E"/>
    <w:rsid w:val="007F6FF8"/>
    <w:rsid w:val="007F7045"/>
    <w:rsid w:val="007F7066"/>
    <w:rsid w:val="007F70E2"/>
    <w:rsid w:val="007F7105"/>
    <w:rsid w:val="007F7173"/>
    <w:rsid w:val="007F7338"/>
    <w:rsid w:val="007F73FF"/>
    <w:rsid w:val="007F7401"/>
    <w:rsid w:val="007F742F"/>
    <w:rsid w:val="007F74C9"/>
    <w:rsid w:val="007F757D"/>
    <w:rsid w:val="007F75DD"/>
    <w:rsid w:val="007F7611"/>
    <w:rsid w:val="007F7691"/>
    <w:rsid w:val="007F779D"/>
    <w:rsid w:val="007F7908"/>
    <w:rsid w:val="007F7930"/>
    <w:rsid w:val="007F7936"/>
    <w:rsid w:val="007F7944"/>
    <w:rsid w:val="007F79DC"/>
    <w:rsid w:val="007F7A0E"/>
    <w:rsid w:val="007F7A82"/>
    <w:rsid w:val="007F7AA4"/>
    <w:rsid w:val="007F7B16"/>
    <w:rsid w:val="007F7B29"/>
    <w:rsid w:val="007F7B2E"/>
    <w:rsid w:val="007F7B3F"/>
    <w:rsid w:val="007F7BCC"/>
    <w:rsid w:val="007F7BF7"/>
    <w:rsid w:val="007F7C54"/>
    <w:rsid w:val="007F7D5D"/>
    <w:rsid w:val="007F7DAF"/>
    <w:rsid w:val="007F7DF7"/>
    <w:rsid w:val="007F7E17"/>
    <w:rsid w:val="007F7E8A"/>
    <w:rsid w:val="007F7F6B"/>
    <w:rsid w:val="007F7F84"/>
    <w:rsid w:val="007F7FAA"/>
    <w:rsid w:val="008000C6"/>
    <w:rsid w:val="008001DC"/>
    <w:rsid w:val="00800211"/>
    <w:rsid w:val="0080026F"/>
    <w:rsid w:val="00800278"/>
    <w:rsid w:val="0080027E"/>
    <w:rsid w:val="008002A8"/>
    <w:rsid w:val="00800327"/>
    <w:rsid w:val="008003CA"/>
    <w:rsid w:val="008004D6"/>
    <w:rsid w:val="00800620"/>
    <w:rsid w:val="00800630"/>
    <w:rsid w:val="00800778"/>
    <w:rsid w:val="00800821"/>
    <w:rsid w:val="008008AF"/>
    <w:rsid w:val="0080094A"/>
    <w:rsid w:val="00800979"/>
    <w:rsid w:val="008009CF"/>
    <w:rsid w:val="00800A61"/>
    <w:rsid w:val="00800A6C"/>
    <w:rsid w:val="00800AE3"/>
    <w:rsid w:val="00800B71"/>
    <w:rsid w:val="00800BDD"/>
    <w:rsid w:val="00800BEF"/>
    <w:rsid w:val="00800C35"/>
    <w:rsid w:val="00800C70"/>
    <w:rsid w:val="00800CE2"/>
    <w:rsid w:val="00800D54"/>
    <w:rsid w:val="00800E52"/>
    <w:rsid w:val="00800E9A"/>
    <w:rsid w:val="00800F3C"/>
    <w:rsid w:val="00800F3E"/>
    <w:rsid w:val="00800F67"/>
    <w:rsid w:val="00800FD8"/>
    <w:rsid w:val="00800FDB"/>
    <w:rsid w:val="00801001"/>
    <w:rsid w:val="00801017"/>
    <w:rsid w:val="00801038"/>
    <w:rsid w:val="00801054"/>
    <w:rsid w:val="008010B0"/>
    <w:rsid w:val="00801108"/>
    <w:rsid w:val="0080110D"/>
    <w:rsid w:val="0080115C"/>
    <w:rsid w:val="0080125A"/>
    <w:rsid w:val="00801305"/>
    <w:rsid w:val="00801322"/>
    <w:rsid w:val="00801337"/>
    <w:rsid w:val="0080134C"/>
    <w:rsid w:val="008013B7"/>
    <w:rsid w:val="008014EC"/>
    <w:rsid w:val="008014FB"/>
    <w:rsid w:val="00801518"/>
    <w:rsid w:val="00801583"/>
    <w:rsid w:val="008015BB"/>
    <w:rsid w:val="008015EF"/>
    <w:rsid w:val="00801656"/>
    <w:rsid w:val="0080168E"/>
    <w:rsid w:val="008016DF"/>
    <w:rsid w:val="008016E4"/>
    <w:rsid w:val="0080170B"/>
    <w:rsid w:val="0080174B"/>
    <w:rsid w:val="008017D7"/>
    <w:rsid w:val="00801887"/>
    <w:rsid w:val="008018E9"/>
    <w:rsid w:val="0080190A"/>
    <w:rsid w:val="00801917"/>
    <w:rsid w:val="0080191A"/>
    <w:rsid w:val="00801943"/>
    <w:rsid w:val="00801994"/>
    <w:rsid w:val="008019A5"/>
    <w:rsid w:val="00801BE4"/>
    <w:rsid w:val="00801BF4"/>
    <w:rsid w:val="00801CDC"/>
    <w:rsid w:val="00801CFF"/>
    <w:rsid w:val="00801D21"/>
    <w:rsid w:val="00801D5F"/>
    <w:rsid w:val="00801EB4"/>
    <w:rsid w:val="00801FBF"/>
    <w:rsid w:val="00801FFE"/>
    <w:rsid w:val="0080204F"/>
    <w:rsid w:val="00802082"/>
    <w:rsid w:val="008020F8"/>
    <w:rsid w:val="0080210B"/>
    <w:rsid w:val="0080213F"/>
    <w:rsid w:val="00802148"/>
    <w:rsid w:val="0080214C"/>
    <w:rsid w:val="00802190"/>
    <w:rsid w:val="008021BE"/>
    <w:rsid w:val="008021EB"/>
    <w:rsid w:val="008021EF"/>
    <w:rsid w:val="00802243"/>
    <w:rsid w:val="0080226C"/>
    <w:rsid w:val="00802273"/>
    <w:rsid w:val="008022BA"/>
    <w:rsid w:val="00802416"/>
    <w:rsid w:val="0080242B"/>
    <w:rsid w:val="0080245E"/>
    <w:rsid w:val="0080247A"/>
    <w:rsid w:val="00802492"/>
    <w:rsid w:val="008024A0"/>
    <w:rsid w:val="008024A1"/>
    <w:rsid w:val="008024D2"/>
    <w:rsid w:val="008024D7"/>
    <w:rsid w:val="0080252D"/>
    <w:rsid w:val="00802668"/>
    <w:rsid w:val="00802674"/>
    <w:rsid w:val="00802797"/>
    <w:rsid w:val="008027E8"/>
    <w:rsid w:val="0080283B"/>
    <w:rsid w:val="00802894"/>
    <w:rsid w:val="008028AF"/>
    <w:rsid w:val="008028B6"/>
    <w:rsid w:val="008028B7"/>
    <w:rsid w:val="008028C0"/>
    <w:rsid w:val="008028C5"/>
    <w:rsid w:val="008029F5"/>
    <w:rsid w:val="00802A15"/>
    <w:rsid w:val="00802A1F"/>
    <w:rsid w:val="00802A71"/>
    <w:rsid w:val="00802A74"/>
    <w:rsid w:val="00802AA3"/>
    <w:rsid w:val="00802B03"/>
    <w:rsid w:val="00802B1F"/>
    <w:rsid w:val="00802B8A"/>
    <w:rsid w:val="00802BC3"/>
    <w:rsid w:val="00802BEE"/>
    <w:rsid w:val="00802C0E"/>
    <w:rsid w:val="00802C5C"/>
    <w:rsid w:val="00802CD9"/>
    <w:rsid w:val="00802CF1"/>
    <w:rsid w:val="00802D7C"/>
    <w:rsid w:val="00802D88"/>
    <w:rsid w:val="00802DA9"/>
    <w:rsid w:val="00802DD5"/>
    <w:rsid w:val="00802E1C"/>
    <w:rsid w:val="00802E29"/>
    <w:rsid w:val="00802E52"/>
    <w:rsid w:val="00802EC7"/>
    <w:rsid w:val="00802EF9"/>
    <w:rsid w:val="00802F14"/>
    <w:rsid w:val="00802F31"/>
    <w:rsid w:val="00802F51"/>
    <w:rsid w:val="00803005"/>
    <w:rsid w:val="00803020"/>
    <w:rsid w:val="00803029"/>
    <w:rsid w:val="008030D6"/>
    <w:rsid w:val="008031DF"/>
    <w:rsid w:val="00803200"/>
    <w:rsid w:val="008032AF"/>
    <w:rsid w:val="008032CD"/>
    <w:rsid w:val="0080332C"/>
    <w:rsid w:val="00803377"/>
    <w:rsid w:val="00803399"/>
    <w:rsid w:val="00803400"/>
    <w:rsid w:val="0080344E"/>
    <w:rsid w:val="0080359C"/>
    <w:rsid w:val="008035B3"/>
    <w:rsid w:val="00803642"/>
    <w:rsid w:val="00803659"/>
    <w:rsid w:val="008036E9"/>
    <w:rsid w:val="00803720"/>
    <w:rsid w:val="0080376A"/>
    <w:rsid w:val="008037D4"/>
    <w:rsid w:val="0080383A"/>
    <w:rsid w:val="0080384E"/>
    <w:rsid w:val="00803909"/>
    <w:rsid w:val="00803966"/>
    <w:rsid w:val="0080398B"/>
    <w:rsid w:val="008039AB"/>
    <w:rsid w:val="008039E7"/>
    <w:rsid w:val="00803A37"/>
    <w:rsid w:val="00803ACC"/>
    <w:rsid w:val="00803B48"/>
    <w:rsid w:val="00803B84"/>
    <w:rsid w:val="00803BA6"/>
    <w:rsid w:val="00803C2C"/>
    <w:rsid w:val="00803C6A"/>
    <w:rsid w:val="00803CD4"/>
    <w:rsid w:val="00803CD5"/>
    <w:rsid w:val="00803DB6"/>
    <w:rsid w:val="00803DDE"/>
    <w:rsid w:val="00803E27"/>
    <w:rsid w:val="00803E95"/>
    <w:rsid w:val="00803EDF"/>
    <w:rsid w:val="00803EE6"/>
    <w:rsid w:val="00803F6C"/>
    <w:rsid w:val="00803FAA"/>
    <w:rsid w:val="00803FC1"/>
    <w:rsid w:val="00803FC7"/>
    <w:rsid w:val="0080407D"/>
    <w:rsid w:val="008040C9"/>
    <w:rsid w:val="008040CA"/>
    <w:rsid w:val="0080410A"/>
    <w:rsid w:val="008042CB"/>
    <w:rsid w:val="00804301"/>
    <w:rsid w:val="00804338"/>
    <w:rsid w:val="008043ED"/>
    <w:rsid w:val="00804446"/>
    <w:rsid w:val="00804450"/>
    <w:rsid w:val="0080447B"/>
    <w:rsid w:val="008044B0"/>
    <w:rsid w:val="0080450A"/>
    <w:rsid w:val="0080456A"/>
    <w:rsid w:val="008045B7"/>
    <w:rsid w:val="008045B8"/>
    <w:rsid w:val="008045D9"/>
    <w:rsid w:val="008045F9"/>
    <w:rsid w:val="008047D9"/>
    <w:rsid w:val="0080481B"/>
    <w:rsid w:val="00804A04"/>
    <w:rsid w:val="00804A1A"/>
    <w:rsid w:val="00804A63"/>
    <w:rsid w:val="00804A77"/>
    <w:rsid w:val="00804B18"/>
    <w:rsid w:val="00804B7B"/>
    <w:rsid w:val="00804C9C"/>
    <w:rsid w:val="00804D42"/>
    <w:rsid w:val="00804D4D"/>
    <w:rsid w:val="00804D54"/>
    <w:rsid w:val="00804D98"/>
    <w:rsid w:val="00804E1F"/>
    <w:rsid w:val="00804E62"/>
    <w:rsid w:val="00804F37"/>
    <w:rsid w:val="00804FB9"/>
    <w:rsid w:val="00805001"/>
    <w:rsid w:val="00805031"/>
    <w:rsid w:val="00805060"/>
    <w:rsid w:val="008050C4"/>
    <w:rsid w:val="00805105"/>
    <w:rsid w:val="00805114"/>
    <w:rsid w:val="00805123"/>
    <w:rsid w:val="008051D3"/>
    <w:rsid w:val="00805336"/>
    <w:rsid w:val="0080536A"/>
    <w:rsid w:val="00805383"/>
    <w:rsid w:val="008053D0"/>
    <w:rsid w:val="0080540C"/>
    <w:rsid w:val="0080541C"/>
    <w:rsid w:val="00805453"/>
    <w:rsid w:val="0080548A"/>
    <w:rsid w:val="008054D6"/>
    <w:rsid w:val="008054FF"/>
    <w:rsid w:val="00805531"/>
    <w:rsid w:val="00805574"/>
    <w:rsid w:val="00805614"/>
    <w:rsid w:val="00805693"/>
    <w:rsid w:val="008056B7"/>
    <w:rsid w:val="008056CC"/>
    <w:rsid w:val="008057A5"/>
    <w:rsid w:val="008058BE"/>
    <w:rsid w:val="008058DF"/>
    <w:rsid w:val="0080590A"/>
    <w:rsid w:val="0080592A"/>
    <w:rsid w:val="008059E9"/>
    <w:rsid w:val="00805A4E"/>
    <w:rsid w:val="00805A65"/>
    <w:rsid w:val="00805BF6"/>
    <w:rsid w:val="00805BFB"/>
    <w:rsid w:val="00805C7C"/>
    <w:rsid w:val="00805C7F"/>
    <w:rsid w:val="00805C85"/>
    <w:rsid w:val="00805D3D"/>
    <w:rsid w:val="00805D44"/>
    <w:rsid w:val="00805DB4"/>
    <w:rsid w:val="00805DDD"/>
    <w:rsid w:val="00805E0D"/>
    <w:rsid w:val="00805E5E"/>
    <w:rsid w:val="00805E92"/>
    <w:rsid w:val="00805EFE"/>
    <w:rsid w:val="00805F1A"/>
    <w:rsid w:val="00805F31"/>
    <w:rsid w:val="00805F6B"/>
    <w:rsid w:val="00806011"/>
    <w:rsid w:val="008060B7"/>
    <w:rsid w:val="008060F0"/>
    <w:rsid w:val="00806190"/>
    <w:rsid w:val="0080619E"/>
    <w:rsid w:val="008061C1"/>
    <w:rsid w:val="008061DF"/>
    <w:rsid w:val="00806214"/>
    <w:rsid w:val="00806284"/>
    <w:rsid w:val="00806296"/>
    <w:rsid w:val="008063C6"/>
    <w:rsid w:val="00806405"/>
    <w:rsid w:val="00806477"/>
    <w:rsid w:val="008064D2"/>
    <w:rsid w:val="008064F0"/>
    <w:rsid w:val="00806501"/>
    <w:rsid w:val="008065BC"/>
    <w:rsid w:val="00806643"/>
    <w:rsid w:val="0080672D"/>
    <w:rsid w:val="008067A1"/>
    <w:rsid w:val="008067AB"/>
    <w:rsid w:val="008067C4"/>
    <w:rsid w:val="00806814"/>
    <w:rsid w:val="0080684A"/>
    <w:rsid w:val="0080699D"/>
    <w:rsid w:val="008069EC"/>
    <w:rsid w:val="00806B6F"/>
    <w:rsid w:val="00806BD1"/>
    <w:rsid w:val="00806D2E"/>
    <w:rsid w:val="00806DE2"/>
    <w:rsid w:val="00806E5F"/>
    <w:rsid w:val="00806ED4"/>
    <w:rsid w:val="00806EDF"/>
    <w:rsid w:val="00806F20"/>
    <w:rsid w:val="00806F3A"/>
    <w:rsid w:val="00806F59"/>
    <w:rsid w:val="00806FC3"/>
    <w:rsid w:val="00807008"/>
    <w:rsid w:val="008071A4"/>
    <w:rsid w:val="008071B2"/>
    <w:rsid w:val="00807229"/>
    <w:rsid w:val="0080725E"/>
    <w:rsid w:val="00807294"/>
    <w:rsid w:val="008073EA"/>
    <w:rsid w:val="0080747F"/>
    <w:rsid w:val="008074A5"/>
    <w:rsid w:val="008074DC"/>
    <w:rsid w:val="0080755B"/>
    <w:rsid w:val="008075D6"/>
    <w:rsid w:val="00807758"/>
    <w:rsid w:val="008077F2"/>
    <w:rsid w:val="0080782C"/>
    <w:rsid w:val="0080782E"/>
    <w:rsid w:val="008078DC"/>
    <w:rsid w:val="008078DD"/>
    <w:rsid w:val="00807923"/>
    <w:rsid w:val="008079FE"/>
    <w:rsid w:val="00807A16"/>
    <w:rsid w:val="00807A85"/>
    <w:rsid w:val="00807ACF"/>
    <w:rsid w:val="00807AE9"/>
    <w:rsid w:val="00807B7F"/>
    <w:rsid w:val="00807D1C"/>
    <w:rsid w:val="00807D57"/>
    <w:rsid w:val="00807D97"/>
    <w:rsid w:val="00807E0D"/>
    <w:rsid w:val="00807E3A"/>
    <w:rsid w:val="00807E6F"/>
    <w:rsid w:val="00807EE8"/>
    <w:rsid w:val="00807F67"/>
    <w:rsid w:val="00807FBA"/>
    <w:rsid w:val="00810113"/>
    <w:rsid w:val="0081013C"/>
    <w:rsid w:val="008101AF"/>
    <w:rsid w:val="008101FB"/>
    <w:rsid w:val="008103BE"/>
    <w:rsid w:val="00810462"/>
    <w:rsid w:val="0081046D"/>
    <w:rsid w:val="008104B5"/>
    <w:rsid w:val="008104E1"/>
    <w:rsid w:val="008104EF"/>
    <w:rsid w:val="00810503"/>
    <w:rsid w:val="00810517"/>
    <w:rsid w:val="00810584"/>
    <w:rsid w:val="0081066F"/>
    <w:rsid w:val="008107E2"/>
    <w:rsid w:val="00810827"/>
    <w:rsid w:val="0081084B"/>
    <w:rsid w:val="00810933"/>
    <w:rsid w:val="00810965"/>
    <w:rsid w:val="0081099F"/>
    <w:rsid w:val="008109F6"/>
    <w:rsid w:val="00810A1B"/>
    <w:rsid w:val="00810A63"/>
    <w:rsid w:val="00810A78"/>
    <w:rsid w:val="00810A9D"/>
    <w:rsid w:val="00810ACF"/>
    <w:rsid w:val="00810AFB"/>
    <w:rsid w:val="00810B09"/>
    <w:rsid w:val="00810B33"/>
    <w:rsid w:val="00810B4A"/>
    <w:rsid w:val="00810B6D"/>
    <w:rsid w:val="00810B8D"/>
    <w:rsid w:val="00810C40"/>
    <w:rsid w:val="00810CBD"/>
    <w:rsid w:val="00810CD0"/>
    <w:rsid w:val="00810CFD"/>
    <w:rsid w:val="00810E06"/>
    <w:rsid w:val="00810E39"/>
    <w:rsid w:val="00810E42"/>
    <w:rsid w:val="00810E44"/>
    <w:rsid w:val="00810E4C"/>
    <w:rsid w:val="00810E55"/>
    <w:rsid w:val="00810E73"/>
    <w:rsid w:val="00810E76"/>
    <w:rsid w:val="00810E80"/>
    <w:rsid w:val="00810FC7"/>
    <w:rsid w:val="00811124"/>
    <w:rsid w:val="0081113E"/>
    <w:rsid w:val="0081117D"/>
    <w:rsid w:val="00811245"/>
    <w:rsid w:val="008112C8"/>
    <w:rsid w:val="008112D9"/>
    <w:rsid w:val="008113A9"/>
    <w:rsid w:val="008113D5"/>
    <w:rsid w:val="00811446"/>
    <w:rsid w:val="0081146B"/>
    <w:rsid w:val="008114D4"/>
    <w:rsid w:val="008114DF"/>
    <w:rsid w:val="008114E1"/>
    <w:rsid w:val="00811511"/>
    <w:rsid w:val="00811526"/>
    <w:rsid w:val="0081155B"/>
    <w:rsid w:val="00811561"/>
    <w:rsid w:val="0081159E"/>
    <w:rsid w:val="008115D6"/>
    <w:rsid w:val="008115EE"/>
    <w:rsid w:val="00811646"/>
    <w:rsid w:val="008116AF"/>
    <w:rsid w:val="0081170C"/>
    <w:rsid w:val="0081179F"/>
    <w:rsid w:val="008117B9"/>
    <w:rsid w:val="0081184E"/>
    <w:rsid w:val="008118DB"/>
    <w:rsid w:val="008118EA"/>
    <w:rsid w:val="00811A65"/>
    <w:rsid w:val="00811AA4"/>
    <w:rsid w:val="00811B4F"/>
    <w:rsid w:val="00811BD7"/>
    <w:rsid w:val="00811C41"/>
    <w:rsid w:val="00811C61"/>
    <w:rsid w:val="00811C65"/>
    <w:rsid w:val="00811CCA"/>
    <w:rsid w:val="00811CD7"/>
    <w:rsid w:val="00811CEA"/>
    <w:rsid w:val="00811D26"/>
    <w:rsid w:val="00811DEB"/>
    <w:rsid w:val="00811DEC"/>
    <w:rsid w:val="00811E20"/>
    <w:rsid w:val="00811E2D"/>
    <w:rsid w:val="00811EC7"/>
    <w:rsid w:val="00811ED9"/>
    <w:rsid w:val="00811F22"/>
    <w:rsid w:val="00811FC4"/>
    <w:rsid w:val="00812061"/>
    <w:rsid w:val="00812065"/>
    <w:rsid w:val="008120C1"/>
    <w:rsid w:val="008120F0"/>
    <w:rsid w:val="008120F6"/>
    <w:rsid w:val="00812156"/>
    <w:rsid w:val="00812183"/>
    <w:rsid w:val="00812185"/>
    <w:rsid w:val="008121EE"/>
    <w:rsid w:val="008122D9"/>
    <w:rsid w:val="00812404"/>
    <w:rsid w:val="008124AE"/>
    <w:rsid w:val="0081254D"/>
    <w:rsid w:val="00812564"/>
    <w:rsid w:val="0081260E"/>
    <w:rsid w:val="00812652"/>
    <w:rsid w:val="0081269D"/>
    <w:rsid w:val="008126DB"/>
    <w:rsid w:val="0081271C"/>
    <w:rsid w:val="0081294D"/>
    <w:rsid w:val="0081295C"/>
    <w:rsid w:val="00812991"/>
    <w:rsid w:val="00812A00"/>
    <w:rsid w:val="00812A98"/>
    <w:rsid w:val="00812ABE"/>
    <w:rsid w:val="00812B14"/>
    <w:rsid w:val="00812C08"/>
    <w:rsid w:val="00812C5A"/>
    <w:rsid w:val="00812D38"/>
    <w:rsid w:val="00812D64"/>
    <w:rsid w:val="00812DBB"/>
    <w:rsid w:val="00812DCC"/>
    <w:rsid w:val="00812E03"/>
    <w:rsid w:val="00812EFA"/>
    <w:rsid w:val="00812F44"/>
    <w:rsid w:val="00812F9D"/>
    <w:rsid w:val="00812FA3"/>
    <w:rsid w:val="00812FDD"/>
    <w:rsid w:val="00812FED"/>
    <w:rsid w:val="0081304D"/>
    <w:rsid w:val="00813170"/>
    <w:rsid w:val="008131B5"/>
    <w:rsid w:val="00813256"/>
    <w:rsid w:val="0081329F"/>
    <w:rsid w:val="00813448"/>
    <w:rsid w:val="00813482"/>
    <w:rsid w:val="00813567"/>
    <w:rsid w:val="008136FF"/>
    <w:rsid w:val="00813726"/>
    <w:rsid w:val="0081372F"/>
    <w:rsid w:val="00813757"/>
    <w:rsid w:val="00813773"/>
    <w:rsid w:val="008137B6"/>
    <w:rsid w:val="008137DC"/>
    <w:rsid w:val="00813821"/>
    <w:rsid w:val="008138ED"/>
    <w:rsid w:val="008139A7"/>
    <w:rsid w:val="00813A2F"/>
    <w:rsid w:val="00813A72"/>
    <w:rsid w:val="00813B09"/>
    <w:rsid w:val="00813B91"/>
    <w:rsid w:val="00813C52"/>
    <w:rsid w:val="00813C89"/>
    <w:rsid w:val="00813CC1"/>
    <w:rsid w:val="00813D80"/>
    <w:rsid w:val="00813DEF"/>
    <w:rsid w:val="00813E30"/>
    <w:rsid w:val="00813F33"/>
    <w:rsid w:val="00813FA9"/>
    <w:rsid w:val="00813FF6"/>
    <w:rsid w:val="00814000"/>
    <w:rsid w:val="0081402E"/>
    <w:rsid w:val="00814033"/>
    <w:rsid w:val="00814071"/>
    <w:rsid w:val="008140A1"/>
    <w:rsid w:val="008140DB"/>
    <w:rsid w:val="008140E4"/>
    <w:rsid w:val="00814140"/>
    <w:rsid w:val="00814147"/>
    <w:rsid w:val="00814156"/>
    <w:rsid w:val="008141F8"/>
    <w:rsid w:val="00814244"/>
    <w:rsid w:val="00814251"/>
    <w:rsid w:val="00814324"/>
    <w:rsid w:val="00814368"/>
    <w:rsid w:val="00814369"/>
    <w:rsid w:val="00814440"/>
    <w:rsid w:val="00814542"/>
    <w:rsid w:val="00814543"/>
    <w:rsid w:val="00814624"/>
    <w:rsid w:val="008146B6"/>
    <w:rsid w:val="008146E1"/>
    <w:rsid w:val="00814760"/>
    <w:rsid w:val="0081483E"/>
    <w:rsid w:val="00814853"/>
    <w:rsid w:val="008148FB"/>
    <w:rsid w:val="00814936"/>
    <w:rsid w:val="00814947"/>
    <w:rsid w:val="00814964"/>
    <w:rsid w:val="008149E3"/>
    <w:rsid w:val="00814A1A"/>
    <w:rsid w:val="00814A40"/>
    <w:rsid w:val="00814A4E"/>
    <w:rsid w:val="00814A52"/>
    <w:rsid w:val="00814A5F"/>
    <w:rsid w:val="00814AD4"/>
    <w:rsid w:val="00814B0D"/>
    <w:rsid w:val="00814B97"/>
    <w:rsid w:val="00814C93"/>
    <w:rsid w:val="00814CCB"/>
    <w:rsid w:val="00814D0B"/>
    <w:rsid w:val="00814D9A"/>
    <w:rsid w:val="00814EA1"/>
    <w:rsid w:val="00814EBE"/>
    <w:rsid w:val="00814EE2"/>
    <w:rsid w:val="00814F07"/>
    <w:rsid w:val="00814F59"/>
    <w:rsid w:val="00814F7C"/>
    <w:rsid w:val="00815061"/>
    <w:rsid w:val="00815108"/>
    <w:rsid w:val="00815137"/>
    <w:rsid w:val="00815150"/>
    <w:rsid w:val="00815194"/>
    <w:rsid w:val="008151E2"/>
    <w:rsid w:val="0081523E"/>
    <w:rsid w:val="00815244"/>
    <w:rsid w:val="0081527C"/>
    <w:rsid w:val="00815289"/>
    <w:rsid w:val="008152D6"/>
    <w:rsid w:val="008152FF"/>
    <w:rsid w:val="0081530E"/>
    <w:rsid w:val="0081545D"/>
    <w:rsid w:val="0081558B"/>
    <w:rsid w:val="008155E9"/>
    <w:rsid w:val="00815641"/>
    <w:rsid w:val="008157A9"/>
    <w:rsid w:val="008159A9"/>
    <w:rsid w:val="008159C7"/>
    <w:rsid w:val="00815A1C"/>
    <w:rsid w:val="00815A64"/>
    <w:rsid w:val="00815A88"/>
    <w:rsid w:val="00815AAD"/>
    <w:rsid w:val="00815ABC"/>
    <w:rsid w:val="00815B6A"/>
    <w:rsid w:val="00815BAA"/>
    <w:rsid w:val="00815BF5"/>
    <w:rsid w:val="00815C2A"/>
    <w:rsid w:val="00815C45"/>
    <w:rsid w:val="00815C64"/>
    <w:rsid w:val="00815C78"/>
    <w:rsid w:val="00815C81"/>
    <w:rsid w:val="00815CF1"/>
    <w:rsid w:val="00815D00"/>
    <w:rsid w:val="00815D96"/>
    <w:rsid w:val="00815DD0"/>
    <w:rsid w:val="00815DE8"/>
    <w:rsid w:val="00815DED"/>
    <w:rsid w:val="00815F29"/>
    <w:rsid w:val="00815F3C"/>
    <w:rsid w:val="00815F41"/>
    <w:rsid w:val="00815F5A"/>
    <w:rsid w:val="00815FE7"/>
    <w:rsid w:val="00816151"/>
    <w:rsid w:val="0081615D"/>
    <w:rsid w:val="008161D3"/>
    <w:rsid w:val="00816228"/>
    <w:rsid w:val="00816315"/>
    <w:rsid w:val="0081635E"/>
    <w:rsid w:val="0081637A"/>
    <w:rsid w:val="008163B3"/>
    <w:rsid w:val="008163B5"/>
    <w:rsid w:val="008163D0"/>
    <w:rsid w:val="00816422"/>
    <w:rsid w:val="008164B5"/>
    <w:rsid w:val="008164BE"/>
    <w:rsid w:val="008164F2"/>
    <w:rsid w:val="0081654F"/>
    <w:rsid w:val="00816569"/>
    <w:rsid w:val="00816592"/>
    <w:rsid w:val="008165A6"/>
    <w:rsid w:val="008165AC"/>
    <w:rsid w:val="00816601"/>
    <w:rsid w:val="0081665C"/>
    <w:rsid w:val="00816670"/>
    <w:rsid w:val="00816692"/>
    <w:rsid w:val="008166D3"/>
    <w:rsid w:val="00816709"/>
    <w:rsid w:val="008167DD"/>
    <w:rsid w:val="008167E8"/>
    <w:rsid w:val="0081680F"/>
    <w:rsid w:val="0081682D"/>
    <w:rsid w:val="0081682F"/>
    <w:rsid w:val="008168AB"/>
    <w:rsid w:val="00816940"/>
    <w:rsid w:val="008169F0"/>
    <w:rsid w:val="00816A21"/>
    <w:rsid w:val="00816B56"/>
    <w:rsid w:val="00816C16"/>
    <w:rsid w:val="00816C1B"/>
    <w:rsid w:val="00816CF2"/>
    <w:rsid w:val="00816CFE"/>
    <w:rsid w:val="00816DDB"/>
    <w:rsid w:val="00816E37"/>
    <w:rsid w:val="00816E91"/>
    <w:rsid w:val="00816ECF"/>
    <w:rsid w:val="00816F94"/>
    <w:rsid w:val="00816F95"/>
    <w:rsid w:val="00816FA6"/>
    <w:rsid w:val="00817006"/>
    <w:rsid w:val="00817021"/>
    <w:rsid w:val="00817144"/>
    <w:rsid w:val="00817149"/>
    <w:rsid w:val="008171B7"/>
    <w:rsid w:val="008171C0"/>
    <w:rsid w:val="00817200"/>
    <w:rsid w:val="00817229"/>
    <w:rsid w:val="00817242"/>
    <w:rsid w:val="0081727A"/>
    <w:rsid w:val="00817319"/>
    <w:rsid w:val="008173C5"/>
    <w:rsid w:val="008173D2"/>
    <w:rsid w:val="0081743B"/>
    <w:rsid w:val="008174A5"/>
    <w:rsid w:val="00817520"/>
    <w:rsid w:val="0081752B"/>
    <w:rsid w:val="00817535"/>
    <w:rsid w:val="008175F4"/>
    <w:rsid w:val="00817611"/>
    <w:rsid w:val="00817616"/>
    <w:rsid w:val="00817729"/>
    <w:rsid w:val="0081780F"/>
    <w:rsid w:val="0081786E"/>
    <w:rsid w:val="0081788A"/>
    <w:rsid w:val="008178AE"/>
    <w:rsid w:val="008178DD"/>
    <w:rsid w:val="008178FC"/>
    <w:rsid w:val="00817942"/>
    <w:rsid w:val="00817953"/>
    <w:rsid w:val="00817955"/>
    <w:rsid w:val="00817A17"/>
    <w:rsid w:val="00817A3D"/>
    <w:rsid w:val="00817A3F"/>
    <w:rsid w:val="00817A6B"/>
    <w:rsid w:val="00817A84"/>
    <w:rsid w:val="00817B7A"/>
    <w:rsid w:val="00817B89"/>
    <w:rsid w:val="00817C11"/>
    <w:rsid w:val="00817C12"/>
    <w:rsid w:val="00817C7B"/>
    <w:rsid w:val="00817C80"/>
    <w:rsid w:val="00817CA8"/>
    <w:rsid w:val="00817DB3"/>
    <w:rsid w:val="00817DB9"/>
    <w:rsid w:val="00817DF1"/>
    <w:rsid w:val="00817EE8"/>
    <w:rsid w:val="00817F8A"/>
    <w:rsid w:val="00817FA8"/>
    <w:rsid w:val="00817FD1"/>
    <w:rsid w:val="00817FE4"/>
    <w:rsid w:val="008200EF"/>
    <w:rsid w:val="00820108"/>
    <w:rsid w:val="00820210"/>
    <w:rsid w:val="00820255"/>
    <w:rsid w:val="008203D5"/>
    <w:rsid w:val="008203EE"/>
    <w:rsid w:val="00820456"/>
    <w:rsid w:val="00820514"/>
    <w:rsid w:val="0082066D"/>
    <w:rsid w:val="008206ED"/>
    <w:rsid w:val="0082075F"/>
    <w:rsid w:val="00820840"/>
    <w:rsid w:val="008208AF"/>
    <w:rsid w:val="00820973"/>
    <w:rsid w:val="00820A1C"/>
    <w:rsid w:val="00820BE0"/>
    <w:rsid w:val="00820C20"/>
    <w:rsid w:val="00820C28"/>
    <w:rsid w:val="00820C3F"/>
    <w:rsid w:val="00820CA5"/>
    <w:rsid w:val="00820CD7"/>
    <w:rsid w:val="00820D70"/>
    <w:rsid w:val="00820DBA"/>
    <w:rsid w:val="00820E37"/>
    <w:rsid w:val="00820E43"/>
    <w:rsid w:val="00820E45"/>
    <w:rsid w:val="00820E76"/>
    <w:rsid w:val="00820F7B"/>
    <w:rsid w:val="00820FCD"/>
    <w:rsid w:val="00820FE3"/>
    <w:rsid w:val="00820FFE"/>
    <w:rsid w:val="0082105C"/>
    <w:rsid w:val="00821071"/>
    <w:rsid w:val="0082111F"/>
    <w:rsid w:val="0082119C"/>
    <w:rsid w:val="008211C0"/>
    <w:rsid w:val="008211F6"/>
    <w:rsid w:val="0082120F"/>
    <w:rsid w:val="0082123B"/>
    <w:rsid w:val="008212D3"/>
    <w:rsid w:val="0082130C"/>
    <w:rsid w:val="00821393"/>
    <w:rsid w:val="0082139C"/>
    <w:rsid w:val="008213C0"/>
    <w:rsid w:val="00821441"/>
    <w:rsid w:val="00821449"/>
    <w:rsid w:val="00821459"/>
    <w:rsid w:val="008215AA"/>
    <w:rsid w:val="008215DA"/>
    <w:rsid w:val="008215E3"/>
    <w:rsid w:val="008216B2"/>
    <w:rsid w:val="008217B3"/>
    <w:rsid w:val="0082182F"/>
    <w:rsid w:val="00821897"/>
    <w:rsid w:val="008218A5"/>
    <w:rsid w:val="008218DC"/>
    <w:rsid w:val="00821AC2"/>
    <w:rsid w:val="00821AEC"/>
    <w:rsid w:val="00821B36"/>
    <w:rsid w:val="00821B50"/>
    <w:rsid w:val="00821B86"/>
    <w:rsid w:val="00821BA8"/>
    <w:rsid w:val="00821BB7"/>
    <w:rsid w:val="00821BE9"/>
    <w:rsid w:val="00821CAA"/>
    <w:rsid w:val="00821CFA"/>
    <w:rsid w:val="00821D20"/>
    <w:rsid w:val="00821D3B"/>
    <w:rsid w:val="00821D40"/>
    <w:rsid w:val="00821DA6"/>
    <w:rsid w:val="00821DBD"/>
    <w:rsid w:val="00821E30"/>
    <w:rsid w:val="00821E34"/>
    <w:rsid w:val="00821E36"/>
    <w:rsid w:val="00821E48"/>
    <w:rsid w:val="00821E72"/>
    <w:rsid w:val="00821F35"/>
    <w:rsid w:val="00821FC2"/>
    <w:rsid w:val="00821FF5"/>
    <w:rsid w:val="00822027"/>
    <w:rsid w:val="00822084"/>
    <w:rsid w:val="008220BD"/>
    <w:rsid w:val="008220D9"/>
    <w:rsid w:val="008220F8"/>
    <w:rsid w:val="008221F2"/>
    <w:rsid w:val="008221F8"/>
    <w:rsid w:val="0082223B"/>
    <w:rsid w:val="00822249"/>
    <w:rsid w:val="00822287"/>
    <w:rsid w:val="00822298"/>
    <w:rsid w:val="008222C8"/>
    <w:rsid w:val="00822410"/>
    <w:rsid w:val="00822418"/>
    <w:rsid w:val="0082246F"/>
    <w:rsid w:val="0082251D"/>
    <w:rsid w:val="008225C3"/>
    <w:rsid w:val="008225DA"/>
    <w:rsid w:val="00822601"/>
    <w:rsid w:val="00822606"/>
    <w:rsid w:val="0082261E"/>
    <w:rsid w:val="0082269D"/>
    <w:rsid w:val="0082270F"/>
    <w:rsid w:val="0082275C"/>
    <w:rsid w:val="0082279F"/>
    <w:rsid w:val="008227A2"/>
    <w:rsid w:val="008227B2"/>
    <w:rsid w:val="008227C9"/>
    <w:rsid w:val="008227D6"/>
    <w:rsid w:val="0082289A"/>
    <w:rsid w:val="00822A20"/>
    <w:rsid w:val="00822AD3"/>
    <w:rsid w:val="00822AE1"/>
    <w:rsid w:val="00822B9A"/>
    <w:rsid w:val="00822BED"/>
    <w:rsid w:val="00822C08"/>
    <w:rsid w:val="00822C98"/>
    <w:rsid w:val="00822CF9"/>
    <w:rsid w:val="00822D45"/>
    <w:rsid w:val="00822DA9"/>
    <w:rsid w:val="00822E25"/>
    <w:rsid w:val="00822F3B"/>
    <w:rsid w:val="00822FE4"/>
    <w:rsid w:val="00822FE7"/>
    <w:rsid w:val="00823097"/>
    <w:rsid w:val="008230FD"/>
    <w:rsid w:val="008231C1"/>
    <w:rsid w:val="008231FF"/>
    <w:rsid w:val="00823294"/>
    <w:rsid w:val="008232BD"/>
    <w:rsid w:val="008232D1"/>
    <w:rsid w:val="00823338"/>
    <w:rsid w:val="00823355"/>
    <w:rsid w:val="00823364"/>
    <w:rsid w:val="008233A2"/>
    <w:rsid w:val="008234BB"/>
    <w:rsid w:val="008234E6"/>
    <w:rsid w:val="008234F7"/>
    <w:rsid w:val="00823686"/>
    <w:rsid w:val="00823746"/>
    <w:rsid w:val="0082377F"/>
    <w:rsid w:val="008237CE"/>
    <w:rsid w:val="008237D1"/>
    <w:rsid w:val="0082383F"/>
    <w:rsid w:val="0082387C"/>
    <w:rsid w:val="008239A0"/>
    <w:rsid w:val="00823B32"/>
    <w:rsid w:val="00823B3C"/>
    <w:rsid w:val="00823BEA"/>
    <w:rsid w:val="00823CC4"/>
    <w:rsid w:val="00823D0A"/>
    <w:rsid w:val="00823D23"/>
    <w:rsid w:val="00823D89"/>
    <w:rsid w:val="00823F14"/>
    <w:rsid w:val="00823F27"/>
    <w:rsid w:val="00824006"/>
    <w:rsid w:val="00824072"/>
    <w:rsid w:val="00824073"/>
    <w:rsid w:val="00824141"/>
    <w:rsid w:val="008241DF"/>
    <w:rsid w:val="00824200"/>
    <w:rsid w:val="00824253"/>
    <w:rsid w:val="0082426D"/>
    <w:rsid w:val="008242AD"/>
    <w:rsid w:val="008242F8"/>
    <w:rsid w:val="0082431E"/>
    <w:rsid w:val="008243D9"/>
    <w:rsid w:val="00824403"/>
    <w:rsid w:val="00824424"/>
    <w:rsid w:val="008244D7"/>
    <w:rsid w:val="008245E3"/>
    <w:rsid w:val="008245F3"/>
    <w:rsid w:val="008245F9"/>
    <w:rsid w:val="008246D4"/>
    <w:rsid w:val="008247D9"/>
    <w:rsid w:val="00824810"/>
    <w:rsid w:val="008248C0"/>
    <w:rsid w:val="008248C1"/>
    <w:rsid w:val="00824919"/>
    <w:rsid w:val="00824A4B"/>
    <w:rsid w:val="00824A74"/>
    <w:rsid w:val="00824BAC"/>
    <w:rsid w:val="00824BB4"/>
    <w:rsid w:val="00824D08"/>
    <w:rsid w:val="00824D4C"/>
    <w:rsid w:val="00824D4E"/>
    <w:rsid w:val="00824D64"/>
    <w:rsid w:val="00824D9E"/>
    <w:rsid w:val="00824E04"/>
    <w:rsid w:val="00824F78"/>
    <w:rsid w:val="00824F97"/>
    <w:rsid w:val="00825018"/>
    <w:rsid w:val="00825058"/>
    <w:rsid w:val="0082508A"/>
    <w:rsid w:val="008250C0"/>
    <w:rsid w:val="008250D0"/>
    <w:rsid w:val="008250E0"/>
    <w:rsid w:val="00825163"/>
    <w:rsid w:val="008251B4"/>
    <w:rsid w:val="008251F8"/>
    <w:rsid w:val="0082521D"/>
    <w:rsid w:val="0082521F"/>
    <w:rsid w:val="008252CB"/>
    <w:rsid w:val="0082536D"/>
    <w:rsid w:val="0082538F"/>
    <w:rsid w:val="008253C7"/>
    <w:rsid w:val="008253FF"/>
    <w:rsid w:val="0082547C"/>
    <w:rsid w:val="008254AB"/>
    <w:rsid w:val="008254AE"/>
    <w:rsid w:val="00825526"/>
    <w:rsid w:val="0082555C"/>
    <w:rsid w:val="0082559C"/>
    <w:rsid w:val="008255E9"/>
    <w:rsid w:val="00825641"/>
    <w:rsid w:val="00825650"/>
    <w:rsid w:val="0082568B"/>
    <w:rsid w:val="008256CC"/>
    <w:rsid w:val="00825708"/>
    <w:rsid w:val="008257A9"/>
    <w:rsid w:val="0082580C"/>
    <w:rsid w:val="008258BB"/>
    <w:rsid w:val="0082595A"/>
    <w:rsid w:val="0082599B"/>
    <w:rsid w:val="008259C9"/>
    <w:rsid w:val="00825A66"/>
    <w:rsid w:val="00825AB2"/>
    <w:rsid w:val="00825B0B"/>
    <w:rsid w:val="00825BD3"/>
    <w:rsid w:val="00825BE0"/>
    <w:rsid w:val="00825CAD"/>
    <w:rsid w:val="00825CFB"/>
    <w:rsid w:val="00825D00"/>
    <w:rsid w:val="00825D10"/>
    <w:rsid w:val="00825D61"/>
    <w:rsid w:val="00825D92"/>
    <w:rsid w:val="00825DFF"/>
    <w:rsid w:val="00825E4A"/>
    <w:rsid w:val="00825EA8"/>
    <w:rsid w:val="00825EF2"/>
    <w:rsid w:val="00825F2C"/>
    <w:rsid w:val="00825F32"/>
    <w:rsid w:val="00825F3D"/>
    <w:rsid w:val="00825F9D"/>
    <w:rsid w:val="00825FB8"/>
    <w:rsid w:val="00825FC9"/>
    <w:rsid w:val="00826078"/>
    <w:rsid w:val="008260BE"/>
    <w:rsid w:val="008260E1"/>
    <w:rsid w:val="00826131"/>
    <w:rsid w:val="00826168"/>
    <w:rsid w:val="008261BE"/>
    <w:rsid w:val="00826258"/>
    <w:rsid w:val="00826265"/>
    <w:rsid w:val="008262DA"/>
    <w:rsid w:val="00826336"/>
    <w:rsid w:val="00826414"/>
    <w:rsid w:val="0082648C"/>
    <w:rsid w:val="008264E2"/>
    <w:rsid w:val="008265E2"/>
    <w:rsid w:val="00826613"/>
    <w:rsid w:val="00826619"/>
    <w:rsid w:val="0082675C"/>
    <w:rsid w:val="008268B8"/>
    <w:rsid w:val="00826916"/>
    <w:rsid w:val="0082694C"/>
    <w:rsid w:val="00826A42"/>
    <w:rsid w:val="00826AD4"/>
    <w:rsid w:val="00826B0C"/>
    <w:rsid w:val="00826B18"/>
    <w:rsid w:val="00826B43"/>
    <w:rsid w:val="00826B85"/>
    <w:rsid w:val="00826B88"/>
    <w:rsid w:val="00826B92"/>
    <w:rsid w:val="00826BB3"/>
    <w:rsid w:val="00826BC0"/>
    <w:rsid w:val="00826C0B"/>
    <w:rsid w:val="00826C53"/>
    <w:rsid w:val="00826DD1"/>
    <w:rsid w:val="00826E3A"/>
    <w:rsid w:val="00826EA5"/>
    <w:rsid w:val="00826F2D"/>
    <w:rsid w:val="00826F58"/>
    <w:rsid w:val="00826F8E"/>
    <w:rsid w:val="00826FF5"/>
    <w:rsid w:val="00827014"/>
    <w:rsid w:val="00827026"/>
    <w:rsid w:val="0082708A"/>
    <w:rsid w:val="008270B7"/>
    <w:rsid w:val="0082712F"/>
    <w:rsid w:val="008271CC"/>
    <w:rsid w:val="008271DC"/>
    <w:rsid w:val="008272BD"/>
    <w:rsid w:val="00827302"/>
    <w:rsid w:val="00827314"/>
    <w:rsid w:val="0082738B"/>
    <w:rsid w:val="00827485"/>
    <w:rsid w:val="0082752A"/>
    <w:rsid w:val="008275EF"/>
    <w:rsid w:val="00827616"/>
    <w:rsid w:val="008276F3"/>
    <w:rsid w:val="00827752"/>
    <w:rsid w:val="0082777E"/>
    <w:rsid w:val="00827829"/>
    <w:rsid w:val="0082784F"/>
    <w:rsid w:val="00827854"/>
    <w:rsid w:val="00827875"/>
    <w:rsid w:val="00827889"/>
    <w:rsid w:val="008278D9"/>
    <w:rsid w:val="00827981"/>
    <w:rsid w:val="008279B9"/>
    <w:rsid w:val="00827A49"/>
    <w:rsid w:val="00827B08"/>
    <w:rsid w:val="00827B83"/>
    <w:rsid w:val="00827B91"/>
    <w:rsid w:val="00827C10"/>
    <w:rsid w:val="00827C63"/>
    <w:rsid w:val="00827DAA"/>
    <w:rsid w:val="00827E4A"/>
    <w:rsid w:val="00827EB8"/>
    <w:rsid w:val="00827EED"/>
    <w:rsid w:val="00827EFC"/>
    <w:rsid w:val="00827F11"/>
    <w:rsid w:val="00827FAE"/>
    <w:rsid w:val="00827FE6"/>
    <w:rsid w:val="0083003D"/>
    <w:rsid w:val="00830183"/>
    <w:rsid w:val="008301C5"/>
    <w:rsid w:val="008301CC"/>
    <w:rsid w:val="0083037E"/>
    <w:rsid w:val="008303C0"/>
    <w:rsid w:val="0083041F"/>
    <w:rsid w:val="00830642"/>
    <w:rsid w:val="008306F5"/>
    <w:rsid w:val="0083072F"/>
    <w:rsid w:val="00830757"/>
    <w:rsid w:val="008307DA"/>
    <w:rsid w:val="008307ED"/>
    <w:rsid w:val="00830930"/>
    <w:rsid w:val="00830943"/>
    <w:rsid w:val="008309A6"/>
    <w:rsid w:val="008309C0"/>
    <w:rsid w:val="008309CA"/>
    <w:rsid w:val="00830A30"/>
    <w:rsid w:val="00830AF1"/>
    <w:rsid w:val="00830B70"/>
    <w:rsid w:val="00830BAF"/>
    <w:rsid w:val="00830D05"/>
    <w:rsid w:val="00830DB5"/>
    <w:rsid w:val="00830E83"/>
    <w:rsid w:val="00830EFB"/>
    <w:rsid w:val="00830FA7"/>
    <w:rsid w:val="00830FAC"/>
    <w:rsid w:val="00831046"/>
    <w:rsid w:val="00831069"/>
    <w:rsid w:val="008310DB"/>
    <w:rsid w:val="0083128E"/>
    <w:rsid w:val="008312A1"/>
    <w:rsid w:val="008312BA"/>
    <w:rsid w:val="0083131E"/>
    <w:rsid w:val="00831375"/>
    <w:rsid w:val="00831398"/>
    <w:rsid w:val="0083147A"/>
    <w:rsid w:val="008314C9"/>
    <w:rsid w:val="0083152A"/>
    <w:rsid w:val="00831599"/>
    <w:rsid w:val="00831640"/>
    <w:rsid w:val="008316BE"/>
    <w:rsid w:val="008317B9"/>
    <w:rsid w:val="008317E8"/>
    <w:rsid w:val="00831810"/>
    <w:rsid w:val="00831819"/>
    <w:rsid w:val="00831863"/>
    <w:rsid w:val="0083186E"/>
    <w:rsid w:val="0083189B"/>
    <w:rsid w:val="008318F0"/>
    <w:rsid w:val="0083192E"/>
    <w:rsid w:val="0083195B"/>
    <w:rsid w:val="00831976"/>
    <w:rsid w:val="008319A9"/>
    <w:rsid w:val="00831A6A"/>
    <w:rsid w:val="00831AE6"/>
    <w:rsid w:val="00831AFB"/>
    <w:rsid w:val="00831B32"/>
    <w:rsid w:val="00831B75"/>
    <w:rsid w:val="00831B88"/>
    <w:rsid w:val="00831BE6"/>
    <w:rsid w:val="00831C28"/>
    <w:rsid w:val="00831C2E"/>
    <w:rsid w:val="00831C50"/>
    <w:rsid w:val="00831D09"/>
    <w:rsid w:val="00831D61"/>
    <w:rsid w:val="00831D92"/>
    <w:rsid w:val="00831DD0"/>
    <w:rsid w:val="00831E3D"/>
    <w:rsid w:val="00831E7C"/>
    <w:rsid w:val="00831EE8"/>
    <w:rsid w:val="00831F19"/>
    <w:rsid w:val="00831F6F"/>
    <w:rsid w:val="00831F87"/>
    <w:rsid w:val="00831F90"/>
    <w:rsid w:val="00831FB0"/>
    <w:rsid w:val="00831FBA"/>
    <w:rsid w:val="00832064"/>
    <w:rsid w:val="008320E1"/>
    <w:rsid w:val="0083213C"/>
    <w:rsid w:val="00832184"/>
    <w:rsid w:val="0083222C"/>
    <w:rsid w:val="00832231"/>
    <w:rsid w:val="00832243"/>
    <w:rsid w:val="0083224C"/>
    <w:rsid w:val="00832251"/>
    <w:rsid w:val="008322A1"/>
    <w:rsid w:val="008322AB"/>
    <w:rsid w:val="00832355"/>
    <w:rsid w:val="00832447"/>
    <w:rsid w:val="008324D2"/>
    <w:rsid w:val="008324D6"/>
    <w:rsid w:val="0083254B"/>
    <w:rsid w:val="00832638"/>
    <w:rsid w:val="0083268E"/>
    <w:rsid w:val="0083269B"/>
    <w:rsid w:val="008326B6"/>
    <w:rsid w:val="008326D4"/>
    <w:rsid w:val="0083273A"/>
    <w:rsid w:val="00832776"/>
    <w:rsid w:val="008327DC"/>
    <w:rsid w:val="00832805"/>
    <w:rsid w:val="00832808"/>
    <w:rsid w:val="0083280B"/>
    <w:rsid w:val="00832834"/>
    <w:rsid w:val="00832877"/>
    <w:rsid w:val="008328DE"/>
    <w:rsid w:val="00832909"/>
    <w:rsid w:val="00832975"/>
    <w:rsid w:val="00832989"/>
    <w:rsid w:val="0083299E"/>
    <w:rsid w:val="008329BB"/>
    <w:rsid w:val="00832A66"/>
    <w:rsid w:val="00832AC5"/>
    <w:rsid w:val="00832ACE"/>
    <w:rsid w:val="00832AF8"/>
    <w:rsid w:val="00832B3A"/>
    <w:rsid w:val="00832C67"/>
    <w:rsid w:val="00832C7E"/>
    <w:rsid w:val="00832CD5"/>
    <w:rsid w:val="00832D25"/>
    <w:rsid w:val="00832D9D"/>
    <w:rsid w:val="00832DF5"/>
    <w:rsid w:val="00832E0C"/>
    <w:rsid w:val="00832E52"/>
    <w:rsid w:val="00832E5D"/>
    <w:rsid w:val="00832E6D"/>
    <w:rsid w:val="00832E7D"/>
    <w:rsid w:val="00832EF9"/>
    <w:rsid w:val="00832F3C"/>
    <w:rsid w:val="00833038"/>
    <w:rsid w:val="008330E1"/>
    <w:rsid w:val="008330EE"/>
    <w:rsid w:val="00833118"/>
    <w:rsid w:val="0083317D"/>
    <w:rsid w:val="008331A6"/>
    <w:rsid w:val="00833203"/>
    <w:rsid w:val="008333B6"/>
    <w:rsid w:val="008333FB"/>
    <w:rsid w:val="0083347D"/>
    <w:rsid w:val="008334C5"/>
    <w:rsid w:val="00833532"/>
    <w:rsid w:val="0083354B"/>
    <w:rsid w:val="00833588"/>
    <w:rsid w:val="0083358E"/>
    <w:rsid w:val="00833609"/>
    <w:rsid w:val="0083364A"/>
    <w:rsid w:val="008336CB"/>
    <w:rsid w:val="00833713"/>
    <w:rsid w:val="0083373D"/>
    <w:rsid w:val="00833740"/>
    <w:rsid w:val="00833810"/>
    <w:rsid w:val="00833834"/>
    <w:rsid w:val="00833927"/>
    <w:rsid w:val="00833940"/>
    <w:rsid w:val="00833987"/>
    <w:rsid w:val="008339CD"/>
    <w:rsid w:val="00833A60"/>
    <w:rsid w:val="00833A78"/>
    <w:rsid w:val="00833A85"/>
    <w:rsid w:val="00833CC1"/>
    <w:rsid w:val="00833D94"/>
    <w:rsid w:val="00833D9A"/>
    <w:rsid w:val="00833E15"/>
    <w:rsid w:val="00833E52"/>
    <w:rsid w:val="00833E54"/>
    <w:rsid w:val="00833E6B"/>
    <w:rsid w:val="00833E82"/>
    <w:rsid w:val="00833EC5"/>
    <w:rsid w:val="00833EFD"/>
    <w:rsid w:val="00833F05"/>
    <w:rsid w:val="00833F7D"/>
    <w:rsid w:val="00833FAF"/>
    <w:rsid w:val="00833FCB"/>
    <w:rsid w:val="00833FF5"/>
    <w:rsid w:val="00833FFB"/>
    <w:rsid w:val="0083403B"/>
    <w:rsid w:val="00834179"/>
    <w:rsid w:val="008341EC"/>
    <w:rsid w:val="008341F7"/>
    <w:rsid w:val="00834233"/>
    <w:rsid w:val="00834286"/>
    <w:rsid w:val="008342E2"/>
    <w:rsid w:val="0083431E"/>
    <w:rsid w:val="00834347"/>
    <w:rsid w:val="0083434B"/>
    <w:rsid w:val="00834364"/>
    <w:rsid w:val="008343DF"/>
    <w:rsid w:val="00834417"/>
    <w:rsid w:val="0083445C"/>
    <w:rsid w:val="00834505"/>
    <w:rsid w:val="0083459A"/>
    <w:rsid w:val="008345AA"/>
    <w:rsid w:val="008345AF"/>
    <w:rsid w:val="008345D7"/>
    <w:rsid w:val="00834623"/>
    <w:rsid w:val="00834976"/>
    <w:rsid w:val="00834999"/>
    <w:rsid w:val="008349C1"/>
    <w:rsid w:val="00834A25"/>
    <w:rsid w:val="00834B61"/>
    <w:rsid w:val="00834C46"/>
    <w:rsid w:val="00834D28"/>
    <w:rsid w:val="00834D43"/>
    <w:rsid w:val="00834DB0"/>
    <w:rsid w:val="00834DBA"/>
    <w:rsid w:val="00834DC4"/>
    <w:rsid w:val="00834DCA"/>
    <w:rsid w:val="00834DF3"/>
    <w:rsid w:val="00834EC7"/>
    <w:rsid w:val="00834FEB"/>
    <w:rsid w:val="0083503B"/>
    <w:rsid w:val="00835073"/>
    <w:rsid w:val="00835084"/>
    <w:rsid w:val="008350DA"/>
    <w:rsid w:val="00835130"/>
    <w:rsid w:val="008351C4"/>
    <w:rsid w:val="00835231"/>
    <w:rsid w:val="008352BE"/>
    <w:rsid w:val="00835361"/>
    <w:rsid w:val="0083537E"/>
    <w:rsid w:val="008353D5"/>
    <w:rsid w:val="00835414"/>
    <w:rsid w:val="00835441"/>
    <w:rsid w:val="008354FD"/>
    <w:rsid w:val="0083558A"/>
    <w:rsid w:val="0083558C"/>
    <w:rsid w:val="0083564C"/>
    <w:rsid w:val="00835832"/>
    <w:rsid w:val="00835898"/>
    <w:rsid w:val="008358B5"/>
    <w:rsid w:val="0083590A"/>
    <w:rsid w:val="00835916"/>
    <w:rsid w:val="00835936"/>
    <w:rsid w:val="0083593B"/>
    <w:rsid w:val="00835971"/>
    <w:rsid w:val="0083597E"/>
    <w:rsid w:val="008359DB"/>
    <w:rsid w:val="008359F3"/>
    <w:rsid w:val="00835A05"/>
    <w:rsid w:val="00835A06"/>
    <w:rsid w:val="00835A44"/>
    <w:rsid w:val="00835A80"/>
    <w:rsid w:val="00835B8C"/>
    <w:rsid w:val="00835B96"/>
    <w:rsid w:val="00835C62"/>
    <w:rsid w:val="00835CCC"/>
    <w:rsid w:val="00835DD7"/>
    <w:rsid w:val="00835E56"/>
    <w:rsid w:val="00835EA5"/>
    <w:rsid w:val="00835EE2"/>
    <w:rsid w:val="00835F06"/>
    <w:rsid w:val="00835F11"/>
    <w:rsid w:val="00835F13"/>
    <w:rsid w:val="00835F32"/>
    <w:rsid w:val="008360FE"/>
    <w:rsid w:val="00836153"/>
    <w:rsid w:val="0083615D"/>
    <w:rsid w:val="008361ED"/>
    <w:rsid w:val="008362C1"/>
    <w:rsid w:val="008362DB"/>
    <w:rsid w:val="008362FD"/>
    <w:rsid w:val="008363DB"/>
    <w:rsid w:val="008363E1"/>
    <w:rsid w:val="0083640E"/>
    <w:rsid w:val="0083641A"/>
    <w:rsid w:val="00836442"/>
    <w:rsid w:val="008364A5"/>
    <w:rsid w:val="008364C5"/>
    <w:rsid w:val="008364F5"/>
    <w:rsid w:val="00836502"/>
    <w:rsid w:val="00836533"/>
    <w:rsid w:val="0083656E"/>
    <w:rsid w:val="0083665B"/>
    <w:rsid w:val="00836663"/>
    <w:rsid w:val="0083667A"/>
    <w:rsid w:val="00836692"/>
    <w:rsid w:val="00836797"/>
    <w:rsid w:val="008368B1"/>
    <w:rsid w:val="008368B3"/>
    <w:rsid w:val="008368CA"/>
    <w:rsid w:val="008368E7"/>
    <w:rsid w:val="008368EB"/>
    <w:rsid w:val="00836900"/>
    <w:rsid w:val="00836920"/>
    <w:rsid w:val="0083694B"/>
    <w:rsid w:val="00836A35"/>
    <w:rsid w:val="00836A36"/>
    <w:rsid w:val="00836A5D"/>
    <w:rsid w:val="00836B13"/>
    <w:rsid w:val="00836B49"/>
    <w:rsid w:val="00836B5B"/>
    <w:rsid w:val="00836BFB"/>
    <w:rsid w:val="00836C15"/>
    <w:rsid w:val="00836C2E"/>
    <w:rsid w:val="00836C40"/>
    <w:rsid w:val="00836C44"/>
    <w:rsid w:val="00836CB9"/>
    <w:rsid w:val="00836D2B"/>
    <w:rsid w:val="00836DBF"/>
    <w:rsid w:val="00836DFA"/>
    <w:rsid w:val="00836E0F"/>
    <w:rsid w:val="00836E1A"/>
    <w:rsid w:val="00836E1E"/>
    <w:rsid w:val="00836F60"/>
    <w:rsid w:val="0083709E"/>
    <w:rsid w:val="008370CB"/>
    <w:rsid w:val="0083715F"/>
    <w:rsid w:val="008371F1"/>
    <w:rsid w:val="008372C2"/>
    <w:rsid w:val="008372C4"/>
    <w:rsid w:val="008372E4"/>
    <w:rsid w:val="0083731E"/>
    <w:rsid w:val="0083733D"/>
    <w:rsid w:val="0083739F"/>
    <w:rsid w:val="008374C4"/>
    <w:rsid w:val="008374E3"/>
    <w:rsid w:val="008374E5"/>
    <w:rsid w:val="008374F5"/>
    <w:rsid w:val="0083753A"/>
    <w:rsid w:val="00837546"/>
    <w:rsid w:val="00837581"/>
    <w:rsid w:val="008375A3"/>
    <w:rsid w:val="008375BF"/>
    <w:rsid w:val="00837658"/>
    <w:rsid w:val="00837774"/>
    <w:rsid w:val="00837786"/>
    <w:rsid w:val="0083779A"/>
    <w:rsid w:val="008377B7"/>
    <w:rsid w:val="00837865"/>
    <w:rsid w:val="00837889"/>
    <w:rsid w:val="00837892"/>
    <w:rsid w:val="00837917"/>
    <w:rsid w:val="00837986"/>
    <w:rsid w:val="008379CD"/>
    <w:rsid w:val="008379E6"/>
    <w:rsid w:val="008379FE"/>
    <w:rsid w:val="00837A20"/>
    <w:rsid w:val="00837A4B"/>
    <w:rsid w:val="00837B43"/>
    <w:rsid w:val="00837B72"/>
    <w:rsid w:val="00837B7A"/>
    <w:rsid w:val="00837BBC"/>
    <w:rsid w:val="00837C27"/>
    <w:rsid w:val="00837C34"/>
    <w:rsid w:val="00837CB0"/>
    <w:rsid w:val="00837D02"/>
    <w:rsid w:val="00837D0B"/>
    <w:rsid w:val="00837D32"/>
    <w:rsid w:val="00837D4D"/>
    <w:rsid w:val="00837DE5"/>
    <w:rsid w:val="00837DF1"/>
    <w:rsid w:val="00837DF3"/>
    <w:rsid w:val="00837E14"/>
    <w:rsid w:val="00837ED1"/>
    <w:rsid w:val="00837EFE"/>
    <w:rsid w:val="00837F71"/>
    <w:rsid w:val="00837F99"/>
    <w:rsid w:val="00837FA1"/>
    <w:rsid w:val="00837FC2"/>
    <w:rsid w:val="008400AD"/>
    <w:rsid w:val="008400D0"/>
    <w:rsid w:val="008400D9"/>
    <w:rsid w:val="008400F3"/>
    <w:rsid w:val="008401E0"/>
    <w:rsid w:val="008401E8"/>
    <w:rsid w:val="00840339"/>
    <w:rsid w:val="00840349"/>
    <w:rsid w:val="00840374"/>
    <w:rsid w:val="00840431"/>
    <w:rsid w:val="0084045C"/>
    <w:rsid w:val="008404DB"/>
    <w:rsid w:val="008405D3"/>
    <w:rsid w:val="0084068F"/>
    <w:rsid w:val="0084074C"/>
    <w:rsid w:val="008407D1"/>
    <w:rsid w:val="00840808"/>
    <w:rsid w:val="00840880"/>
    <w:rsid w:val="0084089A"/>
    <w:rsid w:val="0084096E"/>
    <w:rsid w:val="008409C1"/>
    <w:rsid w:val="008409F7"/>
    <w:rsid w:val="00840A4E"/>
    <w:rsid w:val="00840A9C"/>
    <w:rsid w:val="00840B61"/>
    <w:rsid w:val="00840B88"/>
    <w:rsid w:val="00840BA2"/>
    <w:rsid w:val="00840BDA"/>
    <w:rsid w:val="00840C41"/>
    <w:rsid w:val="00840C72"/>
    <w:rsid w:val="00840CC7"/>
    <w:rsid w:val="00840D52"/>
    <w:rsid w:val="00840D71"/>
    <w:rsid w:val="00840DC0"/>
    <w:rsid w:val="00840E7F"/>
    <w:rsid w:val="00840F17"/>
    <w:rsid w:val="00840F1C"/>
    <w:rsid w:val="00840FA0"/>
    <w:rsid w:val="00840FA2"/>
    <w:rsid w:val="00840FD0"/>
    <w:rsid w:val="0084104D"/>
    <w:rsid w:val="0084106A"/>
    <w:rsid w:val="00841071"/>
    <w:rsid w:val="00841083"/>
    <w:rsid w:val="00841115"/>
    <w:rsid w:val="00841126"/>
    <w:rsid w:val="00841149"/>
    <w:rsid w:val="00841192"/>
    <w:rsid w:val="008411DC"/>
    <w:rsid w:val="008411EB"/>
    <w:rsid w:val="00841220"/>
    <w:rsid w:val="00841230"/>
    <w:rsid w:val="00841249"/>
    <w:rsid w:val="00841263"/>
    <w:rsid w:val="0084126E"/>
    <w:rsid w:val="008412A6"/>
    <w:rsid w:val="008412E2"/>
    <w:rsid w:val="008412E3"/>
    <w:rsid w:val="008412FB"/>
    <w:rsid w:val="0084131A"/>
    <w:rsid w:val="0084132E"/>
    <w:rsid w:val="00841336"/>
    <w:rsid w:val="008413AB"/>
    <w:rsid w:val="00841405"/>
    <w:rsid w:val="00841425"/>
    <w:rsid w:val="0084142D"/>
    <w:rsid w:val="00841448"/>
    <w:rsid w:val="00841493"/>
    <w:rsid w:val="008414C0"/>
    <w:rsid w:val="008414D1"/>
    <w:rsid w:val="008414D5"/>
    <w:rsid w:val="008414E8"/>
    <w:rsid w:val="008414EF"/>
    <w:rsid w:val="00841575"/>
    <w:rsid w:val="008415D8"/>
    <w:rsid w:val="008415E0"/>
    <w:rsid w:val="00841608"/>
    <w:rsid w:val="00841634"/>
    <w:rsid w:val="00841666"/>
    <w:rsid w:val="00841722"/>
    <w:rsid w:val="00841767"/>
    <w:rsid w:val="00841797"/>
    <w:rsid w:val="008417D2"/>
    <w:rsid w:val="008418AE"/>
    <w:rsid w:val="008418B3"/>
    <w:rsid w:val="008418CD"/>
    <w:rsid w:val="00841941"/>
    <w:rsid w:val="00841976"/>
    <w:rsid w:val="00841992"/>
    <w:rsid w:val="008419E2"/>
    <w:rsid w:val="00841A84"/>
    <w:rsid w:val="00841A8D"/>
    <w:rsid w:val="00841A9A"/>
    <w:rsid w:val="00841B30"/>
    <w:rsid w:val="00841B4B"/>
    <w:rsid w:val="00841B69"/>
    <w:rsid w:val="00841B6C"/>
    <w:rsid w:val="00841BBD"/>
    <w:rsid w:val="00841BE8"/>
    <w:rsid w:val="00841C4A"/>
    <w:rsid w:val="00841C6A"/>
    <w:rsid w:val="00841C7F"/>
    <w:rsid w:val="00841C8F"/>
    <w:rsid w:val="00841D7C"/>
    <w:rsid w:val="00841E9F"/>
    <w:rsid w:val="00841EC8"/>
    <w:rsid w:val="00841F07"/>
    <w:rsid w:val="00841F0A"/>
    <w:rsid w:val="00841FEA"/>
    <w:rsid w:val="00842083"/>
    <w:rsid w:val="008420BE"/>
    <w:rsid w:val="008420C8"/>
    <w:rsid w:val="00842102"/>
    <w:rsid w:val="00842124"/>
    <w:rsid w:val="00842163"/>
    <w:rsid w:val="0084222B"/>
    <w:rsid w:val="00842255"/>
    <w:rsid w:val="00842345"/>
    <w:rsid w:val="008423A9"/>
    <w:rsid w:val="008423EE"/>
    <w:rsid w:val="0084241C"/>
    <w:rsid w:val="0084268F"/>
    <w:rsid w:val="008426D3"/>
    <w:rsid w:val="00842708"/>
    <w:rsid w:val="0084270F"/>
    <w:rsid w:val="00842713"/>
    <w:rsid w:val="008427A4"/>
    <w:rsid w:val="00842806"/>
    <w:rsid w:val="00842832"/>
    <w:rsid w:val="008428B3"/>
    <w:rsid w:val="00842917"/>
    <w:rsid w:val="00842997"/>
    <w:rsid w:val="008429E0"/>
    <w:rsid w:val="00842A0C"/>
    <w:rsid w:val="00842A91"/>
    <w:rsid w:val="00842ADF"/>
    <w:rsid w:val="00842B6B"/>
    <w:rsid w:val="00842B75"/>
    <w:rsid w:val="00842C2A"/>
    <w:rsid w:val="00842C35"/>
    <w:rsid w:val="00842C4A"/>
    <w:rsid w:val="00842C4D"/>
    <w:rsid w:val="00842C56"/>
    <w:rsid w:val="00842CB0"/>
    <w:rsid w:val="00842CE3"/>
    <w:rsid w:val="00842D49"/>
    <w:rsid w:val="00842D5C"/>
    <w:rsid w:val="00842DC1"/>
    <w:rsid w:val="00842EE2"/>
    <w:rsid w:val="00842EF1"/>
    <w:rsid w:val="00842EFB"/>
    <w:rsid w:val="00842F68"/>
    <w:rsid w:val="00842F82"/>
    <w:rsid w:val="00843059"/>
    <w:rsid w:val="00843077"/>
    <w:rsid w:val="00843078"/>
    <w:rsid w:val="008430A7"/>
    <w:rsid w:val="00843161"/>
    <w:rsid w:val="0084316F"/>
    <w:rsid w:val="008431D0"/>
    <w:rsid w:val="008432B4"/>
    <w:rsid w:val="008433A9"/>
    <w:rsid w:val="008433B8"/>
    <w:rsid w:val="00843433"/>
    <w:rsid w:val="00843449"/>
    <w:rsid w:val="008434DD"/>
    <w:rsid w:val="0084358E"/>
    <w:rsid w:val="0084382D"/>
    <w:rsid w:val="0084385F"/>
    <w:rsid w:val="008438DC"/>
    <w:rsid w:val="008439A3"/>
    <w:rsid w:val="00843A0C"/>
    <w:rsid w:val="00843A6A"/>
    <w:rsid w:val="00843AC1"/>
    <w:rsid w:val="00843B3D"/>
    <w:rsid w:val="00843B60"/>
    <w:rsid w:val="00843C5C"/>
    <w:rsid w:val="00843DD1"/>
    <w:rsid w:val="00843E4F"/>
    <w:rsid w:val="00843EA2"/>
    <w:rsid w:val="00843EEF"/>
    <w:rsid w:val="00843F59"/>
    <w:rsid w:val="00843F8C"/>
    <w:rsid w:val="00843FD5"/>
    <w:rsid w:val="00844117"/>
    <w:rsid w:val="00844124"/>
    <w:rsid w:val="0084416C"/>
    <w:rsid w:val="00844171"/>
    <w:rsid w:val="00844199"/>
    <w:rsid w:val="0084419D"/>
    <w:rsid w:val="008441E1"/>
    <w:rsid w:val="00844253"/>
    <w:rsid w:val="0084425B"/>
    <w:rsid w:val="00844273"/>
    <w:rsid w:val="00844296"/>
    <w:rsid w:val="008442B5"/>
    <w:rsid w:val="008442DB"/>
    <w:rsid w:val="0084430B"/>
    <w:rsid w:val="00844326"/>
    <w:rsid w:val="008443AB"/>
    <w:rsid w:val="00844403"/>
    <w:rsid w:val="0084445A"/>
    <w:rsid w:val="008444A8"/>
    <w:rsid w:val="008444C0"/>
    <w:rsid w:val="008444E0"/>
    <w:rsid w:val="008444E9"/>
    <w:rsid w:val="008445F6"/>
    <w:rsid w:val="008446D7"/>
    <w:rsid w:val="00844702"/>
    <w:rsid w:val="00844723"/>
    <w:rsid w:val="00844769"/>
    <w:rsid w:val="008447DF"/>
    <w:rsid w:val="008447E6"/>
    <w:rsid w:val="008447ED"/>
    <w:rsid w:val="0084480C"/>
    <w:rsid w:val="00844845"/>
    <w:rsid w:val="0084484D"/>
    <w:rsid w:val="008448BD"/>
    <w:rsid w:val="008448C0"/>
    <w:rsid w:val="008448EF"/>
    <w:rsid w:val="008448FD"/>
    <w:rsid w:val="00844918"/>
    <w:rsid w:val="0084492C"/>
    <w:rsid w:val="008449AD"/>
    <w:rsid w:val="008449B1"/>
    <w:rsid w:val="008449EF"/>
    <w:rsid w:val="00844A85"/>
    <w:rsid w:val="00844AA8"/>
    <w:rsid w:val="00844ABC"/>
    <w:rsid w:val="00844B28"/>
    <w:rsid w:val="00844B3E"/>
    <w:rsid w:val="00844B4C"/>
    <w:rsid w:val="00844BA1"/>
    <w:rsid w:val="00844C6E"/>
    <w:rsid w:val="00844C8B"/>
    <w:rsid w:val="00844D34"/>
    <w:rsid w:val="00844D6F"/>
    <w:rsid w:val="00844D97"/>
    <w:rsid w:val="00844DCD"/>
    <w:rsid w:val="00844DFE"/>
    <w:rsid w:val="00844E15"/>
    <w:rsid w:val="00844E7C"/>
    <w:rsid w:val="00844F8B"/>
    <w:rsid w:val="00845003"/>
    <w:rsid w:val="00845037"/>
    <w:rsid w:val="00845099"/>
    <w:rsid w:val="00845118"/>
    <w:rsid w:val="00845158"/>
    <w:rsid w:val="008451D6"/>
    <w:rsid w:val="00845236"/>
    <w:rsid w:val="0084528B"/>
    <w:rsid w:val="0084534A"/>
    <w:rsid w:val="0084534C"/>
    <w:rsid w:val="0084536A"/>
    <w:rsid w:val="0084537C"/>
    <w:rsid w:val="00845418"/>
    <w:rsid w:val="0084548F"/>
    <w:rsid w:val="008455AE"/>
    <w:rsid w:val="0084568E"/>
    <w:rsid w:val="008456C6"/>
    <w:rsid w:val="008456F2"/>
    <w:rsid w:val="0084576F"/>
    <w:rsid w:val="008457AE"/>
    <w:rsid w:val="008457DE"/>
    <w:rsid w:val="00845823"/>
    <w:rsid w:val="00845827"/>
    <w:rsid w:val="008458CB"/>
    <w:rsid w:val="008458CD"/>
    <w:rsid w:val="008458D6"/>
    <w:rsid w:val="00845914"/>
    <w:rsid w:val="0084592D"/>
    <w:rsid w:val="0084594F"/>
    <w:rsid w:val="00845968"/>
    <w:rsid w:val="008459B7"/>
    <w:rsid w:val="008459EE"/>
    <w:rsid w:val="008459F1"/>
    <w:rsid w:val="00845A2F"/>
    <w:rsid w:val="00845A6D"/>
    <w:rsid w:val="00845A84"/>
    <w:rsid w:val="00845A98"/>
    <w:rsid w:val="00845B3B"/>
    <w:rsid w:val="00845B42"/>
    <w:rsid w:val="00845B6A"/>
    <w:rsid w:val="00845BD6"/>
    <w:rsid w:val="00845C18"/>
    <w:rsid w:val="00845C40"/>
    <w:rsid w:val="00845C74"/>
    <w:rsid w:val="00845C99"/>
    <w:rsid w:val="00845D1A"/>
    <w:rsid w:val="00845D49"/>
    <w:rsid w:val="00845DB3"/>
    <w:rsid w:val="00845F39"/>
    <w:rsid w:val="00845F5A"/>
    <w:rsid w:val="00846102"/>
    <w:rsid w:val="00846112"/>
    <w:rsid w:val="008461E2"/>
    <w:rsid w:val="008461E5"/>
    <w:rsid w:val="00846205"/>
    <w:rsid w:val="0084621A"/>
    <w:rsid w:val="00846271"/>
    <w:rsid w:val="0084627F"/>
    <w:rsid w:val="0084628E"/>
    <w:rsid w:val="008462F3"/>
    <w:rsid w:val="00846368"/>
    <w:rsid w:val="008463C5"/>
    <w:rsid w:val="008463F7"/>
    <w:rsid w:val="008463F8"/>
    <w:rsid w:val="00846443"/>
    <w:rsid w:val="00846458"/>
    <w:rsid w:val="008464D2"/>
    <w:rsid w:val="00846543"/>
    <w:rsid w:val="00846571"/>
    <w:rsid w:val="00846594"/>
    <w:rsid w:val="008465A7"/>
    <w:rsid w:val="008465A9"/>
    <w:rsid w:val="00846600"/>
    <w:rsid w:val="0084665C"/>
    <w:rsid w:val="00846667"/>
    <w:rsid w:val="00846675"/>
    <w:rsid w:val="00846680"/>
    <w:rsid w:val="00846699"/>
    <w:rsid w:val="008466DE"/>
    <w:rsid w:val="008466E3"/>
    <w:rsid w:val="008466FA"/>
    <w:rsid w:val="00846742"/>
    <w:rsid w:val="008467EE"/>
    <w:rsid w:val="0084689F"/>
    <w:rsid w:val="00846929"/>
    <w:rsid w:val="0084698C"/>
    <w:rsid w:val="008469C4"/>
    <w:rsid w:val="00846A08"/>
    <w:rsid w:val="00846A23"/>
    <w:rsid w:val="00846A4E"/>
    <w:rsid w:val="00846B31"/>
    <w:rsid w:val="00846B98"/>
    <w:rsid w:val="00846C2E"/>
    <w:rsid w:val="00846CF3"/>
    <w:rsid w:val="00846D8E"/>
    <w:rsid w:val="00846F41"/>
    <w:rsid w:val="00846F8A"/>
    <w:rsid w:val="00847087"/>
    <w:rsid w:val="008470A3"/>
    <w:rsid w:val="008470F6"/>
    <w:rsid w:val="0084713A"/>
    <w:rsid w:val="00847144"/>
    <w:rsid w:val="0084714D"/>
    <w:rsid w:val="0084714F"/>
    <w:rsid w:val="008472E9"/>
    <w:rsid w:val="00847300"/>
    <w:rsid w:val="00847364"/>
    <w:rsid w:val="008473CF"/>
    <w:rsid w:val="0084747C"/>
    <w:rsid w:val="008474A2"/>
    <w:rsid w:val="008474CE"/>
    <w:rsid w:val="00847536"/>
    <w:rsid w:val="00847541"/>
    <w:rsid w:val="0084755F"/>
    <w:rsid w:val="0084756C"/>
    <w:rsid w:val="00847597"/>
    <w:rsid w:val="008475A7"/>
    <w:rsid w:val="00847629"/>
    <w:rsid w:val="00847632"/>
    <w:rsid w:val="008476C1"/>
    <w:rsid w:val="008476D9"/>
    <w:rsid w:val="0084782F"/>
    <w:rsid w:val="00847878"/>
    <w:rsid w:val="0084787F"/>
    <w:rsid w:val="0084796B"/>
    <w:rsid w:val="008479AA"/>
    <w:rsid w:val="008479F9"/>
    <w:rsid w:val="00847A64"/>
    <w:rsid w:val="00847A65"/>
    <w:rsid w:val="00847AE4"/>
    <w:rsid w:val="00847B7A"/>
    <w:rsid w:val="00847BFA"/>
    <w:rsid w:val="00847D11"/>
    <w:rsid w:val="00847D19"/>
    <w:rsid w:val="00847D75"/>
    <w:rsid w:val="00847DE6"/>
    <w:rsid w:val="00847E0A"/>
    <w:rsid w:val="00847E97"/>
    <w:rsid w:val="00847F18"/>
    <w:rsid w:val="00847F7A"/>
    <w:rsid w:val="0085006A"/>
    <w:rsid w:val="00850132"/>
    <w:rsid w:val="0085013D"/>
    <w:rsid w:val="00850181"/>
    <w:rsid w:val="008501F7"/>
    <w:rsid w:val="008502A8"/>
    <w:rsid w:val="008503B3"/>
    <w:rsid w:val="008503E6"/>
    <w:rsid w:val="00850477"/>
    <w:rsid w:val="00850558"/>
    <w:rsid w:val="0085056A"/>
    <w:rsid w:val="008506E1"/>
    <w:rsid w:val="0085070F"/>
    <w:rsid w:val="00850735"/>
    <w:rsid w:val="0085082B"/>
    <w:rsid w:val="00850842"/>
    <w:rsid w:val="0085091B"/>
    <w:rsid w:val="008509F3"/>
    <w:rsid w:val="00850A31"/>
    <w:rsid w:val="00850A39"/>
    <w:rsid w:val="00850B1F"/>
    <w:rsid w:val="00850B78"/>
    <w:rsid w:val="00850BAD"/>
    <w:rsid w:val="00850BCC"/>
    <w:rsid w:val="00850BF2"/>
    <w:rsid w:val="00850C23"/>
    <w:rsid w:val="00850C5F"/>
    <w:rsid w:val="00850CA3"/>
    <w:rsid w:val="00850CDA"/>
    <w:rsid w:val="00850D25"/>
    <w:rsid w:val="00850DDD"/>
    <w:rsid w:val="00850FB5"/>
    <w:rsid w:val="00850FF0"/>
    <w:rsid w:val="00850FFD"/>
    <w:rsid w:val="00851008"/>
    <w:rsid w:val="00851071"/>
    <w:rsid w:val="00851086"/>
    <w:rsid w:val="00851195"/>
    <w:rsid w:val="0085120F"/>
    <w:rsid w:val="0085132C"/>
    <w:rsid w:val="00851451"/>
    <w:rsid w:val="00851469"/>
    <w:rsid w:val="008514E3"/>
    <w:rsid w:val="008514FE"/>
    <w:rsid w:val="0085152C"/>
    <w:rsid w:val="00851548"/>
    <w:rsid w:val="00851552"/>
    <w:rsid w:val="008515B3"/>
    <w:rsid w:val="008515C4"/>
    <w:rsid w:val="008515C7"/>
    <w:rsid w:val="0085170F"/>
    <w:rsid w:val="00851710"/>
    <w:rsid w:val="00851738"/>
    <w:rsid w:val="00851748"/>
    <w:rsid w:val="008517FA"/>
    <w:rsid w:val="0085191D"/>
    <w:rsid w:val="00851947"/>
    <w:rsid w:val="00851977"/>
    <w:rsid w:val="008519EC"/>
    <w:rsid w:val="00851B1F"/>
    <w:rsid w:val="00851BCA"/>
    <w:rsid w:val="00851C7C"/>
    <w:rsid w:val="00851CA1"/>
    <w:rsid w:val="00851D46"/>
    <w:rsid w:val="00851DC8"/>
    <w:rsid w:val="00851EB2"/>
    <w:rsid w:val="00851FD8"/>
    <w:rsid w:val="00852018"/>
    <w:rsid w:val="00852021"/>
    <w:rsid w:val="0085205C"/>
    <w:rsid w:val="0085206B"/>
    <w:rsid w:val="008520A7"/>
    <w:rsid w:val="008520FD"/>
    <w:rsid w:val="008521A3"/>
    <w:rsid w:val="00852229"/>
    <w:rsid w:val="0085229D"/>
    <w:rsid w:val="00852308"/>
    <w:rsid w:val="00852358"/>
    <w:rsid w:val="00852365"/>
    <w:rsid w:val="00852367"/>
    <w:rsid w:val="00852387"/>
    <w:rsid w:val="008524CB"/>
    <w:rsid w:val="00852540"/>
    <w:rsid w:val="0085256E"/>
    <w:rsid w:val="00852591"/>
    <w:rsid w:val="00852595"/>
    <w:rsid w:val="008526C8"/>
    <w:rsid w:val="00852757"/>
    <w:rsid w:val="00852779"/>
    <w:rsid w:val="0085278E"/>
    <w:rsid w:val="00852839"/>
    <w:rsid w:val="0085289F"/>
    <w:rsid w:val="008528FC"/>
    <w:rsid w:val="00852A75"/>
    <w:rsid w:val="00852B80"/>
    <w:rsid w:val="00852C14"/>
    <w:rsid w:val="00852C40"/>
    <w:rsid w:val="00852C77"/>
    <w:rsid w:val="00852CE4"/>
    <w:rsid w:val="00852D1E"/>
    <w:rsid w:val="00852DCF"/>
    <w:rsid w:val="00852F04"/>
    <w:rsid w:val="00852FD7"/>
    <w:rsid w:val="00852FDD"/>
    <w:rsid w:val="00852FF6"/>
    <w:rsid w:val="00852FF7"/>
    <w:rsid w:val="00853003"/>
    <w:rsid w:val="00853079"/>
    <w:rsid w:val="00853098"/>
    <w:rsid w:val="008530C1"/>
    <w:rsid w:val="00853130"/>
    <w:rsid w:val="0085316D"/>
    <w:rsid w:val="008531DD"/>
    <w:rsid w:val="008531E7"/>
    <w:rsid w:val="008531EB"/>
    <w:rsid w:val="008531EC"/>
    <w:rsid w:val="0085328F"/>
    <w:rsid w:val="008532D3"/>
    <w:rsid w:val="008532E7"/>
    <w:rsid w:val="00853419"/>
    <w:rsid w:val="0085349F"/>
    <w:rsid w:val="008534EA"/>
    <w:rsid w:val="00853693"/>
    <w:rsid w:val="008536A3"/>
    <w:rsid w:val="008536D4"/>
    <w:rsid w:val="00853703"/>
    <w:rsid w:val="00853725"/>
    <w:rsid w:val="00853752"/>
    <w:rsid w:val="008537BB"/>
    <w:rsid w:val="00853815"/>
    <w:rsid w:val="00853833"/>
    <w:rsid w:val="00853856"/>
    <w:rsid w:val="00853889"/>
    <w:rsid w:val="008538A6"/>
    <w:rsid w:val="00853925"/>
    <w:rsid w:val="008539B4"/>
    <w:rsid w:val="008539EB"/>
    <w:rsid w:val="008539ED"/>
    <w:rsid w:val="00853A22"/>
    <w:rsid w:val="00853A28"/>
    <w:rsid w:val="00853B4E"/>
    <w:rsid w:val="00853B50"/>
    <w:rsid w:val="00853B80"/>
    <w:rsid w:val="00853C34"/>
    <w:rsid w:val="00853E58"/>
    <w:rsid w:val="00853E7F"/>
    <w:rsid w:val="00853E94"/>
    <w:rsid w:val="00853EDC"/>
    <w:rsid w:val="00853F2F"/>
    <w:rsid w:val="0085402F"/>
    <w:rsid w:val="0085408F"/>
    <w:rsid w:val="0085411F"/>
    <w:rsid w:val="00854138"/>
    <w:rsid w:val="008541FC"/>
    <w:rsid w:val="00854287"/>
    <w:rsid w:val="008542FA"/>
    <w:rsid w:val="00854310"/>
    <w:rsid w:val="0085433B"/>
    <w:rsid w:val="0085439D"/>
    <w:rsid w:val="008543A3"/>
    <w:rsid w:val="008543D2"/>
    <w:rsid w:val="008543ED"/>
    <w:rsid w:val="0085441E"/>
    <w:rsid w:val="00854426"/>
    <w:rsid w:val="00854486"/>
    <w:rsid w:val="00854566"/>
    <w:rsid w:val="0085458A"/>
    <w:rsid w:val="00854594"/>
    <w:rsid w:val="0085459A"/>
    <w:rsid w:val="008545E0"/>
    <w:rsid w:val="008545EE"/>
    <w:rsid w:val="00854630"/>
    <w:rsid w:val="00854684"/>
    <w:rsid w:val="0085471F"/>
    <w:rsid w:val="00854746"/>
    <w:rsid w:val="0085479D"/>
    <w:rsid w:val="00854819"/>
    <w:rsid w:val="008548B4"/>
    <w:rsid w:val="008548F1"/>
    <w:rsid w:val="00854902"/>
    <w:rsid w:val="0085491A"/>
    <w:rsid w:val="00854A34"/>
    <w:rsid w:val="00854A62"/>
    <w:rsid w:val="00854AFF"/>
    <w:rsid w:val="00854B19"/>
    <w:rsid w:val="00854B30"/>
    <w:rsid w:val="00854C32"/>
    <w:rsid w:val="00854D0A"/>
    <w:rsid w:val="00854E58"/>
    <w:rsid w:val="00854E62"/>
    <w:rsid w:val="00854F7E"/>
    <w:rsid w:val="008550E4"/>
    <w:rsid w:val="008551E7"/>
    <w:rsid w:val="0085522F"/>
    <w:rsid w:val="0085531D"/>
    <w:rsid w:val="00855396"/>
    <w:rsid w:val="00855421"/>
    <w:rsid w:val="0085554A"/>
    <w:rsid w:val="0085566A"/>
    <w:rsid w:val="0085571F"/>
    <w:rsid w:val="00855870"/>
    <w:rsid w:val="0085588A"/>
    <w:rsid w:val="0085595D"/>
    <w:rsid w:val="008559FF"/>
    <w:rsid w:val="00855A02"/>
    <w:rsid w:val="00855AAF"/>
    <w:rsid w:val="00855ACB"/>
    <w:rsid w:val="00855AE5"/>
    <w:rsid w:val="00855B47"/>
    <w:rsid w:val="00855BB2"/>
    <w:rsid w:val="00855BC3"/>
    <w:rsid w:val="00855C50"/>
    <w:rsid w:val="00855CAC"/>
    <w:rsid w:val="00855D60"/>
    <w:rsid w:val="00855D86"/>
    <w:rsid w:val="00855E17"/>
    <w:rsid w:val="00855E6B"/>
    <w:rsid w:val="00855EA0"/>
    <w:rsid w:val="00855EC3"/>
    <w:rsid w:val="00855F61"/>
    <w:rsid w:val="00855F8A"/>
    <w:rsid w:val="00855F9F"/>
    <w:rsid w:val="00855FAF"/>
    <w:rsid w:val="00855FF1"/>
    <w:rsid w:val="00856062"/>
    <w:rsid w:val="008560B9"/>
    <w:rsid w:val="00856156"/>
    <w:rsid w:val="00856194"/>
    <w:rsid w:val="008561A6"/>
    <w:rsid w:val="00856208"/>
    <w:rsid w:val="00856328"/>
    <w:rsid w:val="0085634B"/>
    <w:rsid w:val="00856377"/>
    <w:rsid w:val="008563BE"/>
    <w:rsid w:val="0085647B"/>
    <w:rsid w:val="008564AE"/>
    <w:rsid w:val="008564BF"/>
    <w:rsid w:val="0085654A"/>
    <w:rsid w:val="0085655B"/>
    <w:rsid w:val="008565A2"/>
    <w:rsid w:val="008565B1"/>
    <w:rsid w:val="008565BD"/>
    <w:rsid w:val="00856712"/>
    <w:rsid w:val="0085679E"/>
    <w:rsid w:val="008567AC"/>
    <w:rsid w:val="008567F2"/>
    <w:rsid w:val="0085687E"/>
    <w:rsid w:val="00856890"/>
    <w:rsid w:val="008568E0"/>
    <w:rsid w:val="008569AD"/>
    <w:rsid w:val="008569F9"/>
    <w:rsid w:val="00856A19"/>
    <w:rsid w:val="00856A2B"/>
    <w:rsid w:val="00856A38"/>
    <w:rsid w:val="00856B77"/>
    <w:rsid w:val="00856B87"/>
    <w:rsid w:val="00856BC4"/>
    <w:rsid w:val="00856C03"/>
    <w:rsid w:val="00856C04"/>
    <w:rsid w:val="00856C0A"/>
    <w:rsid w:val="00856C67"/>
    <w:rsid w:val="00856CA5"/>
    <w:rsid w:val="00856CAE"/>
    <w:rsid w:val="00856CC3"/>
    <w:rsid w:val="00856D02"/>
    <w:rsid w:val="00856E3F"/>
    <w:rsid w:val="00856E71"/>
    <w:rsid w:val="00857038"/>
    <w:rsid w:val="0085708D"/>
    <w:rsid w:val="00857092"/>
    <w:rsid w:val="00857115"/>
    <w:rsid w:val="0085712C"/>
    <w:rsid w:val="008571B7"/>
    <w:rsid w:val="008571C1"/>
    <w:rsid w:val="00857258"/>
    <w:rsid w:val="00857274"/>
    <w:rsid w:val="00857316"/>
    <w:rsid w:val="0085731F"/>
    <w:rsid w:val="0085742D"/>
    <w:rsid w:val="008574AB"/>
    <w:rsid w:val="00857544"/>
    <w:rsid w:val="008575AF"/>
    <w:rsid w:val="008575D1"/>
    <w:rsid w:val="008578E8"/>
    <w:rsid w:val="008578F8"/>
    <w:rsid w:val="0085791C"/>
    <w:rsid w:val="00857964"/>
    <w:rsid w:val="00857990"/>
    <w:rsid w:val="008579B9"/>
    <w:rsid w:val="00857A60"/>
    <w:rsid w:val="00857A7B"/>
    <w:rsid w:val="00857AC1"/>
    <w:rsid w:val="00857B11"/>
    <w:rsid w:val="00857B48"/>
    <w:rsid w:val="00857B62"/>
    <w:rsid w:val="00857BD4"/>
    <w:rsid w:val="00857C00"/>
    <w:rsid w:val="00857C87"/>
    <w:rsid w:val="00857CD7"/>
    <w:rsid w:val="00857D2C"/>
    <w:rsid w:val="00857E28"/>
    <w:rsid w:val="00857E89"/>
    <w:rsid w:val="00857FBF"/>
    <w:rsid w:val="00857FF8"/>
    <w:rsid w:val="00860034"/>
    <w:rsid w:val="008600A9"/>
    <w:rsid w:val="008600AA"/>
    <w:rsid w:val="008600B3"/>
    <w:rsid w:val="008600C4"/>
    <w:rsid w:val="0086015D"/>
    <w:rsid w:val="00860160"/>
    <w:rsid w:val="00860193"/>
    <w:rsid w:val="0086020D"/>
    <w:rsid w:val="008602A8"/>
    <w:rsid w:val="0086030E"/>
    <w:rsid w:val="00860314"/>
    <w:rsid w:val="00860371"/>
    <w:rsid w:val="00860388"/>
    <w:rsid w:val="008603A2"/>
    <w:rsid w:val="008603D9"/>
    <w:rsid w:val="008604A9"/>
    <w:rsid w:val="008604F7"/>
    <w:rsid w:val="00860647"/>
    <w:rsid w:val="008606A3"/>
    <w:rsid w:val="008606CC"/>
    <w:rsid w:val="008606ED"/>
    <w:rsid w:val="00860722"/>
    <w:rsid w:val="0086075F"/>
    <w:rsid w:val="00860770"/>
    <w:rsid w:val="00860771"/>
    <w:rsid w:val="0086082C"/>
    <w:rsid w:val="008609AC"/>
    <w:rsid w:val="008609D4"/>
    <w:rsid w:val="008609EA"/>
    <w:rsid w:val="00860A65"/>
    <w:rsid w:val="00860BA8"/>
    <w:rsid w:val="00860BAA"/>
    <w:rsid w:val="00860D18"/>
    <w:rsid w:val="00860D80"/>
    <w:rsid w:val="00860DE1"/>
    <w:rsid w:val="00860E48"/>
    <w:rsid w:val="00860E8D"/>
    <w:rsid w:val="00860E91"/>
    <w:rsid w:val="00860F0F"/>
    <w:rsid w:val="00860F7C"/>
    <w:rsid w:val="0086100F"/>
    <w:rsid w:val="0086103E"/>
    <w:rsid w:val="0086111B"/>
    <w:rsid w:val="008611C3"/>
    <w:rsid w:val="008611CC"/>
    <w:rsid w:val="00861266"/>
    <w:rsid w:val="00861267"/>
    <w:rsid w:val="0086127C"/>
    <w:rsid w:val="00861327"/>
    <w:rsid w:val="0086133B"/>
    <w:rsid w:val="0086133D"/>
    <w:rsid w:val="00861373"/>
    <w:rsid w:val="00861394"/>
    <w:rsid w:val="008613CF"/>
    <w:rsid w:val="00861421"/>
    <w:rsid w:val="0086143C"/>
    <w:rsid w:val="00861505"/>
    <w:rsid w:val="0086156C"/>
    <w:rsid w:val="00861576"/>
    <w:rsid w:val="008615AE"/>
    <w:rsid w:val="00861624"/>
    <w:rsid w:val="0086167F"/>
    <w:rsid w:val="008616D1"/>
    <w:rsid w:val="008616E2"/>
    <w:rsid w:val="008617DB"/>
    <w:rsid w:val="00861828"/>
    <w:rsid w:val="0086185E"/>
    <w:rsid w:val="00861A3B"/>
    <w:rsid w:val="00861ABA"/>
    <w:rsid w:val="00861AD7"/>
    <w:rsid w:val="00861B0D"/>
    <w:rsid w:val="00861BEC"/>
    <w:rsid w:val="00861CAF"/>
    <w:rsid w:val="00861D19"/>
    <w:rsid w:val="00861D2D"/>
    <w:rsid w:val="00861D3A"/>
    <w:rsid w:val="00861D43"/>
    <w:rsid w:val="00861D5F"/>
    <w:rsid w:val="00861E7D"/>
    <w:rsid w:val="00861EA4"/>
    <w:rsid w:val="00861EF2"/>
    <w:rsid w:val="00861F43"/>
    <w:rsid w:val="00862011"/>
    <w:rsid w:val="00862078"/>
    <w:rsid w:val="008620BA"/>
    <w:rsid w:val="008621AE"/>
    <w:rsid w:val="008621F1"/>
    <w:rsid w:val="00862327"/>
    <w:rsid w:val="0086233A"/>
    <w:rsid w:val="008623B1"/>
    <w:rsid w:val="00862472"/>
    <w:rsid w:val="00862544"/>
    <w:rsid w:val="0086259F"/>
    <w:rsid w:val="008626BB"/>
    <w:rsid w:val="00862781"/>
    <w:rsid w:val="00862785"/>
    <w:rsid w:val="00862796"/>
    <w:rsid w:val="008627B4"/>
    <w:rsid w:val="008627BF"/>
    <w:rsid w:val="008627D7"/>
    <w:rsid w:val="008628D6"/>
    <w:rsid w:val="00862911"/>
    <w:rsid w:val="008629DF"/>
    <w:rsid w:val="00862A21"/>
    <w:rsid w:val="00862A7A"/>
    <w:rsid w:val="00862AE3"/>
    <w:rsid w:val="00862B03"/>
    <w:rsid w:val="00862B24"/>
    <w:rsid w:val="00862B45"/>
    <w:rsid w:val="00862B88"/>
    <w:rsid w:val="00862BBE"/>
    <w:rsid w:val="00862BF5"/>
    <w:rsid w:val="00862BFD"/>
    <w:rsid w:val="00862C28"/>
    <w:rsid w:val="00862C68"/>
    <w:rsid w:val="00862C89"/>
    <w:rsid w:val="00862D32"/>
    <w:rsid w:val="00862D35"/>
    <w:rsid w:val="00862D89"/>
    <w:rsid w:val="00862D8E"/>
    <w:rsid w:val="00862E39"/>
    <w:rsid w:val="00862E46"/>
    <w:rsid w:val="00862EC9"/>
    <w:rsid w:val="00862F55"/>
    <w:rsid w:val="00862F5C"/>
    <w:rsid w:val="00862F98"/>
    <w:rsid w:val="00862FE8"/>
    <w:rsid w:val="0086308A"/>
    <w:rsid w:val="0086316D"/>
    <w:rsid w:val="0086319F"/>
    <w:rsid w:val="008632D5"/>
    <w:rsid w:val="00863313"/>
    <w:rsid w:val="00863344"/>
    <w:rsid w:val="00863386"/>
    <w:rsid w:val="00863415"/>
    <w:rsid w:val="00863444"/>
    <w:rsid w:val="00863519"/>
    <w:rsid w:val="00863542"/>
    <w:rsid w:val="008635B8"/>
    <w:rsid w:val="008635D2"/>
    <w:rsid w:val="0086362B"/>
    <w:rsid w:val="00863667"/>
    <w:rsid w:val="0086369B"/>
    <w:rsid w:val="008636F0"/>
    <w:rsid w:val="00863724"/>
    <w:rsid w:val="00863729"/>
    <w:rsid w:val="00863743"/>
    <w:rsid w:val="008637F2"/>
    <w:rsid w:val="00863900"/>
    <w:rsid w:val="0086393F"/>
    <w:rsid w:val="00863943"/>
    <w:rsid w:val="00863972"/>
    <w:rsid w:val="008639B1"/>
    <w:rsid w:val="008639E6"/>
    <w:rsid w:val="00863A4D"/>
    <w:rsid w:val="00863A93"/>
    <w:rsid w:val="00863ADF"/>
    <w:rsid w:val="00863B11"/>
    <w:rsid w:val="00863B34"/>
    <w:rsid w:val="00863B5A"/>
    <w:rsid w:val="00863B95"/>
    <w:rsid w:val="00863C12"/>
    <w:rsid w:val="00863CFA"/>
    <w:rsid w:val="00863D1A"/>
    <w:rsid w:val="00863D95"/>
    <w:rsid w:val="00863D98"/>
    <w:rsid w:val="00863D9E"/>
    <w:rsid w:val="00863DC9"/>
    <w:rsid w:val="00863E66"/>
    <w:rsid w:val="00863E70"/>
    <w:rsid w:val="00863E82"/>
    <w:rsid w:val="00863F1A"/>
    <w:rsid w:val="0086408C"/>
    <w:rsid w:val="008640CA"/>
    <w:rsid w:val="00864176"/>
    <w:rsid w:val="008641A2"/>
    <w:rsid w:val="00864200"/>
    <w:rsid w:val="0086428F"/>
    <w:rsid w:val="0086429C"/>
    <w:rsid w:val="008642D8"/>
    <w:rsid w:val="008642EF"/>
    <w:rsid w:val="008642F4"/>
    <w:rsid w:val="0086434C"/>
    <w:rsid w:val="008643CA"/>
    <w:rsid w:val="008644DC"/>
    <w:rsid w:val="00864508"/>
    <w:rsid w:val="0086466C"/>
    <w:rsid w:val="008646D1"/>
    <w:rsid w:val="008647CB"/>
    <w:rsid w:val="00864842"/>
    <w:rsid w:val="008648D8"/>
    <w:rsid w:val="008648D9"/>
    <w:rsid w:val="008648FC"/>
    <w:rsid w:val="00864928"/>
    <w:rsid w:val="008649EC"/>
    <w:rsid w:val="00864A2B"/>
    <w:rsid w:val="00864A2F"/>
    <w:rsid w:val="00864A32"/>
    <w:rsid w:val="00864A5B"/>
    <w:rsid w:val="00864A89"/>
    <w:rsid w:val="00864AE0"/>
    <w:rsid w:val="00864B0B"/>
    <w:rsid w:val="00864B49"/>
    <w:rsid w:val="00864BEF"/>
    <w:rsid w:val="00864C96"/>
    <w:rsid w:val="00864CB6"/>
    <w:rsid w:val="00864D1A"/>
    <w:rsid w:val="00864DBA"/>
    <w:rsid w:val="00864F27"/>
    <w:rsid w:val="00864F82"/>
    <w:rsid w:val="00865062"/>
    <w:rsid w:val="008651FF"/>
    <w:rsid w:val="00865289"/>
    <w:rsid w:val="008652F8"/>
    <w:rsid w:val="0086530C"/>
    <w:rsid w:val="008653CF"/>
    <w:rsid w:val="0086547A"/>
    <w:rsid w:val="008654A7"/>
    <w:rsid w:val="00865528"/>
    <w:rsid w:val="008655AD"/>
    <w:rsid w:val="008655FE"/>
    <w:rsid w:val="0086565B"/>
    <w:rsid w:val="00865667"/>
    <w:rsid w:val="00865802"/>
    <w:rsid w:val="00865830"/>
    <w:rsid w:val="00865901"/>
    <w:rsid w:val="0086592B"/>
    <w:rsid w:val="008659A4"/>
    <w:rsid w:val="008659E3"/>
    <w:rsid w:val="00865AA6"/>
    <w:rsid w:val="00865B25"/>
    <w:rsid w:val="00865B62"/>
    <w:rsid w:val="00865BAD"/>
    <w:rsid w:val="00865C1A"/>
    <w:rsid w:val="00865C42"/>
    <w:rsid w:val="00865CC2"/>
    <w:rsid w:val="00865DC8"/>
    <w:rsid w:val="00865DCA"/>
    <w:rsid w:val="00865DCB"/>
    <w:rsid w:val="00865E41"/>
    <w:rsid w:val="00865EC0"/>
    <w:rsid w:val="00865F20"/>
    <w:rsid w:val="00865FC9"/>
    <w:rsid w:val="00865FD9"/>
    <w:rsid w:val="008660AE"/>
    <w:rsid w:val="008660B1"/>
    <w:rsid w:val="008660C4"/>
    <w:rsid w:val="00866120"/>
    <w:rsid w:val="00866181"/>
    <w:rsid w:val="00866238"/>
    <w:rsid w:val="0086625D"/>
    <w:rsid w:val="00866282"/>
    <w:rsid w:val="00866291"/>
    <w:rsid w:val="008663C0"/>
    <w:rsid w:val="008663DA"/>
    <w:rsid w:val="00866409"/>
    <w:rsid w:val="0086641C"/>
    <w:rsid w:val="0086643A"/>
    <w:rsid w:val="008664E3"/>
    <w:rsid w:val="00866593"/>
    <w:rsid w:val="008665D3"/>
    <w:rsid w:val="008665E5"/>
    <w:rsid w:val="0086667C"/>
    <w:rsid w:val="008666F4"/>
    <w:rsid w:val="00866770"/>
    <w:rsid w:val="008667C1"/>
    <w:rsid w:val="008667F6"/>
    <w:rsid w:val="0086684C"/>
    <w:rsid w:val="00866918"/>
    <w:rsid w:val="00866971"/>
    <w:rsid w:val="008669EB"/>
    <w:rsid w:val="00866A3B"/>
    <w:rsid w:val="00866B8A"/>
    <w:rsid w:val="00866C06"/>
    <w:rsid w:val="00866C6B"/>
    <w:rsid w:val="00866C81"/>
    <w:rsid w:val="00866D1B"/>
    <w:rsid w:val="00866D2D"/>
    <w:rsid w:val="00866DBB"/>
    <w:rsid w:val="00866E73"/>
    <w:rsid w:val="00866EA1"/>
    <w:rsid w:val="00866EED"/>
    <w:rsid w:val="00866F18"/>
    <w:rsid w:val="00866F46"/>
    <w:rsid w:val="00866F48"/>
    <w:rsid w:val="00866F53"/>
    <w:rsid w:val="00866F6A"/>
    <w:rsid w:val="00867048"/>
    <w:rsid w:val="008670C1"/>
    <w:rsid w:val="008670EC"/>
    <w:rsid w:val="00867153"/>
    <w:rsid w:val="008671BD"/>
    <w:rsid w:val="0086723F"/>
    <w:rsid w:val="00867245"/>
    <w:rsid w:val="00867249"/>
    <w:rsid w:val="00867325"/>
    <w:rsid w:val="00867361"/>
    <w:rsid w:val="00867366"/>
    <w:rsid w:val="008674BD"/>
    <w:rsid w:val="00867524"/>
    <w:rsid w:val="00867531"/>
    <w:rsid w:val="008675E2"/>
    <w:rsid w:val="008676B5"/>
    <w:rsid w:val="00867832"/>
    <w:rsid w:val="00867869"/>
    <w:rsid w:val="0086791B"/>
    <w:rsid w:val="0086792E"/>
    <w:rsid w:val="00867A3A"/>
    <w:rsid w:val="00867A48"/>
    <w:rsid w:val="00867AA1"/>
    <w:rsid w:val="00867ACD"/>
    <w:rsid w:val="00867ACF"/>
    <w:rsid w:val="00867B04"/>
    <w:rsid w:val="00867C1B"/>
    <w:rsid w:val="00867C30"/>
    <w:rsid w:val="00867C32"/>
    <w:rsid w:val="00867C6E"/>
    <w:rsid w:val="00867C7C"/>
    <w:rsid w:val="00867C95"/>
    <w:rsid w:val="00867D7A"/>
    <w:rsid w:val="00867DFA"/>
    <w:rsid w:val="00867E0D"/>
    <w:rsid w:val="00867E53"/>
    <w:rsid w:val="00867EBD"/>
    <w:rsid w:val="00867F1A"/>
    <w:rsid w:val="00867F4B"/>
    <w:rsid w:val="00867F4D"/>
    <w:rsid w:val="00867F55"/>
    <w:rsid w:val="00867F96"/>
    <w:rsid w:val="0087002B"/>
    <w:rsid w:val="008700B4"/>
    <w:rsid w:val="00870120"/>
    <w:rsid w:val="00870174"/>
    <w:rsid w:val="008701D0"/>
    <w:rsid w:val="008701EA"/>
    <w:rsid w:val="008701F3"/>
    <w:rsid w:val="008701F8"/>
    <w:rsid w:val="00870228"/>
    <w:rsid w:val="0087040A"/>
    <w:rsid w:val="00870432"/>
    <w:rsid w:val="0087043C"/>
    <w:rsid w:val="00870445"/>
    <w:rsid w:val="00870450"/>
    <w:rsid w:val="0087045B"/>
    <w:rsid w:val="008704B6"/>
    <w:rsid w:val="008704C7"/>
    <w:rsid w:val="0087050B"/>
    <w:rsid w:val="00870619"/>
    <w:rsid w:val="008706B0"/>
    <w:rsid w:val="008706E7"/>
    <w:rsid w:val="0087070C"/>
    <w:rsid w:val="0087072C"/>
    <w:rsid w:val="00870746"/>
    <w:rsid w:val="008707F5"/>
    <w:rsid w:val="008708CA"/>
    <w:rsid w:val="0087094E"/>
    <w:rsid w:val="00870964"/>
    <w:rsid w:val="00870983"/>
    <w:rsid w:val="00870A7F"/>
    <w:rsid w:val="00870AF3"/>
    <w:rsid w:val="00870B1A"/>
    <w:rsid w:val="00870B7C"/>
    <w:rsid w:val="00870B94"/>
    <w:rsid w:val="00870BB7"/>
    <w:rsid w:val="00870C3D"/>
    <w:rsid w:val="00870DAB"/>
    <w:rsid w:val="00870DB5"/>
    <w:rsid w:val="00870DD9"/>
    <w:rsid w:val="00870E3C"/>
    <w:rsid w:val="00870E6F"/>
    <w:rsid w:val="00870E8F"/>
    <w:rsid w:val="00870EC7"/>
    <w:rsid w:val="00870ECD"/>
    <w:rsid w:val="00870F6E"/>
    <w:rsid w:val="00870FAF"/>
    <w:rsid w:val="00870FB0"/>
    <w:rsid w:val="00870FEF"/>
    <w:rsid w:val="0087100C"/>
    <w:rsid w:val="00871094"/>
    <w:rsid w:val="008710CF"/>
    <w:rsid w:val="008710DB"/>
    <w:rsid w:val="0087111B"/>
    <w:rsid w:val="0087113E"/>
    <w:rsid w:val="00871231"/>
    <w:rsid w:val="008712A5"/>
    <w:rsid w:val="008712A6"/>
    <w:rsid w:val="008712CD"/>
    <w:rsid w:val="0087136E"/>
    <w:rsid w:val="008713CD"/>
    <w:rsid w:val="008713DC"/>
    <w:rsid w:val="008713FD"/>
    <w:rsid w:val="0087140A"/>
    <w:rsid w:val="00871419"/>
    <w:rsid w:val="00871471"/>
    <w:rsid w:val="008714AB"/>
    <w:rsid w:val="008714CA"/>
    <w:rsid w:val="0087153D"/>
    <w:rsid w:val="008715AD"/>
    <w:rsid w:val="008715C0"/>
    <w:rsid w:val="0087160F"/>
    <w:rsid w:val="00871654"/>
    <w:rsid w:val="008716AB"/>
    <w:rsid w:val="008716B7"/>
    <w:rsid w:val="008716F3"/>
    <w:rsid w:val="00871700"/>
    <w:rsid w:val="0087170A"/>
    <w:rsid w:val="00871739"/>
    <w:rsid w:val="00871780"/>
    <w:rsid w:val="00871797"/>
    <w:rsid w:val="008717B8"/>
    <w:rsid w:val="00871844"/>
    <w:rsid w:val="0087184B"/>
    <w:rsid w:val="0087189E"/>
    <w:rsid w:val="0087198A"/>
    <w:rsid w:val="00871A17"/>
    <w:rsid w:val="00871B3A"/>
    <w:rsid w:val="00871B7D"/>
    <w:rsid w:val="00871DE0"/>
    <w:rsid w:val="00871E42"/>
    <w:rsid w:val="00871E70"/>
    <w:rsid w:val="00871EFC"/>
    <w:rsid w:val="00871F3C"/>
    <w:rsid w:val="00871F6F"/>
    <w:rsid w:val="00871FD8"/>
    <w:rsid w:val="00872004"/>
    <w:rsid w:val="00872013"/>
    <w:rsid w:val="0087202B"/>
    <w:rsid w:val="0087202F"/>
    <w:rsid w:val="0087209A"/>
    <w:rsid w:val="008720A7"/>
    <w:rsid w:val="00872111"/>
    <w:rsid w:val="00872128"/>
    <w:rsid w:val="00872151"/>
    <w:rsid w:val="008721A6"/>
    <w:rsid w:val="00872213"/>
    <w:rsid w:val="008722A0"/>
    <w:rsid w:val="0087230F"/>
    <w:rsid w:val="00872358"/>
    <w:rsid w:val="008725A1"/>
    <w:rsid w:val="008725A3"/>
    <w:rsid w:val="008725AA"/>
    <w:rsid w:val="008725B5"/>
    <w:rsid w:val="00872621"/>
    <w:rsid w:val="0087265E"/>
    <w:rsid w:val="00872691"/>
    <w:rsid w:val="008726AD"/>
    <w:rsid w:val="008727B0"/>
    <w:rsid w:val="008727D4"/>
    <w:rsid w:val="0087286D"/>
    <w:rsid w:val="0087298C"/>
    <w:rsid w:val="008729F7"/>
    <w:rsid w:val="00872A4D"/>
    <w:rsid w:val="00872A83"/>
    <w:rsid w:val="00872ACC"/>
    <w:rsid w:val="00872B1E"/>
    <w:rsid w:val="00872B4B"/>
    <w:rsid w:val="00872BBB"/>
    <w:rsid w:val="00872C03"/>
    <w:rsid w:val="00872C86"/>
    <w:rsid w:val="00872D5E"/>
    <w:rsid w:val="00872D64"/>
    <w:rsid w:val="00872D9F"/>
    <w:rsid w:val="00872E2A"/>
    <w:rsid w:val="00872E2B"/>
    <w:rsid w:val="00872EB9"/>
    <w:rsid w:val="00872F72"/>
    <w:rsid w:val="00872F73"/>
    <w:rsid w:val="00872F74"/>
    <w:rsid w:val="00872FB4"/>
    <w:rsid w:val="0087309C"/>
    <w:rsid w:val="00873118"/>
    <w:rsid w:val="0087315F"/>
    <w:rsid w:val="00873192"/>
    <w:rsid w:val="008732D2"/>
    <w:rsid w:val="00873369"/>
    <w:rsid w:val="00873383"/>
    <w:rsid w:val="0087339A"/>
    <w:rsid w:val="0087343D"/>
    <w:rsid w:val="0087345D"/>
    <w:rsid w:val="008734D1"/>
    <w:rsid w:val="008734E8"/>
    <w:rsid w:val="008734F5"/>
    <w:rsid w:val="00873511"/>
    <w:rsid w:val="0087355B"/>
    <w:rsid w:val="00873572"/>
    <w:rsid w:val="008735A5"/>
    <w:rsid w:val="008735E6"/>
    <w:rsid w:val="008735F6"/>
    <w:rsid w:val="0087366C"/>
    <w:rsid w:val="008736B3"/>
    <w:rsid w:val="008736CD"/>
    <w:rsid w:val="00873744"/>
    <w:rsid w:val="00873807"/>
    <w:rsid w:val="00873853"/>
    <w:rsid w:val="0087394D"/>
    <w:rsid w:val="00873970"/>
    <w:rsid w:val="00873B18"/>
    <w:rsid w:val="00873B69"/>
    <w:rsid w:val="00873C04"/>
    <w:rsid w:val="00873C67"/>
    <w:rsid w:val="00873CA9"/>
    <w:rsid w:val="00873CCA"/>
    <w:rsid w:val="00873D3F"/>
    <w:rsid w:val="00873D5C"/>
    <w:rsid w:val="00873DE3"/>
    <w:rsid w:val="00873E22"/>
    <w:rsid w:val="00873E32"/>
    <w:rsid w:val="00873E78"/>
    <w:rsid w:val="00873F5B"/>
    <w:rsid w:val="00873FDE"/>
    <w:rsid w:val="00874010"/>
    <w:rsid w:val="00874038"/>
    <w:rsid w:val="00874098"/>
    <w:rsid w:val="008740D3"/>
    <w:rsid w:val="00874147"/>
    <w:rsid w:val="008741AA"/>
    <w:rsid w:val="008741FC"/>
    <w:rsid w:val="00874220"/>
    <w:rsid w:val="008742BC"/>
    <w:rsid w:val="008742FB"/>
    <w:rsid w:val="008742FF"/>
    <w:rsid w:val="00874387"/>
    <w:rsid w:val="00874461"/>
    <w:rsid w:val="008744FC"/>
    <w:rsid w:val="00874511"/>
    <w:rsid w:val="00874568"/>
    <w:rsid w:val="008745BE"/>
    <w:rsid w:val="008746C8"/>
    <w:rsid w:val="0087472F"/>
    <w:rsid w:val="008747E8"/>
    <w:rsid w:val="008748E7"/>
    <w:rsid w:val="00874959"/>
    <w:rsid w:val="008749A4"/>
    <w:rsid w:val="00874B82"/>
    <w:rsid w:val="00874BC5"/>
    <w:rsid w:val="00874BCA"/>
    <w:rsid w:val="00874BDB"/>
    <w:rsid w:val="00874C10"/>
    <w:rsid w:val="00874C3D"/>
    <w:rsid w:val="00874CC0"/>
    <w:rsid w:val="00874CE6"/>
    <w:rsid w:val="00874D0E"/>
    <w:rsid w:val="00874D6C"/>
    <w:rsid w:val="00874DA8"/>
    <w:rsid w:val="00874DF5"/>
    <w:rsid w:val="00874E01"/>
    <w:rsid w:val="00874E69"/>
    <w:rsid w:val="00874EA7"/>
    <w:rsid w:val="00874EBF"/>
    <w:rsid w:val="00874EC8"/>
    <w:rsid w:val="00874F40"/>
    <w:rsid w:val="00874FCD"/>
    <w:rsid w:val="00874FE2"/>
    <w:rsid w:val="0087508B"/>
    <w:rsid w:val="00875093"/>
    <w:rsid w:val="008750B7"/>
    <w:rsid w:val="00875158"/>
    <w:rsid w:val="008751C5"/>
    <w:rsid w:val="00875290"/>
    <w:rsid w:val="008752A4"/>
    <w:rsid w:val="00875314"/>
    <w:rsid w:val="008753EA"/>
    <w:rsid w:val="00875493"/>
    <w:rsid w:val="00875495"/>
    <w:rsid w:val="008754CA"/>
    <w:rsid w:val="008755C0"/>
    <w:rsid w:val="0087562C"/>
    <w:rsid w:val="00875670"/>
    <w:rsid w:val="008756FF"/>
    <w:rsid w:val="00875876"/>
    <w:rsid w:val="0087587E"/>
    <w:rsid w:val="00875889"/>
    <w:rsid w:val="0087588C"/>
    <w:rsid w:val="00875921"/>
    <w:rsid w:val="0087592E"/>
    <w:rsid w:val="0087599C"/>
    <w:rsid w:val="008759D6"/>
    <w:rsid w:val="00875A59"/>
    <w:rsid w:val="00875A5C"/>
    <w:rsid w:val="00875A79"/>
    <w:rsid w:val="00875AAF"/>
    <w:rsid w:val="00875ABC"/>
    <w:rsid w:val="00875B14"/>
    <w:rsid w:val="00875B3B"/>
    <w:rsid w:val="00875B5E"/>
    <w:rsid w:val="00875B65"/>
    <w:rsid w:val="00875B99"/>
    <w:rsid w:val="00875BBD"/>
    <w:rsid w:val="00875C0C"/>
    <w:rsid w:val="00875CA7"/>
    <w:rsid w:val="00875DB5"/>
    <w:rsid w:val="00875E3A"/>
    <w:rsid w:val="00875E92"/>
    <w:rsid w:val="00875F03"/>
    <w:rsid w:val="00875F1F"/>
    <w:rsid w:val="00876050"/>
    <w:rsid w:val="00876052"/>
    <w:rsid w:val="00876086"/>
    <w:rsid w:val="00876153"/>
    <w:rsid w:val="00876178"/>
    <w:rsid w:val="008761EE"/>
    <w:rsid w:val="00876244"/>
    <w:rsid w:val="00876331"/>
    <w:rsid w:val="0087634A"/>
    <w:rsid w:val="00876390"/>
    <w:rsid w:val="00876398"/>
    <w:rsid w:val="008763E1"/>
    <w:rsid w:val="008763FA"/>
    <w:rsid w:val="0087647C"/>
    <w:rsid w:val="008764DD"/>
    <w:rsid w:val="00876658"/>
    <w:rsid w:val="00876791"/>
    <w:rsid w:val="008767DB"/>
    <w:rsid w:val="008768E5"/>
    <w:rsid w:val="00876A36"/>
    <w:rsid w:val="00876A3B"/>
    <w:rsid w:val="00876AB5"/>
    <w:rsid w:val="00876B50"/>
    <w:rsid w:val="00876C22"/>
    <w:rsid w:val="00876C33"/>
    <w:rsid w:val="00876CAC"/>
    <w:rsid w:val="00876CE2"/>
    <w:rsid w:val="00876D1F"/>
    <w:rsid w:val="00876D4E"/>
    <w:rsid w:val="00876DF8"/>
    <w:rsid w:val="00876E34"/>
    <w:rsid w:val="00876EFA"/>
    <w:rsid w:val="008770DA"/>
    <w:rsid w:val="008770EA"/>
    <w:rsid w:val="008770FF"/>
    <w:rsid w:val="008771B8"/>
    <w:rsid w:val="008771F5"/>
    <w:rsid w:val="00877202"/>
    <w:rsid w:val="0087728D"/>
    <w:rsid w:val="00877328"/>
    <w:rsid w:val="0087738E"/>
    <w:rsid w:val="008773B2"/>
    <w:rsid w:val="008773F4"/>
    <w:rsid w:val="00877404"/>
    <w:rsid w:val="0087746E"/>
    <w:rsid w:val="0087748C"/>
    <w:rsid w:val="0087749C"/>
    <w:rsid w:val="008774A6"/>
    <w:rsid w:val="00877529"/>
    <w:rsid w:val="008775F1"/>
    <w:rsid w:val="00877625"/>
    <w:rsid w:val="00877720"/>
    <w:rsid w:val="00877796"/>
    <w:rsid w:val="00877813"/>
    <w:rsid w:val="0087783A"/>
    <w:rsid w:val="0087788B"/>
    <w:rsid w:val="008778B9"/>
    <w:rsid w:val="008779A6"/>
    <w:rsid w:val="008779E6"/>
    <w:rsid w:val="00877A1B"/>
    <w:rsid w:val="00877A38"/>
    <w:rsid w:val="00877A79"/>
    <w:rsid w:val="00877A95"/>
    <w:rsid w:val="00877B0E"/>
    <w:rsid w:val="00877B15"/>
    <w:rsid w:val="00877B57"/>
    <w:rsid w:val="00877BAA"/>
    <w:rsid w:val="00877BC8"/>
    <w:rsid w:val="00877C17"/>
    <w:rsid w:val="00877CB7"/>
    <w:rsid w:val="00877D4B"/>
    <w:rsid w:val="00877E02"/>
    <w:rsid w:val="00877E3A"/>
    <w:rsid w:val="00877E9F"/>
    <w:rsid w:val="00877EC5"/>
    <w:rsid w:val="00877F0C"/>
    <w:rsid w:val="00877F46"/>
    <w:rsid w:val="00877F55"/>
    <w:rsid w:val="00880159"/>
    <w:rsid w:val="00880206"/>
    <w:rsid w:val="0088032F"/>
    <w:rsid w:val="008803D9"/>
    <w:rsid w:val="0088044E"/>
    <w:rsid w:val="00880493"/>
    <w:rsid w:val="00880511"/>
    <w:rsid w:val="00880521"/>
    <w:rsid w:val="00880539"/>
    <w:rsid w:val="00880545"/>
    <w:rsid w:val="0088058E"/>
    <w:rsid w:val="008805D5"/>
    <w:rsid w:val="00880611"/>
    <w:rsid w:val="00880631"/>
    <w:rsid w:val="0088065E"/>
    <w:rsid w:val="0088072B"/>
    <w:rsid w:val="008807CC"/>
    <w:rsid w:val="008807FF"/>
    <w:rsid w:val="00880923"/>
    <w:rsid w:val="00880943"/>
    <w:rsid w:val="00880970"/>
    <w:rsid w:val="008809C0"/>
    <w:rsid w:val="00880A4E"/>
    <w:rsid w:val="00880BED"/>
    <w:rsid w:val="00880C07"/>
    <w:rsid w:val="00880C4F"/>
    <w:rsid w:val="00880C6E"/>
    <w:rsid w:val="00880CF3"/>
    <w:rsid w:val="00880D38"/>
    <w:rsid w:val="00880DDD"/>
    <w:rsid w:val="00880DE5"/>
    <w:rsid w:val="00880DF3"/>
    <w:rsid w:val="00880E2E"/>
    <w:rsid w:val="00880E62"/>
    <w:rsid w:val="00880E98"/>
    <w:rsid w:val="00880F24"/>
    <w:rsid w:val="00880FA2"/>
    <w:rsid w:val="00880FD6"/>
    <w:rsid w:val="00881037"/>
    <w:rsid w:val="0088103B"/>
    <w:rsid w:val="0088103E"/>
    <w:rsid w:val="008810C1"/>
    <w:rsid w:val="008810C3"/>
    <w:rsid w:val="008810DC"/>
    <w:rsid w:val="00881100"/>
    <w:rsid w:val="0088112F"/>
    <w:rsid w:val="008811AE"/>
    <w:rsid w:val="00881232"/>
    <w:rsid w:val="008812A2"/>
    <w:rsid w:val="008812D5"/>
    <w:rsid w:val="0088139F"/>
    <w:rsid w:val="0088149B"/>
    <w:rsid w:val="008814AA"/>
    <w:rsid w:val="008814EB"/>
    <w:rsid w:val="00881524"/>
    <w:rsid w:val="0088155D"/>
    <w:rsid w:val="0088156E"/>
    <w:rsid w:val="008815D5"/>
    <w:rsid w:val="008815F7"/>
    <w:rsid w:val="00881673"/>
    <w:rsid w:val="008816BB"/>
    <w:rsid w:val="00881814"/>
    <w:rsid w:val="00881862"/>
    <w:rsid w:val="00881918"/>
    <w:rsid w:val="008819B2"/>
    <w:rsid w:val="008819CD"/>
    <w:rsid w:val="008819D0"/>
    <w:rsid w:val="00881A2C"/>
    <w:rsid w:val="00881A6B"/>
    <w:rsid w:val="00881AC3"/>
    <w:rsid w:val="00881B28"/>
    <w:rsid w:val="00881B7D"/>
    <w:rsid w:val="00881BAF"/>
    <w:rsid w:val="00881C79"/>
    <w:rsid w:val="00881C87"/>
    <w:rsid w:val="00881CA7"/>
    <w:rsid w:val="00881CFB"/>
    <w:rsid w:val="00881CFF"/>
    <w:rsid w:val="00881D56"/>
    <w:rsid w:val="00881E15"/>
    <w:rsid w:val="00881E68"/>
    <w:rsid w:val="00881EF1"/>
    <w:rsid w:val="0088203B"/>
    <w:rsid w:val="00882087"/>
    <w:rsid w:val="0088209F"/>
    <w:rsid w:val="008821B9"/>
    <w:rsid w:val="008821BF"/>
    <w:rsid w:val="008821C5"/>
    <w:rsid w:val="008821E8"/>
    <w:rsid w:val="008822A6"/>
    <w:rsid w:val="00882334"/>
    <w:rsid w:val="00882369"/>
    <w:rsid w:val="00882464"/>
    <w:rsid w:val="0088247A"/>
    <w:rsid w:val="008824BB"/>
    <w:rsid w:val="008824BE"/>
    <w:rsid w:val="008824C6"/>
    <w:rsid w:val="008824E0"/>
    <w:rsid w:val="00882521"/>
    <w:rsid w:val="0088262F"/>
    <w:rsid w:val="0088265D"/>
    <w:rsid w:val="008826A9"/>
    <w:rsid w:val="0088274C"/>
    <w:rsid w:val="008828E4"/>
    <w:rsid w:val="0088296F"/>
    <w:rsid w:val="008829FC"/>
    <w:rsid w:val="00882A01"/>
    <w:rsid w:val="00882A50"/>
    <w:rsid w:val="00882D3B"/>
    <w:rsid w:val="00882E50"/>
    <w:rsid w:val="00882E52"/>
    <w:rsid w:val="00882EFC"/>
    <w:rsid w:val="00882F00"/>
    <w:rsid w:val="00882F40"/>
    <w:rsid w:val="00882F7A"/>
    <w:rsid w:val="00882F7E"/>
    <w:rsid w:val="00882FB2"/>
    <w:rsid w:val="00883167"/>
    <w:rsid w:val="008831CD"/>
    <w:rsid w:val="0088326D"/>
    <w:rsid w:val="0088328F"/>
    <w:rsid w:val="008832E3"/>
    <w:rsid w:val="0088335D"/>
    <w:rsid w:val="0088335F"/>
    <w:rsid w:val="008833D6"/>
    <w:rsid w:val="00883489"/>
    <w:rsid w:val="008834A6"/>
    <w:rsid w:val="0088351B"/>
    <w:rsid w:val="00883521"/>
    <w:rsid w:val="0088354F"/>
    <w:rsid w:val="0088359C"/>
    <w:rsid w:val="00883650"/>
    <w:rsid w:val="00883688"/>
    <w:rsid w:val="008836CA"/>
    <w:rsid w:val="00883896"/>
    <w:rsid w:val="008838B8"/>
    <w:rsid w:val="008838ED"/>
    <w:rsid w:val="0088395B"/>
    <w:rsid w:val="0088397F"/>
    <w:rsid w:val="00883990"/>
    <w:rsid w:val="008839F0"/>
    <w:rsid w:val="00883AD9"/>
    <w:rsid w:val="00883B07"/>
    <w:rsid w:val="00883B75"/>
    <w:rsid w:val="00883BF4"/>
    <w:rsid w:val="00883C16"/>
    <w:rsid w:val="00883C1B"/>
    <w:rsid w:val="00883C7C"/>
    <w:rsid w:val="00883CA8"/>
    <w:rsid w:val="00883CAA"/>
    <w:rsid w:val="00883DDF"/>
    <w:rsid w:val="00883EC0"/>
    <w:rsid w:val="00883F2D"/>
    <w:rsid w:val="00883F6E"/>
    <w:rsid w:val="00883FAC"/>
    <w:rsid w:val="0088401F"/>
    <w:rsid w:val="0088413E"/>
    <w:rsid w:val="0088415F"/>
    <w:rsid w:val="008841F8"/>
    <w:rsid w:val="00884202"/>
    <w:rsid w:val="00884287"/>
    <w:rsid w:val="008842C1"/>
    <w:rsid w:val="008842E5"/>
    <w:rsid w:val="008842ED"/>
    <w:rsid w:val="008842F3"/>
    <w:rsid w:val="0088431D"/>
    <w:rsid w:val="0088444B"/>
    <w:rsid w:val="008844F8"/>
    <w:rsid w:val="00884523"/>
    <w:rsid w:val="00884537"/>
    <w:rsid w:val="008845D1"/>
    <w:rsid w:val="0088466E"/>
    <w:rsid w:val="008846A0"/>
    <w:rsid w:val="008846E0"/>
    <w:rsid w:val="00884700"/>
    <w:rsid w:val="00884793"/>
    <w:rsid w:val="008847AC"/>
    <w:rsid w:val="008847CF"/>
    <w:rsid w:val="008847D1"/>
    <w:rsid w:val="0088493F"/>
    <w:rsid w:val="00884969"/>
    <w:rsid w:val="00884984"/>
    <w:rsid w:val="008849B4"/>
    <w:rsid w:val="00884AE4"/>
    <w:rsid w:val="00884BC3"/>
    <w:rsid w:val="00884C25"/>
    <w:rsid w:val="00884D4A"/>
    <w:rsid w:val="00884D8A"/>
    <w:rsid w:val="00884DEE"/>
    <w:rsid w:val="00884E44"/>
    <w:rsid w:val="00884E63"/>
    <w:rsid w:val="00884E81"/>
    <w:rsid w:val="00884F22"/>
    <w:rsid w:val="00884F75"/>
    <w:rsid w:val="00884F8D"/>
    <w:rsid w:val="00884FB6"/>
    <w:rsid w:val="00884FBC"/>
    <w:rsid w:val="00884FCC"/>
    <w:rsid w:val="00885031"/>
    <w:rsid w:val="0088505A"/>
    <w:rsid w:val="0088508A"/>
    <w:rsid w:val="008850F5"/>
    <w:rsid w:val="0088513A"/>
    <w:rsid w:val="00885141"/>
    <w:rsid w:val="00885184"/>
    <w:rsid w:val="008851B5"/>
    <w:rsid w:val="008851F4"/>
    <w:rsid w:val="008852B4"/>
    <w:rsid w:val="008852B8"/>
    <w:rsid w:val="008852C4"/>
    <w:rsid w:val="0088535B"/>
    <w:rsid w:val="0088535C"/>
    <w:rsid w:val="00885360"/>
    <w:rsid w:val="00885384"/>
    <w:rsid w:val="008853A2"/>
    <w:rsid w:val="008853CB"/>
    <w:rsid w:val="008853F1"/>
    <w:rsid w:val="0088545D"/>
    <w:rsid w:val="008854AF"/>
    <w:rsid w:val="008855A7"/>
    <w:rsid w:val="008855E7"/>
    <w:rsid w:val="00885602"/>
    <w:rsid w:val="0088560E"/>
    <w:rsid w:val="00885656"/>
    <w:rsid w:val="008856BC"/>
    <w:rsid w:val="008856CB"/>
    <w:rsid w:val="00885721"/>
    <w:rsid w:val="00885729"/>
    <w:rsid w:val="00885748"/>
    <w:rsid w:val="00885756"/>
    <w:rsid w:val="008857FF"/>
    <w:rsid w:val="0088583F"/>
    <w:rsid w:val="00885903"/>
    <w:rsid w:val="00885927"/>
    <w:rsid w:val="00885A54"/>
    <w:rsid w:val="00885AD7"/>
    <w:rsid w:val="00885AEF"/>
    <w:rsid w:val="00885B04"/>
    <w:rsid w:val="00885B25"/>
    <w:rsid w:val="00885B69"/>
    <w:rsid w:val="00885C89"/>
    <w:rsid w:val="00885CDE"/>
    <w:rsid w:val="00885D7C"/>
    <w:rsid w:val="00885D8A"/>
    <w:rsid w:val="00885DA6"/>
    <w:rsid w:val="00885DD3"/>
    <w:rsid w:val="00885DD5"/>
    <w:rsid w:val="00885E07"/>
    <w:rsid w:val="00885E84"/>
    <w:rsid w:val="00885EB3"/>
    <w:rsid w:val="00885EC4"/>
    <w:rsid w:val="00885F5A"/>
    <w:rsid w:val="00885FF4"/>
    <w:rsid w:val="00886033"/>
    <w:rsid w:val="00886068"/>
    <w:rsid w:val="00886109"/>
    <w:rsid w:val="008861AD"/>
    <w:rsid w:val="008861E5"/>
    <w:rsid w:val="008861FE"/>
    <w:rsid w:val="0088637B"/>
    <w:rsid w:val="008863F0"/>
    <w:rsid w:val="00886510"/>
    <w:rsid w:val="00886514"/>
    <w:rsid w:val="00886537"/>
    <w:rsid w:val="00886542"/>
    <w:rsid w:val="00886566"/>
    <w:rsid w:val="008865A4"/>
    <w:rsid w:val="008865A5"/>
    <w:rsid w:val="00886691"/>
    <w:rsid w:val="008866CF"/>
    <w:rsid w:val="00886703"/>
    <w:rsid w:val="00886729"/>
    <w:rsid w:val="0088675B"/>
    <w:rsid w:val="0088676A"/>
    <w:rsid w:val="0088676D"/>
    <w:rsid w:val="0088677E"/>
    <w:rsid w:val="00886782"/>
    <w:rsid w:val="0088691A"/>
    <w:rsid w:val="008869BB"/>
    <w:rsid w:val="00886B43"/>
    <w:rsid w:val="00886BA0"/>
    <w:rsid w:val="00886CAF"/>
    <w:rsid w:val="00886D19"/>
    <w:rsid w:val="00886DA2"/>
    <w:rsid w:val="00886E31"/>
    <w:rsid w:val="00886F68"/>
    <w:rsid w:val="00886FF3"/>
    <w:rsid w:val="0088703B"/>
    <w:rsid w:val="00887040"/>
    <w:rsid w:val="0088705A"/>
    <w:rsid w:val="008870F5"/>
    <w:rsid w:val="00887107"/>
    <w:rsid w:val="0088715B"/>
    <w:rsid w:val="008871F5"/>
    <w:rsid w:val="00887203"/>
    <w:rsid w:val="0088721C"/>
    <w:rsid w:val="0088725E"/>
    <w:rsid w:val="0088726D"/>
    <w:rsid w:val="008872B3"/>
    <w:rsid w:val="00887377"/>
    <w:rsid w:val="00887457"/>
    <w:rsid w:val="00887486"/>
    <w:rsid w:val="008874F5"/>
    <w:rsid w:val="0088762A"/>
    <w:rsid w:val="00887698"/>
    <w:rsid w:val="008876C8"/>
    <w:rsid w:val="00887751"/>
    <w:rsid w:val="00887756"/>
    <w:rsid w:val="008877BB"/>
    <w:rsid w:val="00887854"/>
    <w:rsid w:val="008878B1"/>
    <w:rsid w:val="008878E3"/>
    <w:rsid w:val="008879CA"/>
    <w:rsid w:val="008879F9"/>
    <w:rsid w:val="00887A14"/>
    <w:rsid w:val="00887A32"/>
    <w:rsid w:val="00887A91"/>
    <w:rsid w:val="00887BC5"/>
    <w:rsid w:val="00887C8E"/>
    <w:rsid w:val="00887CD4"/>
    <w:rsid w:val="00887D36"/>
    <w:rsid w:val="00887D56"/>
    <w:rsid w:val="00887D93"/>
    <w:rsid w:val="00887E4D"/>
    <w:rsid w:val="00887ECE"/>
    <w:rsid w:val="00887EF2"/>
    <w:rsid w:val="00890024"/>
    <w:rsid w:val="0089003F"/>
    <w:rsid w:val="00890043"/>
    <w:rsid w:val="00890093"/>
    <w:rsid w:val="008900DC"/>
    <w:rsid w:val="00890111"/>
    <w:rsid w:val="00890113"/>
    <w:rsid w:val="00890118"/>
    <w:rsid w:val="00890127"/>
    <w:rsid w:val="00890153"/>
    <w:rsid w:val="00890166"/>
    <w:rsid w:val="008901CE"/>
    <w:rsid w:val="008901DD"/>
    <w:rsid w:val="0089022A"/>
    <w:rsid w:val="0089022F"/>
    <w:rsid w:val="00890243"/>
    <w:rsid w:val="00890256"/>
    <w:rsid w:val="00890258"/>
    <w:rsid w:val="00890268"/>
    <w:rsid w:val="008902A5"/>
    <w:rsid w:val="00890316"/>
    <w:rsid w:val="0089035A"/>
    <w:rsid w:val="0089035B"/>
    <w:rsid w:val="00890379"/>
    <w:rsid w:val="0089048E"/>
    <w:rsid w:val="008904B7"/>
    <w:rsid w:val="008905AD"/>
    <w:rsid w:val="008905F8"/>
    <w:rsid w:val="0089060E"/>
    <w:rsid w:val="0089066C"/>
    <w:rsid w:val="008907DF"/>
    <w:rsid w:val="00890829"/>
    <w:rsid w:val="00890841"/>
    <w:rsid w:val="008908A9"/>
    <w:rsid w:val="008909F7"/>
    <w:rsid w:val="00890A2A"/>
    <w:rsid w:val="00890AB8"/>
    <w:rsid w:val="00890AF0"/>
    <w:rsid w:val="00890B17"/>
    <w:rsid w:val="00890B3A"/>
    <w:rsid w:val="00890B75"/>
    <w:rsid w:val="00890BEF"/>
    <w:rsid w:val="00890C54"/>
    <w:rsid w:val="00890C59"/>
    <w:rsid w:val="00890CA5"/>
    <w:rsid w:val="00890D40"/>
    <w:rsid w:val="00890D72"/>
    <w:rsid w:val="00890D8D"/>
    <w:rsid w:val="00890DAB"/>
    <w:rsid w:val="00890E61"/>
    <w:rsid w:val="00890E68"/>
    <w:rsid w:val="00890E71"/>
    <w:rsid w:val="00890F48"/>
    <w:rsid w:val="00890F6A"/>
    <w:rsid w:val="00890FD7"/>
    <w:rsid w:val="0089108B"/>
    <w:rsid w:val="008910CA"/>
    <w:rsid w:val="008910E7"/>
    <w:rsid w:val="0089113A"/>
    <w:rsid w:val="00891170"/>
    <w:rsid w:val="0089118E"/>
    <w:rsid w:val="008911CB"/>
    <w:rsid w:val="00891248"/>
    <w:rsid w:val="0089128D"/>
    <w:rsid w:val="00891387"/>
    <w:rsid w:val="0089138D"/>
    <w:rsid w:val="00891415"/>
    <w:rsid w:val="008914C9"/>
    <w:rsid w:val="008914D1"/>
    <w:rsid w:val="008914E2"/>
    <w:rsid w:val="00891555"/>
    <w:rsid w:val="008915E7"/>
    <w:rsid w:val="00891756"/>
    <w:rsid w:val="008917F5"/>
    <w:rsid w:val="00891806"/>
    <w:rsid w:val="00891813"/>
    <w:rsid w:val="00891819"/>
    <w:rsid w:val="0089182B"/>
    <w:rsid w:val="008919BD"/>
    <w:rsid w:val="008919DD"/>
    <w:rsid w:val="00891A40"/>
    <w:rsid w:val="00891A41"/>
    <w:rsid w:val="00891AA3"/>
    <w:rsid w:val="00891B05"/>
    <w:rsid w:val="00891B99"/>
    <w:rsid w:val="00891C36"/>
    <w:rsid w:val="00891C39"/>
    <w:rsid w:val="00891C42"/>
    <w:rsid w:val="00891C55"/>
    <w:rsid w:val="00891C72"/>
    <w:rsid w:val="00891CC4"/>
    <w:rsid w:val="00891CE3"/>
    <w:rsid w:val="00891D5B"/>
    <w:rsid w:val="00891D89"/>
    <w:rsid w:val="00891D9A"/>
    <w:rsid w:val="00891DFF"/>
    <w:rsid w:val="00891E0F"/>
    <w:rsid w:val="00891E4D"/>
    <w:rsid w:val="00891E85"/>
    <w:rsid w:val="00891E8C"/>
    <w:rsid w:val="00891EB5"/>
    <w:rsid w:val="00891EF0"/>
    <w:rsid w:val="00891F5D"/>
    <w:rsid w:val="00892043"/>
    <w:rsid w:val="0089208C"/>
    <w:rsid w:val="008921C7"/>
    <w:rsid w:val="00892260"/>
    <w:rsid w:val="00892263"/>
    <w:rsid w:val="008922B3"/>
    <w:rsid w:val="00892340"/>
    <w:rsid w:val="00892341"/>
    <w:rsid w:val="008923CA"/>
    <w:rsid w:val="00892514"/>
    <w:rsid w:val="00892549"/>
    <w:rsid w:val="0089265F"/>
    <w:rsid w:val="008926FF"/>
    <w:rsid w:val="00892731"/>
    <w:rsid w:val="008927C3"/>
    <w:rsid w:val="008927DC"/>
    <w:rsid w:val="0089291E"/>
    <w:rsid w:val="008929CD"/>
    <w:rsid w:val="00892ACD"/>
    <w:rsid w:val="00892AFF"/>
    <w:rsid w:val="00892B65"/>
    <w:rsid w:val="00892B9C"/>
    <w:rsid w:val="00892BA8"/>
    <w:rsid w:val="00892BD5"/>
    <w:rsid w:val="00892BD9"/>
    <w:rsid w:val="00892C24"/>
    <w:rsid w:val="00892C80"/>
    <w:rsid w:val="00892CB0"/>
    <w:rsid w:val="00892DAC"/>
    <w:rsid w:val="00892DD8"/>
    <w:rsid w:val="00892E01"/>
    <w:rsid w:val="00892E3A"/>
    <w:rsid w:val="00892EC0"/>
    <w:rsid w:val="00892F49"/>
    <w:rsid w:val="00892F61"/>
    <w:rsid w:val="00892F93"/>
    <w:rsid w:val="00892FC0"/>
    <w:rsid w:val="00893026"/>
    <w:rsid w:val="00893031"/>
    <w:rsid w:val="0089308C"/>
    <w:rsid w:val="008930A6"/>
    <w:rsid w:val="008930C4"/>
    <w:rsid w:val="0089323B"/>
    <w:rsid w:val="008932D7"/>
    <w:rsid w:val="0089336F"/>
    <w:rsid w:val="008933C9"/>
    <w:rsid w:val="008933F8"/>
    <w:rsid w:val="008933F9"/>
    <w:rsid w:val="0089344C"/>
    <w:rsid w:val="008934E5"/>
    <w:rsid w:val="008934F2"/>
    <w:rsid w:val="008935B0"/>
    <w:rsid w:val="008935E0"/>
    <w:rsid w:val="008935F3"/>
    <w:rsid w:val="0089364E"/>
    <w:rsid w:val="008936A2"/>
    <w:rsid w:val="00893701"/>
    <w:rsid w:val="0089371F"/>
    <w:rsid w:val="008937C2"/>
    <w:rsid w:val="008937DF"/>
    <w:rsid w:val="00893807"/>
    <w:rsid w:val="008938BD"/>
    <w:rsid w:val="0089395A"/>
    <w:rsid w:val="00893964"/>
    <w:rsid w:val="008939BC"/>
    <w:rsid w:val="00893A17"/>
    <w:rsid w:val="00893ACC"/>
    <w:rsid w:val="00893B8C"/>
    <w:rsid w:val="00893C58"/>
    <w:rsid w:val="00893C6C"/>
    <w:rsid w:val="00893C88"/>
    <w:rsid w:val="00893C89"/>
    <w:rsid w:val="00893C94"/>
    <w:rsid w:val="00893CA9"/>
    <w:rsid w:val="00893CAC"/>
    <w:rsid w:val="00893D5B"/>
    <w:rsid w:val="00893D62"/>
    <w:rsid w:val="00893DCE"/>
    <w:rsid w:val="00893DDD"/>
    <w:rsid w:val="00893E7E"/>
    <w:rsid w:val="00893E95"/>
    <w:rsid w:val="00893F03"/>
    <w:rsid w:val="00893F4C"/>
    <w:rsid w:val="00893F50"/>
    <w:rsid w:val="0089413D"/>
    <w:rsid w:val="00894141"/>
    <w:rsid w:val="0089418E"/>
    <w:rsid w:val="008941A9"/>
    <w:rsid w:val="008942D2"/>
    <w:rsid w:val="008942E9"/>
    <w:rsid w:val="00894305"/>
    <w:rsid w:val="0089434C"/>
    <w:rsid w:val="00894383"/>
    <w:rsid w:val="008943A1"/>
    <w:rsid w:val="008943DF"/>
    <w:rsid w:val="008943F0"/>
    <w:rsid w:val="00894461"/>
    <w:rsid w:val="0089446D"/>
    <w:rsid w:val="00894493"/>
    <w:rsid w:val="008944D3"/>
    <w:rsid w:val="0089452B"/>
    <w:rsid w:val="008945FE"/>
    <w:rsid w:val="008946A9"/>
    <w:rsid w:val="008946DF"/>
    <w:rsid w:val="008946F3"/>
    <w:rsid w:val="00894845"/>
    <w:rsid w:val="0089486D"/>
    <w:rsid w:val="0089489A"/>
    <w:rsid w:val="008948A4"/>
    <w:rsid w:val="008948B7"/>
    <w:rsid w:val="008948CB"/>
    <w:rsid w:val="008948CF"/>
    <w:rsid w:val="008948D2"/>
    <w:rsid w:val="00894978"/>
    <w:rsid w:val="00894983"/>
    <w:rsid w:val="00894A0B"/>
    <w:rsid w:val="00894AB7"/>
    <w:rsid w:val="00894AF0"/>
    <w:rsid w:val="00894B73"/>
    <w:rsid w:val="00894C5E"/>
    <w:rsid w:val="00894C90"/>
    <w:rsid w:val="00894D32"/>
    <w:rsid w:val="00894D46"/>
    <w:rsid w:val="00894D64"/>
    <w:rsid w:val="00894D7B"/>
    <w:rsid w:val="00894D8B"/>
    <w:rsid w:val="00894E21"/>
    <w:rsid w:val="00894F02"/>
    <w:rsid w:val="00894F8C"/>
    <w:rsid w:val="00894FA9"/>
    <w:rsid w:val="00894FDD"/>
    <w:rsid w:val="00894FF8"/>
    <w:rsid w:val="00895058"/>
    <w:rsid w:val="00895059"/>
    <w:rsid w:val="00895106"/>
    <w:rsid w:val="008951D5"/>
    <w:rsid w:val="008951E1"/>
    <w:rsid w:val="008952AB"/>
    <w:rsid w:val="0089554C"/>
    <w:rsid w:val="00895611"/>
    <w:rsid w:val="00895669"/>
    <w:rsid w:val="0089566B"/>
    <w:rsid w:val="0089572D"/>
    <w:rsid w:val="0089578A"/>
    <w:rsid w:val="008957D4"/>
    <w:rsid w:val="00895800"/>
    <w:rsid w:val="00895831"/>
    <w:rsid w:val="00895910"/>
    <w:rsid w:val="00895A16"/>
    <w:rsid w:val="00895AA0"/>
    <w:rsid w:val="00895B49"/>
    <w:rsid w:val="00895B5C"/>
    <w:rsid w:val="00895BEA"/>
    <w:rsid w:val="00895CD7"/>
    <w:rsid w:val="00895CF7"/>
    <w:rsid w:val="00895D39"/>
    <w:rsid w:val="00895E1C"/>
    <w:rsid w:val="00895E20"/>
    <w:rsid w:val="00895ECD"/>
    <w:rsid w:val="00895EDF"/>
    <w:rsid w:val="00895F3A"/>
    <w:rsid w:val="00895FF3"/>
    <w:rsid w:val="008960D8"/>
    <w:rsid w:val="0089610A"/>
    <w:rsid w:val="0089614A"/>
    <w:rsid w:val="00896177"/>
    <w:rsid w:val="008961AD"/>
    <w:rsid w:val="008961EE"/>
    <w:rsid w:val="008961EF"/>
    <w:rsid w:val="008961FF"/>
    <w:rsid w:val="00896223"/>
    <w:rsid w:val="0089627D"/>
    <w:rsid w:val="008962F5"/>
    <w:rsid w:val="0089636A"/>
    <w:rsid w:val="00896372"/>
    <w:rsid w:val="00896491"/>
    <w:rsid w:val="0089651B"/>
    <w:rsid w:val="008965A7"/>
    <w:rsid w:val="0089662A"/>
    <w:rsid w:val="0089666A"/>
    <w:rsid w:val="00896677"/>
    <w:rsid w:val="008966BB"/>
    <w:rsid w:val="008966D8"/>
    <w:rsid w:val="008966DF"/>
    <w:rsid w:val="00896714"/>
    <w:rsid w:val="008967A8"/>
    <w:rsid w:val="008967C8"/>
    <w:rsid w:val="008967E1"/>
    <w:rsid w:val="008967EF"/>
    <w:rsid w:val="00896819"/>
    <w:rsid w:val="00896839"/>
    <w:rsid w:val="00896884"/>
    <w:rsid w:val="00896907"/>
    <w:rsid w:val="008969C0"/>
    <w:rsid w:val="00896AD8"/>
    <w:rsid w:val="00896B2C"/>
    <w:rsid w:val="00896B6F"/>
    <w:rsid w:val="00896B85"/>
    <w:rsid w:val="00896B97"/>
    <w:rsid w:val="00896BAA"/>
    <w:rsid w:val="00896C30"/>
    <w:rsid w:val="00896D20"/>
    <w:rsid w:val="00896D60"/>
    <w:rsid w:val="00896DCE"/>
    <w:rsid w:val="00896DDC"/>
    <w:rsid w:val="00896DF8"/>
    <w:rsid w:val="00896E1C"/>
    <w:rsid w:val="00896E32"/>
    <w:rsid w:val="00896E6E"/>
    <w:rsid w:val="00896F07"/>
    <w:rsid w:val="00896F27"/>
    <w:rsid w:val="00896F2D"/>
    <w:rsid w:val="00896F6E"/>
    <w:rsid w:val="00896FFA"/>
    <w:rsid w:val="00897034"/>
    <w:rsid w:val="00897038"/>
    <w:rsid w:val="0089704C"/>
    <w:rsid w:val="00897135"/>
    <w:rsid w:val="0089714C"/>
    <w:rsid w:val="0089714F"/>
    <w:rsid w:val="00897166"/>
    <w:rsid w:val="008971C5"/>
    <w:rsid w:val="008971E4"/>
    <w:rsid w:val="0089725F"/>
    <w:rsid w:val="00897262"/>
    <w:rsid w:val="0089728C"/>
    <w:rsid w:val="008973EC"/>
    <w:rsid w:val="00897494"/>
    <w:rsid w:val="008974B4"/>
    <w:rsid w:val="0089751D"/>
    <w:rsid w:val="00897520"/>
    <w:rsid w:val="008975D2"/>
    <w:rsid w:val="0089761D"/>
    <w:rsid w:val="00897668"/>
    <w:rsid w:val="00897729"/>
    <w:rsid w:val="00897765"/>
    <w:rsid w:val="008977C0"/>
    <w:rsid w:val="008977DE"/>
    <w:rsid w:val="00897806"/>
    <w:rsid w:val="00897911"/>
    <w:rsid w:val="008979F1"/>
    <w:rsid w:val="00897A8D"/>
    <w:rsid w:val="00897AB1"/>
    <w:rsid w:val="00897AB6"/>
    <w:rsid w:val="00897AF6"/>
    <w:rsid w:val="00897B0A"/>
    <w:rsid w:val="00897B8E"/>
    <w:rsid w:val="00897BA1"/>
    <w:rsid w:val="00897BBE"/>
    <w:rsid w:val="00897C3B"/>
    <w:rsid w:val="00897C53"/>
    <w:rsid w:val="00897C5E"/>
    <w:rsid w:val="00897D3F"/>
    <w:rsid w:val="00897D7E"/>
    <w:rsid w:val="00897D97"/>
    <w:rsid w:val="00897DD1"/>
    <w:rsid w:val="00897EAD"/>
    <w:rsid w:val="00897F84"/>
    <w:rsid w:val="00897FD8"/>
    <w:rsid w:val="00897FE2"/>
    <w:rsid w:val="008A00A6"/>
    <w:rsid w:val="008A00AC"/>
    <w:rsid w:val="008A00BC"/>
    <w:rsid w:val="008A0147"/>
    <w:rsid w:val="008A01F4"/>
    <w:rsid w:val="008A0259"/>
    <w:rsid w:val="008A02E4"/>
    <w:rsid w:val="008A032F"/>
    <w:rsid w:val="008A0333"/>
    <w:rsid w:val="008A038A"/>
    <w:rsid w:val="008A03D5"/>
    <w:rsid w:val="008A040B"/>
    <w:rsid w:val="008A041C"/>
    <w:rsid w:val="008A0478"/>
    <w:rsid w:val="008A047A"/>
    <w:rsid w:val="008A061E"/>
    <w:rsid w:val="008A06A0"/>
    <w:rsid w:val="008A07E6"/>
    <w:rsid w:val="008A07F4"/>
    <w:rsid w:val="008A087B"/>
    <w:rsid w:val="008A099C"/>
    <w:rsid w:val="008A09B3"/>
    <w:rsid w:val="008A0A91"/>
    <w:rsid w:val="008A0AC5"/>
    <w:rsid w:val="008A0B95"/>
    <w:rsid w:val="008A0BB3"/>
    <w:rsid w:val="008A0BED"/>
    <w:rsid w:val="008A0C9D"/>
    <w:rsid w:val="008A0CC2"/>
    <w:rsid w:val="008A0E4B"/>
    <w:rsid w:val="008A0E53"/>
    <w:rsid w:val="008A0E7C"/>
    <w:rsid w:val="008A0EAF"/>
    <w:rsid w:val="008A0EEE"/>
    <w:rsid w:val="008A0F3D"/>
    <w:rsid w:val="008A1050"/>
    <w:rsid w:val="008A10A5"/>
    <w:rsid w:val="008A10C9"/>
    <w:rsid w:val="008A10F1"/>
    <w:rsid w:val="008A111F"/>
    <w:rsid w:val="008A1135"/>
    <w:rsid w:val="008A113C"/>
    <w:rsid w:val="008A1144"/>
    <w:rsid w:val="008A12D0"/>
    <w:rsid w:val="008A12D7"/>
    <w:rsid w:val="008A12E5"/>
    <w:rsid w:val="008A1337"/>
    <w:rsid w:val="008A1342"/>
    <w:rsid w:val="008A1387"/>
    <w:rsid w:val="008A13D1"/>
    <w:rsid w:val="008A14F2"/>
    <w:rsid w:val="008A1507"/>
    <w:rsid w:val="008A1508"/>
    <w:rsid w:val="008A151A"/>
    <w:rsid w:val="008A1520"/>
    <w:rsid w:val="008A15DC"/>
    <w:rsid w:val="008A1620"/>
    <w:rsid w:val="008A162E"/>
    <w:rsid w:val="008A1652"/>
    <w:rsid w:val="008A1774"/>
    <w:rsid w:val="008A17B1"/>
    <w:rsid w:val="008A18D9"/>
    <w:rsid w:val="008A1931"/>
    <w:rsid w:val="008A193E"/>
    <w:rsid w:val="008A1981"/>
    <w:rsid w:val="008A19FC"/>
    <w:rsid w:val="008A1A0C"/>
    <w:rsid w:val="008A1A83"/>
    <w:rsid w:val="008A1AF7"/>
    <w:rsid w:val="008A1B4D"/>
    <w:rsid w:val="008A1BBE"/>
    <w:rsid w:val="008A1C40"/>
    <w:rsid w:val="008A1CB6"/>
    <w:rsid w:val="008A1D22"/>
    <w:rsid w:val="008A1D3B"/>
    <w:rsid w:val="008A1E1C"/>
    <w:rsid w:val="008A1F78"/>
    <w:rsid w:val="008A1FBC"/>
    <w:rsid w:val="008A2101"/>
    <w:rsid w:val="008A2104"/>
    <w:rsid w:val="008A2130"/>
    <w:rsid w:val="008A2154"/>
    <w:rsid w:val="008A2207"/>
    <w:rsid w:val="008A2213"/>
    <w:rsid w:val="008A2228"/>
    <w:rsid w:val="008A22BF"/>
    <w:rsid w:val="008A22C2"/>
    <w:rsid w:val="008A233A"/>
    <w:rsid w:val="008A237D"/>
    <w:rsid w:val="008A23DC"/>
    <w:rsid w:val="008A2420"/>
    <w:rsid w:val="008A2451"/>
    <w:rsid w:val="008A2556"/>
    <w:rsid w:val="008A2608"/>
    <w:rsid w:val="008A2637"/>
    <w:rsid w:val="008A2698"/>
    <w:rsid w:val="008A26E5"/>
    <w:rsid w:val="008A274A"/>
    <w:rsid w:val="008A276D"/>
    <w:rsid w:val="008A27AF"/>
    <w:rsid w:val="008A27CC"/>
    <w:rsid w:val="008A281E"/>
    <w:rsid w:val="008A2836"/>
    <w:rsid w:val="008A286B"/>
    <w:rsid w:val="008A28AF"/>
    <w:rsid w:val="008A28D4"/>
    <w:rsid w:val="008A28DF"/>
    <w:rsid w:val="008A2939"/>
    <w:rsid w:val="008A294D"/>
    <w:rsid w:val="008A2963"/>
    <w:rsid w:val="008A2994"/>
    <w:rsid w:val="008A29AA"/>
    <w:rsid w:val="008A29BC"/>
    <w:rsid w:val="008A2AB6"/>
    <w:rsid w:val="008A2B3A"/>
    <w:rsid w:val="008A2C80"/>
    <w:rsid w:val="008A2D24"/>
    <w:rsid w:val="008A2D4B"/>
    <w:rsid w:val="008A2D66"/>
    <w:rsid w:val="008A2D85"/>
    <w:rsid w:val="008A2DB0"/>
    <w:rsid w:val="008A2F70"/>
    <w:rsid w:val="008A2F8F"/>
    <w:rsid w:val="008A2FA8"/>
    <w:rsid w:val="008A3079"/>
    <w:rsid w:val="008A3090"/>
    <w:rsid w:val="008A30C7"/>
    <w:rsid w:val="008A30DF"/>
    <w:rsid w:val="008A30FA"/>
    <w:rsid w:val="008A3163"/>
    <w:rsid w:val="008A3220"/>
    <w:rsid w:val="008A3248"/>
    <w:rsid w:val="008A329C"/>
    <w:rsid w:val="008A32D5"/>
    <w:rsid w:val="008A343C"/>
    <w:rsid w:val="008A352A"/>
    <w:rsid w:val="008A3579"/>
    <w:rsid w:val="008A35C2"/>
    <w:rsid w:val="008A35D1"/>
    <w:rsid w:val="008A3643"/>
    <w:rsid w:val="008A365E"/>
    <w:rsid w:val="008A3678"/>
    <w:rsid w:val="008A3686"/>
    <w:rsid w:val="008A36A0"/>
    <w:rsid w:val="008A36A9"/>
    <w:rsid w:val="008A36F3"/>
    <w:rsid w:val="008A372E"/>
    <w:rsid w:val="008A374A"/>
    <w:rsid w:val="008A3757"/>
    <w:rsid w:val="008A379A"/>
    <w:rsid w:val="008A3832"/>
    <w:rsid w:val="008A387C"/>
    <w:rsid w:val="008A3898"/>
    <w:rsid w:val="008A3909"/>
    <w:rsid w:val="008A391A"/>
    <w:rsid w:val="008A3961"/>
    <w:rsid w:val="008A3A67"/>
    <w:rsid w:val="008A3B59"/>
    <w:rsid w:val="008A3B5E"/>
    <w:rsid w:val="008A3B97"/>
    <w:rsid w:val="008A3B9E"/>
    <w:rsid w:val="008A3BB5"/>
    <w:rsid w:val="008A3BF0"/>
    <w:rsid w:val="008A3C19"/>
    <w:rsid w:val="008A3C24"/>
    <w:rsid w:val="008A3C58"/>
    <w:rsid w:val="008A3C83"/>
    <w:rsid w:val="008A3C91"/>
    <w:rsid w:val="008A3D27"/>
    <w:rsid w:val="008A3DC3"/>
    <w:rsid w:val="008A3DC7"/>
    <w:rsid w:val="008A3F4F"/>
    <w:rsid w:val="008A3FB7"/>
    <w:rsid w:val="008A3FDD"/>
    <w:rsid w:val="008A40EB"/>
    <w:rsid w:val="008A4101"/>
    <w:rsid w:val="008A41B8"/>
    <w:rsid w:val="008A423D"/>
    <w:rsid w:val="008A425D"/>
    <w:rsid w:val="008A42EB"/>
    <w:rsid w:val="008A439C"/>
    <w:rsid w:val="008A441E"/>
    <w:rsid w:val="008A444D"/>
    <w:rsid w:val="008A4517"/>
    <w:rsid w:val="008A4521"/>
    <w:rsid w:val="008A45AB"/>
    <w:rsid w:val="008A461B"/>
    <w:rsid w:val="008A46D0"/>
    <w:rsid w:val="008A46DE"/>
    <w:rsid w:val="008A4712"/>
    <w:rsid w:val="008A4789"/>
    <w:rsid w:val="008A485F"/>
    <w:rsid w:val="008A48D1"/>
    <w:rsid w:val="008A48FF"/>
    <w:rsid w:val="008A4912"/>
    <w:rsid w:val="008A4964"/>
    <w:rsid w:val="008A499A"/>
    <w:rsid w:val="008A49D9"/>
    <w:rsid w:val="008A49EF"/>
    <w:rsid w:val="008A49F2"/>
    <w:rsid w:val="008A4A48"/>
    <w:rsid w:val="008A4A61"/>
    <w:rsid w:val="008A4A6E"/>
    <w:rsid w:val="008A4AC3"/>
    <w:rsid w:val="008A4B01"/>
    <w:rsid w:val="008A4B67"/>
    <w:rsid w:val="008A4B69"/>
    <w:rsid w:val="008A4B88"/>
    <w:rsid w:val="008A4C4B"/>
    <w:rsid w:val="008A4C6E"/>
    <w:rsid w:val="008A4C9D"/>
    <w:rsid w:val="008A4D62"/>
    <w:rsid w:val="008A4E85"/>
    <w:rsid w:val="008A4E8A"/>
    <w:rsid w:val="008A4ECC"/>
    <w:rsid w:val="008A4EE9"/>
    <w:rsid w:val="008A4FC2"/>
    <w:rsid w:val="008A5165"/>
    <w:rsid w:val="008A5194"/>
    <w:rsid w:val="008A51FD"/>
    <w:rsid w:val="008A520E"/>
    <w:rsid w:val="008A5264"/>
    <w:rsid w:val="008A5295"/>
    <w:rsid w:val="008A5313"/>
    <w:rsid w:val="008A5318"/>
    <w:rsid w:val="008A53ED"/>
    <w:rsid w:val="008A5426"/>
    <w:rsid w:val="008A54A0"/>
    <w:rsid w:val="008A54A9"/>
    <w:rsid w:val="008A54EF"/>
    <w:rsid w:val="008A54F6"/>
    <w:rsid w:val="008A5541"/>
    <w:rsid w:val="008A558E"/>
    <w:rsid w:val="008A55BC"/>
    <w:rsid w:val="008A5837"/>
    <w:rsid w:val="008A5A0A"/>
    <w:rsid w:val="008A5A64"/>
    <w:rsid w:val="008A5B91"/>
    <w:rsid w:val="008A5BF1"/>
    <w:rsid w:val="008A5C0B"/>
    <w:rsid w:val="008A5C42"/>
    <w:rsid w:val="008A5CA1"/>
    <w:rsid w:val="008A5CEB"/>
    <w:rsid w:val="008A5D43"/>
    <w:rsid w:val="008A5E20"/>
    <w:rsid w:val="008A5ECC"/>
    <w:rsid w:val="008A5EFB"/>
    <w:rsid w:val="008A5F5E"/>
    <w:rsid w:val="008A5FD3"/>
    <w:rsid w:val="008A605D"/>
    <w:rsid w:val="008A60E5"/>
    <w:rsid w:val="008A61CA"/>
    <w:rsid w:val="008A61EC"/>
    <w:rsid w:val="008A6244"/>
    <w:rsid w:val="008A62D3"/>
    <w:rsid w:val="008A62EC"/>
    <w:rsid w:val="008A62F8"/>
    <w:rsid w:val="008A6310"/>
    <w:rsid w:val="008A631B"/>
    <w:rsid w:val="008A635B"/>
    <w:rsid w:val="008A6366"/>
    <w:rsid w:val="008A6389"/>
    <w:rsid w:val="008A63E1"/>
    <w:rsid w:val="008A6425"/>
    <w:rsid w:val="008A64A5"/>
    <w:rsid w:val="008A650E"/>
    <w:rsid w:val="008A6511"/>
    <w:rsid w:val="008A657A"/>
    <w:rsid w:val="008A65BA"/>
    <w:rsid w:val="008A65DD"/>
    <w:rsid w:val="008A65FD"/>
    <w:rsid w:val="008A6609"/>
    <w:rsid w:val="008A660F"/>
    <w:rsid w:val="008A66C0"/>
    <w:rsid w:val="008A67CD"/>
    <w:rsid w:val="008A6814"/>
    <w:rsid w:val="008A6823"/>
    <w:rsid w:val="008A68A5"/>
    <w:rsid w:val="008A68FB"/>
    <w:rsid w:val="008A6975"/>
    <w:rsid w:val="008A6979"/>
    <w:rsid w:val="008A69CA"/>
    <w:rsid w:val="008A6A22"/>
    <w:rsid w:val="008A6A30"/>
    <w:rsid w:val="008A6ADF"/>
    <w:rsid w:val="008A6B6C"/>
    <w:rsid w:val="008A6BE2"/>
    <w:rsid w:val="008A6C69"/>
    <w:rsid w:val="008A6CAE"/>
    <w:rsid w:val="008A6D3C"/>
    <w:rsid w:val="008A6DDF"/>
    <w:rsid w:val="008A6E06"/>
    <w:rsid w:val="008A6E5F"/>
    <w:rsid w:val="008A6FAF"/>
    <w:rsid w:val="008A70ED"/>
    <w:rsid w:val="008A70F4"/>
    <w:rsid w:val="008A7100"/>
    <w:rsid w:val="008A71EB"/>
    <w:rsid w:val="008A7251"/>
    <w:rsid w:val="008A7298"/>
    <w:rsid w:val="008A72F4"/>
    <w:rsid w:val="008A735D"/>
    <w:rsid w:val="008A7377"/>
    <w:rsid w:val="008A739F"/>
    <w:rsid w:val="008A73B3"/>
    <w:rsid w:val="008A73DD"/>
    <w:rsid w:val="008A7400"/>
    <w:rsid w:val="008A7428"/>
    <w:rsid w:val="008A7467"/>
    <w:rsid w:val="008A748E"/>
    <w:rsid w:val="008A768B"/>
    <w:rsid w:val="008A76BB"/>
    <w:rsid w:val="008A76C7"/>
    <w:rsid w:val="008A7763"/>
    <w:rsid w:val="008A7766"/>
    <w:rsid w:val="008A777B"/>
    <w:rsid w:val="008A7860"/>
    <w:rsid w:val="008A7929"/>
    <w:rsid w:val="008A7AA7"/>
    <w:rsid w:val="008A7AFE"/>
    <w:rsid w:val="008A7B17"/>
    <w:rsid w:val="008A7B9E"/>
    <w:rsid w:val="008A7BAB"/>
    <w:rsid w:val="008A7BCB"/>
    <w:rsid w:val="008A7D73"/>
    <w:rsid w:val="008A7E97"/>
    <w:rsid w:val="008A7EC7"/>
    <w:rsid w:val="008A7EF1"/>
    <w:rsid w:val="008A7F4D"/>
    <w:rsid w:val="008A7F8C"/>
    <w:rsid w:val="008A7F9A"/>
    <w:rsid w:val="008B002C"/>
    <w:rsid w:val="008B007E"/>
    <w:rsid w:val="008B00A1"/>
    <w:rsid w:val="008B00EC"/>
    <w:rsid w:val="008B0100"/>
    <w:rsid w:val="008B0139"/>
    <w:rsid w:val="008B0193"/>
    <w:rsid w:val="008B01D2"/>
    <w:rsid w:val="008B01DB"/>
    <w:rsid w:val="008B01DF"/>
    <w:rsid w:val="008B01FA"/>
    <w:rsid w:val="008B0285"/>
    <w:rsid w:val="008B02C0"/>
    <w:rsid w:val="008B02DD"/>
    <w:rsid w:val="008B02E5"/>
    <w:rsid w:val="008B041C"/>
    <w:rsid w:val="008B051B"/>
    <w:rsid w:val="008B0550"/>
    <w:rsid w:val="008B05B7"/>
    <w:rsid w:val="008B05B8"/>
    <w:rsid w:val="008B064E"/>
    <w:rsid w:val="008B065A"/>
    <w:rsid w:val="008B065F"/>
    <w:rsid w:val="008B0665"/>
    <w:rsid w:val="008B06DB"/>
    <w:rsid w:val="008B0706"/>
    <w:rsid w:val="008B0726"/>
    <w:rsid w:val="008B072F"/>
    <w:rsid w:val="008B073C"/>
    <w:rsid w:val="008B0880"/>
    <w:rsid w:val="008B08DC"/>
    <w:rsid w:val="008B08E6"/>
    <w:rsid w:val="008B09F7"/>
    <w:rsid w:val="008B0A1B"/>
    <w:rsid w:val="008B0B37"/>
    <w:rsid w:val="008B0C2B"/>
    <w:rsid w:val="008B0C79"/>
    <w:rsid w:val="008B0C85"/>
    <w:rsid w:val="008B0D1F"/>
    <w:rsid w:val="008B0D37"/>
    <w:rsid w:val="008B0D57"/>
    <w:rsid w:val="008B0D76"/>
    <w:rsid w:val="008B0DDA"/>
    <w:rsid w:val="008B0DFA"/>
    <w:rsid w:val="008B0EA8"/>
    <w:rsid w:val="008B0EE3"/>
    <w:rsid w:val="008B0FB8"/>
    <w:rsid w:val="008B0FC9"/>
    <w:rsid w:val="008B0FCF"/>
    <w:rsid w:val="008B1043"/>
    <w:rsid w:val="008B1050"/>
    <w:rsid w:val="008B1067"/>
    <w:rsid w:val="008B114C"/>
    <w:rsid w:val="008B11B3"/>
    <w:rsid w:val="008B121A"/>
    <w:rsid w:val="008B1261"/>
    <w:rsid w:val="008B1267"/>
    <w:rsid w:val="008B134D"/>
    <w:rsid w:val="008B1446"/>
    <w:rsid w:val="008B1465"/>
    <w:rsid w:val="008B14A3"/>
    <w:rsid w:val="008B14A7"/>
    <w:rsid w:val="008B14B6"/>
    <w:rsid w:val="008B14EA"/>
    <w:rsid w:val="008B151D"/>
    <w:rsid w:val="008B1549"/>
    <w:rsid w:val="008B15CE"/>
    <w:rsid w:val="008B15E8"/>
    <w:rsid w:val="008B15F0"/>
    <w:rsid w:val="008B169B"/>
    <w:rsid w:val="008B1707"/>
    <w:rsid w:val="008B178E"/>
    <w:rsid w:val="008B17BA"/>
    <w:rsid w:val="008B17E8"/>
    <w:rsid w:val="008B1894"/>
    <w:rsid w:val="008B18BA"/>
    <w:rsid w:val="008B18C0"/>
    <w:rsid w:val="008B18FA"/>
    <w:rsid w:val="008B1949"/>
    <w:rsid w:val="008B1994"/>
    <w:rsid w:val="008B1A11"/>
    <w:rsid w:val="008B1A24"/>
    <w:rsid w:val="008B1ADC"/>
    <w:rsid w:val="008B1ADD"/>
    <w:rsid w:val="008B1B44"/>
    <w:rsid w:val="008B1B82"/>
    <w:rsid w:val="008B1B8F"/>
    <w:rsid w:val="008B1BF3"/>
    <w:rsid w:val="008B1D03"/>
    <w:rsid w:val="008B1D8F"/>
    <w:rsid w:val="008B1E0B"/>
    <w:rsid w:val="008B1E45"/>
    <w:rsid w:val="008B1E84"/>
    <w:rsid w:val="008B1E9A"/>
    <w:rsid w:val="008B1ED2"/>
    <w:rsid w:val="008B1F5C"/>
    <w:rsid w:val="008B1F6C"/>
    <w:rsid w:val="008B1FCF"/>
    <w:rsid w:val="008B2023"/>
    <w:rsid w:val="008B203B"/>
    <w:rsid w:val="008B20F5"/>
    <w:rsid w:val="008B2146"/>
    <w:rsid w:val="008B218C"/>
    <w:rsid w:val="008B21F2"/>
    <w:rsid w:val="008B2200"/>
    <w:rsid w:val="008B2224"/>
    <w:rsid w:val="008B223E"/>
    <w:rsid w:val="008B2287"/>
    <w:rsid w:val="008B22F2"/>
    <w:rsid w:val="008B2402"/>
    <w:rsid w:val="008B242B"/>
    <w:rsid w:val="008B24AB"/>
    <w:rsid w:val="008B24D3"/>
    <w:rsid w:val="008B2537"/>
    <w:rsid w:val="008B260C"/>
    <w:rsid w:val="008B263C"/>
    <w:rsid w:val="008B2653"/>
    <w:rsid w:val="008B270F"/>
    <w:rsid w:val="008B273F"/>
    <w:rsid w:val="008B276C"/>
    <w:rsid w:val="008B27A9"/>
    <w:rsid w:val="008B27FA"/>
    <w:rsid w:val="008B2853"/>
    <w:rsid w:val="008B2904"/>
    <w:rsid w:val="008B2994"/>
    <w:rsid w:val="008B29A0"/>
    <w:rsid w:val="008B2A3A"/>
    <w:rsid w:val="008B2A49"/>
    <w:rsid w:val="008B2A4E"/>
    <w:rsid w:val="008B2A82"/>
    <w:rsid w:val="008B2ADA"/>
    <w:rsid w:val="008B2AF1"/>
    <w:rsid w:val="008B2B3E"/>
    <w:rsid w:val="008B2B70"/>
    <w:rsid w:val="008B2B7B"/>
    <w:rsid w:val="008B2C0C"/>
    <w:rsid w:val="008B2C2C"/>
    <w:rsid w:val="008B2C2F"/>
    <w:rsid w:val="008B2CD0"/>
    <w:rsid w:val="008B2D15"/>
    <w:rsid w:val="008B2D19"/>
    <w:rsid w:val="008B2D40"/>
    <w:rsid w:val="008B2DBD"/>
    <w:rsid w:val="008B2E72"/>
    <w:rsid w:val="008B2EF2"/>
    <w:rsid w:val="008B2F5B"/>
    <w:rsid w:val="008B2F5C"/>
    <w:rsid w:val="008B2F78"/>
    <w:rsid w:val="008B2FB7"/>
    <w:rsid w:val="008B3016"/>
    <w:rsid w:val="008B3021"/>
    <w:rsid w:val="008B30A3"/>
    <w:rsid w:val="008B30B4"/>
    <w:rsid w:val="008B30CD"/>
    <w:rsid w:val="008B30F6"/>
    <w:rsid w:val="008B30FF"/>
    <w:rsid w:val="008B319E"/>
    <w:rsid w:val="008B32A9"/>
    <w:rsid w:val="008B32CE"/>
    <w:rsid w:val="008B335B"/>
    <w:rsid w:val="008B33A1"/>
    <w:rsid w:val="008B33DF"/>
    <w:rsid w:val="008B3448"/>
    <w:rsid w:val="008B345D"/>
    <w:rsid w:val="008B346C"/>
    <w:rsid w:val="008B34D3"/>
    <w:rsid w:val="008B35C2"/>
    <w:rsid w:val="008B36DA"/>
    <w:rsid w:val="008B3738"/>
    <w:rsid w:val="008B376F"/>
    <w:rsid w:val="008B37C5"/>
    <w:rsid w:val="008B3866"/>
    <w:rsid w:val="008B3872"/>
    <w:rsid w:val="008B3880"/>
    <w:rsid w:val="008B38CA"/>
    <w:rsid w:val="008B38F3"/>
    <w:rsid w:val="008B3909"/>
    <w:rsid w:val="008B395B"/>
    <w:rsid w:val="008B3990"/>
    <w:rsid w:val="008B3B58"/>
    <w:rsid w:val="008B3C1E"/>
    <w:rsid w:val="008B3C3B"/>
    <w:rsid w:val="008B3C4A"/>
    <w:rsid w:val="008B3C67"/>
    <w:rsid w:val="008B3CAC"/>
    <w:rsid w:val="008B3CF0"/>
    <w:rsid w:val="008B3D71"/>
    <w:rsid w:val="008B3D8F"/>
    <w:rsid w:val="008B3DB3"/>
    <w:rsid w:val="008B3DBB"/>
    <w:rsid w:val="008B3E1E"/>
    <w:rsid w:val="008B3E28"/>
    <w:rsid w:val="008B3F0E"/>
    <w:rsid w:val="008B3FCA"/>
    <w:rsid w:val="008B3FF6"/>
    <w:rsid w:val="008B403C"/>
    <w:rsid w:val="008B4059"/>
    <w:rsid w:val="008B405D"/>
    <w:rsid w:val="008B40D3"/>
    <w:rsid w:val="008B4116"/>
    <w:rsid w:val="008B414D"/>
    <w:rsid w:val="008B41E1"/>
    <w:rsid w:val="008B429A"/>
    <w:rsid w:val="008B43BE"/>
    <w:rsid w:val="008B4486"/>
    <w:rsid w:val="008B45B9"/>
    <w:rsid w:val="008B45D3"/>
    <w:rsid w:val="008B45E6"/>
    <w:rsid w:val="008B4608"/>
    <w:rsid w:val="008B46DF"/>
    <w:rsid w:val="008B472E"/>
    <w:rsid w:val="008B47F2"/>
    <w:rsid w:val="008B47F8"/>
    <w:rsid w:val="008B484B"/>
    <w:rsid w:val="008B4879"/>
    <w:rsid w:val="008B4899"/>
    <w:rsid w:val="008B48CC"/>
    <w:rsid w:val="008B4945"/>
    <w:rsid w:val="008B4A06"/>
    <w:rsid w:val="008B4A4D"/>
    <w:rsid w:val="008B4A6D"/>
    <w:rsid w:val="008B4AEA"/>
    <w:rsid w:val="008B4BFF"/>
    <w:rsid w:val="008B4C43"/>
    <w:rsid w:val="008B4C9D"/>
    <w:rsid w:val="008B4CC7"/>
    <w:rsid w:val="008B4DA3"/>
    <w:rsid w:val="008B4DEB"/>
    <w:rsid w:val="008B4E18"/>
    <w:rsid w:val="008B4E2F"/>
    <w:rsid w:val="008B5023"/>
    <w:rsid w:val="008B504D"/>
    <w:rsid w:val="008B5161"/>
    <w:rsid w:val="008B5171"/>
    <w:rsid w:val="008B5182"/>
    <w:rsid w:val="008B5235"/>
    <w:rsid w:val="008B5275"/>
    <w:rsid w:val="008B52A8"/>
    <w:rsid w:val="008B533B"/>
    <w:rsid w:val="008B53B2"/>
    <w:rsid w:val="008B53E6"/>
    <w:rsid w:val="008B54E2"/>
    <w:rsid w:val="008B551B"/>
    <w:rsid w:val="008B5645"/>
    <w:rsid w:val="008B5727"/>
    <w:rsid w:val="008B572E"/>
    <w:rsid w:val="008B57DB"/>
    <w:rsid w:val="008B57E3"/>
    <w:rsid w:val="008B5802"/>
    <w:rsid w:val="008B58B0"/>
    <w:rsid w:val="008B58D8"/>
    <w:rsid w:val="008B5921"/>
    <w:rsid w:val="008B5950"/>
    <w:rsid w:val="008B5963"/>
    <w:rsid w:val="008B59DA"/>
    <w:rsid w:val="008B59FE"/>
    <w:rsid w:val="008B5A25"/>
    <w:rsid w:val="008B5A69"/>
    <w:rsid w:val="008B5B20"/>
    <w:rsid w:val="008B5B76"/>
    <w:rsid w:val="008B5BAF"/>
    <w:rsid w:val="008B5BB2"/>
    <w:rsid w:val="008B5C03"/>
    <w:rsid w:val="008B5C39"/>
    <w:rsid w:val="008B5D0D"/>
    <w:rsid w:val="008B5DD8"/>
    <w:rsid w:val="008B5E9C"/>
    <w:rsid w:val="008B5F1C"/>
    <w:rsid w:val="008B5F61"/>
    <w:rsid w:val="008B5F8D"/>
    <w:rsid w:val="008B5FE1"/>
    <w:rsid w:val="008B5FEB"/>
    <w:rsid w:val="008B5FF4"/>
    <w:rsid w:val="008B615C"/>
    <w:rsid w:val="008B61D3"/>
    <w:rsid w:val="008B62CD"/>
    <w:rsid w:val="008B634E"/>
    <w:rsid w:val="008B63A1"/>
    <w:rsid w:val="008B6426"/>
    <w:rsid w:val="008B643F"/>
    <w:rsid w:val="008B647E"/>
    <w:rsid w:val="008B649B"/>
    <w:rsid w:val="008B64A4"/>
    <w:rsid w:val="008B6502"/>
    <w:rsid w:val="008B65B0"/>
    <w:rsid w:val="008B65E6"/>
    <w:rsid w:val="008B65E9"/>
    <w:rsid w:val="008B6691"/>
    <w:rsid w:val="008B66A2"/>
    <w:rsid w:val="008B66BB"/>
    <w:rsid w:val="008B66CA"/>
    <w:rsid w:val="008B66EE"/>
    <w:rsid w:val="008B67CC"/>
    <w:rsid w:val="008B67F6"/>
    <w:rsid w:val="008B695D"/>
    <w:rsid w:val="008B6A00"/>
    <w:rsid w:val="008B6A72"/>
    <w:rsid w:val="008B6A95"/>
    <w:rsid w:val="008B6AC4"/>
    <w:rsid w:val="008B6B46"/>
    <w:rsid w:val="008B6B85"/>
    <w:rsid w:val="008B6BB3"/>
    <w:rsid w:val="008B6C95"/>
    <w:rsid w:val="008B6DA7"/>
    <w:rsid w:val="008B6E64"/>
    <w:rsid w:val="008B6E9D"/>
    <w:rsid w:val="008B6EDD"/>
    <w:rsid w:val="008B6EEB"/>
    <w:rsid w:val="008B6F16"/>
    <w:rsid w:val="008B6FA6"/>
    <w:rsid w:val="008B6FC4"/>
    <w:rsid w:val="008B7004"/>
    <w:rsid w:val="008B70A6"/>
    <w:rsid w:val="008B7108"/>
    <w:rsid w:val="008B71FE"/>
    <w:rsid w:val="008B7258"/>
    <w:rsid w:val="008B72AA"/>
    <w:rsid w:val="008B72DF"/>
    <w:rsid w:val="008B73A2"/>
    <w:rsid w:val="008B73CE"/>
    <w:rsid w:val="008B7535"/>
    <w:rsid w:val="008B758A"/>
    <w:rsid w:val="008B7598"/>
    <w:rsid w:val="008B759A"/>
    <w:rsid w:val="008B7624"/>
    <w:rsid w:val="008B7677"/>
    <w:rsid w:val="008B7722"/>
    <w:rsid w:val="008B7744"/>
    <w:rsid w:val="008B77D3"/>
    <w:rsid w:val="008B78EB"/>
    <w:rsid w:val="008B7921"/>
    <w:rsid w:val="008B7941"/>
    <w:rsid w:val="008B7AA1"/>
    <w:rsid w:val="008B7AD8"/>
    <w:rsid w:val="008B7B30"/>
    <w:rsid w:val="008B7B55"/>
    <w:rsid w:val="008B7BEF"/>
    <w:rsid w:val="008B7C00"/>
    <w:rsid w:val="008B7C0F"/>
    <w:rsid w:val="008B7C42"/>
    <w:rsid w:val="008B7C51"/>
    <w:rsid w:val="008B7D32"/>
    <w:rsid w:val="008B7D59"/>
    <w:rsid w:val="008B7E43"/>
    <w:rsid w:val="008B7E5D"/>
    <w:rsid w:val="008B7F8C"/>
    <w:rsid w:val="008C006F"/>
    <w:rsid w:val="008C009D"/>
    <w:rsid w:val="008C00B3"/>
    <w:rsid w:val="008C013D"/>
    <w:rsid w:val="008C014A"/>
    <w:rsid w:val="008C0170"/>
    <w:rsid w:val="008C01EF"/>
    <w:rsid w:val="008C0285"/>
    <w:rsid w:val="008C0329"/>
    <w:rsid w:val="008C0394"/>
    <w:rsid w:val="008C03A4"/>
    <w:rsid w:val="008C041C"/>
    <w:rsid w:val="008C044A"/>
    <w:rsid w:val="008C0493"/>
    <w:rsid w:val="008C0537"/>
    <w:rsid w:val="008C056D"/>
    <w:rsid w:val="008C05A2"/>
    <w:rsid w:val="008C0620"/>
    <w:rsid w:val="008C0640"/>
    <w:rsid w:val="008C0685"/>
    <w:rsid w:val="008C079B"/>
    <w:rsid w:val="008C07AB"/>
    <w:rsid w:val="008C07BB"/>
    <w:rsid w:val="008C089B"/>
    <w:rsid w:val="008C08E9"/>
    <w:rsid w:val="008C08F6"/>
    <w:rsid w:val="008C0910"/>
    <w:rsid w:val="008C0916"/>
    <w:rsid w:val="008C09B8"/>
    <w:rsid w:val="008C0A19"/>
    <w:rsid w:val="008C0A97"/>
    <w:rsid w:val="008C0B0D"/>
    <w:rsid w:val="008C0D03"/>
    <w:rsid w:val="008C0D18"/>
    <w:rsid w:val="008C0DCF"/>
    <w:rsid w:val="008C0E78"/>
    <w:rsid w:val="008C0EF9"/>
    <w:rsid w:val="008C0F2E"/>
    <w:rsid w:val="008C0F3E"/>
    <w:rsid w:val="008C0FAC"/>
    <w:rsid w:val="008C0FEA"/>
    <w:rsid w:val="008C1018"/>
    <w:rsid w:val="008C10A7"/>
    <w:rsid w:val="008C116D"/>
    <w:rsid w:val="008C119E"/>
    <w:rsid w:val="008C128F"/>
    <w:rsid w:val="008C12B6"/>
    <w:rsid w:val="008C12BF"/>
    <w:rsid w:val="008C1409"/>
    <w:rsid w:val="008C1421"/>
    <w:rsid w:val="008C149D"/>
    <w:rsid w:val="008C14D1"/>
    <w:rsid w:val="008C15B6"/>
    <w:rsid w:val="008C1611"/>
    <w:rsid w:val="008C1635"/>
    <w:rsid w:val="008C1721"/>
    <w:rsid w:val="008C1726"/>
    <w:rsid w:val="008C1761"/>
    <w:rsid w:val="008C17F5"/>
    <w:rsid w:val="008C185B"/>
    <w:rsid w:val="008C18F2"/>
    <w:rsid w:val="008C195B"/>
    <w:rsid w:val="008C19EF"/>
    <w:rsid w:val="008C19FB"/>
    <w:rsid w:val="008C1A57"/>
    <w:rsid w:val="008C1A61"/>
    <w:rsid w:val="008C1A80"/>
    <w:rsid w:val="008C1B68"/>
    <w:rsid w:val="008C1BAF"/>
    <w:rsid w:val="008C1BCA"/>
    <w:rsid w:val="008C1C6C"/>
    <w:rsid w:val="008C1CC3"/>
    <w:rsid w:val="008C1D1C"/>
    <w:rsid w:val="008C1D66"/>
    <w:rsid w:val="008C1D74"/>
    <w:rsid w:val="008C1DA9"/>
    <w:rsid w:val="008C1DE2"/>
    <w:rsid w:val="008C1E22"/>
    <w:rsid w:val="008C1EA9"/>
    <w:rsid w:val="008C1EBB"/>
    <w:rsid w:val="008C1EC5"/>
    <w:rsid w:val="008C1EEC"/>
    <w:rsid w:val="008C1F02"/>
    <w:rsid w:val="008C1F1C"/>
    <w:rsid w:val="008C1F45"/>
    <w:rsid w:val="008C1F88"/>
    <w:rsid w:val="008C206B"/>
    <w:rsid w:val="008C20DB"/>
    <w:rsid w:val="008C20EF"/>
    <w:rsid w:val="008C2129"/>
    <w:rsid w:val="008C21B1"/>
    <w:rsid w:val="008C21B3"/>
    <w:rsid w:val="008C21E6"/>
    <w:rsid w:val="008C2217"/>
    <w:rsid w:val="008C2224"/>
    <w:rsid w:val="008C2226"/>
    <w:rsid w:val="008C2240"/>
    <w:rsid w:val="008C2241"/>
    <w:rsid w:val="008C2259"/>
    <w:rsid w:val="008C2262"/>
    <w:rsid w:val="008C22C5"/>
    <w:rsid w:val="008C22EC"/>
    <w:rsid w:val="008C230B"/>
    <w:rsid w:val="008C234C"/>
    <w:rsid w:val="008C23BA"/>
    <w:rsid w:val="008C23D2"/>
    <w:rsid w:val="008C254C"/>
    <w:rsid w:val="008C259C"/>
    <w:rsid w:val="008C2679"/>
    <w:rsid w:val="008C26BF"/>
    <w:rsid w:val="008C26D3"/>
    <w:rsid w:val="008C2711"/>
    <w:rsid w:val="008C2718"/>
    <w:rsid w:val="008C274F"/>
    <w:rsid w:val="008C275D"/>
    <w:rsid w:val="008C2832"/>
    <w:rsid w:val="008C289A"/>
    <w:rsid w:val="008C28BC"/>
    <w:rsid w:val="008C28F3"/>
    <w:rsid w:val="008C2912"/>
    <w:rsid w:val="008C29A7"/>
    <w:rsid w:val="008C29E3"/>
    <w:rsid w:val="008C2A11"/>
    <w:rsid w:val="008C2A28"/>
    <w:rsid w:val="008C2A4B"/>
    <w:rsid w:val="008C2AE8"/>
    <w:rsid w:val="008C2AF2"/>
    <w:rsid w:val="008C2B10"/>
    <w:rsid w:val="008C2B1D"/>
    <w:rsid w:val="008C2B94"/>
    <w:rsid w:val="008C2BC6"/>
    <w:rsid w:val="008C2CE7"/>
    <w:rsid w:val="008C2CFC"/>
    <w:rsid w:val="008C2D3C"/>
    <w:rsid w:val="008C2E00"/>
    <w:rsid w:val="008C2E12"/>
    <w:rsid w:val="008C2E82"/>
    <w:rsid w:val="008C2F72"/>
    <w:rsid w:val="008C2F98"/>
    <w:rsid w:val="008C2FAB"/>
    <w:rsid w:val="008C2FEF"/>
    <w:rsid w:val="008C3067"/>
    <w:rsid w:val="008C30D2"/>
    <w:rsid w:val="008C30F8"/>
    <w:rsid w:val="008C3118"/>
    <w:rsid w:val="008C31BB"/>
    <w:rsid w:val="008C31EF"/>
    <w:rsid w:val="008C3209"/>
    <w:rsid w:val="008C3257"/>
    <w:rsid w:val="008C32D7"/>
    <w:rsid w:val="008C3356"/>
    <w:rsid w:val="008C3547"/>
    <w:rsid w:val="008C3607"/>
    <w:rsid w:val="008C3658"/>
    <w:rsid w:val="008C3766"/>
    <w:rsid w:val="008C3897"/>
    <w:rsid w:val="008C3943"/>
    <w:rsid w:val="008C3A0C"/>
    <w:rsid w:val="008C3A5D"/>
    <w:rsid w:val="008C3AA0"/>
    <w:rsid w:val="008C3BC2"/>
    <w:rsid w:val="008C3BF6"/>
    <w:rsid w:val="008C3C28"/>
    <w:rsid w:val="008C3C82"/>
    <w:rsid w:val="008C3C9B"/>
    <w:rsid w:val="008C3D6A"/>
    <w:rsid w:val="008C3D6D"/>
    <w:rsid w:val="008C3DAE"/>
    <w:rsid w:val="008C3FD8"/>
    <w:rsid w:val="008C3FE0"/>
    <w:rsid w:val="008C3FE3"/>
    <w:rsid w:val="008C400A"/>
    <w:rsid w:val="008C40B9"/>
    <w:rsid w:val="008C41CC"/>
    <w:rsid w:val="008C42D2"/>
    <w:rsid w:val="008C4352"/>
    <w:rsid w:val="008C43EA"/>
    <w:rsid w:val="008C43FF"/>
    <w:rsid w:val="008C4463"/>
    <w:rsid w:val="008C449B"/>
    <w:rsid w:val="008C4529"/>
    <w:rsid w:val="008C4547"/>
    <w:rsid w:val="008C467B"/>
    <w:rsid w:val="008C467D"/>
    <w:rsid w:val="008C476D"/>
    <w:rsid w:val="008C47C2"/>
    <w:rsid w:val="008C47DC"/>
    <w:rsid w:val="008C4802"/>
    <w:rsid w:val="008C4852"/>
    <w:rsid w:val="008C48FE"/>
    <w:rsid w:val="008C4917"/>
    <w:rsid w:val="008C4ACA"/>
    <w:rsid w:val="008C4B34"/>
    <w:rsid w:val="008C4C73"/>
    <w:rsid w:val="008C4C93"/>
    <w:rsid w:val="008C4D26"/>
    <w:rsid w:val="008C4DF2"/>
    <w:rsid w:val="008C4E4F"/>
    <w:rsid w:val="008C4F98"/>
    <w:rsid w:val="008C4FBF"/>
    <w:rsid w:val="008C5031"/>
    <w:rsid w:val="008C504D"/>
    <w:rsid w:val="008C50AF"/>
    <w:rsid w:val="008C50B3"/>
    <w:rsid w:val="008C50BA"/>
    <w:rsid w:val="008C50F3"/>
    <w:rsid w:val="008C5182"/>
    <w:rsid w:val="008C53C1"/>
    <w:rsid w:val="008C53D7"/>
    <w:rsid w:val="008C5426"/>
    <w:rsid w:val="008C543C"/>
    <w:rsid w:val="008C54B9"/>
    <w:rsid w:val="008C56BA"/>
    <w:rsid w:val="008C579F"/>
    <w:rsid w:val="008C58DF"/>
    <w:rsid w:val="008C58F8"/>
    <w:rsid w:val="008C59CF"/>
    <w:rsid w:val="008C59DE"/>
    <w:rsid w:val="008C5A0A"/>
    <w:rsid w:val="008C5A23"/>
    <w:rsid w:val="008C5A47"/>
    <w:rsid w:val="008C5A71"/>
    <w:rsid w:val="008C5A9F"/>
    <w:rsid w:val="008C5ACF"/>
    <w:rsid w:val="008C5AF7"/>
    <w:rsid w:val="008C5B33"/>
    <w:rsid w:val="008C5B8A"/>
    <w:rsid w:val="008C5C04"/>
    <w:rsid w:val="008C5C79"/>
    <w:rsid w:val="008C5D29"/>
    <w:rsid w:val="008C5D51"/>
    <w:rsid w:val="008C5D53"/>
    <w:rsid w:val="008C5DC5"/>
    <w:rsid w:val="008C5DF4"/>
    <w:rsid w:val="008C5E71"/>
    <w:rsid w:val="008C5E9E"/>
    <w:rsid w:val="008C5EA7"/>
    <w:rsid w:val="008C5F1F"/>
    <w:rsid w:val="008C5FB4"/>
    <w:rsid w:val="008C5FCE"/>
    <w:rsid w:val="008C600A"/>
    <w:rsid w:val="008C6080"/>
    <w:rsid w:val="008C60AF"/>
    <w:rsid w:val="008C60B5"/>
    <w:rsid w:val="008C6113"/>
    <w:rsid w:val="008C6116"/>
    <w:rsid w:val="008C6157"/>
    <w:rsid w:val="008C617D"/>
    <w:rsid w:val="008C61A6"/>
    <w:rsid w:val="008C61C6"/>
    <w:rsid w:val="008C61F2"/>
    <w:rsid w:val="008C6252"/>
    <w:rsid w:val="008C6265"/>
    <w:rsid w:val="008C62B5"/>
    <w:rsid w:val="008C6332"/>
    <w:rsid w:val="008C63C8"/>
    <w:rsid w:val="008C63F2"/>
    <w:rsid w:val="008C6406"/>
    <w:rsid w:val="008C640C"/>
    <w:rsid w:val="008C6430"/>
    <w:rsid w:val="008C64B1"/>
    <w:rsid w:val="008C6563"/>
    <w:rsid w:val="008C6575"/>
    <w:rsid w:val="008C65A4"/>
    <w:rsid w:val="008C65B8"/>
    <w:rsid w:val="008C65CA"/>
    <w:rsid w:val="008C664D"/>
    <w:rsid w:val="008C664E"/>
    <w:rsid w:val="008C669B"/>
    <w:rsid w:val="008C66AB"/>
    <w:rsid w:val="008C66AD"/>
    <w:rsid w:val="008C66EB"/>
    <w:rsid w:val="008C67CF"/>
    <w:rsid w:val="008C6943"/>
    <w:rsid w:val="008C69DE"/>
    <w:rsid w:val="008C6A06"/>
    <w:rsid w:val="008C6A12"/>
    <w:rsid w:val="008C6A76"/>
    <w:rsid w:val="008C6B5F"/>
    <w:rsid w:val="008C6B69"/>
    <w:rsid w:val="008C6BB2"/>
    <w:rsid w:val="008C6BFF"/>
    <w:rsid w:val="008C6C6E"/>
    <w:rsid w:val="008C6CD2"/>
    <w:rsid w:val="008C6D3D"/>
    <w:rsid w:val="008C6D3F"/>
    <w:rsid w:val="008C6DD1"/>
    <w:rsid w:val="008C6DFB"/>
    <w:rsid w:val="008C6E11"/>
    <w:rsid w:val="008C6EF2"/>
    <w:rsid w:val="008C6F69"/>
    <w:rsid w:val="008C6FAE"/>
    <w:rsid w:val="008C6FAF"/>
    <w:rsid w:val="008C6FF5"/>
    <w:rsid w:val="008C70C5"/>
    <w:rsid w:val="008C70E2"/>
    <w:rsid w:val="008C7132"/>
    <w:rsid w:val="008C713C"/>
    <w:rsid w:val="008C71CF"/>
    <w:rsid w:val="008C7234"/>
    <w:rsid w:val="008C7330"/>
    <w:rsid w:val="008C7341"/>
    <w:rsid w:val="008C73A2"/>
    <w:rsid w:val="008C73C4"/>
    <w:rsid w:val="008C73FE"/>
    <w:rsid w:val="008C7451"/>
    <w:rsid w:val="008C745E"/>
    <w:rsid w:val="008C7461"/>
    <w:rsid w:val="008C74A7"/>
    <w:rsid w:val="008C74D6"/>
    <w:rsid w:val="008C74DE"/>
    <w:rsid w:val="008C74EF"/>
    <w:rsid w:val="008C74F3"/>
    <w:rsid w:val="008C7501"/>
    <w:rsid w:val="008C7527"/>
    <w:rsid w:val="008C756F"/>
    <w:rsid w:val="008C763B"/>
    <w:rsid w:val="008C772A"/>
    <w:rsid w:val="008C7800"/>
    <w:rsid w:val="008C78AA"/>
    <w:rsid w:val="008C78BD"/>
    <w:rsid w:val="008C7951"/>
    <w:rsid w:val="008C7A53"/>
    <w:rsid w:val="008C7C2C"/>
    <w:rsid w:val="008C7C4F"/>
    <w:rsid w:val="008C7C57"/>
    <w:rsid w:val="008C7CA5"/>
    <w:rsid w:val="008C7CCE"/>
    <w:rsid w:val="008C7D22"/>
    <w:rsid w:val="008C7D2E"/>
    <w:rsid w:val="008C7D6C"/>
    <w:rsid w:val="008C7DBB"/>
    <w:rsid w:val="008C7DF5"/>
    <w:rsid w:val="008C7E05"/>
    <w:rsid w:val="008C7E67"/>
    <w:rsid w:val="008C7EA9"/>
    <w:rsid w:val="008C7EEF"/>
    <w:rsid w:val="008C7F1B"/>
    <w:rsid w:val="008D000D"/>
    <w:rsid w:val="008D007C"/>
    <w:rsid w:val="008D00FE"/>
    <w:rsid w:val="008D0108"/>
    <w:rsid w:val="008D01CF"/>
    <w:rsid w:val="008D021B"/>
    <w:rsid w:val="008D02D9"/>
    <w:rsid w:val="008D0355"/>
    <w:rsid w:val="008D035C"/>
    <w:rsid w:val="008D03F9"/>
    <w:rsid w:val="008D0453"/>
    <w:rsid w:val="008D0481"/>
    <w:rsid w:val="008D04C0"/>
    <w:rsid w:val="008D0580"/>
    <w:rsid w:val="008D063B"/>
    <w:rsid w:val="008D0822"/>
    <w:rsid w:val="008D08A6"/>
    <w:rsid w:val="008D0927"/>
    <w:rsid w:val="008D09AA"/>
    <w:rsid w:val="008D09DC"/>
    <w:rsid w:val="008D0A0E"/>
    <w:rsid w:val="008D0A9B"/>
    <w:rsid w:val="008D0B26"/>
    <w:rsid w:val="008D0BC1"/>
    <w:rsid w:val="008D0BCA"/>
    <w:rsid w:val="008D0C6E"/>
    <w:rsid w:val="008D0C87"/>
    <w:rsid w:val="008D0E24"/>
    <w:rsid w:val="008D0E54"/>
    <w:rsid w:val="008D0F1A"/>
    <w:rsid w:val="008D0F55"/>
    <w:rsid w:val="008D0F63"/>
    <w:rsid w:val="008D0F6A"/>
    <w:rsid w:val="008D0F8B"/>
    <w:rsid w:val="008D0F94"/>
    <w:rsid w:val="008D0FB0"/>
    <w:rsid w:val="008D10F4"/>
    <w:rsid w:val="008D1163"/>
    <w:rsid w:val="008D1164"/>
    <w:rsid w:val="008D11A5"/>
    <w:rsid w:val="008D122D"/>
    <w:rsid w:val="008D129D"/>
    <w:rsid w:val="008D133D"/>
    <w:rsid w:val="008D13BE"/>
    <w:rsid w:val="008D1441"/>
    <w:rsid w:val="008D14AE"/>
    <w:rsid w:val="008D14CF"/>
    <w:rsid w:val="008D1594"/>
    <w:rsid w:val="008D15A4"/>
    <w:rsid w:val="008D1672"/>
    <w:rsid w:val="008D167B"/>
    <w:rsid w:val="008D1692"/>
    <w:rsid w:val="008D16FE"/>
    <w:rsid w:val="008D17C2"/>
    <w:rsid w:val="008D17ED"/>
    <w:rsid w:val="008D1813"/>
    <w:rsid w:val="008D18AC"/>
    <w:rsid w:val="008D18DD"/>
    <w:rsid w:val="008D18E9"/>
    <w:rsid w:val="008D1963"/>
    <w:rsid w:val="008D1A36"/>
    <w:rsid w:val="008D1A9D"/>
    <w:rsid w:val="008D1AE3"/>
    <w:rsid w:val="008D1AFB"/>
    <w:rsid w:val="008D1B10"/>
    <w:rsid w:val="008D1B4C"/>
    <w:rsid w:val="008D1B97"/>
    <w:rsid w:val="008D1BBC"/>
    <w:rsid w:val="008D1BDC"/>
    <w:rsid w:val="008D1BE0"/>
    <w:rsid w:val="008D1C61"/>
    <w:rsid w:val="008D1CCE"/>
    <w:rsid w:val="008D1D2B"/>
    <w:rsid w:val="008D1E75"/>
    <w:rsid w:val="008D1FC7"/>
    <w:rsid w:val="008D1FE9"/>
    <w:rsid w:val="008D205A"/>
    <w:rsid w:val="008D206E"/>
    <w:rsid w:val="008D215C"/>
    <w:rsid w:val="008D21A8"/>
    <w:rsid w:val="008D21D7"/>
    <w:rsid w:val="008D2200"/>
    <w:rsid w:val="008D223E"/>
    <w:rsid w:val="008D231A"/>
    <w:rsid w:val="008D236B"/>
    <w:rsid w:val="008D25FC"/>
    <w:rsid w:val="008D26D6"/>
    <w:rsid w:val="008D2769"/>
    <w:rsid w:val="008D2809"/>
    <w:rsid w:val="008D284B"/>
    <w:rsid w:val="008D28E3"/>
    <w:rsid w:val="008D2909"/>
    <w:rsid w:val="008D294E"/>
    <w:rsid w:val="008D2982"/>
    <w:rsid w:val="008D29BB"/>
    <w:rsid w:val="008D2A17"/>
    <w:rsid w:val="008D2A3C"/>
    <w:rsid w:val="008D2A5D"/>
    <w:rsid w:val="008D2AC2"/>
    <w:rsid w:val="008D2ADA"/>
    <w:rsid w:val="008D2AF4"/>
    <w:rsid w:val="008D2AFE"/>
    <w:rsid w:val="008D2B1D"/>
    <w:rsid w:val="008D2BE9"/>
    <w:rsid w:val="008D2C4C"/>
    <w:rsid w:val="008D2C75"/>
    <w:rsid w:val="008D2CD4"/>
    <w:rsid w:val="008D2CFB"/>
    <w:rsid w:val="008D2D8F"/>
    <w:rsid w:val="008D2D99"/>
    <w:rsid w:val="008D2E5F"/>
    <w:rsid w:val="008D2F26"/>
    <w:rsid w:val="008D2F79"/>
    <w:rsid w:val="008D2FC1"/>
    <w:rsid w:val="008D302D"/>
    <w:rsid w:val="008D303D"/>
    <w:rsid w:val="008D304C"/>
    <w:rsid w:val="008D309E"/>
    <w:rsid w:val="008D314E"/>
    <w:rsid w:val="008D317E"/>
    <w:rsid w:val="008D31D2"/>
    <w:rsid w:val="008D3249"/>
    <w:rsid w:val="008D342B"/>
    <w:rsid w:val="008D3528"/>
    <w:rsid w:val="008D354E"/>
    <w:rsid w:val="008D35D7"/>
    <w:rsid w:val="008D35F8"/>
    <w:rsid w:val="008D362F"/>
    <w:rsid w:val="008D370C"/>
    <w:rsid w:val="008D374D"/>
    <w:rsid w:val="008D3779"/>
    <w:rsid w:val="008D3795"/>
    <w:rsid w:val="008D3825"/>
    <w:rsid w:val="008D382D"/>
    <w:rsid w:val="008D3895"/>
    <w:rsid w:val="008D38C9"/>
    <w:rsid w:val="008D38D2"/>
    <w:rsid w:val="008D38F2"/>
    <w:rsid w:val="008D396B"/>
    <w:rsid w:val="008D39BC"/>
    <w:rsid w:val="008D39D9"/>
    <w:rsid w:val="008D3AD4"/>
    <w:rsid w:val="008D3B52"/>
    <w:rsid w:val="008D3C19"/>
    <w:rsid w:val="008D3D29"/>
    <w:rsid w:val="008D3D32"/>
    <w:rsid w:val="008D3D96"/>
    <w:rsid w:val="008D3E62"/>
    <w:rsid w:val="008D3E83"/>
    <w:rsid w:val="008D3ED7"/>
    <w:rsid w:val="008D3EEB"/>
    <w:rsid w:val="008D3F4C"/>
    <w:rsid w:val="008D3F66"/>
    <w:rsid w:val="008D3F90"/>
    <w:rsid w:val="008D3FC0"/>
    <w:rsid w:val="008D3FE6"/>
    <w:rsid w:val="008D4038"/>
    <w:rsid w:val="008D4092"/>
    <w:rsid w:val="008D40AD"/>
    <w:rsid w:val="008D40BD"/>
    <w:rsid w:val="008D40DD"/>
    <w:rsid w:val="008D4155"/>
    <w:rsid w:val="008D42E7"/>
    <w:rsid w:val="008D4464"/>
    <w:rsid w:val="008D44CF"/>
    <w:rsid w:val="008D4528"/>
    <w:rsid w:val="008D4587"/>
    <w:rsid w:val="008D47AF"/>
    <w:rsid w:val="008D47C5"/>
    <w:rsid w:val="008D482B"/>
    <w:rsid w:val="008D490D"/>
    <w:rsid w:val="008D4956"/>
    <w:rsid w:val="008D49C5"/>
    <w:rsid w:val="008D4A23"/>
    <w:rsid w:val="008D4A2C"/>
    <w:rsid w:val="008D4A46"/>
    <w:rsid w:val="008D4B30"/>
    <w:rsid w:val="008D4BD2"/>
    <w:rsid w:val="008D4C16"/>
    <w:rsid w:val="008D4C4E"/>
    <w:rsid w:val="008D4C65"/>
    <w:rsid w:val="008D4CDA"/>
    <w:rsid w:val="008D4CF7"/>
    <w:rsid w:val="008D4DB6"/>
    <w:rsid w:val="008D4E8A"/>
    <w:rsid w:val="008D4F0D"/>
    <w:rsid w:val="008D4F43"/>
    <w:rsid w:val="008D500A"/>
    <w:rsid w:val="008D5129"/>
    <w:rsid w:val="008D51AE"/>
    <w:rsid w:val="008D51B9"/>
    <w:rsid w:val="008D51CE"/>
    <w:rsid w:val="008D5285"/>
    <w:rsid w:val="008D5293"/>
    <w:rsid w:val="008D5298"/>
    <w:rsid w:val="008D529C"/>
    <w:rsid w:val="008D5305"/>
    <w:rsid w:val="008D5341"/>
    <w:rsid w:val="008D5383"/>
    <w:rsid w:val="008D53CE"/>
    <w:rsid w:val="008D541A"/>
    <w:rsid w:val="008D556C"/>
    <w:rsid w:val="008D5659"/>
    <w:rsid w:val="008D5680"/>
    <w:rsid w:val="008D56A3"/>
    <w:rsid w:val="008D56B6"/>
    <w:rsid w:val="008D575C"/>
    <w:rsid w:val="008D5790"/>
    <w:rsid w:val="008D57C6"/>
    <w:rsid w:val="008D57CE"/>
    <w:rsid w:val="008D57D9"/>
    <w:rsid w:val="008D581C"/>
    <w:rsid w:val="008D5857"/>
    <w:rsid w:val="008D58C6"/>
    <w:rsid w:val="008D58E4"/>
    <w:rsid w:val="008D5990"/>
    <w:rsid w:val="008D5A5E"/>
    <w:rsid w:val="008D5BBF"/>
    <w:rsid w:val="008D5BC1"/>
    <w:rsid w:val="008D5BCD"/>
    <w:rsid w:val="008D5BE0"/>
    <w:rsid w:val="008D5C4D"/>
    <w:rsid w:val="008D5C52"/>
    <w:rsid w:val="008D5C5B"/>
    <w:rsid w:val="008D5C8E"/>
    <w:rsid w:val="008D5C9D"/>
    <w:rsid w:val="008D5D9C"/>
    <w:rsid w:val="008D5E4B"/>
    <w:rsid w:val="008D5E56"/>
    <w:rsid w:val="008D5E57"/>
    <w:rsid w:val="008D5E75"/>
    <w:rsid w:val="008D5ED7"/>
    <w:rsid w:val="008D5F21"/>
    <w:rsid w:val="008D5F4F"/>
    <w:rsid w:val="008D5F68"/>
    <w:rsid w:val="008D600D"/>
    <w:rsid w:val="008D60D9"/>
    <w:rsid w:val="008D60DE"/>
    <w:rsid w:val="008D617A"/>
    <w:rsid w:val="008D61C9"/>
    <w:rsid w:val="008D62FF"/>
    <w:rsid w:val="008D6313"/>
    <w:rsid w:val="008D6353"/>
    <w:rsid w:val="008D6393"/>
    <w:rsid w:val="008D6416"/>
    <w:rsid w:val="008D6437"/>
    <w:rsid w:val="008D6451"/>
    <w:rsid w:val="008D6505"/>
    <w:rsid w:val="008D65A5"/>
    <w:rsid w:val="008D6616"/>
    <w:rsid w:val="008D66B8"/>
    <w:rsid w:val="008D6702"/>
    <w:rsid w:val="008D675D"/>
    <w:rsid w:val="008D6784"/>
    <w:rsid w:val="008D683A"/>
    <w:rsid w:val="008D6861"/>
    <w:rsid w:val="008D6901"/>
    <w:rsid w:val="008D69FD"/>
    <w:rsid w:val="008D6A73"/>
    <w:rsid w:val="008D6B04"/>
    <w:rsid w:val="008D6B72"/>
    <w:rsid w:val="008D6D8D"/>
    <w:rsid w:val="008D6DDB"/>
    <w:rsid w:val="008D6E55"/>
    <w:rsid w:val="008D6E67"/>
    <w:rsid w:val="008D6EB5"/>
    <w:rsid w:val="008D6ED4"/>
    <w:rsid w:val="008D6ED5"/>
    <w:rsid w:val="008D6F24"/>
    <w:rsid w:val="008D6F99"/>
    <w:rsid w:val="008D6F9B"/>
    <w:rsid w:val="008D6FD4"/>
    <w:rsid w:val="008D6FD8"/>
    <w:rsid w:val="008D7069"/>
    <w:rsid w:val="008D71B8"/>
    <w:rsid w:val="008D71D2"/>
    <w:rsid w:val="008D71D9"/>
    <w:rsid w:val="008D71EC"/>
    <w:rsid w:val="008D720C"/>
    <w:rsid w:val="008D7245"/>
    <w:rsid w:val="008D726B"/>
    <w:rsid w:val="008D72BC"/>
    <w:rsid w:val="008D72EF"/>
    <w:rsid w:val="008D744E"/>
    <w:rsid w:val="008D7457"/>
    <w:rsid w:val="008D746D"/>
    <w:rsid w:val="008D753B"/>
    <w:rsid w:val="008D7634"/>
    <w:rsid w:val="008D7642"/>
    <w:rsid w:val="008D76E0"/>
    <w:rsid w:val="008D77D0"/>
    <w:rsid w:val="008D787B"/>
    <w:rsid w:val="008D7899"/>
    <w:rsid w:val="008D78BB"/>
    <w:rsid w:val="008D78F4"/>
    <w:rsid w:val="008D78FA"/>
    <w:rsid w:val="008D79C9"/>
    <w:rsid w:val="008D7A3D"/>
    <w:rsid w:val="008D7A74"/>
    <w:rsid w:val="008D7C2E"/>
    <w:rsid w:val="008D7C5C"/>
    <w:rsid w:val="008D7C94"/>
    <w:rsid w:val="008D7CEF"/>
    <w:rsid w:val="008D7D7B"/>
    <w:rsid w:val="008D7E37"/>
    <w:rsid w:val="008D7E61"/>
    <w:rsid w:val="008D7E8C"/>
    <w:rsid w:val="008D7F1D"/>
    <w:rsid w:val="008D7F88"/>
    <w:rsid w:val="008D7FB4"/>
    <w:rsid w:val="008D7FCB"/>
    <w:rsid w:val="008E0062"/>
    <w:rsid w:val="008E00A8"/>
    <w:rsid w:val="008E00C1"/>
    <w:rsid w:val="008E0384"/>
    <w:rsid w:val="008E03F1"/>
    <w:rsid w:val="008E0434"/>
    <w:rsid w:val="008E0447"/>
    <w:rsid w:val="008E04AB"/>
    <w:rsid w:val="008E0528"/>
    <w:rsid w:val="008E053F"/>
    <w:rsid w:val="008E05B6"/>
    <w:rsid w:val="008E05BC"/>
    <w:rsid w:val="008E05FC"/>
    <w:rsid w:val="008E0623"/>
    <w:rsid w:val="008E062D"/>
    <w:rsid w:val="008E0658"/>
    <w:rsid w:val="008E06C0"/>
    <w:rsid w:val="008E06E7"/>
    <w:rsid w:val="008E06EE"/>
    <w:rsid w:val="008E0729"/>
    <w:rsid w:val="008E0731"/>
    <w:rsid w:val="008E0755"/>
    <w:rsid w:val="008E0781"/>
    <w:rsid w:val="008E07BC"/>
    <w:rsid w:val="008E07D8"/>
    <w:rsid w:val="008E07D9"/>
    <w:rsid w:val="008E0823"/>
    <w:rsid w:val="008E0829"/>
    <w:rsid w:val="008E0830"/>
    <w:rsid w:val="008E08DA"/>
    <w:rsid w:val="008E0A12"/>
    <w:rsid w:val="008E0A27"/>
    <w:rsid w:val="008E0B0E"/>
    <w:rsid w:val="008E0B3D"/>
    <w:rsid w:val="008E0B3E"/>
    <w:rsid w:val="008E0B99"/>
    <w:rsid w:val="008E0BC8"/>
    <w:rsid w:val="008E0BD8"/>
    <w:rsid w:val="008E0CF4"/>
    <w:rsid w:val="008E0D47"/>
    <w:rsid w:val="008E0D9A"/>
    <w:rsid w:val="008E0E28"/>
    <w:rsid w:val="008E0E46"/>
    <w:rsid w:val="008E0E4E"/>
    <w:rsid w:val="008E0EC6"/>
    <w:rsid w:val="008E0F0E"/>
    <w:rsid w:val="008E104D"/>
    <w:rsid w:val="008E10CE"/>
    <w:rsid w:val="008E10FF"/>
    <w:rsid w:val="008E11AE"/>
    <w:rsid w:val="008E11BB"/>
    <w:rsid w:val="008E11F6"/>
    <w:rsid w:val="008E121A"/>
    <w:rsid w:val="008E1248"/>
    <w:rsid w:val="008E1268"/>
    <w:rsid w:val="008E142E"/>
    <w:rsid w:val="008E1441"/>
    <w:rsid w:val="008E1449"/>
    <w:rsid w:val="008E1453"/>
    <w:rsid w:val="008E1466"/>
    <w:rsid w:val="008E1472"/>
    <w:rsid w:val="008E1474"/>
    <w:rsid w:val="008E14D7"/>
    <w:rsid w:val="008E1527"/>
    <w:rsid w:val="008E1551"/>
    <w:rsid w:val="008E15A2"/>
    <w:rsid w:val="008E15B7"/>
    <w:rsid w:val="008E16E8"/>
    <w:rsid w:val="008E1743"/>
    <w:rsid w:val="008E175E"/>
    <w:rsid w:val="008E1781"/>
    <w:rsid w:val="008E17B5"/>
    <w:rsid w:val="008E17B6"/>
    <w:rsid w:val="008E1834"/>
    <w:rsid w:val="008E1883"/>
    <w:rsid w:val="008E18C1"/>
    <w:rsid w:val="008E18D1"/>
    <w:rsid w:val="008E198D"/>
    <w:rsid w:val="008E19DB"/>
    <w:rsid w:val="008E19EC"/>
    <w:rsid w:val="008E1A09"/>
    <w:rsid w:val="008E1AB8"/>
    <w:rsid w:val="008E1B00"/>
    <w:rsid w:val="008E1B10"/>
    <w:rsid w:val="008E1B17"/>
    <w:rsid w:val="008E1BB7"/>
    <w:rsid w:val="008E1DBB"/>
    <w:rsid w:val="008E1DE4"/>
    <w:rsid w:val="008E1DF4"/>
    <w:rsid w:val="008E1E47"/>
    <w:rsid w:val="008E1E5C"/>
    <w:rsid w:val="008E1E5E"/>
    <w:rsid w:val="008E1F06"/>
    <w:rsid w:val="008E1F09"/>
    <w:rsid w:val="008E1F4E"/>
    <w:rsid w:val="008E1F59"/>
    <w:rsid w:val="008E1FCE"/>
    <w:rsid w:val="008E1FDB"/>
    <w:rsid w:val="008E2005"/>
    <w:rsid w:val="008E20D3"/>
    <w:rsid w:val="008E2129"/>
    <w:rsid w:val="008E2167"/>
    <w:rsid w:val="008E21D7"/>
    <w:rsid w:val="008E21F6"/>
    <w:rsid w:val="008E236F"/>
    <w:rsid w:val="008E23AC"/>
    <w:rsid w:val="008E243F"/>
    <w:rsid w:val="008E2472"/>
    <w:rsid w:val="008E2477"/>
    <w:rsid w:val="008E251B"/>
    <w:rsid w:val="008E25D1"/>
    <w:rsid w:val="008E25E2"/>
    <w:rsid w:val="008E262E"/>
    <w:rsid w:val="008E263D"/>
    <w:rsid w:val="008E2653"/>
    <w:rsid w:val="008E2674"/>
    <w:rsid w:val="008E26A9"/>
    <w:rsid w:val="008E283C"/>
    <w:rsid w:val="008E2848"/>
    <w:rsid w:val="008E289F"/>
    <w:rsid w:val="008E295C"/>
    <w:rsid w:val="008E29E1"/>
    <w:rsid w:val="008E2A20"/>
    <w:rsid w:val="008E2B31"/>
    <w:rsid w:val="008E2BEC"/>
    <w:rsid w:val="008E2CBF"/>
    <w:rsid w:val="008E2CFB"/>
    <w:rsid w:val="008E2D10"/>
    <w:rsid w:val="008E2D88"/>
    <w:rsid w:val="008E2D95"/>
    <w:rsid w:val="008E2E71"/>
    <w:rsid w:val="008E2EFF"/>
    <w:rsid w:val="008E2F41"/>
    <w:rsid w:val="008E2FA4"/>
    <w:rsid w:val="008E2FB6"/>
    <w:rsid w:val="008E2FBA"/>
    <w:rsid w:val="008E30C8"/>
    <w:rsid w:val="008E30FE"/>
    <w:rsid w:val="008E310D"/>
    <w:rsid w:val="008E312F"/>
    <w:rsid w:val="008E31C9"/>
    <w:rsid w:val="008E3238"/>
    <w:rsid w:val="008E3241"/>
    <w:rsid w:val="008E32B5"/>
    <w:rsid w:val="008E32E8"/>
    <w:rsid w:val="008E3301"/>
    <w:rsid w:val="008E339E"/>
    <w:rsid w:val="008E3439"/>
    <w:rsid w:val="008E34A5"/>
    <w:rsid w:val="008E359C"/>
    <w:rsid w:val="008E35A4"/>
    <w:rsid w:val="008E368C"/>
    <w:rsid w:val="008E36AE"/>
    <w:rsid w:val="008E3706"/>
    <w:rsid w:val="008E370B"/>
    <w:rsid w:val="008E370E"/>
    <w:rsid w:val="008E3731"/>
    <w:rsid w:val="008E37BE"/>
    <w:rsid w:val="008E3810"/>
    <w:rsid w:val="008E3847"/>
    <w:rsid w:val="008E387B"/>
    <w:rsid w:val="008E38A9"/>
    <w:rsid w:val="008E38B4"/>
    <w:rsid w:val="008E396D"/>
    <w:rsid w:val="008E3A2C"/>
    <w:rsid w:val="008E3A5A"/>
    <w:rsid w:val="008E3A5D"/>
    <w:rsid w:val="008E3AE6"/>
    <w:rsid w:val="008E3B08"/>
    <w:rsid w:val="008E3C92"/>
    <w:rsid w:val="008E3C9A"/>
    <w:rsid w:val="008E3CC8"/>
    <w:rsid w:val="008E3D28"/>
    <w:rsid w:val="008E3EFE"/>
    <w:rsid w:val="008E3F6F"/>
    <w:rsid w:val="008E3FB1"/>
    <w:rsid w:val="008E3FBC"/>
    <w:rsid w:val="008E3FE3"/>
    <w:rsid w:val="008E4064"/>
    <w:rsid w:val="008E407A"/>
    <w:rsid w:val="008E41BB"/>
    <w:rsid w:val="008E42C0"/>
    <w:rsid w:val="008E42F5"/>
    <w:rsid w:val="008E4364"/>
    <w:rsid w:val="008E4387"/>
    <w:rsid w:val="008E4476"/>
    <w:rsid w:val="008E44C3"/>
    <w:rsid w:val="008E454E"/>
    <w:rsid w:val="008E4593"/>
    <w:rsid w:val="008E459A"/>
    <w:rsid w:val="008E45EF"/>
    <w:rsid w:val="008E460B"/>
    <w:rsid w:val="008E461B"/>
    <w:rsid w:val="008E46A6"/>
    <w:rsid w:val="008E46DA"/>
    <w:rsid w:val="008E477D"/>
    <w:rsid w:val="008E47B9"/>
    <w:rsid w:val="008E482E"/>
    <w:rsid w:val="008E485C"/>
    <w:rsid w:val="008E48BE"/>
    <w:rsid w:val="008E4950"/>
    <w:rsid w:val="008E4B58"/>
    <w:rsid w:val="008E4B82"/>
    <w:rsid w:val="008E4B8D"/>
    <w:rsid w:val="008E4C09"/>
    <w:rsid w:val="008E4C6A"/>
    <w:rsid w:val="008E4D74"/>
    <w:rsid w:val="008E4DBF"/>
    <w:rsid w:val="008E4E0F"/>
    <w:rsid w:val="008E4E30"/>
    <w:rsid w:val="008E4E3D"/>
    <w:rsid w:val="008E4EF3"/>
    <w:rsid w:val="008E4F72"/>
    <w:rsid w:val="008E4F83"/>
    <w:rsid w:val="008E4FD1"/>
    <w:rsid w:val="008E4FD2"/>
    <w:rsid w:val="008E4FFF"/>
    <w:rsid w:val="008E5001"/>
    <w:rsid w:val="008E50C4"/>
    <w:rsid w:val="008E51A2"/>
    <w:rsid w:val="008E51CA"/>
    <w:rsid w:val="008E51F9"/>
    <w:rsid w:val="008E51FB"/>
    <w:rsid w:val="008E5202"/>
    <w:rsid w:val="008E5246"/>
    <w:rsid w:val="008E5351"/>
    <w:rsid w:val="008E5399"/>
    <w:rsid w:val="008E54AA"/>
    <w:rsid w:val="008E54E7"/>
    <w:rsid w:val="008E55D0"/>
    <w:rsid w:val="008E561E"/>
    <w:rsid w:val="008E5658"/>
    <w:rsid w:val="008E5688"/>
    <w:rsid w:val="008E568B"/>
    <w:rsid w:val="008E56D9"/>
    <w:rsid w:val="008E5710"/>
    <w:rsid w:val="008E5742"/>
    <w:rsid w:val="008E578F"/>
    <w:rsid w:val="008E584F"/>
    <w:rsid w:val="008E58D5"/>
    <w:rsid w:val="008E594B"/>
    <w:rsid w:val="008E596B"/>
    <w:rsid w:val="008E5984"/>
    <w:rsid w:val="008E5A9E"/>
    <w:rsid w:val="008E5AAC"/>
    <w:rsid w:val="008E5B22"/>
    <w:rsid w:val="008E5BA0"/>
    <w:rsid w:val="008E5BD3"/>
    <w:rsid w:val="008E5BDE"/>
    <w:rsid w:val="008E5CA1"/>
    <w:rsid w:val="008E5CD3"/>
    <w:rsid w:val="008E5CF0"/>
    <w:rsid w:val="008E5CFE"/>
    <w:rsid w:val="008E5D42"/>
    <w:rsid w:val="008E5E36"/>
    <w:rsid w:val="008E5E3A"/>
    <w:rsid w:val="008E5E45"/>
    <w:rsid w:val="008E5E5C"/>
    <w:rsid w:val="008E5EE7"/>
    <w:rsid w:val="008E5F4B"/>
    <w:rsid w:val="008E607E"/>
    <w:rsid w:val="008E60C0"/>
    <w:rsid w:val="008E60DB"/>
    <w:rsid w:val="008E61CA"/>
    <w:rsid w:val="008E623B"/>
    <w:rsid w:val="008E6276"/>
    <w:rsid w:val="008E62DB"/>
    <w:rsid w:val="008E6349"/>
    <w:rsid w:val="008E6462"/>
    <w:rsid w:val="008E64B3"/>
    <w:rsid w:val="008E6504"/>
    <w:rsid w:val="008E652A"/>
    <w:rsid w:val="008E6581"/>
    <w:rsid w:val="008E65C5"/>
    <w:rsid w:val="008E661C"/>
    <w:rsid w:val="008E66AA"/>
    <w:rsid w:val="008E6762"/>
    <w:rsid w:val="008E67D8"/>
    <w:rsid w:val="008E684D"/>
    <w:rsid w:val="008E685F"/>
    <w:rsid w:val="008E686E"/>
    <w:rsid w:val="008E68CB"/>
    <w:rsid w:val="008E68F2"/>
    <w:rsid w:val="008E6926"/>
    <w:rsid w:val="008E6934"/>
    <w:rsid w:val="008E6990"/>
    <w:rsid w:val="008E6A06"/>
    <w:rsid w:val="008E6ACF"/>
    <w:rsid w:val="008E6B02"/>
    <w:rsid w:val="008E6BE4"/>
    <w:rsid w:val="008E6C2F"/>
    <w:rsid w:val="008E6C43"/>
    <w:rsid w:val="008E6C5A"/>
    <w:rsid w:val="008E6C8C"/>
    <w:rsid w:val="008E6CD6"/>
    <w:rsid w:val="008E6D68"/>
    <w:rsid w:val="008E6DFC"/>
    <w:rsid w:val="008E6E00"/>
    <w:rsid w:val="008E6E38"/>
    <w:rsid w:val="008E6E3F"/>
    <w:rsid w:val="008E6F84"/>
    <w:rsid w:val="008E7031"/>
    <w:rsid w:val="008E7067"/>
    <w:rsid w:val="008E7071"/>
    <w:rsid w:val="008E7255"/>
    <w:rsid w:val="008E72B7"/>
    <w:rsid w:val="008E72EE"/>
    <w:rsid w:val="008E732A"/>
    <w:rsid w:val="008E7337"/>
    <w:rsid w:val="008E7393"/>
    <w:rsid w:val="008E739E"/>
    <w:rsid w:val="008E7406"/>
    <w:rsid w:val="008E7457"/>
    <w:rsid w:val="008E7464"/>
    <w:rsid w:val="008E7481"/>
    <w:rsid w:val="008E74AC"/>
    <w:rsid w:val="008E74FE"/>
    <w:rsid w:val="008E7510"/>
    <w:rsid w:val="008E7589"/>
    <w:rsid w:val="008E75A7"/>
    <w:rsid w:val="008E766D"/>
    <w:rsid w:val="008E76EC"/>
    <w:rsid w:val="008E772D"/>
    <w:rsid w:val="008E776A"/>
    <w:rsid w:val="008E77BA"/>
    <w:rsid w:val="008E77D9"/>
    <w:rsid w:val="008E78DE"/>
    <w:rsid w:val="008E78FB"/>
    <w:rsid w:val="008E79A6"/>
    <w:rsid w:val="008E7A80"/>
    <w:rsid w:val="008E7AAC"/>
    <w:rsid w:val="008E7AD7"/>
    <w:rsid w:val="008E7AFC"/>
    <w:rsid w:val="008E7BCF"/>
    <w:rsid w:val="008E7C0C"/>
    <w:rsid w:val="008E7CB0"/>
    <w:rsid w:val="008E7D08"/>
    <w:rsid w:val="008E7D1F"/>
    <w:rsid w:val="008E7D51"/>
    <w:rsid w:val="008E7DE7"/>
    <w:rsid w:val="008E7E21"/>
    <w:rsid w:val="008E7E66"/>
    <w:rsid w:val="008E7F7E"/>
    <w:rsid w:val="008E7FD4"/>
    <w:rsid w:val="008E7FF2"/>
    <w:rsid w:val="008F018D"/>
    <w:rsid w:val="008F01CA"/>
    <w:rsid w:val="008F0203"/>
    <w:rsid w:val="008F029F"/>
    <w:rsid w:val="008F02AE"/>
    <w:rsid w:val="008F02BF"/>
    <w:rsid w:val="008F02C5"/>
    <w:rsid w:val="008F0301"/>
    <w:rsid w:val="008F030F"/>
    <w:rsid w:val="008F0354"/>
    <w:rsid w:val="008F03F5"/>
    <w:rsid w:val="008F0402"/>
    <w:rsid w:val="008F04C3"/>
    <w:rsid w:val="008F04F2"/>
    <w:rsid w:val="008F05E1"/>
    <w:rsid w:val="008F064B"/>
    <w:rsid w:val="008F068E"/>
    <w:rsid w:val="008F06AE"/>
    <w:rsid w:val="008F06E6"/>
    <w:rsid w:val="008F06E8"/>
    <w:rsid w:val="008F0751"/>
    <w:rsid w:val="008F07EC"/>
    <w:rsid w:val="008F08C5"/>
    <w:rsid w:val="008F08D4"/>
    <w:rsid w:val="008F08D9"/>
    <w:rsid w:val="008F0917"/>
    <w:rsid w:val="008F091A"/>
    <w:rsid w:val="008F0969"/>
    <w:rsid w:val="008F09CB"/>
    <w:rsid w:val="008F0A5C"/>
    <w:rsid w:val="008F0A60"/>
    <w:rsid w:val="008F0AD2"/>
    <w:rsid w:val="008F0B48"/>
    <w:rsid w:val="008F0CCD"/>
    <w:rsid w:val="008F0CE0"/>
    <w:rsid w:val="008F0D89"/>
    <w:rsid w:val="008F0DCE"/>
    <w:rsid w:val="008F0E3F"/>
    <w:rsid w:val="008F0ECC"/>
    <w:rsid w:val="008F0ED5"/>
    <w:rsid w:val="008F0F1F"/>
    <w:rsid w:val="008F0F85"/>
    <w:rsid w:val="008F0F9C"/>
    <w:rsid w:val="008F1059"/>
    <w:rsid w:val="008F11AA"/>
    <w:rsid w:val="008F11BD"/>
    <w:rsid w:val="008F1249"/>
    <w:rsid w:val="008F124A"/>
    <w:rsid w:val="008F1259"/>
    <w:rsid w:val="008F1267"/>
    <w:rsid w:val="008F12A4"/>
    <w:rsid w:val="008F12ED"/>
    <w:rsid w:val="008F13DD"/>
    <w:rsid w:val="008F1408"/>
    <w:rsid w:val="008F1465"/>
    <w:rsid w:val="008F1473"/>
    <w:rsid w:val="008F1477"/>
    <w:rsid w:val="008F158E"/>
    <w:rsid w:val="008F15E0"/>
    <w:rsid w:val="008F1631"/>
    <w:rsid w:val="008F16FA"/>
    <w:rsid w:val="008F1746"/>
    <w:rsid w:val="008F174B"/>
    <w:rsid w:val="008F178E"/>
    <w:rsid w:val="008F17B6"/>
    <w:rsid w:val="008F17B9"/>
    <w:rsid w:val="008F188B"/>
    <w:rsid w:val="008F18D6"/>
    <w:rsid w:val="008F1908"/>
    <w:rsid w:val="008F19DD"/>
    <w:rsid w:val="008F1A3C"/>
    <w:rsid w:val="008F1A5D"/>
    <w:rsid w:val="008F1A68"/>
    <w:rsid w:val="008F1AE0"/>
    <w:rsid w:val="008F1AF0"/>
    <w:rsid w:val="008F1BD6"/>
    <w:rsid w:val="008F1C5B"/>
    <w:rsid w:val="008F1CC7"/>
    <w:rsid w:val="008F1CE8"/>
    <w:rsid w:val="008F1D4A"/>
    <w:rsid w:val="008F1D92"/>
    <w:rsid w:val="008F1DF8"/>
    <w:rsid w:val="008F1E65"/>
    <w:rsid w:val="008F1F8D"/>
    <w:rsid w:val="008F2043"/>
    <w:rsid w:val="008F2069"/>
    <w:rsid w:val="008F2080"/>
    <w:rsid w:val="008F20A0"/>
    <w:rsid w:val="008F20E2"/>
    <w:rsid w:val="008F2135"/>
    <w:rsid w:val="008F214B"/>
    <w:rsid w:val="008F217B"/>
    <w:rsid w:val="008F21A9"/>
    <w:rsid w:val="008F21F2"/>
    <w:rsid w:val="008F224E"/>
    <w:rsid w:val="008F2260"/>
    <w:rsid w:val="008F2264"/>
    <w:rsid w:val="008F22AA"/>
    <w:rsid w:val="008F22B0"/>
    <w:rsid w:val="008F22D9"/>
    <w:rsid w:val="008F2400"/>
    <w:rsid w:val="008F247A"/>
    <w:rsid w:val="008F24BD"/>
    <w:rsid w:val="008F2571"/>
    <w:rsid w:val="008F2707"/>
    <w:rsid w:val="008F27FA"/>
    <w:rsid w:val="008F2849"/>
    <w:rsid w:val="008F28A3"/>
    <w:rsid w:val="008F28D1"/>
    <w:rsid w:val="008F29B0"/>
    <w:rsid w:val="008F2A1C"/>
    <w:rsid w:val="008F2AD9"/>
    <w:rsid w:val="008F2B0C"/>
    <w:rsid w:val="008F2B9D"/>
    <w:rsid w:val="008F2BF1"/>
    <w:rsid w:val="008F2C20"/>
    <w:rsid w:val="008F2C54"/>
    <w:rsid w:val="008F2C60"/>
    <w:rsid w:val="008F2C7C"/>
    <w:rsid w:val="008F2D1F"/>
    <w:rsid w:val="008F2D8B"/>
    <w:rsid w:val="008F2DB1"/>
    <w:rsid w:val="008F2E93"/>
    <w:rsid w:val="008F2EA9"/>
    <w:rsid w:val="008F2EDC"/>
    <w:rsid w:val="008F2F43"/>
    <w:rsid w:val="008F2FC5"/>
    <w:rsid w:val="008F2FCA"/>
    <w:rsid w:val="008F3139"/>
    <w:rsid w:val="008F316C"/>
    <w:rsid w:val="008F31A8"/>
    <w:rsid w:val="008F31CB"/>
    <w:rsid w:val="008F31DF"/>
    <w:rsid w:val="008F31E7"/>
    <w:rsid w:val="008F3236"/>
    <w:rsid w:val="008F3328"/>
    <w:rsid w:val="008F33BC"/>
    <w:rsid w:val="008F33DE"/>
    <w:rsid w:val="008F3557"/>
    <w:rsid w:val="008F35A7"/>
    <w:rsid w:val="008F35AC"/>
    <w:rsid w:val="008F3602"/>
    <w:rsid w:val="008F3671"/>
    <w:rsid w:val="008F36F9"/>
    <w:rsid w:val="008F371D"/>
    <w:rsid w:val="008F3725"/>
    <w:rsid w:val="008F3771"/>
    <w:rsid w:val="008F3782"/>
    <w:rsid w:val="008F387B"/>
    <w:rsid w:val="008F392D"/>
    <w:rsid w:val="008F3972"/>
    <w:rsid w:val="008F39BA"/>
    <w:rsid w:val="008F39DF"/>
    <w:rsid w:val="008F3A04"/>
    <w:rsid w:val="008F3A2F"/>
    <w:rsid w:val="008F3A8B"/>
    <w:rsid w:val="008F3BB8"/>
    <w:rsid w:val="008F3BFE"/>
    <w:rsid w:val="008F3C62"/>
    <w:rsid w:val="008F3C82"/>
    <w:rsid w:val="008F3CF2"/>
    <w:rsid w:val="008F3D29"/>
    <w:rsid w:val="008F3EA6"/>
    <w:rsid w:val="008F3EFF"/>
    <w:rsid w:val="008F3F02"/>
    <w:rsid w:val="008F3FEB"/>
    <w:rsid w:val="008F4027"/>
    <w:rsid w:val="008F4073"/>
    <w:rsid w:val="008F4080"/>
    <w:rsid w:val="008F4154"/>
    <w:rsid w:val="008F4185"/>
    <w:rsid w:val="008F4293"/>
    <w:rsid w:val="008F429C"/>
    <w:rsid w:val="008F42E3"/>
    <w:rsid w:val="008F4326"/>
    <w:rsid w:val="008F43CF"/>
    <w:rsid w:val="008F43E2"/>
    <w:rsid w:val="008F43F3"/>
    <w:rsid w:val="008F44A3"/>
    <w:rsid w:val="008F44BD"/>
    <w:rsid w:val="008F45BA"/>
    <w:rsid w:val="008F47A1"/>
    <w:rsid w:val="008F47E5"/>
    <w:rsid w:val="008F47FA"/>
    <w:rsid w:val="008F4812"/>
    <w:rsid w:val="008F486D"/>
    <w:rsid w:val="008F4A23"/>
    <w:rsid w:val="008F4A7F"/>
    <w:rsid w:val="008F4B60"/>
    <w:rsid w:val="008F4DE2"/>
    <w:rsid w:val="008F4E39"/>
    <w:rsid w:val="008F4E44"/>
    <w:rsid w:val="008F4E81"/>
    <w:rsid w:val="008F4EEE"/>
    <w:rsid w:val="008F4F35"/>
    <w:rsid w:val="008F4F5B"/>
    <w:rsid w:val="008F4F76"/>
    <w:rsid w:val="008F4F96"/>
    <w:rsid w:val="008F4FD1"/>
    <w:rsid w:val="008F5049"/>
    <w:rsid w:val="008F50CF"/>
    <w:rsid w:val="008F50DE"/>
    <w:rsid w:val="008F517B"/>
    <w:rsid w:val="008F522D"/>
    <w:rsid w:val="008F5273"/>
    <w:rsid w:val="008F52A7"/>
    <w:rsid w:val="008F5349"/>
    <w:rsid w:val="008F53C7"/>
    <w:rsid w:val="008F53DD"/>
    <w:rsid w:val="008F5450"/>
    <w:rsid w:val="008F5477"/>
    <w:rsid w:val="008F54CB"/>
    <w:rsid w:val="008F54E4"/>
    <w:rsid w:val="008F5605"/>
    <w:rsid w:val="008F5607"/>
    <w:rsid w:val="008F5646"/>
    <w:rsid w:val="008F5672"/>
    <w:rsid w:val="008F5687"/>
    <w:rsid w:val="008F569E"/>
    <w:rsid w:val="008F5722"/>
    <w:rsid w:val="008F57C8"/>
    <w:rsid w:val="008F5836"/>
    <w:rsid w:val="008F588C"/>
    <w:rsid w:val="008F5995"/>
    <w:rsid w:val="008F59E4"/>
    <w:rsid w:val="008F5A3C"/>
    <w:rsid w:val="008F5A45"/>
    <w:rsid w:val="008F5ABC"/>
    <w:rsid w:val="008F5AE1"/>
    <w:rsid w:val="008F5B68"/>
    <w:rsid w:val="008F5C12"/>
    <w:rsid w:val="008F5C88"/>
    <w:rsid w:val="008F5C9B"/>
    <w:rsid w:val="008F5CF3"/>
    <w:rsid w:val="008F5CF7"/>
    <w:rsid w:val="008F5D30"/>
    <w:rsid w:val="008F5D6A"/>
    <w:rsid w:val="008F5D87"/>
    <w:rsid w:val="008F5E22"/>
    <w:rsid w:val="008F5E35"/>
    <w:rsid w:val="008F5E84"/>
    <w:rsid w:val="008F5F86"/>
    <w:rsid w:val="008F5FBC"/>
    <w:rsid w:val="008F6029"/>
    <w:rsid w:val="008F61B1"/>
    <w:rsid w:val="008F621F"/>
    <w:rsid w:val="008F626B"/>
    <w:rsid w:val="008F6298"/>
    <w:rsid w:val="008F62A3"/>
    <w:rsid w:val="008F62D6"/>
    <w:rsid w:val="008F62DF"/>
    <w:rsid w:val="008F62E3"/>
    <w:rsid w:val="008F6312"/>
    <w:rsid w:val="008F6367"/>
    <w:rsid w:val="008F64BD"/>
    <w:rsid w:val="008F64CA"/>
    <w:rsid w:val="008F64D1"/>
    <w:rsid w:val="008F64D2"/>
    <w:rsid w:val="008F6513"/>
    <w:rsid w:val="008F657B"/>
    <w:rsid w:val="008F657D"/>
    <w:rsid w:val="008F65BD"/>
    <w:rsid w:val="008F65D1"/>
    <w:rsid w:val="008F6674"/>
    <w:rsid w:val="008F6760"/>
    <w:rsid w:val="008F6788"/>
    <w:rsid w:val="008F679B"/>
    <w:rsid w:val="008F67C2"/>
    <w:rsid w:val="008F67EE"/>
    <w:rsid w:val="008F6805"/>
    <w:rsid w:val="008F680B"/>
    <w:rsid w:val="008F6881"/>
    <w:rsid w:val="008F6918"/>
    <w:rsid w:val="008F6946"/>
    <w:rsid w:val="008F695C"/>
    <w:rsid w:val="008F698B"/>
    <w:rsid w:val="008F69B9"/>
    <w:rsid w:val="008F6A2F"/>
    <w:rsid w:val="008F6AF4"/>
    <w:rsid w:val="008F6AFA"/>
    <w:rsid w:val="008F6B08"/>
    <w:rsid w:val="008F6B26"/>
    <w:rsid w:val="008F6B6B"/>
    <w:rsid w:val="008F6C21"/>
    <w:rsid w:val="008F6C91"/>
    <w:rsid w:val="008F6CA0"/>
    <w:rsid w:val="008F6CEF"/>
    <w:rsid w:val="008F6CFC"/>
    <w:rsid w:val="008F6D15"/>
    <w:rsid w:val="008F6D23"/>
    <w:rsid w:val="008F6D3F"/>
    <w:rsid w:val="008F6E31"/>
    <w:rsid w:val="008F6EBB"/>
    <w:rsid w:val="008F6EBD"/>
    <w:rsid w:val="008F6ECC"/>
    <w:rsid w:val="008F6EE9"/>
    <w:rsid w:val="008F6F06"/>
    <w:rsid w:val="008F6F0C"/>
    <w:rsid w:val="008F6F66"/>
    <w:rsid w:val="008F6F87"/>
    <w:rsid w:val="008F6FBE"/>
    <w:rsid w:val="008F709A"/>
    <w:rsid w:val="008F7133"/>
    <w:rsid w:val="008F71AD"/>
    <w:rsid w:val="008F7252"/>
    <w:rsid w:val="008F72C5"/>
    <w:rsid w:val="008F72DA"/>
    <w:rsid w:val="008F7319"/>
    <w:rsid w:val="008F738F"/>
    <w:rsid w:val="008F73AF"/>
    <w:rsid w:val="008F7405"/>
    <w:rsid w:val="008F75F0"/>
    <w:rsid w:val="008F761B"/>
    <w:rsid w:val="008F77B8"/>
    <w:rsid w:val="008F77BC"/>
    <w:rsid w:val="008F77E2"/>
    <w:rsid w:val="008F7800"/>
    <w:rsid w:val="008F7810"/>
    <w:rsid w:val="008F78B1"/>
    <w:rsid w:val="008F78EC"/>
    <w:rsid w:val="008F7927"/>
    <w:rsid w:val="008F7A64"/>
    <w:rsid w:val="008F7AA7"/>
    <w:rsid w:val="008F7B6F"/>
    <w:rsid w:val="008F7C14"/>
    <w:rsid w:val="008F7C70"/>
    <w:rsid w:val="008F7C71"/>
    <w:rsid w:val="008F7CCC"/>
    <w:rsid w:val="008F7CE4"/>
    <w:rsid w:val="008F7D9E"/>
    <w:rsid w:val="008F7DAC"/>
    <w:rsid w:val="008F7DDD"/>
    <w:rsid w:val="008F7DE5"/>
    <w:rsid w:val="008F7EBB"/>
    <w:rsid w:val="008F7EC9"/>
    <w:rsid w:val="008F7F4F"/>
    <w:rsid w:val="008F7F5C"/>
    <w:rsid w:val="00900073"/>
    <w:rsid w:val="009000C9"/>
    <w:rsid w:val="0090016C"/>
    <w:rsid w:val="0090019A"/>
    <w:rsid w:val="0090024B"/>
    <w:rsid w:val="00900325"/>
    <w:rsid w:val="0090037A"/>
    <w:rsid w:val="009003ED"/>
    <w:rsid w:val="009003EF"/>
    <w:rsid w:val="009004BE"/>
    <w:rsid w:val="00900564"/>
    <w:rsid w:val="009005BE"/>
    <w:rsid w:val="009005C5"/>
    <w:rsid w:val="0090060C"/>
    <w:rsid w:val="0090061F"/>
    <w:rsid w:val="009006F3"/>
    <w:rsid w:val="0090074A"/>
    <w:rsid w:val="00900758"/>
    <w:rsid w:val="00900762"/>
    <w:rsid w:val="00900870"/>
    <w:rsid w:val="009008CB"/>
    <w:rsid w:val="00900957"/>
    <w:rsid w:val="00900A04"/>
    <w:rsid w:val="00900AEE"/>
    <w:rsid w:val="00900BA3"/>
    <w:rsid w:val="00900BC0"/>
    <w:rsid w:val="00900BEC"/>
    <w:rsid w:val="00900C00"/>
    <w:rsid w:val="00900C35"/>
    <w:rsid w:val="00900C40"/>
    <w:rsid w:val="00900C7B"/>
    <w:rsid w:val="00900CA3"/>
    <w:rsid w:val="00900CB2"/>
    <w:rsid w:val="00900CBE"/>
    <w:rsid w:val="00900D0F"/>
    <w:rsid w:val="00900D98"/>
    <w:rsid w:val="00900DFD"/>
    <w:rsid w:val="00900EC5"/>
    <w:rsid w:val="00900ED7"/>
    <w:rsid w:val="00900F85"/>
    <w:rsid w:val="00900F86"/>
    <w:rsid w:val="00900FA0"/>
    <w:rsid w:val="00900FB7"/>
    <w:rsid w:val="00900FB9"/>
    <w:rsid w:val="0090104B"/>
    <w:rsid w:val="00901053"/>
    <w:rsid w:val="009010F9"/>
    <w:rsid w:val="0090110A"/>
    <w:rsid w:val="0090115F"/>
    <w:rsid w:val="00901188"/>
    <w:rsid w:val="0090121D"/>
    <w:rsid w:val="00901239"/>
    <w:rsid w:val="00901271"/>
    <w:rsid w:val="009012F6"/>
    <w:rsid w:val="0090137F"/>
    <w:rsid w:val="00901388"/>
    <w:rsid w:val="00901486"/>
    <w:rsid w:val="009014DF"/>
    <w:rsid w:val="00901568"/>
    <w:rsid w:val="00901626"/>
    <w:rsid w:val="009016A8"/>
    <w:rsid w:val="009016DE"/>
    <w:rsid w:val="009017C6"/>
    <w:rsid w:val="009017FB"/>
    <w:rsid w:val="009018A9"/>
    <w:rsid w:val="0090193A"/>
    <w:rsid w:val="00901B00"/>
    <w:rsid w:val="00901C13"/>
    <w:rsid w:val="00901C34"/>
    <w:rsid w:val="00901CD4"/>
    <w:rsid w:val="00901CF8"/>
    <w:rsid w:val="00901D11"/>
    <w:rsid w:val="00901D31"/>
    <w:rsid w:val="00901D6D"/>
    <w:rsid w:val="00901D87"/>
    <w:rsid w:val="00901D8E"/>
    <w:rsid w:val="00901DB1"/>
    <w:rsid w:val="00901DC0"/>
    <w:rsid w:val="00901DD8"/>
    <w:rsid w:val="00901DE5"/>
    <w:rsid w:val="00901E64"/>
    <w:rsid w:val="00901EA1"/>
    <w:rsid w:val="00901F6A"/>
    <w:rsid w:val="00901FE4"/>
    <w:rsid w:val="0090200D"/>
    <w:rsid w:val="00902062"/>
    <w:rsid w:val="00902150"/>
    <w:rsid w:val="00902167"/>
    <w:rsid w:val="009021FC"/>
    <w:rsid w:val="009021FE"/>
    <w:rsid w:val="00902263"/>
    <w:rsid w:val="00902278"/>
    <w:rsid w:val="0090234F"/>
    <w:rsid w:val="0090235A"/>
    <w:rsid w:val="0090235D"/>
    <w:rsid w:val="00902368"/>
    <w:rsid w:val="00902442"/>
    <w:rsid w:val="00902445"/>
    <w:rsid w:val="0090244A"/>
    <w:rsid w:val="00902461"/>
    <w:rsid w:val="0090251C"/>
    <w:rsid w:val="00902545"/>
    <w:rsid w:val="009025F2"/>
    <w:rsid w:val="00902618"/>
    <w:rsid w:val="0090266F"/>
    <w:rsid w:val="009026EC"/>
    <w:rsid w:val="00902769"/>
    <w:rsid w:val="00902890"/>
    <w:rsid w:val="009028B5"/>
    <w:rsid w:val="009028D2"/>
    <w:rsid w:val="00902950"/>
    <w:rsid w:val="00902986"/>
    <w:rsid w:val="009029B5"/>
    <w:rsid w:val="009029C5"/>
    <w:rsid w:val="009029D6"/>
    <w:rsid w:val="00902A14"/>
    <w:rsid w:val="00902A73"/>
    <w:rsid w:val="00902A96"/>
    <w:rsid w:val="00902B1D"/>
    <w:rsid w:val="00902B60"/>
    <w:rsid w:val="00902BD2"/>
    <w:rsid w:val="00902C31"/>
    <w:rsid w:val="00902DAB"/>
    <w:rsid w:val="00902DCA"/>
    <w:rsid w:val="00902DE1"/>
    <w:rsid w:val="00902E39"/>
    <w:rsid w:val="00902E81"/>
    <w:rsid w:val="00902E8A"/>
    <w:rsid w:val="00902F55"/>
    <w:rsid w:val="00902F6B"/>
    <w:rsid w:val="00902FD3"/>
    <w:rsid w:val="00902FE6"/>
    <w:rsid w:val="00902FED"/>
    <w:rsid w:val="00903052"/>
    <w:rsid w:val="00903175"/>
    <w:rsid w:val="00903193"/>
    <w:rsid w:val="009031EC"/>
    <w:rsid w:val="009031F0"/>
    <w:rsid w:val="00903291"/>
    <w:rsid w:val="009032BA"/>
    <w:rsid w:val="009033D0"/>
    <w:rsid w:val="009033EB"/>
    <w:rsid w:val="00903412"/>
    <w:rsid w:val="009034B2"/>
    <w:rsid w:val="009034D8"/>
    <w:rsid w:val="0090353A"/>
    <w:rsid w:val="00903573"/>
    <w:rsid w:val="009035A4"/>
    <w:rsid w:val="009035A8"/>
    <w:rsid w:val="009035CC"/>
    <w:rsid w:val="00903672"/>
    <w:rsid w:val="009036A3"/>
    <w:rsid w:val="00903706"/>
    <w:rsid w:val="00903723"/>
    <w:rsid w:val="0090373B"/>
    <w:rsid w:val="00903772"/>
    <w:rsid w:val="00903776"/>
    <w:rsid w:val="009037B4"/>
    <w:rsid w:val="009037C5"/>
    <w:rsid w:val="00903890"/>
    <w:rsid w:val="009039DA"/>
    <w:rsid w:val="009039E3"/>
    <w:rsid w:val="009039FF"/>
    <w:rsid w:val="00903A16"/>
    <w:rsid w:val="00903A43"/>
    <w:rsid w:val="00903A79"/>
    <w:rsid w:val="00903B2B"/>
    <w:rsid w:val="00903B38"/>
    <w:rsid w:val="00903B3E"/>
    <w:rsid w:val="00903B72"/>
    <w:rsid w:val="00903B94"/>
    <w:rsid w:val="00903BAF"/>
    <w:rsid w:val="00903BCB"/>
    <w:rsid w:val="00903CA1"/>
    <w:rsid w:val="00903D7C"/>
    <w:rsid w:val="00903D99"/>
    <w:rsid w:val="00903E9E"/>
    <w:rsid w:val="00903F25"/>
    <w:rsid w:val="00903F59"/>
    <w:rsid w:val="00904002"/>
    <w:rsid w:val="0090404C"/>
    <w:rsid w:val="00904065"/>
    <w:rsid w:val="0090406C"/>
    <w:rsid w:val="00904081"/>
    <w:rsid w:val="009040F8"/>
    <w:rsid w:val="00904151"/>
    <w:rsid w:val="0090426B"/>
    <w:rsid w:val="00904385"/>
    <w:rsid w:val="009043D4"/>
    <w:rsid w:val="00904412"/>
    <w:rsid w:val="00904419"/>
    <w:rsid w:val="00904551"/>
    <w:rsid w:val="00904654"/>
    <w:rsid w:val="009046B7"/>
    <w:rsid w:val="0090478E"/>
    <w:rsid w:val="0090485B"/>
    <w:rsid w:val="00904861"/>
    <w:rsid w:val="0090490A"/>
    <w:rsid w:val="00904945"/>
    <w:rsid w:val="009049A5"/>
    <w:rsid w:val="00904AA7"/>
    <w:rsid w:val="00904B2C"/>
    <w:rsid w:val="00904B47"/>
    <w:rsid w:val="00904B4D"/>
    <w:rsid w:val="00904B7D"/>
    <w:rsid w:val="00904BB5"/>
    <w:rsid w:val="00904C03"/>
    <w:rsid w:val="00904C67"/>
    <w:rsid w:val="00904C99"/>
    <w:rsid w:val="00904CA1"/>
    <w:rsid w:val="00904CB6"/>
    <w:rsid w:val="00904D65"/>
    <w:rsid w:val="00904E43"/>
    <w:rsid w:val="00904E44"/>
    <w:rsid w:val="00904E50"/>
    <w:rsid w:val="00904EC5"/>
    <w:rsid w:val="00904EEB"/>
    <w:rsid w:val="00904EFC"/>
    <w:rsid w:val="00904F3E"/>
    <w:rsid w:val="00905018"/>
    <w:rsid w:val="00905110"/>
    <w:rsid w:val="00905144"/>
    <w:rsid w:val="009051BD"/>
    <w:rsid w:val="00905208"/>
    <w:rsid w:val="009052B9"/>
    <w:rsid w:val="00905301"/>
    <w:rsid w:val="00905343"/>
    <w:rsid w:val="009053A2"/>
    <w:rsid w:val="009053F7"/>
    <w:rsid w:val="00905403"/>
    <w:rsid w:val="009054C8"/>
    <w:rsid w:val="009054CB"/>
    <w:rsid w:val="0090553C"/>
    <w:rsid w:val="0090560A"/>
    <w:rsid w:val="00905698"/>
    <w:rsid w:val="009056B2"/>
    <w:rsid w:val="0090571A"/>
    <w:rsid w:val="0090579F"/>
    <w:rsid w:val="009057A1"/>
    <w:rsid w:val="009057F0"/>
    <w:rsid w:val="0090580B"/>
    <w:rsid w:val="00905866"/>
    <w:rsid w:val="0090587F"/>
    <w:rsid w:val="0090588C"/>
    <w:rsid w:val="0090595B"/>
    <w:rsid w:val="009059AC"/>
    <w:rsid w:val="009059B4"/>
    <w:rsid w:val="009059C9"/>
    <w:rsid w:val="00905A2A"/>
    <w:rsid w:val="00905A64"/>
    <w:rsid w:val="00905AB3"/>
    <w:rsid w:val="00905AC8"/>
    <w:rsid w:val="00905B09"/>
    <w:rsid w:val="00905B56"/>
    <w:rsid w:val="00905B68"/>
    <w:rsid w:val="00905C37"/>
    <w:rsid w:val="00905C45"/>
    <w:rsid w:val="00905D0F"/>
    <w:rsid w:val="00905D3F"/>
    <w:rsid w:val="00905DA1"/>
    <w:rsid w:val="00905E1F"/>
    <w:rsid w:val="00905E67"/>
    <w:rsid w:val="00905F85"/>
    <w:rsid w:val="0090606D"/>
    <w:rsid w:val="00906104"/>
    <w:rsid w:val="0090610E"/>
    <w:rsid w:val="00906147"/>
    <w:rsid w:val="0090618F"/>
    <w:rsid w:val="009061A3"/>
    <w:rsid w:val="00906209"/>
    <w:rsid w:val="0090620F"/>
    <w:rsid w:val="009062C1"/>
    <w:rsid w:val="009062D4"/>
    <w:rsid w:val="00906398"/>
    <w:rsid w:val="009063AA"/>
    <w:rsid w:val="009064AB"/>
    <w:rsid w:val="00906516"/>
    <w:rsid w:val="009065BF"/>
    <w:rsid w:val="009065C1"/>
    <w:rsid w:val="00906658"/>
    <w:rsid w:val="00906692"/>
    <w:rsid w:val="009066A1"/>
    <w:rsid w:val="009066BB"/>
    <w:rsid w:val="009066D0"/>
    <w:rsid w:val="0090673C"/>
    <w:rsid w:val="00906784"/>
    <w:rsid w:val="0090688E"/>
    <w:rsid w:val="009069A5"/>
    <w:rsid w:val="009069AC"/>
    <w:rsid w:val="00906A58"/>
    <w:rsid w:val="00906A5D"/>
    <w:rsid w:val="00906AEC"/>
    <w:rsid w:val="00906B37"/>
    <w:rsid w:val="00906B40"/>
    <w:rsid w:val="00906C0A"/>
    <w:rsid w:val="00906C19"/>
    <w:rsid w:val="00906C23"/>
    <w:rsid w:val="00906C2C"/>
    <w:rsid w:val="00906C83"/>
    <w:rsid w:val="00906D38"/>
    <w:rsid w:val="00906D73"/>
    <w:rsid w:val="00906DE1"/>
    <w:rsid w:val="00906E0E"/>
    <w:rsid w:val="00906F3D"/>
    <w:rsid w:val="00906FBC"/>
    <w:rsid w:val="00906FD9"/>
    <w:rsid w:val="00907013"/>
    <w:rsid w:val="00907031"/>
    <w:rsid w:val="00907090"/>
    <w:rsid w:val="009070AC"/>
    <w:rsid w:val="00907127"/>
    <w:rsid w:val="00907143"/>
    <w:rsid w:val="00907155"/>
    <w:rsid w:val="00907177"/>
    <w:rsid w:val="0090718B"/>
    <w:rsid w:val="009071DB"/>
    <w:rsid w:val="00907209"/>
    <w:rsid w:val="0090725C"/>
    <w:rsid w:val="0090726D"/>
    <w:rsid w:val="009072B2"/>
    <w:rsid w:val="009072B9"/>
    <w:rsid w:val="00907325"/>
    <w:rsid w:val="00907343"/>
    <w:rsid w:val="00907421"/>
    <w:rsid w:val="0090747D"/>
    <w:rsid w:val="0090747F"/>
    <w:rsid w:val="00907527"/>
    <w:rsid w:val="009075C6"/>
    <w:rsid w:val="009075D1"/>
    <w:rsid w:val="00907615"/>
    <w:rsid w:val="00907642"/>
    <w:rsid w:val="0090764C"/>
    <w:rsid w:val="0090768E"/>
    <w:rsid w:val="009076BE"/>
    <w:rsid w:val="00907772"/>
    <w:rsid w:val="00907803"/>
    <w:rsid w:val="0090788A"/>
    <w:rsid w:val="009078F4"/>
    <w:rsid w:val="0090794A"/>
    <w:rsid w:val="00907951"/>
    <w:rsid w:val="00907986"/>
    <w:rsid w:val="00907A38"/>
    <w:rsid w:val="00907A69"/>
    <w:rsid w:val="00907B09"/>
    <w:rsid w:val="00907CEB"/>
    <w:rsid w:val="00907D28"/>
    <w:rsid w:val="00907D40"/>
    <w:rsid w:val="00907DA5"/>
    <w:rsid w:val="00907DAE"/>
    <w:rsid w:val="00907DC7"/>
    <w:rsid w:val="00907E68"/>
    <w:rsid w:val="00907E98"/>
    <w:rsid w:val="00907F62"/>
    <w:rsid w:val="00907F81"/>
    <w:rsid w:val="00907F8B"/>
    <w:rsid w:val="00910112"/>
    <w:rsid w:val="009102A6"/>
    <w:rsid w:val="00910370"/>
    <w:rsid w:val="00910452"/>
    <w:rsid w:val="009105EF"/>
    <w:rsid w:val="00910644"/>
    <w:rsid w:val="00910649"/>
    <w:rsid w:val="0091070F"/>
    <w:rsid w:val="00910788"/>
    <w:rsid w:val="00910805"/>
    <w:rsid w:val="00910865"/>
    <w:rsid w:val="00910992"/>
    <w:rsid w:val="00910A61"/>
    <w:rsid w:val="00910A67"/>
    <w:rsid w:val="00910AE6"/>
    <w:rsid w:val="00910B1F"/>
    <w:rsid w:val="00910B3D"/>
    <w:rsid w:val="00910B42"/>
    <w:rsid w:val="00910BA3"/>
    <w:rsid w:val="00910BA8"/>
    <w:rsid w:val="00910BE1"/>
    <w:rsid w:val="00910BF4"/>
    <w:rsid w:val="00910C0F"/>
    <w:rsid w:val="00910C21"/>
    <w:rsid w:val="00910C24"/>
    <w:rsid w:val="00910C39"/>
    <w:rsid w:val="00910CA2"/>
    <w:rsid w:val="00910ED4"/>
    <w:rsid w:val="00910EE8"/>
    <w:rsid w:val="00910EF8"/>
    <w:rsid w:val="00910F27"/>
    <w:rsid w:val="00910F58"/>
    <w:rsid w:val="00910F7E"/>
    <w:rsid w:val="00910FD1"/>
    <w:rsid w:val="0091104D"/>
    <w:rsid w:val="009110A0"/>
    <w:rsid w:val="009110BF"/>
    <w:rsid w:val="009110D4"/>
    <w:rsid w:val="009111BA"/>
    <w:rsid w:val="009111EB"/>
    <w:rsid w:val="0091125A"/>
    <w:rsid w:val="00911380"/>
    <w:rsid w:val="009113FC"/>
    <w:rsid w:val="00911452"/>
    <w:rsid w:val="0091147D"/>
    <w:rsid w:val="009114BB"/>
    <w:rsid w:val="0091150A"/>
    <w:rsid w:val="00911545"/>
    <w:rsid w:val="00911565"/>
    <w:rsid w:val="009115F8"/>
    <w:rsid w:val="00911672"/>
    <w:rsid w:val="00911692"/>
    <w:rsid w:val="009116AA"/>
    <w:rsid w:val="009116DF"/>
    <w:rsid w:val="009116E5"/>
    <w:rsid w:val="009116ED"/>
    <w:rsid w:val="0091179A"/>
    <w:rsid w:val="009117B0"/>
    <w:rsid w:val="00911806"/>
    <w:rsid w:val="009118AD"/>
    <w:rsid w:val="00911904"/>
    <w:rsid w:val="00911912"/>
    <w:rsid w:val="0091195C"/>
    <w:rsid w:val="009119CE"/>
    <w:rsid w:val="00911A38"/>
    <w:rsid w:val="00911A9E"/>
    <w:rsid w:val="00911AF7"/>
    <w:rsid w:val="00911B16"/>
    <w:rsid w:val="00911B28"/>
    <w:rsid w:val="00911B68"/>
    <w:rsid w:val="00911B6D"/>
    <w:rsid w:val="00911BDE"/>
    <w:rsid w:val="00911CCA"/>
    <w:rsid w:val="00911D14"/>
    <w:rsid w:val="00911E4F"/>
    <w:rsid w:val="00911E96"/>
    <w:rsid w:val="00911EF2"/>
    <w:rsid w:val="00911F27"/>
    <w:rsid w:val="00911F65"/>
    <w:rsid w:val="00911FA1"/>
    <w:rsid w:val="00911FC6"/>
    <w:rsid w:val="0091209A"/>
    <w:rsid w:val="009121A4"/>
    <w:rsid w:val="0091226B"/>
    <w:rsid w:val="009122EB"/>
    <w:rsid w:val="0091233A"/>
    <w:rsid w:val="0091237F"/>
    <w:rsid w:val="0091238D"/>
    <w:rsid w:val="00912565"/>
    <w:rsid w:val="00912596"/>
    <w:rsid w:val="009125BB"/>
    <w:rsid w:val="00912604"/>
    <w:rsid w:val="00912666"/>
    <w:rsid w:val="0091266C"/>
    <w:rsid w:val="0091268C"/>
    <w:rsid w:val="00912735"/>
    <w:rsid w:val="00912835"/>
    <w:rsid w:val="00912851"/>
    <w:rsid w:val="00912875"/>
    <w:rsid w:val="0091290D"/>
    <w:rsid w:val="0091290E"/>
    <w:rsid w:val="0091294A"/>
    <w:rsid w:val="00912951"/>
    <w:rsid w:val="00912966"/>
    <w:rsid w:val="009129B1"/>
    <w:rsid w:val="009129B7"/>
    <w:rsid w:val="00912A91"/>
    <w:rsid w:val="00912BF9"/>
    <w:rsid w:val="00912C0D"/>
    <w:rsid w:val="00912C64"/>
    <w:rsid w:val="00912D0D"/>
    <w:rsid w:val="00912DAB"/>
    <w:rsid w:val="00912E12"/>
    <w:rsid w:val="00912EBB"/>
    <w:rsid w:val="00912EFC"/>
    <w:rsid w:val="00912F1F"/>
    <w:rsid w:val="00912FAE"/>
    <w:rsid w:val="00912FE2"/>
    <w:rsid w:val="00912FEC"/>
    <w:rsid w:val="009130F1"/>
    <w:rsid w:val="00913136"/>
    <w:rsid w:val="00913178"/>
    <w:rsid w:val="00913187"/>
    <w:rsid w:val="0091319B"/>
    <w:rsid w:val="00913221"/>
    <w:rsid w:val="0091334B"/>
    <w:rsid w:val="0091337F"/>
    <w:rsid w:val="0091338E"/>
    <w:rsid w:val="009133B1"/>
    <w:rsid w:val="009133C9"/>
    <w:rsid w:val="009133E6"/>
    <w:rsid w:val="00913435"/>
    <w:rsid w:val="009134EF"/>
    <w:rsid w:val="0091361C"/>
    <w:rsid w:val="00913658"/>
    <w:rsid w:val="009136A5"/>
    <w:rsid w:val="009136A7"/>
    <w:rsid w:val="009136EE"/>
    <w:rsid w:val="00913765"/>
    <w:rsid w:val="0091377C"/>
    <w:rsid w:val="009137D6"/>
    <w:rsid w:val="009138BA"/>
    <w:rsid w:val="0091390E"/>
    <w:rsid w:val="00913914"/>
    <w:rsid w:val="00913936"/>
    <w:rsid w:val="00913A44"/>
    <w:rsid w:val="00913A9C"/>
    <w:rsid w:val="00913ABD"/>
    <w:rsid w:val="00913C14"/>
    <w:rsid w:val="00913C18"/>
    <w:rsid w:val="00913C60"/>
    <w:rsid w:val="00913C9E"/>
    <w:rsid w:val="00913CBD"/>
    <w:rsid w:val="00913CC7"/>
    <w:rsid w:val="00913D2C"/>
    <w:rsid w:val="00913D6D"/>
    <w:rsid w:val="00913DE4"/>
    <w:rsid w:val="00913EDE"/>
    <w:rsid w:val="00913F3D"/>
    <w:rsid w:val="00913F6A"/>
    <w:rsid w:val="00913F90"/>
    <w:rsid w:val="00914026"/>
    <w:rsid w:val="00914033"/>
    <w:rsid w:val="009140A7"/>
    <w:rsid w:val="009140BA"/>
    <w:rsid w:val="009140C4"/>
    <w:rsid w:val="0091417F"/>
    <w:rsid w:val="0091418F"/>
    <w:rsid w:val="00914278"/>
    <w:rsid w:val="00914353"/>
    <w:rsid w:val="009143BE"/>
    <w:rsid w:val="009143E6"/>
    <w:rsid w:val="009143F6"/>
    <w:rsid w:val="009144FD"/>
    <w:rsid w:val="00914510"/>
    <w:rsid w:val="00914512"/>
    <w:rsid w:val="00914579"/>
    <w:rsid w:val="009145D3"/>
    <w:rsid w:val="0091463B"/>
    <w:rsid w:val="009147BE"/>
    <w:rsid w:val="009147C1"/>
    <w:rsid w:val="009147D7"/>
    <w:rsid w:val="00914808"/>
    <w:rsid w:val="00914832"/>
    <w:rsid w:val="0091483F"/>
    <w:rsid w:val="0091488E"/>
    <w:rsid w:val="009148FB"/>
    <w:rsid w:val="00914987"/>
    <w:rsid w:val="00914997"/>
    <w:rsid w:val="009149F1"/>
    <w:rsid w:val="00914A08"/>
    <w:rsid w:val="00914A18"/>
    <w:rsid w:val="00914AD5"/>
    <w:rsid w:val="00914B87"/>
    <w:rsid w:val="00914C8E"/>
    <w:rsid w:val="00914CD3"/>
    <w:rsid w:val="00914D3D"/>
    <w:rsid w:val="00914D79"/>
    <w:rsid w:val="00914DA0"/>
    <w:rsid w:val="00914DC3"/>
    <w:rsid w:val="00914E17"/>
    <w:rsid w:val="00914E18"/>
    <w:rsid w:val="00914E4F"/>
    <w:rsid w:val="00914E7B"/>
    <w:rsid w:val="00914E7F"/>
    <w:rsid w:val="00914E87"/>
    <w:rsid w:val="00914EC4"/>
    <w:rsid w:val="00914ED9"/>
    <w:rsid w:val="00914F5D"/>
    <w:rsid w:val="00914FDA"/>
    <w:rsid w:val="00915020"/>
    <w:rsid w:val="009150E5"/>
    <w:rsid w:val="009150F4"/>
    <w:rsid w:val="00915162"/>
    <w:rsid w:val="0091522C"/>
    <w:rsid w:val="00915326"/>
    <w:rsid w:val="00915407"/>
    <w:rsid w:val="00915417"/>
    <w:rsid w:val="0091553B"/>
    <w:rsid w:val="009155FA"/>
    <w:rsid w:val="0091567B"/>
    <w:rsid w:val="009156E6"/>
    <w:rsid w:val="00915780"/>
    <w:rsid w:val="0091585E"/>
    <w:rsid w:val="0091589D"/>
    <w:rsid w:val="009158F9"/>
    <w:rsid w:val="00915908"/>
    <w:rsid w:val="00915983"/>
    <w:rsid w:val="0091598C"/>
    <w:rsid w:val="00915993"/>
    <w:rsid w:val="009159B7"/>
    <w:rsid w:val="009159E2"/>
    <w:rsid w:val="00915ABA"/>
    <w:rsid w:val="00915ADB"/>
    <w:rsid w:val="00915BB5"/>
    <w:rsid w:val="00915C51"/>
    <w:rsid w:val="00915D37"/>
    <w:rsid w:val="00915D65"/>
    <w:rsid w:val="00915DA9"/>
    <w:rsid w:val="00915DE3"/>
    <w:rsid w:val="00915DFE"/>
    <w:rsid w:val="00915E59"/>
    <w:rsid w:val="00915F3D"/>
    <w:rsid w:val="00915F42"/>
    <w:rsid w:val="00916085"/>
    <w:rsid w:val="009160E0"/>
    <w:rsid w:val="009160EA"/>
    <w:rsid w:val="00916159"/>
    <w:rsid w:val="0091615D"/>
    <w:rsid w:val="0091617E"/>
    <w:rsid w:val="009161A8"/>
    <w:rsid w:val="00916207"/>
    <w:rsid w:val="00916233"/>
    <w:rsid w:val="009162AC"/>
    <w:rsid w:val="0091633D"/>
    <w:rsid w:val="0091634F"/>
    <w:rsid w:val="0091640F"/>
    <w:rsid w:val="00916438"/>
    <w:rsid w:val="009164CB"/>
    <w:rsid w:val="009164E3"/>
    <w:rsid w:val="009164F6"/>
    <w:rsid w:val="009164FA"/>
    <w:rsid w:val="00916513"/>
    <w:rsid w:val="009165E4"/>
    <w:rsid w:val="0091671C"/>
    <w:rsid w:val="009167CD"/>
    <w:rsid w:val="00916828"/>
    <w:rsid w:val="0091683A"/>
    <w:rsid w:val="00916A94"/>
    <w:rsid w:val="00916ABC"/>
    <w:rsid w:val="00916B13"/>
    <w:rsid w:val="00916B2F"/>
    <w:rsid w:val="00916B59"/>
    <w:rsid w:val="00916B6F"/>
    <w:rsid w:val="00916B9D"/>
    <w:rsid w:val="00916BAE"/>
    <w:rsid w:val="00916BD0"/>
    <w:rsid w:val="00916C7D"/>
    <w:rsid w:val="00916C86"/>
    <w:rsid w:val="00916D73"/>
    <w:rsid w:val="00916D90"/>
    <w:rsid w:val="00916DC2"/>
    <w:rsid w:val="00916E05"/>
    <w:rsid w:val="00916E3B"/>
    <w:rsid w:val="00916F01"/>
    <w:rsid w:val="00916F1D"/>
    <w:rsid w:val="00916F3C"/>
    <w:rsid w:val="00916F82"/>
    <w:rsid w:val="00916FB1"/>
    <w:rsid w:val="00916FC4"/>
    <w:rsid w:val="00916FC8"/>
    <w:rsid w:val="00916FD5"/>
    <w:rsid w:val="00916FE4"/>
    <w:rsid w:val="00917050"/>
    <w:rsid w:val="00917090"/>
    <w:rsid w:val="00917099"/>
    <w:rsid w:val="009170E9"/>
    <w:rsid w:val="00917181"/>
    <w:rsid w:val="00917297"/>
    <w:rsid w:val="0091732F"/>
    <w:rsid w:val="009173D9"/>
    <w:rsid w:val="009173F2"/>
    <w:rsid w:val="00917434"/>
    <w:rsid w:val="00917441"/>
    <w:rsid w:val="009174C0"/>
    <w:rsid w:val="009174CC"/>
    <w:rsid w:val="00917564"/>
    <w:rsid w:val="0091758F"/>
    <w:rsid w:val="0091765F"/>
    <w:rsid w:val="009176DA"/>
    <w:rsid w:val="00917710"/>
    <w:rsid w:val="009177C1"/>
    <w:rsid w:val="00917817"/>
    <w:rsid w:val="0091782A"/>
    <w:rsid w:val="0091782E"/>
    <w:rsid w:val="00917836"/>
    <w:rsid w:val="009178B4"/>
    <w:rsid w:val="009178E2"/>
    <w:rsid w:val="00917957"/>
    <w:rsid w:val="00917974"/>
    <w:rsid w:val="009179F1"/>
    <w:rsid w:val="009179F7"/>
    <w:rsid w:val="00917AB4"/>
    <w:rsid w:val="00917ADB"/>
    <w:rsid w:val="00917AE0"/>
    <w:rsid w:val="00917BF2"/>
    <w:rsid w:val="00917BF9"/>
    <w:rsid w:val="00917C9D"/>
    <w:rsid w:val="00917CA0"/>
    <w:rsid w:val="00917D58"/>
    <w:rsid w:val="00917DB3"/>
    <w:rsid w:val="00917E34"/>
    <w:rsid w:val="00917E76"/>
    <w:rsid w:val="00917EE9"/>
    <w:rsid w:val="00917F13"/>
    <w:rsid w:val="00917F3F"/>
    <w:rsid w:val="00917FF3"/>
    <w:rsid w:val="0092003C"/>
    <w:rsid w:val="0092007D"/>
    <w:rsid w:val="009200CA"/>
    <w:rsid w:val="009201CC"/>
    <w:rsid w:val="009201EB"/>
    <w:rsid w:val="00920212"/>
    <w:rsid w:val="009202CC"/>
    <w:rsid w:val="0092031D"/>
    <w:rsid w:val="0092033C"/>
    <w:rsid w:val="0092037C"/>
    <w:rsid w:val="009203F6"/>
    <w:rsid w:val="009204E8"/>
    <w:rsid w:val="009205A1"/>
    <w:rsid w:val="009205A8"/>
    <w:rsid w:val="00920622"/>
    <w:rsid w:val="00920656"/>
    <w:rsid w:val="00920694"/>
    <w:rsid w:val="00920759"/>
    <w:rsid w:val="0092075A"/>
    <w:rsid w:val="0092076B"/>
    <w:rsid w:val="0092079E"/>
    <w:rsid w:val="009207BF"/>
    <w:rsid w:val="009207E8"/>
    <w:rsid w:val="009207E9"/>
    <w:rsid w:val="009208C7"/>
    <w:rsid w:val="009208CD"/>
    <w:rsid w:val="009209A8"/>
    <w:rsid w:val="00920BE5"/>
    <w:rsid w:val="00920C64"/>
    <w:rsid w:val="00920CBC"/>
    <w:rsid w:val="00920CC2"/>
    <w:rsid w:val="00920CD9"/>
    <w:rsid w:val="00920E07"/>
    <w:rsid w:val="00920E9C"/>
    <w:rsid w:val="00920ED1"/>
    <w:rsid w:val="00920F2F"/>
    <w:rsid w:val="00920F40"/>
    <w:rsid w:val="00920F67"/>
    <w:rsid w:val="00920FE5"/>
    <w:rsid w:val="00921028"/>
    <w:rsid w:val="0092109A"/>
    <w:rsid w:val="009210E3"/>
    <w:rsid w:val="00921124"/>
    <w:rsid w:val="0092116A"/>
    <w:rsid w:val="0092121D"/>
    <w:rsid w:val="00921291"/>
    <w:rsid w:val="009212BA"/>
    <w:rsid w:val="009212DA"/>
    <w:rsid w:val="0092147E"/>
    <w:rsid w:val="00921481"/>
    <w:rsid w:val="00921493"/>
    <w:rsid w:val="0092149A"/>
    <w:rsid w:val="009214BA"/>
    <w:rsid w:val="009214E6"/>
    <w:rsid w:val="00921519"/>
    <w:rsid w:val="00921596"/>
    <w:rsid w:val="009216C4"/>
    <w:rsid w:val="0092177F"/>
    <w:rsid w:val="009217E9"/>
    <w:rsid w:val="00921824"/>
    <w:rsid w:val="00921870"/>
    <w:rsid w:val="009218A5"/>
    <w:rsid w:val="00921941"/>
    <w:rsid w:val="009219B7"/>
    <w:rsid w:val="009219D2"/>
    <w:rsid w:val="00921A78"/>
    <w:rsid w:val="00921A7B"/>
    <w:rsid w:val="00921A7F"/>
    <w:rsid w:val="00921A8D"/>
    <w:rsid w:val="00921B68"/>
    <w:rsid w:val="00921BD2"/>
    <w:rsid w:val="00921C49"/>
    <w:rsid w:val="00921C5A"/>
    <w:rsid w:val="00921C93"/>
    <w:rsid w:val="00921D3A"/>
    <w:rsid w:val="00921D8B"/>
    <w:rsid w:val="00921DD5"/>
    <w:rsid w:val="00921E12"/>
    <w:rsid w:val="00921E15"/>
    <w:rsid w:val="00921EB1"/>
    <w:rsid w:val="00921F79"/>
    <w:rsid w:val="00921FE5"/>
    <w:rsid w:val="00922104"/>
    <w:rsid w:val="009221A1"/>
    <w:rsid w:val="00922234"/>
    <w:rsid w:val="00922288"/>
    <w:rsid w:val="009222A9"/>
    <w:rsid w:val="00922393"/>
    <w:rsid w:val="009223E6"/>
    <w:rsid w:val="00922471"/>
    <w:rsid w:val="00922640"/>
    <w:rsid w:val="0092268C"/>
    <w:rsid w:val="009226A8"/>
    <w:rsid w:val="009226ED"/>
    <w:rsid w:val="009226F2"/>
    <w:rsid w:val="0092272F"/>
    <w:rsid w:val="00922748"/>
    <w:rsid w:val="00922755"/>
    <w:rsid w:val="009227A1"/>
    <w:rsid w:val="009227D9"/>
    <w:rsid w:val="0092281E"/>
    <w:rsid w:val="00922824"/>
    <w:rsid w:val="00922863"/>
    <w:rsid w:val="00922865"/>
    <w:rsid w:val="009228E3"/>
    <w:rsid w:val="0092290F"/>
    <w:rsid w:val="00922993"/>
    <w:rsid w:val="0092299B"/>
    <w:rsid w:val="009229C0"/>
    <w:rsid w:val="00922A15"/>
    <w:rsid w:val="00922A3A"/>
    <w:rsid w:val="00922A55"/>
    <w:rsid w:val="00922AF3"/>
    <w:rsid w:val="00922B00"/>
    <w:rsid w:val="00922B21"/>
    <w:rsid w:val="00922BC1"/>
    <w:rsid w:val="00922BDF"/>
    <w:rsid w:val="00922BFC"/>
    <w:rsid w:val="00922C2E"/>
    <w:rsid w:val="00922D40"/>
    <w:rsid w:val="00922D50"/>
    <w:rsid w:val="00922D55"/>
    <w:rsid w:val="00922D62"/>
    <w:rsid w:val="00922DF7"/>
    <w:rsid w:val="00922E04"/>
    <w:rsid w:val="00922E85"/>
    <w:rsid w:val="00922EDB"/>
    <w:rsid w:val="00922F7D"/>
    <w:rsid w:val="0092306C"/>
    <w:rsid w:val="009230D4"/>
    <w:rsid w:val="00923102"/>
    <w:rsid w:val="00923253"/>
    <w:rsid w:val="00923254"/>
    <w:rsid w:val="0092325C"/>
    <w:rsid w:val="0092335D"/>
    <w:rsid w:val="0092337C"/>
    <w:rsid w:val="009233D6"/>
    <w:rsid w:val="009233FA"/>
    <w:rsid w:val="00923400"/>
    <w:rsid w:val="00923415"/>
    <w:rsid w:val="009234F5"/>
    <w:rsid w:val="00923504"/>
    <w:rsid w:val="00923606"/>
    <w:rsid w:val="00923614"/>
    <w:rsid w:val="00923657"/>
    <w:rsid w:val="009236BB"/>
    <w:rsid w:val="009236D7"/>
    <w:rsid w:val="009236F3"/>
    <w:rsid w:val="0092373A"/>
    <w:rsid w:val="0092373E"/>
    <w:rsid w:val="009237A6"/>
    <w:rsid w:val="009237E9"/>
    <w:rsid w:val="0092387F"/>
    <w:rsid w:val="009238DD"/>
    <w:rsid w:val="00923970"/>
    <w:rsid w:val="00923999"/>
    <w:rsid w:val="009239DE"/>
    <w:rsid w:val="009239E0"/>
    <w:rsid w:val="00923A9E"/>
    <w:rsid w:val="00923AC6"/>
    <w:rsid w:val="00923AFF"/>
    <w:rsid w:val="00923C41"/>
    <w:rsid w:val="00923C45"/>
    <w:rsid w:val="00923C89"/>
    <w:rsid w:val="00923C9D"/>
    <w:rsid w:val="00923CC0"/>
    <w:rsid w:val="00923D33"/>
    <w:rsid w:val="00923D47"/>
    <w:rsid w:val="00923D96"/>
    <w:rsid w:val="00923DAA"/>
    <w:rsid w:val="00923E0A"/>
    <w:rsid w:val="00923E32"/>
    <w:rsid w:val="00923E68"/>
    <w:rsid w:val="00923EBF"/>
    <w:rsid w:val="00923FC3"/>
    <w:rsid w:val="009240BD"/>
    <w:rsid w:val="00924116"/>
    <w:rsid w:val="00924199"/>
    <w:rsid w:val="009241FB"/>
    <w:rsid w:val="0092433F"/>
    <w:rsid w:val="0092437B"/>
    <w:rsid w:val="0092439E"/>
    <w:rsid w:val="00924508"/>
    <w:rsid w:val="00924535"/>
    <w:rsid w:val="009245A3"/>
    <w:rsid w:val="009245C8"/>
    <w:rsid w:val="00924610"/>
    <w:rsid w:val="00924613"/>
    <w:rsid w:val="00924635"/>
    <w:rsid w:val="00924729"/>
    <w:rsid w:val="0092472B"/>
    <w:rsid w:val="00924743"/>
    <w:rsid w:val="009247AB"/>
    <w:rsid w:val="009247DF"/>
    <w:rsid w:val="00924868"/>
    <w:rsid w:val="009249B1"/>
    <w:rsid w:val="009249C2"/>
    <w:rsid w:val="009249F7"/>
    <w:rsid w:val="009249FE"/>
    <w:rsid w:val="00924A2E"/>
    <w:rsid w:val="00924A9F"/>
    <w:rsid w:val="00924AF6"/>
    <w:rsid w:val="00924B77"/>
    <w:rsid w:val="00924BE2"/>
    <w:rsid w:val="00924BEF"/>
    <w:rsid w:val="00924C26"/>
    <w:rsid w:val="00924C30"/>
    <w:rsid w:val="00924C71"/>
    <w:rsid w:val="00924CB7"/>
    <w:rsid w:val="00924D68"/>
    <w:rsid w:val="00924D95"/>
    <w:rsid w:val="00924DA5"/>
    <w:rsid w:val="00924E13"/>
    <w:rsid w:val="00924EA8"/>
    <w:rsid w:val="00924F60"/>
    <w:rsid w:val="00924F7D"/>
    <w:rsid w:val="009250C5"/>
    <w:rsid w:val="0092512A"/>
    <w:rsid w:val="009251EC"/>
    <w:rsid w:val="0092523B"/>
    <w:rsid w:val="009252A1"/>
    <w:rsid w:val="009252D5"/>
    <w:rsid w:val="00925305"/>
    <w:rsid w:val="0092538A"/>
    <w:rsid w:val="0092546B"/>
    <w:rsid w:val="009254B9"/>
    <w:rsid w:val="0092552B"/>
    <w:rsid w:val="0092554A"/>
    <w:rsid w:val="00925613"/>
    <w:rsid w:val="0092564A"/>
    <w:rsid w:val="0092579C"/>
    <w:rsid w:val="009257A2"/>
    <w:rsid w:val="009257E0"/>
    <w:rsid w:val="009257E1"/>
    <w:rsid w:val="009258C0"/>
    <w:rsid w:val="009258CA"/>
    <w:rsid w:val="00925916"/>
    <w:rsid w:val="00925997"/>
    <w:rsid w:val="0092599C"/>
    <w:rsid w:val="009259C7"/>
    <w:rsid w:val="00925A27"/>
    <w:rsid w:val="00925A5F"/>
    <w:rsid w:val="00925A92"/>
    <w:rsid w:val="00925B85"/>
    <w:rsid w:val="00925BA1"/>
    <w:rsid w:val="00925BB2"/>
    <w:rsid w:val="00925BFD"/>
    <w:rsid w:val="00925C6F"/>
    <w:rsid w:val="00925C75"/>
    <w:rsid w:val="00925CE2"/>
    <w:rsid w:val="00925CE4"/>
    <w:rsid w:val="00925D01"/>
    <w:rsid w:val="00925E0B"/>
    <w:rsid w:val="00925E1A"/>
    <w:rsid w:val="00925E58"/>
    <w:rsid w:val="00925E6F"/>
    <w:rsid w:val="00925EDB"/>
    <w:rsid w:val="00925F12"/>
    <w:rsid w:val="00925F7D"/>
    <w:rsid w:val="00925FE8"/>
    <w:rsid w:val="00926023"/>
    <w:rsid w:val="00926041"/>
    <w:rsid w:val="00926089"/>
    <w:rsid w:val="009260DF"/>
    <w:rsid w:val="009260E9"/>
    <w:rsid w:val="00926147"/>
    <w:rsid w:val="009261A0"/>
    <w:rsid w:val="009261B9"/>
    <w:rsid w:val="009261DF"/>
    <w:rsid w:val="0092621F"/>
    <w:rsid w:val="00926225"/>
    <w:rsid w:val="009262ED"/>
    <w:rsid w:val="00926368"/>
    <w:rsid w:val="00926380"/>
    <w:rsid w:val="0092638E"/>
    <w:rsid w:val="0092639E"/>
    <w:rsid w:val="0092644D"/>
    <w:rsid w:val="0092646F"/>
    <w:rsid w:val="009264DC"/>
    <w:rsid w:val="00926513"/>
    <w:rsid w:val="00926570"/>
    <w:rsid w:val="0092657E"/>
    <w:rsid w:val="009265C7"/>
    <w:rsid w:val="0092664A"/>
    <w:rsid w:val="0092664D"/>
    <w:rsid w:val="00926663"/>
    <w:rsid w:val="009266BF"/>
    <w:rsid w:val="009266CA"/>
    <w:rsid w:val="009266F1"/>
    <w:rsid w:val="00926720"/>
    <w:rsid w:val="009267B4"/>
    <w:rsid w:val="009267E4"/>
    <w:rsid w:val="00926887"/>
    <w:rsid w:val="009268BE"/>
    <w:rsid w:val="0092695A"/>
    <w:rsid w:val="00926978"/>
    <w:rsid w:val="009269BA"/>
    <w:rsid w:val="00926ACB"/>
    <w:rsid w:val="00926B10"/>
    <w:rsid w:val="00926BEA"/>
    <w:rsid w:val="00926BED"/>
    <w:rsid w:val="00926C38"/>
    <w:rsid w:val="00926C64"/>
    <w:rsid w:val="00926CB3"/>
    <w:rsid w:val="00926DF6"/>
    <w:rsid w:val="00926DFB"/>
    <w:rsid w:val="00926EBE"/>
    <w:rsid w:val="009270A4"/>
    <w:rsid w:val="009270D8"/>
    <w:rsid w:val="0092710E"/>
    <w:rsid w:val="0092716F"/>
    <w:rsid w:val="0092719F"/>
    <w:rsid w:val="009271C8"/>
    <w:rsid w:val="009271F7"/>
    <w:rsid w:val="0092721C"/>
    <w:rsid w:val="0092724F"/>
    <w:rsid w:val="0092731B"/>
    <w:rsid w:val="0092736B"/>
    <w:rsid w:val="00927473"/>
    <w:rsid w:val="00927516"/>
    <w:rsid w:val="00927522"/>
    <w:rsid w:val="009275AF"/>
    <w:rsid w:val="00927647"/>
    <w:rsid w:val="0092769A"/>
    <w:rsid w:val="0092772F"/>
    <w:rsid w:val="0092773F"/>
    <w:rsid w:val="009277A4"/>
    <w:rsid w:val="009277E4"/>
    <w:rsid w:val="009277E6"/>
    <w:rsid w:val="00927845"/>
    <w:rsid w:val="0092787C"/>
    <w:rsid w:val="0092789F"/>
    <w:rsid w:val="009278B0"/>
    <w:rsid w:val="009278F5"/>
    <w:rsid w:val="009278FA"/>
    <w:rsid w:val="00927999"/>
    <w:rsid w:val="009279DE"/>
    <w:rsid w:val="009279F9"/>
    <w:rsid w:val="00927ABA"/>
    <w:rsid w:val="00927AE1"/>
    <w:rsid w:val="00927AE9"/>
    <w:rsid w:val="00927B7D"/>
    <w:rsid w:val="00927BED"/>
    <w:rsid w:val="00927C1F"/>
    <w:rsid w:val="00927C20"/>
    <w:rsid w:val="00927C4E"/>
    <w:rsid w:val="00927CB8"/>
    <w:rsid w:val="00927D25"/>
    <w:rsid w:val="00927E1A"/>
    <w:rsid w:val="00927EB9"/>
    <w:rsid w:val="00927F76"/>
    <w:rsid w:val="00927FB1"/>
    <w:rsid w:val="00930095"/>
    <w:rsid w:val="00930214"/>
    <w:rsid w:val="0093024E"/>
    <w:rsid w:val="00930283"/>
    <w:rsid w:val="0093038D"/>
    <w:rsid w:val="009303C1"/>
    <w:rsid w:val="00930618"/>
    <w:rsid w:val="0093062E"/>
    <w:rsid w:val="009306A4"/>
    <w:rsid w:val="0093071F"/>
    <w:rsid w:val="00930731"/>
    <w:rsid w:val="00930751"/>
    <w:rsid w:val="00930775"/>
    <w:rsid w:val="009307DC"/>
    <w:rsid w:val="0093085E"/>
    <w:rsid w:val="00930878"/>
    <w:rsid w:val="009308DC"/>
    <w:rsid w:val="00930935"/>
    <w:rsid w:val="00930A10"/>
    <w:rsid w:val="00930A5F"/>
    <w:rsid w:val="00930AAF"/>
    <w:rsid w:val="00930ADD"/>
    <w:rsid w:val="00930CD9"/>
    <w:rsid w:val="00930D1A"/>
    <w:rsid w:val="00930D65"/>
    <w:rsid w:val="00930D6C"/>
    <w:rsid w:val="00930D7D"/>
    <w:rsid w:val="00930DA4"/>
    <w:rsid w:val="00930FC4"/>
    <w:rsid w:val="00930FCB"/>
    <w:rsid w:val="0093102C"/>
    <w:rsid w:val="00931088"/>
    <w:rsid w:val="009310FA"/>
    <w:rsid w:val="0093111B"/>
    <w:rsid w:val="0093116C"/>
    <w:rsid w:val="009311D4"/>
    <w:rsid w:val="009311F5"/>
    <w:rsid w:val="00931205"/>
    <w:rsid w:val="00931209"/>
    <w:rsid w:val="009312D0"/>
    <w:rsid w:val="00931383"/>
    <w:rsid w:val="0093143B"/>
    <w:rsid w:val="0093145E"/>
    <w:rsid w:val="009314B4"/>
    <w:rsid w:val="009314C6"/>
    <w:rsid w:val="009315E5"/>
    <w:rsid w:val="00931631"/>
    <w:rsid w:val="00931672"/>
    <w:rsid w:val="009316A9"/>
    <w:rsid w:val="00931718"/>
    <w:rsid w:val="00931726"/>
    <w:rsid w:val="009317A4"/>
    <w:rsid w:val="009317D9"/>
    <w:rsid w:val="00931811"/>
    <w:rsid w:val="00931887"/>
    <w:rsid w:val="00931972"/>
    <w:rsid w:val="009319DC"/>
    <w:rsid w:val="00931A52"/>
    <w:rsid w:val="00931A85"/>
    <w:rsid w:val="00931B53"/>
    <w:rsid w:val="00931BE2"/>
    <w:rsid w:val="00931BFA"/>
    <w:rsid w:val="00931C08"/>
    <w:rsid w:val="00931CD7"/>
    <w:rsid w:val="00931D59"/>
    <w:rsid w:val="00931D90"/>
    <w:rsid w:val="00931D99"/>
    <w:rsid w:val="00931DB9"/>
    <w:rsid w:val="00931EBE"/>
    <w:rsid w:val="0093207F"/>
    <w:rsid w:val="00932098"/>
    <w:rsid w:val="009320ED"/>
    <w:rsid w:val="009320FE"/>
    <w:rsid w:val="00932186"/>
    <w:rsid w:val="009321F4"/>
    <w:rsid w:val="00932210"/>
    <w:rsid w:val="0093222E"/>
    <w:rsid w:val="00932244"/>
    <w:rsid w:val="00932272"/>
    <w:rsid w:val="0093227F"/>
    <w:rsid w:val="00932294"/>
    <w:rsid w:val="00932301"/>
    <w:rsid w:val="00932419"/>
    <w:rsid w:val="0093244B"/>
    <w:rsid w:val="0093249D"/>
    <w:rsid w:val="009324C0"/>
    <w:rsid w:val="00932598"/>
    <w:rsid w:val="00932602"/>
    <w:rsid w:val="00932608"/>
    <w:rsid w:val="009326CA"/>
    <w:rsid w:val="009326F2"/>
    <w:rsid w:val="00932783"/>
    <w:rsid w:val="009327EE"/>
    <w:rsid w:val="0093280C"/>
    <w:rsid w:val="00932818"/>
    <w:rsid w:val="00932847"/>
    <w:rsid w:val="00932946"/>
    <w:rsid w:val="0093299E"/>
    <w:rsid w:val="009329B1"/>
    <w:rsid w:val="00932A18"/>
    <w:rsid w:val="00932A80"/>
    <w:rsid w:val="00932B1C"/>
    <w:rsid w:val="00932BF3"/>
    <w:rsid w:val="00932E86"/>
    <w:rsid w:val="00932F37"/>
    <w:rsid w:val="00932FC6"/>
    <w:rsid w:val="00932FFB"/>
    <w:rsid w:val="0093305E"/>
    <w:rsid w:val="009330D9"/>
    <w:rsid w:val="009330EF"/>
    <w:rsid w:val="0093310D"/>
    <w:rsid w:val="00933138"/>
    <w:rsid w:val="009331C3"/>
    <w:rsid w:val="009331CF"/>
    <w:rsid w:val="0093324B"/>
    <w:rsid w:val="009332A1"/>
    <w:rsid w:val="009332F0"/>
    <w:rsid w:val="00933322"/>
    <w:rsid w:val="009333AE"/>
    <w:rsid w:val="009333C1"/>
    <w:rsid w:val="009333E5"/>
    <w:rsid w:val="00933433"/>
    <w:rsid w:val="00933461"/>
    <w:rsid w:val="00933508"/>
    <w:rsid w:val="00933522"/>
    <w:rsid w:val="00933784"/>
    <w:rsid w:val="009337DF"/>
    <w:rsid w:val="00933831"/>
    <w:rsid w:val="00933895"/>
    <w:rsid w:val="0093394B"/>
    <w:rsid w:val="009339CB"/>
    <w:rsid w:val="00933C18"/>
    <w:rsid w:val="00933CFC"/>
    <w:rsid w:val="00933D6B"/>
    <w:rsid w:val="00933D70"/>
    <w:rsid w:val="00933D91"/>
    <w:rsid w:val="00933DCF"/>
    <w:rsid w:val="00933E07"/>
    <w:rsid w:val="00933E28"/>
    <w:rsid w:val="00933E64"/>
    <w:rsid w:val="00933EE5"/>
    <w:rsid w:val="00933F4E"/>
    <w:rsid w:val="00933FAA"/>
    <w:rsid w:val="00934010"/>
    <w:rsid w:val="00934023"/>
    <w:rsid w:val="0093405C"/>
    <w:rsid w:val="009340DE"/>
    <w:rsid w:val="009340E2"/>
    <w:rsid w:val="0093414A"/>
    <w:rsid w:val="009341D4"/>
    <w:rsid w:val="009341E0"/>
    <w:rsid w:val="009341F3"/>
    <w:rsid w:val="00934282"/>
    <w:rsid w:val="009342A2"/>
    <w:rsid w:val="009342A6"/>
    <w:rsid w:val="009343BC"/>
    <w:rsid w:val="0093446C"/>
    <w:rsid w:val="009344CD"/>
    <w:rsid w:val="009344E7"/>
    <w:rsid w:val="0093451A"/>
    <w:rsid w:val="00934589"/>
    <w:rsid w:val="00934676"/>
    <w:rsid w:val="0093475F"/>
    <w:rsid w:val="009347DA"/>
    <w:rsid w:val="009347F2"/>
    <w:rsid w:val="0093480C"/>
    <w:rsid w:val="009348A7"/>
    <w:rsid w:val="009348D3"/>
    <w:rsid w:val="0093492F"/>
    <w:rsid w:val="00934935"/>
    <w:rsid w:val="009349B1"/>
    <w:rsid w:val="00934AAB"/>
    <w:rsid w:val="00934B34"/>
    <w:rsid w:val="00934B3F"/>
    <w:rsid w:val="00934B7A"/>
    <w:rsid w:val="00934B9E"/>
    <w:rsid w:val="00934D80"/>
    <w:rsid w:val="00934E54"/>
    <w:rsid w:val="00934E56"/>
    <w:rsid w:val="00934ED7"/>
    <w:rsid w:val="00934F5B"/>
    <w:rsid w:val="00934FD7"/>
    <w:rsid w:val="00934FF8"/>
    <w:rsid w:val="00935034"/>
    <w:rsid w:val="00935079"/>
    <w:rsid w:val="009350C0"/>
    <w:rsid w:val="009351A7"/>
    <w:rsid w:val="0093523A"/>
    <w:rsid w:val="009352B4"/>
    <w:rsid w:val="00935320"/>
    <w:rsid w:val="00935336"/>
    <w:rsid w:val="009353A7"/>
    <w:rsid w:val="009353C5"/>
    <w:rsid w:val="009354E5"/>
    <w:rsid w:val="00935585"/>
    <w:rsid w:val="009355E6"/>
    <w:rsid w:val="00935636"/>
    <w:rsid w:val="009356E6"/>
    <w:rsid w:val="00935718"/>
    <w:rsid w:val="00935909"/>
    <w:rsid w:val="009359C2"/>
    <w:rsid w:val="00935B00"/>
    <w:rsid w:val="00935B6E"/>
    <w:rsid w:val="00935C50"/>
    <w:rsid w:val="00935CB8"/>
    <w:rsid w:val="00935CF5"/>
    <w:rsid w:val="00935E1A"/>
    <w:rsid w:val="00935EAC"/>
    <w:rsid w:val="00935ED3"/>
    <w:rsid w:val="00935EDC"/>
    <w:rsid w:val="00935EFD"/>
    <w:rsid w:val="00935F20"/>
    <w:rsid w:val="00935FA2"/>
    <w:rsid w:val="00935FC4"/>
    <w:rsid w:val="00936033"/>
    <w:rsid w:val="00936041"/>
    <w:rsid w:val="00936050"/>
    <w:rsid w:val="00936070"/>
    <w:rsid w:val="009360C9"/>
    <w:rsid w:val="00936170"/>
    <w:rsid w:val="009361D8"/>
    <w:rsid w:val="00936248"/>
    <w:rsid w:val="009362B8"/>
    <w:rsid w:val="009362BB"/>
    <w:rsid w:val="00936337"/>
    <w:rsid w:val="0093634A"/>
    <w:rsid w:val="00936363"/>
    <w:rsid w:val="009363BA"/>
    <w:rsid w:val="009363D9"/>
    <w:rsid w:val="009363E9"/>
    <w:rsid w:val="009364C6"/>
    <w:rsid w:val="0093651A"/>
    <w:rsid w:val="00936569"/>
    <w:rsid w:val="0093658D"/>
    <w:rsid w:val="009365F5"/>
    <w:rsid w:val="00936616"/>
    <w:rsid w:val="0093666E"/>
    <w:rsid w:val="009367E8"/>
    <w:rsid w:val="009367F9"/>
    <w:rsid w:val="0093682C"/>
    <w:rsid w:val="00936830"/>
    <w:rsid w:val="00936881"/>
    <w:rsid w:val="009368BE"/>
    <w:rsid w:val="009368FD"/>
    <w:rsid w:val="00936941"/>
    <w:rsid w:val="0093695D"/>
    <w:rsid w:val="0093699A"/>
    <w:rsid w:val="009369BF"/>
    <w:rsid w:val="00936A8A"/>
    <w:rsid w:val="00936ACB"/>
    <w:rsid w:val="00936ACC"/>
    <w:rsid w:val="00936AE0"/>
    <w:rsid w:val="00936B4E"/>
    <w:rsid w:val="00936B8B"/>
    <w:rsid w:val="00936BA0"/>
    <w:rsid w:val="00936BA1"/>
    <w:rsid w:val="00936BBE"/>
    <w:rsid w:val="00936C75"/>
    <w:rsid w:val="00936C8F"/>
    <w:rsid w:val="00936D3C"/>
    <w:rsid w:val="00936DC6"/>
    <w:rsid w:val="00936EC0"/>
    <w:rsid w:val="00936FF9"/>
    <w:rsid w:val="00937010"/>
    <w:rsid w:val="00937027"/>
    <w:rsid w:val="00937040"/>
    <w:rsid w:val="0093727D"/>
    <w:rsid w:val="0093730D"/>
    <w:rsid w:val="00937386"/>
    <w:rsid w:val="00937399"/>
    <w:rsid w:val="00937425"/>
    <w:rsid w:val="0093742E"/>
    <w:rsid w:val="0093747B"/>
    <w:rsid w:val="009374B3"/>
    <w:rsid w:val="0093751F"/>
    <w:rsid w:val="00937567"/>
    <w:rsid w:val="00937586"/>
    <w:rsid w:val="009375AF"/>
    <w:rsid w:val="009375EE"/>
    <w:rsid w:val="009376A9"/>
    <w:rsid w:val="009376DC"/>
    <w:rsid w:val="00937708"/>
    <w:rsid w:val="00937762"/>
    <w:rsid w:val="0093780B"/>
    <w:rsid w:val="0093785D"/>
    <w:rsid w:val="00937890"/>
    <w:rsid w:val="009378F0"/>
    <w:rsid w:val="00937A1A"/>
    <w:rsid w:val="00937A8C"/>
    <w:rsid w:val="00937AF4"/>
    <w:rsid w:val="00937B85"/>
    <w:rsid w:val="00937BA9"/>
    <w:rsid w:val="00937C1E"/>
    <w:rsid w:val="00937C6A"/>
    <w:rsid w:val="00937D01"/>
    <w:rsid w:val="00937D31"/>
    <w:rsid w:val="00937D71"/>
    <w:rsid w:val="00937D80"/>
    <w:rsid w:val="00937D83"/>
    <w:rsid w:val="00937DC2"/>
    <w:rsid w:val="00937DC5"/>
    <w:rsid w:val="00937DF5"/>
    <w:rsid w:val="00937E01"/>
    <w:rsid w:val="00937E02"/>
    <w:rsid w:val="00937E04"/>
    <w:rsid w:val="00937E09"/>
    <w:rsid w:val="00937E32"/>
    <w:rsid w:val="00937E37"/>
    <w:rsid w:val="00937E63"/>
    <w:rsid w:val="00937EF1"/>
    <w:rsid w:val="00937EFC"/>
    <w:rsid w:val="00937FAE"/>
    <w:rsid w:val="00940133"/>
    <w:rsid w:val="00940148"/>
    <w:rsid w:val="009401D7"/>
    <w:rsid w:val="00940219"/>
    <w:rsid w:val="00940232"/>
    <w:rsid w:val="0094024D"/>
    <w:rsid w:val="00940277"/>
    <w:rsid w:val="009402CB"/>
    <w:rsid w:val="00940307"/>
    <w:rsid w:val="0094030B"/>
    <w:rsid w:val="00940323"/>
    <w:rsid w:val="00940425"/>
    <w:rsid w:val="00940596"/>
    <w:rsid w:val="009405C4"/>
    <w:rsid w:val="0094060C"/>
    <w:rsid w:val="0094063B"/>
    <w:rsid w:val="00940661"/>
    <w:rsid w:val="0094075C"/>
    <w:rsid w:val="009407B1"/>
    <w:rsid w:val="009407DA"/>
    <w:rsid w:val="009407DE"/>
    <w:rsid w:val="009407E8"/>
    <w:rsid w:val="0094086B"/>
    <w:rsid w:val="00940893"/>
    <w:rsid w:val="00940949"/>
    <w:rsid w:val="009409A5"/>
    <w:rsid w:val="009409BE"/>
    <w:rsid w:val="00940A72"/>
    <w:rsid w:val="00940B3C"/>
    <w:rsid w:val="00940BE4"/>
    <w:rsid w:val="00940C3E"/>
    <w:rsid w:val="00940C70"/>
    <w:rsid w:val="00940CC1"/>
    <w:rsid w:val="00940D62"/>
    <w:rsid w:val="00940D97"/>
    <w:rsid w:val="00940DBA"/>
    <w:rsid w:val="00940DBD"/>
    <w:rsid w:val="00940DCB"/>
    <w:rsid w:val="00940DF2"/>
    <w:rsid w:val="00940E62"/>
    <w:rsid w:val="00940F5C"/>
    <w:rsid w:val="00940FDD"/>
    <w:rsid w:val="00940FE4"/>
    <w:rsid w:val="00940FFB"/>
    <w:rsid w:val="00941054"/>
    <w:rsid w:val="009410D9"/>
    <w:rsid w:val="009410E3"/>
    <w:rsid w:val="0094111E"/>
    <w:rsid w:val="0094113A"/>
    <w:rsid w:val="009411B2"/>
    <w:rsid w:val="009411C4"/>
    <w:rsid w:val="0094126A"/>
    <w:rsid w:val="0094132D"/>
    <w:rsid w:val="00941346"/>
    <w:rsid w:val="0094136B"/>
    <w:rsid w:val="00941412"/>
    <w:rsid w:val="0094141A"/>
    <w:rsid w:val="0094144A"/>
    <w:rsid w:val="00941502"/>
    <w:rsid w:val="009415FC"/>
    <w:rsid w:val="00941608"/>
    <w:rsid w:val="0094160C"/>
    <w:rsid w:val="00941642"/>
    <w:rsid w:val="0094168E"/>
    <w:rsid w:val="0094170F"/>
    <w:rsid w:val="0094173E"/>
    <w:rsid w:val="0094174A"/>
    <w:rsid w:val="009417B3"/>
    <w:rsid w:val="009417B8"/>
    <w:rsid w:val="0094185D"/>
    <w:rsid w:val="00941886"/>
    <w:rsid w:val="009418AC"/>
    <w:rsid w:val="00941904"/>
    <w:rsid w:val="00941A1D"/>
    <w:rsid w:val="00941A65"/>
    <w:rsid w:val="00941A7E"/>
    <w:rsid w:val="00941AC3"/>
    <w:rsid w:val="00941AC9"/>
    <w:rsid w:val="00941ADB"/>
    <w:rsid w:val="00941B34"/>
    <w:rsid w:val="00941BAE"/>
    <w:rsid w:val="00941C85"/>
    <w:rsid w:val="00941DB3"/>
    <w:rsid w:val="00941F4B"/>
    <w:rsid w:val="00942027"/>
    <w:rsid w:val="0094208A"/>
    <w:rsid w:val="009421F2"/>
    <w:rsid w:val="00942348"/>
    <w:rsid w:val="00942357"/>
    <w:rsid w:val="009423A6"/>
    <w:rsid w:val="0094243C"/>
    <w:rsid w:val="0094249F"/>
    <w:rsid w:val="009425B9"/>
    <w:rsid w:val="009425F8"/>
    <w:rsid w:val="00942628"/>
    <w:rsid w:val="009426A6"/>
    <w:rsid w:val="0094272B"/>
    <w:rsid w:val="00942742"/>
    <w:rsid w:val="0094275C"/>
    <w:rsid w:val="00942760"/>
    <w:rsid w:val="00942779"/>
    <w:rsid w:val="00942794"/>
    <w:rsid w:val="009427A8"/>
    <w:rsid w:val="009427AA"/>
    <w:rsid w:val="00942871"/>
    <w:rsid w:val="0094298D"/>
    <w:rsid w:val="009429D3"/>
    <w:rsid w:val="00942A0E"/>
    <w:rsid w:val="00942AEF"/>
    <w:rsid w:val="00942B84"/>
    <w:rsid w:val="00942BB5"/>
    <w:rsid w:val="00942C16"/>
    <w:rsid w:val="00942C6E"/>
    <w:rsid w:val="00942CA2"/>
    <w:rsid w:val="00942CC5"/>
    <w:rsid w:val="00942CD3"/>
    <w:rsid w:val="00942CDA"/>
    <w:rsid w:val="00942D28"/>
    <w:rsid w:val="00942D54"/>
    <w:rsid w:val="00942DE3"/>
    <w:rsid w:val="00942FD2"/>
    <w:rsid w:val="00943046"/>
    <w:rsid w:val="0094307E"/>
    <w:rsid w:val="00943082"/>
    <w:rsid w:val="009430CE"/>
    <w:rsid w:val="0094319E"/>
    <w:rsid w:val="00943244"/>
    <w:rsid w:val="00943361"/>
    <w:rsid w:val="009433EE"/>
    <w:rsid w:val="00943421"/>
    <w:rsid w:val="00943432"/>
    <w:rsid w:val="00943437"/>
    <w:rsid w:val="00943505"/>
    <w:rsid w:val="0094357D"/>
    <w:rsid w:val="0094360E"/>
    <w:rsid w:val="0094362F"/>
    <w:rsid w:val="00943664"/>
    <w:rsid w:val="009437EA"/>
    <w:rsid w:val="0094383A"/>
    <w:rsid w:val="00943849"/>
    <w:rsid w:val="00943890"/>
    <w:rsid w:val="009438E1"/>
    <w:rsid w:val="009438FE"/>
    <w:rsid w:val="00943906"/>
    <w:rsid w:val="0094390A"/>
    <w:rsid w:val="00943941"/>
    <w:rsid w:val="00943943"/>
    <w:rsid w:val="00943A79"/>
    <w:rsid w:val="00943B5A"/>
    <w:rsid w:val="00943BC3"/>
    <w:rsid w:val="00943D5C"/>
    <w:rsid w:val="00943E28"/>
    <w:rsid w:val="00943E34"/>
    <w:rsid w:val="00943E8F"/>
    <w:rsid w:val="00943EFF"/>
    <w:rsid w:val="00943F04"/>
    <w:rsid w:val="00943F43"/>
    <w:rsid w:val="00943FC3"/>
    <w:rsid w:val="00943FF6"/>
    <w:rsid w:val="00944010"/>
    <w:rsid w:val="00944048"/>
    <w:rsid w:val="00944060"/>
    <w:rsid w:val="00944079"/>
    <w:rsid w:val="009441AF"/>
    <w:rsid w:val="0094423F"/>
    <w:rsid w:val="00944263"/>
    <w:rsid w:val="009442B6"/>
    <w:rsid w:val="009444CC"/>
    <w:rsid w:val="009444F9"/>
    <w:rsid w:val="0094451E"/>
    <w:rsid w:val="00944546"/>
    <w:rsid w:val="0094456B"/>
    <w:rsid w:val="009445FB"/>
    <w:rsid w:val="00944626"/>
    <w:rsid w:val="00944632"/>
    <w:rsid w:val="00944643"/>
    <w:rsid w:val="009447EB"/>
    <w:rsid w:val="00944816"/>
    <w:rsid w:val="00944847"/>
    <w:rsid w:val="00944888"/>
    <w:rsid w:val="00944897"/>
    <w:rsid w:val="0094495F"/>
    <w:rsid w:val="0094496E"/>
    <w:rsid w:val="0094498C"/>
    <w:rsid w:val="009449AB"/>
    <w:rsid w:val="009449B9"/>
    <w:rsid w:val="009449E8"/>
    <w:rsid w:val="00944AC8"/>
    <w:rsid w:val="00944AF8"/>
    <w:rsid w:val="00944BF9"/>
    <w:rsid w:val="00944C28"/>
    <w:rsid w:val="00944C4B"/>
    <w:rsid w:val="00944D7E"/>
    <w:rsid w:val="00944DEB"/>
    <w:rsid w:val="00944E6B"/>
    <w:rsid w:val="00944ED2"/>
    <w:rsid w:val="00944F21"/>
    <w:rsid w:val="00944F2B"/>
    <w:rsid w:val="00944F39"/>
    <w:rsid w:val="00944F5C"/>
    <w:rsid w:val="00944FE5"/>
    <w:rsid w:val="009451F5"/>
    <w:rsid w:val="0094520E"/>
    <w:rsid w:val="0094523A"/>
    <w:rsid w:val="00945243"/>
    <w:rsid w:val="0094538E"/>
    <w:rsid w:val="0094541D"/>
    <w:rsid w:val="0094549C"/>
    <w:rsid w:val="009454C8"/>
    <w:rsid w:val="0094555C"/>
    <w:rsid w:val="009456E2"/>
    <w:rsid w:val="00945767"/>
    <w:rsid w:val="009457C7"/>
    <w:rsid w:val="00945850"/>
    <w:rsid w:val="009458A1"/>
    <w:rsid w:val="009458BE"/>
    <w:rsid w:val="00945934"/>
    <w:rsid w:val="00945948"/>
    <w:rsid w:val="009459AB"/>
    <w:rsid w:val="009459AC"/>
    <w:rsid w:val="00945A2C"/>
    <w:rsid w:val="00945A53"/>
    <w:rsid w:val="00945A5A"/>
    <w:rsid w:val="00945A81"/>
    <w:rsid w:val="00945C2C"/>
    <w:rsid w:val="00945C3D"/>
    <w:rsid w:val="00945CED"/>
    <w:rsid w:val="00945D2B"/>
    <w:rsid w:val="00945DA7"/>
    <w:rsid w:val="00945DC9"/>
    <w:rsid w:val="00945E3C"/>
    <w:rsid w:val="00945E5B"/>
    <w:rsid w:val="00945E96"/>
    <w:rsid w:val="00945EAB"/>
    <w:rsid w:val="00945F84"/>
    <w:rsid w:val="00945FA3"/>
    <w:rsid w:val="00945FC1"/>
    <w:rsid w:val="00946001"/>
    <w:rsid w:val="0094602D"/>
    <w:rsid w:val="00946061"/>
    <w:rsid w:val="00946081"/>
    <w:rsid w:val="009460BA"/>
    <w:rsid w:val="009460EA"/>
    <w:rsid w:val="0094618D"/>
    <w:rsid w:val="00946319"/>
    <w:rsid w:val="00946331"/>
    <w:rsid w:val="00946356"/>
    <w:rsid w:val="009463AA"/>
    <w:rsid w:val="00946439"/>
    <w:rsid w:val="00946463"/>
    <w:rsid w:val="00946485"/>
    <w:rsid w:val="009464DE"/>
    <w:rsid w:val="00946634"/>
    <w:rsid w:val="0094667E"/>
    <w:rsid w:val="009466A5"/>
    <w:rsid w:val="009466DA"/>
    <w:rsid w:val="0094673C"/>
    <w:rsid w:val="00946747"/>
    <w:rsid w:val="0094674B"/>
    <w:rsid w:val="009467D2"/>
    <w:rsid w:val="009467E5"/>
    <w:rsid w:val="00946809"/>
    <w:rsid w:val="00946860"/>
    <w:rsid w:val="00946879"/>
    <w:rsid w:val="009469BC"/>
    <w:rsid w:val="00946A4B"/>
    <w:rsid w:val="00946AE5"/>
    <w:rsid w:val="00946B0E"/>
    <w:rsid w:val="00946D3F"/>
    <w:rsid w:val="00946D41"/>
    <w:rsid w:val="00946D43"/>
    <w:rsid w:val="00946DE5"/>
    <w:rsid w:val="00946DF9"/>
    <w:rsid w:val="00946F0C"/>
    <w:rsid w:val="00946F54"/>
    <w:rsid w:val="00946FFA"/>
    <w:rsid w:val="009471FB"/>
    <w:rsid w:val="0094734F"/>
    <w:rsid w:val="0094738B"/>
    <w:rsid w:val="009473A8"/>
    <w:rsid w:val="009473AE"/>
    <w:rsid w:val="0094746E"/>
    <w:rsid w:val="00947477"/>
    <w:rsid w:val="009474A6"/>
    <w:rsid w:val="009474DA"/>
    <w:rsid w:val="009474F8"/>
    <w:rsid w:val="0094757D"/>
    <w:rsid w:val="00947581"/>
    <w:rsid w:val="009475BA"/>
    <w:rsid w:val="009475D2"/>
    <w:rsid w:val="00947627"/>
    <w:rsid w:val="009476CB"/>
    <w:rsid w:val="009476F2"/>
    <w:rsid w:val="009476F5"/>
    <w:rsid w:val="00947706"/>
    <w:rsid w:val="00947756"/>
    <w:rsid w:val="0094778C"/>
    <w:rsid w:val="009477AD"/>
    <w:rsid w:val="009477C1"/>
    <w:rsid w:val="00947823"/>
    <w:rsid w:val="0094787E"/>
    <w:rsid w:val="009478D2"/>
    <w:rsid w:val="00947942"/>
    <w:rsid w:val="0094794E"/>
    <w:rsid w:val="00947971"/>
    <w:rsid w:val="009479DC"/>
    <w:rsid w:val="00947ADB"/>
    <w:rsid w:val="00947BAE"/>
    <w:rsid w:val="00947C9D"/>
    <w:rsid w:val="00947CB0"/>
    <w:rsid w:val="00947CD6"/>
    <w:rsid w:val="00947CFD"/>
    <w:rsid w:val="00947D18"/>
    <w:rsid w:val="00947DE1"/>
    <w:rsid w:val="00947DE9"/>
    <w:rsid w:val="00947DF1"/>
    <w:rsid w:val="00947E79"/>
    <w:rsid w:val="00947E82"/>
    <w:rsid w:val="00947F36"/>
    <w:rsid w:val="00947F68"/>
    <w:rsid w:val="00947FC9"/>
    <w:rsid w:val="00947FCB"/>
    <w:rsid w:val="00947FEE"/>
    <w:rsid w:val="0095002F"/>
    <w:rsid w:val="00950097"/>
    <w:rsid w:val="009500B7"/>
    <w:rsid w:val="009500BF"/>
    <w:rsid w:val="00950110"/>
    <w:rsid w:val="009501E2"/>
    <w:rsid w:val="009501F6"/>
    <w:rsid w:val="00950245"/>
    <w:rsid w:val="00950282"/>
    <w:rsid w:val="0095028E"/>
    <w:rsid w:val="009502A6"/>
    <w:rsid w:val="009502AA"/>
    <w:rsid w:val="009502C2"/>
    <w:rsid w:val="009502C8"/>
    <w:rsid w:val="009503FE"/>
    <w:rsid w:val="00950449"/>
    <w:rsid w:val="0095045B"/>
    <w:rsid w:val="009504A2"/>
    <w:rsid w:val="009504C0"/>
    <w:rsid w:val="00950524"/>
    <w:rsid w:val="00950528"/>
    <w:rsid w:val="0095068C"/>
    <w:rsid w:val="009506C3"/>
    <w:rsid w:val="009506CE"/>
    <w:rsid w:val="0095078B"/>
    <w:rsid w:val="00950799"/>
    <w:rsid w:val="009507AE"/>
    <w:rsid w:val="009507DF"/>
    <w:rsid w:val="0095081E"/>
    <w:rsid w:val="00950831"/>
    <w:rsid w:val="00950867"/>
    <w:rsid w:val="009508E4"/>
    <w:rsid w:val="0095094F"/>
    <w:rsid w:val="0095095C"/>
    <w:rsid w:val="00950961"/>
    <w:rsid w:val="00950966"/>
    <w:rsid w:val="00950A10"/>
    <w:rsid w:val="00950A51"/>
    <w:rsid w:val="00950AA6"/>
    <w:rsid w:val="00950AD4"/>
    <w:rsid w:val="00950BFB"/>
    <w:rsid w:val="00950C23"/>
    <w:rsid w:val="00950C51"/>
    <w:rsid w:val="00950C6F"/>
    <w:rsid w:val="00950C97"/>
    <w:rsid w:val="00950D2F"/>
    <w:rsid w:val="00950E08"/>
    <w:rsid w:val="00950EFC"/>
    <w:rsid w:val="00950F7A"/>
    <w:rsid w:val="00950F93"/>
    <w:rsid w:val="00951039"/>
    <w:rsid w:val="00951048"/>
    <w:rsid w:val="009510D1"/>
    <w:rsid w:val="009510D6"/>
    <w:rsid w:val="009510EA"/>
    <w:rsid w:val="00951248"/>
    <w:rsid w:val="0095124D"/>
    <w:rsid w:val="0095137D"/>
    <w:rsid w:val="0095138D"/>
    <w:rsid w:val="009513C8"/>
    <w:rsid w:val="00951427"/>
    <w:rsid w:val="00951546"/>
    <w:rsid w:val="00951569"/>
    <w:rsid w:val="009515C6"/>
    <w:rsid w:val="009515E7"/>
    <w:rsid w:val="00951634"/>
    <w:rsid w:val="0095164F"/>
    <w:rsid w:val="00951719"/>
    <w:rsid w:val="00951781"/>
    <w:rsid w:val="0095179A"/>
    <w:rsid w:val="009517C5"/>
    <w:rsid w:val="009517C8"/>
    <w:rsid w:val="0095181B"/>
    <w:rsid w:val="0095183F"/>
    <w:rsid w:val="0095185F"/>
    <w:rsid w:val="009518CA"/>
    <w:rsid w:val="009518ED"/>
    <w:rsid w:val="0095193A"/>
    <w:rsid w:val="00951952"/>
    <w:rsid w:val="009519B3"/>
    <w:rsid w:val="00951A34"/>
    <w:rsid w:val="00951A56"/>
    <w:rsid w:val="00951C03"/>
    <w:rsid w:val="00951C07"/>
    <w:rsid w:val="00951C6B"/>
    <w:rsid w:val="00951C6C"/>
    <w:rsid w:val="00951C6D"/>
    <w:rsid w:val="00951E37"/>
    <w:rsid w:val="00951EA8"/>
    <w:rsid w:val="00951EEB"/>
    <w:rsid w:val="00951F0E"/>
    <w:rsid w:val="0095202A"/>
    <w:rsid w:val="00952055"/>
    <w:rsid w:val="009520A3"/>
    <w:rsid w:val="00952103"/>
    <w:rsid w:val="0095219A"/>
    <w:rsid w:val="0095225F"/>
    <w:rsid w:val="00952263"/>
    <w:rsid w:val="009522A9"/>
    <w:rsid w:val="009522B1"/>
    <w:rsid w:val="009522C5"/>
    <w:rsid w:val="009522DE"/>
    <w:rsid w:val="009522EE"/>
    <w:rsid w:val="0095238C"/>
    <w:rsid w:val="009523C6"/>
    <w:rsid w:val="009523C7"/>
    <w:rsid w:val="009523F3"/>
    <w:rsid w:val="00952467"/>
    <w:rsid w:val="009524FF"/>
    <w:rsid w:val="00952522"/>
    <w:rsid w:val="00952535"/>
    <w:rsid w:val="00952587"/>
    <w:rsid w:val="00952676"/>
    <w:rsid w:val="00952688"/>
    <w:rsid w:val="009527E9"/>
    <w:rsid w:val="00952869"/>
    <w:rsid w:val="009528A8"/>
    <w:rsid w:val="009528F7"/>
    <w:rsid w:val="00952905"/>
    <w:rsid w:val="00952909"/>
    <w:rsid w:val="00952936"/>
    <w:rsid w:val="0095293D"/>
    <w:rsid w:val="00952BA1"/>
    <w:rsid w:val="00952BA2"/>
    <w:rsid w:val="00952BA5"/>
    <w:rsid w:val="00952BD0"/>
    <w:rsid w:val="00952BD2"/>
    <w:rsid w:val="00952C4E"/>
    <w:rsid w:val="00952CDC"/>
    <w:rsid w:val="00952CE3"/>
    <w:rsid w:val="00952D83"/>
    <w:rsid w:val="00952DA5"/>
    <w:rsid w:val="00952DF2"/>
    <w:rsid w:val="00952E2A"/>
    <w:rsid w:val="00952E55"/>
    <w:rsid w:val="00952EB8"/>
    <w:rsid w:val="00952EFD"/>
    <w:rsid w:val="00952F0A"/>
    <w:rsid w:val="00952F55"/>
    <w:rsid w:val="00952FD4"/>
    <w:rsid w:val="0095310B"/>
    <w:rsid w:val="0095312D"/>
    <w:rsid w:val="00953130"/>
    <w:rsid w:val="0095314C"/>
    <w:rsid w:val="0095315C"/>
    <w:rsid w:val="00953217"/>
    <w:rsid w:val="0095323B"/>
    <w:rsid w:val="00953244"/>
    <w:rsid w:val="00953258"/>
    <w:rsid w:val="0095327C"/>
    <w:rsid w:val="009532E1"/>
    <w:rsid w:val="00953343"/>
    <w:rsid w:val="009533DE"/>
    <w:rsid w:val="00953414"/>
    <w:rsid w:val="00953444"/>
    <w:rsid w:val="00953460"/>
    <w:rsid w:val="00953475"/>
    <w:rsid w:val="00953500"/>
    <w:rsid w:val="009535D8"/>
    <w:rsid w:val="00953667"/>
    <w:rsid w:val="00953737"/>
    <w:rsid w:val="00953770"/>
    <w:rsid w:val="00953780"/>
    <w:rsid w:val="009537F0"/>
    <w:rsid w:val="0095385A"/>
    <w:rsid w:val="009538CE"/>
    <w:rsid w:val="0095395E"/>
    <w:rsid w:val="009539F0"/>
    <w:rsid w:val="009539F6"/>
    <w:rsid w:val="00953A13"/>
    <w:rsid w:val="00953B27"/>
    <w:rsid w:val="00953BE6"/>
    <w:rsid w:val="00953C9C"/>
    <w:rsid w:val="00953D8D"/>
    <w:rsid w:val="00953DE9"/>
    <w:rsid w:val="00953EBD"/>
    <w:rsid w:val="00953EF5"/>
    <w:rsid w:val="00953F0D"/>
    <w:rsid w:val="00953F91"/>
    <w:rsid w:val="00953F9C"/>
    <w:rsid w:val="00953FCB"/>
    <w:rsid w:val="00954016"/>
    <w:rsid w:val="0095403E"/>
    <w:rsid w:val="00954096"/>
    <w:rsid w:val="009541A7"/>
    <w:rsid w:val="00954286"/>
    <w:rsid w:val="0095445B"/>
    <w:rsid w:val="009544B9"/>
    <w:rsid w:val="0095461F"/>
    <w:rsid w:val="00954641"/>
    <w:rsid w:val="00954674"/>
    <w:rsid w:val="009547A0"/>
    <w:rsid w:val="0095481A"/>
    <w:rsid w:val="0095495F"/>
    <w:rsid w:val="00954A89"/>
    <w:rsid w:val="00954AC8"/>
    <w:rsid w:val="00954B26"/>
    <w:rsid w:val="00954B6D"/>
    <w:rsid w:val="00954B90"/>
    <w:rsid w:val="00954BC6"/>
    <w:rsid w:val="00954BC7"/>
    <w:rsid w:val="00954C3E"/>
    <w:rsid w:val="00954C45"/>
    <w:rsid w:val="00954CB1"/>
    <w:rsid w:val="00954CC4"/>
    <w:rsid w:val="00954D1E"/>
    <w:rsid w:val="00954D24"/>
    <w:rsid w:val="00954D43"/>
    <w:rsid w:val="00954D79"/>
    <w:rsid w:val="00954DA3"/>
    <w:rsid w:val="00954F31"/>
    <w:rsid w:val="00954F8A"/>
    <w:rsid w:val="00954FE0"/>
    <w:rsid w:val="00954FFB"/>
    <w:rsid w:val="0095501C"/>
    <w:rsid w:val="00955066"/>
    <w:rsid w:val="00955079"/>
    <w:rsid w:val="0095507A"/>
    <w:rsid w:val="00955095"/>
    <w:rsid w:val="0095516F"/>
    <w:rsid w:val="009551DB"/>
    <w:rsid w:val="00955247"/>
    <w:rsid w:val="009553C7"/>
    <w:rsid w:val="0095544E"/>
    <w:rsid w:val="0095549E"/>
    <w:rsid w:val="009554C8"/>
    <w:rsid w:val="009554FE"/>
    <w:rsid w:val="0095551F"/>
    <w:rsid w:val="00955600"/>
    <w:rsid w:val="0095566A"/>
    <w:rsid w:val="009556DD"/>
    <w:rsid w:val="0095574B"/>
    <w:rsid w:val="00955774"/>
    <w:rsid w:val="0095577E"/>
    <w:rsid w:val="009557EA"/>
    <w:rsid w:val="00955806"/>
    <w:rsid w:val="00955839"/>
    <w:rsid w:val="00955866"/>
    <w:rsid w:val="0095587D"/>
    <w:rsid w:val="009558B5"/>
    <w:rsid w:val="009558D5"/>
    <w:rsid w:val="009558E4"/>
    <w:rsid w:val="009558F1"/>
    <w:rsid w:val="0095594E"/>
    <w:rsid w:val="00955963"/>
    <w:rsid w:val="00955978"/>
    <w:rsid w:val="009559AF"/>
    <w:rsid w:val="009559E6"/>
    <w:rsid w:val="00955A49"/>
    <w:rsid w:val="00955A70"/>
    <w:rsid w:val="00955AEE"/>
    <w:rsid w:val="00955B28"/>
    <w:rsid w:val="00955B60"/>
    <w:rsid w:val="00955B72"/>
    <w:rsid w:val="00955C04"/>
    <w:rsid w:val="00955C4E"/>
    <w:rsid w:val="00955D39"/>
    <w:rsid w:val="00955D53"/>
    <w:rsid w:val="00955E45"/>
    <w:rsid w:val="00955F3D"/>
    <w:rsid w:val="00955F71"/>
    <w:rsid w:val="00955F9B"/>
    <w:rsid w:val="00955FB5"/>
    <w:rsid w:val="00955FC7"/>
    <w:rsid w:val="00956080"/>
    <w:rsid w:val="009560C7"/>
    <w:rsid w:val="009561F9"/>
    <w:rsid w:val="00956278"/>
    <w:rsid w:val="009562DA"/>
    <w:rsid w:val="0095631C"/>
    <w:rsid w:val="00956343"/>
    <w:rsid w:val="009563A2"/>
    <w:rsid w:val="0095643C"/>
    <w:rsid w:val="00956446"/>
    <w:rsid w:val="00956482"/>
    <w:rsid w:val="00956536"/>
    <w:rsid w:val="0095655A"/>
    <w:rsid w:val="00956564"/>
    <w:rsid w:val="0095656A"/>
    <w:rsid w:val="0095657B"/>
    <w:rsid w:val="009565FF"/>
    <w:rsid w:val="00956618"/>
    <w:rsid w:val="00956687"/>
    <w:rsid w:val="009566F3"/>
    <w:rsid w:val="00956804"/>
    <w:rsid w:val="0095688A"/>
    <w:rsid w:val="00956901"/>
    <w:rsid w:val="00956902"/>
    <w:rsid w:val="00956985"/>
    <w:rsid w:val="00956995"/>
    <w:rsid w:val="00956AC6"/>
    <w:rsid w:val="00956AC8"/>
    <w:rsid w:val="00956AD7"/>
    <w:rsid w:val="00956B2E"/>
    <w:rsid w:val="00956BC8"/>
    <w:rsid w:val="00956C01"/>
    <w:rsid w:val="00956CEE"/>
    <w:rsid w:val="00956D34"/>
    <w:rsid w:val="00956E15"/>
    <w:rsid w:val="00956E75"/>
    <w:rsid w:val="00956EAD"/>
    <w:rsid w:val="00956FB1"/>
    <w:rsid w:val="00957028"/>
    <w:rsid w:val="009570DF"/>
    <w:rsid w:val="009571DC"/>
    <w:rsid w:val="00957220"/>
    <w:rsid w:val="00957257"/>
    <w:rsid w:val="009572A0"/>
    <w:rsid w:val="009572A2"/>
    <w:rsid w:val="009572B7"/>
    <w:rsid w:val="009573B3"/>
    <w:rsid w:val="009573D2"/>
    <w:rsid w:val="009573D7"/>
    <w:rsid w:val="00957456"/>
    <w:rsid w:val="00957470"/>
    <w:rsid w:val="009574A8"/>
    <w:rsid w:val="009574C8"/>
    <w:rsid w:val="00957540"/>
    <w:rsid w:val="0095757A"/>
    <w:rsid w:val="00957595"/>
    <w:rsid w:val="009575DA"/>
    <w:rsid w:val="00957760"/>
    <w:rsid w:val="00957762"/>
    <w:rsid w:val="0095776A"/>
    <w:rsid w:val="009577D4"/>
    <w:rsid w:val="009577E5"/>
    <w:rsid w:val="009577F4"/>
    <w:rsid w:val="00957865"/>
    <w:rsid w:val="009578E1"/>
    <w:rsid w:val="009579D2"/>
    <w:rsid w:val="009579E3"/>
    <w:rsid w:val="00957A1B"/>
    <w:rsid w:val="00957A5E"/>
    <w:rsid w:val="00957AAC"/>
    <w:rsid w:val="00957AC1"/>
    <w:rsid w:val="00957B03"/>
    <w:rsid w:val="00957BA0"/>
    <w:rsid w:val="00957C01"/>
    <w:rsid w:val="00957D2C"/>
    <w:rsid w:val="00957D68"/>
    <w:rsid w:val="00957D83"/>
    <w:rsid w:val="00957E15"/>
    <w:rsid w:val="00957E17"/>
    <w:rsid w:val="00957E18"/>
    <w:rsid w:val="00957E93"/>
    <w:rsid w:val="00957F99"/>
    <w:rsid w:val="0096000D"/>
    <w:rsid w:val="0096002D"/>
    <w:rsid w:val="009600C5"/>
    <w:rsid w:val="0096012A"/>
    <w:rsid w:val="009601F9"/>
    <w:rsid w:val="009602E4"/>
    <w:rsid w:val="009602EE"/>
    <w:rsid w:val="00960448"/>
    <w:rsid w:val="00960510"/>
    <w:rsid w:val="009605B8"/>
    <w:rsid w:val="009605CA"/>
    <w:rsid w:val="009605CC"/>
    <w:rsid w:val="00960620"/>
    <w:rsid w:val="00960672"/>
    <w:rsid w:val="00960686"/>
    <w:rsid w:val="009606A5"/>
    <w:rsid w:val="009606CE"/>
    <w:rsid w:val="009606E7"/>
    <w:rsid w:val="009606E8"/>
    <w:rsid w:val="00960745"/>
    <w:rsid w:val="00960779"/>
    <w:rsid w:val="0096077A"/>
    <w:rsid w:val="00960807"/>
    <w:rsid w:val="00960830"/>
    <w:rsid w:val="0096094D"/>
    <w:rsid w:val="00960953"/>
    <w:rsid w:val="00960987"/>
    <w:rsid w:val="00960B2F"/>
    <w:rsid w:val="00960B84"/>
    <w:rsid w:val="00960C70"/>
    <w:rsid w:val="00960D21"/>
    <w:rsid w:val="00960D66"/>
    <w:rsid w:val="00960D73"/>
    <w:rsid w:val="00960DAD"/>
    <w:rsid w:val="00960E3D"/>
    <w:rsid w:val="00960E69"/>
    <w:rsid w:val="00960EA0"/>
    <w:rsid w:val="00960F68"/>
    <w:rsid w:val="00960F76"/>
    <w:rsid w:val="00960F7F"/>
    <w:rsid w:val="00960FB7"/>
    <w:rsid w:val="00960FE1"/>
    <w:rsid w:val="00961013"/>
    <w:rsid w:val="009610FD"/>
    <w:rsid w:val="00961110"/>
    <w:rsid w:val="00961191"/>
    <w:rsid w:val="009611C2"/>
    <w:rsid w:val="009611EB"/>
    <w:rsid w:val="009612CE"/>
    <w:rsid w:val="00961382"/>
    <w:rsid w:val="00961386"/>
    <w:rsid w:val="00961462"/>
    <w:rsid w:val="00961482"/>
    <w:rsid w:val="0096156A"/>
    <w:rsid w:val="00961581"/>
    <w:rsid w:val="00961682"/>
    <w:rsid w:val="009616DF"/>
    <w:rsid w:val="00961701"/>
    <w:rsid w:val="009617D2"/>
    <w:rsid w:val="009617EB"/>
    <w:rsid w:val="00961804"/>
    <w:rsid w:val="009618BC"/>
    <w:rsid w:val="00961970"/>
    <w:rsid w:val="00961976"/>
    <w:rsid w:val="00961B16"/>
    <w:rsid w:val="00961B76"/>
    <w:rsid w:val="00961B86"/>
    <w:rsid w:val="00961BBD"/>
    <w:rsid w:val="00961C20"/>
    <w:rsid w:val="00961D48"/>
    <w:rsid w:val="00961D69"/>
    <w:rsid w:val="00961DD7"/>
    <w:rsid w:val="00961DDE"/>
    <w:rsid w:val="00961DE6"/>
    <w:rsid w:val="00961E11"/>
    <w:rsid w:val="00961E1D"/>
    <w:rsid w:val="00961E3B"/>
    <w:rsid w:val="00961E98"/>
    <w:rsid w:val="00961EB4"/>
    <w:rsid w:val="00961EFE"/>
    <w:rsid w:val="00961F58"/>
    <w:rsid w:val="0096206D"/>
    <w:rsid w:val="00962098"/>
    <w:rsid w:val="0096210B"/>
    <w:rsid w:val="0096218E"/>
    <w:rsid w:val="00962192"/>
    <w:rsid w:val="0096220A"/>
    <w:rsid w:val="00962281"/>
    <w:rsid w:val="009622D9"/>
    <w:rsid w:val="009623D5"/>
    <w:rsid w:val="0096241F"/>
    <w:rsid w:val="0096242D"/>
    <w:rsid w:val="00962435"/>
    <w:rsid w:val="00962523"/>
    <w:rsid w:val="00962558"/>
    <w:rsid w:val="0096260C"/>
    <w:rsid w:val="00962650"/>
    <w:rsid w:val="009626AB"/>
    <w:rsid w:val="00962783"/>
    <w:rsid w:val="009627BD"/>
    <w:rsid w:val="009627F4"/>
    <w:rsid w:val="00962802"/>
    <w:rsid w:val="0096280C"/>
    <w:rsid w:val="0096285E"/>
    <w:rsid w:val="00962903"/>
    <w:rsid w:val="0096296C"/>
    <w:rsid w:val="00962AF3"/>
    <w:rsid w:val="00962B34"/>
    <w:rsid w:val="00962B3B"/>
    <w:rsid w:val="00962B4B"/>
    <w:rsid w:val="00962BD9"/>
    <w:rsid w:val="00962BF4"/>
    <w:rsid w:val="00962C0A"/>
    <w:rsid w:val="00962C0B"/>
    <w:rsid w:val="00962C7B"/>
    <w:rsid w:val="00962C99"/>
    <w:rsid w:val="00962CBB"/>
    <w:rsid w:val="00962D57"/>
    <w:rsid w:val="00962D89"/>
    <w:rsid w:val="00962DE1"/>
    <w:rsid w:val="00962E32"/>
    <w:rsid w:val="00962F04"/>
    <w:rsid w:val="00962F50"/>
    <w:rsid w:val="00962F69"/>
    <w:rsid w:val="00962F80"/>
    <w:rsid w:val="00963076"/>
    <w:rsid w:val="0096307C"/>
    <w:rsid w:val="0096313B"/>
    <w:rsid w:val="009631B1"/>
    <w:rsid w:val="00963206"/>
    <w:rsid w:val="0096328E"/>
    <w:rsid w:val="009632A7"/>
    <w:rsid w:val="009632E0"/>
    <w:rsid w:val="00963486"/>
    <w:rsid w:val="0096358B"/>
    <w:rsid w:val="009635E3"/>
    <w:rsid w:val="00963623"/>
    <w:rsid w:val="0096363C"/>
    <w:rsid w:val="0096363F"/>
    <w:rsid w:val="009636B4"/>
    <w:rsid w:val="00963719"/>
    <w:rsid w:val="0096374F"/>
    <w:rsid w:val="009637CE"/>
    <w:rsid w:val="009637EC"/>
    <w:rsid w:val="00963893"/>
    <w:rsid w:val="009638A8"/>
    <w:rsid w:val="00963975"/>
    <w:rsid w:val="0096398C"/>
    <w:rsid w:val="009639AD"/>
    <w:rsid w:val="009639D7"/>
    <w:rsid w:val="00963AA1"/>
    <w:rsid w:val="00963AB0"/>
    <w:rsid w:val="00963ADF"/>
    <w:rsid w:val="00963B18"/>
    <w:rsid w:val="00963B22"/>
    <w:rsid w:val="00963BEF"/>
    <w:rsid w:val="00963C0A"/>
    <w:rsid w:val="00963C11"/>
    <w:rsid w:val="00963C1C"/>
    <w:rsid w:val="00963C72"/>
    <w:rsid w:val="00963ECD"/>
    <w:rsid w:val="00963F08"/>
    <w:rsid w:val="00963F1F"/>
    <w:rsid w:val="00963F33"/>
    <w:rsid w:val="00963F55"/>
    <w:rsid w:val="00963FC5"/>
    <w:rsid w:val="00964026"/>
    <w:rsid w:val="00964060"/>
    <w:rsid w:val="009640F2"/>
    <w:rsid w:val="00964129"/>
    <w:rsid w:val="009641A6"/>
    <w:rsid w:val="00964277"/>
    <w:rsid w:val="00964322"/>
    <w:rsid w:val="00964376"/>
    <w:rsid w:val="0096439B"/>
    <w:rsid w:val="009643DC"/>
    <w:rsid w:val="0096444D"/>
    <w:rsid w:val="00964474"/>
    <w:rsid w:val="009644A9"/>
    <w:rsid w:val="009644E2"/>
    <w:rsid w:val="00964683"/>
    <w:rsid w:val="009646D8"/>
    <w:rsid w:val="0096473C"/>
    <w:rsid w:val="00964776"/>
    <w:rsid w:val="0096477D"/>
    <w:rsid w:val="0096484A"/>
    <w:rsid w:val="00964854"/>
    <w:rsid w:val="009648AE"/>
    <w:rsid w:val="009648EB"/>
    <w:rsid w:val="00964902"/>
    <w:rsid w:val="00964939"/>
    <w:rsid w:val="00964A43"/>
    <w:rsid w:val="00964A99"/>
    <w:rsid w:val="00964AE9"/>
    <w:rsid w:val="00964AF7"/>
    <w:rsid w:val="00964B65"/>
    <w:rsid w:val="00964B7F"/>
    <w:rsid w:val="00964B9E"/>
    <w:rsid w:val="00964BC8"/>
    <w:rsid w:val="00964C09"/>
    <w:rsid w:val="00964C3C"/>
    <w:rsid w:val="00964C67"/>
    <w:rsid w:val="00964CB9"/>
    <w:rsid w:val="00964E54"/>
    <w:rsid w:val="00964EE5"/>
    <w:rsid w:val="00964F50"/>
    <w:rsid w:val="00965021"/>
    <w:rsid w:val="009651A4"/>
    <w:rsid w:val="009651D2"/>
    <w:rsid w:val="0096521B"/>
    <w:rsid w:val="009652F3"/>
    <w:rsid w:val="0096530B"/>
    <w:rsid w:val="0096534E"/>
    <w:rsid w:val="009653BC"/>
    <w:rsid w:val="00965407"/>
    <w:rsid w:val="00965426"/>
    <w:rsid w:val="00965481"/>
    <w:rsid w:val="00965542"/>
    <w:rsid w:val="00965570"/>
    <w:rsid w:val="00965590"/>
    <w:rsid w:val="009655AB"/>
    <w:rsid w:val="00965620"/>
    <w:rsid w:val="00965632"/>
    <w:rsid w:val="0096569D"/>
    <w:rsid w:val="009656CA"/>
    <w:rsid w:val="00965705"/>
    <w:rsid w:val="009657F5"/>
    <w:rsid w:val="00965889"/>
    <w:rsid w:val="009658E8"/>
    <w:rsid w:val="0096596E"/>
    <w:rsid w:val="009659C9"/>
    <w:rsid w:val="00965A29"/>
    <w:rsid w:val="00965A67"/>
    <w:rsid w:val="00965AED"/>
    <w:rsid w:val="00965B27"/>
    <w:rsid w:val="00965B3E"/>
    <w:rsid w:val="00965B7D"/>
    <w:rsid w:val="00965BAC"/>
    <w:rsid w:val="00965BBB"/>
    <w:rsid w:val="00965BEC"/>
    <w:rsid w:val="00965C77"/>
    <w:rsid w:val="00965CA3"/>
    <w:rsid w:val="00965CA7"/>
    <w:rsid w:val="00965D3D"/>
    <w:rsid w:val="00965DAD"/>
    <w:rsid w:val="00965E17"/>
    <w:rsid w:val="00965E66"/>
    <w:rsid w:val="00965E76"/>
    <w:rsid w:val="00965EE4"/>
    <w:rsid w:val="00965F53"/>
    <w:rsid w:val="00965F88"/>
    <w:rsid w:val="0096607C"/>
    <w:rsid w:val="0096609E"/>
    <w:rsid w:val="009660D5"/>
    <w:rsid w:val="00966117"/>
    <w:rsid w:val="009661E5"/>
    <w:rsid w:val="00966238"/>
    <w:rsid w:val="0096625E"/>
    <w:rsid w:val="009662CA"/>
    <w:rsid w:val="00966323"/>
    <w:rsid w:val="0096645A"/>
    <w:rsid w:val="0096647D"/>
    <w:rsid w:val="009664BF"/>
    <w:rsid w:val="009664D8"/>
    <w:rsid w:val="00966511"/>
    <w:rsid w:val="00966514"/>
    <w:rsid w:val="00966518"/>
    <w:rsid w:val="00966575"/>
    <w:rsid w:val="009665D7"/>
    <w:rsid w:val="009665F3"/>
    <w:rsid w:val="00966615"/>
    <w:rsid w:val="0096669D"/>
    <w:rsid w:val="009666CA"/>
    <w:rsid w:val="009666F3"/>
    <w:rsid w:val="0096679B"/>
    <w:rsid w:val="009667C7"/>
    <w:rsid w:val="00966871"/>
    <w:rsid w:val="009668DE"/>
    <w:rsid w:val="009668F9"/>
    <w:rsid w:val="0096690A"/>
    <w:rsid w:val="00966976"/>
    <w:rsid w:val="009669A9"/>
    <w:rsid w:val="00966A18"/>
    <w:rsid w:val="00966A1C"/>
    <w:rsid w:val="00966A64"/>
    <w:rsid w:val="00966A69"/>
    <w:rsid w:val="00966AB5"/>
    <w:rsid w:val="00966AC9"/>
    <w:rsid w:val="00966CDE"/>
    <w:rsid w:val="00966CE2"/>
    <w:rsid w:val="00966E05"/>
    <w:rsid w:val="00966E0F"/>
    <w:rsid w:val="00966E85"/>
    <w:rsid w:val="00966EE9"/>
    <w:rsid w:val="00966FA5"/>
    <w:rsid w:val="00966FEF"/>
    <w:rsid w:val="00966FFD"/>
    <w:rsid w:val="00967087"/>
    <w:rsid w:val="009670C6"/>
    <w:rsid w:val="009670CA"/>
    <w:rsid w:val="009671C5"/>
    <w:rsid w:val="0096723A"/>
    <w:rsid w:val="0096731F"/>
    <w:rsid w:val="0096734D"/>
    <w:rsid w:val="00967388"/>
    <w:rsid w:val="009674B0"/>
    <w:rsid w:val="009674D2"/>
    <w:rsid w:val="009674F6"/>
    <w:rsid w:val="0096752B"/>
    <w:rsid w:val="0096754B"/>
    <w:rsid w:val="0096758B"/>
    <w:rsid w:val="00967631"/>
    <w:rsid w:val="00967683"/>
    <w:rsid w:val="00967726"/>
    <w:rsid w:val="00967744"/>
    <w:rsid w:val="00967769"/>
    <w:rsid w:val="0096779C"/>
    <w:rsid w:val="009677D6"/>
    <w:rsid w:val="0096787B"/>
    <w:rsid w:val="009678B0"/>
    <w:rsid w:val="009679A3"/>
    <w:rsid w:val="009679B5"/>
    <w:rsid w:val="009679D5"/>
    <w:rsid w:val="00967A94"/>
    <w:rsid w:val="00967A95"/>
    <w:rsid w:val="00967A9C"/>
    <w:rsid w:val="00967BC3"/>
    <w:rsid w:val="00967C72"/>
    <w:rsid w:val="00967CF7"/>
    <w:rsid w:val="00967D3F"/>
    <w:rsid w:val="00967D6E"/>
    <w:rsid w:val="00967D72"/>
    <w:rsid w:val="00967E44"/>
    <w:rsid w:val="00967ED0"/>
    <w:rsid w:val="00967ED8"/>
    <w:rsid w:val="00967F53"/>
    <w:rsid w:val="00967F89"/>
    <w:rsid w:val="00967FB7"/>
    <w:rsid w:val="0097006A"/>
    <w:rsid w:val="00970139"/>
    <w:rsid w:val="00970181"/>
    <w:rsid w:val="0097024D"/>
    <w:rsid w:val="0097028A"/>
    <w:rsid w:val="009702FA"/>
    <w:rsid w:val="009702FE"/>
    <w:rsid w:val="009703B6"/>
    <w:rsid w:val="0097040C"/>
    <w:rsid w:val="00970427"/>
    <w:rsid w:val="00970429"/>
    <w:rsid w:val="009704E7"/>
    <w:rsid w:val="009704F9"/>
    <w:rsid w:val="00970543"/>
    <w:rsid w:val="0097057D"/>
    <w:rsid w:val="009705AA"/>
    <w:rsid w:val="009705F6"/>
    <w:rsid w:val="00970600"/>
    <w:rsid w:val="00970684"/>
    <w:rsid w:val="00970693"/>
    <w:rsid w:val="0097069C"/>
    <w:rsid w:val="009706E4"/>
    <w:rsid w:val="00970724"/>
    <w:rsid w:val="00970745"/>
    <w:rsid w:val="00970760"/>
    <w:rsid w:val="00970764"/>
    <w:rsid w:val="00970773"/>
    <w:rsid w:val="0097088D"/>
    <w:rsid w:val="009708B2"/>
    <w:rsid w:val="009708C3"/>
    <w:rsid w:val="009708DF"/>
    <w:rsid w:val="009708F4"/>
    <w:rsid w:val="00970928"/>
    <w:rsid w:val="00970937"/>
    <w:rsid w:val="009709A3"/>
    <w:rsid w:val="009709B3"/>
    <w:rsid w:val="00970A7F"/>
    <w:rsid w:val="00970AF7"/>
    <w:rsid w:val="00970B46"/>
    <w:rsid w:val="00970B54"/>
    <w:rsid w:val="00970C60"/>
    <w:rsid w:val="00970CEF"/>
    <w:rsid w:val="00970E0F"/>
    <w:rsid w:val="00970F4C"/>
    <w:rsid w:val="00970FE9"/>
    <w:rsid w:val="00970FEF"/>
    <w:rsid w:val="00971061"/>
    <w:rsid w:val="0097108C"/>
    <w:rsid w:val="009710C8"/>
    <w:rsid w:val="009710E3"/>
    <w:rsid w:val="00971126"/>
    <w:rsid w:val="0097113C"/>
    <w:rsid w:val="0097118A"/>
    <w:rsid w:val="009711CB"/>
    <w:rsid w:val="009711D8"/>
    <w:rsid w:val="00971332"/>
    <w:rsid w:val="00971466"/>
    <w:rsid w:val="009715C9"/>
    <w:rsid w:val="00971677"/>
    <w:rsid w:val="0097167B"/>
    <w:rsid w:val="00971694"/>
    <w:rsid w:val="009716A4"/>
    <w:rsid w:val="009716DE"/>
    <w:rsid w:val="0097172E"/>
    <w:rsid w:val="009717B1"/>
    <w:rsid w:val="009717FC"/>
    <w:rsid w:val="00971856"/>
    <w:rsid w:val="00971864"/>
    <w:rsid w:val="00971907"/>
    <w:rsid w:val="00971992"/>
    <w:rsid w:val="009719DA"/>
    <w:rsid w:val="00971A1E"/>
    <w:rsid w:val="00971AAC"/>
    <w:rsid w:val="00971B4F"/>
    <w:rsid w:val="00971B93"/>
    <w:rsid w:val="00971CB6"/>
    <w:rsid w:val="00971CF8"/>
    <w:rsid w:val="00971D31"/>
    <w:rsid w:val="00971D5A"/>
    <w:rsid w:val="00971D8F"/>
    <w:rsid w:val="00971DD7"/>
    <w:rsid w:val="00971ED3"/>
    <w:rsid w:val="00971EDC"/>
    <w:rsid w:val="00971F2B"/>
    <w:rsid w:val="00971FE7"/>
    <w:rsid w:val="00972010"/>
    <w:rsid w:val="009720BE"/>
    <w:rsid w:val="009720F9"/>
    <w:rsid w:val="00972197"/>
    <w:rsid w:val="00972242"/>
    <w:rsid w:val="009722F2"/>
    <w:rsid w:val="009723B5"/>
    <w:rsid w:val="009723F3"/>
    <w:rsid w:val="00972402"/>
    <w:rsid w:val="009724B3"/>
    <w:rsid w:val="0097263A"/>
    <w:rsid w:val="0097265E"/>
    <w:rsid w:val="009726D5"/>
    <w:rsid w:val="009726E6"/>
    <w:rsid w:val="009726F2"/>
    <w:rsid w:val="0097277F"/>
    <w:rsid w:val="00972788"/>
    <w:rsid w:val="00972835"/>
    <w:rsid w:val="0097299F"/>
    <w:rsid w:val="009729B8"/>
    <w:rsid w:val="009729D6"/>
    <w:rsid w:val="00972A12"/>
    <w:rsid w:val="00972A4A"/>
    <w:rsid w:val="00972A4B"/>
    <w:rsid w:val="00972AA4"/>
    <w:rsid w:val="00972AA6"/>
    <w:rsid w:val="00972AD6"/>
    <w:rsid w:val="00972AEE"/>
    <w:rsid w:val="00972AEF"/>
    <w:rsid w:val="00972B15"/>
    <w:rsid w:val="00972B3A"/>
    <w:rsid w:val="00972B47"/>
    <w:rsid w:val="00972B6B"/>
    <w:rsid w:val="00972BA4"/>
    <w:rsid w:val="00972BC5"/>
    <w:rsid w:val="00972C1C"/>
    <w:rsid w:val="00972CEA"/>
    <w:rsid w:val="00972D18"/>
    <w:rsid w:val="00972D2B"/>
    <w:rsid w:val="00972D78"/>
    <w:rsid w:val="00972DDC"/>
    <w:rsid w:val="00972E3E"/>
    <w:rsid w:val="00972E5F"/>
    <w:rsid w:val="00972E6B"/>
    <w:rsid w:val="00972E85"/>
    <w:rsid w:val="00972EB2"/>
    <w:rsid w:val="00972EDF"/>
    <w:rsid w:val="00972F9E"/>
    <w:rsid w:val="00972FC1"/>
    <w:rsid w:val="00973012"/>
    <w:rsid w:val="0097307D"/>
    <w:rsid w:val="00973099"/>
    <w:rsid w:val="009731A7"/>
    <w:rsid w:val="009731B8"/>
    <w:rsid w:val="009731F5"/>
    <w:rsid w:val="00973263"/>
    <w:rsid w:val="009732DE"/>
    <w:rsid w:val="00973377"/>
    <w:rsid w:val="009733DF"/>
    <w:rsid w:val="00973507"/>
    <w:rsid w:val="0097350F"/>
    <w:rsid w:val="00973532"/>
    <w:rsid w:val="009735AC"/>
    <w:rsid w:val="009735BF"/>
    <w:rsid w:val="00973605"/>
    <w:rsid w:val="0097365F"/>
    <w:rsid w:val="0097367E"/>
    <w:rsid w:val="009736C1"/>
    <w:rsid w:val="009736DF"/>
    <w:rsid w:val="00973742"/>
    <w:rsid w:val="0097378E"/>
    <w:rsid w:val="0097387D"/>
    <w:rsid w:val="00973935"/>
    <w:rsid w:val="0097393E"/>
    <w:rsid w:val="00973971"/>
    <w:rsid w:val="00973973"/>
    <w:rsid w:val="009739BC"/>
    <w:rsid w:val="00973A3E"/>
    <w:rsid w:val="00973AB6"/>
    <w:rsid w:val="00973ACC"/>
    <w:rsid w:val="00973B09"/>
    <w:rsid w:val="00973B16"/>
    <w:rsid w:val="00973B70"/>
    <w:rsid w:val="00973B7A"/>
    <w:rsid w:val="00973B80"/>
    <w:rsid w:val="00973B90"/>
    <w:rsid w:val="00973C3C"/>
    <w:rsid w:val="00973C6F"/>
    <w:rsid w:val="00973CCB"/>
    <w:rsid w:val="00973CFB"/>
    <w:rsid w:val="00973DCE"/>
    <w:rsid w:val="00973E19"/>
    <w:rsid w:val="00973EB5"/>
    <w:rsid w:val="00973F2D"/>
    <w:rsid w:val="00973FC3"/>
    <w:rsid w:val="009740AD"/>
    <w:rsid w:val="009740B4"/>
    <w:rsid w:val="009740C9"/>
    <w:rsid w:val="00974124"/>
    <w:rsid w:val="0097414F"/>
    <w:rsid w:val="009741F7"/>
    <w:rsid w:val="00974247"/>
    <w:rsid w:val="0097424C"/>
    <w:rsid w:val="0097429A"/>
    <w:rsid w:val="0097430A"/>
    <w:rsid w:val="00974333"/>
    <w:rsid w:val="00974340"/>
    <w:rsid w:val="0097434B"/>
    <w:rsid w:val="009743E9"/>
    <w:rsid w:val="0097441B"/>
    <w:rsid w:val="009744EF"/>
    <w:rsid w:val="0097453E"/>
    <w:rsid w:val="0097456C"/>
    <w:rsid w:val="009745B3"/>
    <w:rsid w:val="00974674"/>
    <w:rsid w:val="009746E9"/>
    <w:rsid w:val="00974708"/>
    <w:rsid w:val="00974752"/>
    <w:rsid w:val="009747BC"/>
    <w:rsid w:val="00974831"/>
    <w:rsid w:val="0097485C"/>
    <w:rsid w:val="00974954"/>
    <w:rsid w:val="0097498D"/>
    <w:rsid w:val="009749AE"/>
    <w:rsid w:val="00974B2E"/>
    <w:rsid w:val="00974B85"/>
    <w:rsid w:val="00974BF3"/>
    <w:rsid w:val="00974C49"/>
    <w:rsid w:val="00974C79"/>
    <w:rsid w:val="00974CDE"/>
    <w:rsid w:val="00974CE4"/>
    <w:rsid w:val="00974CF3"/>
    <w:rsid w:val="00974E26"/>
    <w:rsid w:val="00974E3D"/>
    <w:rsid w:val="00974EC5"/>
    <w:rsid w:val="00974EE6"/>
    <w:rsid w:val="00974F33"/>
    <w:rsid w:val="00974F5D"/>
    <w:rsid w:val="00974FE0"/>
    <w:rsid w:val="0097504B"/>
    <w:rsid w:val="0097507E"/>
    <w:rsid w:val="009750A2"/>
    <w:rsid w:val="00975117"/>
    <w:rsid w:val="0097518B"/>
    <w:rsid w:val="00975408"/>
    <w:rsid w:val="009755E4"/>
    <w:rsid w:val="009755EA"/>
    <w:rsid w:val="0097566E"/>
    <w:rsid w:val="00975700"/>
    <w:rsid w:val="0097570F"/>
    <w:rsid w:val="009757A2"/>
    <w:rsid w:val="0097581B"/>
    <w:rsid w:val="0097584C"/>
    <w:rsid w:val="00975896"/>
    <w:rsid w:val="009759FD"/>
    <w:rsid w:val="00975A30"/>
    <w:rsid w:val="00975A79"/>
    <w:rsid w:val="00975B7A"/>
    <w:rsid w:val="00975BCC"/>
    <w:rsid w:val="00975BD0"/>
    <w:rsid w:val="00975C05"/>
    <w:rsid w:val="00975C91"/>
    <w:rsid w:val="00975C95"/>
    <w:rsid w:val="00975CDA"/>
    <w:rsid w:val="00975D22"/>
    <w:rsid w:val="00975D7D"/>
    <w:rsid w:val="00975D81"/>
    <w:rsid w:val="00975E04"/>
    <w:rsid w:val="00975E35"/>
    <w:rsid w:val="00975EB8"/>
    <w:rsid w:val="00975EE7"/>
    <w:rsid w:val="00975F5E"/>
    <w:rsid w:val="0097601B"/>
    <w:rsid w:val="0097605E"/>
    <w:rsid w:val="009760BE"/>
    <w:rsid w:val="009760FC"/>
    <w:rsid w:val="00976192"/>
    <w:rsid w:val="00976257"/>
    <w:rsid w:val="00976283"/>
    <w:rsid w:val="0097628A"/>
    <w:rsid w:val="0097629F"/>
    <w:rsid w:val="00976306"/>
    <w:rsid w:val="0097644B"/>
    <w:rsid w:val="00976452"/>
    <w:rsid w:val="009764A9"/>
    <w:rsid w:val="009764F6"/>
    <w:rsid w:val="0097654E"/>
    <w:rsid w:val="00976555"/>
    <w:rsid w:val="009765A9"/>
    <w:rsid w:val="009765C9"/>
    <w:rsid w:val="009765F2"/>
    <w:rsid w:val="00976634"/>
    <w:rsid w:val="00976841"/>
    <w:rsid w:val="00976854"/>
    <w:rsid w:val="0097687D"/>
    <w:rsid w:val="0097688D"/>
    <w:rsid w:val="009768B2"/>
    <w:rsid w:val="009768F6"/>
    <w:rsid w:val="00976B36"/>
    <w:rsid w:val="00976B59"/>
    <w:rsid w:val="00976B98"/>
    <w:rsid w:val="00976BFF"/>
    <w:rsid w:val="00976C70"/>
    <w:rsid w:val="00976C7B"/>
    <w:rsid w:val="00976CF4"/>
    <w:rsid w:val="00976D05"/>
    <w:rsid w:val="00976D1B"/>
    <w:rsid w:val="00976D88"/>
    <w:rsid w:val="00976D94"/>
    <w:rsid w:val="00976E28"/>
    <w:rsid w:val="00976E57"/>
    <w:rsid w:val="00976F47"/>
    <w:rsid w:val="009770BE"/>
    <w:rsid w:val="00977115"/>
    <w:rsid w:val="0097711F"/>
    <w:rsid w:val="00977158"/>
    <w:rsid w:val="0097716D"/>
    <w:rsid w:val="009771A7"/>
    <w:rsid w:val="009771B1"/>
    <w:rsid w:val="0097724C"/>
    <w:rsid w:val="009772DF"/>
    <w:rsid w:val="009772F5"/>
    <w:rsid w:val="009773B3"/>
    <w:rsid w:val="009773D9"/>
    <w:rsid w:val="00977440"/>
    <w:rsid w:val="00977478"/>
    <w:rsid w:val="009774A6"/>
    <w:rsid w:val="009774FA"/>
    <w:rsid w:val="00977525"/>
    <w:rsid w:val="0097758E"/>
    <w:rsid w:val="009775A5"/>
    <w:rsid w:val="009775B3"/>
    <w:rsid w:val="00977623"/>
    <w:rsid w:val="0097767F"/>
    <w:rsid w:val="009776CF"/>
    <w:rsid w:val="0097770E"/>
    <w:rsid w:val="00977789"/>
    <w:rsid w:val="00977846"/>
    <w:rsid w:val="00977977"/>
    <w:rsid w:val="009779B4"/>
    <w:rsid w:val="00977B1A"/>
    <w:rsid w:val="00977B22"/>
    <w:rsid w:val="00977BAC"/>
    <w:rsid w:val="00977C48"/>
    <w:rsid w:val="00977D7D"/>
    <w:rsid w:val="00977E2A"/>
    <w:rsid w:val="00977EDA"/>
    <w:rsid w:val="00977F6C"/>
    <w:rsid w:val="00977F7F"/>
    <w:rsid w:val="00977FCD"/>
    <w:rsid w:val="00980011"/>
    <w:rsid w:val="009800C7"/>
    <w:rsid w:val="009801BC"/>
    <w:rsid w:val="009801D9"/>
    <w:rsid w:val="009802AF"/>
    <w:rsid w:val="009802EC"/>
    <w:rsid w:val="009802FE"/>
    <w:rsid w:val="009803A0"/>
    <w:rsid w:val="009803AB"/>
    <w:rsid w:val="009803AD"/>
    <w:rsid w:val="009803CB"/>
    <w:rsid w:val="009803E3"/>
    <w:rsid w:val="00980430"/>
    <w:rsid w:val="00980436"/>
    <w:rsid w:val="009804FA"/>
    <w:rsid w:val="00980541"/>
    <w:rsid w:val="00980556"/>
    <w:rsid w:val="00980560"/>
    <w:rsid w:val="0098059C"/>
    <w:rsid w:val="009805F0"/>
    <w:rsid w:val="0098061D"/>
    <w:rsid w:val="0098067E"/>
    <w:rsid w:val="009806C3"/>
    <w:rsid w:val="00980711"/>
    <w:rsid w:val="00980780"/>
    <w:rsid w:val="00980784"/>
    <w:rsid w:val="009807CC"/>
    <w:rsid w:val="0098082C"/>
    <w:rsid w:val="00980849"/>
    <w:rsid w:val="009808AC"/>
    <w:rsid w:val="00980AA8"/>
    <w:rsid w:val="00980AC7"/>
    <w:rsid w:val="00980B35"/>
    <w:rsid w:val="00980D3A"/>
    <w:rsid w:val="00980D63"/>
    <w:rsid w:val="00980DE2"/>
    <w:rsid w:val="00980EC4"/>
    <w:rsid w:val="00980F04"/>
    <w:rsid w:val="00980F27"/>
    <w:rsid w:val="00980F4C"/>
    <w:rsid w:val="00980F6E"/>
    <w:rsid w:val="00980F72"/>
    <w:rsid w:val="00980F93"/>
    <w:rsid w:val="00980FCC"/>
    <w:rsid w:val="00980FFE"/>
    <w:rsid w:val="0098109E"/>
    <w:rsid w:val="00981192"/>
    <w:rsid w:val="00981237"/>
    <w:rsid w:val="00981264"/>
    <w:rsid w:val="009812CB"/>
    <w:rsid w:val="00981328"/>
    <w:rsid w:val="00981343"/>
    <w:rsid w:val="00981350"/>
    <w:rsid w:val="00981358"/>
    <w:rsid w:val="00981364"/>
    <w:rsid w:val="0098149F"/>
    <w:rsid w:val="009814F3"/>
    <w:rsid w:val="00981568"/>
    <w:rsid w:val="009815A4"/>
    <w:rsid w:val="00981615"/>
    <w:rsid w:val="0098167A"/>
    <w:rsid w:val="0098168A"/>
    <w:rsid w:val="009816B6"/>
    <w:rsid w:val="009817F3"/>
    <w:rsid w:val="00981803"/>
    <w:rsid w:val="00981818"/>
    <w:rsid w:val="00981938"/>
    <w:rsid w:val="00981959"/>
    <w:rsid w:val="00981975"/>
    <w:rsid w:val="00981977"/>
    <w:rsid w:val="00981982"/>
    <w:rsid w:val="009819F0"/>
    <w:rsid w:val="00981A1D"/>
    <w:rsid w:val="00981B0E"/>
    <w:rsid w:val="00981B11"/>
    <w:rsid w:val="00981BD0"/>
    <w:rsid w:val="00981BFD"/>
    <w:rsid w:val="00981C22"/>
    <w:rsid w:val="00981C73"/>
    <w:rsid w:val="00981C81"/>
    <w:rsid w:val="00981CCE"/>
    <w:rsid w:val="00981F56"/>
    <w:rsid w:val="00981F65"/>
    <w:rsid w:val="00981F68"/>
    <w:rsid w:val="00982009"/>
    <w:rsid w:val="00982016"/>
    <w:rsid w:val="009821A5"/>
    <w:rsid w:val="009821BF"/>
    <w:rsid w:val="00982254"/>
    <w:rsid w:val="00982262"/>
    <w:rsid w:val="0098228B"/>
    <w:rsid w:val="009822DC"/>
    <w:rsid w:val="009823D1"/>
    <w:rsid w:val="0098240A"/>
    <w:rsid w:val="009824D1"/>
    <w:rsid w:val="00982550"/>
    <w:rsid w:val="00982581"/>
    <w:rsid w:val="009825BF"/>
    <w:rsid w:val="009825EF"/>
    <w:rsid w:val="009826D0"/>
    <w:rsid w:val="009826D9"/>
    <w:rsid w:val="009826F7"/>
    <w:rsid w:val="00982720"/>
    <w:rsid w:val="00982730"/>
    <w:rsid w:val="00982802"/>
    <w:rsid w:val="00982816"/>
    <w:rsid w:val="00982898"/>
    <w:rsid w:val="0098289F"/>
    <w:rsid w:val="00982929"/>
    <w:rsid w:val="0098295A"/>
    <w:rsid w:val="009829AC"/>
    <w:rsid w:val="00982B86"/>
    <w:rsid w:val="00982BB9"/>
    <w:rsid w:val="00982C1F"/>
    <w:rsid w:val="00982C8A"/>
    <w:rsid w:val="00982CB3"/>
    <w:rsid w:val="00982CC5"/>
    <w:rsid w:val="00982D92"/>
    <w:rsid w:val="00982DD7"/>
    <w:rsid w:val="00982E41"/>
    <w:rsid w:val="00982E78"/>
    <w:rsid w:val="00982F5F"/>
    <w:rsid w:val="00982F74"/>
    <w:rsid w:val="00982F7A"/>
    <w:rsid w:val="00982FB5"/>
    <w:rsid w:val="009830AA"/>
    <w:rsid w:val="009830DF"/>
    <w:rsid w:val="00983109"/>
    <w:rsid w:val="00983120"/>
    <w:rsid w:val="0098314C"/>
    <w:rsid w:val="00983189"/>
    <w:rsid w:val="00983220"/>
    <w:rsid w:val="00983243"/>
    <w:rsid w:val="00983285"/>
    <w:rsid w:val="00983320"/>
    <w:rsid w:val="0098335F"/>
    <w:rsid w:val="0098339A"/>
    <w:rsid w:val="00983410"/>
    <w:rsid w:val="009834C2"/>
    <w:rsid w:val="009834E2"/>
    <w:rsid w:val="0098352E"/>
    <w:rsid w:val="00983548"/>
    <w:rsid w:val="009835A7"/>
    <w:rsid w:val="009835B2"/>
    <w:rsid w:val="009835DF"/>
    <w:rsid w:val="00983666"/>
    <w:rsid w:val="00983694"/>
    <w:rsid w:val="009836E2"/>
    <w:rsid w:val="00983724"/>
    <w:rsid w:val="009837C2"/>
    <w:rsid w:val="0098390C"/>
    <w:rsid w:val="009839E8"/>
    <w:rsid w:val="00983A09"/>
    <w:rsid w:val="00983A34"/>
    <w:rsid w:val="00983A67"/>
    <w:rsid w:val="00983A8A"/>
    <w:rsid w:val="00983B40"/>
    <w:rsid w:val="00983B71"/>
    <w:rsid w:val="00983BCC"/>
    <w:rsid w:val="00983C57"/>
    <w:rsid w:val="00983D0C"/>
    <w:rsid w:val="00983D19"/>
    <w:rsid w:val="00983DBE"/>
    <w:rsid w:val="00983DED"/>
    <w:rsid w:val="00983E42"/>
    <w:rsid w:val="00983E71"/>
    <w:rsid w:val="00983EAD"/>
    <w:rsid w:val="00983ED0"/>
    <w:rsid w:val="00983F23"/>
    <w:rsid w:val="00983F67"/>
    <w:rsid w:val="00983FF0"/>
    <w:rsid w:val="00984031"/>
    <w:rsid w:val="00984084"/>
    <w:rsid w:val="00984180"/>
    <w:rsid w:val="009841CF"/>
    <w:rsid w:val="00984265"/>
    <w:rsid w:val="0098428A"/>
    <w:rsid w:val="009842B6"/>
    <w:rsid w:val="0098435C"/>
    <w:rsid w:val="009843AE"/>
    <w:rsid w:val="0098447F"/>
    <w:rsid w:val="0098449E"/>
    <w:rsid w:val="009844D9"/>
    <w:rsid w:val="0098451A"/>
    <w:rsid w:val="009845D3"/>
    <w:rsid w:val="009845DB"/>
    <w:rsid w:val="00984636"/>
    <w:rsid w:val="00984781"/>
    <w:rsid w:val="0098485E"/>
    <w:rsid w:val="0098486F"/>
    <w:rsid w:val="00984880"/>
    <w:rsid w:val="0098490C"/>
    <w:rsid w:val="00984995"/>
    <w:rsid w:val="009849A3"/>
    <w:rsid w:val="00984A0D"/>
    <w:rsid w:val="00984A0F"/>
    <w:rsid w:val="00984A18"/>
    <w:rsid w:val="00984A2F"/>
    <w:rsid w:val="00984AD8"/>
    <w:rsid w:val="00984AED"/>
    <w:rsid w:val="00984B20"/>
    <w:rsid w:val="00984B90"/>
    <w:rsid w:val="00984BA3"/>
    <w:rsid w:val="00984BAA"/>
    <w:rsid w:val="00984C09"/>
    <w:rsid w:val="00984C4C"/>
    <w:rsid w:val="00984C4E"/>
    <w:rsid w:val="00984CE5"/>
    <w:rsid w:val="00984D56"/>
    <w:rsid w:val="00984D87"/>
    <w:rsid w:val="00984D91"/>
    <w:rsid w:val="00984E26"/>
    <w:rsid w:val="00984E3F"/>
    <w:rsid w:val="00984E59"/>
    <w:rsid w:val="00984E5F"/>
    <w:rsid w:val="009850AC"/>
    <w:rsid w:val="009851B9"/>
    <w:rsid w:val="009851C4"/>
    <w:rsid w:val="009851D1"/>
    <w:rsid w:val="009851F6"/>
    <w:rsid w:val="00985233"/>
    <w:rsid w:val="00985253"/>
    <w:rsid w:val="00985268"/>
    <w:rsid w:val="00985372"/>
    <w:rsid w:val="0098538E"/>
    <w:rsid w:val="0098541E"/>
    <w:rsid w:val="00985429"/>
    <w:rsid w:val="009855A1"/>
    <w:rsid w:val="009855B9"/>
    <w:rsid w:val="009855F1"/>
    <w:rsid w:val="009855F5"/>
    <w:rsid w:val="0098564D"/>
    <w:rsid w:val="00985682"/>
    <w:rsid w:val="0098569D"/>
    <w:rsid w:val="0098572A"/>
    <w:rsid w:val="00985733"/>
    <w:rsid w:val="00985772"/>
    <w:rsid w:val="00985810"/>
    <w:rsid w:val="00985857"/>
    <w:rsid w:val="0098585E"/>
    <w:rsid w:val="00985984"/>
    <w:rsid w:val="009859A0"/>
    <w:rsid w:val="00985A46"/>
    <w:rsid w:val="00985ABC"/>
    <w:rsid w:val="00985B56"/>
    <w:rsid w:val="00985C24"/>
    <w:rsid w:val="00985C56"/>
    <w:rsid w:val="00985C78"/>
    <w:rsid w:val="00985C96"/>
    <w:rsid w:val="00985CA8"/>
    <w:rsid w:val="00985CB4"/>
    <w:rsid w:val="00985CE1"/>
    <w:rsid w:val="00985CE3"/>
    <w:rsid w:val="00985D00"/>
    <w:rsid w:val="00985D4D"/>
    <w:rsid w:val="00985D51"/>
    <w:rsid w:val="00985D6D"/>
    <w:rsid w:val="00985F2F"/>
    <w:rsid w:val="00985F70"/>
    <w:rsid w:val="00985FBE"/>
    <w:rsid w:val="00985FCA"/>
    <w:rsid w:val="0098601D"/>
    <w:rsid w:val="00986049"/>
    <w:rsid w:val="00986070"/>
    <w:rsid w:val="00986102"/>
    <w:rsid w:val="00986119"/>
    <w:rsid w:val="009861AA"/>
    <w:rsid w:val="009861CB"/>
    <w:rsid w:val="009861F2"/>
    <w:rsid w:val="00986252"/>
    <w:rsid w:val="0098627B"/>
    <w:rsid w:val="009862A2"/>
    <w:rsid w:val="009862C0"/>
    <w:rsid w:val="0098633D"/>
    <w:rsid w:val="0098635C"/>
    <w:rsid w:val="009863B7"/>
    <w:rsid w:val="009863FE"/>
    <w:rsid w:val="00986422"/>
    <w:rsid w:val="00986427"/>
    <w:rsid w:val="0098647E"/>
    <w:rsid w:val="009864D9"/>
    <w:rsid w:val="0098653C"/>
    <w:rsid w:val="0098659E"/>
    <w:rsid w:val="009865B6"/>
    <w:rsid w:val="0098665A"/>
    <w:rsid w:val="009866A4"/>
    <w:rsid w:val="009866C4"/>
    <w:rsid w:val="00986744"/>
    <w:rsid w:val="009867C4"/>
    <w:rsid w:val="0098681C"/>
    <w:rsid w:val="009868AE"/>
    <w:rsid w:val="009868C8"/>
    <w:rsid w:val="00986938"/>
    <w:rsid w:val="009869A6"/>
    <w:rsid w:val="009869C9"/>
    <w:rsid w:val="009869F2"/>
    <w:rsid w:val="00986A02"/>
    <w:rsid w:val="00986A65"/>
    <w:rsid w:val="00986A72"/>
    <w:rsid w:val="00986BEF"/>
    <w:rsid w:val="00986C02"/>
    <w:rsid w:val="00986C14"/>
    <w:rsid w:val="00986C79"/>
    <w:rsid w:val="00986CF1"/>
    <w:rsid w:val="00986D88"/>
    <w:rsid w:val="00986DB1"/>
    <w:rsid w:val="00986DCC"/>
    <w:rsid w:val="00986F4A"/>
    <w:rsid w:val="00986F73"/>
    <w:rsid w:val="00986FA1"/>
    <w:rsid w:val="00986FDA"/>
    <w:rsid w:val="00987058"/>
    <w:rsid w:val="0098729E"/>
    <w:rsid w:val="009872B5"/>
    <w:rsid w:val="00987300"/>
    <w:rsid w:val="00987387"/>
    <w:rsid w:val="009873A9"/>
    <w:rsid w:val="009873C1"/>
    <w:rsid w:val="00987570"/>
    <w:rsid w:val="009875B0"/>
    <w:rsid w:val="0098762E"/>
    <w:rsid w:val="009876C8"/>
    <w:rsid w:val="00987743"/>
    <w:rsid w:val="00987776"/>
    <w:rsid w:val="00987798"/>
    <w:rsid w:val="009877DD"/>
    <w:rsid w:val="0098781B"/>
    <w:rsid w:val="0098790C"/>
    <w:rsid w:val="00987952"/>
    <w:rsid w:val="00987969"/>
    <w:rsid w:val="00987A14"/>
    <w:rsid w:val="00987A22"/>
    <w:rsid w:val="00987AA5"/>
    <w:rsid w:val="00987AA7"/>
    <w:rsid w:val="00987BB4"/>
    <w:rsid w:val="00987BE4"/>
    <w:rsid w:val="00987C26"/>
    <w:rsid w:val="00987C31"/>
    <w:rsid w:val="00987C74"/>
    <w:rsid w:val="00987CDB"/>
    <w:rsid w:val="00987D02"/>
    <w:rsid w:val="00987D9E"/>
    <w:rsid w:val="00987E02"/>
    <w:rsid w:val="00987E8F"/>
    <w:rsid w:val="00987EA5"/>
    <w:rsid w:val="00987ECE"/>
    <w:rsid w:val="00987F75"/>
    <w:rsid w:val="00987FE4"/>
    <w:rsid w:val="00990042"/>
    <w:rsid w:val="009900C7"/>
    <w:rsid w:val="009900EF"/>
    <w:rsid w:val="009901C0"/>
    <w:rsid w:val="009901FA"/>
    <w:rsid w:val="009902BF"/>
    <w:rsid w:val="0099030F"/>
    <w:rsid w:val="009903E3"/>
    <w:rsid w:val="0099043A"/>
    <w:rsid w:val="00990456"/>
    <w:rsid w:val="0099046A"/>
    <w:rsid w:val="009906C4"/>
    <w:rsid w:val="009906DD"/>
    <w:rsid w:val="0099077D"/>
    <w:rsid w:val="00990782"/>
    <w:rsid w:val="00990820"/>
    <w:rsid w:val="009908CF"/>
    <w:rsid w:val="009908E2"/>
    <w:rsid w:val="009909DF"/>
    <w:rsid w:val="00990A82"/>
    <w:rsid w:val="00990AF9"/>
    <w:rsid w:val="00990BD6"/>
    <w:rsid w:val="00990C2A"/>
    <w:rsid w:val="00990DD4"/>
    <w:rsid w:val="00990E0D"/>
    <w:rsid w:val="00990E3D"/>
    <w:rsid w:val="00990F83"/>
    <w:rsid w:val="00990F84"/>
    <w:rsid w:val="00990FF9"/>
    <w:rsid w:val="00990FFF"/>
    <w:rsid w:val="0099116C"/>
    <w:rsid w:val="00991199"/>
    <w:rsid w:val="009913BD"/>
    <w:rsid w:val="0099145E"/>
    <w:rsid w:val="00991472"/>
    <w:rsid w:val="009914BF"/>
    <w:rsid w:val="0099150B"/>
    <w:rsid w:val="0099153B"/>
    <w:rsid w:val="0099155A"/>
    <w:rsid w:val="0099157D"/>
    <w:rsid w:val="0099157F"/>
    <w:rsid w:val="009916CB"/>
    <w:rsid w:val="009916DF"/>
    <w:rsid w:val="00991772"/>
    <w:rsid w:val="009917E0"/>
    <w:rsid w:val="00991835"/>
    <w:rsid w:val="00991839"/>
    <w:rsid w:val="00991847"/>
    <w:rsid w:val="00991956"/>
    <w:rsid w:val="009919A0"/>
    <w:rsid w:val="009919C7"/>
    <w:rsid w:val="009919F2"/>
    <w:rsid w:val="00991A1A"/>
    <w:rsid w:val="00991B30"/>
    <w:rsid w:val="00991BE1"/>
    <w:rsid w:val="00991BFC"/>
    <w:rsid w:val="00991C23"/>
    <w:rsid w:val="00991C34"/>
    <w:rsid w:val="00991C98"/>
    <w:rsid w:val="00991C99"/>
    <w:rsid w:val="00991CA3"/>
    <w:rsid w:val="00991CC0"/>
    <w:rsid w:val="00991CC1"/>
    <w:rsid w:val="00991D3B"/>
    <w:rsid w:val="00991DA8"/>
    <w:rsid w:val="00991E9B"/>
    <w:rsid w:val="00991EF8"/>
    <w:rsid w:val="00991F7A"/>
    <w:rsid w:val="0099208C"/>
    <w:rsid w:val="009920CA"/>
    <w:rsid w:val="009920FE"/>
    <w:rsid w:val="00992214"/>
    <w:rsid w:val="0099222D"/>
    <w:rsid w:val="0099225E"/>
    <w:rsid w:val="009922CA"/>
    <w:rsid w:val="0099234E"/>
    <w:rsid w:val="00992408"/>
    <w:rsid w:val="0099240D"/>
    <w:rsid w:val="00992426"/>
    <w:rsid w:val="00992480"/>
    <w:rsid w:val="0099251E"/>
    <w:rsid w:val="00992531"/>
    <w:rsid w:val="009926C8"/>
    <w:rsid w:val="009927DB"/>
    <w:rsid w:val="009927E2"/>
    <w:rsid w:val="0099286C"/>
    <w:rsid w:val="009928E4"/>
    <w:rsid w:val="00992940"/>
    <w:rsid w:val="00992960"/>
    <w:rsid w:val="0099298B"/>
    <w:rsid w:val="009929A1"/>
    <w:rsid w:val="009929D2"/>
    <w:rsid w:val="009929DB"/>
    <w:rsid w:val="00992A47"/>
    <w:rsid w:val="00992AAD"/>
    <w:rsid w:val="00992ABB"/>
    <w:rsid w:val="00992AC1"/>
    <w:rsid w:val="00992ACD"/>
    <w:rsid w:val="00992AD4"/>
    <w:rsid w:val="00992B60"/>
    <w:rsid w:val="00992C23"/>
    <w:rsid w:val="00992D1B"/>
    <w:rsid w:val="00992D2E"/>
    <w:rsid w:val="00992E2D"/>
    <w:rsid w:val="00992E50"/>
    <w:rsid w:val="00992FB1"/>
    <w:rsid w:val="00992FC7"/>
    <w:rsid w:val="009930C9"/>
    <w:rsid w:val="009930CF"/>
    <w:rsid w:val="009931AE"/>
    <w:rsid w:val="009931C2"/>
    <w:rsid w:val="009931EB"/>
    <w:rsid w:val="009932C7"/>
    <w:rsid w:val="009932E7"/>
    <w:rsid w:val="0099331A"/>
    <w:rsid w:val="00993375"/>
    <w:rsid w:val="00993441"/>
    <w:rsid w:val="00993477"/>
    <w:rsid w:val="009934E5"/>
    <w:rsid w:val="0099357D"/>
    <w:rsid w:val="00993671"/>
    <w:rsid w:val="009937EF"/>
    <w:rsid w:val="009937F5"/>
    <w:rsid w:val="0099385E"/>
    <w:rsid w:val="0099386D"/>
    <w:rsid w:val="009938E1"/>
    <w:rsid w:val="0099390C"/>
    <w:rsid w:val="0099391E"/>
    <w:rsid w:val="009939B2"/>
    <w:rsid w:val="009939CB"/>
    <w:rsid w:val="00993A06"/>
    <w:rsid w:val="00993A4A"/>
    <w:rsid w:val="00993A53"/>
    <w:rsid w:val="00993AB9"/>
    <w:rsid w:val="00993AD2"/>
    <w:rsid w:val="00993B2E"/>
    <w:rsid w:val="00993B49"/>
    <w:rsid w:val="00993C11"/>
    <w:rsid w:val="00993C13"/>
    <w:rsid w:val="00993CF1"/>
    <w:rsid w:val="00993D40"/>
    <w:rsid w:val="00993DEF"/>
    <w:rsid w:val="00993DF6"/>
    <w:rsid w:val="00993E1D"/>
    <w:rsid w:val="00993E32"/>
    <w:rsid w:val="00993EE5"/>
    <w:rsid w:val="00993EF8"/>
    <w:rsid w:val="00993F50"/>
    <w:rsid w:val="00993FA9"/>
    <w:rsid w:val="00993FDA"/>
    <w:rsid w:val="00994065"/>
    <w:rsid w:val="0099416F"/>
    <w:rsid w:val="0099428A"/>
    <w:rsid w:val="0099428E"/>
    <w:rsid w:val="009942DE"/>
    <w:rsid w:val="00994346"/>
    <w:rsid w:val="0099434C"/>
    <w:rsid w:val="00994353"/>
    <w:rsid w:val="009943E2"/>
    <w:rsid w:val="0099449D"/>
    <w:rsid w:val="009944F6"/>
    <w:rsid w:val="009945A2"/>
    <w:rsid w:val="00994629"/>
    <w:rsid w:val="0099465C"/>
    <w:rsid w:val="0099465E"/>
    <w:rsid w:val="009946FE"/>
    <w:rsid w:val="00994722"/>
    <w:rsid w:val="00994741"/>
    <w:rsid w:val="00994752"/>
    <w:rsid w:val="00994855"/>
    <w:rsid w:val="0099486B"/>
    <w:rsid w:val="009948EC"/>
    <w:rsid w:val="009949BA"/>
    <w:rsid w:val="009949BE"/>
    <w:rsid w:val="009949C7"/>
    <w:rsid w:val="00994A64"/>
    <w:rsid w:val="00994A9B"/>
    <w:rsid w:val="00994AC7"/>
    <w:rsid w:val="00994B04"/>
    <w:rsid w:val="00994B31"/>
    <w:rsid w:val="00994B4A"/>
    <w:rsid w:val="00994B90"/>
    <w:rsid w:val="00994BC1"/>
    <w:rsid w:val="00994C1B"/>
    <w:rsid w:val="00994C6D"/>
    <w:rsid w:val="00994CA2"/>
    <w:rsid w:val="00994CB4"/>
    <w:rsid w:val="00994D08"/>
    <w:rsid w:val="00994D64"/>
    <w:rsid w:val="00994D68"/>
    <w:rsid w:val="00994DF3"/>
    <w:rsid w:val="00994E95"/>
    <w:rsid w:val="00994EC0"/>
    <w:rsid w:val="00994EEF"/>
    <w:rsid w:val="00994F26"/>
    <w:rsid w:val="00994F4B"/>
    <w:rsid w:val="00994F6E"/>
    <w:rsid w:val="00994F7C"/>
    <w:rsid w:val="00994F88"/>
    <w:rsid w:val="00994FCF"/>
    <w:rsid w:val="00994FDB"/>
    <w:rsid w:val="009950A2"/>
    <w:rsid w:val="009950AF"/>
    <w:rsid w:val="009950BD"/>
    <w:rsid w:val="009950E4"/>
    <w:rsid w:val="0099511F"/>
    <w:rsid w:val="00995198"/>
    <w:rsid w:val="0099520D"/>
    <w:rsid w:val="00995237"/>
    <w:rsid w:val="009953D2"/>
    <w:rsid w:val="00995409"/>
    <w:rsid w:val="0099556C"/>
    <w:rsid w:val="00995590"/>
    <w:rsid w:val="009955B6"/>
    <w:rsid w:val="00995684"/>
    <w:rsid w:val="009956E0"/>
    <w:rsid w:val="009956F9"/>
    <w:rsid w:val="00995746"/>
    <w:rsid w:val="0099574D"/>
    <w:rsid w:val="00995780"/>
    <w:rsid w:val="0099579C"/>
    <w:rsid w:val="009957EF"/>
    <w:rsid w:val="00995813"/>
    <w:rsid w:val="0099584D"/>
    <w:rsid w:val="009958EF"/>
    <w:rsid w:val="00995925"/>
    <w:rsid w:val="0099598E"/>
    <w:rsid w:val="009959C3"/>
    <w:rsid w:val="009959C7"/>
    <w:rsid w:val="009959E3"/>
    <w:rsid w:val="00995A18"/>
    <w:rsid w:val="00995AA5"/>
    <w:rsid w:val="00995AEF"/>
    <w:rsid w:val="00995B3A"/>
    <w:rsid w:val="00995B88"/>
    <w:rsid w:val="00995BB1"/>
    <w:rsid w:val="00995C33"/>
    <w:rsid w:val="00995C68"/>
    <w:rsid w:val="00995CD2"/>
    <w:rsid w:val="00995DBC"/>
    <w:rsid w:val="00995E07"/>
    <w:rsid w:val="00995E6F"/>
    <w:rsid w:val="00995E93"/>
    <w:rsid w:val="00995ECC"/>
    <w:rsid w:val="00995F85"/>
    <w:rsid w:val="00995F8D"/>
    <w:rsid w:val="00996068"/>
    <w:rsid w:val="009960F3"/>
    <w:rsid w:val="00996129"/>
    <w:rsid w:val="009961A4"/>
    <w:rsid w:val="009961B4"/>
    <w:rsid w:val="009961B8"/>
    <w:rsid w:val="00996250"/>
    <w:rsid w:val="009962AF"/>
    <w:rsid w:val="009962CC"/>
    <w:rsid w:val="009962E2"/>
    <w:rsid w:val="0099633E"/>
    <w:rsid w:val="00996349"/>
    <w:rsid w:val="0099634A"/>
    <w:rsid w:val="00996372"/>
    <w:rsid w:val="00996459"/>
    <w:rsid w:val="00996472"/>
    <w:rsid w:val="00996500"/>
    <w:rsid w:val="00996573"/>
    <w:rsid w:val="009965CE"/>
    <w:rsid w:val="00996758"/>
    <w:rsid w:val="00996799"/>
    <w:rsid w:val="009967BA"/>
    <w:rsid w:val="00996816"/>
    <w:rsid w:val="00996890"/>
    <w:rsid w:val="009968A9"/>
    <w:rsid w:val="00996953"/>
    <w:rsid w:val="009969B7"/>
    <w:rsid w:val="009969C6"/>
    <w:rsid w:val="009969CA"/>
    <w:rsid w:val="00996A12"/>
    <w:rsid w:val="00996A8A"/>
    <w:rsid w:val="00996B0E"/>
    <w:rsid w:val="00996B1E"/>
    <w:rsid w:val="00996B99"/>
    <w:rsid w:val="00996C10"/>
    <w:rsid w:val="00996C26"/>
    <w:rsid w:val="00996C38"/>
    <w:rsid w:val="00996C65"/>
    <w:rsid w:val="00996C92"/>
    <w:rsid w:val="00996CA5"/>
    <w:rsid w:val="00996D79"/>
    <w:rsid w:val="00996DF1"/>
    <w:rsid w:val="00996E17"/>
    <w:rsid w:val="00996EF7"/>
    <w:rsid w:val="00996EFB"/>
    <w:rsid w:val="00996F69"/>
    <w:rsid w:val="00996FEC"/>
    <w:rsid w:val="0099706A"/>
    <w:rsid w:val="009970F0"/>
    <w:rsid w:val="00997108"/>
    <w:rsid w:val="00997125"/>
    <w:rsid w:val="0099712B"/>
    <w:rsid w:val="00997151"/>
    <w:rsid w:val="00997279"/>
    <w:rsid w:val="009972DD"/>
    <w:rsid w:val="00997345"/>
    <w:rsid w:val="0099738B"/>
    <w:rsid w:val="00997409"/>
    <w:rsid w:val="0099748A"/>
    <w:rsid w:val="009974D2"/>
    <w:rsid w:val="00997520"/>
    <w:rsid w:val="0099755A"/>
    <w:rsid w:val="0099755F"/>
    <w:rsid w:val="0099756C"/>
    <w:rsid w:val="00997581"/>
    <w:rsid w:val="0099759B"/>
    <w:rsid w:val="009975E8"/>
    <w:rsid w:val="0099763E"/>
    <w:rsid w:val="0099765F"/>
    <w:rsid w:val="0099770D"/>
    <w:rsid w:val="0099772A"/>
    <w:rsid w:val="00997795"/>
    <w:rsid w:val="009977B0"/>
    <w:rsid w:val="00997893"/>
    <w:rsid w:val="00997897"/>
    <w:rsid w:val="009978FB"/>
    <w:rsid w:val="0099799F"/>
    <w:rsid w:val="009979B6"/>
    <w:rsid w:val="00997A01"/>
    <w:rsid w:val="00997B29"/>
    <w:rsid w:val="00997B49"/>
    <w:rsid w:val="00997B8D"/>
    <w:rsid w:val="00997BA6"/>
    <w:rsid w:val="00997BDF"/>
    <w:rsid w:val="00997BFF"/>
    <w:rsid w:val="00997C52"/>
    <w:rsid w:val="00997C72"/>
    <w:rsid w:val="00997CBB"/>
    <w:rsid w:val="00997D06"/>
    <w:rsid w:val="00997D49"/>
    <w:rsid w:val="00997DD2"/>
    <w:rsid w:val="00997DE0"/>
    <w:rsid w:val="00997E32"/>
    <w:rsid w:val="00997E83"/>
    <w:rsid w:val="00997F01"/>
    <w:rsid w:val="00997FEB"/>
    <w:rsid w:val="00997FFA"/>
    <w:rsid w:val="009A0046"/>
    <w:rsid w:val="009A019C"/>
    <w:rsid w:val="009A01B2"/>
    <w:rsid w:val="009A01C5"/>
    <w:rsid w:val="009A021E"/>
    <w:rsid w:val="009A0253"/>
    <w:rsid w:val="009A028B"/>
    <w:rsid w:val="009A02EE"/>
    <w:rsid w:val="009A0313"/>
    <w:rsid w:val="009A0349"/>
    <w:rsid w:val="009A037E"/>
    <w:rsid w:val="009A042D"/>
    <w:rsid w:val="009A0446"/>
    <w:rsid w:val="009A04F7"/>
    <w:rsid w:val="009A0508"/>
    <w:rsid w:val="009A0553"/>
    <w:rsid w:val="009A0634"/>
    <w:rsid w:val="009A064A"/>
    <w:rsid w:val="009A065B"/>
    <w:rsid w:val="009A067F"/>
    <w:rsid w:val="009A06B0"/>
    <w:rsid w:val="009A06CD"/>
    <w:rsid w:val="009A0827"/>
    <w:rsid w:val="009A087A"/>
    <w:rsid w:val="009A08D1"/>
    <w:rsid w:val="009A08D2"/>
    <w:rsid w:val="009A08D7"/>
    <w:rsid w:val="009A08D9"/>
    <w:rsid w:val="009A090A"/>
    <w:rsid w:val="009A099A"/>
    <w:rsid w:val="009A099C"/>
    <w:rsid w:val="009A09BA"/>
    <w:rsid w:val="009A0A2B"/>
    <w:rsid w:val="009A0AE4"/>
    <w:rsid w:val="009A0B26"/>
    <w:rsid w:val="009A0B51"/>
    <w:rsid w:val="009A0C58"/>
    <w:rsid w:val="009A0D80"/>
    <w:rsid w:val="009A0DED"/>
    <w:rsid w:val="009A0E37"/>
    <w:rsid w:val="009A0E90"/>
    <w:rsid w:val="009A0F63"/>
    <w:rsid w:val="009A0FA8"/>
    <w:rsid w:val="009A0FBB"/>
    <w:rsid w:val="009A119E"/>
    <w:rsid w:val="009A11EF"/>
    <w:rsid w:val="009A129F"/>
    <w:rsid w:val="009A13BB"/>
    <w:rsid w:val="009A13C8"/>
    <w:rsid w:val="009A1549"/>
    <w:rsid w:val="009A161E"/>
    <w:rsid w:val="009A1691"/>
    <w:rsid w:val="009A16A7"/>
    <w:rsid w:val="009A16E9"/>
    <w:rsid w:val="009A1740"/>
    <w:rsid w:val="009A177A"/>
    <w:rsid w:val="009A17A5"/>
    <w:rsid w:val="009A17B0"/>
    <w:rsid w:val="009A17B2"/>
    <w:rsid w:val="009A17BA"/>
    <w:rsid w:val="009A186E"/>
    <w:rsid w:val="009A18B8"/>
    <w:rsid w:val="009A18BA"/>
    <w:rsid w:val="009A1918"/>
    <w:rsid w:val="009A1926"/>
    <w:rsid w:val="009A196E"/>
    <w:rsid w:val="009A1AB9"/>
    <w:rsid w:val="009A1B08"/>
    <w:rsid w:val="009A1BF1"/>
    <w:rsid w:val="009A1C8E"/>
    <w:rsid w:val="009A1D38"/>
    <w:rsid w:val="009A1D85"/>
    <w:rsid w:val="009A1E4C"/>
    <w:rsid w:val="009A1ED6"/>
    <w:rsid w:val="009A1F25"/>
    <w:rsid w:val="009A20CA"/>
    <w:rsid w:val="009A2167"/>
    <w:rsid w:val="009A217C"/>
    <w:rsid w:val="009A21AF"/>
    <w:rsid w:val="009A21F0"/>
    <w:rsid w:val="009A22D5"/>
    <w:rsid w:val="009A2321"/>
    <w:rsid w:val="009A2384"/>
    <w:rsid w:val="009A23DE"/>
    <w:rsid w:val="009A249E"/>
    <w:rsid w:val="009A24DA"/>
    <w:rsid w:val="009A2516"/>
    <w:rsid w:val="009A257A"/>
    <w:rsid w:val="009A25D8"/>
    <w:rsid w:val="009A2606"/>
    <w:rsid w:val="009A26CB"/>
    <w:rsid w:val="009A26CE"/>
    <w:rsid w:val="009A26F0"/>
    <w:rsid w:val="009A26FC"/>
    <w:rsid w:val="009A2788"/>
    <w:rsid w:val="009A287F"/>
    <w:rsid w:val="009A28B7"/>
    <w:rsid w:val="009A28D0"/>
    <w:rsid w:val="009A290A"/>
    <w:rsid w:val="009A2954"/>
    <w:rsid w:val="009A2999"/>
    <w:rsid w:val="009A2A0D"/>
    <w:rsid w:val="009A2A38"/>
    <w:rsid w:val="009A2A42"/>
    <w:rsid w:val="009A2A98"/>
    <w:rsid w:val="009A2B19"/>
    <w:rsid w:val="009A2B30"/>
    <w:rsid w:val="009A2B87"/>
    <w:rsid w:val="009A2BD8"/>
    <w:rsid w:val="009A2C52"/>
    <w:rsid w:val="009A2C75"/>
    <w:rsid w:val="009A2CE8"/>
    <w:rsid w:val="009A2D26"/>
    <w:rsid w:val="009A2D63"/>
    <w:rsid w:val="009A2D74"/>
    <w:rsid w:val="009A2DA3"/>
    <w:rsid w:val="009A2E90"/>
    <w:rsid w:val="009A2EE1"/>
    <w:rsid w:val="009A2F12"/>
    <w:rsid w:val="009A2F36"/>
    <w:rsid w:val="009A2FC5"/>
    <w:rsid w:val="009A2FDD"/>
    <w:rsid w:val="009A3014"/>
    <w:rsid w:val="009A3071"/>
    <w:rsid w:val="009A30A3"/>
    <w:rsid w:val="009A30A4"/>
    <w:rsid w:val="009A30B3"/>
    <w:rsid w:val="009A3114"/>
    <w:rsid w:val="009A3173"/>
    <w:rsid w:val="009A3245"/>
    <w:rsid w:val="009A3269"/>
    <w:rsid w:val="009A32A4"/>
    <w:rsid w:val="009A3374"/>
    <w:rsid w:val="009A349F"/>
    <w:rsid w:val="009A34AD"/>
    <w:rsid w:val="009A3510"/>
    <w:rsid w:val="009A3523"/>
    <w:rsid w:val="009A3548"/>
    <w:rsid w:val="009A356F"/>
    <w:rsid w:val="009A35D8"/>
    <w:rsid w:val="009A35F4"/>
    <w:rsid w:val="009A370F"/>
    <w:rsid w:val="009A3904"/>
    <w:rsid w:val="009A3927"/>
    <w:rsid w:val="009A3937"/>
    <w:rsid w:val="009A3992"/>
    <w:rsid w:val="009A39B8"/>
    <w:rsid w:val="009A3AF0"/>
    <w:rsid w:val="009A3B17"/>
    <w:rsid w:val="009A3BA1"/>
    <w:rsid w:val="009A3BE6"/>
    <w:rsid w:val="009A3C0F"/>
    <w:rsid w:val="009A3D29"/>
    <w:rsid w:val="009A3EF8"/>
    <w:rsid w:val="009A3F65"/>
    <w:rsid w:val="009A3FAE"/>
    <w:rsid w:val="009A4061"/>
    <w:rsid w:val="009A4093"/>
    <w:rsid w:val="009A40E4"/>
    <w:rsid w:val="009A40FB"/>
    <w:rsid w:val="009A413A"/>
    <w:rsid w:val="009A41BE"/>
    <w:rsid w:val="009A41C8"/>
    <w:rsid w:val="009A423C"/>
    <w:rsid w:val="009A42BD"/>
    <w:rsid w:val="009A42F3"/>
    <w:rsid w:val="009A4308"/>
    <w:rsid w:val="009A436B"/>
    <w:rsid w:val="009A44AC"/>
    <w:rsid w:val="009A44BD"/>
    <w:rsid w:val="009A44F5"/>
    <w:rsid w:val="009A4553"/>
    <w:rsid w:val="009A45F7"/>
    <w:rsid w:val="009A469C"/>
    <w:rsid w:val="009A46A6"/>
    <w:rsid w:val="009A46E5"/>
    <w:rsid w:val="009A4759"/>
    <w:rsid w:val="009A47C3"/>
    <w:rsid w:val="009A4843"/>
    <w:rsid w:val="009A486B"/>
    <w:rsid w:val="009A487C"/>
    <w:rsid w:val="009A488E"/>
    <w:rsid w:val="009A48E8"/>
    <w:rsid w:val="009A48F4"/>
    <w:rsid w:val="009A4955"/>
    <w:rsid w:val="009A49AA"/>
    <w:rsid w:val="009A4A8B"/>
    <w:rsid w:val="009A4AE1"/>
    <w:rsid w:val="009A4B1F"/>
    <w:rsid w:val="009A4BB0"/>
    <w:rsid w:val="009A4BCC"/>
    <w:rsid w:val="009A4C10"/>
    <w:rsid w:val="009A4C1F"/>
    <w:rsid w:val="009A4C25"/>
    <w:rsid w:val="009A4D50"/>
    <w:rsid w:val="009A4D84"/>
    <w:rsid w:val="009A4E90"/>
    <w:rsid w:val="009A4EB4"/>
    <w:rsid w:val="009A4F0B"/>
    <w:rsid w:val="009A4F41"/>
    <w:rsid w:val="009A4F42"/>
    <w:rsid w:val="009A4FA8"/>
    <w:rsid w:val="009A506E"/>
    <w:rsid w:val="009A5113"/>
    <w:rsid w:val="009A517A"/>
    <w:rsid w:val="009A519E"/>
    <w:rsid w:val="009A51C2"/>
    <w:rsid w:val="009A522A"/>
    <w:rsid w:val="009A5256"/>
    <w:rsid w:val="009A537D"/>
    <w:rsid w:val="009A53D5"/>
    <w:rsid w:val="009A5411"/>
    <w:rsid w:val="009A549C"/>
    <w:rsid w:val="009A54F7"/>
    <w:rsid w:val="009A551A"/>
    <w:rsid w:val="009A5529"/>
    <w:rsid w:val="009A554C"/>
    <w:rsid w:val="009A555E"/>
    <w:rsid w:val="009A5589"/>
    <w:rsid w:val="009A559C"/>
    <w:rsid w:val="009A55B8"/>
    <w:rsid w:val="009A55C1"/>
    <w:rsid w:val="009A55DF"/>
    <w:rsid w:val="009A55EA"/>
    <w:rsid w:val="009A560B"/>
    <w:rsid w:val="009A5657"/>
    <w:rsid w:val="009A56B6"/>
    <w:rsid w:val="009A5709"/>
    <w:rsid w:val="009A5719"/>
    <w:rsid w:val="009A5727"/>
    <w:rsid w:val="009A573F"/>
    <w:rsid w:val="009A578E"/>
    <w:rsid w:val="009A57E5"/>
    <w:rsid w:val="009A57EC"/>
    <w:rsid w:val="009A5848"/>
    <w:rsid w:val="009A5864"/>
    <w:rsid w:val="009A59AE"/>
    <w:rsid w:val="009A5A8F"/>
    <w:rsid w:val="009A5A9F"/>
    <w:rsid w:val="009A5B59"/>
    <w:rsid w:val="009A5C0A"/>
    <w:rsid w:val="009A5C52"/>
    <w:rsid w:val="009A5C67"/>
    <w:rsid w:val="009A5D6D"/>
    <w:rsid w:val="009A5DE7"/>
    <w:rsid w:val="009A5DF0"/>
    <w:rsid w:val="009A5E02"/>
    <w:rsid w:val="009A5E05"/>
    <w:rsid w:val="009A5E21"/>
    <w:rsid w:val="009A5E28"/>
    <w:rsid w:val="009A5FCC"/>
    <w:rsid w:val="009A600F"/>
    <w:rsid w:val="009A6043"/>
    <w:rsid w:val="009A60AE"/>
    <w:rsid w:val="009A6112"/>
    <w:rsid w:val="009A614D"/>
    <w:rsid w:val="009A6151"/>
    <w:rsid w:val="009A6176"/>
    <w:rsid w:val="009A61DB"/>
    <w:rsid w:val="009A6237"/>
    <w:rsid w:val="009A623C"/>
    <w:rsid w:val="009A62F3"/>
    <w:rsid w:val="009A63CF"/>
    <w:rsid w:val="009A63F6"/>
    <w:rsid w:val="009A6415"/>
    <w:rsid w:val="009A6437"/>
    <w:rsid w:val="009A6441"/>
    <w:rsid w:val="009A6465"/>
    <w:rsid w:val="009A649C"/>
    <w:rsid w:val="009A64A8"/>
    <w:rsid w:val="009A64E3"/>
    <w:rsid w:val="009A6501"/>
    <w:rsid w:val="009A66B0"/>
    <w:rsid w:val="009A66DD"/>
    <w:rsid w:val="009A6761"/>
    <w:rsid w:val="009A6780"/>
    <w:rsid w:val="009A67B6"/>
    <w:rsid w:val="009A67F7"/>
    <w:rsid w:val="009A67FC"/>
    <w:rsid w:val="009A6875"/>
    <w:rsid w:val="009A69BB"/>
    <w:rsid w:val="009A69C6"/>
    <w:rsid w:val="009A6A40"/>
    <w:rsid w:val="009A6A8C"/>
    <w:rsid w:val="009A6B59"/>
    <w:rsid w:val="009A6C31"/>
    <w:rsid w:val="009A6C8F"/>
    <w:rsid w:val="009A6CAA"/>
    <w:rsid w:val="009A6CE1"/>
    <w:rsid w:val="009A6D0E"/>
    <w:rsid w:val="009A6D2A"/>
    <w:rsid w:val="009A6D60"/>
    <w:rsid w:val="009A6D80"/>
    <w:rsid w:val="009A6E53"/>
    <w:rsid w:val="009A6FBD"/>
    <w:rsid w:val="009A6FC8"/>
    <w:rsid w:val="009A705D"/>
    <w:rsid w:val="009A7061"/>
    <w:rsid w:val="009A708D"/>
    <w:rsid w:val="009A71FC"/>
    <w:rsid w:val="009A7222"/>
    <w:rsid w:val="009A7238"/>
    <w:rsid w:val="009A72C1"/>
    <w:rsid w:val="009A7351"/>
    <w:rsid w:val="009A7417"/>
    <w:rsid w:val="009A7433"/>
    <w:rsid w:val="009A7435"/>
    <w:rsid w:val="009A7479"/>
    <w:rsid w:val="009A7566"/>
    <w:rsid w:val="009A75AF"/>
    <w:rsid w:val="009A75BF"/>
    <w:rsid w:val="009A7623"/>
    <w:rsid w:val="009A763A"/>
    <w:rsid w:val="009A7648"/>
    <w:rsid w:val="009A7666"/>
    <w:rsid w:val="009A76E2"/>
    <w:rsid w:val="009A7708"/>
    <w:rsid w:val="009A7758"/>
    <w:rsid w:val="009A7787"/>
    <w:rsid w:val="009A77C1"/>
    <w:rsid w:val="009A77D1"/>
    <w:rsid w:val="009A781B"/>
    <w:rsid w:val="009A7869"/>
    <w:rsid w:val="009A78A9"/>
    <w:rsid w:val="009A79E8"/>
    <w:rsid w:val="009A7A75"/>
    <w:rsid w:val="009A7AF8"/>
    <w:rsid w:val="009A7B14"/>
    <w:rsid w:val="009A7C40"/>
    <w:rsid w:val="009A7C6C"/>
    <w:rsid w:val="009A7CA9"/>
    <w:rsid w:val="009A7CF0"/>
    <w:rsid w:val="009A7D09"/>
    <w:rsid w:val="009A7EC7"/>
    <w:rsid w:val="009A7F73"/>
    <w:rsid w:val="009B006F"/>
    <w:rsid w:val="009B00B5"/>
    <w:rsid w:val="009B00D8"/>
    <w:rsid w:val="009B0118"/>
    <w:rsid w:val="009B019A"/>
    <w:rsid w:val="009B01E2"/>
    <w:rsid w:val="009B0203"/>
    <w:rsid w:val="009B022E"/>
    <w:rsid w:val="009B02FB"/>
    <w:rsid w:val="009B0380"/>
    <w:rsid w:val="009B0425"/>
    <w:rsid w:val="009B0444"/>
    <w:rsid w:val="009B0486"/>
    <w:rsid w:val="009B0513"/>
    <w:rsid w:val="009B05DE"/>
    <w:rsid w:val="009B067D"/>
    <w:rsid w:val="009B0734"/>
    <w:rsid w:val="009B075F"/>
    <w:rsid w:val="009B0824"/>
    <w:rsid w:val="009B082E"/>
    <w:rsid w:val="009B08D4"/>
    <w:rsid w:val="009B098E"/>
    <w:rsid w:val="009B09F7"/>
    <w:rsid w:val="009B0A39"/>
    <w:rsid w:val="009B0ABC"/>
    <w:rsid w:val="009B0B08"/>
    <w:rsid w:val="009B0B2E"/>
    <w:rsid w:val="009B0B6B"/>
    <w:rsid w:val="009B0B79"/>
    <w:rsid w:val="009B0BE1"/>
    <w:rsid w:val="009B0C60"/>
    <w:rsid w:val="009B0CDA"/>
    <w:rsid w:val="009B0D01"/>
    <w:rsid w:val="009B0D37"/>
    <w:rsid w:val="009B0D78"/>
    <w:rsid w:val="009B0E11"/>
    <w:rsid w:val="009B0E87"/>
    <w:rsid w:val="009B0EC6"/>
    <w:rsid w:val="009B0F0E"/>
    <w:rsid w:val="009B0F8F"/>
    <w:rsid w:val="009B0FB5"/>
    <w:rsid w:val="009B1033"/>
    <w:rsid w:val="009B1050"/>
    <w:rsid w:val="009B1101"/>
    <w:rsid w:val="009B12C6"/>
    <w:rsid w:val="009B1346"/>
    <w:rsid w:val="009B13AA"/>
    <w:rsid w:val="009B13DF"/>
    <w:rsid w:val="009B13E4"/>
    <w:rsid w:val="009B1474"/>
    <w:rsid w:val="009B14AF"/>
    <w:rsid w:val="009B166D"/>
    <w:rsid w:val="009B1673"/>
    <w:rsid w:val="009B1710"/>
    <w:rsid w:val="009B1733"/>
    <w:rsid w:val="009B176A"/>
    <w:rsid w:val="009B17CF"/>
    <w:rsid w:val="009B17F8"/>
    <w:rsid w:val="009B1844"/>
    <w:rsid w:val="009B18AB"/>
    <w:rsid w:val="009B1A62"/>
    <w:rsid w:val="009B1A68"/>
    <w:rsid w:val="009B1AE9"/>
    <w:rsid w:val="009B1BB9"/>
    <w:rsid w:val="009B1BDC"/>
    <w:rsid w:val="009B1BFF"/>
    <w:rsid w:val="009B1C9B"/>
    <w:rsid w:val="009B1C9E"/>
    <w:rsid w:val="009B1CF8"/>
    <w:rsid w:val="009B1D55"/>
    <w:rsid w:val="009B1DBB"/>
    <w:rsid w:val="009B1DED"/>
    <w:rsid w:val="009B1DFE"/>
    <w:rsid w:val="009B1DFF"/>
    <w:rsid w:val="009B1F1A"/>
    <w:rsid w:val="009B1FEE"/>
    <w:rsid w:val="009B20CD"/>
    <w:rsid w:val="009B214B"/>
    <w:rsid w:val="009B2158"/>
    <w:rsid w:val="009B2228"/>
    <w:rsid w:val="009B2263"/>
    <w:rsid w:val="009B22D1"/>
    <w:rsid w:val="009B2367"/>
    <w:rsid w:val="009B24B6"/>
    <w:rsid w:val="009B24D8"/>
    <w:rsid w:val="009B259F"/>
    <w:rsid w:val="009B25D4"/>
    <w:rsid w:val="009B2614"/>
    <w:rsid w:val="009B261C"/>
    <w:rsid w:val="009B266F"/>
    <w:rsid w:val="009B26C5"/>
    <w:rsid w:val="009B26FF"/>
    <w:rsid w:val="009B2791"/>
    <w:rsid w:val="009B27A3"/>
    <w:rsid w:val="009B281F"/>
    <w:rsid w:val="009B2873"/>
    <w:rsid w:val="009B2911"/>
    <w:rsid w:val="009B2933"/>
    <w:rsid w:val="009B2A2C"/>
    <w:rsid w:val="009B2A47"/>
    <w:rsid w:val="009B2A54"/>
    <w:rsid w:val="009B2C2C"/>
    <w:rsid w:val="009B2C70"/>
    <w:rsid w:val="009B2DDA"/>
    <w:rsid w:val="009B2E1A"/>
    <w:rsid w:val="009B2E3B"/>
    <w:rsid w:val="009B2E79"/>
    <w:rsid w:val="009B2F7E"/>
    <w:rsid w:val="009B30C8"/>
    <w:rsid w:val="009B30FD"/>
    <w:rsid w:val="009B3130"/>
    <w:rsid w:val="009B3169"/>
    <w:rsid w:val="009B3172"/>
    <w:rsid w:val="009B32A8"/>
    <w:rsid w:val="009B3317"/>
    <w:rsid w:val="009B33A4"/>
    <w:rsid w:val="009B33DE"/>
    <w:rsid w:val="009B34C2"/>
    <w:rsid w:val="009B3522"/>
    <w:rsid w:val="009B353C"/>
    <w:rsid w:val="009B37BA"/>
    <w:rsid w:val="009B3870"/>
    <w:rsid w:val="009B3871"/>
    <w:rsid w:val="009B389E"/>
    <w:rsid w:val="009B3935"/>
    <w:rsid w:val="009B3939"/>
    <w:rsid w:val="009B39AD"/>
    <w:rsid w:val="009B39C3"/>
    <w:rsid w:val="009B3A58"/>
    <w:rsid w:val="009B3A80"/>
    <w:rsid w:val="009B3AFD"/>
    <w:rsid w:val="009B3B0D"/>
    <w:rsid w:val="009B3C33"/>
    <w:rsid w:val="009B3CCA"/>
    <w:rsid w:val="009B3D01"/>
    <w:rsid w:val="009B3D19"/>
    <w:rsid w:val="009B3E0D"/>
    <w:rsid w:val="009B3EF5"/>
    <w:rsid w:val="009B3F0D"/>
    <w:rsid w:val="009B400D"/>
    <w:rsid w:val="009B4031"/>
    <w:rsid w:val="009B404D"/>
    <w:rsid w:val="009B40A8"/>
    <w:rsid w:val="009B40F5"/>
    <w:rsid w:val="009B428D"/>
    <w:rsid w:val="009B44F8"/>
    <w:rsid w:val="009B4505"/>
    <w:rsid w:val="009B451D"/>
    <w:rsid w:val="009B4540"/>
    <w:rsid w:val="009B464F"/>
    <w:rsid w:val="009B4697"/>
    <w:rsid w:val="009B469A"/>
    <w:rsid w:val="009B4701"/>
    <w:rsid w:val="009B47A5"/>
    <w:rsid w:val="009B4814"/>
    <w:rsid w:val="009B49B0"/>
    <w:rsid w:val="009B4AEF"/>
    <w:rsid w:val="009B4C22"/>
    <w:rsid w:val="009B4CC9"/>
    <w:rsid w:val="009B4D7F"/>
    <w:rsid w:val="009B4E59"/>
    <w:rsid w:val="009B4EAD"/>
    <w:rsid w:val="009B4EBE"/>
    <w:rsid w:val="009B4EC4"/>
    <w:rsid w:val="009B4EC8"/>
    <w:rsid w:val="009B4F07"/>
    <w:rsid w:val="009B4F52"/>
    <w:rsid w:val="009B4F75"/>
    <w:rsid w:val="009B4FE0"/>
    <w:rsid w:val="009B4FF6"/>
    <w:rsid w:val="009B5077"/>
    <w:rsid w:val="009B5092"/>
    <w:rsid w:val="009B50BA"/>
    <w:rsid w:val="009B518F"/>
    <w:rsid w:val="009B51B1"/>
    <w:rsid w:val="009B51ED"/>
    <w:rsid w:val="009B522C"/>
    <w:rsid w:val="009B52F7"/>
    <w:rsid w:val="009B536F"/>
    <w:rsid w:val="009B53B7"/>
    <w:rsid w:val="009B53D9"/>
    <w:rsid w:val="009B5448"/>
    <w:rsid w:val="009B54CB"/>
    <w:rsid w:val="009B54FA"/>
    <w:rsid w:val="009B55B9"/>
    <w:rsid w:val="009B56AE"/>
    <w:rsid w:val="009B56D4"/>
    <w:rsid w:val="009B56FD"/>
    <w:rsid w:val="009B5769"/>
    <w:rsid w:val="009B5770"/>
    <w:rsid w:val="009B5791"/>
    <w:rsid w:val="009B57AC"/>
    <w:rsid w:val="009B5849"/>
    <w:rsid w:val="009B584D"/>
    <w:rsid w:val="009B586F"/>
    <w:rsid w:val="009B599E"/>
    <w:rsid w:val="009B59EE"/>
    <w:rsid w:val="009B59F6"/>
    <w:rsid w:val="009B5AAE"/>
    <w:rsid w:val="009B5B33"/>
    <w:rsid w:val="009B5B69"/>
    <w:rsid w:val="009B5C53"/>
    <w:rsid w:val="009B5C57"/>
    <w:rsid w:val="009B5C9E"/>
    <w:rsid w:val="009B5CA4"/>
    <w:rsid w:val="009B5CB7"/>
    <w:rsid w:val="009B5CF7"/>
    <w:rsid w:val="009B5DD6"/>
    <w:rsid w:val="009B5F5B"/>
    <w:rsid w:val="009B5F8C"/>
    <w:rsid w:val="009B5F9B"/>
    <w:rsid w:val="009B6013"/>
    <w:rsid w:val="009B6032"/>
    <w:rsid w:val="009B60AB"/>
    <w:rsid w:val="009B6120"/>
    <w:rsid w:val="009B63D1"/>
    <w:rsid w:val="009B63F4"/>
    <w:rsid w:val="009B6431"/>
    <w:rsid w:val="009B643A"/>
    <w:rsid w:val="009B6479"/>
    <w:rsid w:val="009B654C"/>
    <w:rsid w:val="009B6561"/>
    <w:rsid w:val="009B656A"/>
    <w:rsid w:val="009B65C6"/>
    <w:rsid w:val="009B660B"/>
    <w:rsid w:val="009B6622"/>
    <w:rsid w:val="009B663B"/>
    <w:rsid w:val="009B6693"/>
    <w:rsid w:val="009B671E"/>
    <w:rsid w:val="009B6738"/>
    <w:rsid w:val="009B679C"/>
    <w:rsid w:val="009B68DA"/>
    <w:rsid w:val="009B6930"/>
    <w:rsid w:val="009B695E"/>
    <w:rsid w:val="009B6981"/>
    <w:rsid w:val="009B69EB"/>
    <w:rsid w:val="009B6A3C"/>
    <w:rsid w:val="009B6A7A"/>
    <w:rsid w:val="009B6A7C"/>
    <w:rsid w:val="009B6AE7"/>
    <w:rsid w:val="009B6AEE"/>
    <w:rsid w:val="009B6B95"/>
    <w:rsid w:val="009B6BDB"/>
    <w:rsid w:val="009B6BED"/>
    <w:rsid w:val="009B6C4F"/>
    <w:rsid w:val="009B6C59"/>
    <w:rsid w:val="009B6CA9"/>
    <w:rsid w:val="009B6D95"/>
    <w:rsid w:val="009B6DB2"/>
    <w:rsid w:val="009B6E3E"/>
    <w:rsid w:val="009B6E61"/>
    <w:rsid w:val="009B6FD0"/>
    <w:rsid w:val="009B7015"/>
    <w:rsid w:val="009B70D3"/>
    <w:rsid w:val="009B7184"/>
    <w:rsid w:val="009B7314"/>
    <w:rsid w:val="009B73B4"/>
    <w:rsid w:val="009B73B6"/>
    <w:rsid w:val="009B7408"/>
    <w:rsid w:val="009B748D"/>
    <w:rsid w:val="009B7491"/>
    <w:rsid w:val="009B74DD"/>
    <w:rsid w:val="009B750F"/>
    <w:rsid w:val="009B75B3"/>
    <w:rsid w:val="009B75FF"/>
    <w:rsid w:val="009B789B"/>
    <w:rsid w:val="009B794D"/>
    <w:rsid w:val="009B7999"/>
    <w:rsid w:val="009B79C3"/>
    <w:rsid w:val="009B79CC"/>
    <w:rsid w:val="009B7A12"/>
    <w:rsid w:val="009B7A3B"/>
    <w:rsid w:val="009B7A82"/>
    <w:rsid w:val="009B7ADA"/>
    <w:rsid w:val="009B7B70"/>
    <w:rsid w:val="009B7BAE"/>
    <w:rsid w:val="009B7BDD"/>
    <w:rsid w:val="009B7CC7"/>
    <w:rsid w:val="009B7CD7"/>
    <w:rsid w:val="009B7D69"/>
    <w:rsid w:val="009B7DA1"/>
    <w:rsid w:val="009B7DA2"/>
    <w:rsid w:val="009B7DFB"/>
    <w:rsid w:val="009B7E29"/>
    <w:rsid w:val="009B7E3B"/>
    <w:rsid w:val="009B7E75"/>
    <w:rsid w:val="009B7EC9"/>
    <w:rsid w:val="009B7F00"/>
    <w:rsid w:val="009B7F05"/>
    <w:rsid w:val="009B7F3B"/>
    <w:rsid w:val="009B7FFB"/>
    <w:rsid w:val="009C0075"/>
    <w:rsid w:val="009C00D1"/>
    <w:rsid w:val="009C0108"/>
    <w:rsid w:val="009C02B1"/>
    <w:rsid w:val="009C0319"/>
    <w:rsid w:val="009C03E2"/>
    <w:rsid w:val="009C0413"/>
    <w:rsid w:val="009C041A"/>
    <w:rsid w:val="009C04C7"/>
    <w:rsid w:val="009C0588"/>
    <w:rsid w:val="009C0593"/>
    <w:rsid w:val="009C05B7"/>
    <w:rsid w:val="009C0655"/>
    <w:rsid w:val="009C06AF"/>
    <w:rsid w:val="009C0723"/>
    <w:rsid w:val="009C0751"/>
    <w:rsid w:val="009C0776"/>
    <w:rsid w:val="009C0783"/>
    <w:rsid w:val="009C07FA"/>
    <w:rsid w:val="009C0836"/>
    <w:rsid w:val="009C087D"/>
    <w:rsid w:val="009C092D"/>
    <w:rsid w:val="009C095E"/>
    <w:rsid w:val="009C0A24"/>
    <w:rsid w:val="009C0A7F"/>
    <w:rsid w:val="009C0AB0"/>
    <w:rsid w:val="009C0B1F"/>
    <w:rsid w:val="009C0B32"/>
    <w:rsid w:val="009C0B4B"/>
    <w:rsid w:val="009C0C3A"/>
    <w:rsid w:val="009C0C78"/>
    <w:rsid w:val="009C0CCA"/>
    <w:rsid w:val="009C0CDD"/>
    <w:rsid w:val="009C0D56"/>
    <w:rsid w:val="009C0D89"/>
    <w:rsid w:val="009C0E44"/>
    <w:rsid w:val="009C0E6D"/>
    <w:rsid w:val="009C0F8E"/>
    <w:rsid w:val="009C0FAF"/>
    <w:rsid w:val="009C0FFD"/>
    <w:rsid w:val="009C1015"/>
    <w:rsid w:val="009C101B"/>
    <w:rsid w:val="009C10B8"/>
    <w:rsid w:val="009C10EE"/>
    <w:rsid w:val="009C1100"/>
    <w:rsid w:val="009C11F8"/>
    <w:rsid w:val="009C1294"/>
    <w:rsid w:val="009C12AC"/>
    <w:rsid w:val="009C1328"/>
    <w:rsid w:val="009C1340"/>
    <w:rsid w:val="009C1342"/>
    <w:rsid w:val="009C1367"/>
    <w:rsid w:val="009C142C"/>
    <w:rsid w:val="009C149E"/>
    <w:rsid w:val="009C156A"/>
    <w:rsid w:val="009C15C4"/>
    <w:rsid w:val="009C15C7"/>
    <w:rsid w:val="009C174E"/>
    <w:rsid w:val="009C1800"/>
    <w:rsid w:val="009C18D4"/>
    <w:rsid w:val="009C1905"/>
    <w:rsid w:val="009C1959"/>
    <w:rsid w:val="009C19B5"/>
    <w:rsid w:val="009C1A34"/>
    <w:rsid w:val="009C1A37"/>
    <w:rsid w:val="009C1A62"/>
    <w:rsid w:val="009C1AB0"/>
    <w:rsid w:val="009C1B17"/>
    <w:rsid w:val="009C1B3F"/>
    <w:rsid w:val="009C1B64"/>
    <w:rsid w:val="009C1B6B"/>
    <w:rsid w:val="009C1BD1"/>
    <w:rsid w:val="009C1C15"/>
    <w:rsid w:val="009C1D11"/>
    <w:rsid w:val="009C1D24"/>
    <w:rsid w:val="009C1D41"/>
    <w:rsid w:val="009C1E8D"/>
    <w:rsid w:val="009C1EAA"/>
    <w:rsid w:val="009C1F24"/>
    <w:rsid w:val="009C1FC1"/>
    <w:rsid w:val="009C2083"/>
    <w:rsid w:val="009C20A1"/>
    <w:rsid w:val="009C20BC"/>
    <w:rsid w:val="009C20C3"/>
    <w:rsid w:val="009C22CC"/>
    <w:rsid w:val="009C23A1"/>
    <w:rsid w:val="009C23B0"/>
    <w:rsid w:val="009C23F6"/>
    <w:rsid w:val="009C242F"/>
    <w:rsid w:val="009C24CA"/>
    <w:rsid w:val="009C256F"/>
    <w:rsid w:val="009C2662"/>
    <w:rsid w:val="009C266B"/>
    <w:rsid w:val="009C27E5"/>
    <w:rsid w:val="009C2818"/>
    <w:rsid w:val="009C28BD"/>
    <w:rsid w:val="009C2B6D"/>
    <w:rsid w:val="009C2B95"/>
    <w:rsid w:val="009C2BD2"/>
    <w:rsid w:val="009C2C92"/>
    <w:rsid w:val="009C2CFA"/>
    <w:rsid w:val="009C2E36"/>
    <w:rsid w:val="009C2F2A"/>
    <w:rsid w:val="009C2F2C"/>
    <w:rsid w:val="009C2F6A"/>
    <w:rsid w:val="009C2F8C"/>
    <w:rsid w:val="009C2FBF"/>
    <w:rsid w:val="009C2FED"/>
    <w:rsid w:val="009C30A8"/>
    <w:rsid w:val="009C310A"/>
    <w:rsid w:val="009C313B"/>
    <w:rsid w:val="009C3155"/>
    <w:rsid w:val="009C3170"/>
    <w:rsid w:val="009C3189"/>
    <w:rsid w:val="009C3193"/>
    <w:rsid w:val="009C31B9"/>
    <w:rsid w:val="009C3260"/>
    <w:rsid w:val="009C32DD"/>
    <w:rsid w:val="009C331F"/>
    <w:rsid w:val="009C3335"/>
    <w:rsid w:val="009C3356"/>
    <w:rsid w:val="009C337D"/>
    <w:rsid w:val="009C33B3"/>
    <w:rsid w:val="009C3489"/>
    <w:rsid w:val="009C3513"/>
    <w:rsid w:val="009C355C"/>
    <w:rsid w:val="009C36AE"/>
    <w:rsid w:val="009C36E1"/>
    <w:rsid w:val="009C3763"/>
    <w:rsid w:val="009C377D"/>
    <w:rsid w:val="009C379B"/>
    <w:rsid w:val="009C3811"/>
    <w:rsid w:val="009C3878"/>
    <w:rsid w:val="009C39D8"/>
    <w:rsid w:val="009C39D9"/>
    <w:rsid w:val="009C3A3F"/>
    <w:rsid w:val="009C3A4F"/>
    <w:rsid w:val="009C3B8A"/>
    <w:rsid w:val="009C3BA7"/>
    <w:rsid w:val="009C3BE8"/>
    <w:rsid w:val="009C3C03"/>
    <w:rsid w:val="009C3C35"/>
    <w:rsid w:val="009C3C41"/>
    <w:rsid w:val="009C3CE6"/>
    <w:rsid w:val="009C3CEF"/>
    <w:rsid w:val="009C3E21"/>
    <w:rsid w:val="009C3EEC"/>
    <w:rsid w:val="009C3F52"/>
    <w:rsid w:val="009C3FB5"/>
    <w:rsid w:val="009C3FDA"/>
    <w:rsid w:val="009C400D"/>
    <w:rsid w:val="009C4071"/>
    <w:rsid w:val="009C40AE"/>
    <w:rsid w:val="009C4141"/>
    <w:rsid w:val="009C41BD"/>
    <w:rsid w:val="009C41F6"/>
    <w:rsid w:val="009C42BE"/>
    <w:rsid w:val="009C42E8"/>
    <w:rsid w:val="009C42F2"/>
    <w:rsid w:val="009C4307"/>
    <w:rsid w:val="009C4423"/>
    <w:rsid w:val="009C4453"/>
    <w:rsid w:val="009C4511"/>
    <w:rsid w:val="009C458C"/>
    <w:rsid w:val="009C45B2"/>
    <w:rsid w:val="009C45F1"/>
    <w:rsid w:val="009C4607"/>
    <w:rsid w:val="009C4630"/>
    <w:rsid w:val="009C4699"/>
    <w:rsid w:val="009C46A1"/>
    <w:rsid w:val="009C4764"/>
    <w:rsid w:val="009C4800"/>
    <w:rsid w:val="009C4882"/>
    <w:rsid w:val="009C493D"/>
    <w:rsid w:val="009C4976"/>
    <w:rsid w:val="009C49BF"/>
    <w:rsid w:val="009C4AAF"/>
    <w:rsid w:val="009C4AED"/>
    <w:rsid w:val="009C4B71"/>
    <w:rsid w:val="009C4BC3"/>
    <w:rsid w:val="009C4C52"/>
    <w:rsid w:val="009C4C78"/>
    <w:rsid w:val="009C4C9E"/>
    <w:rsid w:val="009C4CBA"/>
    <w:rsid w:val="009C4D39"/>
    <w:rsid w:val="009C4DAD"/>
    <w:rsid w:val="009C4DDC"/>
    <w:rsid w:val="009C4E05"/>
    <w:rsid w:val="009C4E64"/>
    <w:rsid w:val="009C4EAF"/>
    <w:rsid w:val="009C4EC7"/>
    <w:rsid w:val="009C4EDF"/>
    <w:rsid w:val="009C4EE3"/>
    <w:rsid w:val="009C4F06"/>
    <w:rsid w:val="009C4FB6"/>
    <w:rsid w:val="009C503E"/>
    <w:rsid w:val="009C5072"/>
    <w:rsid w:val="009C50EA"/>
    <w:rsid w:val="009C515B"/>
    <w:rsid w:val="009C5186"/>
    <w:rsid w:val="009C5201"/>
    <w:rsid w:val="009C5228"/>
    <w:rsid w:val="009C524D"/>
    <w:rsid w:val="009C5273"/>
    <w:rsid w:val="009C5278"/>
    <w:rsid w:val="009C5322"/>
    <w:rsid w:val="009C5353"/>
    <w:rsid w:val="009C536C"/>
    <w:rsid w:val="009C5395"/>
    <w:rsid w:val="009C53BD"/>
    <w:rsid w:val="009C547D"/>
    <w:rsid w:val="009C5579"/>
    <w:rsid w:val="009C5585"/>
    <w:rsid w:val="009C5592"/>
    <w:rsid w:val="009C563B"/>
    <w:rsid w:val="009C56C9"/>
    <w:rsid w:val="009C571F"/>
    <w:rsid w:val="009C573F"/>
    <w:rsid w:val="009C5765"/>
    <w:rsid w:val="009C578D"/>
    <w:rsid w:val="009C57F8"/>
    <w:rsid w:val="009C5803"/>
    <w:rsid w:val="009C5922"/>
    <w:rsid w:val="009C592F"/>
    <w:rsid w:val="009C5932"/>
    <w:rsid w:val="009C598E"/>
    <w:rsid w:val="009C59F6"/>
    <w:rsid w:val="009C5A8B"/>
    <w:rsid w:val="009C5AC9"/>
    <w:rsid w:val="009C5B6B"/>
    <w:rsid w:val="009C5C91"/>
    <w:rsid w:val="009C5C95"/>
    <w:rsid w:val="009C5CC5"/>
    <w:rsid w:val="009C5CD7"/>
    <w:rsid w:val="009C5CE8"/>
    <w:rsid w:val="009C5D9D"/>
    <w:rsid w:val="009C5E11"/>
    <w:rsid w:val="009C5E2F"/>
    <w:rsid w:val="009C5EDE"/>
    <w:rsid w:val="009C5F4C"/>
    <w:rsid w:val="009C5F6A"/>
    <w:rsid w:val="009C5F9C"/>
    <w:rsid w:val="009C5F9F"/>
    <w:rsid w:val="009C5FD8"/>
    <w:rsid w:val="009C6071"/>
    <w:rsid w:val="009C60B8"/>
    <w:rsid w:val="009C60D0"/>
    <w:rsid w:val="009C60E7"/>
    <w:rsid w:val="009C60F9"/>
    <w:rsid w:val="009C60FE"/>
    <w:rsid w:val="009C60FF"/>
    <w:rsid w:val="009C611A"/>
    <w:rsid w:val="009C61BA"/>
    <w:rsid w:val="009C62CE"/>
    <w:rsid w:val="009C63A1"/>
    <w:rsid w:val="009C6516"/>
    <w:rsid w:val="009C65D2"/>
    <w:rsid w:val="009C65D3"/>
    <w:rsid w:val="009C6657"/>
    <w:rsid w:val="009C666D"/>
    <w:rsid w:val="009C66F0"/>
    <w:rsid w:val="009C6775"/>
    <w:rsid w:val="009C67B2"/>
    <w:rsid w:val="009C67BD"/>
    <w:rsid w:val="009C6831"/>
    <w:rsid w:val="009C6832"/>
    <w:rsid w:val="009C6864"/>
    <w:rsid w:val="009C6908"/>
    <w:rsid w:val="009C6A08"/>
    <w:rsid w:val="009C6A58"/>
    <w:rsid w:val="009C6A6A"/>
    <w:rsid w:val="009C6A74"/>
    <w:rsid w:val="009C6A84"/>
    <w:rsid w:val="009C6AD3"/>
    <w:rsid w:val="009C6B62"/>
    <w:rsid w:val="009C6C59"/>
    <w:rsid w:val="009C6CE5"/>
    <w:rsid w:val="009C6D00"/>
    <w:rsid w:val="009C6D4D"/>
    <w:rsid w:val="009C6D80"/>
    <w:rsid w:val="009C6EDE"/>
    <w:rsid w:val="009C6F5A"/>
    <w:rsid w:val="009C6F5B"/>
    <w:rsid w:val="009C6F7B"/>
    <w:rsid w:val="009C70AF"/>
    <w:rsid w:val="009C710A"/>
    <w:rsid w:val="009C71AB"/>
    <w:rsid w:val="009C7218"/>
    <w:rsid w:val="009C729A"/>
    <w:rsid w:val="009C7304"/>
    <w:rsid w:val="009C730D"/>
    <w:rsid w:val="009C7380"/>
    <w:rsid w:val="009C73C8"/>
    <w:rsid w:val="009C7488"/>
    <w:rsid w:val="009C74CB"/>
    <w:rsid w:val="009C7539"/>
    <w:rsid w:val="009C758B"/>
    <w:rsid w:val="009C75C0"/>
    <w:rsid w:val="009C75D5"/>
    <w:rsid w:val="009C7612"/>
    <w:rsid w:val="009C761B"/>
    <w:rsid w:val="009C7644"/>
    <w:rsid w:val="009C7682"/>
    <w:rsid w:val="009C7688"/>
    <w:rsid w:val="009C76CE"/>
    <w:rsid w:val="009C76EC"/>
    <w:rsid w:val="009C770F"/>
    <w:rsid w:val="009C7718"/>
    <w:rsid w:val="009C7733"/>
    <w:rsid w:val="009C7746"/>
    <w:rsid w:val="009C776F"/>
    <w:rsid w:val="009C783E"/>
    <w:rsid w:val="009C78CC"/>
    <w:rsid w:val="009C7A62"/>
    <w:rsid w:val="009C7A88"/>
    <w:rsid w:val="009C7B5B"/>
    <w:rsid w:val="009C7BA5"/>
    <w:rsid w:val="009C7BDB"/>
    <w:rsid w:val="009C7CEC"/>
    <w:rsid w:val="009C7D3D"/>
    <w:rsid w:val="009C7D57"/>
    <w:rsid w:val="009C7ED5"/>
    <w:rsid w:val="009C7FA2"/>
    <w:rsid w:val="009C7FB8"/>
    <w:rsid w:val="009D00F5"/>
    <w:rsid w:val="009D0164"/>
    <w:rsid w:val="009D0197"/>
    <w:rsid w:val="009D01AF"/>
    <w:rsid w:val="009D0216"/>
    <w:rsid w:val="009D029D"/>
    <w:rsid w:val="009D02BF"/>
    <w:rsid w:val="009D02CD"/>
    <w:rsid w:val="009D0303"/>
    <w:rsid w:val="009D0317"/>
    <w:rsid w:val="009D041F"/>
    <w:rsid w:val="009D04C3"/>
    <w:rsid w:val="009D04C9"/>
    <w:rsid w:val="009D0515"/>
    <w:rsid w:val="009D053E"/>
    <w:rsid w:val="009D057B"/>
    <w:rsid w:val="009D0673"/>
    <w:rsid w:val="009D0714"/>
    <w:rsid w:val="009D0749"/>
    <w:rsid w:val="009D08C2"/>
    <w:rsid w:val="009D096B"/>
    <w:rsid w:val="009D0A07"/>
    <w:rsid w:val="009D0A31"/>
    <w:rsid w:val="009D0AFA"/>
    <w:rsid w:val="009D0AFE"/>
    <w:rsid w:val="009D0C11"/>
    <w:rsid w:val="009D0C26"/>
    <w:rsid w:val="009D0CEA"/>
    <w:rsid w:val="009D0D11"/>
    <w:rsid w:val="009D0D2B"/>
    <w:rsid w:val="009D0E55"/>
    <w:rsid w:val="009D0EA5"/>
    <w:rsid w:val="009D0EAD"/>
    <w:rsid w:val="009D0ED9"/>
    <w:rsid w:val="009D0F07"/>
    <w:rsid w:val="009D1069"/>
    <w:rsid w:val="009D106D"/>
    <w:rsid w:val="009D10C2"/>
    <w:rsid w:val="009D10D6"/>
    <w:rsid w:val="009D112B"/>
    <w:rsid w:val="009D1232"/>
    <w:rsid w:val="009D1290"/>
    <w:rsid w:val="009D12B2"/>
    <w:rsid w:val="009D12DA"/>
    <w:rsid w:val="009D1370"/>
    <w:rsid w:val="009D13D5"/>
    <w:rsid w:val="009D1540"/>
    <w:rsid w:val="009D157D"/>
    <w:rsid w:val="009D15E5"/>
    <w:rsid w:val="009D15EB"/>
    <w:rsid w:val="009D161D"/>
    <w:rsid w:val="009D1662"/>
    <w:rsid w:val="009D1750"/>
    <w:rsid w:val="009D1837"/>
    <w:rsid w:val="009D1848"/>
    <w:rsid w:val="009D1883"/>
    <w:rsid w:val="009D18D7"/>
    <w:rsid w:val="009D195D"/>
    <w:rsid w:val="009D19A8"/>
    <w:rsid w:val="009D19F7"/>
    <w:rsid w:val="009D1A4F"/>
    <w:rsid w:val="009D1AA3"/>
    <w:rsid w:val="009D1AF3"/>
    <w:rsid w:val="009D1AFE"/>
    <w:rsid w:val="009D1B6B"/>
    <w:rsid w:val="009D1B7A"/>
    <w:rsid w:val="009D1B7C"/>
    <w:rsid w:val="009D1B8B"/>
    <w:rsid w:val="009D1BC1"/>
    <w:rsid w:val="009D1C49"/>
    <w:rsid w:val="009D1C61"/>
    <w:rsid w:val="009D1D33"/>
    <w:rsid w:val="009D1D69"/>
    <w:rsid w:val="009D1D83"/>
    <w:rsid w:val="009D1DAA"/>
    <w:rsid w:val="009D1DC7"/>
    <w:rsid w:val="009D1DEB"/>
    <w:rsid w:val="009D1E14"/>
    <w:rsid w:val="009D1E3E"/>
    <w:rsid w:val="009D1F3D"/>
    <w:rsid w:val="009D1F50"/>
    <w:rsid w:val="009D1F98"/>
    <w:rsid w:val="009D2236"/>
    <w:rsid w:val="009D224D"/>
    <w:rsid w:val="009D227D"/>
    <w:rsid w:val="009D22C5"/>
    <w:rsid w:val="009D231A"/>
    <w:rsid w:val="009D2345"/>
    <w:rsid w:val="009D2381"/>
    <w:rsid w:val="009D240E"/>
    <w:rsid w:val="009D24B8"/>
    <w:rsid w:val="009D24E8"/>
    <w:rsid w:val="009D2569"/>
    <w:rsid w:val="009D258A"/>
    <w:rsid w:val="009D25B1"/>
    <w:rsid w:val="009D25E8"/>
    <w:rsid w:val="009D25FF"/>
    <w:rsid w:val="009D265A"/>
    <w:rsid w:val="009D26FD"/>
    <w:rsid w:val="009D2759"/>
    <w:rsid w:val="009D2770"/>
    <w:rsid w:val="009D27BF"/>
    <w:rsid w:val="009D283F"/>
    <w:rsid w:val="009D2871"/>
    <w:rsid w:val="009D2891"/>
    <w:rsid w:val="009D2923"/>
    <w:rsid w:val="009D2962"/>
    <w:rsid w:val="009D29FB"/>
    <w:rsid w:val="009D2B80"/>
    <w:rsid w:val="009D2BD8"/>
    <w:rsid w:val="009D2BE0"/>
    <w:rsid w:val="009D2CFE"/>
    <w:rsid w:val="009D2DA8"/>
    <w:rsid w:val="009D2DB8"/>
    <w:rsid w:val="009D2E26"/>
    <w:rsid w:val="009D2F58"/>
    <w:rsid w:val="009D2FC9"/>
    <w:rsid w:val="009D30E8"/>
    <w:rsid w:val="009D317A"/>
    <w:rsid w:val="009D3223"/>
    <w:rsid w:val="009D325B"/>
    <w:rsid w:val="009D32DE"/>
    <w:rsid w:val="009D3452"/>
    <w:rsid w:val="009D34C2"/>
    <w:rsid w:val="009D34CF"/>
    <w:rsid w:val="009D34E9"/>
    <w:rsid w:val="009D3551"/>
    <w:rsid w:val="009D35B3"/>
    <w:rsid w:val="009D35C0"/>
    <w:rsid w:val="009D35C7"/>
    <w:rsid w:val="009D35E8"/>
    <w:rsid w:val="009D36DC"/>
    <w:rsid w:val="009D37B0"/>
    <w:rsid w:val="009D37B5"/>
    <w:rsid w:val="009D3865"/>
    <w:rsid w:val="009D3872"/>
    <w:rsid w:val="009D3919"/>
    <w:rsid w:val="009D3946"/>
    <w:rsid w:val="009D3959"/>
    <w:rsid w:val="009D396A"/>
    <w:rsid w:val="009D3991"/>
    <w:rsid w:val="009D39E0"/>
    <w:rsid w:val="009D3A1A"/>
    <w:rsid w:val="009D3A51"/>
    <w:rsid w:val="009D3B89"/>
    <w:rsid w:val="009D3B90"/>
    <w:rsid w:val="009D3BD6"/>
    <w:rsid w:val="009D3C92"/>
    <w:rsid w:val="009D3CE8"/>
    <w:rsid w:val="009D3D34"/>
    <w:rsid w:val="009D3D55"/>
    <w:rsid w:val="009D3DF4"/>
    <w:rsid w:val="009D3E1B"/>
    <w:rsid w:val="009D3E27"/>
    <w:rsid w:val="009D3E8D"/>
    <w:rsid w:val="009D3EDC"/>
    <w:rsid w:val="009D3F04"/>
    <w:rsid w:val="009D3F72"/>
    <w:rsid w:val="009D3FA6"/>
    <w:rsid w:val="009D3FCB"/>
    <w:rsid w:val="009D409B"/>
    <w:rsid w:val="009D40F8"/>
    <w:rsid w:val="009D40FC"/>
    <w:rsid w:val="009D4160"/>
    <w:rsid w:val="009D4165"/>
    <w:rsid w:val="009D4222"/>
    <w:rsid w:val="009D425E"/>
    <w:rsid w:val="009D426B"/>
    <w:rsid w:val="009D4311"/>
    <w:rsid w:val="009D4421"/>
    <w:rsid w:val="009D44B4"/>
    <w:rsid w:val="009D45CF"/>
    <w:rsid w:val="009D4605"/>
    <w:rsid w:val="009D4634"/>
    <w:rsid w:val="009D4699"/>
    <w:rsid w:val="009D46A8"/>
    <w:rsid w:val="009D46B9"/>
    <w:rsid w:val="009D472E"/>
    <w:rsid w:val="009D4736"/>
    <w:rsid w:val="009D47AC"/>
    <w:rsid w:val="009D4808"/>
    <w:rsid w:val="009D4812"/>
    <w:rsid w:val="009D4847"/>
    <w:rsid w:val="009D4916"/>
    <w:rsid w:val="009D4919"/>
    <w:rsid w:val="009D49EF"/>
    <w:rsid w:val="009D4B7B"/>
    <w:rsid w:val="009D4BA3"/>
    <w:rsid w:val="009D4BC7"/>
    <w:rsid w:val="009D4C1B"/>
    <w:rsid w:val="009D4C23"/>
    <w:rsid w:val="009D4C36"/>
    <w:rsid w:val="009D4D0C"/>
    <w:rsid w:val="009D4DD8"/>
    <w:rsid w:val="009D4E01"/>
    <w:rsid w:val="009D4E04"/>
    <w:rsid w:val="009D4E7D"/>
    <w:rsid w:val="009D4EAC"/>
    <w:rsid w:val="009D4F77"/>
    <w:rsid w:val="009D509A"/>
    <w:rsid w:val="009D50DE"/>
    <w:rsid w:val="009D5160"/>
    <w:rsid w:val="009D5189"/>
    <w:rsid w:val="009D51C1"/>
    <w:rsid w:val="009D5282"/>
    <w:rsid w:val="009D53FA"/>
    <w:rsid w:val="009D5466"/>
    <w:rsid w:val="009D5499"/>
    <w:rsid w:val="009D54F2"/>
    <w:rsid w:val="009D5574"/>
    <w:rsid w:val="009D55C0"/>
    <w:rsid w:val="009D56E1"/>
    <w:rsid w:val="009D57A3"/>
    <w:rsid w:val="009D57E5"/>
    <w:rsid w:val="009D5932"/>
    <w:rsid w:val="009D598F"/>
    <w:rsid w:val="009D599C"/>
    <w:rsid w:val="009D5A0F"/>
    <w:rsid w:val="009D5ACA"/>
    <w:rsid w:val="009D5C8A"/>
    <w:rsid w:val="009D5CAC"/>
    <w:rsid w:val="009D5CED"/>
    <w:rsid w:val="009D5D3A"/>
    <w:rsid w:val="009D5D51"/>
    <w:rsid w:val="009D5D82"/>
    <w:rsid w:val="009D5D8D"/>
    <w:rsid w:val="009D5E3A"/>
    <w:rsid w:val="009D5EB4"/>
    <w:rsid w:val="009D5EEB"/>
    <w:rsid w:val="009D5EFD"/>
    <w:rsid w:val="009D5F22"/>
    <w:rsid w:val="009D6009"/>
    <w:rsid w:val="009D606D"/>
    <w:rsid w:val="009D60CB"/>
    <w:rsid w:val="009D614D"/>
    <w:rsid w:val="009D61F3"/>
    <w:rsid w:val="009D6231"/>
    <w:rsid w:val="009D62A9"/>
    <w:rsid w:val="009D62B9"/>
    <w:rsid w:val="009D62CE"/>
    <w:rsid w:val="009D62DB"/>
    <w:rsid w:val="009D6396"/>
    <w:rsid w:val="009D63AC"/>
    <w:rsid w:val="009D64E9"/>
    <w:rsid w:val="009D6542"/>
    <w:rsid w:val="009D6580"/>
    <w:rsid w:val="009D6640"/>
    <w:rsid w:val="009D666C"/>
    <w:rsid w:val="009D668E"/>
    <w:rsid w:val="009D66D5"/>
    <w:rsid w:val="009D6714"/>
    <w:rsid w:val="009D6780"/>
    <w:rsid w:val="009D67D1"/>
    <w:rsid w:val="009D68A7"/>
    <w:rsid w:val="009D6977"/>
    <w:rsid w:val="009D698C"/>
    <w:rsid w:val="009D69FB"/>
    <w:rsid w:val="009D6A7E"/>
    <w:rsid w:val="009D6AA2"/>
    <w:rsid w:val="009D6AD8"/>
    <w:rsid w:val="009D6B0C"/>
    <w:rsid w:val="009D6B99"/>
    <w:rsid w:val="009D6BBB"/>
    <w:rsid w:val="009D6BDB"/>
    <w:rsid w:val="009D6C5B"/>
    <w:rsid w:val="009D6C65"/>
    <w:rsid w:val="009D6C69"/>
    <w:rsid w:val="009D6C7A"/>
    <w:rsid w:val="009D6CB4"/>
    <w:rsid w:val="009D6CE0"/>
    <w:rsid w:val="009D6D09"/>
    <w:rsid w:val="009D6E92"/>
    <w:rsid w:val="009D6ED1"/>
    <w:rsid w:val="009D6F05"/>
    <w:rsid w:val="009D6F83"/>
    <w:rsid w:val="009D6FE4"/>
    <w:rsid w:val="009D70DE"/>
    <w:rsid w:val="009D715B"/>
    <w:rsid w:val="009D7179"/>
    <w:rsid w:val="009D7184"/>
    <w:rsid w:val="009D71BC"/>
    <w:rsid w:val="009D721C"/>
    <w:rsid w:val="009D7348"/>
    <w:rsid w:val="009D7393"/>
    <w:rsid w:val="009D73C2"/>
    <w:rsid w:val="009D73F7"/>
    <w:rsid w:val="009D744D"/>
    <w:rsid w:val="009D7481"/>
    <w:rsid w:val="009D7490"/>
    <w:rsid w:val="009D7531"/>
    <w:rsid w:val="009D75EA"/>
    <w:rsid w:val="009D767B"/>
    <w:rsid w:val="009D7692"/>
    <w:rsid w:val="009D7696"/>
    <w:rsid w:val="009D76E4"/>
    <w:rsid w:val="009D7718"/>
    <w:rsid w:val="009D77B1"/>
    <w:rsid w:val="009D77CA"/>
    <w:rsid w:val="009D77D0"/>
    <w:rsid w:val="009D78DF"/>
    <w:rsid w:val="009D7974"/>
    <w:rsid w:val="009D79A9"/>
    <w:rsid w:val="009D79F4"/>
    <w:rsid w:val="009D7A11"/>
    <w:rsid w:val="009D7B73"/>
    <w:rsid w:val="009D7B81"/>
    <w:rsid w:val="009D7B82"/>
    <w:rsid w:val="009D7BE0"/>
    <w:rsid w:val="009D7C37"/>
    <w:rsid w:val="009D7CCA"/>
    <w:rsid w:val="009D7D01"/>
    <w:rsid w:val="009D7D33"/>
    <w:rsid w:val="009D7D4E"/>
    <w:rsid w:val="009D7E45"/>
    <w:rsid w:val="009E000B"/>
    <w:rsid w:val="009E001A"/>
    <w:rsid w:val="009E0021"/>
    <w:rsid w:val="009E0025"/>
    <w:rsid w:val="009E0157"/>
    <w:rsid w:val="009E01AF"/>
    <w:rsid w:val="009E01C3"/>
    <w:rsid w:val="009E01D9"/>
    <w:rsid w:val="009E0216"/>
    <w:rsid w:val="009E0318"/>
    <w:rsid w:val="009E0348"/>
    <w:rsid w:val="009E0363"/>
    <w:rsid w:val="009E03AD"/>
    <w:rsid w:val="009E0462"/>
    <w:rsid w:val="009E0506"/>
    <w:rsid w:val="009E05B2"/>
    <w:rsid w:val="009E05B8"/>
    <w:rsid w:val="009E0693"/>
    <w:rsid w:val="009E0741"/>
    <w:rsid w:val="009E07D9"/>
    <w:rsid w:val="009E07FB"/>
    <w:rsid w:val="009E088F"/>
    <w:rsid w:val="009E089E"/>
    <w:rsid w:val="009E08A4"/>
    <w:rsid w:val="009E08ED"/>
    <w:rsid w:val="009E0955"/>
    <w:rsid w:val="009E098A"/>
    <w:rsid w:val="009E09A9"/>
    <w:rsid w:val="009E09DB"/>
    <w:rsid w:val="009E0ACB"/>
    <w:rsid w:val="009E0B21"/>
    <w:rsid w:val="009E0B24"/>
    <w:rsid w:val="009E0B3F"/>
    <w:rsid w:val="009E0BE4"/>
    <w:rsid w:val="009E0C8B"/>
    <w:rsid w:val="009E0CDB"/>
    <w:rsid w:val="009E0D43"/>
    <w:rsid w:val="009E0D4D"/>
    <w:rsid w:val="009E0DBB"/>
    <w:rsid w:val="009E0DC5"/>
    <w:rsid w:val="009E0DD2"/>
    <w:rsid w:val="009E0DE7"/>
    <w:rsid w:val="009E0DE9"/>
    <w:rsid w:val="009E0EE2"/>
    <w:rsid w:val="009E0F44"/>
    <w:rsid w:val="009E0FAA"/>
    <w:rsid w:val="009E0FBA"/>
    <w:rsid w:val="009E0FD1"/>
    <w:rsid w:val="009E1018"/>
    <w:rsid w:val="009E1079"/>
    <w:rsid w:val="009E10C9"/>
    <w:rsid w:val="009E10D4"/>
    <w:rsid w:val="009E1152"/>
    <w:rsid w:val="009E115B"/>
    <w:rsid w:val="009E119A"/>
    <w:rsid w:val="009E1214"/>
    <w:rsid w:val="009E1290"/>
    <w:rsid w:val="009E1365"/>
    <w:rsid w:val="009E1367"/>
    <w:rsid w:val="009E1479"/>
    <w:rsid w:val="009E14A8"/>
    <w:rsid w:val="009E1512"/>
    <w:rsid w:val="009E1520"/>
    <w:rsid w:val="009E1560"/>
    <w:rsid w:val="009E162C"/>
    <w:rsid w:val="009E1634"/>
    <w:rsid w:val="009E1636"/>
    <w:rsid w:val="009E1673"/>
    <w:rsid w:val="009E1676"/>
    <w:rsid w:val="009E16A8"/>
    <w:rsid w:val="009E16BE"/>
    <w:rsid w:val="009E173A"/>
    <w:rsid w:val="009E179B"/>
    <w:rsid w:val="009E17D5"/>
    <w:rsid w:val="009E17E1"/>
    <w:rsid w:val="009E1888"/>
    <w:rsid w:val="009E18A6"/>
    <w:rsid w:val="009E18D1"/>
    <w:rsid w:val="009E1AC1"/>
    <w:rsid w:val="009E1AD3"/>
    <w:rsid w:val="009E1C23"/>
    <w:rsid w:val="009E1C93"/>
    <w:rsid w:val="009E1D2D"/>
    <w:rsid w:val="009E1E8F"/>
    <w:rsid w:val="009E1F0D"/>
    <w:rsid w:val="009E1FF8"/>
    <w:rsid w:val="009E1FFB"/>
    <w:rsid w:val="009E1FFC"/>
    <w:rsid w:val="009E2093"/>
    <w:rsid w:val="009E20DB"/>
    <w:rsid w:val="009E2105"/>
    <w:rsid w:val="009E2189"/>
    <w:rsid w:val="009E2286"/>
    <w:rsid w:val="009E22EF"/>
    <w:rsid w:val="009E230E"/>
    <w:rsid w:val="009E24A2"/>
    <w:rsid w:val="009E255C"/>
    <w:rsid w:val="009E2622"/>
    <w:rsid w:val="009E264C"/>
    <w:rsid w:val="009E26CD"/>
    <w:rsid w:val="009E26F3"/>
    <w:rsid w:val="009E272E"/>
    <w:rsid w:val="009E276A"/>
    <w:rsid w:val="009E2775"/>
    <w:rsid w:val="009E2780"/>
    <w:rsid w:val="009E27C3"/>
    <w:rsid w:val="009E283D"/>
    <w:rsid w:val="009E28AE"/>
    <w:rsid w:val="009E290C"/>
    <w:rsid w:val="009E291E"/>
    <w:rsid w:val="009E2950"/>
    <w:rsid w:val="009E2957"/>
    <w:rsid w:val="009E299E"/>
    <w:rsid w:val="009E29F2"/>
    <w:rsid w:val="009E29F5"/>
    <w:rsid w:val="009E2B1D"/>
    <w:rsid w:val="009E2B33"/>
    <w:rsid w:val="009E2C3E"/>
    <w:rsid w:val="009E2C50"/>
    <w:rsid w:val="009E2D6A"/>
    <w:rsid w:val="009E2DD5"/>
    <w:rsid w:val="009E2EA0"/>
    <w:rsid w:val="009E2F23"/>
    <w:rsid w:val="009E2F33"/>
    <w:rsid w:val="009E30F1"/>
    <w:rsid w:val="009E3138"/>
    <w:rsid w:val="009E3142"/>
    <w:rsid w:val="009E3144"/>
    <w:rsid w:val="009E3158"/>
    <w:rsid w:val="009E318E"/>
    <w:rsid w:val="009E322D"/>
    <w:rsid w:val="009E32AF"/>
    <w:rsid w:val="009E32D2"/>
    <w:rsid w:val="009E3325"/>
    <w:rsid w:val="009E33E8"/>
    <w:rsid w:val="009E33F2"/>
    <w:rsid w:val="009E3454"/>
    <w:rsid w:val="009E3474"/>
    <w:rsid w:val="009E350B"/>
    <w:rsid w:val="009E3523"/>
    <w:rsid w:val="009E3561"/>
    <w:rsid w:val="009E35CD"/>
    <w:rsid w:val="009E3625"/>
    <w:rsid w:val="009E368A"/>
    <w:rsid w:val="009E3773"/>
    <w:rsid w:val="009E3815"/>
    <w:rsid w:val="009E3824"/>
    <w:rsid w:val="009E3835"/>
    <w:rsid w:val="009E385B"/>
    <w:rsid w:val="009E38E5"/>
    <w:rsid w:val="009E39F6"/>
    <w:rsid w:val="009E3A97"/>
    <w:rsid w:val="009E3AF8"/>
    <w:rsid w:val="009E3AFB"/>
    <w:rsid w:val="009E3C05"/>
    <w:rsid w:val="009E3C2D"/>
    <w:rsid w:val="009E3C9F"/>
    <w:rsid w:val="009E3CBD"/>
    <w:rsid w:val="009E3CC6"/>
    <w:rsid w:val="009E3D4D"/>
    <w:rsid w:val="009E3D57"/>
    <w:rsid w:val="009E3DA0"/>
    <w:rsid w:val="009E3DD2"/>
    <w:rsid w:val="009E3E07"/>
    <w:rsid w:val="009E3FB7"/>
    <w:rsid w:val="009E407D"/>
    <w:rsid w:val="009E407E"/>
    <w:rsid w:val="009E418C"/>
    <w:rsid w:val="009E41AE"/>
    <w:rsid w:val="009E41C5"/>
    <w:rsid w:val="009E41E0"/>
    <w:rsid w:val="009E4246"/>
    <w:rsid w:val="009E42F6"/>
    <w:rsid w:val="009E4319"/>
    <w:rsid w:val="009E4345"/>
    <w:rsid w:val="009E4397"/>
    <w:rsid w:val="009E43F5"/>
    <w:rsid w:val="009E4539"/>
    <w:rsid w:val="009E4599"/>
    <w:rsid w:val="009E45E4"/>
    <w:rsid w:val="009E464A"/>
    <w:rsid w:val="009E470A"/>
    <w:rsid w:val="009E4754"/>
    <w:rsid w:val="009E476D"/>
    <w:rsid w:val="009E479C"/>
    <w:rsid w:val="009E47E4"/>
    <w:rsid w:val="009E47F6"/>
    <w:rsid w:val="009E480F"/>
    <w:rsid w:val="009E4881"/>
    <w:rsid w:val="009E48CC"/>
    <w:rsid w:val="009E49B0"/>
    <w:rsid w:val="009E4A0E"/>
    <w:rsid w:val="009E4A49"/>
    <w:rsid w:val="009E4A88"/>
    <w:rsid w:val="009E4ADF"/>
    <w:rsid w:val="009E4B41"/>
    <w:rsid w:val="009E4B7F"/>
    <w:rsid w:val="009E4C3B"/>
    <w:rsid w:val="009E4CCF"/>
    <w:rsid w:val="009E4D08"/>
    <w:rsid w:val="009E4E63"/>
    <w:rsid w:val="009E4E83"/>
    <w:rsid w:val="009E4EC9"/>
    <w:rsid w:val="009E4ED0"/>
    <w:rsid w:val="009E4F3E"/>
    <w:rsid w:val="009E4FBF"/>
    <w:rsid w:val="009E4FFB"/>
    <w:rsid w:val="009E5102"/>
    <w:rsid w:val="009E5107"/>
    <w:rsid w:val="009E5125"/>
    <w:rsid w:val="009E512D"/>
    <w:rsid w:val="009E51B3"/>
    <w:rsid w:val="009E52FB"/>
    <w:rsid w:val="009E5329"/>
    <w:rsid w:val="009E5385"/>
    <w:rsid w:val="009E538E"/>
    <w:rsid w:val="009E5572"/>
    <w:rsid w:val="009E559B"/>
    <w:rsid w:val="009E55A6"/>
    <w:rsid w:val="009E55E0"/>
    <w:rsid w:val="009E5647"/>
    <w:rsid w:val="009E5663"/>
    <w:rsid w:val="009E56A5"/>
    <w:rsid w:val="009E56AA"/>
    <w:rsid w:val="009E578B"/>
    <w:rsid w:val="009E57D9"/>
    <w:rsid w:val="009E590F"/>
    <w:rsid w:val="009E5913"/>
    <w:rsid w:val="009E5930"/>
    <w:rsid w:val="009E59D9"/>
    <w:rsid w:val="009E5ABA"/>
    <w:rsid w:val="009E5AEA"/>
    <w:rsid w:val="009E5AEB"/>
    <w:rsid w:val="009E5B01"/>
    <w:rsid w:val="009E5B16"/>
    <w:rsid w:val="009E5B6F"/>
    <w:rsid w:val="009E5B7F"/>
    <w:rsid w:val="009E5C85"/>
    <w:rsid w:val="009E5D1C"/>
    <w:rsid w:val="009E5DB3"/>
    <w:rsid w:val="009E5DE3"/>
    <w:rsid w:val="009E5E82"/>
    <w:rsid w:val="009E5EA9"/>
    <w:rsid w:val="009E5F66"/>
    <w:rsid w:val="009E5FD1"/>
    <w:rsid w:val="009E5FE0"/>
    <w:rsid w:val="009E6001"/>
    <w:rsid w:val="009E60B9"/>
    <w:rsid w:val="009E60F6"/>
    <w:rsid w:val="009E6106"/>
    <w:rsid w:val="009E6150"/>
    <w:rsid w:val="009E6183"/>
    <w:rsid w:val="009E618A"/>
    <w:rsid w:val="009E61A7"/>
    <w:rsid w:val="009E61A8"/>
    <w:rsid w:val="009E6236"/>
    <w:rsid w:val="009E6255"/>
    <w:rsid w:val="009E633F"/>
    <w:rsid w:val="009E64E6"/>
    <w:rsid w:val="009E654A"/>
    <w:rsid w:val="009E6593"/>
    <w:rsid w:val="009E667F"/>
    <w:rsid w:val="009E6770"/>
    <w:rsid w:val="009E67A9"/>
    <w:rsid w:val="009E6838"/>
    <w:rsid w:val="009E68A4"/>
    <w:rsid w:val="009E6900"/>
    <w:rsid w:val="009E6930"/>
    <w:rsid w:val="009E6939"/>
    <w:rsid w:val="009E697E"/>
    <w:rsid w:val="009E69EB"/>
    <w:rsid w:val="009E6A93"/>
    <w:rsid w:val="009E6A9D"/>
    <w:rsid w:val="009E6AC9"/>
    <w:rsid w:val="009E6B16"/>
    <w:rsid w:val="009E6B9D"/>
    <w:rsid w:val="009E6BBD"/>
    <w:rsid w:val="009E6BDD"/>
    <w:rsid w:val="009E6CB3"/>
    <w:rsid w:val="009E6CCE"/>
    <w:rsid w:val="009E6D75"/>
    <w:rsid w:val="009E6DDC"/>
    <w:rsid w:val="009E6DEB"/>
    <w:rsid w:val="009E6E39"/>
    <w:rsid w:val="009E6E8B"/>
    <w:rsid w:val="009E6EDB"/>
    <w:rsid w:val="009E6F82"/>
    <w:rsid w:val="009E6F83"/>
    <w:rsid w:val="009E702F"/>
    <w:rsid w:val="009E7062"/>
    <w:rsid w:val="009E7140"/>
    <w:rsid w:val="009E715D"/>
    <w:rsid w:val="009E717F"/>
    <w:rsid w:val="009E718B"/>
    <w:rsid w:val="009E71FF"/>
    <w:rsid w:val="009E7264"/>
    <w:rsid w:val="009E72EB"/>
    <w:rsid w:val="009E7357"/>
    <w:rsid w:val="009E7379"/>
    <w:rsid w:val="009E73CE"/>
    <w:rsid w:val="009E747B"/>
    <w:rsid w:val="009E74AC"/>
    <w:rsid w:val="009E756A"/>
    <w:rsid w:val="009E7623"/>
    <w:rsid w:val="009E766B"/>
    <w:rsid w:val="009E7694"/>
    <w:rsid w:val="009E7794"/>
    <w:rsid w:val="009E77CF"/>
    <w:rsid w:val="009E78E0"/>
    <w:rsid w:val="009E78EE"/>
    <w:rsid w:val="009E797F"/>
    <w:rsid w:val="009E79AE"/>
    <w:rsid w:val="009E79F2"/>
    <w:rsid w:val="009E7A1C"/>
    <w:rsid w:val="009E7A8E"/>
    <w:rsid w:val="009E7BBF"/>
    <w:rsid w:val="009E7BD0"/>
    <w:rsid w:val="009E7CC1"/>
    <w:rsid w:val="009E7D27"/>
    <w:rsid w:val="009E7D86"/>
    <w:rsid w:val="009E7DF6"/>
    <w:rsid w:val="009E7EDE"/>
    <w:rsid w:val="009E7EF4"/>
    <w:rsid w:val="009E7F06"/>
    <w:rsid w:val="009E7F1C"/>
    <w:rsid w:val="009E7F8E"/>
    <w:rsid w:val="009E7F9B"/>
    <w:rsid w:val="009F000F"/>
    <w:rsid w:val="009F0024"/>
    <w:rsid w:val="009F0071"/>
    <w:rsid w:val="009F0076"/>
    <w:rsid w:val="009F00A0"/>
    <w:rsid w:val="009F018A"/>
    <w:rsid w:val="009F01B3"/>
    <w:rsid w:val="009F01E0"/>
    <w:rsid w:val="009F021C"/>
    <w:rsid w:val="009F023C"/>
    <w:rsid w:val="009F0243"/>
    <w:rsid w:val="009F02B1"/>
    <w:rsid w:val="009F02BF"/>
    <w:rsid w:val="009F0348"/>
    <w:rsid w:val="009F03A8"/>
    <w:rsid w:val="009F03B4"/>
    <w:rsid w:val="009F03BB"/>
    <w:rsid w:val="009F042C"/>
    <w:rsid w:val="009F0475"/>
    <w:rsid w:val="009F04FC"/>
    <w:rsid w:val="009F0525"/>
    <w:rsid w:val="009F05F9"/>
    <w:rsid w:val="009F0670"/>
    <w:rsid w:val="009F0697"/>
    <w:rsid w:val="009F0726"/>
    <w:rsid w:val="009F0737"/>
    <w:rsid w:val="009F07A0"/>
    <w:rsid w:val="009F07F8"/>
    <w:rsid w:val="009F0870"/>
    <w:rsid w:val="009F0924"/>
    <w:rsid w:val="009F09B3"/>
    <w:rsid w:val="009F09F7"/>
    <w:rsid w:val="009F0A8F"/>
    <w:rsid w:val="009F0ADB"/>
    <w:rsid w:val="009F0AEF"/>
    <w:rsid w:val="009F0B2E"/>
    <w:rsid w:val="009F0BDB"/>
    <w:rsid w:val="009F0BFB"/>
    <w:rsid w:val="009F0C78"/>
    <w:rsid w:val="009F0C7A"/>
    <w:rsid w:val="009F0D0E"/>
    <w:rsid w:val="009F0D4B"/>
    <w:rsid w:val="009F0D65"/>
    <w:rsid w:val="009F0DAC"/>
    <w:rsid w:val="009F0E22"/>
    <w:rsid w:val="009F0E8B"/>
    <w:rsid w:val="009F0ED2"/>
    <w:rsid w:val="009F0EEC"/>
    <w:rsid w:val="009F0FE8"/>
    <w:rsid w:val="009F110A"/>
    <w:rsid w:val="009F1135"/>
    <w:rsid w:val="009F114D"/>
    <w:rsid w:val="009F11F4"/>
    <w:rsid w:val="009F1230"/>
    <w:rsid w:val="009F124C"/>
    <w:rsid w:val="009F1266"/>
    <w:rsid w:val="009F127B"/>
    <w:rsid w:val="009F13D8"/>
    <w:rsid w:val="009F13EF"/>
    <w:rsid w:val="009F14C1"/>
    <w:rsid w:val="009F14EA"/>
    <w:rsid w:val="009F1548"/>
    <w:rsid w:val="009F1577"/>
    <w:rsid w:val="009F1582"/>
    <w:rsid w:val="009F1654"/>
    <w:rsid w:val="009F168A"/>
    <w:rsid w:val="009F16C3"/>
    <w:rsid w:val="009F173D"/>
    <w:rsid w:val="009F17B7"/>
    <w:rsid w:val="009F184D"/>
    <w:rsid w:val="009F184F"/>
    <w:rsid w:val="009F1870"/>
    <w:rsid w:val="009F193E"/>
    <w:rsid w:val="009F1B01"/>
    <w:rsid w:val="009F1B5A"/>
    <w:rsid w:val="009F1C21"/>
    <w:rsid w:val="009F1C4B"/>
    <w:rsid w:val="009F1C8B"/>
    <w:rsid w:val="009F1CF3"/>
    <w:rsid w:val="009F1D4E"/>
    <w:rsid w:val="009F1D90"/>
    <w:rsid w:val="009F1DB4"/>
    <w:rsid w:val="009F1DE2"/>
    <w:rsid w:val="009F1E20"/>
    <w:rsid w:val="009F1E4D"/>
    <w:rsid w:val="009F1EA5"/>
    <w:rsid w:val="009F1EC2"/>
    <w:rsid w:val="009F1ECE"/>
    <w:rsid w:val="009F1F1E"/>
    <w:rsid w:val="009F1F54"/>
    <w:rsid w:val="009F1F7A"/>
    <w:rsid w:val="009F1FA8"/>
    <w:rsid w:val="009F2007"/>
    <w:rsid w:val="009F2040"/>
    <w:rsid w:val="009F2053"/>
    <w:rsid w:val="009F206B"/>
    <w:rsid w:val="009F2094"/>
    <w:rsid w:val="009F2167"/>
    <w:rsid w:val="009F21D7"/>
    <w:rsid w:val="009F22D2"/>
    <w:rsid w:val="009F2349"/>
    <w:rsid w:val="009F238F"/>
    <w:rsid w:val="009F23BF"/>
    <w:rsid w:val="009F2418"/>
    <w:rsid w:val="009F246E"/>
    <w:rsid w:val="009F2556"/>
    <w:rsid w:val="009F25D9"/>
    <w:rsid w:val="009F2606"/>
    <w:rsid w:val="009F2628"/>
    <w:rsid w:val="009F269F"/>
    <w:rsid w:val="009F26E5"/>
    <w:rsid w:val="009F2735"/>
    <w:rsid w:val="009F274D"/>
    <w:rsid w:val="009F27B5"/>
    <w:rsid w:val="009F27F5"/>
    <w:rsid w:val="009F28AC"/>
    <w:rsid w:val="009F28C2"/>
    <w:rsid w:val="009F28D1"/>
    <w:rsid w:val="009F2AAE"/>
    <w:rsid w:val="009F2ACF"/>
    <w:rsid w:val="009F2AE1"/>
    <w:rsid w:val="009F2B39"/>
    <w:rsid w:val="009F2C1B"/>
    <w:rsid w:val="009F2C70"/>
    <w:rsid w:val="009F2D34"/>
    <w:rsid w:val="009F2D85"/>
    <w:rsid w:val="009F2E6C"/>
    <w:rsid w:val="009F2EAE"/>
    <w:rsid w:val="009F2EC5"/>
    <w:rsid w:val="009F2EE5"/>
    <w:rsid w:val="009F2F6D"/>
    <w:rsid w:val="009F2FBD"/>
    <w:rsid w:val="009F2FC0"/>
    <w:rsid w:val="009F2FF5"/>
    <w:rsid w:val="009F3012"/>
    <w:rsid w:val="009F3028"/>
    <w:rsid w:val="009F306D"/>
    <w:rsid w:val="009F314E"/>
    <w:rsid w:val="009F31E9"/>
    <w:rsid w:val="009F323B"/>
    <w:rsid w:val="009F326D"/>
    <w:rsid w:val="009F3422"/>
    <w:rsid w:val="009F351C"/>
    <w:rsid w:val="009F3678"/>
    <w:rsid w:val="009F36C3"/>
    <w:rsid w:val="009F370D"/>
    <w:rsid w:val="009F37B6"/>
    <w:rsid w:val="009F380E"/>
    <w:rsid w:val="009F38E3"/>
    <w:rsid w:val="009F3913"/>
    <w:rsid w:val="009F3948"/>
    <w:rsid w:val="009F395F"/>
    <w:rsid w:val="009F39B2"/>
    <w:rsid w:val="009F3A1A"/>
    <w:rsid w:val="009F3A43"/>
    <w:rsid w:val="009F3A4F"/>
    <w:rsid w:val="009F3A58"/>
    <w:rsid w:val="009F3A6A"/>
    <w:rsid w:val="009F3AAC"/>
    <w:rsid w:val="009F3B21"/>
    <w:rsid w:val="009F3B35"/>
    <w:rsid w:val="009F3BC6"/>
    <w:rsid w:val="009F3C15"/>
    <w:rsid w:val="009F3C54"/>
    <w:rsid w:val="009F3D51"/>
    <w:rsid w:val="009F3D7B"/>
    <w:rsid w:val="009F3DA0"/>
    <w:rsid w:val="009F3DA3"/>
    <w:rsid w:val="009F3E11"/>
    <w:rsid w:val="009F3E54"/>
    <w:rsid w:val="009F3F0F"/>
    <w:rsid w:val="009F3F45"/>
    <w:rsid w:val="009F3F46"/>
    <w:rsid w:val="009F3FE7"/>
    <w:rsid w:val="009F4030"/>
    <w:rsid w:val="009F404C"/>
    <w:rsid w:val="009F417A"/>
    <w:rsid w:val="009F418A"/>
    <w:rsid w:val="009F4229"/>
    <w:rsid w:val="009F42B2"/>
    <w:rsid w:val="009F42B4"/>
    <w:rsid w:val="009F42D6"/>
    <w:rsid w:val="009F4328"/>
    <w:rsid w:val="009F4371"/>
    <w:rsid w:val="009F43D7"/>
    <w:rsid w:val="009F449E"/>
    <w:rsid w:val="009F4600"/>
    <w:rsid w:val="009F4622"/>
    <w:rsid w:val="009F46AD"/>
    <w:rsid w:val="009F47B0"/>
    <w:rsid w:val="009F4819"/>
    <w:rsid w:val="009F4828"/>
    <w:rsid w:val="009F48CF"/>
    <w:rsid w:val="009F495A"/>
    <w:rsid w:val="009F49AE"/>
    <w:rsid w:val="009F4A0A"/>
    <w:rsid w:val="009F4B23"/>
    <w:rsid w:val="009F4B55"/>
    <w:rsid w:val="009F4B80"/>
    <w:rsid w:val="009F4BFC"/>
    <w:rsid w:val="009F4C25"/>
    <w:rsid w:val="009F4C7F"/>
    <w:rsid w:val="009F4D55"/>
    <w:rsid w:val="009F4DA0"/>
    <w:rsid w:val="009F4DB7"/>
    <w:rsid w:val="009F4DC0"/>
    <w:rsid w:val="009F4DC9"/>
    <w:rsid w:val="009F4DD7"/>
    <w:rsid w:val="009F4DFA"/>
    <w:rsid w:val="009F4E0A"/>
    <w:rsid w:val="009F4E55"/>
    <w:rsid w:val="009F4EC3"/>
    <w:rsid w:val="009F4ED3"/>
    <w:rsid w:val="009F4EDC"/>
    <w:rsid w:val="009F4F04"/>
    <w:rsid w:val="009F4F3B"/>
    <w:rsid w:val="009F4F91"/>
    <w:rsid w:val="009F4FC9"/>
    <w:rsid w:val="009F5056"/>
    <w:rsid w:val="009F5112"/>
    <w:rsid w:val="009F5125"/>
    <w:rsid w:val="009F5192"/>
    <w:rsid w:val="009F5232"/>
    <w:rsid w:val="009F52C6"/>
    <w:rsid w:val="009F52EC"/>
    <w:rsid w:val="009F530F"/>
    <w:rsid w:val="009F5355"/>
    <w:rsid w:val="009F53AF"/>
    <w:rsid w:val="009F53B0"/>
    <w:rsid w:val="009F54E2"/>
    <w:rsid w:val="009F5533"/>
    <w:rsid w:val="009F5539"/>
    <w:rsid w:val="009F5547"/>
    <w:rsid w:val="009F566E"/>
    <w:rsid w:val="009F5674"/>
    <w:rsid w:val="009F56B7"/>
    <w:rsid w:val="009F5749"/>
    <w:rsid w:val="009F5893"/>
    <w:rsid w:val="009F58B7"/>
    <w:rsid w:val="009F5912"/>
    <w:rsid w:val="009F59A0"/>
    <w:rsid w:val="009F5A14"/>
    <w:rsid w:val="009F5A1E"/>
    <w:rsid w:val="009F5A39"/>
    <w:rsid w:val="009F5A7B"/>
    <w:rsid w:val="009F5AA1"/>
    <w:rsid w:val="009F5AF2"/>
    <w:rsid w:val="009F5B63"/>
    <w:rsid w:val="009F5B6C"/>
    <w:rsid w:val="009F5B91"/>
    <w:rsid w:val="009F5B9D"/>
    <w:rsid w:val="009F5C79"/>
    <w:rsid w:val="009F5C98"/>
    <w:rsid w:val="009F5CAC"/>
    <w:rsid w:val="009F5D8B"/>
    <w:rsid w:val="009F5DB4"/>
    <w:rsid w:val="009F5DD1"/>
    <w:rsid w:val="009F5DFE"/>
    <w:rsid w:val="009F5E8F"/>
    <w:rsid w:val="009F5E93"/>
    <w:rsid w:val="009F5E94"/>
    <w:rsid w:val="009F5E9D"/>
    <w:rsid w:val="009F5EBB"/>
    <w:rsid w:val="009F5EFE"/>
    <w:rsid w:val="009F5F32"/>
    <w:rsid w:val="009F603A"/>
    <w:rsid w:val="009F6071"/>
    <w:rsid w:val="009F6138"/>
    <w:rsid w:val="009F617C"/>
    <w:rsid w:val="009F619D"/>
    <w:rsid w:val="009F6226"/>
    <w:rsid w:val="009F62AE"/>
    <w:rsid w:val="009F62F3"/>
    <w:rsid w:val="009F642E"/>
    <w:rsid w:val="009F643A"/>
    <w:rsid w:val="009F6448"/>
    <w:rsid w:val="009F6457"/>
    <w:rsid w:val="009F64F2"/>
    <w:rsid w:val="009F64F5"/>
    <w:rsid w:val="009F65EF"/>
    <w:rsid w:val="009F661F"/>
    <w:rsid w:val="009F6683"/>
    <w:rsid w:val="009F668C"/>
    <w:rsid w:val="009F672E"/>
    <w:rsid w:val="009F6766"/>
    <w:rsid w:val="009F6966"/>
    <w:rsid w:val="009F697A"/>
    <w:rsid w:val="009F69E7"/>
    <w:rsid w:val="009F6AE3"/>
    <w:rsid w:val="009F6B9C"/>
    <w:rsid w:val="009F6BD8"/>
    <w:rsid w:val="009F6BD9"/>
    <w:rsid w:val="009F6BE4"/>
    <w:rsid w:val="009F6C5C"/>
    <w:rsid w:val="009F6CA1"/>
    <w:rsid w:val="009F6CD9"/>
    <w:rsid w:val="009F6D5A"/>
    <w:rsid w:val="009F6D87"/>
    <w:rsid w:val="009F6D90"/>
    <w:rsid w:val="009F6D99"/>
    <w:rsid w:val="009F6DDB"/>
    <w:rsid w:val="009F6DE2"/>
    <w:rsid w:val="009F6E1B"/>
    <w:rsid w:val="009F6E9A"/>
    <w:rsid w:val="009F6F05"/>
    <w:rsid w:val="009F6FBD"/>
    <w:rsid w:val="009F6FD7"/>
    <w:rsid w:val="009F70C8"/>
    <w:rsid w:val="009F70D3"/>
    <w:rsid w:val="009F70F7"/>
    <w:rsid w:val="009F7133"/>
    <w:rsid w:val="009F7134"/>
    <w:rsid w:val="009F7185"/>
    <w:rsid w:val="009F71A3"/>
    <w:rsid w:val="009F71E3"/>
    <w:rsid w:val="009F727D"/>
    <w:rsid w:val="009F72D8"/>
    <w:rsid w:val="009F73B8"/>
    <w:rsid w:val="009F7402"/>
    <w:rsid w:val="009F7404"/>
    <w:rsid w:val="009F7538"/>
    <w:rsid w:val="009F7563"/>
    <w:rsid w:val="009F7623"/>
    <w:rsid w:val="009F7650"/>
    <w:rsid w:val="009F7731"/>
    <w:rsid w:val="009F77DC"/>
    <w:rsid w:val="009F77E4"/>
    <w:rsid w:val="009F7825"/>
    <w:rsid w:val="009F7853"/>
    <w:rsid w:val="009F786A"/>
    <w:rsid w:val="009F78BD"/>
    <w:rsid w:val="009F78FD"/>
    <w:rsid w:val="009F790E"/>
    <w:rsid w:val="009F798E"/>
    <w:rsid w:val="009F7997"/>
    <w:rsid w:val="009F799D"/>
    <w:rsid w:val="009F7A92"/>
    <w:rsid w:val="009F7A98"/>
    <w:rsid w:val="009F7AA9"/>
    <w:rsid w:val="009F7ABB"/>
    <w:rsid w:val="009F7AC8"/>
    <w:rsid w:val="009F7B0B"/>
    <w:rsid w:val="009F7B2F"/>
    <w:rsid w:val="009F7BD6"/>
    <w:rsid w:val="009F7D59"/>
    <w:rsid w:val="009F7DFE"/>
    <w:rsid w:val="009F7E3F"/>
    <w:rsid w:val="009F7E5E"/>
    <w:rsid w:val="009F7E6D"/>
    <w:rsid w:val="009F7EC1"/>
    <w:rsid w:val="009F7FA7"/>
    <w:rsid w:val="00A00017"/>
    <w:rsid w:val="00A00062"/>
    <w:rsid w:val="00A00063"/>
    <w:rsid w:val="00A0008A"/>
    <w:rsid w:val="00A00092"/>
    <w:rsid w:val="00A0009C"/>
    <w:rsid w:val="00A000B7"/>
    <w:rsid w:val="00A000BD"/>
    <w:rsid w:val="00A0013F"/>
    <w:rsid w:val="00A0015C"/>
    <w:rsid w:val="00A0017A"/>
    <w:rsid w:val="00A00180"/>
    <w:rsid w:val="00A00232"/>
    <w:rsid w:val="00A0024D"/>
    <w:rsid w:val="00A003C3"/>
    <w:rsid w:val="00A004D3"/>
    <w:rsid w:val="00A004FC"/>
    <w:rsid w:val="00A0052A"/>
    <w:rsid w:val="00A00554"/>
    <w:rsid w:val="00A0058B"/>
    <w:rsid w:val="00A005DD"/>
    <w:rsid w:val="00A005E5"/>
    <w:rsid w:val="00A005F2"/>
    <w:rsid w:val="00A00605"/>
    <w:rsid w:val="00A00615"/>
    <w:rsid w:val="00A0069E"/>
    <w:rsid w:val="00A006B4"/>
    <w:rsid w:val="00A006F6"/>
    <w:rsid w:val="00A006FE"/>
    <w:rsid w:val="00A00702"/>
    <w:rsid w:val="00A0071F"/>
    <w:rsid w:val="00A00720"/>
    <w:rsid w:val="00A00748"/>
    <w:rsid w:val="00A00774"/>
    <w:rsid w:val="00A00801"/>
    <w:rsid w:val="00A00853"/>
    <w:rsid w:val="00A00886"/>
    <w:rsid w:val="00A00986"/>
    <w:rsid w:val="00A009C6"/>
    <w:rsid w:val="00A00B7C"/>
    <w:rsid w:val="00A00B8C"/>
    <w:rsid w:val="00A00BBA"/>
    <w:rsid w:val="00A00C1E"/>
    <w:rsid w:val="00A00C3C"/>
    <w:rsid w:val="00A00D54"/>
    <w:rsid w:val="00A00DA0"/>
    <w:rsid w:val="00A00E01"/>
    <w:rsid w:val="00A00E06"/>
    <w:rsid w:val="00A00E1F"/>
    <w:rsid w:val="00A00EA0"/>
    <w:rsid w:val="00A00EC4"/>
    <w:rsid w:val="00A00EDA"/>
    <w:rsid w:val="00A00F4F"/>
    <w:rsid w:val="00A0110C"/>
    <w:rsid w:val="00A01308"/>
    <w:rsid w:val="00A0134C"/>
    <w:rsid w:val="00A013A3"/>
    <w:rsid w:val="00A01405"/>
    <w:rsid w:val="00A01502"/>
    <w:rsid w:val="00A015BB"/>
    <w:rsid w:val="00A0162B"/>
    <w:rsid w:val="00A01665"/>
    <w:rsid w:val="00A0169C"/>
    <w:rsid w:val="00A016C3"/>
    <w:rsid w:val="00A01713"/>
    <w:rsid w:val="00A0175E"/>
    <w:rsid w:val="00A01787"/>
    <w:rsid w:val="00A017B2"/>
    <w:rsid w:val="00A017DC"/>
    <w:rsid w:val="00A017E3"/>
    <w:rsid w:val="00A017E8"/>
    <w:rsid w:val="00A017F8"/>
    <w:rsid w:val="00A0180B"/>
    <w:rsid w:val="00A01831"/>
    <w:rsid w:val="00A01855"/>
    <w:rsid w:val="00A01862"/>
    <w:rsid w:val="00A018B7"/>
    <w:rsid w:val="00A01905"/>
    <w:rsid w:val="00A0191E"/>
    <w:rsid w:val="00A0192C"/>
    <w:rsid w:val="00A01A0E"/>
    <w:rsid w:val="00A01B2F"/>
    <w:rsid w:val="00A01B3F"/>
    <w:rsid w:val="00A01BB1"/>
    <w:rsid w:val="00A01C51"/>
    <w:rsid w:val="00A01D86"/>
    <w:rsid w:val="00A01DD3"/>
    <w:rsid w:val="00A01E8C"/>
    <w:rsid w:val="00A01EB9"/>
    <w:rsid w:val="00A01EC9"/>
    <w:rsid w:val="00A01F02"/>
    <w:rsid w:val="00A01F54"/>
    <w:rsid w:val="00A0204F"/>
    <w:rsid w:val="00A02076"/>
    <w:rsid w:val="00A02157"/>
    <w:rsid w:val="00A0216D"/>
    <w:rsid w:val="00A02178"/>
    <w:rsid w:val="00A02190"/>
    <w:rsid w:val="00A02192"/>
    <w:rsid w:val="00A022E0"/>
    <w:rsid w:val="00A0234B"/>
    <w:rsid w:val="00A025E7"/>
    <w:rsid w:val="00A02675"/>
    <w:rsid w:val="00A026D7"/>
    <w:rsid w:val="00A02735"/>
    <w:rsid w:val="00A02771"/>
    <w:rsid w:val="00A027DA"/>
    <w:rsid w:val="00A0286B"/>
    <w:rsid w:val="00A02895"/>
    <w:rsid w:val="00A029A5"/>
    <w:rsid w:val="00A02A04"/>
    <w:rsid w:val="00A02A09"/>
    <w:rsid w:val="00A02A3E"/>
    <w:rsid w:val="00A02AB9"/>
    <w:rsid w:val="00A02ADA"/>
    <w:rsid w:val="00A02BBD"/>
    <w:rsid w:val="00A02BCA"/>
    <w:rsid w:val="00A02C6B"/>
    <w:rsid w:val="00A02CCC"/>
    <w:rsid w:val="00A02CCF"/>
    <w:rsid w:val="00A02DA3"/>
    <w:rsid w:val="00A02DDA"/>
    <w:rsid w:val="00A02EAA"/>
    <w:rsid w:val="00A02EDB"/>
    <w:rsid w:val="00A02F15"/>
    <w:rsid w:val="00A02FC1"/>
    <w:rsid w:val="00A03001"/>
    <w:rsid w:val="00A03059"/>
    <w:rsid w:val="00A0310D"/>
    <w:rsid w:val="00A031CA"/>
    <w:rsid w:val="00A0327A"/>
    <w:rsid w:val="00A032B9"/>
    <w:rsid w:val="00A032BA"/>
    <w:rsid w:val="00A0333E"/>
    <w:rsid w:val="00A034AA"/>
    <w:rsid w:val="00A03620"/>
    <w:rsid w:val="00A036E7"/>
    <w:rsid w:val="00A03701"/>
    <w:rsid w:val="00A03703"/>
    <w:rsid w:val="00A0371E"/>
    <w:rsid w:val="00A03862"/>
    <w:rsid w:val="00A0388C"/>
    <w:rsid w:val="00A0389C"/>
    <w:rsid w:val="00A03953"/>
    <w:rsid w:val="00A03A62"/>
    <w:rsid w:val="00A03B34"/>
    <w:rsid w:val="00A03B3A"/>
    <w:rsid w:val="00A03C79"/>
    <w:rsid w:val="00A03CA0"/>
    <w:rsid w:val="00A03CEE"/>
    <w:rsid w:val="00A03D98"/>
    <w:rsid w:val="00A03DFD"/>
    <w:rsid w:val="00A03E2A"/>
    <w:rsid w:val="00A03E52"/>
    <w:rsid w:val="00A03F4C"/>
    <w:rsid w:val="00A03F5C"/>
    <w:rsid w:val="00A03F6A"/>
    <w:rsid w:val="00A04034"/>
    <w:rsid w:val="00A04124"/>
    <w:rsid w:val="00A04145"/>
    <w:rsid w:val="00A0416A"/>
    <w:rsid w:val="00A0420D"/>
    <w:rsid w:val="00A0429D"/>
    <w:rsid w:val="00A042E0"/>
    <w:rsid w:val="00A043CB"/>
    <w:rsid w:val="00A043D5"/>
    <w:rsid w:val="00A044E5"/>
    <w:rsid w:val="00A04517"/>
    <w:rsid w:val="00A0454A"/>
    <w:rsid w:val="00A04565"/>
    <w:rsid w:val="00A046FD"/>
    <w:rsid w:val="00A0471D"/>
    <w:rsid w:val="00A047CB"/>
    <w:rsid w:val="00A04880"/>
    <w:rsid w:val="00A04983"/>
    <w:rsid w:val="00A04A00"/>
    <w:rsid w:val="00A04A98"/>
    <w:rsid w:val="00A04B74"/>
    <w:rsid w:val="00A04B88"/>
    <w:rsid w:val="00A04C38"/>
    <w:rsid w:val="00A04C74"/>
    <w:rsid w:val="00A04C90"/>
    <w:rsid w:val="00A04CAA"/>
    <w:rsid w:val="00A04CFC"/>
    <w:rsid w:val="00A04D3E"/>
    <w:rsid w:val="00A04E55"/>
    <w:rsid w:val="00A04E6E"/>
    <w:rsid w:val="00A04E7C"/>
    <w:rsid w:val="00A04E9D"/>
    <w:rsid w:val="00A04EAF"/>
    <w:rsid w:val="00A04EE0"/>
    <w:rsid w:val="00A04FEC"/>
    <w:rsid w:val="00A04FEF"/>
    <w:rsid w:val="00A05007"/>
    <w:rsid w:val="00A0505C"/>
    <w:rsid w:val="00A05086"/>
    <w:rsid w:val="00A0508C"/>
    <w:rsid w:val="00A050BB"/>
    <w:rsid w:val="00A050BD"/>
    <w:rsid w:val="00A050CF"/>
    <w:rsid w:val="00A051B0"/>
    <w:rsid w:val="00A051B2"/>
    <w:rsid w:val="00A051B7"/>
    <w:rsid w:val="00A051C7"/>
    <w:rsid w:val="00A051D8"/>
    <w:rsid w:val="00A05221"/>
    <w:rsid w:val="00A05283"/>
    <w:rsid w:val="00A052A4"/>
    <w:rsid w:val="00A052DA"/>
    <w:rsid w:val="00A05366"/>
    <w:rsid w:val="00A05469"/>
    <w:rsid w:val="00A054CF"/>
    <w:rsid w:val="00A0557B"/>
    <w:rsid w:val="00A055A0"/>
    <w:rsid w:val="00A055E6"/>
    <w:rsid w:val="00A05612"/>
    <w:rsid w:val="00A05613"/>
    <w:rsid w:val="00A056C5"/>
    <w:rsid w:val="00A05711"/>
    <w:rsid w:val="00A05785"/>
    <w:rsid w:val="00A05891"/>
    <w:rsid w:val="00A0589B"/>
    <w:rsid w:val="00A058B6"/>
    <w:rsid w:val="00A05902"/>
    <w:rsid w:val="00A05942"/>
    <w:rsid w:val="00A059BC"/>
    <w:rsid w:val="00A05A9B"/>
    <w:rsid w:val="00A05ACA"/>
    <w:rsid w:val="00A05B11"/>
    <w:rsid w:val="00A05B2E"/>
    <w:rsid w:val="00A05B3D"/>
    <w:rsid w:val="00A05C55"/>
    <w:rsid w:val="00A05C7F"/>
    <w:rsid w:val="00A05D43"/>
    <w:rsid w:val="00A05D48"/>
    <w:rsid w:val="00A05D74"/>
    <w:rsid w:val="00A05D93"/>
    <w:rsid w:val="00A05DBB"/>
    <w:rsid w:val="00A05E30"/>
    <w:rsid w:val="00A05ED8"/>
    <w:rsid w:val="00A05EEF"/>
    <w:rsid w:val="00A05F2B"/>
    <w:rsid w:val="00A05F3A"/>
    <w:rsid w:val="00A06059"/>
    <w:rsid w:val="00A0606C"/>
    <w:rsid w:val="00A06076"/>
    <w:rsid w:val="00A060DE"/>
    <w:rsid w:val="00A060F8"/>
    <w:rsid w:val="00A06109"/>
    <w:rsid w:val="00A0610C"/>
    <w:rsid w:val="00A06146"/>
    <w:rsid w:val="00A0618E"/>
    <w:rsid w:val="00A061B4"/>
    <w:rsid w:val="00A061BF"/>
    <w:rsid w:val="00A061F6"/>
    <w:rsid w:val="00A06290"/>
    <w:rsid w:val="00A062D3"/>
    <w:rsid w:val="00A06305"/>
    <w:rsid w:val="00A0635C"/>
    <w:rsid w:val="00A06365"/>
    <w:rsid w:val="00A063BF"/>
    <w:rsid w:val="00A063DD"/>
    <w:rsid w:val="00A06424"/>
    <w:rsid w:val="00A065A6"/>
    <w:rsid w:val="00A065C3"/>
    <w:rsid w:val="00A06611"/>
    <w:rsid w:val="00A0664F"/>
    <w:rsid w:val="00A066D5"/>
    <w:rsid w:val="00A066DD"/>
    <w:rsid w:val="00A067D0"/>
    <w:rsid w:val="00A06844"/>
    <w:rsid w:val="00A068B6"/>
    <w:rsid w:val="00A06976"/>
    <w:rsid w:val="00A069A3"/>
    <w:rsid w:val="00A069D5"/>
    <w:rsid w:val="00A06BE2"/>
    <w:rsid w:val="00A06CA1"/>
    <w:rsid w:val="00A06CA2"/>
    <w:rsid w:val="00A06CC3"/>
    <w:rsid w:val="00A06CF0"/>
    <w:rsid w:val="00A06DA1"/>
    <w:rsid w:val="00A06DC7"/>
    <w:rsid w:val="00A06E4B"/>
    <w:rsid w:val="00A06E56"/>
    <w:rsid w:val="00A06EAE"/>
    <w:rsid w:val="00A06EEE"/>
    <w:rsid w:val="00A06FCA"/>
    <w:rsid w:val="00A06FCF"/>
    <w:rsid w:val="00A07021"/>
    <w:rsid w:val="00A0705D"/>
    <w:rsid w:val="00A0706D"/>
    <w:rsid w:val="00A07132"/>
    <w:rsid w:val="00A071CA"/>
    <w:rsid w:val="00A071CD"/>
    <w:rsid w:val="00A072E7"/>
    <w:rsid w:val="00A0736C"/>
    <w:rsid w:val="00A073E8"/>
    <w:rsid w:val="00A07540"/>
    <w:rsid w:val="00A07647"/>
    <w:rsid w:val="00A076F5"/>
    <w:rsid w:val="00A078BA"/>
    <w:rsid w:val="00A0792A"/>
    <w:rsid w:val="00A07961"/>
    <w:rsid w:val="00A07985"/>
    <w:rsid w:val="00A0799E"/>
    <w:rsid w:val="00A07A04"/>
    <w:rsid w:val="00A07A2D"/>
    <w:rsid w:val="00A07B6C"/>
    <w:rsid w:val="00A07C69"/>
    <w:rsid w:val="00A07CAF"/>
    <w:rsid w:val="00A07CB0"/>
    <w:rsid w:val="00A07CE6"/>
    <w:rsid w:val="00A07D34"/>
    <w:rsid w:val="00A07D66"/>
    <w:rsid w:val="00A07D74"/>
    <w:rsid w:val="00A07DDB"/>
    <w:rsid w:val="00A07F45"/>
    <w:rsid w:val="00A07F54"/>
    <w:rsid w:val="00A07F79"/>
    <w:rsid w:val="00A07FC4"/>
    <w:rsid w:val="00A10020"/>
    <w:rsid w:val="00A100C4"/>
    <w:rsid w:val="00A100DB"/>
    <w:rsid w:val="00A100EE"/>
    <w:rsid w:val="00A10158"/>
    <w:rsid w:val="00A1015E"/>
    <w:rsid w:val="00A1018C"/>
    <w:rsid w:val="00A102D6"/>
    <w:rsid w:val="00A102E9"/>
    <w:rsid w:val="00A102F1"/>
    <w:rsid w:val="00A10315"/>
    <w:rsid w:val="00A1037D"/>
    <w:rsid w:val="00A1041D"/>
    <w:rsid w:val="00A104AD"/>
    <w:rsid w:val="00A104D8"/>
    <w:rsid w:val="00A1058F"/>
    <w:rsid w:val="00A105A6"/>
    <w:rsid w:val="00A10614"/>
    <w:rsid w:val="00A106AF"/>
    <w:rsid w:val="00A106C1"/>
    <w:rsid w:val="00A10740"/>
    <w:rsid w:val="00A1074E"/>
    <w:rsid w:val="00A10791"/>
    <w:rsid w:val="00A10906"/>
    <w:rsid w:val="00A10918"/>
    <w:rsid w:val="00A1095D"/>
    <w:rsid w:val="00A10983"/>
    <w:rsid w:val="00A10997"/>
    <w:rsid w:val="00A109E7"/>
    <w:rsid w:val="00A10A38"/>
    <w:rsid w:val="00A10AE2"/>
    <w:rsid w:val="00A10B48"/>
    <w:rsid w:val="00A10BC2"/>
    <w:rsid w:val="00A10C2D"/>
    <w:rsid w:val="00A10C5D"/>
    <w:rsid w:val="00A10CAF"/>
    <w:rsid w:val="00A10CBC"/>
    <w:rsid w:val="00A10DB5"/>
    <w:rsid w:val="00A10E84"/>
    <w:rsid w:val="00A10F3C"/>
    <w:rsid w:val="00A10F7C"/>
    <w:rsid w:val="00A10FAD"/>
    <w:rsid w:val="00A10FB0"/>
    <w:rsid w:val="00A10FF9"/>
    <w:rsid w:val="00A11090"/>
    <w:rsid w:val="00A11095"/>
    <w:rsid w:val="00A1116E"/>
    <w:rsid w:val="00A1117D"/>
    <w:rsid w:val="00A111D1"/>
    <w:rsid w:val="00A1123A"/>
    <w:rsid w:val="00A1123D"/>
    <w:rsid w:val="00A112B5"/>
    <w:rsid w:val="00A11351"/>
    <w:rsid w:val="00A1135A"/>
    <w:rsid w:val="00A11367"/>
    <w:rsid w:val="00A11374"/>
    <w:rsid w:val="00A113CE"/>
    <w:rsid w:val="00A1148B"/>
    <w:rsid w:val="00A11544"/>
    <w:rsid w:val="00A1155E"/>
    <w:rsid w:val="00A11582"/>
    <w:rsid w:val="00A115AB"/>
    <w:rsid w:val="00A115DA"/>
    <w:rsid w:val="00A11688"/>
    <w:rsid w:val="00A11780"/>
    <w:rsid w:val="00A117C7"/>
    <w:rsid w:val="00A11842"/>
    <w:rsid w:val="00A11901"/>
    <w:rsid w:val="00A119D0"/>
    <w:rsid w:val="00A11A1F"/>
    <w:rsid w:val="00A11A8F"/>
    <w:rsid w:val="00A11AA3"/>
    <w:rsid w:val="00A11B39"/>
    <w:rsid w:val="00A11B56"/>
    <w:rsid w:val="00A11B66"/>
    <w:rsid w:val="00A11B67"/>
    <w:rsid w:val="00A11C30"/>
    <w:rsid w:val="00A11C69"/>
    <w:rsid w:val="00A11D20"/>
    <w:rsid w:val="00A11D5A"/>
    <w:rsid w:val="00A11E28"/>
    <w:rsid w:val="00A11E6D"/>
    <w:rsid w:val="00A11E74"/>
    <w:rsid w:val="00A11EBD"/>
    <w:rsid w:val="00A11F14"/>
    <w:rsid w:val="00A11F2B"/>
    <w:rsid w:val="00A11F6F"/>
    <w:rsid w:val="00A12040"/>
    <w:rsid w:val="00A12146"/>
    <w:rsid w:val="00A122E2"/>
    <w:rsid w:val="00A1233C"/>
    <w:rsid w:val="00A12374"/>
    <w:rsid w:val="00A12424"/>
    <w:rsid w:val="00A124CC"/>
    <w:rsid w:val="00A12567"/>
    <w:rsid w:val="00A125C9"/>
    <w:rsid w:val="00A126BB"/>
    <w:rsid w:val="00A12739"/>
    <w:rsid w:val="00A127CC"/>
    <w:rsid w:val="00A1280E"/>
    <w:rsid w:val="00A12831"/>
    <w:rsid w:val="00A12972"/>
    <w:rsid w:val="00A1297B"/>
    <w:rsid w:val="00A129A3"/>
    <w:rsid w:val="00A12A39"/>
    <w:rsid w:val="00A12A92"/>
    <w:rsid w:val="00A12ABF"/>
    <w:rsid w:val="00A12B5C"/>
    <w:rsid w:val="00A12BB9"/>
    <w:rsid w:val="00A12BE5"/>
    <w:rsid w:val="00A12C67"/>
    <w:rsid w:val="00A12D23"/>
    <w:rsid w:val="00A12D3B"/>
    <w:rsid w:val="00A12D9E"/>
    <w:rsid w:val="00A12DCE"/>
    <w:rsid w:val="00A12DD2"/>
    <w:rsid w:val="00A12E54"/>
    <w:rsid w:val="00A12E87"/>
    <w:rsid w:val="00A12E93"/>
    <w:rsid w:val="00A12F02"/>
    <w:rsid w:val="00A12F5C"/>
    <w:rsid w:val="00A12FBE"/>
    <w:rsid w:val="00A1306B"/>
    <w:rsid w:val="00A1311A"/>
    <w:rsid w:val="00A13188"/>
    <w:rsid w:val="00A1320A"/>
    <w:rsid w:val="00A13224"/>
    <w:rsid w:val="00A13298"/>
    <w:rsid w:val="00A132C2"/>
    <w:rsid w:val="00A132EC"/>
    <w:rsid w:val="00A1332A"/>
    <w:rsid w:val="00A13332"/>
    <w:rsid w:val="00A13333"/>
    <w:rsid w:val="00A1333B"/>
    <w:rsid w:val="00A133DB"/>
    <w:rsid w:val="00A13447"/>
    <w:rsid w:val="00A134E1"/>
    <w:rsid w:val="00A13527"/>
    <w:rsid w:val="00A1365C"/>
    <w:rsid w:val="00A13672"/>
    <w:rsid w:val="00A13687"/>
    <w:rsid w:val="00A13698"/>
    <w:rsid w:val="00A1377E"/>
    <w:rsid w:val="00A13788"/>
    <w:rsid w:val="00A137FA"/>
    <w:rsid w:val="00A13870"/>
    <w:rsid w:val="00A1388E"/>
    <w:rsid w:val="00A138E3"/>
    <w:rsid w:val="00A13929"/>
    <w:rsid w:val="00A13930"/>
    <w:rsid w:val="00A13997"/>
    <w:rsid w:val="00A139AB"/>
    <w:rsid w:val="00A13A1A"/>
    <w:rsid w:val="00A13A78"/>
    <w:rsid w:val="00A13AEC"/>
    <w:rsid w:val="00A13B1B"/>
    <w:rsid w:val="00A13BB1"/>
    <w:rsid w:val="00A13C7C"/>
    <w:rsid w:val="00A13C89"/>
    <w:rsid w:val="00A13CCE"/>
    <w:rsid w:val="00A13CF6"/>
    <w:rsid w:val="00A13D29"/>
    <w:rsid w:val="00A13D57"/>
    <w:rsid w:val="00A13D5E"/>
    <w:rsid w:val="00A13E33"/>
    <w:rsid w:val="00A13E50"/>
    <w:rsid w:val="00A13E51"/>
    <w:rsid w:val="00A13EA1"/>
    <w:rsid w:val="00A13EBC"/>
    <w:rsid w:val="00A13F26"/>
    <w:rsid w:val="00A13F31"/>
    <w:rsid w:val="00A13F4B"/>
    <w:rsid w:val="00A13F7F"/>
    <w:rsid w:val="00A13FDE"/>
    <w:rsid w:val="00A14026"/>
    <w:rsid w:val="00A140C0"/>
    <w:rsid w:val="00A140F8"/>
    <w:rsid w:val="00A1414B"/>
    <w:rsid w:val="00A141C9"/>
    <w:rsid w:val="00A14211"/>
    <w:rsid w:val="00A142A3"/>
    <w:rsid w:val="00A14462"/>
    <w:rsid w:val="00A144AF"/>
    <w:rsid w:val="00A144E8"/>
    <w:rsid w:val="00A1451D"/>
    <w:rsid w:val="00A14588"/>
    <w:rsid w:val="00A145FE"/>
    <w:rsid w:val="00A146D8"/>
    <w:rsid w:val="00A14790"/>
    <w:rsid w:val="00A147CC"/>
    <w:rsid w:val="00A14865"/>
    <w:rsid w:val="00A14973"/>
    <w:rsid w:val="00A14A20"/>
    <w:rsid w:val="00A14AF6"/>
    <w:rsid w:val="00A14B16"/>
    <w:rsid w:val="00A14B88"/>
    <w:rsid w:val="00A14C08"/>
    <w:rsid w:val="00A14C26"/>
    <w:rsid w:val="00A14C2C"/>
    <w:rsid w:val="00A14C8C"/>
    <w:rsid w:val="00A14DC6"/>
    <w:rsid w:val="00A14DD6"/>
    <w:rsid w:val="00A14E36"/>
    <w:rsid w:val="00A14E5E"/>
    <w:rsid w:val="00A14E95"/>
    <w:rsid w:val="00A14E97"/>
    <w:rsid w:val="00A14F23"/>
    <w:rsid w:val="00A14F34"/>
    <w:rsid w:val="00A14FAF"/>
    <w:rsid w:val="00A1518D"/>
    <w:rsid w:val="00A1520C"/>
    <w:rsid w:val="00A152B1"/>
    <w:rsid w:val="00A152CC"/>
    <w:rsid w:val="00A15310"/>
    <w:rsid w:val="00A15465"/>
    <w:rsid w:val="00A15480"/>
    <w:rsid w:val="00A154E0"/>
    <w:rsid w:val="00A154EE"/>
    <w:rsid w:val="00A15558"/>
    <w:rsid w:val="00A1555F"/>
    <w:rsid w:val="00A155B9"/>
    <w:rsid w:val="00A15613"/>
    <w:rsid w:val="00A1561E"/>
    <w:rsid w:val="00A1568E"/>
    <w:rsid w:val="00A156C8"/>
    <w:rsid w:val="00A157BB"/>
    <w:rsid w:val="00A158C3"/>
    <w:rsid w:val="00A1590C"/>
    <w:rsid w:val="00A15985"/>
    <w:rsid w:val="00A159C5"/>
    <w:rsid w:val="00A159E1"/>
    <w:rsid w:val="00A15A30"/>
    <w:rsid w:val="00A15A91"/>
    <w:rsid w:val="00A15B02"/>
    <w:rsid w:val="00A15BB7"/>
    <w:rsid w:val="00A15BEB"/>
    <w:rsid w:val="00A15BF9"/>
    <w:rsid w:val="00A15C20"/>
    <w:rsid w:val="00A15C26"/>
    <w:rsid w:val="00A15C53"/>
    <w:rsid w:val="00A15C7F"/>
    <w:rsid w:val="00A15D11"/>
    <w:rsid w:val="00A15D2C"/>
    <w:rsid w:val="00A15D32"/>
    <w:rsid w:val="00A15E1A"/>
    <w:rsid w:val="00A15F17"/>
    <w:rsid w:val="00A15F1E"/>
    <w:rsid w:val="00A15F85"/>
    <w:rsid w:val="00A15FA0"/>
    <w:rsid w:val="00A16002"/>
    <w:rsid w:val="00A160B7"/>
    <w:rsid w:val="00A160C4"/>
    <w:rsid w:val="00A160D3"/>
    <w:rsid w:val="00A16214"/>
    <w:rsid w:val="00A162C0"/>
    <w:rsid w:val="00A16407"/>
    <w:rsid w:val="00A16493"/>
    <w:rsid w:val="00A164B2"/>
    <w:rsid w:val="00A164EB"/>
    <w:rsid w:val="00A1652F"/>
    <w:rsid w:val="00A16560"/>
    <w:rsid w:val="00A1667D"/>
    <w:rsid w:val="00A16766"/>
    <w:rsid w:val="00A167D1"/>
    <w:rsid w:val="00A168E1"/>
    <w:rsid w:val="00A16932"/>
    <w:rsid w:val="00A16962"/>
    <w:rsid w:val="00A169DF"/>
    <w:rsid w:val="00A16A51"/>
    <w:rsid w:val="00A16A84"/>
    <w:rsid w:val="00A16AFB"/>
    <w:rsid w:val="00A16B10"/>
    <w:rsid w:val="00A16BC7"/>
    <w:rsid w:val="00A16C4A"/>
    <w:rsid w:val="00A16CC6"/>
    <w:rsid w:val="00A16CD4"/>
    <w:rsid w:val="00A16D3F"/>
    <w:rsid w:val="00A16D4E"/>
    <w:rsid w:val="00A16D7B"/>
    <w:rsid w:val="00A16E13"/>
    <w:rsid w:val="00A16E1C"/>
    <w:rsid w:val="00A16E42"/>
    <w:rsid w:val="00A16EB0"/>
    <w:rsid w:val="00A16ECA"/>
    <w:rsid w:val="00A16FBE"/>
    <w:rsid w:val="00A17026"/>
    <w:rsid w:val="00A17046"/>
    <w:rsid w:val="00A17089"/>
    <w:rsid w:val="00A1708F"/>
    <w:rsid w:val="00A17092"/>
    <w:rsid w:val="00A17096"/>
    <w:rsid w:val="00A170D7"/>
    <w:rsid w:val="00A170F0"/>
    <w:rsid w:val="00A171BD"/>
    <w:rsid w:val="00A171CC"/>
    <w:rsid w:val="00A171D0"/>
    <w:rsid w:val="00A17284"/>
    <w:rsid w:val="00A172B4"/>
    <w:rsid w:val="00A172C0"/>
    <w:rsid w:val="00A17391"/>
    <w:rsid w:val="00A173D1"/>
    <w:rsid w:val="00A17469"/>
    <w:rsid w:val="00A1749E"/>
    <w:rsid w:val="00A1757E"/>
    <w:rsid w:val="00A17622"/>
    <w:rsid w:val="00A1775D"/>
    <w:rsid w:val="00A177ED"/>
    <w:rsid w:val="00A17887"/>
    <w:rsid w:val="00A17901"/>
    <w:rsid w:val="00A17950"/>
    <w:rsid w:val="00A17A40"/>
    <w:rsid w:val="00A17A6C"/>
    <w:rsid w:val="00A17BE3"/>
    <w:rsid w:val="00A17C8C"/>
    <w:rsid w:val="00A17CAB"/>
    <w:rsid w:val="00A17CD5"/>
    <w:rsid w:val="00A17D9E"/>
    <w:rsid w:val="00A17DA1"/>
    <w:rsid w:val="00A17E96"/>
    <w:rsid w:val="00A17EAC"/>
    <w:rsid w:val="00A17ED7"/>
    <w:rsid w:val="00A2008B"/>
    <w:rsid w:val="00A200C2"/>
    <w:rsid w:val="00A20100"/>
    <w:rsid w:val="00A20176"/>
    <w:rsid w:val="00A2017F"/>
    <w:rsid w:val="00A20259"/>
    <w:rsid w:val="00A20307"/>
    <w:rsid w:val="00A203B3"/>
    <w:rsid w:val="00A2045A"/>
    <w:rsid w:val="00A2046A"/>
    <w:rsid w:val="00A205BE"/>
    <w:rsid w:val="00A20687"/>
    <w:rsid w:val="00A206C6"/>
    <w:rsid w:val="00A20726"/>
    <w:rsid w:val="00A20795"/>
    <w:rsid w:val="00A20845"/>
    <w:rsid w:val="00A2087F"/>
    <w:rsid w:val="00A208DF"/>
    <w:rsid w:val="00A20A54"/>
    <w:rsid w:val="00A20A55"/>
    <w:rsid w:val="00A20A6A"/>
    <w:rsid w:val="00A20AC0"/>
    <w:rsid w:val="00A20B7E"/>
    <w:rsid w:val="00A20B96"/>
    <w:rsid w:val="00A20CDB"/>
    <w:rsid w:val="00A20CF9"/>
    <w:rsid w:val="00A20D53"/>
    <w:rsid w:val="00A20E3C"/>
    <w:rsid w:val="00A20EBA"/>
    <w:rsid w:val="00A20EC2"/>
    <w:rsid w:val="00A20F33"/>
    <w:rsid w:val="00A21075"/>
    <w:rsid w:val="00A2114B"/>
    <w:rsid w:val="00A21181"/>
    <w:rsid w:val="00A211A5"/>
    <w:rsid w:val="00A211DC"/>
    <w:rsid w:val="00A21282"/>
    <w:rsid w:val="00A212AC"/>
    <w:rsid w:val="00A212B3"/>
    <w:rsid w:val="00A2130B"/>
    <w:rsid w:val="00A21365"/>
    <w:rsid w:val="00A213E7"/>
    <w:rsid w:val="00A21421"/>
    <w:rsid w:val="00A21424"/>
    <w:rsid w:val="00A21425"/>
    <w:rsid w:val="00A214BE"/>
    <w:rsid w:val="00A214D0"/>
    <w:rsid w:val="00A214D7"/>
    <w:rsid w:val="00A21511"/>
    <w:rsid w:val="00A21525"/>
    <w:rsid w:val="00A215DA"/>
    <w:rsid w:val="00A216EE"/>
    <w:rsid w:val="00A216F3"/>
    <w:rsid w:val="00A21729"/>
    <w:rsid w:val="00A2174D"/>
    <w:rsid w:val="00A217BC"/>
    <w:rsid w:val="00A217E7"/>
    <w:rsid w:val="00A21842"/>
    <w:rsid w:val="00A2185C"/>
    <w:rsid w:val="00A21881"/>
    <w:rsid w:val="00A21964"/>
    <w:rsid w:val="00A21968"/>
    <w:rsid w:val="00A21994"/>
    <w:rsid w:val="00A219CC"/>
    <w:rsid w:val="00A219E1"/>
    <w:rsid w:val="00A21A38"/>
    <w:rsid w:val="00A21A58"/>
    <w:rsid w:val="00A21A7D"/>
    <w:rsid w:val="00A21A7E"/>
    <w:rsid w:val="00A21B9E"/>
    <w:rsid w:val="00A21BD0"/>
    <w:rsid w:val="00A21BED"/>
    <w:rsid w:val="00A21C01"/>
    <w:rsid w:val="00A21C45"/>
    <w:rsid w:val="00A21C62"/>
    <w:rsid w:val="00A21CEB"/>
    <w:rsid w:val="00A21D17"/>
    <w:rsid w:val="00A21D52"/>
    <w:rsid w:val="00A21E74"/>
    <w:rsid w:val="00A21EB6"/>
    <w:rsid w:val="00A21EC3"/>
    <w:rsid w:val="00A2207C"/>
    <w:rsid w:val="00A22175"/>
    <w:rsid w:val="00A221BA"/>
    <w:rsid w:val="00A22229"/>
    <w:rsid w:val="00A22230"/>
    <w:rsid w:val="00A2224C"/>
    <w:rsid w:val="00A222A8"/>
    <w:rsid w:val="00A2230D"/>
    <w:rsid w:val="00A22398"/>
    <w:rsid w:val="00A2239C"/>
    <w:rsid w:val="00A223D5"/>
    <w:rsid w:val="00A22410"/>
    <w:rsid w:val="00A22477"/>
    <w:rsid w:val="00A22531"/>
    <w:rsid w:val="00A22565"/>
    <w:rsid w:val="00A22577"/>
    <w:rsid w:val="00A226F4"/>
    <w:rsid w:val="00A22721"/>
    <w:rsid w:val="00A227D0"/>
    <w:rsid w:val="00A227D6"/>
    <w:rsid w:val="00A22899"/>
    <w:rsid w:val="00A2291F"/>
    <w:rsid w:val="00A22922"/>
    <w:rsid w:val="00A229D4"/>
    <w:rsid w:val="00A229E7"/>
    <w:rsid w:val="00A229ED"/>
    <w:rsid w:val="00A229F1"/>
    <w:rsid w:val="00A22A7C"/>
    <w:rsid w:val="00A22A91"/>
    <w:rsid w:val="00A22A9C"/>
    <w:rsid w:val="00A22AAE"/>
    <w:rsid w:val="00A22AB6"/>
    <w:rsid w:val="00A22AD3"/>
    <w:rsid w:val="00A22AE5"/>
    <w:rsid w:val="00A22B3D"/>
    <w:rsid w:val="00A22B3E"/>
    <w:rsid w:val="00A22B6C"/>
    <w:rsid w:val="00A22B82"/>
    <w:rsid w:val="00A22B8A"/>
    <w:rsid w:val="00A22C0B"/>
    <w:rsid w:val="00A22CEC"/>
    <w:rsid w:val="00A22D4C"/>
    <w:rsid w:val="00A22DB0"/>
    <w:rsid w:val="00A22DB1"/>
    <w:rsid w:val="00A22E2A"/>
    <w:rsid w:val="00A22E4D"/>
    <w:rsid w:val="00A22F11"/>
    <w:rsid w:val="00A22F6C"/>
    <w:rsid w:val="00A22FF8"/>
    <w:rsid w:val="00A23053"/>
    <w:rsid w:val="00A2311D"/>
    <w:rsid w:val="00A23182"/>
    <w:rsid w:val="00A231AF"/>
    <w:rsid w:val="00A231BD"/>
    <w:rsid w:val="00A231CA"/>
    <w:rsid w:val="00A2321B"/>
    <w:rsid w:val="00A23258"/>
    <w:rsid w:val="00A232CD"/>
    <w:rsid w:val="00A2340D"/>
    <w:rsid w:val="00A2351A"/>
    <w:rsid w:val="00A2354D"/>
    <w:rsid w:val="00A2354E"/>
    <w:rsid w:val="00A235A0"/>
    <w:rsid w:val="00A235DF"/>
    <w:rsid w:val="00A2366A"/>
    <w:rsid w:val="00A236A7"/>
    <w:rsid w:val="00A23711"/>
    <w:rsid w:val="00A23725"/>
    <w:rsid w:val="00A237D7"/>
    <w:rsid w:val="00A237DA"/>
    <w:rsid w:val="00A237FD"/>
    <w:rsid w:val="00A2385D"/>
    <w:rsid w:val="00A2387A"/>
    <w:rsid w:val="00A238EB"/>
    <w:rsid w:val="00A23914"/>
    <w:rsid w:val="00A239A1"/>
    <w:rsid w:val="00A23B01"/>
    <w:rsid w:val="00A23B21"/>
    <w:rsid w:val="00A23BB5"/>
    <w:rsid w:val="00A23BBE"/>
    <w:rsid w:val="00A23CD2"/>
    <w:rsid w:val="00A23DF1"/>
    <w:rsid w:val="00A23EBB"/>
    <w:rsid w:val="00A23EE7"/>
    <w:rsid w:val="00A23EFB"/>
    <w:rsid w:val="00A23F0E"/>
    <w:rsid w:val="00A23F18"/>
    <w:rsid w:val="00A24052"/>
    <w:rsid w:val="00A2408C"/>
    <w:rsid w:val="00A2418D"/>
    <w:rsid w:val="00A24253"/>
    <w:rsid w:val="00A242A2"/>
    <w:rsid w:val="00A24303"/>
    <w:rsid w:val="00A2430D"/>
    <w:rsid w:val="00A2435B"/>
    <w:rsid w:val="00A243CA"/>
    <w:rsid w:val="00A2446C"/>
    <w:rsid w:val="00A24635"/>
    <w:rsid w:val="00A246CC"/>
    <w:rsid w:val="00A24719"/>
    <w:rsid w:val="00A247A1"/>
    <w:rsid w:val="00A24851"/>
    <w:rsid w:val="00A248FF"/>
    <w:rsid w:val="00A24996"/>
    <w:rsid w:val="00A249BB"/>
    <w:rsid w:val="00A24A02"/>
    <w:rsid w:val="00A24A3D"/>
    <w:rsid w:val="00A24A8B"/>
    <w:rsid w:val="00A24ACB"/>
    <w:rsid w:val="00A24B10"/>
    <w:rsid w:val="00A24B53"/>
    <w:rsid w:val="00A24BBF"/>
    <w:rsid w:val="00A24BC5"/>
    <w:rsid w:val="00A24BFD"/>
    <w:rsid w:val="00A24C53"/>
    <w:rsid w:val="00A24CC4"/>
    <w:rsid w:val="00A24CFE"/>
    <w:rsid w:val="00A24D17"/>
    <w:rsid w:val="00A24D78"/>
    <w:rsid w:val="00A24DC0"/>
    <w:rsid w:val="00A24DC9"/>
    <w:rsid w:val="00A24DE0"/>
    <w:rsid w:val="00A24E05"/>
    <w:rsid w:val="00A24F28"/>
    <w:rsid w:val="00A24F44"/>
    <w:rsid w:val="00A25035"/>
    <w:rsid w:val="00A250FE"/>
    <w:rsid w:val="00A25118"/>
    <w:rsid w:val="00A2513E"/>
    <w:rsid w:val="00A25200"/>
    <w:rsid w:val="00A25204"/>
    <w:rsid w:val="00A25222"/>
    <w:rsid w:val="00A252A3"/>
    <w:rsid w:val="00A252FB"/>
    <w:rsid w:val="00A2532B"/>
    <w:rsid w:val="00A2532F"/>
    <w:rsid w:val="00A25350"/>
    <w:rsid w:val="00A25391"/>
    <w:rsid w:val="00A254BA"/>
    <w:rsid w:val="00A25534"/>
    <w:rsid w:val="00A255BC"/>
    <w:rsid w:val="00A255CE"/>
    <w:rsid w:val="00A2560B"/>
    <w:rsid w:val="00A25635"/>
    <w:rsid w:val="00A2566A"/>
    <w:rsid w:val="00A2574D"/>
    <w:rsid w:val="00A25898"/>
    <w:rsid w:val="00A25992"/>
    <w:rsid w:val="00A259A2"/>
    <w:rsid w:val="00A259AF"/>
    <w:rsid w:val="00A25B18"/>
    <w:rsid w:val="00A25B5E"/>
    <w:rsid w:val="00A25CA4"/>
    <w:rsid w:val="00A25CCC"/>
    <w:rsid w:val="00A25D37"/>
    <w:rsid w:val="00A25EAB"/>
    <w:rsid w:val="00A25F35"/>
    <w:rsid w:val="00A25FD9"/>
    <w:rsid w:val="00A2603C"/>
    <w:rsid w:val="00A26050"/>
    <w:rsid w:val="00A2608C"/>
    <w:rsid w:val="00A2612A"/>
    <w:rsid w:val="00A2617C"/>
    <w:rsid w:val="00A2617F"/>
    <w:rsid w:val="00A261C9"/>
    <w:rsid w:val="00A2626B"/>
    <w:rsid w:val="00A262F6"/>
    <w:rsid w:val="00A26385"/>
    <w:rsid w:val="00A26425"/>
    <w:rsid w:val="00A26445"/>
    <w:rsid w:val="00A26462"/>
    <w:rsid w:val="00A2649F"/>
    <w:rsid w:val="00A265CE"/>
    <w:rsid w:val="00A26632"/>
    <w:rsid w:val="00A26816"/>
    <w:rsid w:val="00A2684F"/>
    <w:rsid w:val="00A26880"/>
    <w:rsid w:val="00A268F2"/>
    <w:rsid w:val="00A26948"/>
    <w:rsid w:val="00A26A24"/>
    <w:rsid w:val="00A26A6B"/>
    <w:rsid w:val="00A26AC3"/>
    <w:rsid w:val="00A26AD4"/>
    <w:rsid w:val="00A26ADB"/>
    <w:rsid w:val="00A26B4A"/>
    <w:rsid w:val="00A26B81"/>
    <w:rsid w:val="00A26BA4"/>
    <w:rsid w:val="00A26BBE"/>
    <w:rsid w:val="00A26C0F"/>
    <w:rsid w:val="00A26C34"/>
    <w:rsid w:val="00A26CDF"/>
    <w:rsid w:val="00A26D25"/>
    <w:rsid w:val="00A26D79"/>
    <w:rsid w:val="00A26D8A"/>
    <w:rsid w:val="00A26D9E"/>
    <w:rsid w:val="00A26E7B"/>
    <w:rsid w:val="00A26F2B"/>
    <w:rsid w:val="00A26F38"/>
    <w:rsid w:val="00A26F3D"/>
    <w:rsid w:val="00A26F68"/>
    <w:rsid w:val="00A26FA9"/>
    <w:rsid w:val="00A26FB5"/>
    <w:rsid w:val="00A27051"/>
    <w:rsid w:val="00A271B6"/>
    <w:rsid w:val="00A27238"/>
    <w:rsid w:val="00A2723C"/>
    <w:rsid w:val="00A27250"/>
    <w:rsid w:val="00A27292"/>
    <w:rsid w:val="00A27361"/>
    <w:rsid w:val="00A27381"/>
    <w:rsid w:val="00A27402"/>
    <w:rsid w:val="00A27520"/>
    <w:rsid w:val="00A2752A"/>
    <w:rsid w:val="00A27577"/>
    <w:rsid w:val="00A275D3"/>
    <w:rsid w:val="00A276AF"/>
    <w:rsid w:val="00A27718"/>
    <w:rsid w:val="00A2777A"/>
    <w:rsid w:val="00A27865"/>
    <w:rsid w:val="00A278C9"/>
    <w:rsid w:val="00A27996"/>
    <w:rsid w:val="00A279B2"/>
    <w:rsid w:val="00A279F9"/>
    <w:rsid w:val="00A27B31"/>
    <w:rsid w:val="00A27BD7"/>
    <w:rsid w:val="00A27C47"/>
    <w:rsid w:val="00A27C53"/>
    <w:rsid w:val="00A27C5A"/>
    <w:rsid w:val="00A27C75"/>
    <w:rsid w:val="00A27D01"/>
    <w:rsid w:val="00A27E15"/>
    <w:rsid w:val="00A27EEF"/>
    <w:rsid w:val="00A27F56"/>
    <w:rsid w:val="00A300D1"/>
    <w:rsid w:val="00A300E8"/>
    <w:rsid w:val="00A3011E"/>
    <w:rsid w:val="00A301B1"/>
    <w:rsid w:val="00A301BD"/>
    <w:rsid w:val="00A30243"/>
    <w:rsid w:val="00A30275"/>
    <w:rsid w:val="00A302D9"/>
    <w:rsid w:val="00A3032D"/>
    <w:rsid w:val="00A30356"/>
    <w:rsid w:val="00A303C6"/>
    <w:rsid w:val="00A30429"/>
    <w:rsid w:val="00A3043F"/>
    <w:rsid w:val="00A30459"/>
    <w:rsid w:val="00A305C4"/>
    <w:rsid w:val="00A30634"/>
    <w:rsid w:val="00A30786"/>
    <w:rsid w:val="00A307BA"/>
    <w:rsid w:val="00A30800"/>
    <w:rsid w:val="00A3085A"/>
    <w:rsid w:val="00A3088C"/>
    <w:rsid w:val="00A308C5"/>
    <w:rsid w:val="00A308FC"/>
    <w:rsid w:val="00A3096E"/>
    <w:rsid w:val="00A30A2F"/>
    <w:rsid w:val="00A30A58"/>
    <w:rsid w:val="00A30A79"/>
    <w:rsid w:val="00A30ABE"/>
    <w:rsid w:val="00A30BE8"/>
    <w:rsid w:val="00A30BF1"/>
    <w:rsid w:val="00A30CAC"/>
    <w:rsid w:val="00A30CFD"/>
    <w:rsid w:val="00A30D2F"/>
    <w:rsid w:val="00A30D60"/>
    <w:rsid w:val="00A30DCE"/>
    <w:rsid w:val="00A30E3C"/>
    <w:rsid w:val="00A30E56"/>
    <w:rsid w:val="00A30FDD"/>
    <w:rsid w:val="00A31059"/>
    <w:rsid w:val="00A3105C"/>
    <w:rsid w:val="00A31073"/>
    <w:rsid w:val="00A310C7"/>
    <w:rsid w:val="00A310EE"/>
    <w:rsid w:val="00A311F8"/>
    <w:rsid w:val="00A312CE"/>
    <w:rsid w:val="00A3137E"/>
    <w:rsid w:val="00A313D6"/>
    <w:rsid w:val="00A31458"/>
    <w:rsid w:val="00A31483"/>
    <w:rsid w:val="00A3150D"/>
    <w:rsid w:val="00A315C1"/>
    <w:rsid w:val="00A315C7"/>
    <w:rsid w:val="00A316B1"/>
    <w:rsid w:val="00A316C1"/>
    <w:rsid w:val="00A3186D"/>
    <w:rsid w:val="00A31871"/>
    <w:rsid w:val="00A31897"/>
    <w:rsid w:val="00A3189A"/>
    <w:rsid w:val="00A318A2"/>
    <w:rsid w:val="00A318B4"/>
    <w:rsid w:val="00A318E3"/>
    <w:rsid w:val="00A31AEC"/>
    <w:rsid w:val="00A31B38"/>
    <w:rsid w:val="00A31B40"/>
    <w:rsid w:val="00A31BEF"/>
    <w:rsid w:val="00A31BF4"/>
    <w:rsid w:val="00A31C18"/>
    <w:rsid w:val="00A31C19"/>
    <w:rsid w:val="00A31C78"/>
    <w:rsid w:val="00A31CF0"/>
    <w:rsid w:val="00A31D91"/>
    <w:rsid w:val="00A31DB7"/>
    <w:rsid w:val="00A31E47"/>
    <w:rsid w:val="00A31EA7"/>
    <w:rsid w:val="00A31EDD"/>
    <w:rsid w:val="00A32005"/>
    <w:rsid w:val="00A32071"/>
    <w:rsid w:val="00A32091"/>
    <w:rsid w:val="00A3218D"/>
    <w:rsid w:val="00A321A6"/>
    <w:rsid w:val="00A321A8"/>
    <w:rsid w:val="00A32205"/>
    <w:rsid w:val="00A32284"/>
    <w:rsid w:val="00A322C7"/>
    <w:rsid w:val="00A322F0"/>
    <w:rsid w:val="00A32332"/>
    <w:rsid w:val="00A323B6"/>
    <w:rsid w:val="00A32449"/>
    <w:rsid w:val="00A324DB"/>
    <w:rsid w:val="00A32600"/>
    <w:rsid w:val="00A3281A"/>
    <w:rsid w:val="00A328D4"/>
    <w:rsid w:val="00A3298C"/>
    <w:rsid w:val="00A32A05"/>
    <w:rsid w:val="00A32A33"/>
    <w:rsid w:val="00A32A44"/>
    <w:rsid w:val="00A32A66"/>
    <w:rsid w:val="00A32AEE"/>
    <w:rsid w:val="00A32BEF"/>
    <w:rsid w:val="00A32C55"/>
    <w:rsid w:val="00A32D0C"/>
    <w:rsid w:val="00A32DC6"/>
    <w:rsid w:val="00A32EDB"/>
    <w:rsid w:val="00A32F9B"/>
    <w:rsid w:val="00A33013"/>
    <w:rsid w:val="00A330E8"/>
    <w:rsid w:val="00A3314F"/>
    <w:rsid w:val="00A331C1"/>
    <w:rsid w:val="00A331FE"/>
    <w:rsid w:val="00A33241"/>
    <w:rsid w:val="00A3328A"/>
    <w:rsid w:val="00A3337C"/>
    <w:rsid w:val="00A3348C"/>
    <w:rsid w:val="00A3349E"/>
    <w:rsid w:val="00A334C1"/>
    <w:rsid w:val="00A334D5"/>
    <w:rsid w:val="00A33518"/>
    <w:rsid w:val="00A33526"/>
    <w:rsid w:val="00A33530"/>
    <w:rsid w:val="00A33571"/>
    <w:rsid w:val="00A3357E"/>
    <w:rsid w:val="00A3361B"/>
    <w:rsid w:val="00A33695"/>
    <w:rsid w:val="00A336EB"/>
    <w:rsid w:val="00A336F3"/>
    <w:rsid w:val="00A337CD"/>
    <w:rsid w:val="00A3382A"/>
    <w:rsid w:val="00A338C2"/>
    <w:rsid w:val="00A338FD"/>
    <w:rsid w:val="00A3390B"/>
    <w:rsid w:val="00A33963"/>
    <w:rsid w:val="00A339B6"/>
    <w:rsid w:val="00A33A69"/>
    <w:rsid w:val="00A33B09"/>
    <w:rsid w:val="00A33B26"/>
    <w:rsid w:val="00A33B37"/>
    <w:rsid w:val="00A33B49"/>
    <w:rsid w:val="00A33BA0"/>
    <w:rsid w:val="00A33C13"/>
    <w:rsid w:val="00A33CD6"/>
    <w:rsid w:val="00A33DDA"/>
    <w:rsid w:val="00A33DDC"/>
    <w:rsid w:val="00A33E9A"/>
    <w:rsid w:val="00A33F0C"/>
    <w:rsid w:val="00A33F30"/>
    <w:rsid w:val="00A34012"/>
    <w:rsid w:val="00A3403C"/>
    <w:rsid w:val="00A340FF"/>
    <w:rsid w:val="00A34157"/>
    <w:rsid w:val="00A34158"/>
    <w:rsid w:val="00A3428F"/>
    <w:rsid w:val="00A342A3"/>
    <w:rsid w:val="00A342C0"/>
    <w:rsid w:val="00A342E4"/>
    <w:rsid w:val="00A342E9"/>
    <w:rsid w:val="00A3432B"/>
    <w:rsid w:val="00A3436F"/>
    <w:rsid w:val="00A343EB"/>
    <w:rsid w:val="00A3441A"/>
    <w:rsid w:val="00A34485"/>
    <w:rsid w:val="00A34489"/>
    <w:rsid w:val="00A344B8"/>
    <w:rsid w:val="00A344B9"/>
    <w:rsid w:val="00A34515"/>
    <w:rsid w:val="00A345A7"/>
    <w:rsid w:val="00A34600"/>
    <w:rsid w:val="00A34616"/>
    <w:rsid w:val="00A34640"/>
    <w:rsid w:val="00A3465D"/>
    <w:rsid w:val="00A3468B"/>
    <w:rsid w:val="00A3469C"/>
    <w:rsid w:val="00A346AD"/>
    <w:rsid w:val="00A346C4"/>
    <w:rsid w:val="00A346FC"/>
    <w:rsid w:val="00A34812"/>
    <w:rsid w:val="00A348D7"/>
    <w:rsid w:val="00A34932"/>
    <w:rsid w:val="00A34998"/>
    <w:rsid w:val="00A34A2C"/>
    <w:rsid w:val="00A34AC2"/>
    <w:rsid w:val="00A34ACD"/>
    <w:rsid w:val="00A34B13"/>
    <w:rsid w:val="00A34B2E"/>
    <w:rsid w:val="00A34B4E"/>
    <w:rsid w:val="00A34B51"/>
    <w:rsid w:val="00A34BBC"/>
    <w:rsid w:val="00A34BF1"/>
    <w:rsid w:val="00A34CF6"/>
    <w:rsid w:val="00A34D4F"/>
    <w:rsid w:val="00A34DD3"/>
    <w:rsid w:val="00A34E3F"/>
    <w:rsid w:val="00A34EE7"/>
    <w:rsid w:val="00A34F41"/>
    <w:rsid w:val="00A34F7E"/>
    <w:rsid w:val="00A34F8F"/>
    <w:rsid w:val="00A34F99"/>
    <w:rsid w:val="00A35008"/>
    <w:rsid w:val="00A35009"/>
    <w:rsid w:val="00A35012"/>
    <w:rsid w:val="00A3508B"/>
    <w:rsid w:val="00A3512D"/>
    <w:rsid w:val="00A35156"/>
    <w:rsid w:val="00A35182"/>
    <w:rsid w:val="00A351F1"/>
    <w:rsid w:val="00A35364"/>
    <w:rsid w:val="00A353E1"/>
    <w:rsid w:val="00A353E4"/>
    <w:rsid w:val="00A3544D"/>
    <w:rsid w:val="00A354D6"/>
    <w:rsid w:val="00A354F7"/>
    <w:rsid w:val="00A35578"/>
    <w:rsid w:val="00A35579"/>
    <w:rsid w:val="00A355F5"/>
    <w:rsid w:val="00A3560A"/>
    <w:rsid w:val="00A35631"/>
    <w:rsid w:val="00A35696"/>
    <w:rsid w:val="00A357F6"/>
    <w:rsid w:val="00A35834"/>
    <w:rsid w:val="00A35872"/>
    <w:rsid w:val="00A35922"/>
    <w:rsid w:val="00A359EC"/>
    <w:rsid w:val="00A35AEE"/>
    <w:rsid w:val="00A35C11"/>
    <w:rsid w:val="00A35CAE"/>
    <w:rsid w:val="00A35D0E"/>
    <w:rsid w:val="00A35D54"/>
    <w:rsid w:val="00A35D77"/>
    <w:rsid w:val="00A35D78"/>
    <w:rsid w:val="00A35E42"/>
    <w:rsid w:val="00A35E80"/>
    <w:rsid w:val="00A35EA7"/>
    <w:rsid w:val="00A35EF2"/>
    <w:rsid w:val="00A35FED"/>
    <w:rsid w:val="00A35FEE"/>
    <w:rsid w:val="00A36016"/>
    <w:rsid w:val="00A36155"/>
    <w:rsid w:val="00A36157"/>
    <w:rsid w:val="00A3618C"/>
    <w:rsid w:val="00A361A4"/>
    <w:rsid w:val="00A361D2"/>
    <w:rsid w:val="00A361D9"/>
    <w:rsid w:val="00A3623C"/>
    <w:rsid w:val="00A36286"/>
    <w:rsid w:val="00A362F4"/>
    <w:rsid w:val="00A36325"/>
    <w:rsid w:val="00A36360"/>
    <w:rsid w:val="00A3646C"/>
    <w:rsid w:val="00A364CD"/>
    <w:rsid w:val="00A3653F"/>
    <w:rsid w:val="00A36568"/>
    <w:rsid w:val="00A3658C"/>
    <w:rsid w:val="00A365DC"/>
    <w:rsid w:val="00A3662B"/>
    <w:rsid w:val="00A3663E"/>
    <w:rsid w:val="00A3664D"/>
    <w:rsid w:val="00A36756"/>
    <w:rsid w:val="00A36757"/>
    <w:rsid w:val="00A367B8"/>
    <w:rsid w:val="00A367C2"/>
    <w:rsid w:val="00A3680A"/>
    <w:rsid w:val="00A3687B"/>
    <w:rsid w:val="00A3688B"/>
    <w:rsid w:val="00A368E0"/>
    <w:rsid w:val="00A3692B"/>
    <w:rsid w:val="00A369D0"/>
    <w:rsid w:val="00A36A3A"/>
    <w:rsid w:val="00A36AF4"/>
    <w:rsid w:val="00A36B40"/>
    <w:rsid w:val="00A36B66"/>
    <w:rsid w:val="00A36BCC"/>
    <w:rsid w:val="00A36BD2"/>
    <w:rsid w:val="00A36BE7"/>
    <w:rsid w:val="00A36C7D"/>
    <w:rsid w:val="00A36D2B"/>
    <w:rsid w:val="00A36D4C"/>
    <w:rsid w:val="00A36D85"/>
    <w:rsid w:val="00A36DD7"/>
    <w:rsid w:val="00A36E1E"/>
    <w:rsid w:val="00A36E39"/>
    <w:rsid w:val="00A36EC2"/>
    <w:rsid w:val="00A36F59"/>
    <w:rsid w:val="00A36F5F"/>
    <w:rsid w:val="00A36FB4"/>
    <w:rsid w:val="00A36FBA"/>
    <w:rsid w:val="00A3702E"/>
    <w:rsid w:val="00A3705C"/>
    <w:rsid w:val="00A3709C"/>
    <w:rsid w:val="00A370B3"/>
    <w:rsid w:val="00A37110"/>
    <w:rsid w:val="00A37125"/>
    <w:rsid w:val="00A37258"/>
    <w:rsid w:val="00A372C3"/>
    <w:rsid w:val="00A3730D"/>
    <w:rsid w:val="00A37328"/>
    <w:rsid w:val="00A3735E"/>
    <w:rsid w:val="00A3738D"/>
    <w:rsid w:val="00A373E5"/>
    <w:rsid w:val="00A37421"/>
    <w:rsid w:val="00A3743A"/>
    <w:rsid w:val="00A3744F"/>
    <w:rsid w:val="00A37456"/>
    <w:rsid w:val="00A37545"/>
    <w:rsid w:val="00A37597"/>
    <w:rsid w:val="00A375AB"/>
    <w:rsid w:val="00A37667"/>
    <w:rsid w:val="00A37672"/>
    <w:rsid w:val="00A37673"/>
    <w:rsid w:val="00A3773F"/>
    <w:rsid w:val="00A377D3"/>
    <w:rsid w:val="00A377E2"/>
    <w:rsid w:val="00A37860"/>
    <w:rsid w:val="00A378FC"/>
    <w:rsid w:val="00A37963"/>
    <w:rsid w:val="00A37A21"/>
    <w:rsid w:val="00A37A51"/>
    <w:rsid w:val="00A37AAD"/>
    <w:rsid w:val="00A37AD4"/>
    <w:rsid w:val="00A37AE6"/>
    <w:rsid w:val="00A37B58"/>
    <w:rsid w:val="00A37BB4"/>
    <w:rsid w:val="00A37C93"/>
    <w:rsid w:val="00A37CDC"/>
    <w:rsid w:val="00A37D8B"/>
    <w:rsid w:val="00A37D97"/>
    <w:rsid w:val="00A37E04"/>
    <w:rsid w:val="00A37F07"/>
    <w:rsid w:val="00A37F18"/>
    <w:rsid w:val="00A37F37"/>
    <w:rsid w:val="00A37F75"/>
    <w:rsid w:val="00A37FA7"/>
    <w:rsid w:val="00A37FB2"/>
    <w:rsid w:val="00A37FB4"/>
    <w:rsid w:val="00A37FE4"/>
    <w:rsid w:val="00A40020"/>
    <w:rsid w:val="00A40220"/>
    <w:rsid w:val="00A40293"/>
    <w:rsid w:val="00A4034F"/>
    <w:rsid w:val="00A4039A"/>
    <w:rsid w:val="00A403A2"/>
    <w:rsid w:val="00A403D8"/>
    <w:rsid w:val="00A4041D"/>
    <w:rsid w:val="00A4055A"/>
    <w:rsid w:val="00A405A1"/>
    <w:rsid w:val="00A405DF"/>
    <w:rsid w:val="00A405E9"/>
    <w:rsid w:val="00A40618"/>
    <w:rsid w:val="00A4063E"/>
    <w:rsid w:val="00A40665"/>
    <w:rsid w:val="00A40674"/>
    <w:rsid w:val="00A406DC"/>
    <w:rsid w:val="00A40702"/>
    <w:rsid w:val="00A4070B"/>
    <w:rsid w:val="00A407DB"/>
    <w:rsid w:val="00A407ED"/>
    <w:rsid w:val="00A40873"/>
    <w:rsid w:val="00A40891"/>
    <w:rsid w:val="00A40898"/>
    <w:rsid w:val="00A408DE"/>
    <w:rsid w:val="00A408FA"/>
    <w:rsid w:val="00A40907"/>
    <w:rsid w:val="00A409DD"/>
    <w:rsid w:val="00A40A92"/>
    <w:rsid w:val="00A40AAE"/>
    <w:rsid w:val="00A40C1B"/>
    <w:rsid w:val="00A40C75"/>
    <w:rsid w:val="00A40C78"/>
    <w:rsid w:val="00A40D46"/>
    <w:rsid w:val="00A40D5A"/>
    <w:rsid w:val="00A40D77"/>
    <w:rsid w:val="00A40EFD"/>
    <w:rsid w:val="00A40FF7"/>
    <w:rsid w:val="00A41017"/>
    <w:rsid w:val="00A41114"/>
    <w:rsid w:val="00A41126"/>
    <w:rsid w:val="00A4115B"/>
    <w:rsid w:val="00A41208"/>
    <w:rsid w:val="00A41263"/>
    <w:rsid w:val="00A4126B"/>
    <w:rsid w:val="00A4135A"/>
    <w:rsid w:val="00A413B8"/>
    <w:rsid w:val="00A4141B"/>
    <w:rsid w:val="00A41532"/>
    <w:rsid w:val="00A41570"/>
    <w:rsid w:val="00A415C3"/>
    <w:rsid w:val="00A415DE"/>
    <w:rsid w:val="00A41717"/>
    <w:rsid w:val="00A41876"/>
    <w:rsid w:val="00A419D5"/>
    <w:rsid w:val="00A41A3E"/>
    <w:rsid w:val="00A41AAA"/>
    <w:rsid w:val="00A41B5A"/>
    <w:rsid w:val="00A41BC8"/>
    <w:rsid w:val="00A41C1F"/>
    <w:rsid w:val="00A41C29"/>
    <w:rsid w:val="00A41C2E"/>
    <w:rsid w:val="00A41C96"/>
    <w:rsid w:val="00A41D6B"/>
    <w:rsid w:val="00A41E11"/>
    <w:rsid w:val="00A41E3A"/>
    <w:rsid w:val="00A41E98"/>
    <w:rsid w:val="00A41F5A"/>
    <w:rsid w:val="00A41FDC"/>
    <w:rsid w:val="00A42018"/>
    <w:rsid w:val="00A42022"/>
    <w:rsid w:val="00A42058"/>
    <w:rsid w:val="00A4205D"/>
    <w:rsid w:val="00A42154"/>
    <w:rsid w:val="00A42162"/>
    <w:rsid w:val="00A4237A"/>
    <w:rsid w:val="00A423B3"/>
    <w:rsid w:val="00A4242E"/>
    <w:rsid w:val="00A42461"/>
    <w:rsid w:val="00A424D5"/>
    <w:rsid w:val="00A4256B"/>
    <w:rsid w:val="00A42598"/>
    <w:rsid w:val="00A425A1"/>
    <w:rsid w:val="00A42609"/>
    <w:rsid w:val="00A4260F"/>
    <w:rsid w:val="00A42640"/>
    <w:rsid w:val="00A426CF"/>
    <w:rsid w:val="00A426D1"/>
    <w:rsid w:val="00A42769"/>
    <w:rsid w:val="00A4282A"/>
    <w:rsid w:val="00A42868"/>
    <w:rsid w:val="00A42882"/>
    <w:rsid w:val="00A428C6"/>
    <w:rsid w:val="00A428E6"/>
    <w:rsid w:val="00A428FB"/>
    <w:rsid w:val="00A42950"/>
    <w:rsid w:val="00A42963"/>
    <w:rsid w:val="00A429B8"/>
    <w:rsid w:val="00A429E1"/>
    <w:rsid w:val="00A429E4"/>
    <w:rsid w:val="00A42A25"/>
    <w:rsid w:val="00A42A34"/>
    <w:rsid w:val="00A42A44"/>
    <w:rsid w:val="00A42AE5"/>
    <w:rsid w:val="00A42B2B"/>
    <w:rsid w:val="00A42BD7"/>
    <w:rsid w:val="00A42C18"/>
    <w:rsid w:val="00A42C26"/>
    <w:rsid w:val="00A42CAA"/>
    <w:rsid w:val="00A42D27"/>
    <w:rsid w:val="00A42D6B"/>
    <w:rsid w:val="00A42E65"/>
    <w:rsid w:val="00A42EAF"/>
    <w:rsid w:val="00A42ED4"/>
    <w:rsid w:val="00A42F04"/>
    <w:rsid w:val="00A42F0D"/>
    <w:rsid w:val="00A43020"/>
    <w:rsid w:val="00A4308A"/>
    <w:rsid w:val="00A431FF"/>
    <w:rsid w:val="00A43203"/>
    <w:rsid w:val="00A432BE"/>
    <w:rsid w:val="00A432D1"/>
    <w:rsid w:val="00A433C8"/>
    <w:rsid w:val="00A43417"/>
    <w:rsid w:val="00A43538"/>
    <w:rsid w:val="00A436A0"/>
    <w:rsid w:val="00A436A5"/>
    <w:rsid w:val="00A436C4"/>
    <w:rsid w:val="00A438BF"/>
    <w:rsid w:val="00A438E9"/>
    <w:rsid w:val="00A43928"/>
    <w:rsid w:val="00A4394D"/>
    <w:rsid w:val="00A43951"/>
    <w:rsid w:val="00A439C6"/>
    <w:rsid w:val="00A43A65"/>
    <w:rsid w:val="00A43A86"/>
    <w:rsid w:val="00A43ABE"/>
    <w:rsid w:val="00A43C72"/>
    <w:rsid w:val="00A43C89"/>
    <w:rsid w:val="00A43CEA"/>
    <w:rsid w:val="00A43CFD"/>
    <w:rsid w:val="00A43D1C"/>
    <w:rsid w:val="00A43D4D"/>
    <w:rsid w:val="00A43D53"/>
    <w:rsid w:val="00A43D80"/>
    <w:rsid w:val="00A43DC9"/>
    <w:rsid w:val="00A43EBC"/>
    <w:rsid w:val="00A43F38"/>
    <w:rsid w:val="00A43F75"/>
    <w:rsid w:val="00A43F8F"/>
    <w:rsid w:val="00A43FE9"/>
    <w:rsid w:val="00A44003"/>
    <w:rsid w:val="00A44057"/>
    <w:rsid w:val="00A44093"/>
    <w:rsid w:val="00A4410A"/>
    <w:rsid w:val="00A441A6"/>
    <w:rsid w:val="00A441A9"/>
    <w:rsid w:val="00A441BA"/>
    <w:rsid w:val="00A4424A"/>
    <w:rsid w:val="00A44260"/>
    <w:rsid w:val="00A4426B"/>
    <w:rsid w:val="00A442CA"/>
    <w:rsid w:val="00A442E3"/>
    <w:rsid w:val="00A4430B"/>
    <w:rsid w:val="00A4433F"/>
    <w:rsid w:val="00A4437B"/>
    <w:rsid w:val="00A443E3"/>
    <w:rsid w:val="00A443E7"/>
    <w:rsid w:val="00A444FE"/>
    <w:rsid w:val="00A44539"/>
    <w:rsid w:val="00A44568"/>
    <w:rsid w:val="00A445A4"/>
    <w:rsid w:val="00A4465C"/>
    <w:rsid w:val="00A4465E"/>
    <w:rsid w:val="00A446E6"/>
    <w:rsid w:val="00A4472C"/>
    <w:rsid w:val="00A447B3"/>
    <w:rsid w:val="00A4481E"/>
    <w:rsid w:val="00A448B2"/>
    <w:rsid w:val="00A448F9"/>
    <w:rsid w:val="00A449C6"/>
    <w:rsid w:val="00A449F2"/>
    <w:rsid w:val="00A44A59"/>
    <w:rsid w:val="00A44AAC"/>
    <w:rsid w:val="00A44AD1"/>
    <w:rsid w:val="00A44AFF"/>
    <w:rsid w:val="00A44B6B"/>
    <w:rsid w:val="00A44B83"/>
    <w:rsid w:val="00A44C32"/>
    <w:rsid w:val="00A44C97"/>
    <w:rsid w:val="00A44CB9"/>
    <w:rsid w:val="00A44D39"/>
    <w:rsid w:val="00A44D96"/>
    <w:rsid w:val="00A44E06"/>
    <w:rsid w:val="00A44E20"/>
    <w:rsid w:val="00A45071"/>
    <w:rsid w:val="00A4515E"/>
    <w:rsid w:val="00A45169"/>
    <w:rsid w:val="00A451BC"/>
    <w:rsid w:val="00A451C6"/>
    <w:rsid w:val="00A451CC"/>
    <w:rsid w:val="00A4524E"/>
    <w:rsid w:val="00A45291"/>
    <w:rsid w:val="00A452B2"/>
    <w:rsid w:val="00A452D2"/>
    <w:rsid w:val="00A4536A"/>
    <w:rsid w:val="00A453FE"/>
    <w:rsid w:val="00A45457"/>
    <w:rsid w:val="00A45467"/>
    <w:rsid w:val="00A45561"/>
    <w:rsid w:val="00A4559C"/>
    <w:rsid w:val="00A455CE"/>
    <w:rsid w:val="00A4563F"/>
    <w:rsid w:val="00A45640"/>
    <w:rsid w:val="00A4568A"/>
    <w:rsid w:val="00A456E4"/>
    <w:rsid w:val="00A457BD"/>
    <w:rsid w:val="00A4581A"/>
    <w:rsid w:val="00A458BB"/>
    <w:rsid w:val="00A459D3"/>
    <w:rsid w:val="00A459E7"/>
    <w:rsid w:val="00A459EF"/>
    <w:rsid w:val="00A45A2B"/>
    <w:rsid w:val="00A45AC4"/>
    <w:rsid w:val="00A45CB7"/>
    <w:rsid w:val="00A45F3A"/>
    <w:rsid w:val="00A45FC7"/>
    <w:rsid w:val="00A4608A"/>
    <w:rsid w:val="00A460CB"/>
    <w:rsid w:val="00A461BE"/>
    <w:rsid w:val="00A461BF"/>
    <w:rsid w:val="00A461E8"/>
    <w:rsid w:val="00A461ED"/>
    <w:rsid w:val="00A46211"/>
    <w:rsid w:val="00A46245"/>
    <w:rsid w:val="00A4624C"/>
    <w:rsid w:val="00A4625E"/>
    <w:rsid w:val="00A4627B"/>
    <w:rsid w:val="00A4632E"/>
    <w:rsid w:val="00A4632F"/>
    <w:rsid w:val="00A463E0"/>
    <w:rsid w:val="00A46435"/>
    <w:rsid w:val="00A46466"/>
    <w:rsid w:val="00A46575"/>
    <w:rsid w:val="00A465C4"/>
    <w:rsid w:val="00A46647"/>
    <w:rsid w:val="00A466B9"/>
    <w:rsid w:val="00A466F4"/>
    <w:rsid w:val="00A46718"/>
    <w:rsid w:val="00A467A7"/>
    <w:rsid w:val="00A467CD"/>
    <w:rsid w:val="00A46905"/>
    <w:rsid w:val="00A46923"/>
    <w:rsid w:val="00A46933"/>
    <w:rsid w:val="00A46A2B"/>
    <w:rsid w:val="00A46A6E"/>
    <w:rsid w:val="00A46B4A"/>
    <w:rsid w:val="00A46B4F"/>
    <w:rsid w:val="00A46BB2"/>
    <w:rsid w:val="00A46BD3"/>
    <w:rsid w:val="00A46C21"/>
    <w:rsid w:val="00A46C47"/>
    <w:rsid w:val="00A46C9D"/>
    <w:rsid w:val="00A46D53"/>
    <w:rsid w:val="00A46D57"/>
    <w:rsid w:val="00A46D9A"/>
    <w:rsid w:val="00A46E70"/>
    <w:rsid w:val="00A46F20"/>
    <w:rsid w:val="00A46F2C"/>
    <w:rsid w:val="00A46F4C"/>
    <w:rsid w:val="00A4700A"/>
    <w:rsid w:val="00A47072"/>
    <w:rsid w:val="00A470AC"/>
    <w:rsid w:val="00A4711C"/>
    <w:rsid w:val="00A47161"/>
    <w:rsid w:val="00A4719B"/>
    <w:rsid w:val="00A47202"/>
    <w:rsid w:val="00A47297"/>
    <w:rsid w:val="00A472B7"/>
    <w:rsid w:val="00A472C4"/>
    <w:rsid w:val="00A4735C"/>
    <w:rsid w:val="00A4739B"/>
    <w:rsid w:val="00A47409"/>
    <w:rsid w:val="00A4742F"/>
    <w:rsid w:val="00A4743C"/>
    <w:rsid w:val="00A4748B"/>
    <w:rsid w:val="00A4756F"/>
    <w:rsid w:val="00A475FB"/>
    <w:rsid w:val="00A4765F"/>
    <w:rsid w:val="00A4767C"/>
    <w:rsid w:val="00A4769E"/>
    <w:rsid w:val="00A476B1"/>
    <w:rsid w:val="00A4773C"/>
    <w:rsid w:val="00A477AB"/>
    <w:rsid w:val="00A477F7"/>
    <w:rsid w:val="00A4781F"/>
    <w:rsid w:val="00A47869"/>
    <w:rsid w:val="00A47976"/>
    <w:rsid w:val="00A4798A"/>
    <w:rsid w:val="00A479D3"/>
    <w:rsid w:val="00A47A40"/>
    <w:rsid w:val="00A47BD0"/>
    <w:rsid w:val="00A47BED"/>
    <w:rsid w:val="00A47D70"/>
    <w:rsid w:val="00A47DBC"/>
    <w:rsid w:val="00A47DF7"/>
    <w:rsid w:val="00A47EA2"/>
    <w:rsid w:val="00A47EB7"/>
    <w:rsid w:val="00A47F57"/>
    <w:rsid w:val="00A47F85"/>
    <w:rsid w:val="00A47FBC"/>
    <w:rsid w:val="00A47FED"/>
    <w:rsid w:val="00A50043"/>
    <w:rsid w:val="00A50059"/>
    <w:rsid w:val="00A500C9"/>
    <w:rsid w:val="00A50124"/>
    <w:rsid w:val="00A50225"/>
    <w:rsid w:val="00A502C5"/>
    <w:rsid w:val="00A502E9"/>
    <w:rsid w:val="00A503D4"/>
    <w:rsid w:val="00A503DE"/>
    <w:rsid w:val="00A504A7"/>
    <w:rsid w:val="00A504D9"/>
    <w:rsid w:val="00A505A5"/>
    <w:rsid w:val="00A505C4"/>
    <w:rsid w:val="00A505CA"/>
    <w:rsid w:val="00A505DD"/>
    <w:rsid w:val="00A50603"/>
    <w:rsid w:val="00A50617"/>
    <w:rsid w:val="00A506BC"/>
    <w:rsid w:val="00A50772"/>
    <w:rsid w:val="00A50779"/>
    <w:rsid w:val="00A5080B"/>
    <w:rsid w:val="00A50879"/>
    <w:rsid w:val="00A5097B"/>
    <w:rsid w:val="00A50A22"/>
    <w:rsid w:val="00A50A55"/>
    <w:rsid w:val="00A50A98"/>
    <w:rsid w:val="00A50AA1"/>
    <w:rsid w:val="00A50C13"/>
    <w:rsid w:val="00A50C47"/>
    <w:rsid w:val="00A50ECE"/>
    <w:rsid w:val="00A50ED5"/>
    <w:rsid w:val="00A50EE3"/>
    <w:rsid w:val="00A50F0C"/>
    <w:rsid w:val="00A50F40"/>
    <w:rsid w:val="00A50F72"/>
    <w:rsid w:val="00A510BC"/>
    <w:rsid w:val="00A510E6"/>
    <w:rsid w:val="00A51132"/>
    <w:rsid w:val="00A5117E"/>
    <w:rsid w:val="00A51207"/>
    <w:rsid w:val="00A5124C"/>
    <w:rsid w:val="00A51339"/>
    <w:rsid w:val="00A51349"/>
    <w:rsid w:val="00A51378"/>
    <w:rsid w:val="00A513F3"/>
    <w:rsid w:val="00A5145E"/>
    <w:rsid w:val="00A514C6"/>
    <w:rsid w:val="00A514FB"/>
    <w:rsid w:val="00A51577"/>
    <w:rsid w:val="00A51597"/>
    <w:rsid w:val="00A515FC"/>
    <w:rsid w:val="00A5164C"/>
    <w:rsid w:val="00A516B4"/>
    <w:rsid w:val="00A516C0"/>
    <w:rsid w:val="00A516DA"/>
    <w:rsid w:val="00A51719"/>
    <w:rsid w:val="00A5171B"/>
    <w:rsid w:val="00A51782"/>
    <w:rsid w:val="00A51852"/>
    <w:rsid w:val="00A5187F"/>
    <w:rsid w:val="00A51997"/>
    <w:rsid w:val="00A51A08"/>
    <w:rsid w:val="00A51AB0"/>
    <w:rsid w:val="00A51BFA"/>
    <w:rsid w:val="00A51C2A"/>
    <w:rsid w:val="00A51C78"/>
    <w:rsid w:val="00A51CE2"/>
    <w:rsid w:val="00A51D4F"/>
    <w:rsid w:val="00A51DB1"/>
    <w:rsid w:val="00A51E56"/>
    <w:rsid w:val="00A51E97"/>
    <w:rsid w:val="00A51ED4"/>
    <w:rsid w:val="00A51ED9"/>
    <w:rsid w:val="00A51F8D"/>
    <w:rsid w:val="00A51FFB"/>
    <w:rsid w:val="00A52011"/>
    <w:rsid w:val="00A52065"/>
    <w:rsid w:val="00A521C0"/>
    <w:rsid w:val="00A521F0"/>
    <w:rsid w:val="00A5226C"/>
    <w:rsid w:val="00A5228D"/>
    <w:rsid w:val="00A522DB"/>
    <w:rsid w:val="00A52337"/>
    <w:rsid w:val="00A523FE"/>
    <w:rsid w:val="00A52410"/>
    <w:rsid w:val="00A52535"/>
    <w:rsid w:val="00A525CF"/>
    <w:rsid w:val="00A52670"/>
    <w:rsid w:val="00A52740"/>
    <w:rsid w:val="00A52753"/>
    <w:rsid w:val="00A52770"/>
    <w:rsid w:val="00A527A4"/>
    <w:rsid w:val="00A527C4"/>
    <w:rsid w:val="00A527E9"/>
    <w:rsid w:val="00A52A30"/>
    <w:rsid w:val="00A52A46"/>
    <w:rsid w:val="00A52A98"/>
    <w:rsid w:val="00A52AC7"/>
    <w:rsid w:val="00A52B0B"/>
    <w:rsid w:val="00A52B8C"/>
    <w:rsid w:val="00A52BA3"/>
    <w:rsid w:val="00A52BD4"/>
    <w:rsid w:val="00A52C01"/>
    <w:rsid w:val="00A52D1C"/>
    <w:rsid w:val="00A52DB9"/>
    <w:rsid w:val="00A52DEA"/>
    <w:rsid w:val="00A52E03"/>
    <w:rsid w:val="00A52E34"/>
    <w:rsid w:val="00A52EA0"/>
    <w:rsid w:val="00A52F2E"/>
    <w:rsid w:val="00A530DF"/>
    <w:rsid w:val="00A530E6"/>
    <w:rsid w:val="00A5318D"/>
    <w:rsid w:val="00A531E2"/>
    <w:rsid w:val="00A53248"/>
    <w:rsid w:val="00A53314"/>
    <w:rsid w:val="00A533E7"/>
    <w:rsid w:val="00A53424"/>
    <w:rsid w:val="00A5346D"/>
    <w:rsid w:val="00A534E2"/>
    <w:rsid w:val="00A534F3"/>
    <w:rsid w:val="00A53540"/>
    <w:rsid w:val="00A53696"/>
    <w:rsid w:val="00A538BF"/>
    <w:rsid w:val="00A538FD"/>
    <w:rsid w:val="00A539C5"/>
    <w:rsid w:val="00A539CD"/>
    <w:rsid w:val="00A53B6C"/>
    <w:rsid w:val="00A53BA6"/>
    <w:rsid w:val="00A53C77"/>
    <w:rsid w:val="00A53CBB"/>
    <w:rsid w:val="00A53CD7"/>
    <w:rsid w:val="00A53D07"/>
    <w:rsid w:val="00A53D5F"/>
    <w:rsid w:val="00A53D6F"/>
    <w:rsid w:val="00A53DA0"/>
    <w:rsid w:val="00A53DDB"/>
    <w:rsid w:val="00A53DDC"/>
    <w:rsid w:val="00A53DE5"/>
    <w:rsid w:val="00A53E11"/>
    <w:rsid w:val="00A53EC9"/>
    <w:rsid w:val="00A53EE4"/>
    <w:rsid w:val="00A53F2C"/>
    <w:rsid w:val="00A53FF1"/>
    <w:rsid w:val="00A540FE"/>
    <w:rsid w:val="00A540FF"/>
    <w:rsid w:val="00A54222"/>
    <w:rsid w:val="00A542B1"/>
    <w:rsid w:val="00A542B4"/>
    <w:rsid w:val="00A542D5"/>
    <w:rsid w:val="00A5431A"/>
    <w:rsid w:val="00A54363"/>
    <w:rsid w:val="00A54390"/>
    <w:rsid w:val="00A543DC"/>
    <w:rsid w:val="00A54419"/>
    <w:rsid w:val="00A54435"/>
    <w:rsid w:val="00A54457"/>
    <w:rsid w:val="00A54507"/>
    <w:rsid w:val="00A54572"/>
    <w:rsid w:val="00A5458A"/>
    <w:rsid w:val="00A54670"/>
    <w:rsid w:val="00A5467D"/>
    <w:rsid w:val="00A5468B"/>
    <w:rsid w:val="00A546A3"/>
    <w:rsid w:val="00A547D9"/>
    <w:rsid w:val="00A54819"/>
    <w:rsid w:val="00A54828"/>
    <w:rsid w:val="00A5487C"/>
    <w:rsid w:val="00A548DE"/>
    <w:rsid w:val="00A5491E"/>
    <w:rsid w:val="00A5497B"/>
    <w:rsid w:val="00A5498E"/>
    <w:rsid w:val="00A54997"/>
    <w:rsid w:val="00A549E5"/>
    <w:rsid w:val="00A54A08"/>
    <w:rsid w:val="00A54A2A"/>
    <w:rsid w:val="00A54A3B"/>
    <w:rsid w:val="00A54A56"/>
    <w:rsid w:val="00A54AB8"/>
    <w:rsid w:val="00A54AF3"/>
    <w:rsid w:val="00A54BBE"/>
    <w:rsid w:val="00A54BCE"/>
    <w:rsid w:val="00A54BDF"/>
    <w:rsid w:val="00A54C2F"/>
    <w:rsid w:val="00A54D4C"/>
    <w:rsid w:val="00A54D65"/>
    <w:rsid w:val="00A54D9A"/>
    <w:rsid w:val="00A54E44"/>
    <w:rsid w:val="00A54E56"/>
    <w:rsid w:val="00A54EBE"/>
    <w:rsid w:val="00A54F12"/>
    <w:rsid w:val="00A54FE3"/>
    <w:rsid w:val="00A5501F"/>
    <w:rsid w:val="00A55032"/>
    <w:rsid w:val="00A550DC"/>
    <w:rsid w:val="00A55103"/>
    <w:rsid w:val="00A55166"/>
    <w:rsid w:val="00A551DD"/>
    <w:rsid w:val="00A55211"/>
    <w:rsid w:val="00A5524B"/>
    <w:rsid w:val="00A55299"/>
    <w:rsid w:val="00A552E7"/>
    <w:rsid w:val="00A552FC"/>
    <w:rsid w:val="00A55329"/>
    <w:rsid w:val="00A55362"/>
    <w:rsid w:val="00A55372"/>
    <w:rsid w:val="00A553F5"/>
    <w:rsid w:val="00A55407"/>
    <w:rsid w:val="00A55412"/>
    <w:rsid w:val="00A55417"/>
    <w:rsid w:val="00A55433"/>
    <w:rsid w:val="00A55473"/>
    <w:rsid w:val="00A554E8"/>
    <w:rsid w:val="00A554F4"/>
    <w:rsid w:val="00A55502"/>
    <w:rsid w:val="00A55510"/>
    <w:rsid w:val="00A5551F"/>
    <w:rsid w:val="00A5558B"/>
    <w:rsid w:val="00A555A1"/>
    <w:rsid w:val="00A55630"/>
    <w:rsid w:val="00A55657"/>
    <w:rsid w:val="00A55682"/>
    <w:rsid w:val="00A556AA"/>
    <w:rsid w:val="00A556B2"/>
    <w:rsid w:val="00A556C3"/>
    <w:rsid w:val="00A55804"/>
    <w:rsid w:val="00A55821"/>
    <w:rsid w:val="00A5584F"/>
    <w:rsid w:val="00A558DA"/>
    <w:rsid w:val="00A55929"/>
    <w:rsid w:val="00A559BB"/>
    <w:rsid w:val="00A559FB"/>
    <w:rsid w:val="00A55A28"/>
    <w:rsid w:val="00A55AC9"/>
    <w:rsid w:val="00A55B38"/>
    <w:rsid w:val="00A55C35"/>
    <w:rsid w:val="00A55C75"/>
    <w:rsid w:val="00A55C80"/>
    <w:rsid w:val="00A55CBE"/>
    <w:rsid w:val="00A55D6B"/>
    <w:rsid w:val="00A55E41"/>
    <w:rsid w:val="00A55E57"/>
    <w:rsid w:val="00A55E83"/>
    <w:rsid w:val="00A55EFC"/>
    <w:rsid w:val="00A55F51"/>
    <w:rsid w:val="00A56020"/>
    <w:rsid w:val="00A56034"/>
    <w:rsid w:val="00A560E6"/>
    <w:rsid w:val="00A560F9"/>
    <w:rsid w:val="00A5612D"/>
    <w:rsid w:val="00A56184"/>
    <w:rsid w:val="00A561E7"/>
    <w:rsid w:val="00A5625F"/>
    <w:rsid w:val="00A562EF"/>
    <w:rsid w:val="00A5630F"/>
    <w:rsid w:val="00A5631F"/>
    <w:rsid w:val="00A5637F"/>
    <w:rsid w:val="00A563E9"/>
    <w:rsid w:val="00A56441"/>
    <w:rsid w:val="00A5649F"/>
    <w:rsid w:val="00A56541"/>
    <w:rsid w:val="00A56597"/>
    <w:rsid w:val="00A566AE"/>
    <w:rsid w:val="00A566E4"/>
    <w:rsid w:val="00A566F1"/>
    <w:rsid w:val="00A567FB"/>
    <w:rsid w:val="00A56988"/>
    <w:rsid w:val="00A569BF"/>
    <w:rsid w:val="00A569F5"/>
    <w:rsid w:val="00A56A9F"/>
    <w:rsid w:val="00A56AF3"/>
    <w:rsid w:val="00A56B77"/>
    <w:rsid w:val="00A56B7C"/>
    <w:rsid w:val="00A56BA7"/>
    <w:rsid w:val="00A56BC8"/>
    <w:rsid w:val="00A56BD0"/>
    <w:rsid w:val="00A56C0B"/>
    <w:rsid w:val="00A56C39"/>
    <w:rsid w:val="00A56C68"/>
    <w:rsid w:val="00A56E9A"/>
    <w:rsid w:val="00A56F3E"/>
    <w:rsid w:val="00A56F4A"/>
    <w:rsid w:val="00A56F6E"/>
    <w:rsid w:val="00A57024"/>
    <w:rsid w:val="00A5709A"/>
    <w:rsid w:val="00A570B8"/>
    <w:rsid w:val="00A570E0"/>
    <w:rsid w:val="00A570E2"/>
    <w:rsid w:val="00A57188"/>
    <w:rsid w:val="00A571C1"/>
    <w:rsid w:val="00A571E9"/>
    <w:rsid w:val="00A57239"/>
    <w:rsid w:val="00A573AE"/>
    <w:rsid w:val="00A573EE"/>
    <w:rsid w:val="00A57410"/>
    <w:rsid w:val="00A57435"/>
    <w:rsid w:val="00A57470"/>
    <w:rsid w:val="00A574BF"/>
    <w:rsid w:val="00A57583"/>
    <w:rsid w:val="00A575D0"/>
    <w:rsid w:val="00A57635"/>
    <w:rsid w:val="00A57674"/>
    <w:rsid w:val="00A5776F"/>
    <w:rsid w:val="00A577EF"/>
    <w:rsid w:val="00A577F8"/>
    <w:rsid w:val="00A57827"/>
    <w:rsid w:val="00A57854"/>
    <w:rsid w:val="00A57898"/>
    <w:rsid w:val="00A578B2"/>
    <w:rsid w:val="00A57931"/>
    <w:rsid w:val="00A579A5"/>
    <w:rsid w:val="00A57A43"/>
    <w:rsid w:val="00A57A94"/>
    <w:rsid w:val="00A57A9A"/>
    <w:rsid w:val="00A57B5C"/>
    <w:rsid w:val="00A57B88"/>
    <w:rsid w:val="00A57BE1"/>
    <w:rsid w:val="00A57C67"/>
    <w:rsid w:val="00A57C97"/>
    <w:rsid w:val="00A57CB5"/>
    <w:rsid w:val="00A57CBC"/>
    <w:rsid w:val="00A57DA4"/>
    <w:rsid w:val="00A57DC6"/>
    <w:rsid w:val="00A57E23"/>
    <w:rsid w:val="00A57E34"/>
    <w:rsid w:val="00A57F03"/>
    <w:rsid w:val="00A57F39"/>
    <w:rsid w:val="00A57FC8"/>
    <w:rsid w:val="00A57FED"/>
    <w:rsid w:val="00A60052"/>
    <w:rsid w:val="00A6005A"/>
    <w:rsid w:val="00A60074"/>
    <w:rsid w:val="00A600A8"/>
    <w:rsid w:val="00A600F3"/>
    <w:rsid w:val="00A600F4"/>
    <w:rsid w:val="00A6010D"/>
    <w:rsid w:val="00A6013C"/>
    <w:rsid w:val="00A601F2"/>
    <w:rsid w:val="00A6022D"/>
    <w:rsid w:val="00A6026D"/>
    <w:rsid w:val="00A6026F"/>
    <w:rsid w:val="00A60350"/>
    <w:rsid w:val="00A60369"/>
    <w:rsid w:val="00A603B3"/>
    <w:rsid w:val="00A603B5"/>
    <w:rsid w:val="00A603BB"/>
    <w:rsid w:val="00A60426"/>
    <w:rsid w:val="00A6054C"/>
    <w:rsid w:val="00A605FC"/>
    <w:rsid w:val="00A60691"/>
    <w:rsid w:val="00A606A2"/>
    <w:rsid w:val="00A606C6"/>
    <w:rsid w:val="00A607AD"/>
    <w:rsid w:val="00A607E3"/>
    <w:rsid w:val="00A607F8"/>
    <w:rsid w:val="00A60820"/>
    <w:rsid w:val="00A6088D"/>
    <w:rsid w:val="00A6091D"/>
    <w:rsid w:val="00A609BA"/>
    <w:rsid w:val="00A609DE"/>
    <w:rsid w:val="00A60A15"/>
    <w:rsid w:val="00A60A4C"/>
    <w:rsid w:val="00A60AF3"/>
    <w:rsid w:val="00A60B42"/>
    <w:rsid w:val="00A60B58"/>
    <w:rsid w:val="00A60D00"/>
    <w:rsid w:val="00A60D36"/>
    <w:rsid w:val="00A60D5C"/>
    <w:rsid w:val="00A60D65"/>
    <w:rsid w:val="00A60D84"/>
    <w:rsid w:val="00A60DB7"/>
    <w:rsid w:val="00A60F1A"/>
    <w:rsid w:val="00A60F42"/>
    <w:rsid w:val="00A60F93"/>
    <w:rsid w:val="00A61089"/>
    <w:rsid w:val="00A610CC"/>
    <w:rsid w:val="00A6111A"/>
    <w:rsid w:val="00A61192"/>
    <w:rsid w:val="00A611B7"/>
    <w:rsid w:val="00A611FD"/>
    <w:rsid w:val="00A6121B"/>
    <w:rsid w:val="00A612CC"/>
    <w:rsid w:val="00A612D1"/>
    <w:rsid w:val="00A61370"/>
    <w:rsid w:val="00A613EC"/>
    <w:rsid w:val="00A614D1"/>
    <w:rsid w:val="00A61536"/>
    <w:rsid w:val="00A615A7"/>
    <w:rsid w:val="00A61650"/>
    <w:rsid w:val="00A6174C"/>
    <w:rsid w:val="00A617BF"/>
    <w:rsid w:val="00A617D4"/>
    <w:rsid w:val="00A61843"/>
    <w:rsid w:val="00A61869"/>
    <w:rsid w:val="00A619C7"/>
    <w:rsid w:val="00A61B51"/>
    <w:rsid w:val="00A61B6E"/>
    <w:rsid w:val="00A61BC2"/>
    <w:rsid w:val="00A61BF5"/>
    <w:rsid w:val="00A61C87"/>
    <w:rsid w:val="00A61D49"/>
    <w:rsid w:val="00A61DA1"/>
    <w:rsid w:val="00A61DB2"/>
    <w:rsid w:val="00A61DC8"/>
    <w:rsid w:val="00A61DCD"/>
    <w:rsid w:val="00A61DEA"/>
    <w:rsid w:val="00A61E3A"/>
    <w:rsid w:val="00A61E8F"/>
    <w:rsid w:val="00A61EF3"/>
    <w:rsid w:val="00A61F91"/>
    <w:rsid w:val="00A62004"/>
    <w:rsid w:val="00A62065"/>
    <w:rsid w:val="00A62083"/>
    <w:rsid w:val="00A6209A"/>
    <w:rsid w:val="00A62105"/>
    <w:rsid w:val="00A62137"/>
    <w:rsid w:val="00A62226"/>
    <w:rsid w:val="00A6225C"/>
    <w:rsid w:val="00A622FE"/>
    <w:rsid w:val="00A623B5"/>
    <w:rsid w:val="00A623DA"/>
    <w:rsid w:val="00A624B5"/>
    <w:rsid w:val="00A62510"/>
    <w:rsid w:val="00A6252E"/>
    <w:rsid w:val="00A62546"/>
    <w:rsid w:val="00A625B1"/>
    <w:rsid w:val="00A62603"/>
    <w:rsid w:val="00A62686"/>
    <w:rsid w:val="00A62690"/>
    <w:rsid w:val="00A62713"/>
    <w:rsid w:val="00A6275B"/>
    <w:rsid w:val="00A62836"/>
    <w:rsid w:val="00A62839"/>
    <w:rsid w:val="00A6297F"/>
    <w:rsid w:val="00A629DC"/>
    <w:rsid w:val="00A62AB1"/>
    <w:rsid w:val="00A62AB2"/>
    <w:rsid w:val="00A62D23"/>
    <w:rsid w:val="00A62D3F"/>
    <w:rsid w:val="00A62D8E"/>
    <w:rsid w:val="00A62DE4"/>
    <w:rsid w:val="00A62E8C"/>
    <w:rsid w:val="00A62F44"/>
    <w:rsid w:val="00A62F4A"/>
    <w:rsid w:val="00A62F69"/>
    <w:rsid w:val="00A62F9D"/>
    <w:rsid w:val="00A62FDC"/>
    <w:rsid w:val="00A630D7"/>
    <w:rsid w:val="00A63122"/>
    <w:rsid w:val="00A6313B"/>
    <w:rsid w:val="00A63154"/>
    <w:rsid w:val="00A63168"/>
    <w:rsid w:val="00A6321A"/>
    <w:rsid w:val="00A63253"/>
    <w:rsid w:val="00A633AA"/>
    <w:rsid w:val="00A633CA"/>
    <w:rsid w:val="00A634BF"/>
    <w:rsid w:val="00A636A4"/>
    <w:rsid w:val="00A636AE"/>
    <w:rsid w:val="00A63725"/>
    <w:rsid w:val="00A6372A"/>
    <w:rsid w:val="00A637FE"/>
    <w:rsid w:val="00A63893"/>
    <w:rsid w:val="00A63899"/>
    <w:rsid w:val="00A6392C"/>
    <w:rsid w:val="00A63A7B"/>
    <w:rsid w:val="00A63A7C"/>
    <w:rsid w:val="00A63A82"/>
    <w:rsid w:val="00A63A94"/>
    <w:rsid w:val="00A63AAB"/>
    <w:rsid w:val="00A63ACE"/>
    <w:rsid w:val="00A63AD8"/>
    <w:rsid w:val="00A63AF0"/>
    <w:rsid w:val="00A63B05"/>
    <w:rsid w:val="00A63B95"/>
    <w:rsid w:val="00A63CF6"/>
    <w:rsid w:val="00A63D62"/>
    <w:rsid w:val="00A63D74"/>
    <w:rsid w:val="00A63DD2"/>
    <w:rsid w:val="00A63E0D"/>
    <w:rsid w:val="00A63EAB"/>
    <w:rsid w:val="00A63EAF"/>
    <w:rsid w:val="00A63EEA"/>
    <w:rsid w:val="00A63EFA"/>
    <w:rsid w:val="00A63F71"/>
    <w:rsid w:val="00A63FA3"/>
    <w:rsid w:val="00A63FC1"/>
    <w:rsid w:val="00A6404D"/>
    <w:rsid w:val="00A641A2"/>
    <w:rsid w:val="00A641BD"/>
    <w:rsid w:val="00A64264"/>
    <w:rsid w:val="00A64276"/>
    <w:rsid w:val="00A642C7"/>
    <w:rsid w:val="00A64387"/>
    <w:rsid w:val="00A6438B"/>
    <w:rsid w:val="00A64394"/>
    <w:rsid w:val="00A64397"/>
    <w:rsid w:val="00A643B3"/>
    <w:rsid w:val="00A64616"/>
    <w:rsid w:val="00A6462B"/>
    <w:rsid w:val="00A64641"/>
    <w:rsid w:val="00A646A0"/>
    <w:rsid w:val="00A646D1"/>
    <w:rsid w:val="00A64791"/>
    <w:rsid w:val="00A6480D"/>
    <w:rsid w:val="00A64813"/>
    <w:rsid w:val="00A6485C"/>
    <w:rsid w:val="00A64874"/>
    <w:rsid w:val="00A64889"/>
    <w:rsid w:val="00A648CA"/>
    <w:rsid w:val="00A64912"/>
    <w:rsid w:val="00A6492C"/>
    <w:rsid w:val="00A64959"/>
    <w:rsid w:val="00A64B4E"/>
    <w:rsid w:val="00A64B7C"/>
    <w:rsid w:val="00A64BF7"/>
    <w:rsid w:val="00A64C74"/>
    <w:rsid w:val="00A64CA9"/>
    <w:rsid w:val="00A64D59"/>
    <w:rsid w:val="00A64D6C"/>
    <w:rsid w:val="00A64D80"/>
    <w:rsid w:val="00A64DC3"/>
    <w:rsid w:val="00A64DF2"/>
    <w:rsid w:val="00A64E05"/>
    <w:rsid w:val="00A64F04"/>
    <w:rsid w:val="00A64F74"/>
    <w:rsid w:val="00A64FD5"/>
    <w:rsid w:val="00A65007"/>
    <w:rsid w:val="00A65088"/>
    <w:rsid w:val="00A6509F"/>
    <w:rsid w:val="00A650AF"/>
    <w:rsid w:val="00A650B7"/>
    <w:rsid w:val="00A650FD"/>
    <w:rsid w:val="00A65100"/>
    <w:rsid w:val="00A6517C"/>
    <w:rsid w:val="00A6518B"/>
    <w:rsid w:val="00A651B5"/>
    <w:rsid w:val="00A651D9"/>
    <w:rsid w:val="00A65292"/>
    <w:rsid w:val="00A65380"/>
    <w:rsid w:val="00A653AB"/>
    <w:rsid w:val="00A653AF"/>
    <w:rsid w:val="00A653E3"/>
    <w:rsid w:val="00A65426"/>
    <w:rsid w:val="00A654F7"/>
    <w:rsid w:val="00A65514"/>
    <w:rsid w:val="00A65527"/>
    <w:rsid w:val="00A65562"/>
    <w:rsid w:val="00A655D0"/>
    <w:rsid w:val="00A65600"/>
    <w:rsid w:val="00A656A7"/>
    <w:rsid w:val="00A65714"/>
    <w:rsid w:val="00A6571B"/>
    <w:rsid w:val="00A6576B"/>
    <w:rsid w:val="00A657B2"/>
    <w:rsid w:val="00A6584D"/>
    <w:rsid w:val="00A658F9"/>
    <w:rsid w:val="00A65A04"/>
    <w:rsid w:val="00A65A1A"/>
    <w:rsid w:val="00A65A3C"/>
    <w:rsid w:val="00A65A71"/>
    <w:rsid w:val="00A65ADB"/>
    <w:rsid w:val="00A65BD5"/>
    <w:rsid w:val="00A65BD8"/>
    <w:rsid w:val="00A65C03"/>
    <w:rsid w:val="00A65C39"/>
    <w:rsid w:val="00A65C5F"/>
    <w:rsid w:val="00A65D3A"/>
    <w:rsid w:val="00A65D5C"/>
    <w:rsid w:val="00A65D88"/>
    <w:rsid w:val="00A65DC0"/>
    <w:rsid w:val="00A65DE3"/>
    <w:rsid w:val="00A65EF3"/>
    <w:rsid w:val="00A65FEC"/>
    <w:rsid w:val="00A66049"/>
    <w:rsid w:val="00A66160"/>
    <w:rsid w:val="00A66171"/>
    <w:rsid w:val="00A661E0"/>
    <w:rsid w:val="00A6628C"/>
    <w:rsid w:val="00A6629B"/>
    <w:rsid w:val="00A662A9"/>
    <w:rsid w:val="00A663A5"/>
    <w:rsid w:val="00A6640A"/>
    <w:rsid w:val="00A66431"/>
    <w:rsid w:val="00A66504"/>
    <w:rsid w:val="00A6662B"/>
    <w:rsid w:val="00A66658"/>
    <w:rsid w:val="00A6667B"/>
    <w:rsid w:val="00A666B2"/>
    <w:rsid w:val="00A6675D"/>
    <w:rsid w:val="00A6678F"/>
    <w:rsid w:val="00A667C7"/>
    <w:rsid w:val="00A667C9"/>
    <w:rsid w:val="00A668A3"/>
    <w:rsid w:val="00A668AC"/>
    <w:rsid w:val="00A668C6"/>
    <w:rsid w:val="00A66959"/>
    <w:rsid w:val="00A66993"/>
    <w:rsid w:val="00A669FB"/>
    <w:rsid w:val="00A66A75"/>
    <w:rsid w:val="00A66AD5"/>
    <w:rsid w:val="00A66ADE"/>
    <w:rsid w:val="00A66BF8"/>
    <w:rsid w:val="00A66BFB"/>
    <w:rsid w:val="00A66CF2"/>
    <w:rsid w:val="00A66E40"/>
    <w:rsid w:val="00A66E97"/>
    <w:rsid w:val="00A66EDC"/>
    <w:rsid w:val="00A66EEC"/>
    <w:rsid w:val="00A66F0A"/>
    <w:rsid w:val="00A66FC0"/>
    <w:rsid w:val="00A66FE9"/>
    <w:rsid w:val="00A670AA"/>
    <w:rsid w:val="00A6716A"/>
    <w:rsid w:val="00A67243"/>
    <w:rsid w:val="00A6731F"/>
    <w:rsid w:val="00A673C8"/>
    <w:rsid w:val="00A673DF"/>
    <w:rsid w:val="00A674E0"/>
    <w:rsid w:val="00A675D8"/>
    <w:rsid w:val="00A67663"/>
    <w:rsid w:val="00A6767A"/>
    <w:rsid w:val="00A676D8"/>
    <w:rsid w:val="00A67720"/>
    <w:rsid w:val="00A6774F"/>
    <w:rsid w:val="00A67751"/>
    <w:rsid w:val="00A677C9"/>
    <w:rsid w:val="00A67856"/>
    <w:rsid w:val="00A678C5"/>
    <w:rsid w:val="00A67937"/>
    <w:rsid w:val="00A6799E"/>
    <w:rsid w:val="00A679AC"/>
    <w:rsid w:val="00A67AB7"/>
    <w:rsid w:val="00A67B2D"/>
    <w:rsid w:val="00A67C4D"/>
    <w:rsid w:val="00A67CF5"/>
    <w:rsid w:val="00A67EC1"/>
    <w:rsid w:val="00A67F2F"/>
    <w:rsid w:val="00A67F7F"/>
    <w:rsid w:val="00A67FD3"/>
    <w:rsid w:val="00A67FF1"/>
    <w:rsid w:val="00A7001E"/>
    <w:rsid w:val="00A7003C"/>
    <w:rsid w:val="00A700AB"/>
    <w:rsid w:val="00A701C5"/>
    <w:rsid w:val="00A70213"/>
    <w:rsid w:val="00A70326"/>
    <w:rsid w:val="00A70373"/>
    <w:rsid w:val="00A703CC"/>
    <w:rsid w:val="00A703DD"/>
    <w:rsid w:val="00A70439"/>
    <w:rsid w:val="00A704B7"/>
    <w:rsid w:val="00A70537"/>
    <w:rsid w:val="00A7053B"/>
    <w:rsid w:val="00A7058B"/>
    <w:rsid w:val="00A70650"/>
    <w:rsid w:val="00A70746"/>
    <w:rsid w:val="00A7083D"/>
    <w:rsid w:val="00A70871"/>
    <w:rsid w:val="00A70877"/>
    <w:rsid w:val="00A7088B"/>
    <w:rsid w:val="00A708C4"/>
    <w:rsid w:val="00A708D9"/>
    <w:rsid w:val="00A708FB"/>
    <w:rsid w:val="00A70974"/>
    <w:rsid w:val="00A7097E"/>
    <w:rsid w:val="00A70A1C"/>
    <w:rsid w:val="00A70B2C"/>
    <w:rsid w:val="00A70B35"/>
    <w:rsid w:val="00A70C01"/>
    <w:rsid w:val="00A70C33"/>
    <w:rsid w:val="00A70C86"/>
    <w:rsid w:val="00A70CAD"/>
    <w:rsid w:val="00A70CFA"/>
    <w:rsid w:val="00A70D05"/>
    <w:rsid w:val="00A70D16"/>
    <w:rsid w:val="00A70D36"/>
    <w:rsid w:val="00A70D3D"/>
    <w:rsid w:val="00A70D8D"/>
    <w:rsid w:val="00A70E55"/>
    <w:rsid w:val="00A70F5A"/>
    <w:rsid w:val="00A70F83"/>
    <w:rsid w:val="00A70F9C"/>
    <w:rsid w:val="00A71066"/>
    <w:rsid w:val="00A71103"/>
    <w:rsid w:val="00A71149"/>
    <w:rsid w:val="00A712F3"/>
    <w:rsid w:val="00A71396"/>
    <w:rsid w:val="00A713AE"/>
    <w:rsid w:val="00A713EF"/>
    <w:rsid w:val="00A71489"/>
    <w:rsid w:val="00A714B8"/>
    <w:rsid w:val="00A714DC"/>
    <w:rsid w:val="00A71595"/>
    <w:rsid w:val="00A715A3"/>
    <w:rsid w:val="00A715EB"/>
    <w:rsid w:val="00A71613"/>
    <w:rsid w:val="00A7166C"/>
    <w:rsid w:val="00A71690"/>
    <w:rsid w:val="00A71699"/>
    <w:rsid w:val="00A716A9"/>
    <w:rsid w:val="00A71712"/>
    <w:rsid w:val="00A717B8"/>
    <w:rsid w:val="00A717BD"/>
    <w:rsid w:val="00A7185F"/>
    <w:rsid w:val="00A71908"/>
    <w:rsid w:val="00A7191A"/>
    <w:rsid w:val="00A7193C"/>
    <w:rsid w:val="00A71960"/>
    <w:rsid w:val="00A7197A"/>
    <w:rsid w:val="00A71A25"/>
    <w:rsid w:val="00A71A4F"/>
    <w:rsid w:val="00A71A59"/>
    <w:rsid w:val="00A71ACE"/>
    <w:rsid w:val="00A71AD5"/>
    <w:rsid w:val="00A71B3B"/>
    <w:rsid w:val="00A71B4D"/>
    <w:rsid w:val="00A71BAC"/>
    <w:rsid w:val="00A71BD5"/>
    <w:rsid w:val="00A71C33"/>
    <w:rsid w:val="00A71C4B"/>
    <w:rsid w:val="00A71CA7"/>
    <w:rsid w:val="00A71D67"/>
    <w:rsid w:val="00A71DAF"/>
    <w:rsid w:val="00A71DEB"/>
    <w:rsid w:val="00A71E50"/>
    <w:rsid w:val="00A71F26"/>
    <w:rsid w:val="00A71FA6"/>
    <w:rsid w:val="00A71FAB"/>
    <w:rsid w:val="00A71FCB"/>
    <w:rsid w:val="00A7213C"/>
    <w:rsid w:val="00A7213E"/>
    <w:rsid w:val="00A721C3"/>
    <w:rsid w:val="00A7225B"/>
    <w:rsid w:val="00A722A0"/>
    <w:rsid w:val="00A7232D"/>
    <w:rsid w:val="00A72448"/>
    <w:rsid w:val="00A7244B"/>
    <w:rsid w:val="00A7245A"/>
    <w:rsid w:val="00A72582"/>
    <w:rsid w:val="00A7263E"/>
    <w:rsid w:val="00A72659"/>
    <w:rsid w:val="00A726E6"/>
    <w:rsid w:val="00A72731"/>
    <w:rsid w:val="00A72739"/>
    <w:rsid w:val="00A7276C"/>
    <w:rsid w:val="00A728DA"/>
    <w:rsid w:val="00A729F8"/>
    <w:rsid w:val="00A72B05"/>
    <w:rsid w:val="00A72B80"/>
    <w:rsid w:val="00A72BB6"/>
    <w:rsid w:val="00A72BD5"/>
    <w:rsid w:val="00A72BE2"/>
    <w:rsid w:val="00A72C90"/>
    <w:rsid w:val="00A72D67"/>
    <w:rsid w:val="00A72D75"/>
    <w:rsid w:val="00A72D88"/>
    <w:rsid w:val="00A72E44"/>
    <w:rsid w:val="00A72E45"/>
    <w:rsid w:val="00A72E92"/>
    <w:rsid w:val="00A72EA7"/>
    <w:rsid w:val="00A72EB4"/>
    <w:rsid w:val="00A72F7F"/>
    <w:rsid w:val="00A72FDD"/>
    <w:rsid w:val="00A72FFC"/>
    <w:rsid w:val="00A7305A"/>
    <w:rsid w:val="00A73069"/>
    <w:rsid w:val="00A73093"/>
    <w:rsid w:val="00A730A2"/>
    <w:rsid w:val="00A730D0"/>
    <w:rsid w:val="00A73184"/>
    <w:rsid w:val="00A731A7"/>
    <w:rsid w:val="00A731A8"/>
    <w:rsid w:val="00A731DF"/>
    <w:rsid w:val="00A73297"/>
    <w:rsid w:val="00A7332F"/>
    <w:rsid w:val="00A73348"/>
    <w:rsid w:val="00A7337D"/>
    <w:rsid w:val="00A73380"/>
    <w:rsid w:val="00A73388"/>
    <w:rsid w:val="00A73445"/>
    <w:rsid w:val="00A7345F"/>
    <w:rsid w:val="00A734B9"/>
    <w:rsid w:val="00A734FF"/>
    <w:rsid w:val="00A7356C"/>
    <w:rsid w:val="00A7357A"/>
    <w:rsid w:val="00A735B4"/>
    <w:rsid w:val="00A735CD"/>
    <w:rsid w:val="00A73616"/>
    <w:rsid w:val="00A736A1"/>
    <w:rsid w:val="00A736A2"/>
    <w:rsid w:val="00A736B9"/>
    <w:rsid w:val="00A736C5"/>
    <w:rsid w:val="00A736C6"/>
    <w:rsid w:val="00A736EF"/>
    <w:rsid w:val="00A73752"/>
    <w:rsid w:val="00A7377E"/>
    <w:rsid w:val="00A73861"/>
    <w:rsid w:val="00A73862"/>
    <w:rsid w:val="00A7386C"/>
    <w:rsid w:val="00A7388D"/>
    <w:rsid w:val="00A73937"/>
    <w:rsid w:val="00A7394A"/>
    <w:rsid w:val="00A739CE"/>
    <w:rsid w:val="00A739DA"/>
    <w:rsid w:val="00A73A00"/>
    <w:rsid w:val="00A73A09"/>
    <w:rsid w:val="00A73A83"/>
    <w:rsid w:val="00A73A92"/>
    <w:rsid w:val="00A73ACC"/>
    <w:rsid w:val="00A73B44"/>
    <w:rsid w:val="00A73B5E"/>
    <w:rsid w:val="00A73C4F"/>
    <w:rsid w:val="00A73C6A"/>
    <w:rsid w:val="00A73C95"/>
    <w:rsid w:val="00A73CF7"/>
    <w:rsid w:val="00A73D81"/>
    <w:rsid w:val="00A73DE1"/>
    <w:rsid w:val="00A73DF3"/>
    <w:rsid w:val="00A73E48"/>
    <w:rsid w:val="00A73F11"/>
    <w:rsid w:val="00A740A0"/>
    <w:rsid w:val="00A740A5"/>
    <w:rsid w:val="00A74114"/>
    <w:rsid w:val="00A74160"/>
    <w:rsid w:val="00A74182"/>
    <w:rsid w:val="00A7420F"/>
    <w:rsid w:val="00A74285"/>
    <w:rsid w:val="00A7433D"/>
    <w:rsid w:val="00A74340"/>
    <w:rsid w:val="00A743D7"/>
    <w:rsid w:val="00A74487"/>
    <w:rsid w:val="00A744D7"/>
    <w:rsid w:val="00A744F1"/>
    <w:rsid w:val="00A7450C"/>
    <w:rsid w:val="00A74534"/>
    <w:rsid w:val="00A745DD"/>
    <w:rsid w:val="00A7467D"/>
    <w:rsid w:val="00A7468E"/>
    <w:rsid w:val="00A746A8"/>
    <w:rsid w:val="00A746AB"/>
    <w:rsid w:val="00A74702"/>
    <w:rsid w:val="00A74719"/>
    <w:rsid w:val="00A74755"/>
    <w:rsid w:val="00A74762"/>
    <w:rsid w:val="00A747E1"/>
    <w:rsid w:val="00A7482B"/>
    <w:rsid w:val="00A7484A"/>
    <w:rsid w:val="00A74892"/>
    <w:rsid w:val="00A748D4"/>
    <w:rsid w:val="00A74962"/>
    <w:rsid w:val="00A7499C"/>
    <w:rsid w:val="00A74A47"/>
    <w:rsid w:val="00A74C53"/>
    <w:rsid w:val="00A74C80"/>
    <w:rsid w:val="00A74C95"/>
    <w:rsid w:val="00A74C9A"/>
    <w:rsid w:val="00A74DAE"/>
    <w:rsid w:val="00A74DB3"/>
    <w:rsid w:val="00A74DDC"/>
    <w:rsid w:val="00A74E0E"/>
    <w:rsid w:val="00A74ECE"/>
    <w:rsid w:val="00A750B4"/>
    <w:rsid w:val="00A750BD"/>
    <w:rsid w:val="00A7514E"/>
    <w:rsid w:val="00A751E3"/>
    <w:rsid w:val="00A7521C"/>
    <w:rsid w:val="00A75363"/>
    <w:rsid w:val="00A75400"/>
    <w:rsid w:val="00A75469"/>
    <w:rsid w:val="00A7549B"/>
    <w:rsid w:val="00A754A1"/>
    <w:rsid w:val="00A755F8"/>
    <w:rsid w:val="00A75607"/>
    <w:rsid w:val="00A75609"/>
    <w:rsid w:val="00A75658"/>
    <w:rsid w:val="00A7567C"/>
    <w:rsid w:val="00A756F3"/>
    <w:rsid w:val="00A7572E"/>
    <w:rsid w:val="00A75783"/>
    <w:rsid w:val="00A75852"/>
    <w:rsid w:val="00A758C3"/>
    <w:rsid w:val="00A759B1"/>
    <w:rsid w:val="00A75AC3"/>
    <w:rsid w:val="00A75B35"/>
    <w:rsid w:val="00A75B8A"/>
    <w:rsid w:val="00A75B9F"/>
    <w:rsid w:val="00A75C33"/>
    <w:rsid w:val="00A75C3C"/>
    <w:rsid w:val="00A75CBE"/>
    <w:rsid w:val="00A75CD8"/>
    <w:rsid w:val="00A75CEE"/>
    <w:rsid w:val="00A75D11"/>
    <w:rsid w:val="00A75D6A"/>
    <w:rsid w:val="00A75D6C"/>
    <w:rsid w:val="00A75E69"/>
    <w:rsid w:val="00A75E83"/>
    <w:rsid w:val="00A75F5D"/>
    <w:rsid w:val="00A75FB0"/>
    <w:rsid w:val="00A75FEE"/>
    <w:rsid w:val="00A75FF2"/>
    <w:rsid w:val="00A75FF3"/>
    <w:rsid w:val="00A76026"/>
    <w:rsid w:val="00A76258"/>
    <w:rsid w:val="00A762A3"/>
    <w:rsid w:val="00A76326"/>
    <w:rsid w:val="00A76335"/>
    <w:rsid w:val="00A763AB"/>
    <w:rsid w:val="00A763F9"/>
    <w:rsid w:val="00A764E8"/>
    <w:rsid w:val="00A76500"/>
    <w:rsid w:val="00A7653F"/>
    <w:rsid w:val="00A76556"/>
    <w:rsid w:val="00A76585"/>
    <w:rsid w:val="00A765C5"/>
    <w:rsid w:val="00A765F1"/>
    <w:rsid w:val="00A76711"/>
    <w:rsid w:val="00A767EE"/>
    <w:rsid w:val="00A767FF"/>
    <w:rsid w:val="00A7687A"/>
    <w:rsid w:val="00A768AA"/>
    <w:rsid w:val="00A76959"/>
    <w:rsid w:val="00A769BB"/>
    <w:rsid w:val="00A76A0E"/>
    <w:rsid w:val="00A76A89"/>
    <w:rsid w:val="00A76ABD"/>
    <w:rsid w:val="00A76BA0"/>
    <w:rsid w:val="00A76D00"/>
    <w:rsid w:val="00A76D46"/>
    <w:rsid w:val="00A76D5A"/>
    <w:rsid w:val="00A76D74"/>
    <w:rsid w:val="00A76E1B"/>
    <w:rsid w:val="00A76E3A"/>
    <w:rsid w:val="00A76ECD"/>
    <w:rsid w:val="00A76EF6"/>
    <w:rsid w:val="00A76F9B"/>
    <w:rsid w:val="00A76FBC"/>
    <w:rsid w:val="00A7702F"/>
    <w:rsid w:val="00A77131"/>
    <w:rsid w:val="00A77297"/>
    <w:rsid w:val="00A7729C"/>
    <w:rsid w:val="00A772CF"/>
    <w:rsid w:val="00A772DA"/>
    <w:rsid w:val="00A7730C"/>
    <w:rsid w:val="00A77332"/>
    <w:rsid w:val="00A773BE"/>
    <w:rsid w:val="00A77410"/>
    <w:rsid w:val="00A7746E"/>
    <w:rsid w:val="00A7747A"/>
    <w:rsid w:val="00A77484"/>
    <w:rsid w:val="00A77490"/>
    <w:rsid w:val="00A774E2"/>
    <w:rsid w:val="00A776B3"/>
    <w:rsid w:val="00A776D5"/>
    <w:rsid w:val="00A776D9"/>
    <w:rsid w:val="00A7770A"/>
    <w:rsid w:val="00A77729"/>
    <w:rsid w:val="00A777BE"/>
    <w:rsid w:val="00A778B9"/>
    <w:rsid w:val="00A778F0"/>
    <w:rsid w:val="00A77A48"/>
    <w:rsid w:val="00A77A5E"/>
    <w:rsid w:val="00A77B61"/>
    <w:rsid w:val="00A77B8B"/>
    <w:rsid w:val="00A77C63"/>
    <w:rsid w:val="00A77C64"/>
    <w:rsid w:val="00A77C70"/>
    <w:rsid w:val="00A77C92"/>
    <w:rsid w:val="00A77CBD"/>
    <w:rsid w:val="00A77CE6"/>
    <w:rsid w:val="00A77D3D"/>
    <w:rsid w:val="00A77D93"/>
    <w:rsid w:val="00A77E5F"/>
    <w:rsid w:val="00A77E71"/>
    <w:rsid w:val="00A77F6C"/>
    <w:rsid w:val="00A77F99"/>
    <w:rsid w:val="00A80027"/>
    <w:rsid w:val="00A80069"/>
    <w:rsid w:val="00A800D6"/>
    <w:rsid w:val="00A80105"/>
    <w:rsid w:val="00A8019B"/>
    <w:rsid w:val="00A8019F"/>
    <w:rsid w:val="00A80245"/>
    <w:rsid w:val="00A802BF"/>
    <w:rsid w:val="00A802DA"/>
    <w:rsid w:val="00A802F2"/>
    <w:rsid w:val="00A80351"/>
    <w:rsid w:val="00A803D6"/>
    <w:rsid w:val="00A803F2"/>
    <w:rsid w:val="00A804AB"/>
    <w:rsid w:val="00A8068D"/>
    <w:rsid w:val="00A806B9"/>
    <w:rsid w:val="00A806DC"/>
    <w:rsid w:val="00A8073D"/>
    <w:rsid w:val="00A80752"/>
    <w:rsid w:val="00A8075D"/>
    <w:rsid w:val="00A80760"/>
    <w:rsid w:val="00A8077D"/>
    <w:rsid w:val="00A807B4"/>
    <w:rsid w:val="00A80805"/>
    <w:rsid w:val="00A8082C"/>
    <w:rsid w:val="00A8083F"/>
    <w:rsid w:val="00A80950"/>
    <w:rsid w:val="00A8096B"/>
    <w:rsid w:val="00A80998"/>
    <w:rsid w:val="00A8099F"/>
    <w:rsid w:val="00A809C2"/>
    <w:rsid w:val="00A80A64"/>
    <w:rsid w:val="00A80B33"/>
    <w:rsid w:val="00A80B8A"/>
    <w:rsid w:val="00A80BD7"/>
    <w:rsid w:val="00A80C14"/>
    <w:rsid w:val="00A80CF9"/>
    <w:rsid w:val="00A80DF4"/>
    <w:rsid w:val="00A80EC8"/>
    <w:rsid w:val="00A80ED2"/>
    <w:rsid w:val="00A80F93"/>
    <w:rsid w:val="00A8105B"/>
    <w:rsid w:val="00A8121A"/>
    <w:rsid w:val="00A8126F"/>
    <w:rsid w:val="00A81279"/>
    <w:rsid w:val="00A812A7"/>
    <w:rsid w:val="00A812D6"/>
    <w:rsid w:val="00A812F2"/>
    <w:rsid w:val="00A8136B"/>
    <w:rsid w:val="00A8141B"/>
    <w:rsid w:val="00A81490"/>
    <w:rsid w:val="00A81491"/>
    <w:rsid w:val="00A814A8"/>
    <w:rsid w:val="00A81627"/>
    <w:rsid w:val="00A81696"/>
    <w:rsid w:val="00A816B4"/>
    <w:rsid w:val="00A816C4"/>
    <w:rsid w:val="00A816CE"/>
    <w:rsid w:val="00A817CC"/>
    <w:rsid w:val="00A81842"/>
    <w:rsid w:val="00A81846"/>
    <w:rsid w:val="00A81892"/>
    <w:rsid w:val="00A818F4"/>
    <w:rsid w:val="00A81907"/>
    <w:rsid w:val="00A8190E"/>
    <w:rsid w:val="00A81A02"/>
    <w:rsid w:val="00A81A1F"/>
    <w:rsid w:val="00A81AC8"/>
    <w:rsid w:val="00A81AED"/>
    <w:rsid w:val="00A81D5C"/>
    <w:rsid w:val="00A81D67"/>
    <w:rsid w:val="00A81D81"/>
    <w:rsid w:val="00A81DE0"/>
    <w:rsid w:val="00A81E5A"/>
    <w:rsid w:val="00A81E65"/>
    <w:rsid w:val="00A81EF3"/>
    <w:rsid w:val="00A81FD6"/>
    <w:rsid w:val="00A82006"/>
    <w:rsid w:val="00A82062"/>
    <w:rsid w:val="00A8207C"/>
    <w:rsid w:val="00A820F6"/>
    <w:rsid w:val="00A82103"/>
    <w:rsid w:val="00A821DE"/>
    <w:rsid w:val="00A821EE"/>
    <w:rsid w:val="00A821F5"/>
    <w:rsid w:val="00A82205"/>
    <w:rsid w:val="00A8221D"/>
    <w:rsid w:val="00A8224D"/>
    <w:rsid w:val="00A822C8"/>
    <w:rsid w:val="00A82416"/>
    <w:rsid w:val="00A82423"/>
    <w:rsid w:val="00A8254A"/>
    <w:rsid w:val="00A8254C"/>
    <w:rsid w:val="00A825A7"/>
    <w:rsid w:val="00A825BC"/>
    <w:rsid w:val="00A825C6"/>
    <w:rsid w:val="00A82670"/>
    <w:rsid w:val="00A826A6"/>
    <w:rsid w:val="00A827C3"/>
    <w:rsid w:val="00A827FC"/>
    <w:rsid w:val="00A82861"/>
    <w:rsid w:val="00A828BA"/>
    <w:rsid w:val="00A828FB"/>
    <w:rsid w:val="00A82929"/>
    <w:rsid w:val="00A8292E"/>
    <w:rsid w:val="00A82990"/>
    <w:rsid w:val="00A829C1"/>
    <w:rsid w:val="00A82A06"/>
    <w:rsid w:val="00A82A0F"/>
    <w:rsid w:val="00A82A84"/>
    <w:rsid w:val="00A82BFA"/>
    <w:rsid w:val="00A82C92"/>
    <w:rsid w:val="00A82CE1"/>
    <w:rsid w:val="00A82D62"/>
    <w:rsid w:val="00A82D70"/>
    <w:rsid w:val="00A82DDD"/>
    <w:rsid w:val="00A82E32"/>
    <w:rsid w:val="00A82E48"/>
    <w:rsid w:val="00A82EB5"/>
    <w:rsid w:val="00A82F0C"/>
    <w:rsid w:val="00A82F28"/>
    <w:rsid w:val="00A82F54"/>
    <w:rsid w:val="00A83040"/>
    <w:rsid w:val="00A83042"/>
    <w:rsid w:val="00A830B4"/>
    <w:rsid w:val="00A830F4"/>
    <w:rsid w:val="00A831C2"/>
    <w:rsid w:val="00A83234"/>
    <w:rsid w:val="00A832AD"/>
    <w:rsid w:val="00A832F5"/>
    <w:rsid w:val="00A832FB"/>
    <w:rsid w:val="00A8338C"/>
    <w:rsid w:val="00A834A3"/>
    <w:rsid w:val="00A83571"/>
    <w:rsid w:val="00A835BA"/>
    <w:rsid w:val="00A83615"/>
    <w:rsid w:val="00A8367F"/>
    <w:rsid w:val="00A837A1"/>
    <w:rsid w:val="00A83869"/>
    <w:rsid w:val="00A8396E"/>
    <w:rsid w:val="00A83994"/>
    <w:rsid w:val="00A839B6"/>
    <w:rsid w:val="00A839D5"/>
    <w:rsid w:val="00A83A61"/>
    <w:rsid w:val="00A83B22"/>
    <w:rsid w:val="00A83B64"/>
    <w:rsid w:val="00A83B80"/>
    <w:rsid w:val="00A83C06"/>
    <w:rsid w:val="00A83C09"/>
    <w:rsid w:val="00A83C35"/>
    <w:rsid w:val="00A83C6D"/>
    <w:rsid w:val="00A83D9C"/>
    <w:rsid w:val="00A83E11"/>
    <w:rsid w:val="00A83E38"/>
    <w:rsid w:val="00A83EC7"/>
    <w:rsid w:val="00A83EEE"/>
    <w:rsid w:val="00A83F96"/>
    <w:rsid w:val="00A83FAC"/>
    <w:rsid w:val="00A83FD9"/>
    <w:rsid w:val="00A8401A"/>
    <w:rsid w:val="00A840A8"/>
    <w:rsid w:val="00A840AC"/>
    <w:rsid w:val="00A84161"/>
    <w:rsid w:val="00A84178"/>
    <w:rsid w:val="00A84197"/>
    <w:rsid w:val="00A841CF"/>
    <w:rsid w:val="00A841F2"/>
    <w:rsid w:val="00A842A9"/>
    <w:rsid w:val="00A842AA"/>
    <w:rsid w:val="00A842DC"/>
    <w:rsid w:val="00A8431C"/>
    <w:rsid w:val="00A84324"/>
    <w:rsid w:val="00A8433C"/>
    <w:rsid w:val="00A8434B"/>
    <w:rsid w:val="00A843A2"/>
    <w:rsid w:val="00A844AB"/>
    <w:rsid w:val="00A844D5"/>
    <w:rsid w:val="00A845A3"/>
    <w:rsid w:val="00A845DF"/>
    <w:rsid w:val="00A846EC"/>
    <w:rsid w:val="00A84854"/>
    <w:rsid w:val="00A848C7"/>
    <w:rsid w:val="00A8492D"/>
    <w:rsid w:val="00A84944"/>
    <w:rsid w:val="00A8499D"/>
    <w:rsid w:val="00A84A33"/>
    <w:rsid w:val="00A84A86"/>
    <w:rsid w:val="00A84AD8"/>
    <w:rsid w:val="00A84AE9"/>
    <w:rsid w:val="00A84B6A"/>
    <w:rsid w:val="00A84C1B"/>
    <w:rsid w:val="00A84C2A"/>
    <w:rsid w:val="00A84C4A"/>
    <w:rsid w:val="00A84CE2"/>
    <w:rsid w:val="00A84D7C"/>
    <w:rsid w:val="00A84E39"/>
    <w:rsid w:val="00A84E5E"/>
    <w:rsid w:val="00A84EA1"/>
    <w:rsid w:val="00A84EA2"/>
    <w:rsid w:val="00A84EA8"/>
    <w:rsid w:val="00A84EE2"/>
    <w:rsid w:val="00A84F0C"/>
    <w:rsid w:val="00A84F50"/>
    <w:rsid w:val="00A84F65"/>
    <w:rsid w:val="00A84FAB"/>
    <w:rsid w:val="00A84FBC"/>
    <w:rsid w:val="00A84FCC"/>
    <w:rsid w:val="00A8507E"/>
    <w:rsid w:val="00A8517A"/>
    <w:rsid w:val="00A851A1"/>
    <w:rsid w:val="00A851B7"/>
    <w:rsid w:val="00A851E5"/>
    <w:rsid w:val="00A85266"/>
    <w:rsid w:val="00A8534A"/>
    <w:rsid w:val="00A85391"/>
    <w:rsid w:val="00A853BF"/>
    <w:rsid w:val="00A853F6"/>
    <w:rsid w:val="00A85538"/>
    <w:rsid w:val="00A85593"/>
    <w:rsid w:val="00A85614"/>
    <w:rsid w:val="00A85650"/>
    <w:rsid w:val="00A856B8"/>
    <w:rsid w:val="00A856CE"/>
    <w:rsid w:val="00A85719"/>
    <w:rsid w:val="00A857A3"/>
    <w:rsid w:val="00A857B4"/>
    <w:rsid w:val="00A85A45"/>
    <w:rsid w:val="00A85A4D"/>
    <w:rsid w:val="00A85A86"/>
    <w:rsid w:val="00A85B14"/>
    <w:rsid w:val="00A85BA5"/>
    <w:rsid w:val="00A85C33"/>
    <w:rsid w:val="00A85C60"/>
    <w:rsid w:val="00A85C70"/>
    <w:rsid w:val="00A85CA3"/>
    <w:rsid w:val="00A85CD1"/>
    <w:rsid w:val="00A85CF5"/>
    <w:rsid w:val="00A85D31"/>
    <w:rsid w:val="00A85D43"/>
    <w:rsid w:val="00A85D97"/>
    <w:rsid w:val="00A85E52"/>
    <w:rsid w:val="00A85F0D"/>
    <w:rsid w:val="00A85F4D"/>
    <w:rsid w:val="00A85FF9"/>
    <w:rsid w:val="00A8600D"/>
    <w:rsid w:val="00A8601F"/>
    <w:rsid w:val="00A8609D"/>
    <w:rsid w:val="00A860B7"/>
    <w:rsid w:val="00A860CB"/>
    <w:rsid w:val="00A8612B"/>
    <w:rsid w:val="00A8619B"/>
    <w:rsid w:val="00A861B5"/>
    <w:rsid w:val="00A86320"/>
    <w:rsid w:val="00A86401"/>
    <w:rsid w:val="00A86440"/>
    <w:rsid w:val="00A86485"/>
    <w:rsid w:val="00A86494"/>
    <w:rsid w:val="00A864DC"/>
    <w:rsid w:val="00A8664E"/>
    <w:rsid w:val="00A866D1"/>
    <w:rsid w:val="00A866D5"/>
    <w:rsid w:val="00A86787"/>
    <w:rsid w:val="00A86851"/>
    <w:rsid w:val="00A868C2"/>
    <w:rsid w:val="00A86905"/>
    <w:rsid w:val="00A86965"/>
    <w:rsid w:val="00A869AA"/>
    <w:rsid w:val="00A869AC"/>
    <w:rsid w:val="00A86A0A"/>
    <w:rsid w:val="00A86A88"/>
    <w:rsid w:val="00A86AD3"/>
    <w:rsid w:val="00A86B26"/>
    <w:rsid w:val="00A86B3F"/>
    <w:rsid w:val="00A86B58"/>
    <w:rsid w:val="00A86B5A"/>
    <w:rsid w:val="00A86B7A"/>
    <w:rsid w:val="00A86BBD"/>
    <w:rsid w:val="00A86C2E"/>
    <w:rsid w:val="00A86C9C"/>
    <w:rsid w:val="00A86CE4"/>
    <w:rsid w:val="00A86D14"/>
    <w:rsid w:val="00A86D1B"/>
    <w:rsid w:val="00A86D88"/>
    <w:rsid w:val="00A86D95"/>
    <w:rsid w:val="00A86E42"/>
    <w:rsid w:val="00A86E85"/>
    <w:rsid w:val="00A86F04"/>
    <w:rsid w:val="00A86F39"/>
    <w:rsid w:val="00A86F48"/>
    <w:rsid w:val="00A86F7F"/>
    <w:rsid w:val="00A8704B"/>
    <w:rsid w:val="00A87076"/>
    <w:rsid w:val="00A870E3"/>
    <w:rsid w:val="00A87101"/>
    <w:rsid w:val="00A87176"/>
    <w:rsid w:val="00A87217"/>
    <w:rsid w:val="00A8729A"/>
    <w:rsid w:val="00A872AC"/>
    <w:rsid w:val="00A873E7"/>
    <w:rsid w:val="00A87450"/>
    <w:rsid w:val="00A874D7"/>
    <w:rsid w:val="00A8759D"/>
    <w:rsid w:val="00A875D3"/>
    <w:rsid w:val="00A875F4"/>
    <w:rsid w:val="00A876B6"/>
    <w:rsid w:val="00A876D0"/>
    <w:rsid w:val="00A876EA"/>
    <w:rsid w:val="00A876EC"/>
    <w:rsid w:val="00A87767"/>
    <w:rsid w:val="00A87778"/>
    <w:rsid w:val="00A87790"/>
    <w:rsid w:val="00A87791"/>
    <w:rsid w:val="00A8781E"/>
    <w:rsid w:val="00A878B7"/>
    <w:rsid w:val="00A878F7"/>
    <w:rsid w:val="00A8792D"/>
    <w:rsid w:val="00A87954"/>
    <w:rsid w:val="00A8795B"/>
    <w:rsid w:val="00A87967"/>
    <w:rsid w:val="00A87976"/>
    <w:rsid w:val="00A87997"/>
    <w:rsid w:val="00A87A46"/>
    <w:rsid w:val="00A87A4C"/>
    <w:rsid w:val="00A87A79"/>
    <w:rsid w:val="00A87A89"/>
    <w:rsid w:val="00A87AD3"/>
    <w:rsid w:val="00A87AD4"/>
    <w:rsid w:val="00A87AE5"/>
    <w:rsid w:val="00A87BA3"/>
    <w:rsid w:val="00A87C00"/>
    <w:rsid w:val="00A87C95"/>
    <w:rsid w:val="00A87CC2"/>
    <w:rsid w:val="00A87D21"/>
    <w:rsid w:val="00A87D72"/>
    <w:rsid w:val="00A87DC7"/>
    <w:rsid w:val="00A87DE8"/>
    <w:rsid w:val="00A87E69"/>
    <w:rsid w:val="00A87E86"/>
    <w:rsid w:val="00A87FB8"/>
    <w:rsid w:val="00A87FCC"/>
    <w:rsid w:val="00A87FF8"/>
    <w:rsid w:val="00A90063"/>
    <w:rsid w:val="00A900AA"/>
    <w:rsid w:val="00A900C0"/>
    <w:rsid w:val="00A9013B"/>
    <w:rsid w:val="00A901CE"/>
    <w:rsid w:val="00A901D6"/>
    <w:rsid w:val="00A901E4"/>
    <w:rsid w:val="00A902D3"/>
    <w:rsid w:val="00A90305"/>
    <w:rsid w:val="00A90342"/>
    <w:rsid w:val="00A9035F"/>
    <w:rsid w:val="00A903B5"/>
    <w:rsid w:val="00A903D6"/>
    <w:rsid w:val="00A9045A"/>
    <w:rsid w:val="00A90544"/>
    <w:rsid w:val="00A90546"/>
    <w:rsid w:val="00A905C0"/>
    <w:rsid w:val="00A905FF"/>
    <w:rsid w:val="00A90602"/>
    <w:rsid w:val="00A906BC"/>
    <w:rsid w:val="00A9071F"/>
    <w:rsid w:val="00A90825"/>
    <w:rsid w:val="00A90860"/>
    <w:rsid w:val="00A9086A"/>
    <w:rsid w:val="00A9089E"/>
    <w:rsid w:val="00A90905"/>
    <w:rsid w:val="00A90933"/>
    <w:rsid w:val="00A90960"/>
    <w:rsid w:val="00A90978"/>
    <w:rsid w:val="00A909D1"/>
    <w:rsid w:val="00A90A68"/>
    <w:rsid w:val="00A90A69"/>
    <w:rsid w:val="00A90B81"/>
    <w:rsid w:val="00A90C12"/>
    <w:rsid w:val="00A90C25"/>
    <w:rsid w:val="00A90C34"/>
    <w:rsid w:val="00A90CBF"/>
    <w:rsid w:val="00A90CD7"/>
    <w:rsid w:val="00A90CED"/>
    <w:rsid w:val="00A90D8E"/>
    <w:rsid w:val="00A90EF9"/>
    <w:rsid w:val="00A90F2F"/>
    <w:rsid w:val="00A90FF7"/>
    <w:rsid w:val="00A9113D"/>
    <w:rsid w:val="00A912C5"/>
    <w:rsid w:val="00A91312"/>
    <w:rsid w:val="00A91456"/>
    <w:rsid w:val="00A9146F"/>
    <w:rsid w:val="00A9154F"/>
    <w:rsid w:val="00A915BB"/>
    <w:rsid w:val="00A91605"/>
    <w:rsid w:val="00A91628"/>
    <w:rsid w:val="00A91729"/>
    <w:rsid w:val="00A91825"/>
    <w:rsid w:val="00A91855"/>
    <w:rsid w:val="00A9189E"/>
    <w:rsid w:val="00A91901"/>
    <w:rsid w:val="00A91A19"/>
    <w:rsid w:val="00A91A78"/>
    <w:rsid w:val="00A91AB5"/>
    <w:rsid w:val="00A91B64"/>
    <w:rsid w:val="00A91BCE"/>
    <w:rsid w:val="00A91DC4"/>
    <w:rsid w:val="00A91EB3"/>
    <w:rsid w:val="00A91EBA"/>
    <w:rsid w:val="00A91EE5"/>
    <w:rsid w:val="00A91F25"/>
    <w:rsid w:val="00A91F26"/>
    <w:rsid w:val="00A921CA"/>
    <w:rsid w:val="00A922D6"/>
    <w:rsid w:val="00A92455"/>
    <w:rsid w:val="00A9247C"/>
    <w:rsid w:val="00A9252D"/>
    <w:rsid w:val="00A92595"/>
    <w:rsid w:val="00A925FF"/>
    <w:rsid w:val="00A92629"/>
    <w:rsid w:val="00A926B4"/>
    <w:rsid w:val="00A92769"/>
    <w:rsid w:val="00A927C2"/>
    <w:rsid w:val="00A92801"/>
    <w:rsid w:val="00A92805"/>
    <w:rsid w:val="00A92814"/>
    <w:rsid w:val="00A92841"/>
    <w:rsid w:val="00A92848"/>
    <w:rsid w:val="00A929AC"/>
    <w:rsid w:val="00A92A7A"/>
    <w:rsid w:val="00A92C05"/>
    <w:rsid w:val="00A92C20"/>
    <w:rsid w:val="00A92C60"/>
    <w:rsid w:val="00A92CC7"/>
    <w:rsid w:val="00A92D70"/>
    <w:rsid w:val="00A92DA1"/>
    <w:rsid w:val="00A92DDD"/>
    <w:rsid w:val="00A92E42"/>
    <w:rsid w:val="00A92E77"/>
    <w:rsid w:val="00A92E7D"/>
    <w:rsid w:val="00A92EB2"/>
    <w:rsid w:val="00A92FB5"/>
    <w:rsid w:val="00A92FD2"/>
    <w:rsid w:val="00A930A3"/>
    <w:rsid w:val="00A930C0"/>
    <w:rsid w:val="00A93255"/>
    <w:rsid w:val="00A93350"/>
    <w:rsid w:val="00A9337F"/>
    <w:rsid w:val="00A933FD"/>
    <w:rsid w:val="00A934AE"/>
    <w:rsid w:val="00A934DA"/>
    <w:rsid w:val="00A93575"/>
    <w:rsid w:val="00A9358A"/>
    <w:rsid w:val="00A935A0"/>
    <w:rsid w:val="00A9365B"/>
    <w:rsid w:val="00A9367B"/>
    <w:rsid w:val="00A936A7"/>
    <w:rsid w:val="00A936DC"/>
    <w:rsid w:val="00A936DD"/>
    <w:rsid w:val="00A93709"/>
    <w:rsid w:val="00A9370C"/>
    <w:rsid w:val="00A9373C"/>
    <w:rsid w:val="00A93805"/>
    <w:rsid w:val="00A93885"/>
    <w:rsid w:val="00A938A4"/>
    <w:rsid w:val="00A9395D"/>
    <w:rsid w:val="00A9396A"/>
    <w:rsid w:val="00A939B0"/>
    <w:rsid w:val="00A93B5B"/>
    <w:rsid w:val="00A93B97"/>
    <w:rsid w:val="00A93BA9"/>
    <w:rsid w:val="00A93BF5"/>
    <w:rsid w:val="00A93C4B"/>
    <w:rsid w:val="00A93C52"/>
    <w:rsid w:val="00A93CB3"/>
    <w:rsid w:val="00A93E8F"/>
    <w:rsid w:val="00A94061"/>
    <w:rsid w:val="00A9406A"/>
    <w:rsid w:val="00A940CE"/>
    <w:rsid w:val="00A940FA"/>
    <w:rsid w:val="00A9421A"/>
    <w:rsid w:val="00A94355"/>
    <w:rsid w:val="00A94361"/>
    <w:rsid w:val="00A94363"/>
    <w:rsid w:val="00A94429"/>
    <w:rsid w:val="00A94441"/>
    <w:rsid w:val="00A94443"/>
    <w:rsid w:val="00A9449E"/>
    <w:rsid w:val="00A94505"/>
    <w:rsid w:val="00A94512"/>
    <w:rsid w:val="00A94571"/>
    <w:rsid w:val="00A94599"/>
    <w:rsid w:val="00A945C9"/>
    <w:rsid w:val="00A945F3"/>
    <w:rsid w:val="00A94644"/>
    <w:rsid w:val="00A94699"/>
    <w:rsid w:val="00A946D0"/>
    <w:rsid w:val="00A94736"/>
    <w:rsid w:val="00A94795"/>
    <w:rsid w:val="00A947C7"/>
    <w:rsid w:val="00A948B2"/>
    <w:rsid w:val="00A948E4"/>
    <w:rsid w:val="00A9498A"/>
    <w:rsid w:val="00A949D5"/>
    <w:rsid w:val="00A94A71"/>
    <w:rsid w:val="00A94AE8"/>
    <w:rsid w:val="00A94AF0"/>
    <w:rsid w:val="00A94B4E"/>
    <w:rsid w:val="00A94D16"/>
    <w:rsid w:val="00A94D29"/>
    <w:rsid w:val="00A94DD0"/>
    <w:rsid w:val="00A94E43"/>
    <w:rsid w:val="00A94E5C"/>
    <w:rsid w:val="00A94E87"/>
    <w:rsid w:val="00A94E94"/>
    <w:rsid w:val="00A94F1C"/>
    <w:rsid w:val="00A9517D"/>
    <w:rsid w:val="00A951A1"/>
    <w:rsid w:val="00A951A8"/>
    <w:rsid w:val="00A951B9"/>
    <w:rsid w:val="00A951DD"/>
    <w:rsid w:val="00A951F1"/>
    <w:rsid w:val="00A95242"/>
    <w:rsid w:val="00A952A3"/>
    <w:rsid w:val="00A952EF"/>
    <w:rsid w:val="00A9541B"/>
    <w:rsid w:val="00A954E6"/>
    <w:rsid w:val="00A95571"/>
    <w:rsid w:val="00A9558D"/>
    <w:rsid w:val="00A955C0"/>
    <w:rsid w:val="00A955CB"/>
    <w:rsid w:val="00A95627"/>
    <w:rsid w:val="00A956A1"/>
    <w:rsid w:val="00A9578C"/>
    <w:rsid w:val="00A9582C"/>
    <w:rsid w:val="00A95848"/>
    <w:rsid w:val="00A95873"/>
    <w:rsid w:val="00A958BC"/>
    <w:rsid w:val="00A9590B"/>
    <w:rsid w:val="00A9593C"/>
    <w:rsid w:val="00A959FD"/>
    <w:rsid w:val="00A95ABB"/>
    <w:rsid w:val="00A95AE1"/>
    <w:rsid w:val="00A95AFC"/>
    <w:rsid w:val="00A95AFD"/>
    <w:rsid w:val="00A95B0B"/>
    <w:rsid w:val="00A95B74"/>
    <w:rsid w:val="00A95C12"/>
    <w:rsid w:val="00A95CC2"/>
    <w:rsid w:val="00A95D1B"/>
    <w:rsid w:val="00A95D2A"/>
    <w:rsid w:val="00A95DEC"/>
    <w:rsid w:val="00A95E4F"/>
    <w:rsid w:val="00A95E80"/>
    <w:rsid w:val="00A95EEB"/>
    <w:rsid w:val="00A95F22"/>
    <w:rsid w:val="00A95F5E"/>
    <w:rsid w:val="00A960D6"/>
    <w:rsid w:val="00A96175"/>
    <w:rsid w:val="00A96182"/>
    <w:rsid w:val="00A9619B"/>
    <w:rsid w:val="00A961BC"/>
    <w:rsid w:val="00A96331"/>
    <w:rsid w:val="00A963FD"/>
    <w:rsid w:val="00A96495"/>
    <w:rsid w:val="00A964EB"/>
    <w:rsid w:val="00A964F3"/>
    <w:rsid w:val="00A96561"/>
    <w:rsid w:val="00A96624"/>
    <w:rsid w:val="00A966C2"/>
    <w:rsid w:val="00A966EC"/>
    <w:rsid w:val="00A96741"/>
    <w:rsid w:val="00A9677D"/>
    <w:rsid w:val="00A96828"/>
    <w:rsid w:val="00A96874"/>
    <w:rsid w:val="00A968A5"/>
    <w:rsid w:val="00A968D1"/>
    <w:rsid w:val="00A968ED"/>
    <w:rsid w:val="00A968F3"/>
    <w:rsid w:val="00A96932"/>
    <w:rsid w:val="00A969EC"/>
    <w:rsid w:val="00A96A2B"/>
    <w:rsid w:val="00A96B74"/>
    <w:rsid w:val="00A96B7C"/>
    <w:rsid w:val="00A96BAD"/>
    <w:rsid w:val="00A96BC0"/>
    <w:rsid w:val="00A96C08"/>
    <w:rsid w:val="00A96C8E"/>
    <w:rsid w:val="00A96CAF"/>
    <w:rsid w:val="00A96CD5"/>
    <w:rsid w:val="00A96D1B"/>
    <w:rsid w:val="00A96D4C"/>
    <w:rsid w:val="00A96E83"/>
    <w:rsid w:val="00A96E90"/>
    <w:rsid w:val="00A96F11"/>
    <w:rsid w:val="00A96F16"/>
    <w:rsid w:val="00A96F37"/>
    <w:rsid w:val="00A96FD6"/>
    <w:rsid w:val="00A96FF1"/>
    <w:rsid w:val="00A97202"/>
    <w:rsid w:val="00A97204"/>
    <w:rsid w:val="00A972D8"/>
    <w:rsid w:val="00A9734F"/>
    <w:rsid w:val="00A97360"/>
    <w:rsid w:val="00A97403"/>
    <w:rsid w:val="00A97422"/>
    <w:rsid w:val="00A9744A"/>
    <w:rsid w:val="00A9744E"/>
    <w:rsid w:val="00A9748D"/>
    <w:rsid w:val="00A9749A"/>
    <w:rsid w:val="00A974D5"/>
    <w:rsid w:val="00A97555"/>
    <w:rsid w:val="00A975C9"/>
    <w:rsid w:val="00A976B4"/>
    <w:rsid w:val="00A976CE"/>
    <w:rsid w:val="00A976FC"/>
    <w:rsid w:val="00A977CE"/>
    <w:rsid w:val="00A9782B"/>
    <w:rsid w:val="00A978E8"/>
    <w:rsid w:val="00A978EF"/>
    <w:rsid w:val="00A9799A"/>
    <w:rsid w:val="00A979AF"/>
    <w:rsid w:val="00A97A95"/>
    <w:rsid w:val="00A97AE2"/>
    <w:rsid w:val="00A97B9D"/>
    <w:rsid w:val="00A97B9F"/>
    <w:rsid w:val="00A97BF9"/>
    <w:rsid w:val="00A97C89"/>
    <w:rsid w:val="00A97D88"/>
    <w:rsid w:val="00A97DFE"/>
    <w:rsid w:val="00A97E43"/>
    <w:rsid w:val="00A97E7B"/>
    <w:rsid w:val="00A97F3A"/>
    <w:rsid w:val="00A97FA8"/>
    <w:rsid w:val="00AA0126"/>
    <w:rsid w:val="00AA015C"/>
    <w:rsid w:val="00AA01A8"/>
    <w:rsid w:val="00AA01F5"/>
    <w:rsid w:val="00AA02B0"/>
    <w:rsid w:val="00AA0344"/>
    <w:rsid w:val="00AA0442"/>
    <w:rsid w:val="00AA047E"/>
    <w:rsid w:val="00AA049E"/>
    <w:rsid w:val="00AA058F"/>
    <w:rsid w:val="00AA05A3"/>
    <w:rsid w:val="00AA05AF"/>
    <w:rsid w:val="00AA05D2"/>
    <w:rsid w:val="00AA0636"/>
    <w:rsid w:val="00AA0647"/>
    <w:rsid w:val="00AA07D5"/>
    <w:rsid w:val="00AA08AB"/>
    <w:rsid w:val="00AA0948"/>
    <w:rsid w:val="00AA0ACD"/>
    <w:rsid w:val="00AA0B0F"/>
    <w:rsid w:val="00AA0D13"/>
    <w:rsid w:val="00AA0D3B"/>
    <w:rsid w:val="00AA0D46"/>
    <w:rsid w:val="00AA0DED"/>
    <w:rsid w:val="00AA0F26"/>
    <w:rsid w:val="00AA0FB3"/>
    <w:rsid w:val="00AA0FEE"/>
    <w:rsid w:val="00AA1060"/>
    <w:rsid w:val="00AA10AF"/>
    <w:rsid w:val="00AA10B4"/>
    <w:rsid w:val="00AA1137"/>
    <w:rsid w:val="00AA11AF"/>
    <w:rsid w:val="00AA1200"/>
    <w:rsid w:val="00AA1207"/>
    <w:rsid w:val="00AA120F"/>
    <w:rsid w:val="00AA1275"/>
    <w:rsid w:val="00AA12C5"/>
    <w:rsid w:val="00AA1439"/>
    <w:rsid w:val="00AA145C"/>
    <w:rsid w:val="00AA149C"/>
    <w:rsid w:val="00AA1565"/>
    <w:rsid w:val="00AA1591"/>
    <w:rsid w:val="00AA15DC"/>
    <w:rsid w:val="00AA1610"/>
    <w:rsid w:val="00AA1666"/>
    <w:rsid w:val="00AA16C6"/>
    <w:rsid w:val="00AA1716"/>
    <w:rsid w:val="00AA172F"/>
    <w:rsid w:val="00AA1738"/>
    <w:rsid w:val="00AA1782"/>
    <w:rsid w:val="00AA17A3"/>
    <w:rsid w:val="00AA17DC"/>
    <w:rsid w:val="00AA18D1"/>
    <w:rsid w:val="00AA19F6"/>
    <w:rsid w:val="00AA1A06"/>
    <w:rsid w:val="00AA1A79"/>
    <w:rsid w:val="00AA1A9C"/>
    <w:rsid w:val="00AA1A9E"/>
    <w:rsid w:val="00AA1B17"/>
    <w:rsid w:val="00AA1BBD"/>
    <w:rsid w:val="00AA1BEA"/>
    <w:rsid w:val="00AA1C78"/>
    <w:rsid w:val="00AA1CA1"/>
    <w:rsid w:val="00AA1CE0"/>
    <w:rsid w:val="00AA1CF8"/>
    <w:rsid w:val="00AA1D12"/>
    <w:rsid w:val="00AA1D16"/>
    <w:rsid w:val="00AA1D21"/>
    <w:rsid w:val="00AA1D62"/>
    <w:rsid w:val="00AA1D64"/>
    <w:rsid w:val="00AA1D6B"/>
    <w:rsid w:val="00AA1D92"/>
    <w:rsid w:val="00AA1DDE"/>
    <w:rsid w:val="00AA1E0E"/>
    <w:rsid w:val="00AA1E33"/>
    <w:rsid w:val="00AA1E72"/>
    <w:rsid w:val="00AA1ED0"/>
    <w:rsid w:val="00AA1F73"/>
    <w:rsid w:val="00AA1F90"/>
    <w:rsid w:val="00AA205D"/>
    <w:rsid w:val="00AA226C"/>
    <w:rsid w:val="00AA22D7"/>
    <w:rsid w:val="00AA2303"/>
    <w:rsid w:val="00AA2403"/>
    <w:rsid w:val="00AA241D"/>
    <w:rsid w:val="00AA246D"/>
    <w:rsid w:val="00AA248F"/>
    <w:rsid w:val="00AA2514"/>
    <w:rsid w:val="00AA2560"/>
    <w:rsid w:val="00AA25AD"/>
    <w:rsid w:val="00AA25B8"/>
    <w:rsid w:val="00AA26C0"/>
    <w:rsid w:val="00AA270D"/>
    <w:rsid w:val="00AA2785"/>
    <w:rsid w:val="00AA27F1"/>
    <w:rsid w:val="00AA282F"/>
    <w:rsid w:val="00AA2922"/>
    <w:rsid w:val="00AA293F"/>
    <w:rsid w:val="00AA296C"/>
    <w:rsid w:val="00AA297E"/>
    <w:rsid w:val="00AA2A6C"/>
    <w:rsid w:val="00AA2A72"/>
    <w:rsid w:val="00AA2AD1"/>
    <w:rsid w:val="00AA2B81"/>
    <w:rsid w:val="00AA2B96"/>
    <w:rsid w:val="00AA2C8E"/>
    <w:rsid w:val="00AA2C92"/>
    <w:rsid w:val="00AA2D85"/>
    <w:rsid w:val="00AA2DA5"/>
    <w:rsid w:val="00AA2DAB"/>
    <w:rsid w:val="00AA2E92"/>
    <w:rsid w:val="00AA2EB0"/>
    <w:rsid w:val="00AA2EE4"/>
    <w:rsid w:val="00AA2EFC"/>
    <w:rsid w:val="00AA307F"/>
    <w:rsid w:val="00AA30B2"/>
    <w:rsid w:val="00AA30C5"/>
    <w:rsid w:val="00AA3123"/>
    <w:rsid w:val="00AA317F"/>
    <w:rsid w:val="00AA31B0"/>
    <w:rsid w:val="00AA320B"/>
    <w:rsid w:val="00AA3253"/>
    <w:rsid w:val="00AA32AB"/>
    <w:rsid w:val="00AA32E3"/>
    <w:rsid w:val="00AA32E4"/>
    <w:rsid w:val="00AA332D"/>
    <w:rsid w:val="00AA336F"/>
    <w:rsid w:val="00AA3385"/>
    <w:rsid w:val="00AA346C"/>
    <w:rsid w:val="00AA34CF"/>
    <w:rsid w:val="00AA34E5"/>
    <w:rsid w:val="00AA3581"/>
    <w:rsid w:val="00AA359F"/>
    <w:rsid w:val="00AA35C3"/>
    <w:rsid w:val="00AA360A"/>
    <w:rsid w:val="00AA3848"/>
    <w:rsid w:val="00AA384C"/>
    <w:rsid w:val="00AA3871"/>
    <w:rsid w:val="00AA3878"/>
    <w:rsid w:val="00AA38AB"/>
    <w:rsid w:val="00AA38C2"/>
    <w:rsid w:val="00AA3991"/>
    <w:rsid w:val="00AA3A16"/>
    <w:rsid w:val="00AA3A82"/>
    <w:rsid w:val="00AA3AC8"/>
    <w:rsid w:val="00AA3ADC"/>
    <w:rsid w:val="00AA3BB3"/>
    <w:rsid w:val="00AA3C04"/>
    <w:rsid w:val="00AA3CA7"/>
    <w:rsid w:val="00AA3CAD"/>
    <w:rsid w:val="00AA3CAF"/>
    <w:rsid w:val="00AA3CED"/>
    <w:rsid w:val="00AA3D17"/>
    <w:rsid w:val="00AA3D35"/>
    <w:rsid w:val="00AA3D4C"/>
    <w:rsid w:val="00AA3D91"/>
    <w:rsid w:val="00AA3E93"/>
    <w:rsid w:val="00AA3EDF"/>
    <w:rsid w:val="00AA3F89"/>
    <w:rsid w:val="00AA3FA2"/>
    <w:rsid w:val="00AA3FBA"/>
    <w:rsid w:val="00AA3FBB"/>
    <w:rsid w:val="00AA404C"/>
    <w:rsid w:val="00AA4058"/>
    <w:rsid w:val="00AA4090"/>
    <w:rsid w:val="00AA412B"/>
    <w:rsid w:val="00AA41A7"/>
    <w:rsid w:val="00AA41AF"/>
    <w:rsid w:val="00AA41DD"/>
    <w:rsid w:val="00AA43CC"/>
    <w:rsid w:val="00AA4403"/>
    <w:rsid w:val="00AA443B"/>
    <w:rsid w:val="00AA445D"/>
    <w:rsid w:val="00AA4462"/>
    <w:rsid w:val="00AA4493"/>
    <w:rsid w:val="00AA459D"/>
    <w:rsid w:val="00AA465C"/>
    <w:rsid w:val="00AA4727"/>
    <w:rsid w:val="00AA4736"/>
    <w:rsid w:val="00AA4760"/>
    <w:rsid w:val="00AA478F"/>
    <w:rsid w:val="00AA47B5"/>
    <w:rsid w:val="00AA47E4"/>
    <w:rsid w:val="00AA481F"/>
    <w:rsid w:val="00AA4902"/>
    <w:rsid w:val="00AA4918"/>
    <w:rsid w:val="00AA4920"/>
    <w:rsid w:val="00AA498B"/>
    <w:rsid w:val="00AA499B"/>
    <w:rsid w:val="00AA49C9"/>
    <w:rsid w:val="00AA49DF"/>
    <w:rsid w:val="00AA4A24"/>
    <w:rsid w:val="00AA4A8E"/>
    <w:rsid w:val="00AA4A9A"/>
    <w:rsid w:val="00AA4B49"/>
    <w:rsid w:val="00AA4B95"/>
    <w:rsid w:val="00AA4C47"/>
    <w:rsid w:val="00AA4C4D"/>
    <w:rsid w:val="00AA4D7A"/>
    <w:rsid w:val="00AA4E3D"/>
    <w:rsid w:val="00AA4E6F"/>
    <w:rsid w:val="00AA4E83"/>
    <w:rsid w:val="00AA4E98"/>
    <w:rsid w:val="00AA4EDA"/>
    <w:rsid w:val="00AA4F15"/>
    <w:rsid w:val="00AA4F57"/>
    <w:rsid w:val="00AA4FAD"/>
    <w:rsid w:val="00AA5003"/>
    <w:rsid w:val="00AA509E"/>
    <w:rsid w:val="00AA50CA"/>
    <w:rsid w:val="00AA50D9"/>
    <w:rsid w:val="00AA51FF"/>
    <w:rsid w:val="00AA523D"/>
    <w:rsid w:val="00AA527C"/>
    <w:rsid w:val="00AA5313"/>
    <w:rsid w:val="00AA5397"/>
    <w:rsid w:val="00AA540E"/>
    <w:rsid w:val="00AA5566"/>
    <w:rsid w:val="00AA55EC"/>
    <w:rsid w:val="00AA563D"/>
    <w:rsid w:val="00AA5682"/>
    <w:rsid w:val="00AA56D2"/>
    <w:rsid w:val="00AA56E7"/>
    <w:rsid w:val="00AA5735"/>
    <w:rsid w:val="00AA5806"/>
    <w:rsid w:val="00AA5833"/>
    <w:rsid w:val="00AA583E"/>
    <w:rsid w:val="00AA5868"/>
    <w:rsid w:val="00AA58EA"/>
    <w:rsid w:val="00AA5955"/>
    <w:rsid w:val="00AA5995"/>
    <w:rsid w:val="00AA59A3"/>
    <w:rsid w:val="00AA59EE"/>
    <w:rsid w:val="00AA59F1"/>
    <w:rsid w:val="00AA5A32"/>
    <w:rsid w:val="00AA5A94"/>
    <w:rsid w:val="00AA5CED"/>
    <w:rsid w:val="00AA5CF2"/>
    <w:rsid w:val="00AA5E84"/>
    <w:rsid w:val="00AA5EAC"/>
    <w:rsid w:val="00AA5EB7"/>
    <w:rsid w:val="00AA5ED3"/>
    <w:rsid w:val="00AA5F39"/>
    <w:rsid w:val="00AA5FCA"/>
    <w:rsid w:val="00AA5FE3"/>
    <w:rsid w:val="00AA6022"/>
    <w:rsid w:val="00AA6114"/>
    <w:rsid w:val="00AA6182"/>
    <w:rsid w:val="00AA61E7"/>
    <w:rsid w:val="00AA61EC"/>
    <w:rsid w:val="00AA6242"/>
    <w:rsid w:val="00AA62C3"/>
    <w:rsid w:val="00AA63C5"/>
    <w:rsid w:val="00AA63D4"/>
    <w:rsid w:val="00AA6467"/>
    <w:rsid w:val="00AA64FE"/>
    <w:rsid w:val="00AA6546"/>
    <w:rsid w:val="00AA665F"/>
    <w:rsid w:val="00AA676E"/>
    <w:rsid w:val="00AA67A6"/>
    <w:rsid w:val="00AA67D2"/>
    <w:rsid w:val="00AA67F0"/>
    <w:rsid w:val="00AA6801"/>
    <w:rsid w:val="00AA684D"/>
    <w:rsid w:val="00AA6869"/>
    <w:rsid w:val="00AA68ED"/>
    <w:rsid w:val="00AA6A12"/>
    <w:rsid w:val="00AA6A81"/>
    <w:rsid w:val="00AA6AD6"/>
    <w:rsid w:val="00AA6AE6"/>
    <w:rsid w:val="00AA6B14"/>
    <w:rsid w:val="00AA6BB4"/>
    <w:rsid w:val="00AA6D1A"/>
    <w:rsid w:val="00AA6D52"/>
    <w:rsid w:val="00AA6DEA"/>
    <w:rsid w:val="00AA6F8E"/>
    <w:rsid w:val="00AA6FA6"/>
    <w:rsid w:val="00AA6FBC"/>
    <w:rsid w:val="00AA70DD"/>
    <w:rsid w:val="00AA70FB"/>
    <w:rsid w:val="00AA71C2"/>
    <w:rsid w:val="00AA71D5"/>
    <w:rsid w:val="00AA724E"/>
    <w:rsid w:val="00AA72F0"/>
    <w:rsid w:val="00AA733B"/>
    <w:rsid w:val="00AA7381"/>
    <w:rsid w:val="00AA73B3"/>
    <w:rsid w:val="00AA73F4"/>
    <w:rsid w:val="00AA7426"/>
    <w:rsid w:val="00AA74E8"/>
    <w:rsid w:val="00AA74FC"/>
    <w:rsid w:val="00AA7555"/>
    <w:rsid w:val="00AA757C"/>
    <w:rsid w:val="00AA75C1"/>
    <w:rsid w:val="00AA75EE"/>
    <w:rsid w:val="00AA768B"/>
    <w:rsid w:val="00AA76DD"/>
    <w:rsid w:val="00AA7735"/>
    <w:rsid w:val="00AA7746"/>
    <w:rsid w:val="00AA77F0"/>
    <w:rsid w:val="00AA7819"/>
    <w:rsid w:val="00AA782A"/>
    <w:rsid w:val="00AA7897"/>
    <w:rsid w:val="00AA78D7"/>
    <w:rsid w:val="00AA7907"/>
    <w:rsid w:val="00AA794E"/>
    <w:rsid w:val="00AA7952"/>
    <w:rsid w:val="00AA79C6"/>
    <w:rsid w:val="00AA79EE"/>
    <w:rsid w:val="00AA7A11"/>
    <w:rsid w:val="00AA7C03"/>
    <w:rsid w:val="00AA7C18"/>
    <w:rsid w:val="00AA7C20"/>
    <w:rsid w:val="00AA7CB2"/>
    <w:rsid w:val="00AA7CEA"/>
    <w:rsid w:val="00AA7F03"/>
    <w:rsid w:val="00AA7F97"/>
    <w:rsid w:val="00AA7FF0"/>
    <w:rsid w:val="00AB0041"/>
    <w:rsid w:val="00AB004C"/>
    <w:rsid w:val="00AB0078"/>
    <w:rsid w:val="00AB00FA"/>
    <w:rsid w:val="00AB00FD"/>
    <w:rsid w:val="00AB0169"/>
    <w:rsid w:val="00AB0194"/>
    <w:rsid w:val="00AB0217"/>
    <w:rsid w:val="00AB02A2"/>
    <w:rsid w:val="00AB02C1"/>
    <w:rsid w:val="00AB0339"/>
    <w:rsid w:val="00AB0356"/>
    <w:rsid w:val="00AB03BC"/>
    <w:rsid w:val="00AB0413"/>
    <w:rsid w:val="00AB044E"/>
    <w:rsid w:val="00AB050A"/>
    <w:rsid w:val="00AB0615"/>
    <w:rsid w:val="00AB0620"/>
    <w:rsid w:val="00AB063E"/>
    <w:rsid w:val="00AB0640"/>
    <w:rsid w:val="00AB06B8"/>
    <w:rsid w:val="00AB06BB"/>
    <w:rsid w:val="00AB06F6"/>
    <w:rsid w:val="00AB0728"/>
    <w:rsid w:val="00AB0731"/>
    <w:rsid w:val="00AB076C"/>
    <w:rsid w:val="00AB076D"/>
    <w:rsid w:val="00AB07C1"/>
    <w:rsid w:val="00AB08A7"/>
    <w:rsid w:val="00AB08E8"/>
    <w:rsid w:val="00AB090C"/>
    <w:rsid w:val="00AB0946"/>
    <w:rsid w:val="00AB094C"/>
    <w:rsid w:val="00AB09D0"/>
    <w:rsid w:val="00AB09EA"/>
    <w:rsid w:val="00AB09F6"/>
    <w:rsid w:val="00AB0A64"/>
    <w:rsid w:val="00AB0A9F"/>
    <w:rsid w:val="00AB0BAA"/>
    <w:rsid w:val="00AB0C90"/>
    <w:rsid w:val="00AB0CA4"/>
    <w:rsid w:val="00AB0DC7"/>
    <w:rsid w:val="00AB0DE7"/>
    <w:rsid w:val="00AB0DFA"/>
    <w:rsid w:val="00AB0E23"/>
    <w:rsid w:val="00AB0E81"/>
    <w:rsid w:val="00AB0EB8"/>
    <w:rsid w:val="00AB0EDE"/>
    <w:rsid w:val="00AB0EE1"/>
    <w:rsid w:val="00AB0EE7"/>
    <w:rsid w:val="00AB0EF2"/>
    <w:rsid w:val="00AB0FBC"/>
    <w:rsid w:val="00AB0FBE"/>
    <w:rsid w:val="00AB0FC0"/>
    <w:rsid w:val="00AB0FDC"/>
    <w:rsid w:val="00AB1016"/>
    <w:rsid w:val="00AB1054"/>
    <w:rsid w:val="00AB10BC"/>
    <w:rsid w:val="00AB10E5"/>
    <w:rsid w:val="00AB10E8"/>
    <w:rsid w:val="00AB10F9"/>
    <w:rsid w:val="00AB10FB"/>
    <w:rsid w:val="00AB1123"/>
    <w:rsid w:val="00AB1151"/>
    <w:rsid w:val="00AB1215"/>
    <w:rsid w:val="00AB1234"/>
    <w:rsid w:val="00AB1265"/>
    <w:rsid w:val="00AB128F"/>
    <w:rsid w:val="00AB12AB"/>
    <w:rsid w:val="00AB12AD"/>
    <w:rsid w:val="00AB133A"/>
    <w:rsid w:val="00AB13BF"/>
    <w:rsid w:val="00AB142E"/>
    <w:rsid w:val="00AB1435"/>
    <w:rsid w:val="00AB143B"/>
    <w:rsid w:val="00AB1461"/>
    <w:rsid w:val="00AB1696"/>
    <w:rsid w:val="00AB17A6"/>
    <w:rsid w:val="00AB184B"/>
    <w:rsid w:val="00AB185D"/>
    <w:rsid w:val="00AB1940"/>
    <w:rsid w:val="00AB1990"/>
    <w:rsid w:val="00AB19B6"/>
    <w:rsid w:val="00AB19E6"/>
    <w:rsid w:val="00AB1A33"/>
    <w:rsid w:val="00AB1A62"/>
    <w:rsid w:val="00AB1AB0"/>
    <w:rsid w:val="00AB1B11"/>
    <w:rsid w:val="00AB1B69"/>
    <w:rsid w:val="00AB1B84"/>
    <w:rsid w:val="00AB1BA1"/>
    <w:rsid w:val="00AB1C4B"/>
    <w:rsid w:val="00AB1C8A"/>
    <w:rsid w:val="00AB1C96"/>
    <w:rsid w:val="00AB1CF5"/>
    <w:rsid w:val="00AB1D12"/>
    <w:rsid w:val="00AB1D7E"/>
    <w:rsid w:val="00AB1E49"/>
    <w:rsid w:val="00AB1E63"/>
    <w:rsid w:val="00AB1E74"/>
    <w:rsid w:val="00AB1E82"/>
    <w:rsid w:val="00AB1EA9"/>
    <w:rsid w:val="00AB1F20"/>
    <w:rsid w:val="00AB1F3B"/>
    <w:rsid w:val="00AB1F8D"/>
    <w:rsid w:val="00AB1FCE"/>
    <w:rsid w:val="00AB1FF5"/>
    <w:rsid w:val="00AB2044"/>
    <w:rsid w:val="00AB2291"/>
    <w:rsid w:val="00AB22BD"/>
    <w:rsid w:val="00AB2326"/>
    <w:rsid w:val="00AB2411"/>
    <w:rsid w:val="00AB242C"/>
    <w:rsid w:val="00AB258C"/>
    <w:rsid w:val="00AB2602"/>
    <w:rsid w:val="00AB26CC"/>
    <w:rsid w:val="00AB27E9"/>
    <w:rsid w:val="00AB27F7"/>
    <w:rsid w:val="00AB283C"/>
    <w:rsid w:val="00AB2937"/>
    <w:rsid w:val="00AB298D"/>
    <w:rsid w:val="00AB29A2"/>
    <w:rsid w:val="00AB2A8A"/>
    <w:rsid w:val="00AB2C7D"/>
    <w:rsid w:val="00AB2C9D"/>
    <w:rsid w:val="00AB2D6B"/>
    <w:rsid w:val="00AB2E58"/>
    <w:rsid w:val="00AB2EEB"/>
    <w:rsid w:val="00AB2F6D"/>
    <w:rsid w:val="00AB2F72"/>
    <w:rsid w:val="00AB2F9B"/>
    <w:rsid w:val="00AB3005"/>
    <w:rsid w:val="00AB306E"/>
    <w:rsid w:val="00AB30C2"/>
    <w:rsid w:val="00AB30C6"/>
    <w:rsid w:val="00AB30E9"/>
    <w:rsid w:val="00AB319F"/>
    <w:rsid w:val="00AB3248"/>
    <w:rsid w:val="00AB3261"/>
    <w:rsid w:val="00AB326D"/>
    <w:rsid w:val="00AB32BB"/>
    <w:rsid w:val="00AB32F9"/>
    <w:rsid w:val="00AB332D"/>
    <w:rsid w:val="00AB337A"/>
    <w:rsid w:val="00AB33C2"/>
    <w:rsid w:val="00AB34BE"/>
    <w:rsid w:val="00AB35F5"/>
    <w:rsid w:val="00AB377C"/>
    <w:rsid w:val="00AB37C1"/>
    <w:rsid w:val="00AB380B"/>
    <w:rsid w:val="00AB380F"/>
    <w:rsid w:val="00AB3887"/>
    <w:rsid w:val="00AB3A29"/>
    <w:rsid w:val="00AB3ABB"/>
    <w:rsid w:val="00AB3AC5"/>
    <w:rsid w:val="00AB3BC1"/>
    <w:rsid w:val="00AB3C6F"/>
    <w:rsid w:val="00AB3CCD"/>
    <w:rsid w:val="00AB3D75"/>
    <w:rsid w:val="00AB3D84"/>
    <w:rsid w:val="00AB3D8B"/>
    <w:rsid w:val="00AB3E22"/>
    <w:rsid w:val="00AB3E36"/>
    <w:rsid w:val="00AB3EC8"/>
    <w:rsid w:val="00AB3F2A"/>
    <w:rsid w:val="00AB3FC5"/>
    <w:rsid w:val="00AB4012"/>
    <w:rsid w:val="00AB4054"/>
    <w:rsid w:val="00AB4264"/>
    <w:rsid w:val="00AB42F8"/>
    <w:rsid w:val="00AB43F6"/>
    <w:rsid w:val="00AB4420"/>
    <w:rsid w:val="00AB448A"/>
    <w:rsid w:val="00AB44A9"/>
    <w:rsid w:val="00AB44FD"/>
    <w:rsid w:val="00AB4726"/>
    <w:rsid w:val="00AB47D3"/>
    <w:rsid w:val="00AB4811"/>
    <w:rsid w:val="00AB4866"/>
    <w:rsid w:val="00AB48A1"/>
    <w:rsid w:val="00AB4916"/>
    <w:rsid w:val="00AB495D"/>
    <w:rsid w:val="00AB49BB"/>
    <w:rsid w:val="00AB4A03"/>
    <w:rsid w:val="00AB4A45"/>
    <w:rsid w:val="00AB4A8B"/>
    <w:rsid w:val="00AB4AFA"/>
    <w:rsid w:val="00AB4B24"/>
    <w:rsid w:val="00AB4B41"/>
    <w:rsid w:val="00AB4BF0"/>
    <w:rsid w:val="00AB4CF8"/>
    <w:rsid w:val="00AB4D4E"/>
    <w:rsid w:val="00AB4DA6"/>
    <w:rsid w:val="00AB4DE6"/>
    <w:rsid w:val="00AB5195"/>
    <w:rsid w:val="00AB51CF"/>
    <w:rsid w:val="00AB5269"/>
    <w:rsid w:val="00AB527C"/>
    <w:rsid w:val="00AB52BC"/>
    <w:rsid w:val="00AB52F8"/>
    <w:rsid w:val="00AB5390"/>
    <w:rsid w:val="00AB53D6"/>
    <w:rsid w:val="00AB5434"/>
    <w:rsid w:val="00AB5464"/>
    <w:rsid w:val="00AB5495"/>
    <w:rsid w:val="00AB54D1"/>
    <w:rsid w:val="00AB558D"/>
    <w:rsid w:val="00AB55A4"/>
    <w:rsid w:val="00AB55AC"/>
    <w:rsid w:val="00AB55D3"/>
    <w:rsid w:val="00AB564A"/>
    <w:rsid w:val="00AB564C"/>
    <w:rsid w:val="00AB564F"/>
    <w:rsid w:val="00AB565E"/>
    <w:rsid w:val="00AB56EC"/>
    <w:rsid w:val="00AB57AC"/>
    <w:rsid w:val="00AB581E"/>
    <w:rsid w:val="00AB5850"/>
    <w:rsid w:val="00AB5852"/>
    <w:rsid w:val="00AB5864"/>
    <w:rsid w:val="00AB58C4"/>
    <w:rsid w:val="00AB598C"/>
    <w:rsid w:val="00AB59A7"/>
    <w:rsid w:val="00AB59B1"/>
    <w:rsid w:val="00AB59C9"/>
    <w:rsid w:val="00AB59FE"/>
    <w:rsid w:val="00AB5ABD"/>
    <w:rsid w:val="00AB5AEA"/>
    <w:rsid w:val="00AB5AEB"/>
    <w:rsid w:val="00AB5B85"/>
    <w:rsid w:val="00AB5B9D"/>
    <w:rsid w:val="00AB5BA2"/>
    <w:rsid w:val="00AB5BBA"/>
    <w:rsid w:val="00AB5BDF"/>
    <w:rsid w:val="00AB5BE4"/>
    <w:rsid w:val="00AB5C97"/>
    <w:rsid w:val="00AB5D1B"/>
    <w:rsid w:val="00AB5D1F"/>
    <w:rsid w:val="00AB5DDE"/>
    <w:rsid w:val="00AB5E4E"/>
    <w:rsid w:val="00AB5EA8"/>
    <w:rsid w:val="00AB5EDE"/>
    <w:rsid w:val="00AB5EF2"/>
    <w:rsid w:val="00AB5EF4"/>
    <w:rsid w:val="00AB5F1B"/>
    <w:rsid w:val="00AB5F2E"/>
    <w:rsid w:val="00AB5F7E"/>
    <w:rsid w:val="00AB5FD0"/>
    <w:rsid w:val="00AB6026"/>
    <w:rsid w:val="00AB606F"/>
    <w:rsid w:val="00AB6077"/>
    <w:rsid w:val="00AB6082"/>
    <w:rsid w:val="00AB608F"/>
    <w:rsid w:val="00AB6094"/>
    <w:rsid w:val="00AB60D7"/>
    <w:rsid w:val="00AB6292"/>
    <w:rsid w:val="00AB62E0"/>
    <w:rsid w:val="00AB62F6"/>
    <w:rsid w:val="00AB63BC"/>
    <w:rsid w:val="00AB6457"/>
    <w:rsid w:val="00AB64A1"/>
    <w:rsid w:val="00AB6568"/>
    <w:rsid w:val="00AB6573"/>
    <w:rsid w:val="00AB65D6"/>
    <w:rsid w:val="00AB6637"/>
    <w:rsid w:val="00AB66DF"/>
    <w:rsid w:val="00AB6711"/>
    <w:rsid w:val="00AB67C9"/>
    <w:rsid w:val="00AB67EE"/>
    <w:rsid w:val="00AB6832"/>
    <w:rsid w:val="00AB696F"/>
    <w:rsid w:val="00AB69F7"/>
    <w:rsid w:val="00AB6AA5"/>
    <w:rsid w:val="00AB6AE1"/>
    <w:rsid w:val="00AB6C10"/>
    <w:rsid w:val="00AB6C48"/>
    <w:rsid w:val="00AB6CD9"/>
    <w:rsid w:val="00AB6CE8"/>
    <w:rsid w:val="00AB6D32"/>
    <w:rsid w:val="00AB6DF5"/>
    <w:rsid w:val="00AB6E2E"/>
    <w:rsid w:val="00AB6F3D"/>
    <w:rsid w:val="00AB6F7F"/>
    <w:rsid w:val="00AB6F88"/>
    <w:rsid w:val="00AB6FB8"/>
    <w:rsid w:val="00AB70C7"/>
    <w:rsid w:val="00AB718D"/>
    <w:rsid w:val="00AB72D8"/>
    <w:rsid w:val="00AB7302"/>
    <w:rsid w:val="00AB7340"/>
    <w:rsid w:val="00AB7367"/>
    <w:rsid w:val="00AB7382"/>
    <w:rsid w:val="00AB7388"/>
    <w:rsid w:val="00AB73B9"/>
    <w:rsid w:val="00AB73F3"/>
    <w:rsid w:val="00AB7466"/>
    <w:rsid w:val="00AB7481"/>
    <w:rsid w:val="00AB748B"/>
    <w:rsid w:val="00AB74DC"/>
    <w:rsid w:val="00AB752A"/>
    <w:rsid w:val="00AB7542"/>
    <w:rsid w:val="00AB75A1"/>
    <w:rsid w:val="00AB760D"/>
    <w:rsid w:val="00AB764B"/>
    <w:rsid w:val="00AB76BE"/>
    <w:rsid w:val="00AB76FD"/>
    <w:rsid w:val="00AB778F"/>
    <w:rsid w:val="00AB77AF"/>
    <w:rsid w:val="00AB781E"/>
    <w:rsid w:val="00AB7861"/>
    <w:rsid w:val="00AB78B5"/>
    <w:rsid w:val="00AB7917"/>
    <w:rsid w:val="00AB7923"/>
    <w:rsid w:val="00AB795C"/>
    <w:rsid w:val="00AB798E"/>
    <w:rsid w:val="00AB79DE"/>
    <w:rsid w:val="00AB7A2B"/>
    <w:rsid w:val="00AB7A4D"/>
    <w:rsid w:val="00AB7AEE"/>
    <w:rsid w:val="00AB7B07"/>
    <w:rsid w:val="00AB7B11"/>
    <w:rsid w:val="00AB7BE0"/>
    <w:rsid w:val="00AB7C71"/>
    <w:rsid w:val="00AB7CB4"/>
    <w:rsid w:val="00AB7DE3"/>
    <w:rsid w:val="00AB7E3D"/>
    <w:rsid w:val="00AB7EC5"/>
    <w:rsid w:val="00AB7F84"/>
    <w:rsid w:val="00AB7F99"/>
    <w:rsid w:val="00AB7FBA"/>
    <w:rsid w:val="00AC0010"/>
    <w:rsid w:val="00AC0031"/>
    <w:rsid w:val="00AC00CC"/>
    <w:rsid w:val="00AC00F6"/>
    <w:rsid w:val="00AC010E"/>
    <w:rsid w:val="00AC01D5"/>
    <w:rsid w:val="00AC01D6"/>
    <w:rsid w:val="00AC02EA"/>
    <w:rsid w:val="00AC0473"/>
    <w:rsid w:val="00AC04CA"/>
    <w:rsid w:val="00AC04DC"/>
    <w:rsid w:val="00AC04FE"/>
    <w:rsid w:val="00AC0585"/>
    <w:rsid w:val="00AC059E"/>
    <w:rsid w:val="00AC05F1"/>
    <w:rsid w:val="00AC0630"/>
    <w:rsid w:val="00AC0663"/>
    <w:rsid w:val="00AC06A0"/>
    <w:rsid w:val="00AC06E3"/>
    <w:rsid w:val="00AC06EB"/>
    <w:rsid w:val="00AC06FD"/>
    <w:rsid w:val="00AC0808"/>
    <w:rsid w:val="00AC08FC"/>
    <w:rsid w:val="00AC0921"/>
    <w:rsid w:val="00AC0ACA"/>
    <w:rsid w:val="00AC0AF8"/>
    <w:rsid w:val="00AC0B97"/>
    <w:rsid w:val="00AC0C46"/>
    <w:rsid w:val="00AC0CE9"/>
    <w:rsid w:val="00AC0D14"/>
    <w:rsid w:val="00AC0D46"/>
    <w:rsid w:val="00AC0D4B"/>
    <w:rsid w:val="00AC0DEB"/>
    <w:rsid w:val="00AC0E1E"/>
    <w:rsid w:val="00AC0E62"/>
    <w:rsid w:val="00AC0EBA"/>
    <w:rsid w:val="00AC0FAE"/>
    <w:rsid w:val="00AC0FC1"/>
    <w:rsid w:val="00AC0FEB"/>
    <w:rsid w:val="00AC1088"/>
    <w:rsid w:val="00AC1398"/>
    <w:rsid w:val="00AC14CB"/>
    <w:rsid w:val="00AC152E"/>
    <w:rsid w:val="00AC155F"/>
    <w:rsid w:val="00AC15B8"/>
    <w:rsid w:val="00AC17B0"/>
    <w:rsid w:val="00AC1812"/>
    <w:rsid w:val="00AC182C"/>
    <w:rsid w:val="00AC1841"/>
    <w:rsid w:val="00AC187E"/>
    <w:rsid w:val="00AC18AF"/>
    <w:rsid w:val="00AC18B4"/>
    <w:rsid w:val="00AC18BA"/>
    <w:rsid w:val="00AC18DC"/>
    <w:rsid w:val="00AC18E7"/>
    <w:rsid w:val="00AC198F"/>
    <w:rsid w:val="00AC19B6"/>
    <w:rsid w:val="00AC1A0D"/>
    <w:rsid w:val="00AC1A43"/>
    <w:rsid w:val="00AC1A93"/>
    <w:rsid w:val="00AC1B0C"/>
    <w:rsid w:val="00AC1B98"/>
    <w:rsid w:val="00AC1BF6"/>
    <w:rsid w:val="00AC1C73"/>
    <w:rsid w:val="00AC1D31"/>
    <w:rsid w:val="00AC1D8F"/>
    <w:rsid w:val="00AC1DB1"/>
    <w:rsid w:val="00AC1DE7"/>
    <w:rsid w:val="00AC1E22"/>
    <w:rsid w:val="00AC1E25"/>
    <w:rsid w:val="00AC1F09"/>
    <w:rsid w:val="00AC1F60"/>
    <w:rsid w:val="00AC1FEA"/>
    <w:rsid w:val="00AC2093"/>
    <w:rsid w:val="00AC20AE"/>
    <w:rsid w:val="00AC2125"/>
    <w:rsid w:val="00AC2169"/>
    <w:rsid w:val="00AC21E1"/>
    <w:rsid w:val="00AC2246"/>
    <w:rsid w:val="00AC22BB"/>
    <w:rsid w:val="00AC230B"/>
    <w:rsid w:val="00AC2313"/>
    <w:rsid w:val="00AC2380"/>
    <w:rsid w:val="00AC23CC"/>
    <w:rsid w:val="00AC23CF"/>
    <w:rsid w:val="00AC23F5"/>
    <w:rsid w:val="00AC244F"/>
    <w:rsid w:val="00AC24A0"/>
    <w:rsid w:val="00AC24B0"/>
    <w:rsid w:val="00AC24F1"/>
    <w:rsid w:val="00AC2615"/>
    <w:rsid w:val="00AC270E"/>
    <w:rsid w:val="00AC27A5"/>
    <w:rsid w:val="00AC2867"/>
    <w:rsid w:val="00AC293B"/>
    <w:rsid w:val="00AC2970"/>
    <w:rsid w:val="00AC29AA"/>
    <w:rsid w:val="00AC29AE"/>
    <w:rsid w:val="00AC2A5C"/>
    <w:rsid w:val="00AC2B8A"/>
    <w:rsid w:val="00AC2CD2"/>
    <w:rsid w:val="00AC2D49"/>
    <w:rsid w:val="00AC2E0E"/>
    <w:rsid w:val="00AC2E6B"/>
    <w:rsid w:val="00AC2E92"/>
    <w:rsid w:val="00AC2EC4"/>
    <w:rsid w:val="00AC2ED4"/>
    <w:rsid w:val="00AC3003"/>
    <w:rsid w:val="00AC3010"/>
    <w:rsid w:val="00AC3063"/>
    <w:rsid w:val="00AC30EB"/>
    <w:rsid w:val="00AC3152"/>
    <w:rsid w:val="00AC3225"/>
    <w:rsid w:val="00AC3266"/>
    <w:rsid w:val="00AC32B3"/>
    <w:rsid w:val="00AC32B4"/>
    <w:rsid w:val="00AC3346"/>
    <w:rsid w:val="00AC34A1"/>
    <w:rsid w:val="00AC3507"/>
    <w:rsid w:val="00AC357C"/>
    <w:rsid w:val="00AC3628"/>
    <w:rsid w:val="00AC3668"/>
    <w:rsid w:val="00AC36CB"/>
    <w:rsid w:val="00AC3757"/>
    <w:rsid w:val="00AC37E1"/>
    <w:rsid w:val="00AC37FF"/>
    <w:rsid w:val="00AC3811"/>
    <w:rsid w:val="00AC3820"/>
    <w:rsid w:val="00AC3883"/>
    <w:rsid w:val="00AC388C"/>
    <w:rsid w:val="00AC39DD"/>
    <w:rsid w:val="00AC3A5C"/>
    <w:rsid w:val="00AC3A72"/>
    <w:rsid w:val="00AC3A78"/>
    <w:rsid w:val="00AC3A93"/>
    <w:rsid w:val="00AC3AF9"/>
    <w:rsid w:val="00AC3B0B"/>
    <w:rsid w:val="00AC3B59"/>
    <w:rsid w:val="00AC3B8B"/>
    <w:rsid w:val="00AC3C47"/>
    <w:rsid w:val="00AC3C4B"/>
    <w:rsid w:val="00AC3C8A"/>
    <w:rsid w:val="00AC3CA4"/>
    <w:rsid w:val="00AC3D2D"/>
    <w:rsid w:val="00AC3D3E"/>
    <w:rsid w:val="00AC3E38"/>
    <w:rsid w:val="00AC3E8E"/>
    <w:rsid w:val="00AC3EC7"/>
    <w:rsid w:val="00AC3F33"/>
    <w:rsid w:val="00AC3FA0"/>
    <w:rsid w:val="00AC3FB5"/>
    <w:rsid w:val="00AC3FD9"/>
    <w:rsid w:val="00AC4017"/>
    <w:rsid w:val="00AC4046"/>
    <w:rsid w:val="00AC406A"/>
    <w:rsid w:val="00AC4137"/>
    <w:rsid w:val="00AC416F"/>
    <w:rsid w:val="00AC4194"/>
    <w:rsid w:val="00AC41B7"/>
    <w:rsid w:val="00AC41CD"/>
    <w:rsid w:val="00AC422A"/>
    <w:rsid w:val="00AC423B"/>
    <w:rsid w:val="00AC4264"/>
    <w:rsid w:val="00AC429B"/>
    <w:rsid w:val="00AC42C1"/>
    <w:rsid w:val="00AC4341"/>
    <w:rsid w:val="00AC4358"/>
    <w:rsid w:val="00AC439C"/>
    <w:rsid w:val="00AC43B6"/>
    <w:rsid w:val="00AC43D7"/>
    <w:rsid w:val="00AC43EF"/>
    <w:rsid w:val="00AC4473"/>
    <w:rsid w:val="00AC447E"/>
    <w:rsid w:val="00AC44AB"/>
    <w:rsid w:val="00AC44E1"/>
    <w:rsid w:val="00AC44F6"/>
    <w:rsid w:val="00AC45F3"/>
    <w:rsid w:val="00AC4633"/>
    <w:rsid w:val="00AC4685"/>
    <w:rsid w:val="00AC4761"/>
    <w:rsid w:val="00AC4800"/>
    <w:rsid w:val="00AC487E"/>
    <w:rsid w:val="00AC48C2"/>
    <w:rsid w:val="00AC4945"/>
    <w:rsid w:val="00AC4987"/>
    <w:rsid w:val="00AC49F6"/>
    <w:rsid w:val="00AC4A88"/>
    <w:rsid w:val="00AC4AA6"/>
    <w:rsid w:val="00AC4BA1"/>
    <w:rsid w:val="00AC4BF9"/>
    <w:rsid w:val="00AC4C4B"/>
    <w:rsid w:val="00AC4C70"/>
    <w:rsid w:val="00AC4CB9"/>
    <w:rsid w:val="00AC4D09"/>
    <w:rsid w:val="00AC4D6E"/>
    <w:rsid w:val="00AC4DBC"/>
    <w:rsid w:val="00AC4E7C"/>
    <w:rsid w:val="00AC4ECA"/>
    <w:rsid w:val="00AC4F4E"/>
    <w:rsid w:val="00AC4FC2"/>
    <w:rsid w:val="00AC508F"/>
    <w:rsid w:val="00AC50F2"/>
    <w:rsid w:val="00AC51A5"/>
    <w:rsid w:val="00AC51FE"/>
    <w:rsid w:val="00AC524A"/>
    <w:rsid w:val="00AC524F"/>
    <w:rsid w:val="00AC529D"/>
    <w:rsid w:val="00AC529F"/>
    <w:rsid w:val="00AC52D4"/>
    <w:rsid w:val="00AC52D6"/>
    <w:rsid w:val="00AC52F2"/>
    <w:rsid w:val="00AC52FB"/>
    <w:rsid w:val="00AC5326"/>
    <w:rsid w:val="00AC550F"/>
    <w:rsid w:val="00AC557F"/>
    <w:rsid w:val="00AC55B2"/>
    <w:rsid w:val="00AC5607"/>
    <w:rsid w:val="00AC5639"/>
    <w:rsid w:val="00AC5677"/>
    <w:rsid w:val="00AC57EE"/>
    <w:rsid w:val="00AC58E3"/>
    <w:rsid w:val="00AC5906"/>
    <w:rsid w:val="00AC5921"/>
    <w:rsid w:val="00AC5A01"/>
    <w:rsid w:val="00AC5A4B"/>
    <w:rsid w:val="00AC5B6F"/>
    <w:rsid w:val="00AC5BB4"/>
    <w:rsid w:val="00AC5BC5"/>
    <w:rsid w:val="00AC5C72"/>
    <w:rsid w:val="00AC5D5B"/>
    <w:rsid w:val="00AC5E09"/>
    <w:rsid w:val="00AC5E10"/>
    <w:rsid w:val="00AC5E48"/>
    <w:rsid w:val="00AC5E8C"/>
    <w:rsid w:val="00AC5F40"/>
    <w:rsid w:val="00AC5F64"/>
    <w:rsid w:val="00AC5FA8"/>
    <w:rsid w:val="00AC5FC9"/>
    <w:rsid w:val="00AC6011"/>
    <w:rsid w:val="00AC602C"/>
    <w:rsid w:val="00AC60C0"/>
    <w:rsid w:val="00AC60D5"/>
    <w:rsid w:val="00AC60F9"/>
    <w:rsid w:val="00AC60FD"/>
    <w:rsid w:val="00AC61D6"/>
    <w:rsid w:val="00AC6270"/>
    <w:rsid w:val="00AC6274"/>
    <w:rsid w:val="00AC629F"/>
    <w:rsid w:val="00AC62B1"/>
    <w:rsid w:val="00AC638D"/>
    <w:rsid w:val="00AC63F3"/>
    <w:rsid w:val="00AC6468"/>
    <w:rsid w:val="00AC64DA"/>
    <w:rsid w:val="00AC6529"/>
    <w:rsid w:val="00AC658D"/>
    <w:rsid w:val="00AC65B4"/>
    <w:rsid w:val="00AC65D1"/>
    <w:rsid w:val="00AC6644"/>
    <w:rsid w:val="00AC665D"/>
    <w:rsid w:val="00AC66B2"/>
    <w:rsid w:val="00AC6744"/>
    <w:rsid w:val="00AC6839"/>
    <w:rsid w:val="00AC695D"/>
    <w:rsid w:val="00AC6999"/>
    <w:rsid w:val="00AC69CA"/>
    <w:rsid w:val="00AC6A2A"/>
    <w:rsid w:val="00AC6A7F"/>
    <w:rsid w:val="00AC6A9F"/>
    <w:rsid w:val="00AC6B40"/>
    <w:rsid w:val="00AC6BAE"/>
    <w:rsid w:val="00AC6C69"/>
    <w:rsid w:val="00AC6CA7"/>
    <w:rsid w:val="00AC6D38"/>
    <w:rsid w:val="00AC6E85"/>
    <w:rsid w:val="00AC6F3D"/>
    <w:rsid w:val="00AC6F73"/>
    <w:rsid w:val="00AC6FC1"/>
    <w:rsid w:val="00AC6FF2"/>
    <w:rsid w:val="00AC7113"/>
    <w:rsid w:val="00AC71F8"/>
    <w:rsid w:val="00AC72FF"/>
    <w:rsid w:val="00AC7378"/>
    <w:rsid w:val="00AC7388"/>
    <w:rsid w:val="00AC73DC"/>
    <w:rsid w:val="00AC73F3"/>
    <w:rsid w:val="00AC7421"/>
    <w:rsid w:val="00AC745A"/>
    <w:rsid w:val="00AC748E"/>
    <w:rsid w:val="00AC750A"/>
    <w:rsid w:val="00AC7574"/>
    <w:rsid w:val="00AC75A0"/>
    <w:rsid w:val="00AC75A1"/>
    <w:rsid w:val="00AC764A"/>
    <w:rsid w:val="00AC76B6"/>
    <w:rsid w:val="00AC7799"/>
    <w:rsid w:val="00AC779F"/>
    <w:rsid w:val="00AC77DB"/>
    <w:rsid w:val="00AC7813"/>
    <w:rsid w:val="00AC7818"/>
    <w:rsid w:val="00AC785A"/>
    <w:rsid w:val="00AC78D1"/>
    <w:rsid w:val="00AC792B"/>
    <w:rsid w:val="00AC795A"/>
    <w:rsid w:val="00AC7983"/>
    <w:rsid w:val="00AC7A1D"/>
    <w:rsid w:val="00AC7AC3"/>
    <w:rsid w:val="00AC7B12"/>
    <w:rsid w:val="00AC7B62"/>
    <w:rsid w:val="00AC7DE2"/>
    <w:rsid w:val="00AC7DF6"/>
    <w:rsid w:val="00AC7E84"/>
    <w:rsid w:val="00AC7E89"/>
    <w:rsid w:val="00AC7EE9"/>
    <w:rsid w:val="00AC7EF4"/>
    <w:rsid w:val="00AC7FC1"/>
    <w:rsid w:val="00AD0082"/>
    <w:rsid w:val="00AD00B6"/>
    <w:rsid w:val="00AD0105"/>
    <w:rsid w:val="00AD019F"/>
    <w:rsid w:val="00AD01DB"/>
    <w:rsid w:val="00AD01E9"/>
    <w:rsid w:val="00AD022E"/>
    <w:rsid w:val="00AD023A"/>
    <w:rsid w:val="00AD0264"/>
    <w:rsid w:val="00AD0292"/>
    <w:rsid w:val="00AD0322"/>
    <w:rsid w:val="00AD0394"/>
    <w:rsid w:val="00AD0408"/>
    <w:rsid w:val="00AD04A5"/>
    <w:rsid w:val="00AD04DA"/>
    <w:rsid w:val="00AD055F"/>
    <w:rsid w:val="00AD0666"/>
    <w:rsid w:val="00AD06D8"/>
    <w:rsid w:val="00AD070D"/>
    <w:rsid w:val="00AD073C"/>
    <w:rsid w:val="00AD073D"/>
    <w:rsid w:val="00AD07AA"/>
    <w:rsid w:val="00AD07B6"/>
    <w:rsid w:val="00AD07C1"/>
    <w:rsid w:val="00AD081E"/>
    <w:rsid w:val="00AD0891"/>
    <w:rsid w:val="00AD0973"/>
    <w:rsid w:val="00AD09B5"/>
    <w:rsid w:val="00AD09F3"/>
    <w:rsid w:val="00AD0B65"/>
    <w:rsid w:val="00AD0B84"/>
    <w:rsid w:val="00AD0BE0"/>
    <w:rsid w:val="00AD0BF9"/>
    <w:rsid w:val="00AD0D18"/>
    <w:rsid w:val="00AD0D25"/>
    <w:rsid w:val="00AD0D27"/>
    <w:rsid w:val="00AD0DF2"/>
    <w:rsid w:val="00AD0DFC"/>
    <w:rsid w:val="00AD0E00"/>
    <w:rsid w:val="00AD0E83"/>
    <w:rsid w:val="00AD1042"/>
    <w:rsid w:val="00AD104E"/>
    <w:rsid w:val="00AD109E"/>
    <w:rsid w:val="00AD10CF"/>
    <w:rsid w:val="00AD10E1"/>
    <w:rsid w:val="00AD122E"/>
    <w:rsid w:val="00AD12DE"/>
    <w:rsid w:val="00AD1353"/>
    <w:rsid w:val="00AD135D"/>
    <w:rsid w:val="00AD13C0"/>
    <w:rsid w:val="00AD13E7"/>
    <w:rsid w:val="00AD1418"/>
    <w:rsid w:val="00AD1466"/>
    <w:rsid w:val="00AD1487"/>
    <w:rsid w:val="00AD1510"/>
    <w:rsid w:val="00AD1684"/>
    <w:rsid w:val="00AD16AE"/>
    <w:rsid w:val="00AD174E"/>
    <w:rsid w:val="00AD178C"/>
    <w:rsid w:val="00AD17B2"/>
    <w:rsid w:val="00AD17FF"/>
    <w:rsid w:val="00AD190D"/>
    <w:rsid w:val="00AD1924"/>
    <w:rsid w:val="00AD192D"/>
    <w:rsid w:val="00AD194E"/>
    <w:rsid w:val="00AD1954"/>
    <w:rsid w:val="00AD196F"/>
    <w:rsid w:val="00AD19A1"/>
    <w:rsid w:val="00AD1A12"/>
    <w:rsid w:val="00AD1A77"/>
    <w:rsid w:val="00AD1AB5"/>
    <w:rsid w:val="00AD1AC7"/>
    <w:rsid w:val="00AD1B36"/>
    <w:rsid w:val="00AD1B72"/>
    <w:rsid w:val="00AD1BA6"/>
    <w:rsid w:val="00AD1BFF"/>
    <w:rsid w:val="00AD1DE6"/>
    <w:rsid w:val="00AD1DF3"/>
    <w:rsid w:val="00AD1E05"/>
    <w:rsid w:val="00AD1E16"/>
    <w:rsid w:val="00AD1E89"/>
    <w:rsid w:val="00AD1EA7"/>
    <w:rsid w:val="00AD1ECC"/>
    <w:rsid w:val="00AD1F41"/>
    <w:rsid w:val="00AD1F79"/>
    <w:rsid w:val="00AD1FDD"/>
    <w:rsid w:val="00AD2010"/>
    <w:rsid w:val="00AD2019"/>
    <w:rsid w:val="00AD201B"/>
    <w:rsid w:val="00AD20A8"/>
    <w:rsid w:val="00AD211B"/>
    <w:rsid w:val="00AD2158"/>
    <w:rsid w:val="00AD2226"/>
    <w:rsid w:val="00AD22EC"/>
    <w:rsid w:val="00AD2356"/>
    <w:rsid w:val="00AD23C2"/>
    <w:rsid w:val="00AD249B"/>
    <w:rsid w:val="00AD24BC"/>
    <w:rsid w:val="00AD24F1"/>
    <w:rsid w:val="00AD2506"/>
    <w:rsid w:val="00AD25CF"/>
    <w:rsid w:val="00AD263A"/>
    <w:rsid w:val="00AD26A6"/>
    <w:rsid w:val="00AD26BA"/>
    <w:rsid w:val="00AD26E9"/>
    <w:rsid w:val="00AD26F5"/>
    <w:rsid w:val="00AD271D"/>
    <w:rsid w:val="00AD273B"/>
    <w:rsid w:val="00AD27AC"/>
    <w:rsid w:val="00AD28A5"/>
    <w:rsid w:val="00AD2917"/>
    <w:rsid w:val="00AD297C"/>
    <w:rsid w:val="00AD29A3"/>
    <w:rsid w:val="00AD2A82"/>
    <w:rsid w:val="00AD2AD2"/>
    <w:rsid w:val="00AD2B0F"/>
    <w:rsid w:val="00AD2B79"/>
    <w:rsid w:val="00AD2BFD"/>
    <w:rsid w:val="00AD2D3B"/>
    <w:rsid w:val="00AD2DAB"/>
    <w:rsid w:val="00AD2E2E"/>
    <w:rsid w:val="00AD2E90"/>
    <w:rsid w:val="00AD2EA2"/>
    <w:rsid w:val="00AD2F00"/>
    <w:rsid w:val="00AD2F7F"/>
    <w:rsid w:val="00AD2F80"/>
    <w:rsid w:val="00AD2F97"/>
    <w:rsid w:val="00AD31A6"/>
    <w:rsid w:val="00AD3211"/>
    <w:rsid w:val="00AD3233"/>
    <w:rsid w:val="00AD3261"/>
    <w:rsid w:val="00AD3300"/>
    <w:rsid w:val="00AD3384"/>
    <w:rsid w:val="00AD3558"/>
    <w:rsid w:val="00AD3708"/>
    <w:rsid w:val="00AD372F"/>
    <w:rsid w:val="00AD3756"/>
    <w:rsid w:val="00AD37A8"/>
    <w:rsid w:val="00AD37D1"/>
    <w:rsid w:val="00AD3862"/>
    <w:rsid w:val="00AD3887"/>
    <w:rsid w:val="00AD3930"/>
    <w:rsid w:val="00AD39ED"/>
    <w:rsid w:val="00AD3A03"/>
    <w:rsid w:val="00AD3A2D"/>
    <w:rsid w:val="00AD3A81"/>
    <w:rsid w:val="00AD3B31"/>
    <w:rsid w:val="00AD3BB0"/>
    <w:rsid w:val="00AD3BEA"/>
    <w:rsid w:val="00AD3BF5"/>
    <w:rsid w:val="00AD3C0B"/>
    <w:rsid w:val="00AD3E73"/>
    <w:rsid w:val="00AD3ED2"/>
    <w:rsid w:val="00AD3F99"/>
    <w:rsid w:val="00AD40C7"/>
    <w:rsid w:val="00AD4227"/>
    <w:rsid w:val="00AD425B"/>
    <w:rsid w:val="00AD42BA"/>
    <w:rsid w:val="00AD4317"/>
    <w:rsid w:val="00AD4372"/>
    <w:rsid w:val="00AD4497"/>
    <w:rsid w:val="00AD449C"/>
    <w:rsid w:val="00AD44B8"/>
    <w:rsid w:val="00AD44F6"/>
    <w:rsid w:val="00AD453F"/>
    <w:rsid w:val="00AD456A"/>
    <w:rsid w:val="00AD456B"/>
    <w:rsid w:val="00AD4625"/>
    <w:rsid w:val="00AD469F"/>
    <w:rsid w:val="00AD46BF"/>
    <w:rsid w:val="00AD473A"/>
    <w:rsid w:val="00AD47FB"/>
    <w:rsid w:val="00AD4811"/>
    <w:rsid w:val="00AD4828"/>
    <w:rsid w:val="00AD4960"/>
    <w:rsid w:val="00AD4A48"/>
    <w:rsid w:val="00AD4BAC"/>
    <w:rsid w:val="00AD4BC8"/>
    <w:rsid w:val="00AD4C02"/>
    <w:rsid w:val="00AD4C3D"/>
    <w:rsid w:val="00AD4C60"/>
    <w:rsid w:val="00AD4CB1"/>
    <w:rsid w:val="00AD4D2C"/>
    <w:rsid w:val="00AD4D5E"/>
    <w:rsid w:val="00AD4DF3"/>
    <w:rsid w:val="00AD4E65"/>
    <w:rsid w:val="00AD4F54"/>
    <w:rsid w:val="00AD4F7A"/>
    <w:rsid w:val="00AD4FBD"/>
    <w:rsid w:val="00AD509A"/>
    <w:rsid w:val="00AD50A7"/>
    <w:rsid w:val="00AD50B6"/>
    <w:rsid w:val="00AD50D3"/>
    <w:rsid w:val="00AD50D8"/>
    <w:rsid w:val="00AD5180"/>
    <w:rsid w:val="00AD5193"/>
    <w:rsid w:val="00AD51BF"/>
    <w:rsid w:val="00AD51F5"/>
    <w:rsid w:val="00AD52C7"/>
    <w:rsid w:val="00AD5333"/>
    <w:rsid w:val="00AD5397"/>
    <w:rsid w:val="00AD53DF"/>
    <w:rsid w:val="00AD54AC"/>
    <w:rsid w:val="00AD551B"/>
    <w:rsid w:val="00AD5645"/>
    <w:rsid w:val="00AD569E"/>
    <w:rsid w:val="00AD56E6"/>
    <w:rsid w:val="00AD56FC"/>
    <w:rsid w:val="00AD5707"/>
    <w:rsid w:val="00AD5779"/>
    <w:rsid w:val="00AD57F5"/>
    <w:rsid w:val="00AD587B"/>
    <w:rsid w:val="00AD5900"/>
    <w:rsid w:val="00AD591C"/>
    <w:rsid w:val="00AD5940"/>
    <w:rsid w:val="00AD59E9"/>
    <w:rsid w:val="00AD5A5C"/>
    <w:rsid w:val="00AD5A5E"/>
    <w:rsid w:val="00AD5A62"/>
    <w:rsid w:val="00AD5AF5"/>
    <w:rsid w:val="00AD5B29"/>
    <w:rsid w:val="00AD5B72"/>
    <w:rsid w:val="00AD5BC1"/>
    <w:rsid w:val="00AD5BC9"/>
    <w:rsid w:val="00AD5C06"/>
    <w:rsid w:val="00AD5C50"/>
    <w:rsid w:val="00AD5D01"/>
    <w:rsid w:val="00AD5D82"/>
    <w:rsid w:val="00AD5D9C"/>
    <w:rsid w:val="00AD5DA9"/>
    <w:rsid w:val="00AD5DBB"/>
    <w:rsid w:val="00AD5E6B"/>
    <w:rsid w:val="00AD5E79"/>
    <w:rsid w:val="00AD5F83"/>
    <w:rsid w:val="00AD5F9D"/>
    <w:rsid w:val="00AD6032"/>
    <w:rsid w:val="00AD603E"/>
    <w:rsid w:val="00AD6087"/>
    <w:rsid w:val="00AD6095"/>
    <w:rsid w:val="00AD6139"/>
    <w:rsid w:val="00AD61A3"/>
    <w:rsid w:val="00AD6218"/>
    <w:rsid w:val="00AD6243"/>
    <w:rsid w:val="00AD624B"/>
    <w:rsid w:val="00AD634B"/>
    <w:rsid w:val="00AD63A7"/>
    <w:rsid w:val="00AD63BF"/>
    <w:rsid w:val="00AD63DD"/>
    <w:rsid w:val="00AD63F4"/>
    <w:rsid w:val="00AD6491"/>
    <w:rsid w:val="00AD64B6"/>
    <w:rsid w:val="00AD6565"/>
    <w:rsid w:val="00AD6571"/>
    <w:rsid w:val="00AD6583"/>
    <w:rsid w:val="00AD65D4"/>
    <w:rsid w:val="00AD6661"/>
    <w:rsid w:val="00AD6682"/>
    <w:rsid w:val="00AD66A8"/>
    <w:rsid w:val="00AD66B7"/>
    <w:rsid w:val="00AD67D4"/>
    <w:rsid w:val="00AD6806"/>
    <w:rsid w:val="00AD680B"/>
    <w:rsid w:val="00AD6818"/>
    <w:rsid w:val="00AD682F"/>
    <w:rsid w:val="00AD6842"/>
    <w:rsid w:val="00AD6892"/>
    <w:rsid w:val="00AD68C2"/>
    <w:rsid w:val="00AD690A"/>
    <w:rsid w:val="00AD693F"/>
    <w:rsid w:val="00AD6A00"/>
    <w:rsid w:val="00AD6A0C"/>
    <w:rsid w:val="00AD6AE1"/>
    <w:rsid w:val="00AD6B6A"/>
    <w:rsid w:val="00AD6BB3"/>
    <w:rsid w:val="00AD6BB8"/>
    <w:rsid w:val="00AD6D25"/>
    <w:rsid w:val="00AD6D29"/>
    <w:rsid w:val="00AD6D37"/>
    <w:rsid w:val="00AD6D90"/>
    <w:rsid w:val="00AD6E09"/>
    <w:rsid w:val="00AD6EBD"/>
    <w:rsid w:val="00AD705D"/>
    <w:rsid w:val="00AD70D2"/>
    <w:rsid w:val="00AD7188"/>
    <w:rsid w:val="00AD7285"/>
    <w:rsid w:val="00AD72C4"/>
    <w:rsid w:val="00AD73AF"/>
    <w:rsid w:val="00AD742E"/>
    <w:rsid w:val="00AD7444"/>
    <w:rsid w:val="00AD7472"/>
    <w:rsid w:val="00AD7482"/>
    <w:rsid w:val="00AD757B"/>
    <w:rsid w:val="00AD7611"/>
    <w:rsid w:val="00AD7612"/>
    <w:rsid w:val="00AD7662"/>
    <w:rsid w:val="00AD7681"/>
    <w:rsid w:val="00AD76B1"/>
    <w:rsid w:val="00AD76FE"/>
    <w:rsid w:val="00AD7882"/>
    <w:rsid w:val="00AD78D4"/>
    <w:rsid w:val="00AD796B"/>
    <w:rsid w:val="00AD7A49"/>
    <w:rsid w:val="00AD7B60"/>
    <w:rsid w:val="00AD7BA7"/>
    <w:rsid w:val="00AD7BEA"/>
    <w:rsid w:val="00AD7BFA"/>
    <w:rsid w:val="00AD7C45"/>
    <w:rsid w:val="00AD7C88"/>
    <w:rsid w:val="00AD7CE0"/>
    <w:rsid w:val="00AD7E02"/>
    <w:rsid w:val="00AE00CF"/>
    <w:rsid w:val="00AE010B"/>
    <w:rsid w:val="00AE0186"/>
    <w:rsid w:val="00AE01BB"/>
    <w:rsid w:val="00AE01D8"/>
    <w:rsid w:val="00AE025D"/>
    <w:rsid w:val="00AE0277"/>
    <w:rsid w:val="00AE02B2"/>
    <w:rsid w:val="00AE0307"/>
    <w:rsid w:val="00AE035E"/>
    <w:rsid w:val="00AE0366"/>
    <w:rsid w:val="00AE03A2"/>
    <w:rsid w:val="00AE03EF"/>
    <w:rsid w:val="00AE03F7"/>
    <w:rsid w:val="00AE03FD"/>
    <w:rsid w:val="00AE048E"/>
    <w:rsid w:val="00AE04CB"/>
    <w:rsid w:val="00AE05AD"/>
    <w:rsid w:val="00AE0658"/>
    <w:rsid w:val="00AE070F"/>
    <w:rsid w:val="00AE0768"/>
    <w:rsid w:val="00AE07CB"/>
    <w:rsid w:val="00AE09D6"/>
    <w:rsid w:val="00AE0B04"/>
    <w:rsid w:val="00AE0B20"/>
    <w:rsid w:val="00AE0B7F"/>
    <w:rsid w:val="00AE0BB7"/>
    <w:rsid w:val="00AE0BFC"/>
    <w:rsid w:val="00AE0C9D"/>
    <w:rsid w:val="00AE0D4B"/>
    <w:rsid w:val="00AE0D65"/>
    <w:rsid w:val="00AE0DCC"/>
    <w:rsid w:val="00AE0E09"/>
    <w:rsid w:val="00AE0E0F"/>
    <w:rsid w:val="00AE0E1E"/>
    <w:rsid w:val="00AE0E31"/>
    <w:rsid w:val="00AE0E32"/>
    <w:rsid w:val="00AE0F16"/>
    <w:rsid w:val="00AE0F18"/>
    <w:rsid w:val="00AE0F72"/>
    <w:rsid w:val="00AE0F96"/>
    <w:rsid w:val="00AE0FDD"/>
    <w:rsid w:val="00AE0FF4"/>
    <w:rsid w:val="00AE11C6"/>
    <w:rsid w:val="00AE11D3"/>
    <w:rsid w:val="00AE121C"/>
    <w:rsid w:val="00AE1242"/>
    <w:rsid w:val="00AE140B"/>
    <w:rsid w:val="00AE14BF"/>
    <w:rsid w:val="00AE14C0"/>
    <w:rsid w:val="00AE14C1"/>
    <w:rsid w:val="00AE1504"/>
    <w:rsid w:val="00AE1516"/>
    <w:rsid w:val="00AE153A"/>
    <w:rsid w:val="00AE15AE"/>
    <w:rsid w:val="00AE1618"/>
    <w:rsid w:val="00AE1691"/>
    <w:rsid w:val="00AE170D"/>
    <w:rsid w:val="00AE1773"/>
    <w:rsid w:val="00AE17A3"/>
    <w:rsid w:val="00AE17F7"/>
    <w:rsid w:val="00AE17F8"/>
    <w:rsid w:val="00AE1835"/>
    <w:rsid w:val="00AE18FF"/>
    <w:rsid w:val="00AE1929"/>
    <w:rsid w:val="00AE19FF"/>
    <w:rsid w:val="00AE1A07"/>
    <w:rsid w:val="00AE1A97"/>
    <w:rsid w:val="00AE1AA9"/>
    <w:rsid w:val="00AE1AC6"/>
    <w:rsid w:val="00AE1AC8"/>
    <w:rsid w:val="00AE1B3B"/>
    <w:rsid w:val="00AE1B70"/>
    <w:rsid w:val="00AE1B76"/>
    <w:rsid w:val="00AE1BEA"/>
    <w:rsid w:val="00AE1C1D"/>
    <w:rsid w:val="00AE1C4F"/>
    <w:rsid w:val="00AE1C51"/>
    <w:rsid w:val="00AE1C66"/>
    <w:rsid w:val="00AE1C8A"/>
    <w:rsid w:val="00AE1CA7"/>
    <w:rsid w:val="00AE1D1A"/>
    <w:rsid w:val="00AE1D2A"/>
    <w:rsid w:val="00AE1D84"/>
    <w:rsid w:val="00AE1E05"/>
    <w:rsid w:val="00AE1E41"/>
    <w:rsid w:val="00AE1E43"/>
    <w:rsid w:val="00AE1FA2"/>
    <w:rsid w:val="00AE1FC9"/>
    <w:rsid w:val="00AE2048"/>
    <w:rsid w:val="00AE20A5"/>
    <w:rsid w:val="00AE20BC"/>
    <w:rsid w:val="00AE2116"/>
    <w:rsid w:val="00AE2131"/>
    <w:rsid w:val="00AE217C"/>
    <w:rsid w:val="00AE2299"/>
    <w:rsid w:val="00AE2346"/>
    <w:rsid w:val="00AE2366"/>
    <w:rsid w:val="00AE23D5"/>
    <w:rsid w:val="00AE240F"/>
    <w:rsid w:val="00AE2413"/>
    <w:rsid w:val="00AE2460"/>
    <w:rsid w:val="00AE2461"/>
    <w:rsid w:val="00AE246A"/>
    <w:rsid w:val="00AE246B"/>
    <w:rsid w:val="00AE246F"/>
    <w:rsid w:val="00AE2483"/>
    <w:rsid w:val="00AE24F2"/>
    <w:rsid w:val="00AE2508"/>
    <w:rsid w:val="00AE25E0"/>
    <w:rsid w:val="00AE264B"/>
    <w:rsid w:val="00AE26A1"/>
    <w:rsid w:val="00AE2752"/>
    <w:rsid w:val="00AE282D"/>
    <w:rsid w:val="00AE2842"/>
    <w:rsid w:val="00AE2872"/>
    <w:rsid w:val="00AE28B3"/>
    <w:rsid w:val="00AE29C6"/>
    <w:rsid w:val="00AE2A2C"/>
    <w:rsid w:val="00AE2A78"/>
    <w:rsid w:val="00AE2AE2"/>
    <w:rsid w:val="00AE2B4B"/>
    <w:rsid w:val="00AE2BFF"/>
    <w:rsid w:val="00AE2C7E"/>
    <w:rsid w:val="00AE2C9A"/>
    <w:rsid w:val="00AE2CE2"/>
    <w:rsid w:val="00AE2CEF"/>
    <w:rsid w:val="00AE2D22"/>
    <w:rsid w:val="00AE2E16"/>
    <w:rsid w:val="00AE2EA4"/>
    <w:rsid w:val="00AE2EDC"/>
    <w:rsid w:val="00AE2F33"/>
    <w:rsid w:val="00AE2F3A"/>
    <w:rsid w:val="00AE2F60"/>
    <w:rsid w:val="00AE2FB3"/>
    <w:rsid w:val="00AE3071"/>
    <w:rsid w:val="00AE30B3"/>
    <w:rsid w:val="00AE30E9"/>
    <w:rsid w:val="00AE3154"/>
    <w:rsid w:val="00AE31AA"/>
    <w:rsid w:val="00AE31B9"/>
    <w:rsid w:val="00AE31E3"/>
    <w:rsid w:val="00AE3270"/>
    <w:rsid w:val="00AE3278"/>
    <w:rsid w:val="00AE3292"/>
    <w:rsid w:val="00AE33B8"/>
    <w:rsid w:val="00AE3476"/>
    <w:rsid w:val="00AE34CC"/>
    <w:rsid w:val="00AE350B"/>
    <w:rsid w:val="00AE3510"/>
    <w:rsid w:val="00AE356F"/>
    <w:rsid w:val="00AE3587"/>
    <w:rsid w:val="00AE358A"/>
    <w:rsid w:val="00AE35F9"/>
    <w:rsid w:val="00AE3603"/>
    <w:rsid w:val="00AE3646"/>
    <w:rsid w:val="00AE36A0"/>
    <w:rsid w:val="00AE36A9"/>
    <w:rsid w:val="00AE3846"/>
    <w:rsid w:val="00AE3A70"/>
    <w:rsid w:val="00AE3AB7"/>
    <w:rsid w:val="00AE3AF8"/>
    <w:rsid w:val="00AE3B7E"/>
    <w:rsid w:val="00AE3D20"/>
    <w:rsid w:val="00AE3D3C"/>
    <w:rsid w:val="00AE3D55"/>
    <w:rsid w:val="00AE3D67"/>
    <w:rsid w:val="00AE3DF1"/>
    <w:rsid w:val="00AE3E16"/>
    <w:rsid w:val="00AE3ED1"/>
    <w:rsid w:val="00AE3F37"/>
    <w:rsid w:val="00AE3F49"/>
    <w:rsid w:val="00AE3F4E"/>
    <w:rsid w:val="00AE3FCB"/>
    <w:rsid w:val="00AE3FF7"/>
    <w:rsid w:val="00AE404B"/>
    <w:rsid w:val="00AE404E"/>
    <w:rsid w:val="00AE405F"/>
    <w:rsid w:val="00AE40AD"/>
    <w:rsid w:val="00AE40B3"/>
    <w:rsid w:val="00AE40D0"/>
    <w:rsid w:val="00AE4179"/>
    <w:rsid w:val="00AE417B"/>
    <w:rsid w:val="00AE4186"/>
    <w:rsid w:val="00AE419C"/>
    <w:rsid w:val="00AE423D"/>
    <w:rsid w:val="00AE4294"/>
    <w:rsid w:val="00AE429D"/>
    <w:rsid w:val="00AE42BE"/>
    <w:rsid w:val="00AE42CC"/>
    <w:rsid w:val="00AE43E6"/>
    <w:rsid w:val="00AE43F4"/>
    <w:rsid w:val="00AE4429"/>
    <w:rsid w:val="00AE4449"/>
    <w:rsid w:val="00AE44DB"/>
    <w:rsid w:val="00AE4504"/>
    <w:rsid w:val="00AE4543"/>
    <w:rsid w:val="00AE463A"/>
    <w:rsid w:val="00AE4650"/>
    <w:rsid w:val="00AE4715"/>
    <w:rsid w:val="00AE4724"/>
    <w:rsid w:val="00AE474B"/>
    <w:rsid w:val="00AE47BB"/>
    <w:rsid w:val="00AE4813"/>
    <w:rsid w:val="00AE482E"/>
    <w:rsid w:val="00AE4932"/>
    <w:rsid w:val="00AE493F"/>
    <w:rsid w:val="00AE49A1"/>
    <w:rsid w:val="00AE49C6"/>
    <w:rsid w:val="00AE49E6"/>
    <w:rsid w:val="00AE4A49"/>
    <w:rsid w:val="00AE4A55"/>
    <w:rsid w:val="00AE4A75"/>
    <w:rsid w:val="00AE4AA9"/>
    <w:rsid w:val="00AE4AE9"/>
    <w:rsid w:val="00AE4AFE"/>
    <w:rsid w:val="00AE4B81"/>
    <w:rsid w:val="00AE4C7E"/>
    <w:rsid w:val="00AE4CAD"/>
    <w:rsid w:val="00AE4CE3"/>
    <w:rsid w:val="00AE4D11"/>
    <w:rsid w:val="00AE4D71"/>
    <w:rsid w:val="00AE4D75"/>
    <w:rsid w:val="00AE4D8E"/>
    <w:rsid w:val="00AE4DB5"/>
    <w:rsid w:val="00AE4E4A"/>
    <w:rsid w:val="00AE4E5C"/>
    <w:rsid w:val="00AE4EE0"/>
    <w:rsid w:val="00AE4F7F"/>
    <w:rsid w:val="00AE4F8A"/>
    <w:rsid w:val="00AE4FBE"/>
    <w:rsid w:val="00AE4FE3"/>
    <w:rsid w:val="00AE5005"/>
    <w:rsid w:val="00AE501A"/>
    <w:rsid w:val="00AE5049"/>
    <w:rsid w:val="00AE509F"/>
    <w:rsid w:val="00AE51E3"/>
    <w:rsid w:val="00AE522B"/>
    <w:rsid w:val="00AE5240"/>
    <w:rsid w:val="00AE53AC"/>
    <w:rsid w:val="00AE53AE"/>
    <w:rsid w:val="00AE53D7"/>
    <w:rsid w:val="00AE53EE"/>
    <w:rsid w:val="00AE5497"/>
    <w:rsid w:val="00AE54C5"/>
    <w:rsid w:val="00AE5512"/>
    <w:rsid w:val="00AE552A"/>
    <w:rsid w:val="00AE55A4"/>
    <w:rsid w:val="00AE5622"/>
    <w:rsid w:val="00AE589A"/>
    <w:rsid w:val="00AE593E"/>
    <w:rsid w:val="00AE5948"/>
    <w:rsid w:val="00AE5949"/>
    <w:rsid w:val="00AE5AA7"/>
    <w:rsid w:val="00AE5AFB"/>
    <w:rsid w:val="00AE5AFC"/>
    <w:rsid w:val="00AE5B41"/>
    <w:rsid w:val="00AE5BBA"/>
    <w:rsid w:val="00AE5BE6"/>
    <w:rsid w:val="00AE5C2D"/>
    <w:rsid w:val="00AE5C37"/>
    <w:rsid w:val="00AE5D00"/>
    <w:rsid w:val="00AE5DA8"/>
    <w:rsid w:val="00AE5E68"/>
    <w:rsid w:val="00AE5E6B"/>
    <w:rsid w:val="00AE5EA6"/>
    <w:rsid w:val="00AE5EEF"/>
    <w:rsid w:val="00AE5F2F"/>
    <w:rsid w:val="00AE5F92"/>
    <w:rsid w:val="00AE5FE2"/>
    <w:rsid w:val="00AE6085"/>
    <w:rsid w:val="00AE6091"/>
    <w:rsid w:val="00AE60B2"/>
    <w:rsid w:val="00AE62D7"/>
    <w:rsid w:val="00AE62F6"/>
    <w:rsid w:val="00AE6371"/>
    <w:rsid w:val="00AE643F"/>
    <w:rsid w:val="00AE645A"/>
    <w:rsid w:val="00AE6539"/>
    <w:rsid w:val="00AE653A"/>
    <w:rsid w:val="00AE65C1"/>
    <w:rsid w:val="00AE6619"/>
    <w:rsid w:val="00AE6630"/>
    <w:rsid w:val="00AE6707"/>
    <w:rsid w:val="00AE6783"/>
    <w:rsid w:val="00AE67DF"/>
    <w:rsid w:val="00AE6877"/>
    <w:rsid w:val="00AE689D"/>
    <w:rsid w:val="00AE68A6"/>
    <w:rsid w:val="00AE68C1"/>
    <w:rsid w:val="00AE6933"/>
    <w:rsid w:val="00AE6937"/>
    <w:rsid w:val="00AE6956"/>
    <w:rsid w:val="00AE6A03"/>
    <w:rsid w:val="00AE6A6E"/>
    <w:rsid w:val="00AE6A82"/>
    <w:rsid w:val="00AE6AC7"/>
    <w:rsid w:val="00AE6B34"/>
    <w:rsid w:val="00AE6CA8"/>
    <w:rsid w:val="00AE6CCD"/>
    <w:rsid w:val="00AE6D8B"/>
    <w:rsid w:val="00AE6DE0"/>
    <w:rsid w:val="00AE6E2C"/>
    <w:rsid w:val="00AE6E8B"/>
    <w:rsid w:val="00AE6FB5"/>
    <w:rsid w:val="00AE70B6"/>
    <w:rsid w:val="00AE70E3"/>
    <w:rsid w:val="00AE70F0"/>
    <w:rsid w:val="00AE7123"/>
    <w:rsid w:val="00AE71BA"/>
    <w:rsid w:val="00AE720A"/>
    <w:rsid w:val="00AE72CE"/>
    <w:rsid w:val="00AE73E8"/>
    <w:rsid w:val="00AE7423"/>
    <w:rsid w:val="00AE74BD"/>
    <w:rsid w:val="00AE752F"/>
    <w:rsid w:val="00AE755C"/>
    <w:rsid w:val="00AE7662"/>
    <w:rsid w:val="00AE76C1"/>
    <w:rsid w:val="00AE773A"/>
    <w:rsid w:val="00AE77A4"/>
    <w:rsid w:val="00AE7803"/>
    <w:rsid w:val="00AE7945"/>
    <w:rsid w:val="00AE7965"/>
    <w:rsid w:val="00AE7A77"/>
    <w:rsid w:val="00AE7A99"/>
    <w:rsid w:val="00AE7AE5"/>
    <w:rsid w:val="00AE7AEB"/>
    <w:rsid w:val="00AE7AF5"/>
    <w:rsid w:val="00AE7C4B"/>
    <w:rsid w:val="00AE7CDD"/>
    <w:rsid w:val="00AE7DE0"/>
    <w:rsid w:val="00AE7E7D"/>
    <w:rsid w:val="00AE7E92"/>
    <w:rsid w:val="00AE7F93"/>
    <w:rsid w:val="00AE7FDC"/>
    <w:rsid w:val="00AF0022"/>
    <w:rsid w:val="00AF0059"/>
    <w:rsid w:val="00AF00FE"/>
    <w:rsid w:val="00AF0132"/>
    <w:rsid w:val="00AF015B"/>
    <w:rsid w:val="00AF0195"/>
    <w:rsid w:val="00AF01AC"/>
    <w:rsid w:val="00AF027B"/>
    <w:rsid w:val="00AF02EC"/>
    <w:rsid w:val="00AF039E"/>
    <w:rsid w:val="00AF03BF"/>
    <w:rsid w:val="00AF0474"/>
    <w:rsid w:val="00AF05AB"/>
    <w:rsid w:val="00AF06CD"/>
    <w:rsid w:val="00AF072A"/>
    <w:rsid w:val="00AF077E"/>
    <w:rsid w:val="00AF07B3"/>
    <w:rsid w:val="00AF07CA"/>
    <w:rsid w:val="00AF08A1"/>
    <w:rsid w:val="00AF0927"/>
    <w:rsid w:val="00AF099E"/>
    <w:rsid w:val="00AF0A82"/>
    <w:rsid w:val="00AF0B4C"/>
    <w:rsid w:val="00AF0C11"/>
    <w:rsid w:val="00AF0C44"/>
    <w:rsid w:val="00AF0C88"/>
    <w:rsid w:val="00AF0CA9"/>
    <w:rsid w:val="00AF0D42"/>
    <w:rsid w:val="00AF0DEE"/>
    <w:rsid w:val="00AF0E59"/>
    <w:rsid w:val="00AF0E85"/>
    <w:rsid w:val="00AF0EBB"/>
    <w:rsid w:val="00AF0F14"/>
    <w:rsid w:val="00AF0F1F"/>
    <w:rsid w:val="00AF0F59"/>
    <w:rsid w:val="00AF0F66"/>
    <w:rsid w:val="00AF0FB9"/>
    <w:rsid w:val="00AF0FFF"/>
    <w:rsid w:val="00AF1083"/>
    <w:rsid w:val="00AF1092"/>
    <w:rsid w:val="00AF1100"/>
    <w:rsid w:val="00AF112F"/>
    <w:rsid w:val="00AF113D"/>
    <w:rsid w:val="00AF1142"/>
    <w:rsid w:val="00AF1181"/>
    <w:rsid w:val="00AF11F1"/>
    <w:rsid w:val="00AF122B"/>
    <w:rsid w:val="00AF122C"/>
    <w:rsid w:val="00AF123C"/>
    <w:rsid w:val="00AF1260"/>
    <w:rsid w:val="00AF12EB"/>
    <w:rsid w:val="00AF12F3"/>
    <w:rsid w:val="00AF1307"/>
    <w:rsid w:val="00AF13A8"/>
    <w:rsid w:val="00AF13C1"/>
    <w:rsid w:val="00AF13FD"/>
    <w:rsid w:val="00AF143D"/>
    <w:rsid w:val="00AF1463"/>
    <w:rsid w:val="00AF14C0"/>
    <w:rsid w:val="00AF14DA"/>
    <w:rsid w:val="00AF14F2"/>
    <w:rsid w:val="00AF1549"/>
    <w:rsid w:val="00AF1562"/>
    <w:rsid w:val="00AF159D"/>
    <w:rsid w:val="00AF15E0"/>
    <w:rsid w:val="00AF17D8"/>
    <w:rsid w:val="00AF17E8"/>
    <w:rsid w:val="00AF1893"/>
    <w:rsid w:val="00AF19B4"/>
    <w:rsid w:val="00AF1A5C"/>
    <w:rsid w:val="00AF1A97"/>
    <w:rsid w:val="00AF1C68"/>
    <w:rsid w:val="00AF1CBD"/>
    <w:rsid w:val="00AF1CFB"/>
    <w:rsid w:val="00AF1EF6"/>
    <w:rsid w:val="00AF1F57"/>
    <w:rsid w:val="00AF1F72"/>
    <w:rsid w:val="00AF2065"/>
    <w:rsid w:val="00AF20B9"/>
    <w:rsid w:val="00AF20C9"/>
    <w:rsid w:val="00AF20D0"/>
    <w:rsid w:val="00AF21E3"/>
    <w:rsid w:val="00AF2231"/>
    <w:rsid w:val="00AF2259"/>
    <w:rsid w:val="00AF229C"/>
    <w:rsid w:val="00AF235D"/>
    <w:rsid w:val="00AF23D4"/>
    <w:rsid w:val="00AF2405"/>
    <w:rsid w:val="00AF244A"/>
    <w:rsid w:val="00AF246B"/>
    <w:rsid w:val="00AF24C8"/>
    <w:rsid w:val="00AF262F"/>
    <w:rsid w:val="00AF26F3"/>
    <w:rsid w:val="00AF26F4"/>
    <w:rsid w:val="00AF274B"/>
    <w:rsid w:val="00AF2775"/>
    <w:rsid w:val="00AF280F"/>
    <w:rsid w:val="00AF2838"/>
    <w:rsid w:val="00AF28CC"/>
    <w:rsid w:val="00AF2A1D"/>
    <w:rsid w:val="00AF2ABD"/>
    <w:rsid w:val="00AF2B0E"/>
    <w:rsid w:val="00AF2B2A"/>
    <w:rsid w:val="00AF2B53"/>
    <w:rsid w:val="00AF2B5A"/>
    <w:rsid w:val="00AF2B89"/>
    <w:rsid w:val="00AF2C3B"/>
    <w:rsid w:val="00AF2C54"/>
    <w:rsid w:val="00AF2CAC"/>
    <w:rsid w:val="00AF2CB2"/>
    <w:rsid w:val="00AF2DE0"/>
    <w:rsid w:val="00AF2E79"/>
    <w:rsid w:val="00AF2E92"/>
    <w:rsid w:val="00AF2E9A"/>
    <w:rsid w:val="00AF2ECC"/>
    <w:rsid w:val="00AF3006"/>
    <w:rsid w:val="00AF3040"/>
    <w:rsid w:val="00AF306A"/>
    <w:rsid w:val="00AF307D"/>
    <w:rsid w:val="00AF3111"/>
    <w:rsid w:val="00AF3129"/>
    <w:rsid w:val="00AF3168"/>
    <w:rsid w:val="00AF31BA"/>
    <w:rsid w:val="00AF31C0"/>
    <w:rsid w:val="00AF31F5"/>
    <w:rsid w:val="00AF322E"/>
    <w:rsid w:val="00AF3272"/>
    <w:rsid w:val="00AF32D8"/>
    <w:rsid w:val="00AF32E3"/>
    <w:rsid w:val="00AF3323"/>
    <w:rsid w:val="00AF332D"/>
    <w:rsid w:val="00AF33BB"/>
    <w:rsid w:val="00AF3489"/>
    <w:rsid w:val="00AF3497"/>
    <w:rsid w:val="00AF349E"/>
    <w:rsid w:val="00AF34D0"/>
    <w:rsid w:val="00AF34FE"/>
    <w:rsid w:val="00AF3565"/>
    <w:rsid w:val="00AF35A7"/>
    <w:rsid w:val="00AF35B8"/>
    <w:rsid w:val="00AF35E3"/>
    <w:rsid w:val="00AF363A"/>
    <w:rsid w:val="00AF3690"/>
    <w:rsid w:val="00AF37D5"/>
    <w:rsid w:val="00AF3825"/>
    <w:rsid w:val="00AF3842"/>
    <w:rsid w:val="00AF3868"/>
    <w:rsid w:val="00AF38E7"/>
    <w:rsid w:val="00AF38F7"/>
    <w:rsid w:val="00AF391A"/>
    <w:rsid w:val="00AF3A1D"/>
    <w:rsid w:val="00AF3ADC"/>
    <w:rsid w:val="00AF3B26"/>
    <w:rsid w:val="00AF3B3B"/>
    <w:rsid w:val="00AF3C96"/>
    <w:rsid w:val="00AF3CB2"/>
    <w:rsid w:val="00AF3CFC"/>
    <w:rsid w:val="00AF3EFF"/>
    <w:rsid w:val="00AF3F86"/>
    <w:rsid w:val="00AF4039"/>
    <w:rsid w:val="00AF4058"/>
    <w:rsid w:val="00AF408D"/>
    <w:rsid w:val="00AF40B6"/>
    <w:rsid w:val="00AF40DB"/>
    <w:rsid w:val="00AF41FA"/>
    <w:rsid w:val="00AF4210"/>
    <w:rsid w:val="00AF4255"/>
    <w:rsid w:val="00AF4258"/>
    <w:rsid w:val="00AF43EB"/>
    <w:rsid w:val="00AF43F2"/>
    <w:rsid w:val="00AF4412"/>
    <w:rsid w:val="00AF44AE"/>
    <w:rsid w:val="00AF44FC"/>
    <w:rsid w:val="00AF450D"/>
    <w:rsid w:val="00AF4620"/>
    <w:rsid w:val="00AF468E"/>
    <w:rsid w:val="00AF47F2"/>
    <w:rsid w:val="00AF485F"/>
    <w:rsid w:val="00AF4868"/>
    <w:rsid w:val="00AF488F"/>
    <w:rsid w:val="00AF4903"/>
    <w:rsid w:val="00AF49C3"/>
    <w:rsid w:val="00AF4AB9"/>
    <w:rsid w:val="00AF4B98"/>
    <w:rsid w:val="00AF4BD2"/>
    <w:rsid w:val="00AF4C00"/>
    <w:rsid w:val="00AF4C32"/>
    <w:rsid w:val="00AF4D39"/>
    <w:rsid w:val="00AF4E21"/>
    <w:rsid w:val="00AF4E38"/>
    <w:rsid w:val="00AF4E78"/>
    <w:rsid w:val="00AF4F3B"/>
    <w:rsid w:val="00AF4F5C"/>
    <w:rsid w:val="00AF4F71"/>
    <w:rsid w:val="00AF4F79"/>
    <w:rsid w:val="00AF4FC1"/>
    <w:rsid w:val="00AF4FCF"/>
    <w:rsid w:val="00AF502B"/>
    <w:rsid w:val="00AF509D"/>
    <w:rsid w:val="00AF50C7"/>
    <w:rsid w:val="00AF50DC"/>
    <w:rsid w:val="00AF50FE"/>
    <w:rsid w:val="00AF510F"/>
    <w:rsid w:val="00AF5110"/>
    <w:rsid w:val="00AF5190"/>
    <w:rsid w:val="00AF51AB"/>
    <w:rsid w:val="00AF5211"/>
    <w:rsid w:val="00AF52C5"/>
    <w:rsid w:val="00AF52E7"/>
    <w:rsid w:val="00AF533C"/>
    <w:rsid w:val="00AF54EF"/>
    <w:rsid w:val="00AF55B4"/>
    <w:rsid w:val="00AF5628"/>
    <w:rsid w:val="00AF5683"/>
    <w:rsid w:val="00AF56C3"/>
    <w:rsid w:val="00AF570D"/>
    <w:rsid w:val="00AF5740"/>
    <w:rsid w:val="00AF5798"/>
    <w:rsid w:val="00AF580C"/>
    <w:rsid w:val="00AF5813"/>
    <w:rsid w:val="00AF58B5"/>
    <w:rsid w:val="00AF58BA"/>
    <w:rsid w:val="00AF5932"/>
    <w:rsid w:val="00AF5969"/>
    <w:rsid w:val="00AF5A5A"/>
    <w:rsid w:val="00AF5AC5"/>
    <w:rsid w:val="00AF5AFE"/>
    <w:rsid w:val="00AF5BBC"/>
    <w:rsid w:val="00AF5BC2"/>
    <w:rsid w:val="00AF5BC5"/>
    <w:rsid w:val="00AF5BE3"/>
    <w:rsid w:val="00AF5BEB"/>
    <w:rsid w:val="00AF5C29"/>
    <w:rsid w:val="00AF5C3F"/>
    <w:rsid w:val="00AF5C47"/>
    <w:rsid w:val="00AF5C5D"/>
    <w:rsid w:val="00AF5CBD"/>
    <w:rsid w:val="00AF5CCC"/>
    <w:rsid w:val="00AF5D59"/>
    <w:rsid w:val="00AF5D77"/>
    <w:rsid w:val="00AF5E4E"/>
    <w:rsid w:val="00AF5E5A"/>
    <w:rsid w:val="00AF5E8D"/>
    <w:rsid w:val="00AF5F4D"/>
    <w:rsid w:val="00AF5FBE"/>
    <w:rsid w:val="00AF6016"/>
    <w:rsid w:val="00AF6019"/>
    <w:rsid w:val="00AF601C"/>
    <w:rsid w:val="00AF60A5"/>
    <w:rsid w:val="00AF60B7"/>
    <w:rsid w:val="00AF60F6"/>
    <w:rsid w:val="00AF610C"/>
    <w:rsid w:val="00AF6170"/>
    <w:rsid w:val="00AF6173"/>
    <w:rsid w:val="00AF61B4"/>
    <w:rsid w:val="00AF61D1"/>
    <w:rsid w:val="00AF6281"/>
    <w:rsid w:val="00AF6315"/>
    <w:rsid w:val="00AF6377"/>
    <w:rsid w:val="00AF65A1"/>
    <w:rsid w:val="00AF6601"/>
    <w:rsid w:val="00AF6650"/>
    <w:rsid w:val="00AF6654"/>
    <w:rsid w:val="00AF668B"/>
    <w:rsid w:val="00AF669D"/>
    <w:rsid w:val="00AF6734"/>
    <w:rsid w:val="00AF67F0"/>
    <w:rsid w:val="00AF686E"/>
    <w:rsid w:val="00AF695D"/>
    <w:rsid w:val="00AF69C4"/>
    <w:rsid w:val="00AF6A4D"/>
    <w:rsid w:val="00AF6B4F"/>
    <w:rsid w:val="00AF6B68"/>
    <w:rsid w:val="00AF6C81"/>
    <w:rsid w:val="00AF6C91"/>
    <w:rsid w:val="00AF6CC2"/>
    <w:rsid w:val="00AF6CFD"/>
    <w:rsid w:val="00AF6D12"/>
    <w:rsid w:val="00AF6D74"/>
    <w:rsid w:val="00AF6DC7"/>
    <w:rsid w:val="00AF6E3B"/>
    <w:rsid w:val="00AF6E48"/>
    <w:rsid w:val="00AF6EBA"/>
    <w:rsid w:val="00AF6EBB"/>
    <w:rsid w:val="00AF6F3B"/>
    <w:rsid w:val="00AF7052"/>
    <w:rsid w:val="00AF713B"/>
    <w:rsid w:val="00AF71AC"/>
    <w:rsid w:val="00AF728F"/>
    <w:rsid w:val="00AF72DE"/>
    <w:rsid w:val="00AF7406"/>
    <w:rsid w:val="00AF7408"/>
    <w:rsid w:val="00AF7460"/>
    <w:rsid w:val="00AF7480"/>
    <w:rsid w:val="00AF74B6"/>
    <w:rsid w:val="00AF74EE"/>
    <w:rsid w:val="00AF7532"/>
    <w:rsid w:val="00AF75E1"/>
    <w:rsid w:val="00AF75FC"/>
    <w:rsid w:val="00AF762D"/>
    <w:rsid w:val="00AF7635"/>
    <w:rsid w:val="00AF764E"/>
    <w:rsid w:val="00AF7778"/>
    <w:rsid w:val="00AF77E3"/>
    <w:rsid w:val="00AF7A54"/>
    <w:rsid w:val="00AF7AA6"/>
    <w:rsid w:val="00AF7ADE"/>
    <w:rsid w:val="00AF7B1B"/>
    <w:rsid w:val="00AF7B1D"/>
    <w:rsid w:val="00AF7B2C"/>
    <w:rsid w:val="00AF7B64"/>
    <w:rsid w:val="00AF7CAF"/>
    <w:rsid w:val="00AF7CCD"/>
    <w:rsid w:val="00AF7D13"/>
    <w:rsid w:val="00AF7D46"/>
    <w:rsid w:val="00AF7E76"/>
    <w:rsid w:val="00AF7F8E"/>
    <w:rsid w:val="00B0006F"/>
    <w:rsid w:val="00B00144"/>
    <w:rsid w:val="00B00199"/>
    <w:rsid w:val="00B001AD"/>
    <w:rsid w:val="00B001CB"/>
    <w:rsid w:val="00B001F7"/>
    <w:rsid w:val="00B00218"/>
    <w:rsid w:val="00B0028D"/>
    <w:rsid w:val="00B002BF"/>
    <w:rsid w:val="00B002FA"/>
    <w:rsid w:val="00B0031E"/>
    <w:rsid w:val="00B0032B"/>
    <w:rsid w:val="00B003E3"/>
    <w:rsid w:val="00B00413"/>
    <w:rsid w:val="00B00463"/>
    <w:rsid w:val="00B0048D"/>
    <w:rsid w:val="00B005BB"/>
    <w:rsid w:val="00B00740"/>
    <w:rsid w:val="00B0079B"/>
    <w:rsid w:val="00B00815"/>
    <w:rsid w:val="00B00840"/>
    <w:rsid w:val="00B00856"/>
    <w:rsid w:val="00B0088E"/>
    <w:rsid w:val="00B008BF"/>
    <w:rsid w:val="00B0091F"/>
    <w:rsid w:val="00B00977"/>
    <w:rsid w:val="00B0097F"/>
    <w:rsid w:val="00B00988"/>
    <w:rsid w:val="00B009A8"/>
    <w:rsid w:val="00B009C3"/>
    <w:rsid w:val="00B00AC6"/>
    <w:rsid w:val="00B00B2E"/>
    <w:rsid w:val="00B00B68"/>
    <w:rsid w:val="00B00BE1"/>
    <w:rsid w:val="00B00C5B"/>
    <w:rsid w:val="00B00CAA"/>
    <w:rsid w:val="00B00CB5"/>
    <w:rsid w:val="00B00CBC"/>
    <w:rsid w:val="00B00D0F"/>
    <w:rsid w:val="00B00D21"/>
    <w:rsid w:val="00B00E7E"/>
    <w:rsid w:val="00B00EA4"/>
    <w:rsid w:val="00B00EAE"/>
    <w:rsid w:val="00B00F54"/>
    <w:rsid w:val="00B00FCC"/>
    <w:rsid w:val="00B01020"/>
    <w:rsid w:val="00B0108F"/>
    <w:rsid w:val="00B0116F"/>
    <w:rsid w:val="00B0117B"/>
    <w:rsid w:val="00B011B8"/>
    <w:rsid w:val="00B0122E"/>
    <w:rsid w:val="00B01249"/>
    <w:rsid w:val="00B01290"/>
    <w:rsid w:val="00B012B1"/>
    <w:rsid w:val="00B012C7"/>
    <w:rsid w:val="00B012CA"/>
    <w:rsid w:val="00B012E8"/>
    <w:rsid w:val="00B012F3"/>
    <w:rsid w:val="00B01310"/>
    <w:rsid w:val="00B0131F"/>
    <w:rsid w:val="00B0135B"/>
    <w:rsid w:val="00B013B6"/>
    <w:rsid w:val="00B013C9"/>
    <w:rsid w:val="00B013D9"/>
    <w:rsid w:val="00B0141B"/>
    <w:rsid w:val="00B014CD"/>
    <w:rsid w:val="00B01588"/>
    <w:rsid w:val="00B015F9"/>
    <w:rsid w:val="00B01651"/>
    <w:rsid w:val="00B016F6"/>
    <w:rsid w:val="00B01870"/>
    <w:rsid w:val="00B01945"/>
    <w:rsid w:val="00B0198C"/>
    <w:rsid w:val="00B01A31"/>
    <w:rsid w:val="00B01ABC"/>
    <w:rsid w:val="00B01AE9"/>
    <w:rsid w:val="00B01B3C"/>
    <w:rsid w:val="00B01B4C"/>
    <w:rsid w:val="00B01C51"/>
    <w:rsid w:val="00B01C94"/>
    <w:rsid w:val="00B01D96"/>
    <w:rsid w:val="00B01DFE"/>
    <w:rsid w:val="00B01E5A"/>
    <w:rsid w:val="00B01ED9"/>
    <w:rsid w:val="00B01F3E"/>
    <w:rsid w:val="00B01F83"/>
    <w:rsid w:val="00B02105"/>
    <w:rsid w:val="00B02125"/>
    <w:rsid w:val="00B021CE"/>
    <w:rsid w:val="00B0220B"/>
    <w:rsid w:val="00B02245"/>
    <w:rsid w:val="00B0228F"/>
    <w:rsid w:val="00B022DD"/>
    <w:rsid w:val="00B0230C"/>
    <w:rsid w:val="00B023B7"/>
    <w:rsid w:val="00B0244D"/>
    <w:rsid w:val="00B0245B"/>
    <w:rsid w:val="00B024CF"/>
    <w:rsid w:val="00B02514"/>
    <w:rsid w:val="00B0251D"/>
    <w:rsid w:val="00B0259E"/>
    <w:rsid w:val="00B025D1"/>
    <w:rsid w:val="00B025E1"/>
    <w:rsid w:val="00B025F8"/>
    <w:rsid w:val="00B02608"/>
    <w:rsid w:val="00B02615"/>
    <w:rsid w:val="00B02625"/>
    <w:rsid w:val="00B0266A"/>
    <w:rsid w:val="00B026F4"/>
    <w:rsid w:val="00B02761"/>
    <w:rsid w:val="00B027DC"/>
    <w:rsid w:val="00B02A26"/>
    <w:rsid w:val="00B02B4D"/>
    <w:rsid w:val="00B02B73"/>
    <w:rsid w:val="00B02BAE"/>
    <w:rsid w:val="00B02BD6"/>
    <w:rsid w:val="00B02C03"/>
    <w:rsid w:val="00B02C0B"/>
    <w:rsid w:val="00B02C4A"/>
    <w:rsid w:val="00B02CEA"/>
    <w:rsid w:val="00B02DAC"/>
    <w:rsid w:val="00B02E36"/>
    <w:rsid w:val="00B02E54"/>
    <w:rsid w:val="00B02EB8"/>
    <w:rsid w:val="00B02F94"/>
    <w:rsid w:val="00B03090"/>
    <w:rsid w:val="00B0314B"/>
    <w:rsid w:val="00B03168"/>
    <w:rsid w:val="00B032A3"/>
    <w:rsid w:val="00B032D6"/>
    <w:rsid w:val="00B0338D"/>
    <w:rsid w:val="00B03400"/>
    <w:rsid w:val="00B034CD"/>
    <w:rsid w:val="00B034F0"/>
    <w:rsid w:val="00B03526"/>
    <w:rsid w:val="00B0354F"/>
    <w:rsid w:val="00B03632"/>
    <w:rsid w:val="00B03689"/>
    <w:rsid w:val="00B03753"/>
    <w:rsid w:val="00B037A9"/>
    <w:rsid w:val="00B037D8"/>
    <w:rsid w:val="00B037DE"/>
    <w:rsid w:val="00B037E3"/>
    <w:rsid w:val="00B0384B"/>
    <w:rsid w:val="00B03893"/>
    <w:rsid w:val="00B03924"/>
    <w:rsid w:val="00B03B1E"/>
    <w:rsid w:val="00B03B85"/>
    <w:rsid w:val="00B03BDA"/>
    <w:rsid w:val="00B03BFC"/>
    <w:rsid w:val="00B03C75"/>
    <w:rsid w:val="00B03CBE"/>
    <w:rsid w:val="00B03D02"/>
    <w:rsid w:val="00B03D61"/>
    <w:rsid w:val="00B03E94"/>
    <w:rsid w:val="00B03EB4"/>
    <w:rsid w:val="00B03EF0"/>
    <w:rsid w:val="00B03EF1"/>
    <w:rsid w:val="00B03F3F"/>
    <w:rsid w:val="00B03F70"/>
    <w:rsid w:val="00B03F7D"/>
    <w:rsid w:val="00B0400C"/>
    <w:rsid w:val="00B0409F"/>
    <w:rsid w:val="00B0414C"/>
    <w:rsid w:val="00B042F5"/>
    <w:rsid w:val="00B04375"/>
    <w:rsid w:val="00B043BE"/>
    <w:rsid w:val="00B04474"/>
    <w:rsid w:val="00B04541"/>
    <w:rsid w:val="00B0459E"/>
    <w:rsid w:val="00B0460B"/>
    <w:rsid w:val="00B0464C"/>
    <w:rsid w:val="00B0465B"/>
    <w:rsid w:val="00B04717"/>
    <w:rsid w:val="00B04730"/>
    <w:rsid w:val="00B047C9"/>
    <w:rsid w:val="00B04801"/>
    <w:rsid w:val="00B048C9"/>
    <w:rsid w:val="00B04922"/>
    <w:rsid w:val="00B04A13"/>
    <w:rsid w:val="00B04A41"/>
    <w:rsid w:val="00B04A59"/>
    <w:rsid w:val="00B04A68"/>
    <w:rsid w:val="00B04A97"/>
    <w:rsid w:val="00B04AA1"/>
    <w:rsid w:val="00B04B4A"/>
    <w:rsid w:val="00B04C24"/>
    <w:rsid w:val="00B04C33"/>
    <w:rsid w:val="00B04C7F"/>
    <w:rsid w:val="00B04C8B"/>
    <w:rsid w:val="00B04D1F"/>
    <w:rsid w:val="00B04D29"/>
    <w:rsid w:val="00B04D32"/>
    <w:rsid w:val="00B04DDF"/>
    <w:rsid w:val="00B04DEF"/>
    <w:rsid w:val="00B04F33"/>
    <w:rsid w:val="00B04F3F"/>
    <w:rsid w:val="00B04FC8"/>
    <w:rsid w:val="00B05039"/>
    <w:rsid w:val="00B050E3"/>
    <w:rsid w:val="00B0516F"/>
    <w:rsid w:val="00B051A1"/>
    <w:rsid w:val="00B05358"/>
    <w:rsid w:val="00B053E0"/>
    <w:rsid w:val="00B05431"/>
    <w:rsid w:val="00B0543D"/>
    <w:rsid w:val="00B0549A"/>
    <w:rsid w:val="00B054A4"/>
    <w:rsid w:val="00B054A6"/>
    <w:rsid w:val="00B0552B"/>
    <w:rsid w:val="00B05551"/>
    <w:rsid w:val="00B05628"/>
    <w:rsid w:val="00B056BF"/>
    <w:rsid w:val="00B057A8"/>
    <w:rsid w:val="00B057C7"/>
    <w:rsid w:val="00B05853"/>
    <w:rsid w:val="00B0588F"/>
    <w:rsid w:val="00B058D4"/>
    <w:rsid w:val="00B05966"/>
    <w:rsid w:val="00B05A33"/>
    <w:rsid w:val="00B05A39"/>
    <w:rsid w:val="00B05A82"/>
    <w:rsid w:val="00B05A8B"/>
    <w:rsid w:val="00B05AB6"/>
    <w:rsid w:val="00B05ABD"/>
    <w:rsid w:val="00B05AF6"/>
    <w:rsid w:val="00B05B1B"/>
    <w:rsid w:val="00B05B3F"/>
    <w:rsid w:val="00B05B49"/>
    <w:rsid w:val="00B05B8E"/>
    <w:rsid w:val="00B05BBF"/>
    <w:rsid w:val="00B05BEA"/>
    <w:rsid w:val="00B05C05"/>
    <w:rsid w:val="00B05C09"/>
    <w:rsid w:val="00B05C27"/>
    <w:rsid w:val="00B05C55"/>
    <w:rsid w:val="00B05CA3"/>
    <w:rsid w:val="00B05CE0"/>
    <w:rsid w:val="00B05DAD"/>
    <w:rsid w:val="00B05DB0"/>
    <w:rsid w:val="00B05E0A"/>
    <w:rsid w:val="00B05E77"/>
    <w:rsid w:val="00B05ED3"/>
    <w:rsid w:val="00B05F7B"/>
    <w:rsid w:val="00B0612D"/>
    <w:rsid w:val="00B06198"/>
    <w:rsid w:val="00B061D6"/>
    <w:rsid w:val="00B061F2"/>
    <w:rsid w:val="00B06226"/>
    <w:rsid w:val="00B06258"/>
    <w:rsid w:val="00B062CA"/>
    <w:rsid w:val="00B06322"/>
    <w:rsid w:val="00B063AA"/>
    <w:rsid w:val="00B06408"/>
    <w:rsid w:val="00B0641E"/>
    <w:rsid w:val="00B06489"/>
    <w:rsid w:val="00B064CD"/>
    <w:rsid w:val="00B06512"/>
    <w:rsid w:val="00B0654F"/>
    <w:rsid w:val="00B0656C"/>
    <w:rsid w:val="00B06641"/>
    <w:rsid w:val="00B06646"/>
    <w:rsid w:val="00B0666B"/>
    <w:rsid w:val="00B06672"/>
    <w:rsid w:val="00B0670F"/>
    <w:rsid w:val="00B06732"/>
    <w:rsid w:val="00B068AC"/>
    <w:rsid w:val="00B068CF"/>
    <w:rsid w:val="00B0692F"/>
    <w:rsid w:val="00B0693B"/>
    <w:rsid w:val="00B06A2E"/>
    <w:rsid w:val="00B06A57"/>
    <w:rsid w:val="00B06B77"/>
    <w:rsid w:val="00B06B95"/>
    <w:rsid w:val="00B06BB0"/>
    <w:rsid w:val="00B06BF7"/>
    <w:rsid w:val="00B06C5C"/>
    <w:rsid w:val="00B06C61"/>
    <w:rsid w:val="00B06D18"/>
    <w:rsid w:val="00B06D2C"/>
    <w:rsid w:val="00B06D75"/>
    <w:rsid w:val="00B06D9B"/>
    <w:rsid w:val="00B06DCA"/>
    <w:rsid w:val="00B06E14"/>
    <w:rsid w:val="00B06E42"/>
    <w:rsid w:val="00B06E46"/>
    <w:rsid w:val="00B06E52"/>
    <w:rsid w:val="00B06F12"/>
    <w:rsid w:val="00B06F6A"/>
    <w:rsid w:val="00B06FC0"/>
    <w:rsid w:val="00B06FFA"/>
    <w:rsid w:val="00B07006"/>
    <w:rsid w:val="00B07048"/>
    <w:rsid w:val="00B071AF"/>
    <w:rsid w:val="00B071C3"/>
    <w:rsid w:val="00B071F1"/>
    <w:rsid w:val="00B07244"/>
    <w:rsid w:val="00B0727E"/>
    <w:rsid w:val="00B07282"/>
    <w:rsid w:val="00B0732D"/>
    <w:rsid w:val="00B0735B"/>
    <w:rsid w:val="00B0737E"/>
    <w:rsid w:val="00B073C2"/>
    <w:rsid w:val="00B07423"/>
    <w:rsid w:val="00B07598"/>
    <w:rsid w:val="00B075C2"/>
    <w:rsid w:val="00B075E0"/>
    <w:rsid w:val="00B07695"/>
    <w:rsid w:val="00B076A6"/>
    <w:rsid w:val="00B076DB"/>
    <w:rsid w:val="00B07703"/>
    <w:rsid w:val="00B0772A"/>
    <w:rsid w:val="00B07738"/>
    <w:rsid w:val="00B07765"/>
    <w:rsid w:val="00B0777C"/>
    <w:rsid w:val="00B07900"/>
    <w:rsid w:val="00B07982"/>
    <w:rsid w:val="00B079D1"/>
    <w:rsid w:val="00B07A47"/>
    <w:rsid w:val="00B07A74"/>
    <w:rsid w:val="00B07A88"/>
    <w:rsid w:val="00B07AE0"/>
    <w:rsid w:val="00B07B36"/>
    <w:rsid w:val="00B07B3E"/>
    <w:rsid w:val="00B07B93"/>
    <w:rsid w:val="00B07BB7"/>
    <w:rsid w:val="00B07BBC"/>
    <w:rsid w:val="00B07BCE"/>
    <w:rsid w:val="00B07C61"/>
    <w:rsid w:val="00B07CEF"/>
    <w:rsid w:val="00B07D0C"/>
    <w:rsid w:val="00B07D50"/>
    <w:rsid w:val="00B07E5B"/>
    <w:rsid w:val="00B07E5F"/>
    <w:rsid w:val="00B07EA7"/>
    <w:rsid w:val="00B07EE3"/>
    <w:rsid w:val="00B07F24"/>
    <w:rsid w:val="00B07F27"/>
    <w:rsid w:val="00B07F89"/>
    <w:rsid w:val="00B07FBE"/>
    <w:rsid w:val="00B07FC2"/>
    <w:rsid w:val="00B10033"/>
    <w:rsid w:val="00B1008B"/>
    <w:rsid w:val="00B10098"/>
    <w:rsid w:val="00B10099"/>
    <w:rsid w:val="00B100F6"/>
    <w:rsid w:val="00B10108"/>
    <w:rsid w:val="00B101A3"/>
    <w:rsid w:val="00B1029F"/>
    <w:rsid w:val="00B102B2"/>
    <w:rsid w:val="00B10388"/>
    <w:rsid w:val="00B10436"/>
    <w:rsid w:val="00B1044E"/>
    <w:rsid w:val="00B1046D"/>
    <w:rsid w:val="00B104C0"/>
    <w:rsid w:val="00B105B8"/>
    <w:rsid w:val="00B1062A"/>
    <w:rsid w:val="00B10695"/>
    <w:rsid w:val="00B106FE"/>
    <w:rsid w:val="00B10789"/>
    <w:rsid w:val="00B1083E"/>
    <w:rsid w:val="00B10873"/>
    <w:rsid w:val="00B1092B"/>
    <w:rsid w:val="00B1093C"/>
    <w:rsid w:val="00B1095C"/>
    <w:rsid w:val="00B1099C"/>
    <w:rsid w:val="00B109B8"/>
    <w:rsid w:val="00B109E7"/>
    <w:rsid w:val="00B10A53"/>
    <w:rsid w:val="00B10AD9"/>
    <w:rsid w:val="00B10AE8"/>
    <w:rsid w:val="00B10B67"/>
    <w:rsid w:val="00B10C0E"/>
    <w:rsid w:val="00B10C41"/>
    <w:rsid w:val="00B10C69"/>
    <w:rsid w:val="00B10DD5"/>
    <w:rsid w:val="00B10E30"/>
    <w:rsid w:val="00B10E8D"/>
    <w:rsid w:val="00B10F90"/>
    <w:rsid w:val="00B10FD1"/>
    <w:rsid w:val="00B11014"/>
    <w:rsid w:val="00B11018"/>
    <w:rsid w:val="00B11099"/>
    <w:rsid w:val="00B110E0"/>
    <w:rsid w:val="00B11224"/>
    <w:rsid w:val="00B11239"/>
    <w:rsid w:val="00B11313"/>
    <w:rsid w:val="00B113FC"/>
    <w:rsid w:val="00B11416"/>
    <w:rsid w:val="00B11452"/>
    <w:rsid w:val="00B114A2"/>
    <w:rsid w:val="00B114BD"/>
    <w:rsid w:val="00B114CB"/>
    <w:rsid w:val="00B114D5"/>
    <w:rsid w:val="00B11548"/>
    <w:rsid w:val="00B11553"/>
    <w:rsid w:val="00B11642"/>
    <w:rsid w:val="00B11662"/>
    <w:rsid w:val="00B11697"/>
    <w:rsid w:val="00B116BE"/>
    <w:rsid w:val="00B11732"/>
    <w:rsid w:val="00B117BD"/>
    <w:rsid w:val="00B117D8"/>
    <w:rsid w:val="00B11893"/>
    <w:rsid w:val="00B118AB"/>
    <w:rsid w:val="00B11974"/>
    <w:rsid w:val="00B119D5"/>
    <w:rsid w:val="00B119E1"/>
    <w:rsid w:val="00B11A6C"/>
    <w:rsid w:val="00B11AE1"/>
    <w:rsid w:val="00B11B29"/>
    <w:rsid w:val="00B11B40"/>
    <w:rsid w:val="00B11BBA"/>
    <w:rsid w:val="00B11BEB"/>
    <w:rsid w:val="00B11BF0"/>
    <w:rsid w:val="00B11C50"/>
    <w:rsid w:val="00B11CD1"/>
    <w:rsid w:val="00B11D39"/>
    <w:rsid w:val="00B11DFB"/>
    <w:rsid w:val="00B11DFD"/>
    <w:rsid w:val="00B11E25"/>
    <w:rsid w:val="00B11E95"/>
    <w:rsid w:val="00B11ED1"/>
    <w:rsid w:val="00B11F31"/>
    <w:rsid w:val="00B11F83"/>
    <w:rsid w:val="00B11FF0"/>
    <w:rsid w:val="00B12045"/>
    <w:rsid w:val="00B120A9"/>
    <w:rsid w:val="00B120DD"/>
    <w:rsid w:val="00B120E2"/>
    <w:rsid w:val="00B120EF"/>
    <w:rsid w:val="00B12108"/>
    <w:rsid w:val="00B121A7"/>
    <w:rsid w:val="00B121F1"/>
    <w:rsid w:val="00B12230"/>
    <w:rsid w:val="00B122C9"/>
    <w:rsid w:val="00B122E0"/>
    <w:rsid w:val="00B1245B"/>
    <w:rsid w:val="00B12492"/>
    <w:rsid w:val="00B12517"/>
    <w:rsid w:val="00B125EF"/>
    <w:rsid w:val="00B12651"/>
    <w:rsid w:val="00B12688"/>
    <w:rsid w:val="00B126C2"/>
    <w:rsid w:val="00B126E6"/>
    <w:rsid w:val="00B12712"/>
    <w:rsid w:val="00B127D2"/>
    <w:rsid w:val="00B127F3"/>
    <w:rsid w:val="00B127F7"/>
    <w:rsid w:val="00B12811"/>
    <w:rsid w:val="00B128FA"/>
    <w:rsid w:val="00B12961"/>
    <w:rsid w:val="00B129B0"/>
    <w:rsid w:val="00B129D8"/>
    <w:rsid w:val="00B12BB9"/>
    <w:rsid w:val="00B12BFD"/>
    <w:rsid w:val="00B12C08"/>
    <w:rsid w:val="00B12C55"/>
    <w:rsid w:val="00B12D11"/>
    <w:rsid w:val="00B12DC0"/>
    <w:rsid w:val="00B12DC5"/>
    <w:rsid w:val="00B12E8A"/>
    <w:rsid w:val="00B12E8E"/>
    <w:rsid w:val="00B12EDD"/>
    <w:rsid w:val="00B12EE9"/>
    <w:rsid w:val="00B12F16"/>
    <w:rsid w:val="00B12F31"/>
    <w:rsid w:val="00B12F57"/>
    <w:rsid w:val="00B12F70"/>
    <w:rsid w:val="00B13130"/>
    <w:rsid w:val="00B1315D"/>
    <w:rsid w:val="00B13194"/>
    <w:rsid w:val="00B131EF"/>
    <w:rsid w:val="00B1321A"/>
    <w:rsid w:val="00B13285"/>
    <w:rsid w:val="00B13298"/>
    <w:rsid w:val="00B132A8"/>
    <w:rsid w:val="00B132D9"/>
    <w:rsid w:val="00B13331"/>
    <w:rsid w:val="00B1336D"/>
    <w:rsid w:val="00B13463"/>
    <w:rsid w:val="00B1348F"/>
    <w:rsid w:val="00B134E5"/>
    <w:rsid w:val="00B13512"/>
    <w:rsid w:val="00B13558"/>
    <w:rsid w:val="00B13615"/>
    <w:rsid w:val="00B13625"/>
    <w:rsid w:val="00B13642"/>
    <w:rsid w:val="00B136AE"/>
    <w:rsid w:val="00B136E5"/>
    <w:rsid w:val="00B13736"/>
    <w:rsid w:val="00B13819"/>
    <w:rsid w:val="00B1383F"/>
    <w:rsid w:val="00B1394C"/>
    <w:rsid w:val="00B1397F"/>
    <w:rsid w:val="00B13A8E"/>
    <w:rsid w:val="00B13AC6"/>
    <w:rsid w:val="00B13BD5"/>
    <w:rsid w:val="00B13BEB"/>
    <w:rsid w:val="00B13C5B"/>
    <w:rsid w:val="00B13C97"/>
    <w:rsid w:val="00B13CDC"/>
    <w:rsid w:val="00B13CEB"/>
    <w:rsid w:val="00B13D4E"/>
    <w:rsid w:val="00B13D79"/>
    <w:rsid w:val="00B13D88"/>
    <w:rsid w:val="00B13DCA"/>
    <w:rsid w:val="00B13E29"/>
    <w:rsid w:val="00B13E34"/>
    <w:rsid w:val="00B13E78"/>
    <w:rsid w:val="00B13EA7"/>
    <w:rsid w:val="00B13EF3"/>
    <w:rsid w:val="00B13F43"/>
    <w:rsid w:val="00B13F5A"/>
    <w:rsid w:val="00B1402E"/>
    <w:rsid w:val="00B14091"/>
    <w:rsid w:val="00B1415F"/>
    <w:rsid w:val="00B14263"/>
    <w:rsid w:val="00B14290"/>
    <w:rsid w:val="00B1429E"/>
    <w:rsid w:val="00B142D7"/>
    <w:rsid w:val="00B1433D"/>
    <w:rsid w:val="00B143F2"/>
    <w:rsid w:val="00B1440A"/>
    <w:rsid w:val="00B144E2"/>
    <w:rsid w:val="00B14548"/>
    <w:rsid w:val="00B146B7"/>
    <w:rsid w:val="00B146DB"/>
    <w:rsid w:val="00B1474C"/>
    <w:rsid w:val="00B1476A"/>
    <w:rsid w:val="00B14794"/>
    <w:rsid w:val="00B147AE"/>
    <w:rsid w:val="00B147BF"/>
    <w:rsid w:val="00B14805"/>
    <w:rsid w:val="00B14839"/>
    <w:rsid w:val="00B1488E"/>
    <w:rsid w:val="00B148A6"/>
    <w:rsid w:val="00B148A9"/>
    <w:rsid w:val="00B14903"/>
    <w:rsid w:val="00B14937"/>
    <w:rsid w:val="00B14A7D"/>
    <w:rsid w:val="00B14A80"/>
    <w:rsid w:val="00B14B47"/>
    <w:rsid w:val="00B14B86"/>
    <w:rsid w:val="00B14C14"/>
    <w:rsid w:val="00B14CB3"/>
    <w:rsid w:val="00B14E0E"/>
    <w:rsid w:val="00B14E87"/>
    <w:rsid w:val="00B14EAE"/>
    <w:rsid w:val="00B14F9D"/>
    <w:rsid w:val="00B14FAA"/>
    <w:rsid w:val="00B15048"/>
    <w:rsid w:val="00B1507E"/>
    <w:rsid w:val="00B1510E"/>
    <w:rsid w:val="00B1513D"/>
    <w:rsid w:val="00B15224"/>
    <w:rsid w:val="00B152E4"/>
    <w:rsid w:val="00B15357"/>
    <w:rsid w:val="00B153BE"/>
    <w:rsid w:val="00B15456"/>
    <w:rsid w:val="00B1547C"/>
    <w:rsid w:val="00B154FA"/>
    <w:rsid w:val="00B1553B"/>
    <w:rsid w:val="00B156D7"/>
    <w:rsid w:val="00B156FA"/>
    <w:rsid w:val="00B15748"/>
    <w:rsid w:val="00B15758"/>
    <w:rsid w:val="00B157D2"/>
    <w:rsid w:val="00B15845"/>
    <w:rsid w:val="00B15853"/>
    <w:rsid w:val="00B1588A"/>
    <w:rsid w:val="00B158A2"/>
    <w:rsid w:val="00B15A34"/>
    <w:rsid w:val="00B15A3C"/>
    <w:rsid w:val="00B15A79"/>
    <w:rsid w:val="00B15C4C"/>
    <w:rsid w:val="00B15C69"/>
    <w:rsid w:val="00B15D21"/>
    <w:rsid w:val="00B15D30"/>
    <w:rsid w:val="00B15D77"/>
    <w:rsid w:val="00B15D99"/>
    <w:rsid w:val="00B15EF9"/>
    <w:rsid w:val="00B15F75"/>
    <w:rsid w:val="00B15F9C"/>
    <w:rsid w:val="00B1601E"/>
    <w:rsid w:val="00B160E7"/>
    <w:rsid w:val="00B160F6"/>
    <w:rsid w:val="00B161AB"/>
    <w:rsid w:val="00B161D7"/>
    <w:rsid w:val="00B161E2"/>
    <w:rsid w:val="00B16257"/>
    <w:rsid w:val="00B1627A"/>
    <w:rsid w:val="00B16295"/>
    <w:rsid w:val="00B162AF"/>
    <w:rsid w:val="00B162C2"/>
    <w:rsid w:val="00B16321"/>
    <w:rsid w:val="00B16323"/>
    <w:rsid w:val="00B1637E"/>
    <w:rsid w:val="00B16431"/>
    <w:rsid w:val="00B1646F"/>
    <w:rsid w:val="00B1650F"/>
    <w:rsid w:val="00B16618"/>
    <w:rsid w:val="00B16659"/>
    <w:rsid w:val="00B1669D"/>
    <w:rsid w:val="00B16865"/>
    <w:rsid w:val="00B16985"/>
    <w:rsid w:val="00B169DF"/>
    <w:rsid w:val="00B169E5"/>
    <w:rsid w:val="00B16A41"/>
    <w:rsid w:val="00B16AFA"/>
    <w:rsid w:val="00B16B15"/>
    <w:rsid w:val="00B16B2F"/>
    <w:rsid w:val="00B16BA9"/>
    <w:rsid w:val="00B16BC6"/>
    <w:rsid w:val="00B16C6E"/>
    <w:rsid w:val="00B16C94"/>
    <w:rsid w:val="00B16DD7"/>
    <w:rsid w:val="00B16F3C"/>
    <w:rsid w:val="00B16F47"/>
    <w:rsid w:val="00B16F5E"/>
    <w:rsid w:val="00B16FAB"/>
    <w:rsid w:val="00B16FCC"/>
    <w:rsid w:val="00B17137"/>
    <w:rsid w:val="00B171D8"/>
    <w:rsid w:val="00B17266"/>
    <w:rsid w:val="00B172BA"/>
    <w:rsid w:val="00B172CD"/>
    <w:rsid w:val="00B172D8"/>
    <w:rsid w:val="00B17394"/>
    <w:rsid w:val="00B1740B"/>
    <w:rsid w:val="00B1749B"/>
    <w:rsid w:val="00B17563"/>
    <w:rsid w:val="00B17610"/>
    <w:rsid w:val="00B1773A"/>
    <w:rsid w:val="00B179B9"/>
    <w:rsid w:val="00B179E3"/>
    <w:rsid w:val="00B17A25"/>
    <w:rsid w:val="00B17A7A"/>
    <w:rsid w:val="00B17A7B"/>
    <w:rsid w:val="00B17AF7"/>
    <w:rsid w:val="00B17B53"/>
    <w:rsid w:val="00B17BEC"/>
    <w:rsid w:val="00B17CB0"/>
    <w:rsid w:val="00B17CED"/>
    <w:rsid w:val="00B17E0F"/>
    <w:rsid w:val="00B17E3C"/>
    <w:rsid w:val="00B17E60"/>
    <w:rsid w:val="00B17E70"/>
    <w:rsid w:val="00B17F60"/>
    <w:rsid w:val="00B17F78"/>
    <w:rsid w:val="00B17FBC"/>
    <w:rsid w:val="00B200B2"/>
    <w:rsid w:val="00B2010A"/>
    <w:rsid w:val="00B2010D"/>
    <w:rsid w:val="00B20131"/>
    <w:rsid w:val="00B20195"/>
    <w:rsid w:val="00B202A0"/>
    <w:rsid w:val="00B202EE"/>
    <w:rsid w:val="00B202FC"/>
    <w:rsid w:val="00B20306"/>
    <w:rsid w:val="00B2032F"/>
    <w:rsid w:val="00B203FB"/>
    <w:rsid w:val="00B2043B"/>
    <w:rsid w:val="00B20449"/>
    <w:rsid w:val="00B204E3"/>
    <w:rsid w:val="00B204E7"/>
    <w:rsid w:val="00B20550"/>
    <w:rsid w:val="00B20575"/>
    <w:rsid w:val="00B205B1"/>
    <w:rsid w:val="00B20829"/>
    <w:rsid w:val="00B2087C"/>
    <w:rsid w:val="00B208B8"/>
    <w:rsid w:val="00B209DC"/>
    <w:rsid w:val="00B20A92"/>
    <w:rsid w:val="00B20B15"/>
    <w:rsid w:val="00B20B2F"/>
    <w:rsid w:val="00B20B65"/>
    <w:rsid w:val="00B20B7B"/>
    <w:rsid w:val="00B20BCC"/>
    <w:rsid w:val="00B20BDE"/>
    <w:rsid w:val="00B20D07"/>
    <w:rsid w:val="00B20D8F"/>
    <w:rsid w:val="00B20E49"/>
    <w:rsid w:val="00B20EB6"/>
    <w:rsid w:val="00B20EB9"/>
    <w:rsid w:val="00B20ED9"/>
    <w:rsid w:val="00B20F84"/>
    <w:rsid w:val="00B20F8D"/>
    <w:rsid w:val="00B2100F"/>
    <w:rsid w:val="00B21047"/>
    <w:rsid w:val="00B21073"/>
    <w:rsid w:val="00B2112A"/>
    <w:rsid w:val="00B21211"/>
    <w:rsid w:val="00B21246"/>
    <w:rsid w:val="00B21338"/>
    <w:rsid w:val="00B21454"/>
    <w:rsid w:val="00B214E1"/>
    <w:rsid w:val="00B214FF"/>
    <w:rsid w:val="00B2153E"/>
    <w:rsid w:val="00B21547"/>
    <w:rsid w:val="00B215D6"/>
    <w:rsid w:val="00B21627"/>
    <w:rsid w:val="00B216C4"/>
    <w:rsid w:val="00B216EE"/>
    <w:rsid w:val="00B21749"/>
    <w:rsid w:val="00B217AC"/>
    <w:rsid w:val="00B217C0"/>
    <w:rsid w:val="00B21921"/>
    <w:rsid w:val="00B2193E"/>
    <w:rsid w:val="00B219E5"/>
    <w:rsid w:val="00B21A9D"/>
    <w:rsid w:val="00B21C29"/>
    <w:rsid w:val="00B21C72"/>
    <w:rsid w:val="00B21CFF"/>
    <w:rsid w:val="00B21D43"/>
    <w:rsid w:val="00B21D51"/>
    <w:rsid w:val="00B21D97"/>
    <w:rsid w:val="00B21E6B"/>
    <w:rsid w:val="00B21F3C"/>
    <w:rsid w:val="00B21F6E"/>
    <w:rsid w:val="00B21F7F"/>
    <w:rsid w:val="00B21F95"/>
    <w:rsid w:val="00B21FA0"/>
    <w:rsid w:val="00B2200B"/>
    <w:rsid w:val="00B2201A"/>
    <w:rsid w:val="00B2201F"/>
    <w:rsid w:val="00B2203A"/>
    <w:rsid w:val="00B22063"/>
    <w:rsid w:val="00B220C6"/>
    <w:rsid w:val="00B22122"/>
    <w:rsid w:val="00B22130"/>
    <w:rsid w:val="00B22182"/>
    <w:rsid w:val="00B2219B"/>
    <w:rsid w:val="00B22268"/>
    <w:rsid w:val="00B222CB"/>
    <w:rsid w:val="00B222DB"/>
    <w:rsid w:val="00B223B7"/>
    <w:rsid w:val="00B224F0"/>
    <w:rsid w:val="00B2267A"/>
    <w:rsid w:val="00B22717"/>
    <w:rsid w:val="00B227A1"/>
    <w:rsid w:val="00B22814"/>
    <w:rsid w:val="00B22820"/>
    <w:rsid w:val="00B22989"/>
    <w:rsid w:val="00B22993"/>
    <w:rsid w:val="00B22A85"/>
    <w:rsid w:val="00B22A9C"/>
    <w:rsid w:val="00B22B9A"/>
    <w:rsid w:val="00B22BE7"/>
    <w:rsid w:val="00B22C0A"/>
    <w:rsid w:val="00B22C4D"/>
    <w:rsid w:val="00B22CAE"/>
    <w:rsid w:val="00B22CDA"/>
    <w:rsid w:val="00B22DDA"/>
    <w:rsid w:val="00B22E05"/>
    <w:rsid w:val="00B22E26"/>
    <w:rsid w:val="00B22E2C"/>
    <w:rsid w:val="00B22FEF"/>
    <w:rsid w:val="00B230BD"/>
    <w:rsid w:val="00B230C8"/>
    <w:rsid w:val="00B2317D"/>
    <w:rsid w:val="00B2318F"/>
    <w:rsid w:val="00B231C2"/>
    <w:rsid w:val="00B231F8"/>
    <w:rsid w:val="00B23264"/>
    <w:rsid w:val="00B232F0"/>
    <w:rsid w:val="00B23328"/>
    <w:rsid w:val="00B23336"/>
    <w:rsid w:val="00B2337F"/>
    <w:rsid w:val="00B233DA"/>
    <w:rsid w:val="00B233F1"/>
    <w:rsid w:val="00B2345A"/>
    <w:rsid w:val="00B234F2"/>
    <w:rsid w:val="00B23505"/>
    <w:rsid w:val="00B2356D"/>
    <w:rsid w:val="00B23663"/>
    <w:rsid w:val="00B236D6"/>
    <w:rsid w:val="00B23754"/>
    <w:rsid w:val="00B2377A"/>
    <w:rsid w:val="00B23988"/>
    <w:rsid w:val="00B23AC3"/>
    <w:rsid w:val="00B23ADF"/>
    <w:rsid w:val="00B23B90"/>
    <w:rsid w:val="00B23C0D"/>
    <w:rsid w:val="00B23C36"/>
    <w:rsid w:val="00B23CCF"/>
    <w:rsid w:val="00B23CEC"/>
    <w:rsid w:val="00B23D05"/>
    <w:rsid w:val="00B23D8D"/>
    <w:rsid w:val="00B23D9E"/>
    <w:rsid w:val="00B23DCB"/>
    <w:rsid w:val="00B23DF0"/>
    <w:rsid w:val="00B23E1D"/>
    <w:rsid w:val="00B23E4C"/>
    <w:rsid w:val="00B23E8D"/>
    <w:rsid w:val="00B23F92"/>
    <w:rsid w:val="00B23FFC"/>
    <w:rsid w:val="00B2403F"/>
    <w:rsid w:val="00B24073"/>
    <w:rsid w:val="00B24146"/>
    <w:rsid w:val="00B241C9"/>
    <w:rsid w:val="00B24289"/>
    <w:rsid w:val="00B242CD"/>
    <w:rsid w:val="00B24300"/>
    <w:rsid w:val="00B2433C"/>
    <w:rsid w:val="00B24351"/>
    <w:rsid w:val="00B24369"/>
    <w:rsid w:val="00B24373"/>
    <w:rsid w:val="00B24375"/>
    <w:rsid w:val="00B24384"/>
    <w:rsid w:val="00B24413"/>
    <w:rsid w:val="00B24445"/>
    <w:rsid w:val="00B24469"/>
    <w:rsid w:val="00B2449C"/>
    <w:rsid w:val="00B2451E"/>
    <w:rsid w:val="00B24527"/>
    <w:rsid w:val="00B24642"/>
    <w:rsid w:val="00B24673"/>
    <w:rsid w:val="00B24689"/>
    <w:rsid w:val="00B246D9"/>
    <w:rsid w:val="00B2479C"/>
    <w:rsid w:val="00B247EC"/>
    <w:rsid w:val="00B2482B"/>
    <w:rsid w:val="00B2487A"/>
    <w:rsid w:val="00B248DD"/>
    <w:rsid w:val="00B24903"/>
    <w:rsid w:val="00B2492D"/>
    <w:rsid w:val="00B24940"/>
    <w:rsid w:val="00B2494F"/>
    <w:rsid w:val="00B249FE"/>
    <w:rsid w:val="00B24A40"/>
    <w:rsid w:val="00B24A80"/>
    <w:rsid w:val="00B24A8E"/>
    <w:rsid w:val="00B24A9E"/>
    <w:rsid w:val="00B24AA2"/>
    <w:rsid w:val="00B24AAA"/>
    <w:rsid w:val="00B24ABC"/>
    <w:rsid w:val="00B24BC9"/>
    <w:rsid w:val="00B24CF9"/>
    <w:rsid w:val="00B24D0F"/>
    <w:rsid w:val="00B24DDD"/>
    <w:rsid w:val="00B24E10"/>
    <w:rsid w:val="00B24E32"/>
    <w:rsid w:val="00B24E4A"/>
    <w:rsid w:val="00B24E8B"/>
    <w:rsid w:val="00B24EA0"/>
    <w:rsid w:val="00B24F47"/>
    <w:rsid w:val="00B24F60"/>
    <w:rsid w:val="00B24FA8"/>
    <w:rsid w:val="00B24FD0"/>
    <w:rsid w:val="00B24FD2"/>
    <w:rsid w:val="00B2501D"/>
    <w:rsid w:val="00B2502A"/>
    <w:rsid w:val="00B250C2"/>
    <w:rsid w:val="00B25122"/>
    <w:rsid w:val="00B251B5"/>
    <w:rsid w:val="00B251C2"/>
    <w:rsid w:val="00B25223"/>
    <w:rsid w:val="00B25230"/>
    <w:rsid w:val="00B25254"/>
    <w:rsid w:val="00B25317"/>
    <w:rsid w:val="00B25334"/>
    <w:rsid w:val="00B25436"/>
    <w:rsid w:val="00B254A1"/>
    <w:rsid w:val="00B2572E"/>
    <w:rsid w:val="00B25743"/>
    <w:rsid w:val="00B257E4"/>
    <w:rsid w:val="00B25887"/>
    <w:rsid w:val="00B258A0"/>
    <w:rsid w:val="00B258DC"/>
    <w:rsid w:val="00B258DD"/>
    <w:rsid w:val="00B258F2"/>
    <w:rsid w:val="00B259AF"/>
    <w:rsid w:val="00B25B08"/>
    <w:rsid w:val="00B25B2F"/>
    <w:rsid w:val="00B25B37"/>
    <w:rsid w:val="00B25BBE"/>
    <w:rsid w:val="00B25BC9"/>
    <w:rsid w:val="00B25BCC"/>
    <w:rsid w:val="00B25C32"/>
    <w:rsid w:val="00B25CE8"/>
    <w:rsid w:val="00B25CF3"/>
    <w:rsid w:val="00B25D18"/>
    <w:rsid w:val="00B25D85"/>
    <w:rsid w:val="00B25E49"/>
    <w:rsid w:val="00B25EC2"/>
    <w:rsid w:val="00B25EE9"/>
    <w:rsid w:val="00B25F2F"/>
    <w:rsid w:val="00B25F49"/>
    <w:rsid w:val="00B25F69"/>
    <w:rsid w:val="00B25FF5"/>
    <w:rsid w:val="00B25FFA"/>
    <w:rsid w:val="00B2614B"/>
    <w:rsid w:val="00B2615C"/>
    <w:rsid w:val="00B2615E"/>
    <w:rsid w:val="00B2621B"/>
    <w:rsid w:val="00B26237"/>
    <w:rsid w:val="00B2630C"/>
    <w:rsid w:val="00B26343"/>
    <w:rsid w:val="00B2636B"/>
    <w:rsid w:val="00B263DA"/>
    <w:rsid w:val="00B264C5"/>
    <w:rsid w:val="00B2653A"/>
    <w:rsid w:val="00B2658C"/>
    <w:rsid w:val="00B265B6"/>
    <w:rsid w:val="00B265FD"/>
    <w:rsid w:val="00B266A7"/>
    <w:rsid w:val="00B266E9"/>
    <w:rsid w:val="00B266FC"/>
    <w:rsid w:val="00B266FF"/>
    <w:rsid w:val="00B2678F"/>
    <w:rsid w:val="00B26836"/>
    <w:rsid w:val="00B268A6"/>
    <w:rsid w:val="00B268F8"/>
    <w:rsid w:val="00B26934"/>
    <w:rsid w:val="00B26941"/>
    <w:rsid w:val="00B269E2"/>
    <w:rsid w:val="00B26AE9"/>
    <w:rsid w:val="00B26B45"/>
    <w:rsid w:val="00B26B95"/>
    <w:rsid w:val="00B26C0E"/>
    <w:rsid w:val="00B26D55"/>
    <w:rsid w:val="00B26D6B"/>
    <w:rsid w:val="00B26D97"/>
    <w:rsid w:val="00B26EB6"/>
    <w:rsid w:val="00B26EC5"/>
    <w:rsid w:val="00B26EE2"/>
    <w:rsid w:val="00B26EEB"/>
    <w:rsid w:val="00B26F4A"/>
    <w:rsid w:val="00B26F9A"/>
    <w:rsid w:val="00B26FC5"/>
    <w:rsid w:val="00B2709C"/>
    <w:rsid w:val="00B270A9"/>
    <w:rsid w:val="00B270AE"/>
    <w:rsid w:val="00B2714C"/>
    <w:rsid w:val="00B27164"/>
    <w:rsid w:val="00B271E1"/>
    <w:rsid w:val="00B271F1"/>
    <w:rsid w:val="00B27201"/>
    <w:rsid w:val="00B2731D"/>
    <w:rsid w:val="00B273B5"/>
    <w:rsid w:val="00B273D4"/>
    <w:rsid w:val="00B273EA"/>
    <w:rsid w:val="00B273FA"/>
    <w:rsid w:val="00B27466"/>
    <w:rsid w:val="00B274AA"/>
    <w:rsid w:val="00B27504"/>
    <w:rsid w:val="00B27567"/>
    <w:rsid w:val="00B27578"/>
    <w:rsid w:val="00B27609"/>
    <w:rsid w:val="00B27611"/>
    <w:rsid w:val="00B27673"/>
    <w:rsid w:val="00B276A1"/>
    <w:rsid w:val="00B276AA"/>
    <w:rsid w:val="00B276B8"/>
    <w:rsid w:val="00B276C9"/>
    <w:rsid w:val="00B27765"/>
    <w:rsid w:val="00B2779F"/>
    <w:rsid w:val="00B277AA"/>
    <w:rsid w:val="00B2780E"/>
    <w:rsid w:val="00B2786B"/>
    <w:rsid w:val="00B278C1"/>
    <w:rsid w:val="00B279AE"/>
    <w:rsid w:val="00B279E7"/>
    <w:rsid w:val="00B27A27"/>
    <w:rsid w:val="00B27A55"/>
    <w:rsid w:val="00B27A67"/>
    <w:rsid w:val="00B27A90"/>
    <w:rsid w:val="00B27B0C"/>
    <w:rsid w:val="00B27B5E"/>
    <w:rsid w:val="00B27BBF"/>
    <w:rsid w:val="00B27BC1"/>
    <w:rsid w:val="00B27BDA"/>
    <w:rsid w:val="00B27BFC"/>
    <w:rsid w:val="00B27C6D"/>
    <w:rsid w:val="00B27CAE"/>
    <w:rsid w:val="00B27D0C"/>
    <w:rsid w:val="00B27D30"/>
    <w:rsid w:val="00B27D3E"/>
    <w:rsid w:val="00B27D42"/>
    <w:rsid w:val="00B27D51"/>
    <w:rsid w:val="00B27D8C"/>
    <w:rsid w:val="00B27E31"/>
    <w:rsid w:val="00B27E83"/>
    <w:rsid w:val="00B27EA8"/>
    <w:rsid w:val="00B27EB9"/>
    <w:rsid w:val="00B27F1F"/>
    <w:rsid w:val="00B27F53"/>
    <w:rsid w:val="00B27F96"/>
    <w:rsid w:val="00B27FB7"/>
    <w:rsid w:val="00B3000D"/>
    <w:rsid w:val="00B3007D"/>
    <w:rsid w:val="00B30115"/>
    <w:rsid w:val="00B3022A"/>
    <w:rsid w:val="00B3035E"/>
    <w:rsid w:val="00B30428"/>
    <w:rsid w:val="00B30436"/>
    <w:rsid w:val="00B30469"/>
    <w:rsid w:val="00B3046A"/>
    <w:rsid w:val="00B30496"/>
    <w:rsid w:val="00B304E5"/>
    <w:rsid w:val="00B30501"/>
    <w:rsid w:val="00B30560"/>
    <w:rsid w:val="00B30572"/>
    <w:rsid w:val="00B30585"/>
    <w:rsid w:val="00B3072B"/>
    <w:rsid w:val="00B307A4"/>
    <w:rsid w:val="00B30805"/>
    <w:rsid w:val="00B30831"/>
    <w:rsid w:val="00B308B5"/>
    <w:rsid w:val="00B308F8"/>
    <w:rsid w:val="00B30914"/>
    <w:rsid w:val="00B30957"/>
    <w:rsid w:val="00B3096B"/>
    <w:rsid w:val="00B309D9"/>
    <w:rsid w:val="00B30A0E"/>
    <w:rsid w:val="00B30A4E"/>
    <w:rsid w:val="00B30AA4"/>
    <w:rsid w:val="00B30AF2"/>
    <w:rsid w:val="00B30B20"/>
    <w:rsid w:val="00B30B49"/>
    <w:rsid w:val="00B30CDA"/>
    <w:rsid w:val="00B30CE9"/>
    <w:rsid w:val="00B30D77"/>
    <w:rsid w:val="00B30DE4"/>
    <w:rsid w:val="00B30E03"/>
    <w:rsid w:val="00B30E1C"/>
    <w:rsid w:val="00B30E23"/>
    <w:rsid w:val="00B30EC5"/>
    <w:rsid w:val="00B30EDD"/>
    <w:rsid w:val="00B30EFA"/>
    <w:rsid w:val="00B31007"/>
    <w:rsid w:val="00B31066"/>
    <w:rsid w:val="00B310A7"/>
    <w:rsid w:val="00B3110E"/>
    <w:rsid w:val="00B311B3"/>
    <w:rsid w:val="00B311C1"/>
    <w:rsid w:val="00B3126D"/>
    <w:rsid w:val="00B312E9"/>
    <w:rsid w:val="00B3134C"/>
    <w:rsid w:val="00B3135E"/>
    <w:rsid w:val="00B31372"/>
    <w:rsid w:val="00B3138D"/>
    <w:rsid w:val="00B313DF"/>
    <w:rsid w:val="00B31437"/>
    <w:rsid w:val="00B31443"/>
    <w:rsid w:val="00B31471"/>
    <w:rsid w:val="00B314C7"/>
    <w:rsid w:val="00B314F3"/>
    <w:rsid w:val="00B314F8"/>
    <w:rsid w:val="00B3150A"/>
    <w:rsid w:val="00B31515"/>
    <w:rsid w:val="00B31573"/>
    <w:rsid w:val="00B315EE"/>
    <w:rsid w:val="00B315F2"/>
    <w:rsid w:val="00B3169E"/>
    <w:rsid w:val="00B316C2"/>
    <w:rsid w:val="00B316D4"/>
    <w:rsid w:val="00B3172F"/>
    <w:rsid w:val="00B3174C"/>
    <w:rsid w:val="00B31752"/>
    <w:rsid w:val="00B31768"/>
    <w:rsid w:val="00B317EC"/>
    <w:rsid w:val="00B3186D"/>
    <w:rsid w:val="00B318BE"/>
    <w:rsid w:val="00B319A7"/>
    <w:rsid w:val="00B319CA"/>
    <w:rsid w:val="00B31A73"/>
    <w:rsid w:val="00B31AA8"/>
    <w:rsid w:val="00B31B0D"/>
    <w:rsid w:val="00B31B27"/>
    <w:rsid w:val="00B31C09"/>
    <w:rsid w:val="00B31C90"/>
    <w:rsid w:val="00B31D5E"/>
    <w:rsid w:val="00B31D61"/>
    <w:rsid w:val="00B31D96"/>
    <w:rsid w:val="00B31E22"/>
    <w:rsid w:val="00B31FBF"/>
    <w:rsid w:val="00B32101"/>
    <w:rsid w:val="00B32125"/>
    <w:rsid w:val="00B3220D"/>
    <w:rsid w:val="00B3220F"/>
    <w:rsid w:val="00B3225F"/>
    <w:rsid w:val="00B3228E"/>
    <w:rsid w:val="00B322B0"/>
    <w:rsid w:val="00B322B3"/>
    <w:rsid w:val="00B32331"/>
    <w:rsid w:val="00B323B3"/>
    <w:rsid w:val="00B323B8"/>
    <w:rsid w:val="00B32471"/>
    <w:rsid w:val="00B32476"/>
    <w:rsid w:val="00B324D6"/>
    <w:rsid w:val="00B324DF"/>
    <w:rsid w:val="00B324ED"/>
    <w:rsid w:val="00B32579"/>
    <w:rsid w:val="00B325F2"/>
    <w:rsid w:val="00B32621"/>
    <w:rsid w:val="00B32725"/>
    <w:rsid w:val="00B32779"/>
    <w:rsid w:val="00B327A9"/>
    <w:rsid w:val="00B327F5"/>
    <w:rsid w:val="00B32823"/>
    <w:rsid w:val="00B32849"/>
    <w:rsid w:val="00B32876"/>
    <w:rsid w:val="00B3292F"/>
    <w:rsid w:val="00B329E5"/>
    <w:rsid w:val="00B32A18"/>
    <w:rsid w:val="00B32ABD"/>
    <w:rsid w:val="00B32C10"/>
    <w:rsid w:val="00B32C4D"/>
    <w:rsid w:val="00B32C52"/>
    <w:rsid w:val="00B32C8D"/>
    <w:rsid w:val="00B32CBA"/>
    <w:rsid w:val="00B32CEC"/>
    <w:rsid w:val="00B32D10"/>
    <w:rsid w:val="00B32D2B"/>
    <w:rsid w:val="00B32D7C"/>
    <w:rsid w:val="00B32DC5"/>
    <w:rsid w:val="00B32DCF"/>
    <w:rsid w:val="00B32E5B"/>
    <w:rsid w:val="00B32E62"/>
    <w:rsid w:val="00B32E7A"/>
    <w:rsid w:val="00B32F9F"/>
    <w:rsid w:val="00B33183"/>
    <w:rsid w:val="00B331BA"/>
    <w:rsid w:val="00B331EE"/>
    <w:rsid w:val="00B331F8"/>
    <w:rsid w:val="00B33223"/>
    <w:rsid w:val="00B33287"/>
    <w:rsid w:val="00B3330E"/>
    <w:rsid w:val="00B33378"/>
    <w:rsid w:val="00B333AA"/>
    <w:rsid w:val="00B333DB"/>
    <w:rsid w:val="00B3345F"/>
    <w:rsid w:val="00B33463"/>
    <w:rsid w:val="00B334B6"/>
    <w:rsid w:val="00B33518"/>
    <w:rsid w:val="00B33535"/>
    <w:rsid w:val="00B33585"/>
    <w:rsid w:val="00B33587"/>
    <w:rsid w:val="00B335E5"/>
    <w:rsid w:val="00B33603"/>
    <w:rsid w:val="00B33611"/>
    <w:rsid w:val="00B3366A"/>
    <w:rsid w:val="00B33750"/>
    <w:rsid w:val="00B3377D"/>
    <w:rsid w:val="00B337F8"/>
    <w:rsid w:val="00B33802"/>
    <w:rsid w:val="00B3382B"/>
    <w:rsid w:val="00B33989"/>
    <w:rsid w:val="00B33A23"/>
    <w:rsid w:val="00B33AB4"/>
    <w:rsid w:val="00B33B69"/>
    <w:rsid w:val="00B33BB7"/>
    <w:rsid w:val="00B33BC3"/>
    <w:rsid w:val="00B33BD1"/>
    <w:rsid w:val="00B33C55"/>
    <w:rsid w:val="00B33CA2"/>
    <w:rsid w:val="00B33E00"/>
    <w:rsid w:val="00B33E27"/>
    <w:rsid w:val="00B33E39"/>
    <w:rsid w:val="00B33F15"/>
    <w:rsid w:val="00B33F75"/>
    <w:rsid w:val="00B33F89"/>
    <w:rsid w:val="00B33F8C"/>
    <w:rsid w:val="00B33FE3"/>
    <w:rsid w:val="00B34010"/>
    <w:rsid w:val="00B34017"/>
    <w:rsid w:val="00B340E7"/>
    <w:rsid w:val="00B34140"/>
    <w:rsid w:val="00B34166"/>
    <w:rsid w:val="00B341C3"/>
    <w:rsid w:val="00B341CB"/>
    <w:rsid w:val="00B34207"/>
    <w:rsid w:val="00B34240"/>
    <w:rsid w:val="00B34309"/>
    <w:rsid w:val="00B34325"/>
    <w:rsid w:val="00B3441D"/>
    <w:rsid w:val="00B3443B"/>
    <w:rsid w:val="00B344B8"/>
    <w:rsid w:val="00B344DE"/>
    <w:rsid w:val="00B344DF"/>
    <w:rsid w:val="00B344E5"/>
    <w:rsid w:val="00B34577"/>
    <w:rsid w:val="00B34578"/>
    <w:rsid w:val="00B3459E"/>
    <w:rsid w:val="00B345F0"/>
    <w:rsid w:val="00B34622"/>
    <w:rsid w:val="00B346F2"/>
    <w:rsid w:val="00B34712"/>
    <w:rsid w:val="00B3475F"/>
    <w:rsid w:val="00B34765"/>
    <w:rsid w:val="00B34848"/>
    <w:rsid w:val="00B348BF"/>
    <w:rsid w:val="00B3493F"/>
    <w:rsid w:val="00B349C9"/>
    <w:rsid w:val="00B349D2"/>
    <w:rsid w:val="00B34ABC"/>
    <w:rsid w:val="00B34BA4"/>
    <w:rsid w:val="00B34BB9"/>
    <w:rsid w:val="00B34BD3"/>
    <w:rsid w:val="00B34BD4"/>
    <w:rsid w:val="00B34BD7"/>
    <w:rsid w:val="00B34C5E"/>
    <w:rsid w:val="00B34C7E"/>
    <w:rsid w:val="00B34C98"/>
    <w:rsid w:val="00B34D59"/>
    <w:rsid w:val="00B34D85"/>
    <w:rsid w:val="00B34DA3"/>
    <w:rsid w:val="00B34DFD"/>
    <w:rsid w:val="00B34E01"/>
    <w:rsid w:val="00B34E23"/>
    <w:rsid w:val="00B34E67"/>
    <w:rsid w:val="00B34E7B"/>
    <w:rsid w:val="00B34E8B"/>
    <w:rsid w:val="00B34EC8"/>
    <w:rsid w:val="00B34F42"/>
    <w:rsid w:val="00B34F59"/>
    <w:rsid w:val="00B34FB6"/>
    <w:rsid w:val="00B34FCA"/>
    <w:rsid w:val="00B3507A"/>
    <w:rsid w:val="00B3507B"/>
    <w:rsid w:val="00B35095"/>
    <w:rsid w:val="00B350AE"/>
    <w:rsid w:val="00B350ED"/>
    <w:rsid w:val="00B3512B"/>
    <w:rsid w:val="00B3516A"/>
    <w:rsid w:val="00B35177"/>
    <w:rsid w:val="00B3519C"/>
    <w:rsid w:val="00B351AE"/>
    <w:rsid w:val="00B352E8"/>
    <w:rsid w:val="00B35333"/>
    <w:rsid w:val="00B35338"/>
    <w:rsid w:val="00B35343"/>
    <w:rsid w:val="00B353BD"/>
    <w:rsid w:val="00B353D7"/>
    <w:rsid w:val="00B353EB"/>
    <w:rsid w:val="00B354C2"/>
    <w:rsid w:val="00B35517"/>
    <w:rsid w:val="00B35653"/>
    <w:rsid w:val="00B3566D"/>
    <w:rsid w:val="00B3568A"/>
    <w:rsid w:val="00B3568F"/>
    <w:rsid w:val="00B35692"/>
    <w:rsid w:val="00B356B9"/>
    <w:rsid w:val="00B356F3"/>
    <w:rsid w:val="00B35766"/>
    <w:rsid w:val="00B35792"/>
    <w:rsid w:val="00B35842"/>
    <w:rsid w:val="00B3584E"/>
    <w:rsid w:val="00B35862"/>
    <w:rsid w:val="00B3586F"/>
    <w:rsid w:val="00B35876"/>
    <w:rsid w:val="00B35916"/>
    <w:rsid w:val="00B35967"/>
    <w:rsid w:val="00B35A2D"/>
    <w:rsid w:val="00B35AE8"/>
    <w:rsid w:val="00B35BCC"/>
    <w:rsid w:val="00B35BD4"/>
    <w:rsid w:val="00B35BE0"/>
    <w:rsid w:val="00B35C6E"/>
    <w:rsid w:val="00B35CB2"/>
    <w:rsid w:val="00B35CC0"/>
    <w:rsid w:val="00B35CD6"/>
    <w:rsid w:val="00B35D43"/>
    <w:rsid w:val="00B35D89"/>
    <w:rsid w:val="00B35E13"/>
    <w:rsid w:val="00B35F0F"/>
    <w:rsid w:val="00B35F1F"/>
    <w:rsid w:val="00B35F66"/>
    <w:rsid w:val="00B36008"/>
    <w:rsid w:val="00B36022"/>
    <w:rsid w:val="00B36050"/>
    <w:rsid w:val="00B36114"/>
    <w:rsid w:val="00B361B7"/>
    <w:rsid w:val="00B36218"/>
    <w:rsid w:val="00B36238"/>
    <w:rsid w:val="00B3629B"/>
    <w:rsid w:val="00B36325"/>
    <w:rsid w:val="00B364E3"/>
    <w:rsid w:val="00B36511"/>
    <w:rsid w:val="00B36559"/>
    <w:rsid w:val="00B3662B"/>
    <w:rsid w:val="00B36638"/>
    <w:rsid w:val="00B36693"/>
    <w:rsid w:val="00B366E6"/>
    <w:rsid w:val="00B367D5"/>
    <w:rsid w:val="00B36810"/>
    <w:rsid w:val="00B36831"/>
    <w:rsid w:val="00B36841"/>
    <w:rsid w:val="00B36865"/>
    <w:rsid w:val="00B368E6"/>
    <w:rsid w:val="00B36900"/>
    <w:rsid w:val="00B3698D"/>
    <w:rsid w:val="00B369FB"/>
    <w:rsid w:val="00B36AC2"/>
    <w:rsid w:val="00B36B71"/>
    <w:rsid w:val="00B36B76"/>
    <w:rsid w:val="00B36B7E"/>
    <w:rsid w:val="00B36C4E"/>
    <w:rsid w:val="00B36CC5"/>
    <w:rsid w:val="00B36D04"/>
    <w:rsid w:val="00B36DFE"/>
    <w:rsid w:val="00B36E03"/>
    <w:rsid w:val="00B36E5F"/>
    <w:rsid w:val="00B36F0F"/>
    <w:rsid w:val="00B36FA9"/>
    <w:rsid w:val="00B36FEE"/>
    <w:rsid w:val="00B3702D"/>
    <w:rsid w:val="00B37047"/>
    <w:rsid w:val="00B370A5"/>
    <w:rsid w:val="00B37113"/>
    <w:rsid w:val="00B37190"/>
    <w:rsid w:val="00B3726A"/>
    <w:rsid w:val="00B37294"/>
    <w:rsid w:val="00B3736C"/>
    <w:rsid w:val="00B375E0"/>
    <w:rsid w:val="00B37620"/>
    <w:rsid w:val="00B37675"/>
    <w:rsid w:val="00B378B2"/>
    <w:rsid w:val="00B378D9"/>
    <w:rsid w:val="00B378E2"/>
    <w:rsid w:val="00B3792A"/>
    <w:rsid w:val="00B3794A"/>
    <w:rsid w:val="00B3794E"/>
    <w:rsid w:val="00B379B9"/>
    <w:rsid w:val="00B379E3"/>
    <w:rsid w:val="00B37A7C"/>
    <w:rsid w:val="00B37AA2"/>
    <w:rsid w:val="00B37B1A"/>
    <w:rsid w:val="00B37B70"/>
    <w:rsid w:val="00B37BB1"/>
    <w:rsid w:val="00B37C25"/>
    <w:rsid w:val="00B37C62"/>
    <w:rsid w:val="00B37C87"/>
    <w:rsid w:val="00B37CF3"/>
    <w:rsid w:val="00B37DEC"/>
    <w:rsid w:val="00B37E45"/>
    <w:rsid w:val="00B37E91"/>
    <w:rsid w:val="00B37EE8"/>
    <w:rsid w:val="00B37EED"/>
    <w:rsid w:val="00B37F98"/>
    <w:rsid w:val="00B4007A"/>
    <w:rsid w:val="00B400E5"/>
    <w:rsid w:val="00B400F8"/>
    <w:rsid w:val="00B4014B"/>
    <w:rsid w:val="00B40151"/>
    <w:rsid w:val="00B4017B"/>
    <w:rsid w:val="00B401CD"/>
    <w:rsid w:val="00B40248"/>
    <w:rsid w:val="00B4029A"/>
    <w:rsid w:val="00B402E5"/>
    <w:rsid w:val="00B402F1"/>
    <w:rsid w:val="00B4037A"/>
    <w:rsid w:val="00B40384"/>
    <w:rsid w:val="00B404FA"/>
    <w:rsid w:val="00B4052D"/>
    <w:rsid w:val="00B40658"/>
    <w:rsid w:val="00B40707"/>
    <w:rsid w:val="00B407BE"/>
    <w:rsid w:val="00B4082D"/>
    <w:rsid w:val="00B4083D"/>
    <w:rsid w:val="00B40845"/>
    <w:rsid w:val="00B408BE"/>
    <w:rsid w:val="00B408C2"/>
    <w:rsid w:val="00B408CA"/>
    <w:rsid w:val="00B4095E"/>
    <w:rsid w:val="00B40ABE"/>
    <w:rsid w:val="00B40AC8"/>
    <w:rsid w:val="00B40AFE"/>
    <w:rsid w:val="00B40BF6"/>
    <w:rsid w:val="00B40C81"/>
    <w:rsid w:val="00B40CD1"/>
    <w:rsid w:val="00B40CFD"/>
    <w:rsid w:val="00B40D42"/>
    <w:rsid w:val="00B40DEB"/>
    <w:rsid w:val="00B40E20"/>
    <w:rsid w:val="00B40E65"/>
    <w:rsid w:val="00B40E67"/>
    <w:rsid w:val="00B40EB6"/>
    <w:rsid w:val="00B40F30"/>
    <w:rsid w:val="00B40FB3"/>
    <w:rsid w:val="00B40FF7"/>
    <w:rsid w:val="00B41023"/>
    <w:rsid w:val="00B41104"/>
    <w:rsid w:val="00B41136"/>
    <w:rsid w:val="00B4114F"/>
    <w:rsid w:val="00B411B0"/>
    <w:rsid w:val="00B411CF"/>
    <w:rsid w:val="00B41292"/>
    <w:rsid w:val="00B41396"/>
    <w:rsid w:val="00B41427"/>
    <w:rsid w:val="00B41441"/>
    <w:rsid w:val="00B4149A"/>
    <w:rsid w:val="00B41565"/>
    <w:rsid w:val="00B4161D"/>
    <w:rsid w:val="00B417D4"/>
    <w:rsid w:val="00B4184C"/>
    <w:rsid w:val="00B4186C"/>
    <w:rsid w:val="00B418A6"/>
    <w:rsid w:val="00B41923"/>
    <w:rsid w:val="00B41937"/>
    <w:rsid w:val="00B41954"/>
    <w:rsid w:val="00B4196F"/>
    <w:rsid w:val="00B419BC"/>
    <w:rsid w:val="00B419D8"/>
    <w:rsid w:val="00B41A44"/>
    <w:rsid w:val="00B41A4B"/>
    <w:rsid w:val="00B41A6C"/>
    <w:rsid w:val="00B41A91"/>
    <w:rsid w:val="00B41A95"/>
    <w:rsid w:val="00B41AA1"/>
    <w:rsid w:val="00B41C1E"/>
    <w:rsid w:val="00B41C81"/>
    <w:rsid w:val="00B41CC2"/>
    <w:rsid w:val="00B41D9B"/>
    <w:rsid w:val="00B41D9E"/>
    <w:rsid w:val="00B41DA7"/>
    <w:rsid w:val="00B41E0D"/>
    <w:rsid w:val="00B41E3D"/>
    <w:rsid w:val="00B41E6D"/>
    <w:rsid w:val="00B41E93"/>
    <w:rsid w:val="00B41F54"/>
    <w:rsid w:val="00B42001"/>
    <w:rsid w:val="00B42031"/>
    <w:rsid w:val="00B42084"/>
    <w:rsid w:val="00B420DE"/>
    <w:rsid w:val="00B420F5"/>
    <w:rsid w:val="00B42167"/>
    <w:rsid w:val="00B42181"/>
    <w:rsid w:val="00B42196"/>
    <w:rsid w:val="00B42198"/>
    <w:rsid w:val="00B4219B"/>
    <w:rsid w:val="00B421D9"/>
    <w:rsid w:val="00B421EB"/>
    <w:rsid w:val="00B4229F"/>
    <w:rsid w:val="00B422BD"/>
    <w:rsid w:val="00B423C4"/>
    <w:rsid w:val="00B423E1"/>
    <w:rsid w:val="00B423EA"/>
    <w:rsid w:val="00B42471"/>
    <w:rsid w:val="00B42495"/>
    <w:rsid w:val="00B425DF"/>
    <w:rsid w:val="00B425F7"/>
    <w:rsid w:val="00B42637"/>
    <w:rsid w:val="00B428A3"/>
    <w:rsid w:val="00B428B5"/>
    <w:rsid w:val="00B428E7"/>
    <w:rsid w:val="00B42929"/>
    <w:rsid w:val="00B429D4"/>
    <w:rsid w:val="00B429EF"/>
    <w:rsid w:val="00B42A4C"/>
    <w:rsid w:val="00B42A4D"/>
    <w:rsid w:val="00B42B13"/>
    <w:rsid w:val="00B42B8A"/>
    <w:rsid w:val="00B42BBC"/>
    <w:rsid w:val="00B42C69"/>
    <w:rsid w:val="00B42CC1"/>
    <w:rsid w:val="00B42CFF"/>
    <w:rsid w:val="00B42D0A"/>
    <w:rsid w:val="00B42D0F"/>
    <w:rsid w:val="00B42D1C"/>
    <w:rsid w:val="00B42E96"/>
    <w:rsid w:val="00B42ED7"/>
    <w:rsid w:val="00B42EE4"/>
    <w:rsid w:val="00B42EF9"/>
    <w:rsid w:val="00B42F12"/>
    <w:rsid w:val="00B42F35"/>
    <w:rsid w:val="00B42F41"/>
    <w:rsid w:val="00B42F94"/>
    <w:rsid w:val="00B42FFB"/>
    <w:rsid w:val="00B43063"/>
    <w:rsid w:val="00B430A7"/>
    <w:rsid w:val="00B43174"/>
    <w:rsid w:val="00B43223"/>
    <w:rsid w:val="00B43240"/>
    <w:rsid w:val="00B4328E"/>
    <w:rsid w:val="00B4341A"/>
    <w:rsid w:val="00B434F8"/>
    <w:rsid w:val="00B435B3"/>
    <w:rsid w:val="00B435F4"/>
    <w:rsid w:val="00B43716"/>
    <w:rsid w:val="00B437C1"/>
    <w:rsid w:val="00B437ED"/>
    <w:rsid w:val="00B43832"/>
    <w:rsid w:val="00B438B9"/>
    <w:rsid w:val="00B438EB"/>
    <w:rsid w:val="00B438FB"/>
    <w:rsid w:val="00B43944"/>
    <w:rsid w:val="00B4394E"/>
    <w:rsid w:val="00B439C1"/>
    <w:rsid w:val="00B439F7"/>
    <w:rsid w:val="00B43A16"/>
    <w:rsid w:val="00B43ADA"/>
    <w:rsid w:val="00B43AE1"/>
    <w:rsid w:val="00B43B56"/>
    <w:rsid w:val="00B43BDA"/>
    <w:rsid w:val="00B43CC2"/>
    <w:rsid w:val="00B43CCD"/>
    <w:rsid w:val="00B43D40"/>
    <w:rsid w:val="00B43D4C"/>
    <w:rsid w:val="00B43D6D"/>
    <w:rsid w:val="00B43DA5"/>
    <w:rsid w:val="00B43DCB"/>
    <w:rsid w:val="00B43DED"/>
    <w:rsid w:val="00B43E02"/>
    <w:rsid w:val="00B43E4F"/>
    <w:rsid w:val="00B43EB5"/>
    <w:rsid w:val="00B43F48"/>
    <w:rsid w:val="00B43F64"/>
    <w:rsid w:val="00B43FC6"/>
    <w:rsid w:val="00B43FF1"/>
    <w:rsid w:val="00B44027"/>
    <w:rsid w:val="00B440CE"/>
    <w:rsid w:val="00B441E8"/>
    <w:rsid w:val="00B44290"/>
    <w:rsid w:val="00B442CD"/>
    <w:rsid w:val="00B442EF"/>
    <w:rsid w:val="00B44340"/>
    <w:rsid w:val="00B443F5"/>
    <w:rsid w:val="00B444A2"/>
    <w:rsid w:val="00B444D2"/>
    <w:rsid w:val="00B444D8"/>
    <w:rsid w:val="00B44528"/>
    <w:rsid w:val="00B445DA"/>
    <w:rsid w:val="00B446BB"/>
    <w:rsid w:val="00B446BD"/>
    <w:rsid w:val="00B446E6"/>
    <w:rsid w:val="00B4470F"/>
    <w:rsid w:val="00B4478B"/>
    <w:rsid w:val="00B447A9"/>
    <w:rsid w:val="00B447C7"/>
    <w:rsid w:val="00B44800"/>
    <w:rsid w:val="00B44829"/>
    <w:rsid w:val="00B4483E"/>
    <w:rsid w:val="00B449C5"/>
    <w:rsid w:val="00B44A4F"/>
    <w:rsid w:val="00B44A7F"/>
    <w:rsid w:val="00B44AE5"/>
    <w:rsid w:val="00B44B08"/>
    <w:rsid w:val="00B44B2C"/>
    <w:rsid w:val="00B44B6D"/>
    <w:rsid w:val="00B44B7E"/>
    <w:rsid w:val="00B44BE7"/>
    <w:rsid w:val="00B44C12"/>
    <w:rsid w:val="00B44C48"/>
    <w:rsid w:val="00B44C5B"/>
    <w:rsid w:val="00B44CB0"/>
    <w:rsid w:val="00B44D73"/>
    <w:rsid w:val="00B44EB2"/>
    <w:rsid w:val="00B44F63"/>
    <w:rsid w:val="00B44F9F"/>
    <w:rsid w:val="00B45067"/>
    <w:rsid w:val="00B4507B"/>
    <w:rsid w:val="00B450C2"/>
    <w:rsid w:val="00B450C9"/>
    <w:rsid w:val="00B4510C"/>
    <w:rsid w:val="00B45122"/>
    <w:rsid w:val="00B4513D"/>
    <w:rsid w:val="00B4515F"/>
    <w:rsid w:val="00B45177"/>
    <w:rsid w:val="00B451A2"/>
    <w:rsid w:val="00B451D7"/>
    <w:rsid w:val="00B45296"/>
    <w:rsid w:val="00B45312"/>
    <w:rsid w:val="00B45373"/>
    <w:rsid w:val="00B4537C"/>
    <w:rsid w:val="00B453A4"/>
    <w:rsid w:val="00B45522"/>
    <w:rsid w:val="00B4556C"/>
    <w:rsid w:val="00B456D7"/>
    <w:rsid w:val="00B45724"/>
    <w:rsid w:val="00B4589A"/>
    <w:rsid w:val="00B45908"/>
    <w:rsid w:val="00B45920"/>
    <w:rsid w:val="00B45929"/>
    <w:rsid w:val="00B45952"/>
    <w:rsid w:val="00B45A4C"/>
    <w:rsid w:val="00B45AAE"/>
    <w:rsid w:val="00B45BE8"/>
    <w:rsid w:val="00B45C36"/>
    <w:rsid w:val="00B45CD1"/>
    <w:rsid w:val="00B45CF9"/>
    <w:rsid w:val="00B45DD0"/>
    <w:rsid w:val="00B45DD7"/>
    <w:rsid w:val="00B45E47"/>
    <w:rsid w:val="00B45E51"/>
    <w:rsid w:val="00B45E5C"/>
    <w:rsid w:val="00B45E7C"/>
    <w:rsid w:val="00B45EC6"/>
    <w:rsid w:val="00B45F0E"/>
    <w:rsid w:val="00B45F82"/>
    <w:rsid w:val="00B46058"/>
    <w:rsid w:val="00B46084"/>
    <w:rsid w:val="00B460B3"/>
    <w:rsid w:val="00B460E9"/>
    <w:rsid w:val="00B460ED"/>
    <w:rsid w:val="00B46147"/>
    <w:rsid w:val="00B4616A"/>
    <w:rsid w:val="00B46198"/>
    <w:rsid w:val="00B46295"/>
    <w:rsid w:val="00B462FC"/>
    <w:rsid w:val="00B4632E"/>
    <w:rsid w:val="00B4635E"/>
    <w:rsid w:val="00B4640F"/>
    <w:rsid w:val="00B46412"/>
    <w:rsid w:val="00B46431"/>
    <w:rsid w:val="00B464D3"/>
    <w:rsid w:val="00B46572"/>
    <w:rsid w:val="00B46600"/>
    <w:rsid w:val="00B46692"/>
    <w:rsid w:val="00B466A8"/>
    <w:rsid w:val="00B467E8"/>
    <w:rsid w:val="00B467EE"/>
    <w:rsid w:val="00B468FC"/>
    <w:rsid w:val="00B46913"/>
    <w:rsid w:val="00B46978"/>
    <w:rsid w:val="00B46982"/>
    <w:rsid w:val="00B46A23"/>
    <w:rsid w:val="00B46A2C"/>
    <w:rsid w:val="00B46A4D"/>
    <w:rsid w:val="00B46AFD"/>
    <w:rsid w:val="00B46B00"/>
    <w:rsid w:val="00B46B42"/>
    <w:rsid w:val="00B46B6D"/>
    <w:rsid w:val="00B46B8E"/>
    <w:rsid w:val="00B46BB4"/>
    <w:rsid w:val="00B46C49"/>
    <w:rsid w:val="00B46CB6"/>
    <w:rsid w:val="00B46D3B"/>
    <w:rsid w:val="00B46D53"/>
    <w:rsid w:val="00B46D6F"/>
    <w:rsid w:val="00B46DB6"/>
    <w:rsid w:val="00B46E3F"/>
    <w:rsid w:val="00B46F0F"/>
    <w:rsid w:val="00B46F47"/>
    <w:rsid w:val="00B46F6C"/>
    <w:rsid w:val="00B46FA4"/>
    <w:rsid w:val="00B46FEC"/>
    <w:rsid w:val="00B47095"/>
    <w:rsid w:val="00B4719A"/>
    <w:rsid w:val="00B4719E"/>
    <w:rsid w:val="00B471EF"/>
    <w:rsid w:val="00B472DB"/>
    <w:rsid w:val="00B472F6"/>
    <w:rsid w:val="00B4731C"/>
    <w:rsid w:val="00B47355"/>
    <w:rsid w:val="00B47378"/>
    <w:rsid w:val="00B47382"/>
    <w:rsid w:val="00B47386"/>
    <w:rsid w:val="00B473B9"/>
    <w:rsid w:val="00B473C8"/>
    <w:rsid w:val="00B473F9"/>
    <w:rsid w:val="00B47474"/>
    <w:rsid w:val="00B47491"/>
    <w:rsid w:val="00B474E7"/>
    <w:rsid w:val="00B475ED"/>
    <w:rsid w:val="00B47619"/>
    <w:rsid w:val="00B47625"/>
    <w:rsid w:val="00B4772D"/>
    <w:rsid w:val="00B4786A"/>
    <w:rsid w:val="00B47907"/>
    <w:rsid w:val="00B47976"/>
    <w:rsid w:val="00B479A4"/>
    <w:rsid w:val="00B47ADE"/>
    <w:rsid w:val="00B47B52"/>
    <w:rsid w:val="00B47B57"/>
    <w:rsid w:val="00B47B60"/>
    <w:rsid w:val="00B47B86"/>
    <w:rsid w:val="00B47C41"/>
    <w:rsid w:val="00B47CE5"/>
    <w:rsid w:val="00B47CFE"/>
    <w:rsid w:val="00B47D46"/>
    <w:rsid w:val="00B47DB1"/>
    <w:rsid w:val="00B47E2B"/>
    <w:rsid w:val="00B47E4F"/>
    <w:rsid w:val="00B47E54"/>
    <w:rsid w:val="00B47E64"/>
    <w:rsid w:val="00B47E89"/>
    <w:rsid w:val="00B47F00"/>
    <w:rsid w:val="00B47F58"/>
    <w:rsid w:val="00B47FD2"/>
    <w:rsid w:val="00B50024"/>
    <w:rsid w:val="00B500B1"/>
    <w:rsid w:val="00B500D0"/>
    <w:rsid w:val="00B50112"/>
    <w:rsid w:val="00B50157"/>
    <w:rsid w:val="00B501AF"/>
    <w:rsid w:val="00B501B5"/>
    <w:rsid w:val="00B50201"/>
    <w:rsid w:val="00B5020B"/>
    <w:rsid w:val="00B50223"/>
    <w:rsid w:val="00B502EB"/>
    <w:rsid w:val="00B502F5"/>
    <w:rsid w:val="00B50328"/>
    <w:rsid w:val="00B503F1"/>
    <w:rsid w:val="00B50425"/>
    <w:rsid w:val="00B50479"/>
    <w:rsid w:val="00B505E1"/>
    <w:rsid w:val="00B506F8"/>
    <w:rsid w:val="00B5072E"/>
    <w:rsid w:val="00B50761"/>
    <w:rsid w:val="00B50825"/>
    <w:rsid w:val="00B5082F"/>
    <w:rsid w:val="00B5085E"/>
    <w:rsid w:val="00B50923"/>
    <w:rsid w:val="00B50941"/>
    <w:rsid w:val="00B5095C"/>
    <w:rsid w:val="00B509A4"/>
    <w:rsid w:val="00B509B0"/>
    <w:rsid w:val="00B509F3"/>
    <w:rsid w:val="00B509F9"/>
    <w:rsid w:val="00B50B71"/>
    <w:rsid w:val="00B50BA3"/>
    <w:rsid w:val="00B50C7F"/>
    <w:rsid w:val="00B50CA0"/>
    <w:rsid w:val="00B50CA6"/>
    <w:rsid w:val="00B50CD0"/>
    <w:rsid w:val="00B50D41"/>
    <w:rsid w:val="00B50DBF"/>
    <w:rsid w:val="00B50E51"/>
    <w:rsid w:val="00B50EF3"/>
    <w:rsid w:val="00B5101A"/>
    <w:rsid w:val="00B5107C"/>
    <w:rsid w:val="00B5108B"/>
    <w:rsid w:val="00B51136"/>
    <w:rsid w:val="00B5116A"/>
    <w:rsid w:val="00B511BE"/>
    <w:rsid w:val="00B511C2"/>
    <w:rsid w:val="00B51287"/>
    <w:rsid w:val="00B512A6"/>
    <w:rsid w:val="00B512CC"/>
    <w:rsid w:val="00B512EA"/>
    <w:rsid w:val="00B513AA"/>
    <w:rsid w:val="00B5141E"/>
    <w:rsid w:val="00B51420"/>
    <w:rsid w:val="00B51452"/>
    <w:rsid w:val="00B514C3"/>
    <w:rsid w:val="00B514ED"/>
    <w:rsid w:val="00B5150C"/>
    <w:rsid w:val="00B515EF"/>
    <w:rsid w:val="00B51620"/>
    <w:rsid w:val="00B51668"/>
    <w:rsid w:val="00B516C6"/>
    <w:rsid w:val="00B516C7"/>
    <w:rsid w:val="00B5173F"/>
    <w:rsid w:val="00B517D9"/>
    <w:rsid w:val="00B517F8"/>
    <w:rsid w:val="00B51893"/>
    <w:rsid w:val="00B518AC"/>
    <w:rsid w:val="00B51959"/>
    <w:rsid w:val="00B51984"/>
    <w:rsid w:val="00B51A33"/>
    <w:rsid w:val="00B51B14"/>
    <w:rsid w:val="00B51B28"/>
    <w:rsid w:val="00B51B5A"/>
    <w:rsid w:val="00B51BC6"/>
    <w:rsid w:val="00B51BEB"/>
    <w:rsid w:val="00B51EA8"/>
    <w:rsid w:val="00B51F13"/>
    <w:rsid w:val="00B51F56"/>
    <w:rsid w:val="00B5200C"/>
    <w:rsid w:val="00B520C3"/>
    <w:rsid w:val="00B52100"/>
    <w:rsid w:val="00B52117"/>
    <w:rsid w:val="00B521A7"/>
    <w:rsid w:val="00B521C3"/>
    <w:rsid w:val="00B521D9"/>
    <w:rsid w:val="00B52206"/>
    <w:rsid w:val="00B52280"/>
    <w:rsid w:val="00B52295"/>
    <w:rsid w:val="00B5238E"/>
    <w:rsid w:val="00B52396"/>
    <w:rsid w:val="00B52397"/>
    <w:rsid w:val="00B5241D"/>
    <w:rsid w:val="00B52515"/>
    <w:rsid w:val="00B52546"/>
    <w:rsid w:val="00B5261F"/>
    <w:rsid w:val="00B52643"/>
    <w:rsid w:val="00B5271B"/>
    <w:rsid w:val="00B52760"/>
    <w:rsid w:val="00B52770"/>
    <w:rsid w:val="00B528C5"/>
    <w:rsid w:val="00B528E7"/>
    <w:rsid w:val="00B52909"/>
    <w:rsid w:val="00B52934"/>
    <w:rsid w:val="00B52998"/>
    <w:rsid w:val="00B529A8"/>
    <w:rsid w:val="00B52A19"/>
    <w:rsid w:val="00B52A50"/>
    <w:rsid w:val="00B52A57"/>
    <w:rsid w:val="00B52A91"/>
    <w:rsid w:val="00B52AF4"/>
    <w:rsid w:val="00B52BC5"/>
    <w:rsid w:val="00B52C0F"/>
    <w:rsid w:val="00B52D06"/>
    <w:rsid w:val="00B52D40"/>
    <w:rsid w:val="00B52D7C"/>
    <w:rsid w:val="00B52D95"/>
    <w:rsid w:val="00B52DE4"/>
    <w:rsid w:val="00B52E60"/>
    <w:rsid w:val="00B52F6C"/>
    <w:rsid w:val="00B52F75"/>
    <w:rsid w:val="00B53005"/>
    <w:rsid w:val="00B530B2"/>
    <w:rsid w:val="00B530C9"/>
    <w:rsid w:val="00B532DC"/>
    <w:rsid w:val="00B5336E"/>
    <w:rsid w:val="00B533A0"/>
    <w:rsid w:val="00B533E1"/>
    <w:rsid w:val="00B534EB"/>
    <w:rsid w:val="00B5352B"/>
    <w:rsid w:val="00B5357C"/>
    <w:rsid w:val="00B535DD"/>
    <w:rsid w:val="00B5362D"/>
    <w:rsid w:val="00B53637"/>
    <w:rsid w:val="00B53646"/>
    <w:rsid w:val="00B53671"/>
    <w:rsid w:val="00B53677"/>
    <w:rsid w:val="00B536C4"/>
    <w:rsid w:val="00B536D0"/>
    <w:rsid w:val="00B536F0"/>
    <w:rsid w:val="00B536FF"/>
    <w:rsid w:val="00B5371B"/>
    <w:rsid w:val="00B53753"/>
    <w:rsid w:val="00B537C7"/>
    <w:rsid w:val="00B537DA"/>
    <w:rsid w:val="00B53803"/>
    <w:rsid w:val="00B5381A"/>
    <w:rsid w:val="00B53842"/>
    <w:rsid w:val="00B53857"/>
    <w:rsid w:val="00B538D1"/>
    <w:rsid w:val="00B53947"/>
    <w:rsid w:val="00B53959"/>
    <w:rsid w:val="00B53976"/>
    <w:rsid w:val="00B5399A"/>
    <w:rsid w:val="00B539CD"/>
    <w:rsid w:val="00B53A4D"/>
    <w:rsid w:val="00B53A52"/>
    <w:rsid w:val="00B53B0E"/>
    <w:rsid w:val="00B53B6D"/>
    <w:rsid w:val="00B53BAA"/>
    <w:rsid w:val="00B53C73"/>
    <w:rsid w:val="00B53C9F"/>
    <w:rsid w:val="00B53D7D"/>
    <w:rsid w:val="00B53D86"/>
    <w:rsid w:val="00B53DA8"/>
    <w:rsid w:val="00B53DD5"/>
    <w:rsid w:val="00B53E40"/>
    <w:rsid w:val="00B53E7A"/>
    <w:rsid w:val="00B53E80"/>
    <w:rsid w:val="00B53E9D"/>
    <w:rsid w:val="00B53EC5"/>
    <w:rsid w:val="00B5400A"/>
    <w:rsid w:val="00B54022"/>
    <w:rsid w:val="00B5404A"/>
    <w:rsid w:val="00B54180"/>
    <w:rsid w:val="00B54196"/>
    <w:rsid w:val="00B541DD"/>
    <w:rsid w:val="00B541E5"/>
    <w:rsid w:val="00B5420F"/>
    <w:rsid w:val="00B542EE"/>
    <w:rsid w:val="00B54337"/>
    <w:rsid w:val="00B54340"/>
    <w:rsid w:val="00B543D9"/>
    <w:rsid w:val="00B543F9"/>
    <w:rsid w:val="00B544B0"/>
    <w:rsid w:val="00B545C4"/>
    <w:rsid w:val="00B545E9"/>
    <w:rsid w:val="00B5462D"/>
    <w:rsid w:val="00B5464C"/>
    <w:rsid w:val="00B546CA"/>
    <w:rsid w:val="00B54723"/>
    <w:rsid w:val="00B54728"/>
    <w:rsid w:val="00B54745"/>
    <w:rsid w:val="00B54879"/>
    <w:rsid w:val="00B54A00"/>
    <w:rsid w:val="00B54AA3"/>
    <w:rsid w:val="00B54B57"/>
    <w:rsid w:val="00B54C43"/>
    <w:rsid w:val="00B54CA0"/>
    <w:rsid w:val="00B54D6A"/>
    <w:rsid w:val="00B54D9F"/>
    <w:rsid w:val="00B54E6B"/>
    <w:rsid w:val="00B54E7E"/>
    <w:rsid w:val="00B54EB3"/>
    <w:rsid w:val="00B54FED"/>
    <w:rsid w:val="00B550C5"/>
    <w:rsid w:val="00B55145"/>
    <w:rsid w:val="00B551CA"/>
    <w:rsid w:val="00B551E8"/>
    <w:rsid w:val="00B55223"/>
    <w:rsid w:val="00B552BB"/>
    <w:rsid w:val="00B552C1"/>
    <w:rsid w:val="00B552EF"/>
    <w:rsid w:val="00B5531D"/>
    <w:rsid w:val="00B55323"/>
    <w:rsid w:val="00B55375"/>
    <w:rsid w:val="00B55389"/>
    <w:rsid w:val="00B553A3"/>
    <w:rsid w:val="00B553C1"/>
    <w:rsid w:val="00B553DF"/>
    <w:rsid w:val="00B55421"/>
    <w:rsid w:val="00B55493"/>
    <w:rsid w:val="00B5549D"/>
    <w:rsid w:val="00B55536"/>
    <w:rsid w:val="00B555A5"/>
    <w:rsid w:val="00B555AB"/>
    <w:rsid w:val="00B5565D"/>
    <w:rsid w:val="00B556D6"/>
    <w:rsid w:val="00B556DE"/>
    <w:rsid w:val="00B5570D"/>
    <w:rsid w:val="00B5581F"/>
    <w:rsid w:val="00B55842"/>
    <w:rsid w:val="00B5584A"/>
    <w:rsid w:val="00B55877"/>
    <w:rsid w:val="00B55966"/>
    <w:rsid w:val="00B5598D"/>
    <w:rsid w:val="00B559F2"/>
    <w:rsid w:val="00B55B2D"/>
    <w:rsid w:val="00B55B51"/>
    <w:rsid w:val="00B55B54"/>
    <w:rsid w:val="00B55B65"/>
    <w:rsid w:val="00B55B7C"/>
    <w:rsid w:val="00B55B8F"/>
    <w:rsid w:val="00B55B9E"/>
    <w:rsid w:val="00B55C4F"/>
    <w:rsid w:val="00B55CDC"/>
    <w:rsid w:val="00B55D50"/>
    <w:rsid w:val="00B55D7E"/>
    <w:rsid w:val="00B55DAE"/>
    <w:rsid w:val="00B55ECF"/>
    <w:rsid w:val="00B55EE5"/>
    <w:rsid w:val="00B55F35"/>
    <w:rsid w:val="00B560A2"/>
    <w:rsid w:val="00B560DF"/>
    <w:rsid w:val="00B560ED"/>
    <w:rsid w:val="00B56117"/>
    <w:rsid w:val="00B561F7"/>
    <w:rsid w:val="00B56215"/>
    <w:rsid w:val="00B56223"/>
    <w:rsid w:val="00B5626F"/>
    <w:rsid w:val="00B562BA"/>
    <w:rsid w:val="00B562D4"/>
    <w:rsid w:val="00B562DF"/>
    <w:rsid w:val="00B56348"/>
    <w:rsid w:val="00B56391"/>
    <w:rsid w:val="00B5639C"/>
    <w:rsid w:val="00B563F4"/>
    <w:rsid w:val="00B56438"/>
    <w:rsid w:val="00B56484"/>
    <w:rsid w:val="00B5650B"/>
    <w:rsid w:val="00B565A5"/>
    <w:rsid w:val="00B565B6"/>
    <w:rsid w:val="00B56638"/>
    <w:rsid w:val="00B56647"/>
    <w:rsid w:val="00B5669D"/>
    <w:rsid w:val="00B56721"/>
    <w:rsid w:val="00B5676A"/>
    <w:rsid w:val="00B56770"/>
    <w:rsid w:val="00B567AA"/>
    <w:rsid w:val="00B567B4"/>
    <w:rsid w:val="00B56859"/>
    <w:rsid w:val="00B568D2"/>
    <w:rsid w:val="00B56902"/>
    <w:rsid w:val="00B569B6"/>
    <w:rsid w:val="00B569FE"/>
    <w:rsid w:val="00B56AB4"/>
    <w:rsid w:val="00B56B56"/>
    <w:rsid w:val="00B56BC6"/>
    <w:rsid w:val="00B56CEB"/>
    <w:rsid w:val="00B56D48"/>
    <w:rsid w:val="00B56D56"/>
    <w:rsid w:val="00B56D59"/>
    <w:rsid w:val="00B56DAF"/>
    <w:rsid w:val="00B56E44"/>
    <w:rsid w:val="00B56E68"/>
    <w:rsid w:val="00B56E8D"/>
    <w:rsid w:val="00B56FC3"/>
    <w:rsid w:val="00B56FCE"/>
    <w:rsid w:val="00B57051"/>
    <w:rsid w:val="00B5705C"/>
    <w:rsid w:val="00B570FB"/>
    <w:rsid w:val="00B5712C"/>
    <w:rsid w:val="00B5721F"/>
    <w:rsid w:val="00B574A8"/>
    <w:rsid w:val="00B574EC"/>
    <w:rsid w:val="00B5754F"/>
    <w:rsid w:val="00B57570"/>
    <w:rsid w:val="00B57594"/>
    <w:rsid w:val="00B575F9"/>
    <w:rsid w:val="00B5761A"/>
    <w:rsid w:val="00B5767C"/>
    <w:rsid w:val="00B577A7"/>
    <w:rsid w:val="00B5787E"/>
    <w:rsid w:val="00B578CB"/>
    <w:rsid w:val="00B578FC"/>
    <w:rsid w:val="00B5797B"/>
    <w:rsid w:val="00B57AC2"/>
    <w:rsid w:val="00B57AED"/>
    <w:rsid w:val="00B57B0D"/>
    <w:rsid w:val="00B57B35"/>
    <w:rsid w:val="00B57B64"/>
    <w:rsid w:val="00B57BD6"/>
    <w:rsid w:val="00B57C95"/>
    <w:rsid w:val="00B57D23"/>
    <w:rsid w:val="00B57D61"/>
    <w:rsid w:val="00B57D71"/>
    <w:rsid w:val="00B57F2F"/>
    <w:rsid w:val="00B57F38"/>
    <w:rsid w:val="00B57F58"/>
    <w:rsid w:val="00B57FA2"/>
    <w:rsid w:val="00B6000D"/>
    <w:rsid w:val="00B60053"/>
    <w:rsid w:val="00B600E6"/>
    <w:rsid w:val="00B60107"/>
    <w:rsid w:val="00B60123"/>
    <w:rsid w:val="00B60192"/>
    <w:rsid w:val="00B60205"/>
    <w:rsid w:val="00B6023E"/>
    <w:rsid w:val="00B602B7"/>
    <w:rsid w:val="00B60323"/>
    <w:rsid w:val="00B6032D"/>
    <w:rsid w:val="00B6032E"/>
    <w:rsid w:val="00B60331"/>
    <w:rsid w:val="00B603D0"/>
    <w:rsid w:val="00B604BA"/>
    <w:rsid w:val="00B604CF"/>
    <w:rsid w:val="00B604D1"/>
    <w:rsid w:val="00B60553"/>
    <w:rsid w:val="00B60583"/>
    <w:rsid w:val="00B60592"/>
    <w:rsid w:val="00B605CC"/>
    <w:rsid w:val="00B6064E"/>
    <w:rsid w:val="00B60694"/>
    <w:rsid w:val="00B606AB"/>
    <w:rsid w:val="00B606C9"/>
    <w:rsid w:val="00B60823"/>
    <w:rsid w:val="00B60A1C"/>
    <w:rsid w:val="00B60B30"/>
    <w:rsid w:val="00B60BC7"/>
    <w:rsid w:val="00B60CC8"/>
    <w:rsid w:val="00B60D1B"/>
    <w:rsid w:val="00B60D23"/>
    <w:rsid w:val="00B60D34"/>
    <w:rsid w:val="00B60E14"/>
    <w:rsid w:val="00B60E6A"/>
    <w:rsid w:val="00B60F18"/>
    <w:rsid w:val="00B60F44"/>
    <w:rsid w:val="00B60F5A"/>
    <w:rsid w:val="00B60FC7"/>
    <w:rsid w:val="00B60FF9"/>
    <w:rsid w:val="00B6103A"/>
    <w:rsid w:val="00B61085"/>
    <w:rsid w:val="00B610A3"/>
    <w:rsid w:val="00B610B5"/>
    <w:rsid w:val="00B61195"/>
    <w:rsid w:val="00B61208"/>
    <w:rsid w:val="00B612BD"/>
    <w:rsid w:val="00B612D9"/>
    <w:rsid w:val="00B612DB"/>
    <w:rsid w:val="00B6136A"/>
    <w:rsid w:val="00B6145D"/>
    <w:rsid w:val="00B6150F"/>
    <w:rsid w:val="00B6157B"/>
    <w:rsid w:val="00B615AB"/>
    <w:rsid w:val="00B61687"/>
    <w:rsid w:val="00B616F7"/>
    <w:rsid w:val="00B61707"/>
    <w:rsid w:val="00B617EB"/>
    <w:rsid w:val="00B61806"/>
    <w:rsid w:val="00B6184F"/>
    <w:rsid w:val="00B618D5"/>
    <w:rsid w:val="00B61A2E"/>
    <w:rsid w:val="00B61A4E"/>
    <w:rsid w:val="00B61A60"/>
    <w:rsid w:val="00B61B72"/>
    <w:rsid w:val="00B61B80"/>
    <w:rsid w:val="00B61BDB"/>
    <w:rsid w:val="00B61CD3"/>
    <w:rsid w:val="00B61D42"/>
    <w:rsid w:val="00B61DEC"/>
    <w:rsid w:val="00B61E31"/>
    <w:rsid w:val="00B61E3F"/>
    <w:rsid w:val="00B61E5F"/>
    <w:rsid w:val="00B61E93"/>
    <w:rsid w:val="00B61ECD"/>
    <w:rsid w:val="00B61F9E"/>
    <w:rsid w:val="00B61FA7"/>
    <w:rsid w:val="00B61FEB"/>
    <w:rsid w:val="00B6208C"/>
    <w:rsid w:val="00B620C5"/>
    <w:rsid w:val="00B620E7"/>
    <w:rsid w:val="00B621B4"/>
    <w:rsid w:val="00B62204"/>
    <w:rsid w:val="00B622C9"/>
    <w:rsid w:val="00B6237D"/>
    <w:rsid w:val="00B623C4"/>
    <w:rsid w:val="00B6241D"/>
    <w:rsid w:val="00B62513"/>
    <w:rsid w:val="00B625F8"/>
    <w:rsid w:val="00B6263F"/>
    <w:rsid w:val="00B62745"/>
    <w:rsid w:val="00B62830"/>
    <w:rsid w:val="00B628A0"/>
    <w:rsid w:val="00B628BE"/>
    <w:rsid w:val="00B628D2"/>
    <w:rsid w:val="00B628EA"/>
    <w:rsid w:val="00B62A64"/>
    <w:rsid w:val="00B62A72"/>
    <w:rsid w:val="00B62AE5"/>
    <w:rsid w:val="00B62B43"/>
    <w:rsid w:val="00B62B57"/>
    <w:rsid w:val="00B62B91"/>
    <w:rsid w:val="00B62B9D"/>
    <w:rsid w:val="00B62BB9"/>
    <w:rsid w:val="00B62C27"/>
    <w:rsid w:val="00B62C37"/>
    <w:rsid w:val="00B62C58"/>
    <w:rsid w:val="00B62D8B"/>
    <w:rsid w:val="00B62D9E"/>
    <w:rsid w:val="00B62DAD"/>
    <w:rsid w:val="00B62DD9"/>
    <w:rsid w:val="00B62E0B"/>
    <w:rsid w:val="00B62E1C"/>
    <w:rsid w:val="00B62E35"/>
    <w:rsid w:val="00B62E71"/>
    <w:rsid w:val="00B62E81"/>
    <w:rsid w:val="00B62EA8"/>
    <w:rsid w:val="00B62F4C"/>
    <w:rsid w:val="00B6300C"/>
    <w:rsid w:val="00B63015"/>
    <w:rsid w:val="00B630A5"/>
    <w:rsid w:val="00B630B7"/>
    <w:rsid w:val="00B630F1"/>
    <w:rsid w:val="00B63178"/>
    <w:rsid w:val="00B63191"/>
    <w:rsid w:val="00B6326C"/>
    <w:rsid w:val="00B63273"/>
    <w:rsid w:val="00B632A3"/>
    <w:rsid w:val="00B632D0"/>
    <w:rsid w:val="00B63355"/>
    <w:rsid w:val="00B633A9"/>
    <w:rsid w:val="00B633B8"/>
    <w:rsid w:val="00B633F6"/>
    <w:rsid w:val="00B6340A"/>
    <w:rsid w:val="00B63469"/>
    <w:rsid w:val="00B63478"/>
    <w:rsid w:val="00B63489"/>
    <w:rsid w:val="00B6359E"/>
    <w:rsid w:val="00B63615"/>
    <w:rsid w:val="00B63669"/>
    <w:rsid w:val="00B6368D"/>
    <w:rsid w:val="00B636B9"/>
    <w:rsid w:val="00B636DE"/>
    <w:rsid w:val="00B636EA"/>
    <w:rsid w:val="00B63772"/>
    <w:rsid w:val="00B6380B"/>
    <w:rsid w:val="00B63855"/>
    <w:rsid w:val="00B638A9"/>
    <w:rsid w:val="00B638EA"/>
    <w:rsid w:val="00B639BD"/>
    <w:rsid w:val="00B639C5"/>
    <w:rsid w:val="00B63A04"/>
    <w:rsid w:val="00B63A44"/>
    <w:rsid w:val="00B63A7E"/>
    <w:rsid w:val="00B63B28"/>
    <w:rsid w:val="00B63B6F"/>
    <w:rsid w:val="00B63BA0"/>
    <w:rsid w:val="00B63C42"/>
    <w:rsid w:val="00B63CF3"/>
    <w:rsid w:val="00B63D1F"/>
    <w:rsid w:val="00B63D47"/>
    <w:rsid w:val="00B63D63"/>
    <w:rsid w:val="00B63DA3"/>
    <w:rsid w:val="00B63E06"/>
    <w:rsid w:val="00B63EDA"/>
    <w:rsid w:val="00B63EE3"/>
    <w:rsid w:val="00B63EE7"/>
    <w:rsid w:val="00B63F41"/>
    <w:rsid w:val="00B63F88"/>
    <w:rsid w:val="00B63FA4"/>
    <w:rsid w:val="00B63FBF"/>
    <w:rsid w:val="00B63FF3"/>
    <w:rsid w:val="00B6404F"/>
    <w:rsid w:val="00B64166"/>
    <w:rsid w:val="00B641A9"/>
    <w:rsid w:val="00B6427B"/>
    <w:rsid w:val="00B642C7"/>
    <w:rsid w:val="00B64375"/>
    <w:rsid w:val="00B6438B"/>
    <w:rsid w:val="00B643BA"/>
    <w:rsid w:val="00B64440"/>
    <w:rsid w:val="00B64442"/>
    <w:rsid w:val="00B64479"/>
    <w:rsid w:val="00B644A8"/>
    <w:rsid w:val="00B644DC"/>
    <w:rsid w:val="00B644F6"/>
    <w:rsid w:val="00B64597"/>
    <w:rsid w:val="00B645A1"/>
    <w:rsid w:val="00B6460D"/>
    <w:rsid w:val="00B646A2"/>
    <w:rsid w:val="00B646B8"/>
    <w:rsid w:val="00B646C7"/>
    <w:rsid w:val="00B6476B"/>
    <w:rsid w:val="00B64775"/>
    <w:rsid w:val="00B647C3"/>
    <w:rsid w:val="00B64812"/>
    <w:rsid w:val="00B648C7"/>
    <w:rsid w:val="00B648C9"/>
    <w:rsid w:val="00B64918"/>
    <w:rsid w:val="00B64955"/>
    <w:rsid w:val="00B6495E"/>
    <w:rsid w:val="00B6499E"/>
    <w:rsid w:val="00B64A03"/>
    <w:rsid w:val="00B64A29"/>
    <w:rsid w:val="00B64AAC"/>
    <w:rsid w:val="00B64BA8"/>
    <w:rsid w:val="00B64BCA"/>
    <w:rsid w:val="00B64BCF"/>
    <w:rsid w:val="00B64BDD"/>
    <w:rsid w:val="00B64C01"/>
    <w:rsid w:val="00B64C71"/>
    <w:rsid w:val="00B64C79"/>
    <w:rsid w:val="00B64C93"/>
    <w:rsid w:val="00B64C98"/>
    <w:rsid w:val="00B64DCC"/>
    <w:rsid w:val="00B64E5F"/>
    <w:rsid w:val="00B64E6C"/>
    <w:rsid w:val="00B64E84"/>
    <w:rsid w:val="00B64EDB"/>
    <w:rsid w:val="00B64F4E"/>
    <w:rsid w:val="00B64F6A"/>
    <w:rsid w:val="00B64FE7"/>
    <w:rsid w:val="00B6501A"/>
    <w:rsid w:val="00B65191"/>
    <w:rsid w:val="00B651C0"/>
    <w:rsid w:val="00B6530D"/>
    <w:rsid w:val="00B65374"/>
    <w:rsid w:val="00B65391"/>
    <w:rsid w:val="00B65453"/>
    <w:rsid w:val="00B65477"/>
    <w:rsid w:val="00B654FA"/>
    <w:rsid w:val="00B65533"/>
    <w:rsid w:val="00B65541"/>
    <w:rsid w:val="00B65636"/>
    <w:rsid w:val="00B65676"/>
    <w:rsid w:val="00B65681"/>
    <w:rsid w:val="00B6569F"/>
    <w:rsid w:val="00B656C9"/>
    <w:rsid w:val="00B656D6"/>
    <w:rsid w:val="00B656FC"/>
    <w:rsid w:val="00B657B6"/>
    <w:rsid w:val="00B657DA"/>
    <w:rsid w:val="00B65808"/>
    <w:rsid w:val="00B658D8"/>
    <w:rsid w:val="00B65900"/>
    <w:rsid w:val="00B65959"/>
    <w:rsid w:val="00B65960"/>
    <w:rsid w:val="00B659CA"/>
    <w:rsid w:val="00B65A0A"/>
    <w:rsid w:val="00B65B2C"/>
    <w:rsid w:val="00B65BB4"/>
    <w:rsid w:val="00B65BDE"/>
    <w:rsid w:val="00B65C25"/>
    <w:rsid w:val="00B65C28"/>
    <w:rsid w:val="00B65D73"/>
    <w:rsid w:val="00B65D96"/>
    <w:rsid w:val="00B65D97"/>
    <w:rsid w:val="00B65DA9"/>
    <w:rsid w:val="00B65DB1"/>
    <w:rsid w:val="00B65F4B"/>
    <w:rsid w:val="00B65FBB"/>
    <w:rsid w:val="00B6609E"/>
    <w:rsid w:val="00B660E1"/>
    <w:rsid w:val="00B661A0"/>
    <w:rsid w:val="00B661A6"/>
    <w:rsid w:val="00B662A3"/>
    <w:rsid w:val="00B6630E"/>
    <w:rsid w:val="00B66365"/>
    <w:rsid w:val="00B66397"/>
    <w:rsid w:val="00B66488"/>
    <w:rsid w:val="00B664A9"/>
    <w:rsid w:val="00B664D8"/>
    <w:rsid w:val="00B664DD"/>
    <w:rsid w:val="00B6656E"/>
    <w:rsid w:val="00B66598"/>
    <w:rsid w:val="00B6661D"/>
    <w:rsid w:val="00B66638"/>
    <w:rsid w:val="00B66689"/>
    <w:rsid w:val="00B666AA"/>
    <w:rsid w:val="00B667B3"/>
    <w:rsid w:val="00B667B6"/>
    <w:rsid w:val="00B667E5"/>
    <w:rsid w:val="00B667F9"/>
    <w:rsid w:val="00B66800"/>
    <w:rsid w:val="00B66880"/>
    <w:rsid w:val="00B668CB"/>
    <w:rsid w:val="00B668D9"/>
    <w:rsid w:val="00B668FC"/>
    <w:rsid w:val="00B66A0E"/>
    <w:rsid w:val="00B66AC7"/>
    <w:rsid w:val="00B66AD0"/>
    <w:rsid w:val="00B66ADA"/>
    <w:rsid w:val="00B66B9E"/>
    <w:rsid w:val="00B66BEA"/>
    <w:rsid w:val="00B66BF7"/>
    <w:rsid w:val="00B66C12"/>
    <w:rsid w:val="00B66CB2"/>
    <w:rsid w:val="00B66CF0"/>
    <w:rsid w:val="00B66D80"/>
    <w:rsid w:val="00B66D97"/>
    <w:rsid w:val="00B66DA6"/>
    <w:rsid w:val="00B66E1B"/>
    <w:rsid w:val="00B66E56"/>
    <w:rsid w:val="00B66EA2"/>
    <w:rsid w:val="00B66EA8"/>
    <w:rsid w:val="00B66EBB"/>
    <w:rsid w:val="00B6701A"/>
    <w:rsid w:val="00B67092"/>
    <w:rsid w:val="00B67198"/>
    <w:rsid w:val="00B671AD"/>
    <w:rsid w:val="00B671BC"/>
    <w:rsid w:val="00B671BD"/>
    <w:rsid w:val="00B671C3"/>
    <w:rsid w:val="00B671F0"/>
    <w:rsid w:val="00B67203"/>
    <w:rsid w:val="00B67275"/>
    <w:rsid w:val="00B6729C"/>
    <w:rsid w:val="00B67365"/>
    <w:rsid w:val="00B673C2"/>
    <w:rsid w:val="00B6748E"/>
    <w:rsid w:val="00B674DA"/>
    <w:rsid w:val="00B67569"/>
    <w:rsid w:val="00B67584"/>
    <w:rsid w:val="00B67598"/>
    <w:rsid w:val="00B67641"/>
    <w:rsid w:val="00B6770A"/>
    <w:rsid w:val="00B6775F"/>
    <w:rsid w:val="00B67788"/>
    <w:rsid w:val="00B6785F"/>
    <w:rsid w:val="00B67AD8"/>
    <w:rsid w:val="00B67B69"/>
    <w:rsid w:val="00B67B7E"/>
    <w:rsid w:val="00B67B89"/>
    <w:rsid w:val="00B67BE0"/>
    <w:rsid w:val="00B67C11"/>
    <w:rsid w:val="00B67DE5"/>
    <w:rsid w:val="00B67DEF"/>
    <w:rsid w:val="00B67EBB"/>
    <w:rsid w:val="00B67EF6"/>
    <w:rsid w:val="00B67F27"/>
    <w:rsid w:val="00B67F32"/>
    <w:rsid w:val="00B67F45"/>
    <w:rsid w:val="00B67F47"/>
    <w:rsid w:val="00B67FF6"/>
    <w:rsid w:val="00B70026"/>
    <w:rsid w:val="00B700FF"/>
    <w:rsid w:val="00B70188"/>
    <w:rsid w:val="00B7018D"/>
    <w:rsid w:val="00B701F9"/>
    <w:rsid w:val="00B70235"/>
    <w:rsid w:val="00B70277"/>
    <w:rsid w:val="00B7027C"/>
    <w:rsid w:val="00B702B6"/>
    <w:rsid w:val="00B702BD"/>
    <w:rsid w:val="00B702DF"/>
    <w:rsid w:val="00B702EB"/>
    <w:rsid w:val="00B702F3"/>
    <w:rsid w:val="00B7033F"/>
    <w:rsid w:val="00B70381"/>
    <w:rsid w:val="00B703B8"/>
    <w:rsid w:val="00B703F6"/>
    <w:rsid w:val="00B7041A"/>
    <w:rsid w:val="00B70427"/>
    <w:rsid w:val="00B704B0"/>
    <w:rsid w:val="00B704F4"/>
    <w:rsid w:val="00B70537"/>
    <w:rsid w:val="00B7055C"/>
    <w:rsid w:val="00B70618"/>
    <w:rsid w:val="00B7062B"/>
    <w:rsid w:val="00B706BE"/>
    <w:rsid w:val="00B70714"/>
    <w:rsid w:val="00B70732"/>
    <w:rsid w:val="00B70769"/>
    <w:rsid w:val="00B70780"/>
    <w:rsid w:val="00B707FE"/>
    <w:rsid w:val="00B70836"/>
    <w:rsid w:val="00B70842"/>
    <w:rsid w:val="00B7085F"/>
    <w:rsid w:val="00B708F0"/>
    <w:rsid w:val="00B708F1"/>
    <w:rsid w:val="00B70994"/>
    <w:rsid w:val="00B709C6"/>
    <w:rsid w:val="00B709D6"/>
    <w:rsid w:val="00B70A93"/>
    <w:rsid w:val="00B70A9F"/>
    <w:rsid w:val="00B70B3E"/>
    <w:rsid w:val="00B70B6B"/>
    <w:rsid w:val="00B70B92"/>
    <w:rsid w:val="00B70BB1"/>
    <w:rsid w:val="00B70BE1"/>
    <w:rsid w:val="00B70BE5"/>
    <w:rsid w:val="00B70C7A"/>
    <w:rsid w:val="00B70C88"/>
    <w:rsid w:val="00B70C9F"/>
    <w:rsid w:val="00B70CAD"/>
    <w:rsid w:val="00B70D26"/>
    <w:rsid w:val="00B70D42"/>
    <w:rsid w:val="00B70DD2"/>
    <w:rsid w:val="00B70DDF"/>
    <w:rsid w:val="00B70E29"/>
    <w:rsid w:val="00B70E55"/>
    <w:rsid w:val="00B70EE0"/>
    <w:rsid w:val="00B70EF5"/>
    <w:rsid w:val="00B70EFA"/>
    <w:rsid w:val="00B70FA6"/>
    <w:rsid w:val="00B710FC"/>
    <w:rsid w:val="00B71187"/>
    <w:rsid w:val="00B711B7"/>
    <w:rsid w:val="00B711F3"/>
    <w:rsid w:val="00B71200"/>
    <w:rsid w:val="00B71302"/>
    <w:rsid w:val="00B71365"/>
    <w:rsid w:val="00B71439"/>
    <w:rsid w:val="00B7145E"/>
    <w:rsid w:val="00B715FC"/>
    <w:rsid w:val="00B71631"/>
    <w:rsid w:val="00B716C7"/>
    <w:rsid w:val="00B716F0"/>
    <w:rsid w:val="00B71727"/>
    <w:rsid w:val="00B717DC"/>
    <w:rsid w:val="00B7180F"/>
    <w:rsid w:val="00B71846"/>
    <w:rsid w:val="00B7186C"/>
    <w:rsid w:val="00B718FD"/>
    <w:rsid w:val="00B71950"/>
    <w:rsid w:val="00B7196D"/>
    <w:rsid w:val="00B7197B"/>
    <w:rsid w:val="00B71A28"/>
    <w:rsid w:val="00B71ACC"/>
    <w:rsid w:val="00B71AE8"/>
    <w:rsid w:val="00B71AF9"/>
    <w:rsid w:val="00B71B2F"/>
    <w:rsid w:val="00B71B90"/>
    <w:rsid w:val="00B71B99"/>
    <w:rsid w:val="00B71BCC"/>
    <w:rsid w:val="00B71C1F"/>
    <w:rsid w:val="00B71CD0"/>
    <w:rsid w:val="00B71DDA"/>
    <w:rsid w:val="00B71DFA"/>
    <w:rsid w:val="00B71E1F"/>
    <w:rsid w:val="00B71EC8"/>
    <w:rsid w:val="00B71F06"/>
    <w:rsid w:val="00B71F4F"/>
    <w:rsid w:val="00B71FE8"/>
    <w:rsid w:val="00B71FF4"/>
    <w:rsid w:val="00B72086"/>
    <w:rsid w:val="00B7216D"/>
    <w:rsid w:val="00B72225"/>
    <w:rsid w:val="00B72259"/>
    <w:rsid w:val="00B72309"/>
    <w:rsid w:val="00B72334"/>
    <w:rsid w:val="00B72338"/>
    <w:rsid w:val="00B7238A"/>
    <w:rsid w:val="00B723B1"/>
    <w:rsid w:val="00B723C0"/>
    <w:rsid w:val="00B7240B"/>
    <w:rsid w:val="00B7242E"/>
    <w:rsid w:val="00B7244B"/>
    <w:rsid w:val="00B72488"/>
    <w:rsid w:val="00B724F3"/>
    <w:rsid w:val="00B724FB"/>
    <w:rsid w:val="00B7254D"/>
    <w:rsid w:val="00B72564"/>
    <w:rsid w:val="00B72595"/>
    <w:rsid w:val="00B725CC"/>
    <w:rsid w:val="00B725D2"/>
    <w:rsid w:val="00B72641"/>
    <w:rsid w:val="00B72647"/>
    <w:rsid w:val="00B72651"/>
    <w:rsid w:val="00B72655"/>
    <w:rsid w:val="00B7265F"/>
    <w:rsid w:val="00B72696"/>
    <w:rsid w:val="00B72697"/>
    <w:rsid w:val="00B726B4"/>
    <w:rsid w:val="00B726E2"/>
    <w:rsid w:val="00B72734"/>
    <w:rsid w:val="00B72737"/>
    <w:rsid w:val="00B72758"/>
    <w:rsid w:val="00B727BE"/>
    <w:rsid w:val="00B72824"/>
    <w:rsid w:val="00B72827"/>
    <w:rsid w:val="00B72872"/>
    <w:rsid w:val="00B72A82"/>
    <w:rsid w:val="00B72ACF"/>
    <w:rsid w:val="00B72AEA"/>
    <w:rsid w:val="00B72B3A"/>
    <w:rsid w:val="00B72B3F"/>
    <w:rsid w:val="00B72B50"/>
    <w:rsid w:val="00B72B68"/>
    <w:rsid w:val="00B72BCB"/>
    <w:rsid w:val="00B72BD4"/>
    <w:rsid w:val="00B72C32"/>
    <w:rsid w:val="00B72CA4"/>
    <w:rsid w:val="00B72D3B"/>
    <w:rsid w:val="00B72D5D"/>
    <w:rsid w:val="00B72E2D"/>
    <w:rsid w:val="00B72EAE"/>
    <w:rsid w:val="00B72F79"/>
    <w:rsid w:val="00B7306B"/>
    <w:rsid w:val="00B730A8"/>
    <w:rsid w:val="00B73195"/>
    <w:rsid w:val="00B731A1"/>
    <w:rsid w:val="00B731F3"/>
    <w:rsid w:val="00B731FC"/>
    <w:rsid w:val="00B73219"/>
    <w:rsid w:val="00B732B6"/>
    <w:rsid w:val="00B73334"/>
    <w:rsid w:val="00B7333C"/>
    <w:rsid w:val="00B73378"/>
    <w:rsid w:val="00B733D4"/>
    <w:rsid w:val="00B7341B"/>
    <w:rsid w:val="00B73420"/>
    <w:rsid w:val="00B734D7"/>
    <w:rsid w:val="00B734E0"/>
    <w:rsid w:val="00B7353A"/>
    <w:rsid w:val="00B7358B"/>
    <w:rsid w:val="00B73606"/>
    <w:rsid w:val="00B73638"/>
    <w:rsid w:val="00B73645"/>
    <w:rsid w:val="00B73650"/>
    <w:rsid w:val="00B73659"/>
    <w:rsid w:val="00B7365F"/>
    <w:rsid w:val="00B73770"/>
    <w:rsid w:val="00B7381E"/>
    <w:rsid w:val="00B7389E"/>
    <w:rsid w:val="00B738B6"/>
    <w:rsid w:val="00B738E4"/>
    <w:rsid w:val="00B738EB"/>
    <w:rsid w:val="00B73916"/>
    <w:rsid w:val="00B73A45"/>
    <w:rsid w:val="00B73A4B"/>
    <w:rsid w:val="00B73A62"/>
    <w:rsid w:val="00B73A8F"/>
    <w:rsid w:val="00B73AF1"/>
    <w:rsid w:val="00B73B57"/>
    <w:rsid w:val="00B73BCF"/>
    <w:rsid w:val="00B73BE9"/>
    <w:rsid w:val="00B73C61"/>
    <w:rsid w:val="00B73CB6"/>
    <w:rsid w:val="00B73CF6"/>
    <w:rsid w:val="00B73CFB"/>
    <w:rsid w:val="00B73D34"/>
    <w:rsid w:val="00B73D3A"/>
    <w:rsid w:val="00B73D3E"/>
    <w:rsid w:val="00B73D61"/>
    <w:rsid w:val="00B73D82"/>
    <w:rsid w:val="00B73D8E"/>
    <w:rsid w:val="00B73DB7"/>
    <w:rsid w:val="00B73F60"/>
    <w:rsid w:val="00B73F81"/>
    <w:rsid w:val="00B73FA8"/>
    <w:rsid w:val="00B73FC6"/>
    <w:rsid w:val="00B74004"/>
    <w:rsid w:val="00B74032"/>
    <w:rsid w:val="00B7405F"/>
    <w:rsid w:val="00B7407E"/>
    <w:rsid w:val="00B74094"/>
    <w:rsid w:val="00B740DB"/>
    <w:rsid w:val="00B740DF"/>
    <w:rsid w:val="00B74165"/>
    <w:rsid w:val="00B74167"/>
    <w:rsid w:val="00B7419D"/>
    <w:rsid w:val="00B74262"/>
    <w:rsid w:val="00B7442E"/>
    <w:rsid w:val="00B74461"/>
    <w:rsid w:val="00B74490"/>
    <w:rsid w:val="00B744D2"/>
    <w:rsid w:val="00B74692"/>
    <w:rsid w:val="00B74734"/>
    <w:rsid w:val="00B74750"/>
    <w:rsid w:val="00B7475E"/>
    <w:rsid w:val="00B74781"/>
    <w:rsid w:val="00B747B3"/>
    <w:rsid w:val="00B747BB"/>
    <w:rsid w:val="00B747D5"/>
    <w:rsid w:val="00B7481A"/>
    <w:rsid w:val="00B7490D"/>
    <w:rsid w:val="00B74926"/>
    <w:rsid w:val="00B749BE"/>
    <w:rsid w:val="00B74A39"/>
    <w:rsid w:val="00B74A8D"/>
    <w:rsid w:val="00B74AC1"/>
    <w:rsid w:val="00B74AE6"/>
    <w:rsid w:val="00B74B8A"/>
    <w:rsid w:val="00B74BC0"/>
    <w:rsid w:val="00B74C14"/>
    <w:rsid w:val="00B74CDE"/>
    <w:rsid w:val="00B74CE6"/>
    <w:rsid w:val="00B74D49"/>
    <w:rsid w:val="00B74E03"/>
    <w:rsid w:val="00B74F21"/>
    <w:rsid w:val="00B74F44"/>
    <w:rsid w:val="00B74FFD"/>
    <w:rsid w:val="00B75017"/>
    <w:rsid w:val="00B75055"/>
    <w:rsid w:val="00B75085"/>
    <w:rsid w:val="00B75156"/>
    <w:rsid w:val="00B75238"/>
    <w:rsid w:val="00B75286"/>
    <w:rsid w:val="00B752AF"/>
    <w:rsid w:val="00B752C5"/>
    <w:rsid w:val="00B752E6"/>
    <w:rsid w:val="00B7531E"/>
    <w:rsid w:val="00B75495"/>
    <w:rsid w:val="00B75520"/>
    <w:rsid w:val="00B75544"/>
    <w:rsid w:val="00B75549"/>
    <w:rsid w:val="00B755BB"/>
    <w:rsid w:val="00B755EA"/>
    <w:rsid w:val="00B75612"/>
    <w:rsid w:val="00B7568A"/>
    <w:rsid w:val="00B756D1"/>
    <w:rsid w:val="00B756E2"/>
    <w:rsid w:val="00B756E9"/>
    <w:rsid w:val="00B75742"/>
    <w:rsid w:val="00B757A1"/>
    <w:rsid w:val="00B757D4"/>
    <w:rsid w:val="00B757E8"/>
    <w:rsid w:val="00B7583E"/>
    <w:rsid w:val="00B758DE"/>
    <w:rsid w:val="00B75916"/>
    <w:rsid w:val="00B75970"/>
    <w:rsid w:val="00B75985"/>
    <w:rsid w:val="00B759D8"/>
    <w:rsid w:val="00B75AB1"/>
    <w:rsid w:val="00B75B49"/>
    <w:rsid w:val="00B75B82"/>
    <w:rsid w:val="00B75BA1"/>
    <w:rsid w:val="00B75BF3"/>
    <w:rsid w:val="00B75C18"/>
    <w:rsid w:val="00B75C43"/>
    <w:rsid w:val="00B75C88"/>
    <w:rsid w:val="00B75D8C"/>
    <w:rsid w:val="00B75F7A"/>
    <w:rsid w:val="00B76070"/>
    <w:rsid w:val="00B76138"/>
    <w:rsid w:val="00B7616B"/>
    <w:rsid w:val="00B7616D"/>
    <w:rsid w:val="00B762B7"/>
    <w:rsid w:val="00B762BB"/>
    <w:rsid w:val="00B762EB"/>
    <w:rsid w:val="00B7649A"/>
    <w:rsid w:val="00B765FA"/>
    <w:rsid w:val="00B76673"/>
    <w:rsid w:val="00B76691"/>
    <w:rsid w:val="00B7670B"/>
    <w:rsid w:val="00B7675C"/>
    <w:rsid w:val="00B76780"/>
    <w:rsid w:val="00B76810"/>
    <w:rsid w:val="00B76854"/>
    <w:rsid w:val="00B768A1"/>
    <w:rsid w:val="00B768C6"/>
    <w:rsid w:val="00B768DF"/>
    <w:rsid w:val="00B76991"/>
    <w:rsid w:val="00B7699F"/>
    <w:rsid w:val="00B769A3"/>
    <w:rsid w:val="00B76AC6"/>
    <w:rsid w:val="00B76B14"/>
    <w:rsid w:val="00B76B58"/>
    <w:rsid w:val="00B76C38"/>
    <w:rsid w:val="00B76C3D"/>
    <w:rsid w:val="00B76CF2"/>
    <w:rsid w:val="00B76DD5"/>
    <w:rsid w:val="00B76DDD"/>
    <w:rsid w:val="00B76E42"/>
    <w:rsid w:val="00B76E47"/>
    <w:rsid w:val="00B76EEB"/>
    <w:rsid w:val="00B76EFC"/>
    <w:rsid w:val="00B76FF2"/>
    <w:rsid w:val="00B7706A"/>
    <w:rsid w:val="00B77125"/>
    <w:rsid w:val="00B771BE"/>
    <w:rsid w:val="00B771CD"/>
    <w:rsid w:val="00B771DF"/>
    <w:rsid w:val="00B77210"/>
    <w:rsid w:val="00B77231"/>
    <w:rsid w:val="00B7723E"/>
    <w:rsid w:val="00B77302"/>
    <w:rsid w:val="00B773D2"/>
    <w:rsid w:val="00B773D9"/>
    <w:rsid w:val="00B7747C"/>
    <w:rsid w:val="00B774CD"/>
    <w:rsid w:val="00B77617"/>
    <w:rsid w:val="00B77702"/>
    <w:rsid w:val="00B77748"/>
    <w:rsid w:val="00B77755"/>
    <w:rsid w:val="00B77772"/>
    <w:rsid w:val="00B777DC"/>
    <w:rsid w:val="00B777E9"/>
    <w:rsid w:val="00B777EA"/>
    <w:rsid w:val="00B778E9"/>
    <w:rsid w:val="00B77A2A"/>
    <w:rsid w:val="00B77A45"/>
    <w:rsid w:val="00B77C00"/>
    <w:rsid w:val="00B77C40"/>
    <w:rsid w:val="00B77C53"/>
    <w:rsid w:val="00B77E00"/>
    <w:rsid w:val="00B77E2E"/>
    <w:rsid w:val="00B77E76"/>
    <w:rsid w:val="00B77EB1"/>
    <w:rsid w:val="00B77EF3"/>
    <w:rsid w:val="00B77F17"/>
    <w:rsid w:val="00B77F2A"/>
    <w:rsid w:val="00B8004C"/>
    <w:rsid w:val="00B80077"/>
    <w:rsid w:val="00B8009D"/>
    <w:rsid w:val="00B800AB"/>
    <w:rsid w:val="00B8017E"/>
    <w:rsid w:val="00B80239"/>
    <w:rsid w:val="00B8023F"/>
    <w:rsid w:val="00B80244"/>
    <w:rsid w:val="00B80254"/>
    <w:rsid w:val="00B80287"/>
    <w:rsid w:val="00B802CF"/>
    <w:rsid w:val="00B802DF"/>
    <w:rsid w:val="00B80354"/>
    <w:rsid w:val="00B8037A"/>
    <w:rsid w:val="00B803B0"/>
    <w:rsid w:val="00B803B1"/>
    <w:rsid w:val="00B803DC"/>
    <w:rsid w:val="00B805CE"/>
    <w:rsid w:val="00B80618"/>
    <w:rsid w:val="00B80685"/>
    <w:rsid w:val="00B806B3"/>
    <w:rsid w:val="00B8080A"/>
    <w:rsid w:val="00B808A2"/>
    <w:rsid w:val="00B808B0"/>
    <w:rsid w:val="00B8093D"/>
    <w:rsid w:val="00B809F1"/>
    <w:rsid w:val="00B80A7F"/>
    <w:rsid w:val="00B80A8C"/>
    <w:rsid w:val="00B80AFC"/>
    <w:rsid w:val="00B80BEF"/>
    <w:rsid w:val="00B80C02"/>
    <w:rsid w:val="00B80C05"/>
    <w:rsid w:val="00B80C7B"/>
    <w:rsid w:val="00B80D01"/>
    <w:rsid w:val="00B80D68"/>
    <w:rsid w:val="00B80E1C"/>
    <w:rsid w:val="00B80E46"/>
    <w:rsid w:val="00B80E84"/>
    <w:rsid w:val="00B80F2B"/>
    <w:rsid w:val="00B80F36"/>
    <w:rsid w:val="00B80F93"/>
    <w:rsid w:val="00B80FA3"/>
    <w:rsid w:val="00B80FD1"/>
    <w:rsid w:val="00B80FDC"/>
    <w:rsid w:val="00B8105A"/>
    <w:rsid w:val="00B810A3"/>
    <w:rsid w:val="00B810F2"/>
    <w:rsid w:val="00B81150"/>
    <w:rsid w:val="00B81210"/>
    <w:rsid w:val="00B8121B"/>
    <w:rsid w:val="00B8122F"/>
    <w:rsid w:val="00B812E2"/>
    <w:rsid w:val="00B812E7"/>
    <w:rsid w:val="00B81353"/>
    <w:rsid w:val="00B8142E"/>
    <w:rsid w:val="00B81471"/>
    <w:rsid w:val="00B814FF"/>
    <w:rsid w:val="00B81519"/>
    <w:rsid w:val="00B8154E"/>
    <w:rsid w:val="00B8160F"/>
    <w:rsid w:val="00B8172C"/>
    <w:rsid w:val="00B8176C"/>
    <w:rsid w:val="00B81799"/>
    <w:rsid w:val="00B817B3"/>
    <w:rsid w:val="00B8186D"/>
    <w:rsid w:val="00B81970"/>
    <w:rsid w:val="00B8197F"/>
    <w:rsid w:val="00B819A5"/>
    <w:rsid w:val="00B819AA"/>
    <w:rsid w:val="00B819DD"/>
    <w:rsid w:val="00B819F6"/>
    <w:rsid w:val="00B81A17"/>
    <w:rsid w:val="00B81AC8"/>
    <w:rsid w:val="00B81AE3"/>
    <w:rsid w:val="00B81B22"/>
    <w:rsid w:val="00B81B81"/>
    <w:rsid w:val="00B81C70"/>
    <w:rsid w:val="00B81CC7"/>
    <w:rsid w:val="00B81D86"/>
    <w:rsid w:val="00B81E1F"/>
    <w:rsid w:val="00B81E4F"/>
    <w:rsid w:val="00B81F8C"/>
    <w:rsid w:val="00B82088"/>
    <w:rsid w:val="00B82188"/>
    <w:rsid w:val="00B82257"/>
    <w:rsid w:val="00B822FA"/>
    <w:rsid w:val="00B8231B"/>
    <w:rsid w:val="00B823BD"/>
    <w:rsid w:val="00B8242C"/>
    <w:rsid w:val="00B824C6"/>
    <w:rsid w:val="00B824E7"/>
    <w:rsid w:val="00B82502"/>
    <w:rsid w:val="00B82504"/>
    <w:rsid w:val="00B82515"/>
    <w:rsid w:val="00B825B8"/>
    <w:rsid w:val="00B825C1"/>
    <w:rsid w:val="00B8261F"/>
    <w:rsid w:val="00B82696"/>
    <w:rsid w:val="00B826CB"/>
    <w:rsid w:val="00B828A2"/>
    <w:rsid w:val="00B828B5"/>
    <w:rsid w:val="00B82912"/>
    <w:rsid w:val="00B8291C"/>
    <w:rsid w:val="00B8292E"/>
    <w:rsid w:val="00B8299E"/>
    <w:rsid w:val="00B829E1"/>
    <w:rsid w:val="00B82A26"/>
    <w:rsid w:val="00B82A3B"/>
    <w:rsid w:val="00B82A51"/>
    <w:rsid w:val="00B82A77"/>
    <w:rsid w:val="00B82A9D"/>
    <w:rsid w:val="00B82B14"/>
    <w:rsid w:val="00B82B77"/>
    <w:rsid w:val="00B82B96"/>
    <w:rsid w:val="00B82BD7"/>
    <w:rsid w:val="00B82BE9"/>
    <w:rsid w:val="00B82C01"/>
    <w:rsid w:val="00B82C79"/>
    <w:rsid w:val="00B82CAE"/>
    <w:rsid w:val="00B82CD1"/>
    <w:rsid w:val="00B82DCD"/>
    <w:rsid w:val="00B82E2A"/>
    <w:rsid w:val="00B82E60"/>
    <w:rsid w:val="00B82F6E"/>
    <w:rsid w:val="00B82F87"/>
    <w:rsid w:val="00B82F96"/>
    <w:rsid w:val="00B82FB3"/>
    <w:rsid w:val="00B830DC"/>
    <w:rsid w:val="00B83147"/>
    <w:rsid w:val="00B83223"/>
    <w:rsid w:val="00B83231"/>
    <w:rsid w:val="00B8328C"/>
    <w:rsid w:val="00B832DF"/>
    <w:rsid w:val="00B832E6"/>
    <w:rsid w:val="00B833E3"/>
    <w:rsid w:val="00B83478"/>
    <w:rsid w:val="00B8349F"/>
    <w:rsid w:val="00B83568"/>
    <w:rsid w:val="00B8359F"/>
    <w:rsid w:val="00B835BD"/>
    <w:rsid w:val="00B835BF"/>
    <w:rsid w:val="00B83621"/>
    <w:rsid w:val="00B8367A"/>
    <w:rsid w:val="00B836F0"/>
    <w:rsid w:val="00B836F7"/>
    <w:rsid w:val="00B8371C"/>
    <w:rsid w:val="00B83802"/>
    <w:rsid w:val="00B83868"/>
    <w:rsid w:val="00B83914"/>
    <w:rsid w:val="00B8397A"/>
    <w:rsid w:val="00B839A6"/>
    <w:rsid w:val="00B839E8"/>
    <w:rsid w:val="00B83A03"/>
    <w:rsid w:val="00B83A24"/>
    <w:rsid w:val="00B83A3D"/>
    <w:rsid w:val="00B83A9D"/>
    <w:rsid w:val="00B83ABB"/>
    <w:rsid w:val="00B83B7F"/>
    <w:rsid w:val="00B83B8C"/>
    <w:rsid w:val="00B83D2E"/>
    <w:rsid w:val="00B83D3D"/>
    <w:rsid w:val="00B83D5E"/>
    <w:rsid w:val="00B83D84"/>
    <w:rsid w:val="00B83E73"/>
    <w:rsid w:val="00B83EB4"/>
    <w:rsid w:val="00B83EF5"/>
    <w:rsid w:val="00B83F4B"/>
    <w:rsid w:val="00B83FCC"/>
    <w:rsid w:val="00B83FF1"/>
    <w:rsid w:val="00B83FF8"/>
    <w:rsid w:val="00B8402C"/>
    <w:rsid w:val="00B84058"/>
    <w:rsid w:val="00B840D5"/>
    <w:rsid w:val="00B84159"/>
    <w:rsid w:val="00B84167"/>
    <w:rsid w:val="00B84173"/>
    <w:rsid w:val="00B841DF"/>
    <w:rsid w:val="00B84237"/>
    <w:rsid w:val="00B842DA"/>
    <w:rsid w:val="00B842E8"/>
    <w:rsid w:val="00B8433A"/>
    <w:rsid w:val="00B84380"/>
    <w:rsid w:val="00B8439A"/>
    <w:rsid w:val="00B843D1"/>
    <w:rsid w:val="00B843E0"/>
    <w:rsid w:val="00B844F8"/>
    <w:rsid w:val="00B84537"/>
    <w:rsid w:val="00B8464D"/>
    <w:rsid w:val="00B8468D"/>
    <w:rsid w:val="00B846CD"/>
    <w:rsid w:val="00B8472F"/>
    <w:rsid w:val="00B84777"/>
    <w:rsid w:val="00B84793"/>
    <w:rsid w:val="00B847DF"/>
    <w:rsid w:val="00B84830"/>
    <w:rsid w:val="00B84880"/>
    <w:rsid w:val="00B84900"/>
    <w:rsid w:val="00B84935"/>
    <w:rsid w:val="00B84962"/>
    <w:rsid w:val="00B84A05"/>
    <w:rsid w:val="00B84B35"/>
    <w:rsid w:val="00B84B8A"/>
    <w:rsid w:val="00B84BC3"/>
    <w:rsid w:val="00B84BFB"/>
    <w:rsid w:val="00B84D50"/>
    <w:rsid w:val="00B84D7D"/>
    <w:rsid w:val="00B84DCA"/>
    <w:rsid w:val="00B84E54"/>
    <w:rsid w:val="00B84EA0"/>
    <w:rsid w:val="00B84F74"/>
    <w:rsid w:val="00B84FDB"/>
    <w:rsid w:val="00B84FFB"/>
    <w:rsid w:val="00B85064"/>
    <w:rsid w:val="00B8506F"/>
    <w:rsid w:val="00B850EC"/>
    <w:rsid w:val="00B85184"/>
    <w:rsid w:val="00B851CD"/>
    <w:rsid w:val="00B851DF"/>
    <w:rsid w:val="00B8524F"/>
    <w:rsid w:val="00B8528F"/>
    <w:rsid w:val="00B852D6"/>
    <w:rsid w:val="00B852D7"/>
    <w:rsid w:val="00B85379"/>
    <w:rsid w:val="00B853A9"/>
    <w:rsid w:val="00B85410"/>
    <w:rsid w:val="00B8541A"/>
    <w:rsid w:val="00B8543B"/>
    <w:rsid w:val="00B85455"/>
    <w:rsid w:val="00B85477"/>
    <w:rsid w:val="00B854F6"/>
    <w:rsid w:val="00B8550A"/>
    <w:rsid w:val="00B8551E"/>
    <w:rsid w:val="00B85575"/>
    <w:rsid w:val="00B85582"/>
    <w:rsid w:val="00B85612"/>
    <w:rsid w:val="00B85657"/>
    <w:rsid w:val="00B856F8"/>
    <w:rsid w:val="00B8572E"/>
    <w:rsid w:val="00B85762"/>
    <w:rsid w:val="00B8579E"/>
    <w:rsid w:val="00B857A1"/>
    <w:rsid w:val="00B8580A"/>
    <w:rsid w:val="00B85877"/>
    <w:rsid w:val="00B85879"/>
    <w:rsid w:val="00B858D8"/>
    <w:rsid w:val="00B85902"/>
    <w:rsid w:val="00B85951"/>
    <w:rsid w:val="00B85981"/>
    <w:rsid w:val="00B859EF"/>
    <w:rsid w:val="00B85A22"/>
    <w:rsid w:val="00B85A3A"/>
    <w:rsid w:val="00B85A88"/>
    <w:rsid w:val="00B85B6D"/>
    <w:rsid w:val="00B85BC3"/>
    <w:rsid w:val="00B85BF1"/>
    <w:rsid w:val="00B85C25"/>
    <w:rsid w:val="00B85C93"/>
    <w:rsid w:val="00B85DB6"/>
    <w:rsid w:val="00B85E27"/>
    <w:rsid w:val="00B85E71"/>
    <w:rsid w:val="00B85EC0"/>
    <w:rsid w:val="00B85F18"/>
    <w:rsid w:val="00B85F1C"/>
    <w:rsid w:val="00B85F67"/>
    <w:rsid w:val="00B85F75"/>
    <w:rsid w:val="00B86084"/>
    <w:rsid w:val="00B860D4"/>
    <w:rsid w:val="00B86117"/>
    <w:rsid w:val="00B861F4"/>
    <w:rsid w:val="00B86249"/>
    <w:rsid w:val="00B8624D"/>
    <w:rsid w:val="00B8626D"/>
    <w:rsid w:val="00B862BD"/>
    <w:rsid w:val="00B862BF"/>
    <w:rsid w:val="00B862FB"/>
    <w:rsid w:val="00B86378"/>
    <w:rsid w:val="00B864FA"/>
    <w:rsid w:val="00B86505"/>
    <w:rsid w:val="00B8655B"/>
    <w:rsid w:val="00B865AD"/>
    <w:rsid w:val="00B865FB"/>
    <w:rsid w:val="00B8661F"/>
    <w:rsid w:val="00B866AB"/>
    <w:rsid w:val="00B867BB"/>
    <w:rsid w:val="00B867F1"/>
    <w:rsid w:val="00B86842"/>
    <w:rsid w:val="00B869D7"/>
    <w:rsid w:val="00B86A03"/>
    <w:rsid w:val="00B86A3C"/>
    <w:rsid w:val="00B86A85"/>
    <w:rsid w:val="00B86AD3"/>
    <w:rsid w:val="00B86AEA"/>
    <w:rsid w:val="00B86B11"/>
    <w:rsid w:val="00B86BC8"/>
    <w:rsid w:val="00B86BD0"/>
    <w:rsid w:val="00B86BEE"/>
    <w:rsid w:val="00B86BF3"/>
    <w:rsid w:val="00B86C9D"/>
    <w:rsid w:val="00B86D0E"/>
    <w:rsid w:val="00B86D79"/>
    <w:rsid w:val="00B86D95"/>
    <w:rsid w:val="00B86E40"/>
    <w:rsid w:val="00B86E86"/>
    <w:rsid w:val="00B86E89"/>
    <w:rsid w:val="00B86E8C"/>
    <w:rsid w:val="00B86E98"/>
    <w:rsid w:val="00B86F40"/>
    <w:rsid w:val="00B86F9C"/>
    <w:rsid w:val="00B871BB"/>
    <w:rsid w:val="00B8720A"/>
    <w:rsid w:val="00B8724E"/>
    <w:rsid w:val="00B87281"/>
    <w:rsid w:val="00B87293"/>
    <w:rsid w:val="00B872BB"/>
    <w:rsid w:val="00B872DB"/>
    <w:rsid w:val="00B87354"/>
    <w:rsid w:val="00B873EE"/>
    <w:rsid w:val="00B87410"/>
    <w:rsid w:val="00B8741B"/>
    <w:rsid w:val="00B874C4"/>
    <w:rsid w:val="00B874CE"/>
    <w:rsid w:val="00B874E6"/>
    <w:rsid w:val="00B87588"/>
    <w:rsid w:val="00B87596"/>
    <w:rsid w:val="00B876C9"/>
    <w:rsid w:val="00B876F3"/>
    <w:rsid w:val="00B877FA"/>
    <w:rsid w:val="00B878DB"/>
    <w:rsid w:val="00B87A8F"/>
    <w:rsid w:val="00B87AAB"/>
    <w:rsid w:val="00B87AB9"/>
    <w:rsid w:val="00B87ABF"/>
    <w:rsid w:val="00B87AD4"/>
    <w:rsid w:val="00B87AF6"/>
    <w:rsid w:val="00B87B11"/>
    <w:rsid w:val="00B87B7C"/>
    <w:rsid w:val="00B87C21"/>
    <w:rsid w:val="00B87C43"/>
    <w:rsid w:val="00B87CA2"/>
    <w:rsid w:val="00B87DAF"/>
    <w:rsid w:val="00B87DC6"/>
    <w:rsid w:val="00B87E3E"/>
    <w:rsid w:val="00B87E8E"/>
    <w:rsid w:val="00B87ECD"/>
    <w:rsid w:val="00B87F2D"/>
    <w:rsid w:val="00B87F9E"/>
    <w:rsid w:val="00B87FB0"/>
    <w:rsid w:val="00B87FEB"/>
    <w:rsid w:val="00B90034"/>
    <w:rsid w:val="00B900E8"/>
    <w:rsid w:val="00B90148"/>
    <w:rsid w:val="00B9019B"/>
    <w:rsid w:val="00B901E9"/>
    <w:rsid w:val="00B90218"/>
    <w:rsid w:val="00B90258"/>
    <w:rsid w:val="00B90265"/>
    <w:rsid w:val="00B9027A"/>
    <w:rsid w:val="00B90344"/>
    <w:rsid w:val="00B90377"/>
    <w:rsid w:val="00B903CB"/>
    <w:rsid w:val="00B903E0"/>
    <w:rsid w:val="00B90428"/>
    <w:rsid w:val="00B9048C"/>
    <w:rsid w:val="00B904D4"/>
    <w:rsid w:val="00B90516"/>
    <w:rsid w:val="00B90544"/>
    <w:rsid w:val="00B90557"/>
    <w:rsid w:val="00B905B2"/>
    <w:rsid w:val="00B905E0"/>
    <w:rsid w:val="00B905F8"/>
    <w:rsid w:val="00B90631"/>
    <w:rsid w:val="00B90635"/>
    <w:rsid w:val="00B906EE"/>
    <w:rsid w:val="00B906F5"/>
    <w:rsid w:val="00B908AF"/>
    <w:rsid w:val="00B908DA"/>
    <w:rsid w:val="00B9097A"/>
    <w:rsid w:val="00B9097E"/>
    <w:rsid w:val="00B909E8"/>
    <w:rsid w:val="00B90A85"/>
    <w:rsid w:val="00B90A9C"/>
    <w:rsid w:val="00B90AD1"/>
    <w:rsid w:val="00B90B59"/>
    <w:rsid w:val="00B90B70"/>
    <w:rsid w:val="00B90C41"/>
    <w:rsid w:val="00B90D04"/>
    <w:rsid w:val="00B90D8C"/>
    <w:rsid w:val="00B90E54"/>
    <w:rsid w:val="00B90EC5"/>
    <w:rsid w:val="00B90EEB"/>
    <w:rsid w:val="00B90F29"/>
    <w:rsid w:val="00B90FF6"/>
    <w:rsid w:val="00B91028"/>
    <w:rsid w:val="00B910B8"/>
    <w:rsid w:val="00B910D8"/>
    <w:rsid w:val="00B9112D"/>
    <w:rsid w:val="00B911AA"/>
    <w:rsid w:val="00B9121E"/>
    <w:rsid w:val="00B912C8"/>
    <w:rsid w:val="00B9131E"/>
    <w:rsid w:val="00B91374"/>
    <w:rsid w:val="00B91502"/>
    <w:rsid w:val="00B9155C"/>
    <w:rsid w:val="00B91570"/>
    <w:rsid w:val="00B91639"/>
    <w:rsid w:val="00B91658"/>
    <w:rsid w:val="00B91669"/>
    <w:rsid w:val="00B916D1"/>
    <w:rsid w:val="00B916E2"/>
    <w:rsid w:val="00B91725"/>
    <w:rsid w:val="00B91783"/>
    <w:rsid w:val="00B91844"/>
    <w:rsid w:val="00B918E9"/>
    <w:rsid w:val="00B919F6"/>
    <w:rsid w:val="00B91A6A"/>
    <w:rsid w:val="00B91B23"/>
    <w:rsid w:val="00B91C00"/>
    <w:rsid w:val="00B91C17"/>
    <w:rsid w:val="00B91C2B"/>
    <w:rsid w:val="00B91CA6"/>
    <w:rsid w:val="00B91E77"/>
    <w:rsid w:val="00B91EB1"/>
    <w:rsid w:val="00B91F2A"/>
    <w:rsid w:val="00B92012"/>
    <w:rsid w:val="00B92021"/>
    <w:rsid w:val="00B92034"/>
    <w:rsid w:val="00B9210E"/>
    <w:rsid w:val="00B92146"/>
    <w:rsid w:val="00B92162"/>
    <w:rsid w:val="00B92186"/>
    <w:rsid w:val="00B921D7"/>
    <w:rsid w:val="00B92208"/>
    <w:rsid w:val="00B923F8"/>
    <w:rsid w:val="00B92460"/>
    <w:rsid w:val="00B924EE"/>
    <w:rsid w:val="00B92550"/>
    <w:rsid w:val="00B9266B"/>
    <w:rsid w:val="00B92685"/>
    <w:rsid w:val="00B9271C"/>
    <w:rsid w:val="00B9274A"/>
    <w:rsid w:val="00B9274B"/>
    <w:rsid w:val="00B92758"/>
    <w:rsid w:val="00B92831"/>
    <w:rsid w:val="00B9285F"/>
    <w:rsid w:val="00B9286E"/>
    <w:rsid w:val="00B9287F"/>
    <w:rsid w:val="00B928C7"/>
    <w:rsid w:val="00B92913"/>
    <w:rsid w:val="00B929D1"/>
    <w:rsid w:val="00B929DB"/>
    <w:rsid w:val="00B92A27"/>
    <w:rsid w:val="00B92AB2"/>
    <w:rsid w:val="00B92D03"/>
    <w:rsid w:val="00B92D12"/>
    <w:rsid w:val="00B92DCA"/>
    <w:rsid w:val="00B92E9C"/>
    <w:rsid w:val="00B92ED8"/>
    <w:rsid w:val="00B92EDB"/>
    <w:rsid w:val="00B92F0F"/>
    <w:rsid w:val="00B92F87"/>
    <w:rsid w:val="00B93034"/>
    <w:rsid w:val="00B9303F"/>
    <w:rsid w:val="00B93122"/>
    <w:rsid w:val="00B93173"/>
    <w:rsid w:val="00B931E6"/>
    <w:rsid w:val="00B93229"/>
    <w:rsid w:val="00B9327B"/>
    <w:rsid w:val="00B93285"/>
    <w:rsid w:val="00B932C4"/>
    <w:rsid w:val="00B932D5"/>
    <w:rsid w:val="00B9330D"/>
    <w:rsid w:val="00B93312"/>
    <w:rsid w:val="00B93340"/>
    <w:rsid w:val="00B9340D"/>
    <w:rsid w:val="00B93465"/>
    <w:rsid w:val="00B9346B"/>
    <w:rsid w:val="00B934A0"/>
    <w:rsid w:val="00B935A1"/>
    <w:rsid w:val="00B935DD"/>
    <w:rsid w:val="00B93645"/>
    <w:rsid w:val="00B936D3"/>
    <w:rsid w:val="00B93717"/>
    <w:rsid w:val="00B9375E"/>
    <w:rsid w:val="00B937E3"/>
    <w:rsid w:val="00B93869"/>
    <w:rsid w:val="00B9386C"/>
    <w:rsid w:val="00B938B1"/>
    <w:rsid w:val="00B93979"/>
    <w:rsid w:val="00B9399B"/>
    <w:rsid w:val="00B93A5A"/>
    <w:rsid w:val="00B93B17"/>
    <w:rsid w:val="00B93B67"/>
    <w:rsid w:val="00B93BFC"/>
    <w:rsid w:val="00B93C43"/>
    <w:rsid w:val="00B93CB6"/>
    <w:rsid w:val="00B93D20"/>
    <w:rsid w:val="00B93D85"/>
    <w:rsid w:val="00B93E0F"/>
    <w:rsid w:val="00B93E2D"/>
    <w:rsid w:val="00B93ECE"/>
    <w:rsid w:val="00B93F30"/>
    <w:rsid w:val="00B93F7B"/>
    <w:rsid w:val="00B93F7D"/>
    <w:rsid w:val="00B93F9A"/>
    <w:rsid w:val="00B93FDB"/>
    <w:rsid w:val="00B94075"/>
    <w:rsid w:val="00B94076"/>
    <w:rsid w:val="00B94084"/>
    <w:rsid w:val="00B940BC"/>
    <w:rsid w:val="00B94136"/>
    <w:rsid w:val="00B94172"/>
    <w:rsid w:val="00B941B3"/>
    <w:rsid w:val="00B941CC"/>
    <w:rsid w:val="00B94236"/>
    <w:rsid w:val="00B942C3"/>
    <w:rsid w:val="00B94339"/>
    <w:rsid w:val="00B9435E"/>
    <w:rsid w:val="00B94399"/>
    <w:rsid w:val="00B943C7"/>
    <w:rsid w:val="00B943DB"/>
    <w:rsid w:val="00B9445B"/>
    <w:rsid w:val="00B944A1"/>
    <w:rsid w:val="00B944AB"/>
    <w:rsid w:val="00B944B5"/>
    <w:rsid w:val="00B9459E"/>
    <w:rsid w:val="00B945A8"/>
    <w:rsid w:val="00B945AB"/>
    <w:rsid w:val="00B945FA"/>
    <w:rsid w:val="00B94600"/>
    <w:rsid w:val="00B94686"/>
    <w:rsid w:val="00B946A2"/>
    <w:rsid w:val="00B946CE"/>
    <w:rsid w:val="00B9470E"/>
    <w:rsid w:val="00B94725"/>
    <w:rsid w:val="00B9473F"/>
    <w:rsid w:val="00B94741"/>
    <w:rsid w:val="00B94747"/>
    <w:rsid w:val="00B94792"/>
    <w:rsid w:val="00B947BF"/>
    <w:rsid w:val="00B94850"/>
    <w:rsid w:val="00B94852"/>
    <w:rsid w:val="00B9489C"/>
    <w:rsid w:val="00B94977"/>
    <w:rsid w:val="00B94988"/>
    <w:rsid w:val="00B949D2"/>
    <w:rsid w:val="00B94AE5"/>
    <w:rsid w:val="00B94AFA"/>
    <w:rsid w:val="00B94B9F"/>
    <w:rsid w:val="00B94BAE"/>
    <w:rsid w:val="00B94BCC"/>
    <w:rsid w:val="00B94BF2"/>
    <w:rsid w:val="00B94C22"/>
    <w:rsid w:val="00B94C59"/>
    <w:rsid w:val="00B94CDD"/>
    <w:rsid w:val="00B94D4B"/>
    <w:rsid w:val="00B94E36"/>
    <w:rsid w:val="00B94E60"/>
    <w:rsid w:val="00B94E81"/>
    <w:rsid w:val="00B94E93"/>
    <w:rsid w:val="00B94EDA"/>
    <w:rsid w:val="00B95066"/>
    <w:rsid w:val="00B950AB"/>
    <w:rsid w:val="00B950CC"/>
    <w:rsid w:val="00B950E0"/>
    <w:rsid w:val="00B95127"/>
    <w:rsid w:val="00B95135"/>
    <w:rsid w:val="00B9513B"/>
    <w:rsid w:val="00B95477"/>
    <w:rsid w:val="00B9547B"/>
    <w:rsid w:val="00B954BD"/>
    <w:rsid w:val="00B954BE"/>
    <w:rsid w:val="00B954DF"/>
    <w:rsid w:val="00B9554E"/>
    <w:rsid w:val="00B95589"/>
    <w:rsid w:val="00B956BC"/>
    <w:rsid w:val="00B9573B"/>
    <w:rsid w:val="00B95881"/>
    <w:rsid w:val="00B95943"/>
    <w:rsid w:val="00B9598F"/>
    <w:rsid w:val="00B959D5"/>
    <w:rsid w:val="00B959D6"/>
    <w:rsid w:val="00B95A59"/>
    <w:rsid w:val="00B95A6E"/>
    <w:rsid w:val="00B95AB3"/>
    <w:rsid w:val="00B95AD7"/>
    <w:rsid w:val="00B95B34"/>
    <w:rsid w:val="00B95C08"/>
    <w:rsid w:val="00B95C47"/>
    <w:rsid w:val="00B95D12"/>
    <w:rsid w:val="00B95D6D"/>
    <w:rsid w:val="00B95D83"/>
    <w:rsid w:val="00B95DC3"/>
    <w:rsid w:val="00B95E0D"/>
    <w:rsid w:val="00B95E3D"/>
    <w:rsid w:val="00B95F13"/>
    <w:rsid w:val="00B96029"/>
    <w:rsid w:val="00B9604E"/>
    <w:rsid w:val="00B960D0"/>
    <w:rsid w:val="00B9617A"/>
    <w:rsid w:val="00B961D6"/>
    <w:rsid w:val="00B96211"/>
    <w:rsid w:val="00B96232"/>
    <w:rsid w:val="00B96243"/>
    <w:rsid w:val="00B96251"/>
    <w:rsid w:val="00B962CD"/>
    <w:rsid w:val="00B96304"/>
    <w:rsid w:val="00B9634E"/>
    <w:rsid w:val="00B9645A"/>
    <w:rsid w:val="00B96492"/>
    <w:rsid w:val="00B9660F"/>
    <w:rsid w:val="00B96663"/>
    <w:rsid w:val="00B966DE"/>
    <w:rsid w:val="00B9673D"/>
    <w:rsid w:val="00B967DC"/>
    <w:rsid w:val="00B968F3"/>
    <w:rsid w:val="00B96959"/>
    <w:rsid w:val="00B969D5"/>
    <w:rsid w:val="00B96AE7"/>
    <w:rsid w:val="00B96B6C"/>
    <w:rsid w:val="00B96BEB"/>
    <w:rsid w:val="00B96C88"/>
    <w:rsid w:val="00B96CA6"/>
    <w:rsid w:val="00B96D7F"/>
    <w:rsid w:val="00B96D8A"/>
    <w:rsid w:val="00B96E37"/>
    <w:rsid w:val="00B96E8F"/>
    <w:rsid w:val="00B96EE4"/>
    <w:rsid w:val="00B96F06"/>
    <w:rsid w:val="00B96F4A"/>
    <w:rsid w:val="00B97021"/>
    <w:rsid w:val="00B97057"/>
    <w:rsid w:val="00B970AF"/>
    <w:rsid w:val="00B97185"/>
    <w:rsid w:val="00B971BC"/>
    <w:rsid w:val="00B971C3"/>
    <w:rsid w:val="00B9727A"/>
    <w:rsid w:val="00B973A9"/>
    <w:rsid w:val="00B973E7"/>
    <w:rsid w:val="00B973EA"/>
    <w:rsid w:val="00B9751A"/>
    <w:rsid w:val="00B975C7"/>
    <w:rsid w:val="00B975EF"/>
    <w:rsid w:val="00B977C1"/>
    <w:rsid w:val="00B977E3"/>
    <w:rsid w:val="00B9786B"/>
    <w:rsid w:val="00B978EC"/>
    <w:rsid w:val="00B978F5"/>
    <w:rsid w:val="00B9796A"/>
    <w:rsid w:val="00B979B3"/>
    <w:rsid w:val="00B97A33"/>
    <w:rsid w:val="00B97AB9"/>
    <w:rsid w:val="00B97AE4"/>
    <w:rsid w:val="00B97B0E"/>
    <w:rsid w:val="00B97BCB"/>
    <w:rsid w:val="00B97C71"/>
    <w:rsid w:val="00B97C8C"/>
    <w:rsid w:val="00B97D69"/>
    <w:rsid w:val="00B97DE0"/>
    <w:rsid w:val="00B97DEE"/>
    <w:rsid w:val="00B97E76"/>
    <w:rsid w:val="00B97EAD"/>
    <w:rsid w:val="00B97F99"/>
    <w:rsid w:val="00B97FAF"/>
    <w:rsid w:val="00B9C71A"/>
    <w:rsid w:val="00BA0027"/>
    <w:rsid w:val="00BA0040"/>
    <w:rsid w:val="00BA0071"/>
    <w:rsid w:val="00BA00FF"/>
    <w:rsid w:val="00BA01EE"/>
    <w:rsid w:val="00BA02BA"/>
    <w:rsid w:val="00BA02DC"/>
    <w:rsid w:val="00BA02FE"/>
    <w:rsid w:val="00BA031C"/>
    <w:rsid w:val="00BA033E"/>
    <w:rsid w:val="00BA041A"/>
    <w:rsid w:val="00BA0464"/>
    <w:rsid w:val="00BA04AB"/>
    <w:rsid w:val="00BA04DF"/>
    <w:rsid w:val="00BA0548"/>
    <w:rsid w:val="00BA0638"/>
    <w:rsid w:val="00BA0667"/>
    <w:rsid w:val="00BA0685"/>
    <w:rsid w:val="00BA0763"/>
    <w:rsid w:val="00BA081D"/>
    <w:rsid w:val="00BA084F"/>
    <w:rsid w:val="00BA0882"/>
    <w:rsid w:val="00BA089D"/>
    <w:rsid w:val="00BA098B"/>
    <w:rsid w:val="00BA09EC"/>
    <w:rsid w:val="00BA0ADF"/>
    <w:rsid w:val="00BA0B66"/>
    <w:rsid w:val="00BA0C4B"/>
    <w:rsid w:val="00BA0CAD"/>
    <w:rsid w:val="00BA0CBB"/>
    <w:rsid w:val="00BA0DD4"/>
    <w:rsid w:val="00BA0DF0"/>
    <w:rsid w:val="00BA0DFF"/>
    <w:rsid w:val="00BA0E37"/>
    <w:rsid w:val="00BA0F08"/>
    <w:rsid w:val="00BA1082"/>
    <w:rsid w:val="00BA10F4"/>
    <w:rsid w:val="00BA1111"/>
    <w:rsid w:val="00BA114B"/>
    <w:rsid w:val="00BA11B3"/>
    <w:rsid w:val="00BA11CE"/>
    <w:rsid w:val="00BA1256"/>
    <w:rsid w:val="00BA13B7"/>
    <w:rsid w:val="00BA13FB"/>
    <w:rsid w:val="00BA1428"/>
    <w:rsid w:val="00BA143A"/>
    <w:rsid w:val="00BA1503"/>
    <w:rsid w:val="00BA154E"/>
    <w:rsid w:val="00BA15D3"/>
    <w:rsid w:val="00BA1622"/>
    <w:rsid w:val="00BA1680"/>
    <w:rsid w:val="00BA16A6"/>
    <w:rsid w:val="00BA16CF"/>
    <w:rsid w:val="00BA1738"/>
    <w:rsid w:val="00BA17A2"/>
    <w:rsid w:val="00BA17C8"/>
    <w:rsid w:val="00BA185C"/>
    <w:rsid w:val="00BA1863"/>
    <w:rsid w:val="00BA18D9"/>
    <w:rsid w:val="00BA18F2"/>
    <w:rsid w:val="00BA1909"/>
    <w:rsid w:val="00BA192D"/>
    <w:rsid w:val="00BA1A1C"/>
    <w:rsid w:val="00BA1B18"/>
    <w:rsid w:val="00BA1B48"/>
    <w:rsid w:val="00BA1B6F"/>
    <w:rsid w:val="00BA1B81"/>
    <w:rsid w:val="00BA1BC3"/>
    <w:rsid w:val="00BA1C2A"/>
    <w:rsid w:val="00BA1CAD"/>
    <w:rsid w:val="00BA1CCC"/>
    <w:rsid w:val="00BA1D05"/>
    <w:rsid w:val="00BA1ED7"/>
    <w:rsid w:val="00BA1FE3"/>
    <w:rsid w:val="00BA201A"/>
    <w:rsid w:val="00BA2058"/>
    <w:rsid w:val="00BA20AC"/>
    <w:rsid w:val="00BA2162"/>
    <w:rsid w:val="00BA2186"/>
    <w:rsid w:val="00BA21E0"/>
    <w:rsid w:val="00BA21EB"/>
    <w:rsid w:val="00BA229C"/>
    <w:rsid w:val="00BA2304"/>
    <w:rsid w:val="00BA238E"/>
    <w:rsid w:val="00BA23C9"/>
    <w:rsid w:val="00BA2459"/>
    <w:rsid w:val="00BA24A5"/>
    <w:rsid w:val="00BA24FE"/>
    <w:rsid w:val="00BA2535"/>
    <w:rsid w:val="00BA263A"/>
    <w:rsid w:val="00BA2677"/>
    <w:rsid w:val="00BA26A2"/>
    <w:rsid w:val="00BA26AA"/>
    <w:rsid w:val="00BA2700"/>
    <w:rsid w:val="00BA2862"/>
    <w:rsid w:val="00BA2874"/>
    <w:rsid w:val="00BA2899"/>
    <w:rsid w:val="00BA28E7"/>
    <w:rsid w:val="00BA28F9"/>
    <w:rsid w:val="00BA296D"/>
    <w:rsid w:val="00BA29E5"/>
    <w:rsid w:val="00BA2A3B"/>
    <w:rsid w:val="00BA2A42"/>
    <w:rsid w:val="00BA2A44"/>
    <w:rsid w:val="00BA2A9D"/>
    <w:rsid w:val="00BA2B91"/>
    <w:rsid w:val="00BA2BFC"/>
    <w:rsid w:val="00BA2C99"/>
    <w:rsid w:val="00BA2D7B"/>
    <w:rsid w:val="00BA2DB5"/>
    <w:rsid w:val="00BA2E20"/>
    <w:rsid w:val="00BA2E5E"/>
    <w:rsid w:val="00BA2EBB"/>
    <w:rsid w:val="00BA2F3B"/>
    <w:rsid w:val="00BA2F6E"/>
    <w:rsid w:val="00BA2F81"/>
    <w:rsid w:val="00BA2FEB"/>
    <w:rsid w:val="00BA3093"/>
    <w:rsid w:val="00BA30B5"/>
    <w:rsid w:val="00BA30BD"/>
    <w:rsid w:val="00BA30FB"/>
    <w:rsid w:val="00BA312C"/>
    <w:rsid w:val="00BA314D"/>
    <w:rsid w:val="00BA32B8"/>
    <w:rsid w:val="00BA32F0"/>
    <w:rsid w:val="00BA32F6"/>
    <w:rsid w:val="00BA3358"/>
    <w:rsid w:val="00BA34DE"/>
    <w:rsid w:val="00BA350C"/>
    <w:rsid w:val="00BA3611"/>
    <w:rsid w:val="00BA3618"/>
    <w:rsid w:val="00BA365A"/>
    <w:rsid w:val="00BA3680"/>
    <w:rsid w:val="00BA36BD"/>
    <w:rsid w:val="00BA36BE"/>
    <w:rsid w:val="00BA3710"/>
    <w:rsid w:val="00BA3798"/>
    <w:rsid w:val="00BA38BA"/>
    <w:rsid w:val="00BA38EB"/>
    <w:rsid w:val="00BA3905"/>
    <w:rsid w:val="00BA39ED"/>
    <w:rsid w:val="00BA3A11"/>
    <w:rsid w:val="00BA3B00"/>
    <w:rsid w:val="00BA3B74"/>
    <w:rsid w:val="00BA3B81"/>
    <w:rsid w:val="00BA3BEB"/>
    <w:rsid w:val="00BA3C36"/>
    <w:rsid w:val="00BA3C4A"/>
    <w:rsid w:val="00BA3D22"/>
    <w:rsid w:val="00BA3D66"/>
    <w:rsid w:val="00BA3D80"/>
    <w:rsid w:val="00BA3DAC"/>
    <w:rsid w:val="00BA3F26"/>
    <w:rsid w:val="00BA3F34"/>
    <w:rsid w:val="00BA3F6E"/>
    <w:rsid w:val="00BA4109"/>
    <w:rsid w:val="00BA4145"/>
    <w:rsid w:val="00BA4163"/>
    <w:rsid w:val="00BA41DF"/>
    <w:rsid w:val="00BA41E7"/>
    <w:rsid w:val="00BA4282"/>
    <w:rsid w:val="00BA42D1"/>
    <w:rsid w:val="00BA430A"/>
    <w:rsid w:val="00BA4317"/>
    <w:rsid w:val="00BA433D"/>
    <w:rsid w:val="00BA43EF"/>
    <w:rsid w:val="00BA44E0"/>
    <w:rsid w:val="00BA4553"/>
    <w:rsid w:val="00BA463B"/>
    <w:rsid w:val="00BA478C"/>
    <w:rsid w:val="00BA47A5"/>
    <w:rsid w:val="00BA47D8"/>
    <w:rsid w:val="00BA4839"/>
    <w:rsid w:val="00BA4890"/>
    <w:rsid w:val="00BA4962"/>
    <w:rsid w:val="00BA4A05"/>
    <w:rsid w:val="00BA4A49"/>
    <w:rsid w:val="00BA4B22"/>
    <w:rsid w:val="00BA4B34"/>
    <w:rsid w:val="00BA4B56"/>
    <w:rsid w:val="00BA4B6B"/>
    <w:rsid w:val="00BA4BA5"/>
    <w:rsid w:val="00BA4BBE"/>
    <w:rsid w:val="00BA4C73"/>
    <w:rsid w:val="00BA4CBB"/>
    <w:rsid w:val="00BA4CE5"/>
    <w:rsid w:val="00BA4CE6"/>
    <w:rsid w:val="00BA4D1C"/>
    <w:rsid w:val="00BA4D65"/>
    <w:rsid w:val="00BA4DF3"/>
    <w:rsid w:val="00BA4E53"/>
    <w:rsid w:val="00BA4EF3"/>
    <w:rsid w:val="00BA4F20"/>
    <w:rsid w:val="00BA4F4C"/>
    <w:rsid w:val="00BA51F0"/>
    <w:rsid w:val="00BA527C"/>
    <w:rsid w:val="00BA5297"/>
    <w:rsid w:val="00BA5323"/>
    <w:rsid w:val="00BA5342"/>
    <w:rsid w:val="00BA534F"/>
    <w:rsid w:val="00BA5387"/>
    <w:rsid w:val="00BA549F"/>
    <w:rsid w:val="00BA54D5"/>
    <w:rsid w:val="00BA5548"/>
    <w:rsid w:val="00BA566A"/>
    <w:rsid w:val="00BA566D"/>
    <w:rsid w:val="00BA567B"/>
    <w:rsid w:val="00BA5746"/>
    <w:rsid w:val="00BA5772"/>
    <w:rsid w:val="00BA579C"/>
    <w:rsid w:val="00BA57A0"/>
    <w:rsid w:val="00BA57C9"/>
    <w:rsid w:val="00BA5889"/>
    <w:rsid w:val="00BA58DE"/>
    <w:rsid w:val="00BA59F4"/>
    <w:rsid w:val="00BA5A21"/>
    <w:rsid w:val="00BA5A24"/>
    <w:rsid w:val="00BA5A76"/>
    <w:rsid w:val="00BA5A78"/>
    <w:rsid w:val="00BA5AE9"/>
    <w:rsid w:val="00BA5B1F"/>
    <w:rsid w:val="00BA5B69"/>
    <w:rsid w:val="00BA5BC5"/>
    <w:rsid w:val="00BA5C2C"/>
    <w:rsid w:val="00BA5C4A"/>
    <w:rsid w:val="00BA5C4F"/>
    <w:rsid w:val="00BA5C63"/>
    <w:rsid w:val="00BA5CAB"/>
    <w:rsid w:val="00BA5D32"/>
    <w:rsid w:val="00BA5D66"/>
    <w:rsid w:val="00BA5D8D"/>
    <w:rsid w:val="00BA5E25"/>
    <w:rsid w:val="00BA5EDE"/>
    <w:rsid w:val="00BA5EDF"/>
    <w:rsid w:val="00BA5EFB"/>
    <w:rsid w:val="00BA5F10"/>
    <w:rsid w:val="00BA5FEB"/>
    <w:rsid w:val="00BA6064"/>
    <w:rsid w:val="00BA608E"/>
    <w:rsid w:val="00BA608F"/>
    <w:rsid w:val="00BA60F0"/>
    <w:rsid w:val="00BA6221"/>
    <w:rsid w:val="00BA62D4"/>
    <w:rsid w:val="00BA6316"/>
    <w:rsid w:val="00BA638A"/>
    <w:rsid w:val="00BA6409"/>
    <w:rsid w:val="00BA6432"/>
    <w:rsid w:val="00BA6458"/>
    <w:rsid w:val="00BA64E0"/>
    <w:rsid w:val="00BA6522"/>
    <w:rsid w:val="00BA658E"/>
    <w:rsid w:val="00BA6617"/>
    <w:rsid w:val="00BA662C"/>
    <w:rsid w:val="00BA6662"/>
    <w:rsid w:val="00BA66BB"/>
    <w:rsid w:val="00BA66BC"/>
    <w:rsid w:val="00BA671B"/>
    <w:rsid w:val="00BA6727"/>
    <w:rsid w:val="00BA672F"/>
    <w:rsid w:val="00BA685D"/>
    <w:rsid w:val="00BA686F"/>
    <w:rsid w:val="00BA68D2"/>
    <w:rsid w:val="00BA68EF"/>
    <w:rsid w:val="00BA698A"/>
    <w:rsid w:val="00BA698B"/>
    <w:rsid w:val="00BA69E8"/>
    <w:rsid w:val="00BA69FE"/>
    <w:rsid w:val="00BA6A75"/>
    <w:rsid w:val="00BA6AF9"/>
    <w:rsid w:val="00BA6B4D"/>
    <w:rsid w:val="00BA6B84"/>
    <w:rsid w:val="00BA6BA5"/>
    <w:rsid w:val="00BA6BAF"/>
    <w:rsid w:val="00BA6C18"/>
    <w:rsid w:val="00BA6C74"/>
    <w:rsid w:val="00BA6CC0"/>
    <w:rsid w:val="00BA6CDB"/>
    <w:rsid w:val="00BA6CE3"/>
    <w:rsid w:val="00BA6DBE"/>
    <w:rsid w:val="00BA6DF4"/>
    <w:rsid w:val="00BA6DF7"/>
    <w:rsid w:val="00BA6E6A"/>
    <w:rsid w:val="00BA6E87"/>
    <w:rsid w:val="00BA6F1A"/>
    <w:rsid w:val="00BA6F21"/>
    <w:rsid w:val="00BA6F52"/>
    <w:rsid w:val="00BA703F"/>
    <w:rsid w:val="00BA7099"/>
    <w:rsid w:val="00BA70BB"/>
    <w:rsid w:val="00BA70E6"/>
    <w:rsid w:val="00BA70EE"/>
    <w:rsid w:val="00BA7149"/>
    <w:rsid w:val="00BA716C"/>
    <w:rsid w:val="00BA722C"/>
    <w:rsid w:val="00BA7265"/>
    <w:rsid w:val="00BA72CF"/>
    <w:rsid w:val="00BA734C"/>
    <w:rsid w:val="00BA73A4"/>
    <w:rsid w:val="00BA7434"/>
    <w:rsid w:val="00BA7473"/>
    <w:rsid w:val="00BA74A2"/>
    <w:rsid w:val="00BA75CD"/>
    <w:rsid w:val="00BA762B"/>
    <w:rsid w:val="00BA7678"/>
    <w:rsid w:val="00BA7711"/>
    <w:rsid w:val="00BA7749"/>
    <w:rsid w:val="00BA7821"/>
    <w:rsid w:val="00BA79A0"/>
    <w:rsid w:val="00BA79A3"/>
    <w:rsid w:val="00BA79DF"/>
    <w:rsid w:val="00BA7A39"/>
    <w:rsid w:val="00BA7AC1"/>
    <w:rsid w:val="00BA7BC6"/>
    <w:rsid w:val="00BA7CC6"/>
    <w:rsid w:val="00BA7CF0"/>
    <w:rsid w:val="00BA7D03"/>
    <w:rsid w:val="00BA7D39"/>
    <w:rsid w:val="00BA7D5E"/>
    <w:rsid w:val="00BA7E0B"/>
    <w:rsid w:val="00BA7E9A"/>
    <w:rsid w:val="00BA7F49"/>
    <w:rsid w:val="00BA7FEE"/>
    <w:rsid w:val="00BB0013"/>
    <w:rsid w:val="00BB00B2"/>
    <w:rsid w:val="00BB00C4"/>
    <w:rsid w:val="00BB010E"/>
    <w:rsid w:val="00BB0205"/>
    <w:rsid w:val="00BB0209"/>
    <w:rsid w:val="00BB024B"/>
    <w:rsid w:val="00BB027A"/>
    <w:rsid w:val="00BB02A5"/>
    <w:rsid w:val="00BB02BD"/>
    <w:rsid w:val="00BB032E"/>
    <w:rsid w:val="00BB0340"/>
    <w:rsid w:val="00BB03BB"/>
    <w:rsid w:val="00BB03E0"/>
    <w:rsid w:val="00BB03FC"/>
    <w:rsid w:val="00BB041E"/>
    <w:rsid w:val="00BB0462"/>
    <w:rsid w:val="00BB04AB"/>
    <w:rsid w:val="00BB04DA"/>
    <w:rsid w:val="00BB057E"/>
    <w:rsid w:val="00BB058D"/>
    <w:rsid w:val="00BB059C"/>
    <w:rsid w:val="00BB05F7"/>
    <w:rsid w:val="00BB0625"/>
    <w:rsid w:val="00BB0724"/>
    <w:rsid w:val="00BB073F"/>
    <w:rsid w:val="00BB0764"/>
    <w:rsid w:val="00BB07C7"/>
    <w:rsid w:val="00BB080D"/>
    <w:rsid w:val="00BB0848"/>
    <w:rsid w:val="00BB087C"/>
    <w:rsid w:val="00BB094E"/>
    <w:rsid w:val="00BB0989"/>
    <w:rsid w:val="00BB098A"/>
    <w:rsid w:val="00BB099D"/>
    <w:rsid w:val="00BB09DB"/>
    <w:rsid w:val="00BB0A34"/>
    <w:rsid w:val="00BB0B50"/>
    <w:rsid w:val="00BB0C63"/>
    <w:rsid w:val="00BB0CF6"/>
    <w:rsid w:val="00BB0D00"/>
    <w:rsid w:val="00BB0D86"/>
    <w:rsid w:val="00BB0DC2"/>
    <w:rsid w:val="00BB0E06"/>
    <w:rsid w:val="00BB0E5D"/>
    <w:rsid w:val="00BB0EAE"/>
    <w:rsid w:val="00BB0EDE"/>
    <w:rsid w:val="00BB0EF6"/>
    <w:rsid w:val="00BB0F1A"/>
    <w:rsid w:val="00BB0F62"/>
    <w:rsid w:val="00BB0F6E"/>
    <w:rsid w:val="00BB103A"/>
    <w:rsid w:val="00BB105F"/>
    <w:rsid w:val="00BB10E7"/>
    <w:rsid w:val="00BB110B"/>
    <w:rsid w:val="00BB12AD"/>
    <w:rsid w:val="00BB12F1"/>
    <w:rsid w:val="00BB12F2"/>
    <w:rsid w:val="00BB132D"/>
    <w:rsid w:val="00BB136B"/>
    <w:rsid w:val="00BB1486"/>
    <w:rsid w:val="00BB1500"/>
    <w:rsid w:val="00BB158D"/>
    <w:rsid w:val="00BB15C9"/>
    <w:rsid w:val="00BB178D"/>
    <w:rsid w:val="00BB1794"/>
    <w:rsid w:val="00BB1910"/>
    <w:rsid w:val="00BB19BF"/>
    <w:rsid w:val="00BB1A5D"/>
    <w:rsid w:val="00BB1A7A"/>
    <w:rsid w:val="00BB1A8A"/>
    <w:rsid w:val="00BB1AC0"/>
    <w:rsid w:val="00BB1AC8"/>
    <w:rsid w:val="00BB1B39"/>
    <w:rsid w:val="00BB1B3E"/>
    <w:rsid w:val="00BB1BA8"/>
    <w:rsid w:val="00BB1CA6"/>
    <w:rsid w:val="00BB1CAA"/>
    <w:rsid w:val="00BB1CB0"/>
    <w:rsid w:val="00BB1CD0"/>
    <w:rsid w:val="00BB1D19"/>
    <w:rsid w:val="00BB1D98"/>
    <w:rsid w:val="00BB1E25"/>
    <w:rsid w:val="00BB1ECC"/>
    <w:rsid w:val="00BB1F05"/>
    <w:rsid w:val="00BB1F45"/>
    <w:rsid w:val="00BB1F47"/>
    <w:rsid w:val="00BB1F80"/>
    <w:rsid w:val="00BB20CE"/>
    <w:rsid w:val="00BB210B"/>
    <w:rsid w:val="00BB21E5"/>
    <w:rsid w:val="00BB2221"/>
    <w:rsid w:val="00BB22CF"/>
    <w:rsid w:val="00BB2359"/>
    <w:rsid w:val="00BB23B1"/>
    <w:rsid w:val="00BB23C1"/>
    <w:rsid w:val="00BB23C2"/>
    <w:rsid w:val="00BB23C6"/>
    <w:rsid w:val="00BB2505"/>
    <w:rsid w:val="00BB2511"/>
    <w:rsid w:val="00BB2557"/>
    <w:rsid w:val="00BB255E"/>
    <w:rsid w:val="00BB2566"/>
    <w:rsid w:val="00BB2646"/>
    <w:rsid w:val="00BB264D"/>
    <w:rsid w:val="00BB26A8"/>
    <w:rsid w:val="00BB271F"/>
    <w:rsid w:val="00BB275A"/>
    <w:rsid w:val="00BB2841"/>
    <w:rsid w:val="00BB293B"/>
    <w:rsid w:val="00BB2944"/>
    <w:rsid w:val="00BB2946"/>
    <w:rsid w:val="00BB2983"/>
    <w:rsid w:val="00BB29D1"/>
    <w:rsid w:val="00BB2A0A"/>
    <w:rsid w:val="00BB2A8E"/>
    <w:rsid w:val="00BB2B03"/>
    <w:rsid w:val="00BB2B2A"/>
    <w:rsid w:val="00BB2B2F"/>
    <w:rsid w:val="00BB2B86"/>
    <w:rsid w:val="00BB2B91"/>
    <w:rsid w:val="00BB2BB8"/>
    <w:rsid w:val="00BB2C13"/>
    <w:rsid w:val="00BB2CA7"/>
    <w:rsid w:val="00BB2CAF"/>
    <w:rsid w:val="00BB2DBD"/>
    <w:rsid w:val="00BB2DDB"/>
    <w:rsid w:val="00BB2ED0"/>
    <w:rsid w:val="00BB2FF4"/>
    <w:rsid w:val="00BB3034"/>
    <w:rsid w:val="00BB3121"/>
    <w:rsid w:val="00BB31F6"/>
    <w:rsid w:val="00BB3228"/>
    <w:rsid w:val="00BB3325"/>
    <w:rsid w:val="00BB3392"/>
    <w:rsid w:val="00BB339F"/>
    <w:rsid w:val="00BB33B4"/>
    <w:rsid w:val="00BB33CB"/>
    <w:rsid w:val="00BB33D8"/>
    <w:rsid w:val="00BB34F9"/>
    <w:rsid w:val="00BB3598"/>
    <w:rsid w:val="00BB35D4"/>
    <w:rsid w:val="00BB35E1"/>
    <w:rsid w:val="00BB3629"/>
    <w:rsid w:val="00BB363B"/>
    <w:rsid w:val="00BB36BF"/>
    <w:rsid w:val="00BB36D0"/>
    <w:rsid w:val="00BB36D9"/>
    <w:rsid w:val="00BB3712"/>
    <w:rsid w:val="00BB3729"/>
    <w:rsid w:val="00BB3870"/>
    <w:rsid w:val="00BB38EE"/>
    <w:rsid w:val="00BB38F0"/>
    <w:rsid w:val="00BB38F6"/>
    <w:rsid w:val="00BB38F8"/>
    <w:rsid w:val="00BB39C3"/>
    <w:rsid w:val="00BB3B22"/>
    <w:rsid w:val="00BB3C0B"/>
    <w:rsid w:val="00BB3C2F"/>
    <w:rsid w:val="00BB3C6B"/>
    <w:rsid w:val="00BB3CE2"/>
    <w:rsid w:val="00BB3CF2"/>
    <w:rsid w:val="00BB3D01"/>
    <w:rsid w:val="00BB3D36"/>
    <w:rsid w:val="00BB3D44"/>
    <w:rsid w:val="00BB3D8C"/>
    <w:rsid w:val="00BB3EEC"/>
    <w:rsid w:val="00BB4003"/>
    <w:rsid w:val="00BB4037"/>
    <w:rsid w:val="00BB4044"/>
    <w:rsid w:val="00BB4046"/>
    <w:rsid w:val="00BB40FD"/>
    <w:rsid w:val="00BB419C"/>
    <w:rsid w:val="00BB41AB"/>
    <w:rsid w:val="00BB41B5"/>
    <w:rsid w:val="00BB4294"/>
    <w:rsid w:val="00BB42F8"/>
    <w:rsid w:val="00BB438D"/>
    <w:rsid w:val="00BB43D2"/>
    <w:rsid w:val="00BB44A9"/>
    <w:rsid w:val="00BB44FD"/>
    <w:rsid w:val="00BB4510"/>
    <w:rsid w:val="00BB4538"/>
    <w:rsid w:val="00BB45CD"/>
    <w:rsid w:val="00BB46E4"/>
    <w:rsid w:val="00BB4784"/>
    <w:rsid w:val="00BB47D5"/>
    <w:rsid w:val="00BB480E"/>
    <w:rsid w:val="00BB482D"/>
    <w:rsid w:val="00BB4835"/>
    <w:rsid w:val="00BB48A5"/>
    <w:rsid w:val="00BB48C8"/>
    <w:rsid w:val="00BB48E4"/>
    <w:rsid w:val="00BB4928"/>
    <w:rsid w:val="00BB49E4"/>
    <w:rsid w:val="00BB4A2C"/>
    <w:rsid w:val="00BB4A33"/>
    <w:rsid w:val="00BB4A71"/>
    <w:rsid w:val="00BB4ACE"/>
    <w:rsid w:val="00BB4AEB"/>
    <w:rsid w:val="00BB4AFD"/>
    <w:rsid w:val="00BB4B0C"/>
    <w:rsid w:val="00BB4B3B"/>
    <w:rsid w:val="00BB4CF5"/>
    <w:rsid w:val="00BB4DE2"/>
    <w:rsid w:val="00BB4FCD"/>
    <w:rsid w:val="00BB5038"/>
    <w:rsid w:val="00BB508D"/>
    <w:rsid w:val="00BB5176"/>
    <w:rsid w:val="00BB51BC"/>
    <w:rsid w:val="00BB5239"/>
    <w:rsid w:val="00BB525F"/>
    <w:rsid w:val="00BB5263"/>
    <w:rsid w:val="00BB5282"/>
    <w:rsid w:val="00BB52C1"/>
    <w:rsid w:val="00BB52DD"/>
    <w:rsid w:val="00BB52F4"/>
    <w:rsid w:val="00BB533A"/>
    <w:rsid w:val="00BB53B2"/>
    <w:rsid w:val="00BB53D1"/>
    <w:rsid w:val="00BB543C"/>
    <w:rsid w:val="00BB548A"/>
    <w:rsid w:val="00BB549D"/>
    <w:rsid w:val="00BB54B2"/>
    <w:rsid w:val="00BB5506"/>
    <w:rsid w:val="00BB5624"/>
    <w:rsid w:val="00BB56AF"/>
    <w:rsid w:val="00BB578B"/>
    <w:rsid w:val="00BB57A6"/>
    <w:rsid w:val="00BB57D5"/>
    <w:rsid w:val="00BB58A2"/>
    <w:rsid w:val="00BB58A8"/>
    <w:rsid w:val="00BB593D"/>
    <w:rsid w:val="00BB59BF"/>
    <w:rsid w:val="00BB59D1"/>
    <w:rsid w:val="00BB5A11"/>
    <w:rsid w:val="00BB5AC0"/>
    <w:rsid w:val="00BB5ACF"/>
    <w:rsid w:val="00BB5ADC"/>
    <w:rsid w:val="00BB5BC6"/>
    <w:rsid w:val="00BB5BF3"/>
    <w:rsid w:val="00BB5CCD"/>
    <w:rsid w:val="00BB5E8D"/>
    <w:rsid w:val="00BB5F06"/>
    <w:rsid w:val="00BB5F1B"/>
    <w:rsid w:val="00BB5F51"/>
    <w:rsid w:val="00BB5F52"/>
    <w:rsid w:val="00BB601B"/>
    <w:rsid w:val="00BB601E"/>
    <w:rsid w:val="00BB602E"/>
    <w:rsid w:val="00BB6046"/>
    <w:rsid w:val="00BB6089"/>
    <w:rsid w:val="00BB60BF"/>
    <w:rsid w:val="00BB610E"/>
    <w:rsid w:val="00BB6282"/>
    <w:rsid w:val="00BB62F6"/>
    <w:rsid w:val="00BB6350"/>
    <w:rsid w:val="00BB63E2"/>
    <w:rsid w:val="00BB6434"/>
    <w:rsid w:val="00BB64A1"/>
    <w:rsid w:val="00BB64E5"/>
    <w:rsid w:val="00BB654B"/>
    <w:rsid w:val="00BB658C"/>
    <w:rsid w:val="00BB65A6"/>
    <w:rsid w:val="00BB6642"/>
    <w:rsid w:val="00BB6717"/>
    <w:rsid w:val="00BB6749"/>
    <w:rsid w:val="00BB679B"/>
    <w:rsid w:val="00BB6868"/>
    <w:rsid w:val="00BB6872"/>
    <w:rsid w:val="00BB68C5"/>
    <w:rsid w:val="00BB690D"/>
    <w:rsid w:val="00BB6AAD"/>
    <w:rsid w:val="00BB6BF0"/>
    <w:rsid w:val="00BB6C1F"/>
    <w:rsid w:val="00BB6C47"/>
    <w:rsid w:val="00BB6C55"/>
    <w:rsid w:val="00BB6E49"/>
    <w:rsid w:val="00BB6E4F"/>
    <w:rsid w:val="00BB6E8B"/>
    <w:rsid w:val="00BB6F42"/>
    <w:rsid w:val="00BB6FFD"/>
    <w:rsid w:val="00BB7045"/>
    <w:rsid w:val="00BB7085"/>
    <w:rsid w:val="00BB70CE"/>
    <w:rsid w:val="00BB7146"/>
    <w:rsid w:val="00BB716D"/>
    <w:rsid w:val="00BB71F5"/>
    <w:rsid w:val="00BB72C7"/>
    <w:rsid w:val="00BB7330"/>
    <w:rsid w:val="00BB7332"/>
    <w:rsid w:val="00BB7389"/>
    <w:rsid w:val="00BB73E7"/>
    <w:rsid w:val="00BB73EE"/>
    <w:rsid w:val="00BB743A"/>
    <w:rsid w:val="00BB74BA"/>
    <w:rsid w:val="00BB75B5"/>
    <w:rsid w:val="00BB7607"/>
    <w:rsid w:val="00BB7643"/>
    <w:rsid w:val="00BB7665"/>
    <w:rsid w:val="00BB767A"/>
    <w:rsid w:val="00BB76EF"/>
    <w:rsid w:val="00BB76F0"/>
    <w:rsid w:val="00BB771D"/>
    <w:rsid w:val="00BB7764"/>
    <w:rsid w:val="00BB77E4"/>
    <w:rsid w:val="00BB78E2"/>
    <w:rsid w:val="00BB790A"/>
    <w:rsid w:val="00BB79E0"/>
    <w:rsid w:val="00BB7AA3"/>
    <w:rsid w:val="00BB7B32"/>
    <w:rsid w:val="00BB7B38"/>
    <w:rsid w:val="00BB7C16"/>
    <w:rsid w:val="00BB7C17"/>
    <w:rsid w:val="00BB7C62"/>
    <w:rsid w:val="00BB7C7D"/>
    <w:rsid w:val="00BB7C88"/>
    <w:rsid w:val="00BB7CC5"/>
    <w:rsid w:val="00BB7D6A"/>
    <w:rsid w:val="00BB7D96"/>
    <w:rsid w:val="00BB7F20"/>
    <w:rsid w:val="00BB7F8F"/>
    <w:rsid w:val="00BB7FAF"/>
    <w:rsid w:val="00BC0033"/>
    <w:rsid w:val="00BC00F5"/>
    <w:rsid w:val="00BC018D"/>
    <w:rsid w:val="00BC020D"/>
    <w:rsid w:val="00BC0262"/>
    <w:rsid w:val="00BC0268"/>
    <w:rsid w:val="00BC0279"/>
    <w:rsid w:val="00BC0283"/>
    <w:rsid w:val="00BC02A1"/>
    <w:rsid w:val="00BC02E5"/>
    <w:rsid w:val="00BC031B"/>
    <w:rsid w:val="00BC03C0"/>
    <w:rsid w:val="00BC0410"/>
    <w:rsid w:val="00BC0493"/>
    <w:rsid w:val="00BC04D1"/>
    <w:rsid w:val="00BC053A"/>
    <w:rsid w:val="00BC0552"/>
    <w:rsid w:val="00BC0639"/>
    <w:rsid w:val="00BC068A"/>
    <w:rsid w:val="00BC06BE"/>
    <w:rsid w:val="00BC073B"/>
    <w:rsid w:val="00BC0759"/>
    <w:rsid w:val="00BC07A1"/>
    <w:rsid w:val="00BC07E7"/>
    <w:rsid w:val="00BC085D"/>
    <w:rsid w:val="00BC0869"/>
    <w:rsid w:val="00BC0964"/>
    <w:rsid w:val="00BC09D4"/>
    <w:rsid w:val="00BC0C4F"/>
    <w:rsid w:val="00BC0CDC"/>
    <w:rsid w:val="00BC0D37"/>
    <w:rsid w:val="00BC0D9F"/>
    <w:rsid w:val="00BC0DEE"/>
    <w:rsid w:val="00BC0E54"/>
    <w:rsid w:val="00BC0E76"/>
    <w:rsid w:val="00BC0F57"/>
    <w:rsid w:val="00BC0F8C"/>
    <w:rsid w:val="00BC10E7"/>
    <w:rsid w:val="00BC113B"/>
    <w:rsid w:val="00BC1175"/>
    <w:rsid w:val="00BC11A5"/>
    <w:rsid w:val="00BC11B4"/>
    <w:rsid w:val="00BC11C0"/>
    <w:rsid w:val="00BC11C3"/>
    <w:rsid w:val="00BC1206"/>
    <w:rsid w:val="00BC1286"/>
    <w:rsid w:val="00BC147B"/>
    <w:rsid w:val="00BC14DD"/>
    <w:rsid w:val="00BC14E3"/>
    <w:rsid w:val="00BC1542"/>
    <w:rsid w:val="00BC1543"/>
    <w:rsid w:val="00BC1582"/>
    <w:rsid w:val="00BC15AC"/>
    <w:rsid w:val="00BC15E1"/>
    <w:rsid w:val="00BC16B9"/>
    <w:rsid w:val="00BC1739"/>
    <w:rsid w:val="00BC1895"/>
    <w:rsid w:val="00BC19A1"/>
    <w:rsid w:val="00BC1AA4"/>
    <w:rsid w:val="00BC1C2A"/>
    <w:rsid w:val="00BC1C35"/>
    <w:rsid w:val="00BC1C7A"/>
    <w:rsid w:val="00BC1C7D"/>
    <w:rsid w:val="00BC1C9E"/>
    <w:rsid w:val="00BC1D73"/>
    <w:rsid w:val="00BC1D9B"/>
    <w:rsid w:val="00BC1DD5"/>
    <w:rsid w:val="00BC1DE5"/>
    <w:rsid w:val="00BC1DF6"/>
    <w:rsid w:val="00BC1ED1"/>
    <w:rsid w:val="00BC1F25"/>
    <w:rsid w:val="00BC1FD3"/>
    <w:rsid w:val="00BC1FDE"/>
    <w:rsid w:val="00BC2009"/>
    <w:rsid w:val="00BC2023"/>
    <w:rsid w:val="00BC2085"/>
    <w:rsid w:val="00BC20CD"/>
    <w:rsid w:val="00BC211F"/>
    <w:rsid w:val="00BC218B"/>
    <w:rsid w:val="00BC21AE"/>
    <w:rsid w:val="00BC220D"/>
    <w:rsid w:val="00BC225C"/>
    <w:rsid w:val="00BC225E"/>
    <w:rsid w:val="00BC22A7"/>
    <w:rsid w:val="00BC2389"/>
    <w:rsid w:val="00BC2390"/>
    <w:rsid w:val="00BC2534"/>
    <w:rsid w:val="00BC2551"/>
    <w:rsid w:val="00BC2574"/>
    <w:rsid w:val="00BC2589"/>
    <w:rsid w:val="00BC262F"/>
    <w:rsid w:val="00BC2676"/>
    <w:rsid w:val="00BC26F9"/>
    <w:rsid w:val="00BC2744"/>
    <w:rsid w:val="00BC276C"/>
    <w:rsid w:val="00BC277C"/>
    <w:rsid w:val="00BC2790"/>
    <w:rsid w:val="00BC2800"/>
    <w:rsid w:val="00BC282D"/>
    <w:rsid w:val="00BC2850"/>
    <w:rsid w:val="00BC285C"/>
    <w:rsid w:val="00BC2881"/>
    <w:rsid w:val="00BC2978"/>
    <w:rsid w:val="00BC29F5"/>
    <w:rsid w:val="00BC2A32"/>
    <w:rsid w:val="00BC2AED"/>
    <w:rsid w:val="00BC2B5B"/>
    <w:rsid w:val="00BC2B7C"/>
    <w:rsid w:val="00BC2BC1"/>
    <w:rsid w:val="00BC2BC6"/>
    <w:rsid w:val="00BC2C93"/>
    <w:rsid w:val="00BC2D3F"/>
    <w:rsid w:val="00BC2D46"/>
    <w:rsid w:val="00BC2D49"/>
    <w:rsid w:val="00BC2D6B"/>
    <w:rsid w:val="00BC2D89"/>
    <w:rsid w:val="00BC2DA6"/>
    <w:rsid w:val="00BC2DB6"/>
    <w:rsid w:val="00BC2E71"/>
    <w:rsid w:val="00BC2EB6"/>
    <w:rsid w:val="00BC2ED6"/>
    <w:rsid w:val="00BC2F12"/>
    <w:rsid w:val="00BC2F1C"/>
    <w:rsid w:val="00BC2F50"/>
    <w:rsid w:val="00BC2FB6"/>
    <w:rsid w:val="00BC3089"/>
    <w:rsid w:val="00BC30CA"/>
    <w:rsid w:val="00BC30DA"/>
    <w:rsid w:val="00BC3137"/>
    <w:rsid w:val="00BC320E"/>
    <w:rsid w:val="00BC322D"/>
    <w:rsid w:val="00BC34B6"/>
    <w:rsid w:val="00BC3592"/>
    <w:rsid w:val="00BC3620"/>
    <w:rsid w:val="00BC3649"/>
    <w:rsid w:val="00BC36BF"/>
    <w:rsid w:val="00BC36C5"/>
    <w:rsid w:val="00BC371D"/>
    <w:rsid w:val="00BC3731"/>
    <w:rsid w:val="00BC3828"/>
    <w:rsid w:val="00BC382F"/>
    <w:rsid w:val="00BC3849"/>
    <w:rsid w:val="00BC391D"/>
    <w:rsid w:val="00BC392D"/>
    <w:rsid w:val="00BC3955"/>
    <w:rsid w:val="00BC3962"/>
    <w:rsid w:val="00BC3970"/>
    <w:rsid w:val="00BC397F"/>
    <w:rsid w:val="00BC39A5"/>
    <w:rsid w:val="00BC3A4C"/>
    <w:rsid w:val="00BC3AC0"/>
    <w:rsid w:val="00BC3B0D"/>
    <w:rsid w:val="00BC3B72"/>
    <w:rsid w:val="00BC3C70"/>
    <w:rsid w:val="00BC3CA8"/>
    <w:rsid w:val="00BC3CEE"/>
    <w:rsid w:val="00BC3D0D"/>
    <w:rsid w:val="00BC3D94"/>
    <w:rsid w:val="00BC3E23"/>
    <w:rsid w:val="00BC3EA1"/>
    <w:rsid w:val="00BC3EF1"/>
    <w:rsid w:val="00BC3F24"/>
    <w:rsid w:val="00BC3F28"/>
    <w:rsid w:val="00BC3F48"/>
    <w:rsid w:val="00BC3FC1"/>
    <w:rsid w:val="00BC3FC7"/>
    <w:rsid w:val="00BC3FC8"/>
    <w:rsid w:val="00BC3FEA"/>
    <w:rsid w:val="00BC4015"/>
    <w:rsid w:val="00BC404C"/>
    <w:rsid w:val="00BC4060"/>
    <w:rsid w:val="00BC41FD"/>
    <w:rsid w:val="00BC4235"/>
    <w:rsid w:val="00BC4282"/>
    <w:rsid w:val="00BC4369"/>
    <w:rsid w:val="00BC436B"/>
    <w:rsid w:val="00BC436D"/>
    <w:rsid w:val="00BC43E7"/>
    <w:rsid w:val="00BC4409"/>
    <w:rsid w:val="00BC4443"/>
    <w:rsid w:val="00BC447B"/>
    <w:rsid w:val="00BC44FF"/>
    <w:rsid w:val="00BC4519"/>
    <w:rsid w:val="00BC472A"/>
    <w:rsid w:val="00BC4744"/>
    <w:rsid w:val="00BC47B0"/>
    <w:rsid w:val="00BC47DF"/>
    <w:rsid w:val="00BC48EB"/>
    <w:rsid w:val="00BC4931"/>
    <w:rsid w:val="00BC494B"/>
    <w:rsid w:val="00BC49F2"/>
    <w:rsid w:val="00BC4A18"/>
    <w:rsid w:val="00BC4A55"/>
    <w:rsid w:val="00BC4AEC"/>
    <w:rsid w:val="00BC4AED"/>
    <w:rsid w:val="00BC4AFE"/>
    <w:rsid w:val="00BC4BC9"/>
    <w:rsid w:val="00BC4CA6"/>
    <w:rsid w:val="00BC4CC9"/>
    <w:rsid w:val="00BC4D67"/>
    <w:rsid w:val="00BC4D6C"/>
    <w:rsid w:val="00BC4E55"/>
    <w:rsid w:val="00BC4E63"/>
    <w:rsid w:val="00BC4EC4"/>
    <w:rsid w:val="00BC4F01"/>
    <w:rsid w:val="00BC4F3B"/>
    <w:rsid w:val="00BC4F73"/>
    <w:rsid w:val="00BC4F7B"/>
    <w:rsid w:val="00BC4F9B"/>
    <w:rsid w:val="00BC4FDD"/>
    <w:rsid w:val="00BC5051"/>
    <w:rsid w:val="00BC505F"/>
    <w:rsid w:val="00BC5064"/>
    <w:rsid w:val="00BC50BE"/>
    <w:rsid w:val="00BC510F"/>
    <w:rsid w:val="00BC5110"/>
    <w:rsid w:val="00BC51C1"/>
    <w:rsid w:val="00BC51D1"/>
    <w:rsid w:val="00BC5273"/>
    <w:rsid w:val="00BC5276"/>
    <w:rsid w:val="00BC528A"/>
    <w:rsid w:val="00BC5295"/>
    <w:rsid w:val="00BC52E2"/>
    <w:rsid w:val="00BC52E8"/>
    <w:rsid w:val="00BC5318"/>
    <w:rsid w:val="00BC5361"/>
    <w:rsid w:val="00BC544D"/>
    <w:rsid w:val="00BC54B7"/>
    <w:rsid w:val="00BC54F9"/>
    <w:rsid w:val="00BC552C"/>
    <w:rsid w:val="00BC55D9"/>
    <w:rsid w:val="00BC5677"/>
    <w:rsid w:val="00BC56A7"/>
    <w:rsid w:val="00BC56D5"/>
    <w:rsid w:val="00BC570C"/>
    <w:rsid w:val="00BC571D"/>
    <w:rsid w:val="00BC5791"/>
    <w:rsid w:val="00BC57A9"/>
    <w:rsid w:val="00BC5873"/>
    <w:rsid w:val="00BC59AC"/>
    <w:rsid w:val="00BC59BA"/>
    <w:rsid w:val="00BC59CE"/>
    <w:rsid w:val="00BC59EB"/>
    <w:rsid w:val="00BC5A2E"/>
    <w:rsid w:val="00BC5AAD"/>
    <w:rsid w:val="00BC5AEF"/>
    <w:rsid w:val="00BC5B20"/>
    <w:rsid w:val="00BC5B3C"/>
    <w:rsid w:val="00BC5B63"/>
    <w:rsid w:val="00BC5C62"/>
    <w:rsid w:val="00BC5C90"/>
    <w:rsid w:val="00BC5D96"/>
    <w:rsid w:val="00BC5DB1"/>
    <w:rsid w:val="00BC5E0D"/>
    <w:rsid w:val="00BC5F21"/>
    <w:rsid w:val="00BC6014"/>
    <w:rsid w:val="00BC601A"/>
    <w:rsid w:val="00BC606A"/>
    <w:rsid w:val="00BC60DC"/>
    <w:rsid w:val="00BC60FE"/>
    <w:rsid w:val="00BC6161"/>
    <w:rsid w:val="00BC6270"/>
    <w:rsid w:val="00BC62B3"/>
    <w:rsid w:val="00BC62B5"/>
    <w:rsid w:val="00BC62CA"/>
    <w:rsid w:val="00BC6307"/>
    <w:rsid w:val="00BC63E8"/>
    <w:rsid w:val="00BC65A9"/>
    <w:rsid w:val="00BC660C"/>
    <w:rsid w:val="00BC6610"/>
    <w:rsid w:val="00BC6626"/>
    <w:rsid w:val="00BC6638"/>
    <w:rsid w:val="00BC66A0"/>
    <w:rsid w:val="00BC6783"/>
    <w:rsid w:val="00BC67BE"/>
    <w:rsid w:val="00BC6817"/>
    <w:rsid w:val="00BC684E"/>
    <w:rsid w:val="00BC6877"/>
    <w:rsid w:val="00BC68B4"/>
    <w:rsid w:val="00BC68CC"/>
    <w:rsid w:val="00BC6A48"/>
    <w:rsid w:val="00BC6AA8"/>
    <w:rsid w:val="00BC6AB9"/>
    <w:rsid w:val="00BC6B1C"/>
    <w:rsid w:val="00BC6DE3"/>
    <w:rsid w:val="00BC6E9E"/>
    <w:rsid w:val="00BC6EAD"/>
    <w:rsid w:val="00BC6EC0"/>
    <w:rsid w:val="00BC6EEC"/>
    <w:rsid w:val="00BC6F71"/>
    <w:rsid w:val="00BC6F98"/>
    <w:rsid w:val="00BC7064"/>
    <w:rsid w:val="00BC7131"/>
    <w:rsid w:val="00BC71A3"/>
    <w:rsid w:val="00BC721C"/>
    <w:rsid w:val="00BC7237"/>
    <w:rsid w:val="00BC7261"/>
    <w:rsid w:val="00BC72A7"/>
    <w:rsid w:val="00BC72E4"/>
    <w:rsid w:val="00BC730F"/>
    <w:rsid w:val="00BC731F"/>
    <w:rsid w:val="00BC7389"/>
    <w:rsid w:val="00BC73F2"/>
    <w:rsid w:val="00BC748A"/>
    <w:rsid w:val="00BC7563"/>
    <w:rsid w:val="00BC75B2"/>
    <w:rsid w:val="00BC75CC"/>
    <w:rsid w:val="00BC75F4"/>
    <w:rsid w:val="00BC764B"/>
    <w:rsid w:val="00BC76C1"/>
    <w:rsid w:val="00BC76ED"/>
    <w:rsid w:val="00BC7715"/>
    <w:rsid w:val="00BC7797"/>
    <w:rsid w:val="00BC792A"/>
    <w:rsid w:val="00BC7953"/>
    <w:rsid w:val="00BC799C"/>
    <w:rsid w:val="00BC79FF"/>
    <w:rsid w:val="00BC7A00"/>
    <w:rsid w:val="00BC7BB8"/>
    <w:rsid w:val="00BC7BC2"/>
    <w:rsid w:val="00BC7BED"/>
    <w:rsid w:val="00BC7BF8"/>
    <w:rsid w:val="00BC7C06"/>
    <w:rsid w:val="00BC7CD3"/>
    <w:rsid w:val="00BC7DC5"/>
    <w:rsid w:val="00BC7DFE"/>
    <w:rsid w:val="00BC7F2B"/>
    <w:rsid w:val="00BC7F3F"/>
    <w:rsid w:val="00BC7FC9"/>
    <w:rsid w:val="00BD002A"/>
    <w:rsid w:val="00BD0055"/>
    <w:rsid w:val="00BD031B"/>
    <w:rsid w:val="00BD0336"/>
    <w:rsid w:val="00BD0372"/>
    <w:rsid w:val="00BD04E9"/>
    <w:rsid w:val="00BD052E"/>
    <w:rsid w:val="00BD05BA"/>
    <w:rsid w:val="00BD05D9"/>
    <w:rsid w:val="00BD067F"/>
    <w:rsid w:val="00BD0743"/>
    <w:rsid w:val="00BD0767"/>
    <w:rsid w:val="00BD07AA"/>
    <w:rsid w:val="00BD0834"/>
    <w:rsid w:val="00BD0886"/>
    <w:rsid w:val="00BD0947"/>
    <w:rsid w:val="00BD0971"/>
    <w:rsid w:val="00BD0985"/>
    <w:rsid w:val="00BD09C0"/>
    <w:rsid w:val="00BD0A35"/>
    <w:rsid w:val="00BD0A57"/>
    <w:rsid w:val="00BD0B3F"/>
    <w:rsid w:val="00BD0B7B"/>
    <w:rsid w:val="00BD0C75"/>
    <w:rsid w:val="00BD0CCA"/>
    <w:rsid w:val="00BD0CD1"/>
    <w:rsid w:val="00BD0CD4"/>
    <w:rsid w:val="00BD0D74"/>
    <w:rsid w:val="00BD0D7A"/>
    <w:rsid w:val="00BD0DC3"/>
    <w:rsid w:val="00BD0E0F"/>
    <w:rsid w:val="00BD0E33"/>
    <w:rsid w:val="00BD0F32"/>
    <w:rsid w:val="00BD0FCC"/>
    <w:rsid w:val="00BD0FF4"/>
    <w:rsid w:val="00BD108A"/>
    <w:rsid w:val="00BD1191"/>
    <w:rsid w:val="00BD12B9"/>
    <w:rsid w:val="00BD130F"/>
    <w:rsid w:val="00BD13FF"/>
    <w:rsid w:val="00BD1581"/>
    <w:rsid w:val="00BD1666"/>
    <w:rsid w:val="00BD166F"/>
    <w:rsid w:val="00BD1754"/>
    <w:rsid w:val="00BD182F"/>
    <w:rsid w:val="00BD194B"/>
    <w:rsid w:val="00BD195F"/>
    <w:rsid w:val="00BD19F4"/>
    <w:rsid w:val="00BD1C06"/>
    <w:rsid w:val="00BD1C1F"/>
    <w:rsid w:val="00BD1D4D"/>
    <w:rsid w:val="00BD1D50"/>
    <w:rsid w:val="00BD1D63"/>
    <w:rsid w:val="00BD1DA3"/>
    <w:rsid w:val="00BD1DB7"/>
    <w:rsid w:val="00BD1DE2"/>
    <w:rsid w:val="00BD1E24"/>
    <w:rsid w:val="00BD1F04"/>
    <w:rsid w:val="00BD1FB3"/>
    <w:rsid w:val="00BD1FFC"/>
    <w:rsid w:val="00BD20A0"/>
    <w:rsid w:val="00BD20CD"/>
    <w:rsid w:val="00BD20F4"/>
    <w:rsid w:val="00BD2121"/>
    <w:rsid w:val="00BD2139"/>
    <w:rsid w:val="00BD2297"/>
    <w:rsid w:val="00BD22A6"/>
    <w:rsid w:val="00BD22B9"/>
    <w:rsid w:val="00BD2384"/>
    <w:rsid w:val="00BD239D"/>
    <w:rsid w:val="00BD23DE"/>
    <w:rsid w:val="00BD23F1"/>
    <w:rsid w:val="00BD2480"/>
    <w:rsid w:val="00BD249E"/>
    <w:rsid w:val="00BD2513"/>
    <w:rsid w:val="00BD2564"/>
    <w:rsid w:val="00BD25AE"/>
    <w:rsid w:val="00BD2633"/>
    <w:rsid w:val="00BD2658"/>
    <w:rsid w:val="00BD266A"/>
    <w:rsid w:val="00BD276A"/>
    <w:rsid w:val="00BD27A7"/>
    <w:rsid w:val="00BD27C0"/>
    <w:rsid w:val="00BD27F0"/>
    <w:rsid w:val="00BD286B"/>
    <w:rsid w:val="00BD287D"/>
    <w:rsid w:val="00BD28B8"/>
    <w:rsid w:val="00BD28C5"/>
    <w:rsid w:val="00BD29C3"/>
    <w:rsid w:val="00BD2A45"/>
    <w:rsid w:val="00BD2A54"/>
    <w:rsid w:val="00BD2A62"/>
    <w:rsid w:val="00BD2AE7"/>
    <w:rsid w:val="00BD2B1D"/>
    <w:rsid w:val="00BD2BAD"/>
    <w:rsid w:val="00BD2BC4"/>
    <w:rsid w:val="00BD2BEA"/>
    <w:rsid w:val="00BD2C49"/>
    <w:rsid w:val="00BD2CF9"/>
    <w:rsid w:val="00BD2D59"/>
    <w:rsid w:val="00BD2DF4"/>
    <w:rsid w:val="00BD2E09"/>
    <w:rsid w:val="00BD2E8D"/>
    <w:rsid w:val="00BD2EBF"/>
    <w:rsid w:val="00BD2EFC"/>
    <w:rsid w:val="00BD2F49"/>
    <w:rsid w:val="00BD2F67"/>
    <w:rsid w:val="00BD2F7E"/>
    <w:rsid w:val="00BD2F86"/>
    <w:rsid w:val="00BD2FA1"/>
    <w:rsid w:val="00BD2FB1"/>
    <w:rsid w:val="00BD2FE1"/>
    <w:rsid w:val="00BD3001"/>
    <w:rsid w:val="00BD302D"/>
    <w:rsid w:val="00BD30A3"/>
    <w:rsid w:val="00BD30AB"/>
    <w:rsid w:val="00BD3113"/>
    <w:rsid w:val="00BD31E1"/>
    <w:rsid w:val="00BD326B"/>
    <w:rsid w:val="00BD32A2"/>
    <w:rsid w:val="00BD32E4"/>
    <w:rsid w:val="00BD3339"/>
    <w:rsid w:val="00BD33EF"/>
    <w:rsid w:val="00BD341C"/>
    <w:rsid w:val="00BD343C"/>
    <w:rsid w:val="00BD3442"/>
    <w:rsid w:val="00BD3457"/>
    <w:rsid w:val="00BD3558"/>
    <w:rsid w:val="00BD3560"/>
    <w:rsid w:val="00BD35F9"/>
    <w:rsid w:val="00BD362D"/>
    <w:rsid w:val="00BD3638"/>
    <w:rsid w:val="00BD36EF"/>
    <w:rsid w:val="00BD37D7"/>
    <w:rsid w:val="00BD3859"/>
    <w:rsid w:val="00BD388B"/>
    <w:rsid w:val="00BD38F3"/>
    <w:rsid w:val="00BD391D"/>
    <w:rsid w:val="00BD3936"/>
    <w:rsid w:val="00BD3986"/>
    <w:rsid w:val="00BD39E3"/>
    <w:rsid w:val="00BD3AF4"/>
    <w:rsid w:val="00BD3BC7"/>
    <w:rsid w:val="00BD3C19"/>
    <w:rsid w:val="00BD3C25"/>
    <w:rsid w:val="00BD3C3E"/>
    <w:rsid w:val="00BD3C8F"/>
    <w:rsid w:val="00BD3CCF"/>
    <w:rsid w:val="00BD3D35"/>
    <w:rsid w:val="00BD3D9B"/>
    <w:rsid w:val="00BD3DCD"/>
    <w:rsid w:val="00BD3E30"/>
    <w:rsid w:val="00BD3E45"/>
    <w:rsid w:val="00BD3F00"/>
    <w:rsid w:val="00BD3FA3"/>
    <w:rsid w:val="00BD3FDB"/>
    <w:rsid w:val="00BD3FEF"/>
    <w:rsid w:val="00BD401C"/>
    <w:rsid w:val="00BD4029"/>
    <w:rsid w:val="00BD427B"/>
    <w:rsid w:val="00BD4283"/>
    <w:rsid w:val="00BD4349"/>
    <w:rsid w:val="00BD43C9"/>
    <w:rsid w:val="00BD445B"/>
    <w:rsid w:val="00BD4468"/>
    <w:rsid w:val="00BD467E"/>
    <w:rsid w:val="00BD4718"/>
    <w:rsid w:val="00BD474D"/>
    <w:rsid w:val="00BD480B"/>
    <w:rsid w:val="00BD4A3E"/>
    <w:rsid w:val="00BD4A43"/>
    <w:rsid w:val="00BD4A62"/>
    <w:rsid w:val="00BD4A7D"/>
    <w:rsid w:val="00BD4AEB"/>
    <w:rsid w:val="00BD4B7A"/>
    <w:rsid w:val="00BD4BB3"/>
    <w:rsid w:val="00BD4C42"/>
    <w:rsid w:val="00BD4DB9"/>
    <w:rsid w:val="00BD4EB4"/>
    <w:rsid w:val="00BD4F43"/>
    <w:rsid w:val="00BD4F90"/>
    <w:rsid w:val="00BD4F9C"/>
    <w:rsid w:val="00BD4FCF"/>
    <w:rsid w:val="00BD4FE3"/>
    <w:rsid w:val="00BD4FE9"/>
    <w:rsid w:val="00BD5063"/>
    <w:rsid w:val="00BD50E6"/>
    <w:rsid w:val="00BD5107"/>
    <w:rsid w:val="00BD51A8"/>
    <w:rsid w:val="00BD51BA"/>
    <w:rsid w:val="00BD51C0"/>
    <w:rsid w:val="00BD5350"/>
    <w:rsid w:val="00BD535B"/>
    <w:rsid w:val="00BD536E"/>
    <w:rsid w:val="00BD5371"/>
    <w:rsid w:val="00BD53B0"/>
    <w:rsid w:val="00BD53BC"/>
    <w:rsid w:val="00BD5476"/>
    <w:rsid w:val="00BD5495"/>
    <w:rsid w:val="00BD54FD"/>
    <w:rsid w:val="00BD54FF"/>
    <w:rsid w:val="00BD557B"/>
    <w:rsid w:val="00BD55F7"/>
    <w:rsid w:val="00BD55FA"/>
    <w:rsid w:val="00BD55FD"/>
    <w:rsid w:val="00BD560B"/>
    <w:rsid w:val="00BD567D"/>
    <w:rsid w:val="00BD571F"/>
    <w:rsid w:val="00BD5720"/>
    <w:rsid w:val="00BD5742"/>
    <w:rsid w:val="00BD5755"/>
    <w:rsid w:val="00BD5806"/>
    <w:rsid w:val="00BD5827"/>
    <w:rsid w:val="00BD5900"/>
    <w:rsid w:val="00BD5974"/>
    <w:rsid w:val="00BD59E2"/>
    <w:rsid w:val="00BD5AA2"/>
    <w:rsid w:val="00BD5AA4"/>
    <w:rsid w:val="00BD5B11"/>
    <w:rsid w:val="00BD5B53"/>
    <w:rsid w:val="00BD5BB0"/>
    <w:rsid w:val="00BD5BE2"/>
    <w:rsid w:val="00BD5C00"/>
    <w:rsid w:val="00BD5E10"/>
    <w:rsid w:val="00BD5E17"/>
    <w:rsid w:val="00BD5E34"/>
    <w:rsid w:val="00BD5E49"/>
    <w:rsid w:val="00BD5E6C"/>
    <w:rsid w:val="00BD5E80"/>
    <w:rsid w:val="00BD5EC1"/>
    <w:rsid w:val="00BD5ECD"/>
    <w:rsid w:val="00BD5F1D"/>
    <w:rsid w:val="00BD5F59"/>
    <w:rsid w:val="00BD5FA7"/>
    <w:rsid w:val="00BD606C"/>
    <w:rsid w:val="00BD60B4"/>
    <w:rsid w:val="00BD60E5"/>
    <w:rsid w:val="00BD60F9"/>
    <w:rsid w:val="00BD6111"/>
    <w:rsid w:val="00BD6120"/>
    <w:rsid w:val="00BD61A8"/>
    <w:rsid w:val="00BD620D"/>
    <w:rsid w:val="00BD6224"/>
    <w:rsid w:val="00BD6393"/>
    <w:rsid w:val="00BD63E5"/>
    <w:rsid w:val="00BD63F3"/>
    <w:rsid w:val="00BD6438"/>
    <w:rsid w:val="00BD644B"/>
    <w:rsid w:val="00BD6453"/>
    <w:rsid w:val="00BD64EA"/>
    <w:rsid w:val="00BD6524"/>
    <w:rsid w:val="00BD655E"/>
    <w:rsid w:val="00BD656F"/>
    <w:rsid w:val="00BD6573"/>
    <w:rsid w:val="00BD668E"/>
    <w:rsid w:val="00BD66BE"/>
    <w:rsid w:val="00BD66D5"/>
    <w:rsid w:val="00BD671F"/>
    <w:rsid w:val="00BD673F"/>
    <w:rsid w:val="00BD6767"/>
    <w:rsid w:val="00BD678F"/>
    <w:rsid w:val="00BD67F4"/>
    <w:rsid w:val="00BD6818"/>
    <w:rsid w:val="00BD68A8"/>
    <w:rsid w:val="00BD68AA"/>
    <w:rsid w:val="00BD6925"/>
    <w:rsid w:val="00BD69C8"/>
    <w:rsid w:val="00BD69E4"/>
    <w:rsid w:val="00BD6A03"/>
    <w:rsid w:val="00BD6AEF"/>
    <w:rsid w:val="00BD6B1C"/>
    <w:rsid w:val="00BD6B96"/>
    <w:rsid w:val="00BD6CD6"/>
    <w:rsid w:val="00BD6DB5"/>
    <w:rsid w:val="00BD6F1E"/>
    <w:rsid w:val="00BD701D"/>
    <w:rsid w:val="00BD7051"/>
    <w:rsid w:val="00BD7109"/>
    <w:rsid w:val="00BD7123"/>
    <w:rsid w:val="00BD7165"/>
    <w:rsid w:val="00BD7237"/>
    <w:rsid w:val="00BD7254"/>
    <w:rsid w:val="00BD7299"/>
    <w:rsid w:val="00BD72D8"/>
    <w:rsid w:val="00BD732F"/>
    <w:rsid w:val="00BD73A7"/>
    <w:rsid w:val="00BD73CE"/>
    <w:rsid w:val="00BD73F2"/>
    <w:rsid w:val="00BD7404"/>
    <w:rsid w:val="00BD7417"/>
    <w:rsid w:val="00BD744C"/>
    <w:rsid w:val="00BD746C"/>
    <w:rsid w:val="00BD74C6"/>
    <w:rsid w:val="00BD7550"/>
    <w:rsid w:val="00BD75CF"/>
    <w:rsid w:val="00BD7677"/>
    <w:rsid w:val="00BD76E5"/>
    <w:rsid w:val="00BD7714"/>
    <w:rsid w:val="00BD7792"/>
    <w:rsid w:val="00BD7806"/>
    <w:rsid w:val="00BD7837"/>
    <w:rsid w:val="00BD7870"/>
    <w:rsid w:val="00BD7923"/>
    <w:rsid w:val="00BD7925"/>
    <w:rsid w:val="00BD7951"/>
    <w:rsid w:val="00BD7A41"/>
    <w:rsid w:val="00BD7A5B"/>
    <w:rsid w:val="00BD7A6C"/>
    <w:rsid w:val="00BD7C19"/>
    <w:rsid w:val="00BD7C5E"/>
    <w:rsid w:val="00BD7D10"/>
    <w:rsid w:val="00BD7D1D"/>
    <w:rsid w:val="00BD7D8F"/>
    <w:rsid w:val="00BD7DCC"/>
    <w:rsid w:val="00BD7DFA"/>
    <w:rsid w:val="00BD7E95"/>
    <w:rsid w:val="00BD7F60"/>
    <w:rsid w:val="00BE0018"/>
    <w:rsid w:val="00BE0082"/>
    <w:rsid w:val="00BE0287"/>
    <w:rsid w:val="00BE02DB"/>
    <w:rsid w:val="00BE031F"/>
    <w:rsid w:val="00BE0386"/>
    <w:rsid w:val="00BE038B"/>
    <w:rsid w:val="00BE03A3"/>
    <w:rsid w:val="00BE03B0"/>
    <w:rsid w:val="00BE0462"/>
    <w:rsid w:val="00BE0464"/>
    <w:rsid w:val="00BE0482"/>
    <w:rsid w:val="00BE04B0"/>
    <w:rsid w:val="00BE04B5"/>
    <w:rsid w:val="00BE052B"/>
    <w:rsid w:val="00BE0570"/>
    <w:rsid w:val="00BE0603"/>
    <w:rsid w:val="00BE0618"/>
    <w:rsid w:val="00BE061E"/>
    <w:rsid w:val="00BE063A"/>
    <w:rsid w:val="00BE07A4"/>
    <w:rsid w:val="00BE0947"/>
    <w:rsid w:val="00BE09B9"/>
    <w:rsid w:val="00BE09BE"/>
    <w:rsid w:val="00BE0AE1"/>
    <w:rsid w:val="00BE0AF8"/>
    <w:rsid w:val="00BE0BEA"/>
    <w:rsid w:val="00BE0BEC"/>
    <w:rsid w:val="00BE0C93"/>
    <w:rsid w:val="00BE0CE1"/>
    <w:rsid w:val="00BE0CEA"/>
    <w:rsid w:val="00BE0CEF"/>
    <w:rsid w:val="00BE0D04"/>
    <w:rsid w:val="00BE0D56"/>
    <w:rsid w:val="00BE0E37"/>
    <w:rsid w:val="00BE0E95"/>
    <w:rsid w:val="00BE0EB4"/>
    <w:rsid w:val="00BE0EDE"/>
    <w:rsid w:val="00BE0F77"/>
    <w:rsid w:val="00BE0F7E"/>
    <w:rsid w:val="00BE0F8A"/>
    <w:rsid w:val="00BE1042"/>
    <w:rsid w:val="00BE10B0"/>
    <w:rsid w:val="00BE13C7"/>
    <w:rsid w:val="00BE140F"/>
    <w:rsid w:val="00BE1423"/>
    <w:rsid w:val="00BE1457"/>
    <w:rsid w:val="00BE1494"/>
    <w:rsid w:val="00BE1572"/>
    <w:rsid w:val="00BE1577"/>
    <w:rsid w:val="00BE1581"/>
    <w:rsid w:val="00BE161B"/>
    <w:rsid w:val="00BE1626"/>
    <w:rsid w:val="00BE1721"/>
    <w:rsid w:val="00BE1817"/>
    <w:rsid w:val="00BE1980"/>
    <w:rsid w:val="00BE19D3"/>
    <w:rsid w:val="00BE1A26"/>
    <w:rsid w:val="00BE1A61"/>
    <w:rsid w:val="00BE1B6B"/>
    <w:rsid w:val="00BE1CC1"/>
    <w:rsid w:val="00BE1CFB"/>
    <w:rsid w:val="00BE1D1F"/>
    <w:rsid w:val="00BE1DFE"/>
    <w:rsid w:val="00BE1E08"/>
    <w:rsid w:val="00BE1E22"/>
    <w:rsid w:val="00BE1E80"/>
    <w:rsid w:val="00BE1F7D"/>
    <w:rsid w:val="00BE1FF0"/>
    <w:rsid w:val="00BE20B7"/>
    <w:rsid w:val="00BE2185"/>
    <w:rsid w:val="00BE21E0"/>
    <w:rsid w:val="00BE2243"/>
    <w:rsid w:val="00BE2254"/>
    <w:rsid w:val="00BE2290"/>
    <w:rsid w:val="00BE2305"/>
    <w:rsid w:val="00BE23F6"/>
    <w:rsid w:val="00BE24D2"/>
    <w:rsid w:val="00BE24F8"/>
    <w:rsid w:val="00BE2584"/>
    <w:rsid w:val="00BE25B3"/>
    <w:rsid w:val="00BE25DF"/>
    <w:rsid w:val="00BE25F0"/>
    <w:rsid w:val="00BE2609"/>
    <w:rsid w:val="00BE26C1"/>
    <w:rsid w:val="00BE26F9"/>
    <w:rsid w:val="00BE2709"/>
    <w:rsid w:val="00BE280E"/>
    <w:rsid w:val="00BE288A"/>
    <w:rsid w:val="00BE28E9"/>
    <w:rsid w:val="00BE2904"/>
    <w:rsid w:val="00BE2916"/>
    <w:rsid w:val="00BE2917"/>
    <w:rsid w:val="00BE29BE"/>
    <w:rsid w:val="00BE29D6"/>
    <w:rsid w:val="00BE29DE"/>
    <w:rsid w:val="00BE2A34"/>
    <w:rsid w:val="00BE2A85"/>
    <w:rsid w:val="00BE2C04"/>
    <w:rsid w:val="00BE2D48"/>
    <w:rsid w:val="00BE2DA3"/>
    <w:rsid w:val="00BE2E43"/>
    <w:rsid w:val="00BE2E67"/>
    <w:rsid w:val="00BE2F29"/>
    <w:rsid w:val="00BE2F9C"/>
    <w:rsid w:val="00BE3031"/>
    <w:rsid w:val="00BE31F9"/>
    <w:rsid w:val="00BE3205"/>
    <w:rsid w:val="00BE3262"/>
    <w:rsid w:val="00BE32C5"/>
    <w:rsid w:val="00BE3317"/>
    <w:rsid w:val="00BE337E"/>
    <w:rsid w:val="00BE341E"/>
    <w:rsid w:val="00BE3437"/>
    <w:rsid w:val="00BE353F"/>
    <w:rsid w:val="00BE3567"/>
    <w:rsid w:val="00BE358A"/>
    <w:rsid w:val="00BE36FC"/>
    <w:rsid w:val="00BE3754"/>
    <w:rsid w:val="00BE3761"/>
    <w:rsid w:val="00BE38A7"/>
    <w:rsid w:val="00BE38C7"/>
    <w:rsid w:val="00BE38F4"/>
    <w:rsid w:val="00BE3953"/>
    <w:rsid w:val="00BE39A4"/>
    <w:rsid w:val="00BE3A16"/>
    <w:rsid w:val="00BE3A45"/>
    <w:rsid w:val="00BE3AB4"/>
    <w:rsid w:val="00BE3BB6"/>
    <w:rsid w:val="00BE3BD0"/>
    <w:rsid w:val="00BE3CE7"/>
    <w:rsid w:val="00BE3D80"/>
    <w:rsid w:val="00BE3DCD"/>
    <w:rsid w:val="00BE3E0D"/>
    <w:rsid w:val="00BE3E6C"/>
    <w:rsid w:val="00BE3F65"/>
    <w:rsid w:val="00BE3F67"/>
    <w:rsid w:val="00BE3FA2"/>
    <w:rsid w:val="00BE40AE"/>
    <w:rsid w:val="00BE4176"/>
    <w:rsid w:val="00BE417E"/>
    <w:rsid w:val="00BE4281"/>
    <w:rsid w:val="00BE437C"/>
    <w:rsid w:val="00BE4395"/>
    <w:rsid w:val="00BE43D3"/>
    <w:rsid w:val="00BE4418"/>
    <w:rsid w:val="00BE4485"/>
    <w:rsid w:val="00BE44D7"/>
    <w:rsid w:val="00BE452F"/>
    <w:rsid w:val="00BE4530"/>
    <w:rsid w:val="00BE4557"/>
    <w:rsid w:val="00BE4597"/>
    <w:rsid w:val="00BE459E"/>
    <w:rsid w:val="00BE459F"/>
    <w:rsid w:val="00BE46BF"/>
    <w:rsid w:val="00BE46D7"/>
    <w:rsid w:val="00BE473E"/>
    <w:rsid w:val="00BE47F3"/>
    <w:rsid w:val="00BE4853"/>
    <w:rsid w:val="00BE48A2"/>
    <w:rsid w:val="00BE4968"/>
    <w:rsid w:val="00BE4A41"/>
    <w:rsid w:val="00BE4B60"/>
    <w:rsid w:val="00BE4B70"/>
    <w:rsid w:val="00BE4B9B"/>
    <w:rsid w:val="00BE4BDF"/>
    <w:rsid w:val="00BE4D27"/>
    <w:rsid w:val="00BE4D41"/>
    <w:rsid w:val="00BE4E7C"/>
    <w:rsid w:val="00BE4F1B"/>
    <w:rsid w:val="00BE502C"/>
    <w:rsid w:val="00BE5075"/>
    <w:rsid w:val="00BE50AF"/>
    <w:rsid w:val="00BE50C0"/>
    <w:rsid w:val="00BE513C"/>
    <w:rsid w:val="00BE516E"/>
    <w:rsid w:val="00BE5217"/>
    <w:rsid w:val="00BE521D"/>
    <w:rsid w:val="00BE52B9"/>
    <w:rsid w:val="00BE52E8"/>
    <w:rsid w:val="00BE533F"/>
    <w:rsid w:val="00BE5365"/>
    <w:rsid w:val="00BE5379"/>
    <w:rsid w:val="00BE53E3"/>
    <w:rsid w:val="00BE53E4"/>
    <w:rsid w:val="00BE5461"/>
    <w:rsid w:val="00BE54D1"/>
    <w:rsid w:val="00BE54EC"/>
    <w:rsid w:val="00BE566E"/>
    <w:rsid w:val="00BE5676"/>
    <w:rsid w:val="00BE569E"/>
    <w:rsid w:val="00BE56A1"/>
    <w:rsid w:val="00BE5708"/>
    <w:rsid w:val="00BE574A"/>
    <w:rsid w:val="00BE5770"/>
    <w:rsid w:val="00BE579B"/>
    <w:rsid w:val="00BE57A2"/>
    <w:rsid w:val="00BE5847"/>
    <w:rsid w:val="00BE585D"/>
    <w:rsid w:val="00BE58F2"/>
    <w:rsid w:val="00BE593F"/>
    <w:rsid w:val="00BE5978"/>
    <w:rsid w:val="00BE5997"/>
    <w:rsid w:val="00BE5A06"/>
    <w:rsid w:val="00BE5A7A"/>
    <w:rsid w:val="00BE5AAF"/>
    <w:rsid w:val="00BE5AD6"/>
    <w:rsid w:val="00BE5B3C"/>
    <w:rsid w:val="00BE5B8B"/>
    <w:rsid w:val="00BE5BA4"/>
    <w:rsid w:val="00BE5C3A"/>
    <w:rsid w:val="00BE5C81"/>
    <w:rsid w:val="00BE5CE9"/>
    <w:rsid w:val="00BE5DA7"/>
    <w:rsid w:val="00BE5DBC"/>
    <w:rsid w:val="00BE5DC0"/>
    <w:rsid w:val="00BE5F88"/>
    <w:rsid w:val="00BE5F8B"/>
    <w:rsid w:val="00BE5F9B"/>
    <w:rsid w:val="00BE5FB9"/>
    <w:rsid w:val="00BE604B"/>
    <w:rsid w:val="00BE60BE"/>
    <w:rsid w:val="00BE614F"/>
    <w:rsid w:val="00BE61CA"/>
    <w:rsid w:val="00BE6268"/>
    <w:rsid w:val="00BE6334"/>
    <w:rsid w:val="00BE6484"/>
    <w:rsid w:val="00BE64C7"/>
    <w:rsid w:val="00BE64D1"/>
    <w:rsid w:val="00BE64D7"/>
    <w:rsid w:val="00BE660A"/>
    <w:rsid w:val="00BE666F"/>
    <w:rsid w:val="00BE6692"/>
    <w:rsid w:val="00BE6698"/>
    <w:rsid w:val="00BE66E0"/>
    <w:rsid w:val="00BE66FB"/>
    <w:rsid w:val="00BE6763"/>
    <w:rsid w:val="00BE6958"/>
    <w:rsid w:val="00BE697F"/>
    <w:rsid w:val="00BE698D"/>
    <w:rsid w:val="00BE69A2"/>
    <w:rsid w:val="00BE69BC"/>
    <w:rsid w:val="00BE69C3"/>
    <w:rsid w:val="00BE69DF"/>
    <w:rsid w:val="00BE69E7"/>
    <w:rsid w:val="00BE69F4"/>
    <w:rsid w:val="00BE6A35"/>
    <w:rsid w:val="00BE6AA9"/>
    <w:rsid w:val="00BE6AD8"/>
    <w:rsid w:val="00BE6B63"/>
    <w:rsid w:val="00BE6BA4"/>
    <w:rsid w:val="00BE6BFC"/>
    <w:rsid w:val="00BE6CB9"/>
    <w:rsid w:val="00BE6CEB"/>
    <w:rsid w:val="00BE6DF1"/>
    <w:rsid w:val="00BE6E1B"/>
    <w:rsid w:val="00BE6E23"/>
    <w:rsid w:val="00BE7042"/>
    <w:rsid w:val="00BE7047"/>
    <w:rsid w:val="00BE712D"/>
    <w:rsid w:val="00BE717F"/>
    <w:rsid w:val="00BE71FD"/>
    <w:rsid w:val="00BE724E"/>
    <w:rsid w:val="00BE7270"/>
    <w:rsid w:val="00BE727A"/>
    <w:rsid w:val="00BE72B3"/>
    <w:rsid w:val="00BE73D1"/>
    <w:rsid w:val="00BE73DF"/>
    <w:rsid w:val="00BE7462"/>
    <w:rsid w:val="00BE7481"/>
    <w:rsid w:val="00BE749E"/>
    <w:rsid w:val="00BE75B1"/>
    <w:rsid w:val="00BE766B"/>
    <w:rsid w:val="00BE7768"/>
    <w:rsid w:val="00BE7790"/>
    <w:rsid w:val="00BE786B"/>
    <w:rsid w:val="00BE78AB"/>
    <w:rsid w:val="00BE78BA"/>
    <w:rsid w:val="00BE7900"/>
    <w:rsid w:val="00BE7930"/>
    <w:rsid w:val="00BE793E"/>
    <w:rsid w:val="00BE795C"/>
    <w:rsid w:val="00BE79B4"/>
    <w:rsid w:val="00BE7ACF"/>
    <w:rsid w:val="00BE7B6D"/>
    <w:rsid w:val="00BE7BF1"/>
    <w:rsid w:val="00BE7C42"/>
    <w:rsid w:val="00BE7C55"/>
    <w:rsid w:val="00BE7CAF"/>
    <w:rsid w:val="00BE7CF8"/>
    <w:rsid w:val="00BE7F50"/>
    <w:rsid w:val="00BF0037"/>
    <w:rsid w:val="00BF00E6"/>
    <w:rsid w:val="00BF01CD"/>
    <w:rsid w:val="00BF020B"/>
    <w:rsid w:val="00BF0218"/>
    <w:rsid w:val="00BF022C"/>
    <w:rsid w:val="00BF0289"/>
    <w:rsid w:val="00BF0339"/>
    <w:rsid w:val="00BF034C"/>
    <w:rsid w:val="00BF038E"/>
    <w:rsid w:val="00BF059E"/>
    <w:rsid w:val="00BF086D"/>
    <w:rsid w:val="00BF0A37"/>
    <w:rsid w:val="00BF0AC1"/>
    <w:rsid w:val="00BF0ACE"/>
    <w:rsid w:val="00BF0BA4"/>
    <w:rsid w:val="00BF0C28"/>
    <w:rsid w:val="00BF0C56"/>
    <w:rsid w:val="00BF0CCE"/>
    <w:rsid w:val="00BF0D58"/>
    <w:rsid w:val="00BF0E07"/>
    <w:rsid w:val="00BF0EA2"/>
    <w:rsid w:val="00BF0F07"/>
    <w:rsid w:val="00BF1000"/>
    <w:rsid w:val="00BF106E"/>
    <w:rsid w:val="00BF1157"/>
    <w:rsid w:val="00BF1162"/>
    <w:rsid w:val="00BF118A"/>
    <w:rsid w:val="00BF11D3"/>
    <w:rsid w:val="00BF11D4"/>
    <w:rsid w:val="00BF1226"/>
    <w:rsid w:val="00BF1286"/>
    <w:rsid w:val="00BF1310"/>
    <w:rsid w:val="00BF1336"/>
    <w:rsid w:val="00BF137C"/>
    <w:rsid w:val="00BF1395"/>
    <w:rsid w:val="00BF13F8"/>
    <w:rsid w:val="00BF1407"/>
    <w:rsid w:val="00BF1465"/>
    <w:rsid w:val="00BF1491"/>
    <w:rsid w:val="00BF150D"/>
    <w:rsid w:val="00BF1548"/>
    <w:rsid w:val="00BF15C8"/>
    <w:rsid w:val="00BF15D3"/>
    <w:rsid w:val="00BF1604"/>
    <w:rsid w:val="00BF1624"/>
    <w:rsid w:val="00BF1679"/>
    <w:rsid w:val="00BF169E"/>
    <w:rsid w:val="00BF16E6"/>
    <w:rsid w:val="00BF172B"/>
    <w:rsid w:val="00BF1742"/>
    <w:rsid w:val="00BF17A0"/>
    <w:rsid w:val="00BF17D0"/>
    <w:rsid w:val="00BF183A"/>
    <w:rsid w:val="00BF1840"/>
    <w:rsid w:val="00BF190A"/>
    <w:rsid w:val="00BF1917"/>
    <w:rsid w:val="00BF19E2"/>
    <w:rsid w:val="00BF1A7A"/>
    <w:rsid w:val="00BF1A8F"/>
    <w:rsid w:val="00BF1AEB"/>
    <w:rsid w:val="00BF1B08"/>
    <w:rsid w:val="00BF1B46"/>
    <w:rsid w:val="00BF1B73"/>
    <w:rsid w:val="00BF1B82"/>
    <w:rsid w:val="00BF1B96"/>
    <w:rsid w:val="00BF1C03"/>
    <w:rsid w:val="00BF1C0C"/>
    <w:rsid w:val="00BF1C4F"/>
    <w:rsid w:val="00BF1CBD"/>
    <w:rsid w:val="00BF1CF0"/>
    <w:rsid w:val="00BF1D44"/>
    <w:rsid w:val="00BF1E0E"/>
    <w:rsid w:val="00BF1E42"/>
    <w:rsid w:val="00BF1E50"/>
    <w:rsid w:val="00BF1F06"/>
    <w:rsid w:val="00BF1F34"/>
    <w:rsid w:val="00BF2032"/>
    <w:rsid w:val="00BF20A0"/>
    <w:rsid w:val="00BF20E4"/>
    <w:rsid w:val="00BF20ED"/>
    <w:rsid w:val="00BF2134"/>
    <w:rsid w:val="00BF213F"/>
    <w:rsid w:val="00BF225D"/>
    <w:rsid w:val="00BF2347"/>
    <w:rsid w:val="00BF23BE"/>
    <w:rsid w:val="00BF23EF"/>
    <w:rsid w:val="00BF243E"/>
    <w:rsid w:val="00BF2536"/>
    <w:rsid w:val="00BF2569"/>
    <w:rsid w:val="00BF25EA"/>
    <w:rsid w:val="00BF2616"/>
    <w:rsid w:val="00BF266D"/>
    <w:rsid w:val="00BF267D"/>
    <w:rsid w:val="00BF26C5"/>
    <w:rsid w:val="00BF26D2"/>
    <w:rsid w:val="00BF2756"/>
    <w:rsid w:val="00BF2758"/>
    <w:rsid w:val="00BF27EB"/>
    <w:rsid w:val="00BF2825"/>
    <w:rsid w:val="00BF283E"/>
    <w:rsid w:val="00BF284B"/>
    <w:rsid w:val="00BF2939"/>
    <w:rsid w:val="00BF2954"/>
    <w:rsid w:val="00BF29C0"/>
    <w:rsid w:val="00BF2A90"/>
    <w:rsid w:val="00BF2AD5"/>
    <w:rsid w:val="00BF2B77"/>
    <w:rsid w:val="00BF2CE5"/>
    <w:rsid w:val="00BF2D5E"/>
    <w:rsid w:val="00BF2DFD"/>
    <w:rsid w:val="00BF2EC1"/>
    <w:rsid w:val="00BF2ED3"/>
    <w:rsid w:val="00BF2F26"/>
    <w:rsid w:val="00BF2F35"/>
    <w:rsid w:val="00BF2F7C"/>
    <w:rsid w:val="00BF2F8A"/>
    <w:rsid w:val="00BF3045"/>
    <w:rsid w:val="00BF308D"/>
    <w:rsid w:val="00BF314A"/>
    <w:rsid w:val="00BF316B"/>
    <w:rsid w:val="00BF3185"/>
    <w:rsid w:val="00BF31B4"/>
    <w:rsid w:val="00BF31FF"/>
    <w:rsid w:val="00BF3231"/>
    <w:rsid w:val="00BF3247"/>
    <w:rsid w:val="00BF325E"/>
    <w:rsid w:val="00BF326D"/>
    <w:rsid w:val="00BF33B8"/>
    <w:rsid w:val="00BF33F9"/>
    <w:rsid w:val="00BF3427"/>
    <w:rsid w:val="00BF349B"/>
    <w:rsid w:val="00BF354F"/>
    <w:rsid w:val="00BF35EA"/>
    <w:rsid w:val="00BF37C4"/>
    <w:rsid w:val="00BF3820"/>
    <w:rsid w:val="00BF38E4"/>
    <w:rsid w:val="00BF38F0"/>
    <w:rsid w:val="00BF3923"/>
    <w:rsid w:val="00BF396C"/>
    <w:rsid w:val="00BF39A2"/>
    <w:rsid w:val="00BF3A81"/>
    <w:rsid w:val="00BF3A84"/>
    <w:rsid w:val="00BF3AAA"/>
    <w:rsid w:val="00BF3AE4"/>
    <w:rsid w:val="00BF3DAC"/>
    <w:rsid w:val="00BF3E1B"/>
    <w:rsid w:val="00BF3E25"/>
    <w:rsid w:val="00BF3E92"/>
    <w:rsid w:val="00BF3EB2"/>
    <w:rsid w:val="00BF3F05"/>
    <w:rsid w:val="00BF3F54"/>
    <w:rsid w:val="00BF3FB5"/>
    <w:rsid w:val="00BF3FEE"/>
    <w:rsid w:val="00BF401A"/>
    <w:rsid w:val="00BF4059"/>
    <w:rsid w:val="00BF4070"/>
    <w:rsid w:val="00BF40EA"/>
    <w:rsid w:val="00BF4300"/>
    <w:rsid w:val="00BF430A"/>
    <w:rsid w:val="00BF4327"/>
    <w:rsid w:val="00BF4421"/>
    <w:rsid w:val="00BF447B"/>
    <w:rsid w:val="00BF44AE"/>
    <w:rsid w:val="00BF44B1"/>
    <w:rsid w:val="00BF44C4"/>
    <w:rsid w:val="00BF4560"/>
    <w:rsid w:val="00BF459A"/>
    <w:rsid w:val="00BF45C4"/>
    <w:rsid w:val="00BF45EB"/>
    <w:rsid w:val="00BF461E"/>
    <w:rsid w:val="00BF46C6"/>
    <w:rsid w:val="00BF46D0"/>
    <w:rsid w:val="00BF47B4"/>
    <w:rsid w:val="00BF47D7"/>
    <w:rsid w:val="00BF47E5"/>
    <w:rsid w:val="00BF4975"/>
    <w:rsid w:val="00BF4A71"/>
    <w:rsid w:val="00BF4A86"/>
    <w:rsid w:val="00BF4ACD"/>
    <w:rsid w:val="00BF4AFB"/>
    <w:rsid w:val="00BF4B42"/>
    <w:rsid w:val="00BF4BB2"/>
    <w:rsid w:val="00BF4CB4"/>
    <w:rsid w:val="00BF4E47"/>
    <w:rsid w:val="00BF4EAA"/>
    <w:rsid w:val="00BF502B"/>
    <w:rsid w:val="00BF51BB"/>
    <w:rsid w:val="00BF51CA"/>
    <w:rsid w:val="00BF5214"/>
    <w:rsid w:val="00BF5278"/>
    <w:rsid w:val="00BF533D"/>
    <w:rsid w:val="00BF53BC"/>
    <w:rsid w:val="00BF53D1"/>
    <w:rsid w:val="00BF5460"/>
    <w:rsid w:val="00BF548F"/>
    <w:rsid w:val="00BF5508"/>
    <w:rsid w:val="00BF551A"/>
    <w:rsid w:val="00BF555B"/>
    <w:rsid w:val="00BF5570"/>
    <w:rsid w:val="00BF562F"/>
    <w:rsid w:val="00BF5686"/>
    <w:rsid w:val="00BF5716"/>
    <w:rsid w:val="00BF573B"/>
    <w:rsid w:val="00BF5771"/>
    <w:rsid w:val="00BF5782"/>
    <w:rsid w:val="00BF57FA"/>
    <w:rsid w:val="00BF585A"/>
    <w:rsid w:val="00BF5870"/>
    <w:rsid w:val="00BF58BA"/>
    <w:rsid w:val="00BF58E0"/>
    <w:rsid w:val="00BF5950"/>
    <w:rsid w:val="00BF5980"/>
    <w:rsid w:val="00BF5982"/>
    <w:rsid w:val="00BF5AE2"/>
    <w:rsid w:val="00BF5B93"/>
    <w:rsid w:val="00BF5BFF"/>
    <w:rsid w:val="00BF5C0B"/>
    <w:rsid w:val="00BF5C95"/>
    <w:rsid w:val="00BF5CD8"/>
    <w:rsid w:val="00BF5D22"/>
    <w:rsid w:val="00BF5DCA"/>
    <w:rsid w:val="00BF5E79"/>
    <w:rsid w:val="00BF5E81"/>
    <w:rsid w:val="00BF5E84"/>
    <w:rsid w:val="00BF5FB9"/>
    <w:rsid w:val="00BF5FCE"/>
    <w:rsid w:val="00BF6016"/>
    <w:rsid w:val="00BF604B"/>
    <w:rsid w:val="00BF60EB"/>
    <w:rsid w:val="00BF6162"/>
    <w:rsid w:val="00BF6175"/>
    <w:rsid w:val="00BF6186"/>
    <w:rsid w:val="00BF61AC"/>
    <w:rsid w:val="00BF61B7"/>
    <w:rsid w:val="00BF624D"/>
    <w:rsid w:val="00BF628C"/>
    <w:rsid w:val="00BF6364"/>
    <w:rsid w:val="00BF6395"/>
    <w:rsid w:val="00BF640F"/>
    <w:rsid w:val="00BF650C"/>
    <w:rsid w:val="00BF65CE"/>
    <w:rsid w:val="00BF6668"/>
    <w:rsid w:val="00BF6695"/>
    <w:rsid w:val="00BF678B"/>
    <w:rsid w:val="00BF678E"/>
    <w:rsid w:val="00BF6844"/>
    <w:rsid w:val="00BF68BA"/>
    <w:rsid w:val="00BF68E3"/>
    <w:rsid w:val="00BF68FC"/>
    <w:rsid w:val="00BF6911"/>
    <w:rsid w:val="00BF6936"/>
    <w:rsid w:val="00BF69AB"/>
    <w:rsid w:val="00BF6A42"/>
    <w:rsid w:val="00BF6A98"/>
    <w:rsid w:val="00BF6AFE"/>
    <w:rsid w:val="00BF6B06"/>
    <w:rsid w:val="00BF6B23"/>
    <w:rsid w:val="00BF6B29"/>
    <w:rsid w:val="00BF6BD4"/>
    <w:rsid w:val="00BF6C2C"/>
    <w:rsid w:val="00BF6C9B"/>
    <w:rsid w:val="00BF6CD3"/>
    <w:rsid w:val="00BF6D1E"/>
    <w:rsid w:val="00BF6D21"/>
    <w:rsid w:val="00BF6D30"/>
    <w:rsid w:val="00BF6D90"/>
    <w:rsid w:val="00BF6DB7"/>
    <w:rsid w:val="00BF6DEF"/>
    <w:rsid w:val="00BF6DF1"/>
    <w:rsid w:val="00BF6E9A"/>
    <w:rsid w:val="00BF6E9E"/>
    <w:rsid w:val="00BF6FC1"/>
    <w:rsid w:val="00BF701D"/>
    <w:rsid w:val="00BF70D0"/>
    <w:rsid w:val="00BF714B"/>
    <w:rsid w:val="00BF71E3"/>
    <w:rsid w:val="00BF71ED"/>
    <w:rsid w:val="00BF720C"/>
    <w:rsid w:val="00BF7291"/>
    <w:rsid w:val="00BF7292"/>
    <w:rsid w:val="00BF735E"/>
    <w:rsid w:val="00BF73BE"/>
    <w:rsid w:val="00BF7513"/>
    <w:rsid w:val="00BF7601"/>
    <w:rsid w:val="00BF765D"/>
    <w:rsid w:val="00BF7666"/>
    <w:rsid w:val="00BF7870"/>
    <w:rsid w:val="00BF7882"/>
    <w:rsid w:val="00BF78C5"/>
    <w:rsid w:val="00BF799C"/>
    <w:rsid w:val="00BF7B4D"/>
    <w:rsid w:val="00BF7B80"/>
    <w:rsid w:val="00BF7BAB"/>
    <w:rsid w:val="00BF7C2C"/>
    <w:rsid w:val="00BF7C96"/>
    <w:rsid w:val="00BF7CA2"/>
    <w:rsid w:val="00BF7D2C"/>
    <w:rsid w:val="00BF7D71"/>
    <w:rsid w:val="00BF7DCA"/>
    <w:rsid w:val="00BF7E16"/>
    <w:rsid w:val="00BF7E9C"/>
    <w:rsid w:val="00BF7EC4"/>
    <w:rsid w:val="00BF7F42"/>
    <w:rsid w:val="00BF7F83"/>
    <w:rsid w:val="00BF7FAC"/>
    <w:rsid w:val="00BF7FAF"/>
    <w:rsid w:val="00BF7FBD"/>
    <w:rsid w:val="00BF7FC4"/>
    <w:rsid w:val="00BF7FCC"/>
    <w:rsid w:val="00BF7FD8"/>
    <w:rsid w:val="00C000D9"/>
    <w:rsid w:val="00C00176"/>
    <w:rsid w:val="00C001D8"/>
    <w:rsid w:val="00C00202"/>
    <w:rsid w:val="00C00208"/>
    <w:rsid w:val="00C0024A"/>
    <w:rsid w:val="00C002C6"/>
    <w:rsid w:val="00C0038F"/>
    <w:rsid w:val="00C003AA"/>
    <w:rsid w:val="00C003E0"/>
    <w:rsid w:val="00C003FA"/>
    <w:rsid w:val="00C00587"/>
    <w:rsid w:val="00C005B5"/>
    <w:rsid w:val="00C0068F"/>
    <w:rsid w:val="00C007AA"/>
    <w:rsid w:val="00C007FF"/>
    <w:rsid w:val="00C008DD"/>
    <w:rsid w:val="00C00959"/>
    <w:rsid w:val="00C00A8C"/>
    <w:rsid w:val="00C00A97"/>
    <w:rsid w:val="00C00AFD"/>
    <w:rsid w:val="00C00BCA"/>
    <w:rsid w:val="00C00C17"/>
    <w:rsid w:val="00C00C61"/>
    <w:rsid w:val="00C00C6E"/>
    <w:rsid w:val="00C00CC6"/>
    <w:rsid w:val="00C00D6A"/>
    <w:rsid w:val="00C00DDB"/>
    <w:rsid w:val="00C00E6B"/>
    <w:rsid w:val="00C00EC5"/>
    <w:rsid w:val="00C00FB1"/>
    <w:rsid w:val="00C01122"/>
    <w:rsid w:val="00C01155"/>
    <w:rsid w:val="00C011EA"/>
    <w:rsid w:val="00C0121B"/>
    <w:rsid w:val="00C0125F"/>
    <w:rsid w:val="00C012DC"/>
    <w:rsid w:val="00C0132A"/>
    <w:rsid w:val="00C01341"/>
    <w:rsid w:val="00C01438"/>
    <w:rsid w:val="00C0149B"/>
    <w:rsid w:val="00C014E5"/>
    <w:rsid w:val="00C01556"/>
    <w:rsid w:val="00C0162A"/>
    <w:rsid w:val="00C016D7"/>
    <w:rsid w:val="00C016D8"/>
    <w:rsid w:val="00C01753"/>
    <w:rsid w:val="00C0185E"/>
    <w:rsid w:val="00C018B2"/>
    <w:rsid w:val="00C0196F"/>
    <w:rsid w:val="00C01A94"/>
    <w:rsid w:val="00C01AB3"/>
    <w:rsid w:val="00C01AF2"/>
    <w:rsid w:val="00C01B16"/>
    <w:rsid w:val="00C01D06"/>
    <w:rsid w:val="00C01D12"/>
    <w:rsid w:val="00C01DF0"/>
    <w:rsid w:val="00C01E0B"/>
    <w:rsid w:val="00C01E72"/>
    <w:rsid w:val="00C01F50"/>
    <w:rsid w:val="00C02005"/>
    <w:rsid w:val="00C02050"/>
    <w:rsid w:val="00C0205D"/>
    <w:rsid w:val="00C02088"/>
    <w:rsid w:val="00C0208F"/>
    <w:rsid w:val="00C02149"/>
    <w:rsid w:val="00C0215E"/>
    <w:rsid w:val="00C0223D"/>
    <w:rsid w:val="00C02253"/>
    <w:rsid w:val="00C02293"/>
    <w:rsid w:val="00C023B2"/>
    <w:rsid w:val="00C023BA"/>
    <w:rsid w:val="00C023E3"/>
    <w:rsid w:val="00C0240D"/>
    <w:rsid w:val="00C0243E"/>
    <w:rsid w:val="00C024C6"/>
    <w:rsid w:val="00C024E0"/>
    <w:rsid w:val="00C02577"/>
    <w:rsid w:val="00C0259F"/>
    <w:rsid w:val="00C026E4"/>
    <w:rsid w:val="00C02719"/>
    <w:rsid w:val="00C0275F"/>
    <w:rsid w:val="00C02765"/>
    <w:rsid w:val="00C027AD"/>
    <w:rsid w:val="00C02807"/>
    <w:rsid w:val="00C02812"/>
    <w:rsid w:val="00C02829"/>
    <w:rsid w:val="00C0284C"/>
    <w:rsid w:val="00C028A9"/>
    <w:rsid w:val="00C02A1D"/>
    <w:rsid w:val="00C02B05"/>
    <w:rsid w:val="00C02B06"/>
    <w:rsid w:val="00C02B19"/>
    <w:rsid w:val="00C02B3E"/>
    <w:rsid w:val="00C02BBC"/>
    <w:rsid w:val="00C02C0A"/>
    <w:rsid w:val="00C02C75"/>
    <w:rsid w:val="00C02D4C"/>
    <w:rsid w:val="00C02D81"/>
    <w:rsid w:val="00C02F4A"/>
    <w:rsid w:val="00C02F4C"/>
    <w:rsid w:val="00C030B2"/>
    <w:rsid w:val="00C030D6"/>
    <w:rsid w:val="00C030DA"/>
    <w:rsid w:val="00C0315D"/>
    <w:rsid w:val="00C031E6"/>
    <w:rsid w:val="00C031F9"/>
    <w:rsid w:val="00C03259"/>
    <w:rsid w:val="00C032C6"/>
    <w:rsid w:val="00C032D8"/>
    <w:rsid w:val="00C03312"/>
    <w:rsid w:val="00C0333A"/>
    <w:rsid w:val="00C03357"/>
    <w:rsid w:val="00C03396"/>
    <w:rsid w:val="00C03447"/>
    <w:rsid w:val="00C03463"/>
    <w:rsid w:val="00C0347D"/>
    <w:rsid w:val="00C03495"/>
    <w:rsid w:val="00C034A0"/>
    <w:rsid w:val="00C034A4"/>
    <w:rsid w:val="00C034A9"/>
    <w:rsid w:val="00C034B5"/>
    <w:rsid w:val="00C034CC"/>
    <w:rsid w:val="00C0357E"/>
    <w:rsid w:val="00C03636"/>
    <w:rsid w:val="00C0367F"/>
    <w:rsid w:val="00C03719"/>
    <w:rsid w:val="00C03727"/>
    <w:rsid w:val="00C037BC"/>
    <w:rsid w:val="00C0386A"/>
    <w:rsid w:val="00C03921"/>
    <w:rsid w:val="00C039E2"/>
    <w:rsid w:val="00C03A73"/>
    <w:rsid w:val="00C03A85"/>
    <w:rsid w:val="00C03AA4"/>
    <w:rsid w:val="00C03AB3"/>
    <w:rsid w:val="00C03AB6"/>
    <w:rsid w:val="00C03AB9"/>
    <w:rsid w:val="00C03AD5"/>
    <w:rsid w:val="00C03B78"/>
    <w:rsid w:val="00C03C3A"/>
    <w:rsid w:val="00C03C42"/>
    <w:rsid w:val="00C03E0D"/>
    <w:rsid w:val="00C03EE6"/>
    <w:rsid w:val="00C03F0D"/>
    <w:rsid w:val="00C03F37"/>
    <w:rsid w:val="00C03F82"/>
    <w:rsid w:val="00C03FA6"/>
    <w:rsid w:val="00C03FD9"/>
    <w:rsid w:val="00C04039"/>
    <w:rsid w:val="00C04083"/>
    <w:rsid w:val="00C04093"/>
    <w:rsid w:val="00C040A8"/>
    <w:rsid w:val="00C040AA"/>
    <w:rsid w:val="00C04107"/>
    <w:rsid w:val="00C04199"/>
    <w:rsid w:val="00C041A7"/>
    <w:rsid w:val="00C041AE"/>
    <w:rsid w:val="00C041EB"/>
    <w:rsid w:val="00C04259"/>
    <w:rsid w:val="00C042A3"/>
    <w:rsid w:val="00C0430B"/>
    <w:rsid w:val="00C0439F"/>
    <w:rsid w:val="00C043DA"/>
    <w:rsid w:val="00C0443D"/>
    <w:rsid w:val="00C04448"/>
    <w:rsid w:val="00C0447D"/>
    <w:rsid w:val="00C044D6"/>
    <w:rsid w:val="00C0455F"/>
    <w:rsid w:val="00C046C8"/>
    <w:rsid w:val="00C047E7"/>
    <w:rsid w:val="00C047FE"/>
    <w:rsid w:val="00C04886"/>
    <w:rsid w:val="00C04945"/>
    <w:rsid w:val="00C0494F"/>
    <w:rsid w:val="00C04963"/>
    <w:rsid w:val="00C04970"/>
    <w:rsid w:val="00C049C7"/>
    <w:rsid w:val="00C049C9"/>
    <w:rsid w:val="00C049F8"/>
    <w:rsid w:val="00C049FE"/>
    <w:rsid w:val="00C04A16"/>
    <w:rsid w:val="00C04A8C"/>
    <w:rsid w:val="00C04B3D"/>
    <w:rsid w:val="00C04B76"/>
    <w:rsid w:val="00C04B8D"/>
    <w:rsid w:val="00C04C46"/>
    <w:rsid w:val="00C04CBD"/>
    <w:rsid w:val="00C04D0C"/>
    <w:rsid w:val="00C04D73"/>
    <w:rsid w:val="00C04E41"/>
    <w:rsid w:val="00C04E97"/>
    <w:rsid w:val="00C04EFD"/>
    <w:rsid w:val="00C04FB8"/>
    <w:rsid w:val="00C04FB9"/>
    <w:rsid w:val="00C0502A"/>
    <w:rsid w:val="00C05061"/>
    <w:rsid w:val="00C05070"/>
    <w:rsid w:val="00C050D5"/>
    <w:rsid w:val="00C05142"/>
    <w:rsid w:val="00C05168"/>
    <w:rsid w:val="00C05194"/>
    <w:rsid w:val="00C05198"/>
    <w:rsid w:val="00C05251"/>
    <w:rsid w:val="00C0537D"/>
    <w:rsid w:val="00C05389"/>
    <w:rsid w:val="00C053CA"/>
    <w:rsid w:val="00C054E9"/>
    <w:rsid w:val="00C0553B"/>
    <w:rsid w:val="00C05541"/>
    <w:rsid w:val="00C0555C"/>
    <w:rsid w:val="00C055F8"/>
    <w:rsid w:val="00C05664"/>
    <w:rsid w:val="00C056FB"/>
    <w:rsid w:val="00C0574B"/>
    <w:rsid w:val="00C057BD"/>
    <w:rsid w:val="00C058BD"/>
    <w:rsid w:val="00C05966"/>
    <w:rsid w:val="00C059E7"/>
    <w:rsid w:val="00C05A02"/>
    <w:rsid w:val="00C05A11"/>
    <w:rsid w:val="00C05A12"/>
    <w:rsid w:val="00C05AEF"/>
    <w:rsid w:val="00C05B25"/>
    <w:rsid w:val="00C05B72"/>
    <w:rsid w:val="00C05CE5"/>
    <w:rsid w:val="00C05D0E"/>
    <w:rsid w:val="00C05D9D"/>
    <w:rsid w:val="00C05E72"/>
    <w:rsid w:val="00C05E75"/>
    <w:rsid w:val="00C05E8A"/>
    <w:rsid w:val="00C05EC1"/>
    <w:rsid w:val="00C05F39"/>
    <w:rsid w:val="00C05F64"/>
    <w:rsid w:val="00C05F74"/>
    <w:rsid w:val="00C0601B"/>
    <w:rsid w:val="00C06047"/>
    <w:rsid w:val="00C06097"/>
    <w:rsid w:val="00C060FC"/>
    <w:rsid w:val="00C0611F"/>
    <w:rsid w:val="00C0614A"/>
    <w:rsid w:val="00C06181"/>
    <w:rsid w:val="00C0629E"/>
    <w:rsid w:val="00C06397"/>
    <w:rsid w:val="00C063AD"/>
    <w:rsid w:val="00C06460"/>
    <w:rsid w:val="00C06475"/>
    <w:rsid w:val="00C064A9"/>
    <w:rsid w:val="00C064B6"/>
    <w:rsid w:val="00C064F8"/>
    <w:rsid w:val="00C0654D"/>
    <w:rsid w:val="00C065C5"/>
    <w:rsid w:val="00C065FA"/>
    <w:rsid w:val="00C0666A"/>
    <w:rsid w:val="00C0669D"/>
    <w:rsid w:val="00C067A9"/>
    <w:rsid w:val="00C06B63"/>
    <w:rsid w:val="00C06B76"/>
    <w:rsid w:val="00C06B84"/>
    <w:rsid w:val="00C06C76"/>
    <w:rsid w:val="00C06C85"/>
    <w:rsid w:val="00C06D77"/>
    <w:rsid w:val="00C06E4D"/>
    <w:rsid w:val="00C06E88"/>
    <w:rsid w:val="00C06E9A"/>
    <w:rsid w:val="00C06EBA"/>
    <w:rsid w:val="00C06EED"/>
    <w:rsid w:val="00C06F53"/>
    <w:rsid w:val="00C06F74"/>
    <w:rsid w:val="00C06FD8"/>
    <w:rsid w:val="00C0705C"/>
    <w:rsid w:val="00C07118"/>
    <w:rsid w:val="00C0714E"/>
    <w:rsid w:val="00C071A2"/>
    <w:rsid w:val="00C071B5"/>
    <w:rsid w:val="00C071ED"/>
    <w:rsid w:val="00C07263"/>
    <w:rsid w:val="00C07350"/>
    <w:rsid w:val="00C07361"/>
    <w:rsid w:val="00C073BD"/>
    <w:rsid w:val="00C073D7"/>
    <w:rsid w:val="00C074C2"/>
    <w:rsid w:val="00C074F3"/>
    <w:rsid w:val="00C07515"/>
    <w:rsid w:val="00C0754E"/>
    <w:rsid w:val="00C075C0"/>
    <w:rsid w:val="00C076BE"/>
    <w:rsid w:val="00C076F6"/>
    <w:rsid w:val="00C07792"/>
    <w:rsid w:val="00C07861"/>
    <w:rsid w:val="00C07900"/>
    <w:rsid w:val="00C07997"/>
    <w:rsid w:val="00C07A06"/>
    <w:rsid w:val="00C07AA8"/>
    <w:rsid w:val="00C07AF6"/>
    <w:rsid w:val="00C07C1A"/>
    <w:rsid w:val="00C07C4A"/>
    <w:rsid w:val="00C07CDD"/>
    <w:rsid w:val="00C07E08"/>
    <w:rsid w:val="00C07EC4"/>
    <w:rsid w:val="00C07EE1"/>
    <w:rsid w:val="00C07F3B"/>
    <w:rsid w:val="00C07F5D"/>
    <w:rsid w:val="00C07F76"/>
    <w:rsid w:val="00C07F8F"/>
    <w:rsid w:val="00C07F9F"/>
    <w:rsid w:val="00C1003E"/>
    <w:rsid w:val="00C10079"/>
    <w:rsid w:val="00C100A4"/>
    <w:rsid w:val="00C100B6"/>
    <w:rsid w:val="00C1029E"/>
    <w:rsid w:val="00C1037A"/>
    <w:rsid w:val="00C10396"/>
    <w:rsid w:val="00C1045F"/>
    <w:rsid w:val="00C1047B"/>
    <w:rsid w:val="00C10483"/>
    <w:rsid w:val="00C104C7"/>
    <w:rsid w:val="00C10509"/>
    <w:rsid w:val="00C1054D"/>
    <w:rsid w:val="00C10598"/>
    <w:rsid w:val="00C105A9"/>
    <w:rsid w:val="00C10605"/>
    <w:rsid w:val="00C106CF"/>
    <w:rsid w:val="00C107E7"/>
    <w:rsid w:val="00C10842"/>
    <w:rsid w:val="00C10888"/>
    <w:rsid w:val="00C108BA"/>
    <w:rsid w:val="00C108D3"/>
    <w:rsid w:val="00C1094F"/>
    <w:rsid w:val="00C1096F"/>
    <w:rsid w:val="00C109E5"/>
    <w:rsid w:val="00C10BC8"/>
    <w:rsid w:val="00C10C03"/>
    <w:rsid w:val="00C10CE6"/>
    <w:rsid w:val="00C10D01"/>
    <w:rsid w:val="00C10D0A"/>
    <w:rsid w:val="00C10DDD"/>
    <w:rsid w:val="00C10E03"/>
    <w:rsid w:val="00C10E2A"/>
    <w:rsid w:val="00C10E6A"/>
    <w:rsid w:val="00C10E9E"/>
    <w:rsid w:val="00C11031"/>
    <w:rsid w:val="00C110DE"/>
    <w:rsid w:val="00C110FA"/>
    <w:rsid w:val="00C111D8"/>
    <w:rsid w:val="00C111DC"/>
    <w:rsid w:val="00C111EC"/>
    <w:rsid w:val="00C11254"/>
    <w:rsid w:val="00C11322"/>
    <w:rsid w:val="00C1137D"/>
    <w:rsid w:val="00C113DB"/>
    <w:rsid w:val="00C113E8"/>
    <w:rsid w:val="00C113F5"/>
    <w:rsid w:val="00C11474"/>
    <w:rsid w:val="00C11499"/>
    <w:rsid w:val="00C1150D"/>
    <w:rsid w:val="00C11545"/>
    <w:rsid w:val="00C115A1"/>
    <w:rsid w:val="00C115A6"/>
    <w:rsid w:val="00C115C4"/>
    <w:rsid w:val="00C115D7"/>
    <w:rsid w:val="00C11633"/>
    <w:rsid w:val="00C11852"/>
    <w:rsid w:val="00C118AF"/>
    <w:rsid w:val="00C1192B"/>
    <w:rsid w:val="00C1196A"/>
    <w:rsid w:val="00C119BC"/>
    <w:rsid w:val="00C11A49"/>
    <w:rsid w:val="00C11A4F"/>
    <w:rsid w:val="00C11A61"/>
    <w:rsid w:val="00C11B01"/>
    <w:rsid w:val="00C11B39"/>
    <w:rsid w:val="00C11B89"/>
    <w:rsid w:val="00C11BE0"/>
    <w:rsid w:val="00C11D93"/>
    <w:rsid w:val="00C11E10"/>
    <w:rsid w:val="00C11E68"/>
    <w:rsid w:val="00C11EEF"/>
    <w:rsid w:val="00C11F18"/>
    <w:rsid w:val="00C11F72"/>
    <w:rsid w:val="00C11F75"/>
    <w:rsid w:val="00C11FCD"/>
    <w:rsid w:val="00C12015"/>
    <w:rsid w:val="00C1206E"/>
    <w:rsid w:val="00C12098"/>
    <w:rsid w:val="00C120FA"/>
    <w:rsid w:val="00C1218B"/>
    <w:rsid w:val="00C12190"/>
    <w:rsid w:val="00C12197"/>
    <w:rsid w:val="00C1219A"/>
    <w:rsid w:val="00C1225A"/>
    <w:rsid w:val="00C1226C"/>
    <w:rsid w:val="00C1229C"/>
    <w:rsid w:val="00C122D1"/>
    <w:rsid w:val="00C12306"/>
    <w:rsid w:val="00C1233A"/>
    <w:rsid w:val="00C12395"/>
    <w:rsid w:val="00C12397"/>
    <w:rsid w:val="00C123F8"/>
    <w:rsid w:val="00C1247F"/>
    <w:rsid w:val="00C12506"/>
    <w:rsid w:val="00C12672"/>
    <w:rsid w:val="00C12675"/>
    <w:rsid w:val="00C126A7"/>
    <w:rsid w:val="00C126C3"/>
    <w:rsid w:val="00C1274A"/>
    <w:rsid w:val="00C12773"/>
    <w:rsid w:val="00C12789"/>
    <w:rsid w:val="00C127E1"/>
    <w:rsid w:val="00C1284D"/>
    <w:rsid w:val="00C1289F"/>
    <w:rsid w:val="00C12931"/>
    <w:rsid w:val="00C12957"/>
    <w:rsid w:val="00C12A0C"/>
    <w:rsid w:val="00C12B44"/>
    <w:rsid w:val="00C12BC9"/>
    <w:rsid w:val="00C12CA8"/>
    <w:rsid w:val="00C12D09"/>
    <w:rsid w:val="00C12D21"/>
    <w:rsid w:val="00C12E12"/>
    <w:rsid w:val="00C12F4C"/>
    <w:rsid w:val="00C12F8A"/>
    <w:rsid w:val="00C12F8D"/>
    <w:rsid w:val="00C12FF4"/>
    <w:rsid w:val="00C13001"/>
    <w:rsid w:val="00C13094"/>
    <w:rsid w:val="00C130E6"/>
    <w:rsid w:val="00C13220"/>
    <w:rsid w:val="00C1323F"/>
    <w:rsid w:val="00C1324F"/>
    <w:rsid w:val="00C132C3"/>
    <w:rsid w:val="00C132F5"/>
    <w:rsid w:val="00C1330D"/>
    <w:rsid w:val="00C1340C"/>
    <w:rsid w:val="00C1340F"/>
    <w:rsid w:val="00C1348C"/>
    <w:rsid w:val="00C13512"/>
    <w:rsid w:val="00C1356A"/>
    <w:rsid w:val="00C135D3"/>
    <w:rsid w:val="00C13627"/>
    <w:rsid w:val="00C1369F"/>
    <w:rsid w:val="00C1377E"/>
    <w:rsid w:val="00C13798"/>
    <w:rsid w:val="00C13840"/>
    <w:rsid w:val="00C13948"/>
    <w:rsid w:val="00C13987"/>
    <w:rsid w:val="00C139A9"/>
    <w:rsid w:val="00C13A09"/>
    <w:rsid w:val="00C13A15"/>
    <w:rsid w:val="00C13A22"/>
    <w:rsid w:val="00C13A42"/>
    <w:rsid w:val="00C13A5A"/>
    <w:rsid w:val="00C13A98"/>
    <w:rsid w:val="00C13BD6"/>
    <w:rsid w:val="00C13BE1"/>
    <w:rsid w:val="00C13CC9"/>
    <w:rsid w:val="00C13E0C"/>
    <w:rsid w:val="00C13E18"/>
    <w:rsid w:val="00C13E3C"/>
    <w:rsid w:val="00C13E47"/>
    <w:rsid w:val="00C13EC3"/>
    <w:rsid w:val="00C13EDA"/>
    <w:rsid w:val="00C13F6E"/>
    <w:rsid w:val="00C13FF1"/>
    <w:rsid w:val="00C13FFF"/>
    <w:rsid w:val="00C14003"/>
    <w:rsid w:val="00C14076"/>
    <w:rsid w:val="00C140DF"/>
    <w:rsid w:val="00C140E0"/>
    <w:rsid w:val="00C14131"/>
    <w:rsid w:val="00C1424E"/>
    <w:rsid w:val="00C1428F"/>
    <w:rsid w:val="00C1435F"/>
    <w:rsid w:val="00C14362"/>
    <w:rsid w:val="00C144C1"/>
    <w:rsid w:val="00C14518"/>
    <w:rsid w:val="00C14590"/>
    <w:rsid w:val="00C14625"/>
    <w:rsid w:val="00C14627"/>
    <w:rsid w:val="00C1472C"/>
    <w:rsid w:val="00C1474A"/>
    <w:rsid w:val="00C14792"/>
    <w:rsid w:val="00C1479C"/>
    <w:rsid w:val="00C14848"/>
    <w:rsid w:val="00C148B1"/>
    <w:rsid w:val="00C14958"/>
    <w:rsid w:val="00C14A3C"/>
    <w:rsid w:val="00C14B5C"/>
    <w:rsid w:val="00C14C0A"/>
    <w:rsid w:val="00C14CAA"/>
    <w:rsid w:val="00C14CF0"/>
    <w:rsid w:val="00C14D46"/>
    <w:rsid w:val="00C14D4F"/>
    <w:rsid w:val="00C14D54"/>
    <w:rsid w:val="00C14D76"/>
    <w:rsid w:val="00C14D78"/>
    <w:rsid w:val="00C14D80"/>
    <w:rsid w:val="00C14E3A"/>
    <w:rsid w:val="00C14F51"/>
    <w:rsid w:val="00C14F5A"/>
    <w:rsid w:val="00C14F65"/>
    <w:rsid w:val="00C14FB6"/>
    <w:rsid w:val="00C150F0"/>
    <w:rsid w:val="00C1513D"/>
    <w:rsid w:val="00C151E6"/>
    <w:rsid w:val="00C15206"/>
    <w:rsid w:val="00C15230"/>
    <w:rsid w:val="00C15259"/>
    <w:rsid w:val="00C15278"/>
    <w:rsid w:val="00C154A7"/>
    <w:rsid w:val="00C15524"/>
    <w:rsid w:val="00C157D5"/>
    <w:rsid w:val="00C158B9"/>
    <w:rsid w:val="00C15939"/>
    <w:rsid w:val="00C159BB"/>
    <w:rsid w:val="00C159BC"/>
    <w:rsid w:val="00C159E7"/>
    <w:rsid w:val="00C15A54"/>
    <w:rsid w:val="00C15A65"/>
    <w:rsid w:val="00C15A7F"/>
    <w:rsid w:val="00C15B4F"/>
    <w:rsid w:val="00C15B6F"/>
    <w:rsid w:val="00C15C46"/>
    <w:rsid w:val="00C15C78"/>
    <w:rsid w:val="00C15C8F"/>
    <w:rsid w:val="00C15CCA"/>
    <w:rsid w:val="00C15DF0"/>
    <w:rsid w:val="00C15E38"/>
    <w:rsid w:val="00C15E48"/>
    <w:rsid w:val="00C15E83"/>
    <w:rsid w:val="00C15F46"/>
    <w:rsid w:val="00C15F7D"/>
    <w:rsid w:val="00C16015"/>
    <w:rsid w:val="00C1602D"/>
    <w:rsid w:val="00C1618D"/>
    <w:rsid w:val="00C161A7"/>
    <w:rsid w:val="00C1634B"/>
    <w:rsid w:val="00C164EB"/>
    <w:rsid w:val="00C1651A"/>
    <w:rsid w:val="00C16542"/>
    <w:rsid w:val="00C16559"/>
    <w:rsid w:val="00C16587"/>
    <w:rsid w:val="00C1664F"/>
    <w:rsid w:val="00C1677B"/>
    <w:rsid w:val="00C167BC"/>
    <w:rsid w:val="00C16888"/>
    <w:rsid w:val="00C168A5"/>
    <w:rsid w:val="00C1690F"/>
    <w:rsid w:val="00C1692B"/>
    <w:rsid w:val="00C16999"/>
    <w:rsid w:val="00C16A71"/>
    <w:rsid w:val="00C16B80"/>
    <w:rsid w:val="00C16C14"/>
    <w:rsid w:val="00C16C2F"/>
    <w:rsid w:val="00C16C96"/>
    <w:rsid w:val="00C16CE1"/>
    <w:rsid w:val="00C16D06"/>
    <w:rsid w:val="00C16DEB"/>
    <w:rsid w:val="00C16E3F"/>
    <w:rsid w:val="00C16E57"/>
    <w:rsid w:val="00C16E93"/>
    <w:rsid w:val="00C16E99"/>
    <w:rsid w:val="00C16EA0"/>
    <w:rsid w:val="00C16ECC"/>
    <w:rsid w:val="00C16EFD"/>
    <w:rsid w:val="00C16F10"/>
    <w:rsid w:val="00C16F31"/>
    <w:rsid w:val="00C16F53"/>
    <w:rsid w:val="00C16FE2"/>
    <w:rsid w:val="00C1705B"/>
    <w:rsid w:val="00C1707F"/>
    <w:rsid w:val="00C1708A"/>
    <w:rsid w:val="00C170A6"/>
    <w:rsid w:val="00C170F5"/>
    <w:rsid w:val="00C17163"/>
    <w:rsid w:val="00C1717C"/>
    <w:rsid w:val="00C171F1"/>
    <w:rsid w:val="00C17204"/>
    <w:rsid w:val="00C1720B"/>
    <w:rsid w:val="00C17232"/>
    <w:rsid w:val="00C17292"/>
    <w:rsid w:val="00C172D5"/>
    <w:rsid w:val="00C17384"/>
    <w:rsid w:val="00C17430"/>
    <w:rsid w:val="00C1751E"/>
    <w:rsid w:val="00C17551"/>
    <w:rsid w:val="00C17555"/>
    <w:rsid w:val="00C175ED"/>
    <w:rsid w:val="00C175F9"/>
    <w:rsid w:val="00C17669"/>
    <w:rsid w:val="00C1777F"/>
    <w:rsid w:val="00C177DA"/>
    <w:rsid w:val="00C177F5"/>
    <w:rsid w:val="00C17844"/>
    <w:rsid w:val="00C178F7"/>
    <w:rsid w:val="00C1792F"/>
    <w:rsid w:val="00C1795F"/>
    <w:rsid w:val="00C179FE"/>
    <w:rsid w:val="00C17A09"/>
    <w:rsid w:val="00C17A36"/>
    <w:rsid w:val="00C17A3C"/>
    <w:rsid w:val="00C17A62"/>
    <w:rsid w:val="00C17B94"/>
    <w:rsid w:val="00C17BD7"/>
    <w:rsid w:val="00C17BDB"/>
    <w:rsid w:val="00C17CC7"/>
    <w:rsid w:val="00C17DB9"/>
    <w:rsid w:val="00C17DBC"/>
    <w:rsid w:val="00C17DBE"/>
    <w:rsid w:val="00C17E4F"/>
    <w:rsid w:val="00C17E80"/>
    <w:rsid w:val="00C17EB6"/>
    <w:rsid w:val="00C17EC2"/>
    <w:rsid w:val="00C17FB5"/>
    <w:rsid w:val="00C20000"/>
    <w:rsid w:val="00C20019"/>
    <w:rsid w:val="00C2002E"/>
    <w:rsid w:val="00C200A0"/>
    <w:rsid w:val="00C2013C"/>
    <w:rsid w:val="00C20200"/>
    <w:rsid w:val="00C20210"/>
    <w:rsid w:val="00C203B4"/>
    <w:rsid w:val="00C203FC"/>
    <w:rsid w:val="00C2045F"/>
    <w:rsid w:val="00C20495"/>
    <w:rsid w:val="00C204F0"/>
    <w:rsid w:val="00C20510"/>
    <w:rsid w:val="00C205D9"/>
    <w:rsid w:val="00C20625"/>
    <w:rsid w:val="00C20697"/>
    <w:rsid w:val="00C206EA"/>
    <w:rsid w:val="00C20707"/>
    <w:rsid w:val="00C20799"/>
    <w:rsid w:val="00C207A6"/>
    <w:rsid w:val="00C207E7"/>
    <w:rsid w:val="00C2081C"/>
    <w:rsid w:val="00C20858"/>
    <w:rsid w:val="00C20964"/>
    <w:rsid w:val="00C209E8"/>
    <w:rsid w:val="00C20A7C"/>
    <w:rsid w:val="00C20BA6"/>
    <w:rsid w:val="00C20CB9"/>
    <w:rsid w:val="00C20CF2"/>
    <w:rsid w:val="00C20D56"/>
    <w:rsid w:val="00C20DC2"/>
    <w:rsid w:val="00C20E6C"/>
    <w:rsid w:val="00C20E6D"/>
    <w:rsid w:val="00C20E7A"/>
    <w:rsid w:val="00C20EB7"/>
    <w:rsid w:val="00C20EDB"/>
    <w:rsid w:val="00C20F08"/>
    <w:rsid w:val="00C20F62"/>
    <w:rsid w:val="00C20F68"/>
    <w:rsid w:val="00C20FD0"/>
    <w:rsid w:val="00C21062"/>
    <w:rsid w:val="00C210C0"/>
    <w:rsid w:val="00C21128"/>
    <w:rsid w:val="00C2117E"/>
    <w:rsid w:val="00C21220"/>
    <w:rsid w:val="00C21244"/>
    <w:rsid w:val="00C2126B"/>
    <w:rsid w:val="00C21470"/>
    <w:rsid w:val="00C21473"/>
    <w:rsid w:val="00C2152B"/>
    <w:rsid w:val="00C215E7"/>
    <w:rsid w:val="00C21602"/>
    <w:rsid w:val="00C21640"/>
    <w:rsid w:val="00C21659"/>
    <w:rsid w:val="00C216E0"/>
    <w:rsid w:val="00C216EC"/>
    <w:rsid w:val="00C217E8"/>
    <w:rsid w:val="00C2181C"/>
    <w:rsid w:val="00C21859"/>
    <w:rsid w:val="00C2193E"/>
    <w:rsid w:val="00C21A4B"/>
    <w:rsid w:val="00C21AB0"/>
    <w:rsid w:val="00C21AF7"/>
    <w:rsid w:val="00C21B8A"/>
    <w:rsid w:val="00C21BA1"/>
    <w:rsid w:val="00C21BCD"/>
    <w:rsid w:val="00C21CD4"/>
    <w:rsid w:val="00C21CF9"/>
    <w:rsid w:val="00C21D85"/>
    <w:rsid w:val="00C21E41"/>
    <w:rsid w:val="00C21EC3"/>
    <w:rsid w:val="00C21ECE"/>
    <w:rsid w:val="00C21EEC"/>
    <w:rsid w:val="00C21F36"/>
    <w:rsid w:val="00C21F94"/>
    <w:rsid w:val="00C22060"/>
    <w:rsid w:val="00C2208E"/>
    <w:rsid w:val="00C220AC"/>
    <w:rsid w:val="00C220C3"/>
    <w:rsid w:val="00C220C6"/>
    <w:rsid w:val="00C220ED"/>
    <w:rsid w:val="00C22114"/>
    <w:rsid w:val="00C22163"/>
    <w:rsid w:val="00C221FA"/>
    <w:rsid w:val="00C22267"/>
    <w:rsid w:val="00C2229F"/>
    <w:rsid w:val="00C222FD"/>
    <w:rsid w:val="00C22326"/>
    <w:rsid w:val="00C2234E"/>
    <w:rsid w:val="00C22351"/>
    <w:rsid w:val="00C22452"/>
    <w:rsid w:val="00C22454"/>
    <w:rsid w:val="00C22480"/>
    <w:rsid w:val="00C224A9"/>
    <w:rsid w:val="00C224D6"/>
    <w:rsid w:val="00C2256F"/>
    <w:rsid w:val="00C22590"/>
    <w:rsid w:val="00C22592"/>
    <w:rsid w:val="00C225C5"/>
    <w:rsid w:val="00C225F3"/>
    <w:rsid w:val="00C22670"/>
    <w:rsid w:val="00C226B8"/>
    <w:rsid w:val="00C22706"/>
    <w:rsid w:val="00C2271E"/>
    <w:rsid w:val="00C227A8"/>
    <w:rsid w:val="00C227AD"/>
    <w:rsid w:val="00C227BA"/>
    <w:rsid w:val="00C227CC"/>
    <w:rsid w:val="00C22910"/>
    <w:rsid w:val="00C22947"/>
    <w:rsid w:val="00C22948"/>
    <w:rsid w:val="00C229F3"/>
    <w:rsid w:val="00C229FE"/>
    <w:rsid w:val="00C22ABD"/>
    <w:rsid w:val="00C22B7E"/>
    <w:rsid w:val="00C22C69"/>
    <w:rsid w:val="00C22D02"/>
    <w:rsid w:val="00C22DC5"/>
    <w:rsid w:val="00C22DCE"/>
    <w:rsid w:val="00C22DD2"/>
    <w:rsid w:val="00C22E6C"/>
    <w:rsid w:val="00C22E7B"/>
    <w:rsid w:val="00C22F3A"/>
    <w:rsid w:val="00C23035"/>
    <w:rsid w:val="00C230E7"/>
    <w:rsid w:val="00C23134"/>
    <w:rsid w:val="00C2319C"/>
    <w:rsid w:val="00C2319D"/>
    <w:rsid w:val="00C231BC"/>
    <w:rsid w:val="00C23235"/>
    <w:rsid w:val="00C23237"/>
    <w:rsid w:val="00C2324A"/>
    <w:rsid w:val="00C23277"/>
    <w:rsid w:val="00C23368"/>
    <w:rsid w:val="00C233AB"/>
    <w:rsid w:val="00C233DF"/>
    <w:rsid w:val="00C2343A"/>
    <w:rsid w:val="00C23447"/>
    <w:rsid w:val="00C2348F"/>
    <w:rsid w:val="00C234C2"/>
    <w:rsid w:val="00C23533"/>
    <w:rsid w:val="00C2353D"/>
    <w:rsid w:val="00C23548"/>
    <w:rsid w:val="00C23577"/>
    <w:rsid w:val="00C235C5"/>
    <w:rsid w:val="00C235E1"/>
    <w:rsid w:val="00C235E2"/>
    <w:rsid w:val="00C236DA"/>
    <w:rsid w:val="00C236F8"/>
    <w:rsid w:val="00C23706"/>
    <w:rsid w:val="00C2371F"/>
    <w:rsid w:val="00C2377A"/>
    <w:rsid w:val="00C23924"/>
    <w:rsid w:val="00C2399D"/>
    <w:rsid w:val="00C239CE"/>
    <w:rsid w:val="00C23A13"/>
    <w:rsid w:val="00C23BB5"/>
    <w:rsid w:val="00C23C0B"/>
    <w:rsid w:val="00C23C3D"/>
    <w:rsid w:val="00C23C4F"/>
    <w:rsid w:val="00C23C66"/>
    <w:rsid w:val="00C23CF9"/>
    <w:rsid w:val="00C23D23"/>
    <w:rsid w:val="00C23D91"/>
    <w:rsid w:val="00C23E19"/>
    <w:rsid w:val="00C23E43"/>
    <w:rsid w:val="00C23EA2"/>
    <w:rsid w:val="00C23ECA"/>
    <w:rsid w:val="00C23F39"/>
    <w:rsid w:val="00C23FCF"/>
    <w:rsid w:val="00C23FF9"/>
    <w:rsid w:val="00C240B7"/>
    <w:rsid w:val="00C24107"/>
    <w:rsid w:val="00C24111"/>
    <w:rsid w:val="00C24169"/>
    <w:rsid w:val="00C2416B"/>
    <w:rsid w:val="00C24175"/>
    <w:rsid w:val="00C241DA"/>
    <w:rsid w:val="00C241FE"/>
    <w:rsid w:val="00C24238"/>
    <w:rsid w:val="00C24372"/>
    <w:rsid w:val="00C243AB"/>
    <w:rsid w:val="00C2440A"/>
    <w:rsid w:val="00C2440F"/>
    <w:rsid w:val="00C24438"/>
    <w:rsid w:val="00C244B9"/>
    <w:rsid w:val="00C24559"/>
    <w:rsid w:val="00C2459A"/>
    <w:rsid w:val="00C245DF"/>
    <w:rsid w:val="00C24600"/>
    <w:rsid w:val="00C24650"/>
    <w:rsid w:val="00C246D1"/>
    <w:rsid w:val="00C24761"/>
    <w:rsid w:val="00C24762"/>
    <w:rsid w:val="00C2477A"/>
    <w:rsid w:val="00C2477E"/>
    <w:rsid w:val="00C24787"/>
    <w:rsid w:val="00C2478E"/>
    <w:rsid w:val="00C247A7"/>
    <w:rsid w:val="00C248CD"/>
    <w:rsid w:val="00C2490C"/>
    <w:rsid w:val="00C24989"/>
    <w:rsid w:val="00C2499B"/>
    <w:rsid w:val="00C249B9"/>
    <w:rsid w:val="00C249BC"/>
    <w:rsid w:val="00C249DF"/>
    <w:rsid w:val="00C24A9C"/>
    <w:rsid w:val="00C24AFA"/>
    <w:rsid w:val="00C24B67"/>
    <w:rsid w:val="00C24C0A"/>
    <w:rsid w:val="00C24C32"/>
    <w:rsid w:val="00C24C8B"/>
    <w:rsid w:val="00C24CCC"/>
    <w:rsid w:val="00C24CD0"/>
    <w:rsid w:val="00C24CE1"/>
    <w:rsid w:val="00C24D16"/>
    <w:rsid w:val="00C24D2A"/>
    <w:rsid w:val="00C24D38"/>
    <w:rsid w:val="00C24E05"/>
    <w:rsid w:val="00C24E77"/>
    <w:rsid w:val="00C24EBB"/>
    <w:rsid w:val="00C24F26"/>
    <w:rsid w:val="00C24FF1"/>
    <w:rsid w:val="00C250A6"/>
    <w:rsid w:val="00C25120"/>
    <w:rsid w:val="00C25251"/>
    <w:rsid w:val="00C25254"/>
    <w:rsid w:val="00C25292"/>
    <w:rsid w:val="00C2532D"/>
    <w:rsid w:val="00C25332"/>
    <w:rsid w:val="00C2533D"/>
    <w:rsid w:val="00C253CC"/>
    <w:rsid w:val="00C2540E"/>
    <w:rsid w:val="00C2542D"/>
    <w:rsid w:val="00C25593"/>
    <w:rsid w:val="00C25594"/>
    <w:rsid w:val="00C255C3"/>
    <w:rsid w:val="00C256D1"/>
    <w:rsid w:val="00C256EC"/>
    <w:rsid w:val="00C25746"/>
    <w:rsid w:val="00C25783"/>
    <w:rsid w:val="00C25788"/>
    <w:rsid w:val="00C257A4"/>
    <w:rsid w:val="00C257B3"/>
    <w:rsid w:val="00C25842"/>
    <w:rsid w:val="00C2584A"/>
    <w:rsid w:val="00C25867"/>
    <w:rsid w:val="00C2587D"/>
    <w:rsid w:val="00C258FA"/>
    <w:rsid w:val="00C259DB"/>
    <w:rsid w:val="00C25A17"/>
    <w:rsid w:val="00C25A2B"/>
    <w:rsid w:val="00C25AB8"/>
    <w:rsid w:val="00C25CCF"/>
    <w:rsid w:val="00C25D25"/>
    <w:rsid w:val="00C25D4A"/>
    <w:rsid w:val="00C25D5F"/>
    <w:rsid w:val="00C25DAE"/>
    <w:rsid w:val="00C25EB5"/>
    <w:rsid w:val="00C25F6A"/>
    <w:rsid w:val="00C25FC0"/>
    <w:rsid w:val="00C25FD4"/>
    <w:rsid w:val="00C25FFA"/>
    <w:rsid w:val="00C25FFF"/>
    <w:rsid w:val="00C260D3"/>
    <w:rsid w:val="00C260D9"/>
    <w:rsid w:val="00C2610C"/>
    <w:rsid w:val="00C2617C"/>
    <w:rsid w:val="00C261A7"/>
    <w:rsid w:val="00C261F8"/>
    <w:rsid w:val="00C2620B"/>
    <w:rsid w:val="00C26258"/>
    <w:rsid w:val="00C26313"/>
    <w:rsid w:val="00C2634D"/>
    <w:rsid w:val="00C263C4"/>
    <w:rsid w:val="00C26440"/>
    <w:rsid w:val="00C26495"/>
    <w:rsid w:val="00C264AC"/>
    <w:rsid w:val="00C264B7"/>
    <w:rsid w:val="00C26503"/>
    <w:rsid w:val="00C2651C"/>
    <w:rsid w:val="00C265B3"/>
    <w:rsid w:val="00C265DD"/>
    <w:rsid w:val="00C265E6"/>
    <w:rsid w:val="00C26619"/>
    <w:rsid w:val="00C2664A"/>
    <w:rsid w:val="00C266E9"/>
    <w:rsid w:val="00C26727"/>
    <w:rsid w:val="00C2672A"/>
    <w:rsid w:val="00C26731"/>
    <w:rsid w:val="00C26752"/>
    <w:rsid w:val="00C267C7"/>
    <w:rsid w:val="00C26801"/>
    <w:rsid w:val="00C268FB"/>
    <w:rsid w:val="00C26917"/>
    <w:rsid w:val="00C2697A"/>
    <w:rsid w:val="00C26980"/>
    <w:rsid w:val="00C269B2"/>
    <w:rsid w:val="00C269F4"/>
    <w:rsid w:val="00C26A37"/>
    <w:rsid w:val="00C26A5C"/>
    <w:rsid w:val="00C26B25"/>
    <w:rsid w:val="00C26B76"/>
    <w:rsid w:val="00C26BB8"/>
    <w:rsid w:val="00C26BFE"/>
    <w:rsid w:val="00C26C0C"/>
    <w:rsid w:val="00C26C14"/>
    <w:rsid w:val="00C26C35"/>
    <w:rsid w:val="00C26C81"/>
    <w:rsid w:val="00C26CB8"/>
    <w:rsid w:val="00C26CDA"/>
    <w:rsid w:val="00C26CEB"/>
    <w:rsid w:val="00C26D06"/>
    <w:rsid w:val="00C26D26"/>
    <w:rsid w:val="00C26DB7"/>
    <w:rsid w:val="00C26E4B"/>
    <w:rsid w:val="00C26E6F"/>
    <w:rsid w:val="00C26E9F"/>
    <w:rsid w:val="00C26ECF"/>
    <w:rsid w:val="00C26F1C"/>
    <w:rsid w:val="00C26FB8"/>
    <w:rsid w:val="00C26FF8"/>
    <w:rsid w:val="00C27042"/>
    <w:rsid w:val="00C2708D"/>
    <w:rsid w:val="00C27092"/>
    <w:rsid w:val="00C270A4"/>
    <w:rsid w:val="00C27132"/>
    <w:rsid w:val="00C2716A"/>
    <w:rsid w:val="00C27178"/>
    <w:rsid w:val="00C271B2"/>
    <w:rsid w:val="00C272F5"/>
    <w:rsid w:val="00C2730C"/>
    <w:rsid w:val="00C2730D"/>
    <w:rsid w:val="00C2730E"/>
    <w:rsid w:val="00C2749C"/>
    <w:rsid w:val="00C274D2"/>
    <w:rsid w:val="00C274D6"/>
    <w:rsid w:val="00C274DD"/>
    <w:rsid w:val="00C27513"/>
    <w:rsid w:val="00C2752E"/>
    <w:rsid w:val="00C27530"/>
    <w:rsid w:val="00C27577"/>
    <w:rsid w:val="00C2759D"/>
    <w:rsid w:val="00C275EC"/>
    <w:rsid w:val="00C27607"/>
    <w:rsid w:val="00C27608"/>
    <w:rsid w:val="00C27630"/>
    <w:rsid w:val="00C276D0"/>
    <w:rsid w:val="00C27753"/>
    <w:rsid w:val="00C278CE"/>
    <w:rsid w:val="00C27925"/>
    <w:rsid w:val="00C27953"/>
    <w:rsid w:val="00C27A6C"/>
    <w:rsid w:val="00C27A6E"/>
    <w:rsid w:val="00C27AC2"/>
    <w:rsid w:val="00C27B63"/>
    <w:rsid w:val="00C27BBE"/>
    <w:rsid w:val="00C27CCA"/>
    <w:rsid w:val="00C27F32"/>
    <w:rsid w:val="00C27F40"/>
    <w:rsid w:val="00C27FF9"/>
    <w:rsid w:val="00C3000D"/>
    <w:rsid w:val="00C300A6"/>
    <w:rsid w:val="00C3015E"/>
    <w:rsid w:val="00C30160"/>
    <w:rsid w:val="00C301AC"/>
    <w:rsid w:val="00C301B3"/>
    <w:rsid w:val="00C30225"/>
    <w:rsid w:val="00C30269"/>
    <w:rsid w:val="00C30334"/>
    <w:rsid w:val="00C3035C"/>
    <w:rsid w:val="00C30436"/>
    <w:rsid w:val="00C304FE"/>
    <w:rsid w:val="00C30507"/>
    <w:rsid w:val="00C30522"/>
    <w:rsid w:val="00C3056F"/>
    <w:rsid w:val="00C30657"/>
    <w:rsid w:val="00C30662"/>
    <w:rsid w:val="00C306E9"/>
    <w:rsid w:val="00C30741"/>
    <w:rsid w:val="00C30792"/>
    <w:rsid w:val="00C3083E"/>
    <w:rsid w:val="00C308A1"/>
    <w:rsid w:val="00C3091F"/>
    <w:rsid w:val="00C30A11"/>
    <w:rsid w:val="00C30A2A"/>
    <w:rsid w:val="00C30B37"/>
    <w:rsid w:val="00C30B57"/>
    <w:rsid w:val="00C30C51"/>
    <w:rsid w:val="00C30C62"/>
    <w:rsid w:val="00C30D01"/>
    <w:rsid w:val="00C30D06"/>
    <w:rsid w:val="00C30D1B"/>
    <w:rsid w:val="00C30D50"/>
    <w:rsid w:val="00C30D97"/>
    <w:rsid w:val="00C30DA0"/>
    <w:rsid w:val="00C30DB2"/>
    <w:rsid w:val="00C30DB4"/>
    <w:rsid w:val="00C30DD9"/>
    <w:rsid w:val="00C30DFC"/>
    <w:rsid w:val="00C30E1B"/>
    <w:rsid w:val="00C30E62"/>
    <w:rsid w:val="00C30F10"/>
    <w:rsid w:val="00C30F75"/>
    <w:rsid w:val="00C30FBC"/>
    <w:rsid w:val="00C30FF0"/>
    <w:rsid w:val="00C31030"/>
    <w:rsid w:val="00C31051"/>
    <w:rsid w:val="00C310DD"/>
    <w:rsid w:val="00C310E5"/>
    <w:rsid w:val="00C31115"/>
    <w:rsid w:val="00C3116A"/>
    <w:rsid w:val="00C311E2"/>
    <w:rsid w:val="00C31279"/>
    <w:rsid w:val="00C312C8"/>
    <w:rsid w:val="00C312E8"/>
    <w:rsid w:val="00C31343"/>
    <w:rsid w:val="00C313D9"/>
    <w:rsid w:val="00C31463"/>
    <w:rsid w:val="00C31467"/>
    <w:rsid w:val="00C31470"/>
    <w:rsid w:val="00C31557"/>
    <w:rsid w:val="00C315E5"/>
    <w:rsid w:val="00C3162E"/>
    <w:rsid w:val="00C316BA"/>
    <w:rsid w:val="00C316E6"/>
    <w:rsid w:val="00C317AA"/>
    <w:rsid w:val="00C31813"/>
    <w:rsid w:val="00C3182E"/>
    <w:rsid w:val="00C31864"/>
    <w:rsid w:val="00C31867"/>
    <w:rsid w:val="00C318DA"/>
    <w:rsid w:val="00C318F6"/>
    <w:rsid w:val="00C31944"/>
    <w:rsid w:val="00C319BF"/>
    <w:rsid w:val="00C319C3"/>
    <w:rsid w:val="00C31AF6"/>
    <w:rsid w:val="00C31B08"/>
    <w:rsid w:val="00C31B55"/>
    <w:rsid w:val="00C31B60"/>
    <w:rsid w:val="00C31BDE"/>
    <w:rsid w:val="00C31C93"/>
    <w:rsid w:val="00C31CA4"/>
    <w:rsid w:val="00C31D39"/>
    <w:rsid w:val="00C31D55"/>
    <w:rsid w:val="00C31D58"/>
    <w:rsid w:val="00C31D5F"/>
    <w:rsid w:val="00C31E79"/>
    <w:rsid w:val="00C31EA7"/>
    <w:rsid w:val="00C31F57"/>
    <w:rsid w:val="00C32067"/>
    <w:rsid w:val="00C3217D"/>
    <w:rsid w:val="00C32235"/>
    <w:rsid w:val="00C32350"/>
    <w:rsid w:val="00C323F1"/>
    <w:rsid w:val="00C32489"/>
    <w:rsid w:val="00C3249F"/>
    <w:rsid w:val="00C324EA"/>
    <w:rsid w:val="00C3256A"/>
    <w:rsid w:val="00C32577"/>
    <w:rsid w:val="00C3262F"/>
    <w:rsid w:val="00C326B3"/>
    <w:rsid w:val="00C32748"/>
    <w:rsid w:val="00C327B5"/>
    <w:rsid w:val="00C327CB"/>
    <w:rsid w:val="00C32855"/>
    <w:rsid w:val="00C328E8"/>
    <w:rsid w:val="00C3299A"/>
    <w:rsid w:val="00C329B5"/>
    <w:rsid w:val="00C32A49"/>
    <w:rsid w:val="00C32B13"/>
    <w:rsid w:val="00C32B1A"/>
    <w:rsid w:val="00C32B21"/>
    <w:rsid w:val="00C32BC4"/>
    <w:rsid w:val="00C32C26"/>
    <w:rsid w:val="00C32C34"/>
    <w:rsid w:val="00C32C42"/>
    <w:rsid w:val="00C32D20"/>
    <w:rsid w:val="00C32DBB"/>
    <w:rsid w:val="00C32DCF"/>
    <w:rsid w:val="00C32EAB"/>
    <w:rsid w:val="00C32FBA"/>
    <w:rsid w:val="00C32FCD"/>
    <w:rsid w:val="00C33015"/>
    <w:rsid w:val="00C33068"/>
    <w:rsid w:val="00C330B0"/>
    <w:rsid w:val="00C33120"/>
    <w:rsid w:val="00C3312C"/>
    <w:rsid w:val="00C33165"/>
    <w:rsid w:val="00C331D5"/>
    <w:rsid w:val="00C331FC"/>
    <w:rsid w:val="00C3323E"/>
    <w:rsid w:val="00C33245"/>
    <w:rsid w:val="00C33271"/>
    <w:rsid w:val="00C3329D"/>
    <w:rsid w:val="00C332D9"/>
    <w:rsid w:val="00C33323"/>
    <w:rsid w:val="00C3332D"/>
    <w:rsid w:val="00C33331"/>
    <w:rsid w:val="00C33360"/>
    <w:rsid w:val="00C333AF"/>
    <w:rsid w:val="00C333FB"/>
    <w:rsid w:val="00C33421"/>
    <w:rsid w:val="00C3342D"/>
    <w:rsid w:val="00C33454"/>
    <w:rsid w:val="00C334A6"/>
    <w:rsid w:val="00C334B8"/>
    <w:rsid w:val="00C334B9"/>
    <w:rsid w:val="00C334FA"/>
    <w:rsid w:val="00C3364A"/>
    <w:rsid w:val="00C33675"/>
    <w:rsid w:val="00C336C1"/>
    <w:rsid w:val="00C33741"/>
    <w:rsid w:val="00C3374E"/>
    <w:rsid w:val="00C3379D"/>
    <w:rsid w:val="00C338B5"/>
    <w:rsid w:val="00C338D8"/>
    <w:rsid w:val="00C33924"/>
    <w:rsid w:val="00C33937"/>
    <w:rsid w:val="00C3396B"/>
    <w:rsid w:val="00C339E9"/>
    <w:rsid w:val="00C339F8"/>
    <w:rsid w:val="00C33A02"/>
    <w:rsid w:val="00C33A0F"/>
    <w:rsid w:val="00C33A2C"/>
    <w:rsid w:val="00C33A4A"/>
    <w:rsid w:val="00C33A7E"/>
    <w:rsid w:val="00C33AC4"/>
    <w:rsid w:val="00C33B0B"/>
    <w:rsid w:val="00C33BD6"/>
    <w:rsid w:val="00C33BDE"/>
    <w:rsid w:val="00C33BE3"/>
    <w:rsid w:val="00C33CAD"/>
    <w:rsid w:val="00C33CDD"/>
    <w:rsid w:val="00C33D48"/>
    <w:rsid w:val="00C33D55"/>
    <w:rsid w:val="00C33DC1"/>
    <w:rsid w:val="00C33E30"/>
    <w:rsid w:val="00C33F80"/>
    <w:rsid w:val="00C34084"/>
    <w:rsid w:val="00C34092"/>
    <w:rsid w:val="00C3418F"/>
    <w:rsid w:val="00C341C6"/>
    <w:rsid w:val="00C34212"/>
    <w:rsid w:val="00C34230"/>
    <w:rsid w:val="00C3423A"/>
    <w:rsid w:val="00C3427D"/>
    <w:rsid w:val="00C34288"/>
    <w:rsid w:val="00C342C9"/>
    <w:rsid w:val="00C342D8"/>
    <w:rsid w:val="00C342F2"/>
    <w:rsid w:val="00C34355"/>
    <w:rsid w:val="00C34365"/>
    <w:rsid w:val="00C3436E"/>
    <w:rsid w:val="00C34420"/>
    <w:rsid w:val="00C34425"/>
    <w:rsid w:val="00C34446"/>
    <w:rsid w:val="00C344A9"/>
    <w:rsid w:val="00C344F8"/>
    <w:rsid w:val="00C3451A"/>
    <w:rsid w:val="00C3461F"/>
    <w:rsid w:val="00C34652"/>
    <w:rsid w:val="00C3469F"/>
    <w:rsid w:val="00C346FC"/>
    <w:rsid w:val="00C34716"/>
    <w:rsid w:val="00C3479E"/>
    <w:rsid w:val="00C34818"/>
    <w:rsid w:val="00C34873"/>
    <w:rsid w:val="00C348CB"/>
    <w:rsid w:val="00C34939"/>
    <w:rsid w:val="00C34970"/>
    <w:rsid w:val="00C34991"/>
    <w:rsid w:val="00C349F4"/>
    <w:rsid w:val="00C34A05"/>
    <w:rsid w:val="00C34A23"/>
    <w:rsid w:val="00C34A3A"/>
    <w:rsid w:val="00C34A52"/>
    <w:rsid w:val="00C34B98"/>
    <w:rsid w:val="00C34B9E"/>
    <w:rsid w:val="00C34C2D"/>
    <w:rsid w:val="00C34CE2"/>
    <w:rsid w:val="00C34CE9"/>
    <w:rsid w:val="00C34CF2"/>
    <w:rsid w:val="00C34D79"/>
    <w:rsid w:val="00C34DA7"/>
    <w:rsid w:val="00C34DC7"/>
    <w:rsid w:val="00C34ED0"/>
    <w:rsid w:val="00C34FC1"/>
    <w:rsid w:val="00C34FD4"/>
    <w:rsid w:val="00C3502D"/>
    <w:rsid w:val="00C35064"/>
    <w:rsid w:val="00C3507F"/>
    <w:rsid w:val="00C35084"/>
    <w:rsid w:val="00C35087"/>
    <w:rsid w:val="00C3516A"/>
    <w:rsid w:val="00C3525B"/>
    <w:rsid w:val="00C35337"/>
    <w:rsid w:val="00C3534B"/>
    <w:rsid w:val="00C35367"/>
    <w:rsid w:val="00C35529"/>
    <w:rsid w:val="00C35571"/>
    <w:rsid w:val="00C35578"/>
    <w:rsid w:val="00C3558E"/>
    <w:rsid w:val="00C355EB"/>
    <w:rsid w:val="00C3561F"/>
    <w:rsid w:val="00C35682"/>
    <w:rsid w:val="00C356C4"/>
    <w:rsid w:val="00C356CC"/>
    <w:rsid w:val="00C3573A"/>
    <w:rsid w:val="00C35788"/>
    <w:rsid w:val="00C35838"/>
    <w:rsid w:val="00C358D5"/>
    <w:rsid w:val="00C358E6"/>
    <w:rsid w:val="00C358FA"/>
    <w:rsid w:val="00C359B0"/>
    <w:rsid w:val="00C35A15"/>
    <w:rsid w:val="00C35AAD"/>
    <w:rsid w:val="00C35AE4"/>
    <w:rsid w:val="00C35C0D"/>
    <w:rsid w:val="00C35CF0"/>
    <w:rsid w:val="00C35CF6"/>
    <w:rsid w:val="00C35E00"/>
    <w:rsid w:val="00C35E0D"/>
    <w:rsid w:val="00C35E7E"/>
    <w:rsid w:val="00C35F12"/>
    <w:rsid w:val="00C35F3D"/>
    <w:rsid w:val="00C35F87"/>
    <w:rsid w:val="00C35F97"/>
    <w:rsid w:val="00C35FB9"/>
    <w:rsid w:val="00C36023"/>
    <w:rsid w:val="00C360F2"/>
    <w:rsid w:val="00C36136"/>
    <w:rsid w:val="00C3613C"/>
    <w:rsid w:val="00C361EC"/>
    <w:rsid w:val="00C362FD"/>
    <w:rsid w:val="00C36321"/>
    <w:rsid w:val="00C36392"/>
    <w:rsid w:val="00C36409"/>
    <w:rsid w:val="00C36459"/>
    <w:rsid w:val="00C364A1"/>
    <w:rsid w:val="00C364F1"/>
    <w:rsid w:val="00C3650A"/>
    <w:rsid w:val="00C36598"/>
    <w:rsid w:val="00C366F9"/>
    <w:rsid w:val="00C3681F"/>
    <w:rsid w:val="00C3684D"/>
    <w:rsid w:val="00C368DC"/>
    <w:rsid w:val="00C36948"/>
    <w:rsid w:val="00C3694C"/>
    <w:rsid w:val="00C3695F"/>
    <w:rsid w:val="00C36978"/>
    <w:rsid w:val="00C3697A"/>
    <w:rsid w:val="00C3698B"/>
    <w:rsid w:val="00C369D4"/>
    <w:rsid w:val="00C36A58"/>
    <w:rsid w:val="00C36AB7"/>
    <w:rsid w:val="00C36AC5"/>
    <w:rsid w:val="00C36ADE"/>
    <w:rsid w:val="00C36AFA"/>
    <w:rsid w:val="00C36B25"/>
    <w:rsid w:val="00C36BC7"/>
    <w:rsid w:val="00C36C59"/>
    <w:rsid w:val="00C36C5E"/>
    <w:rsid w:val="00C36D86"/>
    <w:rsid w:val="00C36E5B"/>
    <w:rsid w:val="00C36EF9"/>
    <w:rsid w:val="00C36F89"/>
    <w:rsid w:val="00C36FDF"/>
    <w:rsid w:val="00C37045"/>
    <w:rsid w:val="00C370DF"/>
    <w:rsid w:val="00C371AF"/>
    <w:rsid w:val="00C371E7"/>
    <w:rsid w:val="00C37280"/>
    <w:rsid w:val="00C372F0"/>
    <w:rsid w:val="00C37319"/>
    <w:rsid w:val="00C3734C"/>
    <w:rsid w:val="00C373C3"/>
    <w:rsid w:val="00C373DB"/>
    <w:rsid w:val="00C374B6"/>
    <w:rsid w:val="00C37555"/>
    <w:rsid w:val="00C3757E"/>
    <w:rsid w:val="00C37629"/>
    <w:rsid w:val="00C376BD"/>
    <w:rsid w:val="00C376C8"/>
    <w:rsid w:val="00C3773C"/>
    <w:rsid w:val="00C3776F"/>
    <w:rsid w:val="00C37807"/>
    <w:rsid w:val="00C378D8"/>
    <w:rsid w:val="00C37957"/>
    <w:rsid w:val="00C37979"/>
    <w:rsid w:val="00C37A5B"/>
    <w:rsid w:val="00C37AA6"/>
    <w:rsid w:val="00C37ABA"/>
    <w:rsid w:val="00C37B52"/>
    <w:rsid w:val="00C37C13"/>
    <w:rsid w:val="00C37C4F"/>
    <w:rsid w:val="00C37C64"/>
    <w:rsid w:val="00C37C8B"/>
    <w:rsid w:val="00C37DFF"/>
    <w:rsid w:val="00C37F13"/>
    <w:rsid w:val="00C37FB0"/>
    <w:rsid w:val="00C37FE9"/>
    <w:rsid w:val="00C40096"/>
    <w:rsid w:val="00C40160"/>
    <w:rsid w:val="00C401AE"/>
    <w:rsid w:val="00C401BF"/>
    <w:rsid w:val="00C401E8"/>
    <w:rsid w:val="00C4021A"/>
    <w:rsid w:val="00C402E5"/>
    <w:rsid w:val="00C4031D"/>
    <w:rsid w:val="00C40396"/>
    <w:rsid w:val="00C40484"/>
    <w:rsid w:val="00C4048F"/>
    <w:rsid w:val="00C404BE"/>
    <w:rsid w:val="00C404C6"/>
    <w:rsid w:val="00C40526"/>
    <w:rsid w:val="00C40562"/>
    <w:rsid w:val="00C40720"/>
    <w:rsid w:val="00C407B0"/>
    <w:rsid w:val="00C40828"/>
    <w:rsid w:val="00C4083F"/>
    <w:rsid w:val="00C40913"/>
    <w:rsid w:val="00C40A0B"/>
    <w:rsid w:val="00C40AB5"/>
    <w:rsid w:val="00C40ACA"/>
    <w:rsid w:val="00C40B4E"/>
    <w:rsid w:val="00C40BAD"/>
    <w:rsid w:val="00C40C1D"/>
    <w:rsid w:val="00C40C54"/>
    <w:rsid w:val="00C40D39"/>
    <w:rsid w:val="00C40DDA"/>
    <w:rsid w:val="00C40E06"/>
    <w:rsid w:val="00C40E90"/>
    <w:rsid w:val="00C40E9F"/>
    <w:rsid w:val="00C40F2E"/>
    <w:rsid w:val="00C40F30"/>
    <w:rsid w:val="00C41034"/>
    <w:rsid w:val="00C41046"/>
    <w:rsid w:val="00C41090"/>
    <w:rsid w:val="00C4110A"/>
    <w:rsid w:val="00C4110F"/>
    <w:rsid w:val="00C41143"/>
    <w:rsid w:val="00C41185"/>
    <w:rsid w:val="00C41202"/>
    <w:rsid w:val="00C41313"/>
    <w:rsid w:val="00C41316"/>
    <w:rsid w:val="00C413B1"/>
    <w:rsid w:val="00C41413"/>
    <w:rsid w:val="00C41488"/>
    <w:rsid w:val="00C414D3"/>
    <w:rsid w:val="00C414E3"/>
    <w:rsid w:val="00C41581"/>
    <w:rsid w:val="00C41637"/>
    <w:rsid w:val="00C4167E"/>
    <w:rsid w:val="00C41692"/>
    <w:rsid w:val="00C4180E"/>
    <w:rsid w:val="00C41819"/>
    <w:rsid w:val="00C4187E"/>
    <w:rsid w:val="00C4197C"/>
    <w:rsid w:val="00C4198C"/>
    <w:rsid w:val="00C41990"/>
    <w:rsid w:val="00C419F4"/>
    <w:rsid w:val="00C41A2A"/>
    <w:rsid w:val="00C41A64"/>
    <w:rsid w:val="00C41A84"/>
    <w:rsid w:val="00C41AFF"/>
    <w:rsid w:val="00C41B76"/>
    <w:rsid w:val="00C41C57"/>
    <w:rsid w:val="00C41D76"/>
    <w:rsid w:val="00C41D8D"/>
    <w:rsid w:val="00C41E1B"/>
    <w:rsid w:val="00C41E26"/>
    <w:rsid w:val="00C41EB6"/>
    <w:rsid w:val="00C41FB7"/>
    <w:rsid w:val="00C42058"/>
    <w:rsid w:val="00C42108"/>
    <w:rsid w:val="00C42212"/>
    <w:rsid w:val="00C4221A"/>
    <w:rsid w:val="00C423A8"/>
    <w:rsid w:val="00C423E4"/>
    <w:rsid w:val="00C4241B"/>
    <w:rsid w:val="00C4257D"/>
    <w:rsid w:val="00C4259E"/>
    <w:rsid w:val="00C425AD"/>
    <w:rsid w:val="00C42655"/>
    <w:rsid w:val="00C42756"/>
    <w:rsid w:val="00C42796"/>
    <w:rsid w:val="00C427B3"/>
    <w:rsid w:val="00C427C3"/>
    <w:rsid w:val="00C42835"/>
    <w:rsid w:val="00C4286B"/>
    <w:rsid w:val="00C42894"/>
    <w:rsid w:val="00C428ED"/>
    <w:rsid w:val="00C42907"/>
    <w:rsid w:val="00C429CB"/>
    <w:rsid w:val="00C429E1"/>
    <w:rsid w:val="00C42A4F"/>
    <w:rsid w:val="00C42A63"/>
    <w:rsid w:val="00C42A6C"/>
    <w:rsid w:val="00C42AF3"/>
    <w:rsid w:val="00C42AF4"/>
    <w:rsid w:val="00C42AF8"/>
    <w:rsid w:val="00C42BC4"/>
    <w:rsid w:val="00C42C2B"/>
    <w:rsid w:val="00C42C6D"/>
    <w:rsid w:val="00C42C81"/>
    <w:rsid w:val="00C42C83"/>
    <w:rsid w:val="00C42D41"/>
    <w:rsid w:val="00C42DA6"/>
    <w:rsid w:val="00C42DCE"/>
    <w:rsid w:val="00C42E7B"/>
    <w:rsid w:val="00C42E96"/>
    <w:rsid w:val="00C42FEB"/>
    <w:rsid w:val="00C43024"/>
    <w:rsid w:val="00C43049"/>
    <w:rsid w:val="00C4304B"/>
    <w:rsid w:val="00C430B6"/>
    <w:rsid w:val="00C43149"/>
    <w:rsid w:val="00C4315C"/>
    <w:rsid w:val="00C43177"/>
    <w:rsid w:val="00C431F6"/>
    <w:rsid w:val="00C4322C"/>
    <w:rsid w:val="00C43242"/>
    <w:rsid w:val="00C4324C"/>
    <w:rsid w:val="00C43297"/>
    <w:rsid w:val="00C43382"/>
    <w:rsid w:val="00C4345D"/>
    <w:rsid w:val="00C434A8"/>
    <w:rsid w:val="00C43533"/>
    <w:rsid w:val="00C4354F"/>
    <w:rsid w:val="00C435B2"/>
    <w:rsid w:val="00C435C3"/>
    <w:rsid w:val="00C43694"/>
    <w:rsid w:val="00C436BA"/>
    <w:rsid w:val="00C436D3"/>
    <w:rsid w:val="00C43701"/>
    <w:rsid w:val="00C4375C"/>
    <w:rsid w:val="00C43763"/>
    <w:rsid w:val="00C4377A"/>
    <w:rsid w:val="00C4380E"/>
    <w:rsid w:val="00C4393F"/>
    <w:rsid w:val="00C439D6"/>
    <w:rsid w:val="00C43AB6"/>
    <w:rsid w:val="00C43AC1"/>
    <w:rsid w:val="00C43ACB"/>
    <w:rsid w:val="00C43B3E"/>
    <w:rsid w:val="00C43B56"/>
    <w:rsid w:val="00C43CAE"/>
    <w:rsid w:val="00C43CFA"/>
    <w:rsid w:val="00C43E7E"/>
    <w:rsid w:val="00C43EF1"/>
    <w:rsid w:val="00C43F08"/>
    <w:rsid w:val="00C43F12"/>
    <w:rsid w:val="00C43F40"/>
    <w:rsid w:val="00C43F60"/>
    <w:rsid w:val="00C43FDE"/>
    <w:rsid w:val="00C4400D"/>
    <w:rsid w:val="00C44026"/>
    <w:rsid w:val="00C4402F"/>
    <w:rsid w:val="00C44098"/>
    <w:rsid w:val="00C441EB"/>
    <w:rsid w:val="00C441FF"/>
    <w:rsid w:val="00C44287"/>
    <w:rsid w:val="00C44290"/>
    <w:rsid w:val="00C442D5"/>
    <w:rsid w:val="00C442FF"/>
    <w:rsid w:val="00C44315"/>
    <w:rsid w:val="00C4436B"/>
    <w:rsid w:val="00C443AB"/>
    <w:rsid w:val="00C443E2"/>
    <w:rsid w:val="00C4440A"/>
    <w:rsid w:val="00C44466"/>
    <w:rsid w:val="00C44490"/>
    <w:rsid w:val="00C4464C"/>
    <w:rsid w:val="00C4470D"/>
    <w:rsid w:val="00C447E4"/>
    <w:rsid w:val="00C448DA"/>
    <w:rsid w:val="00C44960"/>
    <w:rsid w:val="00C44973"/>
    <w:rsid w:val="00C44A92"/>
    <w:rsid w:val="00C44ABD"/>
    <w:rsid w:val="00C44B9A"/>
    <w:rsid w:val="00C44C97"/>
    <w:rsid w:val="00C44CF6"/>
    <w:rsid w:val="00C44D34"/>
    <w:rsid w:val="00C44D44"/>
    <w:rsid w:val="00C44D4D"/>
    <w:rsid w:val="00C44DEA"/>
    <w:rsid w:val="00C44E84"/>
    <w:rsid w:val="00C4500D"/>
    <w:rsid w:val="00C450A0"/>
    <w:rsid w:val="00C450B0"/>
    <w:rsid w:val="00C450C0"/>
    <w:rsid w:val="00C450E0"/>
    <w:rsid w:val="00C450EF"/>
    <w:rsid w:val="00C4513B"/>
    <w:rsid w:val="00C45192"/>
    <w:rsid w:val="00C451E8"/>
    <w:rsid w:val="00C4520E"/>
    <w:rsid w:val="00C452E1"/>
    <w:rsid w:val="00C45334"/>
    <w:rsid w:val="00C4542C"/>
    <w:rsid w:val="00C4545F"/>
    <w:rsid w:val="00C454F3"/>
    <w:rsid w:val="00C45554"/>
    <w:rsid w:val="00C45582"/>
    <w:rsid w:val="00C45596"/>
    <w:rsid w:val="00C455CC"/>
    <w:rsid w:val="00C455EF"/>
    <w:rsid w:val="00C455F3"/>
    <w:rsid w:val="00C4560E"/>
    <w:rsid w:val="00C456D5"/>
    <w:rsid w:val="00C45741"/>
    <w:rsid w:val="00C45743"/>
    <w:rsid w:val="00C45757"/>
    <w:rsid w:val="00C45814"/>
    <w:rsid w:val="00C4588B"/>
    <w:rsid w:val="00C458B0"/>
    <w:rsid w:val="00C458B8"/>
    <w:rsid w:val="00C458C5"/>
    <w:rsid w:val="00C4591B"/>
    <w:rsid w:val="00C45948"/>
    <w:rsid w:val="00C45951"/>
    <w:rsid w:val="00C45A20"/>
    <w:rsid w:val="00C45AC1"/>
    <w:rsid w:val="00C45B25"/>
    <w:rsid w:val="00C45B44"/>
    <w:rsid w:val="00C45B7F"/>
    <w:rsid w:val="00C45BA3"/>
    <w:rsid w:val="00C45BF7"/>
    <w:rsid w:val="00C45C00"/>
    <w:rsid w:val="00C45C45"/>
    <w:rsid w:val="00C45CC9"/>
    <w:rsid w:val="00C45CEB"/>
    <w:rsid w:val="00C45D6C"/>
    <w:rsid w:val="00C45D82"/>
    <w:rsid w:val="00C45DC3"/>
    <w:rsid w:val="00C45DE5"/>
    <w:rsid w:val="00C45F1D"/>
    <w:rsid w:val="00C45FB6"/>
    <w:rsid w:val="00C46009"/>
    <w:rsid w:val="00C4600B"/>
    <w:rsid w:val="00C460C9"/>
    <w:rsid w:val="00C4610C"/>
    <w:rsid w:val="00C461EF"/>
    <w:rsid w:val="00C461FE"/>
    <w:rsid w:val="00C4620F"/>
    <w:rsid w:val="00C46258"/>
    <w:rsid w:val="00C4644F"/>
    <w:rsid w:val="00C46651"/>
    <w:rsid w:val="00C466DD"/>
    <w:rsid w:val="00C4671A"/>
    <w:rsid w:val="00C467B0"/>
    <w:rsid w:val="00C467CD"/>
    <w:rsid w:val="00C46835"/>
    <w:rsid w:val="00C46872"/>
    <w:rsid w:val="00C4689B"/>
    <w:rsid w:val="00C468B7"/>
    <w:rsid w:val="00C46956"/>
    <w:rsid w:val="00C46965"/>
    <w:rsid w:val="00C4697E"/>
    <w:rsid w:val="00C469D0"/>
    <w:rsid w:val="00C46AD4"/>
    <w:rsid w:val="00C46B16"/>
    <w:rsid w:val="00C46B4B"/>
    <w:rsid w:val="00C46B5E"/>
    <w:rsid w:val="00C46BDD"/>
    <w:rsid w:val="00C46D33"/>
    <w:rsid w:val="00C46D4D"/>
    <w:rsid w:val="00C46D92"/>
    <w:rsid w:val="00C46DDA"/>
    <w:rsid w:val="00C46E30"/>
    <w:rsid w:val="00C46E3D"/>
    <w:rsid w:val="00C46E54"/>
    <w:rsid w:val="00C46E6C"/>
    <w:rsid w:val="00C46EB7"/>
    <w:rsid w:val="00C46ED9"/>
    <w:rsid w:val="00C46EE4"/>
    <w:rsid w:val="00C470E1"/>
    <w:rsid w:val="00C470E2"/>
    <w:rsid w:val="00C470E4"/>
    <w:rsid w:val="00C4712D"/>
    <w:rsid w:val="00C471A2"/>
    <w:rsid w:val="00C472A7"/>
    <w:rsid w:val="00C472DA"/>
    <w:rsid w:val="00C4734A"/>
    <w:rsid w:val="00C473F6"/>
    <w:rsid w:val="00C47539"/>
    <w:rsid w:val="00C47562"/>
    <w:rsid w:val="00C4756B"/>
    <w:rsid w:val="00C475BD"/>
    <w:rsid w:val="00C47647"/>
    <w:rsid w:val="00C478CD"/>
    <w:rsid w:val="00C47946"/>
    <w:rsid w:val="00C47970"/>
    <w:rsid w:val="00C479A4"/>
    <w:rsid w:val="00C479C0"/>
    <w:rsid w:val="00C47B08"/>
    <w:rsid w:val="00C47BBA"/>
    <w:rsid w:val="00C47C3D"/>
    <w:rsid w:val="00C47CF9"/>
    <w:rsid w:val="00C47D37"/>
    <w:rsid w:val="00C47D5E"/>
    <w:rsid w:val="00C47DA7"/>
    <w:rsid w:val="00C47DAA"/>
    <w:rsid w:val="00C47DC3"/>
    <w:rsid w:val="00C47E7B"/>
    <w:rsid w:val="00C47F27"/>
    <w:rsid w:val="00C47F4E"/>
    <w:rsid w:val="00C47F95"/>
    <w:rsid w:val="00C50049"/>
    <w:rsid w:val="00C500BD"/>
    <w:rsid w:val="00C50105"/>
    <w:rsid w:val="00C50194"/>
    <w:rsid w:val="00C501B0"/>
    <w:rsid w:val="00C501B8"/>
    <w:rsid w:val="00C501D5"/>
    <w:rsid w:val="00C501FE"/>
    <w:rsid w:val="00C50249"/>
    <w:rsid w:val="00C50280"/>
    <w:rsid w:val="00C5048C"/>
    <w:rsid w:val="00C505EB"/>
    <w:rsid w:val="00C50636"/>
    <w:rsid w:val="00C5068E"/>
    <w:rsid w:val="00C506F9"/>
    <w:rsid w:val="00C506FA"/>
    <w:rsid w:val="00C50710"/>
    <w:rsid w:val="00C50785"/>
    <w:rsid w:val="00C5080E"/>
    <w:rsid w:val="00C50860"/>
    <w:rsid w:val="00C508E7"/>
    <w:rsid w:val="00C5091A"/>
    <w:rsid w:val="00C50A4C"/>
    <w:rsid w:val="00C50B5C"/>
    <w:rsid w:val="00C50B72"/>
    <w:rsid w:val="00C50C16"/>
    <w:rsid w:val="00C50C54"/>
    <w:rsid w:val="00C50CA5"/>
    <w:rsid w:val="00C50D78"/>
    <w:rsid w:val="00C50E42"/>
    <w:rsid w:val="00C50E57"/>
    <w:rsid w:val="00C50E8F"/>
    <w:rsid w:val="00C50E91"/>
    <w:rsid w:val="00C50EAD"/>
    <w:rsid w:val="00C50ED5"/>
    <w:rsid w:val="00C50F08"/>
    <w:rsid w:val="00C5100C"/>
    <w:rsid w:val="00C5105A"/>
    <w:rsid w:val="00C510AD"/>
    <w:rsid w:val="00C510DC"/>
    <w:rsid w:val="00C5116F"/>
    <w:rsid w:val="00C5120D"/>
    <w:rsid w:val="00C5121E"/>
    <w:rsid w:val="00C5124E"/>
    <w:rsid w:val="00C5125B"/>
    <w:rsid w:val="00C512CD"/>
    <w:rsid w:val="00C51314"/>
    <w:rsid w:val="00C5136D"/>
    <w:rsid w:val="00C5139E"/>
    <w:rsid w:val="00C51455"/>
    <w:rsid w:val="00C5146D"/>
    <w:rsid w:val="00C514D2"/>
    <w:rsid w:val="00C5150C"/>
    <w:rsid w:val="00C51548"/>
    <w:rsid w:val="00C5159D"/>
    <w:rsid w:val="00C5160B"/>
    <w:rsid w:val="00C51731"/>
    <w:rsid w:val="00C5176A"/>
    <w:rsid w:val="00C51780"/>
    <w:rsid w:val="00C51792"/>
    <w:rsid w:val="00C51905"/>
    <w:rsid w:val="00C51920"/>
    <w:rsid w:val="00C51963"/>
    <w:rsid w:val="00C51980"/>
    <w:rsid w:val="00C5199C"/>
    <w:rsid w:val="00C519D0"/>
    <w:rsid w:val="00C51A13"/>
    <w:rsid w:val="00C51AB6"/>
    <w:rsid w:val="00C51B9C"/>
    <w:rsid w:val="00C51BBA"/>
    <w:rsid w:val="00C51BCC"/>
    <w:rsid w:val="00C51C82"/>
    <w:rsid w:val="00C51C94"/>
    <w:rsid w:val="00C51D05"/>
    <w:rsid w:val="00C51DD2"/>
    <w:rsid w:val="00C51DFA"/>
    <w:rsid w:val="00C51EEF"/>
    <w:rsid w:val="00C5203E"/>
    <w:rsid w:val="00C52057"/>
    <w:rsid w:val="00C520CC"/>
    <w:rsid w:val="00C520E4"/>
    <w:rsid w:val="00C520F7"/>
    <w:rsid w:val="00C52182"/>
    <w:rsid w:val="00C52340"/>
    <w:rsid w:val="00C524C3"/>
    <w:rsid w:val="00C52508"/>
    <w:rsid w:val="00C52570"/>
    <w:rsid w:val="00C5259F"/>
    <w:rsid w:val="00C526CC"/>
    <w:rsid w:val="00C526D9"/>
    <w:rsid w:val="00C5276E"/>
    <w:rsid w:val="00C52777"/>
    <w:rsid w:val="00C52790"/>
    <w:rsid w:val="00C527DE"/>
    <w:rsid w:val="00C5282D"/>
    <w:rsid w:val="00C5289C"/>
    <w:rsid w:val="00C5294C"/>
    <w:rsid w:val="00C52981"/>
    <w:rsid w:val="00C529A1"/>
    <w:rsid w:val="00C52A03"/>
    <w:rsid w:val="00C52B10"/>
    <w:rsid w:val="00C52B21"/>
    <w:rsid w:val="00C52B3C"/>
    <w:rsid w:val="00C52B65"/>
    <w:rsid w:val="00C52BAA"/>
    <w:rsid w:val="00C52BE2"/>
    <w:rsid w:val="00C52BEC"/>
    <w:rsid w:val="00C52C22"/>
    <w:rsid w:val="00C52C43"/>
    <w:rsid w:val="00C52D2A"/>
    <w:rsid w:val="00C52D2E"/>
    <w:rsid w:val="00C52D80"/>
    <w:rsid w:val="00C52D9A"/>
    <w:rsid w:val="00C52DA1"/>
    <w:rsid w:val="00C52F0D"/>
    <w:rsid w:val="00C52F3D"/>
    <w:rsid w:val="00C5304C"/>
    <w:rsid w:val="00C53067"/>
    <w:rsid w:val="00C53078"/>
    <w:rsid w:val="00C53106"/>
    <w:rsid w:val="00C5311B"/>
    <w:rsid w:val="00C53133"/>
    <w:rsid w:val="00C5315F"/>
    <w:rsid w:val="00C5318A"/>
    <w:rsid w:val="00C531FB"/>
    <w:rsid w:val="00C5336F"/>
    <w:rsid w:val="00C5337D"/>
    <w:rsid w:val="00C53418"/>
    <w:rsid w:val="00C5345E"/>
    <w:rsid w:val="00C5347C"/>
    <w:rsid w:val="00C53580"/>
    <w:rsid w:val="00C535E4"/>
    <w:rsid w:val="00C53660"/>
    <w:rsid w:val="00C53715"/>
    <w:rsid w:val="00C53726"/>
    <w:rsid w:val="00C53842"/>
    <w:rsid w:val="00C5386B"/>
    <w:rsid w:val="00C538A4"/>
    <w:rsid w:val="00C53976"/>
    <w:rsid w:val="00C53A02"/>
    <w:rsid w:val="00C53AD7"/>
    <w:rsid w:val="00C53B2D"/>
    <w:rsid w:val="00C53B91"/>
    <w:rsid w:val="00C53BC4"/>
    <w:rsid w:val="00C53C10"/>
    <w:rsid w:val="00C53C36"/>
    <w:rsid w:val="00C53C88"/>
    <w:rsid w:val="00C53CA6"/>
    <w:rsid w:val="00C53CBA"/>
    <w:rsid w:val="00C53D63"/>
    <w:rsid w:val="00C53DEB"/>
    <w:rsid w:val="00C53E1D"/>
    <w:rsid w:val="00C53E33"/>
    <w:rsid w:val="00C53E5B"/>
    <w:rsid w:val="00C53E83"/>
    <w:rsid w:val="00C53E85"/>
    <w:rsid w:val="00C53EBF"/>
    <w:rsid w:val="00C53EC2"/>
    <w:rsid w:val="00C53EEC"/>
    <w:rsid w:val="00C53F17"/>
    <w:rsid w:val="00C53FB2"/>
    <w:rsid w:val="00C53FEF"/>
    <w:rsid w:val="00C54079"/>
    <w:rsid w:val="00C540B7"/>
    <w:rsid w:val="00C54107"/>
    <w:rsid w:val="00C54109"/>
    <w:rsid w:val="00C54175"/>
    <w:rsid w:val="00C541CF"/>
    <w:rsid w:val="00C542F6"/>
    <w:rsid w:val="00C5451C"/>
    <w:rsid w:val="00C545CB"/>
    <w:rsid w:val="00C54685"/>
    <w:rsid w:val="00C546F0"/>
    <w:rsid w:val="00C5470F"/>
    <w:rsid w:val="00C54838"/>
    <w:rsid w:val="00C5486E"/>
    <w:rsid w:val="00C548A9"/>
    <w:rsid w:val="00C54923"/>
    <w:rsid w:val="00C549B9"/>
    <w:rsid w:val="00C54A6D"/>
    <w:rsid w:val="00C54AC7"/>
    <w:rsid w:val="00C54B42"/>
    <w:rsid w:val="00C54BAB"/>
    <w:rsid w:val="00C54BC5"/>
    <w:rsid w:val="00C54BDA"/>
    <w:rsid w:val="00C54C29"/>
    <w:rsid w:val="00C54CA0"/>
    <w:rsid w:val="00C54CCC"/>
    <w:rsid w:val="00C54D25"/>
    <w:rsid w:val="00C54E69"/>
    <w:rsid w:val="00C54F26"/>
    <w:rsid w:val="00C5500A"/>
    <w:rsid w:val="00C5501D"/>
    <w:rsid w:val="00C5504C"/>
    <w:rsid w:val="00C55069"/>
    <w:rsid w:val="00C550E5"/>
    <w:rsid w:val="00C55178"/>
    <w:rsid w:val="00C551A4"/>
    <w:rsid w:val="00C5522F"/>
    <w:rsid w:val="00C552B0"/>
    <w:rsid w:val="00C55418"/>
    <w:rsid w:val="00C55432"/>
    <w:rsid w:val="00C5544A"/>
    <w:rsid w:val="00C55451"/>
    <w:rsid w:val="00C55452"/>
    <w:rsid w:val="00C55463"/>
    <w:rsid w:val="00C55465"/>
    <w:rsid w:val="00C555C3"/>
    <w:rsid w:val="00C555C8"/>
    <w:rsid w:val="00C55673"/>
    <w:rsid w:val="00C5567C"/>
    <w:rsid w:val="00C5567D"/>
    <w:rsid w:val="00C556C5"/>
    <w:rsid w:val="00C556E2"/>
    <w:rsid w:val="00C5570E"/>
    <w:rsid w:val="00C5576C"/>
    <w:rsid w:val="00C5578B"/>
    <w:rsid w:val="00C5583B"/>
    <w:rsid w:val="00C5587F"/>
    <w:rsid w:val="00C5588E"/>
    <w:rsid w:val="00C5591F"/>
    <w:rsid w:val="00C55925"/>
    <w:rsid w:val="00C55935"/>
    <w:rsid w:val="00C559C4"/>
    <w:rsid w:val="00C559E2"/>
    <w:rsid w:val="00C55AC2"/>
    <w:rsid w:val="00C55B6B"/>
    <w:rsid w:val="00C55BA0"/>
    <w:rsid w:val="00C55BFD"/>
    <w:rsid w:val="00C55C0B"/>
    <w:rsid w:val="00C55C64"/>
    <w:rsid w:val="00C55CFB"/>
    <w:rsid w:val="00C55D86"/>
    <w:rsid w:val="00C55DC0"/>
    <w:rsid w:val="00C55F61"/>
    <w:rsid w:val="00C55F72"/>
    <w:rsid w:val="00C55FEB"/>
    <w:rsid w:val="00C561EE"/>
    <w:rsid w:val="00C561F0"/>
    <w:rsid w:val="00C5622A"/>
    <w:rsid w:val="00C56246"/>
    <w:rsid w:val="00C56288"/>
    <w:rsid w:val="00C562A3"/>
    <w:rsid w:val="00C56328"/>
    <w:rsid w:val="00C56398"/>
    <w:rsid w:val="00C565E1"/>
    <w:rsid w:val="00C56647"/>
    <w:rsid w:val="00C56692"/>
    <w:rsid w:val="00C566B6"/>
    <w:rsid w:val="00C566C7"/>
    <w:rsid w:val="00C56707"/>
    <w:rsid w:val="00C567E7"/>
    <w:rsid w:val="00C567F9"/>
    <w:rsid w:val="00C56825"/>
    <w:rsid w:val="00C56839"/>
    <w:rsid w:val="00C5685E"/>
    <w:rsid w:val="00C56876"/>
    <w:rsid w:val="00C568A0"/>
    <w:rsid w:val="00C56915"/>
    <w:rsid w:val="00C5699A"/>
    <w:rsid w:val="00C569D7"/>
    <w:rsid w:val="00C56A0F"/>
    <w:rsid w:val="00C56A2E"/>
    <w:rsid w:val="00C56A4D"/>
    <w:rsid w:val="00C56AC6"/>
    <w:rsid w:val="00C56AFF"/>
    <w:rsid w:val="00C56C13"/>
    <w:rsid w:val="00C56C6E"/>
    <w:rsid w:val="00C56CE2"/>
    <w:rsid w:val="00C56CED"/>
    <w:rsid w:val="00C56E5B"/>
    <w:rsid w:val="00C56E90"/>
    <w:rsid w:val="00C56E91"/>
    <w:rsid w:val="00C56F39"/>
    <w:rsid w:val="00C56FB1"/>
    <w:rsid w:val="00C57025"/>
    <w:rsid w:val="00C5702A"/>
    <w:rsid w:val="00C5703D"/>
    <w:rsid w:val="00C5706E"/>
    <w:rsid w:val="00C5709C"/>
    <w:rsid w:val="00C570AC"/>
    <w:rsid w:val="00C57116"/>
    <w:rsid w:val="00C5712E"/>
    <w:rsid w:val="00C5720B"/>
    <w:rsid w:val="00C57212"/>
    <w:rsid w:val="00C5725F"/>
    <w:rsid w:val="00C5726C"/>
    <w:rsid w:val="00C572CD"/>
    <w:rsid w:val="00C572F0"/>
    <w:rsid w:val="00C5732B"/>
    <w:rsid w:val="00C57332"/>
    <w:rsid w:val="00C573DD"/>
    <w:rsid w:val="00C57436"/>
    <w:rsid w:val="00C5746F"/>
    <w:rsid w:val="00C574DC"/>
    <w:rsid w:val="00C57523"/>
    <w:rsid w:val="00C5757C"/>
    <w:rsid w:val="00C57584"/>
    <w:rsid w:val="00C575D8"/>
    <w:rsid w:val="00C575E1"/>
    <w:rsid w:val="00C575F0"/>
    <w:rsid w:val="00C57638"/>
    <w:rsid w:val="00C57652"/>
    <w:rsid w:val="00C57718"/>
    <w:rsid w:val="00C57744"/>
    <w:rsid w:val="00C577AF"/>
    <w:rsid w:val="00C5787E"/>
    <w:rsid w:val="00C57957"/>
    <w:rsid w:val="00C57ABD"/>
    <w:rsid w:val="00C57AC2"/>
    <w:rsid w:val="00C57AF9"/>
    <w:rsid w:val="00C57B05"/>
    <w:rsid w:val="00C57C50"/>
    <w:rsid w:val="00C57C67"/>
    <w:rsid w:val="00C57CF6"/>
    <w:rsid w:val="00C57DF4"/>
    <w:rsid w:val="00C57ECB"/>
    <w:rsid w:val="00C57F68"/>
    <w:rsid w:val="00C57FC4"/>
    <w:rsid w:val="00C57FE6"/>
    <w:rsid w:val="00C57FE9"/>
    <w:rsid w:val="00C6009C"/>
    <w:rsid w:val="00C600A4"/>
    <w:rsid w:val="00C600AF"/>
    <w:rsid w:val="00C600ED"/>
    <w:rsid w:val="00C6012A"/>
    <w:rsid w:val="00C6018A"/>
    <w:rsid w:val="00C60192"/>
    <w:rsid w:val="00C601ED"/>
    <w:rsid w:val="00C601F1"/>
    <w:rsid w:val="00C60286"/>
    <w:rsid w:val="00C602DE"/>
    <w:rsid w:val="00C60377"/>
    <w:rsid w:val="00C60435"/>
    <w:rsid w:val="00C6043F"/>
    <w:rsid w:val="00C60453"/>
    <w:rsid w:val="00C60477"/>
    <w:rsid w:val="00C60486"/>
    <w:rsid w:val="00C6069E"/>
    <w:rsid w:val="00C606B1"/>
    <w:rsid w:val="00C606D6"/>
    <w:rsid w:val="00C6072F"/>
    <w:rsid w:val="00C60754"/>
    <w:rsid w:val="00C607C5"/>
    <w:rsid w:val="00C6082E"/>
    <w:rsid w:val="00C60849"/>
    <w:rsid w:val="00C608E3"/>
    <w:rsid w:val="00C608F5"/>
    <w:rsid w:val="00C608FE"/>
    <w:rsid w:val="00C60908"/>
    <w:rsid w:val="00C60957"/>
    <w:rsid w:val="00C6095C"/>
    <w:rsid w:val="00C6096A"/>
    <w:rsid w:val="00C609BB"/>
    <w:rsid w:val="00C609C9"/>
    <w:rsid w:val="00C60A62"/>
    <w:rsid w:val="00C60A7D"/>
    <w:rsid w:val="00C60AB7"/>
    <w:rsid w:val="00C60B13"/>
    <w:rsid w:val="00C60B91"/>
    <w:rsid w:val="00C60C29"/>
    <w:rsid w:val="00C60C68"/>
    <w:rsid w:val="00C60CB8"/>
    <w:rsid w:val="00C60CF5"/>
    <w:rsid w:val="00C60D62"/>
    <w:rsid w:val="00C60DC7"/>
    <w:rsid w:val="00C60DFF"/>
    <w:rsid w:val="00C60E21"/>
    <w:rsid w:val="00C60E6F"/>
    <w:rsid w:val="00C60E91"/>
    <w:rsid w:val="00C60F1D"/>
    <w:rsid w:val="00C60FFB"/>
    <w:rsid w:val="00C61005"/>
    <w:rsid w:val="00C61039"/>
    <w:rsid w:val="00C6107C"/>
    <w:rsid w:val="00C61082"/>
    <w:rsid w:val="00C610BD"/>
    <w:rsid w:val="00C6113B"/>
    <w:rsid w:val="00C6113E"/>
    <w:rsid w:val="00C61144"/>
    <w:rsid w:val="00C61167"/>
    <w:rsid w:val="00C611C0"/>
    <w:rsid w:val="00C61259"/>
    <w:rsid w:val="00C6125A"/>
    <w:rsid w:val="00C61355"/>
    <w:rsid w:val="00C61399"/>
    <w:rsid w:val="00C61479"/>
    <w:rsid w:val="00C614ED"/>
    <w:rsid w:val="00C61584"/>
    <w:rsid w:val="00C615D8"/>
    <w:rsid w:val="00C616FE"/>
    <w:rsid w:val="00C6175C"/>
    <w:rsid w:val="00C61760"/>
    <w:rsid w:val="00C61799"/>
    <w:rsid w:val="00C6179A"/>
    <w:rsid w:val="00C61801"/>
    <w:rsid w:val="00C61870"/>
    <w:rsid w:val="00C618D5"/>
    <w:rsid w:val="00C618DE"/>
    <w:rsid w:val="00C618FA"/>
    <w:rsid w:val="00C6196D"/>
    <w:rsid w:val="00C61A7D"/>
    <w:rsid w:val="00C61AC3"/>
    <w:rsid w:val="00C61B86"/>
    <w:rsid w:val="00C61BA3"/>
    <w:rsid w:val="00C61C97"/>
    <w:rsid w:val="00C61C9C"/>
    <w:rsid w:val="00C61CEA"/>
    <w:rsid w:val="00C61CF8"/>
    <w:rsid w:val="00C61D15"/>
    <w:rsid w:val="00C61D2F"/>
    <w:rsid w:val="00C61EC5"/>
    <w:rsid w:val="00C61EED"/>
    <w:rsid w:val="00C6202C"/>
    <w:rsid w:val="00C62030"/>
    <w:rsid w:val="00C6204D"/>
    <w:rsid w:val="00C6210D"/>
    <w:rsid w:val="00C62164"/>
    <w:rsid w:val="00C62249"/>
    <w:rsid w:val="00C6234B"/>
    <w:rsid w:val="00C623AB"/>
    <w:rsid w:val="00C62437"/>
    <w:rsid w:val="00C6253C"/>
    <w:rsid w:val="00C62578"/>
    <w:rsid w:val="00C625BE"/>
    <w:rsid w:val="00C62665"/>
    <w:rsid w:val="00C62680"/>
    <w:rsid w:val="00C626C5"/>
    <w:rsid w:val="00C626ED"/>
    <w:rsid w:val="00C62714"/>
    <w:rsid w:val="00C6271D"/>
    <w:rsid w:val="00C627A0"/>
    <w:rsid w:val="00C627F7"/>
    <w:rsid w:val="00C62800"/>
    <w:rsid w:val="00C6284C"/>
    <w:rsid w:val="00C628F1"/>
    <w:rsid w:val="00C62964"/>
    <w:rsid w:val="00C62A10"/>
    <w:rsid w:val="00C62A5D"/>
    <w:rsid w:val="00C62B02"/>
    <w:rsid w:val="00C62B25"/>
    <w:rsid w:val="00C62B81"/>
    <w:rsid w:val="00C62BC8"/>
    <w:rsid w:val="00C62CDC"/>
    <w:rsid w:val="00C62D0F"/>
    <w:rsid w:val="00C62D1F"/>
    <w:rsid w:val="00C62D23"/>
    <w:rsid w:val="00C62DF5"/>
    <w:rsid w:val="00C62E16"/>
    <w:rsid w:val="00C62F22"/>
    <w:rsid w:val="00C62F28"/>
    <w:rsid w:val="00C62F90"/>
    <w:rsid w:val="00C62FE3"/>
    <w:rsid w:val="00C63093"/>
    <w:rsid w:val="00C630ED"/>
    <w:rsid w:val="00C631E7"/>
    <w:rsid w:val="00C63269"/>
    <w:rsid w:val="00C63274"/>
    <w:rsid w:val="00C63280"/>
    <w:rsid w:val="00C63307"/>
    <w:rsid w:val="00C63313"/>
    <w:rsid w:val="00C63333"/>
    <w:rsid w:val="00C63357"/>
    <w:rsid w:val="00C6336A"/>
    <w:rsid w:val="00C633F7"/>
    <w:rsid w:val="00C63424"/>
    <w:rsid w:val="00C63522"/>
    <w:rsid w:val="00C63524"/>
    <w:rsid w:val="00C6357C"/>
    <w:rsid w:val="00C635E9"/>
    <w:rsid w:val="00C63626"/>
    <w:rsid w:val="00C63668"/>
    <w:rsid w:val="00C636BD"/>
    <w:rsid w:val="00C6370D"/>
    <w:rsid w:val="00C63744"/>
    <w:rsid w:val="00C63797"/>
    <w:rsid w:val="00C63798"/>
    <w:rsid w:val="00C63878"/>
    <w:rsid w:val="00C638F2"/>
    <w:rsid w:val="00C63968"/>
    <w:rsid w:val="00C63981"/>
    <w:rsid w:val="00C639B6"/>
    <w:rsid w:val="00C63A33"/>
    <w:rsid w:val="00C63A42"/>
    <w:rsid w:val="00C63A6A"/>
    <w:rsid w:val="00C63AFD"/>
    <w:rsid w:val="00C63B4F"/>
    <w:rsid w:val="00C63BE5"/>
    <w:rsid w:val="00C63BE9"/>
    <w:rsid w:val="00C63C2A"/>
    <w:rsid w:val="00C63C83"/>
    <w:rsid w:val="00C63C86"/>
    <w:rsid w:val="00C63CE7"/>
    <w:rsid w:val="00C63D19"/>
    <w:rsid w:val="00C63D30"/>
    <w:rsid w:val="00C63DB2"/>
    <w:rsid w:val="00C63DFF"/>
    <w:rsid w:val="00C63E45"/>
    <w:rsid w:val="00C63E96"/>
    <w:rsid w:val="00C63EF7"/>
    <w:rsid w:val="00C63FCB"/>
    <w:rsid w:val="00C63FF9"/>
    <w:rsid w:val="00C64048"/>
    <w:rsid w:val="00C640A7"/>
    <w:rsid w:val="00C641A1"/>
    <w:rsid w:val="00C641AB"/>
    <w:rsid w:val="00C641B6"/>
    <w:rsid w:val="00C641B8"/>
    <w:rsid w:val="00C641C8"/>
    <w:rsid w:val="00C64326"/>
    <w:rsid w:val="00C6432B"/>
    <w:rsid w:val="00C64356"/>
    <w:rsid w:val="00C64359"/>
    <w:rsid w:val="00C64363"/>
    <w:rsid w:val="00C643DC"/>
    <w:rsid w:val="00C64459"/>
    <w:rsid w:val="00C64485"/>
    <w:rsid w:val="00C6453F"/>
    <w:rsid w:val="00C64647"/>
    <w:rsid w:val="00C646F4"/>
    <w:rsid w:val="00C647EA"/>
    <w:rsid w:val="00C64816"/>
    <w:rsid w:val="00C648CD"/>
    <w:rsid w:val="00C648E4"/>
    <w:rsid w:val="00C64916"/>
    <w:rsid w:val="00C64956"/>
    <w:rsid w:val="00C64968"/>
    <w:rsid w:val="00C64997"/>
    <w:rsid w:val="00C649E5"/>
    <w:rsid w:val="00C649E9"/>
    <w:rsid w:val="00C64A23"/>
    <w:rsid w:val="00C64A50"/>
    <w:rsid w:val="00C64ADA"/>
    <w:rsid w:val="00C64B63"/>
    <w:rsid w:val="00C64B6F"/>
    <w:rsid w:val="00C64BF7"/>
    <w:rsid w:val="00C64C03"/>
    <w:rsid w:val="00C64C23"/>
    <w:rsid w:val="00C64C5D"/>
    <w:rsid w:val="00C64C90"/>
    <w:rsid w:val="00C64CBA"/>
    <w:rsid w:val="00C64DE5"/>
    <w:rsid w:val="00C64DFB"/>
    <w:rsid w:val="00C64E45"/>
    <w:rsid w:val="00C64E96"/>
    <w:rsid w:val="00C64F2C"/>
    <w:rsid w:val="00C6501C"/>
    <w:rsid w:val="00C6505D"/>
    <w:rsid w:val="00C6505E"/>
    <w:rsid w:val="00C6509A"/>
    <w:rsid w:val="00C651E7"/>
    <w:rsid w:val="00C65242"/>
    <w:rsid w:val="00C65281"/>
    <w:rsid w:val="00C652AA"/>
    <w:rsid w:val="00C652CA"/>
    <w:rsid w:val="00C6531B"/>
    <w:rsid w:val="00C653DE"/>
    <w:rsid w:val="00C653EC"/>
    <w:rsid w:val="00C65416"/>
    <w:rsid w:val="00C65472"/>
    <w:rsid w:val="00C654A9"/>
    <w:rsid w:val="00C654E0"/>
    <w:rsid w:val="00C65569"/>
    <w:rsid w:val="00C65598"/>
    <w:rsid w:val="00C656C9"/>
    <w:rsid w:val="00C6576D"/>
    <w:rsid w:val="00C65790"/>
    <w:rsid w:val="00C65815"/>
    <w:rsid w:val="00C65878"/>
    <w:rsid w:val="00C65908"/>
    <w:rsid w:val="00C659BB"/>
    <w:rsid w:val="00C659CB"/>
    <w:rsid w:val="00C65AA5"/>
    <w:rsid w:val="00C65AFE"/>
    <w:rsid w:val="00C65B14"/>
    <w:rsid w:val="00C65B44"/>
    <w:rsid w:val="00C65B50"/>
    <w:rsid w:val="00C65B60"/>
    <w:rsid w:val="00C65BBA"/>
    <w:rsid w:val="00C65C7B"/>
    <w:rsid w:val="00C65CA5"/>
    <w:rsid w:val="00C65CD7"/>
    <w:rsid w:val="00C65D18"/>
    <w:rsid w:val="00C65D32"/>
    <w:rsid w:val="00C65D6A"/>
    <w:rsid w:val="00C65E29"/>
    <w:rsid w:val="00C65F1F"/>
    <w:rsid w:val="00C65FC9"/>
    <w:rsid w:val="00C65FDA"/>
    <w:rsid w:val="00C66038"/>
    <w:rsid w:val="00C66061"/>
    <w:rsid w:val="00C66077"/>
    <w:rsid w:val="00C6616C"/>
    <w:rsid w:val="00C6631A"/>
    <w:rsid w:val="00C66427"/>
    <w:rsid w:val="00C66454"/>
    <w:rsid w:val="00C664A2"/>
    <w:rsid w:val="00C664B2"/>
    <w:rsid w:val="00C664CF"/>
    <w:rsid w:val="00C664F3"/>
    <w:rsid w:val="00C6653C"/>
    <w:rsid w:val="00C6658E"/>
    <w:rsid w:val="00C665AE"/>
    <w:rsid w:val="00C6668A"/>
    <w:rsid w:val="00C667B2"/>
    <w:rsid w:val="00C6684E"/>
    <w:rsid w:val="00C6688B"/>
    <w:rsid w:val="00C668AD"/>
    <w:rsid w:val="00C668DB"/>
    <w:rsid w:val="00C66976"/>
    <w:rsid w:val="00C669B3"/>
    <w:rsid w:val="00C66A16"/>
    <w:rsid w:val="00C66A87"/>
    <w:rsid w:val="00C66B91"/>
    <w:rsid w:val="00C66C21"/>
    <w:rsid w:val="00C66C2B"/>
    <w:rsid w:val="00C66C4D"/>
    <w:rsid w:val="00C66C6F"/>
    <w:rsid w:val="00C66CDE"/>
    <w:rsid w:val="00C66D13"/>
    <w:rsid w:val="00C66DA1"/>
    <w:rsid w:val="00C66DA5"/>
    <w:rsid w:val="00C66DC3"/>
    <w:rsid w:val="00C66E4D"/>
    <w:rsid w:val="00C66F7F"/>
    <w:rsid w:val="00C66F91"/>
    <w:rsid w:val="00C66FC9"/>
    <w:rsid w:val="00C66FD5"/>
    <w:rsid w:val="00C670A4"/>
    <w:rsid w:val="00C670FE"/>
    <w:rsid w:val="00C671B4"/>
    <w:rsid w:val="00C671C2"/>
    <w:rsid w:val="00C671D2"/>
    <w:rsid w:val="00C67216"/>
    <w:rsid w:val="00C67218"/>
    <w:rsid w:val="00C6721E"/>
    <w:rsid w:val="00C672CE"/>
    <w:rsid w:val="00C673D8"/>
    <w:rsid w:val="00C67465"/>
    <w:rsid w:val="00C6748E"/>
    <w:rsid w:val="00C674B0"/>
    <w:rsid w:val="00C674D6"/>
    <w:rsid w:val="00C674E5"/>
    <w:rsid w:val="00C674E6"/>
    <w:rsid w:val="00C6751E"/>
    <w:rsid w:val="00C67558"/>
    <w:rsid w:val="00C67582"/>
    <w:rsid w:val="00C6762E"/>
    <w:rsid w:val="00C676A4"/>
    <w:rsid w:val="00C676A6"/>
    <w:rsid w:val="00C676B3"/>
    <w:rsid w:val="00C676BE"/>
    <w:rsid w:val="00C676F3"/>
    <w:rsid w:val="00C67716"/>
    <w:rsid w:val="00C677A4"/>
    <w:rsid w:val="00C677CB"/>
    <w:rsid w:val="00C677DF"/>
    <w:rsid w:val="00C67821"/>
    <w:rsid w:val="00C6782A"/>
    <w:rsid w:val="00C67869"/>
    <w:rsid w:val="00C678F5"/>
    <w:rsid w:val="00C67911"/>
    <w:rsid w:val="00C679A7"/>
    <w:rsid w:val="00C679AE"/>
    <w:rsid w:val="00C679BA"/>
    <w:rsid w:val="00C679E5"/>
    <w:rsid w:val="00C67A0A"/>
    <w:rsid w:val="00C67A29"/>
    <w:rsid w:val="00C67B69"/>
    <w:rsid w:val="00C67B8F"/>
    <w:rsid w:val="00C67BBB"/>
    <w:rsid w:val="00C67BFF"/>
    <w:rsid w:val="00C67C0E"/>
    <w:rsid w:val="00C67C1E"/>
    <w:rsid w:val="00C67CA0"/>
    <w:rsid w:val="00C67CB9"/>
    <w:rsid w:val="00C67CC0"/>
    <w:rsid w:val="00C67D9D"/>
    <w:rsid w:val="00C67EDD"/>
    <w:rsid w:val="00C67F87"/>
    <w:rsid w:val="00C67FBF"/>
    <w:rsid w:val="00C67FF2"/>
    <w:rsid w:val="00C70012"/>
    <w:rsid w:val="00C70089"/>
    <w:rsid w:val="00C700B7"/>
    <w:rsid w:val="00C700E3"/>
    <w:rsid w:val="00C70200"/>
    <w:rsid w:val="00C70228"/>
    <w:rsid w:val="00C702A8"/>
    <w:rsid w:val="00C702C7"/>
    <w:rsid w:val="00C702EE"/>
    <w:rsid w:val="00C702F6"/>
    <w:rsid w:val="00C703DA"/>
    <w:rsid w:val="00C70501"/>
    <w:rsid w:val="00C7051A"/>
    <w:rsid w:val="00C7052C"/>
    <w:rsid w:val="00C70561"/>
    <w:rsid w:val="00C7063C"/>
    <w:rsid w:val="00C70653"/>
    <w:rsid w:val="00C706C7"/>
    <w:rsid w:val="00C7071C"/>
    <w:rsid w:val="00C7076F"/>
    <w:rsid w:val="00C70772"/>
    <w:rsid w:val="00C70784"/>
    <w:rsid w:val="00C70788"/>
    <w:rsid w:val="00C70795"/>
    <w:rsid w:val="00C707B1"/>
    <w:rsid w:val="00C708AA"/>
    <w:rsid w:val="00C708DB"/>
    <w:rsid w:val="00C708EC"/>
    <w:rsid w:val="00C70956"/>
    <w:rsid w:val="00C70997"/>
    <w:rsid w:val="00C70999"/>
    <w:rsid w:val="00C70AA7"/>
    <w:rsid w:val="00C70AE3"/>
    <w:rsid w:val="00C70B50"/>
    <w:rsid w:val="00C70B8D"/>
    <w:rsid w:val="00C70B98"/>
    <w:rsid w:val="00C70B9E"/>
    <w:rsid w:val="00C70C0C"/>
    <w:rsid w:val="00C70C65"/>
    <w:rsid w:val="00C70C8F"/>
    <w:rsid w:val="00C70CD7"/>
    <w:rsid w:val="00C70DC8"/>
    <w:rsid w:val="00C70E21"/>
    <w:rsid w:val="00C70E2C"/>
    <w:rsid w:val="00C70E34"/>
    <w:rsid w:val="00C70E5B"/>
    <w:rsid w:val="00C70E7D"/>
    <w:rsid w:val="00C70EDE"/>
    <w:rsid w:val="00C70F65"/>
    <w:rsid w:val="00C70F92"/>
    <w:rsid w:val="00C70FC8"/>
    <w:rsid w:val="00C71075"/>
    <w:rsid w:val="00C710BE"/>
    <w:rsid w:val="00C710D3"/>
    <w:rsid w:val="00C710E0"/>
    <w:rsid w:val="00C710FB"/>
    <w:rsid w:val="00C7111D"/>
    <w:rsid w:val="00C711CE"/>
    <w:rsid w:val="00C711D2"/>
    <w:rsid w:val="00C7121D"/>
    <w:rsid w:val="00C71224"/>
    <w:rsid w:val="00C712F7"/>
    <w:rsid w:val="00C71321"/>
    <w:rsid w:val="00C71342"/>
    <w:rsid w:val="00C71345"/>
    <w:rsid w:val="00C713EA"/>
    <w:rsid w:val="00C71414"/>
    <w:rsid w:val="00C71452"/>
    <w:rsid w:val="00C7145C"/>
    <w:rsid w:val="00C71466"/>
    <w:rsid w:val="00C71495"/>
    <w:rsid w:val="00C71525"/>
    <w:rsid w:val="00C715FC"/>
    <w:rsid w:val="00C7163B"/>
    <w:rsid w:val="00C71655"/>
    <w:rsid w:val="00C716AF"/>
    <w:rsid w:val="00C716B8"/>
    <w:rsid w:val="00C71728"/>
    <w:rsid w:val="00C717D2"/>
    <w:rsid w:val="00C71838"/>
    <w:rsid w:val="00C7189C"/>
    <w:rsid w:val="00C71973"/>
    <w:rsid w:val="00C719D7"/>
    <w:rsid w:val="00C719E2"/>
    <w:rsid w:val="00C719EF"/>
    <w:rsid w:val="00C71A18"/>
    <w:rsid w:val="00C71ACE"/>
    <w:rsid w:val="00C71AE8"/>
    <w:rsid w:val="00C71B66"/>
    <w:rsid w:val="00C71C15"/>
    <w:rsid w:val="00C71CEE"/>
    <w:rsid w:val="00C71D37"/>
    <w:rsid w:val="00C71D43"/>
    <w:rsid w:val="00C71D81"/>
    <w:rsid w:val="00C71DAB"/>
    <w:rsid w:val="00C71DB9"/>
    <w:rsid w:val="00C71DE1"/>
    <w:rsid w:val="00C71DF1"/>
    <w:rsid w:val="00C71E03"/>
    <w:rsid w:val="00C71E9E"/>
    <w:rsid w:val="00C71EEE"/>
    <w:rsid w:val="00C72068"/>
    <w:rsid w:val="00C72156"/>
    <w:rsid w:val="00C72184"/>
    <w:rsid w:val="00C7220C"/>
    <w:rsid w:val="00C7225C"/>
    <w:rsid w:val="00C72270"/>
    <w:rsid w:val="00C7228E"/>
    <w:rsid w:val="00C7229B"/>
    <w:rsid w:val="00C722CD"/>
    <w:rsid w:val="00C72359"/>
    <w:rsid w:val="00C7238B"/>
    <w:rsid w:val="00C723ED"/>
    <w:rsid w:val="00C723F6"/>
    <w:rsid w:val="00C723FD"/>
    <w:rsid w:val="00C724F1"/>
    <w:rsid w:val="00C7255C"/>
    <w:rsid w:val="00C7259E"/>
    <w:rsid w:val="00C7262B"/>
    <w:rsid w:val="00C72652"/>
    <w:rsid w:val="00C72697"/>
    <w:rsid w:val="00C726CB"/>
    <w:rsid w:val="00C727FA"/>
    <w:rsid w:val="00C7283D"/>
    <w:rsid w:val="00C7294C"/>
    <w:rsid w:val="00C72A24"/>
    <w:rsid w:val="00C72A86"/>
    <w:rsid w:val="00C72AEB"/>
    <w:rsid w:val="00C72B62"/>
    <w:rsid w:val="00C72BCA"/>
    <w:rsid w:val="00C72C53"/>
    <w:rsid w:val="00C72C5B"/>
    <w:rsid w:val="00C72C9E"/>
    <w:rsid w:val="00C72CE1"/>
    <w:rsid w:val="00C72D82"/>
    <w:rsid w:val="00C72DA7"/>
    <w:rsid w:val="00C72E44"/>
    <w:rsid w:val="00C72ECF"/>
    <w:rsid w:val="00C730FD"/>
    <w:rsid w:val="00C73108"/>
    <w:rsid w:val="00C73191"/>
    <w:rsid w:val="00C731D2"/>
    <w:rsid w:val="00C73305"/>
    <w:rsid w:val="00C73385"/>
    <w:rsid w:val="00C733E9"/>
    <w:rsid w:val="00C73405"/>
    <w:rsid w:val="00C73493"/>
    <w:rsid w:val="00C7358D"/>
    <w:rsid w:val="00C7359C"/>
    <w:rsid w:val="00C735D0"/>
    <w:rsid w:val="00C735DF"/>
    <w:rsid w:val="00C735F8"/>
    <w:rsid w:val="00C73628"/>
    <w:rsid w:val="00C73656"/>
    <w:rsid w:val="00C73681"/>
    <w:rsid w:val="00C736DC"/>
    <w:rsid w:val="00C7375A"/>
    <w:rsid w:val="00C7376D"/>
    <w:rsid w:val="00C73835"/>
    <w:rsid w:val="00C73997"/>
    <w:rsid w:val="00C7399E"/>
    <w:rsid w:val="00C739B6"/>
    <w:rsid w:val="00C739BC"/>
    <w:rsid w:val="00C739EF"/>
    <w:rsid w:val="00C73C4B"/>
    <w:rsid w:val="00C73DC1"/>
    <w:rsid w:val="00C73EE0"/>
    <w:rsid w:val="00C73F48"/>
    <w:rsid w:val="00C73FE7"/>
    <w:rsid w:val="00C740BE"/>
    <w:rsid w:val="00C74102"/>
    <w:rsid w:val="00C74253"/>
    <w:rsid w:val="00C74337"/>
    <w:rsid w:val="00C74357"/>
    <w:rsid w:val="00C7436C"/>
    <w:rsid w:val="00C743D9"/>
    <w:rsid w:val="00C74482"/>
    <w:rsid w:val="00C744D5"/>
    <w:rsid w:val="00C744F5"/>
    <w:rsid w:val="00C74591"/>
    <w:rsid w:val="00C745E7"/>
    <w:rsid w:val="00C745E8"/>
    <w:rsid w:val="00C745F6"/>
    <w:rsid w:val="00C7462F"/>
    <w:rsid w:val="00C74672"/>
    <w:rsid w:val="00C74683"/>
    <w:rsid w:val="00C746CF"/>
    <w:rsid w:val="00C7470C"/>
    <w:rsid w:val="00C74747"/>
    <w:rsid w:val="00C74795"/>
    <w:rsid w:val="00C747AE"/>
    <w:rsid w:val="00C7487D"/>
    <w:rsid w:val="00C748D0"/>
    <w:rsid w:val="00C748ED"/>
    <w:rsid w:val="00C74912"/>
    <w:rsid w:val="00C7491A"/>
    <w:rsid w:val="00C7492D"/>
    <w:rsid w:val="00C7492E"/>
    <w:rsid w:val="00C749A5"/>
    <w:rsid w:val="00C749A8"/>
    <w:rsid w:val="00C74A12"/>
    <w:rsid w:val="00C74B03"/>
    <w:rsid w:val="00C74B10"/>
    <w:rsid w:val="00C74B24"/>
    <w:rsid w:val="00C74B25"/>
    <w:rsid w:val="00C74B99"/>
    <w:rsid w:val="00C74BC6"/>
    <w:rsid w:val="00C74BE6"/>
    <w:rsid w:val="00C74BEA"/>
    <w:rsid w:val="00C74C38"/>
    <w:rsid w:val="00C74C8F"/>
    <w:rsid w:val="00C74CC7"/>
    <w:rsid w:val="00C74D21"/>
    <w:rsid w:val="00C74D74"/>
    <w:rsid w:val="00C74DD4"/>
    <w:rsid w:val="00C74E7E"/>
    <w:rsid w:val="00C74F95"/>
    <w:rsid w:val="00C74FCC"/>
    <w:rsid w:val="00C74FFB"/>
    <w:rsid w:val="00C7507A"/>
    <w:rsid w:val="00C750D3"/>
    <w:rsid w:val="00C750F8"/>
    <w:rsid w:val="00C7514B"/>
    <w:rsid w:val="00C751C5"/>
    <w:rsid w:val="00C75209"/>
    <w:rsid w:val="00C7524E"/>
    <w:rsid w:val="00C75260"/>
    <w:rsid w:val="00C75297"/>
    <w:rsid w:val="00C752E6"/>
    <w:rsid w:val="00C75369"/>
    <w:rsid w:val="00C75440"/>
    <w:rsid w:val="00C75454"/>
    <w:rsid w:val="00C75555"/>
    <w:rsid w:val="00C756F5"/>
    <w:rsid w:val="00C757B2"/>
    <w:rsid w:val="00C75807"/>
    <w:rsid w:val="00C75819"/>
    <w:rsid w:val="00C7582E"/>
    <w:rsid w:val="00C75855"/>
    <w:rsid w:val="00C7585E"/>
    <w:rsid w:val="00C7588F"/>
    <w:rsid w:val="00C75967"/>
    <w:rsid w:val="00C759D3"/>
    <w:rsid w:val="00C75A4B"/>
    <w:rsid w:val="00C75A8C"/>
    <w:rsid w:val="00C75AD4"/>
    <w:rsid w:val="00C75B44"/>
    <w:rsid w:val="00C75C96"/>
    <w:rsid w:val="00C75D05"/>
    <w:rsid w:val="00C75D58"/>
    <w:rsid w:val="00C75DC7"/>
    <w:rsid w:val="00C75E2B"/>
    <w:rsid w:val="00C75E5C"/>
    <w:rsid w:val="00C75E6D"/>
    <w:rsid w:val="00C75E9B"/>
    <w:rsid w:val="00C75EB6"/>
    <w:rsid w:val="00C75EDA"/>
    <w:rsid w:val="00C75EFC"/>
    <w:rsid w:val="00C75F0B"/>
    <w:rsid w:val="00C75F63"/>
    <w:rsid w:val="00C75FC1"/>
    <w:rsid w:val="00C75FD2"/>
    <w:rsid w:val="00C75FF9"/>
    <w:rsid w:val="00C7606A"/>
    <w:rsid w:val="00C760EE"/>
    <w:rsid w:val="00C761A4"/>
    <w:rsid w:val="00C761AA"/>
    <w:rsid w:val="00C761C0"/>
    <w:rsid w:val="00C76242"/>
    <w:rsid w:val="00C7625E"/>
    <w:rsid w:val="00C7642A"/>
    <w:rsid w:val="00C7644C"/>
    <w:rsid w:val="00C76452"/>
    <w:rsid w:val="00C76468"/>
    <w:rsid w:val="00C76472"/>
    <w:rsid w:val="00C7655C"/>
    <w:rsid w:val="00C76618"/>
    <w:rsid w:val="00C7677E"/>
    <w:rsid w:val="00C76850"/>
    <w:rsid w:val="00C76902"/>
    <w:rsid w:val="00C76924"/>
    <w:rsid w:val="00C76946"/>
    <w:rsid w:val="00C76A4A"/>
    <w:rsid w:val="00C76A63"/>
    <w:rsid w:val="00C76B44"/>
    <w:rsid w:val="00C76B4E"/>
    <w:rsid w:val="00C76B50"/>
    <w:rsid w:val="00C76B6D"/>
    <w:rsid w:val="00C76BC6"/>
    <w:rsid w:val="00C76BF4"/>
    <w:rsid w:val="00C76CEA"/>
    <w:rsid w:val="00C76D98"/>
    <w:rsid w:val="00C76E6A"/>
    <w:rsid w:val="00C76E71"/>
    <w:rsid w:val="00C76E9E"/>
    <w:rsid w:val="00C76F2C"/>
    <w:rsid w:val="00C76F95"/>
    <w:rsid w:val="00C76FEE"/>
    <w:rsid w:val="00C7706A"/>
    <w:rsid w:val="00C770A4"/>
    <w:rsid w:val="00C77104"/>
    <w:rsid w:val="00C77146"/>
    <w:rsid w:val="00C77200"/>
    <w:rsid w:val="00C7722E"/>
    <w:rsid w:val="00C77254"/>
    <w:rsid w:val="00C772F5"/>
    <w:rsid w:val="00C772FF"/>
    <w:rsid w:val="00C7732B"/>
    <w:rsid w:val="00C77345"/>
    <w:rsid w:val="00C77376"/>
    <w:rsid w:val="00C773DD"/>
    <w:rsid w:val="00C7742A"/>
    <w:rsid w:val="00C77444"/>
    <w:rsid w:val="00C77470"/>
    <w:rsid w:val="00C7753A"/>
    <w:rsid w:val="00C77591"/>
    <w:rsid w:val="00C775DB"/>
    <w:rsid w:val="00C77604"/>
    <w:rsid w:val="00C7764A"/>
    <w:rsid w:val="00C77689"/>
    <w:rsid w:val="00C776C0"/>
    <w:rsid w:val="00C776F2"/>
    <w:rsid w:val="00C77788"/>
    <w:rsid w:val="00C77815"/>
    <w:rsid w:val="00C77904"/>
    <w:rsid w:val="00C7791F"/>
    <w:rsid w:val="00C7792E"/>
    <w:rsid w:val="00C77940"/>
    <w:rsid w:val="00C779FA"/>
    <w:rsid w:val="00C77B4E"/>
    <w:rsid w:val="00C77B86"/>
    <w:rsid w:val="00C77C22"/>
    <w:rsid w:val="00C77CF5"/>
    <w:rsid w:val="00C77D2F"/>
    <w:rsid w:val="00C77E84"/>
    <w:rsid w:val="00C77EB9"/>
    <w:rsid w:val="00C77FB3"/>
    <w:rsid w:val="00C77FEE"/>
    <w:rsid w:val="00C8000D"/>
    <w:rsid w:val="00C8001A"/>
    <w:rsid w:val="00C80084"/>
    <w:rsid w:val="00C800AB"/>
    <w:rsid w:val="00C80107"/>
    <w:rsid w:val="00C801FD"/>
    <w:rsid w:val="00C8024C"/>
    <w:rsid w:val="00C80259"/>
    <w:rsid w:val="00C8025B"/>
    <w:rsid w:val="00C8028A"/>
    <w:rsid w:val="00C80347"/>
    <w:rsid w:val="00C803BD"/>
    <w:rsid w:val="00C803E6"/>
    <w:rsid w:val="00C8040B"/>
    <w:rsid w:val="00C8041B"/>
    <w:rsid w:val="00C80448"/>
    <w:rsid w:val="00C804AD"/>
    <w:rsid w:val="00C804D2"/>
    <w:rsid w:val="00C805B4"/>
    <w:rsid w:val="00C805DE"/>
    <w:rsid w:val="00C806A4"/>
    <w:rsid w:val="00C8076C"/>
    <w:rsid w:val="00C8076F"/>
    <w:rsid w:val="00C8077C"/>
    <w:rsid w:val="00C807CE"/>
    <w:rsid w:val="00C80842"/>
    <w:rsid w:val="00C80843"/>
    <w:rsid w:val="00C80892"/>
    <w:rsid w:val="00C808F8"/>
    <w:rsid w:val="00C80915"/>
    <w:rsid w:val="00C80918"/>
    <w:rsid w:val="00C809C1"/>
    <w:rsid w:val="00C809D2"/>
    <w:rsid w:val="00C80A9B"/>
    <w:rsid w:val="00C80AB5"/>
    <w:rsid w:val="00C80BE9"/>
    <w:rsid w:val="00C80BF5"/>
    <w:rsid w:val="00C80C3D"/>
    <w:rsid w:val="00C80C7C"/>
    <w:rsid w:val="00C80C9A"/>
    <w:rsid w:val="00C80CA9"/>
    <w:rsid w:val="00C80CB7"/>
    <w:rsid w:val="00C80D10"/>
    <w:rsid w:val="00C80D24"/>
    <w:rsid w:val="00C80DAE"/>
    <w:rsid w:val="00C80DD4"/>
    <w:rsid w:val="00C80EBF"/>
    <w:rsid w:val="00C80F83"/>
    <w:rsid w:val="00C80FE1"/>
    <w:rsid w:val="00C81048"/>
    <w:rsid w:val="00C810DC"/>
    <w:rsid w:val="00C81267"/>
    <w:rsid w:val="00C81284"/>
    <w:rsid w:val="00C81296"/>
    <w:rsid w:val="00C81338"/>
    <w:rsid w:val="00C81352"/>
    <w:rsid w:val="00C813C5"/>
    <w:rsid w:val="00C813F6"/>
    <w:rsid w:val="00C8142F"/>
    <w:rsid w:val="00C814A5"/>
    <w:rsid w:val="00C814B8"/>
    <w:rsid w:val="00C81559"/>
    <w:rsid w:val="00C8161F"/>
    <w:rsid w:val="00C81627"/>
    <w:rsid w:val="00C81702"/>
    <w:rsid w:val="00C8178B"/>
    <w:rsid w:val="00C81795"/>
    <w:rsid w:val="00C8182F"/>
    <w:rsid w:val="00C81935"/>
    <w:rsid w:val="00C81972"/>
    <w:rsid w:val="00C819F3"/>
    <w:rsid w:val="00C819F8"/>
    <w:rsid w:val="00C81A24"/>
    <w:rsid w:val="00C81A48"/>
    <w:rsid w:val="00C81A56"/>
    <w:rsid w:val="00C81A89"/>
    <w:rsid w:val="00C81AB3"/>
    <w:rsid w:val="00C81B37"/>
    <w:rsid w:val="00C81B76"/>
    <w:rsid w:val="00C81BD1"/>
    <w:rsid w:val="00C81C7B"/>
    <w:rsid w:val="00C81E61"/>
    <w:rsid w:val="00C81EA2"/>
    <w:rsid w:val="00C81EC8"/>
    <w:rsid w:val="00C81F02"/>
    <w:rsid w:val="00C82061"/>
    <w:rsid w:val="00C8207A"/>
    <w:rsid w:val="00C820C3"/>
    <w:rsid w:val="00C82136"/>
    <w:rsid w:val="00C8218C"/>
    <w:rsid w:val="00C82199"/>
    <w:rsid w:val="00C8219F"/>
    <w:rsid w:val="00C8224A"/>
    <w:rsid w:val="00C8233C"/>
    <w:rsid w:val="00C82341"/>
    <w:rsid w:val="00C82411"/>
    <w:rsid w:val="00C8241F"/>
    <w:rsid w:val="00C824E4"/>
    <w:rsid w:val="00C82520"/>
    <w:rsid w:val="00C82596"/>
    <w:rsid w:val="00C8260C"/>
    <w:rsid w:val="00C826AA"/>
    <w:rsid w:val="00C826AF"/>
    <w:rsid w:val="00C8272C"/>
    <w:rsid w:val="00C82759"/>
    <w:rsid w:val="00C82762"/>
    <w:rsid w:val="00C82831"/>
    <w:rsid w:val="00C82920"/>
    <w:rsid w:val="00C82941"/>
    <w:rsid w:val="00C829A6"/>
    <w:rsid w:val="00C829AE"/>
    <w:rsid w:val="00C82AE0"/>
    <w:rsid w:val="00C82BC9"/>
    <w:rsid w:val="00C82BF5"/>
    <w:rsid w:val="00C82C4F"/>
    <w:rsid w:val="00C82C86"/>
    <w:rsid w:val="00C82CFE"/>
    <w:rsid w:val="00C82D03"/>
    <w:rsid w:val="00C82E2D"/>
    <w:rsid w:val="00C82E89"/>
    <w:rsid w:val="00C82EC4"/>
    <w:rsid w:val="00C82EC5"/>
    <w:rsid w:val="00C82F56"/>
    <w:rsid w:val="00C82F5F"/>
    <w:rsid w:val="00C82FE9"/>
    <w:rsid w:val="00C82FEA"/>
    <w:rsid w:val="00C83016"/>
    <w:rsid w:val="00C83018"/>
    <w:rsid w:val="00C830CD"/>
    <w:rsid w:val="00C83132"/>
    <w:rsid w:val="00C831C4"/>
    <w:rsid w:val="00C83253"/>
    <w:rsid w:val="00C832B0"/>
    <w:rsid w:val="00C83351"/>
    <w:rsid w:val="00C83378"/>
    <w:rsid w:val="00C833AE"/>
    <w:rsid w:val="00C833D2"/>
    <w:rsid w:val="00C83456"/>
    <w:rsid w:val="00C834E8"/>
    <w:rsid w:val="00C834EE"/>
    <w:rsid w:val="00C8351E"/>
    <w:rsid w:val="00C8358E"/>
    <w:rsid w:val="00C835E5"/>
    <w:rsid w:val="00C83646"/>
    <w:rsid w:val="00C83656"/>
    <w:rsid w:val="00C83714"/>
    <w:rsid w:val="00C83793"/>
    <w:rsid w:val="00C83829"/>
    <w:rsid w:val="00C838FD"/>
    <w:rsid w:val="00C83937"/>
    <w:rsid w:val="00C83984"/>
    <w:rsid w:val="00C839A3"/>
    <w:rsid w:val="00C839E0"/>
    <w:rsid w:val="00C83B95"/>
    <w:rsid w:val="00C83BA9"/>
    <w:rsid w:val="00C83BB1"/>
    <w:rsid w:val="00C83C05"/>
    <w:rsid w:val="00C83C1B"/>
    <w:rsid w:val="00C83C7E"/>
    <w:rsid w:val="00C83D06"/>
    <w:rsid w:val="00C83D16"/>
    <w:rsid w:val="00C83D55"/>
    <w:rsid w:val="00C83DD2"/>
    <w:rsid w:val="00C83E18"/>
    <w:rsid w:val="00C83EFF"/>
    <w:rsid w:val="00C83F7E"/>
    <w:rsid w:val="00C83FB5"/>
    <w:rsid w:val="00C83FB7"/>
    <w:rsid w:val="00C83FF4"/>
    <w:rsid w:val="00C84099"/>
    <w:rsid w:val="00C840A0"/>
    <w:rsid w:val="00C84114"/>
    <w:rsid w:val="00C8411F"/>
    <w:rsid w:val="00C8413C"/>
    <w:rsid w:val="00C8416E"/>
    <w:rsid w:val="00C84178"/>
    <w:rsid w:val="00C8424C"/>
    <w:rsid w:val="00C842F0"/>
    <w:rsid w:val="00C842F2"/>
    <w:rsid w:val="00C84339"/>
    <w:rsid w:val="00C8437F"/>
    <w:rsid w:val="00C8439B"/>
    <w:rsid w:val="00C84424"/>
    <w:rsid w:val="00C84439"/>
    <w:rsid w:val="00C845BB"/>
    <w:rsid w:val="00C84631"/>
    <w:rsid w:val="00C84686"/>
    <w:rsid w:val="00C8468B"/>
    <w:rsid w:val="00C846EE"/>
    <w:rsid w:val="00C847B5"/>
    <w:rsid w:val="00C8480E"/>
    <w:rsid w:val="00C84905"/>
    <w:rsid w:val="00C84915"/>
    <w:rsid w:val="00C84949"/>
    <w:rsid w:val="00C849EA"/>
    <w:rsid w:val="00C84A47"/>
    <w:rsid w:val="00C84A4D"/>
    <w:rsid w:val="00C84A58"/>
    <w:rsid w:val="00C84AC1"/>
    <w:rsid w:val="00C84B80"/>
    <w:rsid w:val="00C84B98"/>
    <w:rsid w:val="00C84CD0"/>
    <w:rsid w:val="00C84CEE"/>
    <w:rsid w:val="00C84D00"/>
    <w:rsid w:val="00C84D34"/>
    <w:rsid w:val="00C84D9B"/>
    <w:rsid w:val="00C84ECF"/>
    <w:rsid w:val="00C84F03"/>
    <w:rsid w:val="00C84F91"/>
    <w:rsid w:val="00C84FD7"/>
    <w:rsid w:val="00C85014"/>
    <w:rsid w:val="00C85046"/>
    <w:rsid w:val="00C85133"/>
    <w:rsid w:val="00C85166"/>
    <w:rsid w:val="00C851A5"/>
    <w:rsid w:val="00C853B8"/>
    <w:rsid w:val="00C8541B"/>
    <w:rsid w:val="00C854FE"/>
    <w:rsid w:val="00C8553A"/>
    <w:rsid w:val="00C8560B"/>
    <w:rsid w:val="00C85658"/>
    <w:rsid w:val="00C856CD"/>
    <w:rsid w:val="00C856F2"/>
    <w:rsid w:val="00C857F7"/>
    <w:rsid w:val="00C858A8"/>
    <w:rsid w:val="00C858F0"/>
    <w:rsid w:val="00C8591B"/>
    <w:rsid w:val="00C8591F"/>
    <w:rsid w:val="00C85A9C"/>
    <w:rsid w:val="00C85B4F"/>
    <w:rsid w:val="00C85B92"/>
    <w:rsid w:val="00C85BD4"/>
    <w:rsid w:val="00C85C4F"/>
    <w:rsid w:val="00C85D3A"/>
    <w:rsid w:val="00C85DD5"/>
    <w:rsid w:val="00C85E46"/>
    <w:rsid w:val="00C85E60"/>
    <w:rsid w:val="00C85E61"/>
    <w:rsid w:val="00C85E6F"/>
    <w:rsid w:val="00C85EDB"/>
    <w:rsid w:val="00C85FAA"/>
    <w:rsid w:val="00C85FFC"/>
    <w:rsid w:val="00C8600E"/>
    <w:rsid w:val="00C86032"/>
    <w:rsid w:val="00C8607A"/>
    <w:rsid w:val="00C86119"/>
    <w:rsid w:val="00C86168"/>
    <w:rsid w:val="00C8623E"/>
    <w:rsid w:val="00C86321"/>
    <w:rsid w:val="00C8652C"/>
    <w:rsid w:val="00C8656A"/>
    <w:rsid w:val="00C865D4"/>
    <w:rsid w:val="00C865FD"/>
    <w:rsid w:val="00C86672"/>
    <w:rsid w:val="00C867A1"/>
    <w:rsid w:val="00C867CB"/>
    <w:rsid w:val="00C86839"/>
    <w:rsid w:val="00C86917"/>
    <w:rsid w:val="00C8692C"/>
    <w:rsid w:val="00C86A1F"/>
    <w:rsid w:val="00C86A91"/>
    <w:rsid w:val="00C86B0C"/>
    <w:rsid w:val="00C86BAB"/>
    <w:rsid w:val="00C86BEF"/>
    <w:rsid w:val="00C86C95"/>
    <w:rsid w:val="00C86C9A"/>
    <w:rsid w:val="00C86CA7"/>
    <w:rsid w:val="00C86CAF"/>
    <w:rsid w:val="00C86DC5"/>
    <w:rsid w:val="00C86EC3"/>
    <w:rsid w:val="00C86EC9"/>
    <w:rsid w:val="00C86F00"/>
    <w:rsid w:val="00C86F38"/>
    <w:rsid w:val="00C86F61"/>
    <w:rsid w:val="00C86F9F"/>
    <w:rsid w:val="00C86FCF"/>
    <w:rsid w:val="00C8707D"/>
    <w:rsid w:val="00C870A5"/>
    <w:rsid w:val="00C8712D"/>
    <w:rsid w:val="00C871B3"/>
    <w:rsid w:val="00C871F7"/>
    <w:rsid w:val="00C87262"/>
    <w:rsid w:val="00C872E2"/>
    <w:rsid w:val="00C872E8"/>
    <w:rsid w:val="00C8736E"/>
    <w:rsid w:val="00C874C1"/>
    <w:rsid w:val="00C874E9"/>
    <w:rsid w:val="00C8751F"/>
    <w:rsid w:val="00C87563"/>
    <w:rsid w:val="00C87601"/>
    <w:rsid w:val="00C8763C"/>
    <w:rsid w:val="00C87675"/>
    <w:rsid w:val="00C8767D"/>
    <w:rsid w:val="00C87753"/>
    <w:rsid w:val="00C87857"/>
    <w:rsid w:val="00C87861"/>
    <w:rsid w:val="00C879DA"/>
    <w:rsid w:val="00C87A0E"/>
    <w:rsid w:val="00C87A8A"/>
    <w:rsid w:val="00C87B2D"/>
    <w:rsid w:val="00C87B36"/>
    <w:rsid w:val="00C87B47"/>
    <w:rsid w:val="00C87B51"/>
    <w:rsid w:val="00C87BFB"/>
    <w:rsid w:val="00C87C0C"/>
    <w:rsid w:val="00C87C68"/>
    <w:rsid w:val="00C87CF5"/>
    <w:rsid w:val="00C87D34"/>
    <w:rsid w:val="00C87D6D"/>
    <w:rsid w:val="00C87D85"/>
    <w:rsid w:val="00C87D98"/>
    <w:rsid w:val="00C87E20"/>
    <w:rsid w:val="00C87E8F"/>
    <w:rsid w:val="00C87EAD"/>
    <w:rsid w:val="00C87F01"/>
    <w:rsid w:val="00C90019"/>
    <w:rsid w:val="00C9003B"/>
    <w:rsid w:val="00C9007F"/>
    <w:rsid w:val="00C9020E"/>
    <w:rsid w:val="00C90264"/>
    <w:rsid w:val="00C90393"/>
    <w:rsid w:val="00C903BD"/>
    <w:rsid w:val="00C903E4"/>
    <w:rsid w:val="00C90412"/>
    <w:rsid w:val="00C9046F"/>
    <w:rsid w:val="00C904AF"/>
    <w:rsid w:val="00C90553"/>
    <w:rsid w:val="00C90593"/>
    <w:rsid w:val="00C90649"/>
    <w:rsid w:val="00C90674"/>
    <w:rsid w:val="00C9067C"/>
    <w:rsid w:val="00C906AA"/>
    <w:rsid w:val="00C906DB"/>
    <w:rsid w:val="00C9070E"/>
    <w:rsid w:val="00C90734"/>
    <w:rsid w:val="00C90736"/>
    <w:rsid w:val="00C90778"/>
    <w:rsid w:val="00C907AE"/>
    <w:rsid w:val="00C90861"/>
    <w:rsid w:val="00C90886"/>
    <w:rsid w:val="00C90943"/>
    <w:rsid w:val="00C9095E"/>
    <w:rsid w:val="00C909B0"/>
    <w:rsid w:val="00C909D3"/>
    <w:rsid w:val="00C90A02"/>
    <w:rsid w:val="00C90A06"/>
    <w:rsid w:val="00C90A28"/>
    <w:rsid w:val="00C90A39"/>
    <w:rsid w:val="00C90AA1"/>
    <w:rsid w:val="00C90BB9"/>
    <w:rsid w:val="00C90C33"/>
    <w:rsid w:val="00C90C6C"/>
    <w:rsid w:val="00C90CA9"/>
    <w:rsid w:val="00C90CAF"/>
    <w:rsid w:val="00C90D0C"/>
    <w:rsid w:val="00C90D6F"/>
    <w:rsid w:val="00C90DAF"/>
    <w:rsid w:val="00C90E4B"/>
    <w:rsid w:val="00C90E9F"/>
    <w:rsid w:val="00C90EA1"/>
    <w:rsid w:val="00C90F1D"/>
    <w:rsid w:val="00C90F64"/>
    <w:rsid w:val="00C90F86"/>
    <w:rsid w:val="00C90F91"/>
    <w:rsid w:val="00C90FA3"/>
    <w:rsid w:val="00C90FD1"/>
    <w:rsid w:val="00C9102F"/>
    <w:rsid w:val="00C9105C"/>
    <w:rsid w:val="00C91093"/>
    <w:rsid w:val="00C9111C"/>
    <w:rsid w:val="00C91280"/>
    <w:rsid w:val="00C91350"/>
    <w:rsid w:val="00C91385"/>
    <w:rsid w:val="00C913C1"/>
    <w:rsid w:val="00C914B9"/>
    <w:rsid w:val="00C914C1"/>
    <w:rsid w:val="00C914F4"/>
    <w:rsid w:val="00C91512"/>
    <w:rsid w:val="00C91517"/>
    <w:rsid w:val="00C9151B"/>
    <w:rsid w:val="00C9151F"/>
    <w:rsid w:val="00C91528"/>
    <w:rsid w:val="00C91589"/>
    <w:rsid w:val="00C915A4"/>
    <w:rsid w:val="00C915AC"/>
    <w:rsid w:val="00C91618"/>
    <w:rsid w:val="00C91646"/>
    <w:rsid w:val="00C916F4"/>
    <w:rsid w:val="00C916FA"/>
    <w:rsid w:val="00C91798"/>
    <w:rsid w:val="00C917A6"/>
    <w:rsid w:val="00C917AD"/>
    <w:rsid w:val="00C9193E"/>
    <w:rsid w:val="00C91996"/>
    <w:rsid w:val="00C919C8"/>
    <w:rsid w:val="00C919EC"/>
    <w:rsid w:val="00C91A07"/>
    <w:rsid w:val="00C91A0C"/>
    <w:rsid w:val="00C91AA5"/>
    <w:rsid w:val="00C91AC0"/>
    <w:rsid w:val="00C91AC4"/>
    <w:rsid w:val="00C91B2B"/>
    <w:rsid w:val="00C91B56"/>
    <w:rsid w:val="00C91B78"/>
    <w:rsid w:val="00C91B89"/>
    <w:rsid w:val="00C91BC3"/>
    <w:rsid w:val="00C91BE5"/>
    <w:rsid w:val="00C91C22"/>
    <w:rsid w:val="00C91CCB"/>
    <w:rsid w:val="00C91D1B"/>
    <w:rsid w:val="00C91D9A"/>
    <w:rsid w:val="00C91DF9"/>
    <w:rsid w:val="00C91EE5"/>
    <w:rsid w:val="00C91EFF"/>
    <w:rsid w:val="00C91F23"/>
    <w:rsid w:val="00C91F26"/>
    <w:rsid w:val="00C91F42"/>
    <w:rsid w:val="00C91F8A"/>
    <w:rsid w:val="00C92006"/>
    <w:rsid w:val="00C92039"/>
    <w:rsid w:val="00C92088"/>
    <w:rsid w:val="00C9211E"/>
    <w:rsid w:val="00C92171"/>
    <w:rsid w:val="00C921C2"/>
    <w:rsid w:val="00C92262"/>
    <w:rsid w:val="00C92267"/>
    <w:rsid w:val="00C92309"/>
    <w:rsid w:val="00C923C4"/>
    <w:rsid w:val="00C923FA"/>
    <w:rsid w:val="00C9242D"/>
    <w:rsid w:val="00C924EA"/>
    <w:rsid w:val="00C92547"/>
    <w:rsid w:val="00C925D6"/>
    <w:rsid w:val="00C9260D"/>
    <w:rsid w:val="00C92635"/>
    <w:rsid w:val="00C92648"/>
    <w:rsid w:val="00C927A5"/>
    <w:rsid w:val="00C927FD"/>
    <w:rsid w:val="00C92807"/>
    <w:rsid w:val="00C9283D"/>
    <w:rsid w:val="00C92856"/>
    <w:rsid w:val="00C928D4"/>
    <w:rsid w:val="00C928F9"/>
    <w:rsid w:val="00C92946"/>
    <w:rsid w:val="00C92967"/>
    <w:rsid w:val="00C929B7"/>
    <w:rsid w:val="00C92A9B"/>
    <w:rsid w:val="00C92AA7"/>
    <w:rsid w:val="00C92AE9"/>
    <w:rsid w:val="00C92B19"/>
    <w:rsid w:val="00C92B51"/>
    <w:rsid w:val="00C92BDC"/>
    <w:rsid w:val="00C92CCF"/>
    <w:rsid w:val="00C92EB7"/>
    <w:rsid w:val="00C93003"/>
    <w:rsid w:val="00C9302F"/>
    <w:rsid w:val="00C93045"/>
    <w:rsid w:val="00C93055"/>
    <w:rsid w:val="00C93069"/>
    <w:rsid w:val="00C9307F"/>
    <w:rsid w:val="00C930FD"/>
    <w:rsid w:val="00C93113"/>
    <w:rsid w:val="00C9316D"/>
    <w:rsid w:val="00C931BB"/>
    <w:rsid w:val="00C931F0"/>
    <w:rsid w:val="00C9329A"/>
    <w:rsid w:val="00C932BC"/>
    <w:rsid w:val="00C932C5"/>
    <w:rsid w:val="00C93306"/>
    <w:rsid w:val="00C93330"/>
    <w:rsid w:val="00C933F8"/>
    <w:rsid w:val="00C93420"/>
    <w:rsid w:val="00C93440"/>
    <w:rsid w:val="00C93465"/>
    <w:rsid w:val="00C9351C"/>
    <w:rsid w:val="00C935BE"/>
    <w:rsid w:val="00C935C1"/>
    <w:rsid w:val="00C935DA"/>
    <w:rsid w:val="00C935E4"/>
    <w:rsid w:val="00C935EA"/>
    <w:rsid w:val="00C935F8"/>
    <w:rsid w:val="00C936F2"/>
    <w:rsid w:val="00C936FE"/>
    <w:rsid w:val="00C937BA"/>
    <w:rsid w:val="00C9387D"/>
    <w:rsid w:val="00C938AC"/>
    <w:rsid w:val="00C93962"/>
    <w:rsid w:val="00C939C2"/>
    <w:rsid w:val="00C93AC2"/>
    <w:rsid w:val="00C93B09"/>
    <w:rsid w:val="00C93B19"/>
    <w:rsid w:val="00C93B1E"/>
    <w:rsid w:val="00C93B78"/>
    <w:rsid w:val="00C93BF5"/>
    <w:rsid w:val="00C93C4E"/>
    <w:rsid w:val="00C93C70"/>
    <w:rsid w:val="00C93CAE"/>
    <w:rsid w:val="00C93D0D"/>
    <w:rsid w:val="00C93D53"/>
    <w:rsid w:val="00C93FE8"/>
    <w:rsid w:val="00C9405D"/>
    <w:rsid w:val="00C940AD"/>
    <w:rsid w:val="00C94103"/>
    <w:rsid w:val="00C9412B"/>
    <w:rsid w:val="00C9416A"/>
    <w:rsid w:val="00C941CE"/>
    <w:rsid w:val="00C941E6"/>
    <w:rsid w:val="00C9422D"/>
    <w:rsid w:val="00C9438B"/>
    <w:rsid w:val="00C943C0"/>
    <w:rsid w:val="00C943EE"/>
    <w:rsid w:val="00C94453"/>
    <w:rsid w:val="00C944AC"/>
    <w:rsid w:val="00C94567"/>
    <w:rsid w:val="00C9458E"/>
    <w:rsid w:val="00C945B5"/>
    <w:rsid w:val="00C945C3"/>
    <w:rsid w:val="00C94678"/>
    <w:rsid w:val="00C94694"/>
    <w:rsid w:val="00C946D0"/>
    <w:rsid w:val="00C94790"/>
    <w:rsid w:val="00C9479A"/>
    <w:rsid w:val="00C94831"/>
    <w:rsid w:val="00C948A5"/>
    <w:rsid w:val="00C948F0"/>
    <w:rsid w:val="00C94965"/>
    <w:rsid w:val="00C94A5E"/>
    <w:rsid w:val="00C94A91"/>
    <w:rsid w:val="00C94AFF"/>
    <w:rsid w:val="00C94B1B"/>
    <w:rsid w:val="00C94B46"/>
    <w:rsid w:val="00C94BFC"/>
    <w:rsid w:val="00C94C97"/>
    <w:rsid w:val="00C94CB1"/>
    <w:rsid w:val="00C94CE8"/>
    <w:rsid w:val="00C94DB0"/>
    <w:rsid w:val="00C94E11"/>
    <w:rsid w:val="00C94E61"/>
    <w:rsid w:val="00C94EB1"/>
    <w:rsid w:val="00C94F4B"/>
    <w:rsid w:val="00C94F6A"/>
    <w:rsid w:val="00C94FA6"/>
    <w:rsid w:val="00C9509C"/>
    <w:rsid w:val="00C950A0"/>
    <w:rsid w:val="00C9516D"/>
    <w:rsid w:val="00C95176"/>
    <w:rsid w:val="00C951DF"/>
    <w:rsid w:val="00C95403"/>
    <w:rsid w:val="00C9547B"/>
    <w:rsid w:val="00C9549F"/>
    <w:rsid w:val="00C9552B"/>
    <w:rsid w:val="00C955B6"/>
    <w:rsid w:val="00C9565D"/>
    <w:rsid w:val="00C95678"/>
    <w:rsid w:val="00C956A0"/>
    <w:rsid w:val="00C95707"/>
    <w:rsid w:val="00C9572C"/>
    <w:rsid w:val="00C95758"/>
    <w:rsid w:val="00C957B7"/>
    <w:rsid w:val="00C957C1"/>
    <w:rsid w:val="00C95814"/>
    <w:rsid w:val="00C95935"/>
    <w:rsid w:val="00C95969"/>
    <w:rsid w:val="00C9598C"/>
    <w:rsid w:val="00C9599A"/>
    <w:rsid w:val="00C9599D"/>
    <w:rsid w:val="00C95A76"/>
    <w:rsid w:val="00C95AC4"/>
    <w:rsid w:val="00C95ADE"/>
    <w:rsid w:val="00C95B34"/>
    <w:rsid w:val="00C95B3F"/>
    <w:rsid w:val="00C95B51"/>
    <w:rsid w:val="00C95C52"/>
    <w:rsid w:val="00C95CAE"/>
    <w:rsid w:val="00C95CBC"/>
    <w:rsid w:val="00C95CC5"/>
    <w:rsid w:val="00C95D26"/>
    <w:rsid w:val="00C95E0A"/>
    <w:rsid w:val="00C95ECE"/>
    <w:rsid w:val="00C95F9C"/>
    <w:rsid w:val="00C95FAD"/>
    <w:rsid w:val="00C960CD"/>
    <w:rsid w:val="00C960E6"/>
    <w:rsid w:val="00C96186"/>
    <w:rsid w:val="00C96229"/>
    <w:rsid w:val="00C9622E"/>
    <w:rsid w:val="00C962E3"/>
    <w:rsid w:val="00C96325"/>
    <w:rsid w:val="00C9635E"/>
    <w:rsid w:val="00C96369"/>
    <w:rsid w:val="00C963F0"/>
    <w:rsid w:val="00C96428"/>
    <w:rsid w:val="00C964DC"/>
    <w:rsid w:val="00C96529"/>
    <w:rsid w:val="00C96568"/>
    <w:rsid w:val="00C96601"/>
    <w:rsid w:val="00C96644"/>
    <w:rsid w:val="00C9664D"/>
    <w:rsid w:val="00C96736"/>
    <w:rsid w:val="00C967A7"/>
    <w:rsid w:val="00C967B0"/>
    <w:rsid w:val="00C96828"/>
    <w:rsid w:val="00C96845"/>
    <w:rsid w:val="00C968CD"/>
    <w:rsid w:val="00C9697E"/>
    <w:rsid w:val="00C96B75"/>
    <w:rsid w:val="00C96B7D"/>
    <w:rsid w:val="00C96BAA"/>
    <w:rsid w:val="00C96C1D"/>
    <w:rsid w:val="00C96C83"/>
    <w:rsid w:val="00C96CB2"/>
    <w:rsid w:val="00C96CCE"/>
    <w:rsid w:val="00C96D0E"/>
    <w:rsid w:val="00C96D15"/>
    <w:rsid w:val="00C96D5F"/>
    <w:rsid w:val="00C96D93"/>
    <w:rsid w:val="00C96DC4"/>
    <w:rsid w:val="00C96F88"/>
    <w:rsid w:val="00C96FC4"/>
    <w:rsid w:val="00C970CD"/>
    <w:rsid w:val="00C97292"/>
    <w:rsid w:val="00C972C7"/>
    <w:rsid w:val="00C972FD"/>
    <w:rsid w:val="00C97339"/>
    <w:rsid w:val="00C97482"/>
    <w:rsid w:val="00C97484"/>
    <w:rsid w:val="00C975ED"/>
    <w:rsid w:val="00C97652"/>
    <w:rsid w:val="00C97665"/>
    <w:rsid w:val="00C976D2"/>
    <w:rsid w:val="00C97728"/>
    <w:rsid w:val="00C97731"/>
    <w:rsid w:val="00C977BD"/>
    <w:rsid w:val="00C977E8"/>
    <w:rsid w:val="00C9781D"/>
    <w:rsid w:val="00C978FD"/>
    <w:rsid w:val="00C9794E"/>
    <w:rsid w:val="00C979CF"/>
    <w:rsid w:val="00C97A83"/>
    <w:rsid w:val="00C97AED"/>
    <w:rsid w:val="00C97B42"/>
    <w:rsid w:val="00C97B51"/>
    <w:rsid w:val="00C97B5C"/>
    <w:rsid w:val="00C97B65"/>
    <w:rsid w:val="00C97B79"/>
    <w:rsid w:val="00C97B7F"/>
    <w:rsid w:val="00C97BA0"/>
    <w:rsid w:val="00C97C19"/>
    <w:rsid w:val="00C97C25"/>
    <w:rsid w:val="00C97F2C"/>
    <w:rsid w:val="00C97F31"/>
    <w:rsid w:val="00C97FB5"/>
    <w:rsid w:val="00C97FC5"/>
    <w:rsid w:val="00CA0156"/>
    <w:rsid w:val="00CA0223"/>
    <w:rsid w:val="00CA022E"/>
    <w:rsid w:val="00CA023D"/>
    <w:rsid w:val="00CA0285"/>
    <w:rsid w:val="00CA02F4"/>
    <w:rsid w:val="00CA040D"/>
    <w:rsid w:val="00CA046F"/>
    <w:rsid w:val="00CA047A"/>
    <w:rsid w:val="00CA049E"/>
    <w:rsid w:val="00CA050E"/>
    <w:rsid w:val="00CA06F0"/>
    <w:rsid w:val="00CA0709"/>
    <w:rsid w:val="00CA075F"/>
    <w:rsid w:val="00CA079A"/>
    <w:rsid w:val="00CA07D5"/>
    <w:rsid w:val="00CA0848"/>
    <w:rsid w:val="00CA0921"/>
    <w:rsid w:val="00CA098D"/>
    <w:rsid w:val="00CA09AB"/>
    <w:rsid w:val="00CA09FC"/>
    <w:rsid w:val="00CA0B32"/>
    <w:rsid w:val="00CA0B38"/>
    <w:rsid w:val="00CA0BCF"/>
    <w:rsid w:val="00CA0C36"/>
    <w:rsid w:val="00CA0CAA"/>
    <w:rsid w:val="00CA0CF1"/>
    <w:rsid w:val="00CA0D53"/>
    <w:rsid w:val="00CA0E1B"/>
    <w:rsid w:val="00CA0E29"/>
    <w:rsid w:val="00CA0E72"/>
    <w:rsid w:val="00CA105C"/>
    <w:rsid w:val="00CA11AA"/>
    <w:rsid w:val="00CA1237"/>
    <w:rsid w:val="00CA12D5"/>
    <w:rsid w:val="00CA1325"/>
    <w:rsid w:val="00CA13A0"/>
    <w:rsid w:val="00CA13BD"/>
    <w:rsid w:val="00CA13CE"/>
    <w:rsid w:val="00CA13F6"/>
    <w:rsid w:val="00CA1428"/>
    <w:rsid w:val="00CA1486"/>
    <w:rsid w:val="00CA15A4"/>
    <w:rsid w:val="00CA15A6"/>
    <w:rsid w:val="00CA15F0"/>
    <w:rsid w:val="00CA1605"/>
    <w:rsid w:val="00CA1714"/>
    <w:rsid w:val="00CA1757"/>
    <w:rsid w:val="00CA175E"/>
    <w:rsid w:val="00CA1768"/>
    <w:rsid w:val="00CA176A"/>
    <w:rsid w:val="00CA1894"/>
    <w:rsid w:val="00CA189C"/>
    <w:rsid w:val="00CA18B3"/>
    <w:rsid w:val="00CA18B6"/>
    <w:rsid w:val="00CA18BA"/>
    <w:rsid w:val="00CA1913"/>
    <w:rsid w:val="00CA1955"/>
    <w:rsid w:val="00CA19A2"/>
    <w:rsid w:val="00CA19BB"/>
    <w:rsid w:val="00CA1A09"/>
    <w:rsid w:val="00CA1A17"/>
    <w:rsid w:val="00CA1A2F"/>
    <w:rsid w:val="00CA1A75"/>
    <w:rsid w:val="00CA1A8A"/>
    <w:rsid w:val="00CA1ABF"/>
    <w:rsid w:val="00CA1B65"/>
    <w:rsid w:val="00CA1CF0"/>
    <w:rsid w:val="00CA1DAB"/>
    <w:rsid w:val="00CA1EBB"/>
    <w:rsid w:val="00CA1ECE"/>
    <w:rsid w:val="00CA1FCE"/>
    <w:rsid w:val="00CA2026"/>
    <w:rsid w:val="00CA2044"/>
    <w:rsid w:val="00CA206C"/>
    <w:rsid w:val="00CA2075"/>
    <w:rsid w:val="00CA20BB"/>
    <w:rsid w:val="00CA20F1"/>
    <w:rsid w:val="00CA20FE"/>
    <w:rsid w:val="00CA2147"/>
    <w:rsid w:val="00CA218D"/>
    <w:rsid w:val="00CA219B"/>
    <w:rsid w:val="00CA21B3"/>
    <w:rsid w:val="00CA222E"/>
    <w:rsid w:val="00CA227A"/>
    <w:rsid w:val="00CA227F"/>
    <w:rsid w:val="00CA233D"/>
    <w:rsid w:val="00CA2427"/>
    <w:rsid w:val="00CA244A"/>
    <w:rsid w:val="00CA2470"/>
    <w:rsid w:val="00CA24A9"/>
    <w:rsid w:val="00CA255E"/>
    <w:rsid w:val="00CA2568"/>
    <w:rsid w:val="00CA25B7"/>
    <w:rsid w:val="00CA25BD"/>
    <w:rsid w:val="00CA2649"/>
    <w:rsid w:val="00CA266E"/>
    <w:rsid w:val="00CA2690"/>
    <w:rsid w:val="00CA26F5"/>
    <w:rsid w:val="00CA26F9"/>
    <w:rsid w:val="00CA2715"/>
    <w:rsid w:val="00CA2758"/>
    <w:rsid w:val="00CA2786"/>
    <w:rsid w:val="00CA284F"/>
    <w:rsid w:val="00CA28FF"/>
    <w:rsid w:val="00CA290B"/>
    <w:rsid w:val="00CA29A6"/>
    <w:rsid w:val="00CA2A72"/>
    <w:rsid w:val="00CA2A86"/>
    <w:rsid w:val="00CA2ACA"/>
    <w:rsid w:val="00CA2B74"/>
    <w:rsid w:val="00CA2C01"/>
    <w:rsid w:val="00CA2C86"/>
    <w:rsid w:val="00CA2CE6"/>
    <w:rsid w:val="00CA2D18"/>
    <w:rsid w:val="00CA2D25"/>
    <w:rsid w:val="00CA2D36"/>
    <w:rsid w:val="00CA2D39"/>
    <w:rsid w:val="00CA2E7E"/>
    <w:rsid w:val="00CA2F15"/>
    <w:rsid w:val="00CA2F3F"/>
    <w:rsid w:val="00CA2F40"/>
    <w:rsid w:val="00CA2F89"/>
    <w:rsid w:val="00CA2FF2"/>
    <w:rsid w:val="00CA3078"/>
    <w:rsid w:val="00CA3162"/>
    <w:rsid w:val="00CA31F2"/>
    <w:rsid w:val="00CA3220"/>
    <w:rsid w:val="00CA325F"/>
    <w:rsid w:val="00CA331A"/>
    <w:rsid w:val="00CA3337"/>
    <w:rsid w:val="00CA3355"/>
    <w:rsid w:val="00CA33D3"/>
    <w:rsid w:val="00CA33EA"/>
    <w:rsid w:val="00CA3481"/>
    <w:rsid w:val="00CA352D"/>
    <w:rsid w:val="00CA35BE"/>
    <w:rsid w:val="00CA35F3"/>
    <w:rsid w:val="00CA3621"/>
    <w:rsid w:val="00CA36F8"/>
    <w:rsid w:val="00CA3701"/>
    <w:rsid w:val="00CA3803"/>
    <w:rsid w:val="00CA3824"/>
    <w:rsid w:val="00CA3832"/>
    <w:rsid w:val="00CA3856"/>
    <w:rsid w:val="00CA388D"/>
    <w:rsid w:val="00CA3890"/>
    <w:rsid w:val="00CA390A"/>
    <w:rsid w:val="00CA396B"/>
    <w:rsid w:val="00CA3A1A"/>
    <w:rsid w:val="00CA3A21"/>
    <w:rsid w:val="00CA3A65"/>
    <w:rsid w:val="00CA3A86"/>
    <w:rsid w:val="00CA3AC9"/>
    <w:rsid w:val="00CA3AE1"/>
    <w:rsid w:val="00CA3B22"/>
    <w:rsid w:val="00CA3B6F"/>
    <w:rsid w:val="00CA3C49"/>
    <w:rsid w:val="00CA3C86"/>
    <w:rsid w:val="00CA3CA4"/>
    <w:rsid w:val="00CA3CA6"/>
    <w:rsid w:val="00CA3CA8"/>
    <w:rsid w:val="00CA3CF7"/>
    <w:rsid w:val="00CA3D0E"/>
    <w:rsid w:val="00CA3D50"/>
    <w:rsid w:val="00CA3D9C"/>
    <w:rsid w:val="00CA3DA4"/>
    <w:rsid w:val="00CA3DAA"/>
    <w:rsid w:val="00CA3E73"/>
    <w:rsid w:val="00CA3E91"/>
    <w:rsid w:val="00CA3E9D"/>
    <w:rsid w:val="00CA3EE6"/>
    <w:rsid w:val="00CA3F22"/>
    <w:rsid w:val="00CA3F69"/>
    <w:rsid w:val="00CA3F7B"/>
    <w:rsid w:val="00CA3FAA"/>
    <w:rsid w:val="00CA3FFD"/>
    <w:rsid w:val="00CA4123"/>
    <w:rsid w:val="00CA4130"/>
    <w:rsid w:val="00CA424D"/>
    <w:rsid w:val="00CA42D1"/>
    <w:rsid w:val="00CA42D3"/>
    <w:rsid w:val="00CA42DE"/>
    <w:rsid w:val="00CA42FA"/>
    <w:rsid w:val="00CA43BA"/>
    <w:rsid w:val="00CA4489"/>
    <w:rsid w:val="00CA44C5"/>
    <w:rsid w:val="00CA44C6"/>
    <w:rsid w:val="00CA4520"/>
    <w:rsid w:val="00CA4532"/>
    <w:rsid w:val="00CA4557"/>
    <w:rsid w:val="00CA4577"/>
    <w:rsid w:val="00CA45D6"/>
    <w:rsid w:val="00CA45F8"/>
    <w:rsid w:val="00CA4623"/>
    <w:rsid w:val="00CA4717"/>
    <w:rsid w:val="00CA475A"/>
    <w:rsid w:val="00CA47EB"/>
    <w:rsid w:val="00CA4807"/>
    <w:rsid w:val="00CA4810"/>
    <w:rsid w:val="00CA486D"/>
    <w:rsid w:val="00CA4979"/>
    <w:rsid w:val="00CA49FF"/>
    <w:rsid w:val="00CA4A04"/>
    <w:rsid w:val="00CA4A06"/>
    <w:rsid w:val="00CA4A4B"/>
    <w:rsid w:val="00CA4B33"/>
    <w:rsid w:val="00CA4C10"/>
    <w:rsid w:val="00CA4CE2"/>
    <w:rsid w:val="00CA4E28"/>
    <w:rsid w:val="00CA4E68"/>
    <w:rsid w:val="00CA4E6E"/>
    <w:rsid w:val="00CA4E9F"/>
    <w:rsid w:val="00CA4EAD"/>
    <w:rsid w:val="00CA5046"/>
    <w:rsid w:val="00CA5069"/>
    <w:rsid w:val="00CA50E1"/>
    <w:rsid w:val="00CA520B"/>
    <w:rsid w:val="00CA52A3"/>
    <w:rsid w:val="00CA52BD"/>
    <w:rsid w:val="00CA52FD"/>
    <w:rsid w:val="00CA5334"/>
    <w:rsid w:val="00CA542D"/>
    <w:rsid w:val="00CA547F"/>
    <w:rsid w:val="00CA553C"/>
    <w:rsid w:val="00CA5546"/>
    <w:rsid w:val="00CA5551"/>
    <w:rsid w:val="00CA55F2"/>
    <w:rsid w:val="00CA561E"/>
    <w:rsid w:val="00CA5653"/>
    <w:rsid w:val="00CA577D"/>
    <w:rsid w:val="00CA58D0"/>
    <w:rsid w:val="00CA58FA"/>
    <w:rsid w:val="00CA5936"/>
    <w:rsid w:val="00CA59D5"/>
    <w:rsid w:val="00CA5A3C"/>
    <w:rsid w:val="00CA5A6D"/>
    <w:rsid w:val="00CA5AC6"/>
    <w:rsid w:val="00CA5CD1"/>
    <w:rsid w:val="00CA5CEC"/>
    <w:rsid w:val="00CA5D07"/>
    <w:rsid w:val="00CA5D25"/>
    <w:rsid w:val="00CA5D89"/>
    <w:rsid w:val="00CA5DBB"/>
    <w:rsid w:val="00CA5E14"/>
    <w:rsid w:val="00CA5E8E"/>
    <w:rsid w:val="00CA5EB0"/>
    <w:rsid w:val="00CA5F06"/>
    <w:rsid w:val="00CA5F90"/>
    <w:rsid w:val="00CA60AB"/>
    <w:rsid w:val="00CA60B2"/>
    <w:rsid w:val="00CA6117"/>
    <w:rsid w:val="00CA619A"/>
    <w:rsid w:val="00CA61C7"/>
    <w:rsid w:val="00CA6208"/>
    <w:rsid w:val="00CA631F"/>
    <w:rsid w:val="00CA6375"/>
    <w:rsid w:val="00CA6377"/>
    <w:rsid w:val="00CA637D"/>
    <w:rsid w:val="00CA6389"/>
    <w:rsid w:val="00CA63D5"/>
    <w:rsid w:val="00CA6435"/>
    <w:rsid w:val="00CA643E"/>
    <w:rsid w:val="00CA6461"/>
    <w:rsid w:val="00CA64DA"/>
    <w:rsid w:val="00CA65C4"/>
    <w:rsid w:val="00CA662B"/>
    <w:rsid w:val="00CA6645"/>
    <w:rsid w:val="00CA66E6"/>
    <w:rsid w:val="00CA6758"/>
    <w:rsid w:val="00CA6770"/>
    <w:rsid w:val="00CA678F"/>
    <w:rsid w:val="00CA6798"/>
    <w:rsid w:val="00CA679F"/>
    <w:rsid w:val="00CA682F"/>
    <w:rsid w:val="00CA68AD"/>
    <w:rsid w:val="00CA68FA"/>
    <w:rsid w:val="00CA6932"/>
    <w:rsid w:val="00CA69A5"/>
    <w:rsid w:val="00CA69D2"/>
    <w:rsid w:val="00CA6A5D"/>
    <w:rsid w:val="00CA6BDB"/>
    <w:rsid w:val="00CA6C06"/>
    <w:rsid w:val="00CA6C45"/>
    <w:rsid w:val="00CA6CAC"/>
    <w:rsid w:val="00CA6D61"/>
    <w:rsid w:val="00CA6E0A"/>
    <w:rsid w:val="00CA6E85"/>
    <w:rsid w:val="00CA6EC0"/>
    <w:rsid w:val="00CA6F42"/>
    <w:rsid w:val="00CA6F73"/>
    <w:rsid w:val="00CA7008"/>
    <w:rsid w:val="00CA7178"/>
    <w:rsid w:val="00CA7201"/>
    <w:rsid w:val="00CA72A2"/>
    <w:rsid w:val="00CA7337"/>
    <w:rsid w:val="00CA736B"/>
    <w:rsid w:val="00CA737E"/>
    <w:rsid w:val="00CA73A6"/>
    <w:rsid w:val="00CA7441"/>
    <w:rsid w:val="00CA7448"/>
    <w:rsid w:val="00CA7682"/>
    <w:rsid w:val="00CA773A"/>
    <w:rsid w:val="00CA782A"/>
    <w:rsid w:val="00CA78B1"/>
    <w:rsid w:val="00CA78DC"/>
    <w:rsid w:val="00CA78EB"/>
    <w:rsid w:val="00CA7921"/>
    <w:rsid w:val="00CA7934"/>
    <w:rsid w:val="00CA798C"/>
    <w:rsid w:val="00CA79A9"/>
    <w:rsid w:val="00CA79C8"/>
    <w:rsid w:val="00CA7AD2"/>
    <w:rsid w:val="00CA7B2E"/>
    <w:rsid w:val="00CA7B39"/>
    <w:rsid w:val="00CA7B3E"/>
    <w:rsid w:val="00CA7BE2"/>
    <w:rsid w:val="00CA7C72"/>
    <w:rsid w:val="00CA7C93"/>
    <w:rsid w:val="00CA7C9B"/>
    <w:rsid w:val="00CA7CA7"/>
    <w:rsid w:val="00CA7CE7"/>
    <w:rsid w:val="00CA7D5A"/>
    <w:rsid w:val="00CA7E03"/>
    <w:rsid w:val="00CA7E37"/>
    <w:rsid w:val="00CA7E82"/>
    <w:rsid w:val="00CA7F67"/>
    <w:rsid w:val="00CA7FAE"/>
    <w:rsid w:val="00CA7FEF"/>
    <w:rsid w:val="00CB000E"/>
    <w:rsid w:val="00CB01B5"/>
    <w:rsid w:val="00CB01D6"/>
    <w:rsid w:val="00CB02C1"/>
    <w:rsid w:val="00CB02ED"/>
    <w:rsid w:val="00CB0370"/>
    <w:rsid w:val="00CB0376"/>
    <w:rsid w:val="00CB03A0"/>
    <w:rsid w:val="00CB0458"/>
    <w:rsid w:val="00CB0488"/>
    <w:rsid w:val="00CB04A8"/>
    <w:rsid w:val="00CB04AA"/>
    <w:rsid w:val="00CB0523"/>
    <w:rsid w:val="00CB054E"/>
    <w:rsid w:val="00CB05B4"/>
    <w:rsid w:val="00CB06C7"/>
    <w:rsid w:val="00CB06DA"/>
    <w:rsid w:val="00CB0830"/>
    <w:rsid w:val="00CB0884"/>
    <w:rsid w:val="00CB090F"/>
    <w:rsid w:val="00CB091A"/>
    <w:rsid w:val="00CB092A"/>
    <w:rsid w:val="00CB0996"/>
    <w:rsid w:val="00CB09CB"/>
    <w:rsid w:val="00CB0A17"/>
    <w:rsid w:val="00CB0A1A"/>
    <w:rsid w:val="00CB0A27"/>
    <w:rsid w:val="00CB0A81"/>
    <w:rsid w:val="00CB0AFD"/>
    <w:rsid w:val="00CB0B44"/>
    <w:rsid w:val="00CB0B5F"/>
    <w:rsid w:val="00CB0CAD"/>
    <w:rsid w:val="00CB0CFA"/>
    <w:rsid w:val="00CB0D51"/>
    <w:rsid w:val="00CB0D76"/>
    <w:rsid w:val="00CB0E8A"/>
    <w:rsid w:val="00CB0E90"/>
    <w:rsid w:val="00CB0F3F"/>
    <w:rsid w:val="00CB0F63"/>
    <w:rsid w:val="00CB0FFE"/>
    <w:rsid w:val="00CB1071"/>
    <w:rsid w:val="00CB107E"/>
    <w:rsid w:val="00CB115E"/>
    <w:rsid w:val="00CB1172"/>
    <w:rsid w:val="00CB11BD"/>
    <w:rsid w:val="00CB121D"/>
    <w:rsid w:val="00CB1296"/>
    <w:rsid w:val="00CB1303"/>
    <w:rsid w:val="00CB1368"/>
    <w:rsid w:val="00CB13B6"/>
    <w:rsid w:val="00CB140C"/>
    <w:rsid w:val="00CB1523"/>
    <w:rsid w:val="00CB15EC"/>
    <w:rsid w:val="00CB15EE"/>
    <w:rsid w:val="00CB163A"/>
    <w:rsid w:val="00CB1640"/>
    <w:rsid w:val="00CB1653"/>
    <w:rsid w:val="00CB1686"/>
    <w:rsid w:val="00CB169D"/>
    <w:rsid w:val="00CB174F"/>
    <w:rsid w:val="00CB1831"/>
    <w:rsid w:val="00CB1889"/>
    <w:rsid w:val="00CB18E5"/>
    <w:rsid w:val="00CB190C"/>
    <w:rsid w:val="00CB1954"/>
    <w:rsid w:val="00CB19B6"/>
    <w:rsid w:val="00CB19F8"/>
    <w:rsid w:val="00CB1A1C"/>
    <w:rsid w:val="00CB1A49"/>
    <w:rsid w:val="00CB1AAD"/>
    <w:rsid w:val="00CB1B8E"/>
    <w:rsid w:val="00CB1C2E"/>
    <w:rsid w:val="00CB1C6A"/>
    <w:rsid w:val="00CB1CA6"/>
    <w:rsid w:val="00CB1CD3"/>
    <w:rsid w:val="00CB1CEE"/>
    <w:rsid w:val="00CB1D3F"/>
    <w:rsid w:val="00CB1DED"/>
    <w:rsid w:val="00CB207E"/>
    <w:rsid w:val="00CB218C"/>
    <w:rsid w:val="00CB2196"/>
    <w:rsid w:val="00CB21B8"/>
    <w:rsid w:val="00CB222E"/>
    <w:rsid w:val="00CB22B2"/>
    <w:rsid w:val="00CB2437"/>
    <w:rsid w:val="00CB2444"/>
    <w:rsid w:val="00CB2458"/>
    <w:rsid w:val="00CB2522"/>
    <w:rsid w:val="00CB2548"/>
    <w:rsid w:val="00CB25C1"/>
    <w:rsid w:val="00CB268B"/>
    <w:rsid w:val="00CB269E"/>
    <w:rsid w:val="00CB26FA"/>
    <w:rsid w:val="00CB28E3"/>
    <w:rsid w:val="00CB2928"/>
    <w:rsid w:val="00CB2943"/>
    <w:rsid w:val="00CB2959"/>
    <w:rsid w:val="00CB29AA"/>
    <w:rsid w:val="00CB29E2"/>
    <w:rsid w:val="00CB29F9"/>
    <w:rsid w:val="00CB2A4E"/>
    <w:rsid w:val="00CB2AA7"/>
    <w:rsid w:val="00CB2AB0"/>
    <w:rsid w:val="00CB2AEC"/>
    <w:rsid w:val="00CB2AFC"/>
    <w:rsid w:val="00CB2BBB"/>
    <w:rsid w:val="00CB2BC3"/>
    <w:rsid w:val="00CB2C34"/>
    <w:rsid w:val="00CB2C6E"/>
    <w:rsid w:val="00CB2CA1"/>
    <w:rsid w:val="00CB2D52"/>
    <w:rsid w:val="00CB2D7B"/>
    <w:rsid w:val="00CB2DC4"/>
    <w:rsid w:val="00CB2DD1"/>
    <w:rsid w:val="00CB2E11"/>
    <w:rsid w:val="00CB2E91"/>
    <w:rsid w:val="00CB2EE8"/>
    <w:rsid w:val="00CB2FA1"/>
    <w:rsid w:val="00CB2FF2"/>
    <w:rsid w:val="00CB3016"/>
    <w:rsid w:val="00CB3094"/>
    <w:rsid w:val="00CB30EE"/>
    <w:rsid w:val="00CB3100"/>
    <w:rsid w:val="00CB3188"/>
    <w:rsid w:val="00CB3195"/>
    <w:rsid w:val="00CB32BF"/>
    <w:rsid w:val="00CB3387"/>
    <w:rsid w:val="00CB33A3"/>
    <w:rsid w:val="00CB33D5"/>
    <w:rsid w:val="00CB3412"/>
    <w:rsid w:val="00CB3451"/>
    <w:rsid w:val="00CB348E"/>
    <w:rsid w:val="00CB350D"/>
    <w:rsid w:val="00CB357E"/>
    <w:rsid w:val="00CB35D5"/>
    <w:rsid w:val="00CB3605"/>
    <w:rsid w:val="00CB37ED"/>
    <w:rsid w:val="00CB388A"/>
    <w:rsid w:val="00CB38A1"/>
    <w:rsid w:val="00CB38D5"/>
    <w:rsid w:val="00CB38DB"/>
    <w:rsid w:val="00CB39AB"/>
    <w:rsid w:val="00CB39B4"/>
    <w:rsid w:val="00CB39E6"/>
    <w:rsid w:val="00CB3A0C"/>
    <w:rsid w:val="00CB3A15"/>
    <w:rsid w:val="00CB3AAF"/>
    <w:rsid w:val="00CB3AF9"/>
    <w:rsid w:val="00CB3B64"/>
    <w:rsid w:val="00CB3C13"/>
    <w:rsid w:val="00CB3D0B"/>
    <w:rsid w:val="00CB3D43"/>
    <w:rsid w:val="00CB3E08"/>
    <w:rsid w:val="00CB3E88"/>
    <w:rsid w:val="00CB3EB2"/>
    <w:rsid w:val="00CB3EC7"/>
    <w:rsid w:val="00CB3F06"/>
    <w:rsid w:val="00CB3F8E"/>
    <w:rsid w:val="00CB3FB9"/>
    <w:rsid w:val="00CB3FC7"/>
    <w:rsid w:val="00CB3FCD"/>
    <w:rsid w:val="00CB4021"/>
    <w:rsid w:val="00CB405D"/>
    <w:rsid w:val="00CB40C1"/>
    <w:rsid w:val="00CB4119"/>
    <w:rsid w:val="00CB4137"/>
    <w:rsid w:val="00CB4190"/>
    <w:rsid w:val="00CB41C0"/>
    <w:rsid w:val="00CB41CF"/>
    <w:rsid w:val="00CB4280"/>
    <w:rsid w:val="00CB435A"/>
    <w:rsid w:val="00CB43F7"/>
    <w:rsid w:val="00CB44FA"/>
    <w:rsid w:val="00CB45C7"/>
    <w:rsid w:val="00CB45E2"/>
    <w:rsid w:val="00CB45EE"/>
    <w:rsid w:val="00CB464A"/>
    <w:rsid w:val="00CB469F"/>
    <w:rsid w:val="00CB46B6"/>
    <w:rsid w:val="00CB46F4"/>
    <w:rsid w:val="00CB4704"/>
    <w:rsid w:val="00CB478B"/>
    <w:rsid w:val="00CB47A7"/>
    <w:rsid w:val="00CB47EF"/>
    <w:rsid w:val="00CB4883"/>
    <w:rsid w:val="00CB4886"/>
    <w:rsid w:val="00CB48A8"/>
    <w:rsid w:val="00CB4935"/>
    <w:rsid w:val="00CB49FE"/>
    <w:rsid w:val="00CB4A1A"/>
    <w:rsid w:val="00CB4B05"/>
    <w:rsid w:val="00CB4B7E"/>
    <w:rsid w:val="00CB4BA1"/>
    <w:rsid w:val="00CB4D48"/>
    <w:rsid w:val="00CB4E62"/>
    <w:rsid w:val="00CB4F6C"/>
    <w:rsid w:val="00CB4F78"/>
    <w:rsid w:val="00CB5062"/>
    <w:rsid w:val="00CB50BC"/>
    <w:rsid w:val="00CB50BD"/>
    <w:rsid w:val="00CB50D3"/>
    <w:rsid w:val="00CB5160"/>
    <w:rsid w:val="00CB5188"/>
    <w:rsid w:val="00CB523A"/>
    <w:rsid w:val="00CB5280"/>
    <w:rsid w:val="00CB53E0"/>
    <w:rsid w:val="00CB53ED"/>
    <w:rsid w:val="00CB53F0"/>
    <w:rsid w:val="00CB54C0"/>
    <w:rsid w:val="00CB5501"/>
    <w:rsid w:val="00CB553C"/>
    <w:rsid w:val="00CB554F"/>
    <w:rsid w:val="00CB5571"/>
    <w:rsid w:val="00CB557F"/>
    <w:rsid w:val="00CB5593"/>
    <w:rsid w:val="00CB55FE"/>
    <w:rsid w:val="00CB5609"/>
    <w:rsid w:val="00CB5706"/>
    <w:rsid w:val="00CB57C7"/>
    <w:rsid w:val="00CB57E9"/>
    <w:rsid w:val="00CB57F5"/>
    <w:rsid w:val="00CB58B8"/>
    <w:rsid w:val="00CB58C3"/>
    <w:rsid w:val="00CB5921"/>
    <w:rsid w:val="00CB592B"/>
    <w:rsid w:val="00CB5932"/>
    <w:rsid w:val="00CB5951"/>
    <w:rsid w:val="00CB59C4"/>
    <w:rsid w:val="00CB59E6"/>
    <w:rsid w:val="00CB59E7"/>
    <w:rsid w:val="00CB5A5B"/>
    <w:rsid w:val="00CB5A7E"/>
    <w:rsid w:val="00CB5AF9"/>
    <w:rsid w:val="00CB5B1F"/>
    <w:rsid w:val="00CB5B5F"/>
    <w:rsid w:val="00CB5BF2"/>
    <w:rsid w:val="00CB5C9A"/>
    <w:rsid w:val="00CB5C9C"/>
    <w:rsid w:val="00CB5CF2"/>
    <w:rsid w:val="00CB5D38"/>
    <w:rsid w:val="00CB5D5B"/>
    <w:rsid w:val="00CB5D94"/>
    <w:rsid w:val="00CB5DA8"/>
    <w:rsid w:val="00CB5E1C"/>
    <w:rsid w:val="00CB5E60"/>
    <w:rsid w:val="00CB5E89"/>
    <w:rsid w:val="00CB5F97"/>
    <w:rsid w:val="00CB5FE0"/>
    <w:rsid w:val="00CB6043"/>
    <w:rsid w:val="00CB60FB"/>
    <w:rsid w:val="00CB6128"/>
    <w:rsid w:val="00CB6144"/>
    <w:rsid w:val="00CB61A5"/>
    <w:rsid w:val="00CB6220"/>
    <w:rsid w:val="00CB62A5"/>
    <w:rsid w:val="00CB62B0"/>
    <w:rsid w:val="00CB62D0"/>
    <w:rsid w:val="00CB6320"/>
    <w:rsid w:val="00CB6330"/>
    <w:rsid w:val="00CB6409"/>
    <w:rsid w:val="00CB6413"/>
    <w:rsid w:val="00CB650A"/>
    <w:rsid w:val="00CB6582"/>
    <w:rsid w:val="00CB6595"/>
    <w:rsid w:val="00CB659D"/>
    <w:rsid w:val="00CB664A"/>
    <w:rsid w:val="00CB67C0"/>
    <w:rsid w:val="00CB67E9"/>
    <w:rsid w:val="00CB682E"/>
    <w:rsid w:val="00CB683F"/>
    <w:rsid w:val="00CB6896"/>
    <w:rsid w:val="00CB6952"/>
    <w:rsid w:val="00CB6A88"/>
    <w:rsid w:val="00CB6ACA"/>
    <w:rsid w:val="00CB6AEF"/>
    <w:rsid w:val="00CB6C83"/>
    <w:rsid w:val="00CB6CD3"/>
    <w:rsid w:val="00CB6D24"/>
    <w:rsid w:val="00CB6D8F"/>
    <w:rsid w:val="00CB6E5B"/>
    <w:rsid w:val="00CB6E7B"/>
    <w:rsid w:val="00CB6EB9"/>
    <w:rsid w:val="00CB6F36"/>
    <w:rsid w:val="00CB6FA5"/>
    <w:rsid w:val="00CB6FD5"/>
    <w:rsid w:val="00CB6FEF"/>
    <w:rsid w:val="00CB7129"/>
    <w:rsid w:val="00CB71B8"/>
    <w:rsid w:val="00CB71C7"/>
    <w:rsid w:val="00CB71EE"/>
    <w:rsid w:val="00CB7218"/>
    <w:rsid w:val="00CB7228"/>
    <w:rsid w:val="00CB7265"/>
    <w:rsid w:val="00CB72C5"/>
    <w:rsid w:val="00CB730E"/>
    <w:rsid w:val="00CB7338"/>
    <w:rsid w:val="00CB7372"/>
    <w:rsid w:val="00CB73EA"/>
    <w:rsid w:val="00CB7458"/>
    <w:rsid w:val="00CB7505"/>
    <w:rsid w:val="00CB75C5"/>
    <w:rsid w:val="00CB75F9"/>
    <w:rsid w:val="00CB767C"/>
    <w:rsid w:val="00CB76FB"/>
    <w:rsid w:val="00CB770C"/>
    <w:rsid w:val="00CB774E"/>
    <w:rsid w:val="00CB7770"/>
    <w:rsid w:val="00CB78D0"/>
    <w:rsid w:val="00CB7900"/>
    <w:rsid w:val="00CB7982"/>
    <w:rsid w:val="00CB79A3"/>
    <w:rsid w:val="00CB79A8"/>
    <w:rsid w:val="00CB79AC"/>
    <w:rsid w:val="00CB79E9"/>
    <w:rsid w:val="00CB7A98"/>
    <w:rsid w:val="00CB7B2D"/>
    <w:rsid w:val="00CB7C5B"/>
    <w:rsid w:val="00CB7CB2"/>
    <w:rsid w:val="00CB7D0F"/>
    <w:rsid w:val="00CB7D44"/>
    <w:rsid w:val="00CB7D6A"/>
    <w:rsid w:val="00CB7E12"/>
    <w:rsid w:val="00CB7ECA"/>
    <w:rsid w:val="00CB7ECF"/>
    <w:rsid w:val="00CB7F62"/>
    <w:rsid w:val="00CB7FB5"/>
    <w:rsid w:val="00CC0029"/>
    <w:rsid w:val="00CC00C9"/>
    <w:rsid w:val="00CC0124"/>
    <w:rsid w:val="00CC0192"/>
    <w:rsid w:val="00CC01A7"/>
    <w:rsid w:val="00CC01BC"/>
    <w:rsid w:val="00CC01C5"/>
    <w:rsid w:val="00CC02E8"/>
    <w:rsid w:val="00CC033D"/>
    <w:rsid w:val="00CC03DF"/>
    <w:rsid w:val="00CC0415"/>
    <w:rsid w:val="00CC046D"/>
    <w:rsid w:val="00CC057F"/>
    <w:rsid w:val="00CC058C"/>
    <w:rsid w:val="00CC05CB"/>
    <w:rsid w:val="00CC0678"/>
    <w:rsid w:val="00CC067D"/>
    <w:rsid w:val="00CC068D"/>
    <w:rsid w:val="00CC06A8"/>
    <w:rsid w:val="00CC0703"/>
    <w:rsid w:val="00CC0769"/>
    <w:rsid w:val="00CC07C5"/>
    <w:rsid w:val="00CC08E5"/>
    <w:rsid w:val="00CC0A08"/>
    <w:rsid w:val="00CC0A4A"/>
    <w:rsid w:val="00CC0A52"/>
    <w:rsid w:val="00CC0AA9"/>
    <w:rsid w:val="00CC0B78"/>
    <w:rsid w:val="00CC0BC8"/>
    <w:rsid w:val="00CC0BE5"/>
    <w:rsid w:val="00CC0C04"/>
    <w:rsid w:val="00CC0C40"/>
    <w:rsid w:val="00CC0C99"/>
    <w:rsid w:val="00CC0D47"/>
    <w:rsid w:val="00CC0D9E"/>
    <w:rsid w:val="00CC0DBB"/>
    <w:rsid w:val="00CC0DC7"/>
    <w:rsid w:val="00CC0DF5"/>
    <w:rsid w:val="00CC0EC2"/>
    <w:rsid w:val="00CC0F37"/>
    <w:rsid w:val="00CC0F67"/>
    <w:rsid w:val="00CC0F95"/>
    <w:rsid w:val="00CC10DE"/>
    <w:rsid w:val="00CC110F"/>
    <w:rsid w:val="00CC1117"/>
    <w:rsid w:val="00CC111F"/>
    <w:rsid w:val="00CC113C"/>
    <w:rsid w:val="00CC11EC"/>
    <w:rsid w:val="00CC1293"/>
    <w:rsid w:val="00CC12D0"/>
    <w:rsid w:val="00CC1313"/>
    <w:rsid w:val="00CC132D"/>
    <w:rsid w:val="00CC136B"/>
    <w:rsid w:val="00CC136F"/>
    <w:rsid w:val="00CC13A2"/>
    <w:rsid w:val="00CC13A9"/>
    <w:rsid w:val="00CC13CB"/>
    <w:rsid w:val="00CC154E"/>
    <w:rsid w:val="00CC157C"/>
    <w:rsid w:val="00CC1725"/>
    <w:rsid w:val="00CC18C8"/>
    <w:rsid w:val="00CC191E"/>
    <w:rsid w:val="00CC198C"/>
    <w:rsid w:val="00CC19D9"/>
    <w:rsid w:val="00CC1A3D"/>
    <w:rsid w:val="00CC1A62"/>
    <w:rsid w:val="00CC1A6D"/>
    <w:rsid w:val="00CC1A7B"/>
    <w:rsid w:val="00CC1A96"/>
    <w:rsid w:val="00CC1B16"/>
    <w:rsid w:val="00CC1C7B"/>
    <w:rsid w:val="00CC1C80"/>
    <w:rsid w:val="00CC1C9D"/>
    <w:rsid w:val="00CC1CE2"/>
    <w:rsid w:val="00CC1DDD"/>
    <w:rsid w:val="00CC1E2B"/>
    <w:rsid w:val="00CC1E2F"/>
    <w:rsid w:val="00CC1E41"/>
    <w:rsid w:val="00CC1FAF"/>
    <w:rsid w:val="00CC2023"/>
    <w:rsid w:val="00CC2049"/>
    <w:rsid w:val="00CC20B3"/>
    <w:rsid w:val="00CC20B8"/>
    <w:rsid w:val="00CC2126"/>
    <w:rsid w:val="00CC2303"/>
    <w:rsid w:val="00CC234A"/>
    <w:rsid w:val="00CC23B9"/>
    <w:rsid w:val="00CC24A0"/>
    <w:rsid w:val="00CC2548"/>
    <w:rsid w:val="00CC25A9"/>
    <w:rsid w:val="00CC25CD"/>
    <w:rsid w:val="00CC2625"/>
    <w:rsid w:val="00CC2676"/>
    <w:rsid w:val="00CC26F9"/>
    <w:rsid w:val="00CC278A"/>
    <w:rsid w:val="00CC283D"/>
    <w:rsid w:val="00CC288B"/>
    <w:rsid w:val="00CC2974"/>
    <w:rsid w:val="00CC2A07"/>
    <w:rsid w:val="00CC2A25"/>
    <w:rsid w:val="00CC2A48"/>
    <w:rsid w:val="00CC2A52"/>
    <w:rsid w:val="00CC2A74"/>
    <w:rsid w:val="00CC2A8A"/>
    <w:rsid w:val="00CC2A95"/>
    <w:rsid w:val="00CC2B59"/>
    <w:rsid w:val="00CC2C98"/>
    <w:rsid w:val="00CC2D13"/>
    <w:rsid w:val="00CC2D4E"/>
    <w:rsid w:val="00CC2D71"/>
    <w:rsid w:val="00CC2D76"/>
    <w:rsid w:val="00CC2DEB"/>
    <w:rsid w:val="00CC2E7E"/>
    <w:rsid w:val="00CC2EA2"/>
    <w:rsid w:val="00CC2FB0"/>
    <w:rsid w:val="00CC3053"/>
    <w:rsid w:val="00CC30F1"/>
    <w:rsid w:val="00CC3136"/>
    <w:rsid w:val="00CC315C"/>
    <w:rsid w:val="00CC3178"/>
    <w:rsid w:val="00CC31B8"/>
    <w:rsid w:val="00CC322E"/>
    <w:rsid w:val="00CC336F"/>
    <w:rsid w:val="00CC33CE"/>
    <w:rsid w:val="00CC33E7"/>
    <w:rsid w:val="00CC3410"/>
    <w:rsid w:val="00CC3482"/>
    <w:rsid w:val="00CC3495"/>
    <w:rsid w:val="00CC3592"/>
    <w:rsid w:val="00CC3654"/>
    <w:rsid w:val="00CC36B6"/>
    <w:rsid w:val="00CC36F3"/>
    <w:rsid w:val="00CC3711"/>
    <w:rsid w:val="00CC3712"/>
    <w:rsid w:val="00CC3722"/>
    <w:rsid w:val="00CC382F"/>
    <w:rsid w:val="00CC3947"/>
    <w:rsid w:val="00CC394C"/>
    <w:rsid w:val="00CC394D"/>
    <w:rsid w:val="00CC3A53"/>
    <w:rsid w:val="00CC3A7F"/>
    <w:rsid w:val="00CC3A83"/>
    <w:rsid w:val="00CC3ACB"/>
    <w:rsid w:val="00CC3B1C"/>
    <w:rsid w:val="00CC3BBB"/>
    <w:rsid w:val="00CC3C4B"/>
    <w:rsid w:val="00CC3CC2"/>
    <w:rsid w:val="00CC3CFB"/>
    <w:rsid w:val="00CC3D55"/>
    <w:rsid w:val="00CC3D62"/>
    <w:rsid w:val="00CC3DE5"/>
    <w:rsid w:val="00CC3E97"/>
    <w:rsid w:val="00CC3EBA"/>
    <w:rsid w:val="00CC3EC2"/>
    <w:rsid w:val="00CC3F4A"/>
    <w:rsid w:val="00CC3F7C"/>
    <w:rsid w:val="00CC3F92"/>
    <w:rsid w:val="00CC3F94"/>
    <w:rsid w:val="00CC4053"/>
    <w:rsid w:val="00CC4099"/>
    <w:rsid w:val="00CC40A9"/>
    <w:rsid w:val="00CC4122"/>
    <w:rsid w:val="00CC4171"/>
    <w:rsid w:val="00CC41E6"/>
    <w:rsid w:val="00CC4290"/>
    <w:rsid w:val="00CC42AF"/>
    <w:rsid w:val="00CC430E"/>
    <w:rsid w:val="00CC4325"/>
    <w:rsid w:val="00CC435E"/>
    <w:rsid w:val="00CC45A1"/>
    <w:rsid w:val="00CC45FC"/>
    <w:rsid w:val="00CC45FE"/>
    <w:rsid w:val="00CC4640"/>
    <w:rsid w:val="00CC471C"/>
    <w:rsid w:val="00CC47AC"/>
    <w:rsid w:val="00CC47B6"/>
    <w:rsid w:val="00CC47D2"/>
    <w:rsid w:val="00CC480C"/>
    <w:rsid w:val="00CC4918"/>
    <w:rsid w:val="00CC4933"/>
    <w:rsid w:val="00CC496C"/>
    <w:rsid w:val="00CC49F7"/>
    <w:rsid w:val="00CC4A33"/>
    <w:rsid w:val="00CC4A9F"/>
    <w:rsid w:val="00CC4AC8"/>
    <w:rsid w:val="00CC4AD7"/>
    <w:rsid w:val="00CC4B26"/>
    <w:rsid w:val="00CC4B46"/>
    <w:rsid w:val="00CC4C0A"/>
    <w:rsid w:val="00CC4C63"/>
    <w:rsid w:val="00CC4C96"/>
    <w:rsid w:val="00CC4D72"/>
    <w:rsid w:val="00CC4E3A"/>
    <w:rsid w:val="00CC4F1C"/>
    <w:rsid w:val="00CC4FB7"/>
    <w:rsid w:val="00CC4FCC"/>
    <w:rsid w:val="00CC5072"/>
    <w:rsid w:val="00CC52B6"/>
    <w:rsid w:val="00CC5347"/>
    <w:rsid w:val="00CC540B"/>
    <w:rsid w:val="00CC547A"/>
    <w:rsid w:val="00CC547D"/>
    <w:rsid w:val="00CC54AC"/>
    <w:rsid w:val="00CC54BE"/>
    <w:rsid w:val="00CC5503"/>
    <w:rsid w:val="00CC550E"/>
    <w:rsid w:val="00CC5552"/>
    <w:rsid w:val="00CC5561"/>
    <w:rsid w:val="00CC5649"/>
    <w:rsid w:val="00CC56FA"/>
    <w:rsid w:val="00CC572C"/>
    <w:rsid w:val="00CC57BB"/>
    <w:rsid w:val="00CC57D1"/>
    <w:rsid w:val="00CC57EC"/>
    <w:rsid w:val="00CC5896"/>
    <w:rsid w:val="00CC598F"/>
    <w:rsid w:val="00CC59AF"/>
    <w:rsid w:val="00CC5A19"/>
    <w:rsid w:val="00CC5AE2"/>
    <w:rsid w:val="00CC5B5C"/>
    <w:rsid w:val="00CC5BB1"/>
    <w:rsid w:val="00CC5C88"/>
    <w:rsid w:val="00CC5CB8"/>
    <w:rsid w:val="00CC5D13"/>
    <w:rsid w:val="00CC5D24"/>
    <w:rsid w:val="00CC5D40"/>
    <w:rsid w:val="00CC5D5F"/>
    <w:rsid w:val="00CC5D88"/>
    <w:rsid w:val="00CC5E49"/>
    <w:rsid w:val="00CC5E5B"/>
    <w:rsid w:val="00CC5ED5"/>
    <w:rsid w:val="00CC5F26"/>
    <w:rsid w:val="00CC5F32"/>
    <w:rsid w:val="00CC5F3A"/>
    <w:rsid w:val="00CC6040"/>
    <w:rsid w:val="00CC608D"/>
    <w:rsid w:val="00CC60DE"/>
    <w:rsid w:val="00CC60E9"/>
    <w:rsid w:val="00CC6171"/>
    <w:rsid w:val="00CC61D0"/>
    <w:rsid w:val="00CC620A"/>
    <w:rsid w:val="00CC626D"/>
    <w:rsid w:val="00CC62CF"/>
    <w:rsid w:val="00CC634B"/>
    <w:rsid w:val="00CC651E"/>
    <w:rsid w:val="00CC654F"/>
    <w:rsid w:val="00CC658F"/>
    <w:rsid w:val="00CC65CF"/>
    <w:rsid w:val="00CC65E7"/>
    <w:rsid w:val="00CC65F1"/>
    <w:rsid w:val="00CC661D"/>
    <w:rsid w:val="00CC665B"/>
    <w:rsid w:val="00CC668C"/>
    <w:rsid w:val="00CC66C4"/>
    <w:rsid w:val="00CC6783"/>
    <w:rsid w:val="00CC67F2"/>
    <w:rsid w:val="00CC687A"/>
    <w:rsid w:val="00CC68A3"/>
    <w:rsid w:val="00CC6937"/>
    <w:rsid w:val="00CC6B6E"/>
    <w:rsid w:val="00CC6BAC"/>
    <w:rsid w:val="00CC6C02"/>
    <w:rsid w:val="00CC6C56"/>
    <w:rsid w:val="00CC6D0E"/>
    <w:rsid w:val="00CC6D56"/>
    <w:rsid w:val="00CC6DF3"/>
    <w:rsid w:val="00CC6E45"/>
    <w:rsid w:val="00CC6E6E"/>
    <w:rsid w:val="00CC6EE9"/>
    <w:rsid w:val="00CC6EF3"/>
    <w:rsid w:val="00CC6FFC"/>
    <w:rsid w:val="00CC701C"/>
    <w:rsid w:val="00CC702D"/>
    <w:rsid w:val="00CC706A"/>
    <w:rsid w:val="00CC7088"/>
    <w:rsid w:val="00CC70BD"/>
    <w:rsid w:val="00CC7170"/>
    <w:rsid w:val="00CC7174"/>
    <w:rsid w:val="00CC717E"/>
    <w:rsid w:val="00CC7211"/>
    <w:rsid w:val="00CC724C"/>
    <w:rsid w:val="00CC7297"/>
    <w:rsid w:val="00CC73A3"/>
    <w:rsid w:val="00CC73EE"/>
    <w:rsid w:val="00CC7491"/>
    <w:rsid w:val="00CC75BE"/>
    <w:rsid w:val="00CC75C8"/>
    <w:rsid w:val="00CC75F3"/>
    <w:rsid w:val="00CC7634"/>
    <w:rsid w:val="00CC7674"/>
    <w:rsid w:val="00CC76B1"/>
    <w:rsid w:val="00CC76F3"/>
    <w:rsid w:val="00CC771E"/>
    <w:rsid w:val="00CC7751"/>
    <w:rsid w:val="00CC7758"/>
    <w:rsid w:val="00CC7795"/>
    <w:rsid w:val="00CC77F0"/>
    <w:rsid w:val="00CC7859"/>
    <w:rsid w:val="00CC7868"/>
    <w:rsid w:val="00CC79B2"/>
    <w:rsid w:val="00CC79ED"/>
    <w:rsid w:val="00CC7A02"/>
    <w:rsid w:val="00CC7CD2"/>
    <w:rsid w:val="00CC7CE3"/>
    <w:rsid w:val="00CC7D02"/>
    <w:rsid w:val="00CC7D20"/>
    <w:rsid w:val="00CC7D44"/>
    <w:rsid w:val="00CC7D5E"/>
    <w:rsid w:val="00CC7DFE"/>
    <w:rsid w:val="00CC7E72"/>
    <w:rsid w:val="00CC7EA4"/>
    <w:rsid w:val="00CC7F94"/>
    <w:rsid w:val="00CC7F9E"/>
    <w:rsid w:val="00CC7FA7"/>
    <w:rsid w:val="00CD00A6"/>
    <w:rsid w:val="00CD0240"/>
    <w:rsid w:val="00CD0270"/>
    <w:rsid w:val="00CD030C"/>
    <w:rsid w:val="00CD03B2"/>
    <w:rsid w:val="00CD0483"/>
    <w:rsid w:val="00CD04BA"/>
    <w:rsid w:val="00CD04C5"/>
    <w:rsid w:val="00CD04EF"/>
    <w:rsid w:val="00CD04F5"/>
    <w:rsid w:val="00CD0531"/>
    <w:rsid w:val="00CD0548"/>
    <w:rsid w:val="00CD0570"/>
    <w:rsid w:val="00CD05BE"/>
    <w:rsid w:val="00CD05F2"/>
    <w:rsid w:val="00CD061A"/>
    <w:rsid w:val="00CD063E"/>
    <w:rsid w:val="00CD064D"/>
    <w:rsid w:val="00CD06C8"/>
    <w:rsid w:val="00CD0763"/>
    <w:rsid w:val="00CD0769"/>
    <w:rsid w:val="00CD079B"/>
    <w:rsid w:val="00CD07EF"/>
    <w:rsid w:val="00CD07FA"/>
    <w:rsid w:val="00CD08D1"/>
    <w:rsid w:val="00CD0997"/>
    <w:rsid w:val="00CD09AA"/>
    <w:rsid w:val="00CD0A54"/>
    <w:rsid w:val="00CD0AA7"/>
    <w:rsid w:val="00CD0B35"/>
    <w:rsid w:val="00CD0BBA"/>
    <w:rsid w:val="00CD0BF9"/>
    <w:rsid w:val="00CD0C05"/>
    <w:rsid w:val="00CD0C08"/>
    <w:rsid w:val="00CD0C4A"/>
    <w:rsid w:val="00CD0CC2"/>
    <w:rsid w:val="00CD0CD4"/>
    <w:rsid w:val="00CD0CD5"/>
    <w:rsid w:val="00CD0CDB"/>
    <w:rsid w:val="00CD0DAB"/>
    <w:rsid w:val="00CD0DC1"/>
    <w:rsid w:val="00CD0E22"/>
    <w:rsid w:val="00CD0E96"/>
    <w:rsid w:val="00CD0FAB"/>
    <w:rsid w:val="00CD1152"/>
    <w:rsid w:val="00CD1154"/>
    <w:rsid w:val="00CD120A"/>
    <w:rsid w:val="00CD1285"/>
    <w:rsid w:val="00CD12ED"/>
    <w:rsid w:val="00CD130B"/>
    <w:rsid w:val="00CD1352"/>
    <w:rsid w:val="00CD13B0"/>
    <w:rsid w:val="00CD13B2"/>
    <w:rsid w:val="00CD1456"/>
    <w:rsid w:val="00CD14D0"/>
    <w:rsid w:val="00CD1526"/>
    <w:rsid w:val="00CD1560"/>
    <w:rsid w:val="00CD158E"/>
    <w:rsid w:val="00CD1641"/>
    <w:rsid w:val="00CD166E"/>
    <w:rsid w:val="00CD1682"/>
    <w:rsid w:val="00CD16BF"/>
    <w:rsid w:val="00CD16F6"/>
    <w:rsid w:val="00CD1781"/>
    <w:rsid w:val="00CD1786"/>
    <w:rsid w:val="00CD1791"/>
    <w:rsid w:val="00CD1808"/>
    <w:rsid w:val="00CD1877"/>
    <w:rsid w:val="00CD1917"/>
    <w:rsid w:val="00CD195E"/>
    <w:rsid w:val="00CD19B3"/>
    <w:rsid w:val="00CD19C1"/>
    <w:rsid w:val="00CD1B08"/>
    <w:rsid w:val="00CD1B12"/>
    <w:rsid w:val="00CD1B32"/>
    <w:rsid w:val="00CD1BA8"/>
    <w:rsid w:val="00CD1C85"/>
    <w:rsid w:val="00CD1CBD"/>
    <w:rsid w:val="00CD1D67"/>
    <w:rsid w:val="00CD1E76"/>
    <w:rsid w:val="00CD1E82"/>
    <w:rsid w:val="00CD1E96"/>
    <w:rsid w:val="00CD1EB1"/>
    <w:rsid w:val="00CD1EBA"/>
    <w:rsid w:val="00CD1EEB"/>
    <w:rsid w:val="00CD1F06"/>
    <w:rsid w:val="00CD1F94"/>
    <w:rsid w:val="00CD1FA7"/>
    <w:rsid w:val="00CD1FF5"/>
    <w:rsid w:val="00CD2027"/>
    <w:rsid w:val="00CD202D"/>
    <w:rsid w:val="00CD2074"/>
    <w:rsid w:val="00CD20A2"/>
    <w:rsid w:val="00CD20FC"/>
    <w:rsid w:val="00CD21AB"/>
    <w:rsid w:val="00CD221F"/>
    <w:rsid w:val="00CD22C0"/>
    <w:rsid w:val="00CD22EF"/>
    <w:rsid w:val="00CD2309"/>
    <w:rsid w:val="00CD2326"/>
    <w:rsid w:val="00CD23A1"/>
    <w:rsid w:val="00CD2484"/>
    <w:rsid w:val="00CD24CD"/>
    <w:rsid w:val="00CD24F9"/>
    <w:rsid w:val="00CD2627"/>
    <w:rsid w:val="00CD263B"/>
    <w:rsid w:val="00CD2695"/>
    <w:rsid w:val="00CD26F8"/>
    <w:rsid w:val="00CD27A7"/>
    <w:rsid w:val="00CD27C5"/>
    <w:rsid w:val="00CD2871"/>
    <w:rsid w:val="00CD28EE"/>
    <w:rsid w:val="00CD299E"/>
    <w:rsid w:val="00CD2A0D"/>
    <w:rsid w:val="00CD2A99"/>
    <w:rsid w:val="00CD2AB4"/>
    <w:rsid w:val="00CD2B10"/>
    <w:rsid w:val="00CD2B1B"/>
    <w:rsid w:val="00CD2B2B"/>
    <w:rsid w:val="00CD2B8D"/>
    <w:rsid w:val="00CD2C46"/>
    <w:rsid w:val="00CD2CDA"/>
    <w:rsid w:val="00CD2DC2"/>
    <w:rsid w:val="00CD2DE7"/>
    <w:rsid w:val="00CD2FEE"/>
    <w:rsid w:val="00CD301C"/>
    <w:rsid w:val="00CD30A9"/>
    <w:rsid w:val="00CD30CE"/>
    <w:rsid w:val="00CD30D3"/>
    <w:rsid w:val="00CD3125"/>
    <w:rsid w:val="00CD3161"/>
    <w:rsid w:val="00CD31F8"/>
    <w:rsid w:val="00CD32E5"/>
    <w:rsid w:val="00CD330B"/>
    <w:rsid w:val="00CD33A0"/>
    <w:rsid w:val="00CD33AB"/>
    <w:rsid w:val="00CD33B9"/>
    <w:rsid w:val="00CD348E"/>
    <w:rsid w:val="00CD34D3"/>
    <w:rsid w:val="00CD3514"/>
    <w:rsid w:val="00CD3518"/>
    <w:rsid w:val="00CD3546"/>
    <w:rsid w:val="00CD3654"/>
    <w:rsid w:val="00CD3693"/>
    <w:rsid w:val="00CD3831"/>
    <w:rsid w:val="00CD3844"/>
    <w:rsid w:val="00CD390C"/>
    <w:rsid w:val="00CD39E5"/>
    <w:rsid w:val="00CD39F2"/>
    <w:rsid w:val="00CD3ADA"/>
    <w:rsid w:val="00CD3AEE"/>
    <w:rsid w:val="00CD3AF0"/>
    <w:rsid w:val="00CD3B1E"/>
    <w:rsid w:val="00CD3B69"/>
    <w:rsid w:val="00CD3B98"/>
    <w:rsid w:val="00CD3BAD"/>
    <w:rsid w:val="00CD3BF0"/>
    <w:rsid w:val="00CD3C3A"/>
    <w:rsid w:val="00CD3CA5"/>
    <w:rsid w:val="00CD3CBA"/>
    <w:rsid w:val="00CD3D15"/>
    <w:rsid w:val="00CD3D1C"/>
    <w:rsid w:val="00CD3D55"/>
    <w:rsid w:val="00CD3DD1"/>
    <w:rsid w:val="00CD3E14"/>
    <w:rsid w:val="00CD3EB1"/>
    <w:rsid w:val="00CD3EC4"/>
    <w:rsid w:val="00CD3EFA"/>
    <w:rsid w:val="00CD3FDB"/>
    <w:rsid w:val="00CD3FDE"/>
    <w:rsid w:val="00CD4015"/>
    <w:rsid w:val="00CD4062"/>
    <w:rsid w:val="00CD4082"/>
    <w:rsid w:val="00CD414A"/>
    <w:rsid w:val="00CD41BF"/>
    <w:rsid w:val="00CD41C0"/>
    <w:rsid w:val="00CD4218"/>
    <w:rsid w:val="00CD42DB"/>
    <w:rsid w:val="00CD42DE"/>
    <w:rsid w:val="00CD43F8"/>
    <w:rsid w:val="00CD4454"/>
    <w:rsid w:val="00CD4460"/>
    <w:rsid w:val="00CD4472"/>
    <w:rsid w:val="00CD44DE"/>
    <w:rsid w:val="00CD452E"/>
    <w:rsid w:val="00CD454E"/>
    <w:rsid w:val="00CD4552"/>
    <w:rsid w:val="00CD455F"/>
    <w:rsid w:val="00CD46C5"/>
    <w:rsid w:val="00CD46D5"/>
    <w:rsid w:val="00CD478C"/>
    <w:rsid w:val="00CD4832"/>
    <w:rsid w:val="00CD4852"/>
    <w:rsid w:val="00CD486B"/>
    <w:rsid w:val="00CD48B7"/>
    <w:rsid w:val="00CD48DB"/>
    <w:rsid w:val="00CD4917"/>
    <w:rsid w:val="00CD4990"/>
    <w:rsid w:val="00CD49EA"/>
    <w:rsid w:val="00CD4A14"/>
    <w:rsid w:val="00CD4A48"/>
    <w:rsid w:val="00CD4A97"/>
    <w:rsid w:val="00CD4B39"/>
    <w:rsid w:val="00CD4B8D"/>
    <w:rsid w:val="00CD4D9B"/>
    <w:rsid w:val="00CD4D9E"/>
    <w:rsid w:val="00CD4DA7"/>
    <w:rsid w:val="00CD4DFF"/>
    <w:rsid w:val="00CD4E84"/>
    <w:rsid w:val="00CD4EA9"/>
    <w:rsid w:val="00CD4EC1"/>
    <w:rsid w:val="00CD4F0A"/>
    <w:rsid w:val="00CD4F12"/>
    <w:rsid w:val="00CD4F13"/>
    <w:rsid w:val="00CD5085"/>
    <w:rsid w:val="00CD50E1"/>
    <w:rsid w:val="00CD514E"/>
    <w:rsid w:val="00CD5166"/>
    <w:rsid w:val="00CD51C7"/>
    <w:rsid w:val="00CD521B"/>
    <w:rsid w:val="00CD5307"/>
    <w:rsid w:val="00CD530A"/>
    <w:rsid w:val="00CD531D"/>
    <w:rsid w:val="00CD5391"/>
    <w:rsid w:val="00CD53D7"/>
    <w:rsid w:val="00CD547E"/>
    <w:rsid w:val="00CD5488"/>
    <w:rsid w:val="00CD54EE"/>
    <w:rsid w:val="00CD553A"/>
    <w:rsid w:val="00CD566A"/>
    <w:rsid w:val="00CD56BA"/>
    <w:rsid w:val="00CD5761"/>
    <w:rsid w:val="00CD576E"/>
    <w:rsid w:val="00CD5883"/>
    <w:rsid w:val="00CD591C"/>
    <w:rsid w:val="00CD5956"/>
    <w:rsid w:val="00CD59B5"/>
    <w:rsid w:val="00CD5A03"/>
    <w:rsid w:val="00CD5A08"/>
    <w:rsid w:val="00CD5AE7"/>
    <w:rsid w:val="00CD5AEA"/>
    <w:rsid w:val="00CD5AFE"/>
    <w:rsid w:val="00CD5B44"/>
    <w:rsid w:val="00CD5B63"/>
    <w:rsid w:val="00CD5B76"/>
    <w:rsid w:val="00CD5B9C"/>
    <w:rsid w:val="00CD5BA4"/>
    <w:rsid w:val="00CD5BB6"/>
    <w:rsid w:val="00CD5BDD"/>
    <w:rsid w:val="00CD5C95"/>
    <w:rsid w:val="00CD5C9D"/>
    <w:rsid w:val="00CD5D67"/>
    <w:rsid w:val="00CD5D6D"/>
    <w:rsid w:val="00CD5DD5"/>
    <w:rsid w:val="00CD5E92"/>
    <w:rsid w:val="00CD5F2E"/>
    <w:rsid w:val="00CD5F35"/>
    <w:rsid w:val="00CD5F3A"/>
    <w:rsid w:val="00CD5F45"/>
    <w:rsid w:val="00CD5FA3"/>
    <w:rsid w:val="00CD5FB6"/>
    <w:rsid w:val="00CD5FCA"/>
    <w:rsid w:val="00CD600F"/>
    <w:rsid w:val="00CD607B"/>
    <w:rsid w:val="00CD607D"/>
    <w:rsid w:val="00CD6130"/>
    <w:rsid w:val="00CD6198"/>
    <w:rsid w:val="00CD6199"/>
    <w:rsid w:val="00CD61B4"/>
    <w:rsid w:val="00CD61F5"/>
    <w:rsid w:val="00CD61F8"/>
    <w:rsid w:val="00CD6319"/>
    <w:rsid w:val="00CD637A"/>
    <w:rsid w:val="00CD63BE"/>
    <w:rsid w:val="00CD63F5"/>
    <w:rsid w:val="00CD6424"/>
    <w:rsid w:val="00CD646D"/>
    <w:rsid w:val="00CD647D"/>
    <w:rsid w:val="00CD64A0"/>
    <w:rsid w:val="00CD64A6"/>
    <w:rsid w:val="00CD64E7"/>
    <w:rsid w:val="00CD6531"/>
    <w:rsid w:val="00CD6567"/>
    <w:rsid w:val="00CD6651"/>
    <w:rsid w:val="00CD666E"/>
    <w:rsid w:val="00CD6673"/>
    <w:rsid w:val="00CD6712"/>
    <w:rsid w:val="00CD674F"/>
    <w:rsid w:val="00CD675C"/>
    <w:rsid w:val="00CD67DC"/>
    <w:rsid w:val="00CD67E6"/>
    <w:rsid w:val="00CD681C"/>
    <w:rsid w:val="00CD683E"/>
    <w:rsid w:val="00CD68E3"/>
    <w:rsid w:val="00CD6902"/>
    <w:rsid w:val="00CD69AA"/>
    <w:rsid w:val="00CD6A1D"/>
    <w:rsid w:val="00CD6AA7"/>
    <w:rsid w:val="00CD6B13"/>
    <w:rsid w:val="00CD6B38"/>
    <w:rsid w:val="00CD6BA7"/>
    <w:rsid w:val="00CD6C53"/>
    <w:rsid w:val="00CD6C5D"/>
    <w:rsid w:val="00CD6D03"/>
    <w:rsid w:val="00CD6D0F"/>
    <w:rsid w:val="00CD6D1B"/>
    <w:rsid w:val="00CD6D30"/>
    <w:rsid w:val="00CD6DAB"/>
    <w:rsid w:val="00CD6DCA"/>
    <w:rsid w:val="00CD6F13"/>
    <w:rsid w:val="00CD6F2B"/>
    <w:rsid w:val="00CD7029"/>
    <w:rsid w:val="00CD7034"/>
    <w:rsid w:val="00CD7036"/>
    <w:rsid w:val="00CD7042"/>
    <w:rsid w:val="00CD705C"/>
    <w:rsid w:val="00CD7096"/>
    <w:rsid w:val="00CD7187"/>
    <w:rsid w:val="00CD7192"/>
    <w:rsid w:val="00CD7288"/>
    <w:rsid w:val="00CD729D"/>
    <w:rsid w:val="00CD72E0"/>
    <w:rsid w:val="00CD7360"/>
    <w:rsid w:val="00CD7370"/>
    <w:rsid w:val="00CD7374"/>
    <w:rsid w:val="00CD7381"/>
    <w:rsid w:val="00CD7403"/>
    <w:rsid w:val="00CD7439"/>
    <w:rsid w:val="00CD7445"/>
    <w:rsid w:val="00CD75A3"/>
    <w:rsid w:val="00CD765A"/>
    <w:rsid w:val="00CD7727"/>
    <w:rsid w:val="00CD77C4"/>
    <w:rsid w:val="00CD77E3"/>
    <w:rsid w:val="00CD77F9"/>
    <w:rsid w:val="00CD7842"/>
    <w:rsid w:val="00CD788C"/>
    <w:rsid w:val="00CD79A1"/>
    <w:rsid w:val="00CD79DE"/>
    <w:rsid w:val="00CD7A50"/>
    <w:rsid w:val="00CD7A6A"/>
    <w:rsid w:val="00CD7AB0"/>
    <w:rsid w:val="00CD7AB7"/>
    <w:rsid w:val="00CD7ABC"/>
    <w:rsid w:val="00CD7AEE"/>
    <w:rsid w:val="00CD7B1D"/>
    <w:rsid w:val="00CD7B51"/>
    <w:rsid w:val="00CD7BA3"/>
    <w:rsid w:val="00CD7C33"/>
    <w:rsid w:val="00CD7CD3"/>
    <w:rsid w:val="00CD7CE1"/>
    <w:rsid w:val="00CD7CEE"/>
    <w:rsid w:val="00CD7DE5"/>
    <w:rsid w:val="00CD7E3F"/>
    <w:rsid w:val="00CD7EB7"/>
    <w:rsid w:val="00CD7F8B"/>
    <w:rsid w:val="00CE0037"/>
    <w:rsid w:val="00CE00F6"/>
    <w:rsid w:val="00CE0132"/>
    <w:rsid w:val="00CE0161"/>
    <w:rsid w:val="00CE022F"/>
    <w:rsid w:val="00CE030A"/>
    <w:rsid w:val="00CE03D5"/>
    <w:rsid w:val="00CE03E7"/>
    <w:rsid w:val="00CE0400"/>
    <w:rsid w:val="00CE065A"/>
    <w:rsid w:val="00CE06C8"/>
    <w:rsid w:val="00CE06ED"/>
    <w:rsid w:val="00CE0740"/>
    <w:rsid w:val="00CE07A6"/>
    <w:rsid w:val="00CE0813"/>
    <w:rsid w:val="00CE0881"/>
    <w:rsid w:val="00CE0885"/>
    <w:rsid w:val="00CE0897"/>
    <w:rsid w:val="00CE08A6"/>
    <w:rsid w:val="00CE0951"/>
    <w:rsid w:val="00CE0972"/>
    <w:rsid w:val="00CE099B"/>
    <w:rsid w:val="00CE09A5"/>
    <w:rsid w:val="00CE0A3C"/>
    <w:rsid w:val="00CE0A89"/>
    <w:rsid w:val="00CE0A9A"/>
    <w:rsid w:val="00CE0AC6"/>
    <w:rsid w:val="00CE0B2A"/>
    <w:rsid w:val="00CE0B4E"/>
    <w:rsid w:val="00CE0B5B"/>
    <w:rsid w:val="00CE0C44"/>
    <w:rsid w:val="00CE0CED"/>
    <w:rsid w:val="00CE0D0C"/>
    <w:rsid w:val="00CE0D41"/>
    <w:rsid w:val="00CE0EA3"/>
    <w:rsid w:val="00CE0ED2"/>
    <w:rsid w:val="00CE0EE1"/>
    <w:rsid w:val="00CE0F08"/>
    <w:rsid w:val="00CE0F30"/>
    <w:rsid w:val="00CE0F3F"/>
    <w:rsid w:val="00CE0F4A"/>
    <w:rsid w:val="00CE10AA"/>
    <w:rsid w:val="00CE10FB"/>
    <w:rsid w:val="00CE112A"/>
    <w:rsid w:val="00CE11B6"/>
    <w:rsid w:val="00CE1274"/>
    <w:rsid w:val="00CE127C"/>
    <w:rsid w:val="00CE12F6"/>
    <w:rsid w:val="00CE1350"/>
    <w:rsid w:val="00CE139C"/>
    <w:rsid w:val="00CE13AD"/>
    <w:rsid w:val="00CE140D"/>
    <w:rsid w:val="00CE143B"/>
    <w:rsid w:val="00CE1484"/>
    <w:rsid w:val="00CE1510"/>
    <w:rsid w:val="00CE153B"/>
    <w:rsid w:val="00CE164B"/>
    <w:rsid w:val="00CE1669"/>
    <w:rsid w:val="00CE1688"/>
    <w:rsid w:val="00CE17D2"/>
    <w:rsid w:val="00CE183C"/>
    <w:rsid w:val="00CE184F"/>
    <w:rsid w:val="00CE1865"/>
    <w:rsid w:val="00CE186A"/>
    <w:rsid w:val="00CE186B"/>
    <w:rsid w:val="00CE186F"/>
    <w:rsid w:val="00CE188C"/>
    <w:rsid w:val="00CE1933"/>
    <w:rsid w:val="00CE1943"/>
    <w:rsid w:val="00CE1968"/>
    <w:rsid w:val="00CE19A8"/>
    <w:rsid w:val="00CE19F1"/>
    <w:rsid w:val="00CE1A22"/>
    <w:rsid w:val="00CE1B5B"/>
    <w:rsid w:val="00CE1B7E"/>
    <w:rsid w:val="00CE1B83"/>
    <w:rsid w:val="00CE1BD6"/>
    <w:rsid w:val="00CE1BEC"/>
    <w:rsid w:val="00CE1C3B"/>
    <w:rsid w:val="00CE1CCE"/>
    <w:rsid w:val="00CE1D82"/>
    <w:rsid w:val="00CE1DEF"/>
    <w:rsid w:val="00CE1E67"/>
    <w:rsid w:val="00CE1E6B"/>
    <w:rsid w:val="00CE1EA4"/>
    <w:rsid w:val="00CE1ECD"/>
    <w:rsid w:val="00CE2059"/>
    <w:rsid w:val="00CE2070"/>
    <w:rsid w:val="00CE207B"/>
    <w:rsid w:val="00CE2083"/>
    <w:rsid w:val="00CE2087"/>
    <w:rsid w:val="00CE2089"/>
    <w:rsid w:val="00CE2222"/>
    <w:rsid w:val="00CE235F"/>
    <w:rsid w:val="00CE23C5"/>
    <w:rsid w:val="00CE24B6"/>
    <w:rsid w:val="00CE2505"/>
    <w:rsid w:val="00CE2545"/>
    <w:rsid w:val="00CE25C9"/>
    <w:rsid w:val="00CE25DE"/>
    <w:rsid w:val="00CE265B"/>
    <w:rsid w:val="00CE2691"/>
    <w:rsid w:val="00CE2726"/>
    <w:rsid w:val="00CE2798"/>
    <w:rsid w:val="00CE27B9"/>
    <w:rsid w:val="00CE2804"/>
    <w:rsid w:val="00CE28AA"/>
    <w:rsid w:val="00CE2911"/>
    <w:rsid w:val="00CE291A"/>
    <w:rsid w:val="00CE2956"/>
    <w:rsid w:val="00CE2A93"/>
    <w:rsid w:val="00CE2ACA"/>
    <w:rsid w:val="00CE2B21"/>
    <w:rsid w:val="00CE2B24"/>
    <w:rsid w:val="00CE2B2C"/>
    <w:rsid w:val="00CE2D06"/>
    <w:rsid w:val="00CE2D5C"/>
    <w:rsid w:val="00CE2D87"/>
    <w:rsid w:val="00CE2DD1"/>
    <w:rsid w:val="00CE2E86"/>
    <w:rsid w:val="00CE2E8C"/>
    <w:rsid w:val="00CE2E9B"/>
    <w:rsid w:val="00CE2ECB"/>
    <w:rsid w:val="00CE2F3F"/>
    <w:rsid w:val="00CE2F48"/>
    <w:rsid w:val="00CE2F98"/>
    <w:rsid w:val="00CE2FA4"/>
    <w:rsid w:val="00CE2FF6"/>
    <w:rsid w:val="00CE3005"/>
    <w:rsid w:val="00CE308E"/>
    <w:rsid w:val="00CE30C3"/>
    <w:rsid w:val="00CE30DB"/>
    <w:rsid w:val="00CE30F0"/>
    <w:rsid w:val="00CE310F"/>
    <w:rsid w:val="00CE313D"/>
    <w:rsid w:val="00CE3281"/>
    <w:rsid w:val="00CE3348"/>
    <w:rsid w:val="00CE3357"/>
    <w:rsid w:val="00CE336C"/>
    <w:rsid w:val="00CE3374"/>
    <w:rsid w:val="00CE33E3"/>
    <w:rsid w:val="00CE35E8"/>
    <w:rsid w:val="00CE368D"/>
    <w:rsid w:val="00CE36A0"/>
    <w:rsid w:val="00CE373A"/>
    <w:rsid w:val="00CE3764"/>
    <w:rsid w:val="00CE378A"/>
    <w:rsid w:val="00CE37BE"/>
    <w:rsid w:val="00CE3939"/>
    <w:rsid w:val="00CE3A96"/>
    <w:rsid w:val="00CE3B29"/>
    <w:rsid w:val="00CE3B51"/>
    <w:rsid w:val="00CE3B92"/>
    <w:rsid w:val="00CE3CEF"/>
    <w:rsid w:val="00CE3D8C"/>
    <w:rsid w:val="00CE3F29"/>
    <w:rsid w:val="00CE3F8F"/>
    <w:rsid w:val="00CE3F90"/>
    <w:rsid w:val="00CE406F"/>
    <w:rsid w:val="00CE40C1"/>
    <w:rsid w:val="00CE4128"/>
    <w:rsid w:val="00CE414F"/>
    <w:rsid w:val="00CE4190"/>
    <w:rsid w:val="00CE4197"/>
    <w:rsid w:val="00CE41A2"/>
    <w:rsid w:val="00CE41D1"/>
    <w:rsid w:val="00CE4218"/>
    <w:rsid w:val="00CE423F"/>
    <w:rsid w:val="00CE431B"/>
    <w:rsid w:val="00CE4321"/>
    <w:rsid w:val="00CE4338"/>
    <w:rsid w:val="00CE4380"/>
    <w:rsid w:val="00CE43D2"/>
    <w:rsid w:val="00CE43D3"/>
    <w:rsid w:val="00CE43EF"/>
    <w:rsid w:val="00CE44FF"/>
    <w:rsid w:val="00CE4526"/>
    <w:rsid w:val="00CE4572"/>
    <w:rsid w:val="00CE45B9"/>
    <w:rsid w:val="00CE463E"/>
    <w:rsid w:val="00CE469D"/>
    <w:rsid w:val="00CE4742"/>
    <w:rsid w:val="00CE483B"/>
    <w:rsid w:val="00CE4846"/>
    <w:rsid w:val="00CE48CE"/>
    <w:rsid w:val="00CE4931"/>
    <w:rsid w:val="00CE49FC"/>
    <w:rsid w:val="00CE4AEC"/>
    <w:rsid w:val="00CE4B7E"/>
    <w:rsid w:val="00CE4C40"/>
    <w:rsid w:val="00CE4C85"/>
    <w:rsid w:val="00CE4CB9"/>
    <w:rsid w:val="00CE4D7D"/>
    <w:rsid w:val="00CE4D9E"/>
    <w:rsid w:val="00CE4E4B"/>
    <w:rsid w:val="00CE4E4C"/>
    <w:rsid w:val="00CE4EBD"/>
    <w:rsid w:val="00CE4EED"/>
    <w:rsid w:val="00CE4F19"/>
    <w:rsid w:val="00CE4F96"/>
    <w:rsid w:val="00CE4F9E"/>
    <w:rsid w:val="00CE4FDF"/>
    <w:rsid w:val="00CE502D"/>
    <w:rsid w:val="00CE50DB"/>
    <w:rsid w:val="00CE50E5"/>
    <w:rsid w:val="00CE5189"/>
    <w:rsid w:val="00CE52E9"/>
    <w:rsid w:val="00CE52FE"/>
    <w:rsid w:val="00CE5426"/>
    <w:rsid w:val="00CE54CD"/>
    <w:rsid w:val="00CE5503"/>
    <w:rsid w:val="00CE5513"/>
    <w:rsid w:val="00CE5536"/>
    <w:rsid w:val="00CE55C3"/>
    <w:rsid w:val="00CE55DF"/>
    <w:rsid w:val="00CE5655"/>
    <w:rsid w:val="00CE5683"/>
    <w:rsid w:val="00CE5692"/>
    <w:rsid w:val="00CE5698"/>
    <w:rsid w:val="00CE56BA"/>
    <w:rsid w:val="00CE5712"/>
    <w:rsid w:val="00CE5730"/>
    <w:rsid w:val="00CE5751"/>
    <w:rsid w:val="00CE57CA"/>
    <w:rsid w:val="00CE5851"/>
    <w:rsid w:val="00CE5854"/>
    <w:rsid w:val="00CE588F"/>
    <w:rsid w:val="00CE5895"/>
    <w:rsid w:val="00CE58A0"/>
    <w:rsid w:val="00CE58D4"/>
    <w:rsid w:val="00CE5969"/>
    <w:rsid w:val="00CE5A18"/>
    <w:rsid w:val="00CE5ACD"/>
    <w:rsid w:val="00CE5B02"/>
    <w:rsid w:val="00CE5BCE"/>
    <w:rsid w:val="00CE5CFD"/>
    <w:rsid w:val="00CE5D23"/>
    <w:rsid w:val="00CE5D35"/>
    <w:rsid w:val="00CE5D52"/>
    <w:rsid w:val="00CE5D59"/>
    <w:rsid w:val="00CE5D77"/>
    <w:rsid w:val="00CE5D9D"/>
    <w:rsid w:val="00CE5E2D"/>
    <w:rsid w:val="00CE5E33"/>
    <w:rsid w:val="00CE5EA3"/>
    <w:rsid w:val="00CE5F18"/>
    <w:rsid w:val="00CE5FD0"/>
    <w:rsid w:val="00CE5FE9"/>
    <w:rsid w:val="00CE607F"/>
    <w:rsid w:val="00CE6145"/>
    <w:rsid w:val="00CE6160"/>
    <w:rsid w:val="00CE62E1"/>
    <w:rsid w:val="00CE6389"/>
    <w:rsid w:val="00CE63AA"/>
    <w:rsid w:val="00CE642B"/>
    <w:rsid w:val="00CE6482"/>
    <w:rsid w:val="00CE6487"/>
    <w:rsid w:val="00CE651E"/>
    <w:rsid w:val="00CE658C"/>
    <w:rsid w:val="00CE65BC"/>
    <w:rsid w:val="00CE65E3"/>
    <w:rsid w:val="00CE6679"/>
    <w:rsid w:val="00CE6712"/>
    <w:rsid w:val="00CE6713"/>
    <w:rsid w:val="00CE6754"/>
    <w:rsid w:val="00CE677C"/>
    <w:rsid w:val="00CE679C"/>
    <w:rsid w:val="00CE67E6"/>
    <w:rsid w:val="00CE67F4"/>
    <w:rsid w:val="00CE6862"/>
    <w:rsid w:val="00CE6868"/>
    <w:rsid w:val="00CE6879"/>
    <w:rsid w:val="00CE68B3"/>
    <w:rsid w:val="00CE6974"/>
    <w:rsid w:val="00CE6A18"/>
    <w:rsid w:val="00CE6A54"/>
    <w:rsid w:val="00CE6A86"/>
    <w:rsid w:val="00CE6A98"/>
    <w:rsid w:val="00CE6ACB"/>
    <w:rsid w:val="00CE6AE3"/>
    <w:rsid w:val="00CE6B18"/>
    <w:rsid w:val="00CE6B28"/>
    <w:rsid w:val="00CE6B38"/>
    <w:rsid w:val="00CE6BE6"/>
    <w:rsid w:val="00CE6C8C"/>
    <w:rsid w:val="00CE6CC0"/>
    <w:rsid w:val="00CE6CD8"/>
    <w:rsid w:val="00CE6E09"/>
    <w:rsid w:val="00CE6E88"/>
    <w:rsid w:val="00CE6E97"/>
    <w:rsid w:val="00CE6EED"/>
    <w:rsid w:val="00CE6F0D"/>
    <w:rsid w:val="00CE6F24"/>
    <w:rsid w:val="00CE6FEA"/>
    <w:rsid w:val="00CE7015"/>
    <w:rsid w:val="00CE7094"/>
    <w:rsid w:val="00CE70D6"/>
    <w:rsid w:val="00CE7136"/>
    <w:rsid w:val="00CE7141"/>
    <w:rsid w:val="00CE71B8"/>
    <w:rsid w:val="00CE71E0"/>
    <w:rsid w:val="00CE720B"/>
    <w:rsid w:val="00CE7213"/>
    <w:rsid w:val="00CE723A"/>
    <w:rsid w:val="00CE7253"/>
    <w:rsid w:val="00CE72B6"/>
    <w:rsid w:val="00CE72E3"/>
    <w:rsid w:val="00CE7304"/>
    <w:rsid w:val="00CE731E"/>
    <w:rsid w:val="00CE7399"/>
    <w:rsid w:val="00CE73A8"/>
    <w:rsid w:val="00CE749F"/>
    <w:rsid w:val="00CE74A7"/>
    <w:rsid w:val="00CE754B"/>
    <w:rsid w:val="00CE759E"/>
    <w:rsid w:val="00CE7612"/>
    <w:rsid w:val="00CE7676"/>
    <w:rsid w:val="00CE76C5"/>
    <w:rsid w:val="00CE76EC"/>
    <w:rsid w:val="00CE7735"/>
    <w:rsid w:val="00CE7736"/>
    <w:rsid w:val="00CE783E"/>
    <w:rsid w:val="00CE7871"/>
    <w:rsid w:val="00CE7899"/>
    <w:rsid w:val="00CE78E0"/>
    <w:rsid w:val="00CE7980"/>
    <w:rsid w:val="00CE79CF"/>
    <w:rsid w:val="00CE79F1"/>
    <w:rsid w:val="00CE7AD2"/>
    <w:rsid w:val="00CE7B35"/>
    <w:rsid w:val="00CE7B80"/>
    <w:rsid w:val="00CE7C21"/>
    <w:rsid w:val="00CE7C28"/>
    <w:rsid w:val="00CE7C59"/>
    <w:rsid w:val="00CE7C67"/>
    <w:rsid w:val="00CE7C8C"/>
    <w:rsid w:val="00CE7D08"/>
    <w:rsid w:val="00CE7D53"/>
    <w:rsid w:val="00CE7DDC"/>
    <w:rsid w:val="00CE7DE5"/>
    <w:rsid w:val="00CE7E29"/>
    <w:rsid w:val="00CE7E60"/>
    <w:rsid w:val="00CE7EAB"/>
    <w:rsid w:val="00CE7F07"/>
    <w:rsid w:val="00CE7F13"/>
    <w:rsid w:val="00CE7FA9"/>
    <w:rsid w:val="00CE7FCC"/>
    <w:rsid w:val="00CF0027"/>
    <w:rsid w:val="00CF003C"/>
    <w:rsid w:val="00CF0047"/>
    <w:rsid w:val="00CF0060"/>
    <w:rsid w:val="00CF008D"/>
    <w:rsid w:val="00CF00BD"/>
    <w:rsid w:val="00CF00F2"/>
    <w:rsid w:val="00CF011F"/>
    <w:rsid w:val="00CF0127"/>
    <w:rsid w:val="00CF0144"/>
    <w:rsid w:val="00CF01BF"/>
    <w:rsid w:val="00CF01D0"/>
    <w:rsid w:val="00CF020E"/>
    <w:rsid w:val="00CF0258"/>
    <w:rsid w:val="00CF027D"/>
    <w:rsid w:val="00CF02DC"/>
    <w:rsid w:val="00CF0343"/>
    <w:rsid w:val="00CF036F"/>
    <w:rsid w:val="00CF0379"/>
    <w:rsid w:val="00CF03FC"/>
    <w:rsid w:val="00CF0489"/>
    <w:rsid w:val="00CF04ED"/>
    <w:rsid w:val="00CF0518"/>
    <w:rsid w:val="00CF054F"/>
    <w:rsid w:val="00CF05B1"/>
    <w:rsid w:val="00CF05CF"/>
    <w:rsid w:val="00CF062B"/>
    <w:rsid w:val="00CF06BA"/>
    <w:rsid w:val="00CF075D"/>
    <w:rsid w:val="00CF07E1"/>
    <w:rsid w:val="00CF081A"/>
    <w:rsid w:val="00CF083C"/>
    <w:rsid w:val="00CF0856"/>
    <w:rsid w:val="00CF08DA"/>
    <w:rsid w:val="00CF08EE"/>
    <w:rsid w:val="00CF0A08"/>
    <w:rsid w:val="00CF0A1C"/>
    <w:rsid w:val="00CF0A31"/>
    <w:rsid w:val="00CF0AA2"/>
    <w:rsid w:val="00CF0B16"/>
    <w:rsid w:val="00CF0BA7"/>
    <w:rsid w:val="00CF0C10"/>
    <w:rsid w:val="00CF0C95"/>
    <w:rsid w:val="00CF0CAC"/>
    <w:rsid w:val="00CF0CBC"/>
    <w:rsid w:val="00CF0D38"/>
    <w:rsid w:val="00CF0EDA"/>
    <w:rsid w:val="00CF0EEF"/>
    <w:rsid w:val="00CF0F00"/>
    <w:rsid w:val="00CF0F85"/>
    <w:rsid w:val="00CF1037"/>
    <w:rsid w:val="00CF1066"/>
    <w:rsid w:val="00CF1111"/>
    <w:rsid w:val="00CF1140"/>
    <w:rsid w:val="00CF114C"/>
    <w:rsid w:val="00CF1235"/>
    <w:rsid w:val="00CF1257"/>
    <w:rsid w:val="00CF12DD"/>
    <w:rsid w:val="00CF13B6"/>
    <w:rsid w:val="00CF1410"/>
    <w:rsid w:val="00CF1476"/>
    <w:rsid w:val="00CF147F"/>
    <w:rsid w:val="00CF14BC"/>
    <w:rsid w:val="00CF14E0"/>
    <w:rsid w:val="00CF14E6"/>
    <w:rsid w:val="00CF153C"/>
    <w:rsid w:val="00CF168F"/>
    <w:rsid w:val="00CF16AF"/>
    <w:rsid w:val="00CF17E5"/>
    <w:rsid w:val="00CF183E"/>
    <w:rsid w:val="00CF1883"/>
    <w:rsid w:val="00CF18F6"/>
    <w:rsid w:val="00CF191C"/>
    <w:rsid w:val="00CF1986"/>
    <w:rsid w:val="00CF19C2"/>
    <w:rsid w:val="00CF1B19"/>
    <w:rsid w:val="00CF1C27"/>
    <w:rsid w:val="00CF1C65"/>
    <w:rsid w:val="00CF1D70"/>
    <w:rsid w:val="00CF1D78"/>
    <w:rsid w:val="00CF1E00"/>
    <w:rsid w:val="00CF1E35"/>
    <w:rsid w:val="00CF1E47"/>
    <w:rsid w:val="00CF1EE5"/>
    <w:rsid w:val="00CF1F73"/>
    <w:rsid w:val="00CF1F7D"/>
    <w:rsid w:val="00CF1FA2"/>
    <w:rsid w:val="00CF1FE1"/>
    <w:rsid w:val="00CF1FFC"/>
    <w:rsid w:val="00CF20AD"/>
    <w:rsid w:val="00CF217B"/>
    <w:rsid w:val="00CF21AD"/>
    <w:rsid w:val="00CF21E8"/>
    <w:rsid w:val="00CF21FB"/>
    <w:rsid w:val="00CF2280"/>
    <w:rsid w:val="00CF233B"/>
    <w:rsid w:val="00CF23C7"/>
    <w:rsid w:val="00CF23CC"/>
    <w:rsid w:val="00CF23EA"/>
    <w:rsid w:val="00CF24A2"/>
    <w:rsid w:val="00CF259C"/>
    <w:rsid w:val="00CF2728"/>
    <w:rsid w:val="00CF27FA"/>
    <w:rsid w:val="00CF280E"/>
    <w:rsid w:val="00CF28A5"/>
    <w:rsid w:val="00CF28DF"/>
    <w:rsid w:val="00CF293E"/>
    <w:rsid w:val="00CF29B9"/>
    <w:rsid w:val="00CF29DE"/>
    <w:rsid w:val="00CF29F1"/>
    <w:rsid w:val="00CF2A9D"/>
    <w:rsid w:val="00CF2AD2"/>
    <w:rsid w:val="00CF2B15"/>
    <w:rsid w:val="00CF2C4D"/>
    <w:rsid w:val="00CF2CA1"/>
    <w:rsid w:val="00CF2CC9"/>
    <w:rsid w:val="00CF2D17"/>
    <w:rsid w:val="00CF2D61"/>
    <w:rsid w:val="00CF2D98"/>
    <w:rsid w:val="00CF2E8A"/>
    <w:rsid w:val="00CF2E97"/>
    <w:rsid w:val="00CF2EA4"/>
    <w:rsid w:val="00CF2EF3"/>
    <w:rsid w:val="00CF2EFF"/>
    <w:rsid w:val="00CF2F3F"/>
    <w:rsid w:val="00CF2F73"/>
    <w:rsid w:val="00CF3044"/>
    <w:rsid w:val="00CF3124"/>
    <w:rsid w:val="00CF3153"/>
    <w:rsid w:val="00CF3187"/>
    <w:rsid w:val="00CF31AB"/>
    <w:rsid w:val="00CF32BE"/>
    <w:rsid w:val="00CF32DF"/>
    <w:rsid w:val="00CF3339"/>
    <w:rsid w:val="00CF3391"/>
    <w:rsid w:val="00CF3410"/>
    <w:rsid w:val="00CF3451"/>
    <w:rsid w:val="00CF3484"/>
    <w:rsid w:val="00CF34D6"/>
    <w:rsid w:val="00CF3507"/>
    <w:rsid w:val="00CF35DE"/>
    <w:rsid w:val="00CF3647"/>
    <w:rsid w:val="00CF364C"/>
    <w:rsid w:val="00CF37DA"/>
    <w:rsid w:val="00CF3807"/>
    <w:rsid w:val="00CF381F"/>
    <w:rsid w:val="00CF382D"/>
    <w:rsid w:val="00CF392A"/>
    <w:rsid w:val="00CF39B2"/>
    <w:rsid w:val="00CF3A04"/>
    <w:rsid w:val="00CF3A6E"/>
    <w:rsid w:val="00CF3B70"/>
    <w:rsid w:val="00CF3B9F"/>
    <w:rsid w:val="00CF3BFE"/>
    <w:rsid w:val="00CF3C50"/>
    <w:rsid w:val="00CF3C5F"/>
    <w:rsid w:val="00CF3CF6"/>
    <w:rsid w:val="00CF3D22"/>
    <w:rsid w:val="00CF3D85"/>
    <w:rsid w:val="00CF3D8A"/>
    <w:rsid w:val="00CF3E19"/>
    <w:rsid w:val="00CF3E3B"/>
    <w:rsid w:val="00CF3E3D"/>
    <w:rsid w:val="00CF3E89"/>
    <w:rsid w:val="00CF3EA4"/>
    <w:rsid w:val="00CF3EF1"/>
    <w:rsid w:val="00CF3EF4"/>
    <w:rsid w:val="00CF3EFE"/>
    <w:rsid w:val="00CF3F1C"/>
    <w:rsid w:val="00CF3F48"/>
    <w:rsid w:val="00CF3FC9"/>
    <w:rsid w:val="00CF4007"/>
    <w:rsid w:val="00CF4027"/>
    <w:rsid w:val="00CF403A"/>
    <w:rsid w:val="00CF4087"/>
    <w:rsid w:val="00CF41DE"/>
    <w:rsid w:val="00CF420F"/>
    <w:rsid w:val="00CF42ED"/>
    <w:rsid w:val="00CF42FD"/>
    <w:rsid w:val="00CF4332"/>
    <w:rsid w:val="00CF436C"/>
    <w:rsid w:val="00CF4381"/>
    <w:rsid w:val="00CF43BA"/>
    <w:rsid w:val="00CF43C7"/>
    <w:rsid w:val="00CF4440"/>
    <w:rsid w:val="00CF44D8"/>
    <w:rsid w:val="00CF44DC"/>
    <w:rsid w:val="00CF44E1"/>
    <w:rsid w:val="00CF44E5"/>
    <w:rsid w:val="00CF4514"/>
    <w:rsid w:val="00CF45C4"/>
    <w:rsid w:val="00CF4651"/>
    <w:rsid w:val="00CF4654"/>
    <w:rsid w:val="00CF4696"/>
    <w:rsid w:val="00CF4710"/>
    <w:rsid w:val="00CF4730"/>
    <w:rsid w:val="00CF47CC"/>
    <w:rsid w:val="00CF4835"/>
    <w:rsid w:val="00CF485F"/>
    <w:rsid w:val="00CF4878"/>
    <w:rsid w:val="00CF48B2"/>
    <w:rsid w:val="00CF48B3"/>
    <w:rsid w:val="00CF48EE"/>
    <w:rsid w:val="00CF491A"/>
    <w:rsid w:val="00CF4A68"/>
    <w:rsid w:val="00CF4B3D"/>
    <w:rsid w:val="00CF4BB2"/>
    <w:rsid w:val="00CF4C0E"/>
    <w:rsid w:val="00CF4C48"/>
    <w:rsid w:val="00CF4CE7"/>
    <w:rsid w:val="00CF4D83"/>
    <w:rsid w:val="00CF4D94"/>
    <w:rsid w:val="00CF4DD6"/>
    <w:rsid w:val="00CF4E5A"/>
    <w:rsid w:val="00CF4F55"/>
    <w:rsid w:val="00CF4FBC"/>
    <w:rsid w:val="00CF4FCF"/>
    <w:rsid w:val="00CF5037"/>
    <w:rsid w:val="00CF506B"/>
    <w:rsid w:val="00CF5293"/>
    <w:rsid w:val="00CF53CC"/>
    <w:rsid w:val="00CF53FA"/>
    <w:rsid w:val="00CF5430"/>
    <w:rsid w:val="00CF5464"/>
    <w:rsid w:val="00CF54B3"/>
    <w:rsid w:val="00CF55A8"/>
    <w:rsid w:val="00CF55B4"/>
    <w:rsid w:val="00CF562B"/>
    <w:rsid w:val="00CF5681"/>
    <w:rsid w:val="00CF56A8"/>
    <w:rsid w:val="00CF56B8"/>
    <w:rsid w:val="00CF5732"/>
    <w:rsid w:val="00CF57B4"/>
    <w:rsid w:val="00CF57FB"/>
    <w:rsid w:val="00CF5875"/>
    <w:rsid w:val="00CF58BB"/>
    <w:rsid w:val="00CF58C7"/>
    <w:rsid w:val="00CF599F"/>
    <w:rsid w:val="00CF59BB"/>
    <w:rsid w:val="00CF59BF"/>
    <w:rsid w:val="00CF5A81"/>
    <w:rsid w:val="00CF5A8D"/>
    <w:rsid w:val="00CF5ABA"/>
    <w:rsid w:val="00CF5B56"/>
    <w:rsid w:val="00CF5BF9"/>
    <w:rsid w:val="00CF5C7B"/>
    <w:rsid w:val="00CF5C8B"/>
    <w:rsid w:val="00CF5D5F"/>
    <w:rsid w:val="00CF5E30"/>
    <w:rsid w:val="00CF5E53"/>
    <w:rsid w:val="00CF5EAE"/>
    <w:rsid w:val="00CF5EF0"/>
    <w:rsid w:val="00CF5F30"/>
    <w:rsid w:val="00CF5F7B"/>
    <w:rsid w:val="00CF6000"/>
    <w:rsid w:val="00CF601A"/>
    <w:rsid w:val="00CF60F0"/>
    <w:rsid w:val="00CF614C"/>
    <w:rsid w:val="00CF6152"/>
    <w:rsid w:val="00CF619F"/>
    <w:rsid w:val="00CF61C1"/>
    <w:rsid w:val="00CF61C5"/>
    <w:rsid w:val="00CF620C"/>
    <w:rsid w:val="00CF6274"/>
    <w:rsid w:val="00CF62CC"/>
    <w:rsid w:val="00CF6355"/>
    <w:rsid w:val="00CF6453"/>
    <w:rsid w:val="00CF649F"/>
    <w:rsid w:val="00CF64E6"/>
    <w:rsid w:val="00CF6526"/>
    <w:rsid w:val="00CF65E9"/>
    <w:rsid w:val="00CF661B"/>
    <w:rsid w:val="00CF6667"/>
    <w:rsid w:val="00CF66B7"/>
    <w:rsid w:val="00CF66F6"/>
    <w:rsid w:val="00CF6715"/>
    <w:rsid w:val="00CF6736"/>
    <w:rsid w:val="00CF6748"/>
    <w:rsid w:val="00CF67B5"/>
    <w:rsid w:val="00CF68FC"/>
    <w:rsid w:val="00CF695F"/>
    <w:rsid w:val="00CF69A0"/>
    <w:rsid w:val="00CF69A1"/>
    <w:rsid w:val="00CF69FD"/>
    <w:rsid w:val="00CF6A16"/>
    <w:rsid w:val="00CF6B0A"/>
    <w:rsid w:val="00CF6B2B"/>
    <w:rsid w:val="00CF6B57"/>
    <w:rsid w:val="00CF6B9A"/>
    <w:rsid w:val="00CF6C0F"/>
    <w:rsid w:val="00CF6C45"/>
    <w:rsid w:val="00CF6C82"/>
    <w:rsid w:val="00CF6C9D"/>
    <w:rsid w:val="00CF6CBB"/>
    <w:rsid w:val="00CF6D67"/>
    <w:rsid w:val="00CF6DCB"/>
    <w:rsid w:val="00CF6E33"/>
    <w:rsid w:val="00CF6EBF"/>
    <w:rsid w:val="00CF6EE1"/>
    <w:rsid w:val="00CF6F82"/>
    <w:rsid w:val="00CF6FAF"/>
    <w:rsid w:val="00CF702A"/>
    <w:rsid w:val="00CF708A"/>
    <w:rsid w:val="00CF70BB"/>
    <w:rsid w:val="00CF70DE"/>
    <w:rsid w:val="00CF713A"/>
    <w:rsid w:val="00CF717F"/>
    <w:rsid w:val="00CF720E"/>
    <w:rsid w:val="00CF7245"/>
    <w:rsid w:val="00CF7257"/>
    <w:rsid w:val="00CF7258"/>
    <w:rsid w:val="00CF7260"/>
    <w:rsid w:val="00CF72AD"/>
    <w:rsid w:val="00CF72F5"/>
    <w:rsid w:val="00CF7307"/>
    <w:rsid w:val="00CF7332"/>
    <w:rsid w:val="00CF73E1"/>
    <w:rsid w:val="00CF73E6"/>
    <w:rsid w:val="00CF74BD"/>
    <w:rsid w:val="00CF74D2"/>
    <w:rsid w:val="00CF767F"/>
    <w:rsid w:val="00CF76BB"/>
    <w:rsid w:val="00CF76DD"/>
    <w:rsid w:val="00CF7705"/>
    <w:rsid w:val="00CF7857"/>
    <w:rsid w:val="00CF78C0"/>
    <w:rsid w:val="00CF78CD"/>
    <w:rsid w:val="00CF78FF"/>
    <w:rsid w:val="00CF7933"/>
    <w:rsid w:val="00CF7968"/>
    <w:rsid w:val="00CF79F4"/>
    <w:rsid w:val="00CF7AE7"/>
    <w:rsid w:val="00CF7AFE"/>
    <w:rsid w:val="00CF7B31"/>
    <w:rsid w:val="00CF7BE8"/>
    <w:rsid w:val="00CF7C30"/>
    <w:rsid w:val="00CF7D82"/>
    <w:rsid w:val="00CF7D92"/>
    <w:rsid w:val="00CF7DE6"/>
    <w:rsid w:val="00CF7DE9"/>
    <w:rsid w:val="00CF7E93"/>
    <w:rsid w:val="00CF7EE1"/>
    <w:rsid w:val="00CF7F78"/>
    <w:rsid w:val="00CF7F8D"/>
    <w:rsid w:val="00D00047"/>
    <w:rsid w:val="00D00088"/>
    <w:rsid w:val="00D00098"/>
    <w:rsid w:val="00D000F0"/>
    <w:rsid w:val="00D000FF"/>
    <w:rsid w:val="00D00183"/>
    <w:rsid w:val="00D00191"/>
    <w:rsid w:val="00D00192"/>
    <w:rsid w:val="00D00211"/>
    <w:rsid w:val="00D00271"/>
    <w:rsid w:val="00D00304"/>
    <w:rsid w:val="00D00341"/>
    <w:rsid w:val="00D00395"/>
    <w:rsid w:val="00D003D9"/>
    <w:rsid w:val="00D00432"/>
    <w:rsid w:val="00D0048F"/>
    <w:rsid w:val="00D004B5"/>
    <w:rsid w:val="00D004F1"/>
    <w:rsid w:val="00D0050D"/>
    <w:rsid w:val="00D005EF"/>
    <w:rsid w:val="00D00687"/>
    <w:rsid w:val="00D006B4"/>
    <w:rsid w:val="00D00761"/>
    <w:rsid w:val="00D00789"/>
    <w:rsid w:val="00D007A4"/>
    <w:rsid w:val="00D00860"/>
    <w:rsid w:val="00D008CE"/>
    <w:rsid w:val="00D00934"/>
    <w:rsid w:val="00D00964"/>
    <w:rsid w:val="00D009FC"/>
    <w:rsid w:val="00D00A04"/>
    <w:rsid w:val="00D00A1D"/>
    <w:rsid w:val="00D00A99"/>
    <w:rsid w:val="00D00AED"/>
    <w:rsid w:val="00D00AF4"/>
    <w:rsid w:val="00D00B92"/>
    <w:rsid w:val="00D00BEE"/>
    <w:rsid w:val="00D00BF6"/>
    <w:rsid w:val="00D00C12"/>
    <w:rsid w:val="00D00C8B"/>
    <w:rsid w:val="00D00D17"/>
    <w:rsid w:val="00D00D26"/>
    <w:rsid w:val="00D00D5F"/>
    <w:rsid w:val="00D00E50"/>
    <w:rsid w:val="00D00E97"/>
    <w:rsid w:val="00D00EC4"/>
    <w:rsid w:val="00D00F78"/>
    <w:rsid w:val="00D00FA6"/>
    <w:rsid w:val="00D0105C"/>
    <w:rsid w:val="00D01098"/>
    <w:rsid w:val="00D010DD"/>
    <w:rsid w:val="00D0119A"/>
    <w:rsid w:val="00D011BD"/>
    <w:rsid w:val="00D011CF"/>
    <w:rsid w:val="00D0121F"/>
    <w:rsid w:val="00D0137F"/>
    <w:rsid w:val="00D01390"/>
    <w:rsid w:val="00D01449"/>
    <w:rsid w:val="00D0154D"/>
    <w:rsid w:val="00D015CA"/>
    <w:rsid w:val="00D0163C"/>
    <w:rsid w:val="00D01643"/>
    <w:rsid w:val="00D01652"/>
    <w:rsid w:val="00D01676"/>
    <w:rsid w:val="00D0170B"/>
    <w:rsid w:val="00D01716"/>
    <w:rsid w:val="00D0174A"/>
    <w:rsid w:val="00D01777"/>
    <w:rsid w:val="00D0184E"/>
    <w:rsid w:val="00D0189A"/>
    <w:rsid w:val="00D0189B"/>
    <w:rsid w:val="00D0195C"/>
    <w:rsid w:val="00D01A4C"/>
    <w:rsid w:val="00D01A6C"/>
    <w:rsid w:val="00D01BFD"/>
    <w:rsid w:val="00D01C20"/>
    <w:rsid w:val="00D01C2A"/>
    <w:rsid w:val="00D01C35"/>
    <w:rsid w:val="00D01C87"/>
    <w:rsid w:val="00D01CFD"/>
    <w:rsid w:val="00D01D82"/>
    <w:rsid w:val="00D01DCE"/>
    <w:rsid w:val="00D01E37"/>
    <w:rsid w:val="00D01FA9"/>
    <w:rsid w:val="00D01FAB"/>
    <w:rsid w:val="00D02009"/>
    <w:rsid w:val="00D02146"/>
    <w:rsid w:val="00D02162"/>
    <w:rsid w:val="00D02333"/>
    <w:rsid w:val="00D0236E"/>
    <w:rsid w:val="00D023A7"/>
    <w:rsid w:val="00D023AA"/>
    <w:rsid w:val="00D02476"/>
    <w:rsid w:val="00D02522"/>
    <w:rsid w:val="00D02592"/>
    <w:rsid w:val="00D025AF"/>
    <w:rsid w:val="00D0262E"/>
    <w:rsid w:val="00D02666"/>
    <w:rsid w:val="00D026F0"/>
    <w:rsid w:val="00D02731"/>
    <w:rsid w:val="00D027F7"/>
    <w:rsid w:val="00D02839"/>
    <w:rsid w:val="00D02861"/>
    <w:rsid w:val="00D028A7"/>
    <w:rsid w:val="00D028BD"/>
    <w:rsid w:val="00D0292D"/>
    <w:rsid w:val="00D02953"/>
    <w:rsid w:val="00D02977"/>
    <w:rsid w:val="00D029BB"/>
    <w:rsid w:val="00D029D4"/>
    <w:rsid w:val="00D029F4"/>
    <w:rsid w:val="00D02AAC"/>
    <w:rsid w:val="00D02BBD"/>
    <w:rsid w:val="00D02C08"/>
    <w:rsid w:val="00D02C52"/>
    <w:rsid w:val="00D02C97"/>
    <w:rsid w:val="00D02CC4"/>
    <w:rsid w:val="00D02D0F"/>
    <w:rsid w:val="00D02D93"/>
    <w:rsid w:val="00D02DA7"/>
    <w:rsid w:val="00D02DDE"/>
    <w:rsid w:val="00D02DFC"/>
    <w:rsid w:val="00D02EA4"/>
    <w:rsid w:val="00D02F7C"/>
    <w:rsid w:val="00D02F8F"/>
    <w:rsid w:val="00D02FF2"/>
    <w:rsid w:val="00D03077"/>
    <w:rsid w:val="00D030DA"/>
    <w:rsid w:val="00D03174"/>
    <w:rsid w:val="00D031AA"/>
    <w:rsid w:val="00D0322F"/>
    <w:rsid w:val="00D03246"/>
    <w:rsid w:val="00D032B2"/>
    <w:rsid w:val="00D03464"/>
    <w:rsid w:val="00D034B0"/>
    <w:rsid w:val="00D03523"/>
    <w:rsid w:val="00D035E9"/>
    <w:rsid w:val="00D0362C"/>
    <w:rsid w:val="00D0363D"/>
    <w:rsid w:val="00D036B2"/>
    <w:rsid w:val="00D036E6"/>
    <w:rsid w:val="00D03823"/>
    <w:rsid w:val="00D03856"/>
    <w:rsid w:val="00D03863"/>
    <w:rsid w:val="00D03898"/>
    <w:rsid w:val="00D038A8"/>
    <w:rsid w:val="00D038AD"/>
    <w:rsid w:val="00D03915"/>
    <w:rsid w:val="00D03935"/>
    <w:rsid w:val="00D03966"/>
    <w:rsid w:val="00D039E5"/>
    <w:rsid w:val="00D03A2E"/>
    <w:rsid w:val="00D03A4A"/>
    <w:rsid w:val="00D03A74"/>
    <w:rsid w:val="00D03AD2"/>
    <w:rsid w:val="00D03B46"/>
    <w:rsid w:val="00D03B62"/>
    <w:rsid w:val="00D03B7F"/>
    <w:rsid w:val="00D03BDB"/>
    <w:rsid w:val="00D03C16"/>
    <w:rsid w:val="00D03C8A"/>
    <w:rsid w:val="00D03C92"/>
    <w:rsid w:val="00D03CFB"/>
    <w:rsid w:val="00D03D1B"/>
    <w:rsid w:val="00D03D35"/>
    <w:rsid w:val="00D03DDD"/>
    <w:rsid w:val="00D03E0E"/>
    <w:rsid w:val="00D03E97"/>
    <w:rsid w:val="00D03FC0"/>
    <w:rsid w:val="00D0406A"/>
    <w:rsid w:val="00D0408E"/>
    <w:rsid w:val="00D040CB"/>
    <w:rsid w:val="00D0414B"/>
    <w:rsid w:val="00D041C8"/>
    <w:rsid w:val="00D0421F"/>
    <w:rsid w:val="00D0422C"/>
    <w:rsid w:val="00D0424A"/>
    <w:rsid w:val="00D04334"/>
    <w:rsid w:val="00D043E7"/>
    <w:rsid w:val="00D043FD"/>
    <w:rsid w:val="00D0442A"/>
    <w:rsid w:val="00D0445D"/>
    <w:rsid w:val="00D04488"/>
    <w:rsid w:val="00D04496"/>
    <w:rsid w:val="00D044DA"/>
    <w:rsid w:val="00D04549"/>
    <w:rsid w:val="00D04569"/>
    <w:rsid w:val="00D045A6"/>
    <w:rsid w:val="00D045D1"/>
    <w:rsid w:val="00D04635"/>
    <w:rsid w:val="00D046A2"/>
    <w:rsid w:val="00D046A3"/>
    <w:rsid w:val="00D046CF"/>
    <w:rsid w:val="00D04817"/>
    <w:rsid w:val="00D04887"/>
    <w:rsid w:val="00D0489F"/>
    <w:rsid w:val="00D048FC"/>
    <w:rsid w:val="00D04A5D"/>
    <w:rsid w:val="00D04ACB"/>
    <w:rsid w:val="00D04AF7"/>
    <w:rsid w:val="00D04B09"/>
    <w:rsid w:val="00D04B30"/>
    <w:rsid w:val="00D04BAA"/>
    <w:rsid w:val="00D04BBD"/>
    <w:rsid w:val="00D04C77"/>
    <w:rsid w:val="00D04D49"/>
    <w:rsid w:val="00D04D58"/>
    <w:rsid w:val="00D04D76"/>
    <w:rsid w:val="00D04DF0"/>
    <w:rsid w:val="00D04DF9"/>
    <w:rsid w:val="00D04DFA"/>
    <w:rsid w:val="00D04E4F"/>
    <w:rsid w:val="00D04F0C"/>
    <w:rsid w:val="00D04F53"/>
    <w:rsid w:val="00D04FC6"/>
    <w:rsid w:val="00D0500D"/>
    <w:rsid w:val="00D0506A"/>
    <w:rsid w:val="00D050E4"/>
    <w:rsid w:val="00D050EE"/>
    <w:rsid w:val="00D05215"/>
    <w:rsid w:val="00D05218"/>
    <w:rsid w:val="00D05234"/>
    <w:rsid w:val="00D05342"/>
    <w:rsid w:val="00D05357"/>
    <w:rsid w:val="00D05385"/>
    <w:rsid w:val="00D05470"/>
    <w:rsid w:val="00D05481"/>
    <w:rsid w:val="00D0557B"/>
    <w:rsid w:val="00D05683"/>
    <w:rsid w:val="00D05689"/>
    <w:rsid w:val="00D05747"/>
    <w:rsid w:val="00D05788"/>
    <w:rsid w:val="00D05863"/>
    <w:rsid w:val="00D05935"/>
    <w:rsid w:val="00D0593B"/>
    <w:rsid w:val="00D05A25"/>
    <w:rsid w:val="00D05A7F"/>
    <w:rsid w:val="00D05AB1"/>
    <w:rsid w:val="00D05ABF"/>
    <w:rsid w:val="00D05BE9"/>
    <w:rsid w:val="00D05CCA"/>
    <w:rsid w:val="00D05CD7"/>
    <w:rsid w:val="00D05DE2"/>
    <w:rsid w:val="00D05E93"/>
    <w:rsid w:val="00D05F13"/>
    <w:rsid w:val="00D05F67"/>
    <w:rsid w:val="00D05FA7"/>
    <w:rsid w:val="00D05FB4"/>
    <w:rsid w:val="00D05FFF"/>
    <w:rsid w:val="00D0605E"/>
    <w:rsid w:val="00D060C9"/>
    <w:rsid w:val="00D060EF"/>
    <w:rsid w:val="00D06186"/>
    <w:rsid w:val="00D0624A"/>
    <w:rsid w:val="00D062C8"/>
    <w:rsid w:val="00D062CF"/>
    <w:rsid w:val="00D062F1"/>
    <w:rsid w:val="00D0639D"/>
    <w:rsid w:val="00D063C2"/>
    <w:rsid w:val="00D063E3"/>
    <w:rsid w:val="00D06409"/>
    <w:rsid w:val="00D06433"/>
    <w:rsid w:val="00D06441"/>
    <w:rsid w:val="00D06463"/>
    <w:rsid w:val="00D064B2"/>
    <w:rsid w:val="00D06570"/>
    <w:rsid w:val="00D06587"/>
    <w:rsid w:val="00D06647"/>
    <w:rsid w:val="00D066D8"/>
    <w:rsid w:val="00D06766"/>
    <w:rsid w:val="00D067BB"/>
    <w:rsid w:val="00D067C6"/>
    <w:rsid w:val="00D068EE"/>
    <w:rsid w:val="00D0695B"/>
    <w:rsid w:val="00D06A54"/>
    <w:rsid w:val="00D06A96"/>
    <w:rsid w:val="00D06A9D"/>
    <w:rsid w:val="00D06AEA"/>
    <w:rsid w:val="00D06BF2"/>
    <w:rsid w:val="00D06C08"/>
    <w:rsid w:val="00D06C16"/>
    <w:rsid w:val="00D06CA8"/>
    <w:rsid w:val="00D06D81"/>
    <w:rsid w:val="00D06DD3"/>
    <w:rsid w:val="00D06DDC"/>
    <w:rsid w:val="00D06E34"/>
    <w:rsid w:val="00D06E7E"/>
    <w:rsid w:val="00D06EE1"/>
    <w:rsid w:val="00D06EEE"/>
    <w:rsid w:val="00D06F48"/>
    <w:rsid w:val="00D07127"/>
    <w:rsid w:val="00D07206"/>
    <w:rsid w:val="00D07211"/>
    <w:rsid w:val="00D072E8"/>
    <w:rsid w:val="00D07311"/>
    <w:rsid w:val="00D07369"/>
    <w:rsid w:val="00D07469"/>
    <w:rsid w:val="00D07472"/>
    <w:rsid w:val="00D0748C"/>
    <w:rsid w:val="00D074B5"/>
    <w:rsid w:val="00D074F6"/>
    <w:rsid w:val="00D0757A"/>
    <w:rsid w:val="00D0758A"/>
    <w:rsid w:val="00D075A3"/>
    <w:rsid w:val="00D07710"/>
    <w:rsid w:val="00D0771C"/>
    <w:rsid w:val="00D0776E"/>
    <w:rsid w:val="00D07782"/>
    <w:rsid w:val="00D077B9"/>
    <w:rsid w:val="00D07822"/>
    <w:rsid w:val="00D07901"/>
    <w:rsid w:val="00D07932"/>
    <w:rsid w:val="00D0795F"/>
    <w:rsid w:val="00D079A3"/>
    <w:rsid w:val="00D079F6"/>
    <w:rsid w:val="00D07A30"/>
    <w:rsid w:val="00D07ACD"/>
    <w:rsid w:val="00D07AFC"/>
    <w:rsid w:val="00D07B0F"/>
    <w:rsid w:val="00D07B39"/>
    <w:rsid w:val="00D07B3C"/>
    <w:rsid w:val="00D07B42"/>
    <w:rsid w:val="00D07BD4"/>
    <w:rsid w:val="00D07BD5"/>
    <w:rsid w:val="00D07CAF"/>
    <w:rsid w:val="00D07CE7"/>
    <w:rsid w:val="00D07D0A"/>
    <w:rsid w:val="00D07E44"/>
    <w:rsid w:val="00D07E9A"/>
    <w:rsid w:val="00D07F6D"/>
    <w:rsid w:val="00D07F80"/>
    <w:rsid w:val="00D10017"/>
    <w:rsid w:val="00D10043"/>
    <w:rsid w:val="00D100DC"/>
    <w:rsid w:val="00D10125"/>
    <w:rsid w:val="00D101AE"/>
    <w:rsid w:val="00D101E0"/>
    <w:rsid w:val="00D10225"/>
    <w:rsid w:val="00D10249"/>
    <w:rsid w:val="00D10373"/>
    <w:rsid w:val="00D1038B"/>
    <w:rsid w:val="00D10463"/>
    <w:rsid w:val="00D104AE"/>
    <w:rsid w:val="00D104C8"/>
    <w:rsid w:val="00D10599"/>
    <w:rsid w:val="00D10734"/>
    <w:rsid w:val="00D1073F"/>
    <w:rsid w:val="00D10789"/>
    <w:rsid w:val="00D107E0"/>
    <w:rsid w:val="00D1089D"/>
    <w:rsid w:val="00D108B8"/>
    <w:rsid w:val="00D108C9"/>
    <w:rsid w:val="00D108EC"/>
    <w:rsid w:val="00D10918"/>
    <w:rsid w:val="00D109AB"/>
    <w:rsid w:val="00D10AAA"/>
    <w:rsid w:val="00D10ABB"/>
    <w:rsid w:val="00D10C8E"/>
    <w:rsid w:val="00D10D0E"/>
    <w:rsid w:val="00D10D9B"/>
    <w:rsid w:val="00D10E24"/>
    <w:rsid w:val="00D10EB7"/>
    <w:rsid w:val="00D10F26"/>
    <w:rsid w:val="00D10F81"/>
    <w:rsid w:val="00D11029"/>
    <w:rsid w:val="00D110A9"/>
    <w:rsid w:val="00D110AA"/>
    <w:rsid w:val="00D11105"/>
    <w:rsid w:val="00D11126"/>
    <w:rsid w:val="00D11131"/>
    <w:rsid w:val="00D11136"/>
    <w:rsid w:val="00D1115B"/>
    <w:rsid w:val="00D111F3"/>
    <w:rsid w:val="00D1129C"/>
    <w:rsid w:val="00D11326"/>
    <w:rsid w:val="00D1136E"/>
    <w:rsid w:val="00D11372"/>
    <w:rsid w:val="00D113BB"/>
    <w:rsid w:val="00D113E4"/>
    <w:rsid w:val="00D11469"/>
    <w:rsid w:val="00D114EA"/>
    <w:rsid w:val="00D1158B"/>
    <w:rsid w:val="00D116EF"/>
    <w:rsid w:val="00D11716"/>
    <w:rsid w:val="00D117B9"/>
    <w:rsid w:val="00D117E9"/>
    <w:rsid w:val="00D117EA"/>
    <w:rsid w:val="00D11888"/>
    <w:rsid w:val="00D118E6"/>
    <w:rsid w:val="00D11914"/>
    <w:rsid w:val="00D11918"/>
    <w:rsid w:val="00D11920"/>
    <w:rsid w:val="00D1195C"/>
    <w:rsid w:val="00D11A43"/>
    <w:rsid w:val="00D11A84"/>
    <w:rsid w:val="00D11AA2"/>
    <w:rsid w:val="00D11AE7"/>
    <w:rsid w:val="00D11B26"/>
    <w:rsid w:val="00D11B81"/>
    <w:rsid w:val="00D11BEB"/>
    <w:rsid w:val="00D11C54"/>
    <w:rsid w:val="00D11C86"/>
    <w:rsid w:val="00D11CDC"/>
    <w:rsid w:val="00D11D6C"/>
    <w:rsid w:val="00D11D82"/>
    <w:rsid w:val="00D11E01"/>
    <w:rsid w:val="00D11E0A"/>
    <w:rsid w:val="00D11E0D"/>
    <w:rsid w:val="00D11EB5"/>
    <w:rsid w:val="00D11F6A"/>
    <w:rsid w:val="00D11FDA"/>
    <w:rsid w:val="00D11FDE"/>
    <w:rsid w:val="00D11FF0"/>
    <w:rsid w:val="00D1200D"/>
    <w:rsid w:val="00D12025"/>
    <w:rsid w:val="00D12076"/>
    <w:rsid w:val="00D12117"/>
    <w:rsid w:val="00D12139"/>
    <w:rsid w:val="00D1213A"/>
    <w:rsid w:val="00D1214D"/>
    <w:rsid w:val="00D121FC"/>
    <w:rsid w:val="00D1230C"/>
    <w:rsid w:val="00D12411"/>
    <w:rsid w:val="00D1246A"/>
    <w:rsid w:val="00D1247E"/>
    <w:rsid w:val="00D12487"/>
    <w:rsid w:val="00D124DF"/>
    <w:rsid w:val="00D12569"/>
    <w:rsid w:val="00D125B4"/>
    <w:rsid w:val="00D125F1"/>
    <w:rsid w:val="00D12713"/>
    <w:rsid w:val="00D1271C"/>
    <w:rsid w:val="00D12724"/>
    <w:rsid w:val="00D127A8"/>
    <w:rsid w:val="00D128C6"/>
    <w:rsid w:val="00D12982"/>
    <w:rsid w:val="00D12A4B"/>
    <w:rsid w:val="00D12A99"/>
    <w:rsid w:val="00D12AFB"/>
    <w:rsid w:val="00D12B1E"/>
    <w:rsid w:val="00D12B29"/>
    <w:rsid w:val="00D12B2E"/>
    <w:rsid w:val="00D12B57"/>
    <w:rsid w:val="00D12B84"/>
    <w:rsid w:val="00D12CB2"/>
    <w:rsid w:val="00D12D19"/>
    <w:rsid w:val="00D12D1D"/>
    <w:rsid w:val="00D12D41"/>
    <w:rsid w:val="00D12D65"/>
    <w:rsid w:val="00D12DD8"/>
    <w:rsid w:val="00D12E2C"/>
    <w:rsid w:val="00D12E3B"/>
    <w:rsid w:val="00D12E5B"/>
    <w:rsid w:val="00D12E80"/>
    <w:rsid w:val="00D12FBA"/>
    <w:rsid w:val="00D1313A"/>
    <w:rsid w:val="00D13157"/>
    <w:rsid w:val="00D13204"/>
    <w:rsid w:val="00D13234"/>
    <w:rsid w:val="00D13259"/>
    <w:rsid w:val="00D13311"/>
    <w:rsid w:val="00D13357"/>
    <w:rsid w:val="00D133AD"/>
    <w:rsid w:val="00D133CC"/>
    <w:rsid w:val="00D1343C"/>
    <w:rsid w:val="00D1347D"/>
    <w:rsid w:val="00D1348F"/>
    <w:rsid w:val="00D135AE"/>
    <w:rsid w:val="00D135DB"/>
    <w:rsid w:val="00D136A9"/>
    <w:rsid w:val="00D1374C"/>
    <w:rsid w:val="00D1377B"/>
    <w:rsid w:val="00D137C4"/>
    <w:rsid w:val="00D1382D"/>
    <w:rsid w:val="00D1386A"/>
    <w:rsid w:val="00D138C8"/>
    <w:rsid w:val="00D138F6"/>
    <w:rsid w:val="00D13909"/>
    <w:rsid w:val="00D13984"/>
    <w:rsid w:val="00D13998"/>
    <w:rsid w:val="00D139A5"/>
    <w:rsid w:val="00D139BE"/>
    <w:rsid w:val="00D139CF"/>
    <w:rsid w:val="00D139D1"/>
    <w:rsid w:val="00D139E6"/>
    <w:rsid w:val="00D13A3E"/>
    <w:rsid w:val="00D13B0D"/>
    <w:rsid w:val="00D13B9B"/>
    <w:rsid w:val="00D13C4D"/>
    <w:rsid w:val="00D13D48"/>
    <w:rsid w:val="00D13D57"/>
    <w:rsid w:val="00D13EB9"/>
    <w:rsid w:val="00D13ECB"/>
    <w:rsid w:val="00D13ED8"/>
    <w:rsid w:val="00D13EEE"/>
    <w:rsid w:val="00D13F0A"/>
    <w:rsid w:val="00D13F28"/>
    <w:rsid w:val="00D13F3B"/>
    <w:rsid w:val="00D13F68"/>
    <w:rsid w:val="00D13F7F"/>
    <w:rsid w:val="00D13F8B"/>
    <w:rsid w:val="00D13FAB"/>
    <w:rsid w:val="00D13FEF"/>
    <w:rsid w:val="00D140D6"/>
    <w:rsid w:val="00D140E0"/>
    <w:rsid w:val="00D140EB"/>
    <w:rsid w:val="00D14114"/>
    <w:rsid w:val="00D1415F"/>
    <w:rsid w:val="00D141FB"/>
    <w:rsid w:val="00D14417"/>
    <w:rsid w:val="00D144A0"/>
    <w:rsid w:val="00D144EE"/>
    <w:rsid w:val="00D14507"/>
    <w:rsid w:val="00D1461B"/>
    <w:rsid w:val="00D1463C"/>
    <w:rsid w:val="00D14687"/>
    <w:rsid w:val="00D146B2"/>
    <w:rsid w:val="00D146BF"/>
    <w:rsid w:val="00D146D4"/>
    <w:rsid w:val="00D146F8"/>
    <w:rsid w:val="00D146FE"/>
    <w:rsid w:val="00D14747"/>
    <w:rsid w:val="00D1476B"/>
    <w:rsid w:val="00D147AD"/>
    <w:rsid w:val="00D14909"/>
    <w:rsid w:val="00D14945"/>
    <w:rsid w:val="00D14977"/>
    <w:rsid w:val="00D149BA"/>
    <w:rsid w:val="00D14A27"/>
    <w:rsid w:val="00D14A33"/>
    <w:rsid w:val="00D14A5E"/>
    <w:rsid w:val="00D14A5F"/>
    <w:rsid w:val="00D14AD2"/>
    <w:rsid w:val="00D14AE9"/>
    <w:rsid w:val="00D14B37"/>
    <w:rsid w:val="00D14B89"/>
    <w:rsid w:val="00D14B9E"/>
    <w:rsid w:val="00D14CA2"/>
    <w:rsid w:val="00D14CC7"/>
    <w:rsid w:val="00D14CE8"/>
    <w:rsid w:val="00D14D0B"/>
    <w:rsid w:val="00D14DB5"/>
    <w:rsid w:val="00D14E23"/>
    <w:rsid w:val="00D14E37"/>
    <w:rsid w:val="00D14E8F"/>
    <w:rsid w:val="00D14EFE"/>
    <w:rsid w:val="00D14F4F"/>
    <w:rsid w:val="00D14FBD"/>
    <w:rsid w:val="00D14FE1"/>
    <w:rsid w:val="00D14FF9"/>
    <w:rsid w:val="00D1503D"/>
    <w:rsid w:val="00D1507B"/>
    <w:rsid w:val="00D150BB"/>
    <w:rsid w:val="00D150DC"/>
    <w:rsid w:val="00D1512F"/>
    <w:rsid w:val="00D151C0"/>
    <w:rsid w:val="00D151D6"/>
    <w:rsid w:val="00D15317"/>
    <w:rsid w:val="00D153A1"/>
    <w:rsid w:val="00D153ED"/>
    <w:rsid w:val="00D153F0"/>
    <w:rsid w:val="00D15418"/>
    <w:rsid w:val="00D1549C"/>
    <w:rsid w:val="00D154A6"/>
    <w:rsid w:val="00D154DF"/>
    <w:rsid w:val="00D15558"/>
    <w:rsid w:val="00D155C1"/>
    <w:rsid w:val="00D156DD"/>
    <w:rsid w:val="00D15703"/>
    <w:rsid w:val="00D157B1"/>
    <w:rsid w:val="00D157C9"/>
    <w:rsid w:val="00D1588C"/>
    <w:rsid w:val="00D158E5"/>
    <w:rsid w:val="00D158F3"/>
    <w:rsid w:val="00D1591E"/>
    <w:rsid w:val="00D15934"/>
    <w:rsid w:val="00D159CF"/>
    <w:rsid w:val="00D159E8"/>
    <w:rsid w:val="00D15A4A"/>
    <w:rsid w:val="00D15ACA"/>
    <w:rsid w:val="00D15B45"/>
    <w:rsid w:val="00D15BC9"/>
    <w:rsid w:val="00D15CAF"/>
    <w:rsid w:val="00D15CEC"/>
    <w:rsid w:val="00D15D19"/>
    <w:rsid w:val="00D15D87"/>
    <w:rsid w:val="00D15E4C"/>
    <w:rsid w:val="00D15EB4"/>
    <w:rsid w:val="00D15ED4"/>
    <w:rsid w:val="00D15F1A"/>
    <w:rsid w:val="00D15F6C"/>
    <w:rsid w:val="00D16035"/>
    <w:rsid w:val="00D16103"/>
    <w:rsid w:val="00D16150"/>
    <w:rsid w:val="00D161F2"/>
    <w:rsid w:val="00D1620B"/>
    <w:rsid w:val="00D1620E"/>
    <w:rsid w:val="00D16249"/>
    <w:rsid w:val="00D162BC"/>
    <w:rsid w:val="00D162ED"/>
    <w:rsid w:val="00D16389"/>
    <w:rsid w:val="00D163B3"/>
    <w:rsid w:val="00D1643B"/>
    <w:rsid w:val="00D1647F"/>
    <w:rsid w:val="00D16495"/>
    <w:rsid w:val="00D164E3"/>
    <w:rsid w:val="00D164FD"/>
    <w:rsid w:val="00D1658C"/>
    <w:rsid w:val="00D16659"/>
    <w:rsid w:val="00D16684"/>
    <w:rsid w:val="00D16687"/>
    <w:rsid w:val="00D16704"/>
    <w:rsid w:val="00D16747"/>
    <w:rsid w:val="00D1676B"/>
    <w:rsid w:val="00D167A0"/>
    <w:rsid w:val="00D167BF"/>
    <w:rsid w:val="00D16812"/>
    <w:rsid w:val="00D1690B"/>
    <w:rsid w:val="00D16918"/>
    <w:rsid w:val="00D1696F"/>
    <w:rsid w:val="00D169EF"/>
    <w:rsid w:val="00D16B4C"/>
    <w:rsid w:val="00D16B63"/>
    <w:rsid w:val="00D16BF9"/>
    <w:rsid w:val="00D16C3E"/>
    <w:rsid w:val="00D16C4E"/>
    <w:rsid w:val="00D16C9A"/>
    <w:rsid w:val="00D16CF0"/>
    <w:rsid w:val="00D16D28"/>
    <w:rsid w:val="00D16D74"/>
    <w:rsid w:val="00D16E7B"/>
    <w:rsid w:val="00D16ED3"/>
    <w:rsid w:val="00D16EFD"/>
    <w:rsid w:val="00D16FCC"/>
    <w:rsid w:val="00D16FDC"/>
    <w:rsid w:val="00D1700D"/>
    <w:rsid w:val="00D1702C"/>
    <w:rsid w:val="00D1704B"/>
    <w:rsid w:val="00D17153"/>
    <w:rsid w:val="00D17225"/>
    <w:rsid w:val="00D17244"/>
    <w:rsid w:val="00D172A4"/>
    <w:rsid w:val="00D173B9"/>
    <w:rsid w:val="00D1752D"/>
    <w:rsid w:val="00D17552"/>
    <w:rsid w:val="00D1760E"/>
    <w:rsid w:val="00D176F6"/>
    <w:rsid w:val="00D17845"/>
    <w:rsid w:val="00D17876"/>
    <w:rsid w:val="00D1792A"/>
    <w:rsid w:val="00D17946"/>
    <w:rsid w:val="00D17A78"/>
    <w:rsid w:val="00D17A85"/>
    <w:rsid w:val="00D17AC8"/>
    <w:rsid w:val="00D17B1B"/>
    <w:rsid w:val="00D17B65"/>
    <w:rsid w:val="00D17C05"/>
    <w:rsid w:val="00D17C0F"/>
    <w:rsid w:val="00D17CB2"/>
    <w:rsid w:val="00D17CCB"/>
    <w:rsid w:val="00D17DCA"/>
    <w:rsid w:val="00D17E78"/>
    <w:rsid w:val="00D17EE2"/>
    <w:rsid w:val="00D17F53"/>
    <w:rsid w:val="00D20042"/>
    <w:rsid w:val="00D200A3"/>
    <w:rsid w:val="00D2010B"/>
    <w:rsid w:val="00D201E3"/>
    <w:rsid w:val="00D20203"/>
    <w:rsid w:val="00D202B5"/>
    <w:rsid w:val="00D202B8"/>
    <w:rsid w:val="00D202D4"/>
    <w:rsid w:val="00D202F9"/>
    <w:rsid w:val="00D20306"/>
    <w:rsid w:val="00D20313"/>
    <w:rsid w:val="00D2032F"/>
    <w:rsid w:val="00D2036D"/>
    <w:rsid w:val="00D20372"/>
    <w:rsid w:val="00D203B0"/>
    <w:rsid w:val="00D203F4"/>
    <w:rsid w:val="00D204A8"/>
    <w:rsid w:val="00D20560"/>
    <w:rsid w:val="00D20636"/>
    <w:rsid w:val="00D2064E"/>
    <w:rsid w:val="00D206A9"/>
    <w:rsid w:val="00D206D9"/>
    <w:rsid w:val="00D20741"/>
    <w:rsid w:val="00D2076C"/>
    <w:rsid w:val="00D20786"/>
    <w:rsid w:val="00D20826"/>
    <w:rsid w:val="00D20840"/>
    <w:rsid w:val="00D2086B"/>
    <w:rsid w:val="00D208CA"/>
    <w:rsid w:val="00D20948"/>
    <w:rsid w:val="00D209D8"/>
    <w:rsid w:val="00D209DA"/>
    <w:rsid w:val="00D20A33"/>
    <w:rsid w:val="00D20AAE"/>
    <w:rsid w:val="00D20BE1"/>
    <w:rsid w:val="00D20CDB"/>
    <w:rsid w:val="00D20D3B"/>
    <w:rsid w:val="00D20D55"/>
    <w:rsid w:val="00D20D62"/>
    <w:rsid w:val="00D20D8C"/>
    <w:rsid w:val="00D20DF7"/>
    <w:rsid w:val="00D20E03"/>
    <w:rsid w:val="00D20F14"/>
    <w:rsid w:val="00D20F7A"/>
    <w:rsid w:val="00D20F9D"/>
    <w:rsid w:val="00D210ED"/>
    <w:rsid w:val="00D21328"/>
    <w:rsid w:val="00D213BC"/>
    <w:rsid w:val="00D213CA"/>
    <w:rsid w:val="00D213DB"/>
    <w:rsid w:val="00D21433"/>
    <w:rsid w:val="00D2143C"/>
    <w:rsid w:val="00D21519"/>
    <w:rsid w:val="00D21527"/>
    <w:rsid w:val="00D21541"/>
    <w:rsid w:val="00D21599"/>
    <w:rsid w:val="00D215BC"/>
    <w:rsid w:val="00D2161D"/>
    <w:rsid w:val="00D21650"/>
    <w:rsid w:val="00D216E2"/>
    <w:rsid w:val="00D21725"/>
    <w:rsid w:val="00D217A1"/>
    <w:rsid w:val="00D21828"/>
    <w:rsid w:val="00D218F7"/>
    <w:rsid w:val="00D2190E"/>
    <w:rsid w:val="00D2192B"/>
    <w:rsid w:val="00D21954"/>
    <w:rsid w:val="00D21A61"/>
    <w:rsid w:val="00D21ACD"/>
    <w:rsid w:val="00D21BD1"/>
    <w:rsid w:val="00D21CA2"/>
    <w:rsid w:val="00D21D48"/>
    <w:rsid w:val="00D21DC7"/>
    <w:rsid w:val="00D21DE1"/>
    <w:rsid w:val="00D21DFF"/>
    <w:rsid w:val="00D21E67"/>
    <w:rsid w:val="00D21E71"/>
    <w:rsid w:val="00D21E74"/>
    <w:rsid w:val="00D21EAF"/>
    <w:rsid w:val="00D21F32"/>
    <w:rsid w:val="00D21F36"/>
    <w:rsid w:val="00D21F4D"/>
    <w:rsid w:val="00D21F71"/>
    <w:rsid w:val="00D220BF"/>
    <w:rsid w:val="00D220CB"/>
    <w:rsid w:val="00D220FD"/>
    <w:rsid w:val="00D22104"/>
    <w:rsid w:val="00D2213C"/>
    <w:rsid w:val="00D22159"/>
    <w:rsid w:val="00D2215C"/>
    <w:rsid w:val="00D2216F"/>
    <w:rsid w:val="00D221D7"/>
    <w:rsid w:val="00D2223D"/>
    <w:rsid w:val="00D22262"/>
    <w:rsid w:val="00D2227B"/>
    <w:rsid w:val="00D222C1"/>
    <w:rsid w:val="00D2235B"/>
    <w:rsid w:val="00D22377"/>
    <w:rsid w:val="00D223BD"/>
    <w:rsid w:val="00D223C0"/>
    <w:rsid w:val="00D223E8"/>
    <w:rsid w:val="00D224A7"/>
    <w:rsid w:val="00D22524"/>
    <w:rsid w:val="00D22561"/>
    <w:rsid w:val="00D22606"/>
    <w:rsid w:val="00D226B7"/>
    <w:rsid w:val="00D226E9"/>
    <w:rsid w:val="00D227AF"/>
    <w:rsid w:val="00D227D4"/>
    <w:rsid w:val="00D22800"/>
    <w:rsid w:val="00D2281E"/>
    <w:rsid w:val="00D2285A"/>
    <w:rsid w:val="00D22865"/>
    <w:rsid w:val="00D22A20"/>
    <w:rsid w:val="00D22A8C"/>
    <w:rsid w:val="00D22A9D"/>
    <w:rsid w:val="00D22A9E"/>
    <w:rsid w:val="00D22AE3"/>
    <w:rsid w:val="00D22B0C"/>
    <w:rsid w:val="00D22B41"/>
    <w:rsid w:val="00D22B4C"/>
    <w:rsid w:val="00D22BA1"/>
    <w:rsid w:val="00D22BF5"/>
    <w:rsid w:val="00D22D56"/>
    <w:rsid w:val="00D22D77"/>
    <w:rsid w:val="00D22D80"/>
    <w:rsid w:val="00D22E2D"/>
    <w:rsid w:val="00D22E50"/>
    <w:rsid w:val="00D22E7C"/>
    <w:rsid w:val="00D22F2D"/>
    <w:rsid w:val="00D22F7A"/>
    <w:rsid w:val="00D22F93"/>
    <w:rsid w:val="00D23128"/>
    <w:rsid w:val="00D2322B"/>
    <w:rsid w:val="00D23233"/>
    <w:rsid w:val="00D232B2"/>
    <w:rsid w:val="00D232BA"/>
    <w:rsid w:val="00D232CF"/>
    <w:rsid w:val="00D2339C"/>
    <w:rsid w:val="00D233F5"/>
    <w:rsid w:val="00D2346C"/>
    <w:rsid w:val="00D2348A"/>
    <w:rsid w:val="00D234E5"/>
    <w:rsid w:val="00D234EB"/>
    <w:rsid w:val="00D23500"/>
    <w:rsid w:val="00D2351E"/>
    <w:rsid w:val="00D23559"/>
    <w:rsid w:val="00D235EF"/>
    <w:rsid w:val="00D235F3"/>
    <w:rsid w:val="00D23615"/>
    <w:rsid w:val="00D236FC"/>
    <w:rsid w:val="00D23713"/>
    <w:rsid w:val="00D23753"/>
    <w:rsid w:val="00D23775"/>
    <w:rsid w:val="00D237A9"/>
    <w:rsid w:val="00D2385B"/>
    <w:rsid w:val="00D238E5"/>
    <w:rsid w:val="00D2391B"/>
    <w:rsid w:val="00D239D1"/>
    <w:rsid w:val="00D23A58"/>
    <w:rsid w:val="00D23A7F"/>
    <w:rsid w:val="00D23A8A"/>
    <w:rsid w:val="00D23ABF"/>
    <w:rsid w:val="00D23AE3"/>
    <w:rsid w:val="00D23B34"/>
    <w:rsid w:val="00D23B38"/>
    <w:rsid w:val="00D23B7D"/>
    <w:rsid w:val="00D23BC7"/>
    <w:rsid w:val="00D23BD7"/>
    <w:rsid w:val="00D23C2D"/>
    <w:rsid w:val="00D23C4F"/>
    <w:rsid w:val="00D23DA8"/>
    <w:rsid w:val="00D23DB8"/>
    <w:rsid w:val="00D23E11"/>
    <w:rsid w:val="00D23E13"/>
    <w:rsid w:val="00D23E3A"/>
    <w:rsid w:val="00D23E3C"/>
    <w:rsid w:val="00D23E3D"/>
    <w:rsid w:val="00D23F21"/>
    <w:rsid w:val="00D23F48"/>
    <w:rsid w:val="00D23FD6"/>
    <w:rsid w:val="00D24004"/>
    <w:rsid w:val="00D24035"/>
    <w:rsid w:val="00D240CA"/>
    <w:rsid w:val="00D24121"/>
    <w:rsid w:val="00D24189"/>
    <w:rsid w:val="00D24206"/>
    <w:rsid w:val="00D242AE"/>
    <w:rsid w:val="00D243EC"/>
    <w:rsid w:val="00D24547"/>
    <w:rsid w:val="00D2458F"/>
    <w:rsid w:val="00D245B5"/>
    <w:rsid w:val="00D245F8"/>
    <w:rsid w:val="00D24662"/>
    <w:rsid w:val="00D2468E"/>
    <w:rsid w:val="00D246AD"/>
    <w:rsid w:val="00D2479B"/>
    <w:rsid w:val="00D247DB"/>
    <w:rsid w:val="00D247FD"/>
    <w:rsid w:val="00D24920"/>
    <w:rsid w:val="00D24977"/>
    <w:rsid w:val="00D24995"/>
    <w:rsid w:val="00D249DE"/>
    <w:rsid w:val="00D24AF9"/>
    <w:rsid w:val="00D24B41"/>
    <w:rsid w:val="00D24B78"/>
    <w:rsid w:val="00D24BFA"/>
    <w:rsid w:val="00D24C09"/>
    <w:rsid w:val="00D24C48"/>
    <w:rsid w:val="00D24CB5"/>
    <w:rsid w:val="00D24CD5"/>
    <w:rsid w:val="00D24CED"/>
    <w:rsid w:val="00D24D2E"/>
    <w:rsid w:val="00D24DA2"/>
    <w:rsid w:val="00D24DA8"/>
    <w:rsid w:val="00D24DB6"/>
    <w:rsid w:val="00D24E4F"/>
    <w:rsid w:val="00D24EC5"/>
    <w:rsid w:val="00D24F6A"/>
    <w:rsid w:val="00D24F71"/>
    <w:rsid w:val="00D24FAD"/>
    <w:rsid w:val="00D24FED"/>
    <w:rsid w:val="00D25071"/>
    <w:rsid w:val="00D250E1"/>
    <w:rsid w:val="00D250E5"/>
    <w:rsid w:val="00D250FA"/>
    <w:rsid w:val="00D251FF"/>
    <w:rsid w:val="00D252A7"/>
    <w:rsid w:val="00D252E2"/>
    <w:rsid w:val="00D2530B"/>
    <w:rsid w:val="00D2530D"/>
    <w:rsid w:val="00D25315"/>
    <w:rsid w:val="00D2539D"/>
    <w:rsid w:val="00D253B6"/>
    <w:rsid w:val="00D253BB"/>
    <w:rsid w:val="00D253DA"/>
    <w:rsid w:val="00D253DD"/>
    <w:rsid w:val="00D2547A"/>
    <w:rsid w:val="00D2548E"/>
    <w:rsid w:val="00D254B6"/>
    <w:rsid w:val="00D25500"/>
    <w:rsid w:val="00D2551B"/>
    <w:rsid w:val="00D2554D"/>
    <w:rsid w:val="00D25590"/>
    <w:rsid w:val="00D255A8"/>
    <w:rsid w:val="00D25610"/>
    <w:rsid w:val="00D25668"/>
    <w:rsid w:val="00D25690"/>
    <w:rsid w:val="00D257A3"/>
    <w:rsid w:val="00D257CA"/>
    <w:rsid w:val="00D25842"/>
    <w:rsid w:val="00D25861"/>
    <w:rsid w:val="00D25881"/>
    <w:rsid w:val="00D25987"/>
    <w:rsid w:val="00D2598E"/>
    <w:rsid w:val="00D259F9"/>
    <w:rsid w:val="00D259FA"/>
    <w:rsid w:val="00D25A02"/>
    <w:rsid w:val="00D25D46"/>
    <w:rsid w:val="00D25D79"/>
    <w:rsid w:val="00D25E80"/>
    <w:rsid w:val="00D25F23"/>
    <w:rsid w:val="00D260F3"/>
    <w:rsid w:val="00D26115"/>
    <w:rsid w:val="00D26146"/>
    <w:rsid w:val="00D261EA"/>
    <w:rsid w:val="00D2624F"/>
    <w:rsid w:val="00D26291"/>
    <w:rsid w:val="00D26296"/>
    <w:rsid w:val="00D262B4"/>
    <w:rsid w:val="00D26320"/>
    <w:rsid w:val="00D26339"/>
    <w:rsid w:val="00D26370"/>
    <w:rsid w:val="00D2638D"/>
    <w:rsid w:val="00D263FE"/>
    <w:rsid w:val="00D26493"/>
    <w:rsid w:val="00D264AA"/>
    <w:rsid w:val="00D264CD"/>
    <w:rsid w:val="00D2654A"/>
    <w:rsid w:val="00D26563"/>
    <w:rsid w:val="00D2657F"/>
    <w:rsid w:val="00D265CD"/>
    <w:rsid w:val="00D266FB"/>
    <w:rsid w:val="00D267AB"/>
    <w:rsid w:val="00D267FA"/>
    <w:rsid w:val="00D26806"/>
    <w:rsid w:val="00D2683E"/>
    <w:rsid w:val="00D26852"/>
    <w:rsid w:val="00D2695C"/>
    <w:rsid w:val="00D26975"/>
    <w:rsid w:val="00D26989"/>
    <w:rsid w:val="00D26990"/>
    <w:rsid w:val="00D26A79"/>
    <w:rsid w:val="00D26B15"/>
    <w:rsid w:val="00D26B25"/>
    <w:rsid w:val="00D26B6E"/>
    <w:rsid w:val="00D26B97"/>
    <w:rsid w:val="00D26BA0"/>
    <w:rsid w:val="00D26C8E"/>
    <w:rsid w:val="00D26CDE"/>
    <w:rsid w:val="00D26D6B"/>
    <w:rsid w:val="00D26DEC"/>
    <w:rsid w:val="00D26DF8"/>
    <w:rsid w:val="00D26E23"/>
    <w:rsid w:val="00D26EA1"/>
    <w:rsid w:val="00D26EBB"/>
    <w:rsid w:val="00D26F5C"/>
    <w:rsid w:val="00D26F94"/>
    <w:rsid w:val="00D27070"/>
    <w:rsid w:val="00D27127"/>
    <w:rsid w:val="00D271CE"/>
    <w:rsid w:val="00D271FD"/>
    <w:rsid w:val="00D27264"/>
    <w:rsid w:val="00D27279"/>
    <w:rsid w:val="00D27396"/>
    <w:rsid w:val="00D273B2"/>
    <w:rsid w:val="00D273BE"/>
    <w:rsid w:val="00D274E3"/>
    <w:rsid w:val="00D27521"/>
    <w:rsid w:val="00D27553"/>
    <w:rsid w:val="00D27577"/>
    <w:rsid w:val="00D27665"/>
    <w:rsid w:val="00D276A2"/>
    <w:rsid w:val="00D276F6"/>
    <w:rsid w:val="00D27757"/>
    <w:rsid w:val="00D277C1"/>
    <w:rsid w:val="00D2787F"/>
    <w:rsid w:val="00D2793E"/>
    <w:rsid w:val="00D27A10"/>
    <w:rsid w:val="00D27A29"/>
    <w:rsid w:val="00D27A35"/>
    <w:rsid w:val="00D27ACC"/>
    <w:rsid w:val="00D27AE2"/>
    <w:rsid w:val="00D27B8D"/>
    <w:rsid w:val="00D27C68"/>
    <w:rsid w:val="00D27C6A"/>
    <w:rsid w:val="00D27D9F"/>
    <w:rsid w:val="00D27DC6"/>
    <w:rsid w:val="00D27DE4"/>
    <w:rsid w:val="00D27E20"/>
    <w:rsid w:val="00D27E9B"/>
    <w:rsid w:val="00D27EB4"/>
    <w:rsid w:val="00D27F41"/>
    <w:rsid w:val="00D27F42"/>
    <w:rsid w:val="00D300DD"/>
    <w:rsid w:val="00D30161"/>
    <w:rsid w:val="00D3019C"/>
    <w:rsid w:val="00D301A7"/>
    <w:rsid w:val="00D301BA"/>
    <w:rsid w:val="00D301C5"/>
    <w:rsid w:val="00D3033F"/>
    <w:rsid w:val="00D303EE"/>
    <w:rsid w:val="00D303FF"/>
    <w:rsid w:val="00D30449"/>
    <w:rsid w:val="00D30452"/>
    <w:rsid w:val="00D30460"/>
    <w:rsid w:val="00D30479"/>
    <w:rsid w:val="00D30596"/>
    <w:rsid w:val="00D305B8"/>
    <w:rsid w:val="00D30692"/>
    <w:rsid w:val="00D306E5"/>
    <w:rsid w:val="00D30742"/>
    <w:rsid w:val="00D307C3"/>
    <w:rsid w:val="00D30860"/>
    <w:rsid w:val="00D30886"/>
    <w:rsid w:val="00D3089B"/>
    <w:rsid w:val="00D308FB"/>
    <w:rsid w:val="00D30958"/>
    <w:rsid w:val="00D309A3"/>
    <w:rsid w:val="00D309A5"/>
    <w:rsid w:val="00D30A28"/>
    <w:rsid w:val="00D30A44"/>
    <w:rsid w:val="00D30AAF"/>
    <w:rsid w:val="00D30ADF"/>
    <w:rsid w:val="00D30D78"/>
    <w:rsid w:val="00D30DF7"/>
    <w:rsid w:val="00D30EE1"/>
    <w:rsid w:val="00D30F52"/>
    <w:rsid w:val="00D30F5E"/>
    <w:rsid w:val="00D30FB5"/>
    <w:rsid w:val="00D30FCB"/>
    <w:rsid w:val="00D31002"/>
    <w:rsid w:val="00D310FB"/>
    <w:rsid w:val="00D31119"/>
    <w:rsid w:val="00D31222"/>
    <w:rsid w:val="00D3133D"/>
    <w:rsid w:val="00D3135E"/>
    <w:rsid w:val="00D313E9"/>
    <w:rsid w:val="00D31476"/>
    <w:rsid w:val="00D3168E"/>
    <w:rsid w:val="00D31797"/>
    <w:rsid w:val="00D317E2"/>
    <w:rsid w:val="00D31802"/>
    <w:rsid w:val="00D318BB"/>
    <w:rsid w:val="00D318D4"/>
    <w:rsid w:val="00D318F6"/>
    <w:rsid w:val="00D31945"/>
    <w:rsid w:val="00D3196F"/>
    <w:rsid w:val="00D31A75"/>
    <w:rsid w:val="00D31A7D"/>
    <w:rsid w:val="00D31B01"/>
    <w:rsid w:val="00D31B09"/>
    <w:rsid w:val="00D31BDC"/>
    <w:rsid w:val="00D31C9A"/>
    <w:rsid w:val="00D31CD2"/>
    <w:rsid w:val="00D31D19"/>
    <w:rsid w:val="00D31E57"/>
    <w:rsid w:val="00D31ECA"/>
    <w:rsid w:val="00D31EDF"/>
    <w:rsid w:val="00D31F0D"/>
    <w:rsid w:val="00D31F10"/>
    <w:rsid w:val="00D31F3F"/>
    <w:rsid w:val="00D31F67"/>
    <w:rsid w:val="00D31F93"/>
    <w:rsid w:val="00D31FA5"/>
    <w:rsid w:val="00D31FB5"/>
    <w:rsid w:val="00D31FD6"/>
    <w:rsid w:val="00D32023"/>
    <w:rsid w:val="00D3203A"/>
    <w:rsid w:val="00D320A4"/>
    <w:rsid w:val="00D320CB"/>
    <w:rsid w:val="00D320F5"/>
    <w:rsid w:val="00D32108"/>
    <w:rsid w:val="00D321CF"/>
    <w:rsid w:val="00D321E4"/>
    <w:rsid w:val="00D32274"/>
    <w:rsid w:val="00D3231A"/>
    <w:rsid w:val="00D32342"/>
    <w:rsid w:val="00D323B3"/>
    <w:rsid w:val="00D323FB"/>
    <w:rsid w:val="00D32400"/>
    <w:rsid w:val="00D3249B"/>
    <w:rsid w:val="00D324CB"/>
    <w:rsid w:val="00D324CF"/>
    <w:rsid w:val="00D324F7"/>
    <w:rsid w:val="00D3254A"/>
    <w:rsid w:val="00D32646"/>
    <w:rsid w:val="00D3265E"/>
    <w:rsid w:val="00D32672"/>
    <w:rsid w:val="00D326A5"/>
    <w:rsid w:val="00D326B4"/>
    <w:rsid w:val="00D32752"/>
    <w:rsid w:val="00D32822"/>
    <w:rsid w:val="00D328CF"/>
    <w:rsid w:val="00D32922"/>
    <w:rsid w:val="00D32956"/>
    <w:rsid w:val="00D32AAB"/>
    <w:rsid w:val="00D32ADA"/>
    <w:rsid w:val="00D32AF4"/>
    <w:rsid w:val="00D32B36"/>
    <w:rsid w:val="00D32B6C"/>
    <w:rsid w:val="00D32BCC"/>
    <w:rsid w:val="00D32C7C"/>
    <w:rsid w:val="00D32DC0"/>
    <w:rsid w:val="00D32ECF"/>
    <w:rsid w:val="00D32F65"/>
    <w:rsid w:val="00D32F70"/>
    <w:rsid w:val="00D33060"/>
    <w:rsid w:val="00D33073"/>
    <w:rsid w:val="00D33087"/>
    <w:rsid w:val="00D3309B"/>
    <w:rsid w:val="00D330B8"/>
    <w:rsid w:val="00D3311B"/>
    <w:rsid w:val="00D33143"/>
    <w:rsid w:val="00D33281"/>
    <w:rsid w:val="00D332B9"/>
    <w:rsid w:val="00D332CD"/>
    <w:rsid w:val="00D332FD"/>
    <w:rsid w:val="00D3332E"/>
    <w:rsid w:val="00D33370"/>
    <w:rsid w:val="00D333DF"/>
    <w:rsid w:val="00D33405"/>
    <w:rsid w:val="00D3342E"/>
    <w:rsid w:val="00D3348D"/>
    <w:rsid w:val="00D33496"/>
    <w:rsid w:val="00D335E5"/>
    <w:rsid w:val="00D33648"/>
    <w:rsid w:val="00D336D2"/>
    <w:rsid w:val="00D33729"/>
    <w:rsid w:val="00D3372B"/>
    <w:rsid w:val="00D337DC"/>
    <w:rsid w:val="00D33807"/>
    <w:rsid w:val="00D3386C"/>
    <w:rsid w:val="00D338EE"/>
    <w:rsid w:val="00D33921"/>
    <w:rsid w:val="00D3393D"/>
    <w:rsid w:val="00D3397E"/>
    <w:rsid w:val="00D33AC6"/>
    <w:rsid w:val="00D33AE7"/>
    <w:rsid w:val="00D33AF1"/>
    <w:rsid w:val="00D33B5A"/>
    <w:rsid w:val="00D33BE9"/>
    <w:rsid w:val="00D33C75"/>
    <w:rsid w:val="00D33C8A"/>
    <w:rsid w:val="00D33C9E"/>
    <w:rsid w:val="00D33CA4"/>
    <w:rsid w:val="00D33CEA"/>
    <w:rsid w:val="00D33D0C"/>
    <w:rsid w:val="00D33D17"/>
    <w:rsid w:val="00D33D54"/>
    <w:rsid w:val="00D33DB8"/>
    <w:rsid w:val="00D33DD0"/>
    <w:rsid w:val="00D33F00"/>
    <w:rsid w:val="00D33F3A"/>
    <w:rsid w:val="00D33F43"/>
    <w:rsid w:val="00D33F7B"/>
    <w:rsid w:val="00D33FB1"/>
    <w:rsid w:val="00D33FF0"/>
    <w:rsid w:val="00D340E0"/>
    <w:rsid w:val="00D340FD"/>
    <w:rsid w:val="00D341A7"/>
    <w:rsid w:val="00D34278"/>
    <w:rsid w:val="00D342C5"/>
    <w:rsid w:val="00D342E4"/>
    <w:rsid w:val="00D342E7"/>
    <w:rsid w:val="00D34306"/>
    <w:rsid w:val="00D3432D"/>
    <w:rsid w:val="00D34335"/>
    <w:rsid w:val="00D34354"/>
    <w:rsid w:val="00D3435E"/>
    <w:rsid w:val="00D34362"/>
    <w:rsid w:val="00D343B9"/>
    <w:rsid w:val="00D343CF"/>
    <w:rsid w:val="00D343ED"/>
    <w:rsid w:val="00D34441"/>
    <w:rsid w:val="00D3447B"/>
    <w:rsid w:val="00D344BF"/>
    <w:rsid w:val="00D34561"/>
    <w:rsid w:val="00D34617"/>
    <w:rsid w:val="00D34621"/>
    <w:rsid w:val="00D3467D"/>
    <w:rsid w:val="00D34727"/>
    <w:rsid w:val="00D34795"/>
    <w:rsid w:val="00D347CD"/>
    <w:rsid w:val="00D3485F"/>
    <w:rsid w:val="00D348A5"/>
    <w:rsid w:val="00D34928"/>
    <w:rsid w:val="00D34929"/>
    <w:rsid w:val="00D34940"/>
    <w:rsid w:val="00D34971"/>
    <w:rsid w:val="00D349D3"/>
    <w:rsid w:val="00D34A28"/>
    <w:rsid w:val="00D34A3E"/>
    <w:rsid w:val="00D34A40"/>
    <w:rsid w:val="00D34AC4"/>
    <w:rsid w:val="00D34AD9"/>
    <w:rsid w:val="00D34AF0"/>
    <w:rsid w:val="00D34AFD"/>
    <w:rsid w:val="00D34CE3"/>
    <w:rsid w:val="00D34CE7"/>
    <w:rsid w:val="00D34CF8"/>
    <w:rsid w:val="00D34D1D"/>
    <w:rsid w:val="00D34E01"/>
    <w:rsid w:val="00D34EA3"/>
    <w:rsid w:val="00D34FDF"/>
    <w:rsid w:val="00D35002"/>
    <w:rsid w:val="00D350ED"/>
    <w:rsid w:val="00D35146"/>
    <w:rsid w:val="00D3514F"/>
    <w:rsid w:val="00D351CE"/>
    <w:rsid w:val="00D351F5"/>
    <w:rsid w:val="00D35211"/>
    <w:rsid w:val="00D35241"/>
    <w:rsid w:val="00D35279"/>
    <w:rsid w:val="00D352B4"/>
    <w:rsid w:val="00D353A0"/>
    <w:rsid w:val="00D353A2"/>
    <w:rsid w:val="00D3541F"/>
    <w:rsid w:val="00D354B0"/>
    <w:rsid w:val="00D354F1"/>
    <w:rsid w:val="00D35571"/>
    <w:rsid w:val="00D355E4"/>
    <w:rsid w:val="00D3568C"/>
    <w:rsid w:val="00D356DA"/>
    <w:rsid w:val="00D35711"/>
    <w:rsid w:val="00D357D4"/>
    <w:rsid w:val="00D357FB"/>
    <w:rsid w:val="00D3580C"/>
    <w:rsid w:val="00D35A1A"/>
    <w:rsid w:val="00D35A7A"/>
    <w:rsid w:val="00D35B36"/>
    <w:rsid w:val="00D35B3F"/>
    <w:rsid w:val="00D35B85"/>
    <w:rsid w:val="00D35BB8"/>
    <w:rsid w:val="00D35C43"/>
    <w:rsid w:val="00D35C4B"/>
    <w:rsid w:val="00D35C5C"/>
    <w:rsid w:val="00D35CC1"/>
    <w:rsid w:val="00D35D56"/>
    <w:rsid w:val="00D35D9D"/>
    <w:rsid w:val="00D35EA5"/>
    <w:rsid w:val="00D35F72"/>
    <w:rsid w:val="00D35F86"/>
    <w:rsid w:val="00D35FF9"/>
    <w:rsid w:val="00D36047"/>
    <w:rsid w:val="00D36063"/>
    <w:rsid w:val="00D360B7"/>
    <w:rsid w:val="00D360D2"/>
    <w:rsid w:val="00D36179"/>
    <w:rsid w:val="00D361B8"/>
    <w:rsid w:val="00D361C9"/>
    <w:rsid w:val="00D361EE"/>
    <w:rsid w:val="00D361F1"/>
    <w:rsid w:val="00D36216"/>
    <w:rsid w:val="00D362F0"/>
    <w:rsid w:val="00D36394"/>
    <w:rsid w:val="00D36426"/>
    <w:rsid w:val="00D36440"/>
    <w:rsid w:val="00D36665"/>
    <w:rsid w:val="00D36667"/>
    <w:rsid w:val="00D367E1"/>
    <w:rsid w:val="00D3680F"/>
    <w:rsid w:val="00D3692C"/>
    <w:rsid w:val="00D3696E"/>
    <w:rsid w:val="00D36972"/>
    <w:rsid w:val="00D369CD"/>
    <w:rsid w:val="00D369F6"/>
    <w:rsid w:val="00D36A7F"/>
    <w:rsid w:val="00D36B54"/>
    <w:rsid w:val="00D36B70"/>
    <w:rsid w:val="00D36BBD"/>
    <w:rsid w:val="00D36CAB"/>
    <w:rsid w:val="00D36CD9"/>
    <w:rsid w:val="00D36D0F"/>
    <w:rsid w:val="00D36E2C"/>
    <w:rsid w:val="00D36EBC"/>
    <w:rsid w:val="00D36ED6"/>
    <w:rsid w:val="00D36EE7"/>
    <w:rsid w:val="00D36F23"/>
    <w:rsid w:val="00D36F64"/>
    <w:rsid w:val="00D37082"/>
    <w:rsid w:val="00D37092"/>
    <w:rsid w:val="00D371A9"/>
    <w:rsid w:val="00D37266"/>
    <w:rsid w:val="00D37303"/>
    <w:rsid w:val="00D373C2"/>
    <w:rsid w:val="00D373E3"/>
    <w:rsid w:val="00D37454"/>
    <w:rsid w:val="00D3753E"/>
    <w:rsid w:val="00D375DD"/>
    <w:rsid w:val="00D376B5"/>
    <w:rsid w:val="00D376C6"/>
    <w:rsid w:val="00D376F3"/>
    <w:rsid w:val="00D37772"/>
    <w:rsid w:val="00D377E8"/>
    <w:rsid w:val="00D37947"/>
    <w:rsid w:val="00D3796C"/>
    <w:rsid w:val="00D37A11"/>
    <w:rsid w:val="00D37A7E"/>
    <w:rsid w:val="00D37AB1"/>
    <w:rsid w:val="00D37AB8"/>
    <w:rsid w:val="00D37AC0"/>
    <w:rsid w:val="00D37AC5"/>
    <w:rsid w:val="00D37AC7"/>
    <w:rsid w:val="00D37B01"/>
    <w:rsid w:val="00D37B1B"/>
    <w:rsid w:val="00D37B8F"/>
    <w:rsid w:val="00D37DBD"/>
    <w:rsid w:val="00D37E8E"/>
    <w:rsid w:val="00D37EEF"/>
    <w:rsid w:val="00D37F39"/>
    <w:rsid w:val="00D37F46"/>
    <w:rsid w:val="00D37F5D"/>
    <w:rsid w:val="00D37FA3"/>
    <w:rsid w:val="00D37FBE"/>
    <w:rsid w:val="00D40028"/>
    <w:rsid w:val="00D40065"/>
    <w:rsid w:val="00D4017E"/>
    <w:rsid w:val="00D401F0"/>
    <w:rsid w:val="00D40282"/>
    <w:rsid w:val="00D40382"/>
    <w:rsid w:val="00D40431"/>
    <w:rsid w:val="00D40467"/>
    <w:rsid w:val="00D40495"/>
    <w:rsid w:val="00D40527"/>
    <w:rsid w:val="00D405EB"/>
    <w:rsid w:val="00D4069A"/>
    <w:rsid w:val="00D406B8"/>
    <w:rsid w:val="00D40752"/>
    <w:rsid w:val="00D4077C"/>
    <w:rsid w:val="00D4077F"/>
    <w:rsid w:val="00D40849"/>
    <w:rsid w:val="00D4088F"/>
    <w:rsid w:val="00D408D2"/>
    <w:rsid w:val="00D408F0"/>
    <w:rsid w:val="00D4093F"/>
    <w:rsid w:val="00D40954"/>
    <w:rsid w:val="00D409B1"/>
    <w:rsid w:val="00D409CE"/>
    <w:rsid w:val="00D409FD"/>
    <w:rsid w:val="00D40A79"/>
    <w:rsid w:val="00D40B1F"/>
    <w:rsid w:val="00D40B66"/>
    <w:rsid w:val="00D40C57"/>
    <w:rsid w:val="00D40E90"/>
    <w:rsid w:val="00D40EB1"/>
    <w:rsid w:val="00D40ED5"/>
    <w:rsid w:val="00D40F0B"/>
    <w:rsid w:val="00D40F0F"/>
    <w:rsid w:val="00D40F15"/>
    <w:rsid w:val="00D40F3B"/>
    <w:rsid w:val="00D40F51"/>
    <w:rsid w:val="00D40F59"/>
    <w:rsid w:val="00D40F71"/>
    <w:rsid w:val="00D40FD8"/>
    <w:rsid w:val="00D4100B"/>
    <w:rsid w:val="00D4109C"/>
    <w:rsid w:val="00D410BA"/>
    <w:rsid w:val="00D41112"/>
    <w:rsid w:val="00D411EC"/>
    <w:rsid w:val="00D41293"/>
    <w:rsid w:val="00D412C3"/>
    <w:rsid w:val="00D412FB"/>
    <w:rsid w:val="00D413CA"/>
    <w:rsid w:val="00D4141A"/>
    <w:rsid w:val="00D41552"/>
    <w:rsid w:val="00D41604"/>
    <w:rsid w:val="00D416C1"/>
    <w:rsid w:val="00D416E0"/>
    <w:rsid w:val="00D41705"/>
    <w:rsid w:val="00D4173D"/>
    <w:rsid w:val="00D41747"/>
    <w:rsid w:val="00D4175D"/>
    <w:rsid w:val="00D417F8"/>
    <w:rsid w:val="00D41840"/>
    <w:rsid w:val="00D41878"/>
    <w:rsid w:val="00D41883"/>
    <w:rsid w:val="00D418C4"/>
    <w:rsid w:val="00D418D3"/>
    <w:rsid w:val="00D4192B"/>
    <w:rsid w:val="00D419BD"/>
    <w:rsid w:val="00D419FC"/>
    <w:rsid w:val="00D41A26"/>
    <w:rsid w:val="00D41A43"/>
    <w:rsid w:val="00D41A6C"/>
    <w:rsid w:val="00D41B0D"/>
    <w:rsid w:val="00D41BCC"/>
    <w:rsid w:val="00D41BE1"/>
    <w:rsid w:val="00D41C04"/>
    <w:rsid w:val="00D41CA6"/>
    <w:rsid w:val="00D41CAB"/>
    <w:rsid w:val="00D41CD0"/>
    <w:rsid w:val="00D41D5D"/>
    <w:rsid w:val="00D41D7A"/>
    <w:rsid w:val="00D41DBB"/>
    <w:rsid w:val="00D41DE4"/>
    <w:rsid w:val="00D41DFE"/>
    <w:rsid w:val="00D41E03"/>
    <w:rsid w:val="00D41E3A"/>
    <w:rsid w:val="00D41E8B"/>
    <w:rsid w:val="00D41E9D"/>
    <w:rsid w:val="00D41EF2"/>
    <w:rsid w:val="00D41F5E"/>
    <w:rsid w:val="00D41F73"/>
    <w:rsid w:val="00D4202E"/>
    <w:rsid w:val="00D421E9"/>
    <w:rsid w:val="00D42296"/>
    <w:rsid w:val="00D422AF"/>
    <w:rsid w:val="00D422C6"/>
    <w:rsid w:val="00D422CD"/>
    <w:rsid w:val="00D42315"/>
    <w:rsid w:val="00D423D1"/>
    <w:rsid w:val="00D42407"/>
    <w:rsid w:val="00D42447"/>
    <w:rsid w:val="00D4247F"/>
    <w:rsid w:val="00D424DA"/>
    <w:rsid w:val="00D424DE"/>
    <w:rsid w:val="00D42532"/>
    <w:rsid w:val="00D425C4"/>
    <w:rsid w:val="00D425E0"/>
    <w:rsid w:val="00D4260B"/>
    <w:rsid w:val="00D4261A"/>
    <w:rsid w:val="00D426A7"/>
    <w:rsid w:val="00D426B7"/>
    <w:rsid w:val="00D426D4"/>
    <w:rsid w:val="00D4274E"/>
    <w:rsid w:val="00D42820"/>
    <w:rsid w:val="00D42875"/>
    <w:rsid w:val="00D4287A"/>
    <w:rsid w:val="00D428A5"/>
    <w:rsid w:val="00D428CC"/>
    <w:rsid w:val="00D42938"/>
    <w:rsid w:val="00D429C8"/>
    <w:rsid w:val="00D42A44"/>
    <w:rsid w:val="00D42A87"/>
    <w:rsid w:val="00D42B6E"/>
    <w:rsid w:val="00D42C14"/>
    <w:rsid w:val="00D42CF7"/>
    <w:rsid w:val="00D42DD7"/>
    <w:rsid w:val="00D42E11"/>
    <w:rsid w:val="00D42E18"/>
    <w:rsid w:val="00D42E1D"/>
    <w:rsid w:val="00D42E26"/>
    <w:rsid w:val="00D42E84"/>
    <w:rsid w:val="00D42F34"/>
    <w:rsid w:val="00D42F98"/>
    <w:rsid w:val="00D42FD2"/>
    <w:rsid w:val="00D43135"/>
    <w:rsid w:val="00D43145"/>
    <w:rsid w:val="00D43270"/>
    <w:rsid w:val="00D432B0"/>
    <w:rsid w:val="00D432B1"/>
    <w:rsid w:val="00D432D3"/>
    <w:rsid w:val="00D432FF"/>
    <w:rsid w:val="00D4331A"/>
    <w:rsid w:val="00D4338D"/>
    <w:rsid w:val="00D433B7"/>
    <w:rsid w:val="00D4343A"/>
    <w:rsid w:val="00D4343E"/>
    <w:rsid w:val="00D43444"/>
    <w:rsid w:val="00D43490"/>
    <w:rsid w:val="00D434B8"/>
    <w:rsid w:val="00D43522"/>
    <w:rsid w:val="00D435DC"/>
    <w:rsid w:val="00D43627"/>
    <w:rsid w:val="00D4362E"/>
    <w:rsid w:val="00D43637"/>
    <w:rsid w:val="00D436BE"/>
    <w:rsid w:val="00D436C1"/>
    <w:rsid w:val="00D436F2"/>
    <w:rsid w:val="00D4371A"/>
    <w:rsid w:val="00D43727"/>
    <w:rsid w:val="00D4386E"/>
    <w:rsid w:val="00D438BA"/>
    <w:rsid w:val="00D438D1"/>
    <w:rsid w:val="00D438DE"/>
    <w:rsid w:val="00D439BB"/>
    <w:rsid w:val="00D439E5"/>
    <w:rsid w:val="00D43A7D"/>
    <w:rsid w:val="00D43AC6"/>
    <w:rsid w:val="00D43AC7"/>
    <w:rsid w:val="00D43B04"/>
    <w:rsid w:val="00D43B6C"/>
    <w:rsid w:val="00D43C31"/>
    <w:rsid w:val="00D43C40"/>
    <w:rsid w:val="00D43CC7"/>
    <w:rsid w:val="00D43CFA"/>
    <w:rsid w:val="00D43CFE"/>
    <w:rsid w:val="00D43D4A"/>
    <w:rsid w:val="00D43D50"/>
    <w:rsid w:val="00D43E5F"/>
    <w:rsid w:val="00D43EB7"/>
    <w:rsid w:val="00D43EBF"/>
    <w:rsid w:val="00D43F47"/>
    <w:rsid w:val="00D43F9A"/>
    <w:rsid w:val="00D43FC8"/>
    <w:rsid w:val="00D440E8"/>
    <w:rsid w:val="00D44188"/>
    <w:rsid w:val="00D4433C"/>
    <w:rsid w:val="00D443E3"/>
    <w:rsid w:val="00D44404"/>
    <w:rsid w:val="00D444FD"/>
    <w:rsid w:val="00D4453D"/>
    <w:rsid w:val="00D4456A"/>
    <w:rsid w:val="00D445E3"/>
    <w:rsid w:val="00D44698"/>
    <w:rsid w:val="00D446C9"/>
    <w:rsid w:val="00D446DD"/>
    <w:rsid w:val="00D447C3"/>
    <w:rsid w:val="00D447DC"/>
    <w:rsid w:val="00D44832"/>
    <w:rsid w:val="00D44841"/>
    <w:rsid w:val="00D448E9"/>
    <w:rsid w:val="00D448F7"/>
    <w:rsid w:val="00D4490A"/>
    <w:rsid w:val="00D44961"/>
    <w:rsid w:val="00D4496D"/>
    <w:rsid w:val="00D44975"/>
    <w:rsid w:val="00D44980"/>
    <w:rsid w:val="00D44984"/>
    <w:rsid w:val="00D44A2E"/>
    <w:rsid w:val="00D44A83"/>
    <w:rsid w:val="00D44BB3"/>
    <w:rsid w:val="00D44BDD"/>
    <w:rsid w:val="00D44BFC"/>
    <w:rsid w:val="00D44BFD"/>
    <w:rsid w:val="00D44C7E"/>
    <w:rsid w:val="00D44C8C"/>
    <w:rsid w:val="00D44CB5"/>
    <w:rsid w:val="00D44D7F"/>
    <w:rsid w:val="00D44D92"/>
    <w:rsid w:val="00D44DA5"/>
    <w:rsid w:val="00D44E3D"/>
    <w:rsid w:val="00D44F6F"/>
    <w:rsid w:val="00D450D8"/>
    <w:rsid w:val="00D450FC"/>
    <w:rsid w:val="00D451F9"/>
    <w:rsid w:val="00D45206"/>
    <w:rsid w:val="00D452C2"/>
    <w:rsid w:val="00D453AF"/>
    <w:rsid w:val="00D4542D"/>
    <w:rsid w:val="00D454FE"/>
    <w:rsid w:val="00D4566C"/>
    <w:rsid w:val="00D45677"/>
    <w:rsid w:val="00D456AA"/>
    <w:rsid w:val="00D456FA"/>
    <w:rsid w:val="00D45728"/>
    <w:rsid w:val="00D4575A"/>
    <w:rsid w:val="00D457CB"/>
    <w:rsid w:val="00D4598E"/>
    <w:rsid w:val="00D45A5C"/>
    <w:rsid w:val="00D45A8C"/>
    <w:rsid w:val="00D45A98"/>
    <w:rsid w:val="00D45B03"/>
    <w:rsid w:val="00D45B55"/>
    <w:rsid w:val="00D45C75"/>
    <w:rsid w:val="00D45CD5"/>
    <w:rsid w:val="00D45CFB"/>
    <w:rsid w:val="00D45E0F"/>
    <w:rsid w:val="00D45F54"/>
    <w:rsid w:val="00D4601E"/>
    <w:rsid w:val="00D460BD"/>
    <w:rsid w:val="00D46119"/>
    <w:rsid w:val="00D46135"/>
    <w:rsid w:val="00D46169"/>
    <w:rsid w:val="00D461CD"/>
    <w:rsid w:val="00D461EE"/>
    <w:rsid w:val="00D462CC"/>
    <w:rsid w:val="00D46330"/>
    <w:rsid w:val="00D4635B"/>
    <w:rsid w:val="00D4636D"/>
    <w:rsid w:val="00D463C6"/>
    <w:rsid w:val="00D463E2"/>
    <w:rsid w:val="00D463E9"/>
    <w:rsid w:val="00D4646B"/>
    <w:rsid w:val="00D4647A"/>
    <w:rsid w:val="00D464B1"/>
    <w:rsid w:val="00D464EF"/>
    <w:rsid w:val="00D465E4"/>
    <w:rsid w:val="00D465EA"/>
    <w:rsid w:val="00D4665C"/>
    <w:rsid w:val="00D4666E"/>
    <w:rsid w:val="00D46676"/>
    <w:rsid w:val="00D4669A"/>
    <w:rsid w:val="00D4678A"/>
    <w:rsid w:val="00D4696D"/>
    <w:rsid w:val="00D46998"/>
    <w:rsid w:val="00D469AC"/>
    <w:rsid w:val="00D46A12"/>
    <w:rsid w:val="00D46AE8"/>
    <w:rsid w:val="00D46B1F"/>
    <w:rsid w:val="00D46B24"/>
    <w:rsid w:val="00D46BA2"/>
    <w:rsid w:val="00D46BCC"/>
    <w:rsid w:val="00D46C4E"/>
    <w:rsid w:val="00D46C84"/>
    <w:rsid w:val="00D46CCE"/>
    <w:rsid w:val="00D46CE3"/>
    <w:rsid w:val="00D46D81"/>
    <w:rsid w:val="00D46DB0"/>
    <w:rsid w:val="00D46E03"/>
    <w:rsid w:val="00D46E9D"/>
    <w:rsid w:val="00D46E9E"/>
    <w:rsid w:val="00D46EFB"/>
    <w:rsid w:val="00D46F93"/>
    <w:rsid w:val="00D46FC6"/>
    <w:rsid w:val="00D47037"/>
    <w:rsid w:val="00D47078"/>
    <w:rsid w:val="00D4708E"/>
    <w:rsid w:val="00D4711E"/>
    <w:rsid w:val="00D471FA"/>
    <w:rsid w:val="00D47203"/>
    <w:rsid w:val="00D47205"/>
    <w:rsid w:val="00D4720A"/>
    <w:rsid w:val="00D47276"/>
    <w:rsid w:val="00D4727F"/>
    <w:rsid w:val="00D472D2"/>
    <w:rsid w:val="00D47370"/>
    <w:rsid w:val="00D473A1"/>
    <w:rsid w:val="00D47464"/>
    <w:rsid w:val="00D474C4"/>
    <w:rsid w:val="00D474CF"/>
    <w:rsid w:val="00D4758F"/>
    <w:rsid w:val="00D475B4"/>
    <w:rsid w:val="00D4776A"/>
    <w:rsid w:val="00D477A1"/>
    <w:rsid w:val="00D47835"/>
    <w:rsid w:val="00D478C4"/>
    <w:rsid w:val="00D478E1"/>
    <w:rsid w:val="00D4790E"/>
    <w:rsid w:val="00D47913"/>
    <w:rsid w:val="00D47917"/>
    <w:rsid w:val="00D4792A"/>
    <w:rsid w:val="00D47A61"/>
    <w:rsid w:val="00D47A65"/>
    <w:rsid w:val="00D47AFC"/>
    <w:rsid w:val="00D47B3E"/>
    <w:rsid w:val="00D47B48"/>
    <w:rsid w:val="00D47B54"/>
    <w:rsid w:val="00D47C91"/>
    <w:rsid w:val="00D47CDE"/>
    <w:rsid w:val="00D47CEA"/>
    <w:rsid w:val="00D47D0F"/>
    <w:rsid w:val="00D47DB1"/>
    <w:rsid w:val="00D47DC9"/>
    <w:rsid w:val="00D47DF8"/>
    <w:rsid w:val="00D47DFC"/>
    <w:rsid w:val="00D47EFC"/>
    <w:rsid w:val="00D47F1F"/>
    <w:rsid w:val="00D47F48"/>
    <w:rsid w:val="00D47FBF"/>
    <w:rsid w:val="00D47FF8"/>
    <w:rsid w:val="00D5000D"/>
    <w:rsid w:val="00D5006E"/>
    <w:rsid w:val="00D500AB"/>
    <w:rsid w:val="00D500D9"/>
    <w:rsid w:val="00D50205"/>
    <w:rsid w:val="00D5023B"/>
    <w:rsid w:val="00D50241"/>
    <w:rsid w:val="00D5028A"/>
    <w:rsid w:val="00D50294"/>
    <w:rsid w:val="00D50361"/>
    <w:rsid w:val="00D50389"/>
    <w:rsid w:val="00D50443"/>
    <w:rsid w:val="00D504FF"/>
    <w:rsid w:val="00D50543"/>
    <w:rsid w:val="00D505AE"/>
    <w:rsid w:val="00D50631"/>
    <w:rsid w:val="00D50636"/>
    <w:rsid w:val="00D506C0"/>
    <w:rsid w:val="00D506E6"/>
    <w:rsid w:val="00D507E7"/>
    <w:rsid w:val="00D5080F"/>
    <w:rsid w:val="00D5083E"/>
    <w:rsid w:val="00D5085C"/>
    <w:rsid w:val="00D50878"/>
    <w:rsid w:val="00D508F2"/>
    <w:rsid w:val="00D5095D"/>
    <w:rsid w:val="00D509D5"/>
    <w:rsid w:val="00D50A2E"/>
    <w:rsid w:val="00D50A55"/>
    <w:rsid w:val="00D50B3E"/>
    <w:rsid w:val="00D50B95"/>
    <w:rsid w:val="00D50C8D"/>
    <w:rsid w:val="00D50CC8"/>
    <w:rsid w:val="00D50D7F"/>
    <w:rsid w:val="00D50E3F"/>
    <w:rsid w:val="00D50FD5"/>
    <w:rsid w:val="00D51089"/>
    <w:rsid w:val="00D510A7"/>
    <w:rsid w:val="00D510D6"/>
    <w:rsid w:val="00D510ED"/>
    <w:rsid w:val="00D511D0"/>
    <w:rsid w:val="00D511FC"/>
    <w:rsid w:val="00D512A8"/>
    <w:rsid w:val="00D512C1"/>
    <w:rsid w:val="00D512C9"/>
    <w:rsid w:val="00D513A7"/>
    <w:rsid w:val="00D51411"/>
    <w:rsid w:val="00D51478"/>
    <w:rsid w:val="00D51488"/>
    <w:rsid w:val="00D5148E"/>
    <w:rsid w:val="00D514CB"/>
    <w:rsid w:val="00D5155A"/>
    <w:rsid w:val="00D51573"/>
    <w:rsid w:val="00D515A5"/>
    <w:rsid w:val="00D5175E"/>
    <w:rsid w:val="00D51817"/>
    <w:rsid w:val="00D5184D"/>
    <w:rsid w:val="00D5195D"/>
    <w:rsid w:val="00D519C1"/>
    <w:rsid w:val="00D51A66"/>
    <w:rsid w:val="00D51BF6"/>
    <w:rsid w:val="00D51CAA"/>
    <w:rsid w:val="00D51D53"/>
    <w:rsid w:val="00D51D79"/>
    <w:rsid w:val="00D51DC4"/>
    <w:rsid w:val="00D51DD4"/>
    <w:rsid w:val="00D51E4F"/>
    <w:rsid w:val="00D51E77"/>
    <w:rsid w:val="00D51F83"/>
    <w:rsid w:val="00D51F96"/>
    <w:rsid w:val="00D51FF7"/>
    <w:rsid w:val="00D52010"/>
    <w:rsid w:val="00D52029"/>
    <w:rsid w:val="00D52047"/>
    <w:rsid w:val="00D5208A"/>
    <w:rsid w:val="00D52234"/>
    <w:rsid w:val="00D5229C"/>
    <w:rsid w:val="00D522A1"/>
    <w:rsid w:val="00D52329"/>
    <w:rsid w:val="00D52332"/>
    <w:rsid w:val="00D5242D"/>
    <w:rsid w:val="00D52430"/>
    <w:rsid w:val="00D52453"/>
    <w:rsid w:val="00D524F9"/>
    <w:rsid w:val="00D52535"/>
    <w:rsid w:val="00D52539"/>
    <w:rsid w:val="00D52594"/>
    <w:rsid w:val="00D525A0"/>
    <w:rsid w:val="00D525CD"/>
    <w:rsid w:val="00D525EC"/>
    <w:rsid w:val="00D52604"/>
    <w:rsid w:val="00D5264B"/>
    <w:rsid w:val="00D526C3"/>
    <w:rsid w:val="00D526F5"/>
    <w:rsid w:val="00D52722"/>
    <w:rsid w:val="00D527E1"/>
    <w:rsid w:val="00D527FD"/>
    <w:rsid w:val="00D52811"/>
    <w:rsid w:val="00D5287C"/>
    <w:rsid w:val="00D528FB"/>
    <w:rsid w:val="00D52958"/>
    <w:rsid w:val="00D529BC"/>
    <w:rsid w:val="00D529C7"/>
    <w:rsid w:val="00D52AAA"/>
    <w:rsid w:val="00D52B92"/>
    <w:rsid w:val="00D52BD3"/>
    <w:rsid w:val="00D52C8D"/>
    <w:rsid w:val="00D52C97"/>
    <w:rsid w:val="00D52CF8"/>
    <w:rsid w:val="00D52D34"/>
    <w:rsid w:val="00D52D7B"/>
    <w:rsid w:val="00D52DD2"/>
    <w:rsid w:val="00D52DE6"/>
    <w:rsid w:val="00D52E17"/>
    <w:rsid w:val="00D52EF1"/>
    <w:rsid w:val="00D52F30"/>
    <w:rsid w:val="00D52F39"/>
    <w:rsid w:val="00D52F6B"/>
    <w:rsid w:val="00D52FA4"/>
    <w:rsid w:val="00D52FBA"/>
    <w:rsid w:val="00D5306A"/>
    <w:rsid w:val="00D530DA"/>
    <w:rsid w:val="00D53156"/>
    <w:rsid w:val="00D531CE"/>
    <w:rsid w:val="00D53205"/>
    <w:rsid w:val="00D53242"/>
    <w:rsid w:val="00D53310"/>
    <w:rsid w:val="00D533B6"/>
    <w:rsid w:val="00D53549"/>
    <w:rsid w:val="00D53578"/>
    <w:rsid w:val="00D5358D"/>
    <w:rsid w:val="00D535F8"/>
    <w:rsid w:val="00D536EE"/>
    <w:rsid w:val="00D537E0"/>
    <w:rsid w:val="00D5395F"/>
    <w:rsid w:val="00D539A2"/>
    <w:rsid w:val="00D53A00"/>
    <w:rsid w:val="00D53A92"/>
    <w:rsid w:val="00D53B66"/>
    <w:rsid w:val="00D53BBC"/>
    <w:rsid w:val="00D53C09"/>
    <w:rsid w:val="00D53C83"/>
    <w:rsid w:val="00D53CC0"/>
    <w:rsid w:val="00D53D1D"/>
    <w:rsid w:val="00D53D73"/>
    <w:rsid w:val="00D53DAF"/>
    <w:rsid w:val="00D53DB3"/>
    <w:rsid w:val="00D53DB4"/>
    <w:rsid w:val="00D53DBF"/>
    <w:rsid w:val="00D53E61"/>
    <w:rsid w:val="00D53EB6"/>
    <w:rsid w:val="00D53EE4"/>
    <w:rsid w:val="00D53F09"/>
    <w:rsid w:val="00D53F28"/>
    <w:rsid w:val="00D53FC2"/>
    <w:rsid w:val="00D53FF8"/>
    <w:rsid w:val="00D54027"/>
    <w:rsid w:val="00D5403F"/>
    <w:rsid w:val="00D54083"/>
    <w:rsid w:val="00D540F3"/>
    <w:rsid w:val="00D54112"/>
    <w:rsid w:val="00D5415F"/>
    <w:rsid w:val="00D54190"/>
    <w:rsid w:val="00D541E0"/>
    <w:rsid w:val="00D542B4"/>
    <w:rsid w:val="00D542F9"/>
    <w:rsid w:val="00D54349"/>
    <w:rsid w:val="00D5436A"/>
    <w:rsid w:val="00D5438A"/>
    <w:rsid w:val="00D54394"/>
    <w:rsid w:val="00D543BD"/>
    <w:rsid w:val="00D54477"/>
    <w:rsid w:val="00D54490"/>
    <w:rsid w:val="00D5449E"/>
    <w:rsid w:val="00D544CB"/>
    <w:rsid w:val="00D544E4"/>
    <w:rsid w:val="00D54529"/>
    <w:rsid w:val="00D54555"/>
    <w:rsid w:val="00D5458A"/>
    <w:rsid w:val="00D54761"/>
    <w:rsid w:val="00D54779"/>
    <w:rsid w:val="00D547D7"/>
    <w:rsid w:val="00D547E5"/>
    <w:rsid w:val="00D5487E"/>
    <w:rsid w:val="00D54886"/>
    <w:rsid w:val="00D548FA"/>
    <w:rsid w:val="00D54948"/>
    <w:rsid w:val="00D54A46"/>
    <w:rsid w:val="00D54B0A"/>
    <w:rsid w:val="00D54B5F"/>
    <w:rsid w:val="00D54C01"/>
    <w:rsid w:val="00D54C09"/>
    <w:rsid w:val="00D54C85"/>
    <w:rsid w:val="00D54CA5"/>
    <w:rsid w:val="00D54D15"/>
    <w:rsid w:val="00D54D7B"/>
    <w:rsid w:val="00D54DB1"/>
    <w:rsid w:val="00D54EAE"/>
    <w:rsid w:val="00D54EF6"/>
    <w:rsid w:val="00D550D7"/>
    <w:rsid w:val="00D550FE"/>
    <w:rsid w:val="00D55110"/>
    <w:rsid w:val="00D5515B"/>
    <w:rsid w:val="00D5528D"/>
    <w:rsid w:val="00D55382"/>
    <w:rsid w:val="00D55417"/>
    <w:rsid w:val="00D5547D"/>
    <w:rsid w:val="00D554BD"/>
    <w:rsid w:val="00D5552A"/>
    <w:rsid w:val="00D55649"/>
    <w:rsid w:val="00D55679"/>
    <w:rsid w:val="00D556A4"/>
    <w:rsid w:val="00D55706"/>
    <w:rsid w:val="00D55718"/>
    <w:rsid w:val="00D55751"/>
    <w:rsid w:val="00D55764"/>
    <w:rsid w:val="00D55775"/>
    <w:rsid w:val="00D55842"/>
    <w:rsid w:val="00D558F4"/>
    <w:rsid w:val="00D55971"/>
    <w:rsid w:val="00D559F6"/>
    <w:rsid w:val="00D55A44"/>
    <w:rsid w:val="00D55A8C"/>
    <w:rsid w:val="00D55AAA"/>
    <w:rsid w:val="00D55B1B"/>
    <w:rsid w:val="00D55BD8"/>
    <w:rsid w:val="00D55CCC"/>
    <w:rsid w:val="00D55D00"/>
    <w:rsid w:val="00D55D44"/>
    <w:rsid w:val="00D55D55"/>
    <w:rsid w:val="00D55DA3"/>
    <w:rsid w:val="00D55DB9"/>
    <w:rsid w:val="00D55DD4"/>
    <w:rsid w:val="00D55DFC"/>
    <w:rsid w:val="00D55E52"/>
    <w:rsid w:val="00D55EAB"/>
    <w:rsid w:val="00D55F04"/>
    <w:rsid w:val="00D55F12"/>
    <w:rsid w:val="00D55F2E"/>
    <w:rsid w:val="00D55F65"/>
    <w:rsid w:val="00D55FCA"/>
    <w:rsid w:val="00D56059"/>
    <w:rsid w:val="00D5611D"/>
    <w:rsid w:val="00D5613F"/>
    <w:rsid w:val="00D56144"/>
    <w:rsid w:val="00D561D3"/>
    <w:rsid w:val="00D5626D"/>
    <w:rsid w:val="00D56278"/>
    <w:rsid w:val="00D5627D"/>
    <w:rsid w:val="00D5635A"/>
    <w:rsid w:val="00D56375"/>
    <w:rsid w:val="00D56468"/>
    <w:rsid w:val="00D56471"/>
    <w:rsid w:val="00D565BD"/>
    <w:rsid w:val="00D565C7"/>
    <w:rsid w:val="00D565D6"/>
    <w:rsid w:val="00D56647"/>
    <w:rsid w:val="00D566D3"/>
    <w:rsid w:val="00D566DF"/>
    <w:rsid w:val="00D56837"/>
    <w:rsid w:val="00D5686D"/>
    <w:rsid w:val="00D5687E"/>
    <w:rsid w:val="00D568A8"/>
    <w:rsid w:val="00D5699F"/>
    <w:rsid w:val="00D569D8"/>
    <w:rsid w:val="00D569EF"/>
    <w:rsid w:val="00D56A38"/>
    <w:rsid w:val="00D56AAE"/>
    <w:rsid w:val="00D56B07"/>
    <w:rsid w:val="00D56B7C"/>
    <w:rsid w:val="00D56B94"/>
    <w:rsid w:val="00D56C8A"/>
    <w:rsid w:val="00D56CCC"/>
    <w:rsid w:val="00D56CE9"/>
    <w:rsid w:val="00D56DB9"/>
    <w:rsid w:val="00D56DC6"/>
    <w:rsid w:val="00D56E39"/>
    <w:rsid w:val="00D56E8E"/>
    <w:rsid w:val="00D56FD6"/>
    <w:rsid w:val="00D56FD7"/>
    <w:rsid w:val="00D56FFE"/>
    <w:rsid w:val="00D57014"/>
    <w:rsid w:val="00D570E5"/>
    <w:rsid w:val="00D571C4"/>
    <w:rsid w:val="00D571D5"/>
    <w:rsid w:val="00D5725A"/>
    <w:rsid w:val="00D572A0"/>
    <w:rsid w:val="00D572F6"/>
    <w:rsid w:val="00D57349"/>
    <w:rsid w:val="00D5734E"/>
    <w:rsid w:val="00D5740C"/>
    <w:rsid w:val="00D574AA"/>
    <w:rsid w:val="00D57586"/>
    <w:rsid w:val="00D575BB"/>
    <w:rsid w:val="00D575F1"/>
    <w:rsid w:val="00D5761F"/>
    <w:rsid w:val="00D576C8"/>
    <w:rsid w:val="00D576D0"/>
    <w:rsid w:val="00D5775F"/>
    <w:rsid w:val="00D57884"/>
    <w:rsid w:val="00D578AA"/>
    <w:rsid w:val="00D578C7"/>
    <w:rsid w:val="00D578F2"/>
    <w:rsid w:val="00D578FC"/>
    <w:rsid w:val="00D5792D"/>
    <w:rsid w:val="00D579B4"/>
    <w:rsid w:val="00D57A3B"/>
    <w:rsid w:val="00D57A41"/>
    <w:rsid w:val="00D57AE5"/>
    <w:rsid w:val="00D57B4F"/>
    <w:rsid w:val="00D57B6E"/>
    <w:rsid w:val="00D57B7D"/>
    <w:rsid w:val="00D57BE0"/>
    <w:rsid w:val="00D57BE5"/>
    <w:rsid w:val="00D57BEC"/>
    <w:rsid w:val="00D57CFF"/>
    <w:rsid w:val="00D57D2B"/>
    <w:rsid w:val="00D57D42"/>
    <w:rsid w:val="00D57D62"/>
    <w:rsid w:val="00D57D6D"/>
    <w:rsid w:val="00D57DEB"/>
    <w:rsid w:val="00D57E68"/>
    <w:rsid w:val="00D57E7A"/>
    <w:rsid w:val="00D57EC6"/>
    <w:rsid w:val="00D57ED9"/>
    <w:rsid w:val="00D57F31"/>
    <w:rsid w:val="00D57F6A"/>
    <w:rsid w:val="00D57FFE"/>
    <w:rsid w:val="00D600AD"/>
    <w:rsid w:val="00D6015D"/>
    <w:rsid w:val="00D601B3"/>
    <w:rsid w:val="00D601E7"/>
    <w:rsid w:val="00D6027B"/>
    <w:rsid w:val="00D60442"/>
    <w:rsid w:val="00D60450"/>
    <w:rsid w:val="00D6048E"/>
    <w:rsid w:val="00D60537"/>
    <w:rsid w:val="00D60539"/>
    <w:rsid w:val="00D605FB"/>
    <w:rsid w:val="00D6063B"/>
    <w:rsid w:val="00D6069F"/>
    <w:rsid w:val="00D606D8"/>
    <w:rsid w:val="00D60840"/>
    <w:rsid w:val="00D60890"/>
    <w:rsid w:val="00D608EA"/>
    <w:rsid w:val="00D608FB"/>
    <w:rsid w:val="00D60919"/>
    <w:rsid w:val="00D609C3"/>
    <w:rsid w:val="00D609EE"/>
    <w:rsid w:val="00D60ABD"/>
    <w:rsid w:val="00D60B2F"/>
    <w:rsid w:val="00D60B4B"/>
    <w:rsid w:val="00D60B68"/>
    <w:rsid w:val="00D60B6F"/>
    <w:rsid w:val="00D60B94"/>
    <w:rsid w:val="00D60C0C"/>
    <w:rsid w:val="00D60C1E"/>
    <w:rsid w:val="00D60C43"/>
    <w:rsid w:val="00D60CA8"/>
    <w:rsid w:val="00D60CD2"/>
    <w:rsid w:val="00D60D18"/>
    <w:rsid w:val="00D60D2B"/>
    <w:rsid w:val="00D60D72"/>
    <w:rsid w:val="00D60D86"/>
    <w:rsid w:val="00D60DCA"/>
    <w:rsid w:val="00D60E34"/>
    <w:rsid w:val="00D60EE9"/>
    <w:rsid w:val="00D60F1C"/>
    <w:rsid w:val="00D60F6E"/>
    <w:rsid w:val="00D60FA5"/>
    <w:rsid w:val="00D60FF1"/>
    <w:rsid w:val="00D610C1"/>
    <w:rsid w:val="00D610D6"/>
    <w:rsid w:val="00D6113D"/>
    <w:rsid w:val="00D61155"/>
    <w:rsid w:val="00D611B3"/>
    <w:rsid w:val="00D61213"/>
    <w:rsid w:val="00D6125A"/>
    <w:rsid w:val="00D61290"/>
    <w:rsid w:val="00D6134C"/>
    <w:rsid w:val="00D6138A"/>
    <w:rsid w:val="00D61435"/>
    <w:rsid w:val="00D61458"/>
    <w:rsid w:val="00D6149E"/>
    <w:rsid w:val="00D61611"/>
    <w:rsid w:val="00D61621"/>
    <w:rsid w:val="00D61628"/>
    <w:rsid w:val="00D61683"/>
    <w:rsid w:val="00D61717"/>
    <w:rsid w:val="00D617A0"/>
    <w:rsid w:val="00D617B4"/>
    <w:rsid w:val="00D618A8"/>
    <w:rsid w:val="00D61960"/>
    <w:rsid w:val="00D61975"/>
    <w:rsid w:val="00D61A7B"/>
    <w:rsid w:val="00D61A90"/>
    <w:rsid w:val="00D61AF7"/>
    <w:rsid w:val="00D61B19"/>
    <w:rsid w:val="00D61B2A"/>
    <w:rsid w:val="00D61B9B"/>
    <w:rsid w:val="00D61BC3"/>
    <w:rsid w:val="00D61BCB"/>
    <w:rsid w:val="00D61BD2"/>
    <w:rsid w:val="00D61BE1"/>
    <w:rsid w:val="00D61C31"/>
    <w:rsid w:val="00D61C8B"/>
    <w:rsid w:val="00D61CC0"/>
    <w:rsid w:val="00D61D4C"/>
    <w:rsid w:val="00D61EFE"/>
    <w:rsid w:val="00D61F96"/>
    <w:rsid w:val="00D61FA4"/>
    <w:rsid w:val="00D61FB7"/>
    <w:rsid w:val="00D6211F"/>
    <w:rsid w:val="00D62183"/>
    <w:rsid w:val="00D6219B"/>
    <w:rsid w:val="00D62298"/>
    <w:rsid w:val="00D622EF"/>
    <w:rsid w:val="00D6249E"/>
    <w:rsid w:val="00D62503"/>
    <w:rsid w:val="00D625E5"/>
    <w:rsid w:val="00D62615"/>
    <w:rsid w:val="00D6263B"/>
    <w:rsid w:val="00D626B1"/>
    <w:rsid w:val="00D6271C"/>
    <w:rsid w:val="00D62768"/>
    <w:rsid w:val="00D6278D"/>
    <w:rsid w:val="00D6279C"/>
    <w:rsid w:val="00D627E2"/>
    <w:rsid w:val="00D6284E"/>
    <w:rsid w:val="00D62862"/>
    <w:rsid w:val="00D62889"/>
    <w:rsid w:val="00D6294A"/>
    <w:rsid w:val="00D6298F"/>
    <w:rsid w:val="00D62996"/>
    <w:rsid w:val="00D62A5F"/>
    <w:rsid w:val="00D62B9A"/>
    <w:rsid w:val="00D62BC6"/>
    <w:rsid w:val="00D62BC9"/>
    <w:rsid w:val="00D62BEA"/>
    <w:rsid w:val="00D62C31"/>
    <w:rsid w:val="00D62C77"/>
    <w:rsid w:val="00D62C90"/>
    <w:rsid w:val="00D62CD9"/>
    <w:rsid w:val="00D62D3C"/>
    <w:rsid w:val="00D62D3E"/>
    <w:rsid w:val="00D62D42"/>
    <w:rsid w:val="00D62D60"/>
    <w:rsid w:val="00D62ED6"/>
    <w:rsid w:val="00D62F86"/>
    <w:rsid w:val="00D62F89"/>
    <w:rsid w:val="00D62F92"/>
    <w:rsid w:val="00D62FBE"/>
    <w:rsid w:val="00D62FF7"/>
    <w:rsid w:val="00D6300A"/>
    <w:rsid w:val="00D63019"/>
    <w:rsid w:val="00D63059"/>
    <w:rsid w:val="00D6309A"/>
    <w:rsid w:val="00D630C4"/>
    <w:rsid w:val="00D630EE"/>
    <w:rsid w:val="00D63111"/>
    <w:rsid w:val="00D631D1"/>
    <w:rsid w:val="00D631EF"/>
    <w:rsid w:val="00D6327E"/>
    <w:rsid w:val="00D632B8"/>
    <w:rsid w:val="00D632BD"/>
    <w:rsid w:val="00D632D7"/>
    <w:rsid w:val="00D632DB"/>
    <w:rsid w:val="00D63359"/>
    <w:rsid w:val="00D6337C"/>
    <w:rsid w:val="00D63397"/>
    <w:rsid w:val="00D63408"/>
    <w:rsid w:val="00D63446"/>
    <w:rsid w:val="00D63524"/>
    <w:rsid w:val="00D63582"/>
    <w:rsid w:val="00D635B0"/>
    <w:rsid w:val="00D635BC"/>
    <w:rsid w:val="00D6363E"/>
    <w:rsid w:val="00D63645"/>
    <w:rsid w:val="00D6366F"/>
    <w:rsid w:val="00D636BE"/>
    <w:rsid w:val="00D63746"/>
    <w:rsid w:val="00D6376B"/>
    <w:rsid w:val="00D637AA"/>
    <w:rsid w:val="00D638B4"/>
    <w:rsid w:val="00D638B9"/>
    <w:rsid w:val="00D638CD"/>
    <w:rsid w:val="00D638E4"/>
    <w:rsid w:val="00D63912"/>
    <w:rsid w:val="00D63975"/>
    <w:rsid w:val="00D639D3"/>
    <w:rsid w:val="00D63A7E"/>
    <w:rsid w:val="00D63AFB"/>
    <w:rsid w:val="00D63B5F"/>
    <w:rsid w:val="00D63CD5"/>
    <w:rsid w:val="00D63CFE"/>
    <w:rsid w:val="00D63D15"/>
    <w:rsid w:val="00D63D30"/>
    <w:rsid w:val="00D63DCD"/>
    <w:rsid w:val="00D63DE2"/>
    <w:rsid w:val="00D63E17"/>
    <w:rsid w:val="00D63E1E"/>
    <w:rsid w:val="00D63E51"/>
    <w:rsid w:val="00D63E8F"/>
    <w:rsid w:val="00D63EEE"/>
    <w:rsid w:val="00D63F03"/>
    <w:rsid w:val="00D63F26"/>
    <w:rsid w:val="00D63F6E"/>
    <w:rsid w:val="00D63F93"/>
    <w:rsid w:val="00D63FDF"/>
    <w:rsid w:val="00D64041"/>
    <w:rsid w:val="00D64057"/>
    <w:rsid w:val="00D6412E"/>
    <w:rsid w:val="00D64157"/>
    <w:rsid w:val="00D641CD"/>
    <w:rsid w:val="00D641FC"/>
    <w:rsid w:val="00D64339"/>
    <w:rsid w:val="00D6436C"/>
    <w:rsid w:val="00D643C8"/>
    <w:rsid w:val="00D643F2"/>
    <w:rsid w:val="00D64405"/>
    <w:rsid w:val="00D644BB"/>
    <w:rsid w:val="00D64534"/>
    <w:rsid w:val="00D645BB"/>
    <w:rsid w:val="00D64612"/>
    <w:rsid w:val="00D64682"/>
    <w:rsid w:val="00D646F7"/>
    <w:rsid w:val="00D6479A"/>
    <w:rsid w:val="00D647A6"/>
    <w:rsid w:val="00D64828"/>
    <w:rsid w:val="00D64835"/>
    <w:rsid w:val="00D64837"/>
    <w:rsid w:val="00D649D3"/>
    <w:rsid w:val="00D649EF"/>
    <w:rsid w:val="00D649FC"/>
    <w:rsid w:val="00D64A18"/>
    <w:rsid w:val="00D64A53"/>
    <w:rsid w:val="00D64A84"/>
    <w:rsid w:val="00D64BB0"/>
    <w:rsid w:val="00D64C77"/>
    <w:rsid w:val="00D64CEC"/>
    <w:rsid w:val="00D64D79"/>
    <w:rsid w:val="00D64DAF"/>
    <w:rsid w:val="00D64E0E"/>
    <w:rsid w:val="00D64E3B"/>
    <w:rsid w:val="00D64EE2"/>
    <w:rsid w:val="00D64F53"/>
    <w:rsid w:val="00D64F62"/>
    <w:rsid w:val="00D64FC6"/>
    <w:rsid w:val="00D65012"/>
    <w:rsid w:val="00D65080"/>
    <w:rsid w:val="00D650FA"/>
    <w:rsid w:val="00D6512A"/>
    <w:rsid w:val="00D65136"/>
    <w:rsid w:val="00D651A3"/>
    <w:rsid w:val="00D65209"/>
    <w:rsid w:val="00D65240"/>
    <w:rsid w:val="00D65243"/>
    <w:rsid w:val="00D6538B"/>
    <w:rsid w:val="00D65402"/>
    <w:rsid w:val="00D654C1"/>
    <w:rsid w:val="00D6557E"/>
    <w:rsid w:val="00D6557F"/>
    <w:rsid w:val="00D655E0"/>
    <w:rsid w:val="00D655FF"/>
    <w:rsid w:val="00D65765"/>
    <w:rsid w:val="00D65786"/>
    <w:rsid w:val="00D657C6"/>
    <w:rsid w:val="00D65806"/>
    <w:rsid w:val="00D65911"/>
    <w:rsid w:val="00D659EA"/>
    <w:rsid w:val="00D65A11"/>
    <w:rsid w:val="00D65A50"/>
    <w:rsid w:val="00D65ABC"/>
    <w:rsid w:val="00D65B12"/>
    <w:rsid w:val="00D65B42"/>
    <w:rsid w:val="00D65B4C"/>
    <w:rsid w:val="00D65BBE"/>
    <w:rsid w:val="00D65C13"/>
    <w:rsid w:val="00D65CF1"/>
    <w:rsid w:val="00D65DAF"/>
    <w:rsid w:val="00D65E68"/>
    <w:rsid w:val="00D65EE9"/>
    <w:rsid w:val="00D65F13"/>
    <w:rsid w:val="00D65F23"/>
    <w:rsid w:val="00D66088"/>
    <w:rsid w:val="00D66099"/>
    <w:rsid w:val="00D660B0"/>
    <w:rsid w:val="00D660D4"/>
    <w:rsid w:val="00D6611B"/>
    <w:rsid w:val="00D66121"/>
    <w:rsid w:val="00D66127"/>
    <w:rsid w:val="00D6622A"/>
    <w:rsid w:val="00D6625C"/>
    <w:rsid w:val="00D6629E"/>
    <w:rsid w:val="00D662B1"/>
    <w:rsid w:val="00D662DB"/>
    <w:rsid w:val="00D662F3"/>
    <w:rsid w:val="00D6635E"/>
    <w:rsid w:val="00D6637C"/>
    <w:rsid w:val="00D663BA"/>
    <w:rsid w:val="00D663C3"/>
    <w:rsid w:val="00D663C8"/>
    <w:rsid w:val="00D66543"/>
    <w:rsid w:val="00D66551"/>
    <w:rsid w:val="00D6656A"/>
    <w:rsid w:val="00D665AC"/>
    <w:rsid w:val="00D665EA"/>
    <w:rsid w:val="00D6661F"/>
    <w:rsid w:val="00D666BD"/>
    <w:rsid w:val="00D666C1"/>
    <w:rsid w:val="00D666F9"/>
    <w:rsid w:val="00D6670E"/>
    <w:rsid w:val="00D66761"/>
    <w:rsid w:val="00D6677D"/>
    <w:rsid w:val="00D667A5"/>
    <w:rsid w:val="00D667CA"/>
    <w:rsid w:val="00D6684F"/>
    <w:rsid w:val="00D6685B"/>
    <w:rsid w:val="00D66894"/>
    <w:rsid w:val="00D6689B"/>
    <w:rsid w:val="00D668DF"/>
    <w:rsid w:val="00D668FC"/>
    <w:rsid w:val="00D66941"/>
    <w:rsid w:val="00D6695F"/>
    <w:rsid w:val="00D6697A"/>
    <w:rsid w:val="00D66985"/>
    <w:rsid w:val="00D669A8"/>
    <w:rsid w:val="00D66A7C"/>
    <w:rsid w:val="00D66A85"/>
    <w:rsid w:val="00D66AA0"/>
    <w:rsid w:val="00D66B0C"/>
    <w:rsid w:val="00D66B66"/>
    <w:rsid w:val="00D66B73"/>
    <w:rsid w:val="00D66B7E"/>
    <w:rsid w:val="00D66B95"/>
    <w:rsid w:val="00D66C37"/>
    <w:rsid w:val="00D66C96"/>
    <w:rsid w:val="00D66CD6"/>
    <w:rsid w:val="00D66E11"/>
    <w:rsid w:val="00D66E33"/>
    <w:rsid w:val="00D66E36"/>
    <w:rsid w:val="00D66E51"/>
    <w:rsid w:val="00D66E5D"/>
    <w:rsid w:val="00D66EBA"/>
    <w:rsid w:val="00D66EEF"/>
    <w:rsid w:val="00D66F5C"/>
    <w:rsid w:val="00D66F97"/>
    <w:rsid w:val="00D67029"/>
    <w:rsid w:val="00D6706F"/>
    <w:rsid w:val="00D6707D"/>
    <w:rsid w:val="00D670A1"/>
    <w:rsid w:val="00D6714F"/>
    <w:rsid w:val="00D671A3"/>
    <w:rsid w:val="00D6729A"/>
    <w:rsid w:val="00D672C6"/>
    <w:rsid w:val="00D6731B"/>
    <w:rsid w:val="00D673BA"/>
    <w:rsid w:val="00D673E3"/>
    <w:rsid w:val="00D673E9"/>
    <w:rsid w:val="00D6740A"/>
    <w:rsid w:val="00D674D1"/>
    <w:rsid w:val="00D6751C"/>
    <w:rsid w:val="00D67534"/>
    <w:rsid w:val="00D675A2"/>
    <w:rsid w:val="00D675A7"/>
    <w:rsid w:val="00D67608"/>
    <w:rsid w:val="00D6765B"/>
    <w:rsid w:val="00D676A9"/>
    <w:rsid w:val="00D6771F"/>
    <w:rsid w:val="00D677AE"/>
    <w:rsid w:val="00D677FA"/>
    <w:rsid w:val="00D67892"/>
    <w:rsid w:val="00D67959"/>
    <w:rsid w:val="00D67977"/>
    <w:rsid w:val="00D679F9"/>
    <w:rsid w:val="00D67A69"/>
    <w:rsid w:val="00D67ABE"/>
    <w:rsid w:val="00D67AE2"/>
    <w:rsid w:val="00D67AE5"/>
    <w:rsid w:val="00D67B80"/>
    <w:rsid w:val="00D67BD1"/>
    <w:rsid w:val="00D67BDB"/>
    <w:rsid w:val="00D67BE9"/>
    <w:rsid w:val="00D67BFE"/>
    <w:rsid w:val="00D67C91"/>
    <w:rsid w:val="00D67DD3"/>
    <w:rsid w:val="00D67E1D"/>
    <w:rsid w:val="00D67F5F"/>
    <w:rsid w:val="00D67F71"/>
    <w:rsid w:val="00D67F76"/>
    <w:rsid w:val="00D67F9D"/>
    <w:rsid w:val="00D67FEF"/>
    <w:rsid w:val="00D67FF9"/>
    <w:rsid w:val="00D70006"/>
    <w:rsid w:val="00D70038"/>
    <w:rsid w:val="00D700BA"/>
    <w:rsid w:val="00D7018E"/>
    <w:rsid w:val="00D701FC"/>
    <w:rsid w:val="00D7021F"/>
    <w:rsid w:val="00D7028C"/>
    <w:rsid w:val="00D704A2"/>
    <w:rsid w:val="00D704B7"/>
    <w:rsid w:val="00D7053B"/>
    <w:rsid w:val="00D70773"/>
    <w:rsid w:val="00D70898"/>
    <w:rsid w:val="00D709D3"/>
    <w:rsid w:val="00D70A3B"/>
    <w:rsid w:val="00D70A5C"/>
    <w:rsid w:val="00D70AB6"/>
    <w:rsid w:val="00D70CD6"/>
    <w:rsid w:val="00D70CF9"/>
    <w:rsid w:val="00D70D31"/>
    <w:rsid w:val="00D70DB0"/>
    <w:rsid w:val="00D70F04"/>
    <w:rsid w:val="00D70F6F"/>
    <w:rsid w:val="00D70FF3"/>
    <w:rsid w:val="00D710A3"/>
    <w:rsid w:val="00D71116"/>
    <w:rsid w:val="00D71118"/>
    <w:rsid w:val="00D7115F"/>
    <w:rsid w:val="00D71347"/>
    <w:rsid w:val="00D71348"/>
    <w:rsid w:val="00D713AE"/>
    <w:rsid w:val="00D713FB"/>
    <w:rsid w:val="00D7141B"/>
    <w:rsid w:val="00D71435"/>
    <w:rsid w:val="00D7146D"/>
    <w:rsid w:val="00D714AC"/>
    <w:rsid w:val="00D714F9"/>
    <w:rsid w:val="00D71542"/>
    <w:rsid w:val="00D71578"/>
    <w:rsid w:val="00D71586"/>
    <w:rsid w:val="00D71674"/>
    <w:rsid w:val="00D71683"/>
    <w:rsid w:val="00D716E9"/>
    <w:rsid w:val="00D7175B"/>
    <w:rsid w:val="00D717C5"/>
    <w:rsid w:val="00D71805"/>
    <w:rsid w:val="00D71837"/>
    <w:rsid w:val="00D718F9"/>
    <w:rsid w:val="00D7199C"/>
    <w:rsid w:val="00D719B4"/>
    <w:rsid w:val="00D71A06"/>
    <w:rsid w:val="00D71A26"/>
    <w:rsid w:val="00D71A4A"/>
    <w:rsid w:val="00D71B4A"/>
    <w:rsid w:val="00D71B5F"/>
    <w:rsid w:val="00D71B62"/>
    <w:rsid w:val="00D71B78"/>
    <w:rsid w:val="00D71B8D"/>
    <w:rsid w:val="00D71BA3"/>
    <w:rsid w:val="00D71C5F"/>
    <w:rsid w:val="00D71CF9"/>
    <w:rsid w:val="00D71D04"/>
    <w:rsid w:val="00D71D26"/>
    <w:rsid w:val="00D71DEB"/>
    <w:rsid w:val="00D71EB8"/>
    <w:rsid w:val="00D71F1C"/>
    <w:rsid w:val="00D71F43"/>
    <w:rsid w:val="00D71F5D"/>
    <w:rsid w:val="00D71F9F"/>
    <w:rsid w:val="00D71FAA"/>
    <w:rsid w:val="00D71FF6"/>
    <w:rsid w:val="00D72051"/>
    <w:rsid w:val="00D7209E"/>
    <w:rsid w:val="00D720C7"/>
    <w:rsid w:val="00D72157"/>
    <w:rsid w:val="00D72175"/>
    <w:rsid w:val="00D7217A"/>
    <w:rsid w:val="00D72209"/>
    <w:rsid w:val="00D7221D"/>
    <w:rsid w:val="00D72304"/>
    <w:rsid w:val="00D72323"/>
    <w:rsid w:val="00D7248A"/>
    <w:rsid w:val="00D724AF"/>
    <w:rsid w:val="00D7254C"/>
    <w:rsid w:val="00D7254F"/>
    <w:rsid w:val="00D72577"/>
    <w:rsid w:val="00D72580"/>
    <w:rsid w:val="00D72581"/>
    <w:rsid w:val="00D7259B"/>
    <w:rsid w:val="00D725AD"/>
    <w:rsid w:val="00D727CF"/>
    <w:rsid w:val="00D727FD"/>
    <w:rsid w:val="00D72882"/>
    <w:rsid w:val="00D728CB"/>
    <w:rsid w:val="00D728E2"/>
    <w:rsid w:val="00D7295C"/>
    <w:rsid w:val="00D729AB"/>
    <w:rsid w:val="00D72A94"/>
    <w:rsid w:val="00D72C27"/>
    <w:rsid w:val="00D72D54"/>
    <w:rsid w:val="00D72DE7"/>
    <w:rsid w:val="00D72E27"/>
    <w:rsid w:val="00D72EAB"/>
    <w:rsid w:val="00D72EAF"/>
    <w:rsid w:val="00D72EC0"/>
    <w:rsid w:val="00D72ED0"/>
    <w:rsid w:val="00D72F8E"/>
    <w:rsid w:val="00D72FD8"/>
    <w:rsid w:val="00D73086"/>
    <w:rsid w:val="00D7326F"/>
    <w:rsid w:val="00D73366"/>
    <w:rsid w:val="00D733F0"/>
    <w:rsid w:val="00D734DC"/>
    <w:rsid w:val="00D73523"/>
    <w:rsid w:val="00D7353A"/>
    <w:rsid w:val="00D735AC"/>
    <w:rsid w:val="00D735D5"/>
    <w:rsid w:val="00D73647"/>
    <w:rsid w:val="00D736F9"/>
    <w:rsid w:val="00D7377D"/>
    <w:rsid w:val="00D737D3"/>
    <w:rsid w:val="00D737F9"/>
    <w:rsid w:val="00D7382A"/>
    <w:rsid w:val="00D738DC"/>
    <w:rsid w:val="00D738F6"/>
    <w:rsid w:val="00D73915"/>
    <w:rsid w:val="00D73939"/>
    <w:rsid w:val="00D7394D"/>
    <w:rsid w:val="00D73A45"/>
    <w:rsid w:val="00D73A72"/>
    <w:rsid w:val="00D73A8A"/>
    <w:rsid w:val="00D73B1B"/>
    <w:rsid w:val="00D73B7C"/>
    <w:rsid w:val="00D73C2A"/>
    <w:rsid w:val="00D73C37"/>
    <w:rsid w:val="00D73C48"/>
    <w:rsid w:val="00D73D02"/>
    <w:rsid w:val="00D73D1A"/>
    <w:rsid w:val="00D73D48"/>
    <w:rsid w:val="00D73E1B"/>
    <w:rsid w:val="00D73E21"/>
    <w:rsid w:val="00D73E32"/>
    <w:rsid w:val="00D73E36"/>
    <w:rsid w:val="00D73E4D"/>
    <w:rsid w:val="00D73E8C"/>
    <w:rsid w:val="00D73EE2"/>
    <w:rsid w:val="00D73EFA"/>
    <w:rsid w:val="00D73F13"/>
    <w:rsid w:val="00D74000"/>
    <w:rsid w:val="00D74040"/>
    <w:rsid w:val="00D7404D"/>
    <w:rsid w:val="00D740CF"/>
    <w:rsid w:val="00D740FC"/>
    <w:rsid w:val="00D7415B"/>
    <w:rsid w:val="00D741F4"/>
    <w:rsid w:val="00D742AA"/>
    <w:rsid w:val="00D742D9"/>
    <w:rsid w:val="00D742E8"/>
    <w:rsid w:val="00D742F2"/>
    <w:rsid w:val="00D74306"/>
    <w:rsid w:val="00D7435E"/>
    <w:rsid w:val="00D743DE"/>
    <w:rsid w:val="00D743E1"/>
    <w:rsid w:val="00D74423"/>
    <w:rsid w:val="00D7444C"/>
    <w:rsid w:val="00D74516"/>
    <w:rsid w:val="00D74571"/>
    <w:rsid w:val="00D745AB"/>
    <w:rsid w:val="00D74622"/>
    <w:rsid w:val="00D7468B"/>
    <w:rsid w:val="00D746C3"/>
    <w:rsid w:val="00D74725"/>
    <w:rsid w:val="00D748A9"/>
    <w:rsid w:val="00D74906"/>
    <w:rsid w:val="00D7490E"/>
    <w:rsid w:val="00D74919"/>
    <w:rsid w:val="00D74940"/>
    <w:rsid w:val="00D749A4"/>
    <w:rsid w:val="00D74A29"/>
    <w:rsid w:val="00D74A5E"/>
    <w:rsid w:val="00D74B22"/>
    <w:rsid w:val="00D74B63"/>
    <w:rsid w:val="00D74C43"/>
    <w:rsid w:val="00D74C73"/>
    <w:rsid w:val="00D74CCA"/>
    <w:rsid w:val="00D74D41"/>
    <w:rsid w:val="00D74D70"/>
    <w:rsid w:val="00D74DAD"/>
    <w:rsid w:val="00D74E75"/>
    <w:rsid w:val="00D74EBC"/>
    <w:rsid w:val="00D74F61"/>
    <w:rsid w:val="00D74F9E"/>
    <w:rsid w:val="00D74FB3"/>
    <w:rsid w:val="00D7513D"/>
    <w:rsid w:val="00D75232"/>
    <w:rsid w:val="00D7526D"/>
    <w:rsid w:val="00D7526F"/>
    <w:rsid w:val="00D7529D"/>
    <w:rsid w:val="00D752AB"/>
    <w:rsid w:val="00D7531B"/>
    <w:rsid w:val="00D75325"/>
    <w:rsid w:val="00D7535B"/>
    <w:rsid w:val="00D75397"/>
    <w:rsid w:val="00D753BC"/>
    <w:rsid w:val="00D753FF"/>
    <w:rsid w:val="00D7540F"/>
    <w:rsid w:val="00D7541A"/>
    <w:rsid w:val="00D75460"/>
    <w:rsid w:val="00D7547A"/>
    <w:rsid w:val="00D754B2"/>
    <w:rsid w:val="00D7552D"/>
    <w:rsid w:val="00D75553"/>
    <w:rsid w:val="00D755E2"/>
    <w:rsid w:val="00D756E7"/>
    <w:rsid w:val="00D75705"/>
    <w:rsid w:val="00D75728"/>
    <w:rsid w:val="00D75885"/>
    <w:rsid w:val="00D75887"/>
    <w:rsid w:val="00D7589B"/>
    <w:rsid w:val="00D759DA"/>
    <w:rsid w:val="00D759E6"/>
    <w:rsid w:val="00D75A21"/>
    <w:rsid w:val="00D75A8F"/>
    <w:rsid w:val="00D75B03"/>
    <w:rsid w:val="00D75B48"/>
    <w:rsid w:val="00D75B8A"/>
    <w:rsid w:val="00D75C59"/>
    <w:rsid w:val="00D75D13"/>
    <w:rsid w:val="00D75D32"/>
    <w:rsid w:val="00D75D7F"/>
    <w:rsid w:val="00D75DB3"/>
    <w:rsid w:val="00D75DDA"/>
    <w:rsid w:val="00D75FBB"/>
    <w:rsid w:val="00D76033"/>
    <w:rsid w:val="00D760A2"/>
    <w:rsid w:val="00D760F6"/>
    <w:rsid w:val="00D76101"/>
    <w:rsid w:val="00D761B7"/>
    <w:rsid w:val="00D76227"/>
    <w:rsid w:val="00D76229"/>
    <w:rsid w:val="00D762F0"/>
    <w:rsid w:val="00D76347"/>
    <w:rsid w:val="00D76391"/>
    <w:rsid w:val="00D764F2"/>
    <w:rsid w:val="00D764F8"/>
    <w:rsid w:val="00D764FB"/>
    <w:rsid w:val="00D76521"/>
    <w:rsid w:val="00D7652B"/>
    <w:rsid w:val="00D765C3"/>
    <w:rsid w:val="00D76679"/>
    <w:rsid w:val="00D766FA"/>
    <w:rsid w:val="00D767DE"/>
    <w:rsid w:val="00D76861"/>
    <w:rsid w:val="00D76872"/>
    <w:rsid w:val="00D768EB"/>
    <w:rsid w:val="00D76947"/>
    <w:rsid w:val="00D769B5"/>
    <w:rsid w:val="00D769E2"/>
    <w:rsid w:val="00D76A0E"/>
    <w:rsid w:val="00D76A1A"/>
    <w:rsid w:val="00D76A20"/>
    <w:rsid w:val="00D76A43"/>
    <w:rsid w:val="00D76A7F"/>
    <w:rsid w:val="00D76ACB"/>
    <w:rsid w:val="00D76ADA"/>
    <w:rsid w:val="00D76B53"/>
    <w:rsid w:val="00D76B54"/>
    <w:rsid w:val="00D76B6C"/>
    <w:rsid w:val="00D76C50"/>
    <w:rsid w:val="00D76D4D"/>
    <w:rsid w:val="00D76D52"/>
    <w:rsid w:val="00D76DBF"/>
    <w:rsid w:val="00D76DD1"/>
    <w:rsid w:val="00D76E41"/>
    <w:rsid w:val="00D76E65"/>
    <w:rsid w:val="00D76E7C"/>
    <w:rsid w:val="00D76EAF"/>
    <w:rsid w:val="00D76EBF"/>
    <w:rsid w:val="00D76ECF"/>
    <w:rsid w:val="00D76F13"/>
    <w:rsid w:val="00D76F3C"/>
    <w:rsid w:val="00D76F4E"/>
    <w:rsid w:val="00D76F59"/>
    <w:rsid w:val="00D77039"/>
    <w:rsid w:val="00D7713E"/>
    <w:rsid w:val="00D77195"/>
    <w:rsid w:val="00D771B4"/>
    <w:rsid w:val="00D771F6"/>
    <w:rsid w:val="00D77205"/>
    <w:rsid w:val="00D77220"/>
    <w:rsid w:val="00D77241"/>
    <w:rsid w:val="00D772C5"/>
    <w:rsid w:val="00D772CC"/>
    <w:rsid w:val="00D7738B"/>
    <w:rsid w:val="00D773B5"/>
    <w:rsid w:val="00D773D9"/>
    <w:rsid w:val="00D774A6"/>
    <w:rsid w:val="00D7754B"/>
    <w:rsid w:val="00D77563"/>
    <w:rsid w:val="00D7758B"/>
    <w:rsid w:val="00D77602"/>
    <w:rsid w:val="00D776B1"/>
    <w:rsid w:val="00D777A9"/>
    <w:rsid w:val="00D7780D"/>
    <w:rsid w:val="00D77822"/>
    <w:rsid w:val="00D77858"/>
    <w:rsid w:val="00D77870"/>
    <w:rsid w:val="00D778DC"/>
    <w:rsid w:val="00D7790C"/>
    <w:rsid w:val="00D779B8"/>
    <w:rsid w:val="00D779F3"/>
    <w:rsid w:val="00D77A0A"/>
    <w:rsid w:val="00D77A2F"/>
    <w:rsid w:val="00D77A65"/>
    <w:rsid w:val="00D77A6E"/>
    <w:rsid w:val="00D77A92"/>
    <w:rsid w:val="00D77B25"/>
    <w:rsid w:val="00D77B7B"/>
    <w:rsid w:val="00D77BB7"/>
    <w:rsid w:val="00D77BBF"/>
    <w:rsid w:val="00D77C03"/>
    <w:rsid w:val="00D77C49"/>
    <w:rsid w:val="00D77C69"/>
    <w:rsid w:val="00D77CD5"/>
    <w:rsid w:val="00D77D01"/>
    <w:rsid w:val="00D77D15"/>
    <w:rsid w:val="00D77D6F"/>
    <w:rsid w:val="00D77DFA"/>
    <w:rsid w:val="00D77E82"/>
    <w:rsid w:val="00D77E9F"/>
    <w:rsid w:val="00D77EB3"/>
    <w:rsid w:val="00D77F01"/>
    <w:rsid w:val="00D77F8D"/>
    <w:rsid w:val="00D77FC4"/>
    <w:rsid w:val="00D8006A"/>
    <w:rsid w:val="00D80080"/>
    <w:rsid w:val="00D80127"/>
    <w:rsid w:val="00D801E7"/>
    <w:rsid w:val="00D802C4"/>
    <w:rsid w:val="00D8031D"/>
    <w:rsid w:val="00D80322"/>
    <w:rsid w:val="00D804FE"/>
    <w:rsid w:val="00D805E7"/>
    <w:rsid w:val="00D80626"/>
    <w:rsid w:val="00D80716"/>
    <w:rsid w:val="00D80774"/>
    <w:rsid w:val="00D8078B"/>
    <w:rsid w:val="00D807C0"/>
    <w:rsid w:val="00D80863"/>
    <w:rsid w:val="00D808B1"/>
    <w:rsid w:val="00D80931"/>
    <w:rsid w:val="00D80967"/>
    <w:rsid w:val="00D8099E"/>
    <w:rsid w:val="00D809FD"/>
    <w:rsid w:val="00D80A42"/>
    <w:rsid w:val="00D80A83"/>
    <w:rsid w:val="00D80AA6"/>
    <w:rsid w:val="00D80ABB"/>
    <w:rsid w:val="00D80B05"/>
    <w:rsid w:val="00D80B0A"/>
    <w:rsid w:val="00D80B23"/>
    <w:rsid w:val="00D80B48"/>
    <w:rsid w:val="00D80B9A"/>
    <w:rsid w:val="00D80BAE"/>
    <w:rsid w:val="00D80C1E"/>
    <w:rsid w:val="00D80C4B"/>
    <w:rsid w:val="00D80CD6"/>
    <w:rsid w:val="00D80DD7"/>
    <w:rsid w:val="00D80E4A"/>
    <w:rsid w:val="00D80F10"/>
    <w:rsid w:val="00D80F18"/>
    <w:rsid w:val="00D81027"/>
    <w:rsid w:val="00D81064"/>
    <w:rsid w:val="00D81087"/>
    <w:rsid w:val="00D811A5"/>
    <w:rsid w:val="00D811CD"/>
    <w:rsid w:val="00D81205"/>
    <w:rsid w:val="00D8120E"/>
    <w:rsid w:val="00D81262"/>
    <w:rsid w:val="00D8129B"/>
    <w:rsid w:val="00D812D7"/>
    <w:rsid w:val="00D81360"/>
    <w:rsid w:val="00D81476"/>
    <w:rsid w:val="00D81490"/>
    <w:rsid w:val="00D814AC"/>
    <w:rsid w:val="00D8158D"/>
    <w:rsid w:val="00D81595"/>
    <w:rsid w:val="00D815C9"/>
    <w:rsid w:val="00D815CF"/>
    <w:rsid w:val="00D81612"/>
    <w:rsid w:val="00D81645"/>
    <w:rsid w:val="00D81693"/>
    <w:rsid w:val="00D816D7"/>
    <w:rsid w:val="00D8175A"/>
    <w:rsid w:val="00D817D3"/>
    <w:rsid w:val="00D817E6"/>
    <w:rsid w:val="00D818F2"/>
    <w:rsid w:val="00D81924"/>
    <w:rsid w:val="00D8195E"/>
    <w:rsid w:val="00D819F6"/>
    <w:rsid w:val="00D81AC9"/>
    <w:rsid w:val="00D81AD1"/>
    <w:rsid w:val="00D81AE2"/>
    <w:rsid w:val="00D81AF6"/>
    <w:rsid w:val="00D81B64"/>
    <w:rsid w:val="00D81BC8"/>
    <w:rsid w:val="00D81CB7"/>
    <w:rsid w:val="00D81D5C"/>
    <w:rsid w:val="00D81E28"/>
    <w:rsid w:val="00D81E50"/>
    <w:rsid w:val="00D81E9B"/>
    <w:rsid w:val="00D81F64"/>
    <w:rsid w:val="00D81FFC"/>
    <w:rsid w:val="00D82018"/>
    <w:rsid w:val="00D8205C"/>
    <w:rsid w:val="00D82093"/>
    <w:rsid w:val="00D8212D"/>
    <w:rsid w:val="00D82152"/>
    <w:rsid w:val="00D82171"/>
    <w:rsid w:val="00D821D5"/>
    <w:rsid w:val="00D821E8"/>
    <w:rsid w:val="00D822C2"/>
    <w:rsid w:val="00D8231C"/>
    <w:rsid w:val="00D8245E"/>
    <w:rsid w:val="00D82480"/>
    <w:rsid w:val="00D8249F"/>
    <w:rsid w:val="00D82516"/>
    <w:rsid w:val="00D825A1"/>
    <w:rsid w:val="00D82669"/>
    <w:rsid w:val="00D8279F"/>
    <w:rsid w:val="00D827BF"/>
    <w:rsid w:val="00D827C1"/>
    <w:rsid w:val="00D82822"/>
    <w:rsid w:val="00D82842"/>
    <w:rsid w:val="00D82886"/>
    <w:rsid w:val="00D82908"/>
    <w:rsid w:val="00D82990"/>
    <w:rsid w:val="00D829E6"/>
    <w:rsid w:val="00D82A42"/>
    <w:rsid w:val="00D82AA7"/>
    <w:rsid w:val="00D82B14"/>
    <w:rsid w:val="00D82B3D"/>
    <w:rsid w:val="00D82B95"/>
    <w:rsid w:val="00D82BA1"/>
    <w:rsid w:val="00D82BCF"/>
    <w:rsid w:val="00D82C10"/>
    <w:rsid w:val="00D82C21"/>
    <w:rsid w:val="00D82C24"/>
    <w:rsid w:val="00D82CB5"/>
    <w:rsid w:val="00D82CE9"/>
    <w:rsid w:val="00D82CFB"/>
    <w:rsid w:val="00D82D39"/>
    <w:rsid w:val="00D82D76"/>
    <w:rsid w:val="00D82DD8"/>
    <w:rsid w:val="00D82DFF"/>
    <w:rsid w:val="00D82E64"/>
    <w:rsid w:val="00D82EE5"/>
    <w:rsid w:val="00D82FCD"/>
    <w:rsid w:val="00D82FFF"/>
    <w:rsid w:val="00D8303C"/>
    <w:rsid w:val="00D83071"/>
    <w:rsid w:val="00D830E0"/>
    <w:rsid w:val="00D83100"/>
    <w:rsid w:val="00D831BA"/>
    <w:rsid w:val="00D83236"/>
    <w:rsid w:val="00D83243"/>
    <w:rsid w:val="00D83295"/>
    <w:rsid w:val="00D832E5"/>
    <w:rsid w:val="00D834D3"/>
    <w:rsid w:val="00D83553"/>
    <w:rsid w:val="00D835F0"/>
    <w:rsid w:val="00D83696"/>
    <w:rsid w:val="00D836B2"/>
    <w:rsid w:val="00D83716"/>
    <w:rsid w:val="00D8376F"/>
    <w:rsid w:val="00D8377B"/>
    <w:rsid w:val="00D83788"/>
    <w:rsid w:val="00D8378F"/>
    <w:rsid w:val="00D8379E"/>
    <w:rsid w:val="00D837A7"/>
    <w:rsid w:val="00D837AE"/>
    <w:rsid w:val="00D837C1"/>
    <w:rsid w:val="00D837DE"/>
    <w:rsid w:val="00D8388B"/>
    <w:rsid w:val="00D838AC"/>
    <w:rsid w:val="00D8390E"/>
    <w:rsid w:val="00D83AE7"/>
    <w:rsid w:val="00D83AF7"/>
    <w:rsid w:val="00D83AFC"/>
    <w:rsid w:val="00D83C51"/>
    <w:rsid w:val="00D83CBE"/>
    <w:rsid w:val="00D83DAE"/>
    <w:rsid w:val="00D83DBC"/>
    <w:rsid w:val="00D83DD9"/>
    <w:rsid w:val="00D83E78"/>
    <w:rsid w:val="00D83EAA"/>
    <w:rsid w:val="00D83EE6"/>
    <w:rsid w:val="00D83F08"/>
    <w:rsid w:val="00D83FD3"/>
    <w:rsid w:val="00D84133"/>
    <w:rsid w:val="00D8419E"/>
    <w:rsid w:val="00D841A3"/>
    <w:rsid w:val="00D841AB"/>
    <w:rsid w:val="00D842E2"/>
    <w:rsid w:val="00D84313"/>
    <w:rsid w:val="00D84387"/>
    <w:rsid w:val="00D843A1"/>
    <w:rsid w:val="00D843A6"/>
    <w:rsid w:val="00D843FD"/>
    <w:rsid w:val="00D84438"/>
    <w:rsid w:val="00D8444D"/>
    <w:rsid w:val="00D8447D"/>
    <w:rsid w:val="00D844A7"/>
    <w:rsid w:val="00D844AA"/>
    <w:rsid w:val="00D84556"/>
    <w:rsid w:val="00D84581"/>
    <w:rsid w:val="00D8458B"/>
    <w:rsid w:val="00D8460B"/>
    <w:rsid w:val="00D84669"/>
    <w:rsid w:val="00D846B4"/>
    <w:rsid w:val="00D8470F"/>
    <w:rsid w:val="00D84715"/>
    <w:rsid w:val="00D84748"/>
    <w:rsid w:val="00D8478A"/>
    <w:rsid w:val="00D8479B"/>
    <w:rsid w:val="00D847D7"/>
    <w:rsid w:val="00D8487C"/>
    <w:rsid w:val="00D848A2"/>
    <w:rsid w:val="00D848B0"/>
    <w:rsid w:val="00D849C3"/>
    <w:rsid w:val="00D849E2"/>
    <w:rsid w:val="00D84A2A"/>
    <w:rsid w:val="00D84A6A"/>
    <w:rsid w:val="00D84A81"/>
    <w:rsid w:val="00D84A98"/>
    <w:rsid w:val="00D84AA9"/>
    <w:rsid w:val="00D84BE6"/>
    <w:rsid w:val="00D84C6A"/>
    <w:rsid w:val="00D84D2E"/>
    <w:rsid w:val="00D84D5B"/>
    <w:rsid w:val="00D84DD4"/>
    <w:rsid w:val="00D84E79"/>
    <w:rsid w:val="00D85004"/>
    <w:rsid w:val="00D85056"/>
    <w:rsid w:val="00D8507C"/>
    <w:rsid w:val="00D85188"/>
    <w:rsid w:val="00D85191"/>
    <w:rsid w:val="00D85246"/>
    <w:rsid w:val="00D85257"/>
    <w:rsid w:val="00D852CA"/>
    <w:rsid w:val="00D85357"/>
    <w:rsid w:val="00D8535D"/>
    <w:rsid w:val="00D853BF"/>
    <w:rsid w:val="00D8542C"/>
    <w:rsid w:val="00D85509"/>
    <w:rsid w:val="00D8550A"/>
    <w:rsid w:val="00D85597"/>
    <w:rsid w:val="00D855E5"/>
    <w:rsid w:val="00D85656"/>
    <w:rsid w:val="00D856BA"/>
    <w:rsid w:val="00D856D6"/>
    <w:rsid w:val="00D85724"/>
    <w:rsid w:val="00D85777"/>
    <w:rsid w:val="00D857C3"/>
    <w:rsid w:val="00D857C7"/>
    <w:rsid w:val="00D857E5"/>
    <w:rsid w:val="00D85843"/>
    <w:rsid w:val="00D85922"/>
    <w:rsid w:val="00D859A3"/>
    <w:rsid w:val="00D859E9"/>
    <w:rsid w:val="00D85A02"/>
    <w:rsid w:val="00D85B8F"/>
    <w:rsid w:val="00D85C1B"/>
    <w:rsid w:val="00D85C89"/>
    <w:rsid w:val="00D85C95"/>
    <w:rsid w:val="00D85CF1"/>
    <w:rsid w:val="00D85EE0"/>
    <w:rsid w:val="00D85F2E"/>
    <w:rsid w:val="00D85FAD"/>
    <w:rsid w:val="00D85FF4"/>
    <w:rsid w:val="00D86100"/>
    <w:rsid w:val="00D86132"/>
    <w:rsid w:val="00D86227"/>
    <w:rsid w:val="00D86241"/>
    <w:rsid w:val="00D86290"/>
    <w:rsid w:val="00D862BA"/>
    <w:rsid w:val="00D86314"/>
    <w:rsid w:val="00D863C2"/>
    <w:rsid w:val="00D863CD"/>
    <w:rsid w:val="00D8640E"/>
    <w:rsid w:val="00D86430"/>
    <w:rsid w:val="00D86464"/>
    <w:rsid w:val="00D864ED"/>
    <w:rsid w:val="00D86553"/>
    <w:rsid w:val="00D8662D"/>
    <w:rsid w:val="00D8662E"/>
    <w:rsid w:val="00D86668"/>
    <w:rsid w:val="00D8671E"/>
    <w:rsid w:val="00D86724"/>
    <w:rsid w:val="00D8677F"/>
    <w:rsid w:val="00D867DD"/>
    <w:rsid w:val="00D867E8"/>
    <w:rsid w:val="00D867F1"/>
    <w:rsid w:val="00D86815"/>
    <w:rsid w:val="00D86824"/>
    <w:rsid w:val="00D868C1"/>
    <w:rsid w:val="00D868C8"/>
    <w:rsid w:val="00D8699B"/>
    <w:rsid w:val="00D869BC"/>
    <w:rsid w:val="00D869D2"/>
    <w:rsid w:val="00D869F0"/>
    <w:rsid w:val="00D86AE5"/>
    <w:rsid w:val="00D86B86"/>
    <w:rsid w:val="00D86C2A"/>
    <w:rsid w:val="00D86C82"/>
    <w:rsid w:val="00D86C8F"/>
    <w:rsid w:val="00D86CE3"/>
    <w:rsid w:val="00D86D56"/>
    <w:rsid w:val="00D86EBE"/>
    <w:rsid w:val="00D86F29"/>
    <w:rsid w:val="00D86F4D"/>
    <w:rsid w:val="00D86F73"/>
    <w:rsid w:val="00D86FB3"/>
    <w:rsid w:val="00D86FCE"/>
    <w:rsid w:val="00D8707C"/>
    <w:rsid w:val="00D8708D"/>
    <w:rsid w:val="00D870E8"/>
    <w:rsid w:val="00D870FF"/>
    <w:rsid w:val="00D87152"/>
    <w:rsid w:val="00D87153"/>
    <w:rsid w:val="00D87186"/>
    <w:rsid w:val="00D871DF"/>
    <w:rsid w:val="00D87280"/>
    <w:rsid w:val="00D87318"/>
    <w:rsid w:val="00D8732B"/>
    <w:rsid w:val="00D8735A"/>
    <w:rsid w:val="00D873B6"/>
    <w:rsid w:val="00D873F2"/>
    <w:rsid w:val="00D87402"/>
    <w:rsid w:val="00D874B4"/>
    <w:rsid w:val="00D874B6"/>
    <w:rsid w:val="00D87527"/>
    <w:rsid w:val="00D8752D"/>
    <w:rsid w:val="00D87543"/>
    <w:rsid w:val="00D8754D"/>
    <w:rsid w:val="00D87553"/>
    <w:rsid w:val="00D8758A"/>
    <w:rsid w:val="00D8759B"/>
    <w:rsid w:val="00D875C3"/>
    <w:rsid w:val="00D875EB"/>
    <w:rsid w:val="00D8760F"/>
    <w:rsid w:val="00D8763A"/>
    <w:rsid w:val="00D8766B"/>
    <w:rsid w:val="00D876DA"/>
    <w:rsid w:val="00D8775F"/>
    <w:rsid w:val="00D877B0"/>
    <w:rsid w:val="00D877CB"/>
    <w:rsid w:val="00D87945"/>
    <w:rsid w:val="00D879A1"/>
    <w:rsid w:val="00D87A3F"/>
    <w:rsid w:val="00D87A5A"/>
    <w:rsid w:val="00D87A5D"/>
    <w:rsid w:val="00D87A65"/>
    <w:rsid w:val="00D87A68"/>
    <w:rsid w:val="00D87A6B"/>
    <w:rsid w:val="00D87A75"/>
    <w:rsid w:val="00D87B8C"/>
    <w:rsid w:val="00D87BBB"/>
    <w:rsid w:val="00D87CEC"/>
    <w:rsid w:val="00D87D07"/>
    <w:rsid w:val="00D87D0C"/>
    <w:rsid w:val="00D87E60"/>
    <w:rsid w:val="00D87E90"/>
    <w:rsid w:val="00D87ECF"/>
    <w:rsid w:val="00D87F05"/>
    <w:rsid w:val="00D9001E"/>
    <w:rsid w:val="00D90062"/>
    <w:rsid w:val="00D900AC"/>
    <w:rsid w:val="00D900C1"/>
    <w:rsid w:val="00D900D8"/>
    <w:rsid w:val="00D900DA"/>
    <w:rsid w:val="00D90168"/>
    <w:rsid w:val="00D90189"/>
    <w:rsid w:val="00D90232"/>
    <w:rsid w:val="00D902C4"/>
    <w:rsid w:val="00D902EE"/>
    <w:rsid w:val="00D90317"/>
    <w:rsid w:val="00D90331"/>
    <w:rsid w:val="00D9034A"/>
    <w:rsid w:val="00D90358"/>
    <w:rsid w:val="00D90377"/>
    <w:rsid w:val="00D9037D"/>
    <w:rsid w:val="00D903D4"/>
    <w:rsid w:val="00D90494"/>
    <w:rsid w:val="00D90514"/>
    <w:rsid w:val="00D90551"/>
    <w:rsid w:val="00D90571"/>
    <w:rsid w:val="00D90619"/>
    <w:rsid w:val="00D90650"/>
    <w:rsid w:val="00D9067A"/>
    <w:rsid w:val="00D906E2"/>
    <w:rsid w:val="00D9073C"/>
    <w:rsid w:val="00D907AC"/>
    <w:rsid w:val="00D90826"/>
    <w:rsid w:val="00D9089F"/>
    <w:rsid w:val="00D908FF"/>
    <w:rsid w:val="00D9095B"/>
    <w:rsid w:val="00D90969"/>
    <w:rsid w:val="00D909C5"/>
    <w:rsid w:val="00D90A48"/>
    <w:rsid w:val="00D90A98"/>
    <w:rsid w:val="00D90B43"/>
    <w:rsid w:val="00D90B5C"/>
    <w:rsid w:val="00D90D24"/>
    <w:rsid w:val="00D90D4F"/>
    <w:rsid w:val="00D90DB0"/>
    <w:rsid w:val="00D90DFE"/>
    <w:rsid w:val="00D90E07"/>
    <w:rsid w:val="00D90E6E"/>
    <w:rsid w:val="00D90E8F"/>
    <w:rsid w:val="00D90EB2"/>
    <w:rsid w:val="00D90ED9"/>
    <w:rsid w:val="00D90F1E"/>
    <w:rsid w:val="00D90F93"/>
    <w:rsid w:val="00D90F97"/>
    <w:rsid w:val="00D90FB1"/>
    <w:rsid w:val="00D9122F"/>
    <w:rsid w:val="00D91271"/>
    <w:rsid w:val="00D9127D"/>
    <w:rsid w:val="00D912B3"/>
    <w:rsid w:val="00D913C3"/>
    <w:rsid w:val="00D91420"/>
    <w:rsid w:val="00D9149A"/>
    <w:rsid w:val="00D914B8"/>
    <w:rsid w:val="00D91540"/>
    <w:rsid w:val="00D91555"/>
    <w:rsid w:val="00D91793"/>
    <w:rsid w:val="00D91859"/>
    <w:rsid w:val="00D918E8"/>
    <w:rsid w:val="00D9193B"/>
    <w:rsid w:val="00D91943"/>
    <w:rsid w:val="00D91964"/>
    <w:rsid w:val="00D9196D"/>
    <w:rsid w:val="00D919B4"/>
    <w:rsid w:val="00D919C3"/>
    <w:rsid w:val="00D91A56"/>
    <w:rsid w:val="00D91AAB"/>
    <w:rsid w:val="00D91B42"/>
    <w:rsid w:val="00D91BDC"/>
    <w:rsid w:val="00D91BF0"/>
    <w:rsid w:val="00D91C6A"/>
    <w:rsid w:val="00D91CDA"/>
    <w:rsid w:val="00D91CDE"/>
    <w:rsid w:val="00D91D02"/>
    <w:rsid w:val="00D91DA9"/>
    <w:rsid w:val="00D91DB6"/>
    <w:rsid w:val="00D91DC0"/>
    <w:rsid w:val="00D91E9C"/>
    <w:rsid w:val="00D91F3F"/>
    <w:rsid w:val="00D91F4D"/>
    <w:rsid w:val="00D9209A"/>
    <w:rsid w:val="00D9209D"/>
    <w:rsid w:val="00D9219A"/>
    <w:rsid w:val="00D9225A"/>
    <w:rsid w:val="00D9232C"/>
    <w:rsid w:val="00D92349"/>
    <w:rsid w:val="00D92412"/>
    <w:rsid w:val="00D92422"/>
    <w:rsid w:val="00D924EE"/>
    <w:rsid w:val="00D92502"/>
    <w:rsid w:val="00D92564"/>
    <w:rsid w:val="00D92595"/>
    <w:rsid w:val="00D925F2"/>
    <w:rsid w:val="00D92750"/>
    <w:rsid w:val="00D927D9"/>
    <w:rsid w:val="00D9289B"/>
    <w:rsid w:val="00D9290E"/>
    <w:rsid w:val="00D929E0"/>
    <w:rsid w:val="00D929F4"/>
    <w:rsid w:val="00D92A24"/>
    <w:rsid w:val="00D92A6B"/>
    <w:rsid w:val="00D92A88"/>
    <w:rsid w:val="00D92AA5"/>
    <w:rsid w:val="00D92ABE"/>
    <w:rsid w:val="00D92AF2"/>
    <w:rsid w:val="00D92B7A"/>
    <w:rsid w:val="00D92B86"/>
    <w:rsid w:val="00D92B9D"/>
    <w:rsid w:val="00D92BA3"/>
    <w:rsid w:val="00D92BB0"/>
    <w:rsid w:val="00D92BB8"/>
    <w:rsid w:val="00D92D44"/>
    <w:rsid w:val="00D92DE1"/>
    <w:rsid w:val="00D92E6C"/>
    <w:rsid w:val="00D92EC7"/>
    <w:rsid w:val="00D92EDA"/>
    <w:rsid w:val="00D92F0C"/>
    <w:rsid w:val="00D92F1C"/>
    <w:rsid w:val="00D92F25"/>
    <w:rsid w:val="00D92F47"/>
    <w:rsid w:val="00D92FA9"/>
    <w:rsid w:val="00D92FB9"/>
    <w:rsid w:val="00D92FBA"/>
    <w:rsid w:val="00D92FCA"/>
    <w:rsid w:val="00D93024"/>
    <w:rsid w:val="00D9302B"/>
    <w:rsid w:val="00D9304B"/>
    <w:rsid w:val="00D9309C"/>
    <w:rsid w:val="00D930BF"/>
    <w:rsid w:val="00D930F1"/>
    <w:rsid w:val="00D93184"/>
    <w:rsid w:val="00D93333"/>
    <w:rsid w:val="00D93369"/>
    <w:rsid w:val="00D93396"/>
    <w:rsid w:val="00D933C2"/>
    <w:rsid w:val="00D933E6"/>
    <w:rsid w:val="00D93408"/>
    <w:rsid w:val="00D9346D"/>
    <w:rsid w:val="00D934B0"/>
    <w:rsid w:val="00D934B3"/>
    <w:rsid w:val="00D934DB"/>
    <w:rsid w:val="00D9350B"/>
    <w:rsid w:val="00D93524"/>
    <w:rsid w:val="00D93741"/>
    <w:rsid w:val="00D93744"/>
    <w:rsid w:val="00D937AE"/>
    <w:rsid w:val="00D937E3"/>
    <w:rsid w:val="00D938AD"/>
    <w:rsid w:val="00D9394B"/>
    <w:rsid w:val="00D93A47"/>
    <w:rsid w:val="00D93A66"/>
    <w:rsid w:val="00D93A9D"/>
    <w:rsid w:val="00D93AAE"/>
    <w:rsid w:val="00D93BC0"/>
    <w:rsid w:val="00D93BC9"/>
    <w:rsid w:val="00D93C2A"/>
    <w:rsid w:val="00D93C5A"/>
    <w:rsid w:val="00D93C9F"/>
    <w:rsid w:val="00D93CC1"/>
    <w:rsid w:val="00D93CF6"/>
    <w:rsid w:val="00D93D11"/>
    <w:rsid w:val="00D93DA5"/>
    <w:rsid w:val="00D93DBE"/>
    <w:rsid w:val="00D93DCA"/>
    <w:rsid w:val="00D93DFB"/>
    <w:rsid w:val="00D93EC3"/>
    <w:rsid w:val="00D93ED6"/>
    <w:rsid w:val="00D93EFF"/>
    <w:rsid w:val="00D93F03"/>
    <w:rsid w:val="00D93F0E"/>
    <w:rsid w:val="00D93F52"/>
    <w:rsid w:val="00D93FB9"/>
    <w:rsid w:val="00D93FC1"/>
    <w:rsid w:val="00D9405F"/>
    <w:rsid w:val="00D94083"/>
    <w:rsid w:val="00D94180"/>
    <w:rsid w:val="00D941F0"/>
    <w:rsid w:val="00D94217"/>
    <w:rsid w:val="00D9422B"/>
    <w:rsid w:val="00D942CE"/>
    <w:rsid w:val="00D942EF"/>
    <w:rsid w:val="00D94313"/>
    <w:rsid w:val="00D94346"/>
    <w:rsid w:val="00D94402"/>
    <w:rsid w:val="00D9443C"/>
    <w:rsid w:val="00D94446"/>
    <w:rsid w:val="00D944A5"/>
    <w:rsid w:val="00D944AA"/>
    <w:rsid w:val="00D944FF"/>
    <w:rsid w:val="00D9455D"/>
    <w:rsid w:val="00D9456F"/>
    <w:rsid w:val="00D945CB"/>
    <w:rsid w:val="00D9474C"/>
    <w:rsid w:val="00D947B2"/>
    <w:rsid w:val="00D948C0"/>
    <w:rsid w:val="00D94A3C"/>
    <w:rsid w:val="00D94AD1"/>
    <w:rsid w:val="00D94AEA"/>
    <w:rsid w:val="00D94AFF"/>
    <w:rsid w:val="00D94B72"/>
    <w:rsid w:val="00D94B92"/>
    <w:rsid w:val="00D94BDE"/>
    <w:rsid w:val="00D94BE8"/>
    <w:rsid w:val="00D94C98"/>
    <w:rsid w:val="00D94CCF"/>
    <w:rsid w:val="00D94CD6"/>
    <w:rsid w:val="00D94CEE"/>
    <w:rsid w:val="00D94DB6"/>
    <w:rsid w:val="00D94DC0"/>
    <w:rsid w:val="00D94DDF"/>
    <w:rsid w:val="00D94E6D"/>
    <w:rsid w:val="00D94EE5"/>
    <w:rsid w:val="00D94F0A"/>
    <w:rsid w:val="00D94F14"/>
    <w:rsid w:val="00D94F27"/>
    <w:rsid w:val="00D94F44"/>
    <w:rsid w:val="00D94F9D"/>
    <w:rsid w:val="00D95076"/>
    <w:rsid w:val="00D9508E"/>
    <w:rsid w:val="00D9513F"/>
    <w:rsid w:val="00D951A1"/>
    <w:rsid w:val="00D951BE"/>
    <w:rsid w:val="00D95262"/>
    <w:rsid w:val="00D952BF"/>
    <w:rsid w:val="00D952D5"/>
    <w:rsid w:val="00D95408"/>
    <w:rsid w:val="00D954A1"/>
    <w:rsid w:val="00D95536"/>
    <w:rsid w:val="00D95611"/>
    <w:rsid w:val="00D95627"/>
    <w:rsid w:val="00D95638"/>
    <w:rsid w:val="00D9563A"/>
    <w:rsid w:val="00D95672"/>
    <w:rsid w:val="00D95686"/>
    <w:rsid w:val="00D956AF"/>
    <w:rsid w:val="00D9585D"/>
    <w:rsid w:val="00D95905"/>
    <w:rsid w:val="00D959E7"/>
    <w:rsid w:val="00D95B1D"/>
    <w:rsid w:val="00D95E07"/>
    <w:rsid w:val="00D95E55"/>
    <w:rsid w:val="00D95E72"/>
    <w:rsid w:val="00D95F45"/>
    <w:rsid w:val="00D95F53"/>
    <w:rsid w:val="00D95F54"/>
    <w:rsid w:val="00D95F5E"/>
    <w:rsid w:val="00D96039"/>
    <w:rsid w:val="00D9614C"/>
    <w:rsid w:val="00D9614E"/>
    <w:rsid w:val="00D96173"/>
    <w:rsid w:val="00D962F6"/>
    <w:rsid w:val="00D96369"/>
    <w:rsid w:val="00D963C7"/>
    <w:rsid w:val="00D963EA"/>
    <w:rsid w:val="00D9647E"/>
    <w:rsid w:val="00D964ED"/>
    <w:rsid w:val="00D965C5"/>
    <w:rsid w:val="00D96626"/>
    <w:rsid w:val="00D9668E"/>
    <w:rsid w:val="00D966CE"/>
    <w:rsid w:val="00D967C3"/>
    <w:rsid w:val="00D9692C"/>
    <w:rsid w:val="00D9693B"/>
    <w:rsid w:val="00D9699F"/>
    <w:rsid w:val="00D96A33"/>
    <w:rsid w:val="00D96A9E"/>
    <w:rsid w:val="00D96B2A"/>
    <w:rsid w:val="00D96B39"/>
    <w:rsid w:val="00D96BD1"/>
    <w:rsid w:val="00D96BDF"/>
    <w:rsid w:val="00D96C21"/>
    <w:rsid w:val="00D96C28"/>
    <w:rsid w:val="00D96CC7"/>
    <w:rsid w:val="00D96D68"/>
    <w:rsid w:val="00D96DAA"/>
    <w:rsid w:val="00D96DE6"/>
    <w:rsid w:val="00D96DE9"/>
    <w:rsid w:val="00D96E01"/>
    <w:rsid w:val="00D96E29"/>
    <w:rsid w:val="00D96E58"/>
    <w:rsid w:val="00D96E72"/>
    <w:rsid w:val="00D96F00"/>
    <w:rsid w:val="00D96F0D"/>
    <w:rsid w:val="00D96F78"/>
    <w:rsid w:val="00D96F98"/>
    <w:rsid w:val="00D96FC6"/>
    <w:rsid w:val="00D96FEE"/>
    <w:rsid w:val="00D97087"/>
    <w:rsid w:val="00D970C3"/>
    <w:rsid w:val="00D970F3"/>
    <w:rsid w:val="00D971C2"/>
    <w:rsid w:val="00D971E1"/>
    <w:rsid w:val="00D971FB"/>
    <w:rsid w:val="00D97220"/>
    <w:rsid w:val="00D97221"/>
    <w:rsid w:val="00D97323"/>
    <w:rsid w:val="00D97333"/>
    <w:rsid w:val="00D9736B"/>
    <w:rsid w:val="00D973C2"/>
    <w:rsid w:val="00D97460"/>
    <w:rsid w:val="00D9750B"/>
    <w:rsid w:val="00D97591"/>
    <w:rsid w:val="00D9769D"/>
    <w:rsid w:val="00D976A5"/>
    <w:rsid w:val="00D97747"/>
    <w:rsid w:val="00D977CD"/>
    <w:rsid w:val="00D977D9"/>
    <w:rsid w:val="00D97807"/>
    <w:rsid w:val="00D97A31"/>
    <w:rsid w:val="00D97A56"/>
    <w:rsid w:val="00D97B56"/>
    <w:rsid w:val="00D97BC7"/>
    <w:rsid w:val="00D97C8E"/>
    <w:rsid w:val="00D97D77"/>
    <w:rsid w:val="00D97E96"/>
    <w:rsid w:val="00D97ED2"/>
    <w:rsid w:val="00D97EEE"/>
    <w:rsid w:val="00D97FAF"/>
    <w:rsid w:val="00DA0096"/>
    <w:rsid w:val="00DA009D"/>
    <w:rsid w:val="00DA00A4"/>
    <w:rsid w:val="00DA00C0"/>
    <w:rsid w:val="00DA00D1"/>
    <w:rsid w:val="00DA015A"/>
    <w:rsid w:val="00DA01CC"/>
    <w:rsid w:val="00DA0305"/>
    <w:rsid w:val="00DA0356"/>
    <w:rsid w:val="00DA036D"/>
    <w:rsid w:val="00DA037E"/>
    <w:rsid w:val="00DA03CA"/>
    <w:rsid w:val="00DA0440"/>
    <w:rsid w:val="00DA0445"/>
    <w:rsid w:val="00DA0468"/>
    <w:rsid w:val="00DA0490"/>
    <w:rsid w:val="00DA0544"/>
    <w:rsid w:val="00DA0548"/>
    <w:rsid w:val="00DA0575"/>
    <w:rsid w:val="00DA0595"/>
    <w:rsid w:val="00DA059F"/>
    <w:rsid w:val="00DA05D0"/>
    <w:rsid w:val="00DA062F"/>
    <w:rsid w:val="00DA065E"/>
    <w:rsid w:val="00DA06B1"/>
    <w:rsid w:val="00DA0766"/>
    <w:rsid w:val="00DA0843"/>
    <w:rsid w:val="00DA0862"/>
    <w:rsid w:val="00DA0898"/>
    <w:rsid w:val="00DA08C8"/>
    <w:rsid w:val="00DA08FB"/>
    <w:rsid w:val="00DA0933"/>
    <w:rsid w:val="00DA095C"/>
    <w:rsid w:val="00DA09E0"/>
    <w:rsid w:val="00DA09FD"/>
    <w:rsid w:val="00DA0A0A"/>
    <w:rsid w:val="00DA0A41"/>
    <w:rsid w:val="00DA0A6B"/>
    <w:rsid w:val="00DA0A7B"/>
    <w:rsid w:val="00DA0AFF"/>
    <w:rsid w:val="00DA0B6C"/>
    <w:rsid w:val="00DA0BF1"/>
    <w:rsid w:val="00DA0C46"/>
    <w:rsid w:val="00DA0CDB"/>
    <w:rsid w:val="00DA0D17"/>
    <w:rsid w:val="00DA0D81"/>
    <w:rsid w:val="00DA0D82"/>
    <w:rsid w:val="00DA0DE6"/>
    <w:rsid w:val="00DA0DE7"/>
    <w:rsid w:val="00DA0EDE"/>
    <w:rsid w:val="00DA0F25"/>
    <w:rsid w:val="00DA1023"/>
    <w:rsid w:val="00DA1027"/>
    <w:rsid w:val="00DA1061"/>
    <w:rsid w:val="00DA10F2"/>
    <w:rsid w:val="00DA10FF"/>
    <w:rsid w:val="00DA114C"/>
    <w:rsid w:val="00DA118F"/>
    <w:rsid w:val="00DA11C0"/>
    <w:rsid w:val="00DA11CD"/>
    <w:rsid w:val="00DA1281"/>
    <w:rsid w:val="00DA12E0"/>
    <w:rsid w:val="00DA1303"/>
    <w:rsid w:val="00DA1359"/>
    <w:rsid w:val="00DA13CD"/>
    <w:rsid w:val="00DA145D"/>
    <w:rsid w:val="00DA1568"/>
    <w:rsid w:val="00DA15F4"/>
    <w:rsid w:val="00DA1686"/>
    <w:rsid w:val="00DA16B9"/>
    <w:rsid w:val="00DA1722"/>
    <w:rsid w:val="00DA17CB"/>
    <w:rsid w:val="00DA181B"/>
    <w:rsid w:val="00DA18E3"/>
    <w:rsid w:val="00DA195B"/>
    <w:rsid w:val="00DA1964"/>
    <w:rsid w:val="00DA1A6F"/>
    <w:rsid w:val="00DA1AC8"/>
    <w:rsid w:val="00DA1AD7"/>
    <w:rsid w:val="00DA1BF5"/>
    <w:rsid w:val="00DA1C41"/>
    <w:rsid w:val="00DA1CED"/>
    <w:rsid w:val="00DA1D2C"/>
    <w:rsid w:val="00DA1D6D"/>
    <w:rsid w:val="00DA1DB7"/>
    <w:rsid w:val="00DA1E21"/>
    <w:rsid w:val="00DA1E9F"/>
    <w:rsid w:val="00DA1EDB"/>
    <w:rsid w:val="00DA1EF4"/>
    <w:rsid w:val="00DA1F02"/>
    <w:rsid w:val="00DA1F2F"/>
    <w:rsid w:val="00DA1F45"/>
    <w:rsid w:val="00DA2050"/>
    <w:rsid w:val="00DA20AD"/>
    <w:rsid w:val="00DA2145"/>
    <w:rsid w:val="00DA21EB"/>
    <w:rsid w:val="00DA21F6"/>
    <w:rsid w:val="00DA22D4"/>
    <w:rsid w:val="00DA233A"/>
    <w:rsid w:val="00DA2355"/>
    <w:rsid w:val="00DA236A"/>
    <w:rsid w:val="00DA23C9"/>
    <w:rsid w:val="00DA2431"/>
    <w:rsid w:val="00DA2475"/>
    <w:rsid w:val="00DA2508"/>
    <w:rsid w:val="00DA266B"/>
    <w:rsid w:val="00DA26B6"/>
    <w:rsid w:val="00DA2717"/>
    <w:rsid w:val="00DA2790"/>
    <w:rsid w:val="00DA27BC"/>
    <w:rsid w:val="00DA27E4"/>
    <w:rsid w:val="00DA28D8"/>
    <w:rsid w:val="00DA2926"/>
    <w:rsid w:val="00DA2939"/>
    <w:rsid w:val="00DA29FF"/>
    <w:rsid w:val="00DA2ACA"/>
    <w:rsid w:val="00DA2ADE"/>
    <w:rsid w:val="00DA2AF2"/>
    <w:rsid w:val="00DA2B26"/>
    <w:rsid w:val="00DA2BC5"/>
    <w:rsid w:val="00DA2BCC"/>
    <w:rsid w:val="00DA2BFA"/>
    <w:rsid w:val="00DA2C4D"/>
    <w:rsid w:val="00DA2CA2"/>
    <w:rsid w:val="00DA2CAC"/>
    <w:rsid w:val="00DA2D11"/>
    <w:rsid w:val="00DA2D5E"/>
    <w:rsid w:val="00DA2DE3"/>
    <w:rsid w:val="00DA2E35"/>
    <w:rsid w:val="00DA2E55"/>
    <w:rsid w:val="00DA2FA1"/>
    <w:rsid w:val="00DA2FA7"/>
    <w:rsid w:val="00DA303D"/>
    <w:rsid w:val="00DA308B"/>
    <w:rsid w:val="00DA318E"/>
    <w:rsid w:val="00DA31A2"/>
    <w:rsid w:val="00DA31D0"/>
    <w:rsid w:val="00DA32BC"/>
    <w:rsid w:val="00DA3306"/>
    <w:rsid w:val="00DA3318"/>
    <w:rsid w:val="00DA3359"/>
    <w:rsid w:val="00DA3365"/>
    <w:rsid w:val="00DA3415"/>
    <w:rsid w:val="00DA3475"/>
    <w:rsid w:val="00DA34C9"/>
    <w:rsid w:val="00DA34EA"/>
    <w:rsid w:val="00DA354D"/>
    <w:rsid w:val="00DA3560"/>
    <w:rsid w:val="00DA3579"/>
    <w:rsid w:val="00DA359C"/>
    <w:rsid w:val="00DA3614"/>
    <w:rsid w:val="00DA3701"/>
    <w:rsid w:val="00DA3744"/>
    <w:rsid w:val="00DA3748"/>
    <w:rsid w:val="00DA377F"/>
    <w:rsid w:val="00DA37AD"/>
    <w:rsid w:val="00DA385F"/>
    <w:rsid w:val="00DA3864"/>
    <w:rsid w:val="00DA3873"/>
    <w:rsid w:val="00DA38CC"/>
    <w:rsid w:val="00DA38F1"/>
    <w:rsid w:val="00DA3916"/>
    <w:rsid w:val="00DA39CE"/>
    <w:rsid w:val="00DA3A18"/>
    <w:rsid w:val="00DA3A94"/>
    <w:rsid w:val="00DA3A97"/>
    <w:rsid w:val="00DA3AF4"/>
    <w:rsid w:val="00DA3B4E"/>
    <w:rsid w:val="00DA3B73"/>
    <w:rsid w:val="00DA3B95"/>
    <w:rsid w:val="00DA3C5B"/>
    <w:rsid w:val="00DA3CA1"/>
    <w:rsid w:val="00DA3D1F"/>
    <w:rsid w:val="00DA3D64"/>
    <w:rsid w:val="00DA3DF9"/>
    <w:rsid w:val="00DA3E79"/>
    <w:rsid w:val="00DA3EAF"/>
    <w:rsid w:val="00DA3F93"/>
    <w:rsid w:val="00DA3F9E"/>
    <w:rsid w:val="00DA3FA3"/>
    <w:rsid w:val="00DA3FBC"/>
    <w:rsid w:val="00DA410D"/>
    <w:rsid w:val="00DA4179"/>
    <w:rsid w:val="00DA41D9"/>
    <w:rsid w:val="00DA4234"/>
    <w:rsid w:val="00DA4269"/>
    <w:rsid w:val="00DA4298"/>
    <w:rsid w:val="00DA42F1"/>
    <w:rsid w:val="00DA4313"/>
    <w:rsid w:val="00DA43A5"/>
    <w:rsid w:val="00DA43D2"/>
    <w:rsid w:val="00DA441C"/>
    <w:rsid w:val="00DA4485"/>
    <w:rsid w:val="00DA44E1"/>
    <w:rsid w:val="00DA4550"/>
    <w:rsid w:val="00DA45A9"/>
    <w:rsid w:val="00DA475D"/>
    <w:rsid w:val="00DA47CD"/>
    <w:rsid w:val="00DA47F7"/>
    <w:rsid w:val="00DA491A"/>
    <w:rsid w:val="00DA49E5"/>
    <w:rsid w:val="00DA4A64"/>
    <w:rsid w:val="00DA4AD4"/>
    <w:rsid w:val="00DA4B3C"/>
    <w:rsid w:val="00DA4B60"/>
    <w:rsid w:val="00DA4BD0"/>
    <w:rsid w:val="00DA4BE2"/>
    <w:rsid w:val="00DA4BF7"/>
    <w:rsid w:val="00DA4C6B"/>
    <w:rsid w:val="00DA4C96"/>
    <w:rsid w:val="00DA4CE6"/>
    <w:rsid w:val="00DA4D5A"/>
    <w:rsid w:val="00DA4DE0"/>
    <w:rsid w:val="00DA4DF2"/>
    <w:rsid w:val="00DA4EA1"/>
    <w:rsid w:val="00DA4F42"/>
    <w:rsid w:val="00DA4FA2"/>
    <w:rsid w:val="00DA500B"/>
    <w:rsid w:val="00DA5013"/>
    <w:rsid w:val="00DA5046"/>
    <w:rsid w:val="00DA5092"/>
    <w:rsid w:val="00DA50AE"/>
    <w:rsid w:val="00DA515A"/>
    <w:rsid w:val="00DA515C"/>
    <w:rsid w:val="00DA518A"/>
    <w:rsid w:val="00DA5207"/>
    <w:rsid w:val="00DA52BF"/>
    <w:rsid w:val="00DA5314"/>
    <w:rsid w:val="00DA5586"/>
    <w:rsid w:val="00DA55CF"/>
    <w:rsid w:val="00DA565C"/>
    <w:rsid w:val="00DA5671"/>
    <w:rsid w:val="00DA5694"/>
    <w:rsid w:val="00DA56BD"/>
    <w:rsid w:val="00DA5738"/>
    <w:rsid w:val="00DA57D3"/>
    <w:rsid w:val="00DA582A"/>
    <w:rsid w:val="00DA5858"/>
    <w:rsid w:val="00DA5861"/>
    <w:rsid w:val="00DA58C9"/>
    <w:rsid w:val="00DA58F5"/>
    <w:rsid w:val="00DA5945"/>
    <w:rsid w:val="00DA5A3B"/>
    <w:rsid w:val="00DA5A3C"/>
    <w:rsid w:val="00DA5A8A"/>
    <w:rsid w:val="00DA5AB6"/>
    <w:rsid w:val="00DA5B13"/>
    <w:rsid w:val="00DA5B3E"/>
    <w:rsid w:val="00DA5C13"/>
    <w:rsid w:val="00DA5C27"/>
    <w:rsid w:val="00DA5C2F"/>
    <w:rsid w:val="00DA5C30"/>
    <w:rsid w:val="00DA5C60"/>
    <w:rsid w:val="00DA5E1E"/>
    <w:rsid w:val="00DA5F95"/>
    <w:rsid w:val="00DA5FCA"/>
    <w:rsid w:val="00DA601C"/>
    <w:rsid w:val="00DA601E"/>
    <w:rsid w:val="00DA6050"/>
    <w:rsid w:val="00DA608C"/>
    <w:rsid w:val="00DA609D"/>
    <w:rsid w:val="00DA610E"/>
    <w:rsid w:val="00DA616A"/>
    <w:rsid w:val="00DA61B5"/>
    <w:rsid w:val="00DA6218"/>
    <w:rsid w:val="00DA62A4"/>
    <w:rsid w:val="00DA632E"/>
    <w:rsid w:val="00DA636B"/>
    <w:rsid w:val="00DA6371"/>
    <w:rsid w:val="00DA6409"/>
    <w:rsid w:val="00DA645B"/>
    <w:rsid w:val="00DA650B"/>
    <w:rsid w:val="00DA65A8"/>
    <w:rsid w:val="00DA65BC"/>
    <w:rsid w:val="00DA65C6"/>
    <w:rsid w:val="00DA65D2"/>
    <w:rsid w:val="00DA65D9"/>
    <w:rsid w:val="00DA65F4"/>
    <w:rsid w:val="00DA6616"/>
    <w:rsid w:val="00DA6620"/>
    <w:rsid w:val="00DA662F"/>
    <w:rsid w:val="00DA668C"/>
    <w:rsid w:val="00DA66AC"/>
    <w:rsid w:val="00DA66D6"/>
    <w:rsid w:val="00DA6814"/>
    <w:rsid w:val="00DA688C"/>
    <w:rsid w:val="00DA689F"/>
    <w:rsid w:val="00DA68D3"/>
    <w:rsid w:val="00DA68F3"/>
    <w:rsid w:val="00DA6951"/>
    <w:rsid w:val="00DA6961"/>
    <w:rsid w:val="00DA6C08"/>
    <w:rsid w:val="00DA6CCD"/>
    <w:rsid w:val="00DA6CF3"/>
    <w:rsid w:val="00DA6E01"/>
    <w:rsid w:val="00DA6E7A"/>
    <w:rsid w:val="00DA6E91"/>
    <w:rsid w:val="00DA6ED3"/>
    <w:rsid w:val="00DA7039"/>
    <w:rsid w:val="00DA7051"/>
    <w:rsid w:val="00DA7092"/>
    <w:rsid w:val="00DA70F9"/>
    <w:rsid w:val="00DA7115"/>
    <w:rsid w:val="00DA711D"/>
    <w:rsid w:val="00DA7137"/>
    <w:rsid w:val="00DA71C3"/>
    <w:rsid w:val="00DA71DD"/>
    <w:rsid w:val="00DA7230"/>
    <w:rsid w:val="00DA72B2"/>
    <w:rsid w:val="00DA7309"/>
    <w:rsid w:val="00DA735E"/>
    <w:rsid w:val="00DA7360"/>
    <w:rsid w:val="00DA73D1"/>
    <w:rsid w:val="00DA756B"/>
    <w:rsid w:val="00DA763E"/>
    <w:rsid w:val="00DA7652"/>
    <w:rsid w:val="00DA76F7"/>
    <w:rsid w:val="00DA77C6"/>
    <w:rsid w:val="00DA7806"/>
    <w:rsid w:val="00DA7807"/>
    <w:rsid w:val="00DA7815"/>
    <w:rsid w:val="00DA784F"/>
    <w:rsid w:val="00DA78AE"/>
    <w:rsid w:val="00DA78E1"/>
    <w:rsid w:val="00DA7925"/>
    <w:rsid w:val="00DA7929"/>
    <w:rsid w:val="00DA79B3"/>
    <w:rsid w:val="00DA7A41"/>
    <w:rsid w:val="00DA7A87"/>
    <w:rsid w:val="00DA7A97"/>
    <w:rsid w:val="00DA7AAC"/>
    <w:rsid w:val="00DA7BA2"/>
    <w:rsid w:val="00DA7C11"/>
    <w:rsid w:val="00DA7C55"/>
    <w:rsid w:val="00DA7C87"/>
    <w:rsid w:val="00DA7C8F"/>
    <w:rsid w:val="00DA7CEC"/>
    <w:rsid w:val="00DA7D25"/>
    <w:rsid w:val="00DA7DCF"/>
    <w:rsid w:val="00DA7E26"/>
    <w:rsid w:val="00DA7E79"/>
    <w:rsid w:val="00DA7EE0"/>
    <w:rsid w:val="00DA7F0B"/>
    <w:rsid w:val="00DA7F13"/>
    <w:rsid w:val="00DA7F1A"/>
    <w:rsid w:val="00DA7F73"/>
    <w:rsid w:val="00DB0189"/>
    <w:rsid w:val="00DB022C"/>
    <w:rsid w:val="00DB0277"/>
    <w:rsid w:val="00DB02CF"/>
    <w:rsid w:val="00DB02D2"/>
    <w:rsid w:val="00DB0345"/>
    <w:rsid w:val="00DB0369"/>
    <w:rsid w:val="00DB03B2"/>
    <w:rsid w:val="00DB03F9"/>
    <w:rsid w:val="00DB0465"/>
    <w:rsid w:val="00DB047E"/>
    <w:rsid w:val="00DB0534"/>
    <w:rsid w:val="00DB0575"/>
    <w:rsid w:val="00DB058D"/>
    <w:rsid w:val="00DB05B9"/>
    <w:rsid w:val="00DB06A2"/>
    <w:rsid w:val="00DB0732"/>
    <w:rsid w:val="00DB0765"/>
    <w:rsid w:val="00DB0787"/>
    <w:rsid w:val="00DB078F"/>
    <w:rsid w:val="00DB07C0"/>
    <w:rsid w:val="00DB0810"/>
    <w:rsid w:val="00DB0827"/>
    <w:rsid w:val="00DB0847"/>
    <w:rsid w:val="00DB0868"/>
    <w:rsid w:val="00DB08DB"/>
    <w:rsid w:val="00DB0953"/>
    <w:rsid w:val="00DB09B7"/>
    <w:rsid w:val="00DB09CC"/>
    <w:rsid w:val="00DB09ED"/>
    <w:rsid w:val="00DB0A4F"/>
    <w:rsid w:val="00DB0A73"/>
    <w:rsid w:val="00DB0A79"/>
    <w:rsid w:val="00DB0B06"/>
    <w:rsid w:val="00DB0B25"/>
    <w:rsid w:val="00DB0B73"/>
    <w:rsid w:val="00DB0C0E"/>
    <w:rsid w:val="00DB0C58"/>
    <w:rsid w:val="00DB0C80"/>
    <w:rsid w:val="00DB0C99"/>
    <w:rsid w:val="00DB0CA6"/>
    <w:rsid w:val="00DB0CB6"/>
    <w:rsid w:val="00DB0D13"/>
    <w:rsid w:val="00DB0D2F"/>
    <w:rsid w:val="00DB0D4C"/>
    <w:rsid w:val="00DB0DB9"/>
    <w:rsid w:val="00DB0DBE"/>
    <w:rsid w:val="00DB0DDA"/>
    <w:rsid w:val="00DB0E13"/>
    <w:rsid w:val="00DB0E42"/>
    <w:rsid w:val="00DB0EA3"/>
    <w:rsid w:val="00DB0EC2"/>
    <w:rsid w:val="00DB0F47"/>
    <w:rsid w:val="00DB0F8D"/>
    <w:rsid w:val="00DB1022"/>
    <w:rsid w:val="00DB1063"/>
    <w:rsid w:val="00DB10EA"/>
    <w:rsid w:val="00DB10F9"/>
    <w:rsid w:val="00DB11BC"/>
    <w:rsid w:val="00DB11BF"/>
    <w:rsid w:val="00DB12A2"/>
    <w:rsid w:val="00DB131A"/>
    <w:rsid w:val="00DB133E"/>
    <w:rsid w:val="00DB1396"/>
    <w:rsid w:val="00DB1431"/>
    <w:rsid w:val="00DB146B"/>
    <w:rsid w:val="00DB1524"/>
    <w:rsid w:val="00DB1526"/>
    <w:rsid w:val="00DB153D"/>
    <w:rsid w:val="00DB159A"/>
    <w:rsid w:val="00DB15AB"/>
    <w:rsid w:val="00DB15ED"/>
    <w:rsid w:val="00DB1661"/>
    <w:rsid w:val="00DB1787"/>
    <w:rsid w:val="00DB1826"/>
    <w:rsid w:val="00DB194F"/>
    <w:rsid w:val="00DB1A34"/>
    <w:rsid w:val="00DB1A8B"/>
    <w:rsid w:val="00DB1B17"/>
    <w:rsid w:val="00DB1B67"/>
    <w:rsid w:val="00DB1C8A"/>
    <w:rsid w:val="00DB1C92"/>
    <w:rsid w:val="00DB1C9E"/>
    <w:rsid w:val="00DB1D3E"/>
    <w:rsid w:val="00DB1D43"/>
    <w:rsid w:val="00DB1DD5"/>
    <w:rsid w:val="00DB1DD7"/>
    <w:rsid w:val="00DB1DEB"/>
    <w:rsid w:val="00DB1DEC"/>
    <w:rsid w:val="00DB1E4E"/>
    <w:rsid w:val="00DB1EF0"/>
    <w:rsid w:val="00DB1F24"/>
    <w:rsid w:val="00DB1F3A"/>
    <w:rsid w:val="00DB208D"/>
    <w:rsid w:val="00DB20AE"/>
    <w:rsid w:val="00DB224F"/>
    <w:rsid w:val="00DB2281"/>
    <w:rsid w:val="00DB22F5"/>
    <w:rsid w:val="00DB2343"/>
    <w:rsid w:val="00DB2379"/>
    <w:rsid w:val="00DB23D8"/>
    <w:rsid w:val="00DB23F6"/>
    <w:rsid w:val="00DB2477"/>
    <w:rsid w:val="00DB24B7"/>
    <w:rsid w:val="00DB24C8"/>
    <w:rsid w:val="00DB24FA"/>
    <w:rsid w:val="00DB25F9"/>
    <w:rsid w:val="00DB2706"/>
    <w:rsid w:val="00DB27FE"/>
    <w:rsid w:val="00DB28AF"/>
    <w:rsid w:val="00DB2912"/>
    <w:rsid w:val="00DB29A1"/>
    <w:rsid w:val="00DB2A4A"/>
    <w:rsid w:val="00DB2A96"/>
    <w:rsid w:val="00DB2AB4"/>
    <w:rsid w:val="00DB2AC9"/>
    <w:rsid w:val="00DB2AF1"/>
    <w:rsid w:val="00DB2B21"/>
    <w:rsid w:val="00DB2BC1"/>
    <w:rsid w:val="00DB2C2F"/>
    <w:rsid w:val="00DB2C5E"/>
    <w:rsid w:val="00DB2CD4"/>
    <w:rsid w:val="00DB2D1B"/>
    <w:rsid w:val="00DB2D8A"/>
    <w:rsid w:val="00DB2E79"/>
    <w:rsid w:val="00DB2F1E"/>
    <w:rsid w:val="00DB2F79"/>
    <w:rsid w:val="00DB2F86"/>
    <w:rsid w:val="00DB2F8E"/>
    <w:rsid w:val="00DB3000"/>
    <w:rsid w:val="00DB306C"/>
    <w:rsid w:val="00DB313E"/>
    <w:rsid w:val="00DB3161"/>
    <w:rsid w:val="00DB3179"/>
    <w:rsid w:val="00DB31EA"/>
    <w:rsid w:val="00DB323A"/>
    <w:rsid w:val="00DB327B"/>
    <w:rsid w:val="00DB3291"/>
    <w:rsid w:val="00DB3358"/>
    <w:rsid w:val="00DB339E"/>
    <w:rsid w:val="00DB33E4"/>
    <w:rsid w:val="00DB33F7"/>
    <w:rsid w:val="00DB344D"/>
    <w:rsid w:val="00DB34A5"/>
    <w:rsid w:val="00DB34DC"/>
    <w:rsid w:val="00DB34E3"/>
    <w:rsid w:val="00DB355A"/>
    <w:rsid w:val="00DB35A1"/>
    <w:rsid w:val="00DB35C5"/>
    <w:rsid w:val="00DB35F2"/>
    <w:rsid w:val="00DB36A2"/>
    <w:rsid w:val="00DB3802"/>
    <w:rsid w:val="00DB3823"/>
    <w:rsid w:val="00DB38B2"/>
    <w:rsid w:val="00DB38BD"/>
    <w:rsid w:val="00DB38EB"/>
    <w:rsid w:val="00DB38EC"/>
    <w:rsid w:val="00DB3972"/>
    <w:rsid w:val="00DB3979"/>
    <w:rsid w:val="00DB39B6"/>
    <w:rsid w:val="00DB3AEB"/>
    <w:rsid w:val="00DB3B92"/>
    <w:rsid w:val="00DB3C08"/>
    <w:rsid w:val="00DB3C31"/>
    <w:rsid w:val="00DB3C4E"/>
    <w:rsid w:val="00DB3C64"/>
    <w:rsid w:val="00DB3CAF"/>
    <w:rsid w:val="00DB3CF7"/>
    <w:rsid w:val="00DB3D12"/>
    <w:rsid w:val="00DB3DA2"/>
    <w:rsid w:val="00DB3E90"/>
    <w:rsid w:val="00DB3EBD"/>
    <w:rsid w:val="00DB3EEA"/>
    <w:rsid w:val="00DB4016"/>
    <w:rsid w:val="00DB4018"/>
    <w:rsid w:val="00DB4041"/>
    <w:rsid w:val="00DB404F"/>
    <w:rsid w:val="00DB4087"/>
    <w:rsid w:val="00DB4118"/>
    <w:rsid w:val="00DB4169"/>
    <w:rsid w:val="00DB41AD"/>
    <w:rsid w:val="00DB4246"/>
    <w:rsid w:val="00DB4281"/>
    <w:rsid w:val="00DB4327"/>
    <w:rsid w:val="00DB4412"/>
    <w:rsid w:val="00DB4498"/>
    <w:rsid w:val="00DB4562"/>
    <w:rsid w:val="00DB4570"/>
    <w:rsid w:val="00DB464D"/>
    <w:rsid w:val="00DB4670"/>
    <w:rsid w:val="00DB4683"/>
    <w:rsid w:val="00DB46BB"/>
    <w:rsid w:val="00DB4700"/>
    <w:rsid w:val="00DB4799"/>
    <w:rsid w:val="00DB4835"/>
    <w:rsid w:val="00DB49D7"/>
    <w:rsid w:val="00DB4A16"/>
    <w:rsid w:val="00DB4AB8"/>
    <w:rsid w:val="00DB4B1F"/>
    <w:rsid w:val="00DB4B51"/>
    <w:rsid w:val="00DB4B6C"/>
    <w:rsid w:val="00DB4B82"/>
    <w:rsid w:val="00DB4BF5"/>
    <w:rsid w:val="00DB4C8A"/>
    <w:rsid w:val="00DB4CBF"/>
    <w:rsid w:val="00DB4D26"/>
    <w:rsid w:val="00DB4D38"/>
    <w:rsid w:val="00DB4D98"/>
    <w:rsid w:val="00DB4E4A"/>
    <w:rsid w:val="00DB4E53"/>
    <w:rsid w:val="00DB4E91"/>
    <w:rsid w:val="00DB4F3E"/>
    <w:rsid w:val="00DB4FC3"/>
    <w:rsid w:val="00DB4FCD"/>
    <w:rsid w:val="00DB4FFB"/>
    <w:rsid w:val="00DB505C"/>
    <w:rsid w:val="00DB512D"/>
    <w:rsid w:val="00DB5161"/>
    <w:rsid w:val="00DB518F"/>
    <w:rsid w:val="00DB51FE"/>
    <w:rsid w:val="00DB5251"/>
    <w:rsid w:val="00DB52E3"/>
    <w:rsid w:val="00DB5367"/>
    <w:rsid w:val="00DB536F"/>
    <w:rsid w:val="00DB53A9"/>
    <w:rsid w:val="00DB5444"/>
    <w:rsid w:val="00DB5486"/>
    <w:rsid w:val="00DB5523"/>
    <w:rsid w:val="00DB5546"/>
    <w:rsid w:val="00DB5585"/>
    <w:rsid w:val="00DB55BC"/>
    <w:rsid w:val="00DB55F0"/>
    <w:rsid w:val="00DB55FE"/>
    <w:rsid w:val="00DB564F"/>
    <w:rsid w:val="00DB5672"/>
    <w:rsid w:val="00DB5684"/>
    <w:rsid w:val="00DB5690"/>
    <w:rsid w:val="00DB5744"/>
    <w:rsid w:val="00DB5794"/>
    <w:rsid w:val="00DB579F"/>
    <w:rsid w:val="00DB57A8"/>
    <w:rsid w:val="00DB5894"/>
    <w:rsid w:val="00DB5928"/>
    <w:rsid w:val="00DB597C"/>
    <w:rsid w:val="00DB59E7"/>
    <w:rsid w:val="00DB5A51"/>
    <w:rsid w:val="00DB5AAA"/>
    <w:rsid w:val="00DB5AC6"/>
    <w:rsid w:val="00DB5B01"/>
    <w:rsid w:val="00DB5B5D"/>
    <w:rsid w:val="00DB5B61"/>
    <w:rsid w:val="00DB5BB1"/>
    <w:rsid w:val="00DB5BF4"/>
    <w:rsid w:val="00DB5C21"/>
    <w:rsid w:val="00DB5C23"/>
    <w:rsid w:val="00DB5C79"/>
    <w:rsid w:val="00DB5D1D"/>
    <w:rsid w:val="00DB5D34"/>
    <w:rsid w:val="00DB5D46"/>
    <w:rsid w:val="00DB5D57"/>
    <w:rsid w:val="00DB5E0E"/>
    <w:rsid w:val="00DB5E7F"/>
    <w:rsid w:val="00DB5F99"/>
    <w:rsid w:val="00DB6074"/>
    <w:rsid w:val="00DB60D1"/>
    <w:rsid w:val="00DB6111"/>
    <w:rsid w:val="00DB613B"/>
    <w:rsid w:val="00DB62B8"/>
    <w:rsid w:val="00DB62D7"/>
    <w:rsid w:val="00DB6319"/>
    <w:rsid w:val="00DB63F2"/>
    <w:rsid w:val="00DB642F"/>
    <w:rsid w:val="00DB6488"/>
    <w:rsid w:val="00DB64B2"/>
    <w:rsid w:val="00DB64C8"/>
    <w:rsid w:val="00DB64EF"/>
    <w:rsid w:val="00DB6507"/>
    <w:rsid w:val="00DB6556"/>
    <w:rsid w:val="00DB655E"/>
    <w:rsid w:val="00DB661A"/>
    <w:rsid w:val="00DB664D"/>
    <w:rsid w:val="00DB6742"/>
    <w:rsid w:val="00DB675B"/>
    <w:rsid w:val="00DB67F7"/>
    <w:rsid w:val="00DB6881"/>
    <w:rsid w:val="00DB689D"/>
    <w:rsid w:val="00DB6988"/>
    <w:rsid w:val="00DB6A45"/>
    <w:rsid w:val="00DB6A68"/>
    <w:rsid w:val="00DB6AB8"/>
    <w:rsid w:val="00DB6AD7"/>
    <w:rsid w:val="00DB6C13"/>
    <w:rsid w:val="00DB6C16"/>
    <w:rsid w:val="00DB6C80"/>
    <w:rsid w:val="00DB6D07"/>
    <w:rsid w:val="00DB6D0A"/>
    <w:rsid w:val="00DB6D31"/>
    <w:rsid w:val="00DB6D5C"/>
    <w:rsid w:val="00DB6E04"/>
    <w:rsid w:val="00DB6E3F"/>
    <w:rsid w:val="00DB6F01"/>
    <w:rsid w:val="00DB6F2F"/>
    <w:rsid w:val="00DB7000"/>
    <w:rsid w:val="00DB7063"/>
    <w:rsid w:val="00DB70EE"/>
    <w:rsid w:val="00DB7163"/>
    <w:rsid w:val="00DB7179"/>
    <w:rsid w:val="00DB726B"/>
    <w:rsid w:val="00DB7334"/>
    <w:rsid w:val="00DB73CC"/>
    <w:rsid w:val="00DB73E2"/>
    <w:rsid w:val="00DB7408"/>
    <w:rsid w:val="00DB7423"/>
    <w:rsid w:val="00DB744D"/>
    <w:rsid w:val="00DB746E"/>
    <w:rsid w:val="00DB7497"/>
    <w:rsid w:val="00DB74CA"/>
    <w:rsid w:val="00DB74D1"/>
    <w:rsid w:val="00DB74EC"/>
    <w:rsid w:val="00DB76A6"/>
    <w:rsid w:val="00DB76BA"/>
    <w:rsid w:val="00DB76C5"/>
    <w:rsid w:val="00DB76CC"/>
    <w:rsid w:val="00DB773B"/>
    <w:rsid w:val="00DB7794"/>
    <w:rsid w:val="00DB77C7"/>
    <w:rsid w:val="00DB77D1"/>
    <w:rsid w:val="00DB7931"/>
    <w:rsid w:val="00DB7948"/>
    <w:rsid w:val="00DB79D5"/>
    <w:rsid w:val="00DB7A68"/>
    <w:rsid w:val="00DB7AE6"/>
    <w:rsid w:val="00DB7C36"/>
    <w:rsid w:val="00DB7C5A"/>
    <w:rsid w:val="00DB7CDA"/>
    <w:rsid w:val="00DB7CFB"/>
    <w:rsid w:val="00DB7D01"/>
    <w:rsid w:val="00DB7DD9"/>
    <w:rsid w:val="00DB7E06"/>
    <w:rsid w:val="00DB7E1E"/>
    <w:rsid w:val="00DB7E8D"/>
    <w:rsid w:val="00DC0009"/>
    <w:rsid w:val="00DC008A"/>
    <w:rsid w:val="00DC00A0"/>
    <w:rsid w:val="00DC00EA"/>
    <w:rsid w:val="00DC012C"/>
    <w:rsid w:val="00DC0181"/>
    <w:rsid w:val="00DC01B6"/>
    <w:rsid w:val="00DC01E8"/>
    <w:rsid w:val="00DC0214"/>
    <w:rsid w:val="00DC0260"/>
    <w:rsid w:val="00DC04D4"/>
    <w:rsid w:val="00DC055C"/>
    <w:rsid w:val="00DC0683"/>
    <w:rsid w:val="00DC071B"/>
    <w:rsid w:val="00DC07DD"/>
    <w:rsid w:val="00DC0822"/>
    <w:rsid w:val="00DC0878"/>
    <w:rsid w:val="00DC08B9"/>
    <w:rsid w:val="00DC097A"/>
    <w:rsid w:val="00DC09B1"/>
    <w:rsid w:val="00DC09B4"/>
    <w:rsid w:val="00DC0A04"/>
    <w:rsid w:val="00DC0AA3"/>
    <w:rsid w:val="00DC0B2C"/>
    <w:rsid w:val="00DC0B4A"/>
    <w:rsid w:val="00DC0B4C"/>
    <w:rsid w:val="00DC0B83"/>
    <w:rsid w:val="00DC0B95"/>
    <w:rsid w:val="00DC0BFD"/>
    <w:rsid w:val="00DC0C01"/>
    <w:rsid w:val="00DC0C40"/>
    <w:rsid w:val="00DC0CE1"/>
    <w:rsid w:val="00DC0D1B"/>
    <w:rsid w:val="00DC0DC7"/>
    <w:rsid w:val="00DC0DFF"/>
    <w:rsid w:val="00DC0E11"/>
    <w:rsid w:val="00DC0E16"/>
    <w:rsid w:val="00DC0E31"/>
    <w:rsid w:val="00DC0ED1"/>
    <w:rsid w:val="00DC0EE6"/>
    <w:rsid w:val="00DC0F29"/>
    <w:rsid w:val="00DC0FBF"/>
    <w:rsid w:val="00DC0FD9"/>
    <w:rsid w:val="00DC1024"/>
    <w:rsid w:val="00DC1069"/>
    <w:rsid w:val="00DC1102"/>
    <w:rsid w:val="00DC113C"/>
    <w:rsid w:val="00DC12C4"/>
    <w:rsid w:val="00DC1460"/>
    <w:rsid w:val="00DC14ED"/>
    <w:rsid w:val="00DC150D"/>
    <w:rsid w:val="00DC1520"/>
    <w:rsid w:val="00DC154D"/>
    <w:rsid w:val="00DC15C2"/>
    <w:rsid w:val="00DC15D8"/>
    <w:rsid w:val="00DC1621"/>
    <w:rsid w:val="00DC162A"/>
    <w:rsid w:val="00DC166E"/>
    <w:rsid w:val="00DC16BC"/>
    <w:rsid w:val="00DC172F"/>
    <w:rsid w:val="00DC1740"/>
    <w:rsid w:val="00DC174E"/>
    <w:rsid w:val="00DC1770"/>
    <w:rsid w:val="00DC1798"/>
    <w:rsid w:val="00DC17A7"/>
    <w:rsid w:val="00DC17BC"/>
    <w:rsid w:val="00DC17F6"/>
    <w:rsid w:val="00DC1851"/>
    <w:rsid w:val="00DC1963"/>
    <w:rsid w:val="00DC19F0"/>
    <w:rsid w:val="00DC19F3"/>
    <w:rsid w:val="00DC1A63"/>
    <w:rsid w:val="00DC1AC5"/>
    <w:rsid w:val="00DC1B06"/>
    <w:rsid w:val="00DC1BC3"/>
    <w:rsid w:val="00DC1BFC"/>
    <w:rsid w:val="00DC1C09"/>
    <w:rsid w:val="00DC1CD4"/>
    <w:rsid w:val="00DC1D2E"/>
    <w:rsid w:val="00DC1D9B"/>
    <w:rsid w:val="00DC1E42"/>
    <w:rsid w:val="00DC1EAA"/>
    <w:rsid w:val="00DC1F31"/>
    <w:rsid w:val="00DC1FA4"/>
    <w:rsid w:val="00DC1FC0"/>
    <w:rsid w:val="00DC202C"/>
    <w:rsid w:val="00DC2107"/>
    <w:rsid w:val="00DC2116"/>
    <w:rsid w:val="00DC212A"/>
    <w:rsid w:val="00DC215C"/>
    <w:rsid w:val="00DC2175"/>
    <w:rsid w:val="00DC21EA"/>
    <w:rsid w:val="00DC2216"/>
    <w:rsid w:val="00DC2257"/>
    <w:rsid w:val="00DC228B"/>
    <w:rsid w:val="00DC22CB"/>
    <w:rsid w:val="00DC23DB"/>
    <w:rsid w:val="00DC2461"/>
    <w:rsid w:val="00DC255F"/>
    <w:rsid w:val="00DC25F8"/>
    <w:rsid w:val="00DC2648"/>
    <w:rsid w:val="00DC264B"/>
    <w:rsid w:val="00DC265C"/>
    <w:rsid w:val="00DC26E1"/>
    <w:rsid w:val="00DC2799"/>
    <w:rsid w:val="00DC283D"/>
    <w:rsid w:val="00DC288D"/>
    <w:rsid w:val="00DC2948"/>
    <w:rsid w:val="00DC2AF3"/>
    <w:rsid w:val="00DC2B72"/>
    <w:rsid w:val="00DC2B7A"/>
    <w:rsid w:val="00DC2C1A"/>
    <w:rsid w:val="00DC2C63"/>
    <w:rsid w:val="00DC2C8D"/>
    <w:rsid w:val="00DC2D15"/>
    <w:rsid w:val="00DC2D65"/>
    <w:rsid w:val="00DC2D77"/>
    <w:rsid w:val="00DC2DE2"/>
    <w:rsid w:val="00DC2E61"/>
    <w:rsid w:val="00DC2EB2"/>
    <w:rsid w:val="00DC2EB3"/>
    <w:rsid w:val="00DC2F2C"/>
    <w:rsid w:val="00DC2F4E"/>
    <w:rsid w:val="00DC2F61"/>
    <w:rsid w:val="00DC2FA9"/>
    <w:rsid w:val="00DC30A8"/>
    <w:rsid w:val="00DC3151"/>
    <w:rsid w:val="00DC315A"/>
    <w:rsid w:val="00DC32C9"/>
    <w:rsid w:val="00DC3336"/>
    <w:rsid w:val="00DC3356"/>
    <w:rsid w:val="00DC337C"/>
    <w:rsid w:val="00DC337E"/>
    <w:rsid w:val="00DC337F"/>
    <w:rsid w:val="00DC338B"/>
    <w:rsid w:val="00DC33C3"/>
    <w:rsid w:val="00DC33EE"/>
    <w:rsid w:val="00DC3422"/>
    <w:rsid w:val="00DC34FB"/>
    <w:rsid w:val="00DC3521"/>
    <w:rsid w:val="00DC354A"/>
    <w:rsid w:val="00DC35D3"/>
    <w:rsid w:val="00DC35FA"/>
    <w:rsid w:val="00DC37CE"/>
    <w:rsid w:val="00DC385E"/>
    <w:rsid w:val="00DC3899"/>
    <w:rsid w:val="00DC389D"/>
    <w:rsid w:val="00DC38D1"/>
    <w:rsid w:val="00DC38EA"/>
    <w:rsid w:val="00DC3914"/>
    <w:rsid w:val="00DC392F"/>
    <w:rsid w:val="00DC3937"/>
    <w:rsid w:val="00DC395B"/>
    <w:rsid w:val="00DC3A60"/>
    <w:rsid w:val="00DC3B43"/>
    <w:rsid w:val="00DC3B4F"/>
    <w:rsid w:val="00DC3BEC"/>
    <w:rsid w:val="00DC3CED"/>
    <w:rsid w:val="00DC3FD4"/>
    <w:rsid w:val="00DC4012"/>
    <w:rsid w:val="00DC403C"/>
    <w:rsid w:val="00DC4043"/>
    <w:rsid w:val="00DC40E6"/>
    <w:rsid w:val="00DC4141"/>
    <w:rsid w:val="00DC417B"/>
    <w:rsid w:val="00DC4222"/>
    <w:rsid w:val="00DC428C"/>
    <w:rsid w:val="00DC42B4"/>
    <w:rsid w:val="00DC42BA"/>
    <w:rsid w:val="00DC42FC"/>
    <w:rsid w:val="00DC4310"/>
    <w:rsid w:val="00DC432C"/>
    <w:rsid w:val="00DC4359"/>
    <w:rsid w:val="00DC437F"/>
    <w:rsid w:val="00DC43EF"/>
    <w:rsid w:val="00DC4555"/>
    <w:rsid w:val="00DC456D"/>
    <w:rsid w:val="00DC45C4"/>
    <w:rsid w:val="00DC45CC"/>
    <w:rsid w:val="00DC4686"/>
    <w:rsid w:val="00DC4725"/>
    <w:rsid w:val="00DC47CB"/>
    <w:rsid w:val="00DC47DB"/>
    <w:rsid w:val="00DC48B9"/>
    <w:rsid w:val="00DC4971"/>
    <w:rsid w:val="00DC49DB"/>
    <w:rsid w:val="00DC49E5"/>
    <w:rsid w:val="00DC4ACB"/>
    <w:rsid w:val="00DC4B47"/>
    <w:rsid w:val="00DC4B69"/>
    <w:rsid w:val="00DC4BC7"/>
    <w:rsid w:val="00DC4C50"/>
    <w:rsid w:val="00DC4CD7"/>
    <w:rsid w:val="00DC4D44"/>
    <w:rsid w:val="00DC4DB3"/>
    <w:rsid w:val="00DC4DD5"/>
    <w:rsid w:val="00DC4E2F"/>
    <w:rsid w:val="00DC4E52"/>
    <w:rsid w:val="00DC4EE9"/>
    <w:rsid w:val="00DC4EEA"/>
    <w:rsid w:val="00DC4F37"/>
    <w:rsid w:val="00DC4F38"/>
    <w:rsid w:val="00DC4F6F"/>
    <w:rsid w:val="00DC5005"/>
    <w:rsid w:val="00DC5081"/>
    <w:rsid w:val="00DC50A9"/>
    <w:rsid w:val="00DC5139"/>
    <w:rsid w:val="00DC5191"/>
    <w:rsid w:val="00DC51BD"/>
    <w:rsid w:val="00DC51F3"/>
    <w:rsid w:val="00DC51FD"/>
    <w:rsid w:val="00DC5241"/>
    <w:rsid w:val="00DC5274"/>
    <w:rsid w:val="00DC5352"/>
    <w:rsid w:val="00DC5419"/>
    <w:rsid w:val="00DC5434"/>
    <w:rsid w:val="00DC5457"/>
    <w:rsid w:val="00DC546B"/>
    <w:rsid w:val="00DC548D"/>
    <w:rsid w:val="00DC54A6"/>
    <w:rsid w:val="00DC54D5"/>
    <w:rsid w:val="00DC557A"/>
    <w:rsid w:val="00DC5655"/>
    <w:rsid w:val="00DC56AD"/>
    <w:rsid w:val="00DC56D7"/>
    <w:rsid w:val="00DC57F8"/>
    <w:rsid w:val="00DC580E"/>
    <w:rsid w:val="00DC58E1"/>
    <w:rsid w:val="00DC58E4"/>
    <w:rsid w:val="00DC5915"/>
    <w:rsid w:val="00DC5A5D"/>
    <w:rsid w:val="00DC5AD0"/>
    <w:rsid w:val="00DC5B69"/>
    <w:rsid w:val="00DC5B6A"/>
    <w:rsid w:val="00DC5BA2"/>
    <w:rsid w:val="00DC5CCE"/>
    <w:rsid w:val="00DC5CE3"/>
    <w:rsid w:val="00DC5CFB"/>
    <w:rsid w:val="00DC5D31"/>
    <w:rsid w:val="00DC5DAE"/>
    <w:rsid w:val="00DC5E13"/>
    <w:rsid w:val="00DC5ED7"/>
    <w:rsid w:val="00DC5F31"/>
    <w:rsid w:val="00DC5F6A"/>
    <w:rsid w:val="00DC5F8F"/>
    <w:rsid w:val="00DC5FB4"/>
    <w:rsid w:val="00DC5FED"/>
    <w:rsid w:val="00DC5FFA"/>
    <w:rsid w:val="00DC602A"/>
    <w:rsid w:val="00DC60D7"/>
    <w:rsid w:val="00DC613A"/>
    <w:rsid w:val="00DC6167"/>
    <w:rsid w:val="00DC6174"/>
    <w:rsid w:val="00DC61F4"/>
    <w:rsid w:val="00DC620E"/>
    <w:rsid w:val="00DC6340"/>
    <w:rsid w:val="00DC634E"/>
    <w:rsid w:val="00DC63BA"/>
    <w:rsid w:val="00DC6409"/>
    <w:rsid w:val="00DC641B"/>
    <w:rsid w:val="00DC6556"/>
    <w:rsid w:val="00DC6577"/>
    <w:rsid w:val="00DC6759"/>
    <w:rsid w:val="00DC67BF"/>
    <w:rsid w:val="00DC682A"/>
    <w:rsid w:val="00DC685F"/>
    <w:rsid w:val="00DC687A"/>
    <w:rsid w:val="00DC6890"/>
    <w:rsid w:val="00DC68D6"/>
    <w:rsid w:val="00DC68EC"/>
    <w:rsid w:val="00DC6927"/>
    <w:rsid w:val="00DC6935"/>
    <w:rsid w:val="00DC6938"/>
    <w:rsid w:val="00DC695D"/>
    <w:rsid w:val="00DC6968"/>
    <w:rsid w:val="00DC6AAB"/>
    <w:rsid w:val="00DC6BE4"/>
    <w:rsid w:val="00DC6BEC"/>
    <w:rsid w:val="00DC6CF0"/>
    <w:rsid w:val="00DC6CFA"/>
    <w:rsid w:val="00DC6D27"/>
    <w:rsid w:val="00DC6D3A"/>
    <w:rsid w:val="00DC6D5B"/>
    <w:rsid w:val="00DC6DFF"/>
    <w:rsid w:val="00DC6E7F"/>
    <w:rsid w:val="00DC6EAB"/>
    <w:rsid w:val="00DC6ED9"/>
    <w:rsid w:val="00DC6F50"/>
    <w:rsid w:val="00DC6FA9"/>
    <w:rsid w:val="00DC6FB7"/>
    <w:rsid w:val="00DC6FBF"/>
    <w:rsid w:val="00DC7021"/>
    <w:rsid w:val="00DC706C"/>
    <w:rsid w:val="00DC7088"/>
    <w:rsid w:val="00DC70A9"/>
    <w:rsid w:val="00DC70CB"/>
    <w:rsid w:val="00DC7114"/>
    <w:rsid w:val="00DC71CD"/>
    <w:rsid w:val="00DC722A"/>
    <w:rsid w:val="00DC7290"/>
    <w:rsid w:val="00DC72EF"/>
    <w:rsid w:val="00DC7319"/>
    <w:rsid w:val="00DC7330"/>
    <w:rsid w:val="00DC737B"/>
    <w:rsid w:val="00DC739B"/>
    <w:rsid w:val="00DC73AB"/>
    <w:rsid w:val="00DC73CD"/>
    <w:rsid w:val="00DC7467"/>
    <w:rsid w:val="00DC74D2"/>
    <w:rsid w:val="00DC7519"/>
    <w:rsid w:val="00DC7535"/>
    <w:rsid w:val="00DC75AC"/>
    <w:rsid w:val="00DC762A"/>
    <w:rsid w:val="00DC7766"/>
    <w:rsid w:val="00DC788D"/>
    <w:rsid w:val="00DC78D9"/>
    <w:rsid w:val="00DC78F3"/>
    <w:rsid w:val="00DC79FB"/>
    <w:rsid w:val="00DC7A62"/>
    <w:rsid w:val="00DC7B62"/>
    <w:rsid w:val="00DC7C1D"/>
    <w:rsid w:val="00DC7C5E"/>
    <w:rsid w:val="00DC7C9E"/>
    <w:rsid w:val="00DC7CF7"/>
    <w:rsid w:val="00DC7DAB"/>
    <w:rsid w:val="00DC7DDE"/>
    <w:rsid w:val="00DC7E5A"/>
    <w:rsid w:val="00DC7E8B"/>
    <w:rsid w:val="00DC7F22"/>
    <w:rsid w:val="00DC7F2F"/>
    <w:rsid w:val="00DC7F7E"/>
    <w:rsid w:val="00DD0098"/>
    <w:rsid w:val="00DD00B8"/>
    <w:rsid w:val="00DD00C5"/>
    <w:rsid w:val="00DD00D2"/>
    <w:rsid w:val="00DD0106"/>
    <w:rsid w:val="00DD01CD"/>
    <w:rsid w:val="00DD01EF"/>
    <w:rsid w:val="00DD0226"/>
    <w:rsid w:val="00DD031F"/>
    <w:rsid w:val="00DD0440"/>
    <w:rsid w:val="00DD04B2"/>
    <w:rsid w:val="00DD0520"/>
    <w:rsid w:val="00DD054A"/>
    <w:rsid w:val="00DD0571"/>
    <w:rsid w:val="00DD05EB"/>
    <w:rsid w:val="00DD06B6"/>
    <w:rsid w:val="00DD06E9"/>
    <w:rsid w:val="00DD0718"/>
    <w:rsid w:val="00DD0803"/>
    <w:rsid w:val="00DD0820"/>
    <w:rsid w:val="00DD0855"/>
    <w:rsid w:val="00DD0931"/>
    <w:rsid w:val="00DD0950"/>
    <w:rsid w:val="00DD0981"/>
    <w:rsid w:val="00DD099A"/>
    <w:rsid w:val="00DD09D1"/>
    <w:rsid w:val="00DD09F1"/>
    <w:rsid w:val="00DD0AEE"/>
    <w:rsid w:val="00DD0B08"/>
    <w:rsid w:val="00DD0B14"/>
    <w:rsid w:val="00DD0B65"/>
    <w:rsid w:val="00DD0B7E"/>
    <w:rsid w:val="00DD0B9E"/>
    <w:rsid w:val="00DD0BD6"/>
    <w:rsid w:val="00DD0C44"/>
    <w:rsid w:val="00DD0C4A"/>
    <w:rsid w:val="00DD0C86"/>
    <w:rsid w:val="00DD0CE5"/>
    <w:rsid w:val="00DD0D04"/>
    <w:rsid w:val="00DD0D51"/>
    <w:rsid w:val="00DD0DDF"/>
    <w:rsid w:val="00DD0E24"/>
    <w:rsid w:val="00DD0E49"/>
    <w:rsid w:val="00DD0E4E"/>
    <w:rsid w:val="00DD0F5B"/>
    <w:rsid w:val="00DD0FA9"/>
    <w:rsid w:val="00DD0FF5"/>
    <w:rsid w:val="00DD1028"/>
    <w:rsid w:val="00DD103F"/>
    <w:rsid w:val="00DD10E3"/>
    <w:rsid w:val="00DD117C"/>
    <w:rsid w:val="00DD11F6"/>
    <w:rsid w:val="00DD1249"/>
    <w:rsid w:val="00DD127B"/>
    <w:rsid w:val="00DD12C9"/>
    <w:rsid w:val="00DD133C"/>
    <w:rsid w:val="00DD137E"/>
    <w:rsid w:val="00DD13A2"/>
    <w:rsid w:val="00DD13D4"/>
    <w:rsid w:val="00DD141D"/>
    <w:rsid w:val="00DD146F"/>
    <w:rsid w:val="00DD148C"/>
    <w:rsid w:val="00DD14B5"/>
    <w:rsid w:val="00DD1515"/>
    <w:rsid w:val="00DD15FC"/>
    <w:rsid w:val="00DD1604"/>
    <w:rsid w:val="00DD169C"/>
    <w:rsid w:val="00DD16A9"/>
    <w:rsid w:val="00DD179F"/>
    <w:rsid w:val="00DD1804"/>
    <w:rsid w:val="00DD180F"/>
    <w:rsid w:val="00DD1875"/>
    <w:rsid w:val="00DD18E8"/>
    <w:rsid w:val="00DD18EC"/>
    <w:rsid w:val="00DD18EE"/>
    <w:rsid w:val="00DD19A2"/>
    <w:rsid w:val="00DD19D2"/>
    <w:rsid w:val="00DD1AF8"/>
    <w:rsid w:val="00DD1B21"/>
    <w:rsid w:val="00DD1B31"/>
    <w:rsid w:val="00DD1BD7"/>
    <w:rsid w:val="00DD1C16"/>
    <w:rsid w:val="00DD1C72"/>
    <w:rsid w:val="00DD1C98"/>
    <w:rsid w:val="00DD1CAE"/>
    <w:rsid w:val="00DD1CEA"/>
    <w:rsid w:val="00DD1CF0"/>
    <w:rsid w:val="00DD1D0E"/>
    <w:rsid w:val="00DD1D9F"/>
    <w:rsid w:val="00DD1EF3"/>
    <w:rsid w:val="00DD1F2D"/>
    <w:rsid w:val="00DD1FC6"/>
    <w:rsid w:val="00DD201D"/>
    <w:rsid w:val="00DD207D"/>
    <w:rsid w:val="00DD209A"/>
    <w:rsid w:val="00DD20A1"/>
    <w:rsid w:val="00DD20DE"/>
    <w:rsid w:val="00DD2138"/>
    <w:rsid w:val="00DD2175"/>
    <w:rsid w:val="00DD21B1"/>
    <w:rsid w:val="00DD2218"/>
    <w:rsid w:val="00DD2265"/>
    <w:rsid w:val="00DD2332"/>
    <w:rsid w:val="00DD233A"/>
    <w:rsid w:val="00DD2356"/>
    <w:rsid w:val="00DD2385"/>
    <w:rsid w:val="00DD240C"/>
    <w:rsid w:val="00DD24EE"/>
    <w:rsid w:val="00DD24F8"/>
    <w:rsid w:val="00DD250A"/>
    <w:rsid w:val="00DD2540"/>
    <w:rsid w:val="00DD2541"/>
    <w:rsid w:val="00DD2646"/>
    <w:rsid w:val="00DD26C0"/>
    <w:rsid w:val="00DD2714"/>
    <w:rsid w:val="00DD27D1"/>
    <w:rsid w:val="00DD284D"/>
    <w:rsid w:val="00DD28B5"/>
    <w:rsid w:val="00DD28FC"/>
    <w:rsid w:val="00DD2900"/>
    <w:rsid w:val="00DD2931"/>
    <w:rsid w:val="00DD2957"/>
    <w:rsid w:val="00DD296D"/>
    <w:rsid w:val="00DD2979"/>
    <w:rsid w:val="00DD29A3"/>
    <w:rsid w:val="00DD29B0"/>
    <w:rsid w:val="00DD29B6"/>
    <w:rsid w:val="00DD2A1F"/>
    <w:rsid w:val="00DD2A34"/>
    <w:rsid w:val="00DD2A61"/>
    <w:rsid w:val="00DD2AA1"/>
    <w:rsid w:val="00DD2B01"/>
    <w:rsid w:val="00DD2BDB"/>
    <w:rsid w:val="00DD2BEC"/>
    <w:rsid w:val="00DD2C14"/>
    <w:rsid w:val="00DD2C4F"/>
    <w:rsid w:val="00DD2CF6"/>
    <w:rsid w:val="00DD2D0F"/>
    <w:rsid w:val="00DD2D2C"/>
    <w:rsid w:val="00DD2DCE"/>
    <w:rsid w:val="00DD2E5B"/>
    <w:rsid w:val="00DD2EBA"/>
    <w:rsid w:val="00DD2ED6"/>
    <w:rsid w:val="00DD2EF2"/>
    <w:rsid w:val="00DD2FB7"/>
    <w:rsid w:val="00DD3011"/>
    <w:rsid w:val="00DD30F1"/>
    <w:rsid w:val="00DD310C"/>
    <w:rsid w:val="00DD3114"/>
    <w:rsid w:val="00DD31E4"/>
    <w:rsid w:val="00DD321A"/>
    <w:rsid w:val="00DD326C"/>
    <w:rsid w:val="00DD3295"/>
    <w:rsid w:val="00DD32A7"/>
    <w:rsid w:val="00DD3334"/>
    <w:rsid w:val="00DD3372"/>
    <w:rsid w:val="00DD3379"/>
    <w:rsid w:val="00DD338E"/>
    <w:rsid w:val="00DD3417"/>
    <w:rsid w:val="00DD350F"/>
    <w:rsid w:val="00DD3519"/>
    <w:rsid w:val="00DD3539"/>
    <w:rsid w:val="00DD35FD"/>
    <w:rsid w:val="00DD3614"/>
    <w:rsid w:val="00DD3654"/>
    <w:rsid w:val="00DD37B2"/>
    <w:rsid w:val="00DD37FA"/>
    <w:rsid w:val="00DD37FD"/>
    <w:rsid w:val="00DD3869"/>
    <w:rsid w:val="00DD3896"/>
    <w:rsid w:val="00DD389A"/>
    <w:rsid w:val="00DD3973"/>
    <w:rsid w:val="00DD39B8"/>
    <w:rsid w:val="00DD39CF"/>
    <w:rsid w:val="00DD3A12"/>
    <w:rsid w:val="00DD3A68"/>
    <w:rsid w:val="00DD3B6B"/>
    <w:rsid w:val="00DD3B72"/>
    <w:rsid w:val="00DD3BAE"/>
    <w:rsid w:val="00DD3BB5"/>
    <w:rsid w:val="00DD3BD2"/>
    <w:rsid w:val="00DD3BEA"/>
    <w:rsid w:val="00DD3C57"/>
    <w:rsid w:val="00DD3C91"/>
    <w:rsid w:val="00DD3CDB"/>
    <w:rsid w:val="00DD3CDD"/>
    <w:rsid w:val="00DD3D8D"/>
    <w:rsid w:val="00DD3E23"/>
    <w:rsid w:val="00DD3EE5"/>
    <w:rsid w:val="00DD3F7D"/>
    <w:rsid w:val="00DD3F9E"/>
    <w:rsid w:val="00DD4054"/>
    <w:rsid w:val="00DD409F"/>
    <w:rsid w:val="00DD4118"/>
    <w:rsid w:val="00DD417F"/>
    <w:rsid w:val="00DD41A8"/>
    <w:rsid w:val="00DD422C"/>
    <w:rsid w:val="00DD425F"/>
    <w:rsid w:val="00DD42F1"/>
    <w:rsid w:val="00DD4337"/>
    <w:rsid w:val="00DD4392"/>
    <w:rsid w:val="00DD43CA"/>
    <w:rsid w:val="00DD448E"/>
    <w:rsid w:val="00DD4509"/>
    <w:rsid w:val="00DD4581"/>
    <w:rsid w:val="00DD4616"/>
    <w:rsid w:val="00DD4643"/>
    <w:rsid w:val="00DD46AE"/>
    <w:rsid w:val="00DD4748"/>
    <w:rsid w:val="00DD4775"/>
    <w:rsid w:val="00DD47F5"/>
    <w:rsid w:val="00DD4806"/>
    <w:rsid w:val="00DD4811"/>
    <w:rsid w:val="00DD483D"/>
    <w:rsid w:val="00DD48A2"/>
    <w:rsid w:val="00DD48B6"/>
    <w:rsid w:val="00DD4921"/>
    <w:rsid w:val="00DD4960"/>
    <w:rsid w:val="00DD4985"/>
    <w:rsid w:val="00DD4A36"/>
    <w:rsid w:val="00DD4A8F"/>
    <w:rsid w:val="00DD4AA5"/>
    <w:rsid w:val="00DD4AC2"/>
    <w:rsid w:val="00DD4AD3"/>
    <w:rsid w:val="00DD4D93"/>
    <w:rsid w:val="00DD4E81"/>
    <w:rsid w:val="00DD4EAF"/>
    <w:rsid w:val="00DD4EB3"/>
    <w:rsid w:val="00DD4F76"/>
    <w:rsid w:val="00DD5043"/>
    <w:rsid w:val="00DD5086"/>
    <w:rsid w:val="00DD50C4"/>
    <w:rsid w:val="00DD513E"/>
    <w:rsid w:val="00DD5144"/>
    <w:rsid w:val="00DD5212"/>
    <w:rsid w:val="00DD5305"/>
    <w:rsid w:val="00DD5353"/>
    <w:rsid w:val="00DD53BF"/>
    <w:rsid w:val="00DD53FF"/>
    <w:rsid w:val="00DD5410"/>
    <w:rsid w:val="00DD541D"/>
    <w:rsid w:val="00DD544A"/>
    <w:rsid w:val="00DD5459"/>
    <w:rsid w:val="00DD54CD"/>
    <w:rsid w:val="00DD54D0"/>
    <w:rsid w:val="00DD54E1"/>
    <w:rsid w:val="00DD5503"/>
    <w:rsid w:val="00DD552F"/>
    <w:rsid w:val="00DD5534"/>
    <w:rsid w:val="00DD55B9"/>
    <w:rsid w:val="00DD5648"/>
    <w:rsid w:val="00DD5662"/>
    <w:rsid w:val="00DD570F"/>
    <w:rsid w:val="00DD575B"/>
    <w:rsid w:val="00DD5760"/>
    <w:rsid w:val="00DD57AF"/>
    <w:rsid w:val="00DD57C1"/>
    <w:rsid w:val="00DD5899"/>
    <w:rsid w:val="00DD59B7"/>
    <w:rsid w:val="00DD5A91"/>
    <w:rsid w:val="00DD5BA9"/>
    <w:rsid w:val="00DD5BD9"/>
    <w:rsid w:val="00DD5C18"/>
    <w:rsid w:val="00DD5C42"/>
    <w:rsid w:val="00DD5C60"/>
    <w:rsid w:val="00DD5C90"/>
    <w:rsid w:val="00DD5DE9"/>
    <w:rsid w:val="00DD5E72"/>
    <w:rsid w:val="00DD5E91"/>
    <w:rsid w:val="00DD5F15"/>
    <w:rsid w:val="00DD5F98"/>
    <w:rsid w:val="00DD6040"/>
    <w:rsid w:val="00DD604D"/>
    <w:rsid w:val="00DD60B9"/>
    <w:rsid w:val="00DD6103"/>
    <w:rsid w:val="00DD6172"/>
    <w:rsid w:val="00DD61C7"/>
    <w:rsid w:val="00DD631F"/>
    <w:rsid w:val="00DD6347"/>
    <w:rsid w:val="00DD6361"/>
    <w:rsid w:val="00DD6368"/>
    <w:rsid w:val="00DD6432"/>
    <w:rsid w:val="00DD6457"/>
    <w:rsid w:val="00DD6478"/>
    <w:rsid w:val="00DD64A9"/>
    <w:rsid w:val="00DD64E2"/>
    <w:rsid w:val="00DD6506"/>
    <w:rsid w:val="00DD6538"/>
    <w:rsid w:val="00DD6579"/>
    <w:rsid w:val="00DD659F"/>
    <w:rsid w:val="00DD65A1"/>
    <w:rsid w:val="00DD65CB"/>
    <w:rsid w:val="00DD6603"/>
    <w:rsid w:val="00DD661E"/>
    <w:rsid w:val="00DD6624"/>
    <w:rsid w:val="00DD667B"/>
    <w:rsid w:val="00DD6875"/>
    <w:rsid w:val="00DD68FA"/>
    <w:rsid w:val="00DD693B"/>
    <w:rsid w:val="00DD6969"/>
    <w:rsid w:val="00DD6995"/>
    <w:rsid w:val="00DD69BA"/>
    <w:rsid w:val="00DD69E3"/>
    <w:rsid w:val="00DD6A68"/>
    <w:rsid w:val="00DD6A8A"/>
    <w:rsid w:val="00DD6A8C"/>
    <w:rsid w:val="00DD6AEC"/>
    <w:rsid w:val="00DD6B17"/>
    <w:rsid w:val="00DD6B21"/>
    <w:rsid w:val="00DD6B41"/>
    <w:rsid w:val="00DD6BB3"/>
    <w:rsid w:val="00DD6C63"/>
    <w:rsid w:val="00DD6CA5"/>
    <w:rsid w:val="00DD6D1B"/>
    <w:rsid w:val="00DD6D6E"/>
    <w:rsid w:val="00DD6DC7"/>
    <w:rsid w:val="00DD6E05"/>
    <w:rsid w:val="00DD6E4E"/>
    <w:rsid w:val="00DD6E7E"/>
    <w:rsid w:val="00DD6EAF"/>
    <w:rsid w:val="00DD6F06"/>
    <w:rsid w:val="00DD6FA8"/>
    <w:rsid w:val="00DD6FB7"/>
    <w:rsid w:val="00DD7069"/>
    <w:rsid w:val="00DD70E6"/>
    <w:rsid w:val="00DD713B"/>
    <w:rsid w:val="00DD7140"/>
    <w:rsid w:val="00DD716C"/>
    <w:rsid w:val="00DD72C6"/>
    <w:rsid w:val="00DD72CB"/>
    <w:rsid w:val="00DD733A"/>
    <w:rsid w:val="00DD7350"/>
    <w:rsid w:val="00DD7389"/>
    <w:rsid w:val="00DD73B4"/>
    <w:rsid w:val="00DD73DD"/>
    <w:rsid w:val="00DD7414"/>
    <w:rsid w:val="00DD744C"/>
    <w:rsid w:val="00DD7483"/>
    <w:rsid w:val="00DD752A"/>
    <w:rsid w:val="00DD75C8"/>
    <w:rsid w:val="00DD75E8"/>
    <w:rsid w:val="00DD7611"/>
    <w:rsid w:val="00DD763F"/>
    <w:rsid w:val="00DD768B"/>
    <w:rsid w:val="00DD769E"/>
    <w:rsid w:val="00DD76CF"/>
    <w:rsid w:val="00DD76EF"/>
    <w:rsid w:val="00DD7705"/>
    <w:rsid w:val="00DD77B9"/>
    <w:rsid w:val="00DD77E3"/>
    <w:rsid w:val="00DD786C"/>
    <w:rsid w:val="00DD788A"/>
    <w:rsid w:val="00DD7923"/>
    <w:rsid w:val="00DD7931"/>
    <w:rsid w:val="00DD79E1"/>
    <w:rsid w:val="00DD7B76"/>
    <w:rsid w:val="00DD7B9B"/>
    <w:rsid w:val="00DD7DD8"/>
    <w:rsid w:val="00DD7E13"/>
    <w:rsid w:val="00DD7EA9"/>
    <w:rsid w:val="00DD7F8C"/>
    <w:rsid w:val="00DD7FAA"/>
    <w:rsid w:val="00DD7FCD"/>
    <w:rsid w:val="00DD7FEC"/>
    <w:rsid w:val="00DE00E1"/>
    <w:rsid w:val="00DE018D"/>
    <w:rsid w:val="00DE01A0"/>
    <w:rsid w:val="00DE01D2"/>
    <w:rsid w:val="00DE01E9"/>
    <w:rsid w:val="00DE0271"/>
    <w:rsid w:val="00DE0290"/>
    <w:rsid w:val="00DE02CC"/>
    <w:rsid w:val="00DE039F"/>
    <w:rsid w:val="00DE0505"/>
    <w:rsid w:val="00DE052B"/>
    <w:rsid w:val="00DE056D"/>
    <w:rsid w:val="00DE0595"/>
    <w:rsid w:val="00DE0623"/>
    <w:rsid w:val="00DE0633"/>
    <w:rsid w:val="00DE063B"/>
    <w:rsid w:val="00DE0651"/>
    <w:rsid w:val="00DE06D0"/>
    <w:rsid w:val="00DE06F6"/>
    <w:rsid w:val="00DE074A"/>
    <w:rsid w:val="00DE07D8"/>
    <w:rsid w:val="00DE07E9"/>
    <w:rsid w:val="00DE0897"/>
    <w:rsid w:val="00DE08A8"/>
    <w:rsid w:val="00DE08B3"/>
    <w:rsid w:val="00DE08DB"/>
    <w:rsid w:val="00DE0907"/>
    <w:rsid w:val="00DE096C"/>
    <w:rsid w:val="00DE09B0"/>
    <w:rsid w:val="00DE0A4C"/>
    <w:rsid w:val="00DE0A53"/>
    <w:rsid w:val="00DE0A7B"/>
    <w:rsid w:val="00DE0A83"/>
    <w:rsid w:val="00DE0A8A"/>
    <w:rsid w:val="00DE0AA4"/>
    <w:rsid w:val="00DE0AB1"/>
    <w:rsid w:val="00DE0C33"/>
    <w:rsid w:val="00DE0D23"/>
    <w:rsid w:val="00DE0D38"/>
    <w:rsid w:val="00DE0D55"/>
    <w:rsid w:val="00DE0D73"/>
    <w:rsid w:val="00DE0DB0"/>
    <w:rsid w:val="00DE0E46"/>
    <w:rsid w:val="00DE0F49"/>
    <w:rsid w:val="00DE0FCA"/>
    <w:rsid w:val="00DE0FE4"/>
    <w:rsid w:val="00DE10C0"/>
    <w:rsid w:val="00DE10EE"/>
    <w:rsid w:val="00DE1147"/>
    <w:rsid w:val="00DE11E6"/>
    <w:rsid w:val="00DE11EE"/>
    <w:rsid w:val="00DE11F1"/>
    <w:rsid w:val="00DE1251"/>
    <w:rsid w:val="00DE130D"/>
    <w:rsid w:val="00DE1338"/>
    <w:rsid w:val="00DE13AC"/>
    <w:rsid w:val="00DE1427"/>
    <w:rsid w:val="00DE1446"/>
    <w:rsid w:val="00DE14E4"/>
    <w:rsid w:val="00DE152F"/>
    <w:rsid w:val="00DE1574"/>
    <w:rsid w:val="00DE15E8"/>
    <w:rsid w:val="00DE1602"/>
    <w:rsid w:val="00DE163F"/>
    <w:rsid w:val="00DE16BF"/>
    <w:rsid w:val="00DE17E7"/>
    <w:rsid w:val="00DE186D"/>
    <w:rsid w:val="00DE1916"/>
    <w:rsid w:val="00DE199B"/>
    <w:rsid w:val="00DE1A2F"/>
    <w:rsid w:val="00DE1A67"/>
    <w:rsid w:val="00DE1ABE"/>
    <w:rsid w:val="00DE1BE1"/>
    <w:rsid w:val="00DE1BE8"/>
    <w:rsid w:val="00DE1C09"/>
    <w:rsid w:val="00DE1CA3"/>
    <w:rsid w:val="00DE1CAC"/>
    <w:rsid w:val="00DE1D4F"/>
    <w:rsid w:val="00DE1D5B"/>
    <w:rsid w:val="00DE1DAC"/>
    <w:rsid w:val="00DE1E0A"/>
    <w:rsid w:val="00DE1E6D"/>
    <w:rsid w:val="00DE1E7C"/>
    <w:rsid w:val="00DE1E85"/>
    <w:rsid w:val="00DE1EBA"/>
    <w:rsid w:val="00DE1F1A"/>
    <w:rsid w:val="00DE1F45"/>
    <w:rsid w:val="00DE1FC6"/>
    <w:rsid w:val="00DE1FF3"/>
    <w:rsid w:val="00DE205F"/>
    <w:rsid w:val="00DE20C5"/>
    <w:rsid w:val="00DE2115"/>
    <w:rsid w:val="00DE2148"/>
    <w:rsid w:val="00DE21A1"/>
    <w:rsid w:val="00DE2322"/>
    <w:rsid w:val="00DE2332"/>
    <w:rsid w:val="00DE23B5"/>
    <w:rsid w:val="00DE23CA"/>
    <w:rsid w:val="00DE2432"/>
    <w:rsid w:val="00DE2470"/>
    <w:rsid w:val="00DE24FA"/>
    <w:rsid w:val="00DE26BD"/>
    <w:rsid w:val="00DE26D0"/>
    <w:rsid w:val="00DE26E5"/>
    <w:rsid w:val="00DE281C"/>
    <w:rsid w:val="00DE2845"/>
    <w:rsid w:val="00DE2870"/>
    <w:rsid w:val="00DE28D4"/>
    <w:rsid w:val="00DE28FD"/>
    <w:rsid w:val="00DE2972"/>
    <w:rsid w:val="00DE2ADA"/>
    <w:rsid w:val="00DE2BDC"/>
    <w:rsid w:val="00DE2C0F"/>
    <w:rsid w:val="00DE2C21"/>
    <w:rsid w:val="00DE2CC5"/>
    <w:rsid w:val="00DE2CD7"/>
    <w:rsid w:val="00DE2CE8"/>
    <w:rsid w:val="00DE2D1B"/>
    <w:rsid w:val="00DE2D31"/>
    <w:rsid w:val="00DE2DC0"/>
    <w:rsid w:val="00DE2E04"/>
    <w:rsid w:val="00DE2F04"/>
    <w:rsid w:val="00DE2F18"/>
    <w:rsid w:val="00DE2F60"/>
    <w:rsid w:val="00DE2FC8"/>
    <w:rsid w:val="00DE30AB"/>
    <w:rsid w:val="00DE30AF"/>
    <w:rsid w:val="00DE30F2"/>
    <w:rsid w:val="00DE314E"/>
    <w:rsid w:val="00DE317D"/>
    <w:rsid w:val="00DE320A"/>
    <w:rsid w:val="00DE3226"/>
    <w:rsid w:val="00DE3340"/>
    <w:rsid w:val="00DE3428"/>
    <w:rsid w:val="00DE3434"/>
    <w:rsid w:val="00DE3458"/>
    <w:rsid w:val="00DE34A8"/>
    <w:rsid w:val="00DE350B"/>
    <w:rsid w:val="00DE3542"/>
    <w:rsid w:val="00DE3652"/>
    <w:rsid w:val="00DE36C5"/>
    <w:rsid w:val="00DE36C9"/>
    <w:rsid w:val="00DE37AC"/>
    <w:rsid w:val="00DE37BB"/>
    <w:rsid w:val="00DE37FD"/>
    <w:rsid w:val="00DE386B"/>
    <w:rsid w:val="00DE38AB"/>
    <w:rsid w:val="00DE3A2B"/>
    <w:rsid w:val="00DE3B3E"/>
    <w:rsid w:val="00DE3BA0"/>
    <w:rsid w:val="00DE3C3F"/>
    <w:rsid w:val="00DE3C9D"/>
    <w:rsid w:val="00DE3CA1"/>
    <w:rsid w:val="00DE3D39"/>
    <w:rsid w:val="00DE3D65"/>
    <w:rsid w:val="00DE3DD4"/>
    <w:rsid w:val="00DE3E5B"/>
    <w:rsid w:val="00DE3EBC"/>
    <w:rsid w:val="00DE3ECC"/>
    <w:rsid w:val="00DE3ED6"/>
    <w:rsid w:val="00DE3F62"/>
    <w:rsid w:val="00DE3FC6"/>
    <w:rsid w:val="00DE4028"/>
    <w:rsid w:val="00DE4093"/>
    <w:rsid w:val="00DE412F"/>
    <w:rsid w:val="00DE419E"/>
    <w:rsid w:val="00DE41F3"/>
    <w:rsid w:val="00DE4206"/>
    <w:rsid w:val="00DE426F"/>
    <w:rsid w:val="00DE4315"/>
    <w:rsid w:val="00DE436F"/>
    <w:rsid w:val="00DE4383"/>
    <w:rsid w:val="00DE4385"/>
    <w:rsid w:val="00DE438E"/>
    <w:rsid w:val="00DE4393"/>
    <w:rsid w:val="00DE43AA"/>
    <w:rsid w:val="00DE440A"/>
    <w:rsid w:val="00DE4526"/>
    <w:rsid w:val="00DE4539"/>
    <w:rsid w:val="00DE45F2"/>
    <w:rsid w:val="00DE4639"/>
    <w:rsid w:val="00DE4660"/>
    <w:rsid w:val="00DE4668"/>
    <w:rsid w:val="00DE4672"/>
    <w:rsid w:val="00DE46F4"/>
    <w:rsid w:val="00DE47B0"/>
    <w:rsid w:val="00DE47B4"/>
    <w:rsid w:val="00DE48DD"/>
    <w:rsid w:val="00DE490A"/>
    <w:rsid w:val="00DE49C0"/>
    <w:rsid w:val="00DE4A09"/>
    <w:rsid w:val="00DE4AB7"/>
    <w:rsid w:val="00DE4ACA"/>
    <w:rsid w:val="00DE4AF8"/>
    <w:rsid w:val="00DE4B1B"/>
    <w:rsid w:val="00DE4B2E"/>
    <w:rsid w:val="00DE4B6A"/>
    <w:rsid w:val="00DE4BF3"/>
    <w:rsid w:val="00DE4C70"/>
    <w:rsid w:val="00DE4C7D"/>
    <w:rsid w:val="00DE4CE5"/>
    <w:rsid w:val="00DE4CF5"/>
    <w:rsid w:val="00DE4D31"/>
    <w:rsid w:val="00DE4D91"/>
    <w:rsid w:val="00DE4DC9"/>
    <w:rsid w:val="00DE4E5D"/>
    <w:rsid w:val="00DE4E75"/>
    <w:rsid w:val="00DE4FDA"/>
    <w:rsid w:val="00DE50D3"/>
    <w:rsid w:val="00DE5119"/>
    <w:rsid w:val="00DE5227"/>
    <w:rsid w:val="00DE5233"/>
    <w:rsid w:val="00DE523E"/>
    <w:rsid w:val="00DE52BA"/>
    <w:rsid w:val="00DE52D0"/>
    <w:rsid w:val="00DE5321"/>
    <w:rsid w:val="00DE5381"/>
    <w:rsid w:val="00DE53E1"/>
    <w:rsid w:val="00DE53FB"/>
    <w:rsid w:val="00DE5453"/>
    <w:rsid w:val="00DE54CA"/>
    <w:rsid w:val="00DE5524"/>
    <w:rsid w:val="00DE5527"/>
    <w:rsid w:val="00DE554D"/>
    <w:rsid w:val="00DE555F"/>
    <w:rsid w:val="00DE55C6"/>
    <w:rsid w:val="00DE55FA"/>
    <w:rsid w:val="00DE5613"/>
    <w:rsid w:val="00DE56A0"/>
    <w:rsid w:val="00DE56FA"/>
    <w:rsid w:val="00DE5731"/>
    <w:rsid w:val="00DE5742"/>
    <w:rsid w:val="00DE57CE"/>
    <w:rsid w:val="00DE58A5"/>
    <w:rsid w:val="00DE5931"/>
    <w:rsid w:val="00DE5952"/>
    <w:rsid w:val="00DE59F5"/>
    <w:rsid w:val="00DE5A47"/>
    <w:rsid w:val="00DE5A51"/>
    <w:rsid w:val="00DE5B22"/>
    <w:rsid w:val="00DE5B6C"/>
    <w:rsid w:val="00DE5B99"/>
    <w:rsid w:val="00DE5BE4"/>
    <w:rsid w:val="00DE5C29"/>
    <w:rsid w:val="00DE5C4F"/>
    <w:rsid w:val="00DE5CB6"/>
    <w:rsid w:val="00DE5D22"/>
    <w:rsid w:val="00DE5D44"/>
    <w:rsid w:val="00DE5D47"/>
    <w:rsid w:val="00DE5D75"/>
    <w:rsid w:val="00DE5D93"/>
    <w:rsid w:val="00DE5E8B"/>
    <w:rsid w:val="00DE5EDB"/>
    <w:rsid w:val="00DE5F45"/>
    <w:rsid w:val="00DE6089"/>
    <w:rsid w:val="00DE60B8"/>
    <w:rsid w:val="00DE610D"/>
    <w:rsid w:val="00DE6197"/>
    <w:rsid w:val="00DE61CF"/>
    <w:rsid w:val="00DE621C"/>
    <w:rsid w:val="00DE6220"/>
    <w:rsid w:val="00DE62B7"/>
    <w:rsid w:val="00DE6325"/>
    <w:rsid w:val="00DE635C"/>
    <w:rsid w:val="00DE63D1"/>
    <w:rsid w:val="00DE63D2"/>
    <w:rsid w:val="00DE6416"/>
    <w:rsid w:val="00DE642F"/>
    <w:rsid w:val="00DE6460"/>
    <w:rsid w:val="00DE6468"/>
    <w:rsid w:val="00DE6598"/>
    <w:rsid w:val="00DE65FE"/>
    <w:rsid w:val="00DE66AB"/>
    <w:rsid w:val="00DE66C2"/>
    <w:rsid w:val="00DE6746"/>
    <w:rsid w:val="00DE6848"/>
    <w:rsid w:val="00DE6880"/>
    <w:rsid w:val="00DE68CB"/>
    <w:rsid w:val="00DE68E8"/>
    <w:rsid w:val="00DE6989"/>
    <w:rsid w:val="00DE6998"/>
    <w:rsid w:val="00DE69B1"/>
    <w:rsid w:val="00DE6A17"/>
    <w:rsid w:val="00DE6A67"/>
    <w:rsid w:val="00DE6B03"/>
    <w:rsid w:val="00DE6B0C"/>
    <w:rsid w:val="00DE6B7C"/>
    <w:rsid w:val="00DE6B88"/>
    <w:rsid w:val="00DE6BC5"/>
    <w:rsid w:val="00DE6BD6"/>
    <w:rsid w:val="00DE6BF1"/>
    <w:rsid w:val="00DE6C33"/>
    <w:rsid w:val="00DE6C77"/>
    <w:rsid w:val="00DE6D28"/>
    <w:rsid w:val="00DE6E7A"/>
    <w:rsid w:val="00DE6E97"/>
    <w:rsid w:val="00DE6EFE"/>
    <w:rsid w:val="00DE6F03"/>
    <w:rsid w:val="00DE6F2F"/>
    <w:rsid w:val="00DE702E"/>
    <w:rsid w:val="00DE705F"/>
    <w:rsid w:val="00DE7072"/>
    <w:rsid w:val="00DE7223"/>
    <w:rsid w:val="00DE7282"/>
    <w:rsid w:val="00DE728D"/>
    <w:rsid w:val="00DE72AB"/>
    <w:rsid w:val="00DE72AC"/>
    <w:rsid w:val="00DE735A"/>
    <w:rsid w:val="00DE7481"/>
    <w:rsid w:val="00DE74A7"/>
    <w:rsid w:val="00DE74C3"/>
    <w:rsid w:val="00DE74EC"/>
    <w:rsid w:val="00DE74EF"/>
    <w:rsid w:val="00DE751A"/>
    <w:rsid w:val="00DE754E"/>
    <w:rsid w:val="00DE7599"/>
    <w:rsid w:val="00DE75CD"/>
    <w:rsid w:val="00DE75E0"/>
    <w:rsid w:val="00DE75F9"/>
    <w:rsid w:val="00DE7634"/>
    <w:rsid w:val="00DE764A"/>
    <w:rsid w:val="00DE76C2"/>
    <w:rsid w:val="00DE77BC"/>
    <w:rsid w:val="00DE797F"/>
    <w:rsid w:val="00DE7A1B"/>
    <w:rsid w:val="00DE7A38"/>
    <w:rsid w:val="00DE7A4D"/>
    <w:rsid w:val="00DE7A6B"/>
    <w:rsid w:val="00DE7A74"/>
    <w:rsid w:val="00DE7A8F"/>
    <w:rsid w:val="00DE7AD7"/>
    <w:rsid w:val="00DE7B62"/>
    <w:rsid w:val="00DE7B89"/>
    <w:rsid w:val="00DE7C29"/>
    <w:rsid w:val="00DE7C35"/>
    <w:rsid w:val="00DE7CE7"/>
    <w:rsid w:val="00DE7D62"/>
    <w:rsid w:val="00DE7D98"/>
    <w:rsid w:val="00DE7E93"/>
    <w:rsid w:val="00DE7F31"/>
    <w:rsid w:val="00DE7F89"/>
    <w:rsid w:val="00DE7FF7"/>
    <w:rsid w:val="00DF0060"/>
    <w:rsid w:val="00DF00BF"/>
    <w:rsid w:val="00DF00CD"/>
    <w:rsid w:val="00DF0156"/>
    <w:rsid w:val="00DF01D0"/>
    <w:rsid w:val="00DF01E5"/>
    <w:rsid w:val="00DF022C"/>
    <w:rsid w:val="00DF0272"/>
    <w:rsid w:val="00DF02FF"/>
    <w:rsid w:val="00DF0301"/>
    <w:rsid w:val="00DF0317"/>
    <w:rsid w:val="00DF04A0"/>
    <w:rsid w:val="00DF0501"/>
    <w:rsid w:val="00DF0545"/>
    <w:rsid w:val="00DF05CC"/>
    <w:rsid w:val="00DF0690"/>
    <w:rsid w:val="00DF0736"/>
    <w:rsid w:val="00DF0771"/>
    <w:rsid w:val="00DF07B8"/>
    <w:rsid w:val="00DF082B"/>
    <w:rsid w:val="00DF08B7"/>
    <w:rsid w:val="00DF08EE"/>
    <w:rsid w:val="00DF08F1"/>
    <w:rsid w:val="00DF0901"/>
    <w:rsid w:val="00DF0967"/>
    <w:rsid w:val="00DF0990"/>
    <w:rsid w:val="00DF09AB"/>
    <w:rsid w:val="00DF09DB"/>
    <w:rsid w:val="00DF09E6"/>
    <w:rsid w:val="00DF0A16"/>
    <w:rsid w:val="00DF0A1A"/>
    <w:rsid w:val="00DF0A66"/>
    <w:rsid w:val="00DF0AFC"/>
    <w:rsid w:val="00DF0C15"/>
    <w:rsid w:val="00DF0CDC"/>
    <w:rsid w:val="00DF0D35"/>
    <w:rsid w:val="00DF0D55"/>
    <w:rsid w:val="00DF0DD4"/>
    <w:rsid w:val="00DF0DDC"/>
    <w:rsid w:val="00DF0DE5"/>
    <w:rsid w:val="00DF0E39"/>
    <w:rsid w:val="00DF0E7D"/>
    <w:rsid w:val="00DF0ECF"/>
    <w:rsid w:val="00DF0F97"/>
    <w:rsid w:val="00DF0FF3"/>
    <w:rsid w:val="00DF104F"/>
    <w:rsid w:val="00DF10AF"/>
    <w:rsid w:val="00DF10C9"/>
    <w:rsid w:val="00DF10D8"/>
    <w:rsid w:val="00DF1150"/>
    <w:rsid w:val="00DF1155"/>
    <w:rsid w:val="00DF119C"/>
    <w:rsid w:val="00DF11F7"/>
    <w:rsid w:val="00DF1266"/>
    <w:rsid w:val="00DF1335"/>
    <w:rsid w:val="00DF134C"/>
    <w:rsid w:val="00DF1352"/>
    <w:rsid w:val="00DF1376"/>
    <w:rsid w:val="00DF1440"/>
    <w:rsid w:val="00DF1473"/>
    <w:rsid w:val="00DF14FF"/>
    <w:rsid w:val="00DF1592"/>
    <w:rsid w:val="00DF159B"/>
    <w:rsid w:val="00DF15C1"/>
    <w:rsid w:val="00DF15E6"/>
    <w:rsid w:val="00DF1617"/>
    <w:rsid w:val="00DF161F"/>
    <w:rsid w:val="00DF1678"/>
    <w:rsid w:val="00DF16E9"/>
    <w:rsid w:val="00DF1742"/>
    <w:rsid w:val="00DF17BC"/>
    <w:rsid w:val="00DF17E6"/>
    <w:rsid w:val="00DF17FD"/>
    <w:rsid w:val="00DF181C"/>
    <w:rsid w:val="00DF181D"/>
    <w:rsid w:val="00DF18C1"/>
    <w:rsid w:val="00DF195E"/>
    <w:rsid w:val="00DF199D"/>
    <w:rsid w:val="00DF19E8"/>
    <w:rsid w:val="00DF19F3"/>
    <w:rsid w:val="00DF1A5C"/>
    <w:rsid w:val="00DF1AA4"/>
    <w:rsid w:val="00DF1B2C"/>
    <w:rsid w:val="00DF1B50"/>
    <w:rsid w:val="00DF1C59"/>
    <w:rsid w:val="00DF1C93"/>
    <w:rsid w:val="00DF1CA8"/>
    <w:rsid w:val="00DF1D87"/>
    <w:rsid w:val="00DF1E05"/>
    <w:rsid w:val="00DF1E1C"/>
    <w:rsid w:val="00DF1E3F"/>
    <w:rsid w:val="00DF1EA4"/>
    <w:rsid w:val="00DF1EDD"/>
    <w:rsid w:val="00DF1F73"/>
    <w:rsid w:val="00DF1F96"/>
    <w:rsid w:val="00DF200F"/>
    <w:rsid w:val="00DF203C"/>
    <w:rsid w:val="00DF210A"/>
    <w:rsid w:val="00DF210E"/>
    <w:rsid w:val="00DF21A2"/>
    <w:rsid w:val="00DF21BA"/>
    <w:rsid w:val="00DF21EB"/>
    <w:rsid w:val="00DF2234"/>
    <w:rsid w:val="00DF22AA"/>
    <w:rsid w:val="00DF22BA"/>
    <w:rsid w:val="00DF22D0"/>
    <w:rsid w:val="00DF2337"/>
    <w:rsid w:val="00DF2358"/>
    <w:rsid w:val="00DF2440"/>
    <w:rsid w:val="00DF2450"/>
    <w:rsid w:val="00DF249B"/>
    <w:rsid w:val="00DF2517"/>
    <w:rsid w:val="00DF2684"/>
    <w:rsid w:val="00DF26AA"/>
    <w:rsid w:val="00DF274B"/>
    <w:rsid w:val="00DF276C"/>
    <w:rsid w:val="00DF2779"/>
    <w:rsid w:val="00DF277A"/>
    <w:rsid w:val="00DF282D"/>
    <w:rsid w:val="00DF2845"/>
    <w:rsid w:val="00DF295E"/>
    <w:rsid w:val="00DF2966"/>
    <w:rsid w:val="00DF29AA"/>
    <w:rsid w:val="00DF2A42"/>
    <w:rsid w:val="00DF2A5C"/>
    <w:rsid w:val="00DF2ACE"/>
    <w:rsid w:val="00DF2B3A"/>
    <w:rsid w:val="00DF2B96"/>
    <w:rsid w:val="00DF2BA5"/>
    <w:rsid w:val="00DF2C6C"/>
    <w:rsid w:val="00DF2C82"/>
    <w:rsid w:val="00DF2D03"/>
    <w:rsid w:val="00DF2D44"/>
    <w:rsid w:val="00DF2D89"/>
    <w:rsid w:val="00DF2DDD"/>
    <w:rsid w:val="00DF2E25"/>
    <w:rsid w:val="00DF2E39"/>
    <w:rsid w:val="00DF2EBD"/>
    <w:rsid w:val="00DF2F9F"/>
    <w:rsid w:val="00DF2FF7"/>
    <w:rsid w:val="00DF309E"/>
    <w:rsid w:val="00DF31C4"/>
    <w:rsid w:val="00DF32BC"/>
    <w:rsid w:val="00DF331D"/>
    <w:rsid w:val="00DF3330"/>
    <w:rsid w:val="00DF3358"/>
    <w:rsid w:val="00DF345D"/>
    <w:rsid w:val="00DF3463"/>
    <w:rsid w:val="00DF3517"/>
    <w:rsid w:val="00DF360C"/>
    <w:rsid w:val="00DF3696"/>
    <w:rsid w:val="00DF370F"/>
    <w:rsid w:val="00DF371D"/>
    <w:rsid w:val="00DF3736"/>
    <w:rsid w:val="00DF377D"/>
    <w:rsid w:val="00DF37A1"/>
    <w:rsid w:val="00DF37EF"/>
    <w:rsid w:val="00DF37F0"/>
    <w:rsid w:val="00DF3928"/>
    <w:rsid w:val="00DF395B"/>
    <w:rsid w:val="00DF39E8"/>
    <w:rsid w:val="00DF3A55"/>
    <w:rsid w:val="00DF3A7B"/>
    <w:rsid w:val="00DF3A7D"/>
    <w:rsid w:val="00DF3B38"/>
    <w:rsid w:val="00DF3B6C"/>
    <w:rsid w:val="00DF3B6E"/>
    <w:rsid w:val="00DF3B8F"/>
    <w:rsid w:val="00DF3C21"/>
    <w:rsid w:val="00DF3C88"/>
    <w:rsid w:val="00DF3C9F"/>
    <w:rsid w:val="00DF3CA5"/>
    <w:rsid w:val="00DF3CC6"/>
    <w:rsid w:val="00DF3D35"/>
    <w:rsid w:val="00DF3DA4"/>
    <w:rsid w:val="00DF3DB2"/>
    <w:rsid w:val="00DF3E8D"/>
    <w:rsid w:val="00DF3F42"/>
    <w:rsid w:val="00DF3F55"/>
    <w:rsid w:val="00DF3FF3"/>
    <w:rsid w:val="00DF4034"/>
    <w:rsid w:val="00DF405E"/>
    <w:rsid w:val="00DF409B"/>
    <w:rsid w:val="00DF40C7"/>
    <w:rsid w:val="00DF4157"/>
    <w:rsid w:val="00DF41C6"/>
    <w:rsid w:val="00DF41F2"/>
    <w:rsid w:val="00DF4213"/>
    <w:rsid w:val="00DF421B"/>
    <w:rsid w:val="00DF423A"/>
    <w:rsid w:val="00DF42F9"/>
    <w:rsid w:val="00DF4309"/>
    <w:rsid w:val="00DF4344"/>
    <w:rsid w:val="00DF4395"/>
    <w:rsid w:val="00DF4452"/>
    <w:rsid w:val="00DF4475"/>
    <w:rsid w:val="00DF4572"/>
    <w:rsid w:val="00DF457A"/>
    <w:rsid w:val="00DF45BB"/>
    <w:rsid w:val="00DF45DF"/>
    <w:rsid w:val="00DF45E4"/>
    <w:rsid w:val="00DF46E6"/>
    <w:rsid w:val="00DF46FE"/>
    <w:rsid w:val="00DF474C"/>
    <w:rsid w:val="00DF4789"/>
    <w:rsid w:val="00DF4832"/>
    <w:rsid w:val="00DF4834"/>
    <w:rsid w:val="00DF48B5"/>
    <w:rsid w:val="00DF48CB"/>
    <w:rsid w:val="00DF49FB"/>
    <w:rsid w:val="00DF4A4F"/>
    <w:rsid w:val="00DF4A60"/>
    <w:rsid w:val="00DF4A7D"/>
    <w:rsid w:val="00DF4ADC"/>
    <w:rsid w:val="00DF4B78"/>
    <w:rsid w:val="00DF4D48"/>
    <w:rsid w:val="00DF4DD2"/>
    <w:rsid w:val="00DF4E2F"/>
    <w:rsid w:val="00DF4E55"/>
    <w:rsid w:val="00DF4F24"/>
    <w:rsid w:val="00DF500E"/>
    <w:rsid w:val="00DF50C4"/>
    <w:rsid w:val="00DF50E4"/>
    <w:rsid w:val="00DF5106"/>
    <w:rsid w:val="00DF5212"/>
    <w:rsid w:val="00DF522E"/>
    <w:rsid w:val="00DF5278"/>
    <w:rsid w:val="00DF52B6"/>
    <w:rsid w:val="00DF53A0"/>
    <w:rsid w:val="00DF53E5"/>
    <w:rsid w:val="00DF5438"/>
    <w:rsid w:val="00DF543E"/>
    <w:rsid w:val="00DF5456"/>
    <w:rsid w:val="00DF5476"/>
    <w:rsid w:val="00DF54CF"/>
    <w:rsid w:val="00DF5540"/>
    <w:rsid w:val="00DF5585"/>
    <w:rsid w:val="00DF5630"/>
    <w:rsid w:val="00DF5727"/>
    <w:rsid w:val="00DF5758"/>
    <w:rsid w:val="00DF5770"/>
    <w:rsid w:val="00DF57DB"/>
    <w:rsid w:val="00DF587F"/>
    <w:rsid w:val="00DF588B"/>
    <w:rsid w:val="00DF58E1"/>
    <w:rsid w:val="00DF58FD"/>
    <w:rsid w:val="00DF5911"/>
    <w:rsid w:val="00DF5929"/>
    <w:rsid w:val="00DF59C7"/>
    <w:rsid w:val="00DF59FE"/>
    <w:rsid w:val="00DF5A30"/>
    <w:rsid w:val="00DF5AC1"/>
    <w:rsid w:val="00DF5B76"/>
    <w:rsid w:val="00DF5B7E"/>
    <w:rsid w:val="00DF5B9C"/>
    <w:rsid w:val="00DF5BD4"/>
    <w:rsid w:val="00DF5BE1"/>
    <w:rsid w:val="00DF5C79"/>
    <w:rsid w:val="00DF5DF9"/>
    <w:rsid w:val="00DF5E23"/>
    <w:rsid w:val="00DF5E37"/>
    <w:rsid w:val="00DF5EEC"/>
    <w:rsid w:val="00DF5F02"/>
    <w:rsid w:val="00DF5F11"/>
    <w:rsid w:val="00DF5F73"/>
    <w:rsid w:val="00DF600A"/>
    <w:rsid w:val="00DF6023"/>
    <w:rsid w:val="00DF6159"/>
    <w:rsid w:val="00DF624A"/>
    <w:rsid w:val="00DF628C"/>
    <w:rsid w:val="00DF62D3"/>
    <w:rsid w:val="00DF62E8"/>
    <w:rsid w:val="00DF6375"/>
    <w:rsid w:val="00DF63BB"/>
    <w:rsid w:val="00DF6426"/>
    <w:rsid w:val="00DF6507"/>
    <w:rsid w:val="00DF6536"/>
    <w:rsid w:val="00DF6541"/>
    <w:rsid w:val="00DF654B"/>
    <w:rsid w:val="00DF6566"/>
    <w:rsid w:val="00DF6587"/>
    <w:rsid w:val="00DF65AB"/>
    <w:rsid w:val="00DF6601"/>
    <w:rsid w:val="00DF664C"/>
    <w:rsid w:val="00DF673E"/>
    <w:rsid w:val="00DF6755"/>
    <w:rsid w:val="00DF6774"/>
    <w:rsid w:val="00DF677A"/>
    <w:rsid w:val="00DF67A2"/>
    <w:rsid w:val="00DF67D2"/>
    <w:rsid w:val="00DF6859"/>
    <w:rsid w:val="00DF689D"/>
    <w:rsid w:val="00DF68BD"/>
    <w:rsid w:val="00DF6909"/>
    <w:rsid w:val="00DF6944"/>
    <w:rsid w:val="00DF6A7A"/>
    <w:rsid w:val="00DF6AF5"/>
    <w:rsid w:val="00DF6B25"/>
    <w:rsid w:val="00DF6C64"/>
    <w:rsid w:val="00DF6C74"/>
    <w:rsid w:val="00DF6CCB"/>
    <w:rsid w:val="00DF6CEA"/>
    <w:rsid w:val="00DF6D51"/>
    <w:rsid w:val="00DF6E0B"/>
    <w:rsid w:val="00DF6E38"/>
    <w:rsid w:val="00DF6E7C"/>
    <w:rsid w:val="00DF6E8D"/>
    <w:rsid w:val="00DF6EAE"/>
    <w:rsid w:val="00DF6FC3"/>
    <w:rsid w:val="00DF7052"/>
    <w:rsid w:val="00DF70F7"/>
    <w:rsid w:val="00DF71F1"/>
    <w:rsid w:val="00DF720B"/>
    <w:rsid w:val="00DF720C"/>
    <w:rsid w:val="00DF7242"/>
    <w:rsid w:val="00DF73A0"/>
    <w:rsid w:val="00DF73AF"/>
    <w:rsid w:val="00DF73B6"/>
    <w:rsid w:val="00DF73B7"/>
    <w:rsid w:val="00DF7450"/>
    <w:rsid w:val="00DF749B"/>
    <w:rsid w:val="00DF757B"/>
    <w:rsid w:val="00DF7600"/>
    <w:rsid w:val="00DF76FA"/>
    <w:rsid w:val="00DF7722"/>
    <w:rsid w:val="00DF774A"/>
    <w:rsid w:val="00DF77B2"/>
    <w:rsid w:val="00DF780F"/>
    <w:rsid w:val="00DF781C"/>
    <w:rsid w:val="00DF7831"/>
    <w:rsid w:val="00DF7837"/>
    <w:rsid w:val="00DF787C"/>
    <w:rsid w:val="00DF78EC"/>
    <w:rsid w:val="00DF7995"/>
    <w:rsid w:val="00DF79BF"/>
    <w:rsid w:val="00DF79D2"/>
    <w:rsid w:val="00DF7A38"/>
    <w:rsid w:val="00DF7A53"/>
    <w:rsid w:val="00DF7ABF"/>
    <w:rsid w:val="00DF7B5C"/>
    <w:rsid w:val="00DF7B6E"/>
    <w:rsid w:val="00DF7B8C"/>
    <w:rsid w:val="00DF7BA5"/>
    <w:rsid w:val="00DF7BC7"/>
    <w:rsid w:val="00DF7BCA"/>
    <w:rsid w:val="00DF7BE9"/>
    <w:rsid w:val="00DF7C8B"/>
    <w:rsid w:val="00DF7D7C"/>
    <w:rsid w:val="00DF7D92"/>
    <w:rsid w:val="00DF7D9F"/>
    <w:rsid w:val="00DF7E19"/>
    <w:rsid w:val="00DF7E59"/>
    <w:rsid w:val="00DF7E62"/>
    <w:rsid w:val="00DF7E89"/>
    <w:rsid w:val="00DF7EA1"/>
    <w:rsid w:val="00DF7EFF"/>
    <w:rsid w:val="00DF7F1C"/>
    <w:rsid w:val="00DF7F21"/>
    <w:rsid w:val="00E0002A"/>
    <w:rsid w:val="00E00058"/>
    <w:rsid w:val="00E0005C"/>
    <w:rsid w:val="00E00060"/>
    <w:rsid w:val="00E0008F"/>
    <w:rsid w:val="00E000C3"/>
    <w:rsid w:val="00E000E9"/>
    <w:rsid w:val="00E0013F"/>
    <w:rsid w:val="00E00167"/>
    <w:rsid w:val="00E00187"/>
    <w:rsid w:val="00E001B3"/>
    <w:rsid w:val="00E001FF"/>
    <w:rsid w:val="00E00222"/>
    <w:rsid w:val="00E002C4"/>
    <w:rsid w:val="00E00433"/>
    <w:rsid w:val="00E00470"/>
    <w:rsid w:val="00E0048D"/>
    <w:rsid w:val="00E004F6"/>
    <w:rsid w:val="00E00595"/>
    <w:rsid w:val="00E005E4"/>
    <w:rsid w:val="00E0063C"/>
    <w:rsid w:val="00E0065F"/>
    <w:rsid w:val="00E0066B"/>
    <w:rsid w:val="00E00690"/>
    <w:rsid w:val="00E006A4"/>
    <w:rsid w:val="00E0070C"/>
    <w:rsid w:val="00E0075E"/>
    <w:rsid w:val="00E00761"/>
    <w:rsid w:val="00E00789"/>
    <w:rsid w:val="00E007A5"/>
    <w:rsid w:val="00E00981"/>
    <w:rsid w:val="00E00A5E"/>
    <w:rsid w:val="00E00AC5"/>
    <w:rsid w:val="00E00ACD"/>
    <w:rsid w:val="00E00B60"/>
    <w:rsid w:val="00E00BA3"/>
    <w:rsid w:val="00E00BCE"/>
    <w:rsid w:val="00E00C8A"/>
    <w:rsid w:val="00E00D19"/>
    <w:rsid w:val="00E00D4D"/>
    <w:rsid w:val="00E00D62"/>
    <w:rsid w:val="00E00DB4"/>
    <w:rsid w:val="00E00DE1"/>
    <w:rsid w:val="00E00E0D"/>
    <w:rsid w:val="00E00EB4"/>
    <w:rsid w:val="00E00F0E"/>
    <w:rsid w:val="00E00F49"/>
    <w:rsid w:val="00E00F57"/>
    <w:rsid w:val="00E01019"/>
    <w:rsid w:val="00E01131"/>
    <w:rsid w:val="00E01171"/>
    <w:rsid w:val="00E011A7"/>
    <w:rsid w:val="00E011EE"/>
    <w:rsid w:val="00E01234"/>
    <w:rsid w:val="00E01282"/>
    <w:rsid w:val="00E012F7"/>
    <w:rsid w:val="00E01320"/>
    <w:rsid w:val="00E01322"/>
    <w:rsid w:val="00E013F3"/>
    <w:rsid w:val="00E01419"/>
    <w:rsid w:val="00E014ED"/>
    <w:rsid w:val="00E01571"/>
    <w:rsid w:val="00E01583"/>
    <w:rsid w:val="00E0158A"/>
    <w:rsid w:val="00E015D9"/>
    <w:rsid w:val="00E0165B"/>
    <w:rsid w:val="00E0165C"/>
    <w:rsid w:val="00E01741"/>
    <w:rsid w:val="00E0175D"/>
    <w:rsid w:val="00E017C4"/>
    <w:rsid w:val="00E017D0"/>
    <w:rsid w:val="00E017F8"/>
    <w:rsid w:val="00E017F9"/>
    <w:rsid w:val="00E017FB"/>
    <w:rsid w:val="00E01829"/>
    <w:rsid w:val="00E018B9"/>
    <w:rsid w:val="00E018BB"/>
    <w:rsid w:val="00E018CD"/>
    <w:rsid w:val="00E018F9"/>
    <w:rsid w:val="00E018FE"/>
    <w:rsid w:val="00E01A59"/>
    <w:rsid w:val="00E01A5E"/>
    <w:rsid w:val="00E01A69"/>
    <w:rsid w:val="00E01A92"/>
    <w:rsid w:val="00E01B77"/>
    <w:rsid w:val="00E01C26"/>
    <w:rsid w:val="00E01C50"/>
    <w:rsid w:val="00E01C8E"/>
    <w:rsid w:val="00E01DFE"/>
    <w:rsid w:val="00E01EF2"/>
    <w:rsid w:val="00E01F06"/>
    <w:rsid w:val="00E01F84"/>
    <w:rsid w:val="00E02010"/>
    <w:rsid w:val="00E02042"/>
    <w:rsid w:val="00E02057"/>
    <w:rsid w:val="00E020D8"/>
    <w:rsid w:val="00E0211E"/>
    <w:rsid w:val="00E02140"/>
    <w:rsid w:val="00E02172"/>
    <w:rsid w:val="00E021A0"/>
    <w:rsid w:val="00E021E3"/>
    <w:rsid w:val="00E02207"/>
    <w:rsid w:val="00E0225C"/>
    <w:rsid w:val="00E02263"/>
    <w:rsid w:val="00E02322"/>
    <w:rsid w:val="00E02357"/>
    <w:rsid w:val="00E02380"/>
    <w:rsid w:val="00E02465"/>
    <w:rsid w:val="00E024CA"/>
    <w:rsid w:val="00E024ED"/>
    <w:rsid w:val="00E025A2"/>
    <w:rsid w:val="00E025B2"/>
    <w:rsid w:val="00E025EA"/>
    <w:rsid w:val="00E0265F"/>
    <w:rsid w:val="00E02693"/>
    <w:rsid w:val="00E026FA"/>
    <w:rsid w:val="00E02700"/>
    <w:rsid w:val="00E02730"/>
    <w:rsid w:val="00E0281C"/>
    <w:rsid w:val="00E0282C"/>
    <w:rsid w:val="00E0288E"/>
    <w:rsid w:val="00E028E5"/>
    <w:rsid w:val="00E028F0"/>
    <w:rsid w:val="00E02931"/>
    <w:rsid w:val="00E0295D"/>
    <w:rsid w:val="00E02995"/>
    <w:rsid w:val="00E029BD"/>
    <w:rsid w:val="00E02A01"/>
    <w:rsid w:val="00E02AF6"/>
    <w:rsid w:val="00E02B0E"/>
    <w:rsid w:val="00E02B3F"/>
    <w:rsid w:val="00E02C27"/>
    <w:rsid w:val="00E02C38"/>
    <w:rsid w:val="00E02C80"/>
    <w:rsid w:val="00E02D4D"/>
    <w:rsid w:val="00E02E8F"/>
    <w:rsid w:val="00E02EB7"/>
    <w:rsid w:val="00E02EC4"/>
    <w:rsid w:val="00E02F60"/>
    <w:rsid w:val="00E02FD8"/>
    <w:rsid w:val="00E02FFE"/>
    <w:rsid w:val="00E03028"/>
    <w:rsid w:val="00E0303F"/>
    <w:rsid w:val="00E030F4"/>
    <w:rsid w:val="00E03136"/>
    <w:rsid w:val="00E03167"/>
    <w:rsid w:val="00E03173"/>
    <w:rsid w:val="00E0320F"/>
    <w:rsid w:val="00E03330"/>
    <w:rsid w:val="00E03380"/>
    <w:rsid w:val="00E033A8"/>
    <w:rsid w:val="00E034AB"/>
    <w:rsid w:val="00E034DC"/>
    <w:rsid w:val="00E035E7"/>
    <w:rsid w:val="00E03630"/>
    <w:rsid w:val="00E03656"/>
    <w:rsid w:val="00E036F1"/>
    <w:rsid w:val="00E03719"/>
    <w:rsid w:val="00E037B5"/>
    <w:rsid w:val="00E0385F"/>
    <w:rsid w:val="00E03882"/>
    <w:rsid w:val="00E038A1"/>
    <w:rsid w:val="00E038D7"/>
    <w:rsid w:val="00E03938"/>
    <w:rsid w:val="00E03940"/>
    <w:rsid w:val="00E03A01"/>
    <w:rsid w:val="00E03A0A"/>
    <w:rsid w:val="00E03ACB"/>
    <w:rsid w:val="00E03B25"/>
    <w:rsid w:val="00E03BC6"/>
    <w:rsid w:val="00E03C26"/>
    <w:rsid w:val="00E03C46"/>
    <w:rsid w:val="00E03CCA"/>
    <w:rsid w:val="00E03CE7"/>
    <w:rsid w:val="00E03D88"/>
    <w:rsid w:val="00E03E79"/>
    <w:rsid w:val="00E03EC5"/>
    <w:rsid w:val="00E03F49"/>
    <w:rsid w:val="00E03F5A"/>
    <w:rsid w:val="00E03F9A"/>
    <w:rsid w:val="00E03FCB"/>
    <w:rsid w:val="00E041C0"/>
    <w:rsid w:val="00E04200"/>
    <w:rsid w:val="00E04201"/>
    <w:rsid w:val="00E04228"/>
    <w:rsid w:val="00E042A1"/>
    <w:rsid w:val="00E042C6"/>
    <w:rsid w:val="00E04328"/>
    <w:rsid w:val="00E04339"/>
    <w:rsid w:val="00E04370"/>
    <w:rsid w:val="00E04426"/>
    <w:rsid w:val="00E0448B"/>
    <w:rsid w:val="00E04491"/>
    <w:rsid w:val="00E044E5"/>
    <w:rsid w:val="00E04502"/>
    <w:rsid w:val="00E04626"/>
    <w:rsid w:val="00E046AA"/>
    <w:rsid w:val="00E0470A"/>
    <w:rsid w:val="00E0478F"/>
    <w:rsid w:val="00E047C0"/>
    <w:rsid w:val="00E047E1"/>
    <w:rsid w:val="00E04805"/>
    <w:rsid w:val="00E04810"/>
    <w:rsid w:val="00E04864"/>
    <w:rsid w:val="00E0489B"/>
    <w:rsid w:val="00E048FE"/>
    <w:rsid w:val="00E0496A"/>
    <w:rsid w:val="00E04997"/>
    <w:rsid w:val="00E049FF"/>
    <w:rsid w:val="00E04B0A"/>
    <w:rsid w:val="00E04B33"/>
    <w:rsid w:val="00E04C45"/>
    <w:rsid w:val="00E04C84"/>
    <w:rsid w:val="00E04DB9"/>
    <w:rsid w:val="00E04DDD"/>
    <w:rsid w:val="00E04E71"/>
    <w:rsid w:val="00E04E75"/>
    <w:rsid w:val="00E04EC7"/>
    <w:rsid w:val="00E04ED9"/>
    <w:rsid w:val="00E04F08"/>
    <w:rsid w:val="00E04F45"/>
    <w:rsid w:val="00E04F85"/>
    <w:rsid w:val="00E05099"/>
    <w:rsid w:val="00E05204"/>
    <w:rsid w:val="00E05288"/>
    <w:rsid w:val="00E052C2"/>
    <w:rsid w:val="00E052DE"/>
    <w:rsid w:val="00E053C5"/>
    <w:rsid w:val="00E0544E"/>
    <w:rsid w:val="00E0545E"/>
    <w:rsid w:val="00E054FD"/>
    <w:rsid w:val="00E05582"/>
    <w:rsid w:val="00E055ED"/>
    <w:rsid w:val="00E0568F"/>
    <w:rsid w:val="00E056C8"/>
    <w:rsid w:val="00E05712"/>
    <w:rsid w:val="00E05744"/>
    <w:rsid w:val="00E05752"/>
    <w:rsid w:val="00E057B5"/>
    <w:rsid w:val="00E05839"/>
    <w:rsid w:val="00E0586C"/>
    <w:rsid w:val="00E05894"/>
    <w:rsid w:val="00E058ED"/>
    <w:rsid w:val="00E05958"/>
    <w:rsid w:val="00E0597A"/>
    <w:rsid w:val="00E05A08"/>
    <w:rsid w:val="00E05A96"/>
    <w:rsid w:val="00E05A9B"/>
    <w:rsid w:val="00E05AE7"/>
    <w:rsid w:val="00E05BCA"/>
    <w:rsid w:val="00E05BE1"/>
    <w:rsid w:val="00E05BF0"/>
    <w:rsid w:val="00E05BF1"/>
    <w:rsid w:val="00E05CD2"/>
    <w:rsid w:val="00E05CD6"/>
    <w:rsid w:val="00E05CEE"/>
    <w:rsid w:val="00E05D20"/>
    <w:rsid w:val="00E05DB9"/>
    <w:rsid w:val="00E05DD3"/>
    <w:rsid w:val="00E05DE7"/>
    <w:rsid w:val="00E05DF8"/>
    <w:rsid w:val="00E05E31"/>
    <w:rsid w:val="00E05EF1"/>
    <w:rsid w:val="00E06006"/>
    <w:rsid w:val="00E0604A"/>
    <w:rsid w:val="00E06210"/>
    <w:rsid w:val="00E06282"/>
    <w:rsid w:val="00E0629A"/>
    <w:rsid w:val="00E062CA"/>
    <w:rsid w:val="00E062F4"/>
    <w:rsid w:val="00E063AA"/>
    <w:rsid w:val="00E063CD"/>
    <w:rsid w:val="00E063EC"/>
    <w:rsid w:val="00E06429"/>
    <w:rsid w:val="00E06464"/>
    <w:rsid w:val="00E064A8"/>
    <w:rsid w:val="00E064EB"/>
    <w:rsid w:val="00E06501"/>
    <w:rsid w:val="00E0652A"/>
    <w:rsid w:val="00E06532"/>
    <w:rsid w:val="00E0653C"/>
    <w:rsid w:val="00E0655B"/>
    <w:rsid w:val="00E06602"/>
    <w:rsid w:val="00E06673"/>
    <w:rsid w:val="00E06750"/>
    <w:rsid w:val="00E06758"/>
    <w:rsid w:val="00E06773"/>
    <w:rsid w:val="00E067B8"/>
    <w:rsid w:val="00E067DB"/>
    <w:rsid w:val="00E0683D"/>
    <w:rsid w:val="00E0687B"/>
    <w:rsid w:val="00E068B5"/>
    <w:rsid w:val="00E06938"/>
    <w:rsid w:val="00E0699C"/>
    <w:rsid w:val="00E069E5"/>
    <w:rsid w:val="00E06A37"/>
    <w:rsid w:val="00E06A8A"/>
    <w:rsid w:val="00E06B24"/>
    <w:rsid w:val="00E06B2C"/>
    <w:rsid w:val="00E06B3A"/>
    <w:rsid w:val="00E06B45"/>
    <w:rsid w:val="00E06BE5"/>
    <w:rsid w:val="00E06C39"/>
    <w:rsid w:val="00E06C5C"/>
    <w:rsid w:val="00E06D41"/>
    <w:rsid w:val="00E06DD2"/>
    <w:rsid w:val="00E06F86"/>
    <w:rsid w:val="00E07015"/>
    <w:rsid w:val="00E0708E"/>
    <w:rsid w:val="00E070F0"/>
    <w:rsid w:val="00E07132"/>
    <w:rsid w:val="00E07175"/>
    <w:rsid w:val="00E07185"/>
    <w:rsid w:val="00E0718F"/>
    <w:rsid w:val="00E07201"/>
    <w:rsid w:val="00E07224"/>
    <w:rsid w:val="00E07240"/>
    <w:rsid w:val="00E072CC"/>
    <w:rsid w:val="00E0731F"/>
    <w:rsid w:val="00E0735D"/>
    <w:rsid w:val="00E07395"/>
    <w:rsid w:val="00E073CA"/>
    <w:rsid w:val="00E073CC"/>
    <w:rsid w:val="00E073E2"/>
    <w:rsid w:val="00E074C4"/>
    <w:rsid w:val="00E07551"/>
    <w:rsid w:val="00E0769E"/>
    <w:rsid w:val="00E076E5"/>
    <w:rsid w:val="00E07772"/>
    <w:rsid w:val="00E0779C"/>
    <w:rsid w:val="00E077FB"/>
    <w:rsid w:val="00E07814"/>
    <w:rsid w:val="00E07841"/>
    <w:rsid w:val="00E078B2"/>
    <w:rsid w:val="00E078D9"/>
    <w:rsid w:val="00E0792F"/>
    <w:rsid w:val="00E07941"/>
    <w:rsid w:val="00E07A0A"/>
    <w:rsid w:val="00E07A48"/>
    <w:rsid w:val="00E07A87"/>
    <w:rsid w:val="00E07A93"/>
    <w:rsid w:val="00E07AEC"/>
    <w:rsid w:val="00E07AF3"/>
    <w:rsid w:val="00E07B20"/>
    <w:rsid w:val="00E07B57"/>
    <w:rsid w:val="00E07BEF"/>
    <w:rsid w:val="00E07C63"/>
    <w:rsid w:val="00E07CA4"/>
    <w:rsid w:val="00E07D2F"/>
    <w:rsid w:val="00E07D61"/>
    <w:rsid w:val="00E07E52"/>
    <w:rsid w:val="00E07EB1"/>
    <w:rsid w:val="00E07F02"/>
    <w:rsid w:val="00E07F0F"/>
    <w:rsid w:val="00E07F33"/>
    <w:rsid w:val="00E07F3C"/>
    <w:rsid w:val="00E10042"/>
    <w:rsid w:val="00E100AA"/>
    <w:rsid w:val="00E10141"/>
    <w:rsid w:val="00E10184"/>
    <w:rsid w:val="00E101A5"/>
    <w:rsid w:val="00E10269"/>
    <w:rsid w:val="00E10330"/>
    <w:rsid w:val="00E104C9"/>
    <w:rsid w:val="00E10531"/>
    <w:rsid w:val="00E105D9"/>
    <w:rsid w:val="00E10618"/>
    <w:rsid w:val="00E10695"/>
    <w:rsid w:val="00E106F5"/>
    <w:rsid w:val="00E107A2"/>
    <w:rsid w:val="00E107E5"/>
    <w:rsid w:val="00E10816"/>
    <w:rsid w:val="00E1085F"/>
    <w:rsid w:val="00E10865"/>
    <w:rsid w:val="00E10878"/>
    <w:rsid w:val="00E108EC"/>
    <w:rsid w:val="00E10915"/>
    <w:rsid w:val="00E10942"/>
    <w:rsid w:val="00E1097D"/>
    <w:rsid w:val="00E10B10"/>
    <w:rsid w:val="00E10BE3"/>
    <w:rsid w:val="00E10D7A"/>
    <w:rsid w:val="00E10DDB"/>
    <w:rsid w:val="00E10E6A"/>
    <w:rsid w:val="00E10E94"/>
    <w:rsid w:val="00E10EC7"/>
    <w:rsid w:val="00E10FEC"/>
    <w:rsid w:val="00E1105F"/>
    <w:rsid w:val="00E11084"/>
    <w:rsid w:val="00E110EE"/>
    <w:rsid w:val="00E11179"/>
    <w:rsid w:val="00E111DF"/>
    <w:rsid w:val="00E112A9"/>
    <w:rsid w:val="00E1133F"/>
    <w:rsid w:val="00E11368"/>
    <w:rsid w:val="00E11398"/>
    <w:rsid w:val="00E1142B"/>
    <w:rsid w:val="00E11445"/>
    <w:rsid w:val="00E1155C"/>
    <w:rsid w:val="00E1163B"/>
    <w:rsid w:val="00E116C8"/>
    <w:rsid w:val="00E1173C"/>
    <w:rsid w:val="00E1173E"/>
    <w:rsid w:val="00E1175B"/>
    <w:rsid w:val="00E118E3"/>
    <w:rsid w:val="00E11918"/>
    <w:rsid w:val="00E11AC0"/>
    <w:rsid w:val="00E11B0D"/>
    <w:rsid w:val="00E11B16"/>
    <w:rsid w:val="00E11BD8"/>
    <w:rsid w:val="00E11D38"/>
    <w:rsid w:val="00E11D4C"/>
    <w:rsid w:val="00E11DC6"/>
    <w:rsid w:val="00E11DEA"/>
    <w:rsid w:val="00E11E18"/>
    <w:rsid w:val="00E11F0E"/>
    <w:rsid w:val="00E11F63"/>
    <w:rsid w:val="00E11F92"/>
    <w:rsid w:val="00E11FEA"/>
    <w:rsid w:val="00E12012"/>
    <w:rsid w:val="00E12036"/>
    <w:rsid w:val="00E1207A"/>
    <w:rsid w:val="00E12090"/>
    <w:rsid w:val="00E120BF"/>
    <w:rsid w:val="00E120C8"/>
    <w:rsid w:val="00E1210C"/>
    <w:rsid w:val="00E12151"/>
    <w:rsid w:val="00E121AA"/>
    <w:rsid w:val="00E121B0"/>
    <w:rsid w:val="00E121CA"/>
    <w:rsid w:val="00E121D1"/>
    <w:rsid w:val="00E121E6"/>
    <w:rsid w:val="00E1226A"/>
    <w:rsid w:val="00E1227C"/>
    <w:rsid w:val="00E1244F"/>
    <w:rsid w:val="00E12495"/>
    <w:rsid w:val="00E12546"/>
    <w:rsid w:val="00E12595"/>
    <w:rsid w:val="00E125C2"/>
    <w:rsid w:val="00E12655"/>
    <w:rsid w:val="00E1265D"/>
    <w:rsid w:val="00E1266A"/>
    <w:rsid w:val="00E12690"/>
    <w:rsid w:val="00E127FD"/>
    <w:rsid w:val="00E12825"/>
    <w:rsid w:val="00E1282B"/>
    <w:rsid w:val="00E12847"/>
    <w:rsid w:val="00E12875"/>
    <w:rsid w:val="00E128B5"/>
    <w:rsid w:val="00E12906"/>
    <w:rsid w:val="00E12920"/>
    <w:rsid w:val="00E12944"/>
    <w:rsid w:val="00E129BF"/>
    <w:rsid w:val="00E129FC"/>
    <w:rsid w:val="00E12A6D"/>
    <w:rsid w:val="00E12A87"/>
    <w:rsid w:val="00E12AAB"/>
    <w:rsid w:val="00E12AE5"/>
    <w:rsid w:val="00E12AF9"/>
    <w:rsid w:val="00E12B07"/>
    <w:rsid w:val="00E12B53"/>
    <w:rsid w:val="00E12B67"/>
    <w:rsid w:val="00E12B80"/>
    <w:rsid w:val="00E12CD4"/>
    <w:rsid w:val="00E12E2B"/>
    <w:rsid w:val="00E12F8F"/>
    <w:rsid w:val="00E13058"/>
    <w:rsid w:val="00E13092"/>
    <w:rsid w:val="00E13104"/>
    <w:rsid w:val="00E13124"/>
    <w:rsid w:val="00E1317D"/>
    <w:rsid w:val="00E13191"/>
    <w:rsid w:val="00E13215"/>
    <w:rsid w:val="00E1324F"/>
    <w:rsid w:val="00E13275"/>
    <w:rsid w:val="00E1328B"/>
    <w:rsid w:val="00E13292"/>
    <w:rsid w:val="00E132D3"/>
    <w:rsid w:val="00E132F2"/>
    <w:rsid w:val="00E13308"/>
    <w:rsid w:val="00E1332B"/>
    <w:rsid w:val="00E13358"/>
    <w:rsid w:val="00E13387"/>
    <w:rsid w:val="00E1341D"/>
    <w:rsid w:val="00E13430"/>
    <w:rsid w:val="00E134A5"/>
    <w:rsid w:val="00E1354F"/>
    <w:rsid w:val="00E135A5"/>
    <w:rsid w:val="00E135F8"/>
    <w:rsid w:val="00E13608"/>
    <w:rsid w:val="00E1365E"/>
    <w:rsid w:val="00E1370A"/>
    <w:rsid w:val="00E13727"/>
    <w:rsid w:val="00E13772"/>
    <w:rsid w:val="00E1390E"/>
    <w:rsid w:val="00E1394B"/>
    <w:rsid w:val="00E13A18"/>
    <w:rsid w:val="00E13A3E"/>
    <w:rsid w:val="00E13A8B"/>
    <w:rsid w:val="00E13AB0"/>
    <w:rsid w:val="00E13BA7"/>
    <w:rsid w:val="00E13C8F"/>
    <w:rsid w:val="00E13D68"/>
    <w:rsid w:val="00E13E54"/>
    <w:rsid w:val="00E13EB1"/>
    <w:rsid w:val="00E13EB7"/>
    <w:rsid w:val="00E13F22"/>
    <w:rsid w:val="00E13F36"/>
    <w:rsid w:val="00E13F7B"/>
    <w:rsid w:val="00E13FDC"/>
    <w:rsid w:val="00E14003"/>
    <w:rsid w:val="00E14012"/>
    <w:rsid w:val="00E14089"/>
    <w:rsid w:val="00E1410C"/>
    <w:rsid w:val="00E14115"/>
    <w:rsid w:val="00E14135"/>
    <w:rsid w:val="00E1413D"/>
    <w:rsid w:val="00E14173"/>
    <w:rsid w:val="00E1420E"/>
    <w:rsid w:val="00E142EE"/>
    <w:rsid w:val="00E14339"/>
    <w:rsid w:val="00E1436B"/>
    <w:rsid w:val="00E1438D"/>
    <w:rsid w:val="00E143BA"/>
    <w:rsid w:val="00E14400"/>
    <w:rsid w:val="00E14409"/>
    <w:rsid w:val="00E14421"/>
    <w:rsid w:val="00E14544"/>
    <w:rsid w:val="00E145AC"/>
    <w:rsid w:val="00E145F6"/>
    <w:rsid w:val="00E14666"/>
    <w:rsid w:val="00E146DF"/>
    <w:rsid w:val="00E1471B"/>
    <w:rsid w:val="00E1475C"/>
    <w:rsid w:val="00E14777"/>
    <w:rsid w:val="00E1478B"/>
    <w:rsid w:val="00E1478C"/>
    <w:rsid w:val="00E1485D"/>
    <w:rsid w:val="00E148A3"/>
    <w:rsid w:val="00E148E6"/>
    <w:rsid w:val="00E14924"/>
    <w:rsid w:val="00E14930"/>
    <w:rsid w:val="00E14936"/>
    <w:rsid w:val="00E14A99"/>
    <w:rsid w:val="00E14B44"/>
    <w:rsid w:val="00E14BC4"/>
    <w:rsid w:val="00E14CAF"/>
    <w:rsid w:val="00E14CE7"/>
    <w:rsid w:val="00E14D70"/>
    <w:rsid w:val="00E14D7E"/>
    <w:rsid w:val="00E14D9C"/>
    <w:rsid w:val="00E14D9E"/>
    <w:rsid w:val="00E14E35"/>
    <w:rsid w:val="00E14F9D"/>
    <w:rsid w:val="00E14FB7"/>
    <w:rsid w:val="00E14FD2"/>
    <w:rsid w:val="00E14FDF"/>
    <w:rsid w:val="00E14FEB"/>
    <w:rsid w:val="00E14FF0"/>
    <w:rsid w:val="00E1506A"/>
    <w:rsid w:val="00E15194"/>
    <w:rsid w:val="00E1520A"/>
    <w:rsid w:val="00E1522C"/>
    <w:rsid w:val="00E15295"/>
    <w:rsid w:val="00E152A9"/>
    <w:rsid w:val="00E15343"/>
    <w:rsid w:val="00E15482"/>
    <w:rsid w:val="00E154AB"/>
    <w:rsid w:val="00E154C8"/>
    <w:rsid w:val="00E1558A"/>
    <w:rsid w:val="00E1560B"/>
    <w:rsid w:val="00E1566D"/>
    <w:rsid w:val="00E15681"/>
    <w:rsid w:val="00E156D9"/>
    <w:rsid w:val="00E15749"/>
    <w:rsid w:val="00E15796"/>
    <w:rsid w:val="00E157FE"/>
    <w:rsid w:val="00E15816"/>
    <w:rsid w:val="00E158DC"/>
    <w:rsid w:val="00E1590D"/>
    <w:rsid w:val="00E159DB"/>
    <w:rsid w:val="00E15A57"/>
    <w:rsid w:val="00E15ACA"/>
    <w:rsid w:val="00E15AD6"/>
    <w:rsid w:val="00E15B52"/>
    <w:rsid w:val="00E15B5E"/>
    <w:rsid w:val="00E15B5F"/>
    <w:rsid w:val="00E15C17"/>
    <w:rsid w:val="00E15C19"/>
    <w:rsid w:val="00E15DD6"/>
    <w:rsid w:val="00E15E5B"/>
    <w:rsid w:val="00E15E9C"/>
    <w:rsid w:val="00E15F2F"/>
    <w:rsid w:val="00E16011"/>
    <w:rsid w:val="00E16016"/>
    <w:rsid w:val="00E160AF"/>
    <w:rsid w:val="00E16138"/>
    <w:rsid w:val="00E16144"/>
    <w:rsid w:val="00E161B8"/>
    <w:rsid w:val="00E161FD"/>
    <w:rsid w:val="00E162A1"/>
    <w:rsid w:val="00E162FD"/>
    <w:rsid w:val="00E16307"/>
    <w:rsid w:val="00E1633B"/>
    <w:rsid w:val="00E16352"/>
    <w:rsid w:val="00E163EF"/>
    <w:rsid w:val="00E16467"/>
    <w:rsid w:val="00E164D9"/>
    <w:rsid w:val="00E1651D"/>
    <w:rsid w:val="00E16556"/>
    <w:rsid w:val="00E16584"/>
    <w:rsid w:val="00E16667"/>
    <w:rsid w:val="00E166B6"/>
    <w:rsid w:val="00E166E0"/>
    <w:rsid w:val="00E16724"/>
    <w:rsid w:val="00E1677E"/>
    <w:rsid w:val="00E167C7"/>
    <w:rsid w:val="00E168F1"/>
    <w:rsid w:val="00E169E3"/>
    <w:rsid w:val="00E16A5D"/>
    <w:rsid w:val="00E16A62"/>
    <w:rsid w:val="00E16AF7"/>
    <w:rsid w:val="00E16B1C"/>
    <w:rsid w:val="00E16B35"/>
    <w:rsid w:val="00E16B3B"/>
    <w:rsid w:val="00E16C64"/>
    <w:rsid w:val="00E16C90"/>
    <w:rsid w:val="00E16CC4"/>
    <w:rsid w:val="00E16CE1"/>
    <w:rsid w:val="00E16D0E"/>
    <w:rsid w:val="00E16D1C"/>
    <w:rsid w:val="00E16D53"/>
    <w:rsid w:val="00E16D63"/>
    <w:rsid w:val="00E16D95"/>
    <w:rsid w:val="00E16E34"/>
    <w:rsid w:val="00E16E42"/>
    <w:rsid w:val="00E16E64"/>
    <w:rsid w:val="00E16E8C"/>
    <w:rsid w:val="00E16ECF"/>
    <w:rsid w:val="00E16F94"/>
    <w:rsid w:val="00E17143"/>
    <w:rsid w:val="00E1716B"/>
    <w:rsid w:val="00E17188"/>
    <w:rsid w:val="00E1718C"/>
    <w:rsid w:val="00E17241"/>
    <w:rsid w:val="00E172DC"/>
    <w:rsid w:val="00E17368"/>
    <w:rsid w:val="00E1739D"/>
    <w:rsid w:val="00E173D9"/>
    <w:rsid w:val="00E1743C"/>
    <w:rsid w:val="00E17460"/>
    <w:rsid w:val="00E174AB"/>
    <w:rsid w:val="00E1757A"/>
    <w:rsid w:val="00E175DB"/>
    <w:rsid w:val="00E175E6"/>
    <w:rsid w:val="00E175F0"/>
    <w:rsid w:val="00E1767B"/>
    <w:rsid w:val="00E176AC"/>
    <w:rsid w:val="00E176F8"/>
    <w:rsid w:val="00E17739"/>
    <w:rsid w:val="00E17753"/>
    <w:rsid w:val="00E17761"/>
    <w:rsid w:val="00E17764"/>
    <w:rsid w:val="00E17767"/>
    <w:rsid w:val="00E1778C"/>
    <w:rsid w:val="00E17892"/>
    <w:rsid w:val="00E178F0"/>
    <w:rsid w:val="00E17A80"/>
    <w:rsid w:val="00E17B85"/>
    <w:rsid w:val="00E17BE4"/>
    <w:rsid w:val="00E17C10"/>
    <w:rsid w:val="00E17C51"/>
    <w:rsid w:val="00E17C6A"/>
    <w:rsid w:val="00E17C74"/>
    <w:rsid w:val="00E17D31"/>
    <w:rsid w:val="00E17E7F"/>
    <w:rsid w:val="00E17EFE"/>
    <w:rsid w:val="00E17F04"/>
    <w:rsid w:val="00E17FAF"/>
    <w:rsid w:val="00E17FE7"/>
    <w:rsid w:val="00E20032"/>
    <w:rsid w:val="00E20069"/>
    <w:rsid w:val="00E20079"/>
    <w:rsid w:val="00E20137"/>
    <w:rsid w:val="00E201CE"/>
    <w:rsid w:val="00E20273"/>
    <w:rsid w:val="00E2027C"/>
    <w:rsid w:val="00E20300"/>
    <w:rsid w:val="00E20363"/>
    <w:rsid w:val="00E20368"/>
    <w:rsid w:val="00E20371"/>
    <w:rsid w:val="00E203DF"/>
    <w:rsid w:val="00E2040E"/>
    <w:rsid w:val="00E20478"/>
    <w:rsid w:val="00E204A9"/>
    <w:rsid w:val="00E204D7"/>
    <w:rsid w:val="00E20598"/>
    <w:rsid w:val="00E2064A"/>
    <w:rsid w:val="00E20692"/>
    <w:rsid w:val="00E2071D"/>
    <w:rsid w:val="00E207BF"/>
    <w:rsid w:val="00E207EA"/>
    <w:rsid w:val="00E20822"/>
    <w:rsid w:val="00E20837"/>
    <w:rsid w:val="00E208A3"/>
    <w:rsid w:val="00E2093A"/>
    <w:rsid w:val="00E20958"/>
    <w:rsid w:val="00E209EA"/>
    <w:rsid w:val="00E20A27"/>
    <w:rsid w:val="00E20A6B"/>
    <w:rsid w:val="00E20B2F"/>
    <w:rsid w:val="00E20B61"/>
    <w:rsid w:val="00E20C17"/>
    <w:rsid w:val="00E20C2F"/>
    <w:rsid w:val="00E20D05"/>
    <w:rsid w:val="00E20DAE"/>
    <w:rsid w:val="00E20DE1"/>
    <w:rsid w:val="00E20E02"/>
    <w:rsid w:val="00E20E54"/>
    <w:rsid w:val="00E20E6C"/>
    <w:rsid w:val="00E20E85"/>
    <w:rsid w:val="00E20ECD"/>
    <w:rsid w:val="00E210C9"/>
    <w:rsid w:val="00E21109"/>
    <w:rsid w:val="00E2116C"/>
    <w:rsid w:val="00E211D8"/>
    <w:rsid w:val="00E212E6"/>
    <w:rsid w:val="00E2133C"/>
    <w:rsid w:val="00E21344"/>
    <w:rsid w:val="00E213D7"/>
    <w:rsid w:val="00E214A7"/>
    <w:rsid w:val="00E214E0"/>
    <w:rsid w:val="00E214F9"/>
    <w:rsid w:val="00E2160C"/>
    <w:rsid w:val="00E2162F"/>
    <w:rsid w:val="00E2169B"/>
    <w:rsid w:val="00E216CE"/>
    <w:rsid w:val="00E217BA"/>
    <w:rsid w:val="00E21821"/>
    <w:rsid w:val="00E21898"/>
    <w:rsid w:val="00E219C3"/>
    <w:rsid w:val="00E21A0B"/>
    <w:rsid w:val="00E21A67"/>
    <w:rsid w:val="00E21A88"/>
    <w:rsid w:val="00E21A92"/>
    <w:rsid w:val="00E21A93"/>
    <w:rsid w:val="00E21B0B"/>
    <w:rsid w:val="00E21B1A"/>
    <w:rsid w:val="00E21BBB"/>
    <w:rsid w:val="00E21C22"/>
    <w:rsid w:val="00E21CAF"/>
    <w:rsid w:val="00E21CE9"/>
    <w:rsid w:val="00E21D19"/>
    <w:rsid w:val="00E21E26"/>
    <w:rsid w:val="00E21E39"/>
    <w:rsid w:val="00E21E4C"/>
    <w:rsid w:val="00E21E50"/>
    <w:rsid w:val="00E21E5A"/>
    <w:rsid w:val="00E22009"/>
    <w:rsid w:val="00E22025"/>
    <w:rsid w:val="00E2206D"/>
    <w:rsid w:val="00E22141"/>
    <w:rsid w:val="00E221A4"/>
    <w:rsid w:val="00E221E8"/>
    <w:rsid w:val="00E222A1"/>
    <w:rsid w:val="00E222F5"/>
    <w:rsid w:val="00E22377"/>
    <w:rsid w:val="00E223B6"/>
    <w:rsid w:val="00E2240E"/>
    <w:rsid w:val="00E2243C"/>
    <w:rsid w:val="00E224E3"/>
    <w:rsid w:val="00E22593"/>
    <w:rsid w:val="00E22727"/>
    <w:rsid w:val="00E22735"/>
    <w:rsid w:val="00E22783"/>
    <w:rsid w:val="00E227D8"/>
    <w:rsid w:val="00E2280B"/>
    <w:rsid w:val="00E22849"/>
    <w:rsid w:val="00E22886"/>
    <w:rsid w:val="00E228A3"/>
    <w:rsid w:val="00E229E2"/>
    <w:rsid w:val="00E22A02"/>
    <w:rsid w:val="00E22A0C"/>
    <w:rsid w:val="00E22A48"/>
    <w:rsid w:val="00E22B83"/>
    <w:rsid w:val="00E22BC3"/>
    <w:rsid w:val="00E22BCE"/>
    <w:rsid w:val="00E22BE3"/>
    <w:rsid w:val="00E22C48"/>
    <w:rsid w:val="00E22C51"/>
    <w:rsid w:val="00E22D04"/>
    <w:rsid w:val="00E22D61"/>
    <w:rsid w:val="00E22E24"/>
    <w:rsid w:val="00E22E9F"/>
    <w:rsid w:val="00E22EDD"/>
    <w:rsid w:val="00E22F64"/>
    <w:rsid w:val="00E22FB2"/>
    <w:rsid w:val="00E23022"/>
    <w:rsid w:val="00E2306A"/>
    <w:rsid w:val="00E230AD"/>
    <w:rsid w:val="00E2314A"/>
    <w:rsid w:val="00E23177"/>
    <w:rsid w:val="00E23205"/>
    <w:rsid w:val="00E2321B"/>
    <w:rsid w:val="00E232CA"/>
    <w:rsid w:val="00E23305"/>
    <w:rsid w:val="00E23374"/>
    <w:rsid w:val="00E23392"/>
    <w:rsid w:val="00E233D9"/>
    <w:rsid w:val="00E2344F"/>
    <w:rsid w:val="00E234EE"/>
    <w:rsid w:val="00E2353D"/>
    <w:rsid w:val="00E23555"/>
    <w:rsid w:val="00E23593"/>
    <w:rsid w:val="00E2362F"/>
    <w:rsid w:val="00E236CF"/>
    <w:rsid w:val="00E236E3"/>
    <w:rsid w:val="00E237A1"/>
    <w:rsid w:val="00E237B5"/>
    <w:rsid w:val="00E23838"/>
    <w:rsid w:val="00E238A8"/>
    <w:rsid w:val="00E23957"/>
    <w:rsid w:val="00E239A3"/>
    <w:rsid w:val="00E239C2"/>
    <w:rsid w:val="00E23A37"/>
    <w:rsid w:val="00E23A6F"/>
    <w:rsid w:val="00E23ADC"/>
    <w:rsid w:val="00E23AF1"/>
    <w:rsid w:val="00E23B50"/>
    <w:rsid w:val="00E23B5C"/>
    <w:rsid w:val="00E23B9A"/>
    <w:rsid w:val="00E23BBB"/>
    <w:rsid w:val="00E23C09"/>
    <w:rsid w:val="00E23C11"/>
    <w:rsid w:val="00E23CCE"/>
    <w:rsid w:val="00E23CD5"/>
    <w:rsid w:val="00E23CF0"/>
    <w:rsid w:val="00E23D0C"/>
    <w:rsid w:val="00E23D16"/>
    <w:rsid w:val="00E23D7C"/>
    <w:rsid w:val="00E23D91"/>
    <w:rsid w:val="00E23DA9"/>
    <w:rsid w:val="00E23E19"/>
    <w:rsid w:val="00E23E35"/>
    <w:rsid w:val="00E23E47"/>
    <w:rsid w:val="00E23E4C"/>
    <w:rsid w:val="00E23F0E"/>
    <w:rsid w:val="00E23F27"/>
    <w:rsid w:val="00E23F88"/>
    <w:rsid w:val="00E23FA8"/>
    <w:rsid w:val="00E24029"/>
    <w:rsid w:val="00E24075"/>
    <w:rsid w:val="00E24089"/>
    <w:rsid w:val="00E240A5"/>
    <w:rsid w:val="00E240D0"/>
    <w:rsid w:val="00E2415F"/>
    <w:rsid w:val="00E2416F"/>
    <w:rsid w:val="00E24215"/>
    <w:rsid w:val="00E24218"/>
    <w:rsid w:val="00E2422F"/>
    <w:rsid w:val="00E242A6"/>
    <w:rsid w:val="00E2430B"/>
    <w:rsid w:val="00E24321"/>
    <w:rsid w:val="00E243E4"/>
    <w:rsid w:val="00E2444A"/>
    <w:rsid w:val="00E24670"/>
    <w:rsid w:val="00E2467A"/>
    <w:rsid w:val="00E24694"/>
    <w:rsid w:val="00E246E3"/>
    <w:rsid w:val="00E24736"/>
    <w:rsid w:val="00E24761"/>
    <w:rsid w:val="00E2478A"/>
    <w:rsid w:val="00E247A1"/>
    <w:rsid w:val="00E247EE"/>
    <w:rsid w:val="00E247FD"/>
    <w:rsid w:val="00E24847"/>
    <w:rsid w:val="00E2488D"/>
    <w:rsid w:val="00E2489A"/>
    <w:rsid w:val="00E248B0"/>
    <w:rsid w:val="00E248D3"/>
    <w:rsid w:val="00E249B7"/>
    <w:rsid w:val="00E24A02"/>
    <w:rsid w:val="00E24A36"/>
    <w:rsid w:val="00E24A66"/>
    <w:rsid w:val="00E24AA3"/>
    <w:rsid w:val="00E24ACD"/>
    <w:rsid w:val="00E24B0E"/>
    <w:rsid w:val="00E24B2F"/>
    <w:rsid w:val="00E24B9E"/>
    <w:rsid w:val="00E24CE9"/>
    <w:rsid w:val="00E24D08"/>
    <w:rsid w:val="00E24D1E"/>
    <w:rsid w:val="00E24D27"/>
    <w:rsid w:val="00E24D5B"/>
    <w:rsid w:val="00E24DD5"/>
    <w:rsid w:val="00E24DFC"/>
    <w:rsid w:val="00E24E1D"/>
    <w:rsid w:val="00E24E84"/>
    <w:rsid w:val="00E24EC6"/>
    <w:rsid w:val="00E24EDE"/>
    <w:rsid w:val="00E24F17"/>
    <w:rsid w:val="00E24F58"/>
    <w:rsid w:val="00E24F69"/>
    <w:rsid w:val="00E24F6C"/>
    <w:rsid w:val="00E24F85"/>
    <w:rsid w:val="00E24FCA"/>
    <w:rsid w:val="00E24FCC"/>
    <w:rsid w:val="00E24FE8"/>
    <w:rsid w:val="00E25024"/>
    <w:rsid w:val="00E250A4"/>
    <w:rsid w:val="00E250C9"/>
    <w:rsid w:val="00E250E9"/>
    <w:rsid w:val="00E250F0"/>
    <w:rsid w:val="00E250F2"/>
    <w:rsid w:val="00E25179"/>
    <w:rsid w:val="00E251BA"/>
    <w:rsid w:val="00E251C2"/>
    <w:rsid w:val="00E25212"/>
    <w:rsid w:val="00E2521D"/>
    <w:rsid w:val="00E25239"/>
    <w:rsid w:val="00E2527C"/>
    <w:rsid w:val="00E25287"/>
    <w:rsid w:val="00E252AA"/>
    <w:rsid w:val="00E252F1"/>
    <w:rsid w:val="00E25425"/>
    <w:rsid w:val="00E254A7"/>
    <w:rsid w:val="00E254C4"/>
    <w:rsid w:val="00E254E6"/>
    <w:rsid w:val="00E25552"/>
    <w:rsid w:val="00E255BA"/>
    <w:rsid w:val="00E256A4"/>
    <w:rsid w:val="00E256CF"/>
    <w:rsid w:val="00E257E4"/>
    <w:rsid w:val="00E25A79"/>
    <w:rsid w:val="00E25B19"/>
    <w:rsid w:val="00E25B57"/>
    <w:rsid w:val="00E25B61"/>
    <w:rsid w:val="00E25CD4"/>
    <w:rsid w:val="00E25D2C"/>
    <w:rsid w:val="00E25D68"/>
    <w:rsid w:val="00E25E01"/>
    <w:rsid w:val="00E25EBC"/>
    <w:rsid w:val="00E25EF1"/>
    <w:rsid w:val="00E25F41"/>
    <w:rsid w:val="00E25F44"/>
    <w:rsid w:val="00E25F75"/>
    <w:rsid w:val="00E25FCC"/>
    <w:rsid w:val="00E25FF5"/>
    <w:rsid w:val="00E26002"/>
    <w:rsid w:val="00E26040"/>
    <w:rsid w:val="00E2606B"/>
    <w:rsid w:val="00E26073"/>
    <w:rsid w:val="00E260D1"/>
    <w:rsid w:val="00E26141"/>
    <w:rsid w:val="00E26177"/>
    <w:rsid w:val="00E261B5"/>
    <w:rsid w:val="00E2620A"/>
    <w:rsid w:val="00E26223"/>
    <w:rsid w:val="00E2624B"/>
    <w:rsid w:val="00E2624F"/>
    <w:rsid w:val="00E26261"/>
    <w:rsid w:val="00E26327"/>
    <w:rsid w:val="00E26371"/>
    <w:rsid w:val="00E263A3"/>
    <w:rsid w:val="00E263B7"/>
    <w:rsid w:val="00E263F6"/>
    <w:rsid w:val="00E2657B"/>
    <w:rsid w:val="00E265EC"/>
    <w:rsid w:val="00E26648"/>
    <w:rsid w:val="00E26652"/>
    <w:rsid w:val="00E266D7"/>
    <w:rsid w:val="00E2678A"/>
    <w:rsid w:val="00E26808"/>
    <w:rsid w:val="00E26924"/>
    <w:rsid w:val="00E26942"/>
    <w:rsid w:val="00E26978"/>
    <w:rsid w:val="00E26A1B"/>
    <w:rsid w:val="00E26A4D"/>
    <w:rsid w:val="00E26AF0"/>
    <w:rsid w:val="00E26B2D"/>
    <w:rsid w:val="00E26BD5"/>
    <w:rsid w:val="00E26C91"/>
    <w:rsid w:val="00E26CDB"/>
    <w:rsid w:val="00E26CF5"/>
    <w:rsid w:val="00E26D61"/>
    <w:rsid w:val="00E26D8E"/>
    <w:rsid w:val="00E26DB8"/>
    <w:rsid w:val="00E26DEE"/>
    <w:rsid w:val="00E26E2B"/>
    <w:rsid w:val="00E26E9D"/>
    <w:rsid w:val="00E26EC8"/>
    <w:rsid w:val="00E26EFF"/>
    <w:rsid w:val="00E26FB8"/>
    <w:rsid w:val="00E2708A"/>
    <w:rsid w:val="00E270D6"/>
    <w:rsid w:val="00E27154"/>
    <w:rsid w:val="00E273C7"/>
    <w:rsid w:val="00E273EE"/>
    <w:rsid w:val="00E27412"/>
    <w:rsid w:val="00E274F0"/>
    <w:rsid w:val="00E27550"/>
    <w:rsid w:val="00E27607"/>
    <w:rsid w:val="00E2760C"/>
    <w:rsid w:val="00E276AA"/>
    <w:rsid w:val="00E27A3A"/>
    <w:rsid w:val="00E27B41"/>
    <w:rsid w:val="00E27B61"/>
    <w:rsid w:val="00E27BEB"/>
    <w:rsid w:val="00E27BF7"/>
    <w:rsid w:val="00E27BF9"/>
    <w:rsid w:val="00E27C01"/>
    <w:rsid w:val="00E27C11"/>
    <w:rsid w:val="00E27CAA"/>
    <w:rsid w:val="00E27CD0"/>
    <w:rsid w:val="00E27D2C"/>
    <w:rsid w:val="00E27D43"/>
    <w:rsid w:val="00E27DC5"/>
    <w:rsid w:val="00E27DFA"/>
    <w:rsid w:val="00E27E08"/>
    <w:rsid w:val="00E27E17"/>
    <w:rsid w:val="00E27F21"/>
    <w:rsid w:val="00E27F83"/>
    <w:rsid w:val="00E27FC0"/>
    <w:rsid w:val="00E27FC6"/>
    <w:rsid w:val="00E3004B"/>
    <w:rsid w:val="00E300E5"/>
    <w:rsid w:val="00E30170"/>
    <w:rsid w:val="00E3019B"/>
    <w:rsid w:val="00E301E1"/>
    <w:rsid w:val="00E302AB"/>
    <w:rsid w:val="00E302B8"/>
    <w:rsid w:val="00E302FE"/>
    <w:rsid w:val="00E303FD"/>
    <w:rsid w:val="00E304AD"/>
    <w:rsid w:val="00E3054D"/>
    <w:rsid w:val="00E3063F"/>
    <w:rsid w:val="00E307BA"/>
    <w:rsid w:val="00E307C5"/>
    <w:rsid w:val="00E307E4"/>
    <w:rsid w:val="00E30828"/>
    <w:rsid w:val="00E308D0"/>
    <w:rsid w:val="00E3099B"/>
    <w:rsid w:val="00E309D6"/>
    <w:rsid w:val="00E30A14"/>
    <w:rsid w:val="00E30A8B"/>
    <w:rsid w:val="00E30AD5"/>
    <w:rsid w:val="00E30AE3"/>
    <w:rsid w:val="00E30AF2"/>
    <w:rsid w:val="00E30C59"/>
    <w:rsid w:val="00E30D65"/>
    <w:rsid w:val="00E30EF7"/>
    <w:rsid w:val="00E30F04"/>
    <w:rsid w:val="00E30F71"/>
    <w:rsid w:val="00E31097"/>
    <w:rsid w:val="00E311EA"/>
    <w:rsid w:val="00E3127F"/>
    <w:rsid w:val="00E31301"/>
    <w:rsid w:val="00E313A7"/>
    <w:rsid w:val="00E313AA"/>
    <w:rsid w:val="00E31418"/>
    <w:rsid w:val="00E3142F"/>
    <w:rsid w:val="00E31469"/>
    <w:rsid w:val="00E3146E"/>
    <w:rsid w:val="00E31483"/>
    <w:rsid w:val="00E3148A"/>
    <w:rsid w:val="00E315FC"/>
    <w:rsid w:val="00E316C6"/>
    <w:rsid w:val="00E316D0"/>
    <w:rsid w:val="00E316EA"/>
    <w:rsid w:val="00E3170E"/>
    <w:rsid w:val="00E3177D"/>
    <w:rsid w:val="00E3177F"/>
    <w:rsid w:val="00E31803"/>
    <w:rsid w:val="00E318B2"/>
    <w:rsid w:val="00E318C1"/>
    <w:rsid w:val="00E318CA"/>
    <w:rsid w:val="00E31939"/>
    <w:rsid w:val="00E31942"/>
    <w:rsid w:val="00E319DE"/>
    <w:rsid w:val="00E31A40"/>
    <w:rsid w:val="00E31AD2"/>
    <w:rsid w:val="00E31B31"/>
    <w:rsid w:val="00E31B41"/>
    <w:rsid w:val="00E31B65"/>
    <w:rsid w:val="00E31B68"/>
    <w:rsid w:val="00E31C57"/>
    <w:rsid w:val="00E31C7C"/>
    <w:rsid w:val="00E31CA4"/>
    <w:rsid w:val="00E31CD9"/>
    <w:rsid w:val="00E31D2C"/>
    <w:rsid w:val="00E31D32"/>
    <w:rsid w:val="00E31E3A"/>
    <w:rsid w:val="00E31E57"/>
    <w:rsid w:val="00E31F19"/>
    <w:rsid w:val="00E31F2B"/>
    <w:rsid w:val="00E31F7A"/>
    <w:rsid w:val="00E320EB"/>
    <w:rsid w:val="00E32119"/>
    <w:rsid w:val="00E3217F"/>
    <w:rsid w:val="00E321D7"/>
    <w:rsid w:val="00E32204"/>
    <w:rsid w:val="00E32218"/>
    <w:rsid w:val="00E32219"/>
    <w:rsid w:val="00E32264"/>
    <w:rsid w:val="00E32290"/>
    <w:rsid w:val="00E322AC"/>
    <w:rsid w:val="00E322B3"/>
    <w:rsid w:val="00E322B7"/>
    <w:rsid w:val="00E323FD"/>
    <w:rsid w:val="00E323FE"/>
    <w:rsid w:val="00E32417"/>
    <w:rsid w:val="00E32423"/>
    <w:rsid w:val="00E3244D"/>
    <w:rsid w:val="00E32532"/>
    <w:rsid w:val="00E3256D"/>
    <w:rsid w:val="00E325C3"/>
    <w:rsid w:val="00E325D8"/>
    <w:rsid w:val="00E325E4"/>
    <w:rsid w:val="00E32600"/>
    <w:rsid w:val="00E3270C"/>
    <w:rsid w:val="00E32753"/>
    <w:rsid w:val="00E32787"/>
    <w:rsid w:val="00E327FC"/>
    <w:rsid w:val="00E32867"/>
    <w:rsid w:val="00E3288D"/>
    <w:rsid w:val="00E3292E"/>
    <w:rsid w:val="00E3295F"/>
    <w:rsid w:val="00E3299B"/>
    <w:rsid w:val="00E32A0D"/>
    <w:rsid w:val="00E32A16"/>
    <w:rsid w:val="00E32A4F"/>
    <w:rsid w:val="00E32AF3"/>
    <w:rsid w:val="00E32B75"/>
    <w:rsid w:val="00E32B8A"/>
    <w:rsid w:val="00E32BE7"/>
    <w:rsid w:val="00E32BEA"/>
    <w:rsid w:val="00E32BF8"/>
    <w:rsid w:val="00E32C08"/>
    <w:rsid w:val="00E32C59"/>
    <w:rsid w:val="00E32C6C"/>
    <w:rsid w:val="00E32C71"/>
    <w:rsid w:val="00E32CA1"/>
    <w:rsid w:val="00E32D34"/>
    <w:rsid w:val="00E32D3C"/>
    <w:rsid w:val="00E32D82"/>
    <w:rsid w:val="00E32D91"/>
    <w:rsid w:val="00E32DEB"/>
    <w:rsid w:val="00E32EC0"/>
    <w:rsid w:val="00E32ECB"/>
    <w:rsid w:val="00E32F20"/>
    <w:rsid w:val="00E32F28"/>
    <w:rsid w:val="00E32FB1"/>
    <w:rsid w:val="00E332D9"/>
    <w:rsid w:val="00E33353"/>
    <w:rsid w:val="00E3353C"/>
    <w:rsid w:val="00E335B5"/>
    <w:rsid w:val="00E335BB"/>
    <w:rsid w:val="00E335CE"/>
    <w:rsid w:val="00E335DC"/>
    <w:rsid w:val="00E33647"/>
    <w:rsid w:val="00E336A9"/>
    <w:rsid w:val="00E336EA"/>
    <w:rsid w:val="00E337D7"/>
    <w:rsid w:val="00E3388D"/>
    <w:rsid w:val="00E338DC"/>
    <w:rsid w:val="00E338F0"/>
    <w:rsid w:val="00E33918"/>
    <w:rsid w:val="00E33A99"/>
    <w:rsid w:val="00E33AC7"/>
    <w:rsid w:val="00E33AFC"/>
    <w:rsid w:val="00E33B34"/>
    <w:rsid w:val="00E33BE2"/>
    <w:rsid w:val="00E33C5A"/>
    <w:rsid w:val="00E33C72"/>
    <w:rsid w:val="00E33CAB"/>
    <w:rsid w:val="00E33D55"/>
    <w:rsid w:val="00E33DAF"/>
    <w:rsid w:val="00E33DF0"/>
    <w:rsid w:val="00E33DFB"/>
    <w:rsid w:val="00E33E20"/>
    <w:rsid w:val="00E33E75"/>
    <w:rsid w:val="00E33EEC"/>
    <w:rsid w:val="00E33F3F"/>
    <w:rsid w:val="00E33FCD"/>
    <w:rsid w:val="00E33FDF"/>
    <w:rsid w:val="00E341B1"/>
    <w:rsid w:val="00E341D4"/>
    <w:rsid w:val="00E3420F"/>
    <w:rsid w:val="00E34288"/>
    <w:rsid w:val="00E34298"/>
    <w:rsid w:val="00E342B5"/>
    <w:rsid w:val="00E3439B"/>
    <w:rsid w:val="00E343C1"/>
    <w:rsid w:val="00E343D7"/>
    <w:rsid w:val="00E343E0"/>
    <w:rsid w:val="00E34414"/>
    <w:rsid w:val="00E34465"/>
    <w:rsid w:val="00E34564"/>
    <w:rsid w:val="00E34664"/>
    <w:rsid w:val="00E34707"/>
    <w:rsid w:val="00E34756"/>
    <w:rsid w:val="00E3478A"/>
    <w:rsid w:val="00E347FD"/>
    <w:rsid w:val="00E34802"/>
    <w:rsid w:val="00E34836"/>
    <w:rsid w:val="00E34864"/>
    <w:rsid w:val="00E348A2"/>
    <w:rsid w:val="00E348CB"/>
    <w:rsid w:val="00E348CF"/>
    <w:rsid w:val="00E348D7"/>
    <w:rsid w:val="00E34907"/>
    <w:rsid w:val="00E3490E"/>
    <w:rsid w:val="00E349A7"/>
    <w:rsid w:val="00E349DF"/>
    <w:rsid w:val="00E34A10"/>
    <w:rsid w:val="00E34A44"/>
    <w:rsid w:val="00E34ACA"/>
    <w:rsid w:val="00E34AEA"/>
    <w:rsid w:val="00E34B47"/>
    <w:rsid w:val="00E34BB8"/>
    <w:rsid w:val="00E34C06"/>
    <w:rsid w:val="00E34C1B"/>
    <w:rsid w:val="00E34C32"/>
    <w:rsid w:val="00E34C3E"/>
    <w:rsid w:val="00E34C4E"/>
    <w:rsid w:val="00E34C81"/>
    <w:rsid w:val="00E34CB6"/>
    <w:rsid w:val="00E34CC0"/>
    <w:rsid w:val="00E34D32"/>
    <w:rsid w:val="00E34D7E"/>
    <w:rsid w:val="00E34DB4"/>
    <w:rsid w:val="00E34E00"/>
    <w:rsid w:val="00E34E79"/>
    <w:rsid w:val="00E34F44"/>
    <w:rsid w:val="00E34F4A"/>
    <w:rsid w:val="00E34F9C"/>
    <w:rsid w:val="00E34FA9"/>
    <w:rsid w:val="00E350CE"/>
    <w:rsid w:val="00E350FF"/>
    <w:rsid w:val="00E351A9"/>
    <w:rsid w:val="00E35223"/>
    <w:rsid w:val="00E35255"/>
    <w:rsid w:val="00E3535F"/>
    <w:rsid w:val="00E3538E"/>
    <w:rsid w:val="00E3538F"/>
    <w:rsid w:val="00E35394"/>
    <w:rsid w:val="00E353D2"/>
    <w:rsid w:val="00E353E2"/>
    <w:rsid w:val="00E3540F"/>
    <w:rsid w:val="00E3544F"/>
    <w:rsid w:val="00E35466"/>
    <w:rsid w:val="00E35493"/>
    <w:rsid w:val="00E355BC"/>
    <w:rsid w:val="00E35631"/>
    <w:rsid w:val="00E356F4"/>
    <w:rsid w:val="00E3578B"/>
    <w:rsid w:val="00E357E3"/>
    <w:rsid w:val="00E357FE"/>
    <w:rsid w:val="00E35877"/>
    <w:rsid w:val="00E358AA"/>
    <w:rsid w:val="00E358CC"/>
    <w:rsid w:val="00E3596F"/>
    <w:rsid w:val="00E359DE"/>
    <w:rsid w:val="00E35A73"/>
    <w:rsid w:val="00E35AB8"/>
    <w:rsid w:val="00E35B4E"/>
    <w:rsid w:val="00E35C01"/>
    <w:rsid w:val="00E35CB6"/>
    <w:rsid w:val="00E35CDF"/>
    <w:rsid w:val="00E35D68"/>
    <w:rsid w:val="00E35D74"/>
    <w:rsid w:val="00E35DBB"/>
    <w:rsid w:val="00E35E2A"/>
    <w:rsid w:val="00E35E3C"/>
    <w:rsid w:val="00E35EEA"/>
    <w:rsid w:val="00E36068"/>
    <w:rsid w:val="00E360B3"/>
    <w:rsid w:val="00E360E4"/>
    <w:rsid w:val="00E36106"/>
    <w:rsid w:val="00E361E5"/>
    <w:rsid w:val="00E3621F"/>
    <w:rsid w:val="00E362C2"/>
    <w:rsid w:val="00E362EF"/>
    <w:rsid w:val="00E36325"/>
    <w:rsid w:val="00E36337"/>
    <w:rsid w:val="00E36361"/>
    <w:rsid w:val="00E36382"/>
    <w:rsid w:val="00E363CB"/>
    <w:rsid w:val="00E363E1"/>
    <w:rsid w:val="00E3649E"/>
    <w:rsid w:val="00E364AF"/>
    <w:rsid w:val="00E36677"/>
    <w:rsid w:val="00E36788"/>
    <w:rsid w:val="00E3679E"/>
    <w:rsid w:val="00E367E9"/>
    <w:rsid w:val="00E3683F"/>
    <w:rsid w:val="00E368F9"/>
    <w:rsid w:val="00E36926"/>
    <w:rsid w:val="00E36962"/>
    <w:rsid w:val="00E36984"/>
    <w:rsid w:val="00E3698A"/>
    <w:rsid w:val="00E36ADF"/>
    <w:rsid w:val="00E36B33"/>
    <w:rsid w:val="00E36C38"/>
    <w:rsid w:val="00E36CBA"/>
    <w:rsid w:val="00E36D24"/>
    <w:rsid w:val="00E36DB2"/>
    <w:rsid w:val="00E36E49"/>
    <w:rsid w:val="00E36F66"/>
    <w:rsid w:val="00E36F79"/>
    <w:rsid w:val="00E37044"/>
    <w:rsid w:val="00E37072"/>
    <w:rsid w:val="00E370BA"/>
    <w:rsid w:val="00E37106"/>
    <w:rsid w:val="00E37122"/>
    <w:rsid w:val="00E37180"/>
    <w:rsid w:val="00E3718B"/>
    <w:rsid w:val="00E37199"/>
    <w:rsid w:val="00E371F0"/>
    <w:rsid w:val="00E37211"/>
    <w:rsid w:val="00E37224"/>
    <w:rsid w:val="00E37253"/>
    <w:rsid w:val="00E372BB"/>
    <w:rsid w:val="00E372BF"/>
    <w:rsid w:val="00E372D4"/>
    <w:rsid w:val="00E37343"/>
    <w:rsid w:val="00E37448"/>
    <w:rsid w:val="00E374DC"/>
    <w:rsid w:val="00E3755F"/>
    <w:rsid w:val="00E376F5"/>
    <w:rsid w:val="00E3784F"/>
    <w:rsid w:val="00E3785B"/>
    <w:rsid w:val="00E3786D"/>
    <w:rsid w:val="00E378BC"/>
    <w:rsid w:val="00E378EF"/>
    <w:rsid w:val="00E3792F"/>
    <w:rsid w:val="00E37946"/>
    <w:rsid w:val="00E379DB"/>
    <w:rsid w:val="00E379F2"/>
    <w:rsid w:val="00E37A81"/>
    <w:rsid w:val="00E37B08"/>
    <w:rsid w:val="00E37B1C"/>
    <w:rsid w:val="00E37B24"/>
    <w:rsid w:val="00E37BD4"/>
    <w:rsid w:val="00E37BD8"/>
    <w:rsid w:val="00E37C5A"/>
    <w:rsid w:val="00E37C6D"/>
    <w:rsid w:val="00E37D30"/>
    <w:rsid w:val="00E37DC6"/>
    <w:rsid w:val="00E37E30"/>
    <w:rsid w:val="00E37E50"/>
    <w:rsid w:val="00E37E66"/>
    <w:rsid w:val="00E37E8E"/>
    <w:rsid w:val="00E37EC6"/>
    <w:rsid w:val="00E37F64"/>
    <w:rsid w:val="00E37F91"/>
    <w:rsid w:val="00E37F97"/>
    <w:rsid w:val="00E400C3"/>
    <w:rsid w:val="00E400EB"/>
    <w:rsid w:val="00E401AA"/>
    <w:rsid w:val="00E401C4"/>
    <w:rsid w:val="00E401CA"/>
    <w:rsid w:val="00E401EB"/>
    <w:rsid w:val="00E40298"/>
    <w:rsid w:val="00E402AC"/>
    <w:rsid w:val="00E402D9"/>
    <w:rsid w:val="00E403F8"/>
    <w:rsid w:val="00E4056F"/>
    <w:rsid w:val="00E407A5"/>
    <w:rsid w:val="00E407EA"/>
    <w:rsid w:val="00E40853"/>
    <w:rsid w:val="00E40863"/>
    <w:rsid w:val="00E40890"/>
    <w:rsid w:val="00E408DC"/>
    <w:rsid w:val="00E409DB"/>
    <w:rsid w:val="00E40A0A"/>
    <w:rsid w:val="00E40AAE"/>
    <w:rsid w:val="00E40B7F"/>
    <w:rsid w:val="00E40BC0"/>
    <w:rsid w:val="00E40BDD"/>
    <w:rsid w:val="00E40BF9"/>
    <w:rsid w:val="00E40C95"/>
    <w:rsid w:val="00E40CD4"/>
    <w:rsid w:val="00E40D10"/>
    <w:rsid w:val="00E40E3C"/>
    <w:rsid w:val="00E40EB4"/>
    <w:rsid w:val="00E40EF0"/>
    <w:rsid w:val="00E40EF5"/>
    <w:rsid w:val="00E40F09"/>
    <w:rsid w:val="00E40F47"/>
    <w:rsid w:val="00E40F48"/>
    <w:rsid w:val="00E40F7B"/>
    <w:rsid w:val="00E40F7F"/>
    <w:rsid w:val="00E40FEC"/>
    <w:rsid w:val="00E41163"/>
    <w:rsid w:val="00E41177"/>
    <w:rsid w:val="00E411DF"/>
    <w:rsid w:val="00E4127C"/>
    <w:rsid w:val="00E41329"/>
    <w:rsid w:val="00E413A3"/>
    <w:rsid w:val="00E413E0"/>
    <w:rsid w:val="00E413F8"/>
    <w:rsid w:val="00E413FC"/>
    <w:rsid w:val="00E414DF"/>
    <w:rsid w:val="00E414F8"/>
    <w:rsid w:val="00E414FA"/>
    <w:rsid w:val="00E415B3"/>
    <w:rsid w:val="00E4168F"/>
    <w:rsid w:val="00E41732"/>
    <w:rsid w:val="00E41767"/>
    <w:rsid w:val="00E4177E"/>
    <w:rsid w:val="00E4178C"/>
    <w:rsid w:val="00E41821"/>
    <w:rsid w:val="00E4187F"/>
    <w:rsid w:val="00E41886"/>
    <w:rsid w:val="00E418E4"/>
    <w:rsid w:val="00E419E0"/>
    <w:rsid w:val="00E41AC8"/>
    <w:rsid w:val="00E41AFC"/>
    <w:rsid w:val="00E41B44"/>
    <w:rsid w:val="00E41B64"/>
    <w:rsid w:val="00E41B66"/>
    <w:rsid w:val="00E41BC1"/>
    <w:rsid w:val="00E41C23"/>
    <w:rsid w:val="00E41C44"/>
    <w:rsid w:val="00E41CAC"/>
    <w:rsid w:val="00E41CBB"/>
    <w:rsid w:val="00E41CD2"/>
    <w:rsid w:val="00E41CE4"/>
    <w:rsid w:val="00E41D43"/>
    <w:rsid w:val="00E41DA3"/>
    <w:rsid w:val="00E41E59"/>
    <w:rsid w:val="00E41F73"/>
    <w:rsid w:val="00E41FD6"/>
    <w:rsid w:val="00E41FDE"/>
    <w:rsid w:val="00E420A5"/>
    <w:rsid w:val="00E42182"/>
    <w:rsid w:val="00E421F5"/>
    <w:rsid w:val="00E42267"/>
    <w:rsid w:val="00E42269"/>
    <w:rsid w:val="00E42277"/>
    <w:rsid w:val="00E4227F"/>
    <w:rsid w:val="00E422B1"/>
    <w:rsid w:val="00E422E6"/>
    <w:rsid w:val="00E4234F"/>
    <w:rsid w:val="00E423A3"/>
    <w:rsid w:val="00E423AD"/>
    <w:rsid w:val="00E42430"/>
    <w:rsid w:val="00E4245F"/>
    <w:rsid w:val="00E42470"/>
    <w:rsid w:val="00E42509"/>
    <w:rsid w:val="00E42551"/>
    <w:rsid w:val="00E42557"/>
    <w:rsid w:val="00E425DA"/>
    <w:rsid w:val="00E42621"/>
    <w:rsid w:val="00E42633"/>
    <w:rsid w:val="00E4265C"/>
    <w:rsid w:val="00E426B6"/>
    <w:rsid w:val="00E4270A"/>
    <w:rsid w:val="00E427BA"/>
    <w:rsid w:val="00E4283B"/>
    <w:rsid w:val="00E4291D"/>
    <w:rsid w:val="00E42927"/>
    <w:rsid w:val="00E42942"/>
    <w:rsid w:val="00E42996"/>
    <w:rsid w:val="00E42AFD"/>
    <w:rsid w:val="00E42B21"/>
    <w:rsid w:val="00E42B6D"/>
    <w:rsid w:val="00E42BA5"/>
    <w:rsid w:val="00E42BF5"/>
    <w:rsid w:val="00E42C52"/>
    <w:rsid w:val="00E42C5E"/>
    <w:rsid w:val="00E42DBD"/>
    <w:rsid w:val="00E42E47"/>
    <w:rsid w:val="00E42F0E"/>
    <w:rsid w:val="00E42F14"/>
    <w:rsid w:val="00E42FDE"/>
    <w:rsid w:val="00E43046"/>
    <w:rsid w:val="00E43060"/>
    <w:rsid w:val="00E430B7"/>
    <w:rsid w:val="00E43110"/>
    <w:rsid w:val="00E4313A"/>
    <w:rsid w:val="00E431EE"/>
    <w:rsid w:val="00E4322B"/>
    <w:rsid w:val="00E43246"/>
    <w:rsid w:val="00E432AD"/>
    <w:rsid w:val="00E4335B"/>
    <w:rsid w:val="00E43360"/>
    <w:rsid w:val="00E433A2"/>
    <w:rsid w:val="00E43433"/>
    <w:rsid w:val="00E43474"/>
    <w:rsid w:val="00E434F5"/>
    <w:rsid w:val="00E435FD"/>
    <w:rsid w:val="00E436F5"/>
    <w:rsid w:val="00E4377A"/>
    <w:rsid w:val="00E43792"/>
    <w:rsid w:val="00E4380E"/>
    <w:rsid w:val="00E43848"/>
    <w:rsid w:val="00E4384E"/>
    <w:rsid w:val="00E438B5"/>
    <w:rsid w:val="00E438B6"/>
    <w:rsid w:val="00E43912"/>
    <w:rsid w:val="00E43927"/>
    <w:rsid w:val="00E43954"/>
    <w:rsid w:val="00E43960"/>
    <w:rsid w:val="00E43998"/>
    <w:rsid w:val="00E439E1"/>
    <w:rsid w:val="00E43A90"/>
    <w:rsid w:val="00E43A9E"/>
    <w:rsid w:val="00E43AD4"/>
    <w:rsid w:val="00E43ADA"/>
    <w:rsid w:val="00E43AE0"/>
    <w:rsid w:val="00E43B04"/>
    <w:rsid w:val="00E43B63"/>
    <w:rsid w:val="00E43B87"/>
    <w:rsid w:val="00E43BC7"/>
    <w:rsid w:val="00E43BF2"/>
    <w:rsid w:val="00E43CBE"/>
    <w:rsid w:val="00E43CC7"/>
    <w:rsid w:val="00E43CCB"/>
    <w:rsid w:val="00E43D77"/>
    <w:rsid w:val="00E43DD7"/>
    <w:rsid w:val="00E43E08"/>
    <w:rsid w:val="00E43E90"/>
    <w:rsid w:val="00E43EE7"/>
    <w:rsid w:val="00E43F18"/>
    <w:rsid w:val="00E44067"/>
    <w:rsid w:val="00E440E2"/>
    <w:rsid w:val="00E44102"/>
    <w:rsid w:val="00E44137"/>
    <w:rsid w:val="00E4417D"/>
    <w:rsid w:val="00E44248"/>
    <w:rsid w:val="00E44289"/>
    <w:rsid w:val="00E442B5"/>
    <w:rsid w:val="00E4433E"/>
    <w:rsid w:val="00E4434D"/>
    <w:rsid w:val="00E44406"/>
    <w:rsid w:val="00E44409"/>
    <w:rsid w:val="00E44442"/>
    <w:rsid w:val="00E44447"/>
    <w:rsid w:val="00E444C8"/>
    <w:rsid w:val="00E44555"/>
    <w:rsid w:val="00E44557"/>
    <w:rsid w:val="00E445BF"/>
    <w:rsid w:val="00E445F2"/>
    <w:rsid w:val="00E4463B"/>
    <w:rsid w:val="00E4475A"/>
    <w:rsid w:val="00E4483F"/>
    <w:rsid w:val="00E44845"/>
    <w:rsid w:val="00E448B2"/>
    <w:rsid w:val="00E448C2"/>
    <w:rsid w:val="00E449AA"/>
    <w:rsid w:val="00E44A25"/>
    <w:rsid w:val="00E44A41"/>
    <w:rsid w:val="00E44AA6"/>
    <w:rsid w:val="00E44AE0"/>
    <w:rsid w:val="00E44B1B"/>
    <w:rsid w:val="00E44B49"/>
    <w:rsid w:val="00E44B7F"/>
    <w:rsid w:val="00E44BB2"/>
    <w:rsid w:val="00E44C58"/>
    <w:rsid w:val="00E44C7D"/>
    <w:rsid w:val="00E44CA6"/>
    <w:rsid w:val="00E44D4B"/>
    <w:rsid w:val="00E44DBC"/>
    <w:rsid w:val="00E44DDD"/>
    <w:rsid w:val="00E44E26"/>
    <w:rsid w:val="00E44EBE"/>
    <w:rsid w:val="00E44F37"/>
    <w:rsid w:val="00E44F84"/>
    <w:rsid w:val="00E44F9C"/>
    <w:rsid w:val="00E450CE"/>
    <w:rsid w:val="00E4510C"/>
    <w:rsid w:val="00E45125"/>
    <w:rsid w:val="00E45152"/>
    <w:rsid w:val="00E4516F"/>
    <w:rsid w:val="00E452A0"/>
    <w:rsid w:val="00E4534D"/>
    <w:rsid w:val="00E45407"/>
    <w:rsid w:val="00E45431"/>
    <w:rsid w:val="00E454F5"/>
    <w:rsid w:val="00E45508"/>
    <w:rsid w:val="00E4550C"/>
    <w:rsid w:val="00E45599"/>
    <w:rsid w:val="00E455CE"/>
    <w:rsid w:val="00E45601"/>
    <w:rsid w:val="00E45674"/>
    <w:rsid w:val="00E45685"/>
    <w:rsid w:val="00E45741"/>
    <w:rsid w:val="00E45772"/>
    <w:rsid w:val="00E45782"/>
    <w:rsid w:val="00E45795"/>
    <w:rsid w:val="00E45796"/>
    <w:rsid w:val="00E457C2"/>
    <w:rsid w:val="00E45883"/>
    <w:rsid w:val="00E45932"/>
    <w:rsid w:val="00E459E0"/>
    <w:rsid w:val="00E459F4"/>
    <w:rsid w:val="00E459FD"/>
    <w:rsid w:val="00E45A30"/>
    <w:rsid w:val="00E45A55"/>
    <w:rsid w:val="00E45AFD"/>
    <w:rsid w:val="00E45B31"/>
    <w:rsid w:val="00E45B38"/>
    <w:rsid w:val="00E45B70"/>
    <w:rsid w:val="00E45B9C"/>
    <w:rsid w:val="00E45C32"/>
    <w:rsid w:val="00E45C4D"/>
    <w:rsid w:val="00E45CAB"/>
    <w:rsid w:val="00E45CD7"/>
    <w:rsid w:val="00E45D07"/>
    <w:rsid w:val="00E45D1C"/>
    <w:rsid w:val="00E45D61"/>
    <w:rsid w:val="00E45EAA"/>
    <w:rsid w:val="00E45EBB"/>
    <w:rsid w:val="00E45F46"/>
    <w:rsid w:val="00E45F74"/>
    <w:rsid w:val="00E45FCA"/>
    <w:rsid w:val="00E45FF0"/>
    <w:rsid w:val="00E46000"/>
    <w:rsid w:val="00E4601D"/>
    <w:rsid w:val="00E4602F"/>
    <w:rsid w:val="00E46072"/>
    <w:rsid w:val="00E460D5"/>
    <w:rsid w:val="00E460E0"/>
    <w:rsid w:val="00E460FF"/>
    <w:rsid w:val="00E46165"/>
    <w:rsid w:val="00E4616A"/>
    <w:rsid w:val="00E461B6"/>
    <w:rsid w:val="00E461C3"/>
    <w:rsid w:val="00E461DC"/>
    <w:rsid w:val="00E462D2"/>
    <w:rsid w:val="00E4631A"/>
    <w:rsid w:val="00E463B1"/>
    <w:rsid w:val="00E463B2"/>
    <w:rsid w:val="00E463FC"/>
    <w:rsid w:val="00E46443"/>
    <w:rsid w:val="00E46468"/>
    <w:rsid w:val="00E464A3"/>
    <w:rsid w:val="00E465DF"/>
    <w:rsid w:val="00E46601"/>
    <w:rsid w:val="00E46669"/>
    <w:rsid w:val="00E466B5"/>
    <w:rsid w:val="00E4672C"/>
    <w:rsid w:val="00E46781"/>
    <w:rsid w:val="00E4678A"/>
    <w:rsid w:val="00E46853"/>
    <w:rsid w:val="00E46884"/>
    <w:rsid w:val="00E46890"/>
    <w:rsid w:val="00E468B3"/>
    <w:rsid w:val="00E468E0"/>
    <w:rsid w:val="00E468EB"/>
    <w:rsid w:val="00E4690B"/>
    <w:rsid w:val="00E469A7"/>
    <w:rsid w:val="00E469BD"/>
    <w:rsid w:val="00E469D7"/>
    <w:rsid w:val="00E46A2B"/>
    <w:rsid w:val="00E46AF6"/>
    <w:rsid w:val="00E46C8C"/>
    <w:rsid w:val="00E46C8D"/>
    <w:rsid w:val="00E46DAC"/>
    <w:rsid w:val="00E46E67"/>
    <w:rsid w:val="00E46EB9"/>
    <w:rsid w:val="00E46ED6"/>
    <w:rsid w:val="00E46FBC"/>
    <w:rsid w:val="00E470EE"/>
    <w:rsid w:val="00E47307"/>
    <w:rsid w:val="00E47375"/>
    <w:rsid w:val="00E47388"/>
    <w:rsid w:val="00E473A7"/>
    <w:rsid w:val="00E473E7"/>
    <w:rsid w:val="00E473EF"/>
    <w:rsid w:val="00E4741B"/>
    <w:rsid w:val="00E4749A"/>
    <w:rsid w:val="00E474CF"/>
    <w:rsid w:val="00E47518"/>
    <w:rsid w:val="00E47669"/>
    <w:rsid w:val="00E47684"/>
    <w:rsid w:val="00E476AB"/>
    <w:rsid w:val="00E477B3"/>
    <w:rsid w:val="00E477E2"/>
    <w:rsid w:val="00E4782A"/>
    <w:rsid w:val="00E478D7"/>
    <w:rsid w:val="00E47912"/>
    <w:rsid w:val="00E479C3"/>
    <w:rsid w:val="00E479E6"/>
    <w:rsid w:val="00E479F5"/>
    <w:rsid w:val="00E47A67"/>
    <w:rsid w:val="00E47A92"/>
    <w:rsid w:val="00E47AB0"/>
    <w:rsid w:val="00E47AF2"/>
    <w:rsid w:val="00E47B55"/>
    <w:rsid w:val="00E47BA0"/>
    <w:rsid w:val="00E47C00"/>
    <w:rsid w:val="00E47D45"/>
    <w:rsid w:val="00E47D76"/>
    <w:rsid w:val="00E47D8C"/>
    <w:rsid w:val="00E47E01"/>
    <w:rsid w:val="00E47E4E"/>
    <w:rsid w:val="00E47EAC"/>
    <w:rsid w:val="00E47ED3"/>
    <w:rsid w:val="00E47F51"/>
    <w:rsid w:val="00E47FED"/>
    <w:rsid w:val="00E50068"/>
    <w:rsid w:val="00E50180"/>
    <w:rsid w:val="00E50296"/>
    <w:rsid w:val="00E502E5"/>
    <w:rsid w:val="00E50459"/>
    <w:rsid w:val="00E50507"/>
    <w:rsid w:val="00E50521"/>
    <w:rsid w:val="00E50525"/>
    <w:rsid w:val="00E50533"/>
    <w:rsid w:val="00E505D9"/>
    <w:rsid w:val="00E505F9"/>
    <w:rsid w:val="00E50666"/>
    <w:rsid w:val="00E5068D"/>
    <w:rsid w:val="00E5070D"/>
    <w:rsid w:val="00E5079C"/>
    <w:rsid w:val="00E507D9"/>
    <w:rsid w:val="00E50878"/>
    <w:rsid w:val="00E5088A"/>
    <w:rsid w:val="00E508B7"/>
    <w:rsid w:val="00E50969"/>
    <w:rsid w:val="00E50A48"/>
    <w:rsid w:val="00E50AA3"/>
    <w:rsid w:val="00E50B1F"/>
    <w:rsid w:val="00E50B5C"/>
    <w:rsid w:val="00E50BB1"/>
    <w:rsid w:val="00E50BDA"/>
    <w:rsid w:val="00E50BE0"/>
    <w:rsid w:val="00E50BFD"/>
    <w:rsid w:val="00E50C1D"/>
    <w:rsid w:val="00E50C37"/>
    <w:rsid w:val="00E50CAA"/>
    <w:rsid w:val="00E50CDF"/>
    <w:rsid w:val="00E50D02"/>
    <w:rsid w:val="00E50D25"/>
    <w:rsid w:val="00E50E2B"/>
    <w:rsid w:val="00E50E2D"/>
    <w:rsid w:val="00E50E6A"/>
    <w:rsid w:val="00E50EB8"/>
    <w:rsid w:val="00E50F14"/>
    <w:rsid w:val="00E50F7F"/>
    <w:rsid w:val="00E51048"/>
    <w:rsid w:val="00E51074"/>
    <w:rsid w:val="00E5109B"/>
    <w:rsid w:val="00E5111B"/>
    <w:rsid w:val="00E51161"/>
    <w:rsid w:val="00E51196"/>
    <w:rsid w:val="00E511AC"/>
    <w:rsid w:val="00E51308"/>
    <w:rsid w:val="00E51372"/>
    <w:rsid w:val="00E51373"/>
    <w:rsid w:val="00E51441"/>
    <w:rsid w:val="00E514AE"/>
    <w:rsid w:val="00E514B4"/>
    <w:rsid w:val="00E51527"/>
    <w:rsid w:val="00E51581"/>
    <w:rsid w:val="00E515E3"/>
    <w:rsid w:val="00E5160C"/>
    <w:rsid w:val="00E5165D"/>
    <w:rsid w:val="00E51695"/>
    <w:rsid w:val="00E5170F"/>
    <w:rsid w:val="00E5185D"/>
    <w:rsid w:val="00E51960"/>
    <w:rsid w:val="00E519AD"/>
    <w:rsid w:val="00E519FD"/>
    <w:rsid w:val="00E51A2F"/>
    <w:rsid w:val="00E51A49"/>
    <w:rsid w:val="00E51A5A"/>
    <w:rsid w:val="00E51A93"/>
    <w:rsid w:val="00E51AB8"/>
    <w:rsid w:val="00E51B59"/>
    <w:rsid w:val="00E51BB0"/>
    <w:rsid w:val="00E51BDE"/>
    <w:rsid w:val="00E51CD2"/>
    <w:rsid w:val="00E51CDB"/>
    <w:rsid w:val="00E51CF7"/>
    <w:rsid w:val="00E51D9F"/>
    <w:rsid w:val="00E51DAD"/>
    <w:rsid w:val="00E51E2B"/>
    <w:rsid w:val="00E51EE0"/>
    <w:rsid w:val="00E51EE8"/>
    <w:rsid w:val="00E51EF4"/>
    <w:rsid w:val="00E51F57"/>
    <w:rsid w:val="00E51F8E"/>
    <w:rsid w:val="00E51FEB"/>
    <w:rsid w:val="00E52006"/>
    <w:rsid w:val="00E5202E"/>
    <w:rsid w:val="00E52031"/>
    <w:rsid w:val="00E520AA"/>
    <w:rsid w:val="00E520EE"/>
    <w:rsid w:val="00E52143"/>
    <w:rsid w:val="00E52193"/>
    <w:rsid w:val="00E5220C"/>
    <w:rsid w:val="00E52353"/>
    <w:rsid w:val="00E5236A"/>
    <w:rsid w:val="00E523D3"/>
    <w:rsid w:val="00E523D6"/>
    <w:rsid w:val="00E523F5"/>
    <w:rsid w:val="00E5246C"/>
    <w:rsid w:val="00E5249E"/>
    <w:rsid w:val="00E524B6"/>
    <w:rsid w:val="00E524F6"/>
    <w:rsid w:val="00E52545"/>
    <w:rsid w:val="00E5257E"/>
    <w:rsid w:val="00E52590"/>
    <w:rsid w:val="00E525A8"/>
    <w:rsid w:val="00E525DE"/>
    <w:rsid w:val="00E52616"/>
    <w:rsid w:val="00E52626"/>
    <w:rsid w:val="00E52645"/>
    <w:rsid w:val="00E52693"/>
    <w:rsid w:val="00E5276B"/>
    <w:rsid w:val="00E527BE"/>
    <w:rsid w:val="00E527FF"/>
    <w:rsid w:val="00E528BD"/>
    <w:rsid w:val="00E52A3C"/>
    <w:rsid w:val="00E52B42"/>
    <w:rsid w:val="00E52C51"/>
    <w:rsid w:val="00E52CCF"/>
    <w:rsid w:val="00E52DC8"/>
    <w:rsid w:val="00E52E79"/>
    <w:rsid w:val="00E52ED3"/>
    <w:rsid w:val="00E52EE2"/>
    <w:rsid w:val="00E5308B"/>
    <w:rsid w:val="00E530EE"/>
    <w:rsid w:val="00E530F8"/>
    <w:rsid w:val="00E531B2"/>
    <w:rsid w:val="00E5323B"/>
    <w:rsid w:val="00E5326F"/>
    <w:rsid w:val="00E53298"/>
    <w:rsid w:val="00E532AE"/>
    <w:rsid w:val="00E532C7"/>
    <w:rsid w:val="00E5335F"/>
    <w:rsid w:val="00E53375"/>
    <w:rsid w:val="00E533A9"/>
    <w:rsid w:val="00E53487"/>
    <w:rsid w:val="00E534D7"/>
    <w:rsid w:val="00E5353E"/>
    <w:rsid w:val="00E53543"/>
    <w:rsid w:val="00E5359B"/>
    <w:rsid w:val="00E535A1"/>
    <w:rsid w:val="00E535D3"/>
    <w:rsid w:val="00E536B7"/>
    <w:rsid w:val="00E5375A"/>
    <w:rsid w:val="00E537EB"/>
    <w:rsid w:val="00E53872"/>
    <w:rsid w:val="00E53896"/>
    <w:rsid w:val="00E538AC"/>
    <w:rsid w:val="00E5399A"/>
    <w:rsid w:val="00E539BC"/>
    <w:rsid w:val="00E539D2"/>
    <w:rsid w:val="00E53A05"/>
    <w:rsid w:val="00E53B61"/>
    <w:rsid w:val="00E53B82"/>
    <w:rsid w:val="00E53B93"/>
    <w:rsid w:val="00E53C0D"/>
    <w:rsid w:val="00E53D37"/>
    <w:rsid w:val="00E53D45"/>
    <w:rsid w:val="00E53E16"/>
    <w:rsid w:val="00E53E32"/>
    <w:rsid w:val="00E53E57"/>
    <w:rsid w:val="00E53F2D"/>
    <w:rsid w:val="00E5404A"/>
    <w:rsid w:val="00E540A4"/>
    <w:rsid w:val="00E540AC"/>
    <w:rsid w:val="00E541ED"/>
    <w:rsid w:val="00E54218"/>
    <w:rsid w:val="00E54239"/>
    <w:rsid w:val="00E54340"/>
    <w:rsid w:val="00E54342"/>
    <w:rsid w:val="00E5437B"/>
    <w:rsid w:val="00E54428"/>
    <w:rsid w:val="00E544E5"/>
    <w:rsid w:val="00E54644"/>
    <w:rsid w:val="00E547A2"/>
    <w:rsid w:val="00E54820"/>
    <w:rsid w:val="00E548EA"/>
    <w:rsid w:val="00E54929"/>
    <w:rsid w:val="00E549FF"/>
    <w:rsid w:val="00E54A90"/>
    <w:rsid w:val="00E54AAB"/>
    <w:rsid w:val="00E54AF3"/>
    <w:rsid w:val="00E54B0F"/>
    <w:rsid w:val="00E54BB6"/>
    <w:rsid w:val="00E54BB7"/>
    <w:rsid w:val="00E54BED"/>
    <w:rsid w:val="00E54C62"/>
    <w:rsid w:val="00E54C64"/>
    <w:rsid w:val="00E54C69"/>
    <w:rsid w:val="00E54D1B"/>
    <w:rsid w:val="00E54D7C"/>
    <w:rsid w:val="00E54D86"/>
    <w:rsid w:val="00E54DA0"/>
    <w:rsid w:val="00E54DC0"/>
    <w:rsid w:val="00E54F1D"/>
    <w:rsid w:val="00E54F3C"/>
    <w:rsid w:val="00E54F5F"/>
    <w:rsid w:val="00E54F6D"/>
    <w:rsid w:val="00E54FCD"/>
    <w:rsid w:val="00E55075"/>
    <w:rsid w:val="00E55077"/>
    <w:rsid w:val="00E550CC"/>
    <w:rsid w:val="00E55107"/>
    <w:rsid w:val="00E551DC"/>
    <w:rsid w:val="00E551E0"/>
    <w:rsid w:val="00E55212"/>
    <w:rsid w:val="00E55213"/>
    <w:rsid w:val="00E552B0"/>
    <w:rsid w:val="00E552E0"/>
    <w:rsid w:val="00E55334"/>
    <w:rsid w:val="00E5547B"/>
    <w:rsid w:val="00E55553"/>
    <w:rsid w:val="00E55587"/>
    <w:rsid w:val="00E55591"/>
    <w:rsid w:val="00E555B1"/>
    <w:rsid w:val="00E5567B"/>
    <w:rsid w:val="00E556EF"/>
    <w:rsid w:val="00E55705"/>
    <w:rsid w:val="00E55809"/>
    <w:rsid w:val="00E5581D"/>
    <w:rsid w:val="00E55847"/>
    <w:rsid w:val="00E55862"/>
    <w:rsid w:val="00E55882"/>
    <w:rsid w:val="00E558CB"/>
    <w:rsid w:val="00E5590E"/>
    <w:rsid w:val="00E5592B"/>
    <w:rsid w:val="00E55931"/>
    <w:rsid w:val="00E55952"/>
    <w:rsid w:val="00E559A9"/>
    <w:rsid w:val="00E559CE"/>
    <w:rsid w:val="00E55A92"/>
    <w:rsid w:val="00E55ACD"/>
    <w:rsid w:val="00E55AD0"/>
    <w:rsid w:val="00E55AF4"/>
    <w:rsid w:val="00E55B38"/>
    <w:rsid w:val="00E55BDD"/>
    <w:rsid w:val="00E55CE4"/>
    <w:rsid w:val="00E55D02"/>
    <w:rsid w:val="00E55D95"/>
    <w:rsid w:val="00E55DFD"/>
    <w:rsid w:val="00E55E2F"/>
    <w:rsid w:val="00E55EF3"/>
    <w:rsid w:val="00E55FC1"/>
    <w:rsid w:val="00E5610D"/>
    <w:rsid w:val="00E56137"/>
    <w:rsid w:val="00E56161"/>
    <w:rsid w:val="00E56281"/>
    <w:rsid w:val="00E562D9"/>
    <w:rsid w:val="00E562E1"/>
    <w:rsid w:val="00E56309"/>
    <w:rsid w:val="00E5635E"/>
    <w:rsid w:val="00E563B9"/>
    <w:rsid w:val="00E56401"/>
    <w:rsid w:val="00E5641F"/>
    <w:rsid w:val="00E56464"/>
    <w:rsid w:val="00E56481"/>
    <w:rsid w:val="00E5649B"/>
    <w:rsid w:val="00E564B0"/>
    <w:rsid w:val="00E5655A"/>
    <w:rsid w:val="00E565E1"/>
    <w:rsid w:val="00E56641"/>
    <w:rsid w:val="00E5664F"/>
    <w:rsid w:val="00E56658"/>
    <w:rsid w:val="00E56665"/>
    <w:rsid w:val="00E5666F"/>
    <w:rsid w:val="00E566A8"/>
    <w:rsid w:val="00E566AC"/>
    <w:rsid w:val="00E566E8"/>
    <w:rsid w:val="00E56796"/>
    <w:rsid w:val="00E56843"/>
    <w:rsid w:val="00E56858"/>
    <w:rsid w:val="00E56895"/>
    <w:rsid w:val="00E56930"/>
    <w:rsid w:val="00E56943"/>
    <w:rsid w:val="00E56944"/>
    <w:rsid w:val="00E56956"/>
    <w:rsid w:val="00E5696E"/>
    <w:rsid w:val="00E56A2F"/>
    <w:rsid w:val="00E56AE0"/>
    <w:rsid w:val="00E56B08"/>
    <w:rsid w:val="00E56B0D"/>
    <w:rsid w:val="00E56B5D"/>
    <w:rsid w:val="00E56B77"/>
    <w:rsid w:val="00E56BF8"/>
    <w:rsid w:val="00E56C2F"/>
    <w:rsid w:val="00E56C7B"/>
    <w:rsid w:val="00E56D3C"/>
    <w:rsid w:val="00E56D77"/>
    <w:rsid w:val="00E56DB5"/>
    <w:rsid w:val="00E56DBC"/>
    <w:rsid w:val="00E56E07"/>
    <w:rsid w:val="00E56F82"/>
    <w:rsid w:val="00E56FDF"/>
    <w:rsid w:val="00E57062"/>
    <w:rsid w:val="00E57128"/>
    <w:rsid w:val="00E57169"/>
    <w:rsid w:val="00E5719C"/>
    <w:rsid w:val="00E571D0"/>
    <w:rsid w:val="00E57235"/>
    <w:rsid w:val="00E57283"/>
    <w:rsid w:val="00E5738A"/>
    <w:rsid w:val="00E57394"/>
    <w:rsid w:val="00E573D5"/>
    <w:rsid w:val="00E5744E"/>
    <w:rsid w:val="00E574E7"/>
    <w:rsid w:val="00E57714"/>
    <w:rsid w:val="00E57764"/>
    <w:rsid w:val="00E5785E"/>
    <w:rsid w:val="00E57A46"/>
    <w:rsid w:val="00E57A9E"/>
    <w:rsid w:val="00E57AB6"/>
    <w:rsid w:val="00E57BA9"/>
    <w:rsid w:val="00E57BE4"/>
    <w:rsid w:val="00E57CC4"/>
    <w:rsid w:val="00E57D51"/>
    <w:rsid w:val="00E57D7E"/>
    <w:rsid w:val="00E57DE1"/>
    <w:rsid w:val="00E57E54"/>
    <w:rsid w:val="00E57E8C"/>
    <w:rsid w:val="00E57E96"/>
    <w:rsid w:val="00E57E9B"/>
    <w:rsid w:val="00E57EBA"/>
    <w:rsid w:val="00E57EE8"/>
    <w:rsid w:val="00E57F19"/>
    <w:rsid w:val="00E57F1A"/>
    <w:rsid w:val="00E57FCD"/>
    <w:rsid w:val="00E60075"/>
    <w:rsid w:val="00E600A9"/>
    <w:rsid w:val="00E6012B"/>
    <w:rsid w:val="00E6014C"/>
    <w:rsid w:val="00E601F2"/>
    <w:rsid w:val="00E60249"/>
    <w:rsid w:val="00E60260"/>
    <w:rsid w:val="00E602F3"/>
    <w:rsid w:val="00E60318"/>
    <w:rsid w:val="00E60389"/>
    <w:rsid w:val="00E603A2"/>
    <w:rsid w:val="00E604E0"/>
    <w:rsid w:val="00E604FA"/>
    <w:rsid w:val="00E60534"/>
    <w:rsid w:val="00E60540"/>
    <w:rsid w:val="00E6057F"/>
    <w:rsid w:val="00E605B3"/>
    <w:rsid w:val="00E60725"/>
    <w:rsid w:val="00E6074F"/>
    <w:rsid w:val="00E60786"/>
    <w:rsid w:val="00E607DE"/>
    <w:rsid w:val="00E60809"/>
    <w:rsid w:val="00E60856"/>
    <w:rsid w:val="00E6087A"/>
    <w:rsid w:val="00E60886"/>
    <w:rsid w:val="00E608C0"/>
    <w:rsid w:val="00E608DA"/>
    <w:rsid w:val="00E608DD"/>
    <w:rsid w:val="00E60973"/>
    <w:rsid w:val="00E609F1"/>
    <w:rsid w:val="00E60A8E"/>
    <w:rsid w:val="00E60AB5"/>
    <w:rsid w:val="00E60B26"/>
    <w:rsid w:val="00E60C49"/>
    <w:rsid w:val="00E60CA5"/>
    <w:rsid w:val="00E60DAB"/>
    <w:rsid w:val="00E60DC3"/>
    <w:rsid w:val="00E60ED5"/>
    <w:rsid w:val="00E60FB3"/>
    <w:rsid w:val="00E61011"/>
    <w:rsid w:val="00E61048"/>
    <w:rsid w:val="00E61053"/>
    <w:rsid w:val="00E6112E"/>
    <w:rsid w:val="00E61209"/>
    <w:rsid w:val="00E61230"/>
    <w:rsid w:val="00E61233"/>
    <w:rsid w:val="00E61236"/>
    <w:rsid w:val="00E61303"/>
    <w:rsid w:val="00E61456"/>
    <w:rsid w:val="00E614B2"/>
    <w:rsid w:val="00E61526"/>
    <w:rsid w:val="00E61536"/>
    <w:rsid w:val="00E615AE"/>
    <w:rsid w:val="00E61616"/>
    <w:rsid w:val="00E61627"/>
    <w:rsid w:val="00E61663"/>
    <w:rsid w:val="00E61666"/>
    <w:rsid w:val="00E61690"/>
    <w:rsid w:val="00E61791"/>
    <w:rsid w:val="00E6179B"/>
    <w:rsid w:val="00E61841"/>
    <w:rsid w:val="00E618B8"/>
    <w:rsid w:val="00E618FC"/>
    <w:rsid w:val="00E61972"/>
    <w:rsid w:val="00E61987"/>
    <w:rsid w:val="00E61999"/>
    <w:rsid w:val="00E619CE"/>
    <w:rsid w:val="00E61B1C"/>
    <w:rsid w:val="00E61B47"/>
    <w:rsid w:val="00E61BFC"/>
    <w:rsid w:val="00E61C6F"/>
    <w:rsid w:val="00E61CF3"/>
    <w:rsid w:val="00E61CF5"/>
    <w:rsid w:val="00E61D45"/>
    <w:rsid w:val="00E61DAD"/>
    <w:rsid w:val="00E61E21"/>
    <w:rsid w:val="00E61EAA"/>
    <w:rsid w:val="00E61EAE"/>
    <w:rsid w:val="00E61ED5"/>
    <w:rsid w:val="00E61EDA"/>
    <w:rsid w:val="00E61EE2"/>
    <w:rsid w:val="00E61F42"/>
    <w:rsid w:val="00E61F4B"/>
    <w:rsid w:val="00E61FC7"/>
    <w:rsid w:val="00E61FE1"/>
    <w:rsid w:val="00E61FFD"/>
    <w:rsid w:val="00E6203A"/>
    <w:rsid w:val="00E62136"/>
    <w:rsid w:val="00E621C9"/>
    <w:rsid w:val="00E621D4"/>
    <w:rsid w:val="00E622D9"/>
    <w:rsid w:val="00E622DD"/>
    <w:rsid w:val="00E62327"/>
    <w:rsid w:val="00E62350"/>
    <w:rsid w:val="00E623DF"/>
    <w:rsid w:val="00E6244D"/>
    <w:rsid w:val="00E62452"/>
    <w:rsid w:val="00E62479"/>
    <w:rsid w:val="00E625C7"/>
    <w:rsid w:val="00E62609"/>
    <w:rsid w:val="00E6268F"/>
    <w:rsid w:val="00E626B1"/>
    <w:rsid w:val="00E6276E"/>
    <w:rsid w:val="00E627F9"/>
    <w:rsid w:val="00E62805"/>
    <w:rsid w:val="00E62816"/>
    <w:rsid w:val="00E62A88"/>
    <w:rsid w:val="00E62B4C"/>
    <w:rsid w:val="00E62B96"/>
    <w:rsid w:val="00E62C08"/>
    <w:rsid w:val="00E62C42"/>
    <w:rsid w:val="00E62C44"/>
    <w:rsid w:val="00E62C58"/>
    <w:rsid w:val="00E62C69"/>
    <w:rsid w:val="00E62CAE"/>
    <w:rsid w:val="00E62CB2"/>
    <w:rsid w:val="00E62CDC"/>
    <w:rsid w:val="00E62CFA"/>
    <w:rsid w:val="00E62D2E"/>
    <w:rsid w:val="00E62D63"/>
    <w:rsid w:val="00E62DEC"/>
    <w:rsid w:val="00E62E59"/>
    <w:rsid w:val="00E62E68"/>
    <w:rsid w:val="00E62E83"/>
    <w:rsid w:val="00E62F08"/>
    <w:rsid w:val="00E62F3D"/>
    <w:rsid w:val="00E62F58"/>
    <w:rsid w:val="00E62FC7"/>
    <w:rsid w:val="00E6304C"/>
    <w:rsid w:val="00E6304F"/>
    <w:rsid w:val="00E63053"/>
    <w:rsid w:val="00E6309D"/>
    <w:rsid w:val="00E63107"/>
    <w:rsid w:val="00E63288"/>
    <w:rsid w:val="00E63295"/>
    <w:rsid w:val="00E632B3"/>
    <w:rsid w:val="00E63339"/>
    <w:rsid w:val="00E633C8"/>
    <w:rsid w:val="00E633DF"/>
    <w:rsid w:val="00E6344E"/>
    <w:rsid w:val="00E634E9"/>
    <w:rsid w:val="00E63558"/>
    <w:rsid w:val="00E635AF"/>
    <w:rsid w:val="00E63609"/>
    <w:rsid w:val="00E63701"/>
    <w:rsid w:val="00E63739"/>
    <w:rsid w:val="00E6385C"/>
    <w:rsid w:val="00E638A9"/>
    <w:rsid w:val="00E638DA"/>
    <w:rsid w:val="00E63904"/>
    <w:rsid w:val="00E63919"/>
    <w:rsid w:val="00E63968"/>
    <w:rsid w:val="00E63989"/>
    <w:rsid w:val="00E639D2"/>
    <w:rsid w:val="00E639F0"/>
    <w:rsid w:val="00E63A31"/>
    <w:rsid w:val="00E63ADD"/>
    <w:rsid w:val="00E63B9D"/>
    <w:rsid w:val="00E63C90"/>
    <w:rsid w:val="00E63C95"/>
    <w:rsid w:val="00E63CA5"/>
    <w:rsid w:val="00E63CAF"/>
    <w:rsid w:val="00E63CC0"/>
    <w:rsid w:val="00E63D68"/>
    <w:rsid w:val="00E63DFD"/>
    <w:rsid w:val="00E63E40"/>
    <w:rsid w:val="00E63F71"/>
    <w:rsid w:val="00E63FB4"/>
    <w:rsid w:val="00E6400A"/>
    <w:rsid w:val="00E64044"/>
    <w:rsid w:val="00E6409B"/>
    <w:rsid w:val="00E640A5"/>
    <w:rsid w:val="00E640A8"/>
    <w:rsid w:val="00E640AC"/>
    <w:rsid w:val="00E640D5"/>
    <w:rsid w:val="00E6414B"/>
    <w:rsid w:val="00E641DF"/>
    <w:rsid w:val="00E6421C"/>
    <w:rsid w:val="00E64289"/>
    <w:rsid w:val="00E642DD"/>
    <w:rsid w:val="00E642FB"/>
    <w:rsid w:val="00E64308"/>
    <w:rsid w:val="00E6431F"/>
    <w:rsid w:val="00E6437B"/>
    <w:rsid w:val="00E64386"/>
    <w:rsid w:val="00E643F4"/>
    <w:rsid w:val="00E6444C"/>
    <w:rsid w:val="00E644D7"/>
    <w:rsid w:val="00E645AE"/>
    <w:rsid w:val="00E645DD"/>
    <w:rsid w:val="00E645EB"/>
    <w:rsid w:val="00E646CC"/>
    <w:rsid w:val="00E6473E"/>
    <w:rsid w:val="00E648A2"/>
    <w:rsid w:val="00E648BE"/>
    <w:rsid w:val="00E649B4"/>
    <w:rsid w:val="00E649E2"/>
    <w:rsid w:val="00E64B4B"/>
    <w:rsid w:val="00E64C29"/>
    <w:rsid w:val="00E64C7B"/>
    <w:rsid w:val="00E64C9E"/>
    <w:rsid w:val="00E64CAF"/>
    <w:rsid w:val="00E64D27"/>
    <w:rsid w:val="00E64D58"/>
    <w:rsid w:val="00E64DC3"/>
    <w:rsid w:val="00E64DF1"/>
    <w:rsid w:val="00E64E0F"/>
    <w:rsid w:val="00E64E3A"/>
    <w:rsid w:val="00E64E7B"/>
    <w:rsid w:val="00E64E86"/>
    <w:rsid w:val="00E64EC2"/>
    <w:rsid w:val="00E64EC4"/>
    <w:rsid w:val="00E64F52"/>
    <w:rsid w:val="00E64FBA"/>
    <w:rsid w:val="00E6508D"/>
    <w:rsid w:val="00E650FB"/>
    <w:rsid w:val="00E65210"/>
    <w:rsid w:val="00E6525F"/>
    <w:rsid w:val="00E652F1"/>
    <w:rsid w:val="00E6537C"/>
    <w:rsid w:val="00E6543F"/>
    <w:rsid w:val="00E654A7"/>
    <w:rsid w:val="00E654E4"/>
    <w:rsid w:val="00E65509"/>
    <w:rsid w:val="00E65598"/>
    <w:rsid w:val="00E655F4"/>
    <w:rsid w:val="00E655FC"/>
    <w:rsid w:val="00E6560F"/>
    <w:rsid w:val="00E6562D"/>
    <w:rsid w:val="00E65659"/>
    <w:rsid w:val="00E65680"/>
    <w:rsid w:val="00E65682"/>
    <w:rsid w:val="00E65840"/>
    <w:rsid w:val="00E658A7"/>
    <w:rsid w:val="00E658EF"/>
    <w:rsid w:val="00E65923"/>
    <w:rsid w:val="00E6594F"/>
    <w:rsid w:val="00E65A3D"/>
    <w:rsid w:val="00E65A8D"/>
    <w:rsid w:val="00E65AB6"/>
    <w:rsid w:val="00E65AC9"/>
    <w:rsid w:val="00E65B28"/>
    <w:rsid w:val="00E65C13"/>
    <w:rsid w:val="00E65C58"/>
    <w:rsid w:val="00E65C7D"/>
    <w:rsid w:val="00E65C9C"/>
    <w:rsid w:val="00E65DBB"/>
    <w:rsid w:val="00E65E0F"/>
    <w:rsid w:val="00E65E6B"/>
    <w:rsid w:val="00E65F21"/>
    <w:rsid w:val="00E65F84"/>
    <w:rsid w:val="00E65FDB"/>
    <w:rsid w:val="00E66134"/>
    <w:rsid w:val="00E661A2"/>
    <w:rsid w:val="00E661F8"/>
    <w:rsid w:val="00E662A2"/>
    <w:rsid w:val="00E662F3"/>
    <w:rsid w:val="00E66321"/>
    <w:rsid w:val="00E663A2"/>
    <w:rsid w:val="00E663C2"/>
    <w:rsid w:val="00E663EA"/>
    <w:rsid w:val="00E6641B"/>
    <w:rsid w:val="00E664D1"/>
    <w:rsid w:val="00E6650A"/>
    <w:rsid w:val="00E66541"/>
    <w:rsid w:val="00E6661F"/>
    <w:rsid w:val="00E6666A"/>
    <w:rsid w:val="00E666FB"/>
    <w:rsid w:val="00E66767"/>
    <w:rsid w:val="00E667EA"/>
    <w:rsid w:val="00E66800"/>
    <w:rsid w:val="00E6691C"/>
    <w:rsid w:val="00E6692E"/>
    <w:rsid w:val="00E6693C"/>
    <w:rsid w:val="00E669A8"/>
    <w:rsid w:val="00E66ACC"/>
    <w:rsid w:val="00E66B26"/>
    <w:rsid w:val="00E66B5E"/>
    <w:rsid w:val="00E66C33"/>
    <w:rsid w:val="00E66C5A"/>
    <w:rsid w:val="00E66C92"/>
    <w:rsid w:val="00E66D42"/>
    <w:rsid w:val="00E66D54"/>
    <w:rsid w:val="00E66E3F"/>
    <w:rsid w:val="00E66F54"/>
    <w:rsid w:val="00E66FAC"/>
    <w:rsid w:val="00E66FAD"/>
    <w:rsid w:val="00E66FD4"/>
    <w:rsid w:val="00E66FEC"/>
    <w:rsid w:val="00E670CA"/>
    <w:rsid w:val="00E6718B"/>
    <w:rsid w:val="00E671D5"/>
    <w:rsid w:val="00E67202"/>
    <w:rsid w:val="00E672D3"/>
    <w:rsid w:val="00E672EA"/>
    <w:rsid w:val="00E6738A"/>
    <w:rsid w:val="00E6742C"/>
    <w:rsid w:val="00E6743B"/>
    <w:rsid w:val="00E674B2"/>
    <w:rsid w:val="00E674F5"/>
    <w:rsid w:val="00E67579"/>
    <w:rsid w:val="00E675FB"/>
    <w:rsid w:val="00E675FC"/>
    <w:rsid w:val="00E67609"/>
    <w:rsid w:val="00E6760F"/>
    <w:rsid w:val="00E67790"/>
    <w:rsid w:val="00E677AE"/>
    <w:rsid w:val="00E67830"/>
    <w:rsid w:val="00E6783C"/>
    <w:rsid w:val="00E6783E"/>
    <w:rsid w:val="00E67865"/>
    <w:rsid w:val="00E678A2"/>
    <w:rsid w:val="00E678A4"/>
    <w:rsid w:val="00E678EE"/>
    <w:rsid w:val="00E6793E"/>
    <w:rsid w:val="00E67960"/>
    <w:rsid w:val="00E6797C"/>
    <w:rsid w:val="00E679A9"/>
    <w:rsid w:val="00E679B0"/>
    <w:rsid w:val="00E679E3"/>
    <w:rsid w:val="00E67A65"/>
    <w:rsid w:val="00E67A9F"/>
    <w:rsid w:val="00E67AA7"/>
    <w:rsid w:val="00E67B15"/>
    <w:rsid w:val="00E67B1A"/>
    <w:rsid w:val="00E67B53"/>
    <w:rsid w:val="00E67B58"/>
    <w:rsid w:val="00E67B8C"/>
    <w:rsid w:val="00E67C6F"/>
    <w:rsid w:val="00E67CAB"/>
    <w:rsid w:val="00E67CB4"/>
    <w:rsid w:val="00E67E93"/>
    <w:rsid w:val="00E67F0C"/>
    <w:rsid w:val="00E67F1B"/>
    <w:rsid w:val="00E67F1C"/>
    <w:rsid w:val="00E67F3E"/>
    <w:rsid w:val="00E67F80"/>
    <w:rsid w:val="00E67FC3"/>
    <w:rsid w:val="00E70021"/>
    <w:rsid w:val="00E70099"/>
    <w:rsid w:val="00E700CF"/>
    <w:rsid w:val="00E701DA"/>
    <w:rsid w:val="00E701E6"/>
    <w:rsid w:val="00E7023F"/>
    <w:rsid w:val="00E70268"/>
    <w:rsid w:val="00E7027D"/>
    <w:rsid w:val="00E7029A"/>
    <w:rsid w:val="00E702A5"/>
    <w:rsid w:val="00E702CF"/>
    <w:rsid w:val="00E7035C"/>
    <w:rsid w:val="00E70392"/>
    <w:rsid w:val="00E703C6"/>
    <w:rsid w:val="00E703CC"/>
    <w:rsid w:val="00E7042E"/>
    <w:rsid w:val="00E70498"/>
    <w:rsid w:val="00E70499"/>
    <w:rsid w:val="00E7086A"/>
    <w:rsid w:val="00E70922"/>
    <w:rsid w:val="00E709BA"/>
    <w:rsid w:val="00E70A57"/>
    <w:rsid w:val="00E70A7B"/>
    <w:rsid w:val="00E70AD1"/>
    <w:rsid w:val="00E70B0C"/>
    <w:rsid w:val="00E70B52"/>
    <w:rsid w:val="00E70B81"/>
    <w:rsid w:val="00E70BF3"/>
    <w:rsid w:val="00E70C04"/>
    <w:rsid w:val="00E70C12"/>
    <w:rsid w:val="00E70C24"/>
    <w:rsid w:val="00E70CB2"/>
    <w:rsid w:val="00E70CB3"/>
    <w:rsid w:val="00E70D30"/>
    <w:rsid w:val="00E70D93"/>
    <w:rsid w:val="00E70DB9"/>
    <w:rsid w:val="00E70DC3"/>
    <w:rsid w:val="00E70DCA"/>
    <w:rsid w:val="00E70E12"/>
    <w:rsid w:val="00E70E31"/>
    <w:rsid w:val="00E70E81"/>
    <w:rsid w:val="00E70E82"/>
    <w:rsid w:val="00E70EC8"/>
    <w:rsid w:val="00E70ECE"/>
    <w:rsid w:val="00E70FDD"/>
    <w:rsid w:val="00E71089"/>
    <w:rsid w:val="00E71124"/>
    <w:rsid w:val="00E71140"/>
    <w:rsid w:val="00E71166"/>
    <w:rsid w:val="00E71170"/>
    <w:rsid w:val="00E7123F"/>
    <w:rsid w:val="00E71275"/>
    <w:rsid w:val="00E71285"/>
    <w:rsid w:val="00E712F0"/>
    <w:rsid w:val="00E7131E"/>
    <w:rsid w:val="00E71372"/>
    <w:rsid w:val="00E71398"/>
    <w:rsid w:val="00E713E4"/>
    <w:rsid w:val="00E7149F"/>
    <w:rsid w:val="00E7155C"/>
    <w:rsid w:val="00E7157B"/>
    <w:rsid w:val="00E71657"/>
    <w:rsid w:val="00E7167B"/>
    <w:rsid w:val="00E7173D"/>
    <w:rsid w:val="00E7181F"/>
    <w:rsid w:val="00E718A7"/>
    <w:rsid w:val="00E7192B"/>
    <w:rsid w:val="00E719AC"/>
    <w:rsid w:val="00E71A05"/>
    <w:rsid w:val="00E71A1B"/>
    <w:rsid w:val="00E71BEE"/>
    <w:rsid w:val="00E71C72"/>
    <w:rsid w:val="00E71C81"/>
    <w:rsid w:val="00E71CC5"/>
    <w:rsid w:val="00E71CD4"/>
    <w:rsid w:val="00E71D48"/>
    <w:rsid w:val="00E71D73"/>
    <w:rsid w:val="00E71D77"/>
    <w:rsid w:val="00E71E2F"/>
    <w:rsid w:val="00E71EBD"/>
    <w:rsid w:val="00E71FA9"/>
    <w:rsid w:val="00E71FC8"/>
    <w:rsid w:val="00E72002"/>
    <w:rsid w:val="00E7202C"/>
    <w:rsid w:val="00E720E4"/>
    <w:rsid w:val="00E721C0"/>
    <w:rsid w:val="00E72202"/>
    <w:rsid w:val="00E7220A"/>
    <w:rsid w:val="00E72224"/>
    <w:rsid w:val="00E7228B"/>
    <w:rsid w:val="00E7231B"/>
    <w:rsid w:val="00E72322"/>
    <w:rsid w:val="00E7234C"/>
    <w:rsid w:val="00E7238C"/>
    <w:rsid w:val="00E723B8"/>
    <w:rsid w:val="00E723C0"/>
    <w:rsid w:val="00E72439"/>
    <w:rsid w:val="00E7243C"/>
    <w:rsid w:val="00E724FA"/>
    <w:rsid w:val="00E72563"/>
    <w:rsid w:val="00E727AD"/>
    <w:rsid w:val="00E727E0"/>
    <w:rsid w:val="00E727E3"/>
    <w:rsid w:val="00E7286F"/>
    <w:rsid w:val="00E728CB"/>
    <w:rsid w:val="00E728D2"/>
    <w:rsid w:val="00E72930"/>
    <w:rsid w:val="00E729CB"/>
    <w:rsid w:val="00E729DF"/>
    <w:rsid w:val="00E72B06"/>
    <w:rsid w:val="00E72B22"/>
    <w:rsid w:val="00E72B3D"/>
    <w:rsid w:val="00E72B4E"/>
    <w:rsid w:val="00E72B6B"/>
    <w:rsid w:val="00E72B9D"/>
    <w:rsid w:val="00E72BA0"/>
    <w:rsid w:val="00E72BC2"/>
    <w:rsid w:val="00E72BD9"/>
    <w:rsid w:val="00E72C43"/>
    <w:rsid w:val="00E72D36"/>
    <w:rsid w:val="00E72DE1"/>
    <w:rsid w:val="00E72E62"/>
    <w:rsid w:val="00E72EA6"/>
    <w:rsid w:val="00E72F2C"/>
    <w:rsid w:val="00E72FAC"/>
    <w:rsid w:val="00E72FE4"/>
    <w:rsid w:val="00E7300A"/>
    <w:rsid w:val="00E7302C"/>
    <w:rsid w:val="00E730EF"/>
    <w:rsid w:val="00E730FA"/>
    <w:rsid w:val="00E7312D"/>
    <w:rsid w:val="00E7315E"/>
    <w:rsid w:val="00E731B3"/>
    <w:rsid w:val="00E73207"/>
    <w:rsid w:val="00E73255"/>
    <w:rsid w:val="00E732A1"/>
    <w:rsid w:val="00E73334"/>
    <w:rsid w:val="00E73374"/>
    <w:rsid w:val="00E73380"/>
    <w:rsid w:val="00E733A7"/>
    <w:rsid w:val="00E733CE"/>
    <w:rsid w:val="00E7346C"/>
    <w:rsid w:val="00E734EE"/>
    <w:rsid w:val="00E73530"/>
    <w:rsid w:val="00E735E9"/>
    <w:rsid w:val="00E735F7"/>
    <w:rsid w:val="00E73613"/>
    <w:rsid w:val="00E7379B"/>
    <w:rsid w:val="00E738BB"/>
    <w:rsid w:val="00E738E1"/>
    <w:rsid w:val="00E73952"/>
    <w:rsid w:val="00E73A12"/>
    <w:rsid w:val="00E73A1B"/>
    <w:rsid w:val="00E73A27"/>
    <w:rsid w:val="00E73A2F"/>
    <w:rsid w:val="00E73A32"/>
    <w:rsid w:val="00E73A36"/>
    <w:rsid w:val="00E73A41"/>
    <w:rsid w:val="00E73A6C"/>
    <w:rsid w:val="00E73ABF"/>
    <w:rsid w:val="00E73AE8"/>
    <w:rsid w:val="00E73B2A"/>
    <w:rsid w:val="00E73CD9"/>
    <w:rsid w:val="00E73D35"/>
    <w:rsid w:val="00E73DB3"/>
    <w:rsid w:val="00E73E2D"/>
    <w:rsid w:val="00E73E33"/>
    <w:rsid w:val="00E73E4A"/>
    <w:rsid w:val="00E73ECF"/>
    <w:rsid w:val="00E73F64"/>
    <w:rsid w:val="00E73FD2"/>
    <w:rsid w:val="00E73FD8"/>
    <w:rsid w:val="00E74064"/>
    <w:rsid w:val="00E74182"/>
    <w:rsid w:val="00E741B9"/>
    <w:rsid w:val="00E741BB"/>
    <w:rsid w:val="00E7420D"/>
    <w:rsid w:val="00E74266"/>
    <w:rsid w:val="00E7433B"/>
    <w:rsid w:val="00E744A2"/>
    <w:rsid w:val="00E744D1"/>
    <w:rsid w:val="00E7456F"/>
    <w:rsid w:val="00E74580"/>
    <w:rsid w:val="00E745EC"/>
    <w:rsid w:val="00E746B1"/>
    <w:rsid w:val="00E74798"/>
    <w:rsid w:val="00E747AE"/>
    <w:rsid w:val="00E747E4"/>
    <w:rsid w:val="00E74813"/>
    <w:rsid w:val="00E748BB"/>
    <w:rsid w:val="00E748FD"/>
    <w:rsid w:val="00E74913"/>
    <w:rsid w:val="00E74929"/>
    <w:rsid w:val="00E7494C"/>
    <w:rsid w:val="00E749C4"/>
    <w:rsid w:val="00E749D5"/>
    <w:rsid w:val="00E74AA8"/>
    <w:rsid w:val="00E74AD2"/>
    <w:rsid w:val="00E74AE8"/>
    <w:rsid w:val="00E74B10"/>
    <w:rsid w:val="00E74B1C"/>
    <w:rsid w:val="00E74B51"/>
    <w:rsid w:val="00E74BC9"/>
    <w:rsid w:val="00E74CAE"/>
    <w:rsid w:val="00E74D60"/>
    <w:rsid w:val="00E74D95"/>
    <w:rsid w:val="00E74E4A"/>
    <w:rsid w:val="00E74F31"/>
    <w:rsid w:val="00E74FC6"/>
    <w:rsid w:val="00E74FF2"/>
    <w:rsid w:val="00E75056"/>
    <w:rsid w:val="00E750C2"/>
    <w:rsid w:val="00E75134"/>
    <w:rsid w:val="00E75178"/>
    <w:rsid w:val="00E751E3"/>
    <w:rsid w:val="00E75220"/>
    <w:rsid w:val="00E7522E"/>
    <w:rsid w:val="00E7526B"/>
    <w:rsid w:val="00E75275"/>
    <w:rsid w:val="00E75289"/>
    <w:rsid w:val="00E75369"/>
    <w:rsid w:val="00E75435"/>
    <w:rsid w:val="00E75458"/>
    <w:rsid w:val="00E75468"/>
    <w:rsid w:val="00E75508"/>
    <w:rsid w:val="00E75546"/>
    <w:rsid w:val="00E75557"/>
    <w:rsid w:val="00E75594"/>
    <w:rsid w:val="00E75681"/>
    <w:rsid w:val="00E75741"/>
    <w:rsid w:val="00E757A4"/>
    <w:rsid w:val="00E757DF"/>
    <w:rsid w:val="00E75833"/>
    <w:rsid w:val="00E7583F"/>
    <w:rsid w:val="00E7587E"/>
    <w:rsid w:val="00E759AD"/>
    <w:rsid w:val="00E75A74"/>
    <w:rsid w:val="00E75B98"/>
    <w:rsid w:val="00E75BAB"/>
    <w:rsid w:val="00E75BC6"/>
    <w:rsid w:val="00E75C32"/>
    <w:rsid w:val="00E75CD9"/>
    <w:rsid w:val="00E75D06"/>
    <w:rsid w:val="00E75D63"/>
    <w:rsid w:val="00E75D64"/>
    <w:rsid w:val="00E75D73"/>
    <w:rsid w:val="00E75EAE"/>
    <w:rsid w:val="00E75F42"/>
    <w:rsid w:val="00E75F57"/>
    <w:rsid w:val="00E75F69"/>
    <w:rsid w:val="00E75FCA"/>
    <w:rsid w:val="00E75FD3"/>
    <w:rsid w:val="00E75FE3"/>
    <w:rsid w:val="00E76057"/>
    <w:rsid w:val="00E760B4"/>
    <w:rsid w:val="00E760DB"/>
    <w:rsid w:val="00E761F8"/>
    <w:rsid w:val="00E7627A"/>
    <w:rsid w:val="00E762C7"/>
    <w:rsid w:val="00E76309"/>
    <w:rsid w:val="00E763AF"/>
    <w:rsid w:val="00E763FA"/>
    <w:rsid w:val="00E7641A"/>
    <w:rsid w:val="00E7644E"/>
    <w:rsid w:val="00E7646B"/>
    <w:rsid w:val="00E7647B"/>
    <w:rsid w:val="00E76541"/>
    <w:rsid w:val="00E765AD"/>
    <w:rsid w:val="00E766BA"/>
    <w:rsid w:val="00E7678D"/>
    <w:rsid w:val="00E76969"/>
    <w:rsid w:val="00E7699D"/>
    <w:rsid w:val="00E769C4"/>
    <w:rsid w:val="00E76A74"/>
    <w:rsid w:val="00E76A92"/>
    <w:rsid w:val="00E76B47"/>
    <w:rsid w:val="00E76B96"/>
    <w:rsid w:val="00E76BB8"/>
    <w:rsid w:val="00E76BF8"/>
    <w:rsid w:val="00E76C1A"/>
    <w:rsid w:val="00E76DA7"/>
    <w:rsid w:val="00E76DB6"/>
    <w:rsid w:val="00E76DD3"/>
    <w:rsid w:val="00E76DD7"/>
    <w:rsid w:val="00E76F4B"/>
    <w:rsid w:val="00E76FA2"/>
    <w:rsid w:val="00E76FFB"/>
    <w:rsid w:val="00E7705C"/>
    <w:rsid w:val="00E77066"/>
    <w:rsid w:val="00E770CA"/>
    <w:rsid w:val="00E77196"/>
    <w:rsid w:val="00E771E1"/>
    <w:rsid w:val="00E772A8"/>
    <w:rsid w:val="00E772D4"/>
    <w:rsid w:val="00E77382"/>
    <w:rsid w:val="00E7743F"/>
    <w:rsid w:val="00E7747C"/>
    <w:rsid w:val="00E7747D"/>
    <w:rsid w:val="00E7749D"/>
    <w:rsid w:val="00E774BC"/>
    <w:rsid w:val="00E774D8"/>
    <w:rsid w:val="00E775CD"/>
    <w:rsid w:val="00E775E1"/>
    <w:rsid w:val="00E77689"/>
    <w:rsid w:val="00E7770C"/>
    <w:rsid w:val="00E77716"/>
    <w:rsid w:val="00E77732"/>
    <w:rsid w:val="00E777C8"/>
    <w:rsid w:val="00E777CB"/>
    <w:rsid w:val="00E777E9"/>
    <w:rsid w:val="00E778C7"/>
    <w:rsid w:val="00E77913"/>
    <w:rsid w:val="00E779B4"/>
    <w:rsid w:val="00E77A11"/>
    <w:rsid w:val="00E77A99"/>
    <w:rsid w:val="00E77A9A"/>
    <w:rsid w:val="00E77ADF"/>
    <w:rsid w:val="00E77B18"/>
    <w:rsid w:val="00E77C01"/>
    <w:rsid w:val="00E77C11"/>
    <w:rsid w:val="00E77CF6"/>
    <w:rsid w:val="00E77D26"/>
    <w:rsid w:val="00E77DD8"/>
    <w:rsid w:val="00E77F1F"/>
    <w:rsid w:val="00E8000F"/>
    <w:rsid w:val="00E80039"/>
    <w:rsid w:val="00E80059"/>
    <w:rsid w:val="00E8005A"/>
    <w:rsid w:val="00E8006B"/>
    <w:rsid w:val="00E800AA"/>
    <w:rsid w:val="00E800FC"/>
    <w:rsid w:val="00E80141"/>
    <w:rsid w:val="00E80159"/>
    <w:rsid w:val="00E80189"/>
    <w:rsid w:val="00E801AE"/>
    <w:rsid w:val="00E801C5"/>
    <w:rsid w:val="00E801EA"/>
    <w:rsid w:val="00E80234"/>
    <w:rsid w:val="00E802A0"/>
    <w:rsid w:val="00E8031F"/>
    <w:rsid w:val="00E80387"/>
    <w:rsid w:val="00E803B6"/>
    <w:rsid w:val="00E8045F"/>
    <w:rsid w:val="00E80477"/>
    <w:rsid w:val="00E805B5"/>
    <w:rsid w:val="00E80662"/>
    <w:rsid w:val="00E806E0"/>
    <w:rsid w:val="00E80727"/>
    <w:rsid w:val="00E80832"/>
    <w:rsid w:val="00E80904"/>
    <w:rsid w:val="00E8095E"/>
    <w:rsid w:val="00E80985"/>
    <w:rsid w:val="00E809CB"/>
    <w:rsid w:val="00E80A5F"/>
    <w:rsid w:val="00E80A8C"/>
    <w:rsid w:val="00E80AC1"/>
    <w:rsid w:val="00E80ADE"/>
    <w:rsid w:val="00E80B1A"/>
    <w:rsid w:val="00E80CAE"/>
    <w:rsid w:val="00E80CBD"/>
    <w:rsid w:val="00E80D3C"/>
    <w:rsid w:val="00E80D54"/>
    <w:rsid w:val="00E80DC1"/>
    <w:rsid w:val="00E80DEC"/>
    <w:rsid w:val="00E80EA1"/>
    <w:rsid w:val="00E80F09"/>
    <w:rsid w:val="00E80FAC"/>
    <w:rsid w:val="00E81053"/>
    <w:rsid w:val="00E81086"/>
    <w:rsid w:val="00E810D5"/>
    <w:rsid w:val="00E8119D"/>
    <w:rsid w:val="00E811F6"/>
    <w:rsid w:val="00E81227"/>
    <w:rsid w:val="00E8137F"/>
    <w:rsid w:val="00E8142B"/>
    <w:rsid w:val="00E814FC"/>
    <w:rsid w:val="00E815B6"/>
    <w:rsid w:val="00E81640"/>
    <w:rsid w:val="00E81679"/>
    <w:rsid w:val="00E816E0"/>
    <w:rsid w:val="00E81701"/>
    <w:rsid w:val="00E81752"/>
    <w:rsid w:val="00E817CF"/>
    <w:rsid w:val="00E8182E"/>
    <w:rsid w:val="00E81844"/>
    <w:rsid w:val="00E818B8"/>
    <w:rsid w:val="00E81917"/>
    <w:rsid w:val="00E819BF"/>
    <w:rsid w:val="00E819CD"/>
    <w:rsid w:val="00E81A2D"/>
    <w:rsid w:val="00E81A36"/>
    <w:rsid w:val="00E81ACD"/>
    <w:rsid w:val="00E81AD9"/>
    <w:rsid w:val="00E81AE8"/>
    <w:rsid w:val="00E81B3B"/>
    <w:rsid w:val="00E81B51"/>
    <w:rsid w:val="00E81B60"/>
    <w:rsid w:val="00E81BDB"/>
    <w:rsid w:val="00E81BF8"/>
    <w:rsid w:val="00E81C31"/>
    <w:rsid w:val="00E81C5E"/>
    <w:rsid w:val="00E81C6B"/>
    <w:rsid w:val="00E81C86"/>
    <w:rsid w:val="00E81CC8"/>
    <w:rsid w:val="00E81D38"/>
    <w:rsid w:val="00E81D9D"/>
    <w:rsid w:val="00E81DC8"/>
    <w:rsid w:val="00E81DE7"/>
    <w:rsid w:val="00E81EC1"/>
    <w:rsid w:val="00E81F18"/>
    <w:rsid w:val="00E81F1C"/>
    <w:rsid w:val="00E81FA7"/>
    <w:rsid w:val="00E8201D"/>
    <w:rsid w:val="00E821F0"/>
    <w:rsid w:val="00E8221C"/>
    <w:rsid w:val="00E8224E"/>
    <w:rsid w:val="00E822E3"/>
    <w:rsid w:val="00E82305"/>
    <w:rsid w:val="00E82310"/>
    <w:rsid w:val="00E8236A"/>
    <w:rsid w:val="00E823B6"/>
    <w:rsid w:val="00E823C5"/>
    <w:rsid w:val="00E823E6"/>
    <w:rsid w:val="00E82424"/>
    <w:rsid w:val="00E8246D"/>
    <w:rsid w:val="00E824CE"/>
    <w:rsid w:val="00E8264E"/>
    <w:rsid w:val="00E8267D"/>
    <w:rsid w:val="00E827C3"/>
    <w:rsid w:val="00E82834"/>
    <w:rsid w:val="00E82980"/>
    <w:rsid w:val="00E82A2A"/>
    <w:rsid w:val="00E82AA1"/>
    <w:rsid w:val="00E82AB4"/>
    <w:rsid w:val="00E82B4B"/>
    <w:rsid w:val="00E82BA6"/>
    <w:rsid w:val="00E82C1C"/>
    <w:rsid w:val="00E82C28"/>
    <w:rsid w:val="00E82C97"/>
    <w:rsid w:val="00E82CC0"/>
    <w:rsid w:val="00E82CD9"/>
    <w:rsid w:val="00E82CE8"/>
    <w:rsid w:val="00E82D3D"/>
    <w:rsid w:val="00E82D51"/>
    <w:rsid w:val="00E82DAC"/>
    <w:rsid w:val="00E82E15"/>
    <w:rsid w:val="00E82EBA"/>
    <w:rsid w:val="00E82ECD"/>
    <w:rsid w:val="00E82F75"/>
    <w:rsid w:val="00E83000"/>
    <w:rsid w:val="00E83017"/>
    <w:rsid w:val="00E83022"/>
    <w:rsid w:val="00E83043"/>
    <w:rsid w:val="00E83062"/>
    <w:rsid w:val="00E8312E"/>
    <w:rsid w:val="00E8317E"/>
    <w:rsid w:val="00E8319B"/>
    <w:rsid w:val="00E831B7"/>
    <w:rsid w:val="00E831C7"/>
    <w:rsid w:val="00E831F4"/>
    <w:rsid w:val="00E83200"/>
    <w:rsid w:val="00E83289"/>
    <w:rsid w:val="00E832EB"/>
    <w:rsid w:val="00E83306"/>
    <w:rsid w:val="00E83348"/>
    <w:rsid w:val="00E83360"/>
    <w:rsid w:val="00E83398"/>
    <w:rsid w:val="00E83485"/>
    <w:rsid w:val="00E83490"/>
    <w:rsid w:val="00E834B4"/>
    <w:rsid w:val="00E8353D"/>
    <w:rsid w:val="00E8354E"/>
    <w:rsid w:val="00E836FC"/>
    <w:rsid w:val="00E8378A"/>
    <w:rsid w:val="00E8381B"/>
    <w:rsid w:val="00E83852"/>
    <w:rsid w:val="00E83865"/>
    <w:rsid w:val="00E8386C"/>
    <w:rsid w:val="00E83ABF"/>
    <w:rsid w:val="00E83B1B"/>
    <w:rsid w:val="00E83BC1"/>
    <w:rsid w:val="00E83C43"/>
    <w:rsid w:val="00E83C53"/>
    <w:rsid w:val="00E83CBB"/>
    <w:rsid w:val="00E83D96"/>
    <w:rsid w:val="00E83E56"/>
    <w:rsid w:val="00E83E71"/>
    <w:rsid w:val="00E83E9B"/>
    <w:rsid w:val="00E83EBE"/>
    <w:rsid w:val="00E83ECE"/>
    <w:rsid w:val="00E83F22"/>
    <w:rsid w:val="00E83F43"/>
    <w:rsid w:val="00E83FDE"/>
    <w:rsid w:val="00E84002"/>
    <w:rsid w:val="00E84021"/>
    <w:rsid w:val="00E84089"/>
    <w:rsid w:val="00E84136"/>
    <w:rsid w:val="00E84170"/>
    <w:rsid w:val="00E841A8"/>
    <w:rsid w:val="00E84232"/>
    <w:rsid w:val="00E84251"/>
    <w:rsid w:val="00E84252"/>
    <w:rsid w:val="00E842A0"/>
    <w:rsid w:val="00E842AA"/>
    <w:rsid w:val="00E842FE"/>
    <w:rsid w:val="00E8435D"/>
    <w:rsid w:val="00E84397"/>
    <w:rsid w:val="00E8440C"/>
    <w:rsid w:val="00E8441D"/>
    <w:rsid w:val="00E8446A"/>
    <w:rsid w:val="00E844F1"/>
    <w:rsid w:val="00E844FF"/>
    <w:rsid w:val="00E84527"/>
    <w:rsid w:val="00E84572"/>
    <w:rsid w:val="00E845A1"/>
    <w:rsid w:val="00E84601"/>
    <w:rsid w:val="00E8463C"/>
    <w:rsid w:val="00E846B1"/>
    <w:rsid w:val="00E846D8"/>
    <w:rsid w:val="00E846E8"/>
    <w:rsid w:val="00E84709"/>
    <w:rsid w:val="00E84819"/>
    <w:rsid w:val="00E8487A"/>
    <w:rsid w:val="00E848BA"/>
    <w:rsid w:val="00E848E8"/>
    <w:rsid w:val="00E84959"/>
    <w:rsid w:val="00E8495B"/>
    <w:rsid w:val="00E8497F"/>
    <w:rsid w:val="00E84A51"/>
    <w:rsid w:val="00E84AC4"/>
    <w:rsid w:val="00E84ADB"/>
    <w:rsid w:val="00E84AF9"/>
    <w:rsid w:val="00E84B03"/>
    <w:rsid w:val="00E84B66"/>
    <w:rsid w:val="00E84B9A"/>
    <w:rsid w:val="00E84C54"/>
    <w:rsid w:val="00E84C6C"/>
    <w:rsid w:val="00E84C83"/>
    <w:rsid w:val="00E84C9B"/>
    <w:rsid w:val="00E84CB4"/>
    <w:rsid w:val="00E84CD3"/>
    <w:rsid w:val="00E84CD5"/>
    <w:rsid w:val="00E84DDE"/>
    <w:rsid w:val="00E84E1C"/>
    <w:rsid w:val="00E84E3D"/>
    <w:rsid w:val="00E84F40"/>
    <w:rsid w:val="00E8505F"/>
    <w:rsid w:val="00E85298"/>
    <w:rsid w:val="00E852D5"/>
    <w:rsid w:val="00E852D7"/>
    <w:rsid w:val="00E852FF"/>
    <w:rsid w:val="00E853A2"/>
    <w:rsid w:val="00E854B2"/>
    <w:rsid w:val="00E854E0"/>
    <w:rsid w:val="00E854E3"/>
    <w:rsid w:val="00E855BF"/>
    <w:rsid w:val="00E85662"/>
    <w:rsid w:val="00E856CE"/>
    <w:rsid w:val="00E85755"/>
    <w:rsid w:val="00E857FD"/>
    <w:rsid w:val="00E8585E"/>
    <w:rsid w:val="00E85883"/>
    <w:rsid w:val="00E858B9"/>
    <w:rsid w:val="00E858CC"/>
    <w:rsid w:val="00E858D5"/>
    <w:rsid w:val="00E85996"/>
    <w:rsid w:val="00E859A8"/>
    <w:rsid w:val="00E85A00"/>
    <w:rsid w:val="00E85A11"/>
    <w:rsid w:val="00E85A93"/>
    <w:rsid w:val="00E85AF3"/>
    <w:rsid w:val="00E85AF4"/>
    <w:rsid w:val="00E85BA6"/>
    <w:rsid w:val="00E85BD5"/>
    <w:rsid w:val="00E85BEA"/>
    <w:rsid w:val="00E85C40"/>
    <w:rsid w:val="00E85C42"/>
    <w:rsid w:val="00E85D0F"/>
    <w:rsid w:val="00E85DD3"/>
    <w:rsid w:val="00E85E15"/>
    <w:rsid w:val="00E85E9F"/>
    <w:rsid w:val="00E85F6C"/>
    <w:rsid w:val="00E85F72"/>
    <w:rsid w:val="00E85F7F"/>
    <w:rsid w:val="00E85F9C"/>
    <w:rsid w:val="00E85FD1"/>
    <w:rsid w:val="00E86071"/>
    <w:rsid w:val="00E86073"/>
    <w:rsid w:val="00E86143"/>
    <w:rsid w:val="00E86163"/>
    <w:rsid w:val="00E8617F"/>
    <w:rsid w:val="00E861B2"/>
    <w:rsid w:val="00E861D4"/>
    <w:rsid w:val="00E86209"/>
    <w:rsid w:val="00E8625E"/>
    <w:rsid w:val="00E86336"/>
    <w:rsid w:val="00E86473"/>
    <w:rsid w:val="00E864BA"/>
    <w:rsid w:val="00E864CA"/>
    <w:rsid w:val="00E86502"/>
    <w:rsid w:val="00E865B6"/>
    <w:rsid w:val="00E8666B"/>
    <w:rsid w:val="00E866B1"/>
    <w:rsid w:val="00E866FE"/>
    <w:rsid w:val="00E86780"/>
    <w:rsid w:val="00E8679A"/>
    <w:rsid w:val="00E86871"/>
    <w:rsid w:val="00E86876"/>
    <w:rsid w:val="00E868C9"/>
    <w:rsid w:val="00E869B7"/>
    <w:rsid w:val="00E86A00"/>
    <w:rsid w:val="00E86A27"/>
    <w:rsid w:val="00E86AE3"/>
    <w:rsid w:val="00E86AE9"/>
    <w:rsid w:val="00E86B0E"/>
    <w:rsid w:val="00E86B67"/>
    <w:rsid w:val="00E86B7B"/>
    <w:rsid w:val="00E86B86"/>
    <w:rsid w:val="00E86BE0"/>
    <w:rsid w:val="00E86C1C"/>
    <w:rsid w:val="00E86C27"/>
    <w:rsid w:val="00E86C2E"/>
    <w:rsid w:val="00E86C3F"/>
    <w:rsid w:val="00E86C4D"/>
    <w:rsid w:val="00E86C4F"/>
    <w:rsid w:val="00E86C71"/>
    <w:rsid w:val="00E86C86"/>
    <w:rsid w:val="00E86D26"/>
    <w:rsid w:val="00E86D85"/>
    <w:rsid w:val="00E86DAA"/>
    <w:rsid w:val="00E86E18"/>
    <w:rsid w:val="00E86E41"/>
    <w:rsid w:val="00E86E6D"/>
    <w:rsid w:val="00E86EA2"/>
    <w:rsid w:val="00E86F0F"/>
    <w:rsid w:val="00E86F5B"/>
    <w:rsid w:val="00E8704E"/>
    <w:rsid w:val="00E87180"/>
    <w:rsid w:val="00E871EE"/>
    <w:rsid w:val="00E8730A"/>
    <w:rsid w:val="00E87317"/>
    <w:rsid w:val="00E873C5"/>
    <w:rsid w:val="00E87472"/>
    <w:rsid w:val="00E87473"/>
    <w:rsid w:val="00E874AF"/>
    <w:rsid w:val="00E87581"/>
    <w:rsid w:val="00E876EF"/>
    <w:rsid w:val="00E87710"/>
    <w:rsid w:val="00E8772D"/>
    <w:rsid w:val="00E8779C"/>
    <w:rsid w:val="00E878E8"/>
    <w:rsid w:val="00E87906"/>
    <w:rsid w:val="00E87929"/>
    <w:rsid w:val="00E8799A"/>
    <w:rsid w:val="00E879B8"/>
    <w:rsid w:val="00E87A1C"/>
    <w:rsid w:val="00E87AB7"/>
    <w:rsid w:val="00E87B57"/>
    <w:rsid w:val="00E87BE7"/>
    <w:rsid w:val="00E87BF3"/>
    <w:rsid w:val="00E87C6A"/>
    <w:rsid w:val="00E87C84"/>
    <w:rsid w:val="00E87D43"/>
    <w:rsid w:val="00E87E17"/>
    <w:rsid w:val="00E87E51"/>
    <w:rsid w:val="00E87ECB"/>
    <w:rsid w:val="00E87F27"/>
    <w:rsid w:val="00E87F3A"/>
    <w:rsid w:val="00E87F86"/>
    <w:rsid w:val="00E87F93"/>
    <w:rsid w:val="00E87FCC"/>
    <w:rsid w:val="00E90045"/>
    <w:rsid w:val="00E900D6"/>
    <w:rsid w:val="00E9019F"/>
    <w:rsid w:val="00E901CC"/>
    <w:rsid w:val="00E90228"/>
    <w:rsid w:val="00E90285"/>
    <w:rsid w:val="00E90335"/>
    <w:rsid w:val="00E9034E"/>
    <w:rsid w:val="00E90423"/>
    <w:rsid w:val="00E904A9"/>
    <w:rsid w:val="00E90614"/>
    <w:rsid w:val="00E9066A"/>
    <w:rsid w:val="00E906C8"/>
    <w:rsid w:val="00E90746"/>
    <w:rsid w:val="00E9074A"/>
    <w:rsid w:val="00E907E3"/>
    <w:rsid w:val="00E90835"/>
    <w:rsid w:val="00E90888"/>
    <w:rsid w:val="00E90973"/>
    <w:rsid w:val="00E90974"/>
    <w:rsid w:val="00E909C2"/>
    <w:rsid w:val="00E90A50"/>
    <w:rsid w:val="00E90AA8"/>
    <w:rsid w:val="00E90AC0"/>
    <w:rsid w:val="00E90B11"/>
    <w:rsid w:val="00E90C42"/>
    <w:rsid w:val="00E90DAB"/>
    <w:rsid w:val="00E90DEA"/>
    <w:rsid w:val="00E90E0A"/>
    <w:rsid w:val="00E90E57"/>
    <w:rsid w:val="00E90EEA"/>
    <w:rsid w:val="00E90FFA"/>
    <w:rsid w:val="00E91036"/>
    <w:rsid w:val="00E910C7"/>
    <w:rsid w:val="00E910CA"/>
    <w:rsid w:val="00E91272"/>
    <w:rsid w:val="00E91294"/>
    <w:rsid w:val="00E912CE"/>
    <w:rsid w:val="00E912F1"/>
    <w:rsid w:val="00E91303"/>
    <w:rsid w:val="00E9134F"/>
    <w:rsid w:val="00E913D2"/>
    <w:rsid w:val="00E913D8"/>
    <w:rsid w:val="00E9149E"/>
    <w:rsid w:val="00E914A0"/>
    <w:rsid w:val="00E914CC"/>
    <w:rsid w:val="00E914CD"/>
    <w:rsid w:val="00E914F8"/>
    <w:rsid w:val="00E91617"/>
    <w:rsid w:val="00E91669"/>
    <w:rsid w:val="00E9168A"/>
    <w:rsid w:val="00E91737"/>
    <w:rsid w:val="00E917BC"/>
    <w:rsid w:val="00E91864"/>
    <w:rsid w:val="00E918BB"/>
    <w:rsid w:val="00E919D6"/>
    <w:rsid w:val="00E91A24"/>
    <w:rsid w:val="00E91B03"/>
    <w:rsid w:val="00E91B4A"/>
    <w:rsid w:val="00E91B6E"/>
    <w:rsid w:val="00E91BF9"/>
    <w:rsid w:val="00E91C15"/>
    <w:rsid w:val="00E91DB1"/>
    <w:rsid w:val="00E91E42"/>
    <w:rsid w:val="00E91E60"/>
    <w:rsid w:val="00E91E83"/>
    <w:rsid w:val="00E91E9F"/>
    <w:rsid w:val="00E91EFB"/>
    <w:rsid w:val="00E91F9B"/>
    <w:rsid w:val="00E91FBB"/>
    <w:rsid w:val="00E91FF9"/>
    <w:rsid w:val="00E92032"/>
    <w:rsid w:val="00E9206F"/>
    <w:rsid w:val="00E92093"/>
    <w:rsid w:val="00E92167"/>
    <w:rsid w:val="00E921D5"/>
    <w:rsid w:val="00E9224D"/>
    <w:rsid w:val="00E92257"/>
    <w:rsid w:val="00E92259"/>
    <w:rsid w:val="00E922DB"/>
    <w:rsid w:val="00E922E1"/>
    <w:rsid w:val="00E92319"/>
    <w:rsid w:val="00E92376"/>
    <w:rsid w:val="00E92428"/>
    <w:rsid w:val="00E924DC"/>
    <w:rsid w:val="00E9256D"/>
    <w:rsid w:val="00E92587"/>
    <w:rsid w:val="00E9265E"/>
    <w:rsid w:val="00E926D2"/>
    <w:rsid w:val="00E92720"/>
    <w:rsid w:val="00E927CB"/>
    <w:rsid w:val="00E92850"/>
    <w:rsid w:val="00E928A9"/>
    <w:rsid w:val="00E9290A"/>
    <w:rsid w:val="00E9292E"/>
    <w:rsid w:val="00E92972"/>
    <w:rsid w:val="00E9299E"/>
    <w:rsid w:val="00E929B5"/>
    <w:rsid w:val="00E92A8D"/>
    <w:rsid w:val="00E92B16"/>
    <w:rsid w:val="00E92B23"/>
    <w:rsid w:val="00E92B96"/>
    <w:rsid w:val="00E92BDD"/>
    <w:rsid w:val="00E92BE0"/>
    <w:rsid w:val="00E92C37"/>
    <w:rsid w:val="00E92C46"/>
    <w:rsid w:val="00E92C67"/>
    <w:rsid w:val="00E92CCB"/>
    <w:rsid w:val="00E92D5E"/>
    <w:rsid w:val="00E92D77"/>
    <w:rsid w:val="00E92E4C"/>
    <w:rsid w:val="00E92F19"/>
    <w:rsid w:val="00E93020"/>
    <w:rsid w:val="00E93041"/>
    <w:rsid w:val="00E93045"/>
    <w:rsid w:val="00E930CF"/>
    <w:rsid w:val="00E93133"/>
    <w:rsid w:val="00E9313C"/>
    <w:rsid w:val="00E931D0"/>
    <w:rsid w:val="00E9327E"/>
    <w:rsid w:val="00E932A5"/>
    <w:rsid w:val="00E93350"/>
    <w:rsid w:val="00E933D8"/>
    <w:rsid w:val="00E933F4"/>
    <w:rsid w:val="00E9340B"/>
    <w:rsid w:val="00E9350C"/>
    <w:rsid w:val="00E9355E"/>
    <w:rsid w:val="00E93587"/>
    <w:rsid w:val="00E93588"/>
    <w:rsid w:val="00E935F5"/>
    <w:rsid w:val="00E93680"/>
    <w:rsid w:val="00E9371F"/>
    <w:rsid w:val="00E93720"/>
    <w:rsid w:val="00E937B6"/>
    <w:rsid w:val="00E93836"/>
    <w:rsid w:val="00E93923"/>
    <w:rsid w:val="00E93964"/>
    <w:rsid w:val="00E93A15"/>
    <w:rsid w:val="00E93A30"/>
    <w:rsid w:val="00E93A70"/>
    <w:rsid w:val="00E93AAF"/>
    <w:rsid w:val="00E93B66"/>
    <w:rsid w:val="00E93BF6"/>
    <w:rsid w:val="00E93C0E"/>
    <w:rsid w:val="00E93CC9"/>
    <w:rsid w:val="00E93E3B"/>
    <w:rsid w:val="00E93EB5"/>
    <w:rsid w:val="00E93EEF"/>
    <w:rsid w:val="00E93F26"/>
    <w:rsid w:val="00E93F3B"/>
    <w:rsid w:val="00E93F46"/>
    <w:rsid w:val="00E93F79"/>
    <w:rsid w:val="00E93FA6"/>
    <w:rsid w:val="00E9405D"/>
    <w:rsid w:val="00E94066"/>
    <w:rsid w:val="00E9408B"/>
    <w:rsid w:val="00E940A6"/>
    <w:rsid w:val="00E940FF"/>
    <w:rsid w:val="00E9416A"/>
    <w:rsid w:val="00E94196"/>
    <w:rsid w:val="00E9419F"/>
    <w:rsid w:val="00E9421E"/>
    <w:rsid w:val="00E94241"/>
    <w:rsid w:val="00E944AF"/>
    <w:rsid w:val="00E944B5"/>
    <w:rsid w:val="00E947BC"/>
    <w:rsid w:val="00E947E6"/>
    <w:rsid w:val="00E94842"/>
    <w:rsid w:val="00E948A6"/>
    <w:rsid w:val="00E948C2"/>
    <w:rsid w:val="00E949EB"/>
    <w:rsid w:val="00E94A1F"/>
    <w:rsid w:val="00E94AB1"/>
    <w:rsid w:val="00E94AB2"/>
    <w:rsid w:val="00E94B36"/>
    <w:rsid w:val="00E94BC6"/>
    <w:rsid w:val="00E94E3C"/>
    <w:rsid w:val="00E94E97"/>
    <w:rsid w:val="00E94ECF"/>
    <w:rsid w:val="00E94FA9"/>
    <w:rsid w:val="00E94FB3"/>
    <w:rsid w:val="00E94FD1"/>
    <w:rsid w:val="00E9500F"/>
    <w:rsid w:val="00E950A9"/>
    <w:rsid w:val="00E9511F"/>
    <w:rsid w:val="00E95138"/>
    <w:rsid w:val="00E95183"/>
    <w:rsid w:val="00E95226"/>
    <w:rsid w:val="00E9525D"/>
    <w:rsid w:val="00E952D2"/>
    <w:rsid w:val="00E95319"/>
    <w:rsid w:val="00E9538D"/>
    <w:rsid w:val="00E9554E"/>
    <w:rsid w:val="00E955DB"/>
    <w:rsid w:val="00E95634"/>
    <w:rsid w:val="00E95667"/>
    <w:rsid w:val="00E9576C"/>
    <w:rsid w:val="00E95773"/>
    <w:rsid w:val="00E9577A"/>
    <w:rsid w:val="00E9579E"/>
    <w:rsid w:val="00E957CE"/>
    <w:rsid w:val="00E95805"/>
    <w:rsid w:val="00E95835"/>
    <w:rsid w:val="00E9587F"/>
    <w:rsid w:val="00E958A9"/>
    <w:rsid w:val="00E958E6"/>
    <w:rsid w:val="00E9590B"/>
    <w:rsid w:val="00E9597E"/>
    <w:rsid w:val="00E9599E"/>
    <w:rsid w:val="00E959DA"/>
    <w:rsid w:val="00E95BA5"/>
    <w:rsid w:val="00E95BC4"/>
    <w:rsid w:val="00E95C62"/>
    <w:rsid w:val="00E95CC4"/>
    <w:rsid w:val="00E95D17"/>
    <w:rsid w:val="00E95D38"/>
    <w:rsid w:val="00E95D3D"/>
    <w:rsid w:val="00E95D54"/>
    <w:rsid w:val="00E95D98"/>
    <w:rsid w:val="00E95DBC"/>
    <w:rsid w:val="00E95DE6"/>
    <w:rsid w:val="00E95E4F"/>
    <w:rsid w:val="00E95E8E"/>
    <w:rsid w:val="00E95EBD"/>
    <w:rsid w:val="00E95ECC"/>
    <w:rsid w:val="00E95FEA"/>
    <w:rsid w:val="00E95FFB"/>
    <w:rsid w:val="00E9600D"/>
    <w:rsid w:val="00E96095"/>
    <w:rsid w:val="00E960E7"/>
    <w:rsid w:val="00E96251"/>
    <w:rsid w:val="00E9632E"/>
    <w:rsid w:val="00E96364"/>
    <w:rsid w:val="00E963D0"/>
    <w:rsid w:val="00E963D6"/>
    <w:rsid w:val="00E963F1"/>
    <w:rsid w:val="00E9646A"/>
    <w:rsid w:val="00E964DB"/>
    <w:rsid w:val="00E964EB"/>
    <w:rsid w:val="00E965F6"/>
    <w:rsid w:val="00E9668E"/>
    <w:rsid w:val="00E9676D"/>
    <w:rsid w:val="00E96796"/>
    <w:rsid w:val="00E967C8"/>
    <w:rsid w:val="00E96857"/>
    <w:rsid w:val="00E968AC"/>
    <w:rsid w:val="00E96932"/>
    <w:rsid w:val="00E9699F"/>
    <w:rsid w:val="00E969F6"/>
    <w:rsid w:val="00E96A08"/>
    <w:rsid w:val="00E96ACF"/>
    <w:rsid w:val="00E96AF9"/>
    <w:rsid w:val="00E96B9B"/>
    <w:rsid w:val="00E96C0A"/>
    <w:rsid w:val="00E96C27"/>
    <w:rsid w:val="00E96D89"/>
    <w:rsid w:val="00E96E60"/>
    <w:rsid w:val="00E96FC4"/>
    <w:rsid w:val="00E97032"/>
    <w:rsid w:val="00E9703F"/>
    <w:rsid w:val="00E9704A"/>
    <w:rsid w:val="00E97051"/>
    <w:rsid w:val="00E9705B"/>
    <w:rsid w:val="00E97095"/>
    <w:rsid w:val="00E970CE"/>
    <w:rsid w:val="00E970F9"/>
    <w:rsid w:val="00E97133"/>
    <w:rsid w:val="00E97141"/>
    <w:rsid w:val="00E97178"/>
    <w:rsid w:val="00E9718B"/>
    <w:rsid w:val="00E97220"/>
    <w:rsid w:val="00E972AD"/>
    <w:rsid w:val="00E9733D"/>
    <w:rsid w:val="00E973AE"/>
    <w:rsid w:val="00E973CF"/>
    <w:rsid w:val="00E973EE"/>
    <w:rsid w:val="00E97427"/>
    <w:rsid w:val="00E9743F"/>
    <w:rsid w:val="00E9745C"/>
    <w:rsid w:val="00E9748D"/>
    <w:rsid w:val="00E9749E"/>
    <w:rsid w:val="00E974A7"/>
    <w:rsid w:val="00E975B0"/>
    <w:rsid w:val="00E9767C"/>
    <w:rsid w:val="00E976A6"/>
    <w:rsid w:val="00E976B7"/>
    <w:rsid w:val="00E976E9"/>
    <w:rsid w:val="00E976EF"/>
    <w:rsid w:val="00E97716"/>
    <w:rsid w:val="00E97753"/>
    <w:rsid w:val="00E97794"/>
    <w:rsid w:val="00E97875"/>
    <w:rsid w:val="00E97894"/>
    <w:rsid w:val="00E978CC"/>
    <w:rsid w:val="00E978D7"/>
    <w:rsid w:val="00E97A8F"/>
    <w:rsid w:val="00E97AA5"/>
    <w:rsid w:val="00E97ADD"/>
    <w:rsid w:val="00E97BA8"/>
    <w:rsid w:val="00E97C0F"/>
    <w:rsid w:val="00E97C21"/>
    <w:rsid w:val="00E97C4B"/>
    <w:rsid w:val="00E97CC8"/>
    <w:rsid w:val="00E97D3F"/>
    <w:rsid w:val="00E97D7B"/>
    <w:rsid w:val="00E97D90"/>
    <w:rsid w:val="00E97DD5"/>
    <w:rsid w:val="00E97DDD"/>
    <w:rsid w:val="00E97E29"/>
    <w:rsid w:val="00E97E9E"/>
    <w:rsid w:val="00E97EBB"/>
    <w:rsid w:val="00E97EE0"/>
    <w:rsid w:val="00E97F45"/>
    <w:rsid w:val="00E97FA1"/>
    <w:rsid w:val="00E97FB1"/>
    <w:rsid w:val="00E97FB5"/>
    <w:rsid w:val="00E97FBC"/>
    <w:rsid w:val="00EA000E"/>
    <w:rsid w:val="00EA0038"/>
    <w:rsid w:val="00EA0072"/>
    <w:rsid w:val="00EA007E"/>
    <w:rsid w:val="00EA0188"/>
    <w:rsid w:val="00EA019B"/>
    <w:rsid w:val="00EA01F0"/>
    <w:rsid w:val="00EA01F4"/>
    <w:rsid w:val="00EA0282"/>
    <w:rsid w:val="00EA02E8"/>
    <w:rsid w:val="00EA036E"/>
    <w:rsid w:val="00EA047A"/>
    <w:rsid w:val="00EA0495"/>
    <w:rsid w:val="00EA0576"/>
    <w:rsid w:val="00EA0628"/>
    <w:rsid w:val="00EA065E"/>
    <w:rsid w:val="00EA0693"/>
    <w:rsid w:val="00EA06BE"/>
    <w:rsid w:val="00EA079F"/>
    <w:rsid w:val="00EA07C4"/>
    <w:rsid w:val="00EA07C6"/>
    <w:rsid w:val="00EA07E3"/>
    <w:rsid w:val="00EA081C"/>
    <w:rsid w:val="00EA0860"/>
    <w:rsid w:val="00EA0999"/>
    <w:rsid w:val="00EA099C"/>
    <w:rsid w:val="00EA09BD"/>
    <w:rsid w:val="00EA0A65"/>
    <w:rsid w:val="00EA0A6E"/>
    <w:rsid w:val="00EA0A7D"/>
    <w:rsid w:val="00EA0A87"/>
    <w:rsid w:val="00EA0B02"/>
    <w:rsid w:val="00EA0B07"/>
    <w:rsid w:val="00EA0B7D"/>
    <w:rsid w:val="00EA0B8C"/>
    <w:rsid w:val="00EA0BF8"/>
    <w:rsid w:val="00EA0C08"/>
    <w:rsid w:val="00EA0CC2"/>
    <w:rsid w:val="00EA0D0F"/>
    <w:rsid w:val="00EA0D96"/>
    <w:rsid w:val="00EA0EB1"/>
    <w:rsid w:val="00EA0EDA"/>
    <w:rsid w:val="00EA0F29"/>
    <w:rsid w:val="00EA0F78"/>
    <w:rsid w:val="00EA0FCF"/>
    <w:rsid w:val="00EA1021"/>
    <w:rsid w:val="00EA10AA"/>
    <w:rsid w:val="00EA10F5"/>
    <w:rsid w:val="00EA1110"/>
    <w:rsid w:val="00EA111F"/>
    <w:rsid w:val="00EA11DF"/>
    <w:rsid w:val="00EA1202"/>
    <w:rsid w:val="00EA1235"/>
    <w:rsid w:val="00EA12C4"/>
    <w:rsid w:val="00EA131B"/>
    <w:rsid w:val="00EA13A5"/>
    <w:rsid w:val="00EA13CE"/>
    <w:rsid w:val="00EA1490"/>
    <w:rsid w:val="00EA1522"/>
    <w:rsid w:val="00EA153A"/>
    <w:rsid w:val="00EA15A3"/>
    <w:rsid w:val="00EA167D"/>
    <w:rsid w:val="00EA168B"/>
    <w:rsid w:val="00EA1697"/>
    <w:rsid w:val="00EA1741"/>
    <w:rsid w:val="00EA174B"/>
    <w:rsid w:val="00EA1798"/>
    <w:rsid w:val="00EA17C1"/>
    <w:rsid w:val="00EA1933"/>
    <w:rsid w:val="00EA19F7"/>
    <w:rsid w:val="00EA1AAC"/>
    <w:rsid w:val="00EA1ACE"/>
    <w:rsid w:val="00EA1AD8"/>
    <w:rsid w:val="00EA1B0D"/>
    <w:rsid w:val="00EA1BAC"/>
    <w:rsid w:val="00EA1CD2"/>
    <w:rsid w:val="00EA1D8B"/>
    <w:rsid w:val="00EA1DB6"/>
    <w:rsid w:val="00EA1DEC"/>
    <w:rsid w:val="00EA1E08"/>
    <w:rsid w:val="00EA1EDA"/>
    <w:rsid w:val="00EA1EE3"/>
    <w:rsid w:val="00EA1F00"/>
    <w:rsid w:val="00EA1F09"/>
    <w:rsid w:val="00EA1F14"/>
    <w:rsid w:val="00EA1FBC"/>
    <w:rsid w:val="00EA1FC6"/>
    <w:rsid w:val="00EA2000"/>
    <w:rsid w:val="00EA200D"/>
    <w:rsid w:val="00EA2069"/>
    <w:rsid w:val="00EA20FD"/>
    <w:rsid w:val="00EA2100"/>
    <w:rsid w:val="00EA2135"/>
    <w:rsid w:val="00EA215D"/>
    <w:rsid w:val="00EA216C"/>
    <w:rsid w:val="00EA223E"/>
    <w:rsid w:val="00EA2260"/>
    <w:rsid w:val="00EA232E"/>
    <w:rsid w:val="00EA2339"/>
    <w:rsid w:val="00EA235D"/>
    <w:rsid w:val="00EA236B"/>
    <w:rsid w:val="00EA236F"/>
    <w:rsid w:val="00EA2375"/>
    <w:rsid w:val="00EA239A"/>
    <w:rsid w:val="00EA23AE"/>
    <w:rsid w:val="00EA23BA"/>
    <w:rsid w:val="00EA23C6"/>
    <w:rsid w:val="00EA23CE"/>
    <w:rsid w:val="00EA2570"/>
    <w:rsid w:val="00EA258A"/>
    <w:rsid w:val="00EA2644"/>
    <w:rsid w:val="00EA27DA"/>
    <w:rsid w:val="00EA282C"/>
    <w:rsid w:val="00EA2865"/>
    <w:rsid w:val="00EA286E"/>
    <w:rsid w:val="00EA289C"/>
    <w:rsid w:val="00EA2957"/>
    <w:rsid w:val="00EA29B5"/>
    <w:rsid w:val="00EA29CC"/>
    <w:rsid w:val="00EA29ED"/>
    <w:rsid w:val="00EA2A04"/>
    <w:rsid w:val="00EA2A09"/>
    <w:rsid w:val="00EA2A19"/>
    <w:rsid w:val="00EA2A41"/>
    <w:rsid w:val="00EA2A7F"/>
    <w:rsid w:val="00EA2AF2"/>
    <w:rsid w:val="00EA2B6A"/>
    <w:rsid w:val="00EA2C43"/>
    <w:rsid w:val="00EA2C51"/>
    <w:rsid w:val="00EA2CA5"/>
    <w:rsid w:val="00EA2CAD"/>
    <w:rsid w:val="00EA2D0C"/>
    <w:rsid w:val="00EA2D1E"/>
    <w:rsid w:val="00EA2D1F"/>
    <w:rsid w:val="00EA2D29"/>
    <w:rsid w:val="00EA2DB4"/>
    <w:rsid w:val="00EA2DE7"/>
    <w:rsid w:val="00EA2DF6"/>
    <w:rsid w:val="00EA2DFB"/>
    <w:rsid w:val="00EA2E00"/>
    <w:rsid w:val="00EA2E4D"/>
    <w:rsid w:val="00EA2E9B"/>
    <w:rsid w:val="00EA2EF1"/>
    <w:rsid w:val="00EA2F78"/>
    <w:rsid w:val="00EA30AE"/>
    <w:rsid w:val="00EA31FB"/>
    <w:rsid w:val="00EA3253"/>
    <w:rsid w:val="00EA32DE"/>
    <w:rsid w:val="00EA32E3"/>
    <w:rsid w:val="00EA3301"/>
    <w:rsid w:val="00EA33AA"/>
    <w:rsid w:val="00EA3405"/>
    <w:rsid w:val="00EA3445"/>
    <w:rsid w:val="00EA35DF"/>
    <w:rsid w:val="00EA35E9"/>
    <w:rsid w:val="00EA3603"/>
    <w:rsid w:val="00EA3658"/>
    <w:rsid w:val="00EA369D"/>
    <w:rsid w:val="00EA36FB"/>
    <w:rsid w:val="00EA3862"/>
    <w:rsid w:val="00EA3887"/>
    <w:rsid w:val="00EA391A"/>
    <w:rsid w:val="00EA39FE"/>
    <w:rsid w:val="00EA3A00"/>
    <w:rsid w:val="00EA3A33"/>
    <w:rsid w:val="00EA3A3C"/>
    <w:rsid w:val="00EA3A6B"/>
    <w:rsid w:val="00EA3AA8"/>
    <w:rsid w:val="00EA3B0C"/>
    <w:rsid w:val="00EA3B1D"/>
    <w:rsid w:val="00EA3B4D"/>
    <w:rsid w:val="00EA3B59"/>
    <w:rsid w:val="00EA3C38"/>
    <w:rsid w:val="00EA3C4E"/>
    <w:rsid w:val="00EA3D33"/>
    <w:rsid w:val="00EA3D35"/>
    <w:rsid w:val="00EA3D61"/>
    <w:rsid w:val="00EA3D84"/>
    <w:rsid w:val="00EA3D93"/>
    <w:rsid w:val="00EA3E18"/>
    <w:rsid w:val="00EA3E86"/>
    <w:rsid w:val="00EA3EA5"/>
    <w:rsid w:val="00EA3EE6"/>
    <w:rsid w:val="00EA3F44"/>
    <w:rsid w:val="00EA3F52"/>
    <w:rsid w:val="00EA3F9B"/>
    <w:rsid w:val="00EA4027"/>
    <w:rsid w:val="00EA404F"/>
    <w:rsid w:val="00EA4081"/>
    <w:rsid w:val="00EA409F"/>
    <w:rsid w:val="00EA40CF"/>
    <w:rsid w:val="00EA4118"/>
    <w:rsid w:val="00EA4155"/>
    <w:rsid w:val="00EA4215"/>
    <w:rsid w:val="00EA4217"/>
    <w:rsid w:val="00EA4234"/>
    <w:rsid w:val="00EA42AE"/>
    <w:rsid w:val="00EA42D4"/>
    <w:rsid w:val="00EA42D5"/>
    <w:rsid w:val="00EA431A"/>
    <w:rsid w:val="00EA433E"/>
    <w:rsid w:val="00EA4375"/>
    <w:rsid w:val="00EA437D"/>
    <w:rsid w:val="00EA43EC"/>
    <w:rsid w:val="00EA448D"/>
    <w:rsid w:val="00EA4497"/>
    <w:rsid w:val="00EA4649"/>
    <w:rsid w:val="00EA4684"/>
    <w:rsid w:val="00EA473B"/>
    <w:rsid w:val="00EA4753"/>
    <w:rsid w:val="00EA4765"/>
    <w:rsid w:val="00EA4829"/>
    <w:rsid w:val="00EA485F"/>
    <w:rsid w:val="00EA488C"/>
    <w:rsid w:val="00EA48B9"/>
    <w:rsid w:val="00EA49B9"/>
    <w:rsid w:val="00EA49FB"/>
    <w:rsid w:val="00EA4A5E"/>
    <w:rsid w:val="00EA4A74"/>
    <w:rsid w:val="00EA4ACC"/>
    <w:rsid w:val="00EA4AD0"/>
    <w:rsid w:val="00EA4ADF"/>
    <w:rsid w:val="00EA4AF7"/>
    <w:rsid w:val="00EA4B57"/>
    <w:rsid w:val="00EA4BDC"/>
    <w:rsid w:val="00EA4C41"/>
    <w:rsid w:val="00EA4C5F"/>
    <w:rsid w:val="00EA4CC8"/>
    <w:rsid w:val="00EA4CD7"/>
    <w:rsid w:val="00EA4CE9"/>
    <w:rsid w:val="00EA4DAE"/>
    <w:rsid w:val="00EA4DBF"/>
    <w:rsid w:val="00EA4E49"/>
    <w:rsid w:val="00EA4EC5"/>
    <w:rsid w:val="00EA4F01"/>
    <w:rsid w:val="00EA4F0D"/>
    <w:rsid w:val="00EA4F1A"/>
    <w:rsid w:val="00EA4F28"/>
    <w:rsid w:val="00EA503E"/>
    <w:rsid w:val="00EA50C7"/>
    <w:rsid w:val="00EA50D6"/>
    <w:rsid w:val="00EA50E2"/>
    <w:rsid w:val="00EA5108"/>
    <w:rsid w:val="00EA515A"/>
    <w:rsid w:val="00EA5170"/>
    <w:rsid w:val="00EA5198"/>
    <w:rsid w:val="00EA519E"/>
    <w:rsid w:val="00EA51CA"/>
    <w:rsid w:val="00EA51DF"/>
    <w:rsid w:val="00EA520B"/>
    <w:rsid w:val="00EA52E3"/>
    <w:rsid w:val="00EA52EA"/>
    <w:rsid w:val="00EA5326"/>
    <w:rsid w:val="00EA539D"/>
    <w:rsid w:val="00EA53F2"/>
    <w:rsid w:val="00EA5400"/>
    <w:rsid w:val="00EA540F"/>
    <w:rsid w:val="00EA549C"/>
    <w:rsid w:val="00EA54DA"/>
    <w:rsid w:val="00EA5518"/>
    <w:rsid w:val="00EA560E"/>
    <w:rsid w:val="00EA5611"/>
    <w:rsid w:val="00EA5683"/>
    <w:rsid w:val="00EA5721"/>
    <w:rsid w:val="00EA5733"/>
    <w:rsid w:val="00EA5984"/>
    <w:rsid w:val="00EA5990"/>
    <w:rsid w:val="00EA59AB"/>
    <w:rsid w:val="00EA5A27"/>
    <w:rsid w:val="00EA5B5B"/>
    <w:rsid w:val="00EA5C1F"/>
    <w:rsid w:val="00EA5C4E"/>
    <w:rsid w:val="00EA5C7E"/>
    <w:rsid w:val="00EA5CA5"/>
    <w:rsid w:val="00EA5CEB"/>
    <w:rsid w:val="00EA5CF0"/>
    <w:rsid w:val="00EA5D20"/>
    <w:rsid w:val="00EA5D24"/>
    <w:rsid w:val="00EA5D71"/>
    <w:rsid w:val="00EA5DEA"/>
    <w:rsid w:val="00EA5E17"/>
    <w:rsid w:val="00EA5FB3"/>
    <w:rsid w:val="00EA5FC5"/>
    <w:rsid w:val="00EA600B"/>
    <w:rsid w:val="00EA6023"/>
    <w:rsid w:val="00EA6026"/>
    <w:rsid w:val="00EA603E"/>
    <w:rsid w:val="00EA60E4"/>
    <w:rsid w:val="00EA61B4"/>
    <w:rsid w:val="00EA626E"/>
    <w:rsid w:val="00EA62E3"/>
    <w:rsid w:val="00EA6338"/>
    <w:rsid w:val="00EA636E"/>
    <w:rsid w:val="00EA6390"/>
    <w:rsid w:val="00EA6430"/>
    <w:rsid w:val="00EA646B"/>
    <w:rsid w:val="00EA64D9"/>
    <w:rsid w:val="00EA64E1"/>
    <w:rsid w:val="00EA64F8"/>
    <w:rsid w:val="00EA650C"/>
    <w:rsid w:val="00EA654C"/>
    <w:rsid w:val="00EA659E"/>
    <w:rsid w:val="00EA65CC"/>
    <w:rsid w:val="00EA65ED"/>
    <w:rsid w:val="00EA661A"/>
    <w:rsid w:val="00EA6643"/>
    <w:rsid w:val="00EA664D"/>
    <w:rsid w:val="00EA6661"/>
    <w:rsid w:val="00EA66D2"/>
    <w:rsid w:val="00EA6775"/>
    <w:rsid w:val="00EA6872"/>
    <w:rsid w:val="00EA68C8"/>
    <w:rsid w:val="00EA6AB4"/>
    <w:rsid w:val="00EA6AD0"/>
    <w:rsid w:val="00EA6B85"/>
    <w:rsid w:val="00EA6BDA"/>
    <w:rsid w:val="00EA6BFC"/>
    <w:rsid w:val="00EA6C0D"/>
    <w:rsid w:val="00EA6C3A"/>
    <w:rsid w:val="00EA6D13"/>
    <w:rsid w:val="00EA6E35"/>
    <w:rsid w:val="00EA6E67"/>
    <w:rsid w:val="00EA6E88"/>
    <w:rsid w:val="00EA6EAE"/>
    <w:rsid w:val="00EA6EC3"/>
    <w:rsid w:val="00EA6F31"/>
    <w:rsid w:val="00EA7015"/>
    <w:rsid w:val="00EA7047"/>
    <w:rsid w:val="00EA704E"/>
    <w:rsid w:val="00EA706D"/>
    <w:rsid w:val="00EA70D9"/>
    <w:rsid w:val="00EA70F9"/>
    <w:rsid w:val="00EA712C"/>
    <w:rsid w:val="00EA722D"/>
    <w:rsid w:val="00EA724A"/>
    <w:rsid w:val="00EA72A0"/>
    <w:rsid w:val="00EA72F7"/>
    <w:rsid w:val="00EA7346"/>
    <w:rsid w:val="00EA734D"/>
    <w:rsid w:val="00EA7377"/>
    <w:rsid w:val="00EA73A2"/>
    <w:rsid w:val="00EA73AE"/>
    <w:rsid w:val="00EA741B"/>
    <w:rsid w:val="00EA7431"/>
    <w:rsid w:val="00EA7450"/>
    <w:rsid w:val="00EA7494"/>
    <w:rsid w:val="00EA74E5"/>
    <w:rsid w:val="00EA74F3"/>
    <w:rsid w:val="00EA7524"/>
    <w:rsid w:val="00EA757D"/>
    <w:rsid w:val="00EA75A3"/>
    <w:rsid w:val="00EA75AD"/>
    <w:rsid w:val="00EA75CF"/>
    <w:rsid w:val="00EA7659"/>
    <w:rsid w:val="00EA76BD"/>
    <w:rsid w:val="00EA76F4"/>
    <w:rsid w:val="00EA778F"/>
    <w:rsid w:val="00EA7890"/>
    <w:rsid w:val="00EA78F1"/>
    <w:rsid w:val="00EA7902"/>
    <w:rsid w:val="00EA790F"/>
    <w:rsid w:val="00EA791A"/>
    <w:rsid w:val="00EA7938"/>
    <w:rsid w:val="00EA7944"/>
    <w:rsid w:val="00EA7A52"/>
    <w:rsid w:val="00EA7A5B"/>
    <w:rsid w:val="00EA7A67"/>
    <w:rsid w:val="00EA7A6B"/>
    <w:rsid w:val="00EA7A85"/>
    <w:rsid w:val="00EA7B0E"/>
    <w:rsid w:val="00EA7B22"/>
    <w:rsid w:val="00EA7BA1"/>
    <w:rsid w:val="00EA7C02"/>
    <w:rsid w:val="00EA7C0A"/>
    <w:rsid w:val="00EA7C54"/>
    <w:rsid w:val="00EA7C8F"/>
    <w:rsid w:val="00EA7D54"/>
    <w:rsid w:val="00EA7DC0"/>
    <w:rsid w:val="00EA7EDD"/>
    <w:rsid w:val="00EA7F86"/>
    <w:rsid w:val="00EA7F97"/>
    <w:rsid w:val="00EA7FFE"/>
    <w:rsid w:val="00EB009C"/>
    <w:rsid w:val="00EB019A"/>
    <w:rsid w:val="00EB01EF"/>
    <w:rsid w:val="00EB0211"/>
    <w:rsid w:val="00EB0221"/>
    <w:rsid w:val="00EB0255"/>
    <w:rsid w:val="00EB03A4"/>
    <w:rsid w:val="00EB03B7"/>
    <w:rsid w:val="00EB0419"/>
    <w:rsid w:val="00EB0441"/>
    <w:rsid w:val="00EB044A"/>
    <w:rsid w:val="00EB04C7"/>
    <w:rsid w:val="00EB04F1"/>
    <w:rsid w:val="00EB0520"/>
    <w:rsid w:val="00EB0543"/>
    <w:rsid w:val="00EB062B"/>
    <w:rsid w:val="00EB065D"/>
    <w:rsid w:val="00EB066C"/>
    <w:rsid w:val="00EB0688"/>
    <w:rsid w:val="00EB06BE"/>
    <w:rsid w:val="00EB06E3"/>
    <w:rsid w:val="00EB06F1"/>
    <w:rsid w:val="00EB0778"/>
    <w:rsid w:val="00EB078A"/>
    <w:rsid w:val="00EB0814"/>
    <w:rsid w:val="00EB08A6"/>
    <w:rsid w:val="00EB08BC"/>
    <w:rsid w:val="00EB0914"/>
    <w:rsid w:val="00EB094F"/>
    <w:rsid w:val="00EB0982"/>
    <w:rsid w:val="00EB09DF"/>
    <w:rsid w:val="00EB0A4D"/>
    <w:rsid w:val="00EB0A7D"/>
    <w:rsid w:val="00EB0B3D"/>
    <w:rsid w:val="00EB0B5E"/>
    <w:rsid w:val="00EB0B74"/>
    <w:rsid w:val="00EB0BC8"/>
    <w:rsid w:val="00EB0BD5"/>
    <w:rsid w:val="00EB0BE0"/>
    <w:rsid w:val="00EB0BEA"/>
    <w:rsid w:val="00EB0CD3"/>
    <w:rsid w:val="00EB0DE3"/>
    <w:rsid w:val="00EB0F49"/>
    <w:rsid w:val="00EB0F6B"/>
    <w:rsid w:val="00EB0F75"/>
    <w:rsid w:val="00EB0FA4"/>
    <w:rsid w:val="00EB0FA8"/>
    <w:rsid w:val="00EB0FF3"/>
    <w:rsid w:val="00EB1080"/>
    <w:rsid w:val="00EB108F"/>
    <w:rsid w:val="00EB1139"/>
    <w:rsid w:val="00EB1154"/>
    <w:rsid w:val="00EB12C4"/>
    <w:rsid w:val="00EB12F9"/>
    <w:rsid w:val="00EB1368"/>
    <w:rsid w:val="00EB137F"/>
    <w:rsid w:val="00EB13B6"/>
    <w:rsid w:val="00EB13CA"/>
    <w:rsid w:val="00EB14F0"/>
    <w:rsid w:val="00EB151C"/>
    <w:rsid w:val="00EB1572"/>
    <w:rsid w:val="00EB163B"/>
    <w:rsid w:val="00EB1688"/>
    <w:rsid w:val="00EB16EE"/>
    <w:rsid w:val="00EB1726"/>
    <w:rsid w:val="00EB1729"/>
    <w:rsid w:val="00EB1743"/>
    <w:rsid w:val="00EB17E9"/>
    <w:rsid w:val="00EB17F6"/>
    <w:rsid w:val="00EB188B"/>
    <w:rsid w:val="00EB18E7"/>
    <w:rsid w:val="00EB19EE"/>
    <w:rsid w:val="00EB1AE6"/>
    <w:rsid w:val="00EB1B3B"/>
    <w:rsid w:val="00EB1BEE"/>
    <w:rsid w:val="00EB1C37"/>
    <w:rsid w:val="00EB1CE8"/>
    <w:rsid w:val="00EB1CFB"/>
    <w:rsid w:val="00EB1D29"/>
    <w:rsid w:val="00EB1D2B"/>
    <w:rsid w:val="00EB1D74"/>
    <w:rsid w:val="00EB1D79"/>
    <w:rsid w:val="00EB1E0E"/>
    <w:rsid w:val="00EB1E14"/>
    <w:rsid w:val="00EB1E6C"/>
    <w:rsid w:val="00EB1E6D"/>
    <w:rsid w:val="00EB1E8E"/>
    <w:rsid w:val="00EB1E90"/>
    <w:rsid w:val="00EB1F10"/>
    <w:rsid w:val="00EB1F33"/>
    <w:rsid w:val="00EB1FA6"/>
    <w:rsid w:val="00EB1FB2"/>
    <w:rsid w:val="00EB206B"/>
    <w:rsid w:val="00EB207D"/>
    <w:rsid w:val="00EB2093"/>
    <w:rsid w:val="00EB20AA"/>
    <w:rsid w:val="00EB20E9"/>
    <w:rsid w:val="00EB2118"/>
    <w:rsid w:val="00EB2123"/>
    <w:rsid w:val="00EB2134"/>
    <w:rsid w:val="00EB218E"/>
    <w:rsid w:val="00EB2291"/>
    <w:rsid w:val="00EB2370"/>
    <w:rsid w:val="00EB2384"/>
    <w:rsid w:val="00EB240F"/>
    <w:rsid w:val="00EB241D"/>
    <w:rsid w:val="00EB2459"/>
    <w:rsid w:val="00EB24AC"/>
    <w:rsid w:val="00EB24EC"/>
    <w:rsid w:val="00EB25B9"/>
    <w:rsid w:val="00EB2645"/>
    <w:rsid w:val="00EB2685"/>
    <w:rsid w:val="00EB2687"/>
    <w:rsid w:val="00EB2722"/>
    <w:rsid w:val="00EB2830"/>
    <w:rsid w:val="00EB287D"/>
    <w:rsid w:val="00EB288E"/>
    <w:rsid w:val="00EB291F"/>
    <w:rsid w:val="00EB298A"/>
    <w:rsid w:val="00EB29B8"/>
    <w:rsid w:val="00EB29DE"/>
    <w:rsid w:val="00EB29F7"/>
    <w:rsid w:val="00EB2A02"/>
    <w:rsid w:val="00EB2ADC"/>
    <w:rsid w:val="00EB2B0A"/>
    <w:rsid w:val="00EB2B15"/>
    <w:rsid w:val="00EB2B7D"/>
    <w:rsid w:val="00EB2C4A"/>
    <w:rsid w:val="00EB2C5B"/>
    <w:rsid w:val="00EB2C9E"/>
    <w:rsid w:val="00EB2D61"/>
    <w:rsid w:val="00EB2D8C"/>
    <w:rsid w:val="00EB2DA6"/>
    <w:rsid w:val="00EB2DEE"/>
    <w:rsid w:val="00EB2E55"/>
    <w:rsid w:val="00EB2F4A"/>
    <w:rsid w:val="00EB2FA9"/>
    <w:rsid w:val="00EB2FD1"/>
    <w:rsid w:val="00EB2FDF"/>
    <w:rsid w:val="00EB2FF8"/>
    <w:rsid w:val="00EB3034"/>
    <w:rsid w:val="00EB3049"/>
    <w:rsid w:val="00EB3091"/>
    <w:rsid w:val="00EB3205"/>
    <w:rsid w:val="00EB3255"/>
    <w:rsid w:val="00EB3272"/>
    <w:rsid w:val="00EB331E"/>
    <w:rsid w:val="00EB335A"/>
    <w:rsid w:val="00EB33A9"/>
    <w:rsid w:val="00EB33C8"/>
    <w:rsid w:val="00EB33D4"/>
    <w:rsid w:val="00EB33FE"/>
    <w:rsid w:val="00EB3450"/>
    <w:rsid w:val="00EB346D"/>
    <w:rsid w:val="00EB34AA"/>
    <w:rsid w:val="00EB34CD"/>
    <w:rsid w:val="00EB34EF"/>
    <w:rsid w:val="00EB3573"/>
    <w:rsid w:val="00EB35E6"/>
    <w:rsid w:val="00EB3613"/>
    <w:rsid w:val="00EB37C2"/>
    <w:rsid w:val="00EB37E4"/>
    <w:rsid w:val="00EB3898"/>
    <w:rsid w:val="00EB38E8"/>
    <w:rsid w:val="00EB390F"/>
    <w:rsid w:val="00EB39DD"/>
    <w:rsid w:val="00EB3A29"/>
    <w:rsid w:val="00EB3A5A"/>
    <w:rsid w:val="00EB3AFC"/>
    <w:rsid w:val="00EB3B3A"/>
    <w:rsid w:val="00EB3B94"/>
    <w:rsid w:val="00EB3BAC"/>
    <w:rsid w:val="00EB3C60"/>
    <w:rsid w:val="00EB3CAB"/>
    <w:rsid w:val="00EB3CB7"/>
    <w:rsid w:val="00EB3CE4"/>
    <w:rsid w:val="00EB3CEA"/>
    <w:rsid w:val="00EB3D57"/>
    <w:rsid w:val="00EB3D86"/>
    <w:rsid w:val="00EB3DF9"/>
    <w:rsid w:val="00EB3E14"/>
    <w:rsid w:val="00EB3E2B"/>
    <w:rsid w:val="00EB3E8D"/>
    <w:rsid w:val="00EB3EC6"/>
    <w:rsid w:val="00EB3EE2"/>
    <w:rsid w:val="00EB3F5E"/>
    <w:rsid w:val="00EB3F72"/>
    <w:rsid w:val="00EB3F83"/>
    <w:rsid w:val="00EB404B"/>
    <w:rsid w:val="00EB4071"/>
    <w:rsid w:val="00EB40C6"/>
    <w:rsid w:val="00EB4152"/>
    <w:rsid w:val="00EB4159"/>
    <w:rsid w:val="00EB41A0"/>
    <w:rsid w:val="00EB41B8"/>
    <w:rsid w:val="00EB4295"/>
    <w:rsid w:val="00EB42EA"/>
    <w:rsid w:val="00EB4332"/>
    <w:rsid w:val="00EB4372"/>
    <w:rsid w:val="00EB438A"/>
    <w:rsid w:val="00EB43B0"/>
    <w:rsid w:val="00EB4493"/>
    <w:rsid w:val="00EB4495"/>
    <w:rsid w:val="00EB44E8"/>
    <w:rsid w:val="00EB44F7"/>
    <w:rsid w:val="00EB4509"/>
    <w:rsid w:val="00EB4627"/>
    <w:rsid w:val="00EB462E"/>
    <w:rsid w:val="00EB467E"/>
    <w:rsid w:val="00EB4684"/>
    <w:rsid w:val="00EB477B"/>
    <w:rsid w:val="00EB4799"/>
    <w:rsid w:val="00EB479E"/>
    <w:rsid w:val="00EB47C5"/>
    <w:rsid w:val="00EB47D2"/>
    <w:rsid w:val="00EB4814"/>
    <w:rsid w:val="00EB48D0"/>
    <w:rsid w:val="00EB494B"/>
    <w:rsid w:val="00EB49F6"/>
    <w:rsid w:val="00EB4BA0"/>
    <w:rsid w:val="00EB4BA1"/>
    <w:rsid w:val="00EB4CDA"/>
    <w:rsid w:val="00EB4CE1"/>
    <w:rsid w:val="00EB4D7E"/>
    <w:rsid w:val="00EB4DBB"/>
    <w:rsid w:val="00EB4DCD"/>
    <w:rsid w:val="00EB4E22"/>
    <w:rsid w:val="00EB4E61"/>
    <w:rsid w:val="00EB4EF4"/>
    <w:rsid w:val="00EB4F3C"/>
    <w:rsid w:val="00EB5053"/>
    <w:rsid w:val="00EB5116"/>
    <w:rsid w:val="00EB5182"/>
    <w:rsid w:val="00EB5281"/>
    <w:rsid w:val="00EB530E"/>
    <w:rsid w:val="00EB539E"/>
    <w:rsid w:val="00EB53A5"/>
    <w:rsid w:val="00EB5436"/>
    <w:rsid w:val="00EB5488"/>
    <w:rsid w:val="00EB54AE"/>
    <w:rsid w:val="00EB5522"/>
    <w:rsid w:val="00EB5583"/>
    <w:rsid w:val="00EB560F"/>
    <w:rsid w:val="00EB5659"/>
    <w:rsid w:val="00EB5669"/>
    <w:rsid w:val="00EB566A"/>
    <w:rsid w:val="00EB566D"/>
    <w:rsid w:val="00EB56D3"/>
    <w:rsid w:val="00EB570C"/>
    <w:rsid w:val="00EB575C"/>
    <w:rsid w:val="00EB57EC"/>
    <w:rsid w:val="00EB5820"/>
    <w:rsid w:val="00EB585F"/>
    <w:rsid w:val="00EB58F9"/>
    <w:rsid w:val="00EB5960"/>
    <w:rsid w:val="00EB5A3A"/>
    <w:rsid w:val="00EB5AA5"/>
    <w:rsid w:val="00EB5B43"/>
    <w:rsid w:val="00EB5B44"/>
    <w:rsid w:val="00EB5B7C"/>
    <w:rsid w:val="00EB5B87"/>
    <w:rsid w:val="00EB5C06"/>
    <w:rsid w:val="00EB5CE0"/>
    <w:rsid w:val="00EB5D13"/>
    <w:rsid w:val="00EB5DBB"/>
    <w:rsid w:val="00EB5E61"/>
    <w:rsid w:val="00EB5F0C"/>
    <w:rsid w:val="00EB600C"/>
    <w:rsid w:val="00EB6055"/>
    <w:rsid w:val="00EB6079"/>
    <w:rsid w:val="00EB6091"/>
    <w:rsid w:val="00EB610C"/>
    <w:rsid w:val="00EB6148"/>
    <w:rsid w:val="00EB614D"/>
    <w:rsid w:val="00EB617A"/>
    <w:rsid w:val="00EB6244"/>
    <w:rsid w:val="00EB6259"/>
    <w:rsid w:val="00EB62D0"/>
    <w:rsid w:val="00EB62DF"/>
    <w:rsid w:val="00EB6345"/>
    <w:rsid w:val="00EB63A5"/>
    <w:rsid w:val="00EB64DB"/>
    <w:rsid w:val="00EB6539"/>
    <w:rsid w:val="00EB6552"/>
    <w:rsid w:val="00EB66DB"/>
    <w:rsid w:val="00EB6864"/>
    <w:rsid w:val="00EB6945"/>
    <w:rsid w:val="00EB6950"/>
    <w:rsid w:val="00EB6961"/>
    <w:rsid w:val="00EB6965"/>
    <w:rsid w:val="00EB69A3"/>
    <w:rsid w:val="00EB6B0E"/>
    <w:rsid w:val="00EB6B84"/>
    <w:rsid w:val="00EB6BB5"/>
    <w:rsid w:val="00EB6BCB"/>
    <w:rsid w:val="00EB6BDB"/>
    <w:rsid w:val="00EB6BF9"/>
    <w:rsid w:val="00EB6C91"/>
    <w:rsid w:val="00EB6CE6"/>
    <w:rsid w:val="00EB6D56"/>
    <w:rsid w:val="00EB6D89"/>
    <w:rsid w:val="00EB6DAF"/>
    <w:rsid w:val="00EB6E56"/>
    <w:rsid w:val="00EB6ED2"/>
    <w:rsid w:val="00EB6F62"/>
    <w:rsid w:val="00EB6F6B"/>
    <w:rsid w:val="00EB6FDC"/>
    <w:rsid w:val="00EB711D"/>
    <w:rsid w:val="00EB7127"/>
    <w:rsid w:val="00EB71BB"/>
    <w:rsid w:val="00EB7275"/>
    <w:rsid w:val="00EB7328"/>
    <w:rsid w:val="00EB7389"/>
    <w:rsid w:val="00EB73EC"/>
    <w:rsid w:val="00EB7402"/>
    <w:rsid w:val="00EB7468"/>
    <w:rsid w:val="00EB746F"/>
    <w:rsid w:val="00EB74CD"/>
    <w:rsid w:val="00EB7594"/>
    <w:rsid w:val="00EB766D"/>
    <w:rsid w:val="00EB7678"/>
    <w:rsid w:val="00EB768B"/>
    <w:rsid w:val="00EB7690"/>
    <w:rsid w:val="00EB7712"/>
    <w:rsid w:val="00EB7737"/>
    <w:rsid w:val="00EB774B"/>
    <w:rsid w:val="00EB7773"/>
    <w:rsid w:val="00EB782A"/>
    <w:rsid w:val="00EB7847"/>
    <w:rsid w:val="00EB790D"/>
    <w:rsid w:val="00EB7952"/>
    <w:rsid w:val="00EB7958"/>
    <w:rsid w:val="00EB7975"/>
    <w:rsid w:val="00EB79A8"/>
    <w:rsid w:val="00EB7A43"/>
    <w:rsid w:val="00EB7ACD"/>
    <w:rsid w:val="00EB7B10"/>
    <w:rsid w:val="00EB7BD2"/>
    <w:rsid w:val="00EB7DA1"/>
    <w:rsid w:val="00EB7E06"/>
    <w:rsid w:val="00EB7E32"/>
    <w:rsid w:val="00EB7E83"/>
    <w:rsid w:val="00EB7EA8"/>
    <w:rsid w:val="00EB7F95"/>
    <w:rsid w:val="00EB7FA6"/>
    <w:rsid w:val="00EC00C6"/>
    <w:rsid w:val="00EC00E4"/>
    <w:rsid w:val="00EC01D6"/>
    <w:rsid w:val="00EC01E3"/>
    <w:rsid w:val="00EC0200"/>
    <w:rsid w:val="00EC0228"/>
    <w:rsid w:val="00EC022C"/>
    <w:rsid w:val="00EC024F"/>
    <w:rsid w:val="00EC0289"/>
    <w:rsid w:val="00EC029A"/>
    <w:rsid w:val="00EC02D0"/>
    <w:rsid w:val="00EC0476"/>
    <w:rsid w:val="00EC04B2"/>
    <w:rsid w:val="00EC04D7"/>
    <w:rsid w:val="00EC04DC"/>
    <w:rsid w:val="00EC0515"/>
    <w:rsid w:val="00EC0548"/>
    <w:rsid w:val="00EC05C7"/>
    <w:rsid w:val="00EC05D9"/>
    <w:rsid w:val="00EC05EF"/>
    <w:rsid w:val="00EC05F5"/>
    <w:rsid w:val="00EC062F"/>
    <w:rsid w:val="00EC0651"/>
    <w:rsid w:val="00EC0718"/>
    <w:rsid w:val="00EC0758"/>
    <w:rsid w:val="00EC0760"/>
    <w:rsid w:val="00EC078A"/>
    <w:rsid w:val="00EC0896"/>
    <w:rsid w:val="00EC08FC"/>
    <w:rsid w:val="00EC0A61"/>
    <w:rsid w:val="00EC0B1D"/>
    <w:rsid w:val="00EC0B35"/>
    <w:rsid w:val="00EC0BC2"/>
    <w:rsid w:val="00EC0BE7"/>
    <w:rsid w:val="00EC0BF4"/>
    <w:rsid w:val="00EC0BF7"/>
    <w:rsid w:val="00EC0C79"/>
    <w:rsid w:val="00EC0CA1"/>
    <w:rsid w:val="00EC0DAB"/>
    <w:rsid w:val="00EC0E12"/>
    <w:rsid w:val="00EC0E30"/>
    <w:rsid w:val="00EC0E36"/>
    <w:rsid w:val="00EC0F39"/>
    <w:rsid w:val="00EC0F51"/>
    <w:rsid w:val="00EC0F96"/>
    <w:rsid w:val="00EC0FEC"/>
    <w:rsid w:val="00EC1004"/>
    <w:rsid w:val="00EC1083"/>
    <w:rsid w:val="00EC10B8"/>
    <w:rsid w:val="00EC1140"/>
    <w:rsid w:val="00EC1171"/>
    <w:rsid w:val="00EC1196"/>
    <w:rsid w:val="00EC124A"/>
    <w:rsid w:val="00EC136D"/>
    <w:rsid w:val="00EC1374"/>
    <w:rsid w:val="00EC1395"/>
    <w:rsid w:val="00EC139F"/>
    <w:rsid w:val="00EC13DF"/>
    <w:rsid w:val="00EC1459"/>
    <w:rsid w:val="00EC14A6"/>
    <w:rsid w:val="00EC14AF"/>
    <w:rsid w:val="00EC151B"/>
    <w:rsid w:val="00EC1529"/>
    <w:rsid w:val="00EC1571"/>
    <w:rsid w:val="00EC1591"/>
    <w:rsid w:val="00EC15B2"/>
    <w:rsid w:val="00EC15C0"/>
    <w:rsid w:val="00EC16A1"/>
    <w:rsid w:val="00EC16C3"/>
    <w:rsid w:val="00EC173A"/>
    <w:rsid w:val="00EC1742"/>
    <w:rsid w:val="00EC178F"/>
    <w:rsid w:val="00EC18CC"/>
    <w:rsid w:val="00EC18E3"/>
    <w:rsid w:val="00EC1907"/>
    <w:rsid w:val="00EC193C"/>
    <w:rsid w:val="00EC19B9"/>
    <w:rsid w:val="00EC19C9"/>
    <w:rsid w:val="00EC19DB"/>
    <w:rsid w:val="00EC19EC"/>
    <w:rsid w:val="00EC1A7A"/>
    <w:rsid w:val="00EC1AA9"/>
    <w:rsid w:val="00EC1AE0"/>
    <w:rsid w:val="00EC1AF4"/>
    <w:rsid w:val="00EC1BCD"/>
    <w:rsid w:val="00EC1C26"/>
    <w:rsid w:val="00EC1C2A"/>
    <w:rsid w:val="00EC1C3D"/>
    <w:rsid w:val="00EC1C4B"/>
    <w:rsid w:val="00EC1CF0"/>
    <w:rsid w:val="00EC1D34"/>
    <w:rsid w:val="00EC1E1D"/>
    <w:rsid w:val="00EC1E2B"/>
    <w:rsid w:val="00EC1F0D"/>
    <w:rsid w:val="00EC1FB4"/>
    <w:rsid w:val="00EC1FC2"/>
    <w:rsid w:val="00EC200D"/>
    <w:rsid w:val="00EC2045"/>
    <w:rsid w:val="00EC20B2"/>
    <w:rsid w:val="00EC20E1"/>
    <w:rsid w:val="00EC214B"/>
    <w:rsid w:val="00EC2174"/>
    <w:rsid w:val="00EC21DB"/>
    <w:rsid w:val="00EC221A"/>
    <w:rsid w:val="00EC227E"/>
    <w:rsid w:val="00EC229A"/>
    <w:rsid w:val="00EC230F"/>
    <w:rsid w:val="00EC23C3"/>
    <w:rsid w:val="00EC2401"/>
    <w:rsid w:val="00EC24B1"/>
    <w:rsid w:val="00EC24DD"/>
    <w:rsid w:val="00EC24E5"/>
    <w:rsid w:val="00EC2507"/>
    <w:rsid w:val="00EC2514"/>
    <w:rsid w:val="00EC25B5"/>
    <w:rsid w:val="00EC266A"/>
    <w:rsid w:val="00EC26B2"/>
    <w:rsid w:val="00EC26B4"/>
    <w:rsid w:val="00EC26CC"/>
    <w:rsid w:val="00EC27A7"/>
    <w:rsid w:val="00EC27DA"/>
    <w:rsid w:val="00EC2817"/>
    <w:rsid w:val="00EC28AD"/>
    <w:rsid w:val="00EC28C1"/>
    <w:rsid w:val="00EC293D"/>
    <w:rsid w:val="00EC298F"/>
    <w:rsid w:val="00EC2A81"/>
    <w:rsid w:val="00EC2B2D"/>
    <w:rsid w:val="00EC2B46"/>
    <w:rsid w:val="00EC2B67"/>
    <w:rsid w:val="00EC2BE6"/>
    <w:rsid w:val="00EC2BED"/>
    <w:rsid w:val="00EC2BFA"/>
    <w:rsid w:val="00EC2C2E"/>
    <w:rsid w:val="00EC2CD4"/>
    <w:rsid w:val="00EC2D14"/>
    <w:rsid w:val="00EC2D81"/>
    <w:rsid w:val="00EC2D84"/>
    <w:rsid w:val="00EC2E40"/>
    <w:rsid w:val="00EC2EBB"/>
    <w:rsid w:val="00EC3059"/>
    <w:rsid w:val="00EC3103"/>
    <w:rsid w:val="00EC311B"/>
    <w:rsid w:val="00EC312D"/>
    <w:rsid w:val="00EC3198"/>
    <w:rsid w:val="00EC31B9"/>
    <w:rsid w:val="00EC31CC"/>
    <w:rsid w:val="00EC31E2"/>
    <w:rsid w:val="00EC3217"/>
    <w:rsid w:val="00EC3256"/>
    <w:rsid w:val="00EC3276"/>
    <w:rsid w:val="00EC3364"/>
    <w:rsid w:val="00EC33C8"/>
    <w:rsid w:val="00EC3409"/>
    <w:rsid w:val="00EC3410"/>
    <w:rsid w:val="00EC3427"/>
    <w:rsid w:val="00EC345E"/>
    <w:rsid w:val="00EC3463"/>
    <w:rsid w:val="00EC34CB"/>
    <w:rsid w:val="00EC3519"/>
    <w:rsid w:val="00EC35F8"/>
    <w:rsid w:val="00EC361B"/>
    <w:rsid w:val="00EC3670"/>
    <w:rsid w:val="00EC3822"/>
    <w:rsid w:val="00EC3898"/>
    <w:rsid w:val="00EC38D0"/>
    <w:rsid w:val="00EC39C9"/>
    <w:rsid w:val="00EC3A47"/>
    <w:rsid w:val="00EC3AFD"/>
    <w:rsid w:val="00EC3B14"/>
    <w:rsid w:val="00EC3BE2"/>
    <w:rsid w:val="00EC3CD5"/>
    <w:rsid w:val="00EC3CE9"/>
    <w:rsid w:val="00EC3D0F"/>
    <w:rsid w:val="00EC3DA5"/>
    <w:rsid w:val="00EC3DA6"/>
    <w:rsid w:val="00EC3E03"/>
    <w:rsid w:val="00EC3E09"/>
    <w:rsid w:val="00EC3E18"/>
    <w:rsid w:val="00EC3E74"/>
    <w:rsid w:val="00EC3E9D"/>
    <w:rsid w:val="00EC3F1D"/>
    <w:rsid w:val="00EC3F32"/>
    <w:rsid w:val="00EC3F61"/>
    <w:rsid w:val="00EC3FF7"/>
    <w:rsid w:val="00EC40AA"/>
    <w:rsid w:val="00EC40F0"/>
    <w:rsid w:val="00EC4107"/>
    <w:rsid w:val="00EC4127"/>
    <w:rsid w:val="00EC4134"/>
    <w:rsid w:val="00EC41A4"/>
    <w:rsid w:val="00EC4209"/>
    <w:rsid w:val="00EC424E"/>
    <w:rsid w:val="00EC427C"/>
    <w:rsid w:val="00EC4282"/>
    <w:rsid w:val="00EC444F"/>
    <w:rsid w:val="00EC45E0"/>
    <w:rsid w:val="00EC45ED"/>
    <w:rsid w:val="00EC461B"/>
    <w:rsid w:val="00EC4660"/>
    <w:rsid w:val="00EC46AE"/>
    <w:rsid w:val="00EC46F8"/>
    <w:rsid w:val="00EC47A8"/>
    <w:rsid w:val="00EC481F"/>
    <w:rsid w:val="00EC4881"/>
    <w:rsid w:val="00EC4888"/>
    <w:rsid w:val="00EC489D"/>
    <w:rsid w:val="00EC48C1"/>
    <w:rsid w:val="00EC48D0"/>
    <w:rsid w:val="00EC48E5"/>
    <w:rsid w:val="00EC4943"/>
    <w:rsid w:val="00EC49C9"/>
    <w:rsid w:val="00EC4AE9"/>
    <w:rsid w:val="00EC4B67"/>
    <w:rsid w:val="00EC4BBE"/>
    <w:rsid w:val="00EC4BC7"/>
    <w:rsid w:val="00EC4C83"/>
    <w:rsid w:val="00EC4C93"/>
    <w:rsid w:val="00EC4CA2"/>
    <w:rsid w:val="00EC4D66"/>
    <w:rsid w:val="00EC4D68"/>
    <w:rsid w:val="00EC4E52"/>
    <w:rsid w:val="00EC4E68"/>
    <w:rsid w:val="00EC4E70"/>
    <w:rsid w:val="00EC4E76"/>
    <w:rsid w:val="00EC4EC3"/>
    <w:rsid w:val="00EC4EEB"/>
    <w:rsid w:val="00EC4EF0"/>
    <w:rsid w:val="00EC4F5C"/>
    <w:rsid w:val="00EC4FB9"/>
    <w:rsid w:val="00EC501C"/>
    <w:rsid w:val="00EC5056"/>
    <w:rsid w:val="00EC5073"/>
    <w:rsid w:val="00EC5078"/>
    <w:rsid w:val="00EC50CD"/>
    <w:rsid w:val="00EC50CF"/>
    <w:rsid w:val="00EC5103"/>
    <w:rsid w:val="00EC515C"/>
    <w:rsid w:val="00EC516B"/>
    <w:rsid w:val="00EC51E6"/>
    <w:rsid w:val="00EC5216"/>
    <w:rsid w:val="00EC5233"/>
    <w:rsid w:val="00EC53AB"/>
    <w:rsid w:val="00EC53B3"/>
    <w:rsid w:val="00EC53E9"/>
    <w:rsid w:val="00EC5544"/>
    <w:rsid w:val="00EC56EF"/>
    <w:rsid w:val="00EC581E"/>
    <w:rsid w:val="00EC58B1"/>
    <w:rsid w:val="00EC58E3"/>
    <w:rsid w:val="00EC59AA"/>
    <w:rsid w:val="00EC59CD"/>
    <w:rsid w:val="00EC5ABD"/>
    <w:rsid w:val="00EC5AE1"/>
    <w:rsid w:val="00EC5B5F"/>
    <w:rsid w:val="00EC5B85"/>
    <w:rsid w:val="00EC5BA9"/>
    <w:rsid w:val="00EC5BAC"/>
    <w:rsid w:val="00EC5BD2"/>
    <w:rsid w:val="00EC5C1A"/>
    <w:rsid w:val="00EC5D28"/>
    <w:rsid w:val="00EC5D2E"/>
    <w:rsid w:val="00EC5D58"/>
    <w:rsid w:val="00EC5DB2"/>
    <w:rsid w:val="00EC5E0B"/>
    <w:rsid w:val="00EC5ECF"/>
    <w:rsid w:val="00EC5EE2"/>
    <w:rsid w:val="00EC5EF6"/>
    <w:rsid w:val="00EC5F1D"/>
    <w:rsid w:val="00EC5FBD"/>
    <w:rsid w:val="00EC5FDA"/>
    <w:rsid w:val="00EC5FE8"/>
    <w:rsid w:val="00EC601B"/>
    <w:rsid w:val="00EC60A9"/>
    <w:rsid w:val="00EC6108"/>
    <w:rsid w:val="00EC61AA"/>
    <w:rsid w:val="00EC6208"/>
    <w:rsid w:val="00EC6213"/>
    <w:rsid w:val="00EC6329"/>
    <w:rsid w:val="00EC6344"/>
    <w:rsid w:val="00EC6509"/>
    <w:rsid w:val="00EC6574"/>
    <w:rsid w:val="00EC6582"/>
    <w:rsid w:val="00EC66F8"/>
    <w:rsid w:val="00EC66FB"/>
    <w:rsid w:val="00EC676E"/>
    <w:rsid w:val="00EC67DA"/>
    <w:rsid w:val="00EC6814"/>
    <w:rsid w:val="00EC6882"/>
    <w:rsid w:val="00EC68C7"/>
    <w:rsid w:val="00EC6918"/>
    <w:rsid w:val="00EC6985"/>
    <w:rsid w:val="00EC69F6"/>
    <w:rsid w:val="00EC6A06"/>
    <w:rsid w:val="00EC6AA0"/>
    <w:rsid w:val="00EC6B00"/>
    <w:rsid w:val="00EC6B84"/>
    <w:rsid w:val="00EC6CE3"/>
    <w:rsid w:val="00EC6D3A"/>
    <w:rsid w:val="00EC6D48"/>
    <w:rsid w:val="00EC6D6D"/>
    <w:rsid w:val="00EC6DCF"/>
    <w:rsid w:val="00EC6DFD"/>
    <w:rsid w:val="00EC6E15"/>
    <w:rsid w:val="00EC6E67"/>
    <w:rsid w:val="00EC6E99"/>
    <w:rsid w:val="00EC6FCF"/>
    <w:rsid w:val="00EC6FDF"/>
    <w:rsid w:val="00EC700C"/>
    <w:rsid w:val="00EC7068"/>
    <w:rsid w:val="00EC706E"/>
    <w:rsid w:val="00EC7076"/>
    <w:rsid w:val="00EC70AA"/>
    <w:rsid w:val="00EC70AC"/>
    <w:rsid w:val="00EC7108"/>
    <w:rsid w:val="00EC7152"/>
    <w:rsid w:val="00EC71A4"/>
    <w:rsid w:val="00EC71B0"/>
    <w:rsid w:val="00EC72E3"/>
    <w:rsid w:val="00EC7316"/>
    <w:rsid w:val="00EC73C0"/>
    <w:rsid w:val="00EC750A"/>
    <w:rsid w:val="00EC752F"/>
    <w:rsid w:val="00EC75A0"/>
    <w:rsid w:val="00EC75AD"/>
    <w:rsid w:val="00EC7608"/>
    <w:rsid w:val="00EC761E"/>
    <w:rsid w:val="00EC763D"/>
    <w:rsid w:val="00EC7648"/>
    <w:rsid w:val="00EC7657"/>
    <w:rsid w:val="00EC768B"/>
    <w:rsid w:val="00EC76A0"/>
    <w:rsid w:val="00EC77E5"/>
    <w:rsid w:val="00EC7812"/>
    <w:rsid w:val="00EC7813"/>
    <w:rsid w:val="00EC7821"/>
    <w:rsid w:val="00EC78E5"/>
    <w:rsid w:val="00EC78F3"/>
    <w:rsid w:val="00EC7988"/>
    <w:rsid w:val="00EC7A38"/>
    <w:rsid w:val="00EC7A42"/>
    <w:rsid w:val="00EC7A45"/>
    <w:rsid w:val="00EC7A4E"/>
    <w:rsid w:val="00EC7A5F"/>
    <w:rsid w:val="00EC7ADA"/>
    <w:rsid w:val="00EC7B9F"/>
    <w:rsid w:val="00EC7BFB"/>
    <w:rsid w:val="00EC7BFE"/>
    <w:rsid w:val="00EC7C1D"/>
    <w:rsid w:val="00EC7C23"/>
    <w:rsid w:val="00EC7C34"/>
    <w:rsid w:val="00EC7CCF"/>
    <w:rsid w:val="00EC7CEA"/>
    <w:rsid w:val="00EC7CF0"/>
    <w:rsid w:val="00EC7D04"/>
    <w:rsid w:val="00EC7D62"/>
    <w:rsid w:val="00EC7DB3"/>
    <w:rsid w:val="00EC7DC7"/>
    <w:rsid w:val="00EC7DC8"/>
    <w:rsid w:val="00EC7E6D"/>
    <w:rsid w:val="00EC7EB9"/>
    <w:rsid w:val="00EC7FBB"/>
    <w:rsid w:val="00EC7FC6"/>
    <w:rsid w:val="00ED0003"/>
    <w:rsid w:val="00ED0086"/>
    <w:rsid w:val="00ED0104"/>
    <w:rsid w:val="00ED01C2"/>
    <w:rsid w:val="00ED02AA"/>
    <w:rsid w:val="00ED02C3"/>
    <w:rsid w:val="00ED02FD"/>
    <w:rsid w:val="00ED0319"/>
    <w:rsid w:val="00ED0331"/>
    <w:rsid w:val="00ED0333"/>
    <w:rsid w:val="00ED0467"/>
    <w:rsid w:val="00ED04B4"/>
    <w:rsid w:val="00ED05B2"/>
    <w:rsid w:val="00ED05CD"/>
    <w:rsid w:val="00ED066F"/>
    <w:rsid w:val="00ED06B4"/>
    <w:rsid w:val="00ED06FA"/>
    <w:rsid w:val="00ED06FB"/>
    <w:rsid w:val="00ED0724"/>
    <w:rsid w:val="00ED0761"/>
    <w:rsid w:val="00ED079E"/>
    <w:rsid w:val="00ED07A2"/>
    <w:rsid w:val="00ED0805"/>
    <w:rsid w:val="00ED081A"/>
    <w:rsid w:val="00ED08B0"/>
    <w:rsid w:val="00ED09EE"/>
    <w:rsid w:val="00ED0AF0"/>
    <w:rsid w:val="00ED0B01"/>
    <w:rsid w:val="00ED0B33"/>
    <w:rsid w:val="00ED0C3D"/>
    <w:rsid w:val="00ED0CB6"/>
    <w:rsid w:val="00ED0E07"/>
    <w:rsid w:val="00ED0E60"/>
    <w:rsid w:val="00ED0E62"/>
    <w:rsid w:val="00ED0F5A"/>
    <w:rsid w:val="00ED0F5C"/>
    <w:rsid w:val="00ED0FBB"/>
    <w:rsid w:val="00ED0FBF"/>
    <w:rsid w:val="00ED114B"/>
    <w:rsid w:val="00ED11B3"/>
    <w:rsid w:val="00ED11C7"/>
    <w:rsid w:val="00ED11EC"/>
    <w:rsid w:val="00ED12CA"/>
    <w:rsid w:val="00ED12E1"/>
    <w:rsid w:val="00ED130A"/>
    <w:rsid w:val="00ED1352"/>
    <w:rsid w:val="00ED13B7"/>
    <w:rsid w:val="00ED13F9"/>
    <w:rsid w:val="00ED141D"/>
    <w:rsid w:val="00ED1432"/>
    <w:rsid w:val="00ED14B4"/>
    <w:rsid w:val="00ED14E6"/>
    <w:rsid w:val="00ED14F4"/>
    <w:rsid w:val="00ED163D"/>
    <w:rsid w:val="00ED16C6"/>
    <w:rsid w:val="00ED1721"/>
    <w:rsid w:val="00ED1755"/>
    <w:rsid w:val="00ED17BA"/>
    <w:rsid w:val="00ED1825"/>
    <w:rsid w:val="00ED18B2"/>
    <w:rsid w:val="00ED1946"/>
    <w:rsid w:val="00ED1950"/>
    <w:rsid w:val="00ED19AA"/>
    <w:rsid w:val="00ED19E7"/>
    <w:rsid w:val="00ED1A03"/>
    <w:rsid w:val="00ED1AB3"/>
    <w:rsid w:val="00ED1B62"/>
    <w:rsid w:val="00ED1B68"/>
    <w:rsid w:val="00ED1B7C"/>
    <w:rsid w:val="00ED1B9A"/>
    <w:rsid w:val="00ED1BCF"/>
    <w:rsid w:val="00ED1C39"/>
    <w:rsid w:val="00ED1CE4"/>
    <w:rsid w:val="00ED1E43"/>
    <w:rsid w:val="00ED1F7D"/>
    <w:rsid w:val="00ED1FB8"/>
    <w:rsid w:val="00ED1FE3"/>
    <w:rsid w:val="00ED201D"/>
    <w:rsid w:val="00ED2106"/>
    <w:rsid w:val="00ED2175"/>
    <w:rsid w:val="00ED21CF"/>
    <w:rsid w:val="00ED2237"/>
    <w:rsid w:val="00ED2246"/>
    <w:rsid w:val="00ED22CF"/>
    <w:rsid w:val="00ED2347"/>
    <w:rsid w:val="00ED2370"/>
    <w:rsid w:val="00ED2390"/>
    <w:rsid w:val="00ED23A6"/>
    <w:rsid w:val="00ED23F3"/>
    <w:rsid w:val="00ED2405"/>
    <w:rsid w:val="00ED2413"/>
    <w:rsid w:val="00ED2423"/>
    <w:rsid w:val="00ED2457"/>
    <w:rsid w:val="00ED2557"/>
    <w:rsid w:val="00ED25E3"/>
    <w:rsid w:val="00ED2800"/>
    <w:rsid w:val="00ED2863"/>
    <w:rsid w:val="00ED2871"/>
    <w:rsid w:val="00ED28A5"/>
    <w:rsid w:val="00ED2911"/>
    <w:rsid w:val="00ED2A37"/>
    <w:rsid w:val="00ED2B0C"/>
    <w:rsid w:val="00ED2B49"/>
    <w:rsid w:val="00ED2BCB"/>
    <w:rsid w:val="00ED2BFA"/>
    <w:rsid w:val="00ED2C18"/>
    <w:rsid w:val="00ED2C27"/>
    <w:rsid w:val="00ED2CB1"/>
    <w:rsid w:val="00ED2D1D"/>
    <w:rsid w:val="00ED2D28"/>
    <w:rsid w:val="00ED2DE1"/>
    <w:rsid w:val="00ED2E7A"/>
    <w:rsid w:val="00ED2E9D"/>
    <w:rsid w:val="00ED2EE3"/>
    <w:rsid w:val="00ED2F32"/>
    <w:rsid w:val="00ED2FDF"/>
    <w:rsid w:val="00ED314B"/>
    <w:rsid w:val="00ED31F5"/>
    <w:rsid w:val="00ED3273"/>
    <w:rsid w:val="00ED3276"/>
    <w:rsid w:val="00ED330D"/>
    <w:rsid w:val="00ED339F"/>
    <w:rsid w:val="00ED3406"/>
    <w:rsid w:val="00ED3583"/>
    <w:rsid w:val="00ED361D"/>
    <w:rsid w:val="00ED3625"/>
    <w:rsid w:val="00ED362D"/>
    <w:rsid w:val="00ED3673"/>
    <w:rsid w:val="00ED372E"/>
    <w:rsid w:val="00ED388E"/>
    <w:rsid w:val="00ED398C"/>
    <w:rsid w:val="00ED399B"/>
    <w:rsid w:val="00ED39CA"/>
    <w:rsid w:val="00ED39DF"/>
    <w:rsid w:val="00ED3A2E"/>
    <w:rsid w:val="00ED3AA0"/>
    <w:rsid w:val="00ED3AA9"/>
    <w:rsid w:val="00ED3AD8"/>
    <w:rsid w:val="00ED3B1D"/>
    <w:rsid w:val="00ED3B36"/>
    <w:rsid w:val="00ED3B44"/>
    <w:rsid w:val="00ED3B5D"/>
    <w:rsid w:val="00ED3B71"/>
    <w:rsid w:val="00ED3B73"/>
    <w:rsid w:val="00ED3B95"/>
    <w:rsid w:val="00ED3C22"/>
    <w:rsid w:val="00ED3CFC"/>
    <w:rsid w:val="00ED3D52"/>
    <w:rsid w:val="00ED3DD8"/>
    <w:rsid w:val="00ED3EF6"/>
    <w:rsid w:val="00ED3F07"/>
    <w:rsid w:val="00ED3F27"/>
    <w:rsid w:val="00ED407F"/>
    <w:rsid w:val="00ED409B"/>
    <w:rsid w:val="00ED40B5"/>
    <w:rsid w:val="00ED4119"/>
    <w:rsid w:val="00ED4159"/>
    <w:rsid w:val="00ED41CC"/>
    <w:rsid w:val="00ED4237"/>
    <w:rsid w:val="00ED42AF"/>
    <w:rsid w:val="00ED42B7"/>
    <w:rsid w:val="00ED4362"/>
    <w:rsid w:val="00ED43B2"/>
    <w:rsid w:val="00ED448B"/>
    <w:rsid w:val="00ED4516"/>
    <w:rsid w:val="00ED4555"/>
    <w:rsid w:val="00ED462D"/>
    <w:rsid w:val="00ED47BF"/>
    <w:rsid w:val="00ED4873"/>
    <w:rsid w:val="00ED48E0"/>
    <w:rsid w:val="00ED4A25"/>
    <w:rsid w:val="00ED4BCD"/>
    <w:rsid w:val="00ED4BD8"/>
    <w:rsid w:val="00ED4BE9"/>
    <w:rsid w:val="00ED4BFE"/>
    <w:rsid w:val="00ED4C63"/>
    <w:rsid w:val="00ED4CA5"/>
    <w:rsid w:val="00ED4D07"/>
    <w:rsid w:val="00ED4DD3"/>
    <w:rsid w:val="00ED4E12"/>
    <w:rsid w:val="00ED4F0A"/>
    <w:rsid w:val="00ED5028"/>
    <w:rsid w:val="00ED5072"/>
    <w:rsid w:val="00ED50AD"/>
    <w:rsid w:val="00ED50F6"/>
    <w:rsid w:val="00ED5191"/>
    <w:rsid w:val="00ED51C5"/>
    <w:rsid w:val="00ED51CA"/>
    <w:rsid w:val="00ED5293"/>
    <w:rsid w:val="00ED5298"/>
    <w:rsid w:val="00ED52E5"/>
    <w:rsid w:val="00ED52FA"/>
    <w:rsid w:val="00ED5308"/>
    <w:rsid w:val="00ED5318"/>
    <w:rsid w:val="00ED5369"/>
    <w:rsid w:val="00ED53A7"/>
    <w:rsid w:val="00ED53CD"/>
    <w:rsid w:val="00ED5407"/>
    <w:rsid w:val="00ED5437"/>
    <w:rsid w:val="00ED5444"/>
    <w:rsid w:val="00ED54FA"/>
    <w:rsid w:val="00ED552B"/>
    <w:rsid w:val="00ED5542"/>
    <w:rsid w:val="00ED55E1"/>
    <w:rsid w:val="00ED55E3"/>
    <w:rsid w:val="00ED5612"/>
    <w:rsid w:val="00ED574A"/>
    <w:rsid w:val="00ED575E"/>
    <w:rsid w:val="00ED5774"/>
    <w:rsid w:val="00ED5790"/>
    <w:rsid w:val="00ED5856"/>
    <w:rsid w:val="00ED58C7"/>
    <w:rsid w:val="00ED5959"/>
    <w:rsid w:val="00ED59FE"/>
    <w:rsid w:val="00ED5B0F"/>
    <w:rsid w:val="00ED5B44"/>
    <w:rsid w:val="00ED5B6D"/>
    <w:rsid w:val="00ED5C03"/>
    <w:rsid w:val="00ED5D9B"/>
    <w:rsid w:val="00ED5EF0"/>
    <w:rsid w:val="00ED5F25"/>
    <w:rsid w:val="00ED6038"/>
    <w:rsid w:val="00ED606C"/>
    <w:rsid w:val="00ED60AD"/>
    <w:rsid w:val="00ED6134"/>
    <w:rsid w:val="00ED6490"/>
    <w:rsid w:val="00ED653E"/>
    <w:rsid w:val="00ED65E0"/>
    <w:rsid w:val="00ED65E6"/>
    <w:rsid w:val="00ED672D"/>
    <w:rsid w:val="00ED67A8"/>
    <w:rsid w:val="00ED67DA"/>
    <w:rsid w:val="00ED67FA"/>
    <w:rsid w:val="00ED6853"/>
    <w:rsid w:val="00ED688F"/>
    <w:rsid w:val="00ED697D"/>
    <w:rsid w:val="00ED69C1"/>
    <w:rsid w:val="00ED69D7"/>
    <w:rsid w:val="00ED6A11"/>
    <w:rsid w:val="00ED6AFA"/>
    <w:rsid w:val="00ED6C26"/>
    <w:rsid w:val="00ED6C6E"/>
    <w:rsid w:val="00ED6C7F"/>
    <w:rsid w:val="00ED6C9D"/>
    <w:rsid w:val="00ED6D12"/>
    <w:rsid w:val="00ED6D2E"/>
    <w:rsid w:val="00ED6D8D"/>
    <w:rsid w:val="00ED6DA1"/>
    <w:rsid w:val="00ED6DAF"/>
    <w:rsid w:val="00ED6DDC"/>
    <w:rsid w:val="00ED6E88"/>
    <w:rsid w:val="00ED6EEF"/>
    <w:rsid w:val="00ED6EFE"/>
    <w:rsid w:val="00ED6F6D"/>
    <w:rsid w:val="00ED7066"/>
    <w:rsid w:val="00ED70F2"/>
    <w:rsid w:val="00ED7114"/>
    <w:rsid w:val="00ED712B"/>
    <w:rsid w:val="00ED71E7"/>
    <w:rsid w:val="00ED73A6"/>
    <w:rsid w:val="00ED73D9"/>
    <w:rsid w:val="00ED73DB"/>
    <w:rsid w:val="00ED7427"/>
    <w:rsid w:val="00ED7525"/>
    <w:rsid w:val="00ED7700"/>
    <w:rsid w:val="00ED7743"/>
    <w:rsid w:val="00ED774B"/>
    <w:rsid w:val="00ED7783"/>
    <w:rsid w:val="00ED77E1"/>
    <w:rsid w:val="00ED77E2"/>
    <w:rsid w:val="00ED7847"/>
    <w:rsid w:val="00ED7913"/>
    <w:rsid w:val="00ED79A7"/>
    <w:rsid w:val="00ED79B3"/>
    <w:rsid w:val="00ED7A4D"/>
    <w:rsid w:val="00ED7A78"/>
    <w:rsid w:val="00ED7ADD"/>
    <w:rsid w:val="00ED7AE6"/>
    <w:rsid w:val="00ED7B54"/>
    <w:rsid w:val="00ED7CCC"/>
    <w:rsid w:val="00ED7CDF"/>
    <w:rsid w:val="00ED7CE2"/>
    <w:rsid w:val="00ED7D15"/>
    <w:rsid w:val="00ED7DB4"/>
    <w:rsid w:val="00ED7EF0"/>
    <w:rsid w:val="00ED7F03"/>
    <w:rsid w:val="00ED7F33"/>
    <w:rsid w:val="00EE0050"/>
    <w:rsid w:val="00EE006F"/>
    <w:rsid w:val="00EE0080"/>
    <w:rsid w:val="00EE017B"/>
    <w:rsid w:val="00EE01C0"/>
    <w:rsid w:val="00EE01D2"/>
    <w:rsid w:val="00EE01DE"/>
    <w:rsid w:val="00EE0223"/>
    <w:rsid w:val="00EE023A"/>
    <w:rsid w:val="00EE026A"/>
    <w:rsid w:val="00EE02A6"/>
    <w:rsid w:val="00EE02A8"/>
    <w:rsid w:val="00EE02EB"/>
    <w:rsid w:val="00EE0300"/>
    <w:rsid w:val="00EE0325"/>
    <w:rsid w:val="00EE0375"/>
    <w:rsid w:val="00EE039D"/>
    <w:rsid w:val="00EE0400"/>
    <w:rsid w:val="00EE0465"/>
    <w:rsid w:val="00EE04A0"/>
    <w:rsid w:val="00EE0515"/>
    <w:rsid w:val="00EE05A7"/>
    <w:rsid w:val="00EE05D5"/>
    <w:rsid w:val="00EE065C"/>
    <w:rsid w:val="00EE0717"/>
    <w:rsid w:val="00EE07BC"/>
    <w:rsid w:val="00EE0804"/>
    <w:rsid w:val="00EE090C"/>
    <w:rsid w:val="00EE0938"/>
    <w:rsid w:val="00EE0A06"/>
    <w:rsid w:val="00EE0BD6"/>
    <w:rsid w:val="00EE0C17"/>
    <w:rsid w:val="00EE0C28"/>
    <w:rsid w:val="00EE0C96"/>
    <w:rsid w:val="00EE0D65"/>
    <w:rsid w:val="00EE0DE7"/>
    <w:rsid w:val="00EE0DF4"/>
    <w:rsid w:val="00EE0E63"/>
    <w:rsid w:val="00EE0E89"/>
    <w:rsid w:val="00EE0ED8"/>
    <w:rsid w:val="00EE0F08"/>
    <w:rsid w:val="00EE0F5E"/>
    <w:rsid w:val="00EE0F88"/>
    <w:rsid w:val="00EE0FE4"/>
    <w:rsid w:val="00EE0FF0"/>
    <w:rsid w:val="00EE104B"/>
    <w:rsid w:val="00EE1076"/>
    <w:rsid w:val="00EE10A0"/>
    <w:rsid w:val="00EE1119"/>
    <w:rsid w:val="00EE117E"/>
    <w:rsid w:val="00EE11E6"/>
    <w:rsid w:val="00EE1203"/>
    <w:rsid w:val="00EE1216"/>
    <w:rsid w:val="00EE129D"/>
    <w:rsid w:val="00EE12B8"/>
    <w:rsid w:val="00EE141A"/>
    <w:rsid w:val="00EE1475"/>
    <w:rsid w:val="00EE1505"/>
    <w:rsid w:val="00EE15A5"/>
    <w:rsid w:val="00EE161D"/>
    <w:rsid w:val="00EE1630"/>
    <w:rsid w:val="00EE1655"/>
    <w:rsid w:val="00EE172C"/>
    <w:rsid w:val="00EE17BA"/>
    <w:rsid w:val="00EE17C7"/>
    <w:rsid w:val="00EE183A"/>
    <w:rsid w:val="00EE18EF"/>
    <w:rsid w:val="00EE194F"/>
    <w:rsid w:val="00EE1956"/>
    <w:rsid w:val="00EE1AF2"/>
    <w:rsid w:val="00EE1B5E"/>
    <w:rsid w:val="00EE1C15"/>
    <w:rsid w:val="00EE1CB4"/>
    <w:rsid w:val="00EE1CE6"/>
    <w:rsid w:val="00EE1D3D"/>
    <w:rsid w:val="00EE1D89"/>
    <w:rsid w:val="00EE1DB7"/>
    <w:rsid w:val="00EE1DC9"/>
    <w:rsid w:val="00EE1E40"/>
    <w:rsid w:val="00EE1E53"/>
    <w:rsid w:val="00EE1E56"/>
    <w:rsid w:val="00EE1EC2"/>
    <w:rsid w:val="00EE1EDD"/>
    <w:rsid w:val="00EE1EF8"/>
    <w:rsid w:val="00EE1F3D"/>
    <w:rsid w:val="00EE1FC1"/>
    <w:rsid w:val="00EE2021"/>
    <w:rsid w:val="00EE208A"/>
    <w:rsid w:val="00EE2150"/>
    <w:rsid w:val="00EE21A3"/>
    <w:rsid w:val="00EE21C0"/>
    <w:rsid w:val="00EE225F"/>
    <w:rsid w:val="00EE227D"/>
    <w:rsid w:val="00EE2294"/>
    <w:rsid w:val="00EE2308"/>
    <w:rsid w:val="00EE23CE"/>
    <w:rsid w:val="00EE23FA"/>
    <w:rsid w:val="00EE2497"/>
    <w:rsid w:val="00EE24B3"/>
    <w:rsid w:val="00EE24CD"/>
    <w:rsid w:val="00EE24DC"/>
    <w:rsid w:val="00EE2501"/>
    <w:rsid w:val="00EE2526"/>
    <w:rsid w:val="00EE2536"/>
    <w:rsid w:val="00EE2551"/>
    <w:rsid w:val="00EE25AE"/>
    <w:rsid w:val="00EE26D5"/>
    <w:rsid w:val="00EE2767"/>
    <w:rsid w:val="00EE2785"/>
    <w:rsid w:val="00EE27A8"/>
    <w:rsid w:val="00EE292D"/>
    <w:rsid w:val="00EE2972"/>
    <w:rsid w:val="00EE29C5"/>
    <w:rsid w:val="00EE29D6"/>
    <w:rsid w:val="00EE2A9D"/>
    <w:rsid w:val="00EE2AB3"/>
    <w:rsid w:val="00EE2B6E"/>
    <w:rsid w:val="00EE2C34"/>
    <w:rsid w:val="00EE2DED"/>
    <w:rsid w:val="00EE2DF6"/>
    <w:rsid w:val="00EE2F21"/>
    <w:rsid w:val="00EE2F5B"/>
    <w:rsid w:val="00EE3074"/>
    <w:rsid w:val="00EE30D1"/>
    <w:rsid w:val="00EE313E"/>
    <w:rsid w:val="00EE31ED"/>
    <w:rsid w:val="00EE3213"/>
    <w:rsid w:val="00EE32B0"/>
    <w:rsid w:val="00EE3338"/>
    <w:rsid w:val="00EE337D"/>
    <w:rsid w:val="00EE33A5"/>
    <w:rsid w:val="00EE33E6"/>
    <w:rsid w:val="00EE33FC"/>
    <w:rsid w:val="00EE3400"/>
    <w:rsid w:val="00EE345E"/>
    <w:rsid w:val="00EE34FE"/>
    <w:rsid w:val="00EE352F"/>
    <w:rsid w:val="00EE35B7"/>
    <w:rsid w:val="00EE3617"/>
    <w:rsid w:val="00EE3649"/>
    <w:rsid w:val="00EE3683"/>
    <w:rsid w:val="00EE368A"/>
    <w:rsid w:val="00EE36C0"/>
    <w:rsid w:val="00EE36FE"/>
    <w:rsid w:val="00EE370F"/>
    <w:rsid w:val="00EE371D"/>
    <w:rsid w:val="00EE3722"/>
    <w:rsid w:val="00EE38DC"/>
    <w:rsid w:val="00EE38F6"/>
    <w:rsid w:val="00EE39B3"/>
    <w:rsid w:val="00EE39FA"/>
    <w:rsid w:val="00EE3A32"/>
    <w:rsid w:val="00EE3A73"/>
    <w:rsid w:val="00EE3B10"/>
    <w:rsid w:val="00EE3B39"/>
    <w:rsid w:val="00EE3B4E"/>
    <w:rsid w:val="00EE3B5B"/>
    <w:rsid w:val="00EE3C01"/>
    <w:rsid w:val="00EE3CC1"/>
    <w:rsid w:val="00EE3CE6"/>
    <w:rsid w:val="00EE3D0D"/>
    <w:rsid w:val="00EE3D7F"/>
    <w:rsid w:val="00EE3D98"/>
    <w:rsid w:val="00EE3DB4"/>
    <w:rsid w:val="00EE3F72"/>
    <w:rsid w:val="00EE3F91"/>
    <w:rsid w:val="00EE3FD6"/>
    <w:rsid w:val="00EE40A4"/>
    <w:rsid w:val="00EE40C8"/>
    <w:rsid w:val="00EE40DF"/>
    <w:rsid w:val="00EE40FC"/>
    <w:rsid w:val="00EE418E"/>
    <w:rsid w:val="00EE4269"/>
    <w:rsid w:val="00EE42BB"/>
    <w:rsid w:val="00EE42DD"/>
    <w:rsid w:val="00EE433B"/>
    <w:rsid w:val="00EE4436"/>
    <w:rsid w:val="00EE4438"/>
    <w:rsid w:val="00EE446F"/>
    <w:rsid w:val="00EE447D"/>
    <w:rsid w:val="00EE44B4"/>
    <w:rsid w:val="00EE44BD"/>
    <w:rsid w:val="00EE44CB"/>
    <w:rsid w:val="00EE464A"/>
    <w:rsid w:val="00EE4652"/>
    <w:rsid w:val="00EE468B"/>
    <w:rsid w:val="00EE46CC"/>
    <w:rsid w:val="00EE47B3"/>
    <w:rsid w:val="00EE47C3"/>
    <w:rsid w:val="00EE484D"/>
    <w:rsid w:val="00EE4880"/>
    <w:rsid w:val="00EE4923"/>
    <w:rsid w:val="00EE492B"/>
    <w:rsid w:val="00EE495E"/>
    <w:rsid w:val="00EE49CD"/>
    <w:rsid w:val="00EE4A68"/>
    <w:rsid w:val="00EE4AA8"/>
    <w:rsid w:val="00EE4AF3"/>
    <w:rsid w:val="00EE4B2B"/>
    <w:rsid w:val="00EE4B65"/>
    <w:rsid w:val="00EE4BC7"/>
    <w:rsid w:val="00EE4BE1"/>
    <w:rsid w:val="00EE4C50"/>
    <w:rsid w:val="00EE4C86"/>
    <w:rsid w:val="00EE4D10"/>
    <w:rsid w:val="00EE4E7A"/>
    <w:rsid w:val="00EE4E80"/>
    <w:rsid w:val="00EE4F1D"/>
    <w:rsid w:val="00EE4F6A"/>
    <w:rsid w:val="00EE4F94"/>
    <w:rsid w:val="00EE5054"/>
    <w:rsid w:val="00EE508D"/>
    <w:rsid w:val="00EE50C1"/>
    <w:rsid w:val="00EE50D2"/>
    <w:rsid w:val="00EE517C"/>
    <w:rsid w:val="00EE5257"/>
    <w:rsid w:val="00EE529C"/>
    <w:rsid w:val="00EE52D7"/>
    <w:rsid w:val="00EE533E"/>
    <w:rsid w:val="00EE53CA"/>
    <w:rsid w:val="00EE5435"/>
    <w:rsid w:val="00EE5530"/>
    <w:rsid w:val="00EE5531"/>
    <w:rsid w:val="00EE55DF"/>
    <w:rsid w:val="00EE568F"/>
    <w:rsid w:val="00EE574B"/>
    <w:rsid w:val="00EE57A4"/>
    <w:rsid w:val="00EE5832"/>
    <w:rsid w:val="00EE588F"/>
    <w:rsid w:val="00EE58B6"/>
    <w:rsid w:val="00EE59C9"/>
    <w:rsid w:val="00EE5AD4"/>
    <w:rsid w:val="00EE5AEE"/>
    <w:rsid w:val="00EE5B5D"/>
    <w:rsid w:val="00EE5B75"/>
    <w:rsid w:val="00EE5C4A"/>
    <w:rsid w:val="00EE5C63"/>
    <w:rsid w:val="00EE5D06"/>
    <w:rsid w:val="00EE5D0C"/>
    <w:rsid w:val="00EE5D6C"/>
    <w:rsid w:val="00EE5D88"/>
    <w:rsid w:val="00EE5DAC"/>
    <w:rsid w:val="00EE5DB3"/>
    <w:rsid w:val="00EE5DB7"/>
    <w:rsid w:val="00EE5DFB"/>
    <w:rsid w:val="00EE5E57"/>
    <w:rsid w:val="00EE5F11"/>
    <w:rsid w:val="00EE5F34"/>
    <w:rsid w:val="00EE5F87"/>
    <w:rsid w:val="00EE5FEE"/>
    <w:rsid w:val="00EE6008"/>
    <w:rsid w:val="00EE6066"/>
    <w:rsid w:val="00EE610B"/>
    <w:rsid w:val="00EE611E"/>
    <w:rsid w:val="00EE612B"/>
    <w:rsid w:val="00EE61D8"/>
    <w:rsid w:val="00EE61E1"/>
    <w:rsid w:val="00EE627B"/>
    <w:rsid w:val="00EE628A"/>
    <w:rsid w:val="00EE62D8"/>
    <w:rsid w:val="00EE6316"/>
    <w:rsid w:val="00EE6324"/>
    <w:rsid w:val="00EE643A"/>
    <w:rsid w:val="00EE6451"/>
    <w:rsid w:val="00EE6471"/>
    <w:rsid w:val="00EE64EC"/>
    <w:rsid w:val="00EE6513"/>
    <w:rsid w:val="00EE65D1"/>
    <w:rsid w:val="00EE65EA"/>
    <w:rsid w:val="00EE6629"/>
    <w:rsid w:val="00EE6735"/>
    <w:rsid w:val="00EE678F"/>
    <w:rsid w:val="00EE67B4"/>
    <w:rsid w:val="00EE684B"/>
    <w:rsid w:val="00EE6859"/>
    <w:rsid w:val="00EE6864"/>
    <w:rsid w:val="00EE692D"/>
    <w:rsid w:val="00EE69BF"/>
    <w:rsid w:val="00EE69E6"/>
    <w:rsid w:val="00EE69FA"/>
    <w:rsid w:val="00EE6A5B"/>
    <w:rsid w:val="00EE6ADE"/>
    <w:rsid w:val="00EE6B31"/>
    <w:rsid w:val="00EE6B7D"/>
    <w:rsid w:val="00EE6B8E"/>
    <w:rsid w:val="00EE6BA6"/>
    <w:rsid w:val="00EE6C62"/>
    <w:rsid w:val="00EE6C8C"/>
    <w:rsid w:val="00EE6C9B"/>
    <w:rsid w:val="00EE6D7D"/>
    <w:rsid w:val="00EE6DE5"/>
    <w:rsid w:val="00EE6E4A"/>
    <w:rsid w:val="00EE6EA3"/>
    <w:rsid w:val="00EE6EEF"/>
    <w:rsid w:val="00EE6F25"/>
    <w:rsid w:val="00EE7082"/>
    <w:rsid w:val="00EE70D1"/>
    <w:rsid w:val="00EE7120"/>
    <w:rsid w:val="00EE7239"/>
    <w:rsid w:val="00EE723D"/>
    <w:rsid w:val="00EE730B"/>
    <w:rsid w:val="00EE7311"/>
    <w:rsid w:val="00EE742E"/>
    <w:rsid w:val="00EE7434"/>
    <w:rsid w:val="00EE743B"/>
    <w:rsid w:val="00EE744D"/>
    <w:rsid w:val="00EE745D"/>
    <w:rsid w:val="00EE758D"/>
    <w:rsid w:val="00EE75CC"/>
    <w:rsid w:val="00EE7675"/>
    <w:rsid w:val="00EE76B5"/>
    <w:rsid w:val="00EE7778"/>
    <w:rsid w:val="00EE77C5"/>
    <w:rsid w:val="00EE7825"/>
    <w:rsid w:val="00EE78C6"/>
    <w:rsid w:val="00EE78F1"/>
    <w:rsid w:val="00EE7938"/>
    <w:rsid w:val="00EE7943"/>
    <w:rsid w:val="00EE7983"/>
    <w:rsid w:val="00EE799F"/>
    <w:rsid w:val="00EE79A3"/>
    <w:rsid w:val="00EE7A5E"/>
    <w:rsid w:val="00EE7AFE"/>
    <w:rsid w:val="00EE7B21"/>
    <w:rsid w:val="00EE7B23"/>
    <w:rsid w:val="00EE7BB8"/>
    <w:rsid w:val="00EE7BDC"/>
    <w:rsid w:val="00EE7C12"/>
    <w:rsid w:val="00EE7CA8"/>
    <w:rsid w:val="00EE7D91"/>
    <w:rsid w:val="00EE7DF9"/>
    <w:rsid w:val="00EE7F63"/>
    <w:rsid w:val="00EF0069"/>
    <w:rsid w:val="00EF00A7"/>
    <w:rsid w:val="00EF00DF"/>
    <w:rsid w:val="00EF0107"/>
    <w:rsid w:val="00EF017C"/>
    <w:rsid w:val="00EF01BF"/>
    <w:rsid w:val="00EF0229"/>
    <w:rsid w:val="00EF025E"/>
    <w:rsid w:val="00EF0275"/>
    <w:rsid w:val="00EF04AF"/>
    <w:rsid w:val="00EF04C2"/>
    <w:rsid w:val="00EF0503"/>
    <w:rsid w:val="00EF052B"/>
    <w:rsid w:val="00EF052F"/>
    <w:rsid w:val="00EF0567"/>
    <w:rsid w:val="00EF05F1"/>
    <w:rsid w:val="00EF0627"/>
    <w:rsid w:val="00EF06BA"/>
    <w:rsid w:val="00EF06F8"/>
    <w:rsid w:val="00EF070E"/>
    <w:rsid w:val="00EF087D"/>
    <w:rsid w:val="00EF0936"/>
    <w:rsid w:val="00EF0939"/>
    <w:rsid w:val="00EF099B"/>
    <w:rsid w:val="00EF0A8E"/>
    <w:rsid w:val="00EF0AA5"/>
    <w:rsid w:val="00EF0B0C"/>
    <w:rsid w:val="00EF0B4C"/>
    <w:rsid w:val="00EF0B83"/>
    <w:rsid w:val="00EF0B85"/>
    <w:rsid w:val="00EF0B86"/>
    <w:rsid w:val="00EF0C6B"/>
    <w:rsid w:val="00EF0CA1"/>
    <w:rsid w:val="00EF0CD4"/>
    <w:rsid w:val="00EF0CF6"/>
    <w:rsid w:val="00EF0E01"/>
    <w:rsid w:val="00EF0EFF"/>
    <w:rsid w:val="00EF0F02"/>
    <w:rsid w:val="00EF0F71"/>
    <w:rsid w:val="00EF0FFB"/>
    <w:rsid w:val="00EF114E"/>
    <w:rsid w:val="00EF11A1"/>
    <w:rsid w:val="00EF11E0"/>
    <w:rsid w:val="00EF1201"/>
    <w:rsid w:val="00EF1369"/>
    <w:rsid w:val="00EF1390"/>
    <w:rsid w:val="00EF13A9"/>
    <w:rsid w:val="00EF13E8"/>
    <w:rsid w:val="00EF1464"/>
    <w:rsid w:val="00EF147F"/>
    <w:rsid w:val="00EF14BC"/>
    <w:rsid w:val="00EF14D3"/>
    <w:rsid w:val="00EF154F"/>
    <w:rsid w:val="00EF15D6"/>
    <w:rsid w:val="00EF1672"/>
    <w:rsid w:val="00EF167A"/>
    <w:rsid w:val="00EF16B6"/>
    <w:rsid w:val="00EF16F7"/>
    <w:rsid w:val="00EF179C"/>
    <w:rsid w:val="00EF17C0"/>
    <w:rsid w:val="00EF180B"/>
    <w:rsid w:val="00EF1895"/>
    <w:rsid w:val="00EF18D9"/>
    <w:rsid w:val="00EF18F1"/>
    <w:rsid w:val="00EF19C0"/>
    <w:rsid w:val="00EF19C7"/>
    <w:rsid w:val="00EF1AA8"/>
    <w:rsid w:val="00EF1AC0"/>
    <w:rsid w:val="00EF1AC8"/>
    <w:rsid w:val="00EF1B08"/>
    <w:rsid w:val="00EF1B55"/>
    <w:rsid w:val="00EF1B82"/>
    <w:rsid w:val="00EF1BB5"/>
    <w:rsid w:val="00EF1BC9"/>
    <w:rsid w:val="00EF1BDE"/>
    <w:rsid w:val="00EF1D51"/>
    <w:rsid w:val="00EF1DE7"/>
    <w:rsid w:val="00EF1E51"/>
    <w:rsid w:val="00EF1E54"/>
    <w:rsid w:val="00EF1E72"/>
    <w:rsid w:val="00EF1F48"/>
    <w:rsid w:val="00EF1FA2"/>
    <w:rsid w:val="00EF2047"/>
    <w:rsid w:val="00EF20EC"/>
    <w:rsid w:val="00EF214D"/>
    <w:rsid w:val="00EF216A"/>
    <w:rsid w:val="00EF2256"/>
    <w:rsid w:val="00EF22B5"/>
    <w:rsid w:val="00EF22C5"/>
    <w:rsid w:val="00EF22C6"/>
    <w:rsid w:val="00EF2304"/>
    <w:rsid w:val="00EF2366"/>
    <w:rsid w:val="00EF23D7"/>
    <w:rsid w:val="00EF2452"/>
    <w:rsid w:val="00EF246F"/>
    <w:rsid w:val="00EF24A1"/>
    <w:rsid w:val="00EF24E2"/>
    <w:rsid w:val="00EF250C"/>
    <w:rsid w:val="00EF2516"/>
    <w:rsid w:val="00EF2533"/>
    <w:rsid w:val="00EF2587"/>
    <w:rsid w:val="00EF261A"/>
    <w:rsid w:val="00EF2681"/>
    <w:rsid w:val="00EF269D"/>
    <w:rsid w:val="00EF26D7"/>
    <w:rsid w:val="00EF2773"/>
    <w:rsid w:val="00EF2797"/>
    <w:rsid w:val="00EF279D"/>
    <w:rsid w:val="00EF27A1"/>
    <w:rsid w:val="00EF2810"/>
    <w:rsid w:val="00EF28C5"/>
    <w:rsid w:val="00EF28CE"/>
    <w:rsid w:val="00EF2914"/>
    <w:rsid w:val="00EF2932"/>
    <w:rsid w:val="00EF2A3E"/>
    <w:rsid w:val="00EF2A42"/>
    <w:rsid w:val="00EF2AF4"/>
    <w:rsid w:val="00EF2B3C"/>
    <w:rsid w:val="00EF2B7B"/>
    <w:rsid w:val="00EF2BBE"/>
    <w:rsid w:val="00EF2C06"/>
    <w:rsid w:val="00EF2C0C"/>
    <w:rsid w:val="00EF2C27"/>
    <w:rsid w:val="00EF2C3F"/>
    <w:rsid w:val="00EF2C70"/>
    <w:rsid w:val="00EF2C77"/>
    <w:rsid w:val="00EF2CC4"/>
    <w:rsid w:val="00EF2CDF"/>
    <w:rsid w:val="00EF2DAD"/>
    <w:rsid w:val="00EF2E23"/>
    <w:rsid w:val="00EF2E4A"/>
    <w:rsid w:val="00EF2EA5"/>
    <w:rsid w:val="00EF2ED3"/>
    <w:rsid w:val="00EF2F3B"/>
    <w:rsid w:val="00EF2F69"/>
    <w:rsid w:val="00EF2FCB"/>
    <w:rsid w:val="00EF3026"/>
    <w:rsid w:val="00EF3041"/>
    <w:rsid w:val="00EF304E"/>
    <w:rsid w:val="00EF308D"/>
    <w:rsid w:val="00EF30A4"/>
    <w:rsid w:val="00EF30D9"/>
    <w:rsid w:val="00EF315B"/>
    <w:rsid w:val="00EF317C"/>
    <w:rsid w:val="00EF32BB"/>
    <w:rsid w:val="00EF32BD"/>
    <w:rsid w:val="00EF33A5"/>
    <w:rsid w:val="00EF33D5"/>
    <w:rsid w:val="00EF33F9"/>
    <w:rsid w:val="00EF340C"/>
    <w:rsid w:val="00EF342B"/>
    <w:rsid w:val="00EF348B"/>
    <w:rsid w:val="00EF350A"/>
    <w:rsid w:val="00EF35AB"/>
    <w:rsid w:val="00EF35C7"/>
    <w:rsid w:val="00EF35FD"/>
    <w:rsid w:val="00EF3628"/>
    <w:rsid w:val="00EF365C"/>
    <w:rsid w:val="00EF370E"/>
    <w:rsid w:val="00EF3719"/>
    <w:rsid w:val="00EF373E"/>
    <w:rsid w:val="00EF376B"/>
    <w:rsid w:val="00EF384F"/>
    <w:rsid w:val="00EF3891"/>
    <w:rsid w:val="00EF390F"/>
    <w:rsid w:val="00EF3A0C"/>
    <w:rsid w:val="00EF3A59"/>
    <w:rsid w:val="00EF3A9A"/>
    <w:rsid w:val="00EF3AAB"/>
    <w:rsid w:val="00EF3B13"/>
    <w:rsid w:val="00EF3B51"/>
    <w:rsid w:val="00EF3B96"/>
    <w:rsid w:val="00EF3BEF"/>
    <w:rsid w:val="00EF3C1B"/>
    <w:rsid w:val="00EF3C3E"/>
    <w:rsid w:val="00EF3C43"/>
    <w:rsid w:val="00EF3CD3"/>
    <w:rsid w:val="00EF3CF5"/>
    <w:rsid w:val="00EF3D6B"/>
    <w:rsid w:val="00EF3E00"/>
    <w:rsid w:val="00EF3E6B"/>
    <w:rsid w:val="00EF3EFD"/>
    <w:rsid w:val="00EF3F0B"/>
    <w:rsid w:val="00EF3F53"/>
    <w:rsid w:val="00EF3F88"/>
    <w:rsid w:val="00EF3FAB"/>
    <w:rsid w:val="00EF4023"/>
    <w:rsid w:val="00EF40B0"/>
    <w:rsid w:val="00EF40B2"/>
    <w:rsid w:val="00EF4147"/>
    <w:rsid w:val="00EF4169"/>
    <w:rsid w:val="00EF41B1"/>
    <w:rsid w:val="00EF422C"/>
    <w:rsid w:val="00EF4266"/>
    <w:rsid w:val="00EF42C7"/>
    <w:rsid w:val="00EF42DD"/>
    <w:rsid w:val="00EF4330"/>
    <w:rsid w:val="00EF4361"/>
    <w:rsid w:val="00EF439E"/>
    <w:rsid w:val="00EF43C7"/>
    <w:rsid w:val="00EF43D4"/>
    <w:rsid w:val="00EF445B"/>
    <w:rsid w:val="00EF44A5"/>
    <w:rsid w:val="00EF44D9"/>
    <w:rsid w:val="00EF4508"/>
    <w:rsid w:val="00EF454C"/>
    <w:rsid w:val="00EF45AE"/>
    <w:rsid w:val="00EF4729"/>
    <w:rsid w:val="00EF4780"/>
    <w:rsid w:val="00EF48E2"/>
    <w:rsid w:val="00EF48F5"/>
    <w:rsid w:val="00EF492B"/>
    <w:rsid w:val="00EF4957"/>
    <w:rsid w:val="00EF4965"/>
    <w:rsid w:val="00EF497B"/>
    <w:rsid w:val="00EF498F"/>
    <w:rsid w:val="00EF4A35"/>
    <w:rsid w:val="00EF4A99"/>
    <w:rsid w:val="00EF4B46"/>
    <w:rsid w:val="00EF4B63"/>
    <w:rsid w:val="00EF4C58"/>
    <w:rsid w:val="00EF4C82"/>
    <w:rsid w:val="00EF4D41"/>
    <w:rsid w:val="00EF4DEB"/>
    <w:rsid w:val="00EF4E34"/>
    <w:rsid w:val="00EF4E3E"/>
    <w:rsid w:val="00EF4E4B"/>
    <w:rsid w:val="00EF4E91"/>
    <w:rsid w:val="00EF4F28"/>
    <w:rsid w:val="00EF5029"/>
    <w:rsid w:val="00EF5060"/>
    <w:rsid w:val="00EF50EE"/>
    <w:rsid w:val="00EF50EF"/>
    <w:rsid w:val="00EF515F"/>
    <w:rsid w:val="00EF518E"/>
    <w:rsid w:val="00EF5210"/>
    <w:rsid w:val="00EF53DE"/>
    <w:rsid w:val="00EF542D"/>
    <w:rsid w:val="00EF5436"/>
    <w:rsid w:val="00EF550C"/>
    <w:rsid w:val="00EF553D"/>
    <w:rsid w:val="00EF5615"/>
    <w:rsid w:val="00EF568D"/>
    <w:rsid w:val="00EF56D1"/>
    <w:rsid w:val="00EF57AF"/>
    <w:rsid w:val="00EF57EF"/>
    <w:rsid w:val="00EF588A"/>
    <w:rsid w:val="00EF5959"/>
    <w:rsid w:val="00EF5995"/>
    <w:rsid w:val="00EF5A1D"/>
    <w:rsid w:val="00EF5A25"/>
    <w:rsid w:val="00EF5A8E"/>
    <w:rsid w:val="00EF5AA6"/>
    <w:rsid w:val="00EF5AFC"/>
    <w:rsid w:val="00EF5BB4"/>
    <w:rsid w:val="00EF5BCB"/>
    <w:rsid w:val="00EF5BD3"/>
    <w:rsid w:val="00EF5C0A"/>
    <w:rsid w:val="00EF5C1C"/>
    <w:rsid w:val="00EF5C2F"/>
    <w:rsid w:val="00EF5C34"/>
    <w:rsid w:val="00EF5C4E"/>
    <w:rsid w:val="00EF5DC6"/>
    <w:rsid w:val="00EF5DDE"/>
    <w:rsid w:val="00EF5DEA"/>
    <w:rsid w:val="00EF5DFA"/>
    <w:rsid w:val="00EF5E1D"/>
    <w:rsid w:val="00EF5F24"/>
    <w:rsid w:val="00EF5F6E"/>
    <w:rsid w:val="00EF5F98"/>
    <w:rsid w:val="00EF5FA6"/>
    <w:rsid w:val="00EF5FCE"/>
    <w:rsid w:val="00EF6029"/>
    <w:rsid w:val="00EF607C"/>
    <w:rsid w:val="00EF6197"/>
    <w:rsid w:val="00EF61D8"/>
    <w:rsid w:val="00EF61E9"/>
    <w:rsid w:val="00EF6251"/>
    <w:rsid w:val="00EF63DF"/>
    <w:rsid w:val="00EF63E0"/>
    <w:rsid w:val="00EF642D"/>
    <w:rsid w:val="00EF644F"/>
    <w:rsid w:val="00EF64D8"/>
    <w:rsid w:val="00EF6519"/>
    <w:rsid w:val="00EF65A6"/>
    <w:rsid w:val="00EF65BC"/>
    <w:rsid w:val="00EF668C"/>
    <w:rsid w:val="00EF66DE"/>
    <w:rsid w:val="00EF67AA"/>
    <w:rsid w:val="00EF67EB"/>
    <w:rsid w:val="00EF6850"/>
    <w:rsid w:val="00EF68C7"/>
    <w:rsid w:val="00EF6943"/>
    <w:rsid w:val="00EF69BE"/>
    <w:rsid w:val="00EF6A5D"/>
    <w:rsid w:val="00EF6ABE"/>
    <w:rsid w:val="00EF6AD0"/>
    <w:rsid w:val="00EF6BA3"/>
    <w:rsid w:val="00EF6BB2"/>
    <w:rsid w:val="00EF6BC5"/>
    <w:rsid w:val="00EF6BFE"/>
    <w:rsid w:val="00EF6C28"/>
    <w:rsid w:val="00EF6C8A"/>
    <w:rsid w:val="00EF6CC6"/>
    <w:rsid w:val="00EF6CF7"/>
    <w:rsid w:val="00EF6CF8"/>
    <w:rsid w:val="00EF6DDC"/>
    <w:rsid w:val="00EF6E30"/>
    <w:rsid w:val="00EF6F50"/>
    <w:rsid w:val="00EF6FC7"/>
    <w:rsid w:val="00EF6FD9"/>
    <w:rsid w:val="00EF7015"/>
    <w:rsid w:val="00EF706F"/>
    <w:rsid w:val="00EF7087"/>
    <w:rsid w:val="00EF70B7"/>
    <w:rsid w:val="00EF7115"/>
    <w:rsid w:val="00EF71BF"/>
    <w:rsid w:val="00EF71CE"/>
    <w:rsid w:val="00EF71DD"/>
    <w:rsid w:val="00EF727D"/>
    <w:rsid w:val="00EF72F8"/>
    <w:rsid w:val="00EF7312"/>
    <w:rsid w:val="00EF7324"/>
    <w:rsid w:val="00EF732F"/>
    <w:rsid w:val="00EF735A"/>
    <w:rsid w:val="00EF73E8"/>
    <w:rsid w:val="00EF7419"/>
    <w:rsid w:val="00EF745B"/>
    <w:rsid w:val="00EF7460"/>
    <w:rsid w:val="00EF7465"/>
    <w:rsid w:val="00EF74D6"/>
    <w:rsid w:val="00EF7543"/>
    <w:rsid w:val="00EF756B"/>
    <w:rsid w:val="00EF75C3"/>
    <w:rsid w:val="00EF762F"/>
    <w:rsid w:val="00EF7666"/>
    <w:rsid w:val="00EF76BB"/>
    <w:rsid w:val="00EF7727"/>
    <w:rsid w:val="00EF77BD"/>
    <w:rsid w:val="00EF77C0"/>
    <w:rsid w:val="00EF78D2"/>
    <w:rsid w:val="00EF7900"/>
    <w:rsid w:val="00EF7919"/>
    <w:rsid w:val="00EF794A"/>
    <w:rsid w:val="00EF799F"/>
    <w:rsid w:val="00EF79B8"/>
    <w:rsid w:val="00EF79D6"/>
    <w:rsid w:val="00EF7A08"/>
    <w:rsid w:val="00EF7A2E"/>
    <w:rsid w:val="00EF7C21"/>
    <w:rsid w:val="00EF7C2B"/>
    <w:rsid w:val="00EF7C41"/>
    <w:rsid w:val="00EF7C83"/>
    <w:rsid w:val="00EF7CDE"/>
    <w:rsid w:val="00EF7D03"/>
    <w:rsid w:val="00EF7D05"/>
    <w:rsid w:val="00EF7E92"/>
    <w:rsid w:val="00F00060"/>
    <w:rsid w:val="00F000BA"/>
    <w:rsid w:val="00F000E7"/>
    <w:rsid w:val="00F00181"/>
    <w:rsid w:val="00F001B9"/>
    <w:rsid w:val="00F00241"/>
    <w:rsid w:val="00F0027A"/>
    <w:rsid w:val="00F0027D"/>
    <w:rsid w:val="00F00357"/>
    <w:rsid w:val="00F0044B"/>
    <w:rsid w:val="00F00461"/>
    <w:rsid w:val="00F00511"/>
    <w:rsid w:val="00F0051F"/>
    <w:rsid w:val="00F0054F"/>
    <w:rsid w:val="00F00643"/>
    <w:rsid w:val="00F0065E"/>
    <w:rsid w:val="00F00678"/>
    <w:rsid w:val="00F00779"/>
    <w:rsid w:val="00F007BB"/>
    <w:rsid w:val="00F007C6"/>
    <w:rsid w:val="00F0083B"/>
    <w:rsid w:val="00F0086E"/>
    <w:rsid w:val="00F009C1"/>
    <w:rsid w:val="00F009E3"/>
    <w:rsid w:val="00F00A67"/>
    <w:rsid w:val="00F00A9C"/>
    <w:rsid w:val="00F00BBA"/>
    <w:rsid w:val="00F00C27"/>
    <w:rsid w:val="00F00C2C"/>
    <w:rsid w:val="00F00CBD"/>
    <w:rsid w:val="00F00CFC"/>
    <w:rsid w:val="00F00D75"/>
    <w:rsid w:val="00F00DA6"/>
    <w:rsid w:val="00F00E7A"/>
    <w:rsid w:val="00F00ECF"/>
    <w:rsid w:val="00F00EDB"/>
    <w:rsid w:val="00F00F17"/>
    <w:rsid w:val="00F00F3C"/>
    <w:rsid w:val="00F00FDA"/>
    <w:rsid w:val="00F010FB"/>
    <w:rsid w:val="00F011E7"/>
    <w:rsid w:val="00F01395"/>
    <w:rsid w:val="00F013D5"/>
    <w:rsid w:val="00F0141A"/>
    <w:rsid w:val="00F01428"/>
    <w:rsid w:val="00F0150E"/>
    <w:rsid w:val="00F015BE"/>
    <w:rsid w:val="00F01604"/>
    <w:rsid w:val="00F01607"/>
    <w:rsid w:val="00F01663"/>
    <w:rsid w:val="00F01668"/>
    <w:rsid w:val="00F0167C"/>
    <w:rsid w:val="00F016DB"/>
    <w:rsid w:val="00F016DF"/>
    <w:rsid w:val="00F0174D"/>
    <w:rsid w:val="00F0175D"/>
    <w:rsid w:val="00F01785"/>
    <w:rsid w:val="00F018A9"/>
    <w:rsid w:val="00F018D1"/>
    <w:rsid w:val="00F01926"/>
    <w:rsid w:val="00F01974"/>
    <w:rsid w:val="00F01998"/>
    <w:rsid w:val="00F019AF"/>
    <w:rsid w:val="00F019E7"/>
    <w:rsid w:val="00F01A68"/>
    <w:rsid w:val="00F01AEE"/>
    <w:rsid w:val="00F01B79"/>
    <w:rsid w:val="00F01BAF"/>
    <w:rsid w:val="00F01C1C"/>
    <w:rsid w:val="00F01C58"/>
    <w:rsid w:val="00F01D69"/>
    <w:rsid w:val="00F01DDD"/>
    <w:rsid w:val="00F01E0B"/>
    <w:rsid w:val="00F01E31"/>
    <w:rsid w:val="00F01F2C"/>
    <w:rsid w:val="00F01FEC"/>
    <w:rsid w:val="00F01FF2"/>
    <w:rsid w:val="00F01FFA"/>
    <w:rsid w:val="00F01FFF"/>
    <w:rsid w:val="00F02025"/>
    <w:rsid w:val="00F02040"/>
    <w:rsid w:val="00F02060"/>
    <w:rsid w:val="00F020CE"/>
    <w:rsid w:val="00F02122"/>
    <w:rsid w:val="00F02128"/>
    <w:rsid w:val="00F021C1"/>
    <w:rsid w:val="00F02294"/>
    <w:rsid w:val="00F02322"/>
    <w:rsid w:val="00F02356"/>
    <w:rsid w:val="00F023C8"/>
    <w:rsid w:val="00F02468"/>
    <w:rsid w:val="00F024D3"/>
    <w:rsid w:val="00F02512"/>
    <w:rsid w:val="00F025D9"/>
    <w:rsid w:val="00F025F0"/>
    <w:rsid w:val="00F02610"/>
    <w:rsid w:val="00F02639"/>
    <w:rsid w:val="00F026A7"/>
    <w:rsid w:val="00F026CA"/>
    <w:rsid w:val="00F0274D"/>
    <w:rsid w:val="00F02782"/>
    <w:rsid w:val="00F0283C"/>
    <w:rsid w:val="00F02907"/>
    <w:rsid w:val="00F02949"/>
    <w:rsid w:val="00F029C1"/>
    <w:rsid w:val="00F029C9"/>
    <w:rsid w:val="00F02ACA"/>
    <w:rsid w:val="00F02B38"/>
    <w:rsid w:val="00F02B89"/>
    <w:rsid w:val="00F02C4A"/>
    <w:rsid w:val="00F02C53"/>
    <w:rsid w:val="00F02CD4"/>
    <w:rsid w:val="00F02D23"/>
    <w:rsid w:val="00F02D5A"/>
    <w:rsid w:val="00F02E11"/>
    <w:rsid w:val="00F02E1A"/>
    <w:rsid w:val="00F02E1B"/>
    <w:rsid w:val="00F02E92"/>
    <w:rsid w:val="00F02F51"/>
    <w:rsid w:val="00F02F78"/>
    <w:rsid w:val="00F02F8E"/>
    <w:rsid w:val="00F02F90"/>
    <w:rsid w:val="00F031C8"/>
    <w:rsid w:val="00F031CC"/>
    <w:rsid w:val="00F031DC"/>
    <w:rsid w:val="00F032D1"/>
    <w:rsid w:val="00F03335"/>
    <w:rsid w:val="00F0333D"/>
    <w:rsid w:val="00F03398"/>
    <w:rsid w:val="00F033E2"/>
    <w:rsid w:val="00F03436"/>
    <w:rsid w:val="00F03443"/>
    <w:rsid w:val="00F03493"/>
    <w:rsid w:val="00F03515"/>
    <w:rsid w:val="00F03537"/>
    <w:rsid w:val="00F03567"/>
    <w:rsid w:val="00F035AA"/>
    <w:rsid w:val="00F03724"/>
    <w:rsid w:val="00F03775"/>
    <w:rsid w:val="00F037E1"/>
    <w:rsid w:val="00F038C8"/>
    <w:rsid w:val="00F039BF"/>
    <w:rsid w:val="00F03A95"/>
    <w:rsid w:val="00F03B4A"/>
    <w:rsid w:val="00F03C3B"/>
    <w:rsid w:val="00F03C3D"/>
    <w:rsid w:val="00F03CA3"/>
    <w:rsid w:val="00F03CAB"/>
    <w:rsid w:val="00F03E04"/>
    <w:rsid w:val="00F03E25"/>
    <w:rsid w:val="00F03E45"/>
    <w:rsid w:val="00F03E84"/>
    <w:rsid w:val="00F03ECD"/>
    <w:rsid w:val="00F03EDE"/>
    <w:rsid w:val="00F03F09"/>
    <w:rsid w:val="00F03F36"/>
    <w:rsid w:val="00F03F83"/>
    <w:rsid w:val="00F03FCF"/>
    <w:rsid w:val="00F03FDF"/>
    <w:rsid w:val="00F04015"/>
    <w:rsid w:val="00F04019"/>
    <w:rsid w:val="00F04067"/>
    <w:rsid w:val="00F0413B"/>
    <w:rsid w:val="00F04175"/>
    <w:rsid w:val="00F0419F"/>
    <w:rsid w:val="00F041A3"/>
    <w:rsid w:val="00F041AF"/>
    <w:rsid w:val="00F041B9"/>
    <w:rsid w:val="00F041DF"/>
    <w:rsid w:val="00F04207"/>
    <w:rsid w:val="00F04209"/>
    <w:rsid w:val="00F04212"/>
    <w:rsid w:val="00F04227"/>
    <w:rsid w:val="00F04269"/>
    <w:rsid w:val="00F04308"/>
    <w:rsid w:val="00F04362"/>
    <w:rsid w:val="00F04372"/>
    <w:rsid w:val="00F0437C"/>
    <w:rsid w:val="00F04380"/>
    <w:rsid w:val="00F043F3"/>
    <w:rsid w:val="00F0440C"/>
    <w:rsid w:val="00F0447F"/>
    <w:rsid w:val="00F045FC"/>
    <w:rsid w:val="00F04629"/>
    <w:rsid w:val="00F0474A"/>
    <w:rsid w:val="00F047AC"/>
    <w:rsid w:val="00F047BB"/>
    <w:rsid w:val="00F04805"/>
    <w:rsid w:val="00F04806"/>
    <w:rsid w:val="00F048C1"/>
    <w:rsid w:val="00F048CA"/>
    <w:rsid w:val="00F048DF"/>
    <w:rsid w:val="00F048F7"/>
    <w:rsid w:val="00F049C9"/>
    <w:rsid w:val="00F04A9B"/>
    <w:rsid w:val="00F04AF4"/>
    <w:rsid w:val="00F04BD6"/>
    <w:rsid w:val="00F04CD0"/>
    <w:rsid w:val="00F04CD5"/>
    <w:rsid w:val="00F04D49"/>
    <w:rsid w:val="00F04D64"/>
    <w:rsid w:val="00F04D6E"/>
    <w:rsid w:val="00F04D87"/>
    <w:rsid w:val="00F04DFC"/>
    <w:rsid w:val="00F04E8E"/>
    <w:rsid w:val="00F04ECF"/>
    <w:rsid w:val="00F04F1C"/>
    <w:rsid w:val="00F04F8F"/>
    <w:rsid w:val="00F05078"/>
    <w:rsid w:val="00F050A8"/>
    <w:rsid w:val="00F050C7"/>
    <w:rsid w:val="00F050F3"/>
    <w:rsid w:val="00F0511C"/>
    <w:rsid w:val="00F0512A"/>
    <w:rsid w:val="00F05173"/>
    <w:rsid w:val="00F05194"/>
    <w:rsid w:val="00F051DA"/>
    <w:rsid w:val="00F0521A"/>
    <w:rsid w:val="00F0524F"/>
    <w:rsid w:val="00F05331"/>
    <w:rsid w:val="00F05378"/>
    <w:rsid w:val="00F0539C"/>
    <w:rsid w:val="00F0546C"/>
    <w:rsid w:val="00F0552C"/>
    <w:rsid w:val="00F05553"/>
    <w:rsid w:val="00F05578"/>
    <w:rsid w:val="00F05628"/>
    <w:rsid w:val="00F056C4"/>
    <w:rsid w:val="00F056CB"/>
    <w:rsid w:val="00F0570B"/>
    <w:rsid w:val="00F0578F"/>
    <w:rsid w:val="00F057C7"/>
    <w:rsid w:val="00F0580A"/>
    <w:rsid w:val="00F0580E"/>
    <w:rsid w:val="00F05845"/>
    <w:rsid w:val="00F058FC"/>
    <w:rsid w:val="00F05AFB"/>
    <w:rsid w:val="00F05B0E"/>
    <w:rsid w:val="00F05B19"/>
    <w:rsid w:val="00F05B51"/>
    <w:rsid w:val="00F05C09"/>
    <w:rsid w:val="00F05C11"/>
    <w:rsid w:val="00F05C28"/>
    <w:rsid w:val="00F05C44"/>
    <w:rsid w:val="00F05C84"/>
    <w:rsid w:val="00F05CAC"/>
    <w:rsid w:val="00F05CD5"/>
    <w:rsid w:val="00F05DC8"/>
    <w:rsid w:val="00F05E64"/>
    <w:rsid w:val="00F05F7C"/>
    <w:rsid w:val="00F05FB6"/>
    <w:rsid w:val="00F05FEE"/>
    <w:rsid w:val="00F060F0"/>
    <w:rsid w:val="00F06112"/>
    <w:rsid w:val="00F06125"/>
    <w:rsid w:val="00F0617E"/>
    <w:rsid w:val="00F061BE"/>
    <w:rsid w:val="00F06244"/>
    <w:rsid w:val="00F062AB"/>
    <w:rsid w:val="00F063A0"/>
    <w:rsid w:val="00F063F8"/>
    <w:rsid w:val="00F06419"/>
    <w:rsid w:val="00F06423"/>
    <w:rsid w:val="00F0649A"/>
    <w:rsid w:val="00F064BD"/>
    <w:rsid w:val="00F064C6"/>
    <w:rsid w:val="00F064F6"/>
    <w:rsid w:val="00F06528"/>
    <w:rsid w:val="00F06590"/>
    <w:rsid w:val="00F065D2"/>
    <w:rsid w:val="00F0663B"/>
    <w:rsid w:val="00F0663F"/>
    <w:rsid w:val="00F0668E"/>
    <w:rsid w:val="00F066A7"/>
    <w:rsid w:val="00F066BE"/>
    <w:rsid w:val="00F066CA"/>
    <w:rsid w:val="00F066D0"/>
    <w:rsid w:val="00F067CF"/>
    <w:rsid w:val="00F0686D"/>
    <w:rsid w:val="00F0694A"/>
    <w:rsid w:val="00F06980"/>
    <w:rsid w:val="00F069FB"/>
    <w:rsid w:val="00F06AA2"/>
    <w:rsid w:val="00F06B07"/>
    <w:rsid w:val="00F06B9F"/>
    <w:rsid w:val="00F06BAD"/>
    <w:rsid w:val="00F06BC0"/>
    <w:rsid w:val="00F06BC9"/>
    <w:rsid w:val="00F06C40"/>
    <w:rsid w:val="00F06C49"/>
    <w:rsid w:val="00F06D30"/>
    <w:rsid w:val="00F06E0A"/>
    <w:rsid w:val="00F06E3F"/>
    <w:rsid w:val="00F06E6D"/>
    <w:rsid w:val="00F06EEC"/>
    <w:rsid w:val="00F06F35"/>
    <w:rsid w:val="00F06F5E"/>
    <w:rsid w:val="00F0710C"/>
    <w:rsid w:val="00F07116"/>
    <w:rsid w:val="00F0719D"/>
    <w:rsid w:val="00F07307"/>
    <w:rsid w:val="00F07318"/>
    <w:rsid w:val="00F073CA"/>
    <w:rsid w:val="00F074D7"/>
    <w:rsid w:val="00F07587"/>
    <w:rsid w:val="00F075BE"/>
    <w:rsid w:val="00F075EC"/>
    <w:rsid w:val="00F0766D"/>
    <w:rsid w:val="00F07697"/>
    <w:rsid w:val="00F077BC"/>
    <w:rsid w:val="00F07876"/>
    <w:rsid w:val="00F0787B"/>
    <w:rsid w:val="00F078E1"/>
    <w:rsid w:val="00F07937"/>
    <w:rsid w:val="00F07995"/>
    <w:rsid w:val="00F079C6"/>
    <w:rsid w:val="00F079F7"/>
    <w:rsid w:val="00F07A40"/>
    <w:rsid w:val="00F07D13"/>
    <w:rsid w:val="00F07D35"/>
    <w:rsid w:val="00F07D49"/>
    <w:rsid w:val="00F07E62"/>
    <w:rsid w:val="00F07E68"/>
    <w:rsid w:val="00F07ED2"/>
    <w:rsid w:val="00F07EF5"/>
    <w:rsid w:val="00F07F0A"/>
    <w:rsid w:val="00F07F64"/>
    <w:rsid w:val="00F1000D"/>
    <w:rsid w:val="00F100C4"/>
    <w:rsid w:val="00F100FB"/>
    <w:rsid w:val="00F10152"/>
    <w:rsid w:val="00F10193"/>
    <w:rsid w:val="00F10198"/>
    <w:rsid w:val="00F10253"/>
    <w:rsid w:val="00F102CE"/>
    <w:rsid w:val="00F10496"/>
    <w:rsid w:val="00F104F9"/>
    <w:rsid w:val="00F1059C"/>
    <w:rsid w:val="00F105A3"/>
    <w:rsid w:val="00F10629"/>
    <w:rsid w:val="00F1067E"/>
    <w:rsid w:val="00F107A0"/>
    <w:rsid w:val="00F107E9"/>
    <w:rsid w:val="00F10813"/>
    <w:rsid w:val="00F10865"/>
    <w:rsid w:val="00F10955"/>
    <w:rsid w:val="00F109A9"/>
    <w:rsid w:val="00F109D7"/>
    <w:rsid w:val="00F10A6A"/>
    <w:rsid w:val="00F10AC4"/>
    <w:rsid w:val="00F10ADD"/>
    <w:rsid w:val="00F10B1C"/>
    <w:rsid w:val="00F10C33"/>
    <w:rsid w:val="00F10C37"/>
    <w:rsid w:val="00F10CAD"/>
    <w:rsid w:val="00F10CC9"/>
    <w:rsid w:val="00F10CDD"/>
    <w:rsid w:val="00F10D29"/>
    <w:rsid w:val="00F10D2E"/>
    <w:rsid w:val="00F10D36"/>
    <w:rsid w:val="00F10D4A"/>
    <w:rsid w:val="00F10D7F"/>
    <w:rsid w:val="00F10DA8"/>
    <w:rsid w:val="00F10E1F"/>
    <w:rsid w:val="00F10E50"/>
    <w:rsid w:val="00F10EEE"/>
    <w:rsid w:val="00F10F0E"/>
    <w:rsid w:val="00F10FF7"/>
    <w:rsid w:val="00F1106E"/>
    <w:rsid w:val="00F110E9"/>
    <w:rsid w:val="00F11141"/>
    <w:rsid w:val="00F1128F"/>
    <w:rsid w:val="00F1132D"/>
    <w:rsid w:val="00F113B9"/>
    <w:rsid w:val="00F1146D"/>
    <w:rsid w:val="00F11490"/>
    <w:rsid w:val="00F1154F"/>
    <w:rsid w:val="00F115C5"/>
    <w:rsid w:val="00F11638"/>
    <w:rsid w:val="00F1168D"/>
    <w:rsid w:val="00F11794"/>
    <w:rsid w:val="00F1179C"/>
    <w:rsid w:val="00F11814"/>
    <w:rsid w:val="00F11824"/>
    <w:rsid w:val="00F11862"/>
    <w:rsid w:val="00F118B0"/>
    <w:rsid w:val="00F118E9"/>
    <w:rsid w:val="00F11953"/>
    <w:rsid w:val="00F11B18"/>
    <w:rsid w:val="00F11B99"/>
    <w:rsid w:val="00F11BE7"/>
    <w:rsid w:val="00F11CCE"/>
    <w:rsid w:val="00F11CD8"/>
    <w:rsid w:val="00F11DA0"/>
    <w:rsid w:val="00F11DBF"/>
    <w:rsid w:val="00F11DC6"/>
    <w:rsid w:val="00F11E04"/>
    <w:rsid w:val="00F11E42"/>
    <w:rsid w:val="00F11E60"/>
    <w:rsid w:val="00F11F2C"/>
    <w:rsid w:val="00F11F53"/>
    <w:rsid w:val="00F11F70"/>
    <w:rsid w:val="00F11FE1"/>
    <w:rsid w:val="00F11FF3"/>
    <w:rsid w:val="00F12094"/>
    <w:rsid w:val="00F120DA"/>
    <w:rsid w:val="00F12100"/>
    <w:rsid w:val="00F1217A"/>
    <w:rsid w:val="00F121C3"/>
    <w:rsid w:val="00F1220B"/>
    <w:rsid w:val="00F1222F"/>
    <w:rsid w:val="00F12270"/>
    <w:rsid w:val="00F122E2"/>
    <w:rsid w:val="00F12303"/>
    <w:rsid w:val="00F12324"/>
    <w:rsid w:val="00F1235C"/>
    <w:rsid w:val="00F123BB"/>
    <w:rsid w:val="00F12496"/>
    <w:rsid w:val="00F124D6"/>
    <w:rsid w:val="00F124D9"/>
    <w:rsid w:val="00F124F6"/>
    <w:rsid w:val="00F12549"/>
    <w:rsid w:val="00F125CD"/>
    <w:rsid w:val="00F125EC"/>
    <w:rsid w:val="00F12619"/>
    <w:rsid w:val="00F1261D"/>
    <w:rsid w:val="00F1262D"/>
    <w:rsid w:val="00F12646"/>
    <w:rsid w:val="00F12665"/>
    <w:rsid w:val="00F1266C"/>
    <w:rsid w:val="00F12681"/>
    <w:rsid w:val="00F12690"/>
    <w:rsid w:val="00F1274B"/>
    <w:rsid w:val="00F1275C"/>
    <w:rsid w:val="00F12829"/>
    <w:rsid w:val="00F129CE"/>
    <w:rsid w:val="00F12A35"/>
    <w:rsid w:val="00F12A77"/>
    <w:rsid w:val="00F12A8A"/>
    <w:rsid w:val="00F12ABD"/>
    <w:rsid w:val="00F12B2E"/>
    <w:rsid w:val="00F12BBF"/>
    <w:rsid w:val="00F12D10"/>
    <w:rsid w:val="00F12D38"/>
    <w:rsid w:val="00F12D8D"/>
    <w:rsid w:val="00F12E14"/>
    <w:rsid w:val="00F12EC1"/>
    <w:rsid w:val="00F12EE4"/>
    <w:rsid w:val="00F12EFF"/>
    <w:rsid w:val="00F12F2D"/>
    <w:rsid w:val="00F12F57"/>
    <w:rsid w:val="00F12FE5"/>
    <w:rsid w:val="00F13084"/>
    <w:rsid w:val="00F130A4"/>
    <w:rsid w:val="00F13145"/>
    <w:rsid w:val="00F131B3"/>
    <w:rsid w:val="00F1320B"/>
    <w:rsid w:val="00F1321E"/>
    <w:rsid w:val="00F1329E"/>
    <w:rsid w:val="00F132CF"/>
    <w:rsid w:val="00F132FC"/>
    <w:rsid w:val="00F13302"/>
    <w:rsid w:val="00F133AF"/>
    <w:rsid w:val="00F13407"/>
    <w:rsid w:val="00F1341B"/>
    <w:rsid w:val="00F13498"/>
    <w:rsid w:val="00F13538"/>
    <w:rsid w:val="00F13618"/>
    <w:rsid w:val="00F1368B"/>
    <w:rsid w:val="00F136ED"/>
    <w:rsid w:val="00F137B9"/>
    <w:rsid w:val="00F13870"/>
    <w:rsid w:val="00F138C8"/>
    <w:rsid w:val="00F1392B"/>
    <w:rsid w:val="00F1396C"/>
    <w:rsid w:val="00F139A1"/>
    <w:rsid w:val="00F139E5"/>
    <w:rsid w:val="00F139EF"/>
    <w:rsid w:val="00F13B95"/>
    <w:rsid w:val="00F13B97"/>
    <w:rsid w:val="00F13C69"/>
    <w:rsid w:val="00F13C6E"/>
    <w:rsid w:val="00F13C8B"/>
    <w:rsid w:val="00F13CE0"/>
    <w:rsid w:val="00F13D7B"/>
    <w:rsid w:val="00F13E9A"/>
    <w:rsid w:val="00F13EC7"/>
    <w:rsid w:val="00F13F0F"/>
    <w:rsid w:val="00F13F67"/>
    <w:rsid w:val="00F13F6C"/>
    <w:rsid w:val="00F13FB0"/>
    <w:rsid w:val="00F13FBF"/>
    <w:rsid w:val="00F13FF2"/>
    <w:rsid w:val="00F14012"/>
    <w:rsid w:val="00F1405C"/>
    <w:rsid w:val="00F140CC"/>
    <w:rsid w:val="00F141F4"/>
    <w:rsid w:val="00F14320"/>
    <w:rsid w:val="00F14348"/>
    <w:rsid w:val="00F143F8"/>
    <w:rsid w:val="00F145F9"/>
    <w:rsid w:val="00F14658"/>
    <w:rsid w:val="00F146A2"/>
    <w:rsid w:val="00F14746"/>
    <w:rsid w:val="00F14799"/>
    <w:rsid w:val="00F147A5"/>
    <w:rsid w:val="00F147EF"/>
    <w:rsid w:val="00F14876"/>
    <w:rsid w:val="00F148A5"/>
    <w:rsid w:val="00F149E2"/>
    <w:rsid w:val="00F14A36"/>
    <w:rsid w:val="00F14A66"/>
    <w:rsid w:val="00F14B5B"/>
    <w:rsid w:val="00F14B78"/>
    <w:rsid w:val="00F14C09"/>
    <w:rsid w:val="00F14C52"/>
    <w:rsid w:val="00F14C99"/>
    <w:rsid w:val="00F14D4B"/>
    <w:rsid w:val="00F14EAA"/>
    <w:rsid w:val="00F14F2D"/>
    <w:rsid w:val="00F14F53"/>
    <w:rsid w:val="00F14F58"/>
    <w:rsid w:val="00F14F99"/>
    <w:rsid w:val="00F1506F"/>
    <w:rsid w:val="00F150AB"/>
    <w:rsid w:val="00F1516B"/>
    <w:rsid w:val="00F1523E"/>
    <w:rsid w:val="00F152BB"/>
    <w:rsid w:val="00F153A7"/>
    <w:rsid w:val="00F153D7"/>
    <w:rsid w:val="00F153E3"/>
    <w:rsid w:val="00F153E4"/>
    <w:rsid w:val="00F15449"/>
    <w:rsid w:val="00F154EF"/>
    <w:rsid w:val="00F154F8"/>
    <w:rsid w:val="00F15502"/>
    <w:rsid w:val="00F15532"/>
    <w:rsid w:val="00F1556A"/>
    <w:rsid w:val="00F1556C"/>
    <w:rsid w:val="00F15590"/>
    <w:rsid w:val="00F155D9"/>
    <w:rsid w:val="00F156AE"/>
    <w:rsid w:val="00F156F7"/>
    <w:rsid w:val="00F15725"/>
    <w:rsid w:val="00F1573C"/>
    <w:rsid w:val="00F157B7"/>
    <w:rsid w:val="00F157F8"/>
    <w:rsid w:val="00F1593D"/>
    <w:rsid w:val="00F15954"/>
    <w:rsid w:val="00F159C2"/>
    <w:rsid w:val="00F15A3B"/>
    <w:rsid w:val="00F15ABD"/>
    <w:rsid w:val="00F15ACA"/>
    <w:rsid w:val="00F15B1D"/>
    <w:rsid w:val="00F15BE7"/>
    <w:rsid w:val="00F15D53"/>
    <w:rsid w:val="00F15DCC"/>
    <w:rsid w:val="00F15DD5"/>
    <w:rsid w:val="00F15E3D"/>
    <w:rsid w:val="00F15EDF"/>
    <w:rsid w:val="00F15EE8"/>
    <w:rsid w:val="00F15EFF"/>
    <w:rsid w:val="00F15F17"/>
    <w:rsid w:val="00F15F5F"/>
    <w:rsid w:val="00F15F75"/>
    <w:rsid w:val="00F15FE7"/>
    <w:rsid w:val="00F15FEF"/>
    <w:rsid w:val="00F16048"/>
    <w:rsid w:val="00F16051"/>
    <w:rsid w:val="00F16092"/>
    <w:rsid w:val="00F16097"/>
    <w:rsid w:val="00F16101"/>
    <w:rsid w:val="00F1611D"/>
    <w:rsid w:val="00F16166"/>
    <w:rsid w:val="00F161B1"/>
    <w:rsid w:val="00F1623E"/>
    <w:rsid w:val="00F1624D"/>
    <w:rsid w:val="00F163BA"/>
    <w:rsid w:val="00F16401"/>
    <w:rsid w:val="00F1648F"/>
    <w:rsid w:val="00F164EA"/>
    <w:rsid w:val="00F16580"/>
    <w:rsid w:val="00F16592"/>
    <w:rsid w:val="00F165BC"/>
    <w:rsid w:val="00F165D5"/>
    <w:rsid w:val="00F16619"/>
    <w:rsid w:val="00F167B8"/>
    <w:rsid w:val="00F16884"/>
    <w:rsid w:val="00F168E2"/>
    <w:rsid w:val="00F169AD"/>
    <w:rsid w:val="00F16AAC"/>
    <w:rsid w:val="00F16ADD"/>
    <w:rsid w:val="00F16AFB"/>
    <w:rsid w:val="00F16B34"/>
    <w:rsid w:val="00F16B74"/>
    <w:rsid w:val="00F16B8A"/>
    <w:rsid w:val="00F16B8E"/>
    <w:rsid w:val="00F16BCB"/>
    <w:rsid w:val="00F16C21"/>
    <w:rsid w:val="00F16D49"/>
    <w:rsid w:val="00F16D85"/>
    <w:rsid w:val="00F16DEE"/>
    <w:rsid w:val="00F16EA3"/>
    <w:rsid w:val="00F16EC1"/>
    <w:rsid w:val="00F16EC6"/>
    <w:rsid w:val="00F16F30"/>
    <w:rsid w:val="00F16F37"/>
    <w:rsid w:val="00F16F61"/>
    <w:rsid w:val="00F16F77"/>
    <w:rsid w:val="00F16F89"/>
    <w:rsid w:val="00F17057"/>
    <w:rsid w:val="00F1714F"/>
    <w:rsid w:val="00F1715D"/>
    <w:rsid w:val="00F17265"/>
    <w:rsid w:val="00F17288"/>
    <w:rsid w:val="00F172A2"/>
    <w:rsid w:val="00F17304"/>
    <w:rsid w:val="00F17356"/>
    <w:rsid w:val="00F17386"/>
    <w:rsid w:val="00F17426"/>
    <w:rsid w:val="00F1750B"/>
    <w:rsid w:val="00F17513"/>
    <w:rsid w:val="00F17575"/>
    <w:rsid w:val="00F175E3"/>
    <w:rsid w:val="00F176EA"/>
    <w:rsid w:val="00F177C4"/>
    <w:rsid w:val="00F177C7"/>
    <w:rsid w:val="00F177F8"/>
    <w:rsid w:val="00F17820"/>
    <w:rsid w:val="00F1783D"/>
    <w:rsid w:val="00F1788C"/>
    <w:rsid w:val="00F178CD"/>
    <w:rsid w:val="00F178FB"/>
    <w:rsid w:val="00F17924"/>
    <w:rsid w:val="00F179B2"/>
    <w:rsid w:val="00F179C3"/>
    <w:rsid w:val="00F17A55"/>
    <w:rsid w:val="00F17B06"/>
    <w:rsid w:val="00F17B48"/>
    <w:rsid w:val="00F17B91"/>
    <w:rsid w:val="00F17B9C"/>
    <w:rsid w:val="00F17BC5"/>
    <w:rsid w:val="00F17BE9"/>
    <w:rsid w:val="00F17CBF"/>
    <w:rsid w:val="00F17D08"/>
    <w:rsid w:val="00F17DAF"/>
    <w:rsid w:val="00F17DDD"/>
    <w:rsid w:val="00F17E35"/>
    <w:rsid w:val="00F17EB2"/>
    <w:rsid w:val="00F17F64"/>
    <w:rsid w:val="00F17FB2"/>
    <w:rsid w:val="00F2002C"/>
    <w:rsid w:val="00F2006F"/>
    <w:rsid w:val="00F20088"/>
    <w:rsid w:val="00F200DB"/>
    <w:rsid w:val="00F2014C"/>
    <w:rsid w:val="00F20155"/>
    <w:rsid w:val="00F20185"/>
    <w:rsid w:val="00F202B3"/>
    <w:rsid w:val="00F203F6"/>
    <w:rsid w:val="00F205A8"/>
    <w:rsid w:val="00F205AF"/>
    <w:rsid w:val="00F20607"/>
    <w:rsid w:val="00F2067D"/>
    <w:rsid w:val="00F2069E"/>
    <w:rsid w:val="00F206F8"/>
    <w:rsid w:val="00F2070A"/>
    <w:rsid w:val="00F20736"/>
    <w:rsid w:val="00F20772"/>
    <w:rsid w:val="00F207DC"/>
    <w:rsid w:val="00F20815"/>
    <w:rsid w:val="00F20817"/>
    <w:rsid w:val="00F20882"/>
    <w:rsid w:val="00F20992"/>
    <w:rsid w:val="00F20A12"/>
    <w:rsid w:val="00F20A8E"/>
    <w:rsid w:val="00F20ADC"/>
    <w:rsid w:val="00F20B1F"/>
    <w:rsid w:val="00F20B50"/>
    <w:rsid w:val="00F20C25"/>
    <w:rsid w:val="00F20C9A"/>
    <w:rsid w:val="00F20CA7"/>
    <w:rsid w:val="00F20CE8"/>
    <w:rsid w:val="00F20D4F"/>
    <w:rsid w:val="00F20EC5"/>
    <w:rsid w:val="00F20ED0"/>
    <w:rsid w:val="00F21058"/>
    <w:rsid w:val="00F2106A"/>
    <w:rsid w:val="00F21086"/>
    <w:rsid w:val="00F210AE"/>
    <w:rsid w:val="00F21125"/>
    <w:rsid w:val="00F21172"/>
    <w:rsid w:val="00F211CE"/>
    <w:rsid w:val="00F21214"/>
    <w:rsid w:val="00F2136E"/>
    <w:rsid w:val="00F21372"/>
    <w:rsid w:val="00F213EE"/>
    <w:rsid w:val="00F21424"/>
    <w:rsid w:val="00F214BE"/>
    <w:rsid w:val="00F21565"/>
    <w:rsid w:val="00F2156A"/>
    <w:rsid w:val="00F2163F"/>
    <w:rsid w:val="00F216E9"/>
    <w:rsid w:val="00F21729"/>
    <w:rsid w:val="00F2173A"/>
    <w:rsid w:val="00F217CD"/>
    <w:rsid w:val="00F21812"/>
    <w:rsid w:val="00F21816"/>
    <w:rsid w:val="00F2181B"/>
    <w:rsid w:val="00F2187A"/>
    <w:rsid w:val="00F21970"/>
    <w:rsid w:val="00F219F1"/>
    <w:rsid w:val="00F21A35"/>
    <w:rsid w:val="00F21A47"/>
    <w:rsid w:val="00F21A77"/>
    <w:rsid w:val="00F21BEB"/>
    <w:rsid w:val="00F21BFD"/>
    <w:rsid w:val="00F21D16"/>
    <w:rsid w:val="00F21D7D"/>
    <w:rsid w:val="00F21D7E"/>
    <w:rsid w:val="00F21E20"/>
    <w:rsid w:val="00F21EF0"/>
    <w:rsid w:val="00F22051"/>
    <w:rsid w:val="00F2208D"/>
    <w:rsid w:val="00F220FE"/>
    <w:rsid w:val="00F22122"/>
    <w:rsid w:val="00F221E3"/>
    <w:rsid w:val="00F22241"/>
    <w:rsid w:val="00F22243"/>
    <w:rsid w:val="00F222B4"/>
    <w:rsid w:val="00F22305"/>
    <w:rsid w:val="00F22348"/>
    <w:rsid w:val="00F223B1"/>
    <w:rsid w:val="00F223B5"/>
    <w:rsid w:val="00F2240A"/>
    <w:rsid w:val="00F2257F"/>
    <w:rsid w:val="00F22586"/>
    <w:rsid w:val="00F225C0"/>
    <w:rsid w:val="00F22623"/>
    <w:rsid w:val="00F226B8"/>
    <w:rsid w:val="00F226C6"/>
    <w:rsid w:val="00F22733"/>
    <w:rsid w:val="00F2278F"/>
    <w:rsid w:val="00F22834"/>
    <w:rsid w:val="00F2287A"/>
    <w:rsid w:val="00F22890"/>
    <w:rsid w:val="00F228B8"/>
    <w:rsid w:val="00F228B9"/>
    <w:rsid w:val="00F228C9"/>
    <w:rsid w:val="00F22906"/>
    <w:rsid w:val="00F2290E"/>
    <w:rsid w:val="00F22950"/>
    <w:rsid w:val="00F2298B"/>
    <w:rsid w:val="00F229B9"/>
    <w:rsid w:val="00F22A18"/>
    <w:rsid w:val="00F22B11"/>
    <w:rsid w:val="00F22B6C"/>
    <w:rsid w:val="00F22B7B"/>
    <w:rsid w:val="00F22BF0"/>
    <w:rsid w:val="00F22C4D"/>
    <w:rsid w:val="00F22C85"/>
    <w:rsid w:val="00F22C87"/>
    <w:rsid w:val="00F22C88"/>
    <w:rsid w:val="00F22D77"/>
    <w:rsid w:val="00F22D7C"/>
    <w:rsid w:val="00F22E0C"/>
    <w:rsid w:val="00F22E14"/>
    <w:rsid w:val="00F22E27"/>
    <w:rsid w:val="00F22E57"/>
    <w:rsid w:val="00F22E77"/>
    <w:rsid w:val="00F22E7E"/>
    <w:rsid w:val="00F22F43"/>
    <w:rsid w:val="00F23074"/>
    <w:rsid w:val="00F2308A"/>
    <w:rsid w:val="00F2311E"/>
    <w:rsid w:val="00F23209"/>
    <w:rsid w:val="00F23215"/>
    <w:rsid w:val="00F2334F"/>
    <w:rsid w:val="00F233C6"/>
    <w:rsid w:val="00F234C7"/>
    <w:rsid w:val="00F234DC"/>
    <w:rsid w:val="00F2354C"/>
    <w:rsid w:val="00F2355C"/>
    <w:rsid w:val="00F236EB"/>
    <w:rsid w:val="00F23759"/>
    <w:rsid w:val="00F23813"/>
    <w:rsid w:val="00F23836"/>
    <w:rsid w:val="00F23837"/>
    <w:rsid w:val="00F238C0"/>
    <w:rsid w:val="00F23959"/>
    <w:rsid w:val="00F23A2F"/>
    <w:rsid w:val="00F23A49"/>
    <w:rsid w:val="00F23A7B"/>
    <w:rsid w:val="00F23B8A"/>
    <w:rsid w:val="00F23BB7"/>
    <w:rsid w:val="00F23C3D"/>
    <w:rsid w:val="00F23CFF"/>
    <w:rsid w:val="00F23E25"/>
    <w:rsid w:val="00F23E53"/>
    <w:rsid w:val="00F23EE5"/>
    <w:rsid w:val="00F23FCB"/>
    <w:rsid w:val="00F23FEB"/>
    <w:rsid w:val="00F2402F"/>
    <w:rsid w:val="00F2403F"/>
    <w:rsid w:val="00F24044"/>
    <w:rsid w:val="00F2415F"/>
    <w:rsid w:val="00F241DC"/>
    <w:rsid w:val="00F24212"/>
    <w:rsid w:val="00F24217"/>
    <w:rsid w:val="00F24222"/>
    <w:rsid w:val="00F24320"/>
    <w:rsid w:val="00F24350"/>
    <w:rsid w:val="00F243D4"/>
    <w:rsid w:val="00F244CC"/>
    <w:rsid w:val="00F244E0"/>
    <w:rsid w:val="00F2456A"/>
    <w:rsid w:val="00F24591"/>
    <w:rsid w:val="00F2464A"/>
    <w:rsid w:val="00F2464F"/>
    <w:rsid w:val="00F24658"/>
    <w:rsid w:val="00F2468A"/>
    <w:rsid w:val="00F246A1"/>
    <w:rsid w:val="00F246EC"/>
    <w:rsid w:val="00F24718"/>
    <w:rsid w:val="00F24779"/>
    <w:rsid w:val="00F2479E"/>
    <w:rsid w:val="00F24852"/>
    <w:rsid w:val="00F2487B"/>
    <w:rsid w:val="00F24897"/>
    <w:rsid w:val="00F24930"/>
    <w:rsid w:val="00F24A64"/>
    <w:rsid w:val="00F24A6E"/>
    <w:rsid w:val="00F24A7E"/>
    <w:rsid w:val="00F24AB9"/>
    <w:rsid w:val="00F24AE7"/>
    <w:rsid w:val="00F24B1B"/>
    <w:rsid w:val="00F24B70"/>
    <w:rsid w:val="00F24B95"/>
    <w:rsid w:val="00F24BCE"/>
    <w:rsid w:val="00F24BFD"/>
    <w:rsid w:val="00F24C18"/>
    <w:rsid w:val="00F24C1F"/>
    <w:rsid w:val="00F24C52"/>
    <w:rsid w:val="00F24C6A"/>
    <w:rsid w:val="00F24D1A"/>
    <w:rsid w:val="00F24D54"/>
    <w:rsid w:val="00F24D8D"/>
    <w:rsid w:val="00F24DD7"/>
    <w:rsid w:val="00F24DED"/>
    <w:rsid w:val="00F24E3F"/>
    <w:rsid w:val="00F24E87"/>
    <w:rsid w:val="00F24F66"/>
    <w:rsid w:val="00F24F7B"/>
    <w:rsid w:val="00F250E7"/>
    <w:rsid w:val="00F25278"/>
    <w:rsid w:val="00F2530D"/>
    <w:rsid w:val="00F25319"/>
    <w:rsid w:val="00F25388"/>
    <w:rsid w:val="00F25397"/>
    <w:rsid w:val="00F253A8"/>
    <w:rsid w:val="00F253DE"/>
    <w:rsid w:val="00F2540B"/>
    <w:rsid w:val="00F2542C"/>
    <w:rsid w:val="00F25446"/>
    <w:rsid w:val="00F25466"/>
    <w:rsid w:val="00F255A1"/>
    <w:rsid w:val="00F255F3"/>
    <w:rsid w:val="00F255FC"/>
    <w:rsid w:val="00F25615"/>
    <w:rsid w:val="00F25656"/>
    <w:rsid w:val="00F256A1"/>
    <w:rsid w:val="00F256D3"/>
    <w:rsid w:val="00F257CF"/>
    <w:rsid w:val="00F257FD"/>
    <w:rsid w:val="00F25842"/>
    <w:rsid w:val="00F2589E"/>
    <w:rsid w:val="00F258C2"/>
    <w:rsid w:val="00F25919"/>
    <w:rsid w:val="00F25928"/>
    <w:rsid w:val="00F25A8E"/>
    <w:rsid w:val="00F25A94"/>
    <w:rsid w:val="00F25ACA"/>
    <w:rsid w:val="00F25B87"/>
    <w:rsid w:val="00F25C07"/>
    <w:rsid w:val="00F25C7E"/>
    <w:rsid w:val="00F25CDC"/>
    <w:rsid w:val="00F25D51"/>
    <w:rsid w:val="00F25D79"/>
    <w:rsid w:val="00F25E58"/>
    <w:rsid w:val="00F25F90"/>
    <w:rsid w:val="00F25FC0"/>
    <w:rsid w:val="00F25FF6"/>
    <w:rsid w:val="00F2608C"/>
    <w:rsid w:val="00F260B1"/>
    <w:rsid w:val="00F26176"/>
    <w:rsid w:val="00F261D6"/>
    <w:rsid w:val="00F2629C"/>
    <w:rsid w:val="00F262B2"/>
    <w:rsid w:val="00F26329"/>
    <w:rsid w:val="00F2632C"/>
    <w:rsid w:val="00F26366"/>
    <w:rsid w:val="00F2649D"/>
    <w:rsid w:val="00F264D1"/>
    <w:rsid w:val="00F26546"/>
    <w:rsid w:val="00F2654E"/>
    <w:rsid w:val="00F2655F"/>
    <w:rsid w:val="00F26569"/>
    <w:rsid w:val="00F266E6"/>
    <w:rsid w:val="00F26705"/>
    <w:rsid w:val="00F2675B"/>
    <w:rsid w:val="00F267CD"/>
    <w:rsid w:val="00F268DC"/>
    <w:rsid w:val="00F269CE"/>
    <w:rsid w:val="00F269D4"/>
    <w:rsid w:val="00F26A3D"/>
    <w:rsid w:val="00F26AA0"/>
    <w:rsid w:val="00F26B3F"/>
    <w:rsid w:val="00F26BD4"/>
    <w:rsid w:val="00F26C2A"/>
    <w:rsid w:val="00F26C5A"/>
    <w:rsid w:val="00F26D1B"/>
    <w:rsid w:val="00F26D42"/>
    <w:rsid w:val="00F26E54"/>
    <w:rsid w:val="00F26E59"/>
    <w:rsid w:val="00F26E77"/>
    <w:rsid w:val="00F26EC6"/>
    <w:rsid w:val="00F26EFC"/>
    <w:rsid w:val="00F26F39"/>
    <w:rsid w:val="00F26F4B"/>
    <w:rsid w:val="00F26FD0"/>
    <w:rsid w:val="00F27045"/>
    <w:rsid w:val="00F27084"/>
    <w:rsid w:val="00F27109"/>
    <w:rsid w:val="00F273FE"/>
    <w:rsid w:val="00F27415"/>
    <w:rsid w:val="00F2741D"/>
    <w:rsid w:val="00F274A1"/>
    <w:rsid w:val="00F274BC"/>
    <w:rsid w:val="00F274C9"/>
    <w:rsid w:val="00F274D6"/>
    <w:rsid w:val="00F275CB"/>
    <w:rsid w:val="00F275FE"/>
    <w:rsid w:val="00F27604"/>
    <w:rsid w:val="00F2784E"/>
    <w:rsid w:val="00F27878"/>
    <w:rsid w:val="00F278C5"/>
    <w:rsid w:val="00F27970"/>
    <w:rsid w:val="00F27A5A"/>
    <w:rsid w:val="00F27A9D"/>
    <w:rsid w:val="00F27C49"/>
    <w:rsid w:val="00F27CD7"/>
    <w:rsid w:val="00F27D02"/>
    <w:rsid w:val="00F27E25"/>
    <w:rsid w:val="00F27E2F"/>
    <w:rsid w:val="00F27E3F"/>
    <w:rsid w:val="00F27EDD"/>
    <w:rsid w:val="00F27F73"/>
    <w:rsid w:val="00F27FA0"/>
    <w:rsid w:val="00F27FB9"/>
    <w:rsid w:val="00F30016"/>
    <w:rsid w:val="00F30039"/>
    <w:rsid w:val="00F300AB"/>
    <w:rsid w:val="00F300B9"/>
    <w:rsid w:val="00F300C4"/>
    <w:rsid w:val="00F30110"/>
    <w:rsid w:val="00F301C3"/>
    <w:rsid w:val="00F301E1"/>
    <w:rsid w:val="00F30276"/>
    <w:rsid w:val="00F3028A"/>
    <w:rsid w:val="00F302B0"/>
    <w:rsid w:val="00F30309"/>
    <w:rsid w:val="00F3037E"/>
    <w:rsid w:val="00F303A0"/>
    <w:rsid w:val="00F303A5"/>
    <w:rsid w:val="00F303CC"/>
    <w:rsid w:val="00F303F0"/>
    <w:rsid w:val="00F304D6"/>
    <w:rsid w:val="00F30543"/>
    <w:rsid w:val="00F305B1"/>
    <w:rsid w:val="00F30678"/>
    <w:rsid w:val="00F30691"/>
    <w:rsid w:val="00F306C1"/>
    <w:rsid w:val="00F30756"/>
    <w:rsid w:val="00F3097B"/>
    <w:rsid w:val="00F3098D"/>
    <w:rsid w:val="00F30A04"/>
    <w:rsid w:val="00F30A68"/>
    <w:rsid w:val="00F30A9F"/>
    <w:rsid w:val="00F30AF1"/>
    <w:rsid w:val="00F30B59"/>
    <w:rsid w:val="00F30BA5"/>
    <w:rsid w:val="00F30D32"/>
    <w:rsid w:val="00F30D3D"/>
    <w:rsid w:val="00F30D68"/>
    <w:rsid w:val="00F30E67"/>
    <w:rsid w:val="00F30ECD"/>
    <w:rsid w:val="00F30F7F"/>
    <w:rsid w:val="00F30FD6"/>
    <w:rsid w:val="00F31025"/>
    <w:rsid w:val="00F31184"/>
    <w:rsid w:val="00F3122B"/>
    <w:rsid w:val="00F3124B"/>
    <w:rsid w:val="00F3137C"/>
    <w:rsid w:val="00F313FA"/>
    <w:rsid w:val="00F31413"/>
    <w:rsid w:val="00F31462"/>
    <w:rsid w:val="00F314A9"/>
    <w:rsid w:val="00F314B6"/>
    <w:rsid w:val="00F314B9"/>
    <w:rsid w:val="00F31526"/>
    <w:rsid w:val="00F31567"/>
    <w:rsid w:val="00F316AA"/>
    <w:rsid w:val="00F3176B"/>
    <w:rsid w:val="00F3177F"/>
    <w:rsid w:val="00F31863"/>
    <w:rsid w:val="00F31877"/>
    <w:rsid w:val="00F318BF"/>
    <w:rsid w:val="00F3190A"/>
    <w:rsid w:val="00F3195C"/>
    <w:rsid w:val="00F31983"/>
    <w:rsid w:val="00F319B9"/>
    <w:rsid w:val="00F31A0A"/>
    <w:rsid w:val="00F31A35"/>
    <w:rsid w:val="00F31A50"/>
    <w:rsid w:val="00F31A74"/>
    <w:rsid w:val="00F31A97"/>
    <w:rsid w:val="00F31ABD"/>
    <w:rsid w:val="00F31B12"/>
    <w:rsid w:val="00F31B37"/>
    <w:rsid w:val="00F31BA7"/>
    <w:rsid w:val="00F31C02"/>
    <w:rsid w:val="00F31C33"/>
    <w:rsid w:val="00F31C3E"/>
    <w:rsid w:val="00F31C94"/>
    <w:rsid w:val="00F31C98"/>
    <w:rsid w:val="00F31CF1"/>
    <w:rsid w:val="00F31D01"/>
    <w:rsid w:val="00F31D8E"/>
    <w:rsid w:val="00F31E98"/>
    <w:rsid w:val="00F31F77"/>
    <w:rsid w:val="00F31FD9"/>
    <w:rsid w:val="00F3202E"/>
    <w:rsid w:val="00F320C7"/>
    <w:rsid w:val="00F320EB"/>
    <w:rsid w:val="00F320FC"/>
    <w:rsid w:val="00F32144"/>
    <w:rsid w:val="00F3219B"/>
    <w:rsid w:val="00F321A0"/>
    <w:rsid w:val="00F321E6"/>
    <w:rsid w:val="00F32250"/>
    <w:rsid w:val="00F3227B"/>
    <w:rsid w:val="00F322DD"/>
    <w:rsid w:val="00F3232F"/>
    <w:rsid w:val="00F32389"/>
    <w:rsid w:val="00F3238D"/>
    <w:rsid w:val="00F323B1"/>
    <w:rsid w:val="00F32440"/>
    <w:rsid w:val="00F324B7"/>
    <w:rsid w:val="00F32533"/>
    <w:rsid w:val="00F32594"/>
    <w:rsid w:val="00F325DE"/>
    <w:rsid w:val="00F32676"/>
    <w:rsid w:val="00F3270F"/>
    <w:rsid w:val="00F327A1"/>
    <w:rsid w:val="00F328E7"/>
    <w:rsid w:val="00F32988"/>
    <w:rsid w:val="00F3299C"/>
    <w:rsid w:val="00F329C4"/>
    <w:rsid w:val="00F32A2F"/>
    <w:rsid w:val="00F32A9B"/>
    <w:rsid w:val="00F32B30"/>
    <w:rsid w:val="00F32C68"/>
    <w:rsid w:val="00F32C99"/>
    <w:rsid w:val="00F32CF3"/>
    <w:rsid w:val="00F32D20"/>
    <w:rsid w:val="00F32D27"/>
    <w:rsid w:val="00F32DF4"/>
    <w:rsid w:val="00F32E71"/>
    <w:rsid w:val="00F32E8C"/>
    <w:rsid w:val="00F32EA7"/>
    <w:rsid w:val="00F32F3A"/>
    <w:rsid w:val="00F32F9B"/>
    <w:rsid w:val="00F32FF9"/>
    <w:rsid w:val="00F33058"/>
    <w:rsid w:val="00F330BC"/>
    <w:rsid w:val="00F33112"/>
    <w:rsid w:val="00F331D5"/>
    <w:rsid w:val="00F331DE"/>
    <w:rsid w:val="00F3323E"/>
    <w:rsid w:val="00F33305"/>
    <w:rsid w:val="00F333C0"/>
    <w:rsid w:val="00F333C9"/>
    <w:rsid w:val="00F333D1"/>
    <w:rsid w:val="00F3343E"/>
    <w:rsid w:val="00F33443"/>
    <w:rsid w:val="00F33495"/>
    <w:rsid w:val="00F33646"/>
    <w:rsid w:val="00F336CF"/>
    <w:rsid w:val="00F336DE"/>
    <w:rsid w:val="00F336E9"/>
    <w:rsid w:val="00F3370D"/>
    <w:rsid w:val="00F337E6"/>
    <w:rsid w:val="00F337F9"/>
    <w:rsid w:val="00F3389A"/>
    <w:rsid w:val="00F338E4"/>
    <w:rsid w:val="00F33965"/>
    <w:rsid w:val="00F33A69"/>
    <w:rsid w:val="00F33A6A"/>
    <w:rsid w:val="00F33AF7"/>
    <w:rsid w:val="00F33AFD"/>
    <w:rsid w:val="00F33B12"/>
    <w:rsid w:val="00F33B59"/>
    <w:rsid w:val="00F33B7A"/>
    <w:rsid w:val="00F33BF9"/>
    <w:rsid w:val="00F33D43"/>
    <w:rsid w:val="00F33E27"/>
    <w:rsid w:val="00F33E77"/>
    <w:rsid w:val="00F33EC1"/>
    <w:rsid w:val="00F33F14"/>
    <w:rsid w:val="00F33FB3"/>
    <w:rsid w:val="00F34023"/>
    <w:rsid w:val="00F34043"/>
    <w:rsid w:val="00F3405C"/>
    <w:rsid w:val="00F3408C"/>
    <w:rsid w:val="00F3409C"/>
    <w:rsid w:val="00F340A9"/>
    <w:rsid w:val="00F340C3"/>
    <w:rsid w:val="00F340F1"/>
    <w:rsid w:val="00F341A3"/>
    <w:rsid w:val="00F3423A"/>
    <w:rsid w:val="00F34284"/>
    <w:rsid w:val="00F3428B"/>
    <w:rsid w:val="00F34350"/>
    <w:rsid w:val="00F34388"/>
    <w:rsid w:val="00F343F9"/>
    <w:rsid w:val="00F34472"/>
    <w:rsid w:val="00F34573"/>
    <w:rsid w:val="00F345A6"/>
    <w:rsid w:val="00F345C2"/>
    <w:rsid w:val="00F345D9"/>
    <w:rsid w:val="00F3461B"/>
    <w:rsid w:val="00F3464A"/>
    <w:rsid w:val="00F346CD"/>
    <w:rsid w:val="00F346D2"/>
    <w:rsid w:val="00F34700"/>
    <w:rsid w:val="00F34713"/>
    <w:rsid w:val="00F34724"/>
    <w:rsid w:val="00F347BA"/>
    <w:rsid w:val="00F347C0"/>
    <w:rsid w:val="00F34826"/>
    <w:rsid w:val="00F34841"/>
    <w:rsid w:val="00F348EB"/>
    <w:rsid w:val="00F349C9"/>
    <w:rsid w:val="00F34A57"/>
    <w:rsid w:val="00F34A98"/>
    <w:rsid w:val="00F34ADA"/>
    <w:rsid w:val="00F34BB6"/>
    <w:rsid w:val="00F34BF8"/>
    <w:rsid w:val="00F34CC9"/>
    <w:rsid w:val="00F34D0D"/>
    <w:rsid w:val="00F34D2C"/>
    <w:rsid w:val="00F34D33"/>
    <w:rsid w:val="00F34E1B"/>
    <w:rsid w:val="00F34E3A"/>
    <w:rsid w:val="00F34EA8"/>
    <w:rsid w:val="00F34FCE"/>
    <w:rsid w:val="00F35002"/>
    <w:rsid w:val="00F3501A"/>
    <w:rsid w:val="00F3501B"/>
    <w:rsid w:val="00F3504D"/>
    <w:rsid w:val="00F3514C"/>
    <w:rsid w:val="00F35150"/>
    <w:rsid w:val="00F35176"/>
    <w:rsid w:val="00F351F7"/>
    <w:rsid w:val="00F35227"/>
    <w:rsid w:val="00F352AA"/>
    <w:rsid w:val="00F3531E"/>
    <w:rsid w:val="00F3536E"/>
    <w:rsid w:val="00F3539E"/>
    <w:rsid w:val="00F353A9"/>
    <w:rsid w:val="00F35486"/>
    <w:rsid w:val="00F35495"/>
    <w:rsid w:val="00F354B1"/>
    <w:rsid w:val="00F354B2"/>
    <w:rsid w:val="00F354D7"/>
    <w:rsid w:val="00F3552F"/>
    <w:rsid w:val="00F35570"/>
    <w:rsid w:val="00F355B4"/>
    <w:rsid w:val="00F3569C"/>
    <w:rsid w:val="00F357BD"/>
    <w:rsid w:val="00F357E0"/>
    <w:rsid w:val="00F358D1"/>
    <w:rsid w:val="00F358D9"/>
    <w:rsid w:val="00F3594F"/>
    <w:rsid w:val="00F35A28"/>
    <w:rsid w:val="00F35A30"/>
    <w:rsid w:val="00F35A7F"/>
    <w:rsid w:val="00F35ABD"/>
    <w:rsid w:val="00F35B0D"/>
    <w:rsid w:val="00F35B55"/>
    <w:rsid w:val="00F35BBE"/>
    <w:rsid w:val="00F35C23"/>
    <w:rsid w:val="00F35C42"/>
    <w:rsid w:val="00F35C62"/>
    <w:rsid w:val="00F35C76"/>
    <w:rsid w:val="00F35CCC"/>
    <w:rsid w:val="00F35D2A"/>
    <w:rsid w:val="00F35D42"/>
    <w:rsid w:val="00F35DD2"/>
    <w:rsid w:val="00F35E8A"/>
    <w:rsid w:val="00F35F3D"/>
    <w:rsid w:val="00F35F72"/>
    <w:rsid w:val="00F3602E"/>
    <w:rsid w:val="00F360F5"/>
    <w:rsid w:val="00F36176"/>
    <w:rsid w:val="00F361C3"/>
    <w:rsid w:val="00F361FD"/>
    <w:rsid w:val="00F36231"/>
    <w:rsid w:val="00F364AE"/>
    <w:rsid w:val="00F364BD"/>
    <w:rsid w:val="00F364E2"/>
    <w:rsid w:val="00F364E9"/>
    <w:rsid w:val="00F36515"/>
    <w:rsid w:val="00F3662E"/>
    <w:rsid w:val="00F3665C"/>
    <w:rsid w:val="00F3668A"/>
    <w:rsid w:val="00F366B7"/>
    <w:rsid w:val="00F366B8"/>
    <w:rsid w:val="00F366CB"/>
    <w:rsid w:val="00F36772"/>
    <w:rsid w:val="00F36797"/>
    <w:rsid w:val="00F367CD"/>
    <w:rsid w:val="00F367FC"/>
    <w:rsid w:val="00F3688C"/>
    <w:rsid w:val="00F36A32"/>
    <w:rsid w:val="00F36AFB"/>
    <w:rsid w:val="00F36C55"/>
    <w:rsid w:val="00F36C95"/>
    <w:rsid w:val="00F36D12"/>
    <w:rsid w:val="00F36D6F"/>
    <w:rsid w:val="00F36D7E"/>
    <w:rsid w:val="00F36E2D"/>
    <w:rsid w:val="00F36F00"/>
    <w:rsid w:val="00F36F8C"/>
    <w:rsid w:val="00F36FC8"/>
    <w:rsid w:val="00F3703A"/>
    <w:rsid w:val="00F370EF"/>
    <w:rsid w:val="00F370F6"/>
    <w:rsid w:val="00F37134"/>
    <w:rsid w:val="00F3715E"/>
    <w:rsid w:val="00F371DB"/>
    <w:rsid w:val="00F372FE"/>
    <w:rsid w:val="00F37414"/>
    <w:rsid w:val="00F37465"/>
    <w:rsid w:val="00F3746C"/>
    <w:rsid w:val="00F374BD"/>
    <w:rsid w:val="00F37502"/>
    <w:rsid w:val="00F3756B"/>
    <w:rsid w:val="00F3758E"/>
    <w:rsid w:val="00F375AB"/>
    <w:rsid w:val="00F375FF"/>
    <w:rsid w:val="00F3762E"/>
    <w:rsid w:val="00F37651"/>
    <w:rsid w:val="00F376AF"/>
    <w:rsid w:val="00F376F2"/>
    <w:rsid w:val="00F377CC"/>
    <w:rsid w:val="00F377F4"/>
    <w:rsid w:val="00F37894"/>
    <w:rsid w:val="00F378BE"/>
    <w:rsid w:val="00F3792D"/>
    <w:rsid w:val="00F3794F"/>
    <w:rsid w:val="00F3795B"/>
    <w:rsid w:val="00F37AA8"/>
    <w:rsid w:val="00F37B02"/>
    <w:rsid w:val="00F37B32"/>
    <w:rsid w:val="00F37B71"/>
    <w:rsid w:val="00F37C9D"/>
    <w:rsid w:val="00F37CA0"/>
    <w:rsid w:val="00F37CBF"/>
    <w:rsid w:val="00F37D4F"/>
    <w:rsid w:val="00F37D6D"/>
    <w:rsid w:val="00F37DB7"/>
    <w:rsid w:val="00F37DBC"/>
    <w:rsid w:val="00F37E08"/>
    <w:rsid w:val="00F37E26"/>
    <w:rsid w:val="00F37E28"/>
    <w:rsid w:val="00F37EAC"/>
    <w:rsid w:val="00F37EDF"/>
    <w:rsid w:val="00F37F6A"/>
    <w:rsid w:val="00F37F9D"/>
    <w:rsid w:val="00F4000B"/>
    <w:rsid w:val="00F40068"/>
    <w:rsid w:val="00F400C2"/>
    <w:rsid w:val="00F40183"/>
    <w:rsid w:val="00F401CA"/>
    <w:rsid w:val="00F4022F"/>
    <w:rsid w:val="00F402C1"/>
    <w:rsid w:val="00F402D0"/>
    <w:rsid w:val="00F40344"/>
    <w:rsid w:val="00F40376"/>
    <w:rsid w:val="00F40400"/>
    <w:rsid w:val="00F40419"/>
    <w:rsid w:val="00F404A1"/>
    <w:rsid w:val="00F404A8"/>
    <w:rsid w:val="00F40515"/>
    <w:rsid w:val="00F4059E"/>
    <w:rsid w:val="00F405FB"/>
    <w:rsid w:val="00F40691"/>
    <w:rsid w:val="00F4072F"/>
    <w:rsid w:val="00F407E2"/>
    <w:rsid w:val="00F407E5"/>
    <w:rsid w:val="00F407F1"/>
    <w:rsid w:val="00F40828"/>
    <w:rsid w:val="00F40834"/>
    <w:rsid w:val="00F409AE"/>
    <w:rsid w:val="00F409B8"/>
    <w:rsid w:val="00F40B9B"/>
    <w:rsid w:val="00F40E39"/>
    <w:rsid w:val="00F40E83"/>
    <w:rsid w:val="00F40EAD"/>
    <w:rsid w:val="00F40ED1"/>
    <w:rsid w:val="00F40EDD"/>
    <w:rsid w:val="00F40EFD"/>
    <w:rsid w:val="00F41007"/>
    <w:rsid w:val="00F41072"/>
    <w:rsid w:val="00F41127"/>
    <w:rsid w:val="00F41201"/>
    <w:rsid w:val="00F4122F"/>
    <w:rsid w:val="00F41269"/>
    <w:rsid w:val="00F41271"/>
    <w:rsid w:val="00F412A0"/>
    <w:rsid w:val="00F412D2"/>
    <w:rsid w:val="00F41372"/>
    <w:rsid w:val="00F41419"/>
    <w:rsid w:val="00F414B5"/>
    <w:rsid w:val="00F414D9"/>
    <w:rsid w:val="00F41507"/>
    <w:rsid w:val="00F4154E"/>
    <w:rsid w:val="00F415A3"/>
    <w:rsid w:val="00F415C0"/>
    <w:rsid w:val="00F415E5"/>
    <w:rsid w:val="00F4160B"/>
    <w:rsid w:val="00F41623"/>
    <w:rsid w:val="00F416B4"/>
    <w:rsid w:val="00F416D0"/>
    <w:rsid w:val="00F41723"/>
    <w:rsid w:val="00F4172C"/>
    <w:rsid w:val="00F41737"/>
    <w:rsid w:val="00F41756"/>
    <w:rsid w:val="00F417E1"/>
    <w:rsid w:val="00F41967"/>
    <w:rsid w:val="00F4198D"/>
    <w:rsid w:val="00F419B5"/>
    <w:rsid w:val="00F41A59"/>
    <w:rsid w:val="00F41A77"/>
    <w:rsid w:val="00F41AED"/>
    <w:rsid w:val="00F41B0A"/>
    <w:rsid w:val="00F41B37"/>
    <w:rsid w:val="00F41B40"/>
    <w:rsid w:val="00F41B7F"/>
    <w:rsid w:val="00F41BDE"/>
    <w:rsid w:val="00F41C1D"/>
    <w:rsid w:val="00F41C67"/>
    <w:rsid w:val="00F41D23"/>
    <w:rsid w:val="00F41D4A"/>
    <w:rsid w:val="00F41DB8"/>
    <w:rsid w:val="00F41DE9"/>
    <w:rsid w:val="00F41FEC"/>
    <w:rsid w:val="00F42003"/>
    <w:rsid w:val="00F420AF"/>
    <w:rsid w:val="00F42106"/>
    <w:rsid w:val="00F42154"/>
    <w:rsid w:val="00F421B4"/>
    <w:rsid w:val="00F4221C"/>
    <w:rsid w:val="00F42225"/>
    <w:rsid w:val="00F42231"/>
    <w:rsid w:val="00F4224C"/>
    <w:rsid w:val="00F42251"/>
    <w:rsid w:val="00F4225B"/>
    <w:rsid w:val="00F422B4"/>
    <w:rsid w:val="00F423D1"/>
    <w:rsid w:val="00F4244A"/>
    <w:rsid w:val="00F42491"/>
    <w:rsid w:val="00F424B5"/>
    <w:rsid w:val="00F424D0"/>
    <w:rsid w:val="00F42519"/>
    <w:rsid w:val="00F42548"/>
    <w:rsid w:val="00F425CC"/>
    <w:rsid w:val="00F425D0"/>
    <w:rsid w:val="00F42605"/>
    <w:rsid w:val="00F42679"/>
    <w:rsid w:val="00F426EE"/>
    <w:rsid w:val="00F42703"/>
    <w:rsid w:val="00F4270E"/>
    <w:rsid w:val="00F42773"/>
    <w:rsid w:val="00F427F0"/>
    <w:rsid w:val="00F4287F"/>
    <w:rsid w:val="00F42966"/>
    <w:rsid w:val="00F4298E"/>
    <w:rsid w:val="00F429A1"/>
    <w:rsid w:val="00F42A11"/>
    <w:rsid w:val="00F42A8C"/>
    <w:rsid w:val="00F42B4B"/>
    <w:rsid w:val="00F42C24"/>
    <w:rsid w:val="00F42CD7"/>
    <w:rsid w:val="00F42D47"/>
    <w:rsid w:val="00F42E50"/>
    <w:rsid w:val="00F42E5D"/>
    <w:rsid w:val="00F42EA3"/>
    <w:rsid w:val="00F42EB3"/>
    <w:rsid w:val="00F42ED0"/>
    <w:rsid w:val="00F430EA"/>
    <w:rsid w:val="00F4314C"/>
    <w:rsid w:val="00F4316C"/>
    <w:rsid w:val="00F43180"/>
    <w:rsid w:val="00F4323D"/>
    <w:rsid w:val="00F4327E"/>
    <w:rsid w:val="00F432C5"/>
    <w:rsid w:val="00F4343D"/>
    <w:rsid w:val="00F434B4"/>
    <w:rsid w:val="00F434F7"/>
    <w:rsid w:val="00F43581"/>
    <w:rsid w:val="00F435A3"/>
    <w:rsid w:val="00F43628"/>
    <w:rsid w:val="00F43671"/>
    <w:rsid w:val="00F43676"/>
    <w:rsid w:val="00F436AA"/>
    <w:rsid w:val="00F4375B"/>
    <w:rsid w:val="00F43766"/>
    <w:rsid w:val="00F43795"/>
    <w:rsid w:val="00F43817"/>
    <w:rsid w:val="00F43830"/>
    <w:rsid w:val="00F438EE"/>
    <w:rsid w:val="00F439A0"/>
    <w:rsid w:val="00F439D2"/>
    <w:rsid w:val="00F439F2"/>
    <w:rsid w:val="00F43A20"/>
    <w:rsid w:val="00F43B04"/>
    <w:rsid w:val="00F43B12"/>
    <w:rsid w:val="00F43B53"/>
    <w:rsid w:val="00F43B69"/>
    <w:rsid w:val="00F43CA4"/>
    <w:rsid w:val="00F43CF0"/>
    <w:rsid w:val="00F43D60"/>
    <w:rsid w:val="00F43DC5"/>
    <w:rsid w:val="00F43E43"/>
    <w:rsid w:val="00F43E78"/>
    <w:rsid w:val="00F43E8B"/>
    <w:rsid w:val="00F43F02"/>
    <w:rsid w:val="00F44014"/>
    <w:rsid w:val="00F440CD"/>
    <w:rsid w:val="00F44129"/>
    <w:rsid w:val="00F4415C"/>
    <w:rsid w:val="00F4417B"/>
    <w:rsid w:val="00F441A6"/>
    <w:rsid w:val="00F441B6"/>
    <w:rsid w:val="00F441BE"/>
    <w:rsid w:val="00F442A6"/>
    <w:rsid w:val="00F442B1"/>
    <w:rsid w:val="00F4438D"/>
    <w:rsid w:val="00F4442B"/>
    <w:rsid w:val="00F44481"/>
    <w:rsid w:val="00F44573"/>
    <w:rsid w:val="00F44574"/>
    <w:rsid w:val="00F445A8"/>
    <w:rsid w:val="00F445DF"/>
    <w:rsid w:val="00F44615"/>
    <w:rsid w:val="00F446D8"/>
    <w:rsid w:val="00F447C7"/>
    <w:rsid w:val="00F447EE"/>
    <w:rsid w:val="00F44807"/>
    <w:rsid w:val="00F4481D"/>
    <w:rsid w:val="00F4490F"/>
    <w:rsid w:val="00F4496A"/>
    <w:rsid w:val="00F4497D"/>
    <w:rsid w:val="00F449B8"/>
    <w:rsid w:val="00F449BF"/>
    <w:rsid w:val="00F44B65"/>
    <w:rsid w:val="00F44B75"/>
    <w:rsid w:val="00F44B85"/>
    <w:rsid w:val="00F44C60"/>
    <w:rsid w:val="00F44CEE"/>
    <w:rsid w:val="00F44CF5"/>
    <w:rsid w:val="00F44CF6"/>
    <w:rsid w:val="00F44E49"/>
    <w:rsid w:val="00F44EA1"/>
    <w:rsid w:val="00F44EB3"/>
    <w:rsid w:val="00F44EC9"/>
    <w:rsid w:val="00F44F54"/>
    <w:rsid w:val="00F44F82"/>
    <w:rsid w:val="00F45013"/>
    <w:rsid w:val="00F4509C"/>
    <w:rsid w:val="00F450A8"/>
    <w:rsid w:val="00F450FF"/>
    <w:rsid w:val="00F4510D"/>
    <w:rsid w:val="00F453BF"/>
    <w:rsid w:val="00F45500"/>
    <w:rsid w:val="00F4550D"/>
    <w:rsid w:val="00F45523"/>
    <w:rsid w:val="00F45546"/>
    <w:rsid w:val="00F4562E"/>
    <w:rsid w:val="00F4567D"/>
    <w:rsid w:val="00F456D8"/>
    <w:rsid w:val="00F456EA"/>
    <w:rsid w:val="00F45757"/>
    <w:rsid w:val="00F457AA"/>
    <w:rsid w:val="00F45838"/>
    <w:rsid w:val="00F45852"/>
    <w:rsid w:val="00F4586C"/>
    <w:rsid w:val="00F458B4"/>
    <w:rsid w:val="00F458FF"/>
    <w:rsid w:val="00F45906"/>
    <w:rsid w:val="00F45959"/>
    <w:rsid w:val="00F459E8"/>
    <w:rsid w:val="00F45A11"/>
    <w:rsid w:val="00F45A2E"/>
    <w:rsid w:val="00F45A32"/>
    <w:rsid w:val="00F45B2B"/>
    <w:rsid w:val="00F45B2F"/>
    <w:rsid w:val="00F45B7B"/>
    <w:rsid w:val="00F45C21"/>
    <w:rsid w:val="00F45CD4"/>
    <w:rsid w:val="00F45D0B"/>
    <w:rsid w:val="00F45D21"/>
    <w:rsid w:val="00F45D30"/>
    <w:rsid w:val="00F45D82"/>
    <w:rsid w:val="00F45DC6"/>
    <w:rsid w:val="00F45E58"/>
    <w:rsid w:val="00F45E78"/>
    <w:rsid w:val="00F45EBD"/>
    <w:rsid w:val="00F45EE4"/>
    <w:rsid w:val="00F45FA2"/>
    <w:rsid w:val="00F45FAF"/>
    <w:rsid w:val="00F45FB3"/>
    <w:rsid w:val="00F46011"/>
    <w:rsid w:val="00F460CB"/>
    <w:rsid w:val="00F46169"/>
    <w:rsid w:val="00F46218"/>
    <w:rsid w:val="00F462BC"/>
    <w:rsid w:val="00F462BE"/>
    <w:rsid w:val="00F4638D"/>
    <w:rsid w:val="00F4657E"/>
    <w:rsid w:val="00F465D0"/>
    <w:rsid w:val="00F465D8"/>
    <w:rsid w:val="00F465F1"/>
    <w:rsid w:val="00F4668D"/>
    <w:rsid w:val="00F466CD"/>
    <w:rsid w:val="00F466DA"/>
    <w:rsid w:val="00F466F7"/>
    <w:rsid w:val="00F4678C"/>
    <w:rsid w:val="00F467AA"/>
    <w:rsid w:val="00F467E3"/>
    <w:rsid w:val="00F46800"/>
    <w:rsid w:val="00F4681F"/>
    <w:rsid w:val="00F4686D"/>
    <w:rsid w:val="00F46988"/>
    <w:rsid w:val="00F469A7"/>
    <w:rsid w:val="00F469AB"/>
    <w:rsid w:val="00F469CD"/>
    <w:rsid w:val="00F469EC"/>
    <w:rsid w:val="00F46A01"/>
    <w:rsid w:val="00F46A03"/>
    <w:rsid w:val="00F46A20"/>
    <w:rsid w:val="00F46A32"/>
    <w:rsid w:val="00F46A45"/>
    <w:rsid w:val="00F46A7E"/>
    <w:rsid w:val="00F46B15"/>
    <w:rsid w:val="00F46B29"/>
    <w:rsid w:val="00F46B9B"/>
    <w:rsid w:val="00F46BA2"/>
    <w:rsid w:val="00F46C28"/>
    <w:rsid w:val="00F46CA0"/>
    <w:rsid w:val="00F46CA7"/>
    <w:rsid w:val="00F46CAD"/>
    <w:rsid w:val="00F46CBC"/>
    <w:rsid w:val="00F46D24"/>
    <w:rsid w:val="00F46D3D"/>
    <w:rsid w:val="00F46DD7"/>
    <w:rsid w:val="00F46E15"/>
    <w:rsid w:val="00F46E4A"/>
    <w:rsid w:val="00F46F25"/>
    <w:rsid w:val="00F47003"/>
    <w:rsid w:val="00F4709C"/>
    <w:rsid w:val="00F4712F"/>
    <w:rsid w:val="00F47192"/>
    <w:rsid w:val="00F47291"/>
    <w:rsid w:val="00F47360"/>
    <w:rsid w:val="00F4739B"/>
    <w:rsid w:val="00F473E3"/>
    <w:rsid w:val="00F4746F"/>
    <w:rsid w:val="00F4747A"/>
    <w:rsid w:val="00F47503"/>
    <w:rsid w:val="00F4754A"/>
    <w:rsid w:val="00F475B4"/>
    <w:rsid w:val="00F47641"/>
    <w:rsid w:val="00F47673"/>
    <w:rsid w:val="00F476E4"/>
    <w:rsid w:val="00F4776D"/>
    <w:rsid w:val="00F478A2"/>
    <w:rsid w:val="00F47A2E"/>
    <w:rsid w:val="00F47B28"/>
    <w:rsid w:val="00F47B4C"/>
    <w:rsid w:val="00F47B60"/>
    <w:rsid w:val="00F47CB4"/>
    <w:rsid w:val="00F47CC1"/>
    <w:rsid w:val="00F47D56"/>
    <w:rsid w:val="00F47D8E"/>
    <w:rsid w:val="00F47DEB"/>
    <w:rsid w:val="00F47ED9"/>
    <w:rsid w:val="00F50160"/>
    <w:rsid w:val="00F50196"/>
    <w:rsid w:val="00F501E4"/>
    <w:rsid w:val="00F501E6"/>
    <w:rsid w:val="00F50288"/>
    <w:rsid w:val="00F5028F"/>
    <w:rsid w:val="00F502EF"/>
    <w:rsid w:val="00F5035A"/>
    <w:rsid w:val="00F50376"/>
    <w:rsid w:val="00F503F9"/>
    <w:rsid w:val="00F50505"/>
    <w:rsid w:val="00F50562"/>
    <w:rsid w:val="00F505FF"/>
    <w:rsid w:val="00F5064B"/>
    <w:rsid w:val="00F5064E"/>
    <w:rsid w:val="00F50651"/>
    <w:rsid w:val="00F50655"/>
    <w:rsid w:val="00F506E1"/>
    <w:rsid w:val="00F506F0"/>
    <w:rsid w:val="00F5075F"/>
    <w:rsid w:val="00F508A4"/>
    <w:rsid w:val="00F508DD"/>
    <w:rsid w:val="00F508ED"/>
    <w:rsid w:val="00F50942"/>
    <w:rsid w:val="00F50A5F"/>
    <w:rsid w:val="00F50AA8"/>
    <w:rsid w:val="00F50BC3"/>
    <w:rsid w:val="00F50C14"/>
    <w:rsid w:val="00F50C31"/>
    <w:rsid w:val="00F50C5E"/>
    <w:rsid w:val="00F50CB8"/>
    <w:rsid w:val="00F50CFC"/>
    <w:rsid w:val="00F50D26"/>
    <w:rsid w:val="00F50D8D"/>
    <w:rsid w:val="00F50DC8"/>
    <w:rsid w:val="00F50DDE"/>
    <w:rsid w:val="00F50DF1"/>
    <w:rsid w:val="00F50DF5"/>
    <w:rsid w:val="00F50E49"/>
    <w:rsid w:val="00F51016"/>
    <w:rsid w:val="00F5114F"/>
    <w:rsid w:val="00F51228"/>
    <w:rsid w:val="00F51289"/>
    <w:rsid w:val="00F512CC"/>
    <w:rsid w:val="00F512F5"/>
    <w:rsid w:val="00F5131B"/>
    <w:rsid w:val="00F51372"/>
    <w:rsid w:val="00F51379"/>
    <w:rsid w:val="00F514A9"/>
    <w:rsid w:val="00F514C0"/>
    <w:rsid w:val="00F515A7"/>
    <w:rsid w:val="00F515D3"/>
    <w:rsid w:val="00F51644"/>
    <w:rsid w:val="00F51659"/>
    <w:rsid w:val="00F516F3"/>
    <w:rsid w:val="00F518A6"/>
    <w:rsid w:val="00F518DA"/>
    <w:rsid w:val="00F518F2"/>
    <w:rsid w:val="00F51A2A"/>
    <w:rsid w:val="00F51A95"/>
    <w:rsid w:val="00F51B50"/>
    <w:rsid w:val="00F51B8B"/>
    <w:rsid w:val="00F51BD4"/>
    <w:rsid w:val="00F51BE8"/>
    <w:rsid w:val="00F51C19"/>
    <w:rsid w:val="00F51C52"/>
    <w:rsid w:val="00F51C68"/>
    <w:rsid w:val="00F51C8A"/>
    <w:rsid w:val="00F51C9E"/>
    <w:rsid w:val="00F51CDE"/>
    <w:rsid w:val="00F51CE3"/>
    <w:rsid w:val="00F51D27"/>
    <w:rsid w:val="00F51D9C"/>
    <w:rsid w:val="00F51E40"/>
    <w:rsid w:val="00F51EA3"/>
    <w:rsid w:val="00F51ED7"/>
    <w:rsid w:val="00F51FB4"/>
    <w:rsid w:val="00F51FF2"/>
    <w:rsid w:val="00F52007"/>
    <w:rsid w:val="00F52044"/>
    <w:rsid w:val="00F52071"/>
    <w:rsid w:val="00F5207C"/>
    <w:rsid w:val="00F520B2"/>
    <w:rsid w:val="00F52210"/>
    <w:rsid w:val="00F5229C"/>
    <w:rsid w:val="00F522A3"/>
    <w:rsid w:val="00F522EF"/>
    <w:rsid w:val="00F52337"/>
    <w:rsid w:val="00F52367"/>
    <w:rsid w:val="00F52383"/>
    <w:rsid w:val="00F523E4"/>
    <w:rsid w:val="00F523FC"/>
    <w:rsid w:val="00F5240B"/>
    <w:rsid w:val="00F5241F"/>
    <w:rsid w:val="00F524E7"/>
    <w:rsid w:val="00F524F5"/>
    <w:rsid w:val="00F52507"/>
    <w:rsid w:val="00F52536"/>
    <w:rsid w:val="00F5259B"/>
    <w:rsid w:val="00F525B5"/>
    <w:rsid w:val="00F525B7"/>
    <w:rsid w:val="00F525D7"/>
    <w:rsid w:val="00F5260C"/>
    <w:rsid w:val="00F5262B"/>
    <w:rsid w:val="00F52689"/>
    <w:rsid w:val="00F526A8"/>
    <w:rsid w:val="00F526F3"/>
    <w:rsid w:val="00F527BE"/>
    <w:rsid w:val="00F5280A"/>
    <w:rsid w:val="00F5283F"/>
    <w:rsid w:val="00F52840"/>
    <w:rsid w:val="00F52958"/>
    <w:rsid w:val="00F5295C"/>
    <w:rsid w:val="00F52962"/>
    <w:rsid w:val="00F529BA"/>
    <w:rsid w:val="00F529BB"/>
    <w:rsid w:val="00F529ED"/>
    <w:rsid w:val="00F52A02"/>
    <w:rsid w:val="00F52AF6"/>
    <w:rsid w:val="00F52C25"/>
    <w:rsid w:val="00F52C85"/>
    <w:rsid w:val="00F52CA6"/>
    <w:rsid w:val="00F52CE4"/>
    <w:rsid w:val="00F52DDF"/>
    <w:rsid w:val="00F52E64"/>
    <w:rsid w:val="00F52ECE"/>
    <w:rsid w:val="00F52F1E"/>
    <w:rsid w:val="00F52F41"/>
    <w:rsid w:val="00F52FA1"/>
    <w:rsid w:val="00F52FC7"/>
    <w:rsid w:val="00F52FEF"/>
    <w:rsid w:val="00F53001"/>
    <w:rsid w:val="00F5301D"/>
    <w:rsid w:val="00F53094"/>
    <w:rsid w:val="00F530C1"/>
    <w:rsid w:val="00F530E7"/>
    <w:rsid w:val="00F53188"/>
    <w:rsid w:val="00F531AD"/>
    <w:rsid w:val="00F5321A"/>
    <w:rsid w:val="00F53228"/>
    <w:rsid w:val="00F53247"/>
    <w:rsid w:val="00F53280"/>
    <w:rsid w:val="00F532F4"/>
    <w:rsid w:val="00F53326"/>
    <w:rsid w:val="00F53443"/>
    <w:rsid w:val="00F535FD"/>
    <w:rsid w:val="00F53611"/>
    <w:rsid w:val="00F53649"/>
    <w:rsid w:val="00F536F8"/>
    <w:rsid w:val="00F53726"/>
    <w:rsid w:val="00F537CA"/>
    <w:rsid w:val="00F5384D"/>
    <w:rsid w:val="00F538D7"/>
    <w:rsid w:val="00F538E0"/>
    <w:rsid w:val="00F53927"/>
    <w:rsid w:val="00F53996"/>
    <w:rsid w:val="00F539CC"/>
    <w:rsid w:val="00F539E6"/>
    <w:rsid w:val="00F539F8"/>
    <w:rsid w:val="00F53A01"/>
    <w:rsid w:val="00F53A22"/>
    <w:rsid w:val="00F53A33"/>
    <w:rsid w:val="00F53A3A"/>
    <w:rsid w:val="00F53A4D"/>
    <w:rsid w:val="00F53B3E"/>
    <w:rsid w:val="00F53BC8"/>
    <w:rsid w:val="00F53C8F"/>
    <w:rsid w:val="00F53D50"/>
    <w:rsid w:val="00F53E7F"/>
    <w:rsid w:val="00F53EA5"/>
    <w:rsid w:val="00F53EEA"/>
    <w:rsid w:val="00F53F63"/>
    <w:rsid w:val="00F53F76"/>
    <w:rsid w:val="00F53F89"/>
    <w:rsid w:val="00F54008"/>
    <w:rsid w:val="00F5400E"/>
    <w:rsid w:val="00F540D7"/>
    <w:rsid w:val="00F540E2"/>
    <w:rsid w:val="00F5417C"/>
    <w:rsid w:val="00F54270"/>
    <w:rsid w:val="00F542A2"/>
    <w:rsid w:val="00F542D8"/>
    <w:rsid w:val="00F54302"/>
    <w:rsid w:val="00F54331"/>
    <w:rsid w:val="00F5436F"/>
    <w:rsid w:val="00F54375"/>
    <w:rsid w:val="00F54492"/>
    <w:rsid w:val="00F54529"/>
    <w:rsid w:val="00F54539"/>
    <w:rsid w:val="00F54563"/>
    <w:rsid w:val="00F5458A"/>
    <w:rsid w:val="00F54651"/>
    <w:rsid w:val="00F5469A"/>
    <w:rsid w:val="00F546E4"/>
    <w:rsid w:val="00F54709"/>
    <w:rsid w:val="00F54826"/>
    <w:rsid w:val="00F5482A"/>
    <w:rsid w:val="00F5483F"/>
    <w:rsid w:val="00F54882"/>
    <w:rsid w:val="00F54BA2"/>
    <w:rsid w:val="00F54BA9"/>
    <w:rsid w:val="00F54C41"/>
    <w:rsid w:val="00F54C45"/>
    <w:rsid w:val="00F54CC8"/>
    <w:rsid w:val="00F54CD1"/>
    <w:rsid w:val="00F54CED"/>
    <w:rsid w:val="00F54E58"/>
    <w:rsid w:val="00F54E6E"/>
    <w:rsid w:val="00F54EA8"/>
    <w:rsid w:val="00F54F34"/>
    <w:rsid w:val="00F5501B"/>
    <w:rsid w:val="00F55027"/>
    <w:rsid w:val="00F550EA"/>
    <w:rsid w:val="00F550ED"/>
    <w:rsid w:val="00F55113"/>
    <w:rsid w:val="00F55159"/>
    <w:rsid w:val="00F551AF"/>
    <w:rsid w:val="00F55217"/>
    <w:rsid w:val="00F5523F"/>
    <w:rsid w:val="00F55275"/>
    <w:rsid w:val="00F55294"/>
    <w:rsid w:val="00F552BB"/>
    <w:rsid w:val="00F552D2"/>
    <w:rsid w:val="00F5530D"/>
    <w:rsid w:val="00F55352"/>
    <w:rsid w:val="00F5536C"/>
    <w:rsid w:val="00F55380"/>
    <w:rsid w:val="00F553B1"/>
    <w:rsid w:val="00F553BE"/>
    <w:rsid w:val="00F55407"/>
    <w:rsid w:val="00F55412"/>
    <w:rsid w:val="00F5542A"/>
    <w:rsid w:val="00F55550"/>
    <w:rsid w:val="00F55668"/>
    <w:rsid w:val="00F556A6"/>
    <w:rsid w:val="00F55761"/>
    <w:rsid w:val="00F557B4"/>
    <w:rsid w:val="00F5584B"/>
    <w:rsid w:val="00F558E9"/>
    <w:rsid w:val="00F55A4E"/>
    <w:rsid w:val="00F55AA8"/>
    <w:rsid w:val="00F55AAE"/>
    <w:rsid w:val="00F55AD2"/>
    <w:rsid w:val="00F55AEA"/>
    <w:rsid w:val="00F55B2B"/>
    <w:rsid w:val="00F55B37"/>
    <w:rsid w:val="00F55B73"/>
    <w:rsid w:val="00F55BD6"/>
    <w:rsid w:val="00F55C15"/>
    <w:rsid w:val="00F55C4E"/>
    <w:rsid w:val="00F55C9B"/>
    <w:rsid w:val="00F55CEE"/>
    <w:rsid w:val="00F55D07"/>
    <w:rsid w:val="00F55D1B"/>
    <w:rsid w:val="00F55D6E"/>
    <w:rsid w:val="00F55EF6"/>
    <w:rsid w:val="00F55F33"/>
    <w:rsid w:val="00F55F92"/>
    <w:rsid w:val="00F55F96"/>
    <w:rsid w:val="00F55FCF"/>
    <w:rsid w:val="00F55FD2"/>
    <w:rsid w:val="00F56013"/>
    <w:rsid w:val="00F56127"/>
    <w:rsid w:val="00F56129"/>
    <w:rsid w:val="00F5615E"/>
    <w:rsid w:val="00F561E3"/>
    <w:rsid w:val="00F56206"/>
    <w:rsid w:val="00F56208"/>
    <w:rsid w:val="00F56217"/>
    <w:rsid w:val="00F56231"/>
    <w:rsid w:val="00F56239"/>
    <w:rsid w:val="00F56251"/>
    <w:rsid w:val="00F56385"/>
    <w:rsid w:val="00F563DB"/>
    <w:rsid w:val="00F56419"/>
    <w:rsid w:val="00F5646F"/>
    <w:rsid w:val="00F5649D"/>
    <w:rsid w:val="00F56671"/>
    <w:rsid w:val="00F56680"/>
    <w:rsid w:val="00F5669F"/>
    <w:rsid w:val="00F566A0"/>
    <w:rsid w:val="00F566E5"/>
    <w:rsid w:val="00F56726"/>
    <w:rsid w:val="00F567E3"/>
    <w:rsid w:val="00F567F6"/>
    <w:rsid w:val="00F568AC"/>
    <w:rsid w:val="00F56908"/>
    <w:rsid w:val="00F5693C"/>
    <w:rsid w:val="00F569DF"/>
    <w:rsid w:val="00F569EB"/>
    <w:rsid w:val="00F56B7E"/>
    <w:rsid w:val="00F56B96"/>
    <w:rsid w:val="00F56BED"/>
    <w:rsid w:val="00F56C03"/>
    <w:rsid w:val="00F56D54"/>
    <w:rsid w:val="00F56D5F"/>
    <w:rsid w:val="00F56DB4"/>
    <w:rsid w:val="00F56DFD"/>
    <w:rsid w:val="00F56E67"/>
    <w:rsid w:val="00F56ED3"/>
    <w:rsid w:val="00F56ED8"/>
    <w:rsid w:val="00F56F14"/>
    <w:rsid w:val="00F56F2A"/>
    <w:rsid w:val="00F56F4A"/>
    <w:rsid w:val="00F56F6F"/>
    <w:rsid w:val="00F56FFD"/>
    <w:rsid w:val="00F57034"/>
    <w:rsid w:val="00F570B1"/>
    <w:rsid w:val="00F570B4"/>
    <w:rsid w:val="00F57144"/>
    <w:rsid w:val="00F5718C"/>
    <w:rsid w:val="00F571C7"/>
    <w:rsid w:val="00F571D2"/>
    <w:rsid w:val="00F5721D"/>
    <w:rsid w:val="00F57233"/>
    <w:rsid w:val="00F5725E"/>
    <w:rsid w:val="00F57278"/>
    <w:rsid w:val="00F572B6"/>
    <w:rsid w:val="00F57314"/>
    <w:rsid w:val="00F5735B"/>
    <w:rsid w:val="00F5739C"/>
    <w:rsid w:val="00F57402"/>
    <w:rsid w:val="00F574C4"/>
    <w:rsid w:val="00F574E1"/>
    <w:rsid w:val="00F57582"/>
    <w:rsid w:val="00F576B3"/>
    <w:rsid w:val="00F576BD"/>
    <w:rsid w:val="00F57738"/>
    <w:rsid w:val="00F57749"/>
    <w:rsid w:val="00F5775E"/>
    <w:rsid w:val="00F57761"/>
    <w:rsid w:val="00F57773"/>
    <w:rsid w:val="00F57786"/>
    <w:rsid w:val="00F577BF"/>
    <w:rsid w:val="00F5788C"/>
    <w:rsid w:val="00F5788F"/>
    <w:rsid w:val="00F5790B"/>
    <w:rsid w:val="00F57925"/>
    <w:rsid w:val="00F5793D"/>
    <w:rsid w:val="00F57948"/>
    <w:rsid w:val="00F57985"/>
    <w:rsid w:val="00F579BE"/>
    <w:rsid w:val="00F57A80"/>
    <w:rsid w:val="00F57AB5"/>
    <w:rsid w:val="00F57AC0"/>
    <w:rsid w:val="00F57B0A"/>
    <w:rsid w:val="00F57B53"/>
    <w:rsid w:val="00F57B62"/>
    <w:rsid w:val="00F57B93"/>
    <w:rsid w:val="00F57D0A"/>
    <w:rsid w:val="00F57DD9"/>
    <w:rsid w:val="00F57E62"/>
    <w:rsid w:val="00F57F37"/>
    <w:rsid w:val="00F57FFE"/>
    <w:rsid w:val="00F60028"/>
    <w:rsid w:val="00F60049"/>
    <w:rsid w:val="00F60092"/>
    <w:rsid w:val="00F6016A"/>
    <w:rsid w:val="00F6016E"/>
    <w:rsid w:val="00F60225"/>
    <w:rsid w:val="00F60226"/>
    <w:rsid w:val="00F60232"/>
    <w:rsid w:val="00F60245"/>
    <w:rsid w:val="00F60252"/>
    <w:rsid w:val="00F602A1"/>
    <w:rsid w:val="00F602BD"/>
    <w:rsid w:val="00F602E3"/>
    <w:rsid w:val="00F602EB"/>
    <w:rsid w:val="00F60305"/>
    <w:rsid w:val="00F60307"/>
    <w:rsid w:val="00F60337"/>
    <w:rsid w:val="00F603FF"/>
    <w:rsid w:val="00F60455"/>
    <w:rsid w:val="00F60539"/>
    <w:rsid w:val="00F60671"/>
    <w:rsid w:val="00F6068F"/>
    <w:rsid w:val="00F60694"/>
    <w:rsid w:val="00F60791"/>
    <w:rsid w:val="00F607C6"/>
    <w:rsid w:val="00F607D7"/>
    <w:rsid w:val="00F60845"/>
    <w:rsid w:val="00F6085D"/>
    <w:rsid w:val="00F608BC"/>
    <w:rsid w:val="00F608EE"/>
    <w:rsid w:val="00F6091D"/>
    <w:rsid w:val="00F60933"/>
    <w:rsid w:val="00F60951"/>
    <w:rsid w:val="00F609C4"/>
    <w:rsid w:val="00F609CD"/>
    <w:rsid w:val="00F60A1C"/>
    <w:rsid w:val="00F60A6C"/>
    <w:rsid w:val="00F60B35"/>
    <w:rsid w:val="00F60BA6"/>
    <w:rsid w:val="00F60BF6"/>
    <w:rsid w:val="00F60C17"/>
    <w:rsid w:val="00F60D88"/>
    <w:rsid w:val="00F60DA6"/>
    <w:rsid w:val="00F60E32"/>
    <w:rsid w:val="00F60E40"/>
    <w:rsid w:val="00F60E42"/>
    <w:rsid w:val="00F60E66"/>
    <w:rsid w:val="00F60E7D"/>
    <w:rsid w:val="00F60EAA"/>
    <w:rsid w:val="00F61016"/>
    <w:rsid w:val="00F611CF"/>
    <w:rsid w:val="00F61220"/>
    <w:rsid w:val="00F61284"/>
    <w:rsid w:val="00F612AE"/>
    <w:rsid w:val="00F612BA"/>
    <w:rsid w:val="00F612E4"/>
    <w:rsid w:val="00F61376"/>
    <w:rsid w:val="00F61396"/>
    <w:rsid w:val="00F613E0"/>
    <w:rsid w:val="00F6148B"/>
    <w:rsid w:val="00F6149B"/>
    <w:rsid w:val="00F614E7"/>
    <w:rsid w:val="00F614FC"/>
    <w:rsid w:val="00F6151F"/>
    <w:rsid w:val="00F61548"/>
    <w:rsid w:val="00F61569"/>
    <w:rsid w:val="00F615DA"/>
    <w:rsid w:val="00F615E7"/>
    <w:rsid w:val="00F615E9"/>
    <w:rsid w:val="00F61643"/>
    <w:rsid w:val="00F61735"/>
    <w:rsid w:val="00F61752"/>
    <w:rsid w:val="00F61793"/>
    <w:rsid w:val="00F617BF"/>
    <w:rsid w:val="00F6184D"/>
    <w:rsid w:val="00F61894"/>
    <w:rsid w:val="00F618B6"/>
    <w:rsid w:val="00F6192B"/>
    <w:rsid w:val="00F61942"/>
    <w:rsid w:val="00F619D5"/>
    <w:rsid w:val="00F619F6"/>
    <w:rsid w:val="00F61A1E"/>
    <w:rsid w:val="00F61ACD"/>
    <w:rsid w:val="00F61AE3"/>
    <w:rsid w:val="00F61B30"/>
    <w:rsid w:val="00F61BDA"/>
    <w:rsid w:val="00F61BF7"/>
    <w:rsid w:val="00F61C22"/>
    <w:rsid w:val="00F61C4C"/>
    <w:rsid w:val="00F61CE1"/>
    <w:rsid w:val="00F61D1F"/>
    <w:rsid w:val="00F61D2C"/>
    <w:rsid w:val="00F61D3E"/>
    <w:rsid w:val="00F61E42"/>
    <w:rsid w:val="00F61EFD"/>
    <w:rsid w:val="00F61F68"/>
    <w:rsid w:val="00F61FA9"/>
    <w:rsid w:val="00F61FB5"/>
    <w:rsid w:val="00F62019"/>
    <w:rsid w:val="00F62029"/>
    <w:rsid w:val="00F6203B"/>
    <w:rsid w:val="00F6203C"/>
    <w:rsid w:val="00F62115"/>
    <w:rsid w:val="00F62130"/>
    <w:rsid w:val="00F62149"/>
    <w:rsid w:val="00F621A5"/>
    <w:rsid w:val="00F621A9"/>
    <w:rsid w:val="00F621E2"/>
    <w:rsid w:val="00F62269"/>
    <w:rsid w:val="00F62285"/>
    <w:rsid w:val="00F6239D"/>
    <w:rsid w:val="00F624B4"/>
    <w:rsid w:val="00F624CD"/>
    <w:rsid w:val="00F624F6"/>
    <w:rsid w:val="00F6257C"/>
    <w:rsid w:val="00F62597"/>
    <w:rsid w:val="00F625C1"/>
    <w:rsid w:val="00F6260A"/>
    <w:rsid w:val="00F6262C"/>
    <w:rsid w:val="00F6262F"/>
    <w:rsid w:val="00F6266C"/>
    <w:rsid w:val="00F6269A"/>
    <w:rsid w:val="00F62706"/>
    <w:rsid w:val="00F6272D"/>
    <w:rsid w:val="00F627CF"/>
    <w:rsid w:val="00F627E9"/>
    <w:rsid w:val="00F62879"/>
    <w:rsid w:val="00F62888"/>
    <w:rsid w:val="00F6288F"/>
    <w:rsid w:val="00F628A5"/>
    <w:rsid w:val="00F628B5"/>
    <w:rsid w:val="00F628DB"/>
    <w:rsid w:val="00F628E5"/>
    <w:rsid w:val="00F62913"/>
    <w:rsid w:val="00F6293D"/>
    <w:rsid w:val="00F62994"/>
    <w:rsid w:val="00F62A40"/>
    <w:rsid w:val="00F62AE0"/>
    <w:rsid w:val="00F62BA4"/>
    <w:rsid w:val="00F62C2D"/>
    <w:rsid w:val="00F62D13"/>
    <w:rsid w:val="00F62D46"/>
    <w:rsid w:val="00F62D88"/>
    <w:rsid w:val="00F62D97"/>
    <w:rsid w:val="00F62DD4"/>
    <w:rsid w:val="00F62E06"/>
    <w:rsid w:val="00F62E60"/>
    <w:rsid w:val="00F62E6E"/>
    <w:rsid w:val="00F62F03"/>
    <w:rsid w:val="00F62F97"/>
    <w:rsid w:val="00F62FE7"/>
    <w:rsid w:val="00F63121"/>
    <w:rsid w:val="00F631D0"/>
    <w:rsid w:val="00F63223"/>
    <w:rsid w:val="00F6326E"/>
    <w:rsid w:val="00F632C1"/>
    <w:rsid w:val="00F63305"/>
    <w:rsid w:val="00F6335E"/>
    <w:rsid w:val="00F633EE"/>
    <w:rsid w:val="00F63440"/>
    <w:rsid w:val="00F634D6"/>
    <w:rsid w:val="00F63537"/>
    <w:rsid w:val="00F63648"/>
    <w:rsid w:val="00F6367C"/>
    <w:rsid w:val="00F636D4"/>
    <w:rsid w:val="00F636DB"/>
    <w:rsid w:val="00F6372F"/>
    <w:rsid w:val="00F6378B"/>
    <w:rsid w:val="00F637B7"/>
    <w:rsid w:val="00F6381D"/>
    <w:rsid w:val="00F63840"/>
    <w:rsid w:val="00F6386B"/>
    <w:rsid w:val="00F63894"/>
    <w:rsid w:val="00F638B1"/>
    <w:rsid w:val="00F638D4"/>
    <w:rsid w:val="00F63923"/>
    <w:rsid w:val="00F6392F"/>
    <w:rsid w:val="00F6399F"/>
    <w:rsid w:val="00F63BE5"/>
    <w:rsid w:val="00F63D02"/>
    <w:rsid w:val="00F63DB1"/>
    <w:rsid w:val="00F63E3A"/>
    <w:rsid w:val="00F63E54"/>
    <w:rsid w:val="00F63F04"/>
    <w:rsid w:val="00F63F09"/>
    <w:rsid w:val="00F63F7A"/>
    <w:rsid w:val="00F64009"/>
    <w:rsid w:val="00F64047"/>
    <w:rsid w:val="00F64051"/>
    <w:rsid w:val="00F64074"/>
    <w:rsid w:val="00F640C7"/>
    <w:rsid w:val="00F640E9"/>
    <w:rsid w:val="00F64158"/>
    <w:rsid w:val="00F6415A"/>
    <w:rsid w:val="00F641C6"/>
    <w:rsid w:val="00F641EA"/>
    <w:rsid w:val="00F642CE"/>
    <w:rsid w:val="00F6436C"/>
    <w:rsid w:val="00F64377"/>
    <w:rsid w:val="00F643B8"/>
    <w:rsid w:val="00F643BF"/>
    <w:rsid w:val="00F643DC"/>
    <w:rsid w:val="00F644D0"/>
    <w:rsid w:val="00F644D9"/>
    <w:rsid w:val="00F64514"/>
    <w:rsid w:val="00F64555"/>
    <w:rsid w:val="00F64663"/>
    <w:rsid w:val="00F6474D"/>
    <w:rsid w:val="00F6474E"/>
    <w:rsid w:val="00F647D5"/>
    <w:rsid w:val="00F647F6"/>
    <w:rsid w:val="00F64825"/>
    <w:rsid w:val="00F64846"/>
    <w:rsid w:val="00F64875"/>
    <w:rsid w:val="00F64917"/>
    <w:rsid w:val="00F6491E"/>
    <w:rsid w:val="00F6492A"/>
    <w:rsid w:val="00F64956"/>
    <w:rsid w:val="00F649B0"/>
    <w:rsid w:val="00F64A14"/>
    <w:rsid w:val="00F64A53"/>
    <w:rsid w:val="00F64B5C"/>
    <w:rsid w:val="00F64C22"/>
    <w:rsid w:val="00F64CDF"/>
    <w:rsid w:val="00F64CE0"/>
    <w:rsid w:val="00F64D28"/>
    <w:rsid w:val="00F64D67"/>
    <w:rsid w:val="00F64E15"/>
    <w:rsid w:val="00F64E22"/>
    <w:rsid w:val="00F64EB3"/>
    <w:rsid w:val="00F64F5D"/>
    <w:rsid w:val="00F64F92"/>
    <w:rsid w:val="00F64FD6"/>
    <w:rsid w:val="00F65000"/>
    <w:rsid w:val="00F6503D"/>
    <w:rsid w:val="00F650EB"/>
    <w:rsid w:val="00F65105"/>
    <w:rsid w:val="00F65179"/>
    <w:rsid w:val="00F651B1"/>
    <w:rsid w:val="00F65238"/>
    <w:rsid w:val="00F652D2"/>
    <w:rsid w:val="00F65337"/>
    <w:rsid w:val="00F65434"/>
    <w:rsid w:val="00F65507"/>
    <w:rsid w:val="00F6552F"/>
    <w:rsid w:val="00F6556E"/>
    <w:rsid w:val="00F6556F"/>
    <w:rsid w:val="00F65598"/>
    <w:rsid w:val="00F655BD"/>
    <w:rsid w:val="00F655F3"/>
    <w:rsid w:val="00F6565A"/>
    <w:rsid w:val="00F6569B"/>
    <w:rsid w:val="00F656DA"/>
    <w:rsid w:val="00F657CA"/>
    <w:rsid w:val="00F658B5"/>
    <w:rsid w:val="00F65912"/>
    <w:rsid w:val="00F659EE"/>
    <w:rsid w:val="00F65A15"/>
    <w:rsid w:val="00F65B1B"/>
    <w:rsid w:val="00F65B2D"/>
    <w:rsid w:val="00F65B47"/>
    <w:rsid w:val="00F65C15"/>
    <w:rsid w:val="00F65CA8"/>
    <w:rsid w:val="00F65CF9"/>
    <w:rsid w:val="00F65D7D"/>
    <w:rsid w:val="00F65D8B"/>
    <w:rsid w:val="00F65E35"/>
    <w:rsid w:val="00F65E59"/>
    <w:rsid w:val="00F65E76"/>
    <w:rsid w:val="00F65ED3"/>
    <w:rsid w:val="00F65EF3"/>
    <w:rsid w:val="00F65F16"/>
    <w:rsid w:val="00F65F36"/>
    <w:rsid w:val="00F66033"/>
    <w:rsid w:val="00F6605E"/>
    <w:rsid w:val="00F6610B"/>
    <w:rsid w:val="00F661B5"/>
    <w:rsid w:val="00F66211"/>
    <w:rsid w:val="00F6623D"/>
    <w:rsid w:val="00F66258"/>
    <w:rsid w:val="00F66260"/>
    <w:rsid w:val="00F662F6"/>
    <w:rsid w:val="00F6630F"/>
    <w:rsid w:val="00F663A2"/>
    <w:rsid w:val="00F663F0"/>
    <w:rsid w:val="00F6642D"/>
    <w:rsid w:val="00F6644E"/>
    <w:rsid w:val="00F66460"/>
    <w:rsid w:val="00F66570"/>
    <w:rsid w:val="00F665F0"/>
    <w:rsid w:val="00F66601"/>
    <w:rsid w:val="00F66665"/>
    <w:rsid w:val="00F66689"/>
    <w:rsid w:val="00F666DD"/>
    <w:rsid w:val="00F66701"/>
    <w:rsid w:val="00F66745"/>
    <w:rsid w:val="00F66749"/>
    <w:rsid w:val="00F667E1"/>
    <w:rsid w:val="00F667F1"/>
    <w:rsid w:val="00F668C4"/>
    <w:rsid w:val="00F6693C"/>
    <w:rsid w:val="00F66972"/>
    <w:rsid w:val="00F669CE"/>
    <w:rsid w:val="00F669FB"/>
    <w:rsid w:val="00F66B18"/>
    <w:rsid w:val="00F66B37"/>
    <w:rsid w:val="00F66B8D"/>
    <w:rsid w:val="00F66B97"/>
    <w:rsid w:val="00F66BAE"/>
    <w:rsid w:val="00F66BBD"/>
    <w:rsid w:val="00F66BBF"/>
    <w:rsid w:val="00F66C35"/>
    <w:rsid w:val="00F66C6E"/>
    <w:rsid w:val="00F66D45"/>
    <w:rsid w:val="00F66DFA"/>
    <w:rsid w:val="00F66DFC"/>
    <w:rsid w:val="00F66E0B"/>
    <w:rsid w:val="00F66EBC"/>
    <w:rsid w:val="00F66EC7"/>
    <w:rsid w:val="00F66ECE"/>
    <w:rsid w:val="00F66F2C"/>
    <w:rsid w:val="00F66F6D"/>
    <w:rsid w:val="00F66FDF"/>
    <w:rsid w:val="00F67173"/>
    <w:rsid w:val="00F671D7"/>
    <w:rsid w:val="00F671D8"/>
    <w:rsid w:val="00F672A5"/>
    <w:rsid w:val="00F67501"/>
    <w:rsid w:val="00F67518"/>
    <w:rsid w:val="00F6752C"/>
    <w:rsid w:val="00F67547"/>
    <w:rsid w:val="00F67590"/>
    <w:rsid w:val="00F675BB"/>
    <w:rsid w:val="00F67673"/>
    <w:rsid w:val="00F67698"/>
    <w:rsid w:val="00F67699"/>
    <w:rsid w:val="00F6769B"/>
    <w:rsid w:val="00F676B5"/>
    <w:rsid w:val="00F67711"/>
    <w:rsid w:val="00F67824"/>
    <w:rsid w:val="00F67885"/>
    <w:rsid w:val="00F678D0"/>
    <w:rsid w:val="00F678F3"/>
    <w:rsid w:val="00F6792B"/>
    <w:rsid w:val="00F6793C"/>
    <w:rsid w:val="00F67962"/>
    <w:rsid w:val="00F67A21"/>
    <w:rsid w:val="00F67A2C"/>
    <w:rsid w:val="00F67A63"/>
    <w:rsid w:val="00F67A7C"/>
    <w:rsid w:val="00F67ABC"/>
    <w:rsid w:val="00F67B5A"/>
    <w:rsid w:val="00F67B80"/>
    <w:rsid w:val="00F67BA3"/>
    <w:rsid w:val="00F67BCD"/>
    <w:rsid w:val="00F67C5F"/>
    <w:rsid w:val="00F67C72"/>
    <w:rsid w:val="00F67C74"/>
    <w:rsid w:val="00F67D90"/>
    <w:rsid w:val="00F67DA6"/>
    <w:rsid w:val="00F67E4A"/>
    <w:rsid w:val="00F67E8F"/>
    <w:rsid w:val="00F67F42"/>
    <w:rsid w:val="00F67F65"/>
    <w:rsid w:val="00F70005"/>
    <w:rsid w:val="00F70053"/>
    <w:rsid w:val="00F701CC"/>
    <w:rsid w:val="00F701F9"/>
    <w:rsid w:val="00F70304"/>
    <w:rsid w:val="00F70319"/>
    <w:rsid w:val="00F70416"/>
    <w:rsid w:val="00F7046B"/>
    <w:rsid w:val="00F704D0"/>
    <w:rsid w:val="00F70529"/>
    <w:rsid w:val="00F70551"/>
    <w:rsid w:val="00F7057E"/>
    <w:rsid w:val="00F705DB"/>
    <w:rsid w:val="00F70652"/>
    <w:rsid w:val="00F706F5"/>
    <w:rsid w:val="00F706FD"/>
    <w:rsid w:val="00F70704"/>
    <w:rsid w:val="00F70756"/>
    <w:rsid w:val="00F707B2"/>
    <w:rsid w:val="00F708BC"/>
    <w:rsid w:val="00F708D4"/>
    <w:rsid w:val="00F708F2"/>
    <w:rsid w:val="00F708FA"/>
    <w:rsid w:val="00F709FF"/>
    <w:rsid w:val="00F70A11"/>
    <w:rsid w:val="00F70AA9"/>
    <w:rsid w:val="00F70B4E"/>
    <w:rsid w:val="00F70BEC"/>
    <w:rsid w:val="00F70C62"/>
    <w:rsid w:val="00F70D52"/>
    <w:rsid w:val="00F70D54"/>
    <w:rsid w:val="00F70DC1"/>
    <w:rsid w:val="00F70E20"/>
    <w:rsid w:val="00F70EA4"/>
    <w:rsid w:val="00F70EE8"/>
    <w:rsid w:val="00F70EF2"/>
    <w:rsid w:val="00F70F6B"/>
    <w:rsid w:val="00F70F8E"/>
    <w:rsid w:val="00F7101A"/>
    <w:rsid w:val="00F71022"/>
    <w:rsid w:val="00F7111E"/>
    <w:rsid w:val="00F71182"/>
    <w:rsid w:val="00F711CD"/>
    <w:rsid w:val="00F711D9"/>
    <w:rsid w:val="00F711E1"/>
    <w:rsid w:val="00F712CE"/>
    <w:rsid w:val="00F71384"/>
    <w:rsid w:val="00F713AC"/>
    <w:rsid w:val="00F713CB"/>
    <w:rsid w:val="00F714D2"/>
    <w:rsid w:val="00F714ED"/>
    <w:rsid w:val="00F71524"/>
    <w:rsid w:val="00F71549"/>
    <w:rsid w:val="00F716D1"/>
    <w:rsid w:val="00F716EE"/>
    <w:rsid w:val="00F7171F"/>
    <w:rsid w:val="00F71724"/>
    <w:rsid w:val="00F71759"/>
    <w:rsid w:val="00F71769"/>
    <w:rsid w:val="00F717CE"/>
    <w:rsid w:val="00F717FF"/>
    <w:rsid w:val="00F71813"/>
    <w:rsid w:val="00F7182F"/>
    <w:rsid w:val="00F718FC"/>
    <w:rsid w:val="00F71968"/>
    <w:rsid w:val="00F719C6"/>
    <w:rsid w:val="00F71A12"/>
    <w:rsid w:val="00F71A1D"/>
    <w:rsid w:val="00F71A33"/>
    <w:rsid w:val="00F71AA4"/>
    <w:rsid w:val="00F71AA8"/>
    <w:rsid w:val="00F71AB5"/>
    <w:rsid w:val="00F71AC8"/>
    <w:rsid w:val="00F71B02"/>
    <w:rsid w:val="00F71B08"/>
    <w:rsid w:val="00F71B11"/>
    <w:rsid w:val="00F71B36"/>
    <w:rsid w:val="00F71BA9"/>
    <w:rsid w:val="00F71BE0"/>
    <w:rsid w:val="00F71C37"/>
    <w:rsid w:val="00F71CA3"/>
    <w:rsid w:val="00F71D6C"/>
    <w:rsid w:val="00F71DA7"/>
    <w:rsid w:val="00F71DAE"/>
    <w:rsid w:val="00F71DCB"/>
    <w:rsid w:val="00F71F84"/>
    <w:rsid w:val="00F71FAC"/>
    <w:rsid w:val="00F71FCE"/>
    <w:rsid w:val="00F71FFF"/>
    <w:rsid w:val="00F720D7"/>
    <w:rsid w:val="00F72126"/>
    <w:rsid w:val="00F72129"/>
    <w:rsid w:val="00F72154"/>
    <w:rsid w:val="00F72175"/>
    <w:rsid w:val="00F721C1"/>
    <w:rsid w:val="00F722CD"/>
    <w:rsid w:val="00F72327"/>
    <w:rsid w:val="00F72381"/>
    <w:rsid w:val="00F72424"/>
    <w:rsid w:val="00F724E7"/>
    <w:rsid w:val="00F72543"/>
    <w:rsid w:val="00F7262E"/>
    <w:rsid w:val="00F726CF"/>
    <w:rsid w:val="00F726D7"/>
    <w:rsid w:val="00F726E2"/>
    <w:rsid w:val="00F726E4"/>
    <w:rsid w:val="00F72889"/>
    <w:rsid w:val="00F728D5"/>
    <w:rsid w:val="00F72983"/>
    <w:rsid w:val="00F72993"/>
    <w:rsid w:val="00F729C2"/>
    <w:rsid w:val="00F729E5"/>
    <w:rsid w:val="00F72AE6"/>
    <w:rsid w:val="00F72B14"/>
    <w:rsid w:val="00F72B1D"/>
    <w:rsid w:val="00F72B6F"/>
    <w:rsid w:val="00F72C3D"/>
    <w:rsid w:val="00F72CAF"/>
    <w:rsid w:val="00F72CE7"/>
    <w:rsid w:val="00F72D80"/>
    <w:rsid w:val="00F72DC9"/>
    <w:rsid w:val="00F72DD5"/>
    <w:rsid w:val="00F72E0E"/>
    <w:rsid w:val="00F72E3F"/>
    <w:rsid w:val="00F72E57"/>
    <w:rsid w:val="00F72E78"/>
    <w:rsid w:val="00F72EB0"/>
    <w:rsid w:val="00F72FBD"/>
    <w:rsid w:val="00F73009"/>
    <w:rsid w:val="00F73081"/>
    <w:rsid w:val="00F730EC"/>
    <w:rsid w:val="00F730ED"/>
    <w:rsid w:val="00F7317C"/>
    <w:rsid w:val="00F731DE"/>
    <w:rsid w:val="00F731FE"/>
    <w:rsid w:val="00F732BA"/>
    <w:rsid w:val="00F732D2"/>
    <w:rsid w:val="00F732F4"/>
    <w:rsid w:val="00F73361"/>
    <w:rsid w:val="00F73373"/>
    <w:rsid w:val="00F73514"/>
    <w:rsid w:val="00F73529"/>
    <w:rsid w:val="00F73566"/>
    <w:rsid w:val="00F73595"/>
    <w:rsid w:val="00F735DF"/>
    <w:rsid w:val="00F735FE"/>
    <w:rsid w:val="00F7360A"/>
    <w:rsid w:val="00F73613"/>
    <w:rsid w:val="00F73621"/>
    <w:rsid w:val="00F7362D"/>
    <w:rsid w:val="00F7363B"/>
    <w:rsid w:val="00F7369F"/>
    <w:rsid w:val="00F7374F"/>
    <w:rsid w:val="00F7377B"/>
    <w:rsid w:val="00F737B6"/>
    <w:rsid w:val="00F7383A"/>
    <w:rsid w:val="00F7385A"/>
    <w:rsid w:val="00F7390B"/>
    <w:rsid w:val="00F73915"/>
    <w:rsid w:val="00F739B0"/>
    <w:rsid w:val="00F739CA"/>
    <w:rsid w:val="00F739CE"/>
    <w:rsid w:val="00F739F7"/>
    <w:rsid w:val="00F73A25"/>
    <w:rsid w:val="00F73A9A"/>
    <w:rsid w:val="00F73B1E"/>
    <w:rsid w:val="00F73B24"/>
    <w:rsid w:val="00F73B45"/>
    <w:rsid w:val="00F73C39"/>
    <w:rsid w:val="00F73DF9"/>
    <w:rsid w:val="00F73E39"/>
    <w:rsid w:val="00F73E3D"/>
    <w:rsid w:val="00F73E40"/>
    <w:rsid w:val="00F73E7B"/>
    <w:rsid w:val="00F73EFA"/>
    <w:rsid w:val="00F73FBE"/>
    <w:rsid w:val="00F74185"/>
    <w:rsid w:val="00F7419F"/>
    <w:rsid w:val="00F741FA"/>
    <w:rsid w:val="00F74332"/>
    <w:rsid w:val="00F74334"/>
    <w:rsid w:val="00F744ED"/>
    <w:rsid w:val="00F744F2"/>
    <w:rsid w:val="00F7456D"/>
    <w:rsid w:val="00F745F5"/>
    <w:rsid w:val="00F746B1"/>
    <w:rsid w:val="00F746D9"/>
    <w:rsid w:val="00F7481B"/>
    <w:rsid w:val="00F748F4"/>
    <w:rsid w:val="00F7498F"/>
    <w:rsid w:val="00F749BB"/>
    <w:rsid w:val="00F749E0"/>
    <w:rsid w:val="00F74A01"/>
    <w:rsid w:val="00F74A2F"/>
    <w:rsid w:val="00F74A84"/>
    <w:rsid w:val="00F74B2D"/>
    <w:rsid w:val="00F74B41"/>
    <w:rsid w:val="00F74BAB"/>
    <w:rsid w:val="00F74BB8"/>
    <w:rsid w:val="00F74BF4"/>
    <w:rsid w:val="00F74C01"/>
    <w:rsid w:val="00F74C1A"/>
    <w:rsid w:val="00F74C36"/>
    <w:rsid w:val="00F74C72"/>
    <w:rsid w:val="00F74C7F"/>
    <w:rsid w:val="00F74CBD"/>
    <w:rsid w:val="00F74DCF"/>
    <w:rsid w:val="00F74DDB"/>
    <w:rsid w:val="00F74E56"/>
    <w:rsid w:val="00F74EBF"/>
    <w:rsid w:val="00F74EF0"/>
    <w:rsid w:val="00F74F03"/>
    <w:rsid w:val="00F74F1D"/>
    <w:rsid w:val="00F750E2"/>
    <w:rsid w:val="00F750FF"/>
    <w:rsid w:val="00F75138"/>
    <w:rsid w:val="00F75157"/>
    <w:rsid w:val="00F751D2"/>
    <w:rsid w:val="00F752B4"/>
    <w:rsid w:val="00F752C7"/>
    <w:rsid w:val="00F75331"/>
    <w:rsid w:val="00F7535A"/>
    <w:rsid w:val="00F75397"/>
    <w:rsid w:val="00F7540E"/>
    <w:rsid w:val="00F7550C"/>
    <w:rsid w:val="00F7554E"/>
    <w:rsid w:val="00F755EE"/>
    <w:rsid w:val="00F75699"/>
    <w:rsid w:val="00F756E1"/>
    <w:rsid w:val="00F756E2"/>
    <w:rsid w:val="00F756E6"/>
    <w:rsid w:val="00F756EB"/>
    <w:rsid w:val="00F7579B"/>
    <w:rsid w:val="00F757D7"/>
    <w:rsid w:val="00F757F1"/>
    <w:rsid w:val="00F758BC"/>
    <w:rsid w:val="00F7592E"/>
    <w:rsid w:val="00F759B5"/>
    <w:rsid w:val="00F75A0A"/>
    <w:rsid w:val="00F75A6C"/>
    <w:rsid w:val="00F75AB1"/>
    <w:rsid w:val="00F75B1A"/>
    <w:rsid w:val="00F75B1E"/>
    <w:rsid w:val="00F75C2E"/>
    <w:rsid w:val="00F75C5F"/>
    <w:rsid w:val="00F75C8F"/>
    <w:rsid w:val="00F75CBE"/>
    <w:rsid w:val="00F75CCF"/>
    <w:rsid w:val="00F75D71"/>
    <w:rsid w:val="00F75E04"/>
    <w:rsid w:val="00F75E0C"/>
    <w:rsid w:val="00F75F68"/>
    <w:rsid w:val="00F75F85"/>
    <w:rsid w:val="00F75FA7"/>
    <w:rsid w:val="00F7608E"/>
    <w:rsid w:val="00F760C2"/>
    <w:rsid w:val="00F76151"/>
    <w:rsid w:val="00F76158"/>
    <w:rsid w:val="00F761B9"/>
    <w:rsid w:val="00F761F2"/>
    <w:rsid w:val="00F762D2"/>
    <w:rsid w:val="00F762E2"/>
    <w:rsid w:val="00F76331"/>
    <w:rsid w:val="00F763FC"/>
    <w:rsid w:val="00F76434"/>
    <w:rsid w:val="00F7644E"/>
    <w:rsid w:val="00F764D6"/>
    <w:rsid w:val="00F764E1"/>
    <w:rsid w:val="00F765AE"/>
    <w:rsid w:val="00F7662C"/>
    <w:rsid w:val="00F76643"/>
    <w:rsid w:val="00F7665F"/>
    <w:rsid w:val="00F766AA"/>
    <w:rsid w:val="00F766D4"/>
    <w:rsid w:val="00F76714"/>
    <w:rsid w:val="00F7671F"/>
    <w:rsid w:val="00F76729"/>
    <w:rsid w:val="00F767B7"/>
    <w:rsid w:val="00F767BD"/>
    <w:rsid w:val="00F76834"/>
    <w:rsid w:val="00F7683C"/>
    <w:rsid w:val="00F76843"/>
    <w:rsid w:val="00F768A4"/>
    <w:rsid w:val="00F76910"/>
    <w:rsid w:val="00F76927"/>
    <w:rsid w:val="00F7693D"/>
    <w:rsid w:val="00F769C9"/>
    <w:rsid w:val="00F76A44"/>
    <w:rsid w:val="00F76A59"/>
    <w:rsid w:val="00F76A63"/>
    <w:rsid w:val="00F76AB9"/>
    <w:rsid w:val="00F76AD4"/>
    <w:rsid w:val="00F76B0F"/>
    <w:rsid w:val="00F76B70"/>
    <w:rsid w:val="00F76B9F"/>
    <w:rsid w:val="00F76BF1"/>
    <w:rsid w:val="00F76C2A"/>
    <w:rsid w:val="00F76C5B"/>
    <w:rsid w:val="00F76C95"/>
    <w:rsid w:val="00F76D4A"/>
    <w:rsid w:val="00F76D75"/>
    <w:rsid w:val="00F76E36"/>
    <w:rsid w:val="00F76EBE"/>
    <w:rsid w:val="00F76FB1"/>
    <w:rsid w:val="00F76FE6"/>
    <w:rsid w:val="00F76FF3"/>
    <w:rsid w:val="00F76FFB"/>
    <w:rsid w:val="00F77031"/>
    <w:rsid w:val="00F77066"/>
    <w:rsid w:val="00F770FF"/>
    <w:rsid w:val="00F7710B"/>
    <w:rsid w:val="00F77129"/>
    <w:rsid w:val="00F77150"/>
    <w:rsid w:val="00F771CA"/>
    <w:rsid w:val="00F771DE"/>
    <w:rsid w:val="00F77208"/>
    <w:rsid w:val="00F7725A"/>
    <w:rsid w:val="00F77299"/>
    <w:rsid w:val="00F772A9"/>
    <w:rsid w:val="00F77308"/>
    <w:rsid w:val="00F77318"/>
    <w:rsid w:val="00F77398"/>
    <w:rsid w:val="00F773A1"/>
    <w:rsid w:val="00F773B5"/>
    <w:rsid w:val="00F773E3"/>
    <w:rsid w:val="00F7746F"/>
    <w:rsid w:val="00F774F5"/>
    <w:rsid w:val="00F77548"/>
    <w:rsid w:val="00F7756B"/>
    <w:rsid w:val="00F7758F"/>
    <w:rsid w:val="00F775D2"/>
    <w:rsid w:val="00F775FE"/>
    <w:rsid w:val="00F77687"/>
    <w:rsid w:val="00F77774"/>
    <w:rsid w:val="00F777C1"/>
    <w:rsid w:val="00F77834"/>
    <w:rsid w:val="00F77867"/>
    <w:rsid w:val="00F7789D"/>
    <w:rsid w:val="00F778C7"/>
    <w:rsid w:val="00F7791D"/>
    <w:rsid w:val="00F779D2"/>
    <w:rsid w:val="00F779EF"/>
    <w:rsid w:val="00F77A21"/>
    <w:rsid w:val="00F77A66"/>
    <w:rsid w:val="00F77A6D"/>
    <w:rsid w:val="00F77A93"/>
    <w:rsid w:val="00F77AC5"/>
    <w:rsid w:val="00F77B7A"/>
    <w:rsid w:val="00F77BAF"/>
    <w:rsid w:val="00F77BD0"/>
    <w:rsid w:val="00F77BEC"/>
    <w:rsid w:val="00F77C7A"/>
    <w:rsid w:val="00F77C80"/>
    <w:rsid w:val="00F77D96"/>
    <w:rsid w:val="00F77EE0"/>
    <w:rsid w:val="00F800F5"/>
    <w:rsid w:val="00F8011F"/>
    <w:rsid w:val="00F80144"/>
    <w:rsid w:val="00F80170"/>
    <w:rsid w:val="00F8025B"/>
    <w:rsid w:val="00F802AF"/>
    <w:rsid w:val="00F802C9"/>
    <w:rsid w:val="00F8031B"/>
    <w:rsid w:val="00F80336"/>
    <w:rsid w:val="00F803D0"/>
    <w:rsid w:val="00F804B9"/>
    <w:rsid w:val="00F8061B"/>
    <w:rsid w:val="00F80637"/>
    <w:rsid w:val="00F8067E"/>
    <w:rsid w:val="00F806B4"/>
    <w:rsid w:val="00F806BA"/>
    <w:rsid w:val="00F80712"/>
    <w:rsid w:val="00F8077D"/>
    <w:rsid w:val="00F8086C"/>
    <w:rsid w:val="00F8089E"/>
    <w:rsid w:val="00F808FE"/>
    <w:rsid w:val="00F8091F"/>
    <w:rsid w:val="00F80954"/>
    <w:rsid w:val="00F80970"/>
    <w:rsid w:val="00F80A81"/>
    <w:rsid w:val="00F80A8D"/>
    <w:rsid w:val="00F80B02"/>
    <w:rsid w:val="00F80B11"/>
    <w:rsid w:val="00F80B4B"/>
    <w:rsid w:val="00F80B85"/>
    <w:rsid w:val="00F80BF0"/>
    <w:rsid w:val="00F80C41"/>
    <w:rsid w:val="00F80CF9"/>
    <w:rsid w:val="00F80D87"/>
    <w:rsid w:val="00F80DB7"/>
    <w:rsid w:val="00F80E6B"/>
    <w:rsid w:val="00F80F61"/>
    <w:rsid w:val="00F810D1"/>
    <w:rsid w:val="00F8110E"/>
    <w:rsid w:val="00F8111D"/>
    <w:rsid w:val="00F81142"/>
    <w:rsid w:val="00F81169"/>
    <w:rsid w:val="00F8119C"/>
    <w:rsid w:val="00F8119E"/>
    <w:rsid w:val="00F81248"/>
    <w:rsid w:val="00F8124B"/>
    <w:rsid w:val="00F812AD"/>
    <w:rsid w:val="00F81306"/>
    <w:rsid w:val="00F81373"/>
    <w:rsid w:val="00F81570"/>
    <w:rsid w:val="00F8158F"/>
    <w:rsid w:val="00F81591"/>
    <w:rsid w:val="00F8159B"/>
    <w:rsid w:val="00F8161F"/>
    <w:rsid w:val="00F81628"/>
    <w:rsid w:val="00F816BD"/>
    <w:rsid w:val="00F81713"/>
    <w:rsid w:val="00F8178B"/>
    <w:rsid w:val="00F81796"/>
    <w:rsid w:val="00F817A6"/>
    <w:rsid w:val="00F817E0"/>
    <w:rsid w:val="00F81800"/>
    <w:rsid w:val="00F81803"/>
    <w:rsid w:val="00F818F4"/>
    <w:rsid w:val="00F81938"/>
    <w:rsid w:val="00F81970"/>
    <w:rsid w:val="00F819CD"/>
    <w:rsid w:val="00F819F3"/>
    <w:rsid w:val="00F81A67"/>
    <w:rsid w:val="00F81B57"/>
    <w:rsid w:val="00F81C8F"/>
    <w:rsid w:val="00F81C9D"/>
    <w:rsid w:val="00F81D21"/>
    <w:rsid w:val="00F81D76"/>
    <w:rsid w:val="00F81D86"/>
    <w:rsid w:val="00F81D99"/>
    <w:rsid w:val="00F81D9B"/>
    <w:rsid w:val="00F81DA1"/>
    <w:rsid w:val="00F81EA5"/>
    <w:rsid w:val="00F81F2C"/>
    <w:rsid w:val="00F81FAF"/>
    <w:rsid w:val="00F82000"/>
    <w:rsid w:val="00F82093"/>
    <w:rsid w:val="00F820A1"/>
    <w:rsid w:val="00F820A5"/>
    <w:rsid w:val="00F820AD"/>
    <w:rsid w:val="00F820E9"/>
    <w:rsid w:val="00F8214F"/>
    <w:rsid w:val="00F82193"/>
    <w:rsid w:val="00F82245"/>
    <w:rsid w:val="00F82283"/>
    <w:rsid w:val="00F822B3"/>
    <w:rsid w:val="00F822FE"/>
    <w:rsid w:val="00F82327"/>
    <w:rsid w:val="00F8232E"/>
    <w:rsid w:val="00F82389"/>
    <w:rsid w:val="00F82392"/>
    <w:rsid w:val="00F823A9"/>
    <w:rsid w:val="00F8245D"/>
    <w:rsid w:val="00F824C3"/>
    <w:rsid w:val="00F825B2"/>
    <w:rsid w:val="00F82609"/>
    <w:rsid w:val="00F826C5"/>
    <w:rsid w:val="00F82708"/>
    <w:rsid w:val="00F82759"/>
    <w:rsid w:val="00F82792"/>
    <w:rsid w:val="00F827BF"/>
    <w:rsid w:val="00F827D7"/>
    <w:rsid w:val="00F8287C"/>
    <w:rsid w:val="00F8288C"/>
    <w:rsid w:val="00F82894"/>
    <w:rsid w:val="00F828AD"/>
    <w:rsid w:val="00F828BC"/>
    <w:rsid w:val="00F828D3"/>
    <w:rsid w:val="00F8296A"/>
    <w:rsid w:val="00F829F8"/>
    <w:rsid w:val="00F82A7D"/>
    <w:rsid w:val="00F82A93"/>
    <w:rsid w:val="00F82A9F"/>
    <w:rsid w:val="00F82AB1"/>
    <w:rsid w:val="00F82BE4"/>
    <w:rsid w:val="00F82C4C"/>
    <w:rsid w:val="00F82C86"/>
    <w:rsid w:val="00F82C92"/>
    <w:rsid w:val="00F82D80"/>
    <w:rsid w:val="00F82D82"/>
    <w:rsid w:val="00F82D91"/>
    <w:rsid w:val="00F82DA1"/>
    <w:rsid w:val="00F82DE5"/>
    <w:rsid w:val="00F82F14"/>
    <w:rsid w:val="00F82F31"/>
    <w:rsid w:val="00F82F38"/>
    <w:rsid w:val="00F82F3E"/>
    <w:rsid w:val="00F830D5"/>
    <w:rsid w:val="00F830E7"/>
    <w:rsid w:val="00F83122"/>
    <w:rsid w:val="00F8319B"/>
    <w:rsid w:val="00F832AA"/>
    <w:rsid w:val="00F83319"/>
    <w:rsid w:val="00F83358"/>
    <w:rsid w:val="00F83379"/>
    <w:rsid w:val="00F833A0"/>
    <w:rsid w:val="00F833A4"/>
    <w:rsid w:val="00F833C7"/>
    <w:rsid w:val="00F833D1"/>
    <w:rsid w:val="00F83415"/>
    <w:rsid w:val="00F834BE"/>
    <w:rsid w:val="00F83541"/>
    <w:rsid w:val="00F83588"/>
    <w:rsid w:val="00F835FF"/>
    <w:rsid w:val="00F8363E"/>
    <w:rsid w:val="00F83647"/>
    <w:rsid w:val="00F837C1"/>
    <w:rsid w:val="00F837D9"/>
    <w:rsid w:val="00F83800"/>
    <w:rsid w:val="00F838BE"/>
    <w:rsid w:val="00F839A6"/>
    <w:rsid w:val="00F839D0"/>
    <w:rsid w:val="00F83A1B"/>
    <w:rsid w:val="00F83A4A"/>
    <w:rsid w:val="00F83B14"/>
    <w:rsid w:val="00F83B9C"/>
    <w:rsid w:val="00F83BE4"/>
    <w:rsid w:val="00F83C32"/>
    <w:rsid w:val="00F83C93"/>
    <w:rsid w:val="00F83CDD"/>
    <w:rsid w:val="00F83CEA"/>
    <w:rsid w:val="00F83D02"/>
    <w:rsid w:val="00F83D03"/>
    <w:rsid w:val="00F83D2E"/>
    <w:rsid w:val="00F83D76"/>
    <w:rsid w:val="00F83DC7"/>
    <w:rsid w:val="00F83E72"/>
    <w:rsid w:val="00F83E7D"/>
    <w:rsid w:val="00F83E7F"/>
    <w:rsid w:val="00F83F0E"/>
    <w:rsid w:val="00F83F1F"/>
    <w:rsid w:val="00F84041"/>
    <w:rsid w:val="00F8408A"/>
    <w:rsid w:val="00F8416E"/>
    <w:rsid w:val="00F84197"/>
    <w:rsid w:val="00F841B9"/>
    <w:rsid w:val="00F842BE"/>
    <w:rsid w:val="00F842FA"/>
    <w:rsid w:val="00F84343"/>
    <w:rsid w:val="00F84371"/>
    <w:rsid w:val="00F843FB"/>
    <w:rsid w:val="00F84422"/>
    <w:rsid w:val="00F84427"/>
    <w:rsid w:val="00F84443"/>
    <w:rsid w:val="00F84491"/>
    <w:rsid w:val="00F8458B"/>
    <w:rsid w:val="00F84604"/>
    <w:rsid w:val="00F84663"/>
    <w:rsid w:val="00F8472D"/>
    <w:rsid w:val="00F8477E"/>
    <w:rsid w:val="00F84797"/>
    <w:rsid w:val="00F8481A"/>
    <w:rsid w:val="00F8481D"/>
    <w:rsid w:val="00F8481F"/>
    <w:rsid w:val="00F8489A"/>
    <w:rsid w:val="00F84907"/>
    <w:rsid w:val="00F84956"/>
    <w:rsid w:val="00F84961"/>
    <w:rsid w:val="00F849F9"/>
    <w:rsid w:val="00F84A23"/>
    <w:rsid w:val="00F84A6A"/>
    <w:rsid w:val="00F84A84"/>
    <w:rsid w:val="00F84A9C"/>
    <w:rsid w:val="00F84AAE"/>
    <w:rsid w:val="00F84ABB"/>
    <w:rsid w:val="00F84AD1"/>
    <w:rsid w:val="00F84ADB"/>
    <w:rsid w:val="00F84B25"/>
    <w:rsid w:val="00F84BBA"/>
    <w:rsid w:val="00F84BC4"/>
    <w:rsid w:val="00F84BF6"/>
    <w:rsid w:val="00F84D18"/>
    <w:rsid w:val="00F84D6C"/>
    <w:rsid w:val="00F84E11"/>
    <w:rsid w:val="00F84E8D"/>
    <w:rsid w:val="00F84EC4"/>
    <w:rsid w:val="00F84EC8"/>
    <w:rsid w:val="00F84FD8"/>
    <w:rsid w:val="00F85138"/>
    <w:rsid w:val="00F8513A"/>
    <w:rsid w:val="00F8523B"/>
    <w:rsid w:val="00F8525E"/>
    <w:rsid w:val="00F8535F"/>
    <w:rsid w:val="00F853FE"/>
    <w:rsid w:val="00F8540F"/>
    <w:rsid w:val="00F85539"/>
    <w:rsid w:val="00F8556C"/>
    <w:rsid w:val="00F8562C"/>
    <w:rsid w:val="00F8563D"/>
    <w:rsid w:val="00F85649"/>
    <w:rsid w:val="00F856CC"/>
    <w:rsid w:val="00F8573A"/>
    <w:rsid w:val="00F85747"/>
    <w:rsid w:val="00F858C8"/>
    <w:rsid w:val="00F858CF"/>
    <w:rsid w:val="00F85928"/>
    <w:rsid w:val="00F85A0E"/>
    <w:rsid w:val="00F85A1C"/>
    <w:rsid w:val="00F85B18"/>
    <w:rsid w:val="00F85B8C"/>
    <w:rsid w:val="00F85B9A"/>
    <w:rsid w:val="00F85E13"/>
    <w:rsid w:val="00F85E2C"/>
    <w:rsid w:val="00F85E6C"/>
    <w:rsid w:val="00F85ECC"/>
    <w:rsid w:val="00F85F34"/>
    <w:rsid w:val="00F85F8F"/>
    <w:rsid w:val="00F85FDB"/>
    <w:rsid w:val="00F8607E"/>
    <w:rsid w:val="00F86214"/>
    <w:rsid w:val="00F8626D"/>
    <w:rsid w:val="00F862D3"/>
    <w:rsid w:val="00F862E0"/>
    <w:rsid w:val="00F8631D"/>
    <w:rsid w:val="00F86327"/>
    <w:rsid w:val="00F8633B"/>
    <w:rsid w:val="00F86387"/>
    <w:rsid w:val="00F863A6"/>
    <w:rsid w:val="00F86499"/>
    <w:rsid w:val="00F8649C"/>
    <w:rsid w:val="00F864B4"/>
    <w:rsid w:val="00F86560"/>
    <w:rsid w:val="00F865C1"/>
    <w:rsid w:val="00F86617"/>
    <w:rsid w:val="00F8661B"/>
    <w:rsid w:val="00F86626"/>
    <w:rsid w:val="00F8666F"/>
    <w:rsid w:val="00F8667C"/>
    <w:rsid w:val="00F86682"/>
    <w:rsid w:val="00F866B3"/>
    <w:rsid w:val="00F866CA"/>
    <w:rsid w:val="00F866DB"/>
    <w:rsid w:val="00F86740"/>
    <w:rsid w:val="00F86779"/>
    <w:rsid w:val="00F86878"/>
    <w:rsid w:val="00F868A9"/>
    <w:rsid w:val="00F868D5"/>
    <w:rsid w:val="00F86974"/>
    <w:rsid w:val="00F86985"/>
    <w:rsid w:val="00F869FC"/>
    <w:rsid w:val="00F86A0A"/>
    <w:rsid w:val="00F86A20"/>
    <w:rsid w:val="00F86A3E"/>
    <w:rsid w:val="00F86A93"/>
    <w:rsid w:val="00F86B39"/>
    <w:rsid w:val="00F86B73"/>
    <w:rsid w:val="00F86BC0"/>
    <w:rsid w:val="00F86C8A"/>
    <w:rsid w:val="00F86CAC"/>
    <w:rsid w:val="00F86CBB"/>
    <w:rsid w:val="00F86D5A"/>
    <w:rsid w:val="00F86E46"/>
    <w:rsid w:val="00F86E6E"/>
    <w:rsid w:val="00F86ECC"/>
    <w:rsid w:val="00F8701F"/>
    <w:rsid w:val="00F87036"/>
    <w:rsid w:val="00F87051"/>
    <w:rsid w:val="00F8708F"/>
    <w:rsid w:val="00F87140"/>
    <w:rsid w:val="00F87180"/>
    <w:rsid w:val="00F871AB"/>
    <w:rsid w:val="00F871C4"/>
    <w:rsid w:val="00F871C5"/>
    <w:rsid w:val="00F871E8"/>
    <w:rsid w:val="00F872B8"/>
    <w:rsid w:val="00F872EB"/>
    <w:rsid w:val="00F872ED"/>
    <w:rsid w:val="00F8732C"/>
    <w:rsid w:val="00F8734B"/>
    <w:rsid w:val="00F87379"/>
    <w:rsid w:val="00F87391"/>
    <w:rsid w:val="00F873A9"/>
    <w:rsid w:val="00F873C1"/>
    <w:rsid w:val="00F873CC"/>
    <w:rsid w:val="00F873DC"/>
    <w:rsid w:val="00F8742C"/>
    <w:rsid w:val="00F87467"/>
    <w:rsid w:val="00F874DF"/>
    <w:rsid w:val="00F874FD"/>
    <w:rsid w:val="00F874FF"/>
    <w:rsid w:val="00F87582"/>
    <w:rsid w:val="00F875B2"/>
    <w:rsid w:val="00F875D1"/>
    <w:rsid w:val="00F875DD"/>
    <w:rsid w:val="00F87667"/>
    <w:rsid w:val="00F876AB"/>
    <w:rsid w:val="00F87741"/>
    <w:rsid w:val="00F87744"/>
    <w:rsid w:val="00F87745"/>
    <w:rsid w:val="00F87746"/>
    <w:rsid w:val="00F877AA"/>
    <w:rsid w:val="00F877DD"/>
    <w:rsid w:val="00F877F5"/>
    <w:rsid w:val="00F8799D"/>
    <w:rsid w:val="00F879A2"/>
    <w:rsid w:val="00F87A1B"/>
    <w:rsid w:val="00F87A28"/>
    <w:rsid w:val="00F87A6E"/>
    <w:rsid w:val="00F87A93"/>
    <w:rsid w:val="00F87BCC"/>
    <w:rsid w:val="00F87BDA"/>
    <w:rsid w:val="00F87BE0"/>
    <w:rsid w:val="00F87D38"/>
    <w:rsid w:val="00F87DEB"/>
    <w:rsid w:val="00F87E3D"/>
    <w:rsid w:val="00F87E70"/>
    <w:rsid w:val="00F87ED6"/>
    <w:rsid w:val="00F87F23"/>
    <w:rsid w:val="00F90026"/>
    <w:rsid w:val="00F9008A"/>
    <w:rsid w:val="00F90097"/>
    <w:rsid w:val="00F900C0"/>
    <w:rsid w:val="00F900C7"/>
    <w:rsid w:val="00F901D6"/>
    <w:rsid w:val="00F901D9"/>
    <w:rsid w:val="00F9022F"/>
    <w:rsid w:val="00F90256"/>
    <w:rsid w:val="00F90324"/>
    <w:rsid w:val="00F903D3"/>
    <w:rsid w:val="00F903E4"/>
    <w:rsid w:val="00F90414"/>
    <w:rsid w:val="00F904E3"/>
    <w:rsid w:val="00F90578"/>
    <w:rsid w:val="00F905B9"/>
    <w:rsid w:val="00F905DC"/>
    <w:rsid w:val="00F90601"/>
    <w:rsid w:val="00F90646"/>
    <w:rsid w:val="00F906EF"/>
    <w:rsid w:val="00F9070C"/>
    <w:rsid w:val="00F90759"/>
    <w:rsid w:val="00F9078B"/>
    <w:rsid w:val="00F90956"/>
    <w:rsid w:val="00F90ACD"/>
    <w:rsid w:val="00F90B2A"/>
    <w:rsid w:val="00F90B5C"/>
    <w:rsid w:val="00F90B91"/>
    <w:rsid w:val="00F90BA0"/>
    <w:rsid w:val="00F90BB4"/>
    <w:rsid w:val="00F90BBA"/>
    <w:rsid w:val="00F90C12"/>
    <w:rsid w:val="00F90CCF"/>
    <w:rsid w:val="00F90CE8"/>
    <w:rsid w:val="00F90D3C"/>
    <w:rsid w:val="00F90D52"/>
    <w:rsid w:val="00F90D6E"/>
    <w:rsid w:val="00F90DC1"/>
    <w:rsid w:val="00F90DDF"/>
    <w:rsid w:val="00F90DF1"/>
    <w:rsid w:val="00F90E3D"/>
    <w:rsid w:val="00F90E87"/>
    <w:rsid w:val="00F90F00"/>
    <w:rsid w:val="00F90F33"/>
    <w:rsid w:val="00F90F36"/>
    <w:rsid w:val="00F90F58"/>
    <w:rsid w:val="00F90FBC"/>
    <w:rsid w:val="00F9102A"/>
    <w:rsid w:val="00F9103C"/>
    <w:rsid w:val="00F91046"/>
    <w:rsid w:val="00F9107F"/>
    <w:rsid w:val="00F9118F"/>
    <w:rsid w:val="00F91196"/>
    <w:rsid w:val="00F91272"/>
    <w:rsid w:val="00F91279"/>
    <w:rsid w:val="00F912B2"/>
    <w:rsid w:val="00F9135C"/>
    <w:rsid w:val="00F913D2"/>
    <w:rsid w:val="00F91429"/>
    <w:rsid w:val="00F91479"/>
    <w:rsid w:val="00F914A6"/>
    <w:rsid w:val="00F914CE"/>
    <w:rsid w:val="00F915A9"/>
    <w:rsid w:val="00F9166B"/>
    <w:rsid w:val="00F916B2"/>
    <w:rsid w:val="00F9170C"/>
    <w:rsid w:val="00F9172C"/>
    <w:rsid w:val="00F917C9"/>
    <w:rsid w:val="00F917DA"/>
    <w:rsid w:val="00F9182A"/>
    <w:rsid w:val="00F91841"/>
    <w:rsid w:val="00F91842"/>
    <w:rsid w:val="00F9184C"/>
    <w:rsid w:val="00F918DB"/>
    <w:rsid w:val="00F918F3"/>
    <w:rsid w:val="00F91959"/>
    <w:rsid w:val="00F91993"/>
    <w:rsid w:val="00F919EF"/>
    <w:rsid w:val="00F91A02"/>
    <w:rsid w:val="00F91BCB"/>
    <w:rsid w:val="00F91BFA"/>
    <w:rsid w:val="00F91CC8"/>
    <w:rsid w:val="00F91CD0"/>
    <w:rsid w:val="00F91DB2"/>
    <w:rsid w:val="00F91DBE"/>
    <w:rsid w:val="00F91E4D"/>
    <w:rsid w:val="00F91E6A"/>
    <w:rsid w:val="00F91E75"/>
    <w:rsid w:val="00F91E8F"/>
    <w:rsid w:val="00F91EB3"/>
    <w:rsid w:val="00F91ED9"/>
    <w:rsid w:val="00F91EE0"/>
    <w:rsid w:val="00F91FE4"/>
    <w:rsid w:val="00F92074"/>
    <w:rsid w:val="00F9207F"/>
    <w:rsid w:val="00F920C4"/>
    <w:rsid w:val="00F920DD"/>
    <w:rsid w:val="00F920EF"/>
    <w:rsid w:val="00F920FE"/>
    <w:rsid w:val="00F92131"/>
    <w:rsid w:val="00F921C7"/>
    <w:rsid w:val="00F92257"/>
    <w:rsid w:val="00F92350"/>
    <w:rsid w:val="00F9235C"/>
    <w:rsid w:val="00F92412"/>
    <w:rsid w:val="00F92418"/>
    <w:rsid w:val="00F9242E"/>
    <w:rsid w:val="00F9244E"/>
    <w:rsid w:val="00F92457"/>
    <w:rsid w:val="00F9255C"/>
    <w:rsid w:val="00F925D4"/>
    <w:rsid w:val="00F925EB"/>
    <w:rsid w:val="00F9261D"/>
    <w:rsid w:val="00F92649"/>
    <w:rsid w:val="00F926FB"/>
    <w:rsid w:val="00F92707"/>
    <w:rsid w:val="00F92776"/>
    <w:rsid w:val="00F92809"/>
    <w:rsid w:val="00F92814"/>
    <w:rsid w:val="00F928D3"/>
    <w:rsid w:val="00F928DC"/>
    <w:rsid w:val="00F9291D"/>
    <w:rsid w:val="00F9293C"/>
    <w:rsid w:val="00F92995"/>
    <w:rsid w:val="00F929A6"/>
    <w:rsid w:val="00F92A75"/>
    <w:rsid w:val="00F92A8B"/>
    <w:rsid w:val="00F92B1E"/>
    <w:rsid w:val="00F92B62"/>
    <w:rsid w:val="00F92BFB"/>
    <w:rsid w:val="00F92C1B"/>
    <w:rsid w:val="00F92C41"/>
    <w:rsid w:val="00F92C4A"/>
    <w:rsid w:val="00F92CAB"/>
    <w:rsid w:val="00F92CCB"/>
    <w:rsid w:val="00F92CEB"/>
    <w:rsid w:val="00F92D9C"/>
    <w:rsid w:val="00F92DA9"/>
    <w:rsid w:val="00F92DC4"/>
    <w:rsid w:val="00F92DE9"/>
    <w:rsid w:val="00F92DFE"/>
    <w:rsid w:val="00F92FC6"/>
    <w:rsid w:val="00F93044"/>
    <w:rsid w:val="00F9307C"/>
    <w:rsid w:val="00F93089"/>
    <w:rsid w:val="00F9308D"/>
    <w:rsid w:val="00F93115"/>
    <w:rsid w:val="00F9318E"/>
    <w:rsid w:val="00F93222"/>
    <w:rsid w:val="00F93248"/>
    <w:rsid w:val="00F93260"/>
    <w:rsid w:val="00F9326D"/>
    <w:rsid w:val="00F9328C"/>
    <w:rsid w:val="00F93306"/>
    <w:rsid w:val="00F93324"/>
    <w:rsid w:val="00F9357B"/>
    <w:rsid w:val="00F935C2"/>
    <w:rsid w:val="00F93604"/>
    <w:rsid w:val="00F9360C"/>
    <w:rsid w:val="00F9363D"/>
    <w:rsid w:val="00F93684"/>
    <w:rsid w:val="00F936B8"/>
    <w:rsid w:val="00F93721"/>
    <w:rsid w:val="00F93726"/>
    <w:rsid w:val="00F937B7"/>
    <w:rsid w:val="00F93870"/>
    <w:rsid w:val="00F9387A"/>
    <w:rsid w:val="00F9388F"/>
    <w:rsid w:val="00F93929"/>
    <w:rsid w:val="00F93979"/>
    <w:rsid w:val="00F93A10"/>
    <w:rsid w:val="00F93A16"/>
    <w:rsid w:val="00F93AE9"/>
    <w:rsid w:val="00F93B1B"/>
    <w:rsid w:val="00F93BF2"/>
    <w:rsid w:val="00F93BF5"/>
    <w:rsid w:val="00F93C17"/>
    <w:rsid w:val="00F93C80"/>
    <w:rsid w:val="00F93D8C"/>
    <w:rsid w:val="00F93DDB"/>
    <w:rsid w:val="00F93E02"/>
    <w:rsid w:val="00F93E8F"/>
    <w:rsid w:val="00F93EB1"/>
    <w:rsid w:val="00F93F14"/>
    <w:rsid w:val="00F93F3C"/>
    <w:rsid w:val="00F93FD6"/>
    <w:rsid w:val="00F940AE"/>
    <w:rsid w:val="00F940F1"/>
    <w:rsid w:val="00F94182"/>
    <w:rsid w:val="00F941B4"/>
    <w:rsid w:val="00F941D7"/>
    <w:rsid w:val="00F94265"/>
    <w:rsid w:val="00F94357"/>
    <w:rsid w:val="00F94379"/>
    <w:rsid w:val="00F9438D"/>
    <w:rsid w:val="00F943D5"/>
    <w:rsid w:val="00F943E0"/>
    <w:rsid w:val="00F94414"/>
    <w:rsid w:val="00F9447D"/>
    <w:rsid w:val="00F94485"/>
    <w:rsid w:val="00F944CD"/>
    <w:rsid w:val="00F944CE"/>
    <w:rsid w:val="00F944D8"/>
    <w:rsid w:val="00F945EB"/>
    <w:rsid w:val="00F94611"/>
    <w:rsid w:val="00F9461A"/>
    <w:rsid w:val="00F9462A"/>
    <w:rsid w:val="00F946B4"/>
    <w:rsid w:val="00F946B8"/>
    <w:rsid w:val="00F946E0"/>
    <w:rsid w:val="00F946F6"/>
    <w:rsid w:val="00F94718"/>
    <w:rsid w:val="00F94784"/>
    <w:rsid w:val="00F947A8"/>
    <w:rsid w:val="00F947B4"/>
    <w:rsid w:val="00F9480C"/>
    <w:rsid w:val="00F948DA"/>
    <w:rsid w:val="00F94907"/>
    <w:rsid w:val="00F9494A"/>
    <w:rsid w:val="00F9494C"/>
    <w:rsid w:val="00F949BC"/>
    <w:rsid w:val="00F949D5"/>
    <w:rsid w:val="00F94A6F"/>
    <w:rsid w:val="00F94AD2"/>
    <w:rsid w:val="00F94B4F"/>
    <w:rsid w:val="00F94B80"/>
    <w:rsid w:val="00F94B8C"/>
    <w:rsid w:val="00F94BCB"/>
    <w:rsid w:val="00F94BF3"/>
    <w:rsid w:val="00F94C9B"/>
    <w:rsid w:val="00F94D93"/>
    <w:rsid w:val="00F94DBE"/>
    <w:rsid w:val="00F94EB0"/>
    <w:rsid w:val="00F95029"/>
    <w:rsid w:val="00F95056"/>
    <w:rsid w:val="00F9508E"/>
    <w:rsid w:val="00F950E7"/>
    <w:rsid w:val="00F951B7"/>
    <w:rsid w:val="00F951BF"/>
    <w:rsid w:val="00F951F0"/>
    <w:rsid w:val="00F9522A"/>
    <w:rsid w:val="00F952C1"/>
    <w:rsid w:val="00F95332"/>
    <w:rsid w:val="00F95337"/>
    <w:rsid w:val="00F95341"/>
    <w:rsid w:val="00F953C9"/>
    <w:rsid w:val="00F953FD"/>
    <w:rsid w:val="00F95445"/>
    <w:rsid w:val="00F9546F"/>
    <w:rsid w:val="00F954CF"/>
    <w:rsid w:val="00F954F9"/>
    <w:rsid w:val="00F95507"/>
    <w:rsid w:val="00F95531"/>
    <w:rsid w:val="00F95552"/>
    <w:rsid w:val="00F9555C"/>
    <w:rsid w:val="00F955F9"/>
    <w:rsid w:val="00F9574B"/>
    <w:rsid w:val="00F95771"/>
    <w:rsid w:val="00F9577E"/>
    <w:rsid w:val="00F95803"/>
    <w:rsid w:val="00F95815"/>
    <w:rsid w:val="00F9584F"/>
    <w:rsid w:val="00F95866"/>
    <w:rsid w:val="00F9588A"/>
    <w:rsid w:val="00F959C5"/>
    <w:rsid w:val="00F959C8"/>
    <w:rsid w:val="00F95ADC"/>
    <w:rsid w:val="00F95ADE"/>
    <w:rsid w:val="00F95BAA"/>
    <w:rsid w:val="00F95C2D"/>
    <w:rsid w:val="00F95C57"/>
    <w:rsid w:val="00F95D48"/>
    <w:rsid w:val="00F95D51"/>
    <w:rsid w:val="00F95DAB"/>
    <w:rsid w:val="00F95DC8"/>
    <w:rsid w:val="00F95EC2"/>
    <w:rsid w:val="00F95FFA"/>
    <w:rsid w:val="00F960F7"/>
    <w:rsid w:val="00F960FA"/>
    <w:rsid w:val="00F960FC"/>
    <w:rsid w:val="00F96102"/>
    <w:rsid w:val="00F9610D"/>
    <w:rsid w:val="00F9610E"/>
    <w:rsid w:val="00F9617C"/>
    <w:rsid w:val="00F96227"/>
    <w:rsid w:val="00F962A4"/>
    <w:rsid w:val="00F962A5"/>
    <w:rsid w:val="00F96342"/>
    <w:rsid w:val="00F9635E"/>
    <w:rsid w:val="00F96391"/>
    <w:rsid w:val="00F96437"/>
    <w:rsid w:val="00F9644B"/>
    <w:rsid w:val="00F96492"/>
    <w:rsid w:val="00F964D7"/>
    <w:rsid w:val="00F96509"/>
    <w:rsid w:val="00F9655C"/>
    <w:rsid w:val="00F9657B"/>
    <w:rsid w:val="00F96596"/>
    <w:rsid w:val="00F965CE"/>
    <w:rsid w:val="00F965F8"/>
    <w:rsid w:val="00F9660B"/>
    <w:rsid w:val="00F96848"/>
    <w:rsid w:val="00F96861"/>
    <w:rsid w:val="00F969E4"/>
    <w:rsid w:val="00F96A86"/>
    <w:rsid w:val="00F96A94"/>
    <w:rsid w:val="00F96ABC"/>
    <w:rsid w:val="00F96B27"/>
    <w:rsid w:val="00F96BF1"/>
    <w:rsid w:val="00F96BFF"/>
    <w:rsid w:val="00F96CBA"/>
    <w:rsid w:val="00F96D32"/>
    <w:rsid w:val="00F96D4F"/>
    <w:rsid w:val="00F96D58"/>
    <w:rsid w:val="00F96DA1"/>
    <w:rsid w:val="00F96DC0"/>
    <w:rsid w:val="00F96DF0"/>
    <w:rsid w:val="00F96E2D"/>
    <w:rsid w:val="00F96E8C"/>
    <w:rsid w:val="00F96EE9"/>
    <w:rsid w:val="00F96EF0"/>
    <w:rsid w:val="00F96F16"/>
    <w:rsid w:val="00F96F21"/>
    <w:rsid w:val="00F96F66"/>
    <w:rsid w:val="00F96FCD"/>
    <w:rsid w:val="00F97042"/>
    <w:rsid w:val="00F97053"/>
    <w:rsid w:val="00F97057"/>
    <w:rsid w:val="00F97060"/>
    <w:rsid w:val="00F970B0"/>
    <w:rsid w:val="00F970D8"/>
    <w:rsid w:val="00F97181"/>
    <w:rsid w:val="00F97208"/>
    <w:rsid w:val="00F9724F"/>
    <w:rsid w:val="00F97304"/>
    <w:rsid w:val="00F97306"/>
    <w:rsid w:val="00F973CC"/>
    <w:rsid w:val="00F973E9"/>
    <w:rsid w:val="00F97422"/>
    <w:rsid w:val="00F97448"/>
    <w:rsid w:val="00F974A9"/>
    <w:rsid w:val="00F97552"/>
    <w:rsid w:val="00F975F7"/>
    <w:rsid w:val="00F97648"/>
    <w:rsid w:val="00F97669"/>
    <w:rsid w:val="00F9766D"/>
    <w:rsid w:val="00F9769B"/>
    <w:rsid w:val="00F9771A"/>
    <w:rsid w:val="00F97762"/>
    <w:rsid w:val="00F97766"/>
    <w:rsid w:val="00F97771"/>
    <w:rsid w:val="00F977C4"/>
    <w:rsid w:val="00F97806"/>
    <w:rsid w:val="00F97883"/>
    <w:rsid w:val="00F97965"/>
    <w:rsid w:val="00F979FE"/>
    <w:rsid w:val="00F97A50"/>
    <w:rsid w:val="00F97A76"/>
    <w:rsid w:val="00F97AF2"/>
    <w:rsid w:val="00F97B17"/>
    <w:rsid w:val="00F97B20"/>
    <w:rsid w:val="00F97B5A"/>
    <w:rsid w:val="00F97C13"/>
    <w:rsid w:val="00F97CD2"/>
    <w:rsid w:val="00F97F2F"/>
    <w:rsid w:val="00FA014F"/>
    <w:rsid w:val="00FA0200"/>
    <w:rsid w:val="00FA020E"/>
    <w:rsid w:val="00FA0223"/>
    <w:rsid w:val="00FA022E"/>
    <w:rsid w:val="00FA02BB"/>
    <w:rsid w:val="00FA02E5"/>
    <w:rsid w:val="00FA0332"/>
    <w:rsid w:val="00FA03C6"/>
    <w:rsid w:val="00FA0409"/>
    <w:rsid w:val="00FA0411"/>
    <w:rsid w:val="00FA042F"/>
    <w:rsid w:val="00FA0443"/>
    <w:rsid w:val="00FA048A"/>
    <w:rsid w:val="00FA049B"/>
    <w:rsid w:val="00FA04A6"/>
    <w:rsid w:val="00FA04B8"/>
    <w:rsid w:val="00FA04C8"/>
    <w:rsid w:val="00FA04FD"/>
    <w:rsid w:val="00FA053F"/>
    <w:rsid w:val="00FA05C0"/>
    <w:rsid w:val="00FA05CB"/>
    <w:rsid w:val="00FA062B"/>
    <w:rsid w:val="00FA06B9"/>
    <w:rsid w:val="00FA06E9"/>
    <w:rsid w:val="00FA0715"/>
    <w:rsid w:val="00FA07F1"/>
    <w:rsid w:val="00FA0871"/>
    <w:rsid w:val="00FA0875"/>
    <w:rsid w:val="00FA088A"/>
    <w:rsid w:val="00FA0915"/>
    <w:rsid w:val="00FA0983"/>
    <w:rsid w:val="00FA0990"/>
    <w:rsid w:val="00FA0A37"/>
    <w:rsid w:val="00FA0A75"/>
    <w:rsid w:val="00FA0ADC"/>
    <w:rsid w:val="00FA0B3F"/>
    <w:rsid w:val="00FA0C4C"/>
    <w:rsid w:val="00FA0C54"/>
    <w:rsid w:val="00FA0C66"/>
    <w:rsid w:val="00FA0CD5"/>
    <w:rsid w:val="00FA0D23"/>
    <w:rsid w:val="00FA0D73"/>
    <w:rsid w:val="00FA0D78"/>
    <w:rsid w:val="00FA0DF6"/>
    <w:rsid w:val="00FA0DFF"/>
    <w:rsid w:val="00FA0E48"/>
    <w:rsid w:val="00FA0E8D"/>
    <w:rsid w:val="00FA0F23"/>
    <w:rsid w:val="00FA100D"/>
    <w:rsid w:val="00FA1061"/>
    <w:rsid w:val="00FA10AB"/>
    <w:rsid w:val="00FA1108"/>
    <w:rsid w:val="00FA1124"/>
    <w:rsid w:val="00FA114C"/>
    <w:rsid w:val="00FA123D"/>
    <w:rsid w:val="00FA125B"/>
    <w:rsid w:val="00FA1302"/>
    <w:rsid w:val="00FA136C"/>
    <w:rsid w:val="00FA1416"/>
    <w:rsid w:val="00FA14BC"/>
    <w:rsid w:val="00FA14C5"/>
    <w:rsid w:val="00FA14FD"/>
    <w:rsid w:val="00FA152E"/>
    <w:rsid w:val="00FA1602"/>
    <w:rsid w:val="00FA1676"/>
    <w:rsid w:val="00FA16FA"/>
    <w:rsid w:val="00FA1722"/>
    <w:rsid w:val="00FA172C"/>
    <w:rsid w:val="00FA1738"/>
    <w:rsid w:val="00FA17E4"/>
    <w:rsid w:val="00FA17F2"/>
    <w:rsid w:val="00FA1841"/>
    <w:rsid w:val="00FA1891"/>
    <w:rsid w:val="00FA18C0"/>
    <w:rsid w:val="00FA1939"/>
    <w:rsid w:val="00FA1A18"/>
    <w:rsid w:val="00FA1A4F"/>
    <w:rsid w:val="00FA1A71"/>
    <w:rsid w:val="00FA1A7C"/>
    <w:rsid w:val="00FA1B9F"/>
    <w:rsid w:val="00FA1C4F"/>
    <w:rsid w:val="00FA1C60"/>
    <w:rsid w:val="00FA1CAF"/>
    <w:rsid w:val="00FA1CE4"/>
    <w:rsid w:val="00FA1D1A"/>
    <w:rsid w:val="00FA1D35"/>
    <w:rsid w:val="00FA1DE0"/>
    <w:rsid w:val="00FA1E18"/>
    <w:rsid w:val="00FA1E84"/>
    <w:rsid w:val="00FA1E91"/>
    <w:rsid w:val="00FA1EE2"/>
    <w:rsid w:val="00FA1F86"/>
    <w:rsid w:val="00FA1F8B"/>
    <w:rsid w:val="00FA20F8"/>
    <w:rsid w:val="00FA213B"/>
    <w:rsid w:val="00FA2206"/>
    <w:rsid w:val="00FA222B"/>
    <w:rsid w:val="00FA22A5"/>
    <w:rsid w:val="00FA22F0"/>
    <w:rsid w:val="00FA23F5"/>
    <w:rsid w:val="00FA23F8"/>
    <w:rsid w:val="00FA2406"/>
    <w:rsid w:val="00FA24A0"/>
    <w:rsid w:val="00FA24C2"/>
    <w:rsid w:val="00FA2523"/>
    <w:rsid w:val="00FA2538"/>
    <w:rsid w:val="00FA2571"/>
    <w:rsid w:val="00FA2576"/>
    <w:rsid w:val="00FA26A4"/>
    <w:rsid w:val="00FA26B9"/>
    <w:rsid w:val="00FA2726"/>
    <w:rsid w:val="00FA2839"/>
    <w:rsid w:val="00FA2868"/>
    <w:rsid w:val="00FA28C6"/>
    <w:rsid w:val="00FA2982"/>
    <w:rsid w:val="00FA2AFE"/>
    <w:rsid w:val="00FA2B02"/>
    <w:rsid w:val="00FA2B15"/>
    <w:rsid w:val="00FA2B4D"/>
    <w:rsid w:val="00FA2B7D"/>
    <w:rsid w:val="00FA2BD1"/>
    <w:rsid w:val="00FA2D62"/>
    <w:rsid w:val="00FA2D94"/>
    <w:rsid w:val="00FA2DBD"/>
    <w:rsid w:val="00FA2E1E"/>
    <w:rsid w:val="00FA2EFE"/>
    <w:rsid w:val="00FA2F39"/>
    <w:rsid w:val="00FA2F6B"/>
    <w:rsid w:val="00FA3009"/>
    <w:rsid w:val="00FA30CD"/>
    <w:rsid w:val="00FA3127"/>
    <w:rsid w:val="00FA31BE"/>
    <w:rsid w:val="00FA31C1"/>
    <w:rsid w:val="00FA31CE"/>
    <w:rsid w:val="00FA31DE"/>
    <w:rsid w:val="00FA3201"/>
    <w:rsid w:val="00FA328E"/>
    <w:rsid w:val="00FA32C2"/>
    <w:rsid w:val="00FA3338"/>
    <w:rsid w:val="00FA3354"/>
    <w:rsid w:val="00FA3367"/>
    <w:rsid w:val="00FA3418"/>
    <w:rsid w:val="00FA3432"/>
    <w:rsid w:val="00FA3487"/>
    <w:rsid w:val="00FA349B"/>
    <w:rsid w:val="00FA3514"/>
    <w:rsid w:val="00FA3521"/>
    <w:rsid w:val="00FA356E"/>
    <w:rsid w:val="00FA358E"/>
    <w:rsid w:val="00FA359D"/>
    <w:rsid w:val="00FA35B3"/>
    <w:rsid w:val="00FA36F9"/>
    <w:rsid w:val="00FA3714"/>
    <w:rsid w:val="00FA372C"/>
    <w:rsid w:val="00FA372E"/>
    <w:rsid w:val="00FA37D5"/>
    <w:rsid w:val="00FA3890"/>
    <w:rsid w:val="00FA391D"/>
    <w:rsid w:val="00FA39B2"/>
    <w:rsid w:val="00FA3A26"/>
    <w:rsid w:val="00FA3A81"/>
    <w:rsid w:val="00FA3A8A"/>
    <w:rsid w:val="00FA3AED"/>
    <w:rsid w:val="00FA3B0B"/>
    <w:rsid w:val="00FA3B6C"/>
    <w:rsid w:val="00FA3C67"/>
    <w:rsid w:val="00FA3CD9"/>
    <w:rsid w:val="00FA3D83"/>
    <w:rsid w:val="00FA3DC0"/>
    <w:rsid w:val="00FA3DC9"/>
    <w:rsid w:val="00FA3E22"/>
    <w:rsid w:val="00FA3E4E"/>
    <w:rsid w:val="00FA3E5B"/>
    <w:rsid w:val="00FA3ECB"/>
    <w:rsid w:val="00FA3EFD"/>
    <w:rsid w:val="00FA3F36"/>
    <w:rsid w:val="00FA3F54"/>
    <w:rsid w:val="00FA3FD6"/>
    <w:rsid w:val="00FA4001"/>
    <w:rsid w:val="00FA40FB"/>
    <w:rsid w:val="00FA4118"/>
    <w:rsid w:val="00FA4141"/>
    <w:rsid w:val="00FA4149"/>
    <w:rsid w:val="00FA4175"/>
    <w:rsid w:val="00FA4241"/>
    <w:rsid w:val="00FA438A"/>
    <w:rsid w:val="00FA4396"/>
    <w:rsid w:val="00FA439B"/>
    <w:rsid w:val="00FA43FC"/>
    <w:rsid w:val="00FA4542"/>
    <w:rsid w:val="00FA4577"/>
    <w:rsid w:val="00FA45AC"/>
    <w:rsid w:val="00FA45AE"/>
    <w:rsid w:val="00FA45C1"/>
    <w:rsid w:val="00FA45EF"/>
    <w:rsid w:val="00FA45F0"/>
    <w:rsid w:val="00FA4600"/>
    <w:rsid w:val="00FA460F"/>
    <w:rsid w:val="00FA464E"/>
    <w:rsid w:val="00FA465C"/>
    <w:rsid w:val="00FA466A"/>
    <w:rsid w:val="00FA467F"/>
    <w:rsid w:val="00FA46AE"/>
    <w:rsid w:val="00FA475A"/>
    <w:rsid w:val="00FA47FE"/>
    <w:rsid w:val="00FA4842"/>
    <w:rsid w:val="00FA4880"/>
    <w:rsid w:val="00FA48C1"/>
    <w:rsid w:val="00FA48D2"/>
    <w:rsid w:val="00FA49AD"/>
    <w:rsid w:val="00FA49C2"/>
    <w:rsid w:val="00FA4C3D"/>
    <w:rsid w:val="00FA4CBB"/>
    <w:rsid w:val="00FA4D92"/>
    <w:rsid w:val="00FA4F36"/>
    <w:rsid w:val="00FA5003"/>
    <w:rsid w:val="00FA503C"/>
    <w:rsid w:val="00FA5179"/>
    <w:rsid w:val="00FA5192"/>
    <w:rsid w:val="00FA527A"/>
    <w:rsid w:val="00FA52B5"/>
    <w:rsid w:val="00FA52DC"/>
    <w:rsid w:val="00FA52E1"/>
    <w:rsid w:val="00FA536F"/>
    <w:rsid w:val="00FA5383"/>
    <w:rsid w:val="00FA5389"/>
    <w:rsid w:val="00FA5553"/>
    <w:rsid w:val="00FA5574"/>
    <w:rsid w:val="00FA55A2"/>
    <w:rsid w:val="00FA55D2"/>
    <w:rsid w:val="00FA56EB"/>
    <w:rsid w:val="00FA57A9"/>
    <w:rsid w:val="00FA585F"/>
    <w:rsid w:val="00FA587D"/>
    <w:rsid w:val="00FA58A6"/>
    <w:rsid w:val="00FA58B2"/>
    <w:rsid w:val="00FA58E4"/>
    <w:rsid w:val="00FA593B"/>
    <w:rsid w:val="00FA5985"/>
    <w:rsid w:val="00FA599E"/>
    <w:rsid w:val="00FA59D1"/>
    <w:rsid w:val="00FA5A1C"/>
    <w:rsid w:val="00FA5AE8"/>
    <w:rsid w:val="00FA5AEE"/>
    <w:rsid w:val="00FA5BB9"/>
    <w:rsid w:val="00FA5BCE"/>
    <w:rsid w:val="00FA5BEB"/>
    <w:rsid w:val="00FA5BFD"/>
    <w:rsid w:val="00FA5C64"/>
    <w:rsid w:val="00FA5C73"/>
    <w:rsid w:val="00FA5D91"/>
    <w:rsid w:val="00FA5DB2"/>
    <w:rsid w:val="00FA5E0F"/>
    <w:rsid w:val="00FA5E5C"/>
    <w:rsid w:val="00FA5ED4"/>
    <w:rsid w:val="00FA5EDF"/>
    <w:rsid w:val="00FA5EE1"/>
    <w:rsid w:val="00FA5F9E"/>
    <w:rsid w:val="00FA5FA7"/>
    <w:rsid w:val="00FA5FF3"/>
    <w:rsid w:val="00FA602E"/>
    <w:rsid w:val="00FA608E"/>
    <w:rsid w:val="00FA6199"/>
    <w:rsid w:val="00FA619C"/>
    <w:rsid w:val="00FA625C"/>
    <w:rsid w:val="00FA6290"/>
    <w:rsid w:val="00FA62C0"/>
    <w:rsid w:val="00FA6318"/>
    <w:rsid w:val="00FA6349"/>
    <w:rsid w:val="00FA6414"/>
    <w:rsid w:val="00FA6469"/>
    <w:rsid w:val="00FA648E"/>
    <w:rsid w:val="00FA650F"/>
    <w:rsid w:val="00FA657C"/>
    <w:rsid w:val="00FA6594"/>
    <w:rsid w:val="00FA669C"/>
    <w:rsid w:val="00FA6722"/>
    <w:rsid w:val="00FA672A"/>
    <w:rsid w:val="00FA674A"/>
    <w:rsid w:val="00FA6771"/>
    <w:rsid w:val="00FA6799"/>
    <w:rsid w:val="00FA67D4"/>
    <w:rsid w:val="00FA6812"/>
    <w:rsid w:val="00FA6851"/>
    <w:rsid w:val="00FA68FA"/>
    <w:rsid w:val="00FA691E"/>
    <w:rsid w:val="00FA6959"/>
    <w:rsid w:val="00FA6AD6"/>
    <w:rsid w:val="00FA6B49"/>
    <w:rsid w:val="00FA6B7D"/>
    <w:rsid w:val="00FA6C44"/>
    <w:rsid w:val="00FA6C91"/>
    <w:rsid w:val="00FA6CA0"/>
    <w:rsid w:val="00FA6CA8"/>
    <w:rsid w:val="00FA6D01"/>
    <w:rsid w:val="00FA6D50"/>
    <w:rsid w:val="00FA6D63"/>
    <w:rsid w:val="00FA6DD7"/>
    <w:rsid w:val="00FA6DE6"/>
    <w:rsid w:val="00FA6DEC"/>
    <w:rsid w:val="00FA6E03"/>
    <w:rsid w:val="00FA6E15"/>
    <w:rsid w:val="00FA6E5B"/>
    <w:rsid w:val="00FA6E79"/>
    <w:rsid w:val="00FA6ED5"/>
    <w:rsid w:val="00FA6F61"/>
    <w:rsid w:val="00FA6FA2"/>
    <w:rsid w:val="00FA706F"/>
    <w:rsid w:val="00FA709F"/>
    <w:rsid w:val="00FA70E3"/>
    <w:rsid w:val="00FA70F9"/>
    <w:rsid w:val="00FA7232"/>
    <w:rsid w:val="00FA736B"/>
    <w:rsid w:val="00FA73C2"/>
    <w:rsid w:val="00FA746B"/>
    <w:rsid w:val="00FA7477"/>
    <w:rsid w:val="00FA74A6"/>
    <w:rsid w:val="00FA74FB"/>
    <w:rsid w:val="00FA750C"/>
    <w:rsid w:val="00FA7510"/>
    <w:rsid w:val="00FA7591"/>
    <w:rsid w:val="00FA75D0"/>
    <w:rsid w:val="00FA7747"/>
    <w:rsid w:val="00FA776B"/>
    <w:rsid w:val="00FA783F"/>
    <w:rsid w:val="00FA7929"/>
    <w:rsid w:val="00FA7972"/>
    <w:rsid w:val="00FA79A3"/>
    <w:rsid w:val="00FA7A11"/>
    <w:rsid w:val="00FA7B0D"/>
    <w:rsid w:val="00FA7C0B"/>
    <w:rsid w:val="00FA7D0B"/>
    <w:rsid w:val="00FA7D26"/>
    <w:rsid w:val="00FA7D6A"/>
    <w:rsid w:val="00FA7DC2"/>
    <w:rsid w:val="00FA7DCC"/>
    <w:rsid w:val="00FA7E00"/>
    <w:rsid w:val="00FA7ED3"/>
    <w:rsid w:val="00FA7F4D"/>
    <w:rsid w:val="00FA7FC4"/>
    <w:rsid w:val="00FB006D"/>
    <w:rsid w:val="00FB00EA"/>
    <w:rsid w:val="00FB010F"/>
    <w:rsid w:val="00FB01C3"/>
    <w:rsid w:val="00FB0209"/>
    <w:rsid w:val="00FB037B"/>
    <w:rsid w:val="00FB046C"/>
    <w:rsid w:val="00FB04DE"/>
    <w:rsid w:val="00FB0525"/>
    <w:rsid w:val="00FB056A"/>
    <w:rsid w:val="00FB0577"/>
    <w:rsid w:val="00FB05F9"/>
    <w:rsid w:val="00FB0620"/>
    <w:rsid w:val="00FB063C"/>
    <w:rsid w:val="00FB0673"/>
    <w:rsid w:val="00FB069F"/>
    <w:rsid w:val="00FB06AA"/>
    <w:rsid w:val="00FB0785"/>
    <w:rsid w:val="00FB07AD"/>
    <w:rsid w:val="00FB07BE"/>
    <w:rsid w:val="00FB07C7"/>
    <w:rsid w:val="00FB0802"/>
    <w:rsid w:val="00FB0883"/>
    <w:rsid w:val="00FB08D9"/>
    <w:rsid w:val="00FB08FA"/>
    <w:rsid w:val="00FB0994"/>
    <w:rsid w:val="00FB09CA"/>
    <w:rsid w:val="00FB09DB"/>
    <w:rsid w:val="00FB09F7"/>
    <w:rsid w:val="00FB0A43"/>
    <w:rsid w:val="00FB0A57"/>
    <w:rsid w:val="00FB0A60"/>
    <w:rsid w:val="00FB0A87"/>
    <w:rsid w:val="00FB0A9A"/>
    <w:rsid w:val="00FB0AB7"/>
    <w:rsid w:val="00FB0AF6"/>
    <w:rsid w:val="00FB0B96"/>
    <w:rsid w:val="00FB0BF6"/>
    <w:rsid w:val="00FB0C96"/>
    <w:rsid w:val="00FB0D22"/>
    <w:rsid w:val="00FB0DBC"/>
    <w:rsid w:val="00FB0DF1"/>
    <w:rsid w:val="00FB0EBC"/>
    <w:rsid w:val="00FB0EDB"/>
    <w:rsid w:val="00FB0F10"/>
    <w:rsid w:val="00FB0F2D"/>
    <w:rsid w:val="00FB0F63"/>
    <w:rsid w:val="00FB0FC4"/>
    <w:rsid w:val="00FB0FE1"/>
    <w:rsid w:val="00FB1059"/>
    <w:rsid w:val="00FB109F"/>
    <w:rsid w:val="00FB10B8"/>
    <w:rsid w:val="00FB111A"/>
    <w:rsid w:val="00FB112B"/>
    <w:rsid w:val="00FB1142"/>
    <w:rsid w:val="00FB1150"/>
    <w:rsid w:val="00FB1161"/>
    <w:rsid w:val="00FB1166"/>
    <w:rsid w:val="00FB126D"/>
    <w:rsid w:val="00FB12A4"/>
    <w:rsid w:val="00FB12DA"/>
    <w:rsid w:val="00FB12E9"/>
    <w:rsid w:val="00FB1314"/>
    <w:rsid w:val="00FB1332"/>
    <w:rsid w:val="00FB1372"/>
    <w:rsid w:val="00FB138E"/>
    <w:rsid w:val="00FB1443"/>
    <w:rsid w:val="00FB1481"/>
    <w:rsid w:val="00FB1505"/>
    <w:rsid w:val="00FB15A6"/>
    <w:rsid w:val="00FB15AB"/>
    <w:rsid w:val="00FB161C"/>
    <w:rsid w:val="00FB1677"/>
    <w:rsid w:val="00FB16A5"/>
    <w:rsid w:val="00FB16CD"/>
    <w:rsid w:val="00FB16D3"/>
    <w:rsid w:val="00FB1753"/>
    <w:rsid w:val="00FB17A6"/>
    <w:rsid w:val="00FB17DF"/>
    <w:rsid w:val="00FB1879"/>
    <w:rsid w:val="00FB1957"/>
    <w:rsid w:val="00FB19E3"/>
    <w:rsid w:val="00FB1A4D"/>
    <w:rsid w:val="00FB1A79"/>
    <w:rsid w:val="00FB1A8E"/>
    <w:rsid w:val="00FB1BBD"/>
    <w:rsid w:val="00FB1C6E"/>
    <w:rsid w:val="00FB1CFE"/>
    <w:rsid w:val="00FB1DF2"/>
    <w:rsid w:val="00FB1E31"/>
    <w:rsid w:val="00FB1E84"/>
    <w:rsid w:val="00FB1EC1"/>
    <w:rsid w:val="00FB1EF1"/>
    <w:rsid w:val="00FB1F4A"/>
    <w:rsid w:val="00FB201D"/>
    <w:rsid w:val="00FB2026"/>
    <w:rsid w:val="00FB213D"/>
    <w:rsid w:val="00FB21A3"/>
    <w:rsid w:val="00FB21FA"/>
    <w:rsid w:val="00FB2273"/>
    <w:rsid w:val="00FB2299"/>
    <w:rsid w:val="00FB22CC"/>
    <w:rsid w:val="00FB22E6"/>
    <w:rsid w:val="00FB2326"/>
    <w:rsid w:val="00FB23C6"/>
    <w:rsid w:val="00FB23EA"/>
    <w:rsid w:val="00FB2426"/>
    <w:rsid w:val="00FB248B"/>
    <w:rsid w:val="00FB2548"/>
    <w:rsid w:val="00FB255C"/>
    <w:rsid w:val="00FB2567"/>
    <w:rsid w:val="00FB25E7"/>
    <w:rsid w:val="00FB268E"/>
    <w:rsid w:val="00FB26AB"/>
    <w:rsid w:val="00FB27D6"/>
    <w:rsid w:val="00FB27F7"/>
    <w:rsid w:val="00FB2891"/>
    <w:rsid w:val="00FB291B"/>
    <w:rsid w:val="00FB2988"/>
    <w:rsid w:val="00FB2999"/>
    <w:rsid w:val="00FB2A2E"/>
    <w:rsid w:val="00FB2A32"/>
    <w:rsid w:val="00FB2A5C"/>
    <w:rsid w:val="00FB2B0E"/>
    <w:rsid w:val="00FB2B40"/>
    <w:rsid w:val="00FB2B9B"/>
    <w:rsid w:val="00FB2C4F"/>
    <w:rsid w:val="00FB2E8B"/>
    <w:rsid w:val="00FB2E92"/>
    <w:rsid w:val="00FB2EB9"/>
    <w:rsid w:val="00FB2EF4"/>
    <w:rsid w:val="00FB2F8A"/>
    <w:rsid w:val="00FB3001"/>
    <w:rsid w:val="00FB3172"/>
    <w:rsid w:val="00FB31F9"/>
    <w:rsid w:val="00FB322F"/>
    <w:rsid w:val="00FB323F"/>
    <w:rsid w:val="00FB327D"/>
    <w:rsid w:val="00FB3293"/>
    <w:rsid w:val="00FB32F5"/>
    <w:rsid w:val="00FB32FB"/>
    <w:rsid w:val="00FB3387"/>
    <w:rsid w:val="00FB3408"/>
    <w:rsid w:val="00FB346A"/>
    <w:rsid w:val="00FB34A7"/>
    <w:rsid w:val="00FB35F8"/>
    <w:rsid w:val="00FB3612"/>
    <w:rsid w:val="00FB3616"/>
    <w:rsid w:val="00FB3635"/>
    <w:rsid w:val="00FB36AC"/>
    <w:rsid w:val="00FB372A"/>
    <w:rsid w:val="00FB3777"/>
    <w:rsid w:val="00FB37B8"/>
    <w:rsid w:val="00FB37C6"/>
    <w:rsid w:val="00FB3899"/>
    <w:rsid w:val="00FB38C4"/>
    <w:rsid w:val="00FB3918"/>
    <w:rsid w:val="00FB391D"/>
    <w:rsid w:val="00FB3ABC"/>
    <w:rsid w:val="00FB3ABE"/>
    <w:rsid w:val="00FB3ACB"/>
    <w:rsid w:val="00FB3B2D"/>
    <w:rsid w:val="00FB3B78"/>
    <w:rsid w:val="00FB3B79"/>
    <w:rsid w:val="00FB3B96"/>
    <w:rsid w:val="00FB3BA8"/>
    <w:rsid w:val="00FB3C06"/>
    <w:rsid w:val="00FB3C43"/>
    <w:rsid w:val="00FB3C61"/>
    <w:rsid w:val="00FB3C8B"/>
    <w:rsid w:val="00FB3CA1"/>
    <w:rsid w:val="00FB3D2C"/>
    <w:rsid w:val="00FB3EB0"/>
    <w:rsid w:val="00FB3FF4"/>
    <w:rsid w:val="00FB4074"/>
    <w:rsid w:val="00FB407F"/>
    <w:rsid w:val="00FB4112"/>
    <w:rsid w:val="00FB418F"/>
    <w:rsid w:val="00FB424F"/>
    <w:rsid w:val="00FB4258"/>
    <w:rsid w:val="00FB42F7"/>
    <w:rsid w:val="00FB42FF"/>
    <w:rsid w:val="00FB43F9"/>
    <w:rsid w:val="00FB4475"/>
    <w:rsid w:val="00FB4479"/>
    <w:rsid w:val="00FB4495"/>
    <w:rsid w:val="00FB44A6"/>
    <w:rsid w:val="00FB44D0"/>
    <w:rsid w:val="00FB450B"/>
    <w:rsid w:val="00FB4527"/>
    <w:rsid w:val="00FB4549"/>
    <w:rsid w:val="00FB459A"/>
    <w:rsid w:val="00FB4644"/>
    <w:rsid w:val="00FB47A5"/>
    <w:rsid w:val="00FB47B7"/>
    <w:rsid w:val="00FB47DF"/>
    <w:rsid w:val="00FB4839"/>
    <w:rsid w:val="00FB485C"/>
    <w:rsid w:val="00FB4898"/>
    <w:rsid w:val="00FB489E"/>
    <w:rsid w:val="00FB48F1"/>
    <w:rsid w:val="00FB4988"/>
    <w:rsid w:val="00FB49AD"/>
    <w:rsid w:val="00FB4A10"/>
    <w:rsid w:val="00FB4AA8"/>
    <w:rsid w:val="00FB4B0D"/>
    <w:rsid w:val="00FB4CFA"/>
    <w:rsid w:val="00FB4CFB"/>
    <w:rsid w:val="00FB4D94"/>
    <w:rsid w:val="00FB4DC5"/>
    <w:rsid w:val="00FB4DEB"/>
    <w:rsid w:val="00FB4E06"/>
    <w:rsid w:val="00FB4F2A"/>
    <w:rsid w:val="00FB4FC3"/>
    <w:rsid w:val="00FB5006"/>
    <w:rsid w:val="00FB5098"/>
    <w:rsid w:val="00FB50A7"/>
    <w:rsid w:val="00FB512C"/>
    <w:rsid w:val="00FB515B"/>
    <w:rsid w:val="00FB516E"/>
    <w:rsid w:val="00FB51B2"/>
    <w:rsid w:val="00FB5202"/>
    <w:rsid w:val="00FB5211"/>
    <w:rsid w:val="00FB5230"/>
    <w:rsid w:val="00FB523A"/>
    <w:rsid w:val="00FB52EA"/>
    <w:rsid w:val="00FB52ED"/>
    <w:rsid w:val="00FB5328"/>
    <w:rsid w:val="00FB5364"/>
    <w:rsid w:val="00FB5379"/>
    <w:rsid w:val="00FB53B1"/>
    <w:rsid w:val="00FB5419"/>
    <w:rsid w:val="00FB54C0"/>
    <w:rsid w:val="00FB5515"/>
    <w:rsid w:val="00FB5521"/>
    <w:rsid w:val="00FB5543"/>
    <w:rsid w:val="00FB5585"/>
    <w:rsid w:val="00FB5599"/>
    <w:rsid w:val="00FB560F"/>
    <w:rsid w:val="00FB5733"/>
    <w:rsid w:val="00FB58A6"/>
    <w:rsid w:val="00FB58CC"/>
    <w:rsid w:val="00FB58F6"/>
    <w:rsid w:val="00FB5908"/>
    <w:rsid w:val="00FB5984"/>
    <w:rsid w:val="00FB5B62"/>
    <w:rsid w:val="00FB5BF1"/>
    <w:rsid w:val="00FB5C05"/>
    <w:rsid w:val="00FB5C19"/>
    <w:rsid w:val="00FB5D4B"/>
    <w:rsid w:val="00FB5D4D"/>
    <w:rsid w:val="00FB5DE0"/>
    <w:rsid w:val="00FB5E32"/>
    <w:rsid w:val="00FB5E85"/>
    <w:rsid w:val="00FB5E9C"/>
    <w:rsid w:val="00FB5ECF"/>
    <w:rsid w:val="00FB5ED8"/>
    <w:rsid w:val="00FB5EDA"/>
    <w:rsid w:val="00FB5EFE"/>
    <w:rsid w:val="00FB5F80"/>
    <w:rsid w:val="00FB6071"/>
    <w:rsid w:val="00FB613B"/>
    <w:rsid w:val="00FB6142"/>
    <w:rsid w:val="00FB6163"/>
    <w:rsid w:val="00FB61A0"/>
    <w:rsid w:val="00FB62E4"/>
    <w:rsid w:val="00FB62F2"/>
    <w:rsid w:val="00FB6341"/>
    <w:rsid w:val="00FB6411"/>
    <w:rsid w:val="00FB6478"/>
    <w:rsid w:val="00FB6512"/>
    <w:rsid w:val="00FB6584"/>
    <w:rsid w:val="00FB6649"/>
    <w:rsid w:val="00FB6666"/>
    <w:rsid w:val="00FB670D"/>
    <w:rsid w:val="00FB67E1"/>
    <w:rsid w:val="00FB6833"/>
    <w:rsid w:val="00FB6869"/>
    <w:rsid w:val="00FB6896"/>
    <w:rsid w:val="00FB691D"/>
    <w:rsid w:val="00FB693A"/>
    <w:rsid w:val="00FB69FC"/>
    <w:rsid w:val="00FB6A6E"/>
    <w:rsid w:val="00FB6B35"/>
    <w:rsid w:val="00FB6B3B"/>
    <w:rsid w:val="00FB6C0C"/>
    <w:rsid w:val="00FB6CAE"/>
    <w:rsid w:val="00FB6CEF"/>
    <w:rsid w:val="00FB6DE3"/>
    <w:rsid w:val="00FB6E06"/>
    <w:rsid w:val="00FB6E12"/>
    <w:rsid w:val="00FB6E20"/>
    <w:rsid w:val="00FB6E7D"/>
    <w:rsid w:val="00FB6F04"/>
    <w:rsid w:val="00FB6F0B"/>
    <w:rsid w:val="00FB6F7E"/>
    <w:rsid w:val="00FB6F81"/>
    <w:rsid w:val="00FB707D"/>
    <w:rsid w:val="00FB70C7"/>
    <w:rsid w:val="00FB70EC"/>
    <w:rsid w:val="00FB711C"/>
    <w:rsid w:val="00FB715D"/>
    <w:rsid w:val="00FB71B7"/>
    <w:rsid w:val="00FB721C"/>
    <w:rsid w:val="00FB724E"/>
    <w:rsid w:val="00FB7254"/>
    <w:rsid w:val="00FB72EF"/>
    <w:rsid w:val="00FB72F6"/>
    <w:rsid w:val="00FB738E"/>
    <w:rsid w:val="00FB746D"/>
    <w:rsid w:val="00FB7471"/>
    <w:rsid w:val="00FB74B9"/>
    <w:rsid w:val="00FB74C1"/>
    <w:rsid w:val="00FB74DA"/>
    <w:rsid w:val="00FB7504"/>
    <w:rsid w:val="00FB753A"/>
    <w:rsid w:val="00FB77FE"/>
    <w:rsid w:val="00FB782A"/>
    <w:rsid w:val="00FB7859"/>
    <w:rsid w:val="00FB78CC"/>
    <w:rsid w:val="00FB7915"/>
    <w:rsid w:val="00FB7933"/>
    <w:rsid w:val="00FB79F6"/>
    <w:rsid w:val="00FB7BDA"/>
    <w:rsid w:val="00FB7C0B"/>
    <w:rsid w:val="00FB7CCB"/>
    <w:rsid w:val="00FB7DAE"/>
    <w:rsid w:val="00FB7E77"/>
    <w:rsid w:val="00FB7ED8"/>
    <w:rsid w:val="00FB7EF5"/>
    <w:rsid w:val="00FB7F07"/>
    <w:rsid w:val="00FB7F35"/>
    <w:rsid w:val="00FB7F3D"/>
    <w:rsid w:val="00FB7F80"/>
    <w:rsid w:val="00FB7F8C"/>
    <w:rsid w:val="00FB7FD9"/>
    <w:rsid w:val="00FC000D"/>
    <w:rsid w:val="00FC0036"/>
    <w:rsid w:val="00FC0037"/>
    <w:rsid w:val="00FC00AB"/>
    <w:rsid w:val="00FC00CE"/>
    <w:rsid w:val="00FC00F3"/>
    <w:rsid w:val="00FC0140"/>
    <w:rsid w:val="00FC01DB"/>
    <w:rsid w:val="00FC0384"/>
    <w:rsid w:val="00FC0388"/>
    <w:rsid w:val="00FC0447"/>
    <w:rsid w:val="00FC04A8"/>
    <w:rsid w:val="00FC04CD"/>
    <w:rsid w:val="00FC04F5"/>
    <w:rsid w:val="00FC0564"/>
    <w:rsid w:val="00FC0652"/>
    <w:rsid w:val="00FC0666"/>
    <w:rsid w:val="00FC066E"/>
    <w:rsid w:val="00FC06BA"/>
    <w:rsid w:val="00FC0711"/>
    <w:rsid w:val="00FC0714"/>
    <w:rsid w:val="00FC0856"/>
    <w:rsid w:val="00FC0881"/>
    <w:rsid w:val="00FC08E4"/>
    <w:rsid w:val="00FC0901"/>
    <w:rsid w:val="00FC091F"/>
    <w:rsid w:val="00FC093B"/>
    <w:rsid w:val="00FC0973"/>
    <w:rsid w:val="00FC0983"/>
    <w:rsid w:val="00FC0990"/>
    <w:rsid w:val="00FC099F"/>
    <w:rsid w:val="00FC09D5"/>
    <w:rsid w:val="00FC09D8"/>
    <w:rsid w:val="00FC0A07"/>
    <w:rsid w:val="00FC0A44"/>
    <w:rsid w:val="00FC0A9E"/>
    <w:rsid w:val="00FC0AC5"/>
    <w:rsid w:val="00FC0AFB"/>
    <w:rsid w:val="00FC0B25"/>
    <w:rsid w:val="00FC0B31"/>
    <w:rsid w:val="00FC0C89"/>
    <w:rsid w:val="00FC0CCA"/>
    <w:rsid w:val="00FC0CF3"/>
    <w:rsid w:val="00FC0D53"/>
    <w:rsid w:val="00FC0D8F"/>
    <w:rsid w:val="00FC0E2E"/>
    <w:rsid w:val="00FC0E82"/>
    <w:rsid w:val="00FC0EAD"/>
    <w:rsid w:val="00FC0F47"/>
    <w:rsid w:val="00FC0FB1"/>
    <w:rsid w:val="00FC0FBC"/>
    <w:rsid w:val="00FC1015"/>
    <w:rsid w:val="00FC1095"/>
    <w:rsid w:val="00FC10A7"/>
    <w:rsid w:val="00FC10AE"/>
    <w:rsid w:val="00FC11AF"/>
    <w:rsid w:val="00FC12BB"/>
    <w:rsid w:val="00FC12E3"/>
    <w:rsid w:val="00FC1343"/>
    <w:rsid w:val="00FC13B7"/>
    <w:rsid w:val="00FC13F1"/>
    <w:rsid w:val="00FC141F"/>
    <w:rsid w:val="00FC14A9"/>
    <w:rsid w:val="00FC14CB"/>
    <w:rsid w:val="00FC14D3"/>
    <w:rsid w:val="00FC1512"/>
    <w:rsid w:val="00FC1529"/>
    <w:rsid w:val="00FC153F"/>
    <w:rsid w:val="00FC15A9"/>
    <w:rsid w:val="00FC15E7"/>
    <w:rsid w:val="00FC170C"/>
    <w:rsid w:val="00FC1739"/>
    <w:rsid w:val="00FC178C"/>
    <w:rsid w:val="00FC1858"/>
    <w:rsid w:val="00FC1927"/>
    <w:rsid w:val="00FC192E"/>
    <w:rsid w:val="00FC1942"/>
    <w:rsid w:val="00FC1965"/>
    <w:rsid w:val="00FC19E6"/>
    <w:rsid w:val="00FC1A02"/>
    <w:rsid w:val="00FC1A15"/>
    <w:rsid w:val="00FC1A25"/>
    <w:rsid w:val="00FC1A4C"/>
    <w:rsid w:val="00FC1A4E"/>
    <w:rsid w:val="00FC1AB0"/>
    <w:rsid w:val="00FC1AF1"/>
    <w:rsid w:val="00FC1AF5"/>
    <w:rsid w:val="00FC1B4C"/>
    <w:rsid w:val="00FC1C07"/>
    <w:rsid w:val="00FC1CAD"/>
    <w:rsid w:val="00FC1CAE"/>
    <w:rsid w:val="00FC1D82"/>
    <w:rsid w:val="00FC1E48"/>
    <w:rsid w:val="00FC1E4F"/>
    <w:rsid w:val="00FC1E85"/>
    <w:rsid w:val="00FC1F1E"/>
    <w:rsid w:val="00FC1F37"/>
    <w:rsid w:val="00FC1F6C"/>
    <w:rsid w:val="00FC1F73"/>
    <w:rsid w:val="00FC202A"/>
    <w:rsid w:val="00FC22B6"/>
    <w:rsid w:val="00FC22DB"/>
    <w:rsid w:val="00FC2579"/>
    <w:rsid w:val="00FC25A9"/>
    <w:rsid w:val="00FC25DD"/>
    <w:rsid w:val="00FC2617"/>
    <w:rsid w:val="00FC266A"/>
    <w:rsid w:val="00FC275D"/>
    <w:rsid w:val="00FC27A5"/>
    <w:rsid w:val="00FC27F5"/>
    <w:rsid w:val="00FC2818"/>
    <w:rsid w:val="00FC2841"/>
    <w:rsid w:val="00FC2876"/>
    <w:rsid w:val="00FC28BE"/>
    <w:rsid w:val="00FC290A"/>
    <w:rsid w:val="00FC2955"/>
    <w:rsid w:val="00FC2967"/>
    <w:rsid w:val="00FC2970"/>
    <w:rsid w:val="00FC29E2"/>
    <w:rsid w:val="00FC2A37"/>
    <w:rsid w:val="00FC2A88"/>
    <w:rsid w:val="00FC2AC1"/>
    <w:rsid w:val="00FC2AFD"/>
    <w:rsid w:val="00FC2B9F"/>
    <w:rsid w:val="00FC2BAD"/>
    <w:rsid w:val="00FC2BB7"/>
    <w:rsid w:val="00FC2C15"/>
    <w:rsid w:val="00FC2C19"/>
    <w:rsid w:val="00FC2C88"/>
    <w:rsid w:val="00FC2D48"/>
    <w:rsid w:val="00FC2DB0"/>
    <w:rsid w:val="00FC2E50"/>
    <w:rsid w:val="00FC2E5B"/>
    <w:rsid w:val="00FC2E9A"/>
    <w:rsid w:val="00FC2E9C"/>
    <w:rsid w:val="00FC2EAC"/>
    <w:rsid w:val="00FC2FAD"/>
    <w:rsid w:val="00FC3010"/>
    <w:rsid w:val="00FC3093"/>
    <w:rsid w:val="00FC30BD"/>
    <w:rsid w:val="00FC30E0"/>
    <w:rsid w:val="00FC3141"/>
    <w:rsid w:val="00FC321F"/>
    <w:rsid w:val="00FC3264"/>
    <w:rsid w:val="00FC3331"/>
    <w:rsid w:val="00FC3352"/>
    <w:rsid w:val="00FC337E"/>
    <w:rsid w:val="00FC339A"/>
    <w:rsid w:val="00FC33F4"/>
    <w:rsid w:val="00FC351E"/>
    <w:rsid w:val="00FC3538"/>
    <w:rsid w:val="00FC3599"/>
    <w:rsid w:val="00FC359F"/>
    <w:rsid w:val="00FC3628"/>
    <w:rsid w:val="00FC363C"/>
    <w:rsid w:val="00FC3642"/>
    <w:rsid w:val="00FC369B"/>
    <w:rsid w:val="00FC386C"/>
    <w:rsid w:val="00FC3880"/>
    <w:rsid w:val="00FC38D3"/>
    <w:rsid w:val="00FC394F"/>
    <w:rsid w:val="00FC3972"/>
    <w:rsid w:val="00FC39EA"/>
    <w:rsid w:val="00FC3AD9"/>
    <w:rsid w:val="00FC3AF0"/>
    <w:rsid w:val="00FC3B17"/>
    <w:rsid w:val="00FC3B27"/>
    <w:rsid w:val="00FC3B56"/>
    <w:rsid w:val="00FC3C2C"/>
    <w:rsid w:val="00FC3C50"/>
    <w:rsid w:val="00FC3C98"/>
    <w:rsid w:val="00FC3CA1"/>
    <w:rsid w:val="00FC3CEB"/>
    <w:rsid w:val="00FC3D2E"/>
    <w:rsid w:val="00FC3D45"/>
    <w:rsid w:val="00FC3D60"/>
    <w:rsid w:val="00FC3DCA"/>
    <w:rsid w:val="00FC3DDD"/>
    <w:rsid w:val="00FC3E07"/>
    <w:rsid w:val="00FC3E26"/>
    <w:rsid w:val="00FC3E73"/>
    <w:rsid w:val="00FC3F5B"/>
    <w:rsid w:val="00FC40E9"/>
    <w:rsid w:val="00FC4111"/>
    <w:rsid w:val="00FC4163"/>
    <w:rsid w:val="00FC420D"/>
    <w:rsid w:val="00FC4268"/>
    <w:rsid w:val="00FC42EC"/>
    <w:rsid w:val="00FC4341"/>
    <w:rsid w:val="00FC435E"/>
    <w:rsid w:val="00FC4369"/>
    <w:rsid w:val="00FC43E0"/>
    <w:rsid w:val="00FC4429"/>
    <w:rsid w:val="00FC44E4"/>
    <w:rsid w:val="00FC45B4"/>
    <w:rsid w:val="00FC45C1"/>
    <w:rsid w:val="00FC45CB"/>
    <w:rsid w:val="00FC4645"/>
    <w:rsid w:val="00FC4679"/>
    <w:rsid w:val="00FC468F"/>
    <w:rsid w:val="00FC46D9"/>
    <w:rsid w:val="00FC476A"/>
    <w:rsid w:val="00FC47C6"/>
    <w:rsid w:val="00FC47E9"/>
    <w:rsid w:val="00FC47F0"/>
    <w:rsid w:val="00FC480D"/>
    <w:rsid w:val="00FC4873"/>
    <w:rsid w:val="00FC48B2"/>
    <w:rsid w:val="00FC48E8"/>
    <w:rsid w:val="00FC49CF"/>
    <w:rsid w:val="00FC4A4C"/>
    <w:rsid w:val="00FC4AA7"/>
    <w:rsid w:val="00FC4AAE"/>
    <w:rsid w:val="00FC4B7A"/>
    <w:rsid w:val="00FC4BEE"/>
    <w:rsid w:val="00FC4C44"/>
    <w:rsid w:val="00FC4C6E"/>
    <w:rsid w:val="00FC4C81"/>
    <w:rsid w:val="00FC4C8B"/>
    <w:rsid w:val="00FC4D3D"/>
    <w:rsid w:val="00FC4DA8"/>
    <w:rsid w:val="00FC4DDC"/>
    <w:rsid w:val="00FC4DFC"/>
    <w:rsid w:val="00FC4E07"/>
    <w:rsid w:val="00FC4ED2"/>
    <w:rsid w:val="00FC4F3D"/>
    <w:rsid w:val="00FC5043"/>
    <w:rsid w:val="00FC50CC"/>
    <w:rsid w:val="00FC5126"/>
    <w:rsid w:val="00FC529D"/>
    <w:rsid w:val="00FC52CA"/>
    <w:rsid w:val="00FC52FB"/>
    <w:rsid w:val="00FC533E"/>
    <w:rsid w:val="00FC53C2"/>
    <w:rsid w:val="00FC53C6"/>
    <w:rsid w:val="00FC5430"/>
    <w:rsid w:val="00FC5433"/>
    <w:rsid w:val="00FC5445"/>
    <w:rsid w:val="00FC5449"/>
    <w:rsid w:val="00FC5471"/>
    <w:rsid w:val="00FC54BA"/>
    <w:rsid w:val="00FC5521"/>
    <w:rsid w:val="00FC554C"/>
    <w:rsid w:val="00FC561B"/>
    <w:rsid w:val="00FC564D"/>
    <w:rsid w:val="00FC5656"/>
    <w:rsid w:val="00FC5796"/>
    <w:rsid w:val="00FC57EC"/>
    <w:rsid w:val="00FC5956"/>
    <w:rsid w:val="00FC599E"/>
    <w:rsid w:val="00FC5A6A"/>
    <w:rsid w:val="00FC5B52"/>
    <w:rsid w:val="00FC5BFD"/>
    <w:rsid w:val="00FC5C32"/>
    <w:rsid w:val="00FC5C6A"/>
    <w:rsid w:val="00FC5CD0"/>
    <w:rsid w:val="00FC5D01"/>
    <w:rsid w:val="00FC5DB2"/>
    <w:rsid w:val="00FC5EBF"/>
    <w:rsid w:val="00FC5EE0"/>
    <w:rsid w:val="00FC5F5F"/>
    <w:rsid w:val="00FC5F67"/>
    <w:rsid w:val="00FC5FCB"/>
    <w:rsid w:val="00FC6036"/>
    <w:rsid w:val="00FC6061"/>
    <w:rsid w:val="00FC6101"/>
    <w:rsid w:val="00FC6164"/>
    <w:rsid w:val="00FC6266"/>
    <w:rsid w:val="00FC62F7"/>
    <w:rsid w:val="00FC63C7"/>
    <w:rsid w:val="00FC6428"/>
    <w:rsid w:val="00FC6517"/>
    <w:rsid w:val="00FC6595"/>
    <w:rsid w:val="00FC65D7"/>
    <w:rsid w:val="00FC661B"/>
    <w:rsid w:val="00FC683D"/>
    <w:rsid w:val="00FC684B"/>
    <w:rsid w:val="00FC6853"/>
    <w:rsid w:val="00FC68E8"/>
    <w:rsid w:val="00FC6963"/>
    <w:rsid w:val="00FC69C2"/>
    <w:rsid w:val="00FC6A2A"/>
    <w:rsid w:val="00FC6A5B"/>
    <w:rsid w:val="00FC6A94"/>
    <w:rsid w:val="00FC6B8F"/>
    <w:rsid w:val="00FC6B92"/>
    <w:rsid w:val="00FC6D69"/>
    <w:rsid w:val="00FC6DEB"/>
    <w:rsid w:val="00FC6E32"/>
    <w:rsid w:val="00FC6E7A"/>
    <w:rsid w:val="00FC6F06"/>
    <w:rsid w:val="00FC6F5B"/>
    <w:rsid w:val="00FC6F9D"/>
    <w:rsid w:val="00FC6FE3"/>
    <w:rsid w:val="00FC7002"/>
    <w:rsid w:val="00FC701E"/>
    <w:rsid w:val="00FC708C"/>
    <w:rsid w:val="00FC7163"/>
    <w:rsid w:val="00FC718B"/>
    <w:rsid w:val="00FC71BA"/>
    <w:rsid w:val="00FC71F7"/>
    <w:rsid w:val="00FC730B"/>
    <w:rsid w:val="00FC734C"/>
    <w:rsid w:val="00FC735B"/>
    <w:rsid w:val="00FC73E5"/>
    <w:rsid w:val="00FC7406"/>
    <w:rsid w:val="00FC7580"/>
    <w:rsid w:val="00FC7583"/>
    <w:rsid w:val="00FC75A8"/>
    <w:rsid w:val="00FC76A9"/>
    <w:rsid w:val="00FC76E9"/>
    <w:rsid w:val="00FC7781"/>
    <w:rsid w:val="00FC77D7"/>
    <w:rsid w:val="00FC7912"/>
    <w:rsid w:val="00FC791F"/>
    <w:rsid w:val="00FC79C1"/>
    <w:rsid w:val="00FC7A16"/>
    <w:rsid w:val="00FC7A69"/>
    <w:rsid w:val="00FC7A7A"/>
    <w:rsid w:val="00FC7B38"/>
    <w:rsid w:val="00FC7BAE"/>
    <w:rsid w:val="00FC7CE0"/>
    <w:rsid w:val="00FC7D25"/>
    <w:rsid w:val="00FC7DB7"/>
    <w:rsid w:val="00FC7E3B"/>
    <w:rsid w:val="00FC7F61"/>
    <w:rsid w:val="00FC7F90"/>
    <w:rsid w:val="00FC7FA5"/>
    <w:rsid w:val="00FD00F5"/>
    <w:rsid w:val="00FD0139"/>
    <w:rsid w:val="00FD016F"/>
    <w:rsid w:val="00FD0220"/>
    <w:rsid w:val="00FD022A"/>
    <w:rsid w:val="00FD028E"/>
    <w:rsid w:val="00FD0385"/>
    <w:rsid w:val="00FD03AE"/>
    <w:rsid w:val="00FD04B2"/>
    <w:rsid w:val="00FD0527"/>
    <w:rsid w:val="00FD0582"/>
    <w:rsid w:val="00FD0588"/>
    <w:rsid w:val="00FD05A2"/>
    <w:rsid w:val="00FD05DE"/>
    <w:rsid w:val="00FD073A"/>
    <w:rsid w:val="00FD0763"/>
    <w:rsid w:val="00FD085B"/>
    <w:rsid w:val="00FD08AC"/>
    <w:rsid w:val="00FD08B2"/>
    <w:rsid w:val="00FD09A2"/>
    <w:rsid w:val="00FD09C0"/>
    <w:rsid w:val="00FD0A44"/>
    <w:rsid w:val="00FD0A9F"/>
    <w:rsid w:val="00FD0B06"/>
    <w:rsid w:val="00FD0B90"/>
    <w:rsid w:val="00FD0C2F"/>
    <w:rsid w:val="00FD0C47"/>
    <w:rsid w:val="00FD0D3C"/>
    <w:rsid w:val="00FD0D3D"/>
    <w:rsid w:val="00FD0DE1"/>
    <w:rsid w:val="00FD0E0F"/>
    <w:rsid w:val="00FD0E2B"/>
    <w:rsid w:val="00FD0E3B"/>
    <w:rsid w:val="00FD0ED0"/>
    <w:rsid w:val="00FD0EEE"/>
    <w:rsid w:val="00FD0F57"/>
    <w:rsid w:val="00FD0F84"/>
    <w:rsid w:val="00FD1005"/>
    <w:rsid w:val="00FD1085"/>
    <w:rsid w:val="00FD10AC"/>
    <w:rsid w:val="00FD10C9"/>
    <w:rsid w:val="00FD10DA"/>
    <w:rsid w:val="00FD111F"/>
    <w:rsid w:val="00FD1130"/>
    <w:rsid w:val="00FD1171"/>
    <w:rsid w:val="00FD117F"/>
    <w:rsid w:val="00FD1243"/>
    <w:rsid w:val="00FD124B"/>
    <w:rsid w:val="00FD127A"/>
    <w:rsid w:val="00FD12A4"/>
    <w:rsid w:val="00FD12F0"/>
    <w:rsid w:val="00FD12FF"/>
    <w:rsid w:val="00FD1305"/>
    <w:rsid w:val="00FD1310"/>
    <w:rsid w:val="00FD1332"/>
    <w:rsid w:val="00FD133A"/>
    <w:rsid w:val="00FD1390"/>
    <w:rsid w:val="00FD13FE"/>
    <w:rsid w:val="00FD13FF"/>
    <w:rsid w:val="00FD14A1"/>
    <w:rsid w:val="00FD14BF"/>
    <w:rsid w:val="00FD1520"/>
    <w:rsid w:val="00FD15A6"/>
    <w:rsid w:val="00FD15CC"/>
    <w:rsid w:val="00FD1656"/>
    <w:rsid w:val="00FD174D"/>
    <w:rsid w:val="00FD17E8"/>
    <w:rsid w:val="00FD17EB"/>
    <w:rsid w:val="00FD1841"/>
    <w:rsid w:val="00FD1843"/>
    <w:rsid w:val="00FD1874"/>
    <w:rsid w:val="00FD189D"/>
    <w:rsid w:val="00FD18FA"/>
    <w:rsid w:val="00FD1911"/>
    <w:rsid w:val="00FD191E"/>
    <w:rsid w:val="00FD1957"/>
    <w:rsid w:val="00FD1970"/>
    <w:rsid w:val="00FD197B"/>
    <w:rsid w:val="00FD19A6"/>
    <w:rsid w:val="00FD1A4F"/>
    <w:rsid w:val="00FD1AC2"/>
    <w:rsid w:val="00FD1B09"/>
    <w:rsid w:val="00FD1B68"/>
    <w:rsid w:val="00FD1C12"/>
    <w:rsid w:val="00FD1C54"/>
    <w:rsid w:val="00FD1D77"/>
    <w:rsid w:val="00FD1DEC"/>
    <w:rsid w:val="00FD1E15"/>
    <w:rsid w:val="00FD1E76"/>
    <w:rsid w:val="00FD1E97"/>
    <w:rsid w:val="00FD1EDA"/>
    <w:rsid w:val="00FD1EFC"/>
    <w:rsid w:val="00FD1F52"/>
    <w:rsid w:val="00FD2012"/>
    <w:rsid w:val="00FD202C"/>
    <w:rsid w:val="00FD2070"/>
    <w:rsid w:val="00FD2087"/>
    <w:rsid w:val="00FD20F1"/>
    <w:rsid w:val="00FD2106"/>
    <w:rsid w:val="00FD2171"/>
    <w:rsid w:val="00FD2178"/>
    <w:rsid w:val="00FD217B"/>
    <w:rsid w:val="00FD21AF"/>
    <w:rsid w:val="00FD2216"/>
    <w:rsid w:val="00FD2247"/>
    <w:rsid w:val="00FD23E9"/>
    <w:rsid w:val="00FD2425"/>
    <w:rsid w:val="00FD2453"/>
    <w:rsid w:val="00FD2528"/>
    <w:rsid w:val="00FD25F8"/>
    <w:rsid w:val="00FD2626"/>
    <w:rsid w:val="00FD262D"/>
    <w:rsid w:val="00FD26E3"/>
    <w:rsid w:val="00FD2742"/>
    <w:rsid w:val="00FD2757"/>
    <w:rsid w:val="00FD27F6"/>
    <w:rsid w:val="00FD2830"/>
    <w:rsid w:val="00FD2880"/>
    <w:rsid w:val="00FD28DC"/>
    <w:rsid w:val="00FD29A1"/>
    <w:rsid w:val="00FD29E0"/>
    <w:rsid w:val="00FD29EE"/>
    <w:rsid w:val="00FD2A0C"/>
    <w:rsid w:val="00FD2A5D"/>
    <w:rsid w:val="00FD2AAA"/>
    <w:rsid w:val="00FD2ADD"/>
    <w:rsid w:val="00FD2B0C"/>
    <w:rsid w:val="00FD2B1C"/>
    <w:rsid w:val="00FD2B84"/>
    <w:rsid w:val="00FD2BA7"/>
    <w:rsid w:val="00FD2CAE"/>
    <w:rsid w:val="00FD2D8F"/>
    <w:rsid w:val="00FD2E2C"/>
    <w:rsid w:val="00FD2EC2"/>
    <w:rsid w:val="00FD2F49"/>
    <w:rsid w:val="00FD2FF6"/>
    <w:rsid w:val="00FD30EE"/>
    <w:rsid w:val="00FD3111"/>
    <w:rsid w:val="00FD314A"/>
    <w:rsid w:val="00FD31A3"/>
    <w:rsid w:val="00FD3203"/>
    <w:rsid w:val="00FD3238"/>
    <w:rsid w:val="00FD327E"/>
    <w:rsid w:val="00FD32C5"/>
    <w:rsid w:val="00FD32EC"/>
    <w:rsid w:val="00FD337D"/>
    <w:rsid w:val="00FD33BA"/>
    <w:rsid w:val="00FD33CB"/>
    <w:rsid w:val="00FD33E5"/>
    <w:rsid w:val="00FD35B3"/>
    <w:rsid w:val="00FD360C"/>
    <w:rsid w:val="00FD36C8"/>
    <w:rsid w:val="00FD36CE"/>
    <w:rsid w:val="00FD36D7"/>
    <w:rsid w:val="00FD3737"/>
    <w:rsid w:val="00FD3738"/>
    <w:rsid w:val="00FD37E5"/>
    <w:rsid w:val="00FD37F3"/>
    <w:rsid w:val="00FD3831"/>
    <w:rsid w:val="00FD386B"/>
    <w:rsid w:val="00FD386F"/>
    <w:rsid w:val="00FD3946"/>
    <w:rsid w:val="00FD3A33"/>
    <w:rsid w:val="00FD3A8D"/>
    <w:rsid w:val="00FD3A97"/>
    <w:rsid w:val="00FD3AB5"/>
    <w:rsid w:val="00FD3ABC"/>
    <w:rsid w:val="00FD3AC3"/>
    <w:rsid w:val="00FD3AD6"/>
    <w:rsid w:val="00FD3B16"/>
    <w:rsid w:val="00FD3BFD"/>
    <w:rsid w:val="00FD3C84"/>
    <w:rsid w:val="00FD3DB7"/>
    <w:rsid w:val="00FD3E80"/>
    <w:rsid w:val="00FD4041"/>
    <w:rsid w:val="00FD40BC"/>
    <w:rsid w:val="00FD4131"/>
    <w:rsid w:val="00FD41B9"/>
    <w:rsid w:val="00FD4204"/>
    <w:rsid w:val="00FD4278"/>
    <w:rsid w:val="00FD42B4"/>
    <w:rsid w:val="00FD42B8"/>
    <w:rsid w:val="00FD42BF"/>
    <w:rsid w:val="00FD43E5"/>
    <w:rsid w:val="00FD44A3"/>
    <w:rsid w:val="00FD44A9"/>
    <w:rsid w:val="00FD44D8"/>
    <w:rsid w:val="00FD44F0"/>
    <w:rsid w:val="00FD457D"/>
    <w:rsid w:val="00FD4600"/>
    <w:rsid w:val="00FD4611"/>
    <w:rsid w:val="00FD4649"/>
    <w:rsid w:val="00FD4676"/>
    <w:rsid w:val="00FD4684"/>
    <w:rsid w:val="00FD46C8"/>
    <w:rsid w:val="00FD478F"/>
    <w:rsid w:val="00FD47A7"/>
    <w:rsid w:val="00FD47B2"/>
    <w:rsid w:val="00FD4807"/>
    <w:rsid w:val="00FD48AE"/>
    <w:rsid w:val="00FD4900"/>
    <w:rsid w:val="00FD497D"/>
    <w:rsid w:val="00FD4998"/>
    <w:rsid w:val="00FD4A13"/>
    <w:rsid w:val="00FD4ADE"/>
    <w:rsid w:val="00FD4B1B"/>
    <w:rsid w:val="00FD4B91"/>
    <w:rsid w:val="00FD4BA4"/>
    <w:rsid w:val="00FD4D77"/>
    <w:rsid w:val="00FD4DE8"/>
    <w:rsid w:val="00FD4E33"/>
    <w:rsid w:val="00FD4E97"/>
    <w:rsid w:val="00FD4ED6"/>
    <w:rsid w:val="00FD4F47"/>
    <w:rsid w:val="00FD5043"/>
    <w:rsid w:val="00FD5122"/>
    <w:rsid w:val="00FD5197"/>
    <w:rsid w:val="00FD51D7"/>
    <w:rsid w:val="00FD52F0"/>
    <w:rsid w:val="00FD52FC"/>
    <w:rsid w:val="00FD5322"/>
    <w:rsid w:val="00FD53B4"/>
    <w:rsid w:val="00FD53D4"/>
    <w:rsid w:val="00FD53EB"/>
    <w:rsid w:val="00FD549C"/>
    <w:rsid w:val="00FD54EE"/>
    <w:rsid w:val="00FD54FE"/>
    <w:rsid w:val="00FD5549"/>
    <w:rsid w:val="00FD5637"/>
    <w:rsid w:val="00FD56AB"/>
    <w:rsid w:val="00FD5723"/>
    <w:rsid w:val="00FD57F6"/>
    <w:rsid w:val="00FD582D"/>
    <w:rsid w:val="00FD59C5"/>
    <w:rsid w:val="00FD59C7"/>
    <w:rsid w:val="00FD59C8"/>
    <w:rsid w:val="00FD5A12"/>
    <w:rsid w:val="00FD5A28"/>
    <w:rsid w:val="00FD5AB5"/>
    <w:rsid w:val="00FD5AC0"/>
    <w:rsid w:val="00FD5B1C"/>
    <w:rsid w:val="00FD5C3A"/>
    <w:rsid w:val="00FD5C3B"/>
    <w:rsid w:val="00FD5C65"/>
    <w:rsid w:val="00FD5C6E"/>
    <w:rsid w:val="00FD5CAF"/>
    <w:rsid w:val="00FD5D09"/>
    <w:rsid w:val="00FD5D3C"/>
    <w:rsid w:val="00FD5E19"/>
    <w:rsid w:val="00FD5E6A"/>
    <w:rsid w:val="00FD5ED7"/>
    <w:rsid w:val="00FD5F2C"/>
    <w:rsid w:val="00FD5FBE"/>
    <w:rsid w:val="00FD601D"/>
    <w:rsid w:val="00FD602F"/>
    <w:rsid w:val="00FD6088"/>
    <w:rsid w:val="00FD60D0"/>
    <w:rsid w:val="00FD61DD"/>
    <w:rsid w:val="00FD621B"/>
    <w:rsid w:val="00FD62F8"/>
    <w:rsid w:val="00FD6360"/>
    <w:rsid w:val="00FD63F3"/>
    <w:rsid w:val="00FD644A"/>
    <w:rsid w:val="00FD64FD"/>
    <w:rsid w:val="00FD650F"/>
    <w:rsid w:val="00FD6533"/>
    <w:rsid w:val="00FD655C"/>
    <w:rsid w:val="00FD6599"/>
    <w:rsid w:val="00FD65A3"/>
    <w:rsid w:val="00FD6717"/>
    <w:rsid w:val="00FD6775"/>
    <w:rsid w:val="00FD67AB"/>
    <w:rsid w:val="00FD67F2"/>
    <w:rsid w:val="00FD6820"/>
    <w:rsid w:val="00FD6837"/>
    <w:rsid w:val="00FD689B"/>
    <w:rsid w:val="00FD68F3"/>
    <w:rsid w:val="00FD69EE"/>
    <w:rsid w:val="00FD6A12"/>
    <w:rsid w:val="00FD6AA5"/>
    <w:rsid w:val="00FD6AD9"/>
    <w:rsid w:val="00FD6B20"/>
    <w:rsid w:val="00FD6B44"/>
    <w:rsid w:val="00FD6C0E"/>
    <w:rsid w:val="00FD6C9C"/>
    <w:rsid w:val="00FD6CA6"/>
    <w:rsid w:val="00FD6CE8"/>
    <w:rsid w:val="00FD6D12"/>
    <w:rsid w:val="00FD6E70"/>
    <w:rsid w:val="00FD6E79"/>
    <w:rsid w:val="00FD6E85"/>
    <w:rsid w:val="00FD6EAF"/>
    <w:rsid w:val="00FD6EB2"/>
    <w:rsid w:val="00FD6F5D"/>
    <w:rsid w:val="00FD6FA8"/>
    <w:rsid w:val="00FD6FB9"/>
    <w:rsid w:val="00FD7123"/>
    <w:rsid w:val="00FD718A"/>
    <w:rsid w:val="00FD7199"/>
    <w:rsid w:val="00FD71CA"/>
    <w:rsid w:val="00FD71FB"/>
    <w:rsid w:val="00FD725C"/>
    <w:rsid w:val="00FD728D"/>
    <w:rsid w:val="00FD7308"/>
    <w:rsid w:val="00FD7359"/>
    <w:rsid w:val="00FD737E"/>
    <w:rsid w:val="00FD7386"/>
    <w:rsid w:val="00FD740C"/>
    <w:rsid w:val="00FD7423"/>
    <w:rsid w:val="00FD7468"/>
    <w:rsid w:val="00FD74C1"/>
    <w:rsid w:val="00FD753F"/>
    <w:rsid w:val="00FD75C0"/>
    <w:rsid w:val="00FD7666"/>
    <w:rsid w:val="00FD7745"/>
    <w:rsid w:val="00FD77AC"/>
    <w:rsid w:val="00FD786F"/>
    <w:rsid w:val="00FD78D6"/>
    <w:rsid w:val="00FD7940"/>
    <w:rsid w:val="00FD7992"/>
    <w:rsid w:val="00FD7A62"/>
    <w:rsid w:val="00FD7A82"/>
    <w:rsid w:val="00FD7B11"/>
    <w:rsid w:val="00FD7B34"/>
    <w:rsid w:val="00FD7BE1"/>
    <w:rsid w:val="00FD7C9A"/>
    <w:rsid w:val="00FD7CB8"/>
    <w:rsid w:val="00FD7D9B"/>
    <w:rsid w:val="00FD7DD8"/>
    <w:rsid w:val="00FD7E18"/>
    <w:rsid w:val="00FD7E64"/>
    <w:rsid w:val="00FD7F1F"/>
    <w:rsid w:val="00FD7F26"/>
    <w:rsid w:val="00FD7F9C"/>
    <w:rsid w:val="00FE0073"/>
    <w:rsid w:val="00FE0075"/>
    <w:rsid w:val="00FE00A2"/>
    <w:rsid w:val="00FE00AD"/>
    <w:rsid w:val="00FE00F6"/>
    <w:rsid w:val="00FE010B"/>
    <w:rsid w:val="00FE0140"/>
    <w:rsid w:val="00FE0145"/>
    <w:rsid w:val="00FE0332"/>
    <w:rsid w:val="00FE038B"/>
    <w:rsid w:val="00FE0467"/>
    <w:rsid w:val="00FE04BF"/>
    <w:rsid w:val="00FE053D"/>
    <w:rsid w:val="00FE058A"/>
    <w:rsid w:val="00FE0598"/>
    <w:rsid w:val="00FE0630"/>
    <w:rsid w:val="00FE0631"/>
    <w:rsid w:val="00FE068C"/>
    <w:rsid w:val="00FE0706"/>
    <w:rsid w:val="00FE0736"/>
    <w:rsid w:val="00FE0807"/>
    <w:rsid w:val="00FE0821"/>
    <w:rsid w:val="00FE08D9"/>
    <w:rsid w:val="00FE08DF"/>
    <w:rsid w:val="00FE09D5"/>
    <w:rsid w:val="00FE0A03"/>
    <w:rsid w:val="00FE0A18"/>
    <w:rsid w:val="00FE0A33"/>
    <w:rsid w:val="00FE0A72"/>
    <w:rsid w:val="00FE0A93"/>
    <w:rsid w:val="00FE0AAB"/>
    <w:rsid w:val="00FE0ADB"/>
    <w:rsid w:val="00FE0B11"/>
    <w:rsid w:val="00FE0B3E"/>
    <w:rsid w:val="00FE0B54"/>
    <w:rsid w:val="00FE0B86"/>
    <w:rsid w:val="00FE0C4A"/>
    <w:rsid w:val="00FE0D6F"/>
    <w:rsid w:val="00FE0DA8"/>
    <w:rsid w:val="00FE0DAC"/>
    <w:rsid w:val="00FE0DF5"/>
    <w:rsid w:val="00FE0DFA"/>
    <w:rsid w:val="00FE0E6B"/>
    <w:rsid w:val="00FE0E82"/>
    <w:rsid w:val="00FE0EFD"/>
    <w:rsid w:val="00FE0F02"/>
    <w:rsid w:val="00FE0F70"/>
    <w:rsid w:val="00FE0F80"/>
    <w:rsid w:val="00FE1063"/>
    <w:rsid w:val="00FE108C"/>
    <w:rsid w:val="00FE109D"/>
    <w:rsid w:val="00FE111F"/>
    <w:rsid w:val="00FE115E"/>
    <w:rsid w:val="00FE1194"/>
    <w:rsid w:val="00FE11C8"/>
    <w:rsid w:val="00FE121B"/>
    <w:rsid w:val="00FE122F"/>
    <w:rsid w:val="00FE1283"/>
    <w:rsid w:val="00FE12E5"/>
    <w:rsid w:val="00FE12FA"/>
    <w:rsid w:val="00FE12FD"/>
    <w:rsid w:val="00FE13A9"/>
    <w:rsid w:val="00FE13AF"/>
    <w:rsid w:val="00FE13CD"/>
    <w:rsid w:val="00FE1406"/>
    <w:rsid w:val="00FE1475"/>
    <w:rsid w:val="00FE1486"/>
    <w:rsid w:val="00FE14C8"/>
    <w:rsid w:val="00FE1515"/>
    <w:rsid w:val="00FE1517"/>
    <w:rsid w:val="00FE163A"/>
    <w:rsid w:val="00FE1693"/>
    <w:rsid w:val="00FE16B6"/>
    <w:rsid w:val="00FE180C"/>
    <w:rsid w:val="00FE1823"/>
    <w:rsid w:val="00FE187A"/>
    <w:rsid w:val="00FE18DA"/>
    <w:rsid w:val="00FE18DC"/>
    <w:rsid w:val="00FE191E"/>
    <w:rsid w:val="00FE194D"/>
    <w:rsid w:val="00FE1A03"/>
    <w:rsid w:val="00FE1A08"/>
    <w:rsid w:val="00FE1A5C"/>
    <w:rsid w:val="00FE1AD4"/>
    <w:rsid w:val="00FE1ADE"/>
    <w:rsid w:val="00FE1B10"/>
    <w:rsid w:val="00FE1C00"/>
    <w:rsid w:val="00FE1C3A"/>
    <w:rsid w:val="00FE1CCC"/>
    <w:rsid w:val="00FE1D88"/>
    <w:rsid w:val="00FE1DF3"/>
    <w:rsid w:val="00FE1E0C"/>
    <w:rsid w:val="00FE1E58"/>
    <w:rsid w:val="00FE1E82"/>
    <w:rsid w:val="00FE1E9B"/>
    <w:rsid w:val="00FE1EB8"/>
    <w:rsid w:val="00FE207B"/>
    <w:rsid w:val="00FE20F3"/>
    <w:rsid w:val="00FE219C"/>
    <w:rsid w:val="00FE21E7"/>
    <w:rsid w:val="00FE2224"/>
    <w:rsid w:val="00FE223A"/>
    <w:rsid w:val="00FE22B0"/>
    <w:rsid w:val="00FE22EC"/>
    <w:rsid w:val="00FE2307"/>
    <w:rsid w:val="00FE23EB"/>
    <w:rsid w:val="00FE247D"/>
    <w:rsid w:val="00FE247E"/>
    <w:rsid w:val="00FE249F"/>
    <w:rsid w:val="00FE24B4"/>
    <w:rsid w:val="00FE2527"/>
    <w:rsid w:val="00FE2579"/>
    <w:rsid w:val="00FE263B"/>
    <w:rsid w:val="00FE2686"/>
    <w:rsid w:val="00FE2747"/>
    <w:rsid w:val="00FE275C"/>
    <w:rsid w:val="00FE27A1"/>
    <w:rsid w:val="00FE27C8"/>
    <w:rsid w:val="00FE2824"/>
    <w:rsid w:val="00FE282E"/>
    <w:rsid w:val="00FE2944"/>
    <w:rsid w:val="00FE2964"/>
    <w:rsid w:val="00FE298B"/>
    <w:rsid w:val="00FE29B2"/>
    <w:rsid w:val="00FE2A08"/>
    <w:rsid w:val="00FE2A45"/>
    <w:rsid w:val="00FE2A5B"/>
    <w:rsid w:val="00FE2B01"/>
    <w:rsid w:val="00FE2B49"/>
    <w:rsid w:val="00FE2B79"/>
    <w:rsid w:val="00FE2C74"/>
    <w:rsid w:val="00FE2D1A"/>
    <w:rsid w:val="00FE2D9D"/>
    <w:rsid w:val="00FE2DA7"/>
    <w:rsid w:val="00FE2DB1"/>
    <w:rsid w:val="00FE2E00"/>
    <w:rsid w:val="00FE3017"/>
    <w:rsid w:val="00FE305A"/>
    <w:rsid w:val="00FE3084"/>
    <w:rsid w:val="00FE3139"/>
    <w:rsid w:val="00FE31D5"/>
    <w:rsid w:val="00FE321E"/>
    <w:rsid w:val="00FE3284"/>
    <w:rsid w:val="00FE32CB"/>
    <w:rsid w:val="00FE338B"/>
    <w:rsid w:val="00FE340D"/>
    <w:rsid w:val="00FE343C"/>
    <w:rsid w:val="00FE344E"/>
    <w:rsid w:val="00FE3471"/>
    <w:rsid w:val="00FE353F"/>
    <w:rsid w:val="00FE357E"/>
    <w:rsid w:val="00FE35B2"/>
    <w:rsid w:val="00FE35BA"/>
    <w:rsid w:val="00FE3682"/>
    <w:rsid w:val="00FE36F4"/>
    <w:rsid w:val="00FE3732"/>
    <w:rsid w:val="00FE37A3"/>
    <w:rsid w:val="00FE37C3"/>
    <w:rsid w:val="00FE384C"/>
    <w:rsid w:val="00FE38E4"/>
    <w:rsid w:val="00FE39FC"/>
    <w:rsid w:val="00FE3A2B"/>
    <w:rsid w:val="00FE3A32"/>
    <w:rsid w:val="00FE3A5B"/>
    <w:rsid w:val="00FE3A69"/>
    <w:rsid w:val="00FE3A6B"/>
    <w:rsid w:val="00FE3A9F"/>
    <w:rsid w:val="00FE3B3A"/>
    <w:rsid w:val="00FE3BD4"/>
    <w:rsid w:val="00FE3C2E"/>
    <w:rsid w:val="00FE3C64"/>
    <w:rsid w:val="00FE3C80"/>
    <w:rsid w:val="00FE3CDF"/>
    <w:rsid w:val="00FE3D85"/>
    <w:rsid w:val="00FE3E21"/>
    <w:rsid w:val="00FE3E7D"/>
    <w:rsid w:val="00FE3EAB"/>
    <w:rsid w:val="00FE3F65"/>
    <w:rsid w:val="00FE3F9C"/>
    <w:rsid w:val="00FE4049"/>
    <w:rsid w:val="00FE409F"/>
    <w:rsid w:val="00FE4103"/>
    <w:rsid w:val="00FE4155"/>
    <w:rsid w:val="00FE419A"/>
    <w:rsid w:val="00FE41BE"/>
    <w:rsid w:val="00FE41E1"/>
    <w:rsid w:val="00FE41F1"/>
    <w:rsid w:val="00FE4307"/>
    <w:rsid w:val="00FE43A2"/>
    <w:rsid w:val="00FE44A5"/>
    <w:rsid w:val="00FE44D2"/>
    <w:rsid w:val="00FE4517"/>
    <w:rsid w:val="00FE4593"/>
    <w:rsid w:val="00FE45B1"/>
    <w:rsid w:val="00FE45C2"/>
    <w:rsid w:val="00FE45CA"/>
    <w:rsid w:val="00FE4658"/>
    <w:rsid w:val="00FE4713"/>
    <w:rsid w:val="00FE4734"/>
    <w:rsid w:val="00FE4893"/>
    <w:rsid w:val="00FE489C"/>
    <w:rsid w:val="00FE492A"/>
    <w:rsid w:val="00FE4932"/>
    <w:rsid w:val="00FE4938"/>
    <w:rsid w:val="00FE493C"/>
    <w:rsid w:val="00FE4984"/>
    <w:rsid w:val="00FE4998"/>
    <w:rsid w:val="00FE4A7C"/>
    <w:rsid w:val="00FE4BCA"/>
    <w:rsid w:val="00FE4C9E"/>
    <w:rsid w:val="00FE4CAE"/>
    <w:rsid w:val="00FE4D1E"/>
    <w:rsid w:val="00FE4D31"/>
    <w:rsid w:val="00FE4D42"/>
    <w:rsid w:val="00FE4DC9"/>
    <w:rsid w:val="00FE4DE4"/>
    <w:rsid w:val="00FE4E56"/>
    <w:rsid w:val="00FE4FD4"/>
    <w:rsid w:val="00FE503F"/>
    <w:rsid w:val="00FE505F"/>
    <w:rsid w:val="00FE5071"/>
    <w:rsid w:val="00FE50A2"/>
    <w:rsid w:val="00FE50B1"/>
    <w:rsid w:val="00FE510B"/>
    <w:rsid w:val="00FE52B6"/>
    <w:rsid w:val="00FE5342"/>
    <w:rsid w:val="00FE542D"/>
    <w:rsid w:val="00FE54C4"/>
    <w:rsid w:val="00FE5513"/>
    <w:rsid w:val="00FE55DE"/>
    <w:rsid w:val="00FE55E0"/>
    <w:rsid w:val="00FE5620"/>
    <w:rsid w:val="00FE562F"/>
    <w:rsid w:val="00FE565F"/>
    <w:rsid w:val="00FE5675"/>
    <w:rsid w:val="00FE567F"/>
    <w:rsid w:val="00FE5764"/>
    <w:rsid w:val="00FE57C1"/>
    <w:rsid w:val="00FE583C"/>
    <w:rsid w:val="00FE5855"/>
    <w:rsid w:val="00FE596E"/>
    <w:rsid w:val="00FE5971"/>
    <w:rsid w:val="00FE59E9"/>
    <w:rsid w:val="00FE5A27"/>
    <w:rsid w:val="00FE5BD0"/>
    <w:rsid w:val="00FE5C27"/>
    <w:rsid w:val="00FE5CD8"/>
    <w:rsid w:val="00FE5D03"/>
    <w:rsid w:val="00FE5DB0"/>
    <w:rsid w:val="00FE5DC0"/>
    <w:rsid w:val="00FE5E3F"/>
    <w:rsid w:val="00FE5E4C"/>
    <w:rsid w:val="00FE5E7C"/>
    <w:rsid w:val="00FE5F01"/>
    <w:rsid w:val="00FE5F03"/>
    <w:rsid w:val="00FE5F2E"/>
    <w:rsid w:val="00FE5FB8"/>
    <w:rsid w:val="00FE6088"/>
    <w:rsid w:val="00FE6141"/>
    <w:rsid w:val="00FE6250"/>
    <w:rsid w:val="00FE6305"/>
    <w:rsid w:val="00FE6385"/>
    <w:rsid w:val="00FE64A0"/>
    <w:rsid w:val="00FE6582"/>
    <w:rsid w:val="00FE6605"/>
    <w:rsid w:val="00FE6695"/>
    <w:rsid w:val="00FE6723"/>
    <w:rsid w:val="00FE6767"/>
    <w:rsid w:val="00FE6879"/>
    <w:rsid w:val="00FE689E"/>
    <w:rsid w:val="00FE693B"/>
    <w:rsid w:val="00FE69F6"/>
    <w:rsid w:val="00FE6A11"/>
    <w:rsid w:val="00FE6A32"/>
    <w:rsid w:val="00FE6AC2"/>
    <w:rsid w:val="00FE6D1A"/>
    <w:rsid w:val="00FE6D6A"/>
    <w:rsid w:val="00FE6D93"/>
    <w:rsid w:val="00FE6E3B"/>
    <w:rsid w:val="00FE6EB4"/>
    <w:rsid w:val="00FE6ED4"/>
    <w:rsid w:val="00FE6FA7"/>
    <w:rsid w:val="00FE706C"/>
    <w:rsid w:val="00FE7104"/>
    <w:rsid w:val="00FE7265"/>
    <w:rsid w:val="00FE7293"/>
    <w:rsid w:val="00FE72B0"/>
    <w:rsid w:val="00FE7342"/>
    <w:rsid w:val="00FE7363"/>
    <w:rsid w:val="00FE73A6"/>
    <w:rsid w:val="00FE7483"/>
    <w:rsid w:val="00FE7499"/>
    <w:rsid w:val="00FE74E7"/>
    <w:rsid w:val="00FE754B"/>
    <w:rsid w:val="00FE757C"/>
    <w:rsid w:val="00FE75B5"/>
    <w:rsid w:val="00FE767D"/>
    <w:rsid w:val="00FE76FE"/>
    <w:rsid w:val="00FE7781"/>
    <w:rsid w:val="00FE779C"/>
    <w:rsid w:val="00FE77E7"/>
    <w:rsid w:val="00FE7829"/>
    <w:rsid w:val="00FE78F9"/>
    <w:rsid w:val="00FE791A"/>
    <w:rsid w:val="00FE79F8"/>
    <w:rsid w:val="00FE7A4E"/>
    <w:rsid w:val="00FE7A4F"/>
    <w:rsid w:val="00FE7ACA"/>
    <w:rsid w:val="00FE7B1F"/>
    <w:rsid w:val="00FE7BC0"/>
    <w:rsid w:val="00FE7CF8"/>
    <w:rsid w:val="00FE7D14"/>
    <w:rsid w:val="00FE7D23"/>
    <w:rsid w:val="00FE7D37"/>
    <w:rsid w:val="00FE7D67"/>
    <w:rsid w:val="00FE7D74"/>
    <w:rsid w:val="00FE7D8B"/>
    <w:rsid w:val="00FE7D90"/>
    <w:rsid w:val="00FE7D9C"/>
    <w:rsid w:val="00FE7DD1"/>
    <w:rsid w:val="00FE7ED6"/>
    <w:rsid w:val="00FE7EFF"/>
    <w:rsid w:val="00FE7FB3"/>
    <w:rsid w:val="00FF0033"/>
    <w:rsid w:val="00FF0035"/>
    <w:rsid w:val="00FF0036"/>
    <w:rsid w:val="00FF00C0"/>
    <w:rsid w:val="00FF012D"/>
    <w:rsid w:val="00FF0157"/>
    <w:rsid w:val="00FF01A8"/>
    <w:rsid w:val="00FF01E7"/>
    <w:rsid w:val="00FF0249"/>
    <w:rsid w:val="00FF025D"/>
    <w:rsid w:val="00FF0286"/>
    <w:rsid w:val="00FF02A5"/>
    <w:rsid w:val="00FF0353"/>
    <w:rsid w:val="00FF0372"/>
    <w:rsid w:val="00FF03AE"/>
    <w:rsid w:val="00FF03B5"/>
    <w:rsid w:val="00FF03ED"/>
    <w:rsid w:val="00FF03F6"/>
    <w:rsid w:val="00FF0409"/>
    <w:rsid w:val="00FF044A"/>
    <w:rsid w:val="00FF0458"/>
    <w:rsid w:val="00FF049E"/>
    <w:rsid w:val="00FF04C3"/>
    <w:rsid w:val="00FF04DF"/>
    <w:rsid w:val="00FF04EC"/>
    <w:rsid w:val="00FF0552"/>
    <w:rsid w:val="00FF0597"/>
    <w:rsid w:val="00FF059F"/>
    <w:rsid w:val="00FF05D8"/>
    <w:rsid w:val="00FF05ED"/>
    <w:rsid w:val="00FF0647"/>
    <w:rsid w:val="00FF066F"/>
    <w:rsid w:val="00FF06E3"/>
    <w:rsid w:val="00FF06EE"/>
    <w:rsid w:val="00FF075B"/>
    <w:rsid w:val="00FF0768"/>
    <w:rsid w:val="00FF0776"/>
    <w:rsid w:val="00FF07B1"/>
    <w:rsid w:val="00FF0830"/>
    <w:rsid w:val="00FF08CC"/>
    <w:rsid w:val="00FF0A2E"/>
    <w:rsid w:val="00FF0A90"/>
    <w:rsid w:val="00FF0AE2"/>
    <w:rsid w:val="00FF0B04"/>
    <w:rsid w:val="00FF0B07"/>
    <w:rsid w:val="00FF0B0C"/>
    <w:rsid w:val="00FF0B73"/>
    <w:rsid w:val="00FF0BB4"/>
    <w:rsid w:val="00FF0CC9"/>
    <w:rsid w:val="00FF0CDB"/>
    <w:rsid w:val="00FF0DA4"/>
    <w:rsid w:val="00FF0DF2"/>
    <w:rsid w:val="00FF0DFB"/>
    <w:rsid w:val="00FF0DFC"/>
    <w:rsid w:val="00FF0E1F"/>
    <w:rsid w:val="00FF0F2F"/>
    <w:rsid w:val="00FF0F93"/>
    <w:rsid w:val="00FF1016"/>
    <w:rsid w:val="00FF1035"/>
    <w:rsid w:val="00FF10C4"/>
    <w:rsid w:val="00FF10DF"/>
    <w:rsid w:val="00FF118A"/>
    <w:rsid w:val="00FF11C0"/>
    <w:rsid w:val="00FF11EB"/>
    <w:rsid w:val="00FF1423"/>
    <w:rsid w:val="00FF1425"/>
    <w:rsid w:val="00FF1461"/>
    <w:rsid w:val="00FF1475"/>
    <w:rsid w:val="00FF14D8"/>
    <w:rsid w:val="00FF1509"/>
    <w:rsid w:val="00FF15B9"/>
    <w:rsid w:val="00FF15C3"/>
    <w:rsid w:val="00FF165C"/>
    <w:rsid w:val="00FF169C"/>
    <w:rsid w:val="00FF16EF"/>
    <w:rsid w:val="00FF1706"/>
    <w:rsid w:val="00FF1742"/>
    <w:rsid w:val="00FF1766"/>
    <w:rsid w:val="00FF1775"/>
    <w:rsid w:val="00FF17A4"/>
    <w:rsid w:val="00FF17D1"/>
    <w:rsid w:val="00FF17D9"/>
    <w:rsid w:val="00FF182A"/>
    <w:rsid w:val="00FF1854"/>
    <w:rsid w:val="00FF186C"/>
    <w:rsid w:val="00FF188E"/>
    <w:rsid w:val="00FF18AD"/>
    <w:rsid w:val="00FF18F9"/>
    <w:rsid w:val="00FF1932"/>
    <w:rsid w:val="00FF1936"/>
    <w:rsid w:val="00FF194F"/>
    <w:rsid w:val="00FF19CD"/>
    <w:rsid w:val="00FF1A2E"/>
    <w:rsid w:val="00FF1A9C"/>
    <w:rsid w:val="00FF1AA5"/>
    <w:rsid w:val="00FF1AA6"/>
    <w:rsid w:val="00FF1AAC"/>
    <w:rsid w:val="00FF1B1C"/>
    <w:rsid w:val="00FF1B85"/>
    <w:rsid w:val="00FF1C24"/>
    <w:rsid w:val="00FF1CAB"/>
    <w:rsid w:val="00FF1EA3"/>
    <w:rsid w:val="00FF1EFF"/>
    <w:rsid w:val="00FF2002"/>
    <w:rsid w:val="00FF2018"/>
    <w:rsid w:val="00FF2028"/>
    <w:rsid w:val="00FF2032"/>
    <w:rsid w:val="00FF2059"/>
    <w:rsid w:val="00FF2060"/>
    <w:rsid w:val="00FF20AE"/>
    <w:rsid w:val="00FF20D0"/>
    <w:rsid w:val="00FF20D3"/>
    <w:rsid w:val="00FF2117"/>
    <w:rsid w:val="00FF2123"/>
    <w:rsid w:val="00FF2149"/>
    <w:rsid w:val="00FF21BF"/>
    <w:rsid w:val="00FF2207"/>
    <w:rsid w:val="00FF2241"/>
    <w:rsid w:val="00FF2301"/>
    <w:rsid w:val="00FF2322"/>
    <w:rsid w:val="00FF2344"/>
    <w:rsid w:val="00FF2362"/>
    <w:rsid w:val="00FF2373"/>
    <w:rsid w:val="00FF240A"/>
    <w:rsid w:val="00FF244E"/>
    <w:rsid w:val="00FF2451"/>
    <w:rsid w:val="00FF24FE"/>
    <w:rsid w:val="00FF253F"/>
    <w:rsid w:val="00FF25F2"/>
    <w:rsid w:val="00FF2637"/>
    <w:rsid w:val="00FF273D"/>
    <w:rsid w:val="00FF279E"/>
    <w:rsid w:val="00FF27B4"/>
    <w:rsid w:val="00FF27C7"/>
    <w:rsid w:val="00FF27D0"/>
    <w:rsid w:val="00FF27FD"/>
    <w:rsid w:val="00FF2823"/>
    <w:rsid w:val="00FF282B"/>
    <w:rsid w:val="00FF2879"/>
    <w:rsid w:val="00FF28DC"/>
    <w:rsid w:val="00FF2923"/>
    <w:rsid w:val="00FF2995"/>
    <w:rsid w:val="00FF299A"/>
    <w:rsid w:val="00FF2A24"/>
    <w:rsid w:val="00FF2A5A"/>
    <w:rsid w:val="00FF2AA7"/>
    <w:rsid w:val="00FF2AD4"/>
    <w:rsid w:val="00FF2B16"/>
    <w:rsid w:val="00FF2B40"/>
    <w:rsid w:val="00FF2B5B"/>
    <w:rsid w:val="00FF2D7F"/>
    <w:rsid w:val="00FF2DD1"/>
    <w:rsid w:val="00FF2E04"/>
    <w:rsid w:val="00FF2E4C"/>
    <w:rsid w:val="00FF2E8F"/>
    <w:rsid w:val="00FF2E9E"/>
    <w:rsid w:val="00FF2ED6"/>
    <w:rsid w:val="00FF2EDE"/>
    <w:rsid w:val="00FF2EEA"/>
    <w:rsid w:val="00FF2EFF"/>
    <w:rsid w:val="00FF2F39"/>
    <w:rsid w:val="00FF2F53"/>
    <w:rsid w:val="00FF2F5F"/>
    <w:rsid w:val="00FF2FA9"/>
    <w:rsid w:val="00FF3066"/>
    <w:rsid w:val="00FF30CB"/>
    <w:rsid w:val="00FF3188"/>
    <w:rsid w:val="00FF31C7"/>
    <w:rsid w:val="00FF31FB"/>
    <w:rsid w:val="00FF322E"/>
    <w:rsid w:val="00FF3233"/>
    <w:rsid w:val="00FF32B7"/>
    <w:rsid w:val="00FF3335"/>
    <w:rsid w:val="00FF3365"/>
    <w:rsid w:val="00FF338E"/>
    <w:rsid w:val="00FF3437"/>
    <w:rsid w:val="00FF34AF"/>
    <w:rsid w:val="00FF34B6"/>
    <w:rsid w:val="00FF350E"/>
    <w:rsid w:val="00FF360C"/>
    <w:rsid w:val="00FF3613"/>
    <w:rsid w:val="00FF363F"/>
    <w:rsid w:val="00FF3691"/>
    <w:rsid w:val="00FF3702"/>
    <w:rsid w:val="00FF371A"/>
    <w:rsid w:val="00FF37A0"/>
    <w:rsid w:val="00FF3863"/>
    <w:rsid w:val="00FF3871"/>
    <w:rsid w:val="00FF38E0"/>
    <w:rsid w:val="00FF3930"/>
    <w:rsid w:val="00FF39AF"/>
    <w:rsid w:val="00FF39B0"/>
    <w:rsid w:val="00FF39D6"/>
    <w:rsid w:val="00FF39F4"/>
    <w:rsid w:val="00FF3A04"/>
    <w:rsid w:val="00FF3A1D"/>
    <w:rsid w:val="00FF3ACA"/>
    <w:rsid w:val="00FF3B5B"/>
    <w:rsid w:val="00FF3B61"/>
    <w:rsid w:val="00FF3C90"/>
    <w:rsid w:val="00FF3C99"/>
    <w:rsid w:val="00FF3CF8"/>
    <w:rsid w:val="00FF3D74"/>
    <w:rsid w:val="00FF3D99"/>
    <w:rsid w:val="00FF3DBF"/>
    <w:rsid w:val="00FF3E30"/>
    <w:rsid w:val="00FF3E81"/>
    <w:rsid w:val="00FF3F57"/>
    <w:rsid w:val="00FF3F98"/>
    <w:rsid w:val="00FF40D5"/>
    <w:rsid w:val="00FF40FD"/>
    <w:rsid w:val="00FF4196"/>
    <w:rsid w:val="00FF4281"/>
    <w:rsid w:val="00FF42B6"/>
    <w:rsid w:val="00FF42D9"/>
    <w:rsid w:val="00FF43D6"/>
    <w:rsid w:val="00FF43D8"/>
    <w:rsid w:val="00FF44E4"/>
    <w:rsid w:val="00FF455C"/>
    <w:rsid w:val="00FF46FD"/>
    <w:rsid w:val="00FF46FE"/>
    <w:rsid w:val="00FF4717"/>
    <w:rsid w:val="00FF4718"/>
    <w:rsid w:val="00FF4762"/>
    <w:rsid w:val="00FF479A"/>
    <w:rsid w:val="00FF47C8"/>
    <w:rsid w:val="00FF48E6"/>
    <w:rsid w:val="00FF48FE"/>
    <w:rsid w:val="00FF49C1"/>
    <w:rsid w:val="00FF49C3"/>
    <w:rsid w:val="00FF4A6E"/>
    <w:rsid w:val="00FF4AD8"/>
    <w:rsid w:val="00FF4B1D"/>
    <w:rsid w:val="00FF4B3E"/>
    <w:rsid w:val="00FF4C2D"/>
    <w:rsid w:val="00FF4C90"/>
    <w:rsid w:val="00FF4CAD"/>
    <w:rsid w:val="00FF4CAE"/>
    <w:rsid w:val="00FF4CF6"/>
    <w:rsid w:val="00FF4E23"/>
    <w:rsid w:val="00FF4F60"/>
    <w:rsid w:val="00FF4FC1"/>
    <w:rsid w:val="00FF4FD9"/>
    <w:rsid w:val="00FF4FDB"/>
    <w:rsid w:val="00FF5006"/>
    <w:rsid w:val="00FF502F"/>
    <w:rsid w:val="00FF5099"/>
    <w:rsid w:val="00FF50A0"/>
    <w:rsid w:val="00FF5143"/>
    <w:rsid w:val="00FF518C"/>
    <w:rsid w:val="00FF5216"/>
    <w:rsid w:val="00FF522C"/>
    <w:rsid w:val="00FF5244"/>
    <w:rsid w:val="00FF52AC"/>
    <w:rsid w:val="00FF530B"/>
    <w:rsid w:val="00FF5361"/>
    <w:rsid w:val="00FF53A6"/>
    <w:rsid w:val="00FF53C9"/>
    <w:rsid w:val="00FF53D0"/>
    <w:rsid w:val="00FF543D"/>
    <w:rsid w:val="00FF5498"/>
    <w:rsid w:val="00FF5521"/>
    <w:rsid w:val="00FF562C"/>
    <w:rsid w:val="00FF5693"/>
    <w:rsid w:val="00FF56CA"/>
    <w:rsid w:val="00FF5747"/>
    <w:rsid w:val="00FF5828"/>
    <w:rsid w:val="00FF5928"/>
    <w:rsid w:val="00FF5952"/>
    <w:rsid w:val="00FF595C"/>
    <w:rsid w:val="00FF59C6"/>
    <w:rsid w:val="00FF5A89"/>
    <w:rsid w:val="00FF5AC8"/>
    <w:rsid w:val="00FF5BCC"/>
    <w:rsid w:val="00FF5CB1"/>
    <w:rsid w:val="00FF5CBE"/>
    <w:rsid w:val="00FF5CC9"/>
    <w:rsid w:val="00FF5CDB"/>
    <w:rsid w:val="00FF5CF5"/>
    <w:rsid w:val="00FF5D64"/>
    <w:rsid w:val="00FF5DC9"/>
    <w:rsid w:val="00FF5DD2"/>
    <w:rsid w:val="00FF5F54"/>
    <w:rsid w:val="00FF5FB6"/>
    <w:rsid w:val="00FF5FC5"/>
    <w:rsid w:val="00FF605D"/>
    <w:rsid w:val="00FF615F"/>
    <w:rsid w:val="00FF619C"/>
    <w:rsid w:val="00FF62F7"/>
    <w:rsid w:val="00FF63E6"/>
    <w:rsid w:val="00FF63EA"/>
    <w:rsid w:val="00FF6457"/>
    <w:rsid w:val="00FF645B"/>
    <w:rsid w:val="00FF6470"/>
    <w:rsid w:val="00FF64B5"/>
    <w:rsid w:val="00FF64F7"/>
    <w:rsid w:val="00FF651F"/>
    <w:rsid w:val="00FF662B"/>
    <w:rsid w:val="00FF665F"/>
    <w:rsid w:val="00FF667F"/>
    <w:rsid w:val="00FF66C6"/>
    <w:rsid w:val="00FF66DB"/>
    <w:rsid w:val="00FF66F9"/>
    <w:rsid w:val="00FF6723"/>
    <w:rsid w:val="00FF680C"/>
    <w:rsid w:val="00FF6872"/>
    <w:rsid w:val="00FF68AC"/>
    <w:rsid w:val="00FF68EA"/>
    <w:rsid w:val="00FF6966"/>
    <w:rsid w:val="00FF6971"/>
    <w:rsid w:val="00FF6A63"/>
    <w:rsid w:val="00FF6A90"/>
    <w:rsid w:val="00FF6A92"/>
    <w:rsid w:val="00FF6AC9"/>
    <w:rsid w:val="00FF6AD2"/>
    <w:rsid w:val="00FF6AF1"/>
    <w:rsid w:val="00FF6B3B"/>
    <w:rsid w:val="00FF6B6D"/>
    <w:rsid w:val="00FF6C0C"/>
    <w:rsid w:val="00FF6C33"/>
    <w:rsid w:val="00FF6C73"/>
    <w:rsid w:val="00FF6C8A"/>
    <w:rsid w:val="00FF6C9A"/>
    <w:rsid w:val="00FF6D97"/>
    <w:rsid w:val="00FF6E81"/>
    <w:rsid w:val="00FF6EBD"/>
    <w:rsid w:val="00FF6F31"/>
    <w:rsid w:val="00FF6F39"/>
    <w:rsid w:val="00FF6FAC"/>
    <w:rsid w:val="00FF6FEC"/>
    <w:rsid w:val="00FF703E"/>
    <w:rsid w:val="00FF7043"/>
    <w:rsid w:val="00FF7075"/>
    <w:rsid w:val="00FF717F"/>
    <w:rsid w:val="00FF71B0"/>
    <w:rsid w:val="00FF7218"/>
    <w:rsid w:val="00FF724E"/>
    <w:rsid w:val="00FF72E4"/>
    <w:rsid w:val="00FF7349"/>
    <w:rsid w:val="00FF735F"/>
    <w:rsid w:val="00FF7364"/>
    <w:rsid w:val="00FF737C"/>
    <w:rsid w:val="00FF7394"/>
    <w:rsid w:val="00FF73E5"/>
    <w:rsid w:val="00FF7497"/>
    <w:rsid w:val="00FF74A4"/>
    <w:rsid w:val="00FF74F1"/>
    <w:rsid w:val="00FF752A"/>
    <w:rsid w:val="00FF760B"/>
    <w:rsid w:val="00FF766E"/>
    <w:rsid w:val="00FF769E"/>
    <w:rsid w:val="00FF77A5"/>
    <w:rsid w:val="00FF77FA"/>
    <w:rsid w:val="00FF78DB"/>
    <w:rsid w:val="00FF7915"/>
    <w:rsid w:val="00FF795F"/>
    <w:rsid w:val="00FF79BE"/>
    <w:rsid w:val="00FF7A63"/>
    <w:rsid w:val="00FF7AA2"/>
    <w:rsid w:val="00FF7B2D"/>
    <w:rsid w:val="00FF7B4B"/>
    <w:rsid w:val="00FF7B94"/>
    <w:rsid w:val="00FF7C85"/>
    <w:rsid w:val="00FF7D0B"/>
    <w:rsid w:val="00FF7DA9"/>
    <w:rsid w:val="00FF7DAF"/>
    <w:rsid w:val="00FF7E0D"/>
    <w:rsid w:val="00FF7E11"/>
    <w:rsid w:val="00FF7EA3"/>
    <w:rsid w:val="00FF7EF3"/>
    <w:rsid w:val="00FF7FA8"/>
    <w:rsid w:val="0108E865"/>
    <w:rsid w:val="01414FD1"/>
    <w:rsid w:val="016B555A"/>
    <w:rsid w:val="01D8E220"/>
    <w:rsid w:val="01EA48E5"/>
    <w:rsid w:val="01FEF4BC"/>
    <w:rsid w:val="022193E0"/>
    <w:rsid w:val="024F3698"/>
    <w:rsid w:val="02AD34EB"/>
    <w:rsid w:val="02FAD6BB"/>
    <w:rsid w:val="03230716"/>
    <w:rsid w:val="03F994F3"/>
    <w:rsid w:val="0441C618"/>
    <w:rsid w:val="048EB989"/>
    <w:rsid w:val="051C18DA"/>
    <w:rsid w:val="059C5B7C"/>
    <w:rsid w:val="05B88CDC"/>
    <w:rsid w:val="06AB3987"/>
    <w:rsid w:val="06B6412C"/>
    <w:rsid w:val="070972B1"/>
    <w:rsid w:val="0716D07F"/>
    <w:rsid w:val="07365FF6"/>
    <w:rsid w:val="073BB001"/>
    <w:rsid w:val="07FE0485"/>
    <w:rsid w:val="09B6D90B"/>
    <w:rsid w:val="09BCDB2F"/>
    <w:rsid w:val="09F48FFC"/>
    <w:rsid w:val="0AB1013F"/>
    <w:rsid w:val="0AD97FB7"/>
    <w:rsid w:val="0B510780"/>
    <w:rsid w:val="0B78517F"/>
    <w:rsid w:val="0BC7079F"/>
    <w:rsid w:val="0BFB3388"/>
    <w:rsid w:val="0C449F6F"/>
    <w:rsid w:val="0C924429"/>
    <w:rsid w:val="0CD0993C"/>
    <w:rsid w:val="0D7A0250"/>
    <w:rsid w:val="0D83570F"/>
    <w:rsid w:val="0DBC2F85"/>
    <w:rsid w:val="0DEAEFB6"/>
    <w:rsid w:val="0E374FCF"/>
    <w:rsid w:val="0E37C6DC"/>
    <w:rsid w:val="0E612231"/>
    <w:rsid w:val="0E96ED39"/>
    <w:rsid w:val="0EA76D7C"/>
    <w:rsid w:val="0EBC18D3"/>
    <w:rsid w:val="0ECA8942"/>
    <w:rsid w:val="0EF6CA65"/>
    <w:rsid w:val="0F8D43B4"/>
    <w:rsid w:val="0FD0E719"/>
    <w:rsid w:val="0FF97A86"/>
    <w:rsid w:val="101F522D"/>
    <w:rsid w:val="102D97FE"/>
    <w:rsid w:val="105C8AE4"/>
    <w:rsid w:val="10A51927"/>
    <w:rsid w:val="10B78E35"/>
    <w:rsid w:val="1144ABD9"/>
    <w:rsid w:val="118F6FE3"/>
    <w:rsid w:val="119B51D4"/>
    <w:rsid w:val="11D64695"/>
    <w:rsid w:val="11DD1E2D"/>
    <w:rsid w:val="11F1AF2C"/>
    <w:rsid w:val="12393AF6"/>
    <w:rsid w:val="12D86467"/>
    <w:rsid w:val="136F0D12"/>
    <w:rsid w:val="13E576A7"/>
    <w:rsid w:val="13FE52CA"/>
    <w:rsid w:val="1414DFEC"/>
    <w:rsid w:val="149F97B6"/>
    <w:rsid w:val="14D717E0"/>
    <w:rsid w:val="1520B682"/>
    <w:rsid w:val="154A4B0A"/>
    <w:rsid w:val="15615A29"/>
    <w:rsid w:val="15D755AB"/>
    <w:rsid w:val="16FDEACE"/>
    <w:rsid w:val="1701A408"/>
    <w:rsid w:val="1703C60E"/>
    <w:rsid w:val="177F7F8B"/>
    <w:rsid w:val="17A64DA7"/>
    <w:rsid w:val="17B03408"/>
    <w:rsid w:val="17B13129"/>
    <w:rsid w:val="17B818CE"/>
    <w:rsid w:val="17BA44C8"/>
    <w:rsid w:val="17CC7D0B"/>
    <w:rsid w:val="18B1B3B6"/>
    <w:rsid w:val="18B3066F"/>
    <w:rsid w:val="196CE333"/>
    <w:rsid w:val="19A71144"/>
    <w:rsid w:val="19EE257C"/>
    <w:rsid w:val="19FC47D8"/>
    <w:rsid w:val="1A27B353"/>
    <w:rsid w:val="1A6A5D8A"/>
    <w:rsid w:val="1AA766D2"/>
    <w:rsid w:val="1AE73585"/>
    <w:rsid w:val="1AFBB52F"/>
    <w:rsid w:val="1B985FF9"/>
    <w:rsid w:val="1C1C4E80"/>
    <w:rsid w:val="1C683546"/>
    <w:rsid w:val="1DB828B6"/>
    <w:rsid w:val="1DBDE63D"/>
    <w:rsid w:val="1E22B7A9"/>
    <w:rsid w:val="1E88B517"/>
    <w:rsid w:val="1EB49D4F"/>
    <w:rsid w:val="1F084654"/>
    <w:rsid w:val="1F4A540F"/>
    <w:rsid w:val="1F5DC520"/>
    <w:rsid w:val="1F877759"/>
    <w:rsid w:val="1FE60159"/>
    <w:rsid w:val="1FE68686"/>
    <w:rsid w:val="200A2D2E"/>
    <w:rsid w:val="2025EB5F"/>
    <w:rsid w:val="207D353B"/>
    <w:rsid w:val="20FC6447"/>
    <w:rsid w:val="21189F33"/>
    <w:rsid w:val="2125BD1E"/>
    <w:rsid w:val="21A61365"/>
    <w:rsid w:val="21C53D24"/>
    <w:rsid w:val="22218301"/>
    <w:rsid w:val="222D2805"/>
    <w:rsid w:val="224380AE"/>
    <w:rsid w:val="224F4ABA"/>
    <w:rsid w:val="22A8A0F4"/>
    <w:rsid w:val="22C87D31"/>
    <w:rsid w:val="22FA8EC8"/>
    <w:rsid w:val="2363E000"/>
    <w:rsid w:val="23A6F80C"/>
    <w:rsid w:val="23D41654"/>
    <w:rsid w:val="247D1684"/>
    <w:rsid w:val="24F07313"/>
    <w:rsid w:val="25128423"/>
    <w:rsid w:val="2547D193"/>
    <w:rsid w:val="265C8ABD"/>
    <w:rsid w:val="2661A3FE"/>
    <w:rsid w:val="26C6719A"/>
    <w:rsid w:val="26FC293F"/>
    <w:rsid w:val="2752ADCC"/>
    <w:rsid w:val="276120FA"/>
    <w:rsid w:val="27A65574"/>
    <w:rsid w:val="281A2F12"/>
    <w:rsid w:val="28E20A5C"/>
    <w:rsid w:val="29CD0EC8"/>
    <w:rsid w:val="2A14514C"/>
    <w:rsid w:val="2A294836"/>
    <w:rsid w:val="2A2B89D3"/>
    <w:rsid w:val="2A6EAE69"/>
    <w:rsid w:val="2B0B7E40"/>
    <w:rsid w:val="2B538B1D"/>
    <w:rsid w:val="2B961F1F"/>
    <w:rsid w:val="2B9E4856"/>
    <w:rsid w:val="2C38F463"/>
    <w:rsid w:val="2C795A21"/>
    <w:rsid w:val="2C8B006C"/>
    <w:rsid w:val="2CA5B3B5"/>
    <w:rsid w:val="2D1262E8"/>
    <w:rsid w:val="2D90F2AD"/>
    <w:rsid w:val="2EDAC0A3"/>
    <w:rsid w:val="2F382C8C"/>
    <w:rsid w:val="2F8AC36D"/>
    <w:rsid w:val="2FC8B142"/>
    <w:rsid w:val="2FF7C3F6"/>
    <w:rsid w:val="30AEE36C"/>
    <w:rsid w:val="30C2AB0F"/>
    <w:rsid w:val="30CBA8EF"/>
    <w:rsid w:val="30D293DD"/>
    <w:rsid w:val="315F3319"/>
    <w:rsid w:val="320CF932"/>
    <w:rsid w:val="3275CA6F"/>
    <w:rsid w:val="330F4281"/>
    <w:rsid w:val="331AA191"/>
    <w:rsid w:val="33382D71"/>
    <w:rsid w:val="33403F4D"/>
    <w:rsid w:val="33988FDA"/>
    <w:rsid w:val="33DB1D10"/>
    <w:rsid w:val="33DE0B27"/>
    <w:rsid w:val="3475B6C9"/>
    <w:rsid w:val="350F845A"/>
    <w:rsid w:val="35128C39"/>
    <w:rsid w:val="354BA966"/>
    <w:rsid w:val="35559D09"/>
    <w:rsid w:val="3562C79D"/>
    <w:rsid w:val="35C24E6D"/>
    <w:rsid w:val="35EBEBE5"/>
    <w:rsid w:val="35F2A632"/>
    <w:rsid w:val="366E414D"/>
    <w:rsid w:val="3758447C"/>
    <w:rsid w:val="37AD88AA"/>
    <w:rsid w:val="38060D45"/>
    <w:rsid w:val="3875C2CC"/>
    <w:rsid w:val="38A15A97"/>
    <w:rsid w:val="38DE9A34"/>
    <w:rsid w:val="39B927DD"/>
    <w:rsid w:val="39E1478A"/>
    <w:rsid w:val="3A26F713"/>
    <w:rsid w:val="3A5B5C96"/>
    <w:rsid w:val="3A8FE5EF"/>
    <w:rsid w:val="3AB6D51C"/>
    <w:rsid w:val="3BD088A7"/>
    <w:rsid w:val="3BD2E4B6"/>
    <w:rsid w:val="3BFEBDBC"/>
    <w:rsid w:val="3C0F300F"/>
    <w:rsid w:val="3C121710"/>
    <w:rsid w:val="3C42272C"/>
    <w:rsid w:val="3C69D090"/>
    <w:rsid w:val="3C704902"/>
    <w:rsid w:val="3CC7A8BB"/>
    <w:rsid w:val="3CD0627D"/>
    <w:rsid w:val="3CE871DE"/>
    <w:rsid w:val="3D265CD0"/>
    <w:rsid w:val="3D383D17"/>
    <w:rsid w:val="3D7B4241"/>
    <w:rsid w:val="3D8EBC85"/>
    <w:rsid w:val="3DDDA190"/>
    <w:rsid w:val="3DEDCF17"/>
    <w:rsid w:val="3E4357F4"/>
    <w:rsid w:val="3F059DA2"/>
    <w:rsid w:val="3F1F17F5"/>
    <w:rsid w:val="3F290872"/>
    <w:rsid w:val="3FC22A41"/>
    <w:rsid w:val="4025ED76"/>
    <w:rsid w:val="410630EF"/>
    <w:rsid w:val="412F3A2A"/>
    <w:rsid w:val="41346789"/>
    <w:rsid w:val="419D862E"/>
    <w:rsid w:val="421E7B01"/>
    <w:rsid w:val="42AC6F54"/>
    <w:rsid w:val="42B1888A"/>
    <w:rsid w:val="42F5F073"/>
    <w:rsid w:val="42FF1CA6"/>
    <w:rsid w:val="43584128"/>
    <w:rsid w:val="43ED135B"/>
    <w:rsid w:val="442B2043"/>
    <w:rsid w:val="44860FEB"/>
    <w:rsid w:val="44A2BCF6"/>
    <w:rsid w:val="44A61C33"/>
    <w:rsid w:val="45512CA5"/>
    <w:rsid w:val="45B1B4C6"/>
    <w:rsid w:val="45E90473"/>
    <w:rsid w:val="45FFE6AD"/>
    <w:rsid w:val="4635A716"/>
    <w:rsid w:val="46967480"/>
    <w:rsid w:val="46B155B2"/>
    <w:rsid w:val="46C8B2EC"/>
    <w:rsid w:val="476EC8C8"/>
    <w:rsid w:val="47995DB5"/>
    <w:rsid w:val="47BAAB80"/>
    <w:rsid w:val="482EC2D7"/>
    <w:rsid w:val="48677749"/>
    <w:rsid w:val="487018D9"/>
    <w:rsid w:val="48CE5F49"/>
    <w:rsid w:val="48D6738B"/>
    <w:rsid w:val="4917049A"/>
    <w:rsid w:val="495A4D68"/>
    <w:rsid w:val="4A193849"/>
    <w:rsid w:val="4A2551B1"/>
    <w:rsid w:val="4A2C5148"/>
    <w:rsid w:val="4A382CA8"/>
    <w:rsid w:val="4A5A63AD"/>
    <w:rsid w:val="4A6BCB26"/>
    <w:rsid w:val="4A98C250"/>
    <w:rsid w:val="4AA5509A"/>
    <w:rsid w:val="4B0FD24C"/>
    <w:rsid w:val="4BE7EAFA"/>
    <w:rsid w:val="4BF0CB86"/>
    <w:rsid w:val="4C5891B7"/>
    <w:rsid w:val="4C863BE5"/>
    <w:rsid w:val="4C875FC8"/>
    <w:rsid w:val="4C88BE60"/>
    <w:rsid w:val="4CABBF60"/>
    <w:rsid w:val="4CD2B7BA"/>
    <w:rsid w:val="4D0BF3AF"/>
    <w:rsid w:val="4D5FA1CB"/>
    <w:rsid w:val="4DFCBFE1"/>
    <w:rsid w:val="4E5FB9C9"/>
    <w:rsid w:val="4EBA5801"/>
    <w:rsid w:val="4EC5E76D"/>
    <w:rsid w:val="4F266CFA"/>
    <w:rsid w:val="4F6E015E"/>
    <w:rsid w:val="4F9393B5"/>
    <w:rsid w:val="4FB9C20B"/>
    <w:rsid w:val="4FE5520B"/>
    <w:rsid w:val="50A62E45"/>
    <w:rsid w:val="50A8A6A0"/>
    <w:rsid w:val="50A92393"/>
    <w:rsid w:val="51149D29"/>
    <w:rsid w:val="513C6345"/>
    <w:rsid w:val="5145A85B"/>
    <w:rsid w:val="51D4DE2B"/>
    <w:rsid w:val="51F23D05"/>
    <w:rsid w:val="5245B96C"/>
    <w:rsid w:val="526DD598"/>
    <w:rsid w:val="52D39C75"/>
    <w:rsid w:val="52D87A36"/>
    <w:rsid w:val="52E55597"/>
    <w:rsid w:val="537D427D"/>
    <w:rsid w:val="538736B0"/>
    <w:rsid w:val="53BE2997"/>
    <w:rsid w:val="53CA3885"/>
    <w:rsid w:val="5470EC3C"/>
    <w:rsid w:val="54E24FA1"/>
    <w:rsid w:val="54F4AA5C"/>
    <w:rsid w:val="54FEDC2A"/>
    <w:rsid w:val="552C5DE9"/>
    <w:rsid w:val="555606E4"/>
    <w:rsid w:val="55A18A87"/>
    <w:rsid w:val="565DECE8"/>
    <w:rsid w:val="56CD44A3"/>
    <w:rsid w:val="56EF0704"/>
    <w:rsid w:val="5705F78E"/>
    <w:rsid w:val="570AE4EA"/>
    <w:rsid w:val="573F53CD"/>
    <w:rsid w:val="574B4154"/>
    <w:rsid w:val="5797F18F"/>
    <w:rsid w:val="579E1432"/>
    <w:rsid w:val="582B6EF2"/>
    <w:rsid w:val="582C7D9E"/>
    <w:rsid w:val="585DB6A8"/>
    <w:rsid w:val="58802807"/>
    <w:rsid w:val="588056E3"/>
    <w:rsid w:val="58994E2C"/>
    <w:rsid w:val="595B1143"/>
    <w:rsid w:val="59A89DCF"/>
    <w:rsid w:val="59C1CF85"/>
    <w:rsid w:val="59CF64F7"/>
    <w:rsid w:val="59DA7A39"/>
    <w:rsid w:val="5A04B4F1"/>
    <w:rsid w:val="5A51EB32"/>
    <w:rsid w:val="5A7543EF"/>
    <w:rsid w:val="5A7C9BDF"/>
    <w:rsid w:val="5B22295D"/>
    <w:rsid w:val="5B404D28"/>
    <w:rsid w:val="5B494223"/>
    <w:rsid w:val="5B682A38"/>
    <w:rsid w:val="5C07A56A"/>
    <w:rsid w:val="5C3C07DE"/>
    <w:rsid w:val="5C77AFF2"/>
    <w:rsid w:val="5CAD0FC0"/>
    <w:rsid w:val="5D7B2146"/>
    <w:rsid w:val="5D9CBA9A"/>
    <w:rsid w:val="5E315E0C"/>
    <w:rsid w:val="5E823ADE"/>
    <w:rsid w:val="5E982C7B"/>
    <w:rsid w:val="5EA76953"/>
    <w:rsid w:val="5EAAEBAF"/>
    <w:rsid w:val="5EAD72FA"/>
    <w:rsid w:val="5EB42DEE"/>
    <w:rsid w:val="5EC10420"/>
    <w:rsid w:val="5F066649"/>
    <w:rsid w:val="5F3DA320"/>
    <w:rsid w:val="5F6353E5"/>
    <w:rsid w:val="5F7899DD"/>
    <w:rsid w:val="5F7CB166"/>
    <w:rsid w:val="5F9ABDD8"/>
    <w:rsid w:val="5FB8F8B9"/>
    <w:rsid w:val="5FEB642A"/>
    <w:rsid w:val="6032C88C"/>
    <w:rsid w:val="605B48B9"/>
    <w:rsid w:val="606D4E05"/>
    <w:rsid w:val="608031E5"/>
    <w:rsid w:val="609DE30F"/>
    <w:rsid w:val="611342ED"/>
    <w:rsid w:val="6141D9C2"/>
    <w:rsid w:val="619934D0"/>
    <w:rsid w:val="619A34DA"/>
    <w:rsid w:val="623674D3"/>
    <w:rsid w:val="62656DCE"/>
    <w:rsid w:val="62BEEAEA"/>
    <w:rsid w:val="62D0DD4D"/>
    <w:rsid w:val="62D8D897"/>
    <w:rsid w:val="6345454D"/>
    <w:rsid w:val="637C173B"/>
    <w:rsid w:val="639C0430"/>
    <w:rsid w:val="64182995"/>
    <w:rsid w:val="641AC860"/>
    <w:rsid w:val="649760D0"/>
    <w:rsid w:val="64A64B81"/>
    <w:rsid w:val="651CB10D"/>
    <w:rsid w:val="65445190"/>
    <w:rsid w:val="65703ECC"/>
    <w:rsid w:val="65759FE2"/>
    <w:rsid w:val="65849C9A"/>
    <w:rsid w:val="65A6CB88"/>
    <w:rsid w:val="65DBA24F"/>
    <w:rsid w:val="6600BC7D"/>
    <w:rsid w:val="6649A549"/>
    <w:rsid w:val="665A235A"/>
    <w:rsid w:val="66EE23CC"/>
    <w:rsid w:val="67063CE5"/>
    <w:rsid w:val="671298D5"/>
    <w:rsid w:val="678571E8"/>
    <w:rsid w:val="67ABF6A4"/>
    <w:rsid w:val="68182625"/>
    <w:rsid w:val="6847092F"/>
    <w:rsid w:val="68663DD9"/>
    <w:rsid w:val="687CAEB5"/>
    <w:rsid w:val="6888DF86"/>
    <w:rsid w:val="68910CBE"/>
    <w:rsid w:val="68D1BFFC"/>
    <w:rsid w:val="68D54EAA"/>
    <w:rsid w:val="690C9A54"/>
    <w:rsid w:val="690E075B"/>
    <w:rsid w:val="6914AAAC"/>
    <w:rsid w:val="691B1C17"/>
    <w:rsid w:val="6954B3DA"/>
    <w:rsid w:val="69ADECAC"/>
    <w:rsid w:val="6A77CA61"/>
    <w:rsid w:val="6A97375A"/>
    <w:rsid w:val="6B04FECD"/>
    <w:rsid w:val="6B26B9CC"/>
    <w:rsid w:val="6B9BCC80"/>
    <w:rsid w:val="6BA0A00E"/>
    <w:rsid w:val="6C0B113F"/>
    <w:rsid w:val="6C805219"/>
    <w:rsid w:val="6CD0DF45"/>
    <w:rsid w:val="6D06A985"/>
    <w:rsid w:val="6D613132"/>
    <w:rsid w:val="6E1115AC"/>
    <w:rsid w:val="6E288413"/>
    <w:rsid w:val="6E352C86"/>
    <w:rsid w:val="6E381C44"/>
    <w:rsid w:val="6EDBFD98"/>
    <w:rsid w:val="6EEDEF52"/>
    <w:rsid w:val="6F3F56D7"/>
    <w:rsid w:val="6FB5A491"/>
    <w:rsid w:val="6FCEF166"/>
    <w:rsid w:val="6FF7B249"/>
    <w:rsid w:val="7011B7E3"/>
    <w:rsid w:val="705B12F9"/>
    <w:rsid w:val="70C5A260"/>
    <w:rsid w:val="7164F904"/>
    <w:rsid w:val="716512A4"/>
    <w:rsid w:val="71C47FC0"/>
    <w:rsid w:val="7293D433"/>
    <w:rsid w:val="7296BB6B"/>
    <w:rsid w:val="730A9238"/>
    <w:rsid w:val="7323F5DB"/>
    <w:rsid w:val="737A9E2A"/>
    <w:rsid w:val="73886B17"/>
    <w:rsid w:val="73D2F81F"/>
    <w:rsid w:val="73E02F93"/>
    <w:rsid w:val="742E3378"/>
    <w:rsid w:val="74411305"/>
    <w:rsid w:val="7445E872"/>
    <w:rsid w:val="74664A0E"/>
    <w:rsid w:val="74F99327"/>
    <w:rsid w:val="751DDFB6"/>
    <w:rsid w:val="751F5DE8"/>
    <w:rsid w:val="755D9C1A"/>
    <w:rsid w:val="75745A78"/>
    <w:rsid w:val="75A7A6B1"/>
    <w:rsid w:val="75C3F643"/>
    <w:rsid w:val="75C5F462"/>
    <w:rsid w:val="7724FB2D"/>
    <w:rsid w:val="77B2D9B1"/>
    <w:rsid w:val="77F6C01F"/>
    <w:rsid w:val="78063300"/>
    <w:rsid w:val="78187A42"/>
    <w:rsid w:val="78F3E451"/>
    <w:rsid w:val="790AD81E"/>
    <w:rsid w:val="7914A2B5"/>
    <w:rsid w:val="7935BC3C"/>
    <w:rsid w:val="79505A2C"/>
    <w:rsid w:val="79C3A403"/>
    <w:rsid w:val="79DD4ACA"/>
    <w:rsid w:val="79E61706"/>
    <w:rsid w:val="7A4811F8"/>
    <w:rsid w:val="7A839FDE"/>
    <w:rsid w:val="7A8F3E7E"/>
    <w:rsid w:val="7AAD901F"/>
    <w:rsid w:val="7B5077F0"/>
    <w:rsid w:val="7B74A537"/>
    <w:rsid w:val="7B7AE1A7"/>
    <w:rsid w:val="7C20F105"/>
    <w:rsid w:val="7CC2D70E"/>
    <w:rsid w:val="7D3E9C3C"/>
    <w:rsid w:val="7D6E5387"/>
    <w:rsid w:val="7D8F8705"/>
    <w:rsid w:val="7DB59BA9"/>
    <w:rsid w:val="7DFF1BBC"/>
    <w:rsid w:val="7E23E863"/>
    <w:rsid w:val="7E3BA877"/>
    <w:rsid w:val="7F112FEF"/>
    <w:rsid w:val="7F53070D"/>
    <w:rsid w:val="7FAB8E20"/>
    <w:rsid w:val="7FB52CF5"/>
    <w:rsid w:val="7FF2BA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52420"/>
  <w15:chartTrackingRefBased/>
  <w15:docId w15:val="{7B50A2A6-6447-49A0-B159-73C83386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iPriority="10" w:unhideWhenUsed="1" w:qFormat="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nhideWhenUsed="1"/>
    <w:lsdException w:name="List Bullet 5" w:semiHidden="1" w:unhideWhenUsed="1"/>
    <w:lsdException w:name="List Number 2" w:semiHidden="1"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2495E"/>
    <w:pPr>
      <w:spacing w:after="120" w:line="360" w:lineRule="auto"/>
    </w:pPr>
    <w:rPr>
      <w:rFonts w:ascii="Arial" w:hAnsi="Arial"/>
      <w:kern w:val="0"/>
      <w:szCs w:val="24"/>
      <w14:ligatures w14:val="none"/>
    </w:rPr>
  </w:style>
  <w:style w:type="paragraph" w:styleId="Heading1">
    <w:name w:val="heading 1"/>
    <w:basedOn w:val="Normal"/>
    <w:next w:val="Normal"/>
    <w:link w:val="Heading1Char"/>
    <w:uiPriority w:val="1"/>
    <w:qFormat/>
    <w:rsid w:val="008F214B"/>
    <w:pPr>
      <w:widowControl w:val="0"/>
      <w:suppressAutoHyphens/>
      <w:autoSpaceDE w:val="0"/>
      <w:autoSpaceDN w:val="0"/>
      <w:adjustRightInd w:val="0"/>
      <w:textAlignment w:val="center"/>
      <w:outlineLvl w:val="0"/>
    </w:pPr>
    <w:rPr>
      <w:rFonts w:eastAsia="MS Mincho" w:cs="Arial"/>
      <w:color w:val="14233C"/>
      <w:sz w:val="52"/>
      <w:szCs w:val="80"/>
      <w:lang w:val="en-GB"/>
    </w:rPr>
  </w:style>
  <w:style w:type="paragraph" w:styleId="Heading2">
    <w:name w:val="heading 2"/>
    <w:basedOn w:val="Normal"/>
    <w:next w:val="Normal"/>
    <w:link w:val="Heading2Char"/>
    <w:uiPriority w:val="1"/>
    <w:unhideWhenUsed/>
    <w:qFormat/>
    <w:rsid w:val="008F214B"/>
    <w:pPr>
      <w:spacing w:before="240"/>
      <w:outlineLvl w:val="1"/>
    </w:pPr>
    <w:rPr>
      <w:rFonts w:cs="Arial"/>
      <w:bCs/>
      <w:color w:val="006B77"/>
      <w:sz w:val="32"/>
      <w:szCs w:val="40"/>
    </w:rPr>
  </w:style>
  <w:style w:type="paragraph" w:styleId="Heading3">
    <w:name w:val="heading 3"/>
    <w:basedOn w:val="Normal"/>
    <w:next w:val="Normal"/>
    <w:link w:val="Heading3Char"/>
    <w:uiPriority w:val="1"/>
    <w:unhideWhenUsed/>
    <w:qFormat/>
    <w:rsid w:val="008F214B"/>
    <w:pPr>
      <w:spacing w:before="240"/>
      <w:outlineLvl w:val="2"/>
    </w:pPr>
    <w:rPr>
      <w:rFonts w:cs="Arial"/>
      <w:bCs/>
      <w:color w:val="006B77"/>
      <w:sz w:val="28"/>
      <w:szCs w:val="28"/>
    </w:rPr>
  </w:style>
  <w:style w:type="paragraph" w:styleId="Heading4">
    <w:name w:val="heading 4"/>
    <w:basedOn w:val="Normal"/>
    <w:next w:val="Normal"/>
    <w:link w:val="Heading4Char"/>
    <w:uiPriority w:val="1"/>
    <w:unhideWhenUsed/>
    <w:qFormat/>
    <w:rsid w:val="008F214B"/>
    <w:pPr>
      <w:spacing w:before="240"/>
      <w:outlineLvl w:val="3"/>
    </w:pPr>
    <w:rPr>
      <w:rFonts w:cs="Arial"/>
      <w:b/>
      <w:bCs/>
      <w:i/>
      <w:iCs/>
      <w:color w:val="006B77"/>
      <w:szCs w:val="20"/>
    </w:rPr>
  </w:style>
  <w:style w:type="paragraph" w:styleId="Heading5">
    <w:name w:val="heading 5"/>
    <w:basedOn w:val="Normal"/>
    <w:next w:val="Normal"/>
    <w:link w:val="Heading5Char"/>
    <w:uiPriority w:val="1"/>
    <w:unhideWhenUsed/>
    <w:rsid w:val="008F214B"/>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1"/>
    <w:unhideWhenUsed/>
    <w:qFormat/>
    <w:rsid w:val="00E335BB"/>
    <w:pPr>
      <w:keepNext/>
      <w:keepLines/>
      <w:spacing w:before="40" w:after="0"/>
      <w:outlineLvl w:val="5"/>
    </w:pPr>
    <w:rPr>
      <w:rFonts w:asciiTheme="majorHAnsi" w:eastAsiaTheme="majorEastAsia" w:hAnsiTheme="majorHAnsi" w:cstheme="majorBidi"/>
      <w:color w:val="00343B" w:themeColor="accent1" w:themeShade="7F"/>
    </w:rPr>
  </w:style>
  <w:style w:type="paragraph" w:styleId="Heading7">
    <w:name w:val="heading 7"/>
    <w:basedOn w:val="Normal"/>
    <w:next w:val="Normal"/>
    <w:link w:val="Heading7Char"/>
    <w:uiPriority w:val="1"/>
    <w:semiHidden/>
    <w:qFormat/>
    <w:rsid w:val="005C29C8"/>
    <w:pPr>
      <w:keepNext/>
      <w:keepLines/>
      <w:spacing w:before="120" w:after="0"/>
      <w:outlineLvl w:val="6"/>
    </w:pPr>
    <w:rPr>
      <w:rFonts w:eastAsiaTheme="majorEastAsia" w:cstheme="majorBidi"/>
      <w:b/>
      <w:iCs/>
      <w:szCs w:val="18"/>
    </w:rPr>
  </w:style>
  <w:style w:type="paragraph" w:styleId="Heading8">
    <w:name w:val="heading 8"/>
    <w:basedOn w:val="Normal"/>
    <w:next w:val="Normal"/>
    <w:link w:val="Heading8Char"/>
    <w:uiPriority w:val="1"/>
    <w:semiHidden/>
    <w:qFormat/>
    <w:rsid w:val="005C29C8"/>
    <w:pPr>
      <w:keepNext/>
      <w:keepLines/>
      <w:spacing w:before="120"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5C29C8"/>
    <w:pPr>
      <w:keepNext/>
      <w:keepLines/>
      <w:spacing w:before="120"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214B"/>
    <w:rPr>
      <w:rFonts w:ascii="Arial" w:eastAsia="MS Mincho" w:hAnsi="Arial" w:cs="Arial"/>
      <w:color w:val="14233C"/>
      <w:kern w:val="0"/>
      <w:sz w:val="52"/>
      <w:szCs w:val="80"/>
      <w:lang w:val="en-GB"/>
      <w14:ligatures w14:val="none"/>
    </w:rPr>
  </w:style>
  <w:style w:type="character" w:customStyle="1" w:styleId="Heading2Char">
    <w:name w:val="Heading 2 Char"/>
    <w:basedOn w:val="DefaultParagraphFont"/>
    <w:link w:val="Heading2"/>
    <w:uiPriority w:val="1"/>
    <w:rsid w:val="008F214B"/>
    <w:rPr>
      <w:rFonts w:ascii="Arial" w:hAnsi="Arial" w:cs="Arial"/>
      <w:bCs/>
      <w:color w:val="006B77"/>
      <w:kern w:val="0"/>
      <w:sz w:val="32"/>
      <w:szCs w:val="40"/>
      <w14:ligatures w14:val="none"/>
    </w:rPr>
  </w:style>
  <w:style w:type="character" w:customStyle="1" w:styleId="Heading3Char">
    <w:name w:val="Heading 3 Char"/>
    <w:basedOn w:val="DefaultParagraphFont"/>
    <w:link w:val="Heading3"/>
    <w:uiPriority w:val="1"/>
    <w:rsid w:val="008F214B"/>
    <w:rPr>
      <w:rFonts w:ascii="Arial" w:hAnsi="Arial" w:cs="Arial"/>
      <w:bCs/>
      <w:color w:val="006B77"/>
      <w:kern w:val="0"/>
      <w:sz w:val="28"/>
      <w:szCs w:val="28"/>
      <w14:ligatures w14:val="none"/>
    </w:rPr>
  </w:style>
  <w:style w:type="character" w:customStyle="1" w:styleId="Heading4Char">
    <w:name w:val="Heading 4 Char"/>
    <w:basedOn w:val="DefaultParagraphFont"/>
    <w:link w:val="Heading4"/>
    <w:uiPriority w:val="1"/>
    <w:rsid w:val="008F214B"/>
    <w:rPr>
      <w:rFonts w:ascii="Arial" w:hAnsi="Arial" w:cs="Arial"/>
      <w:b/>
      <w:bCs/>
      <w:i/>
      <w:iCs/>
      <w:color w:val="006B77"/>
      <w:kern w:val="0"/>
      <w:szCs w:val="20"/>
      <w14:ligatures w14:val="none"/>
    </w:rPr>
  </w:style>
  <w:style w:type="character" w:customStyle="1" w:styleId="Heading5Char">
    <w:name w:val="Heading 5 Char"/>
    <w:basedOn w:val="DefaultParagraphFont"/>
    <w:link w:val="Heading5"/>
    <w:uiPriority w:val="1"/>
    <w:rsid w:val="008F214B"/>
    <w:rPr>
      <w:rFonts w:ascii="Arial" w:eastAsiaTheme="majorEastAsia" w:hAnsi="Arial" w:cstheme="majorBidi"/>
      <w:kern w:val="0"/>
      <w:szCs w:val="24"/>
      <w14:ligatures w14:val="none"/>
    </w:rPr>
  </w:style>
  <w:style w:type="paragraph" w:styleId="Header">
    <w:name w:val="header"/>
    <w:basedOn w:val="Normal"/>
    <w:link w:val="HeaderChar"/>
    <w:uiPriority w:val="10"/>
    <w:unhideWhenUsed/>
    <w:rsid w:val="008F214B"/>
    <w:pPr>
      <w:tabs>
        <w:tab w:val="center" w:pos="4513"/>
        <w:tab w:val="right" w:pos="9026"/>
      </w:tabs>
    </w:pPr>
  </w:style>
  <w:style w:type="character" w:customStyle="1" w:styleId="HeaderChar">
    <w:name w:val="Header Char"/>
    <w:basedOn w:val="DefaultParagraphFont"/>
    <w:link w:val="Header"/>
    <w:uiPriority w:val="10"/>
    <w:rsid w:val="008F214B"/>
    <w:rPr>
      <w:rFonts w:ascii="Arial" w:hAnsi="Arial"/>
      <w:kern w:val="0"/>
      <w:szCs w:val="24"/>
      <w14:ligatures w14:val="none"/>
    </w:rPr>
  </w:style>
  <w:style w:type="paragraph" w:styleId="Footer">
    <w:name w:val="footer"/>
    <w:basedOn w:val="Normal"/>
    <w:link w:val="FooterChar"/>
    <w:uiPriority w:val="10"/>
    <w:unhideWhenUsed/>
    <w:qFormat/>
    <w:rsid w:val="008F214B"/>
    <w:pPr>
      <w:tabs>
        <w:tab w:val="center" w:pos="4513"/>
        <w:tab w:val="right" w:pos="9026"/>
      </w:tabs>
    </w:pPr>
  </w:style>
  <w:style w:type="character" w:customStyle="1" w:styleId="FooterChar">
    <w:name w:val="Footer Char"/>
    <w:basedOn w:val="DefaultParagraphFont"/>
    <w:link w:val="Footer"/>
    <w:uiPriority w:val="10"/>
    <w:rsid w:val="008F214B"/>
    <w:rPr>
      <w:rFonts w:ascii="Arial" w:hAnsi="Arial"/>
      <w:kern w:val="0"/>
      <w:szCs w:val="24"/>
      <w14:ligatures w14:val="none"/>
    </w:rPr>
  </w:style>
  <w:style w:type="paragraph" w:styleId="NormalWeb">
    <w:name w:val="Normal (Web)"/>
    <w:basedOn w:val="Normal"/>
    <w:uiPriority w:val="99"/>
    <w:unhideWhenUsed/>
    <w:rsid w:val="008F214B"/>
    <w:pPr>
      <w:spacing w:before="100" w:beforeAutospacing="1" w:after="100" w:afterAutospacing="1"/>
    </w:pPr>
    <w:rPr>
      <w:rFonts w:ascii="Times New Roman" w:hAnsi="Times New Roman" w:cs="Times New Roman"/>
      <w:lang w:eastAsia="en-AU"/>
    </w:rPr>
  </w:style>
  <w:style w:type="paragraph" w:styleId="NoSpacing">
    <w:name w:val="No Spacing"/>
    <w:qFormat/>
    <w:rsid w:val="008F214B"/>
    <w:pPr>
      <w:spacing w:after="0" w:line="240" w:lineRule="auto"/>
    </w:pPr>
    <w:rPr>
      <w:rFonts w:ascii="Arial" w:hAnsi="Arial"/>
      <w:kern w:val="0"/>
      <w:szCs w:val="24"/>
      <w14:ligatures w14:val="none"/>
    </w:rPr>
  </w:style>
  <w:style w:type="paragraph" w:styleId="ListParagraph">
    <w:name w:val="List Paragraph"/>
    <w:aliases w:val="Bullet copy,List Paragraph Number,Bullet point,Recommendation,List Paragraph1,List Paragraph11,L,bullet point list,Bulletr List Paragraph,FooterText,List Paragraph2,List Paragraph21,Listeafsnit1,NFP GP Bulleted List,Paragraphe de liste1,列"/>
    <w:basedOn w:val="Normal"/>
    <w:link w:val="ListParagraphChar"/>
    <w:uiPriority w:val="34"/>
    <w:qFormat/>
    <w:rsid w:val="00F30039"/>
    <w:pPr>
      <w:numPr>
        <w:numId w:val="116"/>
      </w:numPr>
      <w:tabs>
        <w:tab w:val="left" w:pos="2835"/>
      </w:tabs>
    </w:pPr>
  </w:style>
  <w:style w:type="paragraph" w:styleId="Title">
    <w:name w:val="Title"/>
    <w:basedOn w:val="Normal"/>
    <w:next w:val="Normal"/>
    <w:link w:val="TitleChar"/>
    <w:uiPriority w:val="10"/>
    <w:qFormat/>
    <w:rsid w:val="008F214B"/>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F214B"/>
    <w:rPr>
      <w:rFonts w:ascii="Arial" w:eastAsiaTheme="majorEastAsia" w:hAnsi="Arial" w:cstheme="majorBidi"/>
      <w:spacing w:val="-10"/>
      <w:kern w:val="28"/>
      <w:sz w:val="56"/>
      <w:szCs w:val="56"/>
      <w14:ligatures w14:val="none"/>
    </w:rPr>
  </w:style>
  <w:style w:type="paragraph" w:styleId="Subtitle">
    <w:name w:val="Subtitle"/>
    <w:basedOn w:val="Normal"/>
    <w:next w:val="Normal"/>
    <w:link w:val="SubtitleChar"/>
    <w:uiPriority w:val="11"/>
    <w:qFormat/>
    <w:rsid w:val="008F214B"/>
    <w:pPr>
      <w:numPr>
        <w:ilvl w:val="1"/>
      </w:numPr>
      <w:spacing w:after="160"/>
    </w:pPr>
    <w:rPr>
      <w:rFonts w:eastAsiaTheme="minorEastAsia"/>
      <w:spacing w:val="15"/>
      <w:szCs w:val="22"/>
    </w:rPr>
  </w:style>
  <w:style w:type="character" w:customStyle="1" w:styleId="SubtitleChar">
    <w:name w:val="Subtitle Char"/>
    <w:basedOn w:val="DefaultParagraphFont"/>
    <w:link w:val="Subtitle"/>
    <w:uiPriority w:val="11"/>
    <w:rsid w:val="008F214B"/>
    <w:rPr>
      <w:rFonts w:ascii="Arial" w:eastAsiaTheme="minorEastAsia" w:hAnsi="Arial"/>
      <w:spacing w:val="15"/>
      <w:kern w:val="0"/>
      <w14:ligatures w14:val="none"/>
    </w:rPr>
  </w:style>
  <w:style w:type="character" w:styleId="SubtleEmphasis">
    <w:name w:val="Subtle Emphasis"/>
    <w:basedOn w:val="DefaultParagraphFont"/>
    <w:uiPriority w:val="99"/>
    <w:qFormat/>
    <w:rsid w:val="008F214B"/>
    <w:rPr>
      <w:i/>
      <w:iCs/>
      <w:color w:val="404040" w:themeColor="text1" w:themeTint="BF"/>
    </w:rPr>
  </w:style>
  <w:style w:type="character" w:styleId="Emphasis">
    <w:name w:val="Emphasis"/>
    <w:basedOn w:val="DefaultParagraphFont"/>
    <w:uiPriority w:val="20"/>
    <w:qFormat/>
    <w:rsid w:val="008F214B"/>
    <w:rPr>
      <w:i/>
      <w:iCs/>
    </w:rPr>
  </w:style>
  <w:style w:type="character" w:styleId="IntenseEmphasis">
    <w:name w:val="Intense Emphasis"/>
    <w:basedOn w:val="DefaultParagraphFont"/>
    <w:uiPriority w:val="21"/>
    <w:qFormat/>
    <w:rsid w:val="008F214B"/>
    <w:rPr>
      <w:i/>
      <w:iCs/>
      <w:color w:val="auto"/>
    </w:rPr>
  </w:style>
  <w:style w:type="character" w:styleId="Strong">
    <w:name w:val="Strong"/>
    <w:basedOn w:val="DefaultParagraphFont"/>
    <w:uiPriority w:val="22"/>
    <w:qFormat/>
    <w:rsid w:val="008F214B"/>
    <w:rPr>
      <w:b/>
      <w:bCs/>
    </w:rPr>
  </w:style>
  <w:style w:type="paragraph" w:styleId="Quote">
    <w:name w:val="Quote"/>
    <w:basedOn w:val="Normal"/>
    <w:next w:val="Normal"/>
    <w:link w:val="QuoteChar"/>
    <w:uiPriority w:val="29"/>
    <w:qFormat/>
    <w:rsid w:val="008F214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214B"/>
    <w:rPr>
      <w:rFonts w:ascii="Arial" w:hAnsi="Arial"/>
      <w:i/>
      <w:iCs/>
      <w:color w:val="404040" w:themeColor="text1" w:themeTint="BF"/>
      <w:kern w:val="0"/>
      <w:szCs w:val="24"/>
      <w14:ligatures w14:val="none"/>
    </w:rPr>
  </w:style>
  <w:style w:type="paragraph" w:styleId="IntenseQuote">
    <w:name w:val="Intense Quote"/>
    <w:basedOn w:val="Normal"/>
    <w:next w:val="Normal"/>
    <w:link w:val="IntenseQuoteChar"/>
    <w:uiPriority w:val="30"/>
    <w:rsid w:val="008F214B"/>
    <w:pPr>
      <w:pBdr>
        <w:top w:val="single" w:sz="4" w:space="10" w:color="006B77" w:themeColor="accent1"/>
        <w:bottom w:val="single" w:sz="4" w:space="10" w:color="006B77"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F214B"/>
    <w:rPr>
      <w:rFonts w:ascii="Arial" w:hAnsi="Arial"/>
      <w:i/>
      <w:iCs/>
      <w:kern w:val="0"/>
      <w:szCs w:val="24"/>
      <w14:ligatures w14:val="none"/>
    </w:rPr>
  </w:style>
  <w:style w:type="character" w:styleId="SubtleReference">
    <w:name w:val="Subtle Reference"/>
    <w:basedOn w:val="DefaultParagraphFont"/>
    <w:uiPriority w:val="99"/>
    <w:qFormat/>
    <w:rsid w:val="008F214B"/>
    <w:rPr>
      <w:smallCaps/>
      <w:color w:val="5A5A5A" w:themeColor="text1" w:themeTint="A5"/>
    </w:rPr>
  </w:style>
  <w:style w:type="character" w:styleId="IntenseReference">
    <w:name w:val="Intense Reference"/>
    <w:basedOn w:val="DefaultParagraphFont"/>
    <w:uiPriority w:val="99"/>
    <w:qFormat/>
    <w:rsid w:val="008F214B"/>
    <w:rPr>
      <w:b/>
      <w:bCs/>
      <w:smallCaps/>
      <w:color w:val="auto"/>
      <w:spacing w:val="5"/>
    </w:rPr>
  </w:style>
  <w:style w:type="character" w:styleId="BookTitle">
    <w:name w:val="Book Title"/>
    <w:basedOn w:val="DefaultParagraphFont"/>
    <w:uiPriority w:val="99"/>
    <w:qFormat/>
    <w:rsid w:val="008F214B"/>
    <w:rPr>
      <w:b/>
      <w:bCs/>
      <w:i/>
      <w:iCs/>
      <w:spacing w:val="5"/>
    </w:rPr>
  </w:style>
  <w:style w:type="character" w:styleId="PageNumber">
    <w:name w:val="page number"/>
    <w:basedOn w:val="DefaultParagraphFont"/>
    <w:uiPriority w:val="10"/>
    <w:semiHidden/>
    <w:unhideWhenUsed/>
    <w:rsid w:val="008F214B"/>
  </w:style>
  <w:style w:type="paragraph" w:customStyle="1" w:styleId="Title1">
    <w:name w:val="Title 1"/>
    <w:basedOn w:val="Heading1"/>
    <w:qFormat/>
    <w:rsid w:val="008F214B"/>
    <w:pPr>
      <w:spacing w:after="0" w:line="240" w:lineRule="auto"/>
    </w:pPr>
    <w:rPr>
      <w:sz w:val="80"/>
    </w:rPr>
  </w:style>
  <w:style w:type="paragraph" w:customStyle="1" w:styleId="Title2">
    <w:name w:val="Title 2"/>
    <w:basedOn w:val="Heading2"/>
    <w:qFormat/>
    <w:rsid w:val="008F214B"/>
    <w:pPr>
      <w:spacing w:before="0" w:line="240" w:lineRule="auto"/>
    </w:pPr>
    <w:rPr>
      <w:sz w:val="36"/>
    </w:rPr>
  </w:style>
  <w:style w:type="paragraph" w:styleId="EndnoteText">
    <w:name w:val="endnote text"/>
    <w:basedOn w:val="Normal"/>
    <w:link w:val="EndnoteTextChar"/>
    <w:uiPriority w:val="99"/>
    <w:semiHidden/>
    <w:unhideWhenUsed/>
    <w:rsid w:val="008F21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214B"/>
    <w:rPr>
      <w:rFonts w:ascii="Arial" w:hAnsi="Arial"/>
      <w:kern w:val="0"/>
      <w:sz w:val="20"/>
      <w:szCs w:val="20"/>
      <w14:ligatures w14:val="none"/>
    </w:rPr>
  </w:style>
  <w:style w:type="character" w:styleId="EndnoteReference">
    <w:name w:val="endnote reference"/>
    <w:basedOn w:val="DefaultParagraphFont"/>
    <w:uiPriority w:val="99"/>
    <w:semiHidden/>
    <w:unhideWhenUsed/>
    <w:rsid w:val="008F214B"/>
    <w:rPr>
      <w:vertAlign w:val="superscript"/>
    </w:rPr>
  </w:style>
  <w:style w:type="paragraph" w:styleId="FootnoteText">
    <w:name w:val="footnote text"/>
    <w:basedOn w:val="Normal"/>
    <w:link w:val="FootnoteTextChar"/>
    <w:uiPriority w:val="99"/>
    <w:unhideWhenUsed/>
    <w:rsid w:val="008F214B"/>
    <w:pPr>
      <w:spacing w:after="0" w:line="240" w:lineRule="auto"/>
    </w:pPr>
    <w:rPr>
      <w:sz w:val="20"/>
      <w:szCs w:val="20"/>
    </w:rPr>
  </w:style>
  <w:style w:type="character" w:customStyle="1" w:styleId="FootnoteTextChar">
    <w:name w:val="Footnote Text Char"/>
    <w:basedOn w:val="DefaultParagraphFont"/>
    <w:link w:val="FootnoteText"/>
    <w:uiPriority w:val="99"/>
    <w:rsid w:val="008F214B"/>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8F214B"/>
    <w:rPr>
      <w:vertAlign w:val="superscript"/>
    </w:rPr>
  </w:style>
  <w:style w:type="character" w:styleId="Hyperlink">
    <w:name w:val="Hyperlink"/>
    <w:basedOn w:val="DefaultParagraphFont"/>
    <w:uiPriority w:val="99"/>
    <w:unhideWhenUsed/>
    <w:rsid w:val="008F214B"/>
    <w:rPr>
      <w:color w:val="006B77" w:themeColor="hyperlink"/>
      <w:u w:val="single"/>
    </w:rPr>
  </w:style>
  <w:style w:type="character" w:styleId="UnresolvedMention">
    <w:name w:val="Unresolved Mention"/>
    <w:basedOn w:val="DefaultParagraphFont"/>
    <w:uiPriority w:val="99"/>
    <w:rsid w:val="008F214B"/>
    <w:rPr>
      <w:color w:val="605E5C"/>
      <w:shd w:val="clear" w:color="auto" w:fill="E1DFDD"/>
    </w:rPr>
  </w:style>
  <w:style w:type="table" w:styleId="TableGrid">
    <w:name w:val="Table Grid"/>
    <w:aliases w:val="Box"/>
    <w:basedOn w:val="TableNormal"/>
    <w:uiPriority w:val="99"/>
    <w:rsid w:val="008F214B"/>
    <w:pPr>
      <w:spacing w:after="0" w:line="240" w:lineRule="auto"/>
    </w:pPr>
    <w:rPr>
      <w:rFonts w:eastAsiaTheme="minorEastAsia"/>
      <w:sz w:val="24"/>
      <w:szCs w:val="30"/>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F214B"/>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color w:val="004F59" w:themeColor="accent1" w:themeShade="BF"/>
      <w:sz w:val="32"/>
      <w:szCs w:val="32"/>
      <w:lang w:val="en-US"/>
    </w:rPr>
  </w:style>
  <w:style w:type="paragraph" w:styleId="TOC1">
    <w:name w:val="toc 1"/>
    <w:basedOn w:val="Normal"/>
    <w:next w:val="Normal"/>
    <w:autoRedefine/>
    <w:uiPriority w:val="39"/>
    <w:unhideWhenUsed/>
    <w:rsid w:val="008F214B"/>
    <w:pPr>
      <w:spacing w:after="100"/>
    </w:pPr>
  </w:style>
  <w:style w:type="paragraph" w:styleId="TOC2">
    <w:name w:val="toc 2"/>
    <w:basedOn w:val="Normal"/>
    <w:next w:val="Normal"/>
    <w:autoRedefine/>
    <w:uiPriority w:val="39"/>
    <w:unhideWhenUsed/>
    <w:rsid w:val="008F214B"/>
    <w:pPr>
      <w:spacing w:after="100"/>
      <w:ind w:left="220"/>
    </w:pPr>
  </w:style>
  <w:style w:type="paragraph" w:styleId="TOC3">
    <w:name w:val="toc 3"/>
    <w:basedOn w:val="Normal"/>
    <w:next w:val="Normal"/>
    <w:autoRedefine/>
    <w:uiPriority w:val="39"/>
    <w:unhideWhenUsed/>
    <w:rsid w:val="008F214B"/>
    <w:pPr>
      <w:spacing w:after="100"/>
      <w:ind w:left="440"/>
    </w:pPr>
  </w:style>
  <w:style w:type="table" w:styleId="GridTable1Light">
    <w:name w:val="Grid Table 1 Light"/>
    <w:basedOn w:val="TableNormal"/>
    <w:uiPriority w:val="46"/>
    <w:rsid w:val="008F214B"/>
    <w:pPr>
      <w:spacing w:after="0" w:line="240" w:lineRule="auto"/>
    </w:pPr>
    <w:rPr>
      <w:kern w:val="0"/>
      <w:sz w:val="24"/>
      <w:szCs w:val="24"/>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F214B"/>
    <w:rPr>
      <w:sz w:val="16"/>
      <w:szCs w:val="16"/>
    </w:rPr>
  </w:style>
  <w:style w:type="paragraph" w:styleId="CommentText">
    <w:name w:val="annotation text"/>
    <w:basedOn w:val="Normal"/>
    <w:link w:val="CommentTextChar"/>
    <w:uiPriority w:val="99"/>
    <w:unhideWhenUsed/>
    <w:rsid w:val="008F214B"/>
    <w:pPr>
      <w:spacing w:line="240" w:lineRule="auto"/>
    </w:pPr>
    <w:rPr>
      <w:sz w:val="20"/>
      <w:szCs w:val="20"/>
    </w:rPr>
  </w:style>
  <w:style w:type="character" w:customStyle="1" w:styleId="CommentTextChar">
    <w:name w:val="Comment Text Char"/>
    <w:basedOn w:val="DefaultParagraphFont"/>
    <w:link w:val="CommentText"/>
    <w:uiPriority w:val="99"/>
    <w:rsid w:val="008F214B"/>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F214B"/>
    <w:rPr>
      <w:b/>
      <w:bCs/>
    </w:rPr>
  </w:style>
  <w:style w:type="character" w:customStyle="1" w:styleId="CommentSubjectChar">
    <w:name w:val="Comment Subject Char"/>
    <w:basedOn w:val="CommentTextChar"/>
    <w:link w:val="CommentSubject"/>
    <w:uiPriority w:val="99"/>
    <w:semiHidden/>
    <w:rsid w:val="008F214B"/>
    <w:rPr>
      <w:rFonts w:ascii="Arial" w:hAnsi="Arial"/>
      <w:b/>
      <w:bCs/>
      <w:kern w:val="0"/>
      <w:sz w:val="20"/>
      <w:szCs w:val="20"/>
      <w14:ligatures w14:val="none"/>
    </w:rPr>
  </w:style>
  <w:style w:type="character" w:styleId="Mention">
    <w:name w:val="Mention"/>
    <w:basedOn w:val="DefaultParagraphFont"/>
    <w:uiPriority w:val="99"/>
    <w:rsid w:val="008F214B"/>
    <w:rPr>
      <w:color w:val="2B579A"/>
      <w:shd w:val="clear" w:color="auto" w:fill="E1DFDD"/>
    </w:rPr>
  </w:style>
  <w:style w:type="character" w:customStyle="1" w:styleId="ListParagraphChar">
    <w:name w:val="List Paragraph Char"/>
    <w:aliases w:val="Bullet copy Char,List Paragraph Number Char,Bullet point Char,Recommendation Char,List Paragraph1 Char,List Paragraph11 Char,L Char,bullet point list Char,Bulletr List Paragraph Char,FooterText Char,List Paragraph2 Char,列 Char"/>
    <w:basedOn w:val="DefaultParagraphFont"/>
    <w:link w:val="ListParagraph"/>
    <w:uiPriority w:val="34"/>
    <w:qFormat/>
    <w:locked/>
    <w:rsid w:val="008F214B"/>
    <w:rPr>
      <w:rFonts w:ascii="Arial" w:hAnsi="Arial"/>
      <w:kern w:val="0"/>
      <w:szCs w:val="24"/>
      <w14:ligatures w14:val="none"/>
    </w:rPr>
  </w:style>
  <w:style w:type="character" w:customStyle="1" w:styleId="cf01">
    <w:name w:val="cf01"/>
    <w:basedOn w:val="DefaultParagraphFont"/>
    <w:rsid w:val="008F214B"/>
    <w:rPr>
      <w:rFonts w:ascii="Segoe UI" w:hAnsi="Segoe UI" w:cs="Segoe UI" w:hint="default"/>
      <w:sz w:val="18"/>
      <w:szCs w:val="18"/>
    </w:rPr>
  </w:style>
  <w:style w:type="character" w:customStyle="1" w:styleId="cf11">
    <w:name w:val="cf11"/>
    <w:basedOn w:val="DefaultParagraphFont"/>
    <w:rsid w:val="008F214B"/>
    <w:rPr>
      <w:rFonts w:ascii="Segoe UI" w:hAnsi="Segoe UI" w:cs="Segoe UI" w:hint="default"/>
      <w:i/>
      <w:iCs/>
      <w:sz w:val="18"/>
      <w:szCs w:val="18"/>
    </w:rPr>
  </w:style>
  <w:style w:type="paragraph" w:styleId="Revision">
    <w:name w:val="Revision"/>
    <w:hidden/>
    <w:uiPriority w:val="99"/>
    <w:semiHidden/>
    <w:rsid w:val="008F214B"/>
    <w:pPr>
      <w:spacing w:after="0" w:line="240" w:lineRule="auto"/>
    </w:pPr>
    <w:rPr>
      <w:rFonts w:ascii="Arial" w:hAnsi="Arial"/>
      <w:kern w:val="0"/>
      <w:szCs w:val="24"/>
      <w14:ligatures w14:val="none"/>
    </w:rPr>
  </w:style>
  <w:style w:type="paragraph" w:styleId="Caption">
    <w:name w:val="caption"/>
    <w:basedOn w:val="Normal"/>
    <w:next w:val="Normal"/>
    <w:uiPriority w:val="3"/>
    <w:unhideWhenUsed/>
    <w:qFormat/>
    <w:rsid w:val="005A0F3E"/>
    <w:pPr>
      <w:keepNext/>
      <w:spacing w:after="200" w:line="240" w:lineRule="auto"/>
    </w:pPr>
    <w:rPr>
      <w:i/>
      <w:iCs/>
      <w:color w:val="14233C" w:themeColor="text2"/>
      <w:sz w:val="18"/>
      <w:szCs w:val="18"/>
    </w:rPr>
  </w:style>
  <w:style w:type="table" w:styleId="ListTable3-Accent1">
    <w:name w:val="List Table 3 Accent 1"/>
    <w:basedOn w:val="TableNormal"/>
    <w:uiPriority w:val="48"/>
    <w:rsid w:val="00AF1100"/>
    <w:pPr>
      <w:spacing w:after="0" w:line="240" w:lineRule="auto"/>
    </w:pPr>
    <w:tblPr>
      <w:tblStyleRowBandSize w:val="1"/>
      <w:tblStyleColBandSize w:val="1"/>
      <w:tblBorders>
        <w:top w:val="single" w:sz="4" w:space="0" w:color="006B77" w:themeColor="accent1"/>
        <w:left w:val="single" w:sz="4" w:space="0" w:color="006B77" w:themeColor="accent1"/>
        <w:bottom w:val="single" w:sz="4" w:space="0" w:color="006B77" w:themeColor="accent1"/>
        <w:right w:val="single" w:sz="4" w:space="0" w:color="006B77" w:themeColor="accent1"/>
      </w:tblBorders>
    </w:tblPr>
    <w:tblStylePr w:type="firstRow">
      <w:rPr>
        <w:b/>
        <w:bCs/>
        <w:color w:val="FFFFFF" w:themeColor="background1"/>
      </w:rPr>
      <w:tblPr/>
      <w:tcPr>
        <w:shd w:val="clear" w:color="auto" w:fill="006B77" w:themeFill="accent1"/>
      </w:tcPr>
    </w:tblStylePr>
    <w:tblStylePr w:type="lastRow">
      <w:rPr>
        <w:b/>
        <w:bCs/>
      </w:rPr>
      <w:tblPr/>
      <w:tcPr>
        <w:tcBorders>
          <w:top w:val="double" w:sz="4" w:space="0" w:color="006B7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B77" w:themeColor="accent1"/>
          <w:right w:val="single" w:sz="4" w:space="0" w:color="006B77" w:themeColor="accent1"/>
        </w:tcBorders>
      </w:tcPr>
    </w:tblStylePr>
    <w:tblStylePr w:type="band1Horz">
      <w:tblPr/>
      <w:tcPr>
        <w:tcBorders>
          <w:top w:val="single" w:sz="4" w:space="0" w:color="006B77" w:themeColor="accent1"/>
          <w:bottom w:val="single" w:sz="4" w:space="0" w:color="006B7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B77" w:themeColor="accent1"/>
          <w:left w:val="nil"/>
        </w:tcBorders>
      </w:tcPr>
    </w:tblStylePr>
    <w:tblStylePr w:type="swCell">
      <w:tblPr/>
      <w:tcPr>
        <w:tcBorders>
          <w:top w:val="double" w:sz="4" w:space="0" w:color="006B77" w:themeColor="accent1"/>
          <w:right w:val="nil"/>
        </w:tcBorders>
      </w:tcPr>
    </w:tblStylePr>
  </w:style>
  <w:style w:type="table" w:styleId="ListTable3">
    <w:name w:val="List Table 3"/>
    <w:basedOn w:val="TableNormal"/>
    <w:uiPriority w:val="48"/>
    <w:rsid w:val="001329C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FollowedHyperlink">
    <w:name w:val="FollowedHyperlink"/>
    <w:basedOn w:val="DefaultParagraphFont"/>
    <w:uiPriority w:val="99"/>
    <w:semiHidden/>
    <w:unhideWhenUsed/>
    <w:rsid w:val="007018FF"/>
    <w:rPr>
      <w:color w:val="A12068" w:themeColor="followedHyperlink"/>
      <w:u w:val="single"/>
    </w:rPr>
  </w:style>
  <w:style w:type="table" w:styleId="GridTable1Light-Accent1">
    <w:name w:val="Grid Table 1 Light Accent 1"/>
    <w:basedOn w:val="TableNormal"/>
    <w:uiPriority w:val="46"/>
    <w:rsid w:val="00182A59"/>
    <w:pPr>
      <w:spacing w:after="0" w:line="240" w:lineRule="auto"/>
    </w:pPr>
    <w:tblPr>
      <w:tblStyleRowBandSize w:val="1"/>
      <w:tblStyleColBandSize w:val="1"/>
      <w:tblBorders>
        <w:top w:val="single" w:sz="4" w:space="0" w:color="62EFFF" w:themeColor="accent1" w:themeTint="66"/>
        <w:left w:val="single" w:sz="4" w:space="0" w:color="62EFFF" w:themeColor="accent1" w:themeTint="66"/>
        <w:bottom w:val="single" w:sz="4" w:space="0" w:color="62EFFF" w:themeColor="accent1" w:themeTint="66"/>
        <w:right w:val="single" w:sz="4" w:space="0" w:color="62EFFF" w:themeColor="accent1" w:themeTint="66"/>
        <w:insideH w:val="single" w:sz="4" w:space="0" w:color="62EFFF" w:themeColor="accent1" w:themeTint="66"/>
        <w:insideV w:val="single" w:sz="4" w:space="0" w:color="62EFFF" w:themeColor="accent1" w:themeTint="66"/>
      </w:tblBorders>
    </w:tblPr>
    <w:tblStylePr w:type="firstRow">
      <w:rPr>
        <w:b/>
        <w:bCs/>
      </w:rPr>
      <w:tblPr/>
      <w:tcPr>
        <w:tcBorders>
          <w:bottom w:val="single" w:sz="12" w:space="0" w:color="14E7FF" w:themeColor="accent1" w:themeTint="99"/>
        </w:tcBorders>
      </w:tcPr>
    </w:tblStylePr>
    <w:tblStylePr w:type="lastRow">
      <w:rPr>
        <w:b/>
        <w:bCs/>
      </w:rPr>
      <w:tblPr/>
      <w:tcPr>
        <w:tcBorders>
          <w:top w:val="double" w:sz="2" w:space="0" w:color="14E7FF"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D29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1">
    <w:name w:val="pf1"/>
    <w:basedOn w:val="Normal"/>
    <w:rsid w:val="007C516A"/>
    <w:pPr>
      <w:spacing w:before="100" w:beforeAutospacing="1" w:after="100" w:afterAutospacing="1" w:line="240" w:lineRule="auto"/>
      <w:ind w:left="360"/>
    </w:pPr>
    <w:rPr>
      <w:rFonts w:ascii="Times New Roman" w:eastAsia="Times New Roman" w:hAnsi="Times New Roman" w:cs="Times New Roman"/>
      <w:sz w:val="24"/>
      <w:lang w:eastAsia="en-AU"/>
    </w:rPr>
  </w:style>
  <w:style w:type="paragraph" w:customStyle="1" w:styleId="pf0">
    <w:name w:val="pf0"/>
    <w:basedOn w:val="Normal"/>
    <w:rsid w:val="007C516A"/>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cf21">
    <w:name w:val="cf21"/>
    <w:basedOn w:val="DefaultParagraphFont"/>
    <w:rsid w:val="007C516A"/>
    <w:rPr>
      <w:rFonts w:ascii="Segoe UI" w:hAnsi="Segoe UI" w:cs="Segoe UI" w:hint="default"/>
      <w:sz w:val="18"/>
      <w:szCs w:val="18"/>
    </w:rPr>
  </w:style>
  <w:style w:type="character" w:customStyle="1" w:styleId="normaltextrun">
    <w:name w:val="normaltextrun"/>
    <w:basedOn w:val="DefaultParagraphFont"/>
    <w:uiPriority w:val="1"/>
    <w:rsid w:val="00D1136E"/>
    <w:rPr>
      <w:rFonts w:asciiTheme="minorHAnsi" w:eastAsiaTheme="minorEastAsia" w:hAnsiTheme="minorHAnsi" w:cstheme="minorBidi" w:hint="default"/>
      <w:sz w:val="22"/>
      <w:szCs w:val="22"/>
    </w:rPr>
  </w:style>
  <w:style w:type="table" w:customStyle="1" w:styleId="Box1">
    <w:name w:val="Box1"/>
    <w:basedOn w:val="TableNormal"/>
    <w:next w:val="TableGrid"/>
    <w:uiPriority w:val="99"/>
    <w:rsid w:val="00540C10"/>
    <w:pPr>
      <w:spacing w:after="0" w:line="240" w:lineRule="atLeast"/>
    </w:pPr>
    <w:rPr>
      <w:rFonts w:ascii="Verdana" w:hAnsi="Verdana"/>
      <w:kern w:val="0"/>
      <w:sz w:val="18"/>
      <w:szCs w:val="18"/>
      <w:lang w:val="en-GB"/>
      <w14:ligatures w14:val="none"/>
    </w:rPr>
    <w:tblPr>
      <w:tblCellMar>
        <w:top w:w="57" w:type="dxa"/>
        <w:left w:w="57" w:type="dxa"/>
        <w:bottom w:w="57" w:type="dxa"/>
        <w:right w:w="57" w:type="dxa"/>
      </w:tblCellMar>
    </w:tblPr>
    <w:tcPr>
      <w:shd w:val="clear" w:color="auto" w:fill="FFF2CC"/>
    </w:tcPr>
    <w:tblStylePr w:type="firstRow">
      <w:rPr>
        <w:color w:val="auto"/>
      </w:rPr>
      <w:tblPr/>
      <w:tcPr>
        <w:tcBorders>
          <w:top w:val="nil"/>
          <w:left w:val="nil"/>
          <w:bottom w:val="nil"/>
          <w:right w:val="nil"/>
          <w:insideH w:val="nil"/>
          <w:insideV w:val="nil"/>
          <w:tl2br w:val="nil"/>
          <w:tr2bl w:val="nil"/>
        </w:tcBorders>
      </w:tcPr>
    </w:tblStylePr>
  </w:style>
  <w:style w:type="paragraph" w:styleId="ListBullet">
    <w:name w:val="List Bullet"/>
    <w:basedOn w:val="Normal"/>
    <w:uiPriority w:val="3"/>
    <w:qFormat/>
    <w:rsid w:val="00540C10"/>
    <w:pPr>
      <w:numPr>
        <w:numId w:val="66"/>
      </w:numPr>
      <w:spacing w:before="120"/>
      <w:contextualSpacing/>
    </w:pPr>
    <w:rPr>
      <w:szCs w:val="17"/>
    </w:rPr>
  </w:style>
  <w:style w:type="paragraph" w:customStyle="1" w:styleId="Quote1">
    <w:name w:val="Quote1"/>
    <w:basedOn w:val="Normal"/>
    <w:qFormat/>
    <w:rsid w:val="009F5D8B"/>
    <w:pPr>
      <w:spacing w:before="120"/>
      <w:ind w:left="227" w:right="227"/>
    </w:pPr>
    <w:rPr>
      <w:i/>
      <w:color w:val="A12068" w:themeColor="accent2"/>
      <w:szCs w:val="18"/>
      <w:lang w:val="en-GB"/>
    </w:rPr>
  </w:style>
  <w:style w:type="character" w:customStyle="1" w:styleId="Heading6Char">
    <w:name w:val="Heading 6 Char"/>
    <w:basedOn w:val="DefaultParagraphFont"/>
    <w:link w:val="Heading6"/>
    <w:uiPriority w:val="1"/>
    <w:rsid w:val="00E335BB"/>
    <w:rPr>
      <w:rFonts w:asciiTheme="majorHAnsi" w:eastAsiaTheme="majorEastAsia" w:hAnsiTheme="majorHAnsi" w:cstheme="majorBidi"/>
      <w:color w:val="00343B" w:themeColor="accent1" w:themeShade="7F"/>
      <w:kern w:val="0"/>
      <w:szCs w:val="24"/>
      <w14:ligatures w14:val="none"/>
    </w:rPr>
  </w:style>
  <w:style w:type="table" w:customStyle="1" w:styleId="Style1">
    <w:name w:val="Style1"/>
    <w:basedOn w:val="TableNormal"/>
    <w:uiPriority w:val="99"/>
    <w:rsid w:val="00D5148E"/>
    <w:pPr>
      <w:spacing w:after="0" w:line="240" w:lineRule="auto"/>
    </w:pPr>
    <w:rPr>
      <w:sz w:val="20"/>
    </w:rPr>
    <w:tblPr>
      <w:tblBorders>
        <w:top w:val="single" w:sz="24" w:space="0" w:color="006B77" w:themeColor="background2"/>
        <w:bottom w:val="single" w:sz="24" w:space="0" w:color="006B77" w:themeColor="background2"/>
        <w:insideH w:val="single" w:sz="2" w:space="0" w:color="006B77" w:themeColor="background2"/>
      </w:tblBorders>
      <w:tblCellMar>
        <w:left w:w="85" w:type="dxa"/>
        <w:right w:w="85" w:type="dxa"/>
      </w:tblCellMar>
    </w:tblPr>
    <w:trPr>
      <w:tblHeader/>
    </w:trPr>
    <w:tcPr>
      <w:vAlign w:val="center"/>
    </w:tcPr>
  </w:style>
  <w:style w:type="character" w:customStyle="1" w:styleId="eop">
    <w:name w:val="eop"/>
    <w:basedOn w:val="DefaultParagraphFont"/>
    <w:rsid w:val="0053765E"/>
  </w:style>
  <w:style w:type="table" w:customStyle="1" w:styleId="Deloittetable">
    <w:name w:val="Deloitte table"/>
    <w:basedOn w:val="TableNormal"/>
    <w:uiPriority w:val="99"/>
    <w:rsid w:val="00134076"/>
    <w:pPr>
      <w:spacing w:after="0" w:line="240" w:lineRule="atLeast"/>
    </w:pPr>
    <w:rPr>
      <w:rFonts w:ascii="Verdana" w:hAnsi="Verdana"/>
      <w:kern w:val="0"/>
      <w:sz w:val="17"/>
      <w:szCs w:val="18"/>
      <w:lang w:val="en-GB"/>
      <w14:ligatures w14:val="none"/>
    </w:rPr>
    <w:tblPr>
      <w:tblBorders>
        <w:top w:val="single" w:sz="4" w:space="0" w:color="FFC000"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FFC000" w:themeColor="accent3"/>
        </w:tcBorders>
      </w:tcPr>
    </w:tblStylePr>
  </w:style>
  <w:style w:type="paragraph" w:customStyle="1" w:styleId="TabletextLeft">
    <w:name w:val="Table text Left"/>
    <w:basedOn w:val="Normal"/>
    <w:uiPriority w:val="5"/>
    <w:rsid w:val="002D6517"/>
    <w:pPr>
      <w:spacing w:before="120" w:line="240" w:lineRule="auto"/>
      <w:ind w:left="57" w:right="57"/>
    </w:pPr>
    <w:rPr>
      <w:sz w:val="17"/>
      <w:szCs w:val="18"/>
    </w:rPr>
  </w:style>
  <w:style w:type="paragraph" w:customStyle="1" w:styleId="Source">
    <w:name w:val="Source"/>
    <w:basedOn w:val="Normal"/>
    <w:link w:val="SourceChar"/>
    <w:uiPriority w:val="6"/>
    <w:qFormat/>
    <w:rsid w:val="004C3D8A"/>
    <w:rPr>
      <w:sz w:val="14"/>
      <w:szCs w:val="10"/>
    </w:rPr>
  </w:style>
  <w:style w:type="table" w:customStyle="1" w:styleId="Box2">
    <w:name w:val="Box 2"/>
    <w:basedOn w:val="TableNormal"/>
    <w:uiPriority w:val="99"/>
    <w:rsid w:val="0029357D"/>
    <w:pPr>
      <w:spacing w:after="0" w:line="240" w:lineRule="auto"/>
    </w:pPr>
    <w:tblPr>
      <w:tblCellMar>
        <w:top w:w="113" w:type="dxa"/>
        <w:bottom w:w="113" w:type="dxa"/>
      </w:tblCellMar>
    </w:tblPr>
    <w:tcPr>
      <w:shd w:val="clear" w:color="auto" w:fill="DEE6F4" w:themeFill="text2" w:themeFillTint="1A"/>
    </w:tcPr>
  </w:style>
  <w:style w:type="character" w:customStyle="1" w:styleId="Heading7Char">
    <w:name w:val="Heading 7 Char"/>
    <w:basedOn w:val="DefaultParagraphFont"/>
    <w:link w:val="Heading7"/>
    <w:uiPriority w:val="1"/>
    <w:semiHidden/>
    <w:rsid w:val="005C29C8"/>
    <w:rPr>
      <w:rFonts w:ascii="Arial" w:eastAsiaTheme="majorEastAsia" w:hAnsi="Arial" w:cstheme="majorBidi"/>
      <w:b/>
      <w:iCs/>
      <w:kern w:val="0"/>
      <w:szCs w:val="18"/>
      <w14:ligatures w14:val="none"/>
    </w:rPr>
  </w:style>
  <w:style w:type="character" w:customStyle="1" w:styleId="Heading8Char">
    <w:name w:val="Heading 8 Char"/>
    <w:basedOn w:val="DefaultParagraphFont"/>
    <w:link w:val="Heading8"/>
    <w:uiPriority w:val="1"/>
    <w:semiHidden/>
    <w:rsid w:val="005C29C8"/>
    <w:rPr>
      <w:rFonts w:ascii="Arial" w:eastAsiaTheme="majorEastAsia" w:hAnsi="Arial" w:cstheme="majorBidi"/>
      <w:b/>
      <w:kern w:val="0"/>
      <w:szCs w:val="20"/>
      <w14:ligatures w14:val="none"/>
    </w:rPr>
  </w:style>
  <w:style w:type="character" w:customStyle="1" w:styleId="Heading9Char">
    <w:name w:val="Heading 9 Char"/>
    <w:basedOn w:val="DefaultParagraphFont"/>
    <w:link w:val="Heading9"/>
    <w:uiPriority w:val="1"/>
    <w:semiHidden/>
    <w:rsid w:val="005C29C8"/>
    <w:rPr>
      <w:rFonts w:ascii="Arial" w:eastAsiaTheme="majorEastAsia" w:hAnsi="Arial" w:cstheme="majorBidi"/>
      <w:b/>
      <w:iCs/>
      <w:kern w:val="0"/>
      <w:szCs w:val="20"/>
      <w14:ligatures w14:val="none"/>
    </w:rPr>
  </w:style>
  <w:style w:type="character" w:customStyle="1" w:styleId="SourceChar">
    <w:name w:val="Source Char"/>
    <w:basedOn w:val="DefaultParagraphFont"/>
    <w:link w:val="Source"/>
    <w:uiPriority w:val="6"/>
    <w:rsid w:val="005C29C8"/>
    <w:rPr>
      <w:rFonts w:ascii="Arial" w:hAnsi="Arial"/>
      <w:kern w:val="0"/>
      <w:sz w:val="14"/>
      <w:szCs w:val="10"/>
      <w14:ligatures w14:val="none"/>
    </w:rPr>
  </w:style>
  <w:style w:type="paragraph" w:customStyle="1" w:styleId="AlphabeticList">
    <w:name w:val="Alphabetic List"/>
    <w:basedOn w:val="Normal"/>
    <w:uiPriority w:val="4"/>
    <w:qFormat/>
    <w:rsid w:val="005C29C8"/>
    <w:pPr>
      <w:numPr>
        <w:numId w:val="75"/>
      </w:numPr>
      <w:spacing w:before="120"/>
      <w:contextualSpacing/>
    </w:pPr>
    <w:rPr>
      <w:rFonts w:eastAsia="Times New Roman" w:cs="Times New Roman"/>
      <w:szCs w:val="20"/>
    </w:rPr>
  </w:style>
  <w:style w:type="paragraph" w:customStyle="1" w:styleId="AlphabeticList2">
    <w:name w:val="Alphabetic List 2"/>
    <w:basedOn w:val="AlphabeticList"/>
    <w:uiPriority w:val="4"/>
    <w:qFormat/>
    <w:rsid w:val="005C29C8"/>
    <w:pPr>
      <w:numPr>
        <w:ilvl w:val="1"/>
      </w:numPr>
    </w:pPr>
  </w:style>
  <w:style w:type="paragraph" w:customStyle="1" w:styleId="Appendixhead4">
    <w:name w:val="Appendix_head_4"/>
    <w:basedOn w:val="Heading4"/>
    <w:next w:val="Normal"/>
    <w:uiPriority w:val="3"/>
    <w:rsid w:val="005C29C8"/>
    <w:pPr>
      <w:keepNext/>
      <w:keepLines/>
      <w:numPr>
        <w:ilvl w:val="3"/>
        <w:numId w:val="76"/>
      </w:numPr>
      <w:spacing w:before="120"/>
      <w:outlineLvl w:val="9"/>
    </w:pPr>
    <w:rPr>
      <w:rFonts w:eastAsia="Times New Roman" w:cs="Times New Roman"/>
      <w:bCs w:val="0"/>
      <w:iCs w:val="0"/>
      <w:color w:val="006B77" w:themeColor="background2"/>
      <w:szCs w:val="24"/>
      <w:lang w:eastAsia="en-AU"/>
    </w:rPr>
  </w:style>
  <w:style w:type="paragraph" w:customStyle="1" w:styleId="AppendixTableCaption">
    <w:name w:val="Appendix Table Caption"/>
    <w:basedOn w:val="Appendixhead4"/>
    <w:next w:val="Normal"/>
    <w:link w:val="AppendixTableCaptionChar"/>
    <w:uiPriority w:val="4"/>
    <w:rsid w:val="005C29C8"/>
    <w:pPr>
      <w:numPr>
        <w:ilvl w:val="6"/>
      </w:numPr>
      <w:spacing w:after="240"/>
      <w:outlineLvl w:val="7"/>
    </w:pPr>
    <w:rPr>
      <w:b w:val="0"/>
      <w:sz w:val="17"/>
      <w:szCs w:val="22"/>
    </w:rPr>
  </w:style>
  <w:style w:type="character" w:customStyle="1" w:styleId="AppendixTableCaptionChar">
    <w:name w:val="Appendix Table Caption Char"/>
    <w:basedOn w:val="DefaultParagraphFont"/>
    <w:link w:val="AppendixTableCaption"/>
    <w:uiPriority w:val="4"/>
    <w:rsid w:val="005C29C8"/>
    <w:rPr>
      <w:rFonts w:ascii="Arial" w:eastAsia="Times New Roman" w:hAnsi="Arial" w:cs="Times New Roman"/>
      <w:i/>
      <w:color w:val="006B77" w:themeColor="background2"/>
      <w:kern w:val="0"/>
      <w:sz w:val="17"/>
      <w:lang w:eastAsia="en-AU"/>
      <w14:ligatures w14:val="none"/>
    </w:rPr>
  </w:style>
  <w:style w:type="paragraph" w:customStyle="1" w:styleId="AppendixChartCaption">
    <w:name w:val="Appendix Chart Caption"/>
    <w:basedOn w:val="AppendixTableCaption"/>
    <w:next w:val="Normal"/>
    <w:link w:val="AppendixChartCaptionChar"/>
    <w:uiPriority w:val="4"/>
    <w:rsid w:val="005C29C8"/>
    <w:pPr>
      <w:numPr>
        <w:ilvl w:val="7"/>
      </w:numPr>
      <w:outlineLvl w:val="5"/>
    </w:pPr>
  </w:style>
  <w:style w:type="character" w:customStyle="1" w:styleId="AppendixChartCaptionChar">
    <w:name w:val="Appendix Chart Caption Char"/>
    <w:basedOn w:val="AppendixTableCaptionChar"/>
    <w:link w:val="AppendixChartCaption"/>
    <w:uiPriority w:val="4"/>
    <w:rsid w:val="005C29C8"/>
    <w:rPr>
      <w:rFonts w:ascii="Arial" w:eastAsia="Times New Roman" w:hAnsi="Arial" w:cs="Times New Roman"/>
      <w:i/>
      <w:color w:val="006B77" w:themeColor="background2"/>
      <w:kern w:val="0"/>
      <w:sz w:val="17"/>
      <w:lang w:eastAsia="en-AU"/>
      <w14:ligatures w14:val="none"/>
    </w:rPr>
  </w:style>
  <w:style w:type="paragraph" w:customStyle="1" w:styleId="AppendixFigureCaption">
    <w:name w:val="Appendix Figure Caption"/>
    <w:basedOn w:val="AppendixChartCaption"/>
    <w:next w:val="Normal"/>
    <w:link w:val="AppendixFigureCaptionChar"/>
    <w:uiPriority w:val="4"/>
    <w:rsid w:val="005C29C8"/>
    <w:pPr>
      <w:numPr>
        <w:ilvl w:val="8"/>
      </w:numPr>
      <w:outlineLvl w:val="6"/>
    </w:pPr>
  </w:style>
  <w:style w:type="character" w:customStyle="1" w:styleId="AppendixFigureCaptionChar">
    <w:name w:val="Appendix Figure Caption Char"/>
    <w:basedOn w:val="DefaultParagraphFont"/>
    <w:link w:val="AppendixFigureCaption"/>
    <w:uiPriority w:val="4"/>
    <w:rsid w:val="005C29C8"/>
    <w:rPr>
      <w:rFonts w:ascii="Arial" w:eastAsia="Times New Roman" w:hAnsi="Arial" w:cs="Times New Roman"/>
      <w:i/>
      <w:color w:val="006B77" w:themeColor="background2"/>
      <w:kern w:val="0"/>
      <w:sz w:val="17"/>
      <w:lang w:eastAsia="en-AU"/>
      <w14:ligatures w14:val="none"/>
    </w:rPr>
  </w:style>
  <w:style w:type="paragraph" w:customStyle="1" w:styleId="Appendixhead1">
    <w:name w:val="Appendix_head_1"/>
    <w:basedOn w:val="Normal"/>
    <w:next w:val="Normal"/>
    <w:link w:val="Appendixhead1Char"/>
    <w:uiPriority w:val="3"/>
    <w:qFormat/>
    <w:rsid w:val="005C29C8"/>
    <w:pPr>
      <w:keepNext/>
      <w:keepLines/>
      <w:pageBreakBefore/>
      <w:numPr>
        <w:numId w:val="76"/>
      </w:numPr>
      <w:spacing w:before="120"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5C29C8"/>
    <w:rPr>
      <w:rFonts w:ascii="Arial" w:eastAsia="Times New Roman" w:hAnsi="Arial" w:cs="Arial"/>
      <w:kern w:val="0"/>
      <w:sz w:val="60"/>
      <w:szCs w:val="20"/>
      <w14:ligatures w14:val="none"/>
    </w:rPr>
  </w:style>
  <w:style w:type="paragraph" w:customStyle="1" w:styleId="Appendixhead2">
    <w:name w:val="Appendix_head_2"/>
    <w:basedOn w:val="Heading2"/>
    <w:next w:val="Normal"/>
    <w:link w:val="Appendixhead2Char"/>
    <w:uiPriority w:val="3"/>
    <w:rsid w:val="005C29C8"/>
    <w:pPr>
      <w:keepNext/>
      <w:keepLines/>
      <w:numPr>
        <w:ilvl w:val="1"/>
        <w:numId w:val="76"/>
      </w:numPr>
      <w:tabs>
        <w:tab w:val="left" w:pos="851"/>
      </w:tabs>
      <w:outlineLvl w:val="9"/>
    </w:pPr>
    <w:rPr>
      <w:rFonts w:eastAsia="Times New Roman" w:cs="Times New Roman"/>
      <w:bCs w:val="0"/>
      <w:color w:val="006B77" w:themeColor="accent1"/>
      <w:szCs w:val="28"/>
      <w:lang w:eastAsia="en-AU"/>
    </w:rPr>
  </w:style>
  <w:style w:type="character" w:customStyle="1" w:styleId="Appendixhead2Char">
    <w:name w:val="Appendix_head_2 Char"/>
    <w:basedOn w:val="DefaultParagraphFont"/>
    <w:link w:val="Appendixhead2"/>
    <w:uiPriority w:val="3"/>
    <w:rsid w:val="005C29C8"/>
    <w:rPr>
      <w:rFonts w:ascii="Arial" w:eastAsia="Times New Roman" w:hAnsi="Arial" w:cs="Times New Roman"/>
      <w:color w:val="006B77" w:themeColor="accent1"/>
      <w:kern w:val="0"/>
      <w:sz w:val="32"/>
      <w:szCs w:val="28"/>
      <w:lang w:eastAsia="en-AU"/>
      <w14:ligatures w14:val="none"/>
    </w:rPr>
  </w:style>
  <w:style w:type="paragraph" w:customStyle="1" w:styleId="Appendixhead3">
    <w:name w:val="Appendix_head_3"/>
    <w:basedOn w:val="Heading3"/>
    <w:next w:val="Normal"/>
    <w:link w:val="Appendixhead3Char"/>
    <w:uiPriority w:val="3"/>
    <w:rsid w:val="005C29C8"/>
    <w:pPr>
      <w:keepNext/>
      <w:keepLines/>
      <w:numPr>
        <w:ilvl w:val="2"/>
        <w:numId w:val="76"/>
      </w:numPr>
      <w:spacing w:before="120"/>
      <w:outlineLvl w:val="9"/>
    </w:pPr>
    <w:rPr>
      <w:rFonts w:eastAsia="Times New Roman" w:cs="Times New Roman"/>
      <w:bCs w:val="0"/>
      <w:color w:val="006B77" w:themeColor="background2"/>
      <w:sz w:val="32"/>
      <w:szCs w:val="20"/>
    </w:rPr>
  </w:style>
  <w:style w:type="character" w:customStyle="1" w:styleId="Appendixhead3Char">
    <w:name w:val="Appendix_head_3 Char"/>
    <w:basedOn w:val="DefaultParagraphFont"/>
    <w:link w:val="Appendixhead3"/>
    <w:uiPriority w:val="3"/>
    <w:rsid w:val="005C29C8"/>
    <w:rPr>
      <w:rFonts w:ascii="Arial" w:eastAsia="Times New Roman" w:hAnsi="Arial" w:cs="Times New Roman"/>
      <w:color w:val="006B77" w:themeColor="background2"/>
      <w:kern w:val="0"/>
      <w:sz w:val="32"/>
      <w:szCs w:val="20"/>
      <w14:ligatures w14:val="none"/>
    </w:rPr>
  </w:style>
  <w:style w:type="character" w:customStyle="1" w:styleId="BalloonTextChar">
    <w:name w:val="Balloon Text Char"/>
    <w:basedOn w:val="DefaultParagraphFont"/>
    <w:link w:val="BalloonText"/>
    <w:uiPriority w:val="99"/>
    <w:semiHidden/>
    <w:rsid w:val="005C29C8"/>
    <w:rPr>
      <w:rFonts w:ascii="Tahoma" w:hAnsi="Tahoma" w:cs="Tahoma"/>
      <w:kern w:val="0"/>
      <w:sz w:val="16"/>
      <w:szCs w:val="16"/>
      <w14:ligatures w14:val="none"/>
    </w:rPr>
  </w:style>
  <w:style w:type="paragraph" w:styleId="BalloonText">
    <w:name w:val="Balloon Text"/>
    <w:basedOn w:val="Normal"/>
    <w:link w:val="BalloonTextChar"/>
    <w:uiPriority w:val="99"/>
    <w:semiHidden/>
    <w:rsid w:val="005C29C8"/>
    <w:pPr>
      <w:spacing w:before="12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5C29C8"/>
    <w:rPr>
      <w:rFonts w:ascii="Segoe UI" w:hAnsi="Segoe UI" w:cs="Segoe UI"/>
      <w:kern w:val="0"/>
      <w:sz w:val="18"/>
      <w:szCs w:val="18"/>
      <w14:ligatures w14:val="none"/>
    </w:rPr>
  </w:style>
  <w:style w:type="character" w:customStyle="1" w:styleId="BodyTextChar">
    <w:name w:val="Body Text Char"/>
    <w:basedOn w:val="DefaultParagraphFont"/>
    <w:link w:val="BodyText"/>
    <w:semiHidden/>
    <w:rsid w:val="005C29C8"/>
    <w:rPr>
      <w:rFonts w:ascii="Arial" w:hAnsi="Arial"/>
      <w:kern w:val="0"/>
      <w:szCs w:val="18"/>
      <w14:ligatures w14:val="none"/>
    </w:rPr>
  </w:style>
  <w:style w:type="paragraph" w:styleId="BodyText">
    <w:name w:val="Body Text"/>
    <w:basedOn w:val="Normal"/>
    <w:link w:val="BodyTextChar"/>
    <w:semiHidden/>
    <w:rsid w:val="005C29C8"/>
    <w:pPr>
      <w:spacing w:before="120" w:after="240"/>
    </w:pPr>
    <w:rPr>
      <w:szCs w:val="18"/>
    </w:rPr>
  </w:style>
  <w:style w:type="character" w:customStyle="1" w:styleId="BodyTextChar1">
    <w:name w:val="Body Text Char1"/>
    <w:basedOn w:val="DefaultParagraphFont"/>
    <w:uiPriority w:val="99"/>
    <w:semiHidden/>
    <w:rsid w:val="005C29C8"/>
    <w:rPr>
      <w:rFonts w:ascii="Arial" w:hAnsi="Arial"/>
      <w:kern w:val="0"/>
      <w:szCs w:val="24"/>
      <w14:ligatures w14:val="none"/>
    </w:rPr>
  </w:style>
  <w:style w:type="character" w:customStyle="1" w:styleId="BodyText2Char">
    <w:name w:val="Body Text 2 Char"/>
    <w:basedOn w:val="DefaultParagraphFont"/>
    <w:link w:val="BodyText2"/>
    <w:uiPriority w:val="99"/>
    <w:semiHidden/>
    <w:rsid w:val="005C29C8"/>
    <w:rPr>
      <w:rFonts w:ascii="Arial" w:hAnsi="Arial"/>
      <w:kern w:val="0"/>
      <w:szCs w:val="18"/>
      <w14:ligatures w14:val="none"/>
    </w:rPr>
  </w:style>
  <w:style w:type="paragraph" w:styleId="BodyText2">
    <w:name w:val="Body Text 2"/>
    <w:basedOn w:val="Normal"/>
    <w:link w:val="BodyText2Char"/>
    <w:uiPriority w:val="99"/>
    <w:semiHidden/>
    <w:rsid w:val="005C29C8"/>
    <w:pPr>
      <w:spacing w:before="120" w:line="480" w:lineRule="auto"/>
    </w:pPr>
    <w:rPr>
      <w:szCs w:val="18"/>
    </w:rPr>
  </w:style>
  <w:style w:type="character" w:customStyle="1" w:styleId="BodyText2Char1">
    <w:name w:val="Body Text 2 Char1"/>
    <w:basedOn w:val="DefaultParagraphFont"/>
    <w:uiPriority w:val="99"/>
    <w:semiHidden/>
    <w:rsid w:val="005C29C8"/>
    <w:rPr>
      <w:rFonts w:ascii="Arial" w:hAnsi="Arial"/>
      <w:kern w:val="0"/>
      <w:szCs w:val="24"/>
      <w14:ligatures w14:val="none"/>
    </w:rPr>
  </w:style>
  <w:style w:type="character" w:customStyle="1" w:styleId="BodyText3Char">
    <w:name w:val="Body Text 3 Char"/>
    <w:basedOn w:val="DefaultParagraphFont"/>
    <w:link w:val="BodyText3"/>
    <w:uiPriority w:val="99"/>
    <w:semiHidden/>
    <w:rsid w:val="005C29C8"/>
    <w:rPr>
      <w:rFonts w:ascii="Arial" w:hAnsi="Arial"/>
      <w:kern w:val="0"/>
      <w:sz w:val="16"/>
      <w:szCs w:val="16"/>
      <w14:ligatures w14:val="none"/>
    </w:rPr>
  </w:style>
  <w:style w:type="paragraph" w:styleId="BodyText3">
    <w:name w:val="Body Text 3"/>
    <w:basedOn w:val="Normal"/>
    <w:link w:val="BodyText3Char"/>
    <w:uiPriority w:val="99"/>
    <w:semiHidden/>
    <w:rsid w:val="005C29C8"/>
    <w:pPr>
      <w:spacing w:before="120"/>
    </w:pPr>
    <w:rPr>
      <w:sz w:val="16"/>
      <w:szCs w:val="16"/>
    </w:rPr>
  </w:style>
  <w:style w:type="character" w:customStyle="1" w:styleId="BodyText3Char1">
    <w:name w:val="Body Text 3 Char1"/>
    <w:basedOn w:val="DefaultParagraphFont"/>
    <w:uiPriority w:val="99"/>
    <w:semiHidden/>
    <w:rsid w:val="005C29C8"/>
    <w:rPr>
      <w:rFonts w:ascii="Arial" w:hAnsi="Arial"/>
      <w:kern w:val="0"/>
      <w:sz w:val="16"/>
      <w:szCs w:val="16"/>
      <w14:ligatures w14:val="none"/>
    </w:rPr>
  </w:style>
  <w:style w:type="character" w:customStyle="1" w:styleId="BodyTextFirstIndentChar">
    <w:name w:val="Body Text First Indent Char"/>
    <w:basedOn w:val="BodyTextChar"/>
    <w:link w:val="BodyTextFirstIndent"/>
    <w:uiPriority w:val="99"/>
    <w:semiHidden/>
    <w:rsid w:val="005C29C8"/>
    <w:rPr>
      <w:rFonts w:ascii="Arial" w:hAnsi="Arial"/>
      <w:kern w:val="0"/>
      <w:szCs w:val="18"/>
      <w14:ligatures w14:val="none"/>
    </w:rPr>
  </w:style>
  <w:style w:type="paragraph" w:styleId="BodyTextFirstIndent">
    <w:name w:val="Body Text First Indent"/>
    <w:basedOn w:val="BodyText"/>
    <w:link w:val="BodyTextFirstIndentChar"/>
    <w:uiPriority w:val="99"/>
    <w:semiHidden/>
    <w:rsid w:val="005C29C8"/>
    <w:pPr>
      <w:ind w:firstLine="360"/>
    </w:pPr>
  </w:style>
  <w:style w:type="character" w:customStyle="1" w:styleId="BodyTextFirstIndentChar1">
    <w:name w:val="Body Text First Indent Char1"/>
    <w:basedOn w:val="BodyTextChar1"/>
    <w:uiPriority w:val="99"/>
    <w:semiHidden/>
    <w:rsid w:val="005C29C8"/>
    <w:rPr>
      <w:rFonts w:ascii="Arial" w:hAnsi="Arial"/>
      <w:kern w:val="0"/>
      <w:szCs w:val="24"/>
      <w14:ligatures w14:val="none"/>
    </w:rPr>
  </w:style>
  <w:style w:type="character" w:customStyle="1" w:styleId="BodyTextIndentChar">
    <w:name w:val="Body Text Indent Char"/>
    <w:basedOn w:val="DefaultParagraphFont"/>
    <w:link w:val="BodyTextIndent"/>
    <w:uiPriority w:val="99"/>
    <w:semiHidden/>
    <w:rsid w:val="005C29C8"/>
    <w:rPr>
      <w:rFonts w:ascii="Arial" w:hAnsi="Arial"/>
      <w:kern w:val="0"/>
      <w:szCs w:val="18"/>
      <w14:ligatures w14:val="none"/>
    </w:rPr>
  </w:style>
  <w:style w:type="paragraph" w:styleId="BodyTextIndent">
    <w:name w:val="Body Text Indent"/>
    <w:basedOn w:val="Normal"/>
    <w:link w:val="BodyTextIndentChar"/>
    <w:uiPriority w:val="99"/>
    <w:semiHidden/>
    <w:rsid w:val="005C29C8"/>
    <w:pPr>
      <w:spacing w:before="120"/>
      <w:ind w:left="283"/>
    </w:pPr>
    <w:rPr>
      <w:szCs w:val="18"/>
    </w:rPr>
  </w:style>
  <w:style w:type="character" w:customStyle="1" w:styleId="BodyTextIndentChar1">
    <w:name w:val="Body Text Indent Char1"/>
    <w:basedOn w:val="DefaultParagraphFont"/>
    <w:uiPriority w:val="99"/>
    <w:semiHidden/>
    <w:rsid w:val="005C29C8"/>
    <w:rPr>
      <w:rFonts w:ascii="Arial" w:hAnsi="Arial"/>
      <w:kern w:val="0"/>
      <w:szCs w:val="24"/>
      <w14:ligatures w14:val="none"/>
    </w:rPr>
  </w:style>
  <w:style w:type="character" w:customStyle="1" w:styleId="BodyTextFirstIndent2Char">
    <w:name w:val="Body Text First Indent 2 Char"/>
    <w:basedOn w:val="BodyTextIndentChar"/>
    <w:link w:val="BodyTextFirstIndent2"/>
    <w:uiPriority w:val="99"/>
    <w:semiHidden/>
    <w:rsid w:val="005C29C8"/>
    <w:rPr>
      <w:rFonts w:ascii="Arial" w:hAnsi="Arial"/>
      <w:kern w:val="0"/>
      <w:szCs w:val="18"/>
      <w14:ligatures w14:val="none"/>
    </w:rPr>
  </w:style>
  <w:style w:type="paragraph" w:styleId="BodyTextFirstIndent2">
    <w:name w:val="Body Text First Indent 2"/>
    <w:basedOn w:val="BodyTextIndent"/>
    <w:link w:val="BodyTextFirstIndent2Char"/>
    <w:uiPriority w:val="99"/>
    <w:semiHidden/>
    <w:rsid w:val="005C29C8"/>
    <w:pPr>
      <w:spacing w:after="240"/>
      <w:ind w:left="360" w:firstLine="360"/>
    </w:pPr>
  </w:style>
  <w:style w:type="character" w:customStyle="1" w:styleId="BodyTextFirstIndent2Char1">
    <w:name w:val="Body Text First Indent 2 Char1"/>
    <w:basedOn w:val="BodyTextIndentChar1"/>
    <w:uiPriority w:val="99"/>
    <w:semiHidden/>
    <w:rsid w:val="005C29C8"/>
    <w:rPr>
      <w:rFonts w:ascii="Arial" w:hAnsi="Arial"/>
      <w:kern w:val="0"/>
      <w:szCs w:val="24"/>
      <w14:ligatures w14:val="none"/>
    </w:rPr>
  </w:style>
  <w:style w:type="character" w:customStyle="1" w:styleId="BodyTextIndent2Char">
    <w:name w:val="Body Text Indent 2 Char"/>
    <w:basedOn w:val="DefaultParagraphFont"/>
    <w:link w:val="BodyTextIndent2"/>
    <w:uiPriority w:val="99"/>
    <w:semiHidden/>
    <w:rsid w:val="005C29C8"/>
    <w:rPr>
      <w:rFonts w:ascii="Arial" w:hAnsi="Arial"/>
      <w:kern w:val="0"/>
      <w:szCs w:val="18"/>
      <w14:ligatures w14:val="none"/>
    </w:rPr>
  </w:style>
  <w:style w:type="paragraph" w:styleId="BodyTextIndent2">
    <w:name w:val="Body Text Indent 2"/>
    <w:basedOn w:val="Normal"/>
    <w:link w:val="BodyTextIndent2Char"/>
    <w:uiPriority w:val="99"/>
    <w:semiHidden/>
    <w:rsid w:val="005C29C8"/>
    <w:pPr>
      <w:spacing w:before="120" w:line="480" w:lineRule="auto"/>
      <w:ind w:left="283"/>
    </w:pPr>
    <w:rPr>
      <w:szCs w:val="18"/>
    </w:rPr>
  </w:style>
  <w:style w:type="character" w:customStyle="1" w:styleId="BodyTextIndent2Char1">
    <w:name w:val="Body Text Indent 2 Char1"/>
    <w:basedOn w:val="DefaultParagraphFont"/>
    <w:uiPriority w:val="99"/>
    <w:semiHidden/>
    <w:rsid w:val="005C29C8"/>
    <w:rPr>
      <w:rFonts w:ascii="Arial" w:hAnsi="Arial"/>
      <w:kern w:val="0"/>
      <w:szCs w:val="24"/>
      <w14:ligatures w14:val="none"/>
    </w:rPr>
  </w:style>
  <w:style w:type="character" w:customStyle="1" w:styleId="BodyTextIndent3Char">
    <w:name w:val="Body Text Indent 3 Char"/>
    <w:basedOn w:val="DefaultParagraphFont"/>
    <w:link w:val="BodyTextIndent3"/>
    <w:uiPriority w:val="99"/>
    <w:semiHidden/>
    <w:rsid w:val="005C29C8"/>
    <w:rPr>
      <w:rFonts w:ascii="Arial" w:hAnsi="Arial"/>
      <w:kern w:val="0"/>
      <w:sz w:val="16"/>
      <w:szCs w:val="16"/>
      <w14:ligatures w14:val="none"/>
    </w:rPr>
  </w:style>
  <w:style w:type="paragraph" w:styleId="BodyTextIndent3">
    <w:name w:val="Body Text Indent 3"/>
    <w:basedOn w:val="Normal"/>
    <w:link w:val="BodyTextIndent3Char"/>
    <w:uiPriority w:val="99"/>
    <w:semiHidden/>
    <w:rsid w:val="005C29C8"/>
    <w:pPr>
      <w:spacing w:before="120"/>
      <w:ind w:left="283"/>
    </w:pPr>
    <w:rPr>
      <w:sz w:val="16"/>
      <w:szCs w:val="16"/>
    </w:rPr>
  </w:style>
  <w:style w:type="character" w:customStyle="1" w:styleId="BodyTextIndent3Char1">
    <w:name w:val="Body Text Indent 3 Char1"/>
    <w:basedOn w:val="DefaultParagraphFont"/>
    <w:uiPriority w:val="99"/>
    <w:semiHidden/>
    <w:rsid w:val="005C29C8"/>
    <w:rPr>
      <w:rFonts w:ascii="Arial" w:hAnsi="Arial"/>
      <w:kern w:val="0"/>
      <w:sz w:val="16"/>
      <w:szCs w:val="16"/>
      <w14:ligatures w14:val="none"/>
    </w:rPr>
  </w:style>
  <w:style w:type="paragraph" w:customStyle="1" w:styleId="BulletedText1">
    <w:name w:val="Bulleted Text 1"/>
    <w:basedOn w:val="Normal"/>
    <w:uiPriority w:val="4"/>
    <w:semiHidden/>
    <w:qFormat/>
    <w:rsid w:val="005C29C8"/>
    <w:pPr>
      <w:numPr>
        <w:numId w:val="77"/>
      </w:numPr>
      <w:suppressAutoHyphens/>
      <w:spacing w:before="120" w:line="250" w:lineRule="atLeast"/>
    </w:pPr>
    <w:rPr>
      <w:szCs w:val="18"/>
    </w:rPr>
  </w:style>
  <w:style w:type="paragraph" w:customStyle="1" w:styleId="BulletedText2">
    <w:name w:val="Bulleted Text 2"/>
    <w:basedOn w:val="Normal"/>
    <w:uiPriority w:val="4"/>
    <w:semiHidden/>
    <w:rsid w:val="005C29C8"/>
    <w:pPr>
      <w:numPr>
        <w:ilvl w:val="1"/>
        <w:numId w:val="77"/>
      </w:numPr>
      <w:suppressAutoHyphens/>
      <w:spacing w:before="120" w:line="250" w:lineRule="atLeast"/>
    </w:pPr>
    <w:rPr>
      <w:szCs w:val="18"/>
    </w:rPr>
  </w:style>
  <w:style w:type="paragraph" w:customStyle="1" w:styleId="CaptionChart">
    <w:name w:val="Caption_Chart"/>
    <w:basedOn w:val="Normal"/>
    <w:next w:val="Normal"/>
    <w:uiPriority w:val="4"/>
    <w:qFormat/>
    <w:rsid w:val="005C29C8"/>
    <w:pPr>
      <w:keepNext/>
      <w:keepLines/>
      <w:spacing w:before="120"/>
    </w:pPr>
    <w:rPr>
      <w:color w:val="006B77" w:themeColor="background2"/>
      <w:sz w:val="17"/>
      <w:szCs w:val="18"/>
    </w:rPr>
  </w:style>
  <w:style w:type="paragraph" w:customStyle="1" w:styleId="CaptionFigure">
    <w:name w:val="Caption_Figure"/>
    <w:basedOn w:val="Normal"/>
    <w:next w:val="Normal"/>
    <w:uiPriority w:val="4"/>
    <w:qFormat/>
    <w:rsid w:val="005C29C8"/>
    <w:pPr>
      <w:keepNext/>
      <w:keepLines/>
      <w:spacing w:before="120"/>
    </w:pPr>
    <w:rPr>
      <w:bCs/>
      <w:color w:val="0563C1" w:themeColor="accent6"/>
      <w:sz w:val="17"/>
      <w:szCs w:val="22"/>
    </w:rPr>
  </w:style>
  <w:style w:type="paragraph" w:customStyle="1" w:styleId="CaptionTable">
    <w:name w:val="Caption_Table"/>
    <w:basedOn w:val="Normal"/>
    <w:next w:val="Normal"/>
    <w:uiPriority w:val="4"/>
    <w:qFormat/>
    <w:rsid w:val="005C29C8"/>
    <w:pPr>
      <w:keepNext/>
      <w:keepLines/>
      <w:spacing w:before="240" w:after="240"/>
    </w:pPr>
    <w:rPr>
      <w:rFonts w:eastAsia="Times New Roman" w:cs="Times New Roman"/>
      <w:color w:val="006B77" w:themeColor="background2"/>
      <w:sz w:val="17"/>
      <w:szCs w:val="20"/>
    </w:rPr>
  </w:style>
  <w:style w:type="character" w:customStyle="1" w:styleId="ClosingChar">
    <w:name w:val="Closing Char"/>
    <w:basedOn w:val="DefaultParagraphFont"/>
    <w:link w:val="Closing"/>
    <w:uiPriority w:val="99"/>
    <w:semiHidden/>
    <w:rsid w:val="005C29C8"/>
    <w:rPr>
      <w:rFonts w:ascii="Arial" w:hAnsi="Arial"/>
      <w:kern w:val="0"/>
      <w:szCs w:val="18"/>
      <w14:ligatures w14:val="none"/>
    </w:rPr>
  </w:style>
  <w:style w:type="paragraph" w:styleId="Closing">
    <w:name w:val="Closing"/>
    <w:basedOn w:val="Normal"/>
    <w:link w:val="ClosingChar"/>
    <w:uiPriority w:val="99"/>
    <w:semiHidden/>
    <w:rsid w:val="005C29C8"/>
    <w:pPr>
      <w:spacing w:before="120" w:line="240" w:lineRule="auto"/>
      <w:ind w:left="4252"/>
    </w:pPr>
    <w:rPr>
      <w:szCs w:val="18"/>
    </w:rPr>
  </w:style>
  <w:style w:type="character" w:customStyle="1" w:styleId="ClosingChar1">
    <w:name w:val="Closing Char1"/>
    <w:basedOn w:val="DefaultParagraphFont"/>
    <w:uiPriority w:val="99"/>
    <w:semiHidden/>
    <w:rsid w:val="005C29C8"/>
    <w:rPr>
      <w:rFonts w:ascii="Arial" w:hAnsi="Arial"/>
      <w:kern w:val="0"/>
      <w:szCs w:val="24"/>
      <w14:ligatures w14:val="none"/>
    </w:rPr>
  </w:style>
  <w:style w:type="paragraph" w:customStyle="1" w:styleId="Heading1un-numbered">
    <w:name w:val="Heading 1 (un-numbered)"/>
    <w:basedOn w:val="Normal"/>
    <w:next w:val="Normal"/>
    <w:uiPriority w:val="2"/>
    <w:qFormat/>
    <w:rsid w:val="005C29C8"/>
    <w:pPr>
      <w:keepNext/>
      <w:keepLines/>
      <w:pageBreakBefore/>
      <w:spacing w:before="120" w:after="480" w:line="720" w:lineRule="atLeast"/>
      <w:outlineLvl w:val="0"/>
    </w:pPr>
    <w:rPr>
      <w:color w:val="14233C" w:themeColor="text2"/>
      <w:sz w:val="52"/>
      <w:szCs w:val="18"/>
    </w:rPr>
  </w:style>
  <w:style w:type="character" w:customStyle="1" w:styleId="DateChar">
    <w:name w:val="Date Char"/>
    <w:basedOn w:val="DefaultParagraphFont"/>
    <w:link w:val="Date"/>
    <w:uiPriority w:val="99"/>
    <w:semiHidden/>
    <w:rsid w:val="005C29C8"/>
    <w:rPr>
      <w:rFonts w:ascii="Arial" w:hAnsi="Arial"/>
      <w:kern w:val="0"/>
      <w:szCs w:val="18"/>
      <w14:ligatures w14:val="none"/>
    </w:rPr>
  </w:style>
  <w:style w:type="paragraph" w:styleId="Date">
    <w:name w:val="Date"/>
    <w:basedOn w:val="Normal"/>
    <w:next w:val="Normal"/>
    <w:link w:val="DateChar"/>
    <w:uiPriority w:val="99"/>
    <w:semiHidden/>
    <w:rsid w:val="005C29C8"/>
    <w:pPr>
      <w:spacing w:before="120"/>
    </w:pPr>
    <w:rPr>
      <w:szCs w:val="18"/>
    </w:rPr>
  </w:style>
  <w:style w:type="character" w:customStyle="1" w:styleId="DateChar1">
    <w:name w:val="Date Char1"/>
    <w:basedOn w:val="DefaultParagraphFont"/>
    <w:uiPriority w:val="99"/>
    <w:semiHidden/>
    <w:rsid w:val="005C29C8"/>
    <w:rPr>
      <w:rFonts w:ascii="Arial" w:hAnsi="Arial"/>
      <w:kern w:val="0"/>
      <w:szCs w:val="24"/>
      <w14:ligatures w14:val="none"/>
    </w:rPr>
  </w:style>
  <w:style w:type="character" w:customStyle="1" w:styleId="DocumentMapChar">
    <w:name w:val="Document Map Char"/>
    <w:basedOn w:val="DefaultParagraphFont"/>
    <w:link w:val="DocumentMap"/>
    <w:uiPriority w:val="99"/>
    <w:semiHidden/>
    <w:rsid w:val="005C29C8"/>
    <w:rPr>
      <w:rFonts w:ascii="Tahoma" w:hAnsi="Tahoma" w:cs="Tahoma"/>
      <w:kern w:val="0"/>
      <w:sz w:val="16"/>
      <w:szCs w:val="16"/>
      <w14:ligatures w14:val="none"/>
    </w:rPr>
  </w:style>
  <w:style w:type="paragraph" w:styleId="DocumentMap">
    <w:name w:val="Document Map"/>
    <w:basedOn w:val="Normal"/>
    <w:link w:val="DocumentMapChar"/>
    <w:uiPriority w:val="99"/>
    <w:semiHidden/>
    <w:rsid w:val="005C29C8"/>
    <w:pPr>
      <w:spacing w:before="12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5C29C8"/>
    <w:rPr>
      <w:rFonts w:ascii="Segoe UI" w:hAnsi="Segoe UI" w:cs="Segoe UI"/>
      <w:kern w:val="0"/>
      <w:sz w:val="16"/>
      <w:szCs w:val="16"/>
      <w14:ligatures w14:val="none"/>
    </w:rPr>
  </w:style>
  <w:style w:type="character" w:customStyle="1" w:styleId="E-mailSignatureChar">
    <w:name w:val="E-mail Signature Char"/>
    <w:basedOn w:val="DefaultParagraphFont"/>
    <w:link w:val="E-mailSignature"/>
    <w:uiPriority w:val="99"/>
    <w:semiHidden/>
    <w:rsid w:val="005C29C8"/>
    <w:rPr>
      <w:rFonts w:ascii="Arial" w:hAnsi="Arial"/>
      <w:kern w:val="0"/>
      <w:szCs w:val="18"/>
      <w14:ligatures w14:val="none"/>
    </w:rPr>
  </w:style>
  <w:style w:type="paragraph" w:styleId="E-mailSignature">
    <w:name w:val="E-mail Signature"/>
    <w:basedOn w:val="Normal"/>
    <w:link w:val="E-mailSignatureChar"/>
    <w:uiPriority w:val="99"/>
    <w:semiHidden/>
    <w:rsid w:val="005C29C8"/>
    <w:pPr>
      <w:spacing w:before="120" w:line="240" w:lineRule="auto"/>
    </w:pPr>
    <w:rPr>
      <w:szCs w:val="18"/>
    </w:rPr>
  </w:style>
  <w:style w:type="character" w:customStyle="1" w:styleId="E-mailSignatureChar1">
    <w:name w:val="E-mail Signature Char1"/>
    <w:basedOn w:val="DefaultParagraphFont"/>
    <w:uiPriority w:val="99"/>
    <w:semiHidden/>
    <w:rsid w:val="005C29C8"/>
    <w:rPr>
      <w:rFonts w:ascii="Arial" w:hAnsi="Arial"/>
      <w:kern w:val="0"/>
      <w:szCs w:val="24"/>
      <w14:ligatures w14:val="none"/>
    </w:rPr>
  </w:style>
  <w:style w:type="paragraph" w:customStyle="1" w:styleId="ExecChartCaption">
    <w:name w:val="Exec Chart Caption"/>
    <w:basedOn w:val="Caption"/>
    <w:next w:val="Normal"/>
    <w:uiPriority w:val="4"/>
    <w:rsid w:val="005C29C8"/>
    <w:pPr>
      <w:keepLines/>
      <w:numPr>
        <w:ilvl w:val="2"/>
        <w:numId w:val="78"/>
      </w:numPr>
      <w:spacing w:before="240" w:after="240" w:line="360" w:lineRule="auto"/>
    </w:pPr>
    <w:rPr>
      <w:rFonts w:eastAsia="Times New Roman" w:cs="Times New Roman"/>
      <w:i w:val="0"/>
      <w:color w:val="0563C1" w:themeColor="accent6"/>
      <w:sz w:val="17"/>
      <w:szCs w:val="20"/>
    </w:rPr>
  </w:style>
  <w:style w:type="paragraph" w:customStyle="1" w:styleId="ExecFigureCaption">
    <w:name w:val="Exec Figure Caption"/>
    <w:basedOn w:val="Caption"/>
    <w:next w:val="Normal"/>
    <w:uiPriority w:val="4"/>
    <w:rsid w:val="005C29C8"/>
    <w:pPr>
      <w:keepLines/>
      <w:numPr>
        <w:ilvl w:val="3"/>
        <w:numId w:val="78"/>
      </w:numPr>
      <w:spacing w:before="240" w:after="240" w:line="360" w:lineRule="auto"/>
    </w:pPr>
    <w:rPr>
      <w:rFonts w:eastAsia="Times New Roman" w:cs="Times New Roman"/>
      <w:i w:val="0"/>
      <w:color w:val="0563C1" w:themeColor="accent6"/>
      <w:sz w:val="17"/>
      <w:szCs w:val="20"/>
    </w:rPr>
  </w:style>
  <w:style w:type="paragraph" w:customStyle="1" w:styleId="ExecTableCaption">
    <w:name w:val="Exec Table Caption"/>
    <w:basedOn w:val="Caption"/>
    <w:next w:val="Normal"/>
    <w:uiPriority w:val="4"/>
    <w:rsid w:val="005C29C8"/>
    <w:pPr>
      <w:keepLines/>
      <w:numPr>
        <w:ilvl w:val="1"/>
        <w:numId w:val="78"/>
      </w:numPr>
      <w:spacing w:before="240" w:after="240" w:line="360" w:lineRule="auto"/>
    </w:pPr>
    <w:rPr>
      <w:rFonts w:eastAsia="Times New Roman" w:cs="Times New Roman"/>
      <w:i w:val="0"/>
      <w:color w:val="0563C1" w:themeColor="accent6"/>
      <w:sz w:val="17"/>
      <w:szCs w:val="20"/>
    </w:rPr>
  </w:style>
  <w:style w:type="paragraph" w:customStyle="1" w:styleId="ExecutiveHeading">
    <w:name w:val="Executive Heading"/>
    <w:basedOn w:val="Heading1un-numbered"/>
    <w:next w:val="Normal"/>
    <w:uiPriority w:val="3"/>
    <w:rsid w:val="005C29C8"/>
    <w:pPr>
      <w:numPr>
        <w:numId w:val="78"/>
      </w:numPr>
    </w:pPr>
  </w:style>
  <w:style w:type="paragraph" w:customStyle="1" w:styleId="Heading2un-numbered">
    <w:name w:val="Heading 2 (un-numbered)"/>
    <w:basedOn w:val="Heading2"/>
    <w:next w:val="Normal"/>
    <w:uiPriority w:val="2"/>
    <w:qFormat/>
    <w:rsid w:val="005C29C8"/>
    <w:pPr>
      <w:keepNext/>
      <w:keepLines/>
    </w:pPr>
    <w:rPr>
      <w:rFonts w:eastAsiaTheme="majorEastAsia" w:cstheme="majorBidi"/>
      <w:color w:val="006B77" w:themeColor="accent1"/>
      <w:szCs w:val="26"/>
    </w:rPr>
  </w:style>
  <w:style w:type="paragraph" w:customStyle="1" w:styleId="Heading3un-numbered">
    <w:name w:val="Heading 3 (un-numbered)"/>
    <w:basedOn w:val="Heading3"/>
    <w:next w:val="Normal"/>
    <w:uiPriority w:val="2"/>
    <w:qFormat/>
    <w:rsid w:val="005C29C8"/>
    <w:pPr>
      <w:keepNext/>
      <w:keepLines/>
      <w:spacing w:before="120"/>
    </w:pPr>
    <w:rPr>
      <w:rFonts w:eastAsiaTheme="majorEastAsia" w:cstheme="majorBidi"/>
      <w:color w:val="006B77" w:themeColor="background2"/>
      <w:sz w:val="32"/>
      <w:szCs w:val="18"/>
    </w:rPr>
  </w:style>
  <w:style w:type="paragraph" w:customStyle="1" w:styleId="Heading4un-numbered">
    <w:name w:val="Heading 4 (un-numbered)"/>
    <w:basedOn w:val="Heading4"/>
    <w:next w:val="Normal"/>
    <w:uiPriority w:val="2"/>
    <w:qFormat/>
    <w:rsid w:val="005C29C8"/>
    <w:pPr>
      <w:keepNext/>
      <w:keepLines/>
      <w:tabs>
        <w:tab w:val="left" w:pos="340"/>
      </w:tabs>
      <w:spacing w:before="120"/>
    </w:pPr>
    <w:rPr>
      <w:rFonts w:eastAsiaTheme="majorEastAsia" w:cstheme="majorBidi"/>
      <w:color w:val="006B77" w:themeColor="background2"/>
      <w:szCs w:val="18"/>
    </w:rPr>
  </w:style>
  <w:style w:type="character" w:customStyle="1" w:styleId="HTMLAddressChar">
    <w:name w:val="HTML Address Char"/>
    <w:basedOn w:val="DefaultParagraphFont"/>
    <w:link w:val="HTMLAddress"/>
    <w:uiPriority w:val="99"/>
    <w:semiHidden/>
    <w:rsid w:val="005C29C8"/>
    <w:rPr>
      <w:rFonts w:ascii="Arial" w:hAnsi="Arial"/>
      <w:i/>
      <w:iCs/>
      <w:kern w:val="0"/>
      <w:szCs w:val="18"/>
      <w14:ligatures w14:val="none"/>
    </w:rPr>
  </w:style>
  <w:style w:type="paragraph" w:styleId="HTMLAddress">
    <w:name w:val="HTML Address"/>
    <w:basedOn w:val="Normal"/>
    <w:link w:val="HTMLAddressChar"/>
    <w:uiPriority w:val="99"/>
    <w:semiHidden/>
    <w:rsid w:val="005C29C8"/>
    <w:pPr>
      <w:spacing w:before="120" w:line="240" w:lineRule="auto"/>
    </w:pPr>
    <w:rPr>
      <w:i/>
      <w:iCs/>
      <w:szCs w:val="18"/>
    </w:rPr>
  </w:style>
  <w:style w:type="character" w:customStyle="1" w:styleId="HTMLAddressChar1">
    <w:name w:val="HTML Address Char1"/>
    <w:basedOn w:val="DefaultParagraphFont"/>
    <w:uiPriority w:val="99"/>
    <w:semiHidden/>
    <w:rsid w:val="005C29C8"/>
    <w:rPr>
      <w:rFonts w:ascii="Arial" w:hAnsi="Arial"/>
      <w:i/>
      <w:iCs/>
      <w:kern w:val="0"/>
      <w:szCs w:val="24"/>
      <w14:ligatures w14:val="none"/>
    </w:rPr>
  </w:style>
  <w:style w:type="character" w:customStyle="1" w:styleId="HTMLPreformattedChar">
    <w:name w:val="HTML Preformatted Char"/>
    <w:basedOn w:val="DefaultParagraphFont"/>
    <w:link w:val="HTMLPreformatted"/>
    <w:uiPriority w:val="99"/>
    <w:semiHidden/>
    <w:rsid w:val="005C29C8"/>
    <w:rPr>
      <w:rFonts w:ascii="Consolas" w:hAnsi="Consolas"/>
      <w:kern w:val="0"/>
      <w:sz w:val="20"/>
      <w:szCs w:val="20"/>
      <w14:ligatures w14:val="none"/>
    </w:rPr>
  </w:style>
  <w:style w:type="paragraph" w:styleId="HTMLPreformatted">
    <w:name w:val="HTML Preformatted"/>
    <w:basedOn w:val="Normal"/>
    <w:link w:val="HTMLPreformattedChar"/>
    <w:uiPriority w:val="99"/>
    <w:semiHidden/>
    <w:rsid w:val="005C29C8"/>
    <w:pPr>
      <w:spacing w:before="120" w:line="240" w:lineRule="auto"/>
    </w:pPr>
    <w:rPr>
      <w:rFonts w:ascii="Consolas" w:hAnsi="Consolas"/>
      <w:sz w:val="20"/>
      <w:szCs w:val="20"/>
    </w:rPr>
  </w:style>
  <w:style w:type="character" w:customStyle="1" w:styleId="HTMLPreformattedChar1">
    <w:name w:val="HTML Preformatted Char1"/>
    <w:basedOn w:val="DefaultParagraphFont"/>
    <w:uiPriority w:val="99"/>
    <w:semiHidden/>
    <w:rsid w:val="005C29C8"/>
    <w:rPr>
      <w:rFonts w:ascii="Consolas" w:hAnsi="Consolas"/>
      <w:kern w:val="0"/>
      <w:sz w:val="20"/>
      <w:szCs w:val="20"/>
      <w14:ligatures w14:val="none"/>
    </w:rPr>
  </w:style>
  <w:style w:type="paragraph" w:styleId="ListBullet2">
    <w:name w:val="List Bullet 2"/>
    <w:basedOn w:val="Normal"/>
    <w:uiPriority w:val="3"/>
    <w:rsid w:val="005C29C8"/>
    <w:pPr>
      <w:numPr>
        <w:numId w:val="79"/>
      </w:numPr>
      <w:spacing w:before="120"/>
      <w:contextualSpacing/>
    </w:pPr>
    <w:rPr>
      <w:szCs w:val="17"/>
    </w:rPr>
  </w:style>
  <w:style w:type="paragraph" w:styleId="ListBullet3">
    <w:name w:val="List Bullet 3"/>
    <w:basedOn w:val="Normal"/>
    <w:uiPriority w:val="3"/>
    <w:rsid w:val="005C29C8"/>
    <w:pPr>
      <w:numPr>
        <w:numId w:val="80"/>
      </w:numPr>
      <w:spacing w:before="120"/>
      <w:contextualSpacing/>
    </w:pPr>
    <w:rPr>
      <w:szCs w:val="18"/>
    </w:rPr>
  </w:style>
  <w:style w:type="paragraph" w:styleId="ListBullet4">
    <w:name w:val="List Bullet 4"/>
    <w:basedOn w:val="Normal"/>
    <w:uiPriority w:val="99"/>
    <w:semiHidden/>
    <w:rsid w:val="005C29C8"/>
    <w:pPr>
      <w:numPr>
        <w:numId w:val="81"/>
      </w:numPr>
      <w:spacing w:before="120"/>
      <w:contextualSpacing/>
    </w:pPr>
    <w:rPr>
      <w:szCs w:val="18"/>
    </w:rPr>
  </w:style>
  <w:style w:type="paragraph" w:styleId="ListBullet5">
    <w:name w:val="List Bullet 5"/>
    <w:basedOn w:val="Normal"/>
    <w:uiPriority w:val="99"/>
    <w:semiHidden/>
    <w:rsid w:val="005C29C8"/>
    <w:pPr>
      <w:numPr>
        <w:numId w:val="82"/>
      </w:numPr>
      <w:spacing w:before="120"/>
      <w:contextualSpacing/>
    </w:pPr>
    <w:rPr>
      <w:szCs w:val="18"/>
    </w:rPr>
  </w:style>
  <w:style w:type="paragraph" w:styleId="ListNumber">
    <w:name w:val="List Number"/>
    <w:basedOn w:val="Normal"/>
    <w:uiPriority w:val="3"/>
    <w:qFormat/>
    <w:rsid w:val="005C29C8"/>
    <w:pPr>
      <w:numPr>
        <w:numId w:val="83"/>
      </w:numPr>
      <w:spacing w:before="120"/>
      <w:contextualSpacing/>
    </w:pPr>
    <w:rPr>
      <w:szCs w:val="17"/>
    </w:rPr>
  </w:style>
  <w:style w:type="paragraph" w:styleId="ListNumber2">
    <w:name w:val="List Number 2"/>
    <w:basedOn w:val="Normal"/>
    <w:uiPriority w:val="3"/>
    <w:qFormat/>
    <w:rsid w:val="005C29C8"/>
    <w:pPr>
      <w:numPr>
        <w:ilvl w:val="1"/>
        <w:numId w:val="83"/>
      </w:numPr>
      <w:spacing w:before="120"/>
      <w:contextualSpacing/>
    </w:pPr>
    <w:rPr>
      <w:szCs w:val="18"/>
    </w:rPr>
  </w:style>
  <w:style w:type="paragraph" w:styleId="ListNumber3">
    <w:name w:val="List Number 3"/>
    <w:basedOn w:val="Normal"/>
    <w:uiPriority w:val="99"/>
    <w:semiHidden/>
    <w:rsid w:val="005C29C8"/>
    <w:pPr>
      <w:numPr>
        <w:ilvl w:val="2"/>
        <w:numId w:val="83"/>
      </w:numPr>
      <w:spacing w:before="120"/>
      <w:contextualSpacing/>
    </w:pPr>
    <w:rPr>
      <w:szCs w:val="18"/>
    </w:rPr>
  </w:style>
  <w:style w:type="paragraph" w:styleId="ListNumber4">
    <w:name w:val="List Number 4"/>
    <w:basedOn w:val="Normal"/>
    <w:uiPriority w:val="99"/>
    <w:semiHidden/>
    <w:rsid w:val="005C29C8"/>
    <w:pPr>
      <w:numPr>
        <w:numId w:val="84"/>
      </w:numPr>
      <w:spacing w:before="120"/>
      <w:contextualSpacing/>
    </w:pPr>
    <w:rPr>
      <w:szCs w:val="18"/>
    </w:rPr>
  </w:style>
  <w:style w:type="paragraph" w:styleId="ListNumber5">
    <w:name w:val="List Number 5"/>
    <w:basedOn w:val="Normal"/>
    <w:uiPriority w:val="99"/>
    <w:semiHidden/>
    <w:rsid w:val="005C29C8"/>
    <w:pPr>
      <w:numPr>
        <w:numId w:val="85"/>
      </w:numPr>
      <w:spacing w:before="120"/>
      <w:contextualSpacing/>
    </w:pPr>
    <w:rPr>
      <w:szCs w:val="18"/>
    </w:rPr>
  </w:style>
  <w:style w:type="character" w:customStyle="1" w:styleId="MacroTextChar">
    <w:name w:val="Macro Text Char"/>
    <w:basedOn w:val="DefaultParagraphFont"/>
    <w:link w:val="MacroText"/>
    <w:uiPriority w:val="99"/>
    <w:semiHidden/>
    <w:rsid w:val="005C29C8"/>
    <w:rPr>
      <w:rFonts w:ascii="Consolas" w:hAnsi="Consolas"/>
      <w:kern w:val="0"/>
      <w:sz w:val="20"/>
      <w:szCs w:val="20"/>
      <w14:ligatures w14:val="none"/>
    </w:rPr>
  </w:style>
  <w:style w:type="paragraph" w:styleId="MacroText">
    <w:name w:val="macro"/>
    <w:link w:val="MacroTextChar"/>
    <w:uiPriority w:val="99"/>
    <w:semiHidden/>
    <w:rsid w:val="005C29C8"/>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kern w:val="0"/>
      <w:sz w:val="20"/>
      <w:szCs w:val="20"/>
      <w14:ligatures w14:val="none"/>
    </w:rPr>
  </w:style>
  <w:style w:type="character" w:customStyle="1" w:styleId="MacroTextChar1">
    <w:name w:val="Macro Text Char1"/>
    <w:basedOn w:val="DefaultParagraphFont"/>
    <w:uiPriority w:val="99"/>
    <w:semiHidden/>
    <w:rsid w:val="005C29C8"/>
    <w:rPr>
      <w:rFonts w:ascii="Consolas" w:hAnsi="Consolas"/>
      <w:kern w:val="0"/>
      <w:sz w:val="20"/>
      <w:szCs w:val="20"/>
      <w14:ligatures w14:val="none"/>
    </w:rPr>
  </w:style>
  <w:style w:type="character" w:customStyle="1" w:styleId="MessageHeaderChar">
    <w:name w:val="Message Header Char"/>
    <w:basedOn w:val="DefaultParagraphFont"/>
    <w:link w:val="MessageHeader"/>
    <w:uiPriority w:val="99"/>
    <w:semiHidden/>
    <w:rsid w:val="005C29C8"/>
    <w:rPr>
      <w:rFonts w:asciiTheme="majorHAnsi" w:eastAsiaTheme="majorEastAsia" w:hAnsiTheme="majorHAnsi" w:cstheme="majorBidi"/>
      <w:kern w:val="0"/>
      <w:sz w:val="24"/>
      <w:szCs w:val="24"/>
      <w:shd w:val="pct20" w:color="auto" w:fill="auto"/>
      <w14:ligatures w14:val="none"/>
    </w:rPr>
  </w:style>
  <w:style w:type="paragraph" w:styleId="MessageHeader">
    <w:name w:val="Message Header"/>
    <w:basedOn w:val="Normal"/>
    <w:link w:val="MessageHeaderChar"/>
    <w:uiPriority w:val="99"/>
    <w:semiHidden/>
    <w:rsid w:val="005C29C8"/>
    <w:pPr>
      <w:pBdr>
        <w:top w:val="single" w:sz="6" w:space="1" w:color="auto"/>
        <w:left w:val="single" w:sz="6" w:space="1" w:color="auto"/>
        <w:bottom w:val="single" w:sz="6" w:space="1" w:color="auto"/>
        <w:right w:val="single" w:sz="6" w:space="1" w:color="auto"/>
      </w:pBdr>
      <w:shd w:val="pct20" w:color="auto" w:fill="auto"/>
      <w:spacing w:before="120" w:line="240" w:lineRule="auto"/>
      <w:ind w:left="1134" w:hanging="1134"/>
    </w:pPr>
    <w:rPr>
      <w:rFonts w:asciiTheme="majorHAnsi" w:eastAsiaTheme="majorEastAsia" w:hAnsiTheme="majorHAnsi" w:cstheme="majorBidi"/>
      <w:sz w:val="24"/>
    </w:rPr>
  </w:style>
  <w:style w:type="character" w:customStyle="1" w:styleId="MessageHeaderChar1">
    <w:name w:val="Message Header Char1"/>
    <w:basedOn w:val="DefaultParagraphFont"/>
    <w:uiPriority w:val="99"/>
    <w:semiHidden/>
    <w:rsid w:val="005C29C8"/>
    <w:rPr>
      <w:rFonts w:asciiTheme="majorHAnsi" w:eastAsiaTheme="majorEastAsia" w:hAnsiTheme="majorHAnsi" w:cstheme="majorBidi"/>
      <w:kern w:val="0"/>
      <w:sz w:val="24"/>
      <w:szCs w:val="24"/>
      <w:shd w:val="pct20" w:color="auto" w:fill="auto"/>
      <w14:ligatures w14:val="none"/>
    </w:rPr>
  </w:style>
  <w:style w:type="character" w:customStyle="1" w:styleId="NoteHeadingChar">
    <w:name w:val="Note Heading Char"/>
    <w:basedOn w:val="DefaultParagraphFont"/>
    <w:link w:val="NoteHeading"/>
    <w:uiPriority w:val="99"/>
    <w:semiHidden/>
    <w:rsid w:val="005C29C8"/>
    <w:rPr>
      <w:rFonts w:ascii="Arial" w:hAnsi="Arial"/>
      <w:kern w:val="0"/>
      <w:szCs w:val="18"/>
      <w14:ligatures w14:val="none"/>
    </w:rPr>
  </w:style>
  <w:style w:type="paragraph" w:styleId="NoteHeading">
    <w:name w:val="Note Heading"/>
    <w:basedOn w:val="Normal"/>
    <w:next w:val="Normal"/>
    <w:link w:val="NoteHeadingChar"/>
    <w:uiPriority w:val="99"/>
    <w:semiHidden/>
    <w:rsid w:val="005C29C8"/>
    <w:pPr>
      <w:spacing w:before="120" w:line="240" w:lineRule="auto"/>
    </w:pPr>
    <w:rPr>
      <w:szCs w:val="18"/>
    </w:rPr>
  </w:style>
  <w:style w:type="character" w:customStyle="1" w:styleId="NoteHeadingChar1">
    <w:name w:val="Note Heading Char1"/>
    <w:basedOn w:val="DefaultParagraphFont"/>
    <w:uiPriority w:val="99"/>
    <w:semiHidden/>
    <w:rsid w:val="005C29C8"/>
    <w:rPr>
      <w:rFonts w:ascii="Arial" w:hAnsi="Arial"/>
      <w:kern w:val="0"/>
      <w:szCs w:val="24"/>
      <w14:ligatures w14:val="none"/>
    </w:rPr>
  </w:style>
  <w:style w:type="paragraph" w:customStyle="1" w:styleId="Numberslevel1">
    <w:name w:val="Numbers level 1"/>
    <w:basedOn w:val="Normal"/>
    <w:uiPriority w:val="4"/>
    <w:semiHidden/>
    <w:qFormat/>
    <w:rsid w:val="005C29C8"/>
    <w:pPr>
      <w:numPr>
        <w:numId w:val="86"/>
      </w:numPr>
      <w:suppressAutoHyphens/>
      <w:spacing w:before="120" w:line="250" w:lineRule="atLeast"/>
    </w:pPr>
    <w:rPr>
      <w:szCs w:val="18"/>
    </w:rPr>
  </w:style>
  <w:style w:type="paragraph" w:customStyle="1" w:styleId="Numberslevel2">
    <w:name w:val="Numbers level 2"/>
    <w:basedOn w:val="Normal"/>
    <w:uiPriority w:val="4"/>
    <w:semiHidden/>
    <w:rsid w:val="005C29C8"/>
    <w:pPr>
      <w:numPr>
        <w:ilvl w:val="1"/>
        <w:numId w:val="86"/>
      </w:numPr>
      <w:suppressAutoHyphens/>
      <w:spacing w:before="120" w:line="250" w:lineRule="atLeast"/>
    </w:pPr>
    <w:rPr>
      <w:szCs w:val="18"/>
    </w:rPr>
  </w:style>
  <w:style w:type="paragraph" w:customStyle="1" w:styleId="Numberslevel3">
    <w:name w:val="Numbers level 3"/>
    <w:basedOn w:val="Normal"/>
    <w:uiPriority w:val="4"/>
    <w:semiHidden/>
    <w:rsid w:val="005C29C8"/>
    <w:pPr>
      <w:numPr>
        <w:ilvl w:val="2"/>
        <w:numId w:val="86"/>
      </w:numPr>
      <w:suppressAutoHyphens/>
      <w:spacing w:before="120" w:line="250" w:lineRule="atLeast"/>
    </w:pPr>
    <w:rPr>
      <w:szCs w:val="18"/>
    </w:rPr>
  </w:style>
  <w:style w:type="character" w:customStyle="1" w:styleId="PlainTextChar">
    <w:name w:val="Plain Text Char"/>
    <w:basedOn w:val="DefaultParagraphFont"/>
    <w:link w:val="PlainText"/>
    <w:uiPriority w:val="99"/>
    <w:semiHidden/>
    <w:rsid w:val="005C29C8"/>
    <w:rPr>
      <w:rFonts w:ascii="Consolas" w:hAnsi="Consolas"/>
      <w:kern w:val="0"/>
      <w:sz w:val="21"/>
      <w:szCs w:val="21"/>
      <w14:ligatures w14:val="none"/>
    </w:rPr>
  </w:style>
  <w:style w:type="paragraph" w:styleId="PlainText">
    <w:name w:val="Plain Text"/>
    <w:basedOn w:val="Normal"/>
    <w:link w:val="PlainTextChar"/>
    <w:uiPriority w:val="99"/>
    <w:semiHidden/>
    <w:rsid w:val="005C29C8"/>
    <w:pPr>
      <w:spacing w:before="120" w:line="240" w:lineRule="auto"/>
    </w:pPr>
    <w:rPr>
      <w:rFonts w:ascii="Consolas" w:hAnsi="Consolas"/>
      <w:sz w:val="21"/>
      <w:szCs w:val="21"/>
    </w:rPr>
  </w:style>
  <w:style w:type="character" w:customStyle="1" w:styleId="PlainTextChar1">
    <w:name w:val="Plain Text Char1"/>
    <w:basedOn w:val="DefaultParagraphFont"/>
    <w:uiPriority w:val="99"/>
    <w:semiHidden/>
    <w:rsid w:val="005C29C8"/>
    <w:rPr>
      <w:rFonts w:ascii="Consolas" w:hAnsi="Consolas"/>
      <w:kern w:val="0"/>
      <w:sz w:val="21"/>
      <w:szCs w:val="21"/>
      <w14:ligatures w14:val="none"/>
    </w:rPr>
  </w:style>
  <w:style w:type="character" w:customStyle="1" w:styleId="SalutationChar">
    <w:name w:val="Salutation Char"/>
    <w:basedOn w:val="DefaultParagraphFont"/>
    <w:link w:val="Salutation"/>
    <w:uiPriority w:val="99"/>
    <w:semiHidden/>
    <w:rsid w:val="005C29C8"/>
    <w:rPr>
      <w:rFonts w:ascii="Arial" w:hAnsi="Arial"/>
      <w:kern w:val="0"/>
      <w:szCs w:val="18"/>
      <w14:ligatures w14:val="none"/>
    </w:rPr>
  </w:style>
  <w:style w:type="paragraph" w:styleId="Salutation">
    <w:name w:val="Salutation"/>
    <w:basedOn w:val="Normal"/>
    <w:next w:val="Normal"/>
    <w:link w:val="SalutationChar"/>
    <w:uiPriority w:val="99"/>
    <w:semiHidden/>
    <w:rsid w:val="005C29C8"/>
    <w:pPr>
      <w:spacing w:before="120"/>
    </w:pPr>
    <w:rPr>
      <w:szCs w:val="18"/>
    </w:rPr>
  </w:style>
  <w:style w:type="character" w:customStyle="1" w:styleId="SalutationChar1">
    <w:name w:val="Salutation Char1"/>
    <w:basedOn w:val="DefaultParagraphFont"/>
    <w:uiPriority w:val="99"/>
    <w:semiHidden/>
    <w:rsid w:val="005C29C8"/>
    <w:rPr>
      <w:rFonts w:ascii="Arial" w:hAnsi="Arial"/>
      <w:kern w:val="0"/>
      <w:szCs w:val="24"/>
      <w14:ligatures w14:val="none"/>
    </w:rPr>
  </w:style>
  <w:style w:type="paragraph" w:customStyle="1" w:styleId="Sectionintro">
    <w:name w:val="Section intro"/>
    <w:basedOn w:val="Normal"/>
    <w:next w:val="Normal"/>
    <w:uiPriority w:val="2"/>
    <w:qFormat/>
    <w:rsid w:val="005C29C8"/>
    <w:pPr>
      <w:spacing w:before="120" w:after="360" w:line="360" w:lineRule="atLeast"/>
      <w:contextualSpacing/>
    </w:pPr>
    <w:rPr>
      <w:sz w:val="28"/>
      <w:szCs w:val="18"/>
    </w:rPr>
  </w:style>
  <w:style w:type="character" w:customStyle="1" w:styleId="SignatureChar">
    <w:name w:val="Signature Char"/>
    <w:basedOn w:val="DefaultParagraphFont"/>
    <w:link w:val="Signature"/>
    <w:uiPriority w:val="99"/>
    <w:semiHidden/>
    <w:rsid w:val="005C29C8"/>
    <w:rPr>
      <w:rFonts w:ascii="Arial" w:hAnsi="Arial"/>
      <w:kern w:val="0"/>
      <w:szCs w:val="18"/>
      <w14:ligatures w14:val="none"/>
    </w:rPr>
  </w:style>
  <w:style w:type="paragraph" w:styleId="Signature">
    <w:name w:val="Signature"/>
    <w:basedOn w:val="Normal"/>
    <w:link w:val="SignatureChar"/>
    <w:uiPriority w:val="99"/>
    <w:semiHidden/>
    <w:rsid w:val="005C29C8"/>
    <w:pPr>
      <w:keepNext/>
      <w:keepLines/>
      <w:spacing w:before="120"/>
    </w:pPr>
    <w:rPr>
      <w:szCs w:val="18"/>
    </w:rPr>
  </w:style>
  <w:style w:type="character" w:customStyle="1" w:styleId="SignatureChar1">
    <w:name w:val="Signature Char1"/>
    <w:basedOn w:val="DefaultParagraphFont"/>
    <w:uiPriority w:val="99"/>
    <w:semiHidden/>
    <w:rsid w:val="005C29C8"/>
    <w:rPr>
      <w:rFonts w:ascii="Arial" w:hAnsi="Arial"/>
      <w:kern w:val="0"/>
      <w:szCs w:val="24"/>
      <w14:ligatures w14:val="none"/>
    </w:rPr>
  </w:style>
  <w:style w:type="paragraph" w:customStyle="1" w:styleId="Tablebullets">
    <w:name w:val="Table bullets"/>
    <w:basedOn w:val="TabletextLeft"/>
    <w:uiPriority w:val="5"/>
    <w:rsid w:val="005C29C8"/>
    <w:pPr>
      <w:framePr w:hSpace="180" w:wrap="around" w:vAnchor="text" w:hAnchor="text" w:y="1"/>
      <w:numPr>
        <w:numId w:val="87"/>
      </w:numPr>
      <w:suppressOverlap/>
    </w:pPr>
  </w:style>
  <w:style w:type="paragraph" w:customStyle="1" w:styleId="Tablenumbered">
    <w:name w:val="Table numbered"/>
    <w:basedOn w:val="TabletextLeft"/>
    <w:uiPriority w:val="5"/>
    <w:rsid w:val="005C29C8"/>
    <w:pPr>
      <w:framePr w:hSpace="180" w:wrap="around" w:vAnchor="text" w:hAnchor="text" w:y="1"/>
      <w:numPr>
        <w:numId w:val="88"/>
      </w:numPr>
      <w:suppressOverlap/>
    </w:pPr>
  </w:style>
  <w:style w:type="paragraph" w:styleId="TOC5">
    <w:name w:val="toc 5"/>
    <w:basedOn w:val="Normal"/>
    <w:next w:val="Normal"/>
    <w:uiPriority w:val="39"/>
    <w:rsid w:val="005C29C8"/>
    <w:pPr>
      <w:spacing w:before="120" w:after="100"/>
      <w:ind w:left="567" w:right="567"/>
      <w:contextualSpacing/>
    </w:pPr>
    <w:rPr>
      <w:szCs w:val="18"/>
    </w:rPr>
  </w:style>
  <w:style w:type="table" w:styleId="PlainTable3">
    <w:name w:val="Plain Table 3"/>
    <w:basedOn w:val="TableNormal"/>
    <w:uiPriority w:val="43"/>
    <w:rsid w:val="00141B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5A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A45A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
    <w:name w:val="Table"/>
    <w:basedOn w:val="Normal"/>
    <w:qFormat/>
    <w:rsid w:val="00CE2D5C"/>
    <w:pPr>
      <w:spacing w:after="0" w:line="240" w:lineRule="auto"/>
    </w:pPr>
    <w:rPr>
      <w:rFonts w:asciiTheme="minorHAnsi" w:hAnsiTheme="minorHAnsi"/>
      <w:kern w:val="2"/>
      <w:sz w:val="18"/>
      <w:szCs w:val="22"/>
      <w:lang w:val="en-GB"/>
      <w14:ligatures w14:val="standardContextual"/>
    </w:rPr>
  </w:style>
  <w:style w:type="paragraph" w:customStyle="1" w:styleId="Default">
    <w:name w:val="Default"/>
    <w:rsid w:val="00113C95"/>
    <w:pPr>
      <w:autoSpaceDE w:val="0"/>
      <w:autoSpaceDN w:val="0"/>
      <w:adjustRightInd w:val="0"/>
      <w:spacing w:after="0" w:line="240" w:lineRule="auto"/>
    </w:pPr>
    <w:rPr>
      <w:rFonts w:ascii="Arial" w:hAnsi="Arial" w:cs="Arial"/>
      <w:color w:val="000000"/>
      <w:kern w:val="0"/>
      <w:sz w:val="24"/>
      <w:szCs w:val="24"/>
      <w:lang w:val="en-GB"/>
    </w:rPr>
  </w:style>
  <w:style w:type="paragraph" w:customStyle="1" w:styleId="Source-CSR">
    <w:name w:val="Source - CSR"/>
    <w:basedOn w:val="Normal"/>
    <w:qFormat/>
    <w:rsid w:val="00D566DF"/>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489">
      <w:bodyDiv w:val="1"/>
      <w:marLeft w:val="0"/>
      <w:marRight w:val="0"/>
      <w:marTop w:val="0"/>
      <w:marBottom w:val="0"/>
      <w:divBdr>
        <w:top w:val="none" w:sz="0" w:space="0" w:color="auto"/>
        <w:left w:val="none" w:sz="0" w:space="0" w:color="auto"/>
        <w:bottom w:val="none" w:sz="0" w:space="0" w:color="auto"/>
        <w:right w:val="none" w:sz="0" w:space="0" w:color="auto"/>
      </w:divBdr>
    </w:div>
    <w:div w:id="20251794">
      <w:bodyDiv w:val="1"/>
      <w:marLeft w:val="0"/>
      <w:marRight w:val="0"/>
      <w:marTop w:val="0"/>
      <w:marBottom w:val="0"/>
      <w:divBdr>
        <w:top w:val="none" w:sz="0" w:space="0" w:color="auto"/>
        <w:left w:val="none" w:sz="0" w:space="0" w:color="auto"/>
        <w:bottom w:val="none" w:sz="0" w:space="0" w:color="auto"/>
        <w:right w:val="none" w:sz="0" w:space="0" w:color="auto"/>
      </w:divBdr>
    </w:div>
    <w:div w:id="27342958">
      <w:bodyDiv w:val="1"/>
      <w:marLeft w:val="0"/>
      <w:marRight w:val="0"/>
      <w:marTop w:val="0"/>
      <w:marBottom w:val="0"/>
      <w:divBdr>
        <w:top w:val="none" w:sz="0" w:space="0" w:color="auto"/>
        <w:left w:val="none" w:sz="0" w:space="0" w:color="auto"/>
        <w:bottom w:val="none" w:sz="0" w:space="0" w:color="auto"/>
        <w:right w:val="none" w:sz="0" w:space="0" w:color="auto"/>
      </w:divBdr>
      <w:divsChild>
        <w:div w:id="815495458">
          <w:marLeft w:val="0"/>
          <w:marRight w:val="0"/>
          <w:marTop w:val="0"/>
          <w:marBottom w:val="0"/>
          <w:divBdr>
            <w:top w:val="none" w:sz="0" w:space="0" w:color="auto"/>
            <w:left w:val="none" w:sz="0" w:space="0" w:color="auto"/>
            <w:bottom w:val="none" w:sz="0" w:space="0" w:color="auto"/>
            <w:right w:val="none" w:sz="0" w:space="0" w:color="auto"/>
          </w:divBdr>
        </w:div>
        <w:div w:id="969549967">
          <w:marLeft w:val="0"/>
          <w:marRight w:val="210"/>
          <w:marTop w:val="0"/>
          <w:marBottom w:val="0"/>
          <w:divBdr>
            <w:top w:val="none" w:sz="0" w:space="0" w:color="auto"/>
            <w:left w:val="none" w:sz="0" w:space="0" w:color="auto"/>
            <w:bottom w:val="none" w:sz="0" w:space="0" w:color="auto"/>
            <w:right w:val="none" w:sz="0" w:space="0" w:color="auto"/>
          </w:divBdr>
          <w:divsChild>
            <w:div w:id="1098715309">
              <w:marLeft w:val="0"/>
              <w:marRight w:val="0"/>
              <w:marTop w:val="0"/>
              <w:marBottom w:val="0"/>
              <w:divBdr>
                <w:top w:val="none" w:sz="0" w:space="0" w:color="auto"/>
                <w:left w:val="none" w:sz="0" w:space="0" w:color="auto"/>
                <w:bottom w:val="none" w:sz="0" w:space="0" w:color="auto"/>
                <w:right w:val="none" w:sz="0" w:space="0" w:color="auto"/>
              </w:divBdr>
              <w:divsChild>
                <w:div w:id="994454666">
                  <w:marLeft w:val="0"/>
                  <w:marRight w:val="0"/>
                  <w:marTop w:val="0"/>
                  <w:marBottom w:val="0"/>
                  <w:divBdr>
                    <w:top w:val="none" w:sz="0" w:space="0" w:color="auto"/>
                    <w:left w:val="none" w:sz="0" w:space="0" w:color="auto"/>
                    <w:bottom w:val="none" w:sz="0" w:space="0" w:color="auto"/>
                    <w:right w:val="none" w:sz="0" w:space="0" w:color="auto"/>
                  </w:divBdr>
                  <w:divsChild>
                    <w:div w:id="100273289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63895">
      <w:bodyDiv w:val="1"/>
      <w:marLeft w:val="0"/>
      <w:marRight w:val="0"/>
      <w:marTop w:val="0"/>
      <w:marBottom w:val="0"/>
      <w:divBdr>
        <w:top w:val="none" w:sz="0" w:space="0" w:color="auto"/>
        <w:left w:val="none" w:sz="0" w:space="0" w:color="auto"/>
        <w:bottom w:val="none" w:sz="0" w:space="0" w:color="auto"/>
        <w:right w:val="none" w:sz="0" w:space="0" w:color="auto"/>
      </w:divBdr>
    </w:div>
    <w:div w:id="87504221">
      <w:bodyDiv w:val="1"/>
      <w:marLeft w:val="0"/>
      <w:marRight w:val="0"/>
      <w:marTop w:val="0"/>
      <w:marBottom w:val="0"/>
      <w:divBdr>
        <w:top w:val="none" w:sz="0" w:space="0" w:color="auto"/>
        <w:left w:val="none" w:sz="0" w:space="0" w:color="auto"/>
        <w:bottom w:val="none" w:sz="0" w:space="0" w:color="auto"/>
        <w:right w:val="none" w:sz="0" w:space="0" w:color="auto"/>
      </w:divBdr>
    </w:div>
    <w:div w:id="143670823">
      <w:bodyDiv w:val="1"/>
      <w:marLeft w:val="0"/>
      <w:marRight w:val="0"/>
      <w:marTop w:val="0"/>
      <w:marBottom w:val="0"/>
      <w:divBdr>
        <w:top w:val="none" w:sz="0" w:space="0" w:color="auto"/>
        <w:left w:val="none" w:sz="0" w:space="0" w:color="auto"/>
        <w:bottom w:val="none" w:sz="0" w:space="0" w:color="auto"/>
        <w:right w:val="none" w:sz="0" w:space="0" w:color="auto"/>
      </w:divBdr>
    </w:div>
    <w:div w:id="152527912">
      <w:bodyDiv w:val="1"/>
      <w:marLeft w:val="0"/>
      <w:marRight w:val="0"/>
      <w:marTop w:val="0"/>
      <w:marBottom w:val="0"/>
      <w:divBdr>
        <w:top w:val="none" w:sz="0" w:space="0" w:color="auto"/>
        <w:left w:val="none" w:sz="0" w:space="0" w:color="auto"/>
        <w:bottom w:val="none" w:sz="0" w:space="0" w:color="auto"/>
        <w:right w:val="none" w:sz="0" w:space="0" w:color="auto"/>
      </w:divBdr>
    </w:div>
    <w:div w:id="184712767">
      <w:bodyDiv w:val="1"/>
      <w:marLeft w:val="0"/>
      <w:marRight w:val="0"/>
      <w:marTop w:val="0"/>
      <w:marBottom w:val="0"/>
      <w:divBdr>
        <w:top w:val="none" w:sz="0" w:space="0" w:color="auto"/>
        <w:left w:val="none" w:sz="0" w:space="0" w:color="auto"/>
        <w:bottom w:val="none" w:sz="0" w:space="0" w:color="auto"/>
        <w:right w:val="none" w:sz="0" w:space="0" w:color="auto"/>
      </w:divBdr>
    </w:div>
    <w:div w:id="191845355">
      <w:bodyDiv w:val="1"/>
      <w:marLeft w:val="0"/>
      <w:marRight w:val="0"/>
      <w:marTop w:val="0"/>
      <w:marBottom w:val="0"/>
      <w:divBdr>
        <w:top w:val="none" w:sz="0" w:space="0" w:color="auto"/>
        <w:left w:val="none" w:sz="0" w:space="0" w:color="auto"/>
        <w:bottom w:val="none" w:sz="0" w:space="0" w:color="auto"/>
        <w:right w:val="none" w:sz="0" w:space="0" w:color="auto"/>
      </w:divBdr>
    </w:div>
    <w:div w:id="224530219">
      <w:bodyDiv w:val="1"/>
      <w:marLeft w:val="0"/>
      <w:marRight w:val="0"/>
      <w:marTop w:val="0"/>
      <w:marBottom w:val="0"/>
      <w:divBdr>
        <w:top w:val="none" w:sz="0" w:space="0" w:color="auto"/>
        <w:left w:val="none" w:sz="0" w:space="0" w:color="auto"/>
        <w:bottom w:val="none" w:sz="0" w:space="0" w:color="auto"/>
        <w:right w:val="none" w:sz="0" w:space="0" w:color="auto"/>
      </w:divBdr>
    </w:div>
    <w:div w:id="292909767">
      <w:bodyDiv w:val="1"/>
      <w:marLeft w:val="0"/>
      <w:marRight w:val="0"/>
      <w:marTop w:val="0"/>
      <w:marBottom w:val="0"/>
      <w:divBdr>
        <w:top w:val="none" w:sz="0" w:space="0" w:color="auto"/>
        <w:left w:val="none" w:sz="0" w:space="0" w:color="auto"/>
        <w:bottom w:val="none" w:sz="0" w:space="0" w:color="auto"/>
        <w:right w:val="none" w:sz="0" w:space="0" w:color="auto"/>
      </w:divBdr>
    </w:div>
    <w:div w:id="327098238">
      <w:bodyDiv w:val="1"/>
      <w:marLeft w:val="0"/>
      <w:marRight w:val="0"/>
      <w:marTop w:val="0"/>
      <w:marBottom w:val="0"/>
      <w:divBdr>
        <w:top w:val="none" w:sz="0" w:space="0" w:color="auto"/>
        <w:left w:val="none" w:sz="0" w:space="0" w:color="auto"/>
        <w:bottom w:val="none" w:sz="0" w:space="0" w:color="auto"/>
        <w:right w:val="none" w:sz="0" w:space="0" w:color="auto"/>
      </w:divBdr>
    </w:div>
    <w:div w:id="336614823">
      <w:bodyDiv w:val="1"/>
      <w:marLeft w:val="0"/>
      <w:marRight w:val="0"/>
      <w:marTop w:val="0"/>
      <w:marBottom w:val="0"/>
      <w:divBdr>
        <w:top w:val="none" w:sz="0" w:space="0" w:color="auto"/>
        <w:left w:val="none" w:sz="0" w:space="0" w:color="auto"/>
        <w:bottom w:val="none" w:sz="0" w:space="0" w:color="auto"/>
        <w:right w:val="none" w:sz="0" w:space="0" w:color="auto"/>
      </w:divBdr>
    </w:div>
    <w:div w:id="339159899">
      <w:bodyDiv w:val="1"/>
      <w:marLeft w:val="0"/>
      <w:marRight w:val="0"/>
      <w:marTop w:val="0"/>
      <w:marBottom w:val="0"/>
      <w:divBdr>
        <w:top w:val="none" w:sz="0" w:space="0" w:color="auto"/>
        <w:left w:val="none" w:sz="0" w:space="0" w:color="auto"/>
        <w:bottom w:val="none" w:sz="0" w:space="0" w:color="auto"/>
        <w:right w:val="none" w:sz="0" w:space="0" w:color="auto"/>
      </w:divBdr>
    </w:div>
    <w:div w:id="381252848">
      <w:bodyDiv w:val="1"/>
      <w:marLeft w:val="0"/>
      <w:marRight w:val="0"/>
      <w:marTop w:val="0"/>
      <w:marBottom w:val="0"/>
      <w:divBdr>
        <w:top w:val="none" w:sz="0" w:space="0" w:color="auto"/>
        <w:left w:val="none" w:sz="0" w:space="0" w:color="auto"/>
        <w:bottom w:val="none" w:sz="0" w:space="0" w:color="auto"/>
        <w:right w:val="none" w:sz="0" w:space="0" w:color="auto"/>
      </w:divBdr>
    </w:div>
    <w:div w:id="383913789">
      <w:bodyDiv w:val="1"/>
      <w:marLeft w:val="0"/>
      <w:marRight w:val="0"/>
      <w:marTop w:val="0"/>
      <w:marBottom w:val="0"/>
      <w:divBdr>
        <w:top w:val="none" w:sz="0" w:space="0" w:color="auto"/>
        <w:left w:val="none" w:sz="0" w:space="0" w:color="auto"/>
        <w:bottom w:val="none" w:sz="0" w:space="0" w:color="auto"/>
        <w:right w:val="none" w:sz="0" w:space="0" w:color="auto"/>
      </w:divBdr>
    </w:div>
    <w:div w:id="391581271">
      <w:bodyDiv w:val="1"/>
      <w:marLeft w:val="0"/>
      <w:marRight w:val="0"/>
      <w:marTop w:val="0"/>
      <w:marBottom w:val="0"/>
      <w:divBdr>
        <w:top w:val="none" w:sz="0" w:space="0" w:color="auto"/>
        <w:left w:val="none" w:sz="0" w:space="0" w:color="auto"/>
        <w:bottom w:val="none" w:sz="0" w:space="0" w:color="auto"/>
        <w:right w:val="none" w:sz="0" w:space="0" w:color="auto"/>
      </w:divBdr>
    </w:div>
    <w:div w:id="436676838">
      <w:bodyDiv w:val="1"/>
      <w:marLeft w:val="0"/>
      <w:marRight w:val="0"/>
      <w:marTop w:val="0"/>
      <w:marBottom w:val="0"/>
      <w:divBdr>
        <w:top w:val="none" w:sz="0" w:space="0" w:color="auto"/>
        <w:left w:val="none" w:sz="0" w:space="0" w:color="auto"/>
        <w:bottom w:val="none" w:sz="0" w:space="0" w:color="auto"/>
        <w:right w:val="none" w:sz="0" w:space="0" w:color="auto"/>
      </w:divBdr>
    </w:div>
    <w:div w:id="460423112">
      <w:bodyDiv w:val="1"/>
      <w:marLeft w:val="0"/>
      <w:marRight w:val="0"/>
      <w:marTop w:val="0"/>
      <w:marBottom w:val="0"/>
      <w:divBdr>
        <w:top w:val="none" w:sz="0" w:space="0" w:color="auto"/>
        <w:left w:val="none" w:sz="0" w:space="0" w:color="auto"/>
        <w:bottom w:val="none" w:sz="0" w:space="0" w:color="auto"/>
        <w:right w:val="none" w:sz="0" w:space="0" w:color="auto"/>
      </w:divBdr>
    </w:div>
    <w:div w:id="475150706">
      <w:bodyDiv w:val="1"/>
      <w:marLeft w:val="0"/>
      <w:marRight w:val="0"/>
      <w:marTop w:val="0"/>
      <w:marBottom w:val="0"/>
      <w:divBdr>
        <w:top w:val="none" w:sz="0" w:space="0" w:color="auto"/>
        <w:left w:val="none" w:sz="0" w:space="0" w:color="auto"/>
        <w:bottom w:val="none" w:sz="0" w:space="0" w:color="auto"/>
        <w:right w:val="none" w:sz="0" w:space="0" w:color="auto"/>
      </w:divBdr>
    </w:div>
    <w:div w:id="529029056">
      <w:bodyDiv w:val="1"/>
      <w:marLeft w:val="0"/>
      <w:marRight w:val="0"/>
      <w:marTop w:val="0"/>
      <w:marBottom w:val="0"/>
      <w:divBdr>
        <w:top w:val="none" w:sz="0" w:space="0" w:color="auto"/>
        <w:left w:val="none" w:sz="0" w:space="0" w:color="auto"/>
        <w:bottom w:val="none" w:sz="0" w:space="0" w:color="auto"/>
        <w:right w:val="none" w:sz="0" w:space="0" w:color="auto"/>
      </w:divBdr>
    </w:div>
    <w:div w:id="547843330">
      <w:bodyDiv w:val="1"/>
      <w:marLeft w:val="0"/>
      <w:marRight w:val="0"/>
      <w:marTop w:val="0"/>
      <w:marBottom w:val="0"/>
      <w:divBdr>
        <w:top w:val="none" w:sz="0" w:space="0" w:color="auto"/>
        <w:left w:val="none" w:sz="0" w:space="0" w:color="auto"/>
        <w:bottom w:val="none" w:sz="0" w:space="0" w:color="auto"/>
        <w:right w:val="none" w:sz="0" w:space="0" w:color="auto"/>
      </w:divBdr>
    </w:div>
    <w:div w:id="585506082">
      <w:bodyDiv w:val="1"/>
      <w:marLeft w:val="0"/>
      <w:marRight w:val="0"/>
      <w:marTop w:val="0"/>
      <w:marBottom w:val="0"/>
      <w:divBdr>
        <w:top w:val="none" w:sz="0" w:space="0" w:color="auto"/>
        <w:left w:val="none" w:sz="0" w:space="0" w:color="auto"/>
        <w:bottom w:val="none" w:sz="0" w:space="0" w:color="auto"/>
        <w:right w:val="none" w:sz="0" w:space="0" w:color="auto"/>
      </w:divBdr>
    </w:div>
    <w:div w:id="598029757">
      <w:bodyDiv w:val="1"/>
      <w:marLeft w:val="0"/>
      <w:marRight w:val="0"/>
      <w:marTop w:val="0"/>
      <w:marBottom w:val="0"/>
      <w:divBdr>
        <w:top w:val="none" w:sz="0" w:space="0" w:color="auto"/>
        <w:left w:val="none" w:sz="0" w:space="0" w:color="auto"/>
        <w:bottom w:val="none" w:sz="0" w:space="0" w:color="auto"/>
        <w:right w:val="none" w:sz="0" w:space="0" w:color="auto"/>
      </w:divBdr>
    </w:div>
    <w:div w:id="604388331">
      <w:bodyDiv w:val="1"/>
      <w:marLeft w:val="0"/>
      <w:marRight w:val="0"/>
      <w:marTop w:val="0"/>
      <w:marBottom w:val="0"/>
      <w:divBdr>
        <w:top w:val="none" w:sz="0" w:space="0" w:color="auto"/>
        <w:left w:val="none" w:sz="0" w:space="0" w:color="auto"/>
        <w:bottom w:val="none" w:sz="0" w:space="0" w:color="auto"/>
        <w:right w:val="none" w:sz="0" w:space="0" w:color="auto"/>
      </w:divBdr>
    </w:div>
    <w:div w:id="670451498">
      <w:bodyDiv w:val="1"/>
      <w:marLeft w:val="0"/>
      <w:marRight w:val="0"/>
      <w:marTop w:val="0"/>
      <w:marBottom w:val="0"/>
      <w:divBdr>
        <w:top w:val="none" w:sz="0" w:space="0" w:color="auto"/>
        <w:left w:val="none" w:sz="0" w:space="0" w:color="auto"/>
        <w:bottom w:val="none" w:sz="0" w:space="0" w:color="auto"/>
        <w:right w:val="none" w:sz="0" w:space="0" w:color="auto"/>
      </w:divBdr>
    </w:div>
    <w:div w:id="672874214">
      <w:bodyDiv w:val="1"/>
      <w:marLeft w:val="0"/>
      <w:marRight w:val="0"/>
      <w:marTop w:val="0"/>
      <w:marBottom w:val="0"/>
      <w:divBdr>
        <w:top w:val="none" w:sz="0" w:space="0" w:color="auto"/>
        <w:left w:val="none" w:sz="0" w:space="0" w:color="auto"/>
        <w:bottom w:val="none" w:sz="0" w:space="0" w:color="auto"/>
        <w:right w:val="none" w:sz="0" w:space="0" w:color="auto"/>
      </w:divBdr>
    </w:div>
    <w:div w:id="720977074">
      <w:bodyDiv w:val="1"/>
      <w:marLeft w:val="0"/>
      <w:marRight w:val="0"/>
      <w:marTop w:val="0"/>
      <w:marBottom w:val="0"/>
      <w:divBdr>
        <w:top w:val="none" w:sz="0" w:space="0" w:color="auto"/>
        <w:left w:val="none" w:sz="0" w:space="0" w:color="auto"/>
        <w:bottom w:val="none" w:sz="0" w:space="0" w:color="auto"/>
        <w:right w:val="none" w:sz="0" w:space="0" w:color="auto"/>
      </w:divBdr>
    </w:div>
    <w:div w:id="775634163">
      <w:bodyDiv w:val="1"/>
      <w:marLeft w:val="0"/>
      <w:marRight w:val="0"/>
      <w:marTop w:val="0"/>
      <w:marBottom w:val="0"/>
      <w:divBdr>
        <w:top w:val="none" w:sz="0" w:space="0" w:color="auto"/>
        <w:left w:val="none" w:sz="0" w:space="0" w:color="auto"/>
        <w:bottom w:val="none" w:sz="0" w:space="0" w:color="auto"/>
        <w:right w:val="none" w:sz="0" w:space="0" w:color="auto"/>
      </w:divBdr>
      <w:divsChild>
        <w:div w:id="665519272">
          <w:marLeft w:val="0"/>
          <w:marRight w:val="0"/>
          <w:marTop w:val="0"/>
          <w:marBottom w:val="0"/>
          <w:divBdr>
            <w:top w:val="none" w:sz="0" w:space="0" w:color="auto"/>
            <w:left w:val="none" w:sz="0" w:space="0" w:color="auto"/>
            <w:bottom w:val="none" w:sz="0" w:space="0" w:color="auto"/>
            <w:right w:val="none" w:sz="0" w:space="0" w:color="auto"/>
          </w:divBdr>
          <w:divsChild>
            <w:div w:id="696320435">
              <w:marLeft w:val="0"/>
              <w:marRight w:val="0"/>
              <w:marTop w:val="0"/>
              <w:marBottom w:val="0"/>
              <w:divBdr>
                <w:top w:val="none" w:sz="0" w:space="0" w:color="auto"/>
                <w:left w:val="none" w:sz="0" w:space="0" w:color="auto"/>
                <w:bottom w:val="none" w:sz="0" w:space="0" w:color="auto"/>
                <w:right w:val="none" w:sz="0" w:space="0" w:color="auto"/>
              </w:divBdr>
              <w:divsChild>
                <w:div w:id="2138181544">
                  <w:marLeft w:val="0"/>
                  <w:marRight w:val="0"/>
                  <w:marTop w:val="0"/>
                  <w:marBottom w:val="0"/>
                  <w:divBdr>
                    <w:top w:val="none" w:sz="0" w:space="0" w:color="auto"/>
                    <w:left w:val="none" w:sz="0" w:space="0" w:color="auto"/>
                    <w:bottom w:val="none" w:sz="0" w:space="0" w:color="auto"/>
                    <w:right w:val="none" w:sz="0" w:space="0" w:color="auto"/>
                  </w:divBdr>
                  <w:divsChild>
                    <w:div w:id="7996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5751">
          <w:marLeft w:val="0"/>
          <w:marRight w:val="0"/>
          <w:marTop w:val="0"/>
          <w:marBottom w:val="0"/>
          <w:divBdr>
            <w:top w:val="none" w:sz="0" w:space="0" w:color="auto"/>
            <w:left w:val="none" w:sz="0" w:space="0" w:color="auto"/>
            <w:bottom w:val="none" w:sz="0" w:space="0" w:color="auto"/>
            <w:right w:val="none" w:sz="0" w:space="0" w:color="auto"/>
          </w:divBdr>
          <w:divsChild>
            <w:div w:id="1482773286">
              <w:marLeft w:val="0"/>
              <w:marRight w:val="0"/>
              <w:marTop w:val="0"/>
              <w:marBottom w:val="0"/>
              <w:divBdr>
                <w:top w:val="none" w:sz="0" w:space="0" w:color="auto"/>
                <w:left w:val="none" w:sz="0" w:space="0" w:color="auto"/>
                <w:bottom w:val="none" w:sz="0" w:space="0" w:color="auto"/>
                <w:right w:val="none" w:sz="0" w:space="0" w:color="auto"/>
              </w:divBdr>
              <w:divsChild>
                <w:div w:id="1711296133">
                  <w:marLeft w:val="0"/>
                  <w:marRight w:val="0"/>
                  <w:marTop w:val="0"/>
                  <w:marBottom w:val="0"/>
                  <w:divBdr>
                    <w:top w:val="none" w:sz="0" w:space="0" w:color="auto"/>
                    <w:left w:val="none" w:sz="0" w:space="0" w:color="auto"/>
                    <w:bottom w:val="none" w:sz="0" w:space="0" w:color="auto"/>
                    <w:right w:val="none" w:sz="0" w:space="0" w:color="auto"/>
                  </w:divBdr>
                  <w:divsChild>
                    <w:div w:id="3815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243162">
      <w:bodyDiv w:val="1"/>
      <w:marLeft w:val="0"/>
      <w:marRight w:val="0"/>
      <w:marTop w:val="0"/>
      <w:marBottom w:val="0"/>
      <w:divBdr>
        <w:top w:val="none" w:sz="0" w:space="0" w:color="auto"/>
        <w:left w:val="none" w:sz="0" w:space="0" w:color="auto"/>
        <w:bottom w:val="none" w:sz="0" w:space="0" w:color="auto"/>
        <w:right w:val="none" w:sz="0" w:space="0" w:color="auto"/>
      </w:divBdr>
    </w:div>
    <w:div w:id="798767365">
      <w:bodyDiv w:val="1"/>
      <w:marLeft w:val="0"/>
      <w:marRight w:val="0"/>
      <w:marTop w:val="0"/>
      <w:marBottom w:val="0"/>
      <w:divBdr>
        <w:top w:val="none" w:sz="0" w:space="0" w:color="auto"/>
        <w:left w:val="none" w:sz="0" w:space="0" w:color="auto"/>
        <w:bottom w:val="none" w:sz="0" w:space="0" w:color="auto"/>
        <w:right w:val="none" w:sz="0" w:space="0" w:color="auto"/>
      </w:divBdr>
    </w:div>
    <w:div w:id="811293226">
      <w:bodyDiv w:val="1"/>
      <w:marLeft w:val="0"/>
      <w:marRight w:val="0"/>
      <w:marTop w:val="0"/>
      <w:marBottom w:val="0"/>
      <w:divBdr>
        <w:top w:val="none" w:sz="0" w:space="0" w:color="auto"/>
        <w:left w:val="none" w:sz="0" w:space="0" w:color="auto"/>
        <w:bottom w:val="none" w:sz="0" w:space="0" w:color="auto"/>
        <w:right w:val="none" w:sz="0" w:space="0" w:color="auto"/>
      </w:divBdr>
    </w:div>
    <w:div w:id="812215119">
      <w:bodyDiv w:val="1"/>
      <w:marLeft w:val="0"/>
      <w:marRight w:val="0"/>
      <w:marTop w:val="0"/>
      <w:marBottom w:val="0"/>
      <w:divBdr>
        <w:top w:val="none" w:sz="0" w:space="0" w:color="auto"/>
        <w:left w:val="none" w:sz="0" w:space="0" w:color="auto"/>
        <w:bottom w:val="none" w:sz="0" w:space="0" w:color="auto"/>
        <w:right w:val="none" w:sz="0" w:space="0" w:color="auto"/>
      </w:divBdr>
    </w:div>
    <w:div w:id="821502427">
      <w:bodyDiv w:val="1"/>
      <w:marLeft w:val="0"/>
      <w:marRight w:val="0"/>
      <w:marTop w:val="0"/>
      <w:marBottom w:val="0"/>
      <w:divBdr>
        <w:top w:val="none" w:sz="0" w:space="0" w:color="auto"/>
        <w:left w:val="none" w:sz="0" w:space="0" w:color="auto"/>
        <w:bottom w:val="none" w:sz="0" w:space="0" w:color="auto"/>
        <w:right w:val="none" w:sz="0" w:space="0" w:color="auto"/>
      </w:divBdr>
    </w:div>
    <w:div w:id="822743231">
      <w:bodyDiv w:val="1"/>
      <w:marLeft w:val="0"/>
      <w:marRight w:val="0"/>
      <w:marTop w:val="0"/>
      <w:marBottom w:val="0"/>
      <w:divBdr>
        <w:top w:val="none" w:sz="0" w:space="0" w:color="auto"/>
        <w:left w:val="none" w:sz="0" w:space="0" w:color="auto"/>
        <w:bottom w:val="none" w:sz="0" w:space="0" w:color="auto"/>
        <w:right w:val="none" w:sz="0" w:space="0" w:color="auto"/>
      </w:divBdr>
    </w:div>
    <w:div w:id="834566841">
      <w:bodyDiv w:val="1"/>
      <w:marLeft w:val="0"/>
      <w:marRight w:val="0"/>
      <w:marTop w:val="0"/>
      <w:marBottom w:val="0"/>
      <w:divBdr>
        <w:top w:val="none" w:sz="0" w:space="0" w:color="auto"/>
        <w:left w:val="none" w:sz="0" w:space="0" w:color="auto"/>
        <w:bottom w:val="none" w:sz="0" w:space="0" w:color="auto"/>
        <w:right w:val="none" w:sz="0" w:space="0" w:color="auto"/>
      </w:divBdr>
    </w:div>
    <w:div w:id="841241431">
      <w:bodyDiv w:val="1"/>
      <w:marLeft w:val="0"/>
      <w:marRight w:val="0"/>
      <w:marTop w:val="0"/>
      <w:marBottom w:val="0"/>
      <w:divBdr>
        <w:top w:val="none" w:sz="0" w:space="0" w:color="auto"/>
        <w:left w:val="none" w:sz="0" w:space="0" w:color="auto"/>
        <w:bottom w:val="none" w:sz="0" w:space="0" w:color="auto"/>
        <w:right w:val="none" w:sz="0" w:space="0" w:color="auto"/>
      </w:divBdr>
    </w:div>
    <w:div w:id="893734174">
      <w:bodyDiv w:val="1"/>
      <w:marLeft w:val="0"/>
      <w:marRight w:val="0"/>
      <w:marTop w:val="0"/>
      <w:marBottom w:val="0"/>
      <w:divBdr>
        <w:top w:val="none" w:sz="0" w:space="0" w:color="auto"/>
        <w:left w:val="none" w:sz="0" w:space="0" w:color="auto"/>
        <w:bottom w:val="none" w:sz="0" w:space="0" w:color="auto"/>
        <w:right w:val="none" w:sz="0" w:space="0" w:color="auto"/>
      </w:divBdr>
    </w:div>
    <w:div w:id="1008098600">
      <w:bodyDiv w:val="1"/>
      <w:marLeft w:val="0"/>
      <w:marRight w:val="0"/>
      <w:marTop w:val="0"/>
      <w:marBottom w:val="0"/>
      <w:divBdr>
        <w:top w:val="none" w:sz="0" w:space="0" w:color="auto"/>
        <w:left w:val="none" w:sz="0" w:space="0" w:color="auto"/>
        <w:bottom w:val="none" w:sz="0" w:space="0" w:color="auto"/>
        <w:right w:val="none" w:sz="0" w:space="0" w:color="auto"/>
      </w:divBdr>
      <w:divsChild>
        <w:div w:id="925841802">
          <w:marLeft w:val="0"/>
          <w:marRight w:val="0"/>
          <w:marTop w:val="0"/>
          <w:marBottom w:val="0"/>
          <w:divBdr>
            <w:top w:val="single" w:sz="6" w:space="24" w:color="D7D7D7"/>
            <w:left w:val="none" w:sz="0" w:space="0" w:color="auto"/>
            <w:bottom w:val="none" w:sz="0" w:space="0" w:color="auto"/>
            <w:right w:val="none" w:sz="0" w:space="0" w:color="auto"/>
          </w:divBdr>
          <w:divsChild>
            <w:div w:id="2138796071">
              <w:marLeft w:val="240"/>
              <w:marRight w:val="240"/>
              <w:marTop w:val="0"/>
              <w:marBottom w:val="0"/>
              <w:divBdr>
                <w:top w:val="none" w:sz="0" w:space="0" w:color="auto"/>
                <w:left w:val="none" w:sz="0" w:space="0" w:color="auto"/>
                <w:bottom w:val="none" w:sz="0" w:space="0" w:color="auto"/>
                <w:right w:val="none" w:sz="0" w:space="0" w:color="auto"/>
              </w:divBdr>
              <w:divsChild>
                <w:div w:id="5515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498530">
      <w:bodyDiv w:val="1"/>
      <w:marLeft w:val="0"/>
      <w:marRight w:val="0"/>
      <w:marTop w:val="0"/>
      <w:marBottom w:val="0"/>
      <w:divBdr>
        <w:top w:val="none" w:sz="0" w:space="0" w:color="auto"/>
        <w:left w:val="none" w:sz="0" w:space="0" w:color="auto"/>
        <w:bottom w:val="none" w:sz="0" w:space="0" w:color="auto"/>
        <w:right w:val="none" w:sz="0" w:space="0" w:color="auto"/>
      </w:divBdr>
    </w:div>
    <w:div w:id="1063407058">
      <w:bodyDiv w:val="1"/>
      <w:marLeft w:val="0"/>
      <w:marRight w:val="0"/>
      <w:marTop w:val="0"/>
      <w:marBottom w:val="0"/>
      <w:divBdr>
        <w:top w:val="none" w:sz="0" w:space="0" w:color="auto"/>
        <w:left w:val="none" w:sz="0" w:space="0" w:color="auto"/>
        <w:bottom w:val="none" w:sz="0" w:space="0" w:color="auto"/>
        <w:right w:val="none" w:sz="0" w:space="0" w:color="auto"/>
      </w:divBdr>
    </w:div>
    <w:div w:id="1090155686">
      <w:bodyDiv w:val="1"/>
      <w:marLeft w:val="0"/>
      <w:marRight w:val="0"/>
      <w:marTop w:val="0"/>
      <w:marBottom w:val="0"/>
      <w:divBdr>
        <w:top w:val="none" w:sz="0" w:space="0" w:color="auto"/>
        <w:left w:val="none" w:sz="0" w:space="0" w:color="auto"/>
        <w:bottom w:val="none" w:sz="0" w:space="0" w:color="auto"/>
        <w:right w:val="none" w:sz="0" w:space="0" w:color="auto"/>
      </w:divBdr>
    </w:div>
    <w:div w:id="1101534297">
      <w:bodyDiv w:val="1"/>
      <w:marLeft w:val="0"/>
      <w:marRight w:val="0"/>
      <w:marTop w:val="0"/>
      <w:marBottom w:val="0"/>
      <w:divBdr>
        <w:top w:val="none" w:sz="0" w:space="0" w:color="auto"/>
        <w:left w:val="none" w:sz="0" w:space="0" w:color="auto"/>
        <w:bottom w:val="none" w:sz="0" w:space="0" w:color="auto"/>
        <w:right w:val="none" w:sz="0" w:space="0" w:color="auto"/>
      </w:divBdr>
    </w:div>
    <w:div w:id="1104962115">
      <w:bodyDiv w:val="1"/>
      <w:marLeft w:val="0"/>
      <w:marRight w:val="0"/>
      <w:marTop w:val="0"/>
      <w:marBottom w:val="0"/>
      <w:divBdr>
        <w:top w:val="none" w:sz="0" w:space="0" w:color="auto"/>
        <w:left w:val="none" w:sz="0" w:space="0" w:color="auto"/>
        <w:bottom w:val="none" w:sz="0" w:space="0" w:color="auto"/>
        <w:right w:val="none" w:sz="0" w:space="0" w:color="auto"/>
      </w:divBdr>
    </w:div>
    <w:div w:id="1114405350">
      <w:bodyDiv w:val="1"/>
      <w:marLeft w:val="0"/>
      <w:marRight w:val="0"/>
      <w:marTop w:val="0"/>
      <w:marBottom w:val="0"/>
      <w:divBdr>
        <w:top w:val="none" w:sz="0" w:space="0" w:color="auto"/>
        <w:left w:val="none" w:sz="0" w:space="0" w:color="auto"/>
        <w:bottom w:val="none" w:sz="0" w:space="0" w:color="auto"/>
        <w:right w:val="none" w:sz="0" w:space="0" w:color="auto"/>
      </w:divBdr>
    </w:div>
    <w:div w:id="1160999057">
      <w:bodyDiv w:val="1"/>
      <w:marLeft w:val="0"/>
      <w:marRight w:val="0"/>
      <w:marTop w:val="0"/>
      <w:marBottom w:val="0"/>
      <w:divBdr>
        <w:top w:val="none" w:sz="0" w:space="0" w:color="auto"/>
        <w:left w:val="none" w:sz="0" w:space="0" w:color="auto"/>
        <w:bottom w:val="none" w:sz="0" w:space="0" w:color="auto"/>
        <w:right w:val="none" w:sz="0" w:space="0" w:color="auto"/>
      </w:divBdr>
    </w:div>
    <w:div w:id="1174607541">
      <w:bodyDiv w:val="1"/>
      <w:marLeft w:val="0"/>
      <w:marRight w:val="0"/>
      <w:marTop w:val="0"/>
      <w:marBottom w:val="0"/>
      <w:divBdr>
        <w:top w:val="none" w:sz="0" w:space="0" w:color="auto"/>
        <w:left w:val="none" w:sz="0" w:space="0" w:color="auto"/>
        <w:bottom w:val="none" w:sz="0" w:space="0" w:color="auto"/>
        <w:right w:val="none" w:sz="0" w:space="0" w:color="auto"/>
      </w:divBdr>
    </w:div>
    <w:div w:id="1184444518">
      <w:bodyDiv w:val="1"/>
      <w:marLeft w:val="0"/>
      <w:marRight w:val="0"/>
      <w:marTop w:val="0"/>
      <w:marBottom w:val="0"/>
      <w:divBdr>
        <w:top w:val="none" w:sz="0" w:space="0" w:color="auto"/>
        <w:left w:val="none" w:sz="0" w:space="0" w:color="auto"/>
        <w:bottom w:val="none" w:sz="0" w:space="0" w:color="auto"/>
        <w:right w:val="none" w:sz="0" w:space="0" w:color="auto"/>
      </w:divBdr>
    </w:div>
    <w:div w:id="1219363395">
      <w:bodyDiv w:val="1"/>
      <w:marLeft w:val="0"/>
      <w:marRight w:val="0"/>
      <w:marTop w:val="0"/>
      <w:marBottom w:val="0"/>
      <w:divBdr>
        <w:top w:val="none" w:sz="0" w:space="0" w:color="auto"/>
        <w:left w:val="none" w:sz="0" w:space="0" w:color="auto"/>
        <w:bottom w:val="none" w:sz="0" w:space="0" w:color="auto"/>
        <w:right w:val="none" w:sz="0" w:space="0" w:color="auto"/>
      </w:divBdr>
    </w:div>
    <w:div w:id="1225802015">
      <w:bodyDiv w:val="1"/>
      <w:marLeft w:val="0"/>
      <w:marRight w:val="0"/>
      <w:marTop w:val="0"/>
      <w:marBottom w:val="0"/>
      <w:divBdr>
        <w:top w:val="none" w:sz="0" w:space="0" w:color="auto"/>
        <w:left w:val="none" w:sz="0" w:space="0" w:color="auto"/>
        <w:bottom w:val="none" w:sz="0" w:space="0" w:color="auto"/>
        <w:right w:val="none" w:sz="0" w:space="0" w:color="auto"/>
      </w:divBdr>
    </w:div>
    <w:div w:id="1233276477">
      <w:bodyDiv w:val="1"/>
      <w:marLeft w:val="0"/>
      <w:marRight w:val="0"/>
      <w:marTop w:val="0"/>
      <w:marBottom w:val="0"/>
      <w:divBdr>
        <w:top w:val="none" w:sz="0" w:space="0" w:color="auto"/>
        <w:left w:val="none" w:sz="0" w:space="0" w:color="auto"/>
        <w:bottom w:val="none" w:sz="0" w:space="0" w:color="auto"/>
        <w:right w:val="none" w:sz="0" w:space="0" w:color="auto"/>
      </w:divBdr>
      <w:divsChild>
        <w:div w:id="264046338">
          <w:marLeft w:val="0"/>
          <w:marRight w:val="0"/>
          <w:marTop w:val="0"/>
          <w:marBottom w:val="0"/>
          <w:divBdr>
            <w:top w:val="none" w:sz="0" w:space="0" w:color="auto"/>
            <w:left w:val="none" w:sz="0" w:space="0" w:color="auto"/>
            <w:bottom w:val="none" w:sz="0" w:space="0" w:color="auto"/>
            <w:right w:val="none" w:sz="0" w:space="0" w:color="auto"/>
          </w:divBdr>
          <w:divsChild>
            <w:div w:id="1702322310">
              <w:marLeft w:val="0"/>
              <w:marRight w:val="0"/>
              <w:marTop w:val="0"/>
              <w:marBottom w:val="0"/>
              <w:divBdr>
                <w:top w:val="none" w:sz="0" w:space="0" w:color="auto"/>
                <w:left w:val="none" w:sz="0" w:space="0" w:color="auto"/>
                <w:bottom w:val="none" w:sz="0" w:space="0" w:color="auto"/>
                <w:right w:val="none" w:sz="0" w:space="0" w:color="auto"/>
              </w:divBdr>
            </w:div>
          </w:divsChild>
        </w:div>
        <w:div w:id="355081623">
          <w:marLeft w:val="0"/>
          <w:marRight w:val="210"/>
          <w:marTop w:val="0"/>
          <w:marBottom w:val="0"/>
          <w:divBdr>
            <w:top w:val="none" w:sz="0" w:space="0" w:color="auto"/>
            <w:left w:val="none" w:sz="0" w:space="0" w:color="auto"/>
            <w:bottom w:val="none" w:sz="0" w:space="0" w:color="auto"/>
            <w:right w:val="none" w:sz="0" w:space="0" w:color="auto"/>
          </w:divBdr>
          <w:divsChild>
            <w:div w:id="1767769452">
              <w:marLeft w:val="0"/>
              <w:marRight w:val="0"/>
              <w:marTop w:val="0"/>
              <w:marBottom w:val="0"/>
              <w:divBdr>
                <w:top w:val="none" w:sz="0" w:space="0" w:color="auto"/>
                <w:left w:val="none" w:sz="0" w:space="0" w:color="auto"/>
                <w:bottom w:val="none" w:sz="0" w:space="0" w:color="auto"/>
                <w:right w:val="none" w:sz="0" w:space="0" w:color="auto"/>
              </w:divBdr>
              <w:divsChild>
                <w:div w:id="1574656980">
                  <w:marLeft w:val="0"/>
                  <w:marRight w:val="0"/>
                  <w:marTop w:val="0"/>
                  <w:marBottom w:val="0"/>
                  <w:divBdr>
                    <w:top w:val="none" w:sz="0" w:space="0" w:color="auto"/>
                    <w:left w:val="none" w:sz="0" w:space="0" w:color="auto"/>
                    <w:bottom w:val="none" w:sz="0" w:space="0" w:color="auto"/>
                    <w:right w:val="none" w:sz="0" w:space="0" w:color="auto"/>
                  </w:divBdr>
                  <w:divsChild>
                    <w:div w:id="148342570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35549">
      <w:bodyDiv w:val="1"/>
      <w:marLeft w:val="0"/>
      <w:marRight w:val="0"/>
      <w:marTop w:val="0"/>
      <w:marBottom w:val="0"/>
      <w:divBdr>
        <w:top w:val="none" w:sz="0" w:space="0" w:color="auto"/>
        <w:left w:val="none" w:sz="0" w:space="0" w:color="auto"/>
        <w:bottom w:val="none" w:sz="0" w:space="0" w:color="auto"/>
        <w:right w:val="none" w:sz="0" w:space="0" w:color="auto"/>
      </w:divBdr>
    </w:div>
    <w:div w:id="1251160279">
      <w:bodyDiv w:val="1"/>
      <w:marLeft w:val="0"/>
      <w:marRight w:val="0"/>
      <w:marTop w:val="0"/>
      <w:marBottom w:val="0"/>
      <w:divBdr>
        <w:top w:val="none" w:sz="0" w:space="0" w:color="auto"/>
        <w:left w:val="none" w:sz="0" w:space="0" w:color="auto"/>
        <w:bottom w:val="none" w:sz="0" w:space="0" w:color="auto"/>
        <w:right w:val="none" w:sz="0" w:space="0" w:color="auto"/>
      </w:divBdr>
    </w:div>
    <w:div w:id="1292252048">
      <w:bodyDiv w:val="1"/>
      <w:marLeft w:val="0"/>
      <w:marRight w:val="0"/>
      <w:marTop w:val="0"/>
      <w:marBottom w:val="0"/>
      <w:divBdr>
        <w:top w:val="none" w:sz="0" w:space="0" w:color="auto"/>
        <w:left w:val="none" w:sz="0" w:space="0" w:color="auto"/>
        <w:bottom w:val="none" w:sz="0" w:space="0" w:color="auto"/>
        <w:right w:val="none" w:sz="0" w:space="0" w:color="auto"/>
      </w:divBdr>
    </w:div>
    <w:div w:id="1307859344">
      <w:bodyDiv w:val="1"/>
      <w:marLeft w:val="0"/>
      <w:marRight w:val="0"/>
      <w:marTop w:val="0"/>
      <w:marBottom w:val="0"/>
      <w:divBdr>
        <w:top w:val="none" w:sz="0" w:space="0" w:color="auto"/>
        <w:left w:val="none" w:sz="0" w:space="0" w:color="auto"/>
        <w:bottom w:val="none" w:sz="0" w:space="0" w:color="auto"/>
        <w:right w:val="none" w:sz="0" w:space="0" w:color="auto"/>
      </w:divBdr>
    </w:div>
    <w:div w:id="1375081156">
      <w:bodyDiv w:val="1"/>
      <w:marLeft w:val="0"/>
      <w:marRight w:val="0"/>
      <w:marTop w:val="0"/>
      <w:marBottom w:val="0"/>
      <w:divBdr>
        <w:top w:val="none" w:sz="0" w:space="0" w:color="auto"/>
        <w:left w:val="none" w:sz="0" w:space="0" w:color="auto"/>
        <w:bottom w:val="none" w:sz="0" w:space="0" w:color="auto"/>
        <w:right w:val="none" w:sz="0" w:space="0" w:color="auto"/>
      </w:divBdr>
    </w:div>
    <w:div w:id="1392729289">
      <w:bodyDiv w:val="1"/>
      <w:marLeft w:val="0"/>
      <w:marRight w:val="0"/>
      <w:marTop w:val="0"/>
      <w:marBottom w:val="0"/>
      <w:divBdr>
        <w:top w:val="none" w:sz="0" w:space="0" w:color="auto"/>
        <w:left w:val="none" w:sz="0" w:space="0" w:color="auto"/>
        <w:bottom w:val="none" w:sz="0" w:space="0" w:color="auto"/>
        <w:right w:val="none" w:sz="0" w:space="0" w:color="auto"/>
      </w:divBdr>
    </w:div>
    <w:div w:id="1424180543">
      <w:bodyDiv w:val="1"/>
      <w:marLeft w:val="0"/>
      <w:marRight w:val="0"/>
      <w:marTop w:val="0"/>
      <w:marBottom w:val="0"/>
      <w:divBdr>
        <w:top w:val="none" w:sz="0" w:space="0" w:color="auto"/>
        <w:left w:val="none" w:sz="0" w:space="0" w:color="auto"/>
        <w:bottom w:val="none" w:sz="0" w:space="0" w:color="auto"/>
        <w:right w:val="none" w:sz="0" w:space="0" w:color="auto"/>
      </w:divBdr>
    </w:div>
    <w:div w:id="1443916272">
      <w:bodyDiv w:val="1"/>
      <w:marLeft w:val="0"/>
      <w:marRight w:val="0"/>
      <w:marTop w:val="0"/>
      <w:marBottom w:val="0"/>
      <w:divBdr>
        <w:top w:val="none" w:sz="0" w:space="0" w:color="auto"/>
        <w:left w:val="none" w:sz="0" w:space="0" w:color="auto"/>
        <w:bottom w:val="none" w:sz="0" w:space="0" w:color="auto"/>
        <w:right w:val="none" w:sz="0" w:space="0" w:color="auto"/>
      </w:divBdr>
    </w:div>
    <w:div w:id="1451044752">
      <w:bodyDiv w:val="1"/>
      <w:marLeft w:val="0"/>
      <w:marRight w:val="0"/>
      <w:marTop w:val="0"/>
      <w:marBottom w:val="0"/>
      <w:divBdr>
        <w:top w:val="none" w:sz="0" w:space="0" w:color="auto"/>
        <w:left w:val="none" w:sz="0" w:space="0" w:color="auto"/>
        <w:bottom w:val="none" w:sz="0" w:space="0" w:color="auto"/>
        <w:right w:val="none" w:sz="0" w:space="0" w:color="auto"/>
      </w:divBdr>
    </w:div>
    <w:div w:id="1469476034">
      <w:bodyDiv w:val="1"/>
      <w:marLeft w:val="0"/>
      <w:marRight w:val="0"/>
      <w:marTop w:val="0"/>
      <w:marBottom w:val="0"/>
      <w:divBdr>
        <w:top w:val="none" w:sz="0" w:space="0" w:color="auto"/>
        <w:left w:val="none" w:sz="0" w:space="0" w:color="auto"/>
        <w:bottom w:val="none" w:sz="0" w:space="0" w:color="auto"/>
        <w:right w:val="none" w:sz="0" w:space="0" w:color="auto"/>
      </w:divBdr>
    </w:div>
    <w:div w:id="1482621994">
      <w:bodyDiv w:val="1"/>
      <w:marLeft w:val="0"/>
      <w:marRight w:val="0"/>
      <w:marTop w:val="0"/>
      <w:marBottom w:val="0"/>
      <w:divBdr>
        <w:top w:val="none" w:sz="0" w:space="0" w:color="auto"/>
        <w:left w:val="none" w:sz="0" w:space="0" w:color="auto"/>
        <w:bottom w:val="none" w:sz="0" w:space="0" w:color="auto"/>
        <w:right w:val="none" w:sz="0" w:space="0" w:color="auto"/>
      </w:divBdr>
    </w:div>
    <w:div w:id="1507742399">
      <w:bodyDiv w:val="1"/>
      <w:marLeft w:val="0"/>
      <w:marRight w:val="0"/>
      <w:marTop w:val="0"/>
      <w:marBottom w:val="0"/>
      <w:divBdr>
        <w:top w:val="none" w:sz="0" w:space="0" w:color="auto"/>
        <w:left w:val="none" w:sz="0" w:space="0" w:color="auto"/>
        <w:bottom w:val="none" w:sz="0" w:space="0" w:color="auto"/>
        <w:right w:val="none" w:sz="0" w:space="0" w:color="auto"/>
      </w:divBdr>
    </w:div>
    <w:div w:id="1554274276">
      <w:bodyDiv w:val="1"/>
      <w:marLeft w:val="0"/>
      <w:marRight w:val="0"/>
      <w:marTop w:val="0"/>
      <w:marBottom w:val="0"/>
      <w:divBdr>
        <w:top w:val="none" w:sz="0" w:space="0" w:color="auto"/>
        <w:left w:val="none" w:sz="0" w:space="0" w:color="auto"/>
        <w:bottom w:val="none" w:sz="0" w:space="0" w:color="auto"/>
        <w:right w:val="none" w:sz="0" w:space="0" w:color="auto"/>
      </w:divBdr>
    </w:div>
    <w:div w:id="1568147870">
      <w:bodyDiv w:val="1"/>
      <w:marLeft w:val="0"/>
      <w:marRight w:val="0"/>
      <w:marTop w:val="0"/>
      <w:marBottom w:val="0"/>
      <w:divBdr>
        <w:top w:val="none" w:sz="0" w:space="0" w:color="auto"/>
        <w:left w:val="none" w:sz="0" w:space="0" w:color="auto"/>
        <w:bottom w:val="none" w:sz="0" w:space="0" w:color="auto"/>
        <w:right w:val="none" w:sz="0" w:space="0" w:color="auto"/>
      </w:divBdr>
    </w:div>
    <w:div w:id="1576430687">
      <w:bodyDiv w:val="1"/>
      <w:marLeft w:val="0"/>
      <w:marRight w:val="0"/>
      <w:marTop w:val="0"/>
      <w:marBottom w:val="0"/>
      <w:divBdr>
        <w:top w:val="none" w:sz="0" w:space="0" w:color="auto"/>
        <w:left w:val="none" w:sz="0" w:space="0" w:color="auto"/>
        <w:bottom w:val="none" w:sz="0" w:space="0" w:color="auto"/>
        <w:right w:val="none" w:sz="0" w:space="0" w:color="auto"/>
      </w:divBdr>
    </w:div>
    <w:div w:id="1581019752">
      <w:bodyDiv w:val="1"/>
      <w:marLeft w:val="0"/>
      <w:marRight w:val="0"/>
      <w:marTop w:val="0"/>
      <w:marBottom w:val="0"/>
      <w:divBdr>
        <w:top w:val="none" w:sz="0" w:space="0" w:color="auto"/>
        <w:left w:val="none" w:sz="0" w:space="0" w:color="auto"/>
        <w:bottom w:val="none" w:sz="0" w:space="0" w:color="auto"/>
        <w:right w:val="none" w:sz="0" w:space="0" w:color="auto"/>
      </w:divBdr>
      <w:divsChild>
        <w:div w:id="2139755987">
          <w:marLeft w:val="0"/>
          <w:marRight w:val="0"/>
          <w:marTop w:val="0"/>
          <w:marBottom w:val="0"/>
          <w:divBdr>
            <w:top w:val="none" w:sz="0" w:space="0" w:color="auto"/>
            <w:left w:val="none" w:sz="0" w:space="0" w:color="auto"/>
            <w:bottom w:val="none" w:sz="0" w:space="0" w:color="auto"/>
            <w:right w:val="none" w:sz="0" w:space="0" w:color="auto"/>
          </w:divBdr>
        </w:div>
      </w:divsChild>
    </w:div>
    <w:div w:id="1583487219">
      <w:bodyDiv w:val="1"/>
      <w:marLeft w:val="0"/>
      <w:marRight w:val="0"/>
      <w:marTop w:val="0"/>
      <w:marBottom w:val="0"/>
      <w:divBdr>
        <w:top w:val="none" w:sz="0" w:space="0" w:color="auto"/>
        <w:left w:val="none" w:sz="0" w:space="0" w:color="auto"/>
        <w:bottom w:val="none" w:sz="0" w:space="0" w:color="auto"/>
        <w:right w:val="none" w:sz="0" w:space="0" w:color="auto"/>
      </w:divBdr>
    </w:div>
    <w:div w:id="1610695118">
      <w:bodyDiv w:val="1"/>
      <w:marLeft w:val="0"/>
      <w:marRight w:val="0"/>
      <w:marTop w:val="0"/>
      <w:marBottom w:val="0"/>
      <w:divBdr>
        <w:top w:val="none" w:sz="0" w:space="0" w:color="auto"/>
        <w:left w:val="none" w:sz="0" w:space="0" w:color="auto"/>
        <w:bottom w:val="none" w:sz="0" w:space="0" w:color="auto"/>
        <w:right w:val="none" w:sz="0" w:space="0" w:color="auto"/>
      </w:divBdr>
    </w:div>
    <w:div w:id="1631322616">
      <w:bodyDiv w:val="1"/>
      <w:marLeft w:val="0"/>
      <w:marRight w:val="0"/>
      <w:marTop w:val="0"/>
      <w:marBottom w:val="0"/>
      <w:divBdr>
        <w:top w:val="none" w:sz="0" w:space="0" w:color="auto"/>
        <w:left w:val="none" w:sz="0" w:space="0" w:color="auto"/>
        <w:bottom w:val="none" w:sz="0" w:space="0" w:color="auto"/>
        <w:right w:val="none" w:sz="0" w:space="0" w:color="auto"/>
      </w:divBdr>
    </w:div>
    <w:div w:id="1633288914">
      <w:bodyDiv w:val="1"/>
      <w:marLeft w:val="0"/>
      <w:marRight w:val="0"/>
      <w:marTop w:val="0"/>
      <w:marBottom w:val="0"/>
      <w:divBdr>
        <w:top w:val="none" w:sz="0" w:space="0" w:color="auto"/>
        <w:left w:val="none" w:sz="0" w:space="0" w:color="auto"/>
        <w:bottom w:val="none" w:sz="0" w:space="0" w:color="auto"/>
        <w:right w:val="none" w:sz="0" w:space="0" w:color="auto"/>
      </w:divBdr>
      <w:divsChild>
        <w:div w:id="522942428">
          <w:marLeft w:val="360"/>
          <w:marRight w:val="0"/>
          <w:marTop w:val="0"/>
          <w:marBottom w:val="88"/>
          <w:divBdr>
            <w:top w:val="none" w:sz="0" w:space="0" w:color="auto"/>
            <w:left w:val="none" w:sz="0" w:space="0" w:color="auto"/>
            <w:bottom w:val="none" w:sz="0" w:space="0" w:color="auto"/>
            <w:right w:val="none" w:sz="0" w:space="0" w:color="auto"/>
          </w:divBdr>
        </w:div>
        <w:div w:id="638729365">
          <w:marLeft w:val="360"/>
          <w:marRight w:val="0"/>
          <w:marTop w:val="0"/>
          <w:marBottom w:val="88"/>
          <w:divBdr>
            <w:top w:val="none" w:sz="0" w:space="0" w:color="auto"/>
            <w:left w:val="none" w:sz="0" w:space="0" w:color="auto"/>
            <w:bottom w:val="none" w:sz="0" w:space="0" w:color="auto"/>
            <w:right w:val="none" w:sz="0" w:space="0" w:color="auto"/>
          </w:divBdr>
        </w:div>
        <w:div w:id="850800520">
          <w:marLeft w:val="360"/>
          <w:marRight w:val="0"/>
          <w:marTop w:val="0"/>
          <w:marBottom w:val="88"/>
          <w:divBdr>
            <w:top w:val="none" w:sz="0" w:space="0" w:color="auto"/>
            <w:left w:val="none" w:sz="0" w:space="0" w:color="auto"/>
            <w:bottom w:val="none" w:sz="0" w:space="0" w:color="auto"/>
            <w:right w:val="none" w:sz="0" w:space="0" w:color="auto"/>
          </w:divBdr>
        </w:div>
        <w:div w:id="1040671731">
          <w:marLeft w:val="360"/>
          <w:marRight w:val="0"/>
          <w:marTop w:val="0"/>
          <w:marBottom w:val="88"/>
          <w:divBdr>
            <w:top w:val="none" w:sz="0" w:space="0" w:color="auto"/>
            <w:left w:val="none" w:sz="0" w:space="0" w:color="auto"/>
            <w:bottom w:val="none" w:sz="0" w:space="0" w:color="auto"/>
            <w:right w:val="none" w:sz="0" w:space="0" w:color="auto"/>
          </w:divBdr>
        </w:div>
        <w:div w:id="1042824698">
          <w:marLeft w:val="360"/>
          <w:marRight w:val="0"/>
          <w:marTop w:val="0"/>
          <w:marBottom w:val="88"/>
          <w:divBdr>
            <w:top w:val="none" w:sz="0" w:space="0" w:color="auto"/>
            <w:left w:val="none" w:sz="0" w:space="0" w:color="auto"/>
            <w:bottom w:val="none" w:sz="0" w:space="0" w:color="auto"/>
            <w:right w:val="none" w:sz="0" w:space="0" w:color="auto"/>
          </w:divBdr>
        </w:div>
        <w:div w:id="1328442283">
          <w:marLeft w:val="360"/>
          <w:marRight w:val="0"/>
          <w:marTop w:val="0"/>
          <w:marBottom w:val="88"/>
          <w:divBdr>
            <w:top w:val="none" w:sz="0" w:space="0" w:color="auto"/>
            <w:left w:val="none" w:sz="0" w:space="0" w:color="auto"/>
            <w:bottom w:val="none" w:sz="0" w:space="0" w:color="auto"/>
            <w:right w:val="none" w:sz="0" w:space="0" w:color="auto"/>
          </w:divBdr>
        </w:div>
      </w:divsChild>
    </w:div>
    <w:div w:id="1640695334">
      <w:bodyDiv w:val="1"/>
      <w:marLeft w:val="0"/>
      <w:marRight w:val="0"/>
      <w:marTop w:val="0"/>
      <w:marBottom w:val="0"/>
      <w:divBdr>
        <w:top w:val="none" w:sz="0" w:space="0" w:color="auto"/>
        <w:left w:val="none" w:sz="0" w:space="0" w:color="auto"/>
        <w:bottom w:val="none" w:sz="0" w:space="0" w:color="auto"/>
        <w:right w:val="none" w:sz="0" w:space="0" w:color="auto"/>
      </w:divBdr>
    </w:div>
    <w:div w:id="1656378605">
      <w:bodyDiv w:val="1"/>
      <w:marLeft w:val="0"/>
      <w:marRight w:val="0"/>
      <w:marTop w:val="0"/>
      <w:marBottom w:val="0"/>
      <w:divBdr>
        <w:top w:val="none" w:sz="0" w:space="0" w:color="auto"/>
        <w:left w:val="none" w:sz="0" w:space="0" w:color="auto"/>
        <w:bottom w:val="none" w:sz="0" w:space="0" w:color="auto"/>
        <w:right w:val="none" w:sz="0" w:space="0" w:color="auto"/>
      </w:divBdr>
    </w:div>
    <w:div w:id="1714160558">
      <w:bodyDiv w:val="1"/>
      <w:marLeft w:val="0"/>
      <w:marRight w:val="0"/>
      <w:marTop w:val="0"/>
      <w:marBottom w:val="0"/>
      <w:divBdr>
        <w:top w:val="none" w:sz="0" w:space="0" w:color="auto"/>
        <w:left w:val="none" w:sz="0" w:space="0" w:color="auto"/>
        <w:bottom w:val="none" w:sz="0" w:space="0" w:color="auto"/>
        <w:right w:val="none" w:sz="0" w:space="0" w:color="auto"/>
      </w:divBdr>
    </w:div>
    <w:div w:id="1752853206">
      <w:bodyDiv w:val="1"/>
      <w:marLeft w:val="0"/>
      <w:marRight w:val="0"/>
      <w:marTop w:val="0"/>
      <w:marBottom w:val="0"/>
      <w:divBdr>
        <w:top w:val="none" w:sz="0" w:space="0" w:color="auto"/>
        <w:left w:val="none" w:sz="0" w:space="0" w:color="auto"/>
        <w:bottom w:val="none" w:sz="0" w:space="0" w:color="auto"/>
        <w:right w:val="none" w:sz="0" w:space="0" w:color="auto"/>
      </w:divBdr>
    </w:div>
    <w:div w:id="1855420337">
      <w:bodyDiv w:val="1"/>
      <w:marLeft w:val="0"/>
      <w:marRight w:val="0"/>
      <w:marTop w:val="0"/>
      <w:marBottom w:val="0"/>
      <w:divBdr>
        <w:top w:val="none" w:sz="0" w:space="0" w:color="auto"/>
        <w:left w:val="none" w:sz="0" w:space="0" w:color="auto"/>
        <w:bottom w:val="none" w:sz="0" w:space="0" w:color="auto"/>
        <w:right w:val="none" w:sz="0" w:space="0" w:color="auto"/>
      </w:divBdr>
    </w:div>
    <w:div w:id="1859075083">
      <w:bodyDiv w:val="1"/>
      <w:marLeft w:val="0"/>
      <w:marRight w:val="0"/>
      <w:marTop w:val="0"/>
      <w:marBottom w:val="0"/>
      <w:divBdr>
        <w:top w:val="none" w:sz="0" w:space="0" w:color="auto"/>
        <w:left w:val="none" w:sz="0" w:space="0" w:color="auto"/>
        <w:bottom w:val="none" w:sz="0" w:space="0" w:color="auto"/>
        <w:right w:val="none" w:sz="0" w:space="0" w:color="auto"/>
      </w:divBdr>
    </w:div>
    <w:div w:id="1866216019">
      <w:bodyDiv w:val="1"/>
      <w:marLeft w:val="0"/>
      <w:marRight w:val="0"/>
      <w:marTop w:val="0"/>
      <w:marBottom w:val="0"/>
      <w:divBdr>
        <w:top w:val="none" w:sz="0" w:space="0" w:color="auto"/>
        <w:left w:val="none" w:sz="0" w:space="0" w:color="auto"/>
        <w:bottom w:val="none" w:sz="0" w:space="0" w:color="auto"/>
        <w:right w:val="none" w:sz="0" w:space="0" w:color="auto"/>
      </w:divBdr>
    </w:div>
    <w:div w:id="1879657070">
      <w:bodyDiv w:val="1"/>
      <w:marLeft w:val="0"/>
      <w:marRight w:val="0"/>
      <w:marTop w:val="0"/>
      <w:marBottom w:val="0"/>
      <w:divBdr>
        <w:top w:val="none" w:sz="0" w:space="0" w:color="auto"/>
        <w:left w:val="none" w:sz="0" w:space="0" w:color="auto"/>
        <w:bottom w:val="none" w:sz="0" w:space="0" w:color="auto"/>
        <w:right w:val="none" w:sz="0" w:space="0" w:color="auto"/>
      </w:divBdr>
    </w:div>
    <w:div w:id="1895464072">
      <w:bodyDiv w:val="1"/>
      <w:marLeft w:val="0"/>
      <w:marRight w:val="0"/>
      <w:marTop w:val="0"/>
      <w:marBottom w:val="0"/>
      <w:divBdr>
        <w:top w:val="none" w:sz="0" w:space="0" w:color="auto"/>
        <w:left w:val="none" w:sz="0" w:space="0" w:color="auto"/>
        <w:bottom w:val="none" w:sz="0" w:space="0" w:color="auto"/>
        <w:right w:val="none" w:sz="0" w:space="0" w:color="auto"/>
      </w:divBdr>
      <w:divsChild>
        <w:div w:id="497619071">
          <w:marLeft w:val="0"/>
          <w:marRight w:val="0"/>
          <w:marTop w:val="0"/>
          <w:marBottom w:val="0"/>
          <w:divBdr>
            <w:top w:val="none" w:sz="0" w:space="0" w:color="auto"/>
            <w:left w:val="none" w:sz="0" w:space="0" w:color="auto"/>
            <w:bottom w:val="none" w:sz="0" w:space="0" w:color="auto"/>
            <w:right w:val="none" w:sz="0" w:space="0" w:color="auto"/>
          </w:divBdr>
        </w:div>
      </w:divsChild>
    </w:div>
    <w:div w:id="1919900374">
      <w:bodyDiv w:val="1"/>
      <w:marLeft w:val="0"/>
      <w:marRight w:val="0"/>
      <w:marTop w:val="0"/>
      <w:marBottom w:val="0"/>
      <w:divBdr>
        <w:top w:val="none" w:sz="0" w:space="0" w:color="auto"/>
        <w:left w:val="none" w:sz="0" w:space="0" w:color="auto"/>
        <w:bottom w:val="none" w:sz="0" w:space="0" w:color="auto"/>
        <w:right w:val="none" w:sz="0" w:space="0" w:color="auto"/>
      </w:divBdr>
    </w:div>
    <w:div w:id="1934435247">
      <w:bodyDiv w:val="1"/>
      <w:marLeft w:val="0"/>
      <w:marRight w:val="0"/>
      <w:marTop w:val="0"/>
      <w:marBottom w:val="0"/>
      <w:divBdr>
        <w:top w:val="none" w:sz="0" w:space="0" w:color="auto"/>
        <w:left w:val="none" w:sz="0" w:space="0" w:color="auto"/>
        <w:bottom w:val="none" w:sz="0" w:space="0" w:color="auto"/>
        <w:right w:val="none" w:sz="0" w:space="0" w:color="auto"/>
      </w:divBdr>
      <w:divsChild>
        <w:div w:id="1221674000">
          <w:marLeft w:val="0"/>
          <w:marRight w:val="0"/>
          <w:marTop w:val="0"/>
          <w:marBottom w:val="0"/>
          <w:divBdr>
            <w:top w:val="single" w:sz="6" w:space="24" w:color="D7D7D7"/>
            <w:left w:val="none" w:sz="0" w:space="0" w:color="auto"/>
            <w:bottom w:val="none" w:sz="0" w:space="0" w:color="auto"/>
            <w:right w:val="none" w:sz="0" w:space="0" w:color="auto"/>
          </w:divBdr>
          <w:divsChild>
            <w:div w:id="303312814">
              <w:marLeft w:val="240"/>
              <w:marRight w:val="240"/>
              <w:marTop w:val="0"/>
              <w:marBottom w:val="0"/>
              <w:divBdr>
                <w:top w:val="none" w:sz="0" w:space="0" w:color="auto"/>
                <w:left w:val="none" w:sz="0" w:space="0" w:color="auto"/>
                <w:bottom w:val="none" w:sz="0" w:space="0" w:color="auto"/>
                <w:right w:val="none" w:sz="0" w:space="0" w:color="auto"/>
              </w:divBdr>
              <w:divsChild>
                <w:div w:id="5748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08346">
      <w:bodyDiv w:val="1"/>
      <w:marLeft w:val="0"/>
      <w:marRight w:val="0"/>
      <w:marTop w:val="0"/>
      <w:marBottom w:val="0"/>
      <w:divBdr>
        <w:top w:val="none" w:sz="0" w:space="0" w:color="auto"/>
        <w:left w:val="none" w:sz="0" w:space="0" w:color="auto"/>
        <w:bottom w:val="none" w:sz="0" w:space="0" w:color="auto"/>
        <w:right w:val="none" w:sz="0" w:space="0" w:color="auto"/>
      </w:divBdr>
    </w:div>
    <w:div w:id="1953709857">
      <w:bodyDiv w:val="1"/>
      <w:marLeft w:val="0"/>
      <w:marRight w:val="0"/>
      <w:marTop w:val="0"/>
      <w:marBottom w:val="0"/>
      <w:divBdr>
        <w:top w:val="none" w:sz="0" w:space="0" w:color="auto"/>
        <w:left w:val="none" w:sz="0" w:space="0" w:color="auto"/>
        <w:bottom w:val="none" w:sz="0" w:space="0" w:color="auto"/>
        <w:right w:val="none" w:sz="0" w:space="0" w:color="auto"/>
      </w:divBdr>
    </w:div>
    <w:div w:id="1994794981">
      <w:bodyDiv w:val="1"/>
      <w:marLeft w:val="0"/>
      <w:marRight w:val="0"/>
      <w:marTop w:val="0"/>
      <w:marBottom w:val="0"/>
      <w:divBdr>
        <w:top w:val="none" w:sz="0" w:space="0" w:color="auto"/>
        <w:left w:val="none" w:sz="0" w:space="0" w:color="auto"/>
        <w:bottom w:val="none" w:sz="0" w:space="0" w:color="auto"/>
        <w:right w:val="none" w:sz="0" w:space="0" w:color="auto"/>
      </w:divBdr>
    </w:div>
    <w:div w:id="2006392680">
      <w:bodyDiv w:val="1"/>
      <w:marLeft w:val="0"/>
      <w:marRight w:val="0"/>
      <w:marTop w:val="0"/>
      <w:marBottom w:val="0"/>
      <w:divBdr>
        <w:top w:val="none" w:sz="0" w:space="0" w:color="auto"/>
        <w:left w:val="none" w:sz="0" w:space="0" w:color="auto"/>
        <w:bottom w:val="none" w:sz="0" w:space="0" w:color="auto"/>
        <w:right w:val="none" w:sz="0" w:space="0" w:color="auto"/>
      </w:divBdr>
    </w:div>
    <w:div w:id="2013139728">
      <w:bodyDiv w:val="1"/>
      <w:marLeft w:val="0"/>
      <w:marRight w:val="0"/>
      <w:marTop w:val="0"/>
      <w:marBottom w:val="0"/>
      <w:divBdr>
        <w:top w:val="none" w:sz="0" w:space="0" w:color="auto"/>
        <w:left w:val="none" w:sz="0" w:space="0" w:color="auto"/>
        <w:bottom w:val="none" w:sz="0" w:space="0" w:color="auto"/>
        <w:right w:val="none" w:sz="0" w:space="0" w:color="auto"/>
      </w:divBdr>
    </w:div>
    <w:div w:id="2014185293">
      <w:bodyDiv w:val="1"/>
      <w:marLeft w:val="0"/>
      <w:marRight w:val="0"/>
      <w:marTop w:val="0"/>
      <w:marBottom w:val="0"/>
      <w:divBdr>
        <w:top w:val="none" w:sz="0" w:space="0" w:color="auto"/>
        <w:left w:val="none" w:sz="0" w:space="0" w:color="auto"/>
        <w:bottom w:val="none" w:sz="0" w:space="0" w:color="auto"/>
        <w:right w:val="none" w:sz="0" w:space="0" w:color="auto"/>
      </w:divBdr>
    </w:div>
    <w:div w:id="2025010561">
      <w:bodyDiv w:val="1"/>
      <w:marLeft w:val="0"/>
      <w:marRight w:val="0"/>
      <w:marTop w:val="0"/>
      <w:marBottom w:val="0"/>
      <w:divBdr>
        <w:top w:val="none" w:sz="0" w:space="0" w:color="auto"/>
        <w:left w:val="none" w:sz="0" w:space="0" w:color="auto"/>
        <w:bottom w:val="none" w:sz="0" w:space="0" w:color="auto"/>
        <w:right w:val="none" w:sz="0" w:space="0" w:color="auto"/>
      </w:divBdr>
    </w:div>
    <w:div w:id="2047824809">
      <w:bodyDiv w:val="1"/>
      <w:marLeft w:val="0"/>
      <w:marRight w:val="0"/>
      <w:marTop w:val="0"/>
      <w:marBottom w:val="0"/>
      <w:divBdr>
        <w:top w:val="none" w:sz="0" w:space="0" w:color="auto"/>
        <w:left w:val="none" w:sz="0" w:space="0" w:color="auto"/>
        <w:bottom w:val="none" w:sz="0" w:space="0" w:color="auto"/>
        <w:right w:val="none" w:sz="0" w:space="0" w:color="auto"/>
      </w:divBdr>
    </w:div>
    <w:div w:id="2084522605">
      <w:bodyDiv w:val="1"/>
      <w:marLeft w:val="0"/>
      <w:marRight w:val="0"/>
      <w:marTop w:val="0"/>
      <w:marBottom w:val="0"/>
      <w:divBdr>
        <w:top w:val="none" w:sz="0" w:space="0" w:color="auto"/>
        <w:left w:val="none" w:sz="0" w:space="0" w:color="auto"/>
        <w:bottom w:val="none" w:sz="0" w:space="0" w:color="auto"/>
        <w:right w:val="none" w:sz="0" w:space="0" w:color="auto"/>
      </w:divBdr>
    </w:div>
    <w:div w:id="2091541326">
      <w:bodyDiv w:val="1"/>
      <w:marLeft w:val="0"/>
      <w:marRight w:val="0"/>
      <w:marTop w:val="0"/>
      <w:marBottom w:val="0"/>
      <w:divBdr>
        <w:top w:val="none" w:sz="0" w:space="0" w:color="auto"/>
        <w:left w:val="none" w:sz="0" w:space="0" w:color="auto"/>
        <w:bottom w:val="none" w:sz="0" w:space="0" w:color="auto"/>
        <w:right w:val="none" w:sz="0" w:space="0" w:color="auto"/>
      </w:divBdr>
    </w:div>
    <w:div w:id="2099062814">
      <w:bodyDiv w:val="1"/>
      <w:marLeft w:val="0"/>
      <w:marRight w:val="0"/>
      <w:marTop w:val="0"/>
      <w:marBottom w:val="0"/>
      <w:divBdr>
        <w:top w:val="none" w:sz="0" w:space="0" w:color="auto"/>
        <w:left w:val="none" w:sz="0" w:space="0" w:color="auto"/>
        <w:bottom w:val="none" w:sz="0" w:space="0" w:color="auto"/>
        <w:right w:val="none" w:sz="0" w:space="0" w:color="auto"/>
      </w:divBdr>
    </w:div>
    <w:div w:id="2109108451">
      <w:bodyDiv w:val="1"/>
      <w:marLeft w:val="0"/>
      <w:marRight w:val="0"/>
      <w:marTop w:val="0"/>
      <w:marBottom w:val="0"/>
      <w:divBdr>
        <w:top w:val="none" w:sz="0" w:space="0" w:color="auto"/>
        <w:left w:val="none" w:sz="0" w:space="0" w:color="auto"/>
        <w:bottom w:val="none" w:sz="0" w:space="0" w:color="auto"/>
        <w:right w:val="none" w:sz="0" w:space="0" w:color="auto"/>
      </w:divBdr>
    </w:div>
    <w:div w:id="210910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85.xml"/><Relationship Id="rId21" Type="http://schemas.openxmlformats.org/officeDocument/2006/relationships/header" Target="header3.xml"/><Relationship Id="rId42" Type="http://schemas.openxmlformats.org/officeDocument/2006/relationships/chart" Target="charts/chart13.xml"/><Relationship Id="rId63" Type="http://schemas.openxmlformats.org/officeDocument/2006/relationships/chart" Target="charts/chart33.xml"/><Relationship Id="rId84" Type="http://schemas.openxmlformats.org/officeDocument/2006/relationships/chart" Target="charts/chart52.xml"/><Relationship Id="rId138" Type="http://schemas.openxmlformats.org/officeDocument/2006/relationships/chart" Target="charts/chart106.xml"/><Relationship Id="rId107" Type="http://schemas.openxmlformats.org/officeDocument/2006/relationships/chart" Target="charts/chart75.xml"/><Relationship Id="rId11" Type="http://schemas.openxmlformats.org/officeDocument/2006/relationships/image" Target="media/image1.jpg"/><Relationship Id="rId32" Type="http://schemas.openxmlformats.org/officeDocument/2006/relationships/chart" Target="charts/chart3.xml"/><Relationship Id="rId53" Type="http://schemas.openxmlformats.org/officeDocument/2006/relationships/image" Target="media/image6.png"/><Relationship Id="rId74" Type="http://schemas.openxmlformats.org/officeDocument/2006/relationships/chart" Target="charts/chart42.xml"/><Relationship Id="rId128" Type="http://schemas.openxmlformats.org/officeDocument/2006/relationships/chart" Target="charts/chart96.xml"/><Relationship Id="rId5" Type="http://schemas.openxmlformats.org/officeDocument/2006/relationships/numbering" Target="numbering.xml"/><Relationship Id="rId90" Type="http://schemas.openxmlformats.org/officeDocument/2006/relationships/chart" Target="charts/chart58.xml"/><Relationship Id="rId95" Type="http://schemas.openxmlformats.org/officeDocument/2006/relationships/chart" Target="charts/chart63.xml"/><Relationship Id="rId22" Type="http://schemas.openxmlformats.org/officeDocument/2006/relationships/hyperlink" Target="https://www.acecqa.gov.au/sites/default/files/2023-12/Review%20of%20Child%20Safety%20Arrangements%20under%20the%20National%20Quality%20Framework-full_report.pdf" TargetMode="External"/><Relationship Id="rId27" Type="http://schemas.openxmlformats.org/officeDocument/2006/relationships/chart" Target="charts/chart2.xml"/><Relationship Id="rId43" Type="http://schemas.openxmlformats.org/officeDocument/2006/relationships/chart" Target="charts/chart14.xml"/><Relationship Id="rId48" Type="http://schemas.openxmlformats.org/officeDocument/2006/relationships/chart" Target="charts/chart19.xml"/><Relationship Id="rId64" Type="http://schemas.openxmlformats.org/officeDocument/2006/relationships/chart" Target="charts/chart34.xml"/><Relationship Id="rId69" Type="http://schemas.openxmlformats.org/officeDocument/2006/relationships/chart" Target="charts/chart37.xml"/><Relationship Id="rId113" Type="http://schemas.openxmlformats.org/officeDocument/2006/relationships/chart" Target="charts/chart81.xml"/><Relationship Id="rId118" Type="http://schemas.openxmlformats.org/officeDocument/2006/relationships/chart" Target="charts/chart86.xml"/><Relationship Id="rId134" Type="http://schemas.openxmlformats.org/officeDocument/2006/relationships/chart" Target="charts/chart102.xml"/><Relationship Id="rId139" Type="http://schemas.openxmlformats.org/officeDocument/2006/relationships/chart" Target="charts/chart107.xml"/><Relationship Id="rId80" Type="http://schemas.openxmlformats.org/officeDocument/2006/relationships/chart" Target="charts/chart48.xml"/><Relationship Id="rId85" Type="http://schemas.openxmlformats.org/officeDocument/2006/relationships/chart" Target="charts/chart53.xml"/><Relationship Id="rId12" Type="http://schemas.openxmlformats.org/officeDocument/2006/relationships/image" Target="media/image2.png"/><Relationship Id="rId17" Type="http://schemas.openxmlformats.org/officeDocument/2006/relationships/header" Target="header2.xml"/><Relationship Id="rId33" Type="http://schemas.openxmlformats.org/officeDocument/2006/relationships/chart" Target="charts/chart4.xml"/><Relationship Id="rId38" Type="http://schemas.openxmlformats.org/officeDocument/2006/relationships/chart" Target="charts/chart9.xml"/><Relationship Id="rId59" Type="http://schemas.openxmlformats.org/officeDocument/2006/relationships/chart" Target="charts/chart29.xml"/><Relationship Id="rId103" Type="http://schemas.openxmlformats.org/officeDocument/2006/relationships/chart" Target="charts/chart71.xml"/><Relationship Id="rId108" Type="http://schemas.openxmlformats.org/officeDocument/2006/relationships/chart" Target="charts/chart76.xml"/><Relationship Id="rId124" Type="http://schemas.openxmlformats.org/officeDocument/2006/relationships/chart" Target="charts/chart92.xml"/><Relationship Id="rId129" Type="http://schemas.openxmlformats.org/officeDocument/2006/relationships/chart" Target="charts/chart97.xml"/><Relationship Id="rId54" Type="http://schemas.openxmlformats.org/officeDocument/2006/relationships/chart" Target="charts/chart24.xml"/><Relationship Id="rId70" Type="http://schemas.openxmlformats.org/officeDocument/2006/relationships/chart" Target="charts/chart38.xml"/><Relationship Id="rId75" Type="http://schemas.openxmlformats.org/officeDocument/2006/relationships/chart" Target="charts/chart43.xml"/><Relationship Id="rId91" Type="http://schemas.openxmlformats.org/officeDocument/2006/relationships/chart" Target="charts/chart59.xml"/><Relationship Id="rId96" Type="http://schemas.openxmlformats.org/officeDocument/2006/relationships/chart" Target="charts/chart64.xml"/><Relationship Id="rId140" Type="http://schemas.openxmlformats.org/officeDocument/2006/relationships/chart" Target="charts/chart108.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4.png"/><Relationship Id="rId28" Type="http://schemas.openxmlformats.org/officeDocument/2006/relationships/hyperlink" Target="https://www.acecqa.gov.au/resources/national-registers/services?s=&amp;nocache=1752628667210" TargetMode="External"/><Relationship Id="rId49" Type="http://schemas.openxmlformats.org/officeDocument/2006/relationships/chart" Target="charts/chart20.xml"/><Relationship Id="rId114" Type="http://schemas.openxmlformats.org/officeDocument/2006/relationships/chart" Target="charts/chart82.xml"/><Relationship Id="rId119" Type="http://schemas.openxmlformats.org/officeDocument/2006/relationships/chart" Target="charts/chart87.xml"/><Relationship Id="rId44" Type="http://schemas.openxmlformats.org/officeDocument/2006/relationships/chart" Target="charts/chart15.xml"/><Relationship Id="rId60" Type="http://schemas.openxmlformats.org/officeDocument/2006/relationships/chart" Target="charts/chart30.xml"/><Relationship Id="rId65" Type="http://schemas.openxmlformats.org/officeDocument/2006/relationships/header" Target="header4.xml"/><Relationship Id="rId81" Type="http://schemas.openxmlformats.org/officeDocument/2006/relationships/chart" Target="charts/chart49.xml"/><Relationship Id="rId86" Type="http://schemas.openxmlformats.org/officeDocument/2006/relationships/chart" Target="charts/chart54.xml"/><Relationship Id="rId130" Type="http://schemas.openxmlformats.org/officeDocument/2006/relationships/chart" Target="charts/chart98.xml"/><Relationship Id="rId135" Type="http://schemas.openxmlformats.org/officeDocument/2006/relationships/chart" Target="charts/chart103.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chart" Target="charts/chart10.xml"/><Relationship Id="rId109" Type="http://schemas.openxmlformats.org/officeDocument/2006/relationships/chart" Target="charts/chart77.xml"/><Relationship Id="rId34" Type="http://schemas.openxmlformats.org/officeDocument/2006/relationships/chart" Target="charts/chart5.xml"/><Relationship Id="rId50" Type="http://schemas.openxmlformats.org/officeDocument/2006/relationships/chart" Target="charts/chart21.xml"/><Relationship Id="rId55" Type="http://schemas.openxmlformats.org/officeDocument/2006/relationships/chart" Target="charts/chart25.xml"/><Relationship Id="rId76" Type="http://schemas.openxmlformats.org/officeDocument/2006/relationships/chart" Target="charts/chart44.xml"/><Relationship Id="rId97" Type="http://schemas.openxmlformats.org/officeDocument/2006/relationships/chart" Target="charts/chart65.xml"/><Relationship Id="rId104" Type="http://schemas.openxmlformats.org/officeDocument/2006/relationships/chart" Target="charts/chart72.xml"/><Relationship Id="rId120" Type="http://schemas.openxmlformats.org/officeDocument/2006/relationships/chart" Target="charts/chart88.xml"/><Relationship Id="rId125" Type="http://schemas.openxmlformats.org/officeDocument/2006/relationships/chart" Target="charts/chart93.xml"/><Relationship Id="rId141" Type="http://schemas.openxmlformats.org/officeDocument/2006/relationships/header" Target="header6.xml"/><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chart" Target="charts/chart39.xml"/><Relationship Id="rId92" Type="http://schemas.openxmlformats.org/officeDocument/2006/relationships/chart" Target="charts/chart60.xml"/><Relationship Id="rId2" Type="http://schemas.openxmlformats.org/officeDocument/2006/relationships/customXml" Target="../customXml/item2.xml"/><Relationship Id="rId29" Type="http://schemas.openxmlformats.org/officeDocument/2006/relationships/hyperlink" Target="https://www.acecqa.gov.au/nqf-child-safety-guides" TargetMode="External"/><Relationship Id="rId24" Type="http://schemas.openxmlformats.org/officeDocument/2006/relationships/hyperlink" Target="https://www.acecqa.gov.au/sites/default/files/2023-12/Review%20of%20Child%20Safety%20Arrangements%20under%20the%20National%20Quality%20Framework-full_report.pdf" TargetMode="External"/><Relationship Id="rId40" Type="http://schemas.openxmlformats.org/officeDocument/2006/relationships/chart" Target="charts/chart11.xml"/><Relationship Id="rId45" Type="http://schemas.openxmlformats.org/officeDocument/2006/relationships/chart" Target="charts/chart16.xml"/><Relationship Id="rId66" Type="http://schemas.openxmlformats.org/officeDocument/2006/relationships/header" Target="header5.xml"/><Relationship Id="rId87" Type="http://schemas.openxmlformats.org/officeDocument/2006/relationships/chart" Target="charts/chart55.xml"/><Relationship Id="rId110" Type="http://schemas.openxmlformats.org/officeDocument/2006/relationships/chart" Target="charts/chart78.xml"/><Relationship Id="rId115" Type="http://schemas.openxmlformats.org/officeDocument/2006/relationships/chart" Target="charts/chart83.xml"/><Relationship Id="rId131" Type="http://schemas.openxmlformats.org/officeDocument/2006/relationships/chart" Target="charts/chart99.xml"/><Relationship Id="rId136" Type="http://schemas.openxmlformats.org/officeDocument/2006/relationships/chart" Target="charts/chart104.xml"/><Relationship Id="rId61" Type="http://schemas.openxmlformats.org/officeDocument/2006/relationships/chart" Target="charts/chart31.xml"/><Relationship Id="rId82" Type="http://schemas.openxmlformats.org/officeDocument/2006/relationships/chart" Target="charts/chart50.xml"/><Relationship Id="rId19" Type="http://schemas.openxmlformats.org/officeDocument/2006/relationships/hyperlink" Target="mailto:Emmsupport@education.gov.au" TargetMode="External"/><Relationship Id="rId14" Type="http://schemas.openxmlformats.org/officeDocument/2006/relationships/image" Target="cid:image004.png@01DC006D.7A2088A0" TargetMode="External"/><Relationship Id="rId30" Type="http://schemas.openxmlformats.org/officeDocument/2006/relationships/hyperlink" Target="https://www.acecqa.gov.au/national-model-code-taking-images-early-childhood-education-and-care" TargetMode="External"/><Relationship Id="rId35" Type="http://schemas.openxmlformats.org/officeDocument/2006/relationships/chart" Target="charts/chart6.xml"/><Relationship Id="rId56" Type="http://schemas.openxmlformats.org/officeDocument/2006/relationships/chart" Target="charts/chart26.xml"/><Relationship Id="rId77" Type="http://schemas.openxmlformats.org/officeDocument/2006/relationships/chart" Target="charts/chart45.xml"/><Relationship Id="rId100" Type="http://schemas.openxmlformats.org/officeDocument/2006/relationships/chart" Target="charts/chart68.xml"/><Relationship Id="rId105" Type="http://schemas.openxmlformats.org/officeDocument/2006/relationships/chart" Target="charts/chart73.xml"/><Relationship Id="rId126" Type="http://schemas.openxmlformats.org/officeDocument/2006/relationships/chart" Target="charts/chart94.xml"/><Relationship Id="rId8" Type="http://schemas.openxmlformats.org/officeDocument/2006/relationships/webSettings" Target="webSettings.xml"/><Relationship Id="rId51" Type="http://schemas.openxmlformats.org/officeDocument/2006/relationships/chart" Target="charts/chart22.xml"/><Relationship Id="rId72" Type="http://schemas.openxmlformats.org/officeDocument/2006/relationships/chart" Target="charts/chart40.xml"/><Relationship Id="rId93" Type="http://schemas.openxmlformats.org/officeDocument/2006/relationships/chart" Target="charts/chart61.xml"/><Relationship Id="rId98" Type="http://schemas.openxmlformats.org/officeDocument/2006/relationships/chart" Target="charts/chart66.xml"/><Relationship Id="rId121" Type="http://schemas.openxmlformats.org/officeDocument/2006/relationships/chart" Target="charts/chart89.xml"/><Relationship Id="rId142" Type="http://schemas.openxmlformats.org/officeDocument/2006/relationships/header" Target="header7.xm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chart" Target="charts/chart17.xml"/><Relationship Id="rId67" Type="http://schemas.openxmlformats.org/officeDocument/2006/relationships/chart" Target="charts/chart35.xml"/><Relationship Id="rId116" Type="http://schemas.openxmlformats.org/officeDocument/2006/relationships/chart" Target="charts/chart84.xml"/><Relationship Id="rId137" Type="http://schemas.openxmlformats.org/officeDocument/2006/relationships/chart" Target="charts/chart105.xml"/><Relationship Id="rId20" Type="http://schemas.openxmlformats.org/officeDocument/2006/relationships/footer" Target="footer3.xml"/><Relationship Id="rId41" Type="http://schemas.openxmlformats.org/officeDocument/2006/relationships/chart" Target="charts/chart12.xml"/><Relationship Id="rId62" Type="http://schemas.openxmlformats.org/officeDocument/2006/relationships/chart" Target="charts/chart32.xml"/><Relationship Id="rId83" Type="http://schemas.openxmlformats.org/officeDocument/2006/relationships/chart" Target="charts/chart51.xml"/><Relationship Id="rId88" Type="http://schemas.openxmlformats.org/officeDocument/2006/relationships/chart" Target="charts/chart56.xml"/><Relationship Id="rId111" Type="http://schemas.openxmlformats.org/officeDocument/2006/relationships/chart" Target="charts/chart79.xml"/><Relationship Id="rId132" Type="http://schemas.openxmlformats.org/officeDocument/2006/relationships/chart" Target="charts/chart100.xml"/><Relationship Id="rId15" Type="http://schemas.openxmlformats.org/officeDocument/2006/relationships/header" Target="header1.xml"/><Relationship Id="rId36" Type="http://schemas.openxmlformats.org/officeDocument/2006/relationships/chart" Target="charts/chart7.xml"/><Relationship Id="rId57" Type="http://schemas.openxmlformats.org/officeDocument/2006/relationships/chart" Target="charts/chart27.xml"/><Relationship Id="rId106" Type="http://schemas.openxmlformats.org/officeDocument/2006/relationships/chart" Target="charts/chart74.xml"/><Relationship Id="rId127" Type="http://schemas.openxmlformats.org/officeDocument/2006/relationships/chart" Target="charts/chart95.xml"/><Relationship Id="rId10" Type="http://schemas.openxmlformats.org/officeDocument/2006/relationships/endnotes" Target="endnotes.xml"/><Relationship Id="rId31" Type="http://schemas.openxmlformats.org/officeDocument/2006/relationships/hyperlink" Target="https://www.acecqa.gov.au/nqf-online-safety-guide" TargetMode="External"/><Relationship Id="rId52" Type="http://schemas.openxmlformats.org/officeDocument/2006/relationships/chart" Target="charts/chart23.xml"/><Relationship Id="rId73" Type="http://schemas.openxmlformats.org/officeDocument/2006/relationships/chart" Target="charts/chart41.xml"/><Relationship Id="rId78" Type="http://schemas.openxmlformats.org/officeDocument/2006/relationships/chart" Target="charts/chart46.xml"/><Relationship Id="rId94" Type="http://schemas.openxmlformats.org/officeDocument/2006/relationships/chart" Target="charts/chart62.xml"/><Relationship Id="rId99" Type="http://schemas.openxmlformats.org/officeDocument/2006/relationships/chart" Target="charts/chart67.xml"/><Relationship Id="rId101" Type="http://schemas.openxmlformats.org/officeDocument/2006/relationships/chart" Target="charts/chart69.xml"/><Relationship Id="rId122" Type="http://schemas.openxmlformats.org/officeDocument/2006/relationships/chart" Target="charts/chart90.xml"/><Relationship Id="rId143"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chart" Target="charts/chart1.xml"/><Relationship Id="rId47" Type="http://schemas.openxmlformats.org/officeDocument/2006/relationships/chart" Target="charts/chart18.xml"/><Relationship Id="rId68" Type="http://schemas.openxmlformats.org/officeDocument/2006/relationships/chart" Target="charts/chart36.xml"/><Relationship Id="rId89" Type="http://schemas.openxmlformats.org/officeDocument/2006/relationships/chart" Target="charts/chart57.xml"/><Relationship Id="rId112" Type="http://schemas.openxmlformats.org/officeDocument/2006/relationships/chart" Target="charts/chart80.xml"/><Relationship Id="rId133" Type="http://schemas.openxmlformats.org/officeDocument/2006/relationships/chart" Target="charts/chart101.xml"/><Relationship Id="rId16" Type="http://schemas.openxmlformats.org/officeDocument/2006/relationships/footer" Target="footer1.xml"/><Relationship Id="rId37" Type="http://schemas.openxmlformats.org/officeDocument/2006/relationships/chart" Target="charts/chart8.xml"/><Relationship Id="rId58" Type="http://schemas.openxmlformats.org/officeDocument/2006/relationships/chart" Target="charts/chart28.xml"/><Relationship Id="rId79" Type="http://schemas.openxmlformats.org/officeDocument/2006/relationships/chart" Target="charts/chart47.xml"/><Relationship Id="rId102" Type="http://schemas.openxmlformats.org/officeDocument/2006/relationships/chart" Target="charts/chart70.xml"/><Relationship Id="rId123" Type="http://schemas.openxmlformats.org/officeDocument/2006/relationships/chart" Target="charts/chart91.xml"/><Relationship Id="rId144" Type="http://schemas.openxmlformats.org/officeDocument/2006/relationships/header" Target="header9.xml"/></Relationships>
</file>

<file path=word/_rels/footnotes.xml.rels><?xml version="1.0" encoding="UTF-8" standalone="yes"?>
<Relationships xmlns="http://schemas.openxmlformats.org/package/2006/relationships"><Relationship Id="rId8" Type="http://schemas.openxmlformats.org/officeDocument/2006/relationships/hyperlink" Target="https://www.safespacelegal.com.au/australian-child-safe-standards-a-state-by-state-guide-2025/" TargetMode="External"/><Relationship Id="rId13" Type="http://schemas.openxmlformats.org/officeDocument/2006/relationships/hyperlink" Target="https://www.vic.gov.au/check-explained" TargetMode="External"/><Relationship Id="rId18" Type="http://schemas.openxmlformats.org/officeDocument/2006/relationships/hyperlink" Target="https://www.accesscanberra.act.gov.au/business-and-work/working-with-vulnerable-people/apply-for-or-renew-a-wwvp-registration" TargetMode="External"/><Relationship Id="rId26" Type="http://schemas.openxmlformats.org/officeDocument/2006/relationships/hyperlink" Target="https://nt.gov.au/emergency/child-safety/working-with-children-clearance-before-you-apply" TargetMode="External"/><Relationship Id="rId3" Type="http://schemas.openxmlformats.org/officeDocument/2006/relationships/hyperlink" Target="https://www.ato.gov.au/law/view/document?DocID=ITD/EF20151C8/00001&amp;PiT=99991231235958" TargetMode="External"/><Relationship Id="rId21" Type="http://schemas.openxmlformats.org/officeDocument/2006/relationships/hyperlink" Target="https://www.qld.gov.au/law/laws-regulated-industries-and-accountability/queensland-laws-and-regulations/regulated-industries-and-licensing/blue-card/required/industries/young-people" TargetMode="External"/><Relationship Id="rId7" Type="http://schemas.openxmlformats.org/officeDocument/2006/relationships/hyperlink" Target="https://earlychildhood.qld.gov.au/regulation/health-and-safety/child-protection-requirements" TargetMode="External"/><Relationship Id="rId12" Type="http://schemas.openxmlformats.org/officeDocument/2006/relationships/hyperlink" Target="https://www.service.nsw.gov.au/transaction/apply-for-a-working-with-children-check" TargetMode="External"/><Relationship Id="rId17" Type="http://schemas.openxmlformats.org/officeDocument/2006/relationships/hyperlink" Target="https://www.service.tas.gov.au/services/education-and-skills/working-with-vulnerable-people-including-children/apply-for-registration-to-work-with-vulnerable-people" TargetMode="External"/><Relationship Id="rId25" Type="http://schemas.openxmlformats.org/officeDocument/2006/relationships/hyperlink" Target="https://trb.tas.gov.au/wp-content/uploads/2022/10/Update-your-TRB-record-with-your-Registration-to-Work-with-Vulnerable-People-details.pdf" TargetMode="External"/><Relationship Id="rId2" Type="http://schemas.openxmlformats.org/officeDocument/2006/relationships/hyperlink" Target="https://doi.org/10.1016/j.childyouth.2016.11.014" TargetMode="External"/><Relationship Id="rId16" Type="http://schemas.openxmlformats.org/officeDocument/2006/relationships/hyperlink" Target="https://www.sa.gov.au/topics/rights-and-law/rights-and-responsibilities/screening-checks/apply-for-a-screening-check/fees" TargetMode="External"/><Relationship Id="rId20" Type="http://schemas.openxmlformats.org/officeDocument/2006/relationships/hyperlink" Target="https://ocg.nsw.gov.au/working-children-check/who-needs-check" TargetMode="External"/><Relationship Id="rId1" Type="http://schemas.openxmlformats.org/officeDocument/2006/relationships/hyperlink" Target="https://www.acecqa.gov.au/sites/default/files/2023-12/Review%20of%20Child%20Safety%20Arrangements%20under%20the%20National%20Quality%20Framework-full_report.pdf" TargetMode="External"/><Relationship Id="rId6" Type="http://schemas.openxmlformats.org/officeDocument/2006/relationships/hyperlink" Target="https://www.safespacelegal.com.au/australian-child-safe-standards-a-state-by-state-guide-2025/" TargetMode="External"/><Relationship Id="rId11" Type="http://schemas.openxmlformats.org/officeDocument/2006/relationships/hyperlink" Target="https://www.act.gov.au/community/child-protection-and-youth-justice/training-to-respond-to-child-abuse-and-neglect" TargetMode="External"/><Relationship Id="rId24" Type="http://schemas.openxmlformats.org/officeDocument/2006/relationships/hyperlink" Target="https://publicdocumentcentre.education.tas.gov.au/library/Shared%20Documents/Information-Sheet-Working-With-Vulnerable-People.pdf" TargetMode="External"/><Relationship Id="rId5" Type="http://schemas.openxmlformats.org/officeDocument/2006/relationships/hyperlink" Target="https://education.nsw.gov.au/early-childhood-education/regulation-and-compliance/regulation-assessment-and-rating/child-safety/child-protection-training-requirements" TargetMode="External"/><Relationship Id="rId15" Type="http://schemas.openxmlformats.org/officeDocument/2006/relationships/hyperlink" Target="https://www.wa.gov.au/organisation/department-of-communities/working-children-check-application-and-renewal-process" TargetMode="External"/><Relationship Id="rId23" Type="http://schemas.openxmlformats.org/officeDocument/2006/relationships/hyperlink" Target="https://www.education.wa.edu.au/web/policies/-/working-with-children-checks-in-department-of-education-sites-policy" TargetMode="External"/><Relationship Id="rId10" Type="http://schemas.openxmlformats.org/officeDocument/2006/relationships/hyperlink" Target="https://www.safespacelegal.com.au/australian-child-safe-standards-a-state-by-state-guide-2025/" TargetMode="External"/><Relationship Id="rId19" Type="http://schemas.openxmlformats.org/officeDocument/2006/relationships/hyperlink" Target="https://nt.gov.au/emergency/child-safety/apply-for-a-working-with-children-clearance" TargetMode="External"/><Relationship Id="rId4" Type="http://schemas.openxmlformats.org/officeDocument/2006/relationships/hyperlink" Target="https://www.childabuseroyalcommission.gov.au/identifying-and-disclosing-child-sexual-abuse" TargetMode="External"/><Relationship Id="rId9" Type="http://schemas.openxmlformats.org/officeDocument/2006/relationships/hyperlink" Target="https://www.education.sa.gov.au/working-us/rrhan-ec/rrhan-ec-mandatory-notification-training-list-courses" TargetMode="External"/><Relationship Id="rId14" Type="http://schemas.openxmlformats.org/officeDocument/2006/relationships/hyperlink" Target="https://www.qld.gov.au/law/laws-regulated-industries-and-accountability/queensland-laws-and-regulations/regulated-industries-and-licensing/blue-card/applications/payment" TargetMode="External"/><Relationship Id="rId22" Type="http://schemas.openxmlformats.org/officeDocument/2006/relationships/hyperlink" Target="https://www.qld.gov.au/education/jobs/teacher/childhood"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ausdeloitte.sharepoint.com/sites/ChildSafetyRIS/Shared%20Documents/Project/5.%20CRIS%20Drafting/Data%20analysis/CRIS%20-%20charts%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RCHIVE/Approved%20Provider%20Survey%20Analysis%20Live_TVDB_1206.xlsx" TargetMode="External"/><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102.xml"/><Relationship Id="rId1" Type="http://schemas.microsoft.com/office/2011/relationships/chartStyle" Target="style102.xml"/></Relationships>
</file>

<file path=word/charts/_rels/chart10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03.xml"/><Relationship Id="rId1" Type="http://schemas.microsoft.com/office/2011/relationships/chartStyle" Target="style103.xml"/></Relationships>
</file>

<file path=word/charts/_rels/chart10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104.xml"/><Relationship Id="rId1" Type="http://schemas.microsoft.com/office/2011/relationships/chartStyle" Target="style104.xml"/></Relationships>
</file>

<file path=word/charts/_rels/chart10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105.xml"/><Relationship Id="rId1" Type="http://schemas.microsoft.com/office/2011/relationships/chartStyle" Target="style105.xml"/></Relationships>
</file>

<file path=word/charts/_rels/chart10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06.xml"/><Relationship Id="rId1" Type="http://schemas.microsoft.com/office/2011/relationships/chartStyle" Target="style106.xml"/></Relationships>
</file>

<file path=word/charts/_rels/chart10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107.xml"/><Relationship Id="rId1" Type="http://schemas.microsoft.com/office/2011/relationships/chartStyle" Target="style107.xml"/></Relationships>
</file>

<file path=word/charts/_rels/chart10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108.xml"/><Relationship Id="rId1" Type="http://schemas.microsoft.com/office/2011/relationships/chartStyle" Target="style108.xml"/></Relationships>
</file>

<file path=word/charts/_rels/chart1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RCHIVE/Approved%20Provider%20Survey%20Analysis%20Live_TVDB_120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Data/Submissions/PDF%20submissions%20analysis.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Approved%20Provider%20Survey%20Analysis%20Live_TVDB_1206.xlsx" TargetMode="External"/><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Workforce%20Survey%20Analysis%20Live_TVDB.xlsx" TargetMode="External"/><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oleObject" Target="https://ausdeloitte.sharepoint.com/sites/ChildSafetyRIS/Shared%20Documents/Project/8.%20Surveys%20and%20submissions/Analysis/Families%20Survey%20Analysis%20Live_TVDB.xlsx" TargetMode="External"/><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67052332201608"/>
          <c:y val="4.5945325063174822E-2"/>
          <c:w val="0.73332013938174856"/>
          <c:h val="0.89892028486101538"/>
        </c:manualLayout>
      </c:layout>
      <c:barChart>
        <c:barDir val="bar"/>
        <c:grouping val="clustered"/>
        <c:varyColors val="0"/>
        <c:ser>
          <c:idx val="0"/>
          <c:order val="0"/>
          <c:spPr>
            <a:solidFill>
              <a:srgbClr val="006B77"/>
            </a:solidFill>
            <a:ln>
              <a:noFill/>
            </a:ln>
            <a:effectLst/>
          </c:spPr>
          <c:invertIfNegative val="0"/>
          <c:dLbls>
            <c:dLbl>
              <c:idx val="0"/>
              <c:tx>
                <c:rich>
                  <a:bodyPr/>
                  <a:lstStyle/>
                  <a:p>
                    <a:fld id="{58385673-E5A4-4A5F-B4B3-6F7DB8CD7F28}"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CE96-4F67-81C7-B35C508A5186}"/>
                </c:ext>
              </c:extLst>
            </c:dLbl>
            <c:dLbl>
              <c:idx val="1"/>
              <c:tx>
                <c:rich>
                  <a:bodyPr/>
                  <a:lstStyle/>
                  <a:p>
                    <a:fld id="{D1430D7A-11C5-4897-8CCB-D0DC09C10E3B}"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E96-4F67-81C7-B35C508A5186}"/>
                </c:ext>
              </c:extLst>
            </c:dLbl>
            <c:dLbl>
              <c:idx val="2"/>
              <c:tx>
                <c:rich>
                  <a:bodyPr/>
                  <a:lstStyle/>
                  <a:p>
                    <a:fld id="{F879F0CB-2754-467B-94AF-0129C262E145}"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CE96-4F67-81C7-B35C508A5186}"/>
                </c:ext>
              </c:extLst>
            </c:dLbl>
            <c:dLbl>
              <c:idx val="3"/>
              <c:tx>
                <c:rich>
                  <a:bodyPr/>
                  <a:lstStyle/>
                  <a:p>
                    <a:fld id="{79DB37DF-9792-486F-9D32-D18A7E15D9E4}"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E96-4F67-81C7-B35C508A5186}"/>
                </c:ext>
              </c:extLst>
            </c:dLbl>
            <c:dLbl>
              <c:idx val="4"/>
              <c:tx>
                <c:rich>
                  <a:bodyPr/>
                  <a:lstStyle/>
                  <a:p>
                    <a:fld id="{B550B5FE-F387-4043-80DE-6A3312E57926}"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CE96-4F67-81C7-B35C508A5186}"/>
                </c:ext>
              </c:extLst>
            </c:dLbl>
            <c:dLbl>
              <c:idx val="5"/>
              <c:tx>
                <c:rich>
                  <a:bodyPr/>
                  <a:lstStyle/>
                  <a:p>
                    <a:fld id="{1D12422B-54E6-4258-80BB-172233306BE5}"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CE96-4F67-81C7-B35C508A5186}"/>
                </c:ext>
              </c:extLst>
            </c:dLbl>
            <c:dLbl>
              <c:idx val="6"/>
              <c:tx>
                <c:rich>
                  <a:bodyPr/>
                  <a:lstStyle/>
                  <a:p>
                    <a:fld id="{830F8FC9-5AE5-49BF-BD8D-08540A7EB92F}"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CE96-4F67-81C7-B35C508A5186}"/>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'services by management type'!$B$3:$B$9</c:f>
              <c:strCache>
                <c:ptCount val="7"/>
                <c:pt idx="0">
                  <c:v>Private for-profit</c:v>
                </c:pt>
                <c:pt idx="1">
                  <c:v>Private not-for-profit 
community managed</c:v>
                </c:pt>
                <c:pt idx="2">
                  <c:v>Private not-for-profit 
other organisations</c:v>
                </c:pt>
                <c:pt idx="3">
                  <c:v>State/Territory 
government managed</c:v>
                </c:pt>
                <c:pt idx="4">
                  <c:v>State/Territory
government schools</c:v>
                </c:pt>
                <c:pt idx="5">
                  <c:v>Independent schools</c:v>
                </c:pt>
                <c:pt idx="6">
                  <c:v>Catholic schools</c:v>
                </c:pt>
              </c:strCache>
            </c:strRef>
          </c:cat>
          <c:val>
            <c:numRef>
              <c:f>'services by management type'!$C$3:$C$9</c:f>
              <c:numCache>
                <c:formatCode>#,##0</c:formatCode>
                <c:ptCount val="7"/>
                <c:pt idx="0">
                  <c:v>9694</c:v>
                </c:pt>
                <c:pt idx="1">
                  <c:v>3362</c:v>
                </c:pt>
                <c:pt idx="2">
                  <c:v>2394</c:v>
                </c:pt>
                <c:pt idx="3">
                  <c:v>1160</c:v>
                </c:pt>
                <c:pt idx="4">
                  <c:v>669</c:v>
                </c:pt>
                <c:pt idx="5">
                  <c:v>512</c:v>
                </c:pt>
                <c:pt idx="6">
                  <c:v>205</c:v>
                </c:pt>
              </c:numCache>
            </c:numRef>
          </c:val>
          <c:extLst>
            <c:ext xmlns:c15="http://schemas.microsoft.com/office/drawing/2012/chart" uri="{02D57815-91ED-43cb-92C2-25804820EDAC}">
              <c15:datalabelsRange>
                <c15:f>'services by management type'!$E$3:$E$9</c15:f>
                <c15:dlblRangeCache>
                  <c:ptCount val="7"/>
                  <c:pt idx="0">
                    <c:v>9,694 (54%)</c:v>
                  </c:pt>
                  <c:pt idx="1">
                    <c:v>3,362 (19%)</c:v>
                  </c:pt>
                  <c:pt idx="2">
                    <c:v>2,394 (13%)</c:v>
                  </c:pt>
                  <c:pt idx="3">
                    <c:v>1,160 (6%)</c:v>
                  </c:pt>
                  <c:pt idx="4">
                    <c:v>669 (4%)</c:v>
                  </c:pt>
                  <c:pt idx="5">
                    <c:v>512 (3%)</c:v>
                  </c:pt>
                  <c:pt idx="6">
                    <c:v>205 (1%)</c:v>
                  </c:pt>
                </c15:dlblRangeCache>
              </c15:datalabelsRange>
            </c:ext>
            <c:ext xmlns:c16="http://schemas.microsoft.com/office/drawing/2014/chart" uri="{C3380CC4-5D6E-409C-BE32-E72D297353CC}">
              <c16:uniqueId val="{00000007-CE96-4F67-81C7-B35C508A5186}"/>
            </c:ext>
          </c:extLst>
        </c:ser>
        <c:dLbls>
          <c:dLblPos val="outEnd"/>
          <c:showLegendKey val="0"/>
          <c:showVal val="1"/>
          <c:showCatName val="0"/>
          <c:showSerName val="0"/>
          <c:showPercent val="0"/>
          <c:showBubbleSize val="0"/>
        </c:dLbls>
        <c:gapWidth val="182"/>
        <c:axId val="757193711"/>
        <c:axId val="191503487"/>
      </c:barChart>
      <c:catAx>
        <c:axId val="75719371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1503487"/>
        <c:crosses val="autoZero"/>
        <c:auto val="1"/>
        <c:lblAlgn val="ctr"/>
        <c:lblOffset val="100"/>
        <c:noMultiLvlLbl val="0"/>
      </c:catAx>
      <c:valAx>
        <c:axId val="191503487"/>
        <c:scaling>
          <c:orientation val="minMax"/>
        </c:scaling>
        <c:delete val="0"/>
        <c:axPos val="t"/>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719371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Live_TVDB_1206.xlsx]3.1'!$I$62</c:f>
              <c:strCache>
                <c:ptCount val="1"/>
                <c:pt idx="0">
                  <c:v>Never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Live_TVDB_1206.xlsx]3.1'!$K$62</c:f>
              <c:numCache>
                <c:formatCode>0%</c:formatCode>
                <c:ptCount val="1"/>
                <c:pt idx="0">
                  <c:v>0.61006289308176098</c:v>
                </c:pt>
              </c:numCache>
            </c:numRef>
          </c:val>
          <c:extLst>
            <c:ext xmlns:c16="http://schemas.microsoft.com/office/drawing/2014/chart" uri="{C3380CC4-5D6E-409C-BE32-E72D297353CC}">
              <c16:uniqueId val="{00000000-83D3-4CA5-8AAD-E080096469FA}"/>
            </c:ext>
          </c:extLst>
        </c:ser>
        <c:ser>
          <c:idx val="1"/>
          <c:order val="1"/>
          <c:tx>
            <c:strRef>
              <c:f>'[Approved Provider Survey Analysis Live_TVDB_1206.xlsx]3.1'!$I$63</c:f>
              <c:strCache>
                <c:ptCount val="1"/>
                <c:pt idx="0">
                  <c:v>Once a week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Live_TVDB_1206.xlsx]3.1'!$K$63</c:f>
              <c:numCache>
                <c:formatCode>0%</c:formatCode>
                <c:ptCount val="1"/>
                <c:pt idx="0">
                  <c:v>3.1446540880503145E-2</c:v>
                </c:pt>
              </c:numCache>
            </c:numRef>
          </c:val>
          <c:extLst>
            <c:ext xmlns:c16="http://schemas.microsoft.com/office/drawing/2014/chart" uri="{C3380CC4-5D6E-409C-BE32-E72D297353CC}">
              <c16:uniqueId val="{00000001-83D3-4CA5-8AAD-E080096469FA}"/>
            </c:ext>
          </c:extLst>
        </c:ser>
        <c:ser>
          <c:idx val="2"/>
          <c:order val="2"/>
          <c:tx>
            <c:strRef>
              <c:f>'[Approved Provider Survey Analysis Live_TVDB_1206.xlsx]3.1'!$I$64</c:f>
              <c:strCache>
                <c:ptCount val="1"/>
                <c:pt idx="0">
                  <c:v>Once a month</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Live_TVDB_1206.xlsx]3.1'!$K$64</c:f>
              <c:numCache>
                <c:formatCode>0%</c:formatCode>
                <c:ptCount val="1"/>
                <c:pt idx="0">
                  <c:v>5.0314465408805034E-2</c:v>
                </c:pt>
              </c:numCache>
            </c:numRef>
          </c:val>
          <c:extLst>
            <c:ext xmlns:c16="http://schemas.microsoft.com/office/drawing/2014/chart" uri="{C3380CC4-5D6E-409C-BE32-E72D297353CC}">
              <c16:uniqueId val="{00000002-83D3-4CA5-8AAD-E080096469FA}"/>
            </c:ext>
          </c:extLst>
        </c:ser>
        <c:ser>
          <c:idx val="3"/>
          <c:order val="3"/>
          <c:tx>
            <c:strRef>
              <c:f>'[Approved Provider Survey Analysis Live_TVDB_1206.xlsx]3.1'!$I$65</c:f>
              <c:strCache>
                <c:ptCount val="1"/>
                <c:pt idx="0">
                  <c:v>Once every few months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Live_TVDB_1206.xlsx]3.1'!$K$65</c:f>
              <c:numCache>
                <c:formatCode>0%</c:formatCode>
                <c:ptCount val="1"/>
                <c:pt idx="0">
                  <c:v>0.1069182389937107</c:v>
                </c:pt>
              </c:numCache>
            </c:numRef>
          </c:val>
          <c:extLst>
            <c:ext xmlns:c16="http://schemas.microsoft.com/office/drawing/2014/chart" uri="{C3380CC4-5D6E-409C-BE32-E72D297353CC}">
              <c16:uniqueId val="{00000003-83D3-4CA5-8AAD-E080096469FA}"/>
            </c:ext>
          </c:extLst>
        </c:ser>
        <c:ser>
          <c:idx val="4"/>
          <c:order val="4"/>
          <c:tx>
            <c:strRef>
              <c:f>'[Approved Provider Survey Analysis Live_TVDB_1206.xlsx]3.1'!$I$66</c:f>
              <c:strCache>
                <c:ptCount val="1"/>
                <c:pt idx="0">
                  <c:v>Once a year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Live_TVDB_1206.xlsx]3.1'!$K$66</c:f>
              <c:numCache>
                <c:formatCode>0%</c:formatCode>
                <c:ptCount val="1"/>
                <c:pt idx="0">
                  <c:v>0.20125786163522014</c:v>
                </c:pt>
              </c:numCache>
            </c:numRef>
          </c:val>
          <c:extLst>
            <c:ext xmlns:c16="http://schemas.microsoft.com/office/drawing/2014/chart" uri="{C3380CC4-5D6E-409C-BE32-E72D297353CC}">
              <c16:uniqueId val="{00000004-83D3-4CA5-8AAD-E080096469FA}"/>
            </c:ext>
          </c:extLst>
        </c:ser>
        <c:dLbls>
          <c:dLblPos val="ctr"/>
          <c:showLegendKey val="0"/>
          <c:showVal val="1"/>
          <c:showCatName val="0"/>
          <c:showSerName val="0"/>
          <c:showPercent val="0"/>
          <c:showBubbleSize val="0"/>
        </c:dLbls>
        <c:gapWidth val="150"/>
        <c:overlap val="100"/>
        <c:axId val="1780797503"/>
        <c:axId val="1780809503"/>
      </c:barChart>
      <c:catAx>
        <c:axId val="1780797503"/>
        <c:scaling>
          <c:orientation val="minMax"/>
        </c:scaling>
        <c:delete val="1"/>
        <c:axPos val="l"/>
        <c:numFmt formatCode="General" sourceLinked="1"/>
        <c:majorTickMark val="none"/>
        <c:minorTickMark val="none"/>
        <c:tickLblPos val="nextTo"/>
        <c:crossAx val="1780809503"/>
        <c:crosses val="autoZero"/>
        <c:auto val="1"/>
        <c:lblAlgn val="ctr"/>
        <c:lblOffset val="100"/>
        <c:noMultiLvlLbl val="0"/>
      </c:catAx>
      <c:valAx>
        <c:axId val="178080950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79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Live_TVDB_1206.xlsx]6.2'!$M$38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Live_TVDB_1206.xlsx]6.2'!$L$39:$L$41</c:f>
              <c:strCache>
                <c:ptCount val="3"/>
                <c:pt idx="0">
                  <c:v>No Change</c:v>
                </c:pt>
                <c:pt idx="1">
                  <c:v>Somewhat reduce</c:v>
                </c:pt>
                <c:pt idx="2">
                  <c:v>Greatly reduce</c:v>
                </c:pt>
              </c:strCache>
            </c:strRef>
          </c:cat>
          <c:val>
            <c:numRef>
              <c:f>'[Approved Provider Survey Analysis Live_TVDB_1206.xlsx]6.2'!$M$39:$M$41</c:f>
              <c:numCache>
                <c:formatCode>General</c:formatCode>
                <c:ptCount val="3"/>
                <c:pt idx="0">
                  <c:v>77</c:v>
                </c:pt>
                <c:pt idx="1">
                  <c:v>3</c:v>
                </c:pt>
                <c:pt idx="2">
                  <c:v>1</c:v>
                </c:pt>
              </c:numCache>
            </c:numRef>
          </c:val>
          <c:extLst>
            <c:ext xmlns:c16="http://schemas.microsoft.com/office/drawing/2014/chart" uri="{C3380CC4-5D6E-409C-BE32-E72D297353CC}">
              <c16:uniqueId val="{00000000-B92B-476D-BDCE-1451892653F7}"/>
            </c:ext>
          </c:extLst>
        </c:ser>
        <c:ser>
          <c:idx val="1"/>
          <c:order val="1"/>
          <c:tx>
            <c:strRef>
              <c:f>'[Approved Provider Survey Analysis Live_TVDB_1206.xlsx]6.2'!$N$38</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Live_TVDB_1206.xlsx]6.2'!$L$39:$L$41</c:f>
              <c:strCache>
                <c:ptCount val="3"/>
                <c:pt idx="0">
                  <c:v>No Change</c:v>
                </c:pt>
                <c:pt idx="1">
                  <c:v>Somewhat reduce</c:v>
                </c:pt>
                <c:pt idx="2">
                  <c:v>Greatly reduce</c:v>
                </c:pt>
              </c:strCache>
            </c:strRef>
          </c:cat>
          <c:val>
            <c:numRef>
              <c:f>'[Approved Provider Survey Analysis Live_TVDB_1206.xlsx]6.2'!$N$39:$N$41</c:f>
              <c:numCache>
                <c:formatCode>General</c:formatCode>
                <c:ptCount val="3"/>
                <c:pt idx="0">
                  <c:v>14</c:v>
                </c:pt>
                <c:pt idx="1">
                  <c:v>32</c:v>
                </c:pt>
                <c:pt idx="2">
                  <c:v>36</c:v>
                </c:pt>
              </c:numCache>
            </c:numRef>
          </c:val>
          <c:extLst>
            <c:ext xmlns:c16="http://schemas.microsoft.com/office/drawing/2014/chart" uri="{C3380CC4-5D6E-409C-BE32-E72D297353CC}">
              <c16:uniqueId val="{00000001-B92B-476D-BDCE-1451892653F7}"/>
            </c:ext>
          </c:extLst>
        </c:ser>
        <c:dLbls>
          <c:dLblPos val="outEnd"/>
          <c:showLegendKey val="0"/>
          <c:showVal val="1"/>
          <c:showCatName val="0"/>
          <c:showSerName val="0"/>
          <c:showPercent val="0"/>
          <c:showBubbleSize val="0"/>
        </c:dLbls>
        <c:gapWidth val="219"/>
        <c:overlap val="-27"/>
        <c:axId val="1781620320"/>
        <c:axId val="1781568960"/>
      </c:barChart>
      <c:catAx>
        <c:axId val="178162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68960"/>
        <c:crosses val="autoZero"/>
        <c:auto val="1"/>
        <c:lblAlgn val="ctr"/>
        <c:lblOffset val="100"/>
        <c:noMultiLvlLbl val="0"/>
      </c:catAx>
      <c:valAx>
        <c:axId val="1781568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62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Live_TVDB.xlsx]6.2'!$M$29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Live_TVDB.xlsx]6.2'!$L$30:$L$32</c:f>
              <c:strCache>
                <c:ptCount val="3"/>
                <c:pt idx="0">
                  <c:v>No Change</c:v>
                </c:pt>
                <c:pt idx="1">
                  <c:v>Somewhat reduce</c:v>
                </c:pt>
                <c:pt idx="2">
                  <c:v>Greatly reduce</c:v>
                </c:pt>
              </c:strCache>
            </c:strRef>
          </c:cat>
          <c:val>
            <c:numRef>
              <c:f>'[Workforce Survey Analysis Live_TVDB.xlsx]6.2'!$M$30:$M$32</c:f>
              <c:numCache>
                <c:formatCode>General</c:formatCode>
                <c:ptCount val="3"/>
                <c:pt idx="0">
                  <c:v>63</c:v>
                </c:pt>
                <c:pt idx="1">
                  <c:v>5</c:v>
                </c:pt>
                <c:pt idx="2">
                  <c:v>2</c:v>
                </c:pt>
              </c:numCache>
            </c:numRef>
          </c:val>
          <c:extLst>
            <c:ext xmlns:c16="http://schemas.microsoft.com/office/drawing/2014/chart" uri="{C3380CC4-5D6E-409C-BE32-E72D297353CC}">
              <c16:uniqueId val="{00000000-463C-49D0-AD8C-625704AF1F9C}"/>
            </c:ext>
          </c:extLst>
        </c:ser>
        <c:ser>
          <c:idx val="1"/>
          <c:order val="1"/>
          <c:tx>
            <c:strRef>
              <c:f>'[Workforce Survey Analysis Live_TVDB.xlsx]6.2'!$N$29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Live_TVDB.xlsx]6.2'!$L$30:$L$32</c:f>
              <c:strCache>
                <c:ptCount val="3"/>
                <c:pt idx="0">
                  <c:v>No Change</c:v>
                </c:pt>
                <c:pt idx="1">
                  <c:v>Somewhat reduce</c:v>
                </c:pt>
                <c:pt idx="2">
                  <c:v>Greatly reduce</c:v>
                </c:pt>
              </c:strCache>
            </c:strRef>
          </c:cat>
          <c:val>
            <c:numRef>
              <c:f>'[Workforce Survey Analysis Live_TVDB.xlsx]6.2'!$N$30:$N$32</c:f>
              <c:numCache>
                <c:formatCode>General</c:formatCode>
                <c:ptCount val="3"/>
                <c:pt idx="0">
                  <c:v>19</c:v>
                </c:pt>
                <c:pt idx="1">
                  <c:v>26</c:v>
                </c:pt>
                <c:pt idx="2">
                  <c:v>26</c:v>
                </c:pt>
              </c:numCache>
            </c:numRef>
          </c:val>
          <c:extLst>
            <c:ext xmlns:c16="http://schemas.microsoft.com/office/drawing/2014/chart" uri="{C3380CC4-5D6E-409C-BE32-E72D297353CC}">
              <c16:uniqueId val="{00000001-463C-49D0-AD8C-625704AF1F9C}"/>
            </c:ext>
          </c:extLst>
        </c:ser>
        <c:dLbls>
          <c:dLblPos val="outEnd"/>
          <c:showLegendKey val="0"/>
          <c:showVal val="1"/>
          <c:showCatName val="0"/>
          <c:showSerName val="0"/>
          <c:showPercent val="0"/>
          <c:showBubbleSize val="0"/>
        </c:dLbls>
        <c:gapWidth val="219"/>
        <c:overlap val="-27"/>
        <c:axId val="404456735"/>
        <c:axId val="404453375"/>
      </c:barChart>
      <c:catAx>
        <c:axId val="40445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4453375"/>
        <c:crosses val="autoZero"/>
        <c:auto val="1"/>
        <c:lblAlgn val="ctr"/>
        <c:lblOffset val="100"/>
        <c:noMultiLvlLbl val="0"/>
      </c:catAx>
      <c:valAx>
        <c:axId val="4044533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4456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Live_TVDB.xlsx]6.2'!$M$28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Live_TVDB.xlsx]6.2'!$L$29:$L$31</c:f>
              <c:strCache>
                <c:ptCount val="3"/>
                <c:pt idx="0">
                  <c:v>No Change</c:v>
                </c:pt>
                <c:pt idx="1">
                  <c:v>Somewhat reduce</c:v>
                </c:pt>
                <c:pt idx="2">
                  <c:v>Greatly reduce</c:v>
                </c:pt>
              </c:strCache>
            </c:strRef>
          </c:cat>
          <c:val>
            <c:numRef>
              <c:f>'[Families Survey Analysis Live_TVDB.xlsx]6.2'!$M$29:$M$31</c:f>
              <c:numCache>
                <c:formatCode>General</c:formatCode>
                <c:ptCount val="3"/>
                <c:pt idx="0">
                  <c:v>50</c:v>
                </c:pt>
                <c:pt idx="1">
                  <c:v>4</c:v>
                </c:pt>
                <c:pt idx="2">
                  <c:v>0</c:v>
                </c:pt>
              </c:numCache>
            </c:numRef>
          </c:val>
          <c:extLst>
            <c:ext xmlns:c16="http://schemas.microsoft.com/office/drawing/2014/chart" uri="{C3380CC4-5D6E-409C-BE32-E72D297353CC}">
              <c16:uniqueId val="{00000000-9B7A-47C9-81A7-DE89A5FF05BD}"/>
            </c:ext>
          </c:extLst>
        </c:ser>
        <c:ser>
          <c:idx val="1"/>
          <c:order val="1"/>
          <c:tx>
            <c:strRef>
              <c:f>'[Families Survey Analysis Live_TVDB.xlsx]6.2'!$N$28</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Live_TVDB.xlsx]6.2'!$L$29:$L$31</c:f>
              <c:strCache>
                <c:ptCount val="3"/>
                <c:pt idx="0">
                  <c:v>No Change</c:v>
                </c:pt>
                <c:pt idx="1">
                  <c:v>Somewhat reduce</c:v>
                </c:pt>
                <c:pt idx="2">
                  <c:v>Greatly reduce</c:v>
                </c:pt>
              </c:strCache>
            </c:strRef>
          </c:cat>
          <c:val>
            <c:numRef>
              <c:f>'[Families Survey Analysis Live_TVDB.xlsx]6.2'!$N$29:$N$31</c:f>
              <c:numCache>
                <c:formatCode>General</c:formatCode>
                <c:ptCount val="3"/>
                <c:pt idx="0">
                  <c:v>5</c:v>
                </c:pt>
                <c:pt idx="1">
                  <c:v>21</c:v>
                </c:pt>
                <c:pt idx="2">
                  <c:v>27</c:v>
                </c:pt>
              </c:numCache>
            </c:numRef>
          </c:val>
          <c:extLst>
            <c:ext xmlns:c16="http://schemas.microsoft.com/office/drawing/2014/chart" uri="{C3380CC4-5D6E-409C-BE32-E72D297353CC}">
              <c16:uniqueId val="{00000001-9B7A-47C9-81A7-DE89A5FF05BD}"/>
            </c:ext>
          </c:extLst>
        </c:ser>
        <c:dLbls>
          <c:dLblPos val="outEnd"/>
          <c:showLegendKey val="0"/>
          <c:showVal val="1"/>
          <c:showCatName val="0"/>
          <c:showSerName val="0"/>
          <c:showPercent val="0"/>
          <c:showBubbleSize val="0"/>
        </c:dLbls>
        <c:gapWidth val="219"/>
        <c:overlap val="-27"/>
        <c:axId val="383225407"/>
        <c:axId val="383224927"/>
      </c:barChart>
      <c:catAx>
        <c:axId val="383225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83224927"/>
        <c:crosses val="autoZero"/>
        <c:auto val="1"/>
        <c:lblAlgn val="ctr"/>
        <c:lblOffset val="100"/>
        <c:noMultiLvlLbl val="0"/>
      </c:catAx>
      <c:valAx>
        <c:axId val="3832249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83225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Live_TVDB_1206.xlsx]6.2'!$L$19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Live_TVDB_1206.xlsx]6.2'!$M$19</c:f>
              <c:numCache>
                <c:formatCode>0%</c:formatCode>
                <c:ptCount val="1"/>
                <c:pt idx="0">
                  <c:v>0.125</c:v>
                </c:pt>
              </c:numCache>
            </c:numRef>
          </c:val>
          <c:extLst>
            <c:ext xmlns:c16="http://schemas.microsoft.com/office/drawing/2014/chart" uri="{C3380CC4-5D6E-409C-BE32-E72D297353CC}">
              <c16:uniqueId val="{00000000-CF6B-4145-911C-F65E7FCFA91B}"/>
            </c:ext>
          </c:extLst>
        </c:ser>
        <c:ser>
          <c:idx val="1"/>
          <c:order val="1"/>
          <c:tx>
            <c:strRef>
              <c:f>'[Approved Provider Survey Analysis Live_TVDB_1206.xlsx]6.2'!$L$20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Live_TVDB_1206.xlsx]6.2'!$M$20</c:f>
              <c:numCache>
                <c:formatCode>0%</c:formatCode>
                <c:ptCount val="1"/>
                <c:pt idx="0">
                  <c:v>0.875</c:v>
                </c:pt>
              </c:numCache>
            </c:numRef>
          </c:val>
          <c:extLst>
            <c:ext xmlns:c16="http://schemas.microsoft.com/office/drawing/2014/chart" uri="{C3380CC4-5D6E-409C-BE32-E72D297353CC}">
              <c16:uniqueId val="{00000001-CF6B-4145-911C-F65E7FCFA91B}"/>
            </c:ext>
          </c:extLst>
        </c:ser>
        <c:dLbls>
          <c:dLblPos val="ctr"/>
          <c:showLegendKey val="0"/>
          <c:showVal val="1"/>
          <c:showCatName val="0"/>
          <c:showSerName val="0"/>
          <c:showPercent val="0"/>
          <c:showBubbleSize val="0"/>
        </c:dLbls>
        <c:gapWidth val="150"/>
        <c:overlap val="100"/>
        <c:axId val="1781559840"/>
        <c:axId val="1781565600"/>
      </c:barChart>
      <c:catAx>
        <c:axId val="1781559840"/>
        <c:scaling>
          <c:orientation val="minMax"/>
        </c:scaling>
        <c:delete val="1"/>
        <c:axPos val="l"/>
        <c:numFmt formatCode="General" sourceLinked="1"/>
        <c:majorTickMark val="none"/>
        <c:minorTickMark val="none"/>
        <c:tickLblPos val="nextTo"/>
        <c:crossAx val="1781565600"/>
        <c:crosses val="autoZero"/>
        <c:auto val="1"/>
        <c:lblAlgn val="ctr"/>
        <c:lblOffset val="100"/>
        <c:noMultiLvlLbl val="0"/>
      </c:catAx>
      <c:valAx>
        <c:axId val="178156560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5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Live_TVDB.xlsx]6.2'!$L$18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Live_TVDB.xlsx]6.2'!$M$18</c:f>
              <c:numCache>
                <c:formatCode>0%</c:formatCode>
                <c:ptCount val="1"/>
                <c:pt idx="0">
                  <c:v>0.22222222222222221</c:v>
                </c:pt>
              </c:numCache>
            </c:numRef>
          </c:val>
          <c:extLst>
            <c:ext xmlns:c16="http://schemas.microsoft.com/office/drawing/2014/chart" uri="{C3380CC4-5D6E-409C-BE32-E72D297353CC}">
              <c16:uniqueId val="{00000000-79F5-41F6-8051-6A878D98AA5A}"/>
            </c:ext>
          </c:extLst>
        </c:ser>
        <c:ser>
          <c:idx val="1"/>
          <c:order val="1"/>
          <c:tx>
            <c:strRef>
              <c:f>'[Workforce Survey Analysis Live_TVDB.xlsx]6.2'!$L$19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Live_TVDB.xlsx]6.2'!$M$19</c:f>
              <c:numCache>
                <c:formatCode>0%</c:formatCode>
                <c:ptCount val="1"/>
                <c:pt idx="0">
                  <c:v>0.77777777777777779</c:v>
                </c:pt>
              </c:numCache>
            </c:numRef>
          </c:val>
          <c:extLst>
            <c:ext xmlns:c16="http://schemas.microsoft.com/office/drawing/2014/chart" uri="{C3380CC4-5D6E-409C-BE32-E72D297353CC}">
              <c16:uniqueId val="{00000001-79F5-41F6-8051-6A878D98AA5A}"/>
            </c:ext>
          </c:extLst>
        </c:ser>
        <c:dLbls>
          <c:dLblPos val="ctr"/>
          <c:showLegendKey val="0"/>
          <c:showVal val="1"/>
          <c:showCatName val="0"/>
          <c:showSerName val="0"/>
          <c:showPercent val="0"/>
          <c:showBubbleSize val="0"/>
        </c:dLbls>
        <c:gapWidth val="150"/>
        <c:overlap val="100"/>
        <c:axId val="453494735"/>
        <c:axId val="453496655"/>
      </c:barChart>
      <c:catAx>
        <c:axId val="453494735"/>
        <c:scaling>
          <c:orientation val="minMax"/>
        </c:scaling>
        <c:delete val="1"/>
        <c:axPos val="l"/>
        <c:numFmt formatCode="General" sourceLinked="1"/>
        <c:majorTickMark val="none"/>
        <c:minorTickMark val="none"/>
        <c:tickLblPos val="nextTo"/>
        <c:crossAx val="453496655"/>
        <c:crosses val="autoZero"/>
        <c:auto val="1"/>
        <c:lblAlgn val="ctr"/>
        <c:lblOffset val="100"/>
        <c:noMultiLvlLbl val="0"/>
      </c:catAx>
      <c:valAx>
        <c:axId val="45349665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3494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Live_TVDB.xlsx]6.2'!$L$18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Live_TVDB.xlsx]6.2'!$M$18</c:f>
              <c:numCache>
                <c:formatCode>0%</c:formatCode>
                <c:ptCount val="1"/>
                <c:pt idx="0">
                  <c:v>5.5555555555555552E-2</c:v>
                </c:pt>
              </c:numCache>
            </c:numRef>
          </c:val>
          <c:extLst>
            <c:ext xmlns:c16="http://schemas.microsoft.com/office/drawing/2014/chart" uri="{C3380CC4-5D6E-409C-BE32-E72D297353CC}">
              <c16:uniqueId val="{00000000-F20B-4E4A-8759-78E5926C6EBF}"/>
            </c:ext>
          </c:extLst>
        </c:ser>
        <c:ser>
          <c:idx val="1"/>
          <c:order val="1"/>
          <c:tx>
            <c:strRef>
              <c:f>'[Families Survey Analysis Live_TVDB.xlsx]6.2'!$L$19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Live_TVDB.xlsx]6.2'!$M$19</c:f>
              <c:numCache>
                <c:formatCode>0%</c:formatCode>
                <c:ptCount val="1"/>
                <c:pt idx="0">
                  <c:v>0.94444444444444442</c:v>
                </c:pt>
              </c:numCache>
            </c:numRef>
          </c:val>
          <c:extLst>
            <c:ext xmlns:c16="http://schemas.microsoft.com/office/drawing/2014/chart" uri="{C3380CC4-5D6E-409C-BE32-E72D297353CC}">
              <c16:uniqueId val="{00000001-F20B-4E4A-8759-78E5926C6EBF}"/>
            </c:ext>
          </c:extLst>
        </c:ser>
        <c:dLbls>
          <c:dLblPos val="ctr"/>
          <c:showLegendKey val="0"/>
          <c:showVal val="1"/>
          <c:showCatName val="0"/>
          <c:showSerName val="0"/>
          <c:showPercent val="0"/>
          <c:showBubbleSize val="0"/>
        </c:dLbls>
        <c:gapWidth val="150"/>
        <c:overlap val="100"/>
        <c:axId val="511939263"/>
        <c:axId val="511937343"/>
      </c:barChart>
      <c:catAx>
        <c:axId val="511939263"/>
        <c:scaling>
          <c:orientation val="minMax"/>
        </c:scaling>
        <c:delete val="1"/>
        <c:axPos val="l"/>
        <c:numFmt formatCode="General" sourceLinked="1"/>
        <c:majorTickMark val="none"/>
        <c:minorTickMark val="none"/>
        <c:tickLblPos val="nextTo"/>
        <c:crossAx val="511937343"/>
        <c:crosses val="autoZero"/>
        <c:auto val="1"/>
        <c:lblAlgn val="ctr"/>
        <c:lblOffset val="100"/>
        <c:noMultiLvlLbl val="0"/>
      </c:catAx>
      <c:valAx>
        <c:axId val="51193734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1939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Live_TVDB_1206.xlsx]6.3'!$N$33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Live_TVDB_1206.xlsx]6.3'!$O$32:$S$32</c:f>
              <c:strCache>
                <c:ptCount val="5"/>
                <c:pt idx="0">
                  <c:v>Option 1</c:v>
                </c:pt>
                <c:pt idx="1">
                  <c:v>Option 2</c:v>
                </c:pt>
                <c:pt idx="2">
                  <c:v>Option 3</c:v>
                </c:pt>
                <c:pt idx="3">
                  <c:v>Option 4</c:v>
                </c:pt>
                <c:pt idx="4">
                  <c:v>Option 5</c:v>
                </c:pt>
              </c:strCache>
            </c:strRef>
          </c:cat>
          <c:val>
            <c:numRef>
              <c:f>'[Approved Provider Survey Analysis Live_TVDB_1206.xlsx]6.3'!$O$33:$S$33</c:f>
              <c:numCache>
                <c:formatCode>General</c:formatCode>
                <c:ptCount val="5"/>
                <c:pt idx="0">
                  <c:v>75</c:v>
                </c:pt>
                <c:pt idx="1">
                  <c:v>19</c:v>
                </c:pt>
                <c:pt idx="2">
                  <c:v>4</c:v>
                </c:pt>
                <c:pt idx="3">
                  <c:v>3</c:v>
                </c:pt>
                <c:pt idx="4">
                  <c:v>5</c:v>
                </c:pt>
              </c:numCache>
            </c:numRef>
          </c:val>
          <c:extLst>
            <c:ext xmlns:c16="http://schemas.microsoft.com/office/drawing/2014/chart" uri="{C3380CC4-5D6E-409C-BE32-E72D297353CC}">
              <c16:uniqueId val="{00000000-C99F-43E6-B13D-59FB92756107}"/>
            </c:ext>
          </c:extLst>
        </c:ser>
        <c:ser>
          <c:idx val="1"/>
          <c:order val="1"/>
          <c:tx>
            <c:strRef>
              <c:f>'[Approved Provider Survey Analysis Live_TVDB_1206.xlsx]6.3'!$N$34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Live_TVDB_1206.xlsx]6.3'!$O$32:$S$32</c:f>
              <c:strCache>
                <c:ptCount val="5"/>
                <c:pt idx="0">
                  <c:v>Option 1</c:v>
                </c:pt>
                <c:pt idx="1">
                  <c:v>Option 2</c:v>
                </c:pt>
                <c:pt idx="2">
                  <c:v>Option 3</c:v>
                </c:pt>
                <c:pt idx="3">
                  <c:v>Option 4</c:v>
                </c:pt>
                <c:pt idx="4">
                  <c:v>Option 5</c:v>
                </c:pt>
              </c:strCache>
            </c:strRef>
          </c:cat>
          <c:val>
            <c:numRef>
              <c:f>'[Approved Provider Survey Analysis Live_TVDB_1206.xlsx]6.3'!$O$34:$S$34</c:f>
              <c:numCache>
                <c:formatCode>General</c:formatCode>
                <c:ptCount val="5"/>
                <c:pt idx="0">
                  <c:v>0</c:v>
                </c:pt>
                <c:pt idx="1">
                  <c:v>52</c:v>
                </c:pt>
                <c:pt idx="2">
                  <c:v>45</c:v>
                </c:pt>
                <c:pt idx="3">
                  <c:v>28</c:v>
                </c:pt>
                <c:pt idx="4">
                  <c:v>20</c:v>
                </c:pt>
              </c:numCache>
            </c:numRef>
          </c:val>
          <c:extLst>
            <c:ext xmlns:c16="http://schemas.microsoft.com/office/drawing/2014/chart" uri="{C3380CC4-5D6E-409C-BE32-E72D297353CC}">
              <c16:uniqueId val="{00000001-C99F-43E6-B13D-59FB92756107}"/>
            </c:ext>
          </c:extLst>
        </c:ser>
        <c:ser>
          <c:idx val="2"/>
          <c:order val="2"/>
          <c:tx>
            <c:strRef>
              <c:f>'[Approved Provider Survey Analysis Live_TVDB_1206.xlsx]6.3'!$N$35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Live_TVDB_1206.xlsx]6.3'!$O$32:$S$32</c:f>
              <c:strCache>
                <c:ptCount val="5"/>
                <c:pt idx="0">
                  <c:v>Option 1</c:v>
                </c:pt>
                <c:pt idx="1">
                  <c:v>Option 2</c:v>
                </c:pt>
                <c:pt idx="2">
                  <c:v>Option 3</c:v>
                </c:pt>
                <c:pt idx="3">
                  <c:v>Option 4</c:v>
                </c:pt>
                <c:pt idx="4">
                  <c:v>Option 5</c:v>
                </c:pt>
              </c:strCache>
            </c:strRef>
          </c:cat>
          <c:val>
            <c:numRef>
              <c:f>'[Approved Provider Survey Analysis Live_TVDB_1206.xlsx]6.3'!$O$35:$S$35</c:f>
              <c:numCache>
                <c:formatCode>General</c:formatCode>
                <c:ptCount val="5"/>
                <c:pt idx="0">
                  <c:v>1</c:v>
                </c:pt>
                <c:pt idx="1">
                  <c:v>5</c:v>
                </c:pt>
                <c:pt idx="2">
                  <c:v>28</c:v>
                </c:pt>
                <c:pt idx="3">
                  <c:v>45</c:v>
                </c:pt>
                <c:pt idx="4">
                  <c:v>51</c:v>
                </c:pt>
              </c:numCache>
            </c:numRef>
          </c:val>
          <c:extLst>
            <c:ext xmlns:c16="http://schemas.microsoft.com/office/drawing/2014/chart" uri="{C3380CC4-5D6E-409C-BE32-E72D297353CC}">
              <c16:uniqueId val="{00000002-C99F-43E6-B13D-59FB92756107}"/>
            </c:ext>
          </c:extLst>
        </c:ser>
        <c:dLbls>
          <c:dLblPos val="outEnd"/>
          <c:showLegendKey val="0"/>
          <c:showVal val="1"/>
          <c:showCatName val="0"/>
          <c:showSerName val="0"/>
          <c:showPercent val="0"/>
          <c:showBubbleSize val="0"/>
        </c:dLbls>
        <c:gapWidth val="219"/>
        <c:overlap val="-27"/>
        <c:axId val="1781570880"/>
        <c:axId val="1781562240"/>
      </c:barChart>
      <c:catAx>
        <c:axId val="178157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62240"/>
        <c:crosses val="autoZero"/>
        <c:auto val="1"/>
        <c:lblAlgn val="ctr"/>
        <c:lblOffset val="100"/>
        <c:noMultiLvlLbl val="0"/>
      </c:catAx>
      <c:valAx>
        <c:axId val="17815622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7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Live_TVDB.xlsx]6.3'!$N$33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Live_TVDB.xlsx]6.3'!$O$32:$S$32</c:f>
              <c:strCache>
                <c:ptCount val="5"/>
                <c:pt idx="0">
                  <c:v>Option 1</c:v>
                </c:pt>
                <c:pt idx="1">
                  <c:v>Option 2</c:v>
                </c:pt>
                <c:pt idx="2">
                  <c:v>Option 3</c:v>
                </c:pt>
                <c:pt idx="3">
                  <c:v>Option 4</c:v>
                </c:pt>
                <c:pt idx="4">
                  <c:v>Option 5</c:v>
                </c:pt>
              </c:strCache>
            </c:strRef>
          </c:cat>
          <c:val>
            <c:numRef>
              <c:f>'[Workforce Survey Analysis Live_TVDB.xlsx]6.3'!$O$33:$S$33</c:f>
              <c:numCache>
                <c:formatCode>General</c:formatCode>
                <c:ptCount val="5"/>
                <c:pt idx="0">
                  <c:v>61</c:v>
                </c:pt>
                <c:pt idx="1">
                  <c:v>23</c:v>
                </c:pt>
                <c:pt idx="2">
                  <c:v>10</c:v>
                </c:pt>
                <c:pt idx="3">
                  <c:v>10</c:v>
                </c:pt>
                <c:pt idx="4">
                  <c:v>10</c:v>
                </c:pt>
              </c:numCache>
            </c:numRef>
          </c:val>
          <c:extLst>
            <c:ext xmlns:c16="http://schemas.microsoft.com/office/drawing/2014/chart" uri="{C3380CC4-5D6E-409C-BE32-E72D297353CC}">
              <c16:uniqueId val="{00000000-55BD-4883-9B18-2AAC949B179C}"/>
            </c:ext>
          </c:extLst>
        </c:ser>
        <c:ser>
          <c:idx val="1"/>
          <c:order val="1"/>
          <c:tx>
            <c:strRef>
              <c:f>'[Workforce Survey Analysis Live_TVDB.xlsx]6.3'!$N$34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Live_TVDB.xlsx]6.3'!$O$32:$S$32</c:f>
              <c:strCache>
                <c:ptCount val="5"/>
                <c:pt idx="0">
                  <c:v>Option 1</c:v>
                </c:pt>
                <c:pt idx="1">
                  <c:v>Option 2</c:v>
                </c:pt>
                <c:pt idx="2">
                  <c:v>Option 3</c:v>
                </c:pt>
                <c:pt idx="3">
                  <c:v>Option 4</c:v>
                </c:pt>
                <c:pt idx="4">
                  <c:v>Option 5</c:v>
                </c:pt>
              </c:strCache>
            </c:strRef>
          </c:cat>
          <c:val>
            <c:numRef>
              <c:f>'[Workforce Survey Analysis Live_TVDB.xlsx]6.3'!$O$34:$S$34</c:f>
              <c:numCache>
                <c:formatCode>General</c:formatCode>
                <c:ptCount val="5"/>
                <c:pt idx="0">
                  <c:v>4</c:v>
                </c:pt>
                <c:pt idx="1">
                  <c:v>36</c:v>
                </c:pt>
                <c:pt idx="2">
                  <c:v>29</c:v>
                </c:pt>
                <c:pt idx="3">
                  <c:v>23</c:v>
                </c:pt>
                <c:pt idx="4">
                  <c:v>16</c:v>
                </c:pt>
              </c:numCache>
            </c:numRef>
          </c:val>
          <c:extLst>
            <c:ext xmlns:c16="http://schemas.microsoft.com/office/drawing/2014/chart" uri="{C3380CC4-5D6E-409C-BE32-E72D297353CC}">
              <c16:uniqueId val="{00000001-55BD-4883-9B18-2AAC949B179C}"/>
            </c:ext>
          </c:extLst>
        </c:ser>
        <c:ser>
          <c:idx val="2"/>
          <c:order val="2"/>
          <c:tx>
            <c:strRef>
              <c:f>'[Workforce Survey Analysis Live_TVDB.xlsx]6.3'!$N$35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Live_TVDB.xlsx]6.3'!$O$32:$S$32</c:f>
              <c:strCache>
                <c:ptCount val="5"/>
                <c:pt idx="0">
                  <c:v>Option 1</c:v>
                </c:pt>
                <c:pt idx="1">
                  <c:v>Option 2</c:v>
                </c:pt>
                <c:pt idx="2">
                  <c:v>Option 3</c:v>
                </c:pt>
                <c:pt idx="3">
                  <c:v>Option 4</c:v>
                </c:pt>
                <c:pt idx="4">
                  <c:v>Option 5</c:v>
                </c:pt>
              </c:strCache>
            </c:strRef>
          </c:cat>
          <c:val>
            <c:numRef>
              <c:f>'[Workforce Survey Analysis Live_TVDB.xlsx]6.3'!$O$35:$S$35</c:f>
              <c:numCache>
                <c:formatCode>General</c:formatCode>
                <c:ptCount val="5"/>
                <c:pt idx="0">
                  <c:v>3</c:v>
                </c:pt>
                <c:pt idx="1">
                  <c:v>5</c:v>
                </c:pt>
                <c:pt idx="2">
                  <c:v>25</c:v>
                </c:pt>
                <c:pt idx="3">
                  <c:v>32</c:v>
                </c:pt>
                <c:pt idx="4">
                  <c:v>38</c:v>
                </c:pt>
              </c:numCache>
            </c:numRef>
          </c:val>
          <c:extLst>
            <c:ext xmlns:c16="http://schemas.microsoft.com/office/drawing/2014/chart" uri="{C3380CC4-5D6E-409C-BE32-E72D297353CC}">
              <c16:uniqueId val="{00000002-55BD-4883-9B18-2AAC949B179C}"/>
            </c:ext>
          </c:extLst>
        </c:ser>
        <c:dLbls>
          <c:dLblPos val="outEnd"/>
          <c:showLegendKey val="0"/>
          <c:showVal val="1"/>
          <c:showCatName val="0"/>
          <c:showSerName val="0"/>
          <c:showPercent val="0"/>
          <c:showBubbleSize val="0"/>
        </c:dLbls>
        <c:gapWidth val="219"/>
        <c:overlap val="-27"/>
        <c:axId val="650085167"/>
        <c:axId val="650086127"/>
      </c:barChart>
      <c:catAx>
        <c:axId val="650085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0086127"/>
        <c:crosses val="autoZero"/>
        <c:auto val="1"/>
        <c:lblAlgn val="ctr"/>
        <c:lblOffset val="100"/>
        <c:noMultiLvlLbl val="0"/>
      </c:catAx>
      <c:valAx>
        <c:axId val="6500861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0085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Live_TVDB.xlsx]6.3'!$N$33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Live_TVDB.xlsx]6.3'!$O$32:$S$32</c:f>
              <c:strCache>
                <c:ptCount val="5"/>
                <c:pt idx="0">
                  <c:v>Option 1</c:v>
                </c:pt>
                <c:pt idx="1">
                  <c:v>Option 2</c:v>
                </c:pt>
                <c:pt idx="2">
                  <c:v>Option 3</c:v>
                </c:pt>
                <c:pt idx="3">
                  <c:v>Option 4</c:v>
                </c:pt>
                <c:pt idx="4">
                  <c:v>Option 5</c:v>
                </c:pt>
              </c:strCache>
            </c:strRef>
          </c:cat>
          <c:val>
            <c:numRef>
              <c:f>'[Families Survey Analysis Live_TVDB.xlsx]6.3'!$O$33:$S$33</c:f>
              <c:numCache>
                <c:formatCode>General</c:formatCode>
                <c:ptCount val="5"/>
                <c:pt idx="0">
                  <c:v>49</c:v>
                </c:pt>
                <c:pt idx="1">
                  <c:v>10</c:v>
                </c:pt>
                <c:pt idx="2">
                  <c:v>2</c:v>
                </c:pt>
                <c:pt idx="3">
                  <c:v>2</c:v>
                </c:pt>
                <c:pt idx="4">
                  <c:v>2</c:v>
                </c:pt>
              </c:numCache>
            </c:numRef>
          </c:val>
          <c:extLst>
            <c:ext xmlns:c16="http://schemas.microsoft.com/office/drawing/2014/chart" uri="{C3380CC4-5D6E-409C-BE32-E72D297353CC}">
              <c16:uniqueId val="{00000000-090F-4808-A6A0-E817B9BFBD33}"/>
            </c:ext>
          </c:extLst>
        </c:ser>
        <c:ser>
          <c:idx val="1"/>
          <c:order val="1"/>
          <c:tx>
            <c:strRef>
              <c:f>'[Families Survey Analysis Live_TVDB.xlsx]6.3'!$N$34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Live_TVDB.xlsx]6.3'!$O$32:$S$32</c:f>
              <c:strCache>
                <c:ptCount val="5"/>
                <c:pt idx="0">
                  <c:v>Option 1</c:v>
                </c:pt>
                <c:pt idx="1">
                  <c:v>Option 2</c:v>
                </c:pt>
                <c:pt idx="2">
                  <c:v>Option 3</c:v>
                </c:pt>
                <c:pt idx="3">
                  <c:v>Option 4</c:v>
                </c:pt>
                <c:pt idx="4">
                  <c:v>Option 5</c:v>
                </c:pt>
              </c:strCache>
            </c:strRef>
          </c:cat>
          <c:val>
            <c:numRef>
              <c:f>'[Families Survey Analysis Live_TVDB.xlsx]6.3'!$O$34:$S$34</c:f>
              <c:numCache>
                <c:formatCode>General</c:formatCode>
                <c:ptCount val="5"/>
                <c:pt idx="0">
                  <c:v>1</c:v>
                </c:pt>
                <c:pt idx="1">
                  <c:v>36</c:v>
                </c:pt>
                <c:pt idx="2">
                  <c:v>23</c:v>
                </c:pt>
                <c:pt idx="3">
                  <c:v>16</c:v>
                </c:pt>
                <c:pt idx="4">
                  <c:v>15</c:v>
                </c:pt>
              </c:numCache>
            </c:numRef>
          </c:val>
          <c:extLst>
            <c:ext xmlns:c16="http://schemas.microsoft.com/office/drawing/2014/chart" uri="{C3380CC4-5D6E-409C-BE32-E72D297353CC}">
              <c16:uniqueId val="{00000001-090F-4808-A6A0-E817B9BFBD33}"/>
            </c:ext>
          </c:extLst>
        </c:ser>
        <c:ser>
          <c:idx val="2"/>
          <c:order val="2"/>
          <c:tx>
            <c:strRef>
              <c:f>'[Families Survey Analysis Live_TVDB.xlsx]6.3'!$N$35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Live_TVDB.xlsx]6.3'!$O$32:$S$32</c:f>
              <c:strCache>
                <c:ptCount val="5"/>
                <c:pt idx="0">
                  <c:v>Option 1</c:v>
                </c:pt>
                <c:pt idx="1">
                  <c:v>Option 2</c:v>
                </c:pt>
                <c:pt idx="2">
                  <c:v>Option 3</c:v>
                </c:pt>
                <c:pt idx="3">
                  <c:v>Option 4</c:v>
                </c:pt>
                <c:pt idx="4">
                  <c:v>Option 5</c:v>
                </c:pt>
              </c:strCache>
            </c:strRef>
          </c:cat>
          <c:val>
            <c:numRef>
              <c:f>'[Families Survey Analysis Live_TVDB.xlsx]6.3'!$O$35:$S$35</c:f>
              <c:numCache>
                <c:formatCode>General</c:formatCode>
                <c:ptCount val="5"/>
                <c:pt idx="0">
                  <c:v>0</c:v>
                </c:pt>
                <c:pt idx="1">
                  <c:v>6</c:v>
                </c:pt>
                <c:pt idx="2">
                  <c:v>27</c:v>
                </c:pt>
                <c:pt idx="3">
                  <c:v>33</c:v>
                </c:pt>
                <c:pt idx="4">
                  <c:v>34</c:v>
                </c:pt>
              </c:numCache>
            </c:numRef>
          </c:val>
          <c:extLst>
            <c:ext xmlns:c16="http://schemas.microsoft.com/office/drawing/2014/chart" uri="{C3380CC4-5D6E-409C-BE32-E72D297353CC}">
              <c16:uniqueId val="{00000002-090F-4808-A6A0-E817B9BFBD33}"/>
            </c:ext>
          </c:extLst>
        </c:ser>
        <c:dLbls>
          <c:dLblPos val="outEnd"/>
          <c:showLegendKey val="0"/>
          <c:showVal val="1"/>
          <c:showCatName val="0"/>
          <c:showSerName val="0"/>
          <c:showPercent val="0"/>
          <c:showBubbleSize val="0"/>
        </c:dLbls>
        <c:gapWidth val="219"/>
        <c:overlap val="-27"/>
        <c:axId val="511929183"/>
        <c:axId val="511929663"/>
      </c:barChart>
      <c:catAx>
        <c:axId val="511929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1929663"/>
        <c:crosses val="autoZero"/>
        <c:auto val="1"/>
        <c:lblAlgn val="ctr"/>
        <c:lblOffset val="100"/>
        <c:noMultiLvlLbl val="0"/>
      </c:catAx>
      <c:valAx>
        <c:axId val="5119296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1929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922900062049349E-2"/>
          <c:y val="5.4739708018972121E-2"/>
          <c:w val="0.92907709993795062"/>
          <c:h val="0.65591747378402598"/>
        </c:manualLayout>
      </c:layout>
      <c:barChart>
        <c:barDir val="col"/>
        <c:grouping val="clustered"/>
        <c:varyColors val="0"/>
        <c:ser>
          <c:idx val="0"/>
          <c:order val="0"/>
          <c:tx>
            <c:strRef>
              <c:f>'[Approved Provider Survey Analysis Live_TVDB_1206.xlsx]3.1'!$M$29</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Live_TVDB_1206.xlsx]3.1'!$N$28:$P$28</c:f>
              <c:strCache>
                <c:ptCount val="3"/>
                <c:pt idx="0">
                  <c:v>Option 1</c:v>
                </c:pt>
                <c:pt idx="1">
                  <c:v>Option 2</c:v>
                </c:pt>
                <c:pt idx="2">
                  <c:v>Option 3</c:v>
                </c:pt>
              </c:strCache>
            </c:strRef>
          </c:cat>
          <c:val>
            <c:numRef>
              <c:f>'[Approved Provider Survey Analysis Live_TVDB_1206.xlsx]3.1'!$N$29:$P$29</c:f>
              <c:numCache>
                <c:formatCode>General</c:formatCode>
                <c:ptCount val="3"/>
                <c:pt idx="0">
                  <c:v>154</c:v>
                </c:pt>
                <c:pt idx="1">
                  <c:v>22</c:v>
                </c:pt>
                <c:pt idx="2">
                  <c:v>7</c:v>
                </c:pt>
              </c:numCache>
            </c:numRef>
          </c:val>
          <c:extLst>
            <c:ext xmlns:c16="http://schemas.microsoft.com/office/drawing/2014/chart" uri="{C3380CC4-5D6E-409C-BE32-E72D297353CC}">
              <c16:uniqueId val="{00000000-C413-4F96-A0B2-60D08BF0808E}"/>
            </c:ext>
          </c:extLst>
        </c:ser>
        <c:ser>
          <c:idx val="1"/>
          <c:order val="1"/>
          <c:tx>
            <c:strRef>
              <c:f>'[Approved Provider Survey Analysis Live_TVDB_1206.xlsx]3.1'!$M$30</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Live_TVDB_1206.xlsx]3.1'!$N$28:$P$28</c:f>
              <c:strCache>
                <c:ptCount val="3"/>
                <c:pt idx="0">
                  <c:v>Option 1</c:v>
                </c:pt>
                <c:pt idx="1">
                  <c:v>Option 2</c:v>
                </c:pt>
                <c:pt idx="2">
                  <c:v>Option 3</c:v>
                </c:pt>
              </c:strCache>
            </c:strRef>
          </c:cat>
          <c:val>
            <c:numRef>
              <c:f>'[Approved Provider Survey Analysis Live_TVDB_1206.xlsx]3.1'!$N$30:$P$30</c:f>
              <c:numCache>
                <c:formatCode>General</c:formatCode>
                <c:ptCount val="3"/>
                <c:pt idx="0">
                  <c:v>3</c:v>
                </c:pt>
                <c:pt idx="1">
                  <c:v>115</c:v>
                </c:pt>
                <c:pt idx="2">
                  <c:v>52</c:v>
                </c:pt>
              </c:numCache>
            </c:numRef>
          </c:val>
          <c:extLst>
            <c:ext xmlns:c16="http://schemas.microsoft.com/office/drawing/2014/chart" uri="{C3380CC4-5D6E-409C-BE32-E72D297353CC}">
              <c16:uniqueId val="{00000001-C413-4F96-A0B2-60D08BF0808E}"/>
            </c:ext>
          </c:extLst>
        </c:ser>
        <c:ser>
          <c:idx val="2"/>
          <c:order val="2"/>
          <c:tx>
            <c:strRef>
              <c:f>'[Approved Provider Survey Analysis Live_TVDB_1206.xlsx]3.1'!$M$31</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Live_TVDB_1206.xlsx]3.1'!$N$28:$P$28</c:f>
              <c:strCache>
                <c:ptCount val="3"/>
                <c:pt idx="0">
                  <c:v>Option 1</c:v>
                </c:pt>
                <c:pt idx="1">
                  <c:v>Option 2</c:v>
                </c:pt>
                <c:pt idx="2">
                  <c:v>Option 3</c:v>
                </c:pt>
              </c:strCache>
            </c:strRef>
          </c:cat>
          <c:val>
            <c:numRef>
              <c:f>'[Approved Provider Survey Analysis Live_TVDB_1206.xlsx]3.1'!$N$31:$P$31</c:f>
              <c:numCache>
                <c:formatCode>General</c:formatCode>
                <c:ptCount val="3"/>
                <c:pt idx="0">
                  <c:v>4</c:v>
                </c:pt>
                <c:pt idx="1">
                  <c:v>25</c:v>
                </c:pt>
                <c:pt idx="2">
                  <c:v>101</c:v>
                </c:pt>
              </c:numCache>
            </c:numRef>
          </c:val>
          <c:extLst>
            <c:ext xmlns:c16="http://schemas.microsoft.com/office/drawing/2014/chart" uri="{C3380CC4-5D6E-409C-BE32-E72D297353CC}">
              <c16:uniqueId val="{00000002-C413-4F96-A0B2-60D08BF0808E}"/>
            </c:ext>
          </c:extLst>
        </c:ser>
        <c:dLbls>
          <c:dLblPos val="outEnd"/>
          <c:showLegendKey val="0"/>
          <c:showVal val="1"/>
          <c:showCatName val="0"/>
          <c:showSerName val="0"/>
          <c:showPercent val="0"/>
          <c:showBubbleSize val="0"/>
        </c:dLbls>
        <c:gapWidth val="219"/>
        <c:overlap val="-27"/>
        <c:axId val="1521063984"/>
        <c:axId val="1521064464"/>
      </c:barChart>
      <c:catAx>
        <c:axId val="152106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1064464"/>
        <c:crosses val="autoZero"/>
        <c:auto val="1"/>
        <c:lblAlgn val="ctr"/>
        <c:lblOffset val="100"/>
        <c:noMultiLvlLbl val="0"/>
      </c:catAx>
      <c:valAx>
        <c:axId val="15210644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1063984"/>
        <c:crosses val="autoZero"/>
        <c:crossBetween val="between"/>
      </c:valAx>
      <c:spPr>
        <a:noFill/>
        <a:ln>
          <a:noFill/>
        </a:ln>
        <a:effectLst/>
      </c:spPr>
    </c:plotArea>
    <c:legend>
      <c:legendPos val="b"/>
      <c:layout>
        <c:manualLayout>
          <c:xMode val="edge"/>
          <c:yMode val="edge"/>
          <c:x val="0.28270928564485143"/>
          <c:y val="0.83601111316644405"/>
          <c:w val="0.60147771627283253"/>
          <c:h val="7.2756040135268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Live_TVDB_1206.xlsx]3.1'!$M$18</c:f>
              <c:strCache>
                <c:ptCount val="1"/>
                <c:pt idx="0">
                  <c:v>Option 1</c:v>
                </c:pt>
              </c:strCache>
            </c:strRef>
          </c:tx>
          <c:spPr>
            <a:solidFill>
              <a:schemeClr val="accent1"/>
            </a:solidFill>
            <a:ln>
              <a:noFill/>
            </a:ln>
            <a:effectLst/>
          </c:spPr>
          <c:invertIfNegative val="0"/>
          <c:dLbls>
            <c:dLbl>
              <c:idx val="0"/>
              <c:layout>
                <c:manualLayout>
                  <c:x val="2.2172949002217295E-3"/>
                  <c:y val="-0.163998438110113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E5-4861-86CF-383689D9D7A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Live_TVDB_1206.xlsx]3.1'!$N$18</c:f>
              <c:numCache>
                <c:formatCode>0%</c:formatCode>
                <c:ptCount val="1"/>
                <c:pt idx="0">
                  <c:v>1.282051282051282E-2</c:v>
                </c:pt>
              </c:numCache>
            </c:numRef>
          </c:val>
          <c:extLst>
            <c:ext xmlns:c16="http://schemas.microsoft.com/office/drawing/2014/chart" uri="{C3380CC4-5D6E-409C-BE32-E72D297353CC}">
              <c16:uniqueId val="{00000001-F0E5-4861-86CF-383689D9D7AE}"/>
            </c:ext>
          </c:extLst>
        </c:ser>
        <c:ser>
          <c:idx val="1"/>
          <c:order val="1"/>
          <c:tx>
            <c:strRef>
              <c:f>'[Approved Provider Survey Analysis Live_TVDB_1206.xlsx]3.1'!$M$19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Live_TVDB_1206.xlsx]3.1'!$N$19</c:f>
              <c:numCache>
                <c:formatCode>0%</c:formatCode>
                <c:ptCount val="1"/>
                <c:pt idx="0">
                  <c:v>0.26923076923076922</c:v>
                </c:pt>
              </c:numCache>
            </c:numRef>
          </c:val>
          <c:extLst>
            <c:ext xmlns:c16="http://schemas.microsoft.com/office/drawing/2014/chart" uri="{C3380CC4-5D6E-409C-BE32-E72D297353CC}">
              <c16:uniqueId val="{00000002-F0E5-4861-86CF-383689D9D7AE}"/>
            </c:ext>
          </c:extLst>
        </c:ser>
        <c:ser>
          <c:idx val="2"/>
          <c:order val="2"/>
          <c:tx>
            <c:strRef>
              <c:f>'[Approved Provider Survey Analysis Live_TVDB_1206.xlsx]3.1'!$M$20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Live_TVDB_1206.xlsx]3.1'!$N$20</c:f>
              <c:numCache>
                <c:formatCode>0%</c:formatCode>
                <c:ptCount val="1"/>
                <c:pt idx="0">
                  <c:v>0.46153846153846156</c:v>
                </c:pt>
              </c:numCache>
            </c:numRef>
          </c:val>
          <c:extLst>
            <c:ext xmlns:c16="http://schemas.microsoft.com/office/drawing/2014/chart" uri="{C3380CC4-5D6E-409C-BE32-E72D297353CC}">
              <c16:uniqueId val="{00000003-F0E5-4861-86CF-383689D9D7AE}"/>
            </c:ext>
          </c:extLst>
        </c:ser>
        <c:ser>
          <c:idx val="3"/>
          <c:order val="3"/>
          <c:tx>
            <c:strRef>
              <c:f>'[Approved Provider Survey Analysis Live_TVDB_1206.xlsx]3.1'!$M$21</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Live_TVDB_1206.xlsx]3.1'!$N$21</c:f>
              <c:numCache>
                <c:formatCode>0%</c:formatCode>
                <c:ptCount val="1"/>
                <c:pt idx="0">
                  <c:v>0.25641025641025639</c:v>
                </c:pt>
              </c:numCache>
            </c:numRef>
          </c:val>
          <c:extLst>
            <c:ext xmlns:c16="http://schemas.microsoft.com/office/drawing/2014/chart" uri="{C3380CC4-5D6E-409C-BE32-E72D297353CC}">
              <c16:uniqueId val="{00000004-F0E5-4861-86CF-383689D9D7AE}"/>
            </c:ext>
          </c:extLst>
        </c:ser>
        <c:dLbls>
          <c:dLblPos val="ctr"/>
          <c:showLegendKey val="0"/>
          <c:showVal val="1"/>
          <c:showCatName val="0"/>
          <c:showSerName val="0"/>
          <c:showPercent val="0"/>
          <c:showBubbleSize val="0"/>
        </c:dLbls>
        <c:gapWidth val="150"/>
        <c:overlap val="100"/>
        <c:axId val="1684637216"/>
        <c:axId val="1684658336"/>
      </c:barChart>
      <c:catAx>
        <c:axId val="1684637216"/>
        <c:scaling>
          <c:orientation val="minMax"/>
        </c:scaling>
        <c:delete val="1"/>
        <c:axPos val="l"/>
        <c:numFmt formatCode="General" sourceLinked="1"/>
        <c:majorTickMark val="none"/>
        <c:minorTickMark val="none"/>
        <c:tickLblPos val="nextTo"/>
        <c:crossAx val="1684658336"/>
        <c:crosses val="autoZero"/>
        <c:auto val="1"/>
        <c:lblAlgn val="ctr"/>
        <c:lblOffset val="100"/>
        <c:noMultiLvlLbl val="0"/>
      </c:catAx>
      <c:valAx>
        <c:axId val="168465833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3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Live_TVDB_1206.xlsx]3.2'!$N$43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Live_TVDB_1206.xlsx]3.2'!$O$42:$R$42</c:f>
              <c:strCache>
                <c:ptCount val="4"/>
                <c:pt idx="0">
                  <c:v>Option 1</c:v>
                </c:pt>
                <c:pt idx="1">
                  <c:v>Option 2</c:v>
                </c:pt>
                <c:pt idx="2">
                  <c:v>Option 3</c:v>
                </c:pt>
                <c:pt idx="3">
                  <c:v>Option 4</c:v>
                </c:pt>
              </c:strCache>
            </c:strRef>
          </c:cat>
          <c:val>
            <c:numRef>
              <c:f>'[Approved Provider Survey Analysis Live_TVDB_1206.xlsx]3.2'!$O$43:$R$43</c:f>
              <c:numCache>
                <c:formatCode>General</c:formatCode>
                <c:ptCount val="4"/>
                <c:pt idx="0">
                  <c:v>145</c:v>
                </c:pt>
                <c:pt idx="1">
                  <c:v>34</c:v>
                </c:pt>
                <c:pt idx="2">
                  <c:v>6</c:v>
                </c:pt>
                <c:pt idx="3">
                  <c:v>5</c:v>
                </c:pt>
              </c:numCache>
            </c:numRef>
          </c:val>
          <c:extLst>
            <c:ext xmlns:c16="http://schemas.microsoft.com/office/drawing/2014/chart" uri="{C3380CC4-5D6E-409C-BE32-E72D297353CC}">
              <c16:uniqueId val="{00000000-DE73-4BDE-AAE8-19905EDC6F6E}"/>
            </c:ext>
          </c:extLst>
        </c:ser>
        <c:ser>
          <c:idx val="1"/>
          <c:order val="1"/>
          <c:tx>
            <c:strRef>
              <c:f>'[Approved Provider Survey Analysis Live_TVDB_1206.xlsx]3.2'!$N$44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Live_TVDB_1206.xlsx]3.2'!$O$42:$R$42</c:f>
              <c:strCache>
                <c:ptCount val="4"/>
                <c:pt idx="0">
                  <c:v>Option 1</c:v>
                </c:pt>
                <c:pt idx="1">
                  <c:v>Option 2</c:v>
                </c:pt>
                <c:pt idx="2">
                  <c:v>Option 3</c:v>
                </c:pt>
                <c:pt idx="3">
                  <c:v>Option 4</c:v>
                </c:pt>
              </c:strCache>
            </c:strRef>
          </c:cat>
          <c:val>
            <c:numRef>
              <c:f>'[Approved Provider Survey Analysis Live_TVDB_1206.xlsx]3.2'!$O$44:$R$44</c:f>
              <c:numCache>
                <c:formatCode>General</c:formatCode>
                <c:ptCount val="4"/>
                <c:pt idx="0">
                  <c:v>5</c:v>
                </c:pt>
                <c:pt idx="1">
                  <c:v>100</c:v>
                </c:pt>
                <c:pt idx="2">
                  <c:v>43</c:v>
                </c:pt>
                <c:pt idx="3">
                  <c:v>29</c:v>
                </c:pt>
              </c:numCache>
            </c:numRef>
          </c:val>
          <c:extLst>
            <c:ext xmlns:c16="http://schemas.microsoft.com/office/drawing/2014/chart" uri="{C3380CC4-5D6E-409C-BE32-E72D297353CC}">
              <c16:uniqueId val="{00000001-DE73-4BDE-AAE8-19905EDC6F6E}"/>
            </c:ext>
          </c:extLst>
        </c:ser>
        <c:ser>
          <c:idx val="2"/>
          <c:order val="2"/>
          <c:tx>
            <c:strRef>
              <c:f>'[Approved Provider Survey Analysis Live_TVDB_1206.xlsx]3.2'!$N$45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Live_TVDB_1206.xlsx]3.2'!$O$42:$R$42</c:f>
              <c:strCache>
                <c:ptCount val="4"/>
                <c:pt idx="0">
                  <c:v>Option 1</c:v>
                </c:pt>
                <c:pt idx="1">
                  <c:v>Option 2</c:v>
                </c:pt>
                <c:pt idx="2">
                  <c:v>Option 3</c:v>
                </c:pt>
                <c:pt idx="3">
                  <c:v>Option 4</c:v>
                </c:pt>
              </c:strCache>
            </c:strRef>
          </c:cat>
          <c:val>
            <c:numRef>
              <c:f>'[Approved Provider Survey Analysis Live_TVDB_1206.xlsx]3.2'!$O$45:$R$45</c:f>
              <c:numCache>
                <c:formatCode>General</c:formatCode>
                <c:ptCount val="4"/>
                <c:pt idx="0">
                  <c:v>2</c:v>
                </c:pt>
                <c:pt idx="1">
                  <c:v>17</c:v>
                </c:pt>
                <c:pt idx="2">
                  <c:v>101</c:v>
                </c:pt>
                <c:pt idx="3">
                  <c:v>114</c:v>
                </c:pt>
              </c:numCache>
            </c:numRef>
          </c:val>
          <c:extLst>
            <c:ext xmlns:c16="http://schemas.microsoft.com/office/drawing/2014/chart" uri="{C3380CC4-5D6E-409C-BE32-E72D297353CC}">
              <c16:uniqueId val="{00000002-DE73-4BDE-AAE8-19905EDC6F6E}"/>
            </c:ext>
          </c:extLst>
        </c:ser>
        <c:dLbls>
          <c:dLblPos val="outEnd"/>
          <c:showLegendKey val="0"/>
          <c:showVal val="1"/>
          <c:showCatName val="0"/>
          <c:showSerName val="0"/>
          <c:showPercent val="0"/>
          <c:showBubbleSize val="0"/>
        </c:dLbls>
        <c:gapWidth val="219"/>
        <c:overlap val="-27"/>
        <c:axId val="1684662656"/>
        <c:axId val="1684647776"/>
      </c:barChart>
      <c:catAx>
        <c:axId val="168466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47776"/>
        <c:crosses val="autoZero"/>
        <c:auto val="1"/>
        <c:lblAlgn val="ctr"/>
        <c:lblOffset val="100"/>
        <c:noMultiLvlLbl val="0"/>
      </c:catAx>
      <c:valAx>
        <c:axId val="1684647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6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870878171158441E-2"/>
          <c:y val="5.0069584895543806E-2"/>
          <c:w val="0.89698463223114866"/>
          <c:h val="0.56495970121205197"/>
        </c:manualLayout>
      </c:layout>
      <c:barChart>
        <c:barDir val="bar"/>
        <c:grouping val="percentStacked"/>
        <c:varyColors val="0"/>
        <c:ser>
          <c:idx val="0"/>
          <c:order val="0"/>
          <c:tx>
            <c:strRef>
              <c:f>'[Approved Provider Survey Analysis Live_TVDB_1206.xlsx]3.2'!$N$22</c:f>
              <c:strCache>
                <c:ptCount val="1"/>
                <c:pt idx="0">
                  <c:v>Option 1</c:v>
                </c:pt>
              </c:strCache>
            </c:strRef>
          </c:tx>
          <c:spPr>
            <a:solidFill>
              <a:schemeClr val="accent1"/>
            </a:solidFill>
            <a:ln>
              <a:noFill/>
            </a:ln>
            <a:effectLst/>
          </c:spPr>
          <c:invertIfNegative val="0"/>
          <c:dLbls>
            <c:dLbl>
              <c:idx val="0"/>
              <c:layout>
                <c:manualLayout>
                  <c:x val="0"/>
                  <c:y val="-0.171884591774094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21-4F63-8646-29BA561C944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Live_TVDB_1206.xlsx]3.2'!$O$22</c:f>
              <c:numCache>
                <c:formatCode>0%</c:formatCode>
                <c:ptCount val="1"/>
                <c:pt idx="0">
                  <c:v>2.5974025974025976E-2</c:v>
                </c:pt>
              </c:numCache>
            </c:numRef>
          </c:val>
          <c:extLst>
            <c:ext xmlns:c16="http://schemas.microsoft.com/office/drawing/2014/chart" uri="{C3380CC4-5D6E-409C-BE32-E72D297353CC}">
              <c16:uniqueId val="{00000001-4421-4F63-8646-29BA561C9443}"/>
            </c:ext>
          </c:extLst>
        </c:ser>
        <c:ser>
          <c:idx val="1"/>
          <c:order val="1"/>
          <c:tx>
            <c:strRef>
              <c:f>'[Approved Provider Survey Analysis Live_TVDB_1206.xlsx]3.2'!$N$23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Live_TVDB_1206.xlsx]3.2'!$O$23</c:f>
              <c:numCache>
                <c:formatCode>0%</c:formatCode>
                <c:ptCount val="1"/>
                <c:pt idx="0">
                  <c:v>4.5454545454545456E-2</c:v>
                </c:pt>
              </c:numCache>
            </c:numRef>
          </c:val>
          <c:extLst>
            <c:ext xmlns:c16="http://schemas.microsoft.com/office/drawing/2014/chart" uri="{C3380CC4-5D6E-409C-BE32-E72D297353CC}">
              <c16:uniqueId val="{00000002-4421-4F63-8646-29BA561C9443}"/>
            </c:ext>
          </c:extLst>
        </c:ser>
        <c:ser>
          <c:idx val="2"/>
          <c:order val="2"/>
          <c:tx>
            <c:strRef>
              <c:f>'[Approved Provider Survey Analysis Live_TVDB_1206.xlsx]3.2'!$N$24</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Live_TVDB_1206.xlsx]3.2'!$O$24</c:f>
              <c:numCache>
                <c:formatCode>0%</c:formatCode>
                <c:ptCount val="1"/>
                <c:pt idx="0">
                  <c:v>0.11038961038961038</c:v>
                </c:pt>
              </c:numCache>
            </c:numRef>
          </c:val>
          <c:extLst>
            <c:ext xmlns:c16="http://schemas.microsoft.com/office/drawing/2014/chart" uri="{C3380CC4-5D6E-409C-BE32-E72D297353CC}">
              <c16:uniqueId val="{00000003-4421-4F63-8646-29BA561C9443}"/>
            </c:ext>
          </c:extLst>
        </c:ser>
        <c:ser>
          <c:idx val="3"/>
          <c:order val="3"/>
          <c:tx>
            <c:strRef>
              <c:f>'[Approved Provider Survey Analysis Live_TVDB_1206.xlsx]3.2'!$N$25</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Live_TVDB_1206.xlsx]3.2'!$O$25</c:f>
              <c:numCache>
                <c:formatCode>0%</c:formatCode>
                <c:ptCount val="1"/>
                <c:pt idx="0">
                  <c:v>0.31818181818181818</c:v>
                </c:pt>
              </c:numCache>
            </c:numRef>
          </c:val>
          <c:extLst>
            <c:ext xmlns:c16="http://schemas.microsoft.com/office/drawing/2014/chart" uri="{C3380CC4-5D6E-409C-BE32-E72D297353CC}">
              <c16:uniqueId val="{00000004-4421-4F63-8646-29BA561C9443}"/>
            </c:ext>
          </c:extLst>
        </c:ser>
        <c:ser>
          <c:idx val="4"/>
          <c:order val="4"/>
          <c:tx>
            <c:strRef>
              <c:f>'[Approved Provider Survey Analysis Live_TVDB_1206.xlsx]3.2'!$N$26</c:f>
              <c:strCache>
                <c:ptCount val="1"/>
                <c:pt idx="0">
                  <c:v>Options 2 and 3</c:v>
                </c:pt>
              </c:strCache>
            </c:strRef>
          </c:tx>
          <c:spPr>
            <a:pattFill prst="wdDnDiag">
              <a:fgClr>
                <a:schemeClr val="accent3"/>
              </a:fgClr>
              <a:bgClr>
                <a:schemeClr val="bg1"/>
              </a:bgClr>
            </a:pattFill>
            <a:ln>
              <a:noFill/>
            </a:ln>
            <a:effectLst/>
          </c:spPr>
          <c:invertIfNegative val="0"/>
          <c:dLbls>
            <c:dLbl>
              <c:idx val="0"/>
              <c:layout>
                <c:manualLayout>
                  <c:x val="0"/>
                  <c:y val="-0.178023327194597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21-4F63-8646-29BA561C944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Live_TVDB_1206.xlsx]3.2'!$O$26</c:f>
              <c:numCache>
                <c:formatCode>0%</c:formatCode>
                <c:ptCount val="1"/>
                <c:pt idx="0">
                  <c:v>1.2987012987012988E-2</c:v>
                </c:pt>
              </c:numCache>
            </c:numRef>
          </c:val>
          <c:extLst>
            <c:ext xmlns:c16="http://schemas.microsoft.com/office/drawing/2014/chart" uri="{C3380CC4-5D6E-409C-BE32-E72D297353CC}">
              <c16:uniqueId val="{00000006-4421-4F63-8646-29BA561C9443}"/>
            </c:ext>
          </c:extLst>
        </c:ser>
        <c:ser>
          <c:idx val="5"/>
          <c:order val="5"/>
          <c:tx>
            <c:strRef>
              <c:f>'[Approved Provider Survey Analysis Live_TVDB_1206.xlsx]3.2'!$N$27</c:f>
              <c:strCache>
                <c:ptCount val="1"/>
                <c:pt idx="0">
                  <c:v>Options 2 and 4</c:v>
                </c:pt>
              </c:strCache>
            </c:strRef>
          </c:tx>
          <c:spPr>
            <a:solidFill>
              <a:schemeClr val="accent6"/>
            </a:solidFill>
            <a:ln>
              <a:noFill/>
            </a:ln>
            <a:effectLst/>
          </c:spPr>
          <c:invertIfNegative val="0"/>
          <c:dLbls>
            <c:dLbl>
              <c:idx val="0"/>
              <c:layout>
                <c:manualLayout>
                  <c:x val="2.2172949002217297E-2"/>
                  <c:y val="-0.190300798035604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21-4F63-8646-29BA561C944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Live_TVDB_1206.xlsx]3.2'!$O$27</c:f>
              <c:numCache>
                <c:formatCode>0%</c:formatCode>
                <c:ptCount val="1"/>
                <c:pt idx="0">
                  <c:v>3.2467532467532464E-2</c:v>
                </c:pt>
              </c:numCache>
            </c:numRef>
          </c:val>
          <c:extLst>
            <c:ext xmlns:c16="http://schemas.microsoft.com/office/drawing/2014/chart" uri="{C3380CC4-5D6E-409C-BE32-E72D297353CC}">
              <c16:uniqueId val="{00000008-4421-4F63-8646-29BA561C9443}"/>
            </c:ext>
          </c:extLst>
        </c:ser>
        <c:ser>
          <c:idx val="6"/>
          <c:order val="6"/>
          <c:tx>
            <c:strRef>
              <c:f>'[Approved Provider Survey Analysis Live_TVDB_1206.xlsx]3.2'!$N$28</c:f>
              <c:strCache>
                <c:ptCount val="1"/>
                <c:pt idx="0">
                  <c:v>Options 3 and 4</c:v>
                </c:pt>
              </c:strCache>
            </c:strRef>
          </c:tx>
          <c:spPr>
            <a:pattFill prst="wdDnDiag">
              <a:fgClr>
                <a:schemeClr val="accent1"/>
              </a:fgClr>
              <a:bgClr>
                <a:schemeClr val="bg1"/>
              </a:bgClr>
            </a:pattFill>
            <a:ln>
              <a:noFill/>
            </a:ln>
            <a:effectLst/>
          </c:spPr>
          <c:invertIfNegative val="0"/>
          <c:dPt>
            <c:idx val="0"/>
            <c:invertIfNegative val="0"/>
            <c:bubble3D val="0"/>
            <c:spPr>
              <a:pattFill prst="wdDnDiag">
                <a:fgClr>
                  <a:schemeClr val="accent1"/>
                </a:fgClr>
                <a:bgClr>
                  <a:schemeClr val="bg1"/>
                </a:bgClr>
              </a:pattFill>
              <a:ln>
                <a:noFill/>
              </a:ln>
              <a:effectLst/>
            </c:spPr>
            <c:extLst>
              <c:ext xmlns:c16="http://schemas.microsoft.com/office/drawing/2014/chart" uri="{C3380CC4-5D6E-409C-BE32-E72D297353CC}">
                <c16:uniqueId val="{0000000A-4421-4F63-8646-29BA561C9443}"/>
              </c:ext>
            </c:extLst>
          </c:dPt>
          <c:dLbls>
            <c:dLbl>
              <c:idx val="0"/>
              <c:spPr>
                <a:solidFill>
                  <a:schemeClr val="bg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A-4421-4F63-8646-29BA561C9443}"/>
                </c:ext>
              </c:extLst>
            </c:dLbl>
            <c:spPr>
              <a:solidFill>
                <a:schemeClr val="bg2"/>
              </a:soli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Live_TVDB_1206.xlsx]3.2'!$O$28</c:f>
              <c:numCache>
                <c:formatCode>0%</c:formatCode>
                <c:ptCount val="1"/>
                <c:pt idx="0">
                  <c:v>0.24025974025974026</c:v>
                </c:pt>
              </c:numCache>
            </c:numRef>
          </c:val>
          <c:extLst>
            <c:ext xmlns:c16="http://schemas.microsoft.com/office/drawing/2014/chart" uri="{C3380CC4-5D6E-409C-BE32-E72D297353CC}">
              <c16:uniqueId val="{0000000B-4421-4F63-8646-29BA561C9443}"/>
            </c:ext>
          </c:extLst>
        </c:ser>
        <c:ser>
          <c:idx val="7"/>
          <c:order val="7"/>
          <c:tx>
            <c:strRef>
              <c:f>'[Approved Provider Survey Analysis Live_TVDB_1206.xlsx]3.2'!$N$29</c:f>
              <c:strCache>
                <c:ptCount val="1"/>
                <c:pt idx="0">
                  <c:v>Options 2, 3 and 4</c:v>
                </c:pt>
              </c:strCache>
            </c:strRef>
          </c:tx>
          <c:spPr>
            <a:pattFill prst="wdDnDiag">
              <a:fgClr>
                <a:schemeClr val="accent6">
                  <a:lumMod val="60000"/>
                  <a:lumOff val="40000"/>
                </a:schemeClr>
              </a:fgClr>
              <a:bgClr>
                <a:schemeClr val="bg1"/>
              </a:bgClr>
            </a:pattFill>
            <a:ln>
              <a:noFill/>
            </a:ln>
            <a:effectLst/>
          </c:spPr>
          <c:invertIfNegative val="0"/>
          <c:dLbls>
            <c:spPr>
              <a:solidFill>
                <a:schemeClr val="accent6">
                  <a:lumMod val="60000"/>
                  <a:lumOff val="40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Live_TVDB_1206.xlsx]3.2'!$O$29</c:f>
              <c:numCache>
                <c:formatCode>0%</c:formatCode>
                <c:ptCount val="1"/>
                <c:pt idx="0">
                  <c:v>0.21428571428571427</c:v>
                </c:pt>
              </c:numCache>
            </c:numRef>
          </c:val>
          <c:extLst>
            <c:ext xmlns:c16="http://schemas.microsoft.com/office/drawing/2014/chart" uri="{C3380CC4-5D6E-409C-BE32-E72D297353CC}">
              <c16:uniqueId val="{0000000C-4421-4F63-8646-29BA561C9443}"/>
            </c:ext>
          </c:extLst>
        </c:ser>
        <c:dLbls>
          <c:dLblPos val="ctr"/>
          <c:showLegendKey val="0"/>
          <c:showVal val="1"/>
          <c:showCatName val="0"/>
          <c:showSerName val="0"/>
          <c:showPercent val="0"/>
          <c:showBubbleSize val="0"/>
        </c:dLbls>
        <c:gapWidth val="150"/>
        <c:overlap val="100"/>
        <c:axId val="1469004928"/>
        <c:axId val="1469001568"/>
      </c:barChart>
      <c:catAx>
        <c:axId val="1469004928"/>
        <c:scaling>
          <c:orientation val="minMax"/>
        </c:scaling>
        <c:delete val="1"/>
        <c:axPos val="l"/>
        <c:numFmt formatCode="General" sourceLinked="1"/>
        <c:majorTickMark val="none"/>
        <c:minorTickMark val="none"/>
        <c:tickLblPos val="nextTo"/>
        <c:crossAx val="1469001568"/>
        <c:crosses val="autoZero"/>
        <c:auto val="1"/>
        <c:lblAlgn val="ctr"/>
        <c:lblOffset val="100"/>
        <c:noMultiLvlLbl val="0"/>
      </c:catAx>
      <c:valAx>
        <c:axId val="146900156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900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Live_TVDB_1206.xlsx]3.3'!$N$33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Live_TVDB_1206.xlsx]3.3'!$O$32:$S$32</c:f>
              <c:strCache>
                <c:ptCount val="5"/>
                <c:pt idx="0">
                  <c:v>Option 1</c:v>
                </c:pt>
                <c:pt idx="1">
                  <c:v>Option 2</c:v>
                </c:pt>
                <c:pt idx="2">
                  <c:v>Option 3</c:v>
                </c:pt>
                <c:pt idx="3">
                  <c:v>Option 4</c:v>
                </c:pt>
                <c:pt idx="4">
                  <c:v>Option 5</c:v>
                </c:pt>
              </c:strCache>
            </c:strRef>
          </c:cat>
          <c:val>
            <c:numRef>
              <c:f>'[Approved Provider Survey Analysis Live_TVDB_1206.xlsx]3.3'!$O$33:$S$33</c:f>
              <c:numCache>
                <c:formatCode>General</c:formatCode>
                <c:ptCount val="5"/>
                <c:pt idx="0">
                  <c:v>142</c:v>
                </c:pt>
                <c:pt idx="1">
                  <c:v>34</c:v>
                </c:pt>
                <c:pt idx="2">
                  <c:v>5</c:v>
                </c:pt>
                <c:pt idx="3">
                  <c:v>10</c:v>
                </c:pt>
                <c:pt idx="4">
                  <c:v>9</c:v>
                </c:pt>
              </c:numCache>
            </c:numRef>
          </c:val>
          <c:extLst>
            <c:ext xmlns:c16="http://schemas.microsoft.com/office/drawing/2014/chart" uri="{C3380CC4-5D6E-409C-BE32-E72D297353CC}">
              <c16:uniqueId val="{00000000-AC3B-4B09-9705-D01E11B50B76}"/>
            </c:ext>
          </c:extLst>
        </c:ser>
        <c:ser>
          <c:idx val="1"/>
          <c:order val="1"/>
          <c:tx>
            <c:strRef>
              <c:f>'[Approved Provider Survey Analysis Live_TVDB_1206.xlsx]3.3'!$N$34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Live_TVDB_1206.xlsx]3.3'!$O$32:$S$32</c:f>
              <c:strCache>
                <c:ptCount val="5"/>
                <c:pt idx="0">
                  <c:v>Option 1</c:v>
                </c:pt>
                <c:pt idx="1">
                  <c:v>Option 2</c:v>
                </c:pt>
                <c:pt idx="2">
                  <c:v>Option 3</c:v>
                </c:pt>
                <c:pt idx="3">
                  <c:v>Option 4</c:v>
                </c:pt>
                <c:pt idx="4">
                  <c:v>Option 5</c:v>
                </c:pt>
              </c:strCache>
            </c:strRef>
          </c:cat>
          <c:val>
            <c:numRef>
              <c:f>'[Approved Provider Survey Analysis Live_TVDB_1206.xlsx]3.3'!$O$34:$S$34</c:f>
              <c:numCache>
                <c:formatCode>General</c:formatCode>
                <c:ptCount val="5"/>
                <c:pt idx="0">
                  <c:v>3</c:v>
                </c:pt>
                <c:pt idx="1">
                  <c:v>101</c:v>
                </c:pt>
                <c:pt idx="2">
                  <c:v>69</c:v>
                </c:pt>
                <c:pt idx="3">
                  <c:v>60</c:v>
                </c:pt>
                <c:pt idx="4">
                  <c:v>52</c:v>
                </c:pt>
              </c:numCache>
            </c:numRef>
          </c:val>
          <c:extLst>
            <c:ext xmlns:c16="http://schemas.microsoft.com/office/drawing/2014/chart" uri="{C3380CC4-5D6E-409C-BE32-E72D297353CC}">
              <c16:uniqueId val="{00000001-AC3B-4B09-9705-D01E11B50B76}"/>
            </c:ext>
          </c:extLst>
        </c:ser>
        <c:ser>
          <c:idx val="2"/>
          <c:order val="2"/>
          <c:tx>
            <c:strRef>
              <c:f>'[Approved Provider Survey Analysis Live_TVDB_1206.xlsx]3.3'!$N$35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Live_TVDB_1206.xlsx]3.3'!$O$32:$S$32</c:f>
              <c:strCache>
                <c:ptCount val="5"/>
                <c:pt idx="0">
                  <c:v>Option 1</c:v>
                </c:pt>
                <c:pt idx="1">
                  <c:v>Option 2</c:v>
                </c:pt>
                <c:pt idx="2">
                  <c:v>Option 3</c:v>
                </c:pt>
                <c:pt idx="3">
                  <c:v>Option 4</c:v>
                </c:pt>
                <c:pt idx="4">
                  <c:v>Option 5</c:v>
                </c:pt>
              </c:strCache>
            </c:strRef>
          </c:cat>
          <c:val>
            <c:numRef>
              <c:f>'[Approved Provider Survey Analysis Live_TVDB_1206.xlsx]3.3'!$O$35:$S$35</c:f>
              <c:numCache>
                <c:formatCode>General</c:formatCode>
                <c:ptCount val="5"/>
                <c:pt idx="0">
                  <c:v>2</c:v>
                </c:pt>
                <c:pt idx="1">
                  <c:v>12</c:v>
                </c:pt>
                <c:pt idx="2">
                  <c:v>71</c:v>
                </c:pt>
                <c:pt idx="3">
                  <c:v>75</c:v>
                </c:pt>
                <c:pt idx="4">
                  <c:v>82</c:v>
                </c:pt>
              </c:numCache>
            </c:numRef>
          </c:val>
          <c:extLst>
            <c:ext xmlns:c16="http://schemas.microsoft.com/office/drawing/2014/chart" uri="{C3380CC4-5D6E-409C-BE32-E72D297353CC}">
              <c16:uniqueId val="{00000002-AC3B-4B09-9705-D01E11B50B76}"/>
            </c:ext>
          </c:extLst>
        </c:ser>
        <c:dLbls>
          <c:dLblPos val="outEnd"/>
          <c:showLegendKey val="0"/>
          <c:showVal val="1"/>
          <c:showCatName val="0"/>
          <c:showSerName val="0"/>
          <c:showPercent val="0"/>
          <c:showBubbleSize val="0"/>
        </c:dLbls>
        <c:gapWidth val="219"/>
        <c:overlap val="-27"/>
        <c:axId val="1522584192"/>
        <c:axId val="1522575072"/>
      </c:barChart>
      <c:catAx>
        <c:axId val="152258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2575072"/>
        <c:crosses val="autoZero"/>
        <c:auto val="1"/>
        <c:lblAlgn val="ctr"/>
        <c:lblOffset val="100"/>
        <c:noMultiLvlLbl val="0"/>
      </c:catAx>
      <c:valAx>
        <c:axId val="15225750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258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Live_TVDB_1206.xlsx]4.1'!$M$37</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Live_TVDB_1206.xlsx]4.1'!$N$36:$P$36</c:f>
              <c:strCache>
                <c:ptCount val="3"/>
                <c:pt idx="0">
                  <c:v>Option 1</c:v>
                </c:pt>
                <c:pt idx="1">
                  <c:v>Option 2</c:v>
                </c:pt>
                <c:pt idx="2">
                  <c:v>Option 3</c:v>
                </c:pt>
              </c:strCache>
            </c:strRef>
          </c:cat>
          <c:val>
            <c:numRef>
              <c:f>'[Approved Provider Survey Analysis Live_TVDB_1206.xlsx]4.1'!$N$37:$P$37</c:f>
              <c:numCache>
                <c:formatCode>General</c:formatCode>
                <c:ptCount val="3"/>
                <c:pt idx="0">
                  <c:v>140</c:v>
                </c:pt>
                <c:pt idx="1">
                  <c:v>47</c:v>
                </c:pt>
                <c:pt idx="2">
                  <c:v>10</c:v>
                </c:pt>
              </c:numCache>
            </c:numRef>
          </c:val>
          <c:extLst>
            <c:ext xmlns:c16="http://schemas.microsoft.com/office/drawing/2014/chart" uri="{C3380CC4-5D6E-409C-BE32-E72D297353CC}">
              <c16:uniqueId val="{00000000-A209-4EDD-A1B8-6EBE35A250BB}"/>
            </c:ext>
          </c:extLst>
        </c:ser>
        <c:ser>
          <c:idx val="1"/>
          <c:order val="1"/>
          <c:tx>
            <c:strRef>
              <c:f>'[Approved Provider Survey Analysis Live_TVDB_1206.xlsx]4.1'!$M$38</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Live_TVDB_1206.xlsx]4.1'!$N$36:$P$36</c:f>
              <c:strCache>
                <c:ptCount val="3"/>
                <c:pt idx="0">
                  <c:v>Option 1</c:v>
                </c:pt>
                <c:pt idx="1">
                  <c:v>Option 2</c:v>
                </c:pt>
                <c:pt idx="2">
                  <c:v>Option 3</c:v>
                </c:pt>
              </c:strCache>
            </c:strRef>
          </c:cat>
          <c:val>
            <c:numRef>
              <c:f>'[Approved Provider Survey Analysis Live_TVDB_1206.xlsx]4.1'!$N$38:$P$38</c:f>
              <c:numCache>
                <c:formatCode>General</c:formatCode>
                <c:ptCount val="3"/>
                <c:pt idx="0">
                  <c:v>5</c:v>
                </c:pt>
                <c:pt idx="1">
                  <c:v>81</c:v>
                </c:pt>
                <c:pt idx="2">
                  <c:v>36</c:v>
                </c:pt>
              </c:numCache>
            </c:numRef>
          </c:val>
          <c:extLst>
            <c:ext xmlns:c16="http://schemas.microsoft.com/office/drawing/2014/chart" uri="{C3380CC4-5D6E-409C-BE32-E72D297353CC}">
              <c16:uniqueId val="{00000001-A209-4EDD-A1B8-6EBE35A250BB}"/>
            </c:ext>
          </c:extLst>
        </c:ser>
        <c:ser>
          <c:idx val="2"/>
          <c:order val="2"/>
          <c:tx>
            <c:strRef>
              <c:f>'[Approved Provider Survey Analysis Live_TVDB_1206.xlsx]4.1'!$M$39</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Live_TVDB_1206.xlsx]4.1'!$N$36:$P$36</c:f>
              <c:strCache>
                <c:ptCount val="3"/>
                <c:pt idx="0">
                  <c:v>Option 1</c:v>
                </c:pt>
                <c:pt idx="1">
                  <c:v>Option 2</c:v>
                </c:pt>
                <c:pt idx="2">
                  <c:v>Option 3</c:v>
                </c:pt>
              </c:strCache>
            </c:strRef>
          </c:cat>
          <c:val>
            <c:numRef>
              <c:f>'[Approved Provider Survey Analysis Live_TVDB_1206.xlsx]4.1'!$N$39:$P$39</c:f>
              <c:numCache>
                <c:formatCode>General</c:formatCode>
                <c:ptCount val="3"/>
                <c:pt idx="0">
                  <c:v>1</c:v>
                </c:pt>
                <c:pt idx="1">
                  <c:v>18</c:v>
                </c:pt>
                <c:pt idx="2">
                  <c:v>99</c:v>
                </c:pt>
              </c:numCache>
            </c:numRef>
          </c:val>
          <c:extLst>
            <c:ext xmlns:c16="http://schemas.microsoft.com/office/drawing/2014/chart" uri="{C3380CC4-5D6E-409C-BE32-E72D297353CC}">
              <c16:uniqueId val="{00000002-A209-4EDD-A1B8-6EBE35A250BB}"/>
            </c:ext>
          </c:extLst>
        </c:ser>
        <c:dLbls>
          <c:dLblPos val="outEnd"/>
          <c:showLegendKey val="0"/>
          <c:showVal val="1"/>
          <c:showCatName val="0"/>
          <c:showSerName val="0"/>
          <c:showPercent val="0"/>
          <c:showBubbleSize val="0"/>
        </c:dLbls>
        <c:gapWidth val="219"/>
        <c:overlap val="-27"/>
        <c:axId val="1684666496"/>
        <c:axId val="1684666976"/>
      </c:barChart>
      <c:catAx>
        <c:axId val="168466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66976"/>
        <c:crosses val="autoZero"/>
        <c:auto val="1"/>
        <c:lblAlgn val="ctr"/>
        <c:lblOffset val="100"/>
        <c:noMultiLvlLbl val="0"/>
      </c:catAx>
      <c:valAx>
        <c:axId val="1684666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6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'4.1'!$AA$6</c:f>
              <c:strCache>
                <c:ptCount val="1"/>
                <c:pt idx="0">
                  <c:v>Options 2 and 3</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4B23-4CB6-A170-1D4FB0980ED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'4.1'!$AB$5:$AI$5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'4.1'!$AB$6:$AI$6</c:f>
              <c:numCache>
                <c:formatCode>General</c:formatCode>
                <c:ptCount val="8"/>
                <c:pt idx="0">
                  <c:v>0</c:v>
                </c:pt>
                <c:pt idx="1">
                  <c:v>18</c:v>
                </c:pt>
                <c:pt idx="2">
                  <c:v>1</c:v>
                </c:pt>
                <c:pt idx="3">
                  <c:v>11</c:v>
                </c:pt>
                <c:pt idx="4">
                  <c:v>1</c:v>
                </c:pt>
                <c:pt idx="5">
                  <c:v>1</c:v>
                </c:pt>
                <c:pt idx="6">
                  <c:v>14</c:v>
                </c:pt>
                <c:pt idx="7">
                  <c:v>1</c:v>
                </c:pt>
              </c:numCache>
            </c:numRef>
          </c:val>
          <c:extLst>
            <c:ext xmlns:c16="http://schemas.microsoft.com/office/drawing/2014/chart" uri="{C3380CC4-5D6E-409C-BE32-E72D297353CC}">
              <c16:uniqueId val="{00000001-4B23-4CB6-A170-1D4FB0980EDC}"/>
            </c:ext>
          </c:extLst>
        </c:ser>
        <c:ser>
          <c:idx val="1"/>
          <c:order val="1"/>
          <c:tx>
            <c:strRef>
              <c:f>'4.1'!$AA$7</c:f>
              <c:strCache>
                <c:ptCount val="1"/>
                <c:pt idx="0">
                  <c:v>Option 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'4.1'!$AB$5:$AI$5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'4.1'!$AB$7:$AI$7</c:f>
              <c:numCache>
                <c:formatCode>General</c:formatCode>
                <c:ptCount val="8"/>
                <c:pt idx="0">
                  <c:v>6</c:v>
                </c:pt>
                <c:pt idx="1">
                  <c:v>33</c:v>
                </c:pt>
                <c:pt idx="2">
                  <c:v>3</c:v>
                </c:pt>
                <c:pt idx="3">
                  <c:v>13</c:v>
                </c:pt>
                <c:pt idx="4">
                  <c:v>8</c:v>
                </c:pt>
                <c:pt idx="5">
                  <c:v>3</c:v>
                </c:pt>
                <c:pt idx="6">
                  <c:v>20</c:v>
                </c:pt>
                <c:pt idx="7">
                  <c:v>10</c:v>
                </c:pt>
              </c:numCache>
            </c:numRef>
          </c:val>
          <c:extLst>
            <c:ext xmlns:c16="http://schemas.microsoft.com/office/drawing/2014/chart" uri="{C3380CC4-5D6E-409C-BE32-E72D297353CC}">
              <c16:uniqueId val="{00000002-4B23-4CB6-A170-1D4FB0980EDC}"/>
            </c:ext>
          </c:extLst>
        </c:ser>
        <c:ser>
          <c:idx val="2"/>
          <c:order val="2"/>
          <c:tx>
            <c:strRef>
              <c:f>'4.1'!$AA$8</c:f>
              <c:strCache>
                <c:ptCount val="1"/>
                <c:pt idx="0">
                  <c:v>Option 2</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4B23-4CB6-A170-1D4FB0980EDC}"/>
                </c:ext>
              </c:extLst>
            </c:dLbl>
            <c:dLbl>
              <c:idx val="4"/>
              <c:delete val="1"/>
              <c:extLst>
                <c:ext xmlns:c15="http://schemas.microsoft.com/office/drawing/2012/chart" uri="{CE6537A1-D6FC-4f65-9D91-7224C49458BB}"/>
                <c:ext xmlns:c16="http://schemas.microsoft.com/office/drawing/2014/chart" uri="{C3380CC4-5D6E-409C-BE32-E72D297353CC}">
                  <c16:uniqueId val="{00000004-4B23-4CB6-A170-1D4FB0980EDC}"/>
                </c:ext>
              </c:extLst>
            </c:dLbl>
            <c:dLbl>
              <c:idx val="5"/>
              <c:delete val="1"/>
              <c:extLst>
                <c:ext xmlns:c15="http://schemas.microsoft.com/office/drawing/2012/chart" uri="{CE6537A1-D6FC-4f65-9D91-7224C49458BB}"/>
                <c:ext xmlns:c16="http://schemas.microsoft.com/office/drawing/2014/chart" uri="{C3380CC4-5D6E-409C-BE32-E72D297353CC}">
                  <c16:uniqueId val="{00000005-4B23-4CB6-A170-1D4FB0980ED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'4.1'!$AB$5:$AI$5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'4.1'!$AB$8:$AI$8</c:f>
              <c:numCache>
                <c:formatCode>General</c:formatCode>
                <c:ptCount val="8"/>
                <c:pt idx="0">
                  <c:v>0</c:v>
                </c:pt>
                <c:pt idx="1">
                  <c:v>2</c:v>
                </c:pt>
                <c:pt idx="2">
                  <c:v>1</c:v>
                </c:pt>
                <c:pt idx="3">
                  <c:v>3</c:v>
                </c:pt>
                <c:pt idx="4">
                  <c:v>0</c:v>
                </c:pt>
                <c:pt idx="5">
                  <c:v>0</c:v>
                </c:pt>
                <c:pt idx="6">
                  <c:v>1</c:v>
                </c:pt>
                <c:pt idx="7">
                  <c:v>1</c:v>
                </c:pt>
              </c:numCache>
            </c:numRef>
          </c:val>
          <c:extLst>
            <c:ext xmlns:c16="http://schemas.microsoft.com/office/drawing/2014/chart" uri="{C3380CC4-5D6E-409C-BE32-E72D297353CC}">
              <c16:uniqueId val="{00000006-4B23-4CB6-A170-1D4FB0980EDC}"/>
            </c:ext>
          </c:extLst>
        </c:ser>
        <c:ser>
          <c:idx val="3"/>
          <c:order val="3"/>
          <c:tx>
            <c:strRef>
              <c:f>'4.1'!$AA$9</c:f>
              <c:strCache>
                <c:ptCount val="1"/>
                <c:pt idx="0">
                  <c:v>Option 1</c:v>
                </c:pt>
              </c:strCache>
            </c:strRef>
          </c:tx>
          <c:spPr>
            <a:solidFill>
              <a:schemeClr val="accent4"/>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7-4B23-4CB6-A170-1D4FB0980EDC}"/>
                </c:ext>
              </c:extLst>
            </c:dLbl>
            <c:dLbl>
              <c:idx val="3"/>
              <c:delete val="1"/>
              <c:extLst>
                <c:ext xmlns:c15="http://schemas.microsoft.com/office/drawing/2012/chart" uri="{CE6537A1-D6FC-4f65-9D91-7224C49458BB}"/>
                <c:ext xmlns:c16="http://schemas.microsoft.com/office/drawing/2014/chart" uri="{C3380CC4-5D6E-409C-BE32-E72D297353CC}">
                  <c16:uniqueId val="{00000008-4B23-4CB6-A170-1D4FB0980EDC}"/>
                </c:ext>
              </c:extLst>
            </c:dLbl>
            <c:dLbl>
              <c:idx val="5"/>
              <c:delete val="1"/>
              <c:extLst>
                <c:ext xmlns:c15="http://schemas.microsoft.com/office/drawing/2012/chart" uri="{CE6537A1-D6FC-4f65-9D91-7224C49458BB}"/>
                <c:ext xmlns:c16="http://schemas.microsoft.com/office/drawing/2014/chart" uri="{C3380CC4-5D6E-409C-BE32-E72D297353CC}">
                  <c16:uniqueId val="{00000009-4B23-4CB6-A170-1D4FB0980EDC}"/>
                </c:ext>
              </c:extLst>
            </c:dLbl>
            <c:dLbl>
              <c:idx val="7"/>
              <c:delete val="1"/>
              <c:extLst>
                <c:ext xmlns:c15="http://schemas.microsoft.com/office/drawing/2012/chart" uri="{CE6537A1-D6FC-4f65-9D91-7224C49458BB}"/>
                <c:ext xmlns:c16="http://schemas.microsoft.com/office/drawing/2014/chart" uri="{C3380CC4-5D6E-409C-BE32-E72D297353CC}">
                  <c16:uniqueId val="{0000000A-4B23-4CB6-A170-1D4FB0980ED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'4.1'!$AB$5:$AI$5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'4.1'!$AB$9:$AI$9</c:f>
              <c:numCache>
                <c:formatCode>General</c:formatCode>
                <c:ptCount val="8"/>
                <c:pt idx="0">
                  <c:v>1</c:v>
                </c:pt>
                <c:pt idx="1">
                  <c:v>4</c:v>
                </c:pt>
                <c:pt idx="2">
                  <c:v>0</c:v>
                </c:pt>
                <c:pt idx="3">
                  <c:v>0</c:v>
                </c:pt>
                <c:pt idx="4">
                  <c:v>2</c:v>
                </c:pt>
                <c:pt idx="5">
                  <c:v>0</c:v>
                </c:pt>
                <c:pt idx="6">
                  <c:v>1</c:v>
                </c:pt>
                <c:pt idx="7">
                  <c:v>0</c:v>
                </c:pt>
              </c:numCache>
            </c:numRef>
          </c:val>
          <c:extLst>
            <c:ext xmlns:c16="http://schemas.microsoft.com/office/drawing/2014/chart" uri="{C3380CC4-5D6E-409C-BE32-E72D297353CC}">
              <c16:uniqueId val="{0000000B-4B23-4CB6-A170-1D4FB0980EDC}"/>
            </c:ext>
          </c:extLst>
        </c:ser>
        <c:dLbls>
          <c:dLblPos val="outEnd"/>
          <c:showLegendKey val="0"/>
          <c:showVal val="1"/>
          <c:showCatName val="0"/>
          <c:showSerName val="0"/>
          <c:showPercent val="0"/>
          <c:showBubbleSize val="0"/>
        </c:dLbls>
        <c:gapWidth val="104"/>
        <c:axId val="158086159"/>
        <c:axId val="158090479"/>
      </c:barChart>
      <c:catAx>
        <c:axId val="158086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8090479"/>
        <c:crosses val="autoZero"/>
        <c:auto val="1"/>
        <c:lblAlgn val="ctr"/>
        <c:lblOffset val="100"/>
        <c:noMultiLvlLbl val="0"/>
      </c:catAx>
      <c:valAx>
        <c:axId val="1580904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8086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Live_TVDB_1206.xlsx]4.2'!$M$35</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Live_TVDB_1206.xlsx]4.2'!$N$34:$P$34</c:f>
              <c:strCache>
                <c:ptCount val="3"/>
                <c:pt idx="0">
                  <c:v>Option 1</c:v>
                </c:pt>
                <c:pt idx="1">
                  <c:v>Option 2</c:v>
                </c:pt>
                <c:pt idx="2">
                  <c:v>Option 3A and 3B</c:v>
                </c:pt>
              </c:strCache>
            </c:strRef>
          </c:cat>
          <c:val>
            <c:numRef>
              <c:f>'[Approved Provider Survey Analysis Live_TVDB_1206.xlsx]4.2'!$N$35:$P$35</c:f>
              <c:numCache>
                <c:formatCode>General</c:formatCode>
                <c:ptCount val="3"/>
                <c:pt idx="0">
                  <c:v>131</c:v>
                </c:pt>
                <c:pt idx="1">
                  <c:v>26</c:v>
                </c:pt>
                <c:pt idx="2">
                  <c:v>15</c:v>
                </c:pt>
              </c:numCache>
            </c:numRef>
          </c:val>
          <c:extLst>
            <c:ext xmlns:c16="http://schemas.microsoft.com/office/drawing/2014/chart" uri="{C3380CC4-5D6E-409C-BE32-E72D297353CC}">
              <c16:uniqueId val="{00000000-CB7B-4A4A-B42A-3F19563B28AE}"/>
            </c:ext>
          </c:extLst>
        </c:ser>
        <c:ser>
          <c:idx val="1"/>
          <c:order val="1"/>
          <c:tx>
            <c:strRef>
              <c:f>'[Approved Provider Survey Analysis Live_TVDB_1206.xlsx]4.2'!$M$36</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Live_TVDB_1206.xlsx]4.2'!$N$34:$P$34</c:f>
              <c:strCache>
                <c:ptCount val="3"/>
                <c:pt idx="0">
                  <c:v>Option 1</c:v>
                </c:pt>
                <c:pt idx="1">
                  <c:v>Option 2</c:v>
                </c:pt>
                <c:pt idx="2">
                  <c:v>Option 3A and 3B</c:v>
                </c:pt>
              </c:strCache>
            </c:strRef>
          </c:cat>
          <c:val>
            <c:numRef>
              <c:f>'[Approved Provider Survey Analysis Live_TVDB_1206.xlsx]4.2'!$N$36:$P$36</c:f>
              <c:numCache>
                <c:formatCode>General</c:formatCode>
                <c:ptCount val="3"/>
                <c:pt idx="0">
                  <c:v>4</c:v>
                </c:pt>
                <c:pt idx="1">
                  <c:v>97</c:v>
                </c:pt>
                <c:pt idx="2">
                  <c:v>42</c:v>
                </c:pt>
              </c:numCache>
            </c:numRef>
          </c:val>
          <c:extLst>
            <c:ext xmlns:c16="http://schemas.microsoft.com/office/drawing/2014/chart" uri="{C3380CC4-5D6E-409C-BE32-E72D297353CC}">
              <c16:uniqueId val="{00000001-CB7B-4A4A-B42A-3F19563B28AE}"/>
            </c:ext>
          </c:extLst>
        </c:ser>
        <c:ser>
          <c:idx val="2"/>
          <c:order val="2"/>
          <c:tx>
            <c:strRef>
              <c:f>'[Approved Provider Survey Analysis Live_TVDB_1206.xlsx]4.2'!$M$37</c:f>
              <c:strCache>
                <c:ptCount val="1"/>
                <c:pt idx="0">
                  <c:v>Greatly reduce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Live_TVDB_1206.xlsx]4.2'!$N$34:$P$34</c:f>
              <c:strCache>
                <c:ptCount val="3"/>
                <c:pt idx="0">
                  <c:v>Option 1</c:v>
                </c:pt>
                <c:pt idx="1">
                  <c:v>Option 2</c:v>
                </c:pt>
                <c:pt idx="2">
                  <c:v>Option 3A and 3B</c:v>
                </c:pt>
              </c:strCache>
            </c:strRef>
          </c:cat>
          <c:val>
            <c:numRef>
              <c:f>'[Approved Provider Survey Analysis Live_TVDB_1206.xlsx]4.2'!$N$37:$P$37</c:f>
              <c:numCache>
                <c:formatCode>General</c:formatCode>
                <c:ptCount val="3"/>
                <c:pt idx="0">
                  <c:v>1</c:v>
                </c:pt>
                <c:pt idx="1">
                  <c:v>11</c:v>
                </c:pt>
                <c:pt idx="2">
                  <c:v>76</c:v>
                </c:pt>
              </c:numCache>
            </c:numRef>
          </c:val>
          <c:extLst>
            <c:ext xmlns:c16="http://schemas.microsoft.com/office/drawing/2014/chart" uri="{C3380CC4-5D6E-409C-BE32-E72D297353CC}">
              <c16:uniqueId val="{00000002-CB7B-4A4A-B42A-3F19563B28AE}"/>
            </c:ext>
          </c:extLst>
        </c:ser>
        <c:dLbls>
          <c:dLblPos val="outEnd"/>
          <c:showLegendKey val="0"/>
          <c:showVal val="1"/>
          <c:showCatName val="0"/>
          <c:showSerName val="0"/>
          <c:showPercent val="0"/>
          <c:showBubbleSize val="0"/>
        </c:dLbls>
        <c:gapWidth val="219"/>
        <c:overlap val="-27"/>
        <c:axId val="1745008736"/>
        <c:axId val="1745030336"/>
      </c:barChart>
      <c:catAx>
        <c:axId val="174500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30336"/>
        <c:crosses val="autoZero"/>
        <c:auto val="1"/>
        <c:lblAlgn val="ctr"/>
        <c:lblOffset val="100"/>
        <c:noMultiLvlLbl val="0"/>
      </c:catAx>
      <c:valAx>
        <c:axId val="1745030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0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Live_TVDB_1206.xlsx]4.2'!$AA$6</c:f>
              <c:strCache>
                <c:ptCount val="1"/>
                <c:pt idx="0">
                  <c:v>Option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D968-40B3-BF40-5ADF6B96FE7E}"/>
                </c:ext>
              </c:extLst>
            </c:dLbl>
            <c:dLbl>
              <c:idx val="2"/>
              <c:delete val="1"/>
              <c:extLst>
                <c:ext xmlns:c15="http://schemas.microsoft.com/office/drawing/2012/chart" uri="{CE6537A1-D6FC-4f65-9D91-7224C49458BB}"/>
                <c:ext xmlns:c16="http://schemas.microsoft.com/office/drawing/2014/chart" uri="{C3380CC4-5D6E-409C-BE32-E72D297353CC}">
                  <c16:uniqueId val="{00000005-D968-40B3-BF40-5ADF6B96FE7E}"/>
                </c:ext>
              </c:extLst>
            </c:dLbl>
            <c:dLbl>
              <c:idx val="6"/>
              <c:delete val="1"/>
              <c:extLst>
                <c:ext xmlns:c15="http://schemas.microsoft.com/office/drawing/2012/chart" uri="{CE6537A1-D6FC-4f65-9D91-7224C49458BB}"/>
                <c:ext xmlns:c16="http://schemas.microsoft.com/office/drawing/2014/chart" uri="{C3380CC4-5D6E-409C-BE32-E72D297353CC}">
                  <c16:uniqueId val="{00000003-D968-40B3-BF40-5ADF6B96FE7E}"/>
                </c:ext>
              </c:extLst>
            </c:dLbl>
            <c:dLbl>
              <c:idx val="7"/>
              <c:delete val="1"/>
              <c:extLst>
                <c:ext xmlns:c15="http://schemas.microsoft.com/office/drawing/2012/chart" uri="{CE6537A1-D6FC-4f65-9D91-7224C49458BB}"/>
                <c:ext xmlns:c16="http://schemas.microsoft.com/office/drawing/2014/chart" uri="{C3380CC4-5D6E-409C-BE32-E72D297353CC}">
                  <c16:uniqueId val="{00000002-D968-40B3-BF40-5ADF6B96FE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'[Approved Provider Survey Analysis Live_TVDB_1206.xlsx]4.2'!$AB$6:$AI$6</c:f>
              <c:numCache>
                <c:formatCode>General</c:formatCode>
                <c:ptCount val="8"/>
                <c:pt idx="0">
                  <c:v>0</c:v>
                </c:pt>
                <c:pt idx="1">
                  <c:v>2</c:v>
                </c:pt>
                <c:pt idx="2">
                  <c:v>0</c:v>
                </c:pt>
                <c:pt idx="3">
                  <c:v>2</c:v>
                </c:pt>
                <c:pt idx="4">
                  <c:v>1</c:v>
                </c:pt>
                <c:pt idx="5">
                  <c:v>1</c:v>
                </c:pt>
                <c:pt idx="6">
                  <c:v>0</c:v>
                </c:pt>
                <c:pt idx="7">
                  <c:v>0</c:v>
                </c:pt>
              </c:numCache>
            </c:numRef>
          </c:val>
          <c:extLst>
            <c:ext xmlns:c16="http://schemas.microsoft.com/office/drawing/2014/chart" uri="{C3380CC4-5D6E-409C-BE32-E72D297353CC}">
              <c16:uniqueId val="{00000000-5D74-46CB-A5BB-4E24FEC39574}"/>
            </c:ext>
          </c:extLst>
        </c:ser>
        <c:ser>
          <c:idx val="1"/>
          <c:order val="1"/>
          <c:tx>
            <c:strRef>
              <c:f>'[Approved Provider Survey Analysis Live_TVDB_1206.xlsx]4.2'!$AA$7</c:f>
              <c:strCache>
                <c:ptCount val="1"/>
                <c:pt idx="0">
                  <c:v>Option 2</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D968-40B3-BF40-5ADF6B96FE7E}"/>
                </c:ext>
              </c:extLst>
            </c:dLbl>
            <c:dLbl>
              <c:idx val="5"/>
              <c:delete val="1"/>
              <c:extLst>
                <c:ext xmlns:c15="http://schemas.microsoft.com/office/drawing/2012/chart" uri="{CE6537A1-D6FC-4f65-9D91-7224C49458BB}"/>
                <c:ext xmlns:c16="http://schemas.microsoft.com/office/drawing/2014/chart" uri="{C3380CC4-5D6E-409C-BE32-E72D297353CC}">
                  <c16:uniqueId val="{00000004-D968-40B3-BF40-5ADF6B96FE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'[Approved Provider Survey Analysis Live_TVDB_1206.xlsx]4.2'!$AB$7:$AI$7</c:f>
              <c:numCache>
                <c:formatCode>General</c:formatCode>
                <c:ptCount val="8"/>
                <c:pt idx="0">
                  <c:v>0</c:v>
                </c:pt>
                <c:pt idx="1">
                  <c:v>7</c:v>
                </c:pt>
                <c:pt idx="2">
                  <c:v>2</c:v>
                </c:pt>
                <c:pt idx="3">
                  <c:v>1</c:v>
                </c:pt>
                <c:pt idx="4">
                  <c:v>3</c:v>
                </c:pt>
                <c:pt idx="5">
                  <c:v>0</c:v>
                </c:pt>
                <c:pt idx="6">
                  <c:v>6</c:v>
                </c:pt>
                <c:pt idx="7">
                  <c:v>4</c:v>
                </c:pt>
              </c:numCache>
            </c:numRef>
          </c:val>
          <c:extLst>
            <c:ext xmlns:c16="http://schemas.microsoft.com/office/drawing/2014/chart" uri="{C3380CC4-5D6E-409C-BE32-E72D297353CC}">
              <c16:uniqueId val="{00000001-5D74-46CB-A5BB-4E24FEC39574}"/>
            </c:ext>
          </c:extLst>
        </c:ser>
        <c:ser>
          <c:idx val="2"/>
          <c:order val="2"/>
          <c:tx>
            <c:strRef>
              <c:f>'[Approved Provider Survey Analysis Live_TVDB_1206.xlsx]4.2'!$AA$8</c:f>
              <c:strCache>
                <c:ptCount val="1"/>
                <c:pt idx="0">
                  <c:v>Option 3A and 3B</c:v>
                </c:pt>
              </c:strCache>
            </c:strRef>
          </c:tx>
          <c:spPr>
            <a:solidFill>
              <a:schemeClr val="accent5"/>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0-D968-40B3-BF40-5ADF6B96FE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'[Approved Provider Survey Analysis Live_TVDB_1206.xlsx]4.2'!$AB$8:$AI$8</c:f>
              <c:numCache>
                <c:formatCode>General</c:formatCode>
                <c:ptCount val="8"/>
                <c:pt idx="0">
                  <c:v>4</c:v>
                </c:pt>
                <c:pt idx="1">
                  <c:v>23</c:v>
                </c:pt>
                <c:pt idx="2">
                  <c:v>2</c:v>
                </c:pt>
                <c:pt idx="3">
                  <c:v>14</c:v>
                </c:pt>
                <c:pt idx="4">
                  <c:v>4</c:v>
                </c:pt>
                <c:pt idx="5">
                  <c:v>0</c:v>
                </c:pt>
                <c:pt idx="6">
                  <c:v>19</c:v>
                </c:pt>
                <c:pt idx="7">
                  <c:v>7</c:v>
                </c:pt>
              </c:numCache>
            </c:numRef>
          </c:val>
          <c:extLst>
            <c:ext xmlns:c16="http://schemas.microsoft.com/office/drawing/2014/chart" uri="{C3380CC4-5D6E-409C-BE32-E72D297353CC}">
              <c16:uniqueId val="{00000002-5D74-46CB-A5BB-4E24FEC39574}"/>
            </c:ext>
          </c:extLst>
        </c:ser>
        <c:ser>
          <c:idx val="3"/>
          <c:order val="3"/>
          <c:tx>
            <c:strRef>
              <c:f>'[Approved Provider Survey Analysis Live_TVDB_1206.xlsx]4.2'!$AA$9</c:f>
              <c:strCache>
                <c:ptCount val="1"/>
                <c:pt idx="0">
                  <c:v>Option 2 and 3A and 3B</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D968-40B3-BF40-5ADF6B96FE7E}"/>
                </c:ext>
              </c:extLst>
            </c:dLbl>
            <c:dLbl>
              <c:idx val="7"/>
              <c:delete val="1"/>
              <c:extLst>
                <c:ext xmlns:c15="http://schemas.microsoft.com/office/drawing/2012/chart" uri="{CE6537A1-D6FC-4f65-9D91-7224C49458BB}"/>
                <c:ext xmlns:c16="http://schemas.microsoft.com/office/drawing/2014/chart" uri="{C3380CC4-5D6E-409C-BE32-E72D297353CC}">
                  <c16:uniqueId val="{00000001-D968-40B3-BF40-5ADF6B96FE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Live_TVDB_1206.xlsx]4.2'!$AB$5:$AI$5</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'[Approved Provider Survey Analysis Live_TVDB_1206.xlsx]4.2'!$AB$9:$AI$9</c:f>
              <c:numCache>
                <c:formatCode>General</c:formatCode>
                <c:ptCount val="8"/>
                <c:pt idx="0">
                  <c:v>0</c:v>
                </c:pt>
                <c:pt idx="1">
                  <c:v>21</c:v>
                </c:pt>
                <c:pt idx="2">
                  <c:v>1</c:v>
                </c:pt>
                <c:pt idx="3">
                  <c:v>6</c:v>
                </c:pt>
                <c:pt idx="4">
                  <c:v>2</c:v>
                </c:pt>
                <c:pt idx="5">
                  <c:v>2</c:v>
                </c:pt>
                <c:pt idx="6">
                  <c:v>11</c:v>
                </c:pt>
                <c:pt idx="7">
                  <c:v>0</c:v>
                </c:pt>
              </c:numCache>
            </c:numRef>
          </c:val>
          <c:extLst>
            <c:ext xmlns:c16="http://schemas.microsoft.com/office/drawing/2014/chart" uri="{C3380CC4-5D6E-409C-BE32-E72D297353CC}">
              <c16:uniqueId val="{00000003-5D74-46CB-A5BB-4E24FEC39574}"/>
            </c:ext>
          </c:extLst>
        </c:ser>
        <c:dLbls>
          <c:dLblPos val="outEnd"/>
          <c:showLegendKey val="0"/>
          <c:showVal val="1"/>
          <c:showCatName val="0"/>
          <c:showSerName val="0"/>
          <c:showPercent val="0"/>
          <c:showBubbleSize val="0"/>
        </c:dLbls>
        <c:gapWidth val="182"/>
        <c:axId val="924325567"/>
        <c:axId val="924338527"/>
      </c:barChart>
      <c:catAx>
        <c:axId val="924325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338527"/>
        <c:crosses val="autoZero"/>
        <c:auto val="1"/>
        <c:lblAlgn val="ctr"/>
        <c:lblOffset val="100"/>
        <c:noMultiLvlLbl val="0"/>
      </c:catAx>
      <c:valAx>
        <c:axId val="9243385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32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General!$D$45</c:f>
              <c:strCache>
                <c:ptCount val="1"/>
                <c:pt idx="0">
                  <c:v>% Approved provider responses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General!$C$46:$C$53</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General!$D$46:$D$53</c:f>
              <c:numCache>
                <c:formatCode>0%</c:formatCode>
                <c:ptCount val="8"/>
                <c:pt idx="0">
                  <c:v>3.4055727554179564E-2</c:v>
                </c:pt>
                <c:pt idx="1">
                  <c:v>0.35603715170278638</c:v>
                </c:pt>
                <c:pt idx="2">
                  <c:v>1.5479876160990712E-2</c:v>
                </c:pt>
                <c:pt idx="3">
                  <c:v>0.17027863777089783</c:v>
                </c:pt>
                <c:pt idx="4">
                  <c:v>3.4055727554179564E-2</c:v>
                </c:pt>
                <c:pt idx="5">
                  <c:v>2.7863777089783281E-2</c:v>
                </c:pt>
                <c:pt idx="6">
                  <c:v>0.26934984520123839</c:v>
                </c:pt>
                <c:pt idx="7">
                  <c:v>9.2879256965944276E-2</c:v>
                </c:pt>
              </c:numCache>
            </c:numRef>
          </c:val>
          <c:extLst>
            <c:ext xmlns:c16="http://schemas.microsoft.com/office/drawing/2014/chart" uri="{C3380CC4-5D6E-409C-BE32-E72D297353CC}">
              <c16:uniqueId val="{00000000-0165-46E2-A2A2-C43819424014}"/>
            </c:ext>
          </c:extLst>
        </c:ser>
        <c:ser>
          <c:idx val="1"/>
          <c:order val="1"/>
          <c:tx>
            <c:strRef>
              <c:f>General!$E$45</c:f>
              <c:strCache>
                <c:ptCount val="1"/>
                <c:pt idx="0">
                  <c:v>% workforce responses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General!$C$46:$C$53</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General!$E$46:$E$53</c:f>
              <c:numCache>
                <c:formatCode>0%</c:formatCode>
                <c:ptCount val="8"/>
                <c:pt idx="0">
                  <c:v>2.2641509433962263E-2</c:v>
                </c:pt>
                <c:pt idx="1">
                  <c:v>0.41509433962264153</c:v>
                </c:pt>
                <c:pt idx="2">
                  <c:v>1.509433962264151E-2</c:v>
                </c:pt>
                <c:pt idx="3">
                  <c:v>0.22452830188679246</c:v>
                </c:pt>
                <c:pt idx="4">
                  <c:v>1.6981132075471698E-2</c:v>
                </c:pt>
                <c:pt idx="5">
                  <c:v>2.0754716981132074E-2</c:v>
                </c:pt>
                <c:pt idx="6">
                  <c:v>0.19056603773584907</c:v>
                </c:pt>
                <c:pt idx="7">
                  <c:v>9.4339622641509441E-2</c:v>
                </c:pt>
              </c:numCache>
            </c:numRef>
          </c:val>
          <c:extLst>
            <c:ext xmlns:c16="http://schemas.microsoft.com/office/drawing/2014/chart" uri="{C3380CC4-5D6E-409C-BE32-E72D297353CC}">
              <c16:uniqueId val="{00000001-0165-46E2-A2A2-C43819424014}"/>
            </c:ext>
          </c:extLst>
        </c:ser>
        <c:ser>
          <c:idx val="2"/>
          <c:order val="2"/>
          <c:tx>
            <c:strRef>
              <c:f>General!$F$45</c:f>
              <c:strCache>
                <c:ptCount val="1"/>
                <c:pt idx="0">
                  <c:v>% family responses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General!$C$46:$C$53</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General!$F$46:$F$53</c:f>
              <c:numCache>
                <c:formatCode>0%</c:formatCode>
                <c:ptCount val="8"/>
                <c:pt idx="0">
                  <c:v>2.6315789473684209E-2</c:v>
                </c:pt>
                <c:pt idx="1">
                  <c:v>0.38421052631578945</c:v>
                </c:pt>
                <c:pt idx="2">
                  <c:v>1.0526315789473684E-2</c:v>
                </c:pt>
                <c:pt idx="3">
                  <c:v>0.26315789473684209</c:v>
                </c:pt>
                <c:pt idx="4">
                  <c:v>2.6315789473684209E-2</c:v>
                </c:pt>
                <c:pt idx="5">
                  <c:v>4.2105263157894736E-2</c:v>
                </c:pt>
                <c:pt idx="6">
                  <c:v>0.25263157894736843</c:v>
                </c:pt>
                <c:pt idx="7">
                  <c:v>5.2631578947368418E-2</c:v>
                </c:pt>
              </c:numCache>
            </c:numRef>
          </c:val>
          <c:extLst>
            <c:ext xmlns:c16="http://schemas.microsoft.com/office/drawing/2014/chart" uri="{C3380CC4-5D6E-409C-BE32-E72D297353CC}">
              <c16:uniqueId val="{00000002-0165-46E2-A2A2-C43819424014}"/>
            </c:ext>
          </c:extLst>
        </c:ser>
        <c:ser>
          <c:idx val="3"/>
          <c:order val="3"/>
          <c:tx>
            <c:strRef>
              <c:f>General!$G$45</c:f>
              <c:strCache>
                <c:ptCount val="1"/>
                <c:pt idx="0">
                  <c:v>% services across Australia</c:v>
                </c:pt>
              </c:strCache>
            </c:strRef>
          </c:tx>
          <c:spPr>
            <a:pattFill prst="wdDnDiag">
              <a:fgClr>
                <a:schemeClr val="accent5"/>
              </a:fgClr>
              <a:bgClr>
                <a:schemeClr val="bg1"/>
              </a:bgClr>
            </a:pattFill>
            <a:ln>
              <a:solidFill>
                <a:schemeClr val="accent5"/>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General!$C$46:$C$53</c:f>
              <c:strCache>
                <c:ptCount val="8"/>
                <c:pt idx="0">
                  <c:v>Australian Capital Territory</c:v>
                </c:pt>
                <c:pt idx="1">
                  <c:v>New South Wales</c:v>
                </c:pt>
                <c:pt idx="2">
                  <c:v>Northern Territory</c:v>
                </c:pt>
                <c:pt idx="3">
                  <c:v>Queensland</c:v>
                </c:pt>
                <c:pt idx="4">
                  <c:v>South Australia</c:v>
                </c:pt>
                <c:pt idx="5">
                  <c:v>Tasmania</c:v>
                </c:pt>
                <c:pt idx="6">
                  <c:v>Victoria</c:v>
                </c:pt>
                <c:pt idx="7">
                  <c:v>Western Australia</c:v>
                </c:pt>
              </c:strCache>
            </c:strRef>
          </c:cat>
          <c:val>
            <c:numRef>
              <c:f>General!$G$46:$G$53</c:f>
              <c:numCache>
                <c:formatCode>0%</c:formatCode>
                <c:ptCount val="8"/>
                <c:pt idx="0">
                  <c:v>2.1097046413502109E-2</c:v>
                </c:pt>
                <c:pt idx="1">
                  <c:v>0.33838552076393513</c:v>
                </c:pt>
                <c:pt idx="2">
                  <c:v>1.2935820564068399E-2</c:v>
                </c:pt>
                <c:pt idx="3">
                  <c:v>0.18326671108150122</c:v>
                </c:pt>
                <c:pt idx="4">
                  <c:v>7.439484787919165E-2</c:v>
                </c:pt>
                <c:pt idx="5">
                  <c:v>1.3546524539196091E-2</c:v>
                </c:pt>
                <c:pt idx="6">
                  <c:v>0.27376193648678659</c:v>
                </c:pt>
                <c:pt idx="7">
                  <c:v>8.2611592271818787E-2</c:v>
                </c:pt>
              </c:numCache>
            </c:numRef>
          </c:val>
          <c:extLst>
            <c:ext xmlns:c16="http://schemas.microsoft.com/office/drawing/2014/chart" uri="{C3380CC4-5D6E-409C-BE32-E72D297353CC}">
              <c16:uniqueId val="{00000003-0165-46E2-A2A2-C43819424014}"/>
            </c:ext>
          </c:extLst>
        </c:ser>
        <c:dLbls>
          <c:dLblPos val="outEnd"/>
          <c:showLegendKey val="0"/>
          <c:showVal val="1"/>
          <c:showCatName val="0"/>
          <c:showSerName val="0"/>
          <c:showPercent val="0"/>
          <c:showBubbleSize val="0"/>
        </c:dLbls>
        <c:gapWidth val="178"/>
        <c:overlap val="-11"/>
        <c:axId val="624647503"/>
        <c:axId val="624653743"/>
      </c:barChart>
      <c:catAx>
        <c:axId val="6246475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4653743"/>
        <c:crosses val="autoZero"/>
        <c:auto val="1"/>
        <c:lblAlgn val="ctr"/>
        <c:lblOffset val="100"/>
        <c:noMultiLvlLbl val="0"/>
      </c:catAx>
      <c:valAx>
        <c:axId val="62465374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464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Live_TVDB.xlsx]5.1'!$N$39</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Live_TVDB.xlsx]5.1'!$O$38:$R$38</c:f>
              <c:strCache>
                <c:ptCount val="4"/>
                <c:pt idx="0">
                  <c:v>Option 1</c:v>
                </c:pt>
                <c:pt idx="1">
                  <c:v>Option 2</c:v>
                </c:pt>
                <c:pt idx="2">
                  <c:v>Option 3</c:v>
                </c:pt>
                <c:pt idx="3">
                  <c:v>Option 4</c:v>
                </c:pt>
              </c:strCache>
            </c:strRef>
          </c:cat>
          <c:val>
            <c:numRef>
              <c:f>'[Families Survey Analysis Live_TVDB.xlsx]5.1'!$O$39:$R$39</c:f>
              <c:numCache>
                <c:formatCode>General</c:formatCode>
                <c:ptCount val="4"/>
                <c:pt idx="0">
                  <c:v>70</c:v>
                </c:pt>
                <c:pt idx="1">
                  <c:v>24</c:v>
                </c:pt>
                <c:pt idx="2">
                  <c:v>15</c:v>
                </c:pt>
                <c:pt idx="3">
                  <c:v>22</c:v>
                </c:pt>
              </c:numCache>
            </c:numRef>
          </c:val>
          <c:extLst>
            <c:ext xmlns:c16="http://schemas.microsoft.com/office/drawing/2014/chart" uri="{C3380CC4-5D6E-409C-BE32-E72D297353CC}">
              <c16:uniqueId val="{00000000-987D-4D2B-B6A4-04FBDFC3E13C}"/>
            </c:ext>
          </c:extLst>
        </c:ser>
        <c:ser>
          <c:idx val="1"/>
          <c:order val="1"/>
          <c:tx>
            <c:strRef>
              <c:f>'[Families Survey Analysis Live_TVDB.xlsx]5.1'!$N$40</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Live_TVDB.xlsx]5.1'!$O$38:$R$38</c:f>
              <c:strCache>
                <c:ptCount val="4"/>
                <c:pt idx="0">
                  <c:v>Option 1</c:v>
                </c:pt>
                <c:pt idx="1">
                  <c:v>Option 2</c:v>
                </c:pt>
                <c:pt idx="2">
                  <c:v>Option 3</c:v>
                </c:pt>
                <c:pt idx="3">
                  <c:v>Option 4</c:v>
                </c:pt>
              </c:strCache>
            </c:strRef>
          </c:cat>
          <c:val>
            <c:numRef>
              <c:f>'[Families Survey Analysis Live_TVDB.xlsx]5.1'!$O$40:$R$40</c:f>
              <c:numCache>
                <c:formatCode>General</c:formatCode>
                <c:ptCount val="4"/>
                <c:pt idx="0">
                  <c:v>4</c:v>
                </c:pt>
                <c:pt idx="1">
                  <c:v>45</c:v>
                </c:pt>
                <c:pt idx="2">
                  <c:v>33</c:v>
                </c:pt>
                <c:pt idx="3">
                  <c:v>19</c:v>
                </c:pt>
              </c:numCache>
            </c:numRef>
          </c:val>
          <c:extLst>
            <c:ext xmlns:c16="http://schemas.microsoft.com/office/drawing/2014/chart" uri="{C3380CC4-5D6E-409C-BE32-E72D297353CC}">
              <c16:uniqueId val="{00000001-987D-4D2B-B6A4-04FBDFC3E13C}"/>
            </c:ext>
          </c:extLst>
        </c:ser>
        <c:ser>
          <c:idx val="2"/>
          <c:order val="2"/>
          <c:tx>
            <c:strRef>
              <c:f>'[Families Survey Analysis Live_TVDB.xlsx]5.1'!$N$41</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Live_TVDB.xlsx]5.1'!$O$38:$R$38</c:f>
              <c:strCache>
                <c:ptCount val="4"/>
                <c:pt idx="0">
                  <c:v>Option 1</c:v>
                </c:pt>
                <c:pt idx="1">
                  <c:v>Option 2</c:v>
                </c:pt>
                <c:pt idx="2">
                  <c:v>Option 3</c:v>
                </c:pt>
                <c:pt idx="3">
                  <c:v>Option 4</c:v>
                </c:pt>
              </c:strCache>
            </c:strRef>
          </c:cat>
          <c:val>
            <c:numRef>
              <c:f>'[Families Survey Analysis Live_TVDB.xlsx]5.1'!$O$41:$R$41</c:f>
              <c:numCache>
                <c:formatCode>General</c:formatCode>
                <c:ptCount val="4"/>
                <c:pt idx="0">
                  <c:v>2</c:v>
                </c:pt>
                <c:pt idx="1">
                  <c:v>8</c:v>
                </c:pt>
                <c:pt idx="2">
                  <c:v>26</c:v>
                </c:pt>
                <c:pt idx="3">
                  <c:v>27</c:v>
                </c:pt>
              </c:numCache>
            </c:numRef>
          </c:val>
          <c:extLst>
            <c:ext xmlns:c16="http://schemas.microsoft.com/office/drawing/2014/chart" uri="{C3380CC4-5D6E-409C-BE32-E72D297353CC}">
              <c16:uniqueId val="{00000002-987D-4D2B-B6A4-04FBDFC3E13C}"/>
            </c:ext>
          </c:extLst>
        </c:ser>
        <c:dLbls>
          <c:dLblPos val="outEnd"/>
          <c:showLegendKey val="0"/>
          <c:showVal val="1"/>
          <c:showCatName val="0"/>
          <c:showSerName val="0"/>
          <c:showPercent val="0"/>
          <c:showBubbleSize val="0"/>
        </c:dLbls>
        <c:gapWidth val="219"/>
        <c:overlap val="-27"/>
        <c:axId val="1983626783"/>
        <c:axId val="1983627743"/>
      </c:barChart>
      <c:catAx>
        <c:axId val="1983626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3627743"/>
        <c:crosses val="autoZero"/>
        <c:auto val="1"/>
        <c:lblAlgn val="ctr"/>
        <c:lblOffset val="100"/>
        <c:noMultiLvlLbl val="0"/>
      </c:catAx>
      <c:valAx>
        <c:axId val="198362774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3626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Live_TVDB_1206.xlsx]5.1'!$N$40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Live_TVDB_1206.xlsx]5.1'!$O$39:$R$39</c:f>
              <c:strCache>
                <c:ptCount val="4"/>
                <c:pt idx="0">
                  <c:v>Option 1</c:v>
                </c:pt>
                <c:pt idx="1">
                  <c:v>Option 2</c:v>
                </c:pt>
                <c:pt idx="2">
                  <c:v>Option 3</c:v>
                </c:pt>
                <c:pt idx="3">
                  <c:v>Option 4</c:v>
                </c:pt>
              </c:strCache>
            </c:strRef>
          </c:cat>
          <c:val>
            <c:numRef>
              <c:f>'[Approved Provider Survey Analysis Live_TVDB_1206.xlsx]5.1'!$O$40:$R$40</c:f>
              <c:numCache>
                <c:formatCode>General</c:formatCode>
                <c:ptCount val="4"/>
                <c:pt idx="0">
                  <c:v>129</c:v>
                </c:pt>
                <c:pt idx="1">
                  <c:v>34</c:v>
                </c:pt>
                <c:pt idx="2">
                  <c:v>19</c:v>
                </c:pt>
                <c:pt idx="3">
                  <c:v>20</c:v>
                </c:pt>
              </c:numCache>
            </c:numRef>
          </c:val>
          <c:extLst>
            <c:ext xmlns:c16="http://schemas.microsoft.com/office/drawing/2014/chart" uri="{C3380CC4-5D6E-409C-BE32-E72D297353CC}">
              <c16:uniqueId val="{00000000-5D39-4851-A1A9-D4A60FBD3F0B}"/>
            </c:ext>
          </c:extLst>
        </c:ser>
        <c:ser>
          <c:idx val="1"/>
          <c:order val="1"/>
          <c:tx>
            <c:strRef>
              <c:f>'[Approved Provider Survey Analysis Live_TVDB_1206.xlsx]5.1'!$N$41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Live_TVDB_1206.xlsx]5.1'!$O$39:$R$39</c:f>
              <c:strCache>
                <c:ptCount val="4"/>
                <c:pt idx="0">
                  <c:v>Option 1</c:v>
                </c:pt>
                <c:pt idx="1">
                  <c:v>Option 2</c:v>
                </c:pt>
                <c:pt idx="2">
                  <c:v>Option 3</c:v>
                </c:pt>
                <c:pt idx="3">
                  <c:v>Option 4</c:v>
                </c:pt>
              </c:strCache>
            </c:strRef>
          </c:cat>
          <c:val>
            <c:numRef>
              <c:f>'[Approved Provider Survey Analysis Live_TVDB_1206.xlsx]5.1'!$O$41:$R$41</c:f>
              <c:numCache>
                <c:formatCode>General</c:formatCode>
                <c:ptCount val="4"/>
                <c:pt idx="0">
                  <c:v>4</c:v>
                </c:pt>
                <c:pt idx="1">
                  <c:v>81</c:v>
                </c:pt>
                <c:pt idx="2">
                  <c:v>72</c:v>
                </c:pt>
                <c:pt idx="3">
                  <c:v>57</c:v>
                </c:pt>
              </c:numCache>
            </c:numRef>
          </c:val>
          <c:extLst>
            <c:ext xmlns:c16="http://schemas.microsoft.com/office/drawing/2014/chart" uri="{C3380CC4-5D6E-409C-BE32-E72D297353CC}">
              <c16:uniqueId val="{00000001-5D39-4851-A1A9-D4A60FBD3F0B}"/>
            </c:ext>
          </c:extLst>
        </c:ser>
        <c:ser>
          <c:idx val="2"/>
          <c:order val="2"/>
          <c:tx>
            <c:strRef>
              <c:f>'[Approved Provider Survey Analysis Live_TVDB_1206.xlsx]5.1'!$N$42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Live_TVDB_1206.xlsx]5.1'!$O$39:$R$39</c:f>
              <c:strCache>
                <c:ptCount val="4"/>
                <c:pt idx="0">
                  <c:v>Option 1</c:v>
                </c:pt>
                <c:pt idx="1">
                  <c:v>Option 2</c:v>
                </c:pt>
                <c:pt idx="2">
                  <c:v>Option 3</c:v>
                </c:pt>
                <c:pt idx="3">
                  <c:v>Option 4</c:v>
                </c:pt>
              </c:strCache>
            </c:strRef>
          </c:cat>
          <c:val>
            <c:numRef>
              <c:f>'[Approved Provider Survey Analysis Live_TVDB_1206.xlsx]5.1'!$O$42:$R$42</c:f>
              <c:numCache>
                <c:formatCode>General</c:formatCode>
                <c:ptCount val="4"/>
                <c:pt idx="0">
                  <c:v>4</c:v>
                </c:pt>
                <c:pt idx="1">
                  <c:v>13</c:v>
                </c:pt>
                <c:pt idx="2">
                  <c:v>38</c:v>
                </c:pt>
                <c:pt idx="3">
                  <c:v>46</c:v>
                </c:pt>
              </c:numCache>
            </c:numRef>
          </c:val>
          <c:extLst>
            <c:ext xmlns:c16="http://schemas.microsoft.com/office/drawing/2014/chart" uri="{C3380CC4-5D6E-409C-BE32-E72D297353CC}">
              <c16:uniqueId val="{00000002-5D39-4851-A1A9-D4A60FBD3F0B}"/>
            </c:ext>
          </c:extLst>
        </c:ser>
        <c:dLbls>
          <c:dLblPos val="outEnd"/>
          <c:showLegendKey val="0"/>
          <c:showVal val="1"/>
          <c:showCatName val="0"/>
          <c:showSerName val="0"/>
          <c:showPercent val="0"/>
          <c:showBubbleSize val="0"/>
        </c:dLbls>
        <c:gapWidth val="219"/>
        <c:overlap val="-27"/>
        <c:axId val="1745038496"/>
        <c:axId val="1745037536"/>
      </c:barChart>
      <c:catAx>
        <c:axId val="174503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37536"/>
        <c:crosses val="autoZero"/>
        <c:auto val="1"/>
        <c:lblAlgn val="ctr"/>
        <c:lblOffset val="100"/>
        <c:noMultiLvlLbl val="0"/>
      </c:catAx>
      <c:valAx>
        <c:axId val="1745037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3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Live_TVDB_1206.xlsx]5.1'!$N$23</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Live_TVDB_1206.xlsx]5.1'!$O$23</c:f>
              <c:numCache>
                <c:formatCode>0%</c:formatCode>
                <c:ptCount val="1"/>
                <c:pt idx="0">
                  <c:v>7.6923076923076927E-2</c:v>
                </c:pt>
              </c:numCache>
            </c:numRef>
          </c:val>
          <c:extLst>
            <c:ext xmlns:c16="http://schemas.microsoft.com/office/drawing/2014/chart" uri="{C3380CC4-5D6E-409C-BE32-E72D297353CC}">
              <c16:uniqueId val="{00000000-EB63-4144-A5F8-AF5577DE762B}"/>
            </c:ext>
          </c:extLst>
        </c:ser>
        <c:ser>
          <c:idx val="1"/>
          <c:order val="1"/>
          <c:tx>
            <c:strRef>
              <c:f>'[Approved Provider Survey Analysis Live_TVDB_1206.xlsx]5.1'!$N$24</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Live_TVDB_1206.xlsx]5.1'!$O$24</c:f>
              <c:numCache>
                <c:formatCode>0%</c:formatCode>
                <c:ptCount val="1"/>
                <c:pt idx="0">
                  <c:v>0.33076923076923076</c:v>
                </c:pt>
              </c:numCache>
            </c:numRef>
          </c:val>
          <c:extLst>
            <c:ext xmlns:c16="http://schemas.microsoft.com/office/drawing/2014/chart" uri="{C3380CC4-5D6E-409C-BE32-E72D297353CC}">
              <c16:uniqueId val="{00000001-EB63-4144-A5F8-AF5577DE762B}"/>
            </c:ext>
          </c:extLst>
        </c:ser>
        <c:ser>
          <c:idx val="2"/>
          <c:order val="2"/>
          <c:tx>
            <c:strRef>
              <c:f>'[Approved Provider Survey Analysis Live_TVDB_1206.xlsx]5.1'!$N$25</c:f>
              <c:strCache>
                <c:ptCount val="1"/>
                <c:pt idx="0">
                  <c:v>Option 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Live_TVDB_1206.xlsx]5.1'!$O$25</c:f>
              <c:numCache>
                <c:formatCode>0%</c:formatCode>
                <c:ptCount val="1"/>
                <c:pt idx="0">
                  <c:v>0.13076923076923078</c:v>
                </c:pt>
              </c:numCache>
            </c:numRef>
          </c:val>
          <c:extLst>
            <c:ext xmlns:c16="http://schemas.microsoft.com/office/drawing/2014/chart" uri="{C3380CC4-5D6E-409C-BE32-E72D297353CC}">
              <c16:uniqueId val="{00000002-EB63-4144-A5F8-AF5577DE762B}"/>
            </c:ext>
          </c:extLst>
        </c:ser>
        <c:ser>
          <c:idx val="3"/>
          <c:order val="3"/>
          <c:tx>
            <c:strRef>
              <c:f>'[Approved Provider Survey Analysis Live_TVDB_1206.xlsx]5.1'!$N$26</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Live_TVDB_1206.xlsx]5.1'!$O$26</c:f>
              <c:numCache>
                <c:formatCode>0%</c:formatCode>
                <c:ptCount val="1"/>
                <c:pt idx="0">
                  <c:v>0.13076923076923078</c:v>
                </c:pt>
              </c:numCache>
            </c:numRef>
          </c:val>
          <c:extLst>
            <c:ext xmlns:c16="http://schemas.microsoft.com/office/drawing/2014/chart" uri="{C3380CC4-5D6E-409C-BE32-E72D297353CC}">
              <c16:uniqueId val="{00000003-EB63-4144-A5F8-AF5577DE762B}"/>
            </c:ext>
          </c:extLst>
        </c:ser>
        <c:ser>
          <c:idx val="4"/>
          <c:order val="4"/>
          <c:tx>
            <c:strRef>
              <c:f>'[Approved Provider Survey Analysis Live_TVDB_1206.xlsx]5.1'!$N$27</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Live_TVDB_1206.xlsx]5.1'!$O$27</c:f>
              <c:numCache>
                <c:formatCode>0%</c:formatCode>
                <c:ptCount val="1"/>
                <c:pt idx="0">
                  <c:v>0.23076923076923078</c:v>
                </c:pt>
              </c:numCache>
            </c:numRef>
          </c:val>
          <c:extLst>
            <c:ext xmlns:c16="http://schemas.microsoft.com/office/drawing/2014/chart" uri="{C3380CC4-5D6E-409C-BE32-E72D297353CC}">
              <c16:uniqueId val="{00000004-EB63-4144-A5F8-AF5577DE762B}"/>
            </c:ext>
          </c:extLst>
        </c:ser>
        <c:ser>
          <c:idx val="5"/>
          <c:order val="5"/>
          <c:tx>
            <c:strRef>
              <c:f>'[Approved Provider Survey Analysis Live_TVDB_1206.xlsx]5.1'!$N$28</c:f>
              <c:strCache>
                <c:ptCount val="1"/>
                <c:pt idx="0">
                  <c:v>Options 2 and 4</c:v>
                </c:pt>
              </c:strCache>
            </c:strRef>
          </c:tx>
          <c:spPr>
            <a:pattFill prst="wdDnDiag">
              <a:fgClr>
                <a:schemeClr val="accent6"/>
              </a:fgClr>
              <a:bgClr>
                <a:schemeClr val="bg1"/>
              </a:bgClr>
            </a:pattFill>
            <a:ln>
              <a:noFill/>
            </a:ln>
            <a:effectLst/>
          </c:spPr>
          <c:invertIfNegative val="0"/>
          <c:dLbls>
            <c:spPr>
              <a:solidFill>
                <a:schemeClr val="accent6"/>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Live_TVDB_1206.xlsx]5.1'!$O$28</c:f>
              <c:numCache>
                <c:formatCode>0%</c:formatCode>
                <c:ptCount val="1"/>
                <c:pt idx="0">
                  <c:v>0.1</c:v>
                </c:pt>
              </c:numCache>
            </c:numRef>
          </c:val>
          <c:extLst>
            <c:ext xmlns:c16="http://schemas.microsoft.com/office/drawing/2014/chart" uri="{C3380CC4-5D6E-409C-BE32-E72D297353CC}">
              <c16:uniqueId val="{00000005-EB63-4144-A5F8-AF5577DE762B}"/>
            </c:ext>
          </c:extLst>
        </c:ser>
        <c:dLbls>
          <c:dLblPos val="ctr"/>
          <c:showLegendKey val="0"/>
          <c:showVal val="1"/>
          <c:showCatName val="0"/>
          <c:showSerName val="0"/>
          <c:showPercent val="0"/>
          <c:showBubbleSize val="0"/>
        </c:dLbls>
        <c:gapWidth val="150"/>
        <c:overlap val="100"/>
        <c:axId val="1469011648"/>
        <c:axId val="1468992448"/>
      </c:barChart>
      <c:catAx>
        <c:axId val="1469011648"/>
        <c:scaling>
          <c:orientation val="minMax"/>
        </c:scaling>
        <c:delete val="1"/>
        <c:axPos val="l"/>
        <c:numFmt formatCode="General" sourceLinked="1"/>
        <c:majorTickMark val="none"/>
        <c:minorTickMark val="none"/>
        <c:tickLblPos val="nextTo"/>
        <c:crossAx val="1468992448"/>
        <c:crosses val="autoZero"/>
        <c:auto val="1"/>
        <c:lblAlgn val="ctr"/>
        <c:lblOffset val="100"/>
        <c:noMultiLvlLbl val="0"/>
      </c:catAx>
      <c:valAx>
        <c:axId val="146899244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901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Live_TVDB.xlsx]5.1'!$N$23</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Live_TVDB.xlsx]5.1'!$O$23</c:f>
              <c:numCache>
                <c:formatCode>0%</c:formatCode>
                <c:ptCount val="1"/>
                <c:pt idx="0">
                  <c:v>5.8823529411764705E-2</c:v>
                </c:pt>
              </c:numCache>
            </c:numRef>
          </c:val>
          <c:extLst>
            <c:ext xmlns:c16="http://schemas.microsoft.com/office/drawing/2014/chart" uri="{C3380CC4-5D6E-409C-BE32-E72D297353CC}">
              <c16:uniqueId val="{00000000-9617-4E1F-8F7D-01B2777A3E19}"/>
            </c:ext>
          </c:extLst>
        </c:ser>
        <c:ser>
          <c:idx val="1"/>
          <c:order val="1"/>
          <c:tx>
            <c:strRef>
              <c:f>'[Families Survey Analysis Live_TVDB.xlsx]5.1'!$N$24</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Live_TVDB.xlsx]5.1'!$O$24</c:f>
              <c:numCache>
                <c:formatCode>0%</c:formatCode>
                <c:ptCount val="1"/>
                <c:pt idx="0">
                  <c:v>0.17647058823529413</c:v>
                </c:pt>
              </c:numCache>
            </c:numRef>
          </c:val>
          <c:extLst>
            <c:ext xmlns:c16="http://schemas.microsoft.com/office/drawing/2014/chart" uri="{C3380CC4-5D6E-409C-BE32-E72D297353CC}">
              <c16:uniqueId val="{00000001-9617-4E1F-8F7D-01B2777A3E19}"/>
            </c:ext>
          </c:extLst>
        </c:ser>
        <c:ser>
          <c:idx val="2"/>
          <c:order val="2"/>
          <c:tx>
            <c:strRef>
              <c:f>'[Families Survey Analysis Live_TVDB.xlsx]5.1'!$N$25</c:f>
              <c:strCache>
                <c:ptCount val="1"/>
                <c:pt idx="0">
                  <c:v>Option 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Live_TVDB.xlsx]5.1'!$O$25</c:f>
              <c:numCache>
                <c:formatCode>0%</c:formatCode>
                <c:ptCount val="1"/>
                <c:pt idx="0">
                  <c:v>0.22058823529411764</c:v>
                </c:pt>
              </c:numCache>
            </c:numRef>
          </c:val>
          <c:extLst>
            <c:ext xmlns:c16="http://schemas.microsoft.com/office/drawing/2014/chart" uri="{C3380CC4-5D6E-409C-BE32-E72D297353CC}">
              <c16:uniqueId val="{00000002-9617-4E1F-8F7D-01B2777A3E19}"/>
            </c:ext>
          </c:extLst>
        </c:ser>
        <c:ser>
          <c:idx val="3"/>
          <c:order val="3"/>
          <c:tx>
            <c:strRef>
              <c:f>'[Families Survey Analysis Live_TVDB.xlsx]5.1'!$N$26</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Live_TVDB.xlsx]5.1'!$O$26</c:f>
              <c:numCache>
                <c:formatCode>0%</c:formatCode>
                <c:ptCount val="1"/>
                <c:pt idx="0">
                  <c:v>0.26470588235294118</c:v>
                </c:pt>
              </c:numCache>
            </c:numRef>
          </c:val>
          <c:extLst>
            <c:ext xmlns:c16="http://schemas.microsoft.com/office/drawing/2014/chart" uri="{C3380CC4-5D6E-409C-BE32-E72D297353CC}">
              <c16:uniqueId val="{00000003-9617-4E1F-8F7D-01B2777A3E19}"/>
            </c:ext>
          </c:extLst>
        </c:ser>
        <c:ser>
          <c:idx val="4"/>
          <c:order val="4"/>
          <c:tx>
            <c:strRef>
              <c:f>'[Families Survey Analysis Live_TVDB.xlsx]5.1'!$N$27</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Live_TVDB.xlsx]5.1'!$O$27</c:f>
              <c:numCache>
                <c:formatCode>0%</c:formatCode>
                <c:ptCount val="1"/>
                <c:pt idx="0">
                  <c:v>0.19117647058823528</c:v>
                </c:pt>
              </c:numCache>
            </c:numRef>
          </c:val>
          <c:extLst>
            <c:ext xmlns:c16="http://schemas.microsoft.com/office/drawing/2014/chart" uri="{C3380CC4-5D6E-409C-BE32-E72D297353CC}">
              <c16:uniqueId val="{00000004-9617-4E1F-8F7D-01B2777A3E19}"/>
            </c:ext>
          </c:extLst>
        </c:ser>
        <c:ser>
          <c:idx val="5"/>
          <c:order val="5"/>
          <c:tx>
            <c:strRef>
              <c:f>'[Families Survey Analysis Live_TVDB.xlsx]5.1'!$N$28</c:f>
              <c:strCache>
                <c:ptCount val="1"/>
                <c:pt idx="0">
                  <c:v>Options 2 and 4</c:v>
                </c:pt>
              </c:strCache>
            </c:strRef>
          </c:tx>
          <c:spPr>
            <a:pattFill prst="wdDnDiag">
              <a:fgClr>
                <a:schemeClr val="accent6"/>
              </a:fgClr>
              <a:bgClr>
                <a:schemeClr val="bg1"/>
              </a:bgClr>
            </a:pattFill>
            <a:ln>
              <a:noFill/>
            </a:ln>
            <a:effectLst/>
          </c:spPr>
          <c:invertIfNegative val="0"/>
          <c:dLbls>
            <c:spPr>
              <a:solidFill>
                <a:schemeClr val="accent6"/>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Live_TVDB.xlsx]5.1'!$O$28</c:f>
              <c:numCache>
                <c:formatCode>0%</c:formatCode>
                <c:ptCount val="1"/>
                <c:pt idx="0">
                  <c:v>8.8235294117647065E-2</c:v>
                </c:pt>
              </c:numCache>
            </c:numRef>
          </c:val>
          <c:extLst>
            <c:ext xmlns:c16="http://schemas.microsoft.com/office/drawing/2014/chart" uri="{C3380CC4-5D6E-409C-BE32-E72D297353CC}">
              <c16:uniqueId val="{00000005-9617-4E1F-8F7D-01B2777A3E19}"/>
            </c:ext>
          </c:extLst>
        </c:ser>
        <c:dLbls>
          <c:dLblPos val="ctr"/>
          <c:showLegendKey val="0"/>
          <c:showVal val="1"/>
          <c:showCatName val="0"/>
          <c:showSerName val="0"/>
          <c:showPercent val="0"/>
          <c:showBubbleSize val="0"/>
        </c:dLbls>
        <c:gapWidth val="150"/>
        <c:overlap val="100"/>
        <c:axId val="1983620543"/>
        <c:axId val="1983637343"/>
      </c:barChart>
      <c:catAx>
        <c:axId val="1983620543"/>
        <c:scaling>
          <c:orientation val="minMax"/>
        </c:scaling>
        <c:delete val="1"/>
        <c:axPos val="l"/>
        <c:numFmt formatCode="General" sourceLinked="1"/>
        <c:majorTickMark val="none"/>
        <c:minorTickMark val="none"/>
        <c:tickLblPos val="nextTo"/>
        <c:crossAx val="1983637343"/>
        <c:crosses val="autoZero"/>
        <c:auto val="1"/>
        <c:lblAlgn val="ctr"/>
        <c:lblOffset val="100"/>
        <c:noMultiLvlLbl val="0"/>
      </c:catAx>
      <c:valAx>
        <c:axId val="198363734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3620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'Soph extra'!$B$39</c:f>
              <c:strCache>
                <c:ptCount val="1"/>
                <c:pt idx="0">
                  <c:v>Greatly reduce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'Soph extra'!$C$37:$J$38</c:f>
              <c:multiLvlStrCache>
                <c:ptCount val="8"/>
                <c:lvl>
                  <c:pt idx="0">
                    <c:v>FDC</c:v>
                  </c:pt>
                  <c:pt idx="1">
                    <c:v>Other</c:v>
                  </c:pt>
                  <c:pt idx="2">
                    <c:v>FDC</c:v>
                  </c:pt>
                  <c:pt idx="3">
                    <c:v>Other</c:v>
                  </c:pt>
                  <c:pt idx="4">
                    <c:v>FDC</c:v>
                  </c:pt>
                  <c:pt idx="5">
                    <c:v>Other</c:v>
                  </c:pt>
                  <c:pt idx="6">
                    <c:v>FDC</c:v>
                  </c:pt>
                  <c:pt idx="7">
                    <c:v>Other</c:v>
                  </c:pt>
                </c:lvl>
                <c:lvl>
                  <c:pt idx="0">
                    <c:v>Option 1</c:v>
                  </c:pt>
                  <c:pt idx="2">
                    <c:v>Option 2</c:v>
                  </c:pt>
                  <c:pt idx="4">
                    <c:v>Option 3</c:v>
                  </c:pt>
                  <c:pt idx="6">
                    <c:v>Option 4</c:v>
                  </c:pt>
                </c:lvl>
              </c:multiLvlStrCache>
            </c:multiLvlStrRef>
          </c:cat>
          <c:val>
            <c:numRef>
              <c:f>'Soph extra'!$C$39:$J$39</c:f>
              <c:numCache>
                <c:formatCode>0%</c:formatCode>
                <c:ptCount val="8"/>
                <c:pt idx="0">
                  <c:v>0.03</c:v>
                </c:pt>
                <c:pt idx="1">
                  <c:v>0.03</c:v>
                </c:pt>
                <c:pt idx="2">
                  <c:v>0.15</c:v>
                </c:pt>
                <c:pt idx="3">
                  <c:v>0.13</c:v>
                </c:pt>
                <c:pt idx="4">
                  <c:v>0.19</c:v>
                </c:pt>
                <c:pt idx="5">
                  <c:v>0.51</c:v>
                </c:pt>
                <c:pt idx="6">
                  <c:v>0.23</c:v>
                </c:pt>
                <c:pt idx="7">
                  <c:v>0.57999999999999996</c:v>
                </c:pt>
              </c:numCache>
            </c:numRef>
          </c:val>
          <c:extLst>
            <c:ext xmlns:c16="http://schemas.microsoft.com/office/drawing/2014/chart" uri="{C3380CC4-5D6E-409C-BE32-E72D297353CC}">
              <c16:uniqueId val="{00000000-739D-44E4-8388-85A75589D2B5}"/>
            </c:ext>
          </c:extLst>
        </c:ser>
        <c:ser>
          <c:idx val="1"/>
          <c:order val="1"/>
          <c:tx>
            <c:strRef>
              <c:f>'Soph extra'!$B$40</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'Soph extra'!$C$37:$J$38</c:f>
              <c:multiLvlStrCache>
                <c:ptCount val="8"/>
                <c:lvl>
                  <c:pt idx="0">
                    <c:v>FDC</c:v>
                  </c:pt>
                  <c:pt idx="1">
                    <c:v>Other</c:v>
                  </c:pt>
                  <c:pt idx="2">
                    <c:v>FDC</c:v>
                  </c:pt>
                  <c:pt idx="3">
                    <c:v>Other</c:v>
                  </c:pt>
                  <c:pt idx="4">
                    <c:v>FDC</c:v>
                  </c:pt>
                  <c:pt idx="5">
                    <c:v>Other</c:v>
                  </c:pt>
                  <c:pt idx="6">
                    <c:v>FDC</c:v>
                  </c:pt>
                  <c:pt idx="7">
                    <c:v>Other</c:v>
                  </c:pt>
                </c:lvl>
                <c:lvl>
                  <c:pt idx="0">
                    <c:v>Option 1</c:v>
                  </c:pt>
                  <c:pt idx="2">
                    <c:v>Option 2</c:v>
                  </c:pt>
                  <c:pt idx="4">
                    <c:v>Option 3</c:v>
                  </c:pt>
                  <c:pt idx="6">
                    <c:v>Option 4</c:v>
                  </c:pt>
                </c:lvl>
              </c:multiLvlStrCache>
            </c:multiLvlStrRef>
          </c:cat>
          <c:val>
            <c:numRef>
              <c:f>'Soph extra'!$C$40:$J$40</c:f>
              <c:numCache>
                <c:formatCode>0%</c:formatCode>
                <c:ptCount val="8"/>
                <c:pt idx="0">
                  <c:v>0.03</c:v>
                </c:pt>
                <c:pt idx="1">
                  <c:v>0.04</c:v>
                </c:pt>
                <c:pt idx="2">
                  <c:v>0.67</c:v>
                </c:pt>
                <c:pt idx="3">
                  <c:v>0.68</c:v>
                </c:pt>
                <c:pt idx="4">
                  <c:v>0.52</c:v>
                </c:pt>
                <c:pt idx="5">
                  <c:v>0.35</c:v>
                </c:pt>
                <c:pt idx="6">
                  <c:v>0.43</c:v>
                </c:pt>
                <c:pt idx="7">
                  <c:v>0.3</c:v>
                </c:pt>
              </c:numCache>
            </c:numRef>
          </c:val>
          <c:extLst>
            <c:ext xmlns:c16="http://schemas.microsoft.com/office/drawing/2014/chart" uri="{C3380CC4-5D6E-409C-BE32-E72D297353CC}">
              <c16:uniqueId val="{00000001-739D-44E4-8388-85A75589D2B5}"/>
            </c:ext>
          </c:extLst>
        </c:ser>
        <c:ser>
          <c:idx val="2"/>
          <c:order val="2"/>
          <c:tx>
            <c:strRef>
              <c:f>'Soph extra'!$B$41</c:f>
              <c:strCache>
                <c:ptCount val="1"/>
                <c:pt idx="0">
                  <c:v>No change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'Soph extra'!$C$37:$J$38</c:f>
              <c:multiLvlStrCache>
                <c:ptCount val="8"/>
                <c:lvl>
                  <c:pt idx="0">
                    <c:v>FDC</c:v>
                  </c:pt>
                  <c:pt idx="1">
                    <c:v>Other</c:v>
                  </c:pt>
                  <c:pt idx="2">
                    <c:v>FDC</c:v>
                  </c:pt>
                  <c:pt idx="3">
                    <c:v>Other</c:v>
                  </c:pt>
                  <c:pt idx="4">
                    <c:v>FDC</c:v>
                  </c:pt>
                  <c:pt idx="5">
                    <c:v>Other</c:v>
                  </c:pt>
                  <c:pt idx="6">
                    <c:v>FDC</c:v>
                  </c:pt>
                  <c:pt idx="7">
                    <c:v>Other</c:v>
                  </c:pt>
                </c:lvl>
                <c:lvl>
                  <c:pt idx="0">
                    <c:v>Option 1</c:v>
                  </c:pt>
                  <c:pt idx="2">
                    <c:v>Option 2</c:v>
                  </c:pt>
                  <c:pt idx="4">
                    <c:v>Option 3</c:v>
                  </c:pt>
                  <c:pt idx="6">
                    <c:v>Option 4</c:v>
                  </c:pt>
                </c:lvl>
              </c:multiLvlStrCache>
            </c:multiLvlStrRef>
          </c:cat>
          <c:val>
            <c:numRef>
              <c:f>'Soph extra'!$C$41:$J$41</c:f>
              <c:numCache>
                <c:formatCode>0%</c:formatCode>
                <c:ptCount val="8"/>
                <c:pt idx="0">
                  <c:v>0.94</c:v>
                </c:pt>
                <c:pt idx="1">
                  <c:v>0.93</c:v>
                </c:pt>
                <c:pt idx="2">
                  <c:v>0.18</c:v>
                </c:pt>
                <c:pt idx="3">
                  <c:v>0.19</c:v>
                </c:pt>
                <c:pt idx="4">
                  <c:v>0.28999999999999998</c:v>
                </c:pt>
                <c:pt idx="5">
                  <c:v>0.13</c:v>
                </c:pt>
                <c:pt idx="6">
                  <c:v>0.33</c:v>
                </c:pt>
                <c:pt idx="7">
                  <c:v>0.12</c:v>
                </c:pt>
              </c:numCache>
            </c:numRef>
          </c:val>
          <c:extLst>
            <c:ext xmlns:c16="http://schemas.microsoft.com/office/drawing/2014/chart" uri="{C3380CC4-5D6E-409C-BE32-E72D297353CC}">
              <c16:uniqueId val="{00000002-739D-44E4-8388-85A75589D2B5}"/>
            </c:ext>
          </c:extLst>
        </c:ser>
        <c:dLbls>
          <c:dLblPos val="outEnd"/>
          <c:showLegendKey val="0"/>
          <c:showVal val="1"/>
          <c:showCatName val="0"/>
          <c:showSerName val="0"/>
          <c:showPercent val="0"/>
          <c:showBubbleSize val="0"/>
        </c:dLbls>
        <c:gapWidth val="71"/>
        <c:overlap val="-27"/>
        <c:axId val="624559183"/>
        <c:axId val="624553903"/>
      </c:barChart>
      <c:catAx>
        <c:axId val="624559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4553903"/>
        <c:crosses val="autoZero"/>
        <c:auto val="1"/>
        <c:lblAlgn val="ctr"/>
        <c:lblOffset val="100"/>
        <c:noMultiLvlLbl val="0"/>
      </c:catAx>
      <c:valAx>
        <c:axId val="62455390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4559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Live_TVDB_1206.xlsx]5.2'!$Q$78:$Q$80</c:f>
              <c:strCache>
                <c:ptCount val="3"/>
                <c:pt idx="0">
                  <c:v>Yes</c:v>
                </c:pt>
                <c:pt idx="1">
                  <c:v>No</c:v>
                </c:pt>
                <c:pt idx="2">
                  <c:v>Unsure</c:v>
                </c:pt>
              </c:strCache>
            </c:strRef>
          </c:cat>
          <c:val>
            <c:numRef>
              <c:f>'[Approved Provider Survey Analysis Live_TVDB_1206.xlsx]5.2'!$R$78:$R$80</c:f>
              <c:numCache>
                <c:formatCode>0%</c:formatCode>
                <c:ptCount val="3"/>
                <c:pt idx="0">
                  <c:v>0.64864864864864868</c:v>
                </c:pt>
                <c:pt idx="1">
                  <c:v>0.27027027027027029</c:v>
                </c:pt>
                <c:pt idx="2">
                  <c:v>8.1081081081081086E-2</c:v>
                </c:pt>
              </c:numCache>
            </c:numRef>
          </c:val>
          <c:extLst>
            <c:ext xmlns:c16="http://schemas.microsoft.com/office/drawing/2014/chart" uri="{C3380CC4-5D6E-409C-BE32-E72D297353CC}">
              <c16:uniqueId val="{00000000-85EB-44FC-87D3-069A440E5220}"/>
            </c:ext>
          </c:extLst>
        </c:ser>
        <c:dLbls>
          <c:dLblPos val="outEnd"/>
          <c:showLegendKey val="0"/>
          <c:showVal val="1"/>
          <c:showCatName val="0"/>
          <c:showSerName val="0"/>
          <c:showPercent val="0"/>
          <c:showBubbleSize val="0"/>
        </c:dLbls>
        <c:gapWidth val="219"/>
        <c:overlap val="-27"/>
        <c:axId val="19866432"/>
        <c:axId val="19887552"/>
      </c:barChart>
      <c:catAx>
        <c:axId val="1986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87552"/>
        <c:crosses val="autoZero"/>
        <c:auto val="1"/>
        <c:lblAlgn val="ctr"/>
        <c:lblOffset val="100"/>
        <c:noMultiLvlLbl val="0"/>
      </c:catAx>
      <c:valAx>
        <c:axId val="1988755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66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Live_TVDB_1206.xlsx]5.2'!$AC$9:$AC$16</c:f>
              <c:strCache>
                <c:ptCount val="8"/>
                <c:pt idx="0">
                  <c:v>Option 1</c:v>
                </c:pt>
                <c:pt idx="1">
                  <c:v>Option 2</c:v>
                </c:pt>
                <c:pt idx="2">
                  <c:v>Option 3</c:v>
                </c:pt>
                <c:pt idx="3">
                  <c:v>Option 4</c:v>
                </c:pt>
                <c:pt idx="4">
                  <c:v>Options 2 and 3</c:v>
                </c:pt>
                <c:pt idx="5">
                  <c:v>Options 2 and 4</c:v>
                </c:pt>
                <c:pt idx="6">
                  <c:v>Options 3 and 4</c:v>
                </c:pt>
                <c:pt idx="7">
                  <c:v>Options 2, 3 and 4</c:v>
                </c:pt>
              </c:strCache>
            </c:strRef>
          </c:cat>
          <c:val>
            <c:numRef>
              <c:f>'[Approved Provider Survey Analysis Live_TVDB_1206.xlsx]5.2'!$AD$9:$AD$16</c:f>
              <c:numCache>
                <c:formatCode>General</c:formatCode>
                <c:ptCount val="8"/>
                <c:pt idx="0">
                  <c:v>3</c:v>
                </c:pt>
                <c:pt idx="1">
                  <c:v>19</c:v>
                </c:pt>
                <c:pt idx="2">
                  <c:v>0</c:v>
                </c:pt>
                <c:pt idx="3">
                  <c:v>5</c:v>
                </c:pt>
                <c:pt idx="4">
                  <c:v>2</c:v>
                </c:pt>
                <c:pt idx="5">
                  <c:v>4</c:v>
                </c:pt>
                <c:pt idx="6">
                  <c:v>0</c:v>
                </c:pt>
                <c:pt idx="7">
                  <c:v>2</c:v>
                </c:pt>
              </c:numCache>
            </c:numRef>
          </c:val>
          <c:extLst>
            <c:ext xmlns:c16="http://schemas.microsoft.com/office/drawing/2014/chart" uri="{C3380CC4-5D6E-409C-BE32-E72D297353CC}">
              <c16:uniqueId val="{00000000-6C96-48FD-9F99-8DF7B4B129C8}"/>
            </c:ext>
          </c:extLst>
        </c:ser>
        <c:dLbls>
          <c:dLblPos val="outEnd"/>
          <c:showLegendKey val="0"/>
          <c:showVal val="1"/>
          <c:showCatName val="0"/>
          <c:showSerName val="0"/>
          <c:showPercent val="0"/>
          <c:showBubbleSize val="0"/>
        </c:dLbls>
        <c:gapWidth val="182"/>
        <c:axId val="75287472"/>
        <c:axId val="75293232"/>
      </c:barChart>
      <c:catAx>
        <c:axId val="75287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293232"/>
        <c:crosses val="autoZero"/>
        <c:auto val="1"/>
        <c:lblAlgn val="ctr"/>
        <c:lblOffset val="100"/>
        <c:noMultiLvlLbl val="0"/>
      </c:catAx>
      <c:valAx>
        <c:axId val="75293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287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Live_TVDB_1206.xlsx]5.3'!$L$84:$L$87</c:f>
              <c:strCache>
                <c:ptCount val="4"/>
                <c:pt idx="0">
                  <c:v>Highly concerned</c:v>
                </c:pt>
                <c:pt idx="1">
                  <c:v>Somewhat concerned</c:v>
                </c:pt>
                <c:pt idx="2">
                  <c:v>Not concerned</c:v>
                </c:pt>
                <c:pt idx="3">
                  <c:v>Unsure/Cannot comment</c:v>
                </c:pt>
              </c:strCache>
            </c:strRef>
          </c:cat>
          <c:val>
            <c:numRef>
              <c:f>'[Approved Provider Survey Analysis Live_TVDB_1206.xlsx]5.3'!$M$84:$M$87</c:f>
              <c:numCache>
                <c:formatCode>0%</c:formatCode>
                <c:ptCount val="4"/>
                <c:pt idx="0">
                  <c:v>0.57894736842105265</c:v>
                </c:pt>
                <c:pt idx="1">
                  <c:v>0.28947368421052633</c:v>
                </c:pt>
                <c:pt idx="2">
                  <c:v>0.10526315789473684</c:v>
                </c:pt>
                <c:pt idx="3">
                  <c:v>2.6315789473684209E-2</c:v>
                </c:pt>
              </c:numCache>
            </c:numRef>
          </c:val>
          <c:extLst>
            <c:ext xmlns:c16="http://schemas.microsoft.com/office/drawing/2014/chart" uri="{C3380CC4-5D6E-409C-BE32-E72D297353CC}">
              <c16:uniqueId val="{00000000-4B15-4C6D-B397-10234541863B}"/>
            </c:ext>
          </c:extLst>
        </c:ser>
        <c:dLbls>
          <c:dLblPos val="outEnd"/>
          <c:showLegendKey val="0"/>
          <c:showVal val="1"/>
          <c:showCatName val="0"/>
          <c:showSerName val="0"/>
          <c:showPercent val="0"/>
          <c:showBubbleSize val="0"/>
        </c:dLbls>
        <c:gapWidth val="219"/>
        <c:overlap val="-27"/>
        <c:axId val="1604559696"/>
        <c:axId val="1604565456"/>
      </c:barChart>
      <c:catAx>
        <c:axId val="160455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04565456"/>
        <c:crosses val="autoZero"/>
        <c:auto val="1"/>
        <c:lblAlgn val="ctr"/>
        <c:lblOffset val="100"/>
        <c:noMultiLvlLbl val="0"/>
      </c:catAx>
      <c:valAx>
        <c:axId val="16045654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04559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Live_TVDB_1206.xlsx]5.3'!$AA$7</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Live_TVDB_1206.xlsx]5.3'!$AB$7</c:f>
              <c:numCache>
                <c:formatCode>0%</c:formatCode>
                <c:ptCount val="1"/>
                <c:pt idx="0">
                  <c:v>0.2</c:v>
                </c:pt>
              </c:numCache>
            </c:numRef>
          </c:val>
          <c:extLst>
            <c:ext xmlns:c16="http://schemas.microsoft.com/office/drawing/2014/chart" uri="{C3380CC4-5D6E-409C-BE32-E72D297353CC}">
              <c16:uniqueId val="{00000000-FEBC-4CBE-A442-8C5EA6829664}"/>
            </c:ext>
          </c:extLst>
        </c:ser>
        <c:ser>
          <c:idx val="1"/>
          <c:order val="1"/>
          <c:tx>
            <c:strRef>
              <c:f>'[Approved Provider Survey Analysis Live_TVDB_1206.xlsx]5.3'!$AA$8</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Live_TVDB_1206.xlsx]5.3'!$AB$8</c:f>
              <c:numCache>
                <c:formatCode>0%</c:formatCode>
                <c:ptCount val="1"/>
                <c:pt idx="0">
                  <c:v>0.48571428571428571</c:v>
                </c:pt>
              </c:numCache>
            </c:numRef>
          </c:val>
          <c:extLst>
            <c:ext xmlns:c16="http://schemas.microsoft.com/office/drawing/2014/chart" uri="{C3380CC4-5D6E-409C-BE32-E72D297353CC}">
              <c16:uniqueId val="{00000001-FEBC-4CBE-A442-8C5EA6829664}"/>
            </c:ext>
          </c:extLst>
        </c:ser>
        <c:ser>
          <c:idx val="2"/>
          <c:order val="2"/>
          <c:tx>
            <c:strRef>
              <c:f>'[Approved Provider Survey Analysis Live_TVDB_1206.xlsx]5.3'!$AA$9</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Live_TVDB_1206.xlsx]5.3'!$AB$9</c:f>
              <c:numCache>
                <c:formatCode>0%</c:formatCode>
                <c:ptCount val="1"/>
                <c:pt idx="0">
                  <c:v>0.14285714285714285</c:v>
                </c:pt>
              </c:numCache>
            </c:numRef>
          </c:val>
          <c:extLst>
            <c:ext xmlns:c16="http://schemas.microsoft.com/office/drawing/2014/chart" uri="{C3380CC4-5D6E-409C-BE32-E72D297353CC}">
              <c16:uniqueId val="{00000002-FEBC-4CBE-A442-8C5EA6829664}"/>
            </c:ext>
          </c:extLst>
        </c:ser>
        <c:ser>
          <c:idx val="3"/>
          <c:order val="3"/>
          <c:tx>
            <c:strRef>
              <c:f>'[Approved Provider Survey Analysis Live_TVDB_1206.xlsx]5.3'!$AA$10</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Live_TVDB_1206.xlsx]5.3'!$AB$10</c:f>
              <c:numCache>
                <c:formatCode>0%</c:formatCode>
                <c:ptCount val="1"/>
                <c:pt idx="0">
                  <c:v>0.17142857142857143</c:v>
                </c:pt>
              </c:numCache>
            </c:numRef>
          </c:val>
          <c:extLst>
            <c:ext xmlns:c16="http://schemas.microsoft.com/office/drawing/2014/chart" uri="{C3380CC4-5D6E-409C-BE32-E72D297353CC}">
              <c16:uniqueId val="{00000003-FEBC-4CBE-A442-8C5EA6829664}"/>
            </c:ext>
          </c:extLst>
        </c:ser>
        <c:dLbls>
          <c:dLblPos val="ctr"/>
          <c:showLegendKey val="0"/>
          <c:showVal val="1"/>
          <c:showCatName val="0"/>
          <c:showSerName val="0"/>
          <c:showPercent val="0"/>
          <c:showBubbleSize val="0"/>
        </c:dLbls>
        <c:gapWidth val="150"/>
        <c:overlap val="100"/>
        <c:axId val="1516434576"/>
        <c:axId val="6985840"/>
      </c:barChart>
      <c:catAx>
        <c:axId val="1516434576"/>
        <c:scaling>
          <c:orientation val="minMax"/>
        </c:scaling>
        <c:delete val="1"/>
        <c:axPos val="l"/>
        <c:numFmt formatCode="General" sourceLinked="1"/>
        <c:majorTickMark val="none"/>
        <c:minorTickMark val="none"/>
        <c:tickLblPos val="nextTo"/>
        <c:crossAx val="6985840"/>
        <c:crosses val="autoZero"/>
        <c:auto val="1"/>
        <c:lblAlgn val="ctr"/>
        <c:lblOffset val="100"/>
        <c:noMultiLvlLbl val="0"/>
      </c:catAx>
      <c:valAx>
        <c:axId val="698584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1643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Live_TVDB_1206.xlsx]5.3'!$M$19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Live_TVDB_1206.xlsx]5.3'!$N$19</c:f>
              <c:numCache>
                <c:formatCode>0%</c:formatCode>
                <c:ptCount val="1"/>
                <c:pt idx="0">
                  <c:v>9.7087378640776698E-2</c:v>
                </c:pt>
              </c:numCache>
            </c:numRef>
          </c:val>
          <c:extLst>
            <c:ext xmlns:c16="http://schemas.microsoft.com/office/drawing/2014/chart" uri="{C3380CC4-5D6E-409C-BE32-E72D297353CC}">
              <c16:uniqueId val="{00000000-D2BD-4533-A1C9-AFC6C8149218}"/>
            </c:ext>
          </c:extLst>
        </c:ser>
        <c:ser>
          <c:idx val="1"/>
          <c:order val="1"/>
          <c:tx>
            <c:strRef>
              <c:f>'[Approved Provider Survey Analysis Live_TVDB_1206.xlsx]5.3'!$M$20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Live_TVDB_1206.xlsx]5.3'!$N$20</c:f>
              <c:numCache>
                <c:formatCode>0%</c:formatCode>
                <c:ptCount val="1"/>
                <c:pt idx="0">
                  <c:v>0.25242718446601942</c:v>
                </c:pt>
              </c:numCache>
            </c:numRef>
          </c:val>
          <c:extLst>
            <c:ext xmlns:c16="http://schemas.microsoft.com/office/drawing/2014/chart" uri="{C3380CC4-5D6E-409C-BE32-E72D297353CC}">
              <c16:uniqueId val="{00000001-D2BD-4533-A1C9-AFC6C8149218}"/>
            </c:ext>
          </c:extLst>
        </c:ser>
        <c:ser>
          <c:idx val="2"/>
          <c:order val="2"/>
          <c:tx>
            <c:strRef>
              <c:f>'[Approved Provider Survey Analysis Live_TVDB_1206.xlsx]5.3'!$M$21</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Live_TVDB_1206.xlsx]5.3'!$N$21</c:f>
              <c:numCache>
                <c:formatCode>0%</c:formatCode>
                <c:ptCount val="1"/>
                <c:pt idx="0">
                  <c:v>0.37864077669902912</c:v>
                </c:pt>
              </c:numCache>
            </c:numRef>
          </c:val>
          <c:extLst>
            <c:ext xmlns:c16="http://schemas.microsoft.com/office/drawing/2014/chart" uri="{C3380CC4-5D6E-409C-BE32-E72D297353CC}">
              <c16:uniqueId val="{00000002-D2BD-4533-A1C9-AFC6C8149218}"/>
            </c:ext>
          </c:extLst>
        </c:ser>
        <c:ser>
          <c:idx val="3"/>
          <c:order val="3"/>
          <c:tx>
            <c:strRef>
              <c:f>'[Approved Provider Survey Analysis Live_TVDB_1206.xlsx]5.3'!$M$22</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Live_TVDB_1206.xlsx]5.3'!$N$22</c:f>
              <c:numCache>
                <c:formatCode>0%</c:formatCode>
                <c:ptCount val="1"/>
                <c:pt idx="0">
                  <c:v>0.27184466019417475</c:v>
                </c:pt>
              </c:numCache>
            </c:numRef>
          </c:val>
          <c:extLst>
            <c:ext xmlns:c16="http://schemas.microsoft.com/office/drawing/2014/chart" uri="{C3380CC4-5D6E-409C-BE32-E72D297353CC}">
              <c16:uniqueId val="{00000003-D2BD-4533-A1C9-AFC6C8149218}"/>
            </c:ext>
          </c:extLst>
        </c:ser>
        <c:dLbls>
          <c:dLblPos val="ctr"/>
          <c:showLegendKey val="0"/>
          <c:showVal val="1"/>
          <c:showCatName val="0"/>
          <c:showSerName val="0"/>
          <c:showPercent val="0"/>
          <c:showBubbleSize val="0"/>
        </c:dLbls>
        <c:gapWidth val="150"/>
        <c:overlap val="100"/>
        <c:axId val="1781613120"/>
        <c:axId val="1781596800"/>
      </c:barChart>
      <c:catAx>
        <c:axId val="1781613120"/>
        <c:scaling>
          <c:orientation val="minMax"/>
        </c:scaling>
        <c:delete val="1"/>
        <c:axPos val="l"/>
        <c:numFmt formatCode="General" sourceLinked="1"/>
        <c:majorTickMark val="none"/>
        <c:minorTickMark val="none"/>
        <c:tickLblPos val="nextTo"/>
        <c:crossAx val="1781596800"/>
        <c:crosses val="autoZero"/>
        <c:auto val="1"/>
        <c:lblAlgn val="ctr"/>
        <c:lblOffset val="100"/>
        <c:noMultiLvlLbl val="0"/>
      </c:catAx>
      <c:valAx>
        <c:axId val="178159680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61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Live_TVDB_1206.xlsx]1.1'!$I$33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Live_TVDB_1206.xlsx]1.1'!$J$32:$L$32</c:f>
              <c:strCache>
                <c:ptCount val="3"/>
                <c:pt idx="0">
                  <c:v>Option 1</c:v>
                </c:pt>
                <c:pt idx="1">
                  <c:v>Option 2</c:v>
                </c:pt>
                <c:pt idx="2">
                  <c:v>Option 3</c:v>
                </c:pt>
              </c:strCache>
            </c:strRef>
          </c:cat>
          <c:val>
            <c:numRef>
              <c:f>'[Approved Provider Survey Analysis Live_TVDB_1206.xlsx]1.1'!$J$33:$L$33</c:f>
              <c:numCache>
                <c:formatCode>General</c:formatCode>
                <c:ptCount val="3"/>
                <c:pt idx="0">
                  <c:v>185</c:v>
                </c:pt>
                <c:pt idx="1">
                  <c:v>24</c:v>
                </c:pt>
                <c:pt idx="2">
                  <c:v>28</c:v>
                </c:pt>
              </c:numCache>
            </c:numRef>
          </c:val>
          <c:extLst>
            <c:ext xmlns:c16="http://schemas.microsoft.com/office/drawing/2014/chart" uri="{C3380CC4-5D6E-409C-BE32-E72D297353CC}">
              <c16:uniqueId val="{00000000-8F75-42A5-8C0F-42ED4263603A}"/>
            </c:ext>
          </c:extLst>
        </c:ser>
        <c:ser>
          <c:idx val="1"/>
          <c:order val="1"/>
          <c:tx>
            <c:strRef>
              <c:f>'[Approved Provider Survey Analysis Live_TVDB_1206.xlsx]1.1'!$I$34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Live_TVDB_1206.xlsx]1.1'!$J$32:$L$32</c:f>
              <c:strCache>
                <c:ptCount val="3"/>
                <c:pt idx="0">
                  <c:v>Option 1</c:v>
                </c:pt>
                <c:pt idx="1">
                  <c:v>Option 2</c:v>
                </c:pt>
                <c:pt idx="2">
                  <c:v>Option 3</c:v>
                </c:pt>
              </c:strCache>
            </c:strRef>
          </c:cat>
          <c:val>
            <c:numRef>
              <c:f>'[Approved Provider Survey Analysis Live_TVDB_1206.xlsx]1.1'!$J$34:$L$34</c:f>
              <c:numCache>
                <c:formatCode>General</c:formatCode>
                <c:ptCount val="3"/>
                <c:pt idx="0">
                  <c:v>27</c:v>
                </c:pt>
                <c:pt idx="1">
                  <c:v>105</c:v>
                </c:pt>
                <c:pt idx="2">
                  <c:v>66</c:v>
                </c:pt>
              </c:numCache>
            </c:numRef>
          </c:val>
          <c:extLst>
            <c:ext xmlns:c16="http://schemas.microsoft.com/office/drawing/2014/chart" uri="{C3380CC4-5D6E-409C-BE32-E72D297353CC}">
              <c16:uniqueId val="{00000001-8F75-42A5-8C0F-42ED4263603A}"/>
            </c:ext>
          </c:extLst>
        </c:ser>
        <c:ser>
          <c:idx val="2"/>
          <c:order val="2"/>
          <c:tx>
            <c:strRef>
              <c:f>'[Approved Provider Survey Analysis Live_TVDB_1206.xlsx]1.1'!$I$35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Live_TVDB_1206.xlsx]1.1'!$J$32:$L$32</c:f>
              <c:strCache>
                <c:ptCount val="3"/>
                <c:pt idx="0">
                  <c:v>Option 1</c:v>
                </c:pt>
                <c:pt idx="1">
                  <c:v>Option 2</c:v>
                </c:pt>
                <c:pt idx="2">
                  <c:v>Option 3</c:v>
                </c:pt>
              </c:strCache>
            </c:strRef>
          </c:cat>
          <c:val>
            <c:numRef>
              <c:f>'[Approved Provider Survey Analysis Live_TVDB_1206.xlsx]1.1'!$J$35:$L$35</c:f>
              <c:numCache>
                <c:formatCode>General</c:formatCode>
                <c:ptCount val="3"/>
                <c:pt idx="0">
                  <c:v>8</c:v>
                </c:pt>
                <c:pt idx="1">
                  <c:v>88</c:v>
                </c:pt>
                <c:pt idx="2">
                  <c:v>125</c:v>
                </c:pt>
              </c:numCache>
            </c:numRef>
          </c:val>
          <c:extLst>
            <c:ext xmlns:c16="http://schemas.microsoft.com/office/drawing/2014/chart" uri="{C3380CC4-5D6E-409C-BE32-E72D297353CC}">
              <c16:uniqueId val="{00000002-8F75-42A5-8C0F-42ED4263603A}"/>
            </c:ext>
          </c:extLst>
        </c:ser>
        <c:dLbls>
          <c:dLblPos val="outEnd"/>
          <c:showLegendKey val="0"/>
          <c:showVal val="1"/>
          <c:showCatName val="0"/>
          <c:showSerName val="0"/>
          <c:showPercent val="0"/>
          <c:showBubbleSize val="0"/>
        </c:dLbls>
        <c:gapWidth val="219"/>
        <c:overlap val="-27"/>
        <c:axId val="15405776"/>
        <c:axId val="15406256"/>
      </c:barChart>
      <c:catAx>
        <c:axId val="1540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06256"/>
        <c:crosses val="autoZero"/>
        <c:auto val="1"/>
        <c:lblAlgn val="ctr"/>
        <c:lblOffset val="100"/>
        <c:noMultiLvlLbl val="0"/>
      </c:catAx>
      <c:valAx>
        <c:axId val="154062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0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Live_TVDB.xlsx]5.3'!$M$18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Live_TVDB.xlsx]5.3'!$N$18</c:f>
              <c:numCache>
                <c:formatCode>0%</c:formatCode>
                <c:ptCount val="1"/>
                <c:pt idx="0">
                  <c:v>0.39766081871345027</c:v>
                </c:pt>
              </c:numCache>
            </c:numRef>
          </c:val>
          <c:extLst>
            <c:ext xmlns:c16="http://schemas.microsoft.com/office/drawing/2014/chart" uri="{C3380CC4-5D6E-409C-BE32-E72D297353CC}">
              <c16:uniqueId val="{00000000-2481-4BDA-9CD3-FFE64D652879}"/>
            </c:ext>
          </c:extLst>
        </c:ser>
        <c:ser>
          <c:idx val="1"/>
          <c:order val="1"/>
          <c:tx>
            <c:strRef>
              <c:f>'[Workforce Survey Analysis Live_TVDB.xlsx]5.3'!$M$19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Live_TVDB.xlsx]5.3'!$N$19</c:f>
              <c:numCache>
                <c:formatCode>0%</c:formatCode>
                <c:ptCount val="1"/>
                <c:pt idx="0">
                  <c:v>0.21637426900584794</c:v>
                </c:pt>
              </c:numCache>
            </c:numRef>
          </c:val>
          <c:extLst>
            <c:ext xmlns:c16="http://schemas.microsoft.com/office/drawing/2014/chart" uri="{C3380CC4-5D6E-409C-BE32-E72D297353CC}">
              <c16:uniqueId val="{00000001-2481-4BDA-9CD3-FFE64D652879}"/>
            </c:ext>
          </c:extLst>
        </c:ser>
        <c:ser>
          <c:idx val="2"/>
          <c:order val="2"/>
          <c:tx>
            <c:strRef>
              <c:f>'[Workforce Survey Analysis Live_TVDB.xlsx]5.3'!$M$20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Live_TVDB.xlsx]5.3'!$N$20</c:f>
              <c:numCache>
                <c:formatCode>0%</c:formatCode>
                <c:ptCount val="1"/>
                <c:pt idx="0">
                  <c:v>0.24561403508771928</c:v>
                </c:pt>
              </c:numCache>
            </c:numRef>
          </c:val>
          <c:extLst>
            <c:ext xmlns:c16="http://schemas.microsoft.com/office/drawing/2014/chart" uri="{C3380CC4-5D6E-409C-BE32-E72D297353CC}">
              <c16:uniqueId val="{00000002-2481-4BDA-9CD3-FFE64D652879}"/>
            </c:ext>
          </c:extLst>
        </c:ser>
        <c:ser>
          <c:idx val="3"/>
          <c:order val="3"/>
          <c:tx>
            <c:strRef>
              <c:f>'[Workforce Survey Analysis Live_TVDB.xlsx]5.3'!$M$21</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Live_TVDB.xlsx]5.3'!$N$21</c:f>
              <c:numCache>
                <c:formatCode>0%</c:formatCode>
                <c:ptCount val="1"/>
                <c:pt idx="0">
                  <c:v>0.14035087719298245</c:v>
                </c:pt>
              </c:numCache>
            </c:numRef>
          </c:val>
          <c:extLst>
            <c:ext xmlns:c16="http://schemas.microsoft.com/office/drawing/2014/chart" uri="{C3380CC4-5D6E-409C-BE32-E72D297353CC}">
              <c16:uniqueId val="{00000003-2481-4BDA-9CD3-FFE64D652879}"/>
            </c:ext>
          </c:extLst>
        </c:ser>
        <c:dLbls>
          <c:dLblPos val="ctr"/>
          <c:showLegendKey val="0"/>
          <c:showVal val="1"/>
          <c:showCatName val="0"/>
          <c:showSerName val="0"/>
          <c:showPercent val="0"/>
          <c:showBubbleSize val="0"/>
        </c:dLbls>
        <c:gapWidth val="150"/>
        <c:overlap val="100"/>
        <c:axId val="548316095"/>
        <c:axId val="548316575"/>
      </c:barChart>
      <c:catAx>
        <c:axId val="548316095"/>
        <c:scaling>
          <c:orientation val="minMax"/>
        </c:scaling>
        <c:delete val="1"/>
        <c:axPos val="l"/>
        <c:numFmt formatCode="General" sourceLinked="1"/>
        <c:majorTickMark val="none"/>
        <c:minorTickMark val="none"/>
        <c:tickLblPos val="nextTo"/>
        <c:crossAx val="548316575"/>
        <c:crosses val="autoZero"/>
        <c:auto val="1"/>
        <c:lblAlgn val="ctr"/>
        <c:lblOffset val="100"/>
        <c:noMultiLvlLbl val="0"/>
      </c:catAx>
      <c:valAx>
        <c:axId val="54831657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8316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Live_TVDB.xlsx]5.3'!$M$19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Live_TVDB.xlsx]5.3'!$N$19</c:f>
              <c:numCache>
                <c:formatCode>0%</c:formatCode>
                <c:ptCount val="1"/>
                <c:pt idx="0">
                  <c:v>9.8591549295774641E-2</c:v>
                </c:pt>
              </c:numCache>
            </c:numRef>
          </c:val>
          <c:extLst>
            <c:ext xmlns:c16="http://schemas.microsoft.com/office/drawing/2014/chart" uri="{C3380CC4-5D6E-409C-BE32-E72D297353CC}">
              <c16:uniqueId val="{00000000-62C5-4741-BB94-1ABF0A08F254}"/>
            </c:ext>
          </c:extLst>
        </c:ser>
        <c:ser>
          <c:idx val="1"/>
          <c:order val="1"/>
          <c:tx>
            <c:strRef>
              <c:f>'[Families Survey Analysis Live_TVDB.xlsx]5.3'!$M$20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Live_TVDB.xlsx]5.3'!$N$20</c:f>
              <c:numCache>
                <c:formatCode>0%</c:formatCode>
                <c:ptCount val="1"/>
                <c:pt idx="0">
                  <c:v>9.8591549295774641E-2</c:v>
                </c:pt>
              </c:numCache>
            </c:numRef>
          </c:val>
          <c:extLst>
            <c:ext xmlns:c16="http://schemas.microsoft.com/office/drawing/2014/chart" uri="{C3380CC4-5D6E-409C-BE32-E72D297353CC}">
              <c16:uniqueId val="{00000001-62C5-4741-BB94-1ABF0A08F254}"/>
            </c:ext>
          </c:extLst>
        </c:ser>
        <c:ser>
          <c:idx val="2"/>
          <c:order val="2"/>
          <c:tx>
            <c:strRef>
              <c:f>'[Families Survey Analysis Live_TVDB.xlsx]5.3'!$M$21</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Live_TVDB.xlsx]5.3'!$N$21</c:f>
              <c:numCache>
                <c:formatCode>0%</c:formatCode>
                <c:ptCount val="1"/>
                <c:pt idx="0">
                  <c:v>0.60563380281690138</c:v>
                </c:pt>
              </c:numCache>
            </c:numRef>
          </c:val>
          <c:extLst>
            <c:ext xmlns:c16="http://schemas.microsoft.com/office/drawing/2014/chart" uri="{C3380CC4-5D6E-409C-BE32-E72D297353CC}">
              <c16:uniqueId val="{00000002-62C5-4741-BB94-1ABF0A08F254}"/>
            </c:ext>
          </c:extLst>
        </c:ser>
        <c:ser>
          <c:idx val="3"/>
          <c:order val="3"/>
          <c:tx>
            <c:strRef>
              <c:f>'[Families Survey Analysis Live_TVDB.xlsx]5.3'!$M$22</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Live_TVDB.xlsx]5.3'!$N$22</c:f>
              <c:numCache>
                <c:formatCode>0%</c:formatCode>
                <c:ptCount val="1"/>
                <c:pt idx="0">
                  <c:v>0.19718309859154928</c:v>
                </c:pt>
              </c:numCache>
            </c:numRef>
          </c:val>
          <c:extLst>
            <c:ext xmlns:c16="http://schemas.microsoft.com/office/drawing/2014/chart" uri="{C3380CC4-5D6E-409C-BE32-E72D297353CC}">
              <c16:uniqueId val="{00000003-62C5-4741-BB94-1ABF0A08F254}"/>
            </c:ext>
          </c:extLst>
        </c:ser>
        <c:dLbls>
          <c:dLblPos val="ctr"/>
          <c:showLegendKey val="0"/>
          <c:showVal val="1"/>
          <c:showCatName val="0"/>
          <c:showSerName val="0"/>
          <c:showPercent val="0"/>
          <c:showBubbleSize val="0"/>
        </c:dLbls>
        <c:gapWidth val="150"/>
        <c:overlap val="100"/>
        <c:axId val="2039290367"/>
        <c:axId val="2039305247"/>
      </c:barChart>
      <c:catAx>
        <c:axId val="2039290367"/>
        <c:scaling>
          <c:orientation val="minMax"/>
        </c:scaling>
        <c:delete val="1"/>
        <c:axPos val="l"/>
        <c:numFmt formatCode="General" sourceLinked="1"/>
        <c:majorTickMark val="none"/>
        <c:minorTickMark val="none"/>
        <c:tickLblPos val="nextTo"/>
        <c:crossAx val="2039305247"/>
        <c:crosses val="autoZero"/>
        <c:auto val="1"/>
        <c:lblAlgn val="ctr"/>
        <c:lblOffset val="100"/>
        <c:noMultiLvlLbl val="0"/>
      </c:catAx>
      <c:valAx>
        <c:axId val="203930524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929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'6.1'!$N$41</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'6.1'!$O$40:$R$40</c:f>
              <c:strCache>
                <c:ptCount val="4"/>
                <c:pt idx="0">
                  <c:v>Option 1</c:v>
                </c:pt>
                <c:pt idx="1">
                  <c:v>Option 2</c:v>
                </c:pt>
                <c:pt idx="2">
                  <c:v>Option 3A</c:v>
                </c:pt>
                <c:pt idx="3">
                  <c:v>Option 3B</c:v>
                </c:pt>
              </c:strCache>
            </c:strRef>
          </c:cat>
          <c:val>
            <c:numRef>
              <c:f>'6.1'!$O$41:$R$41</c:f>
              <c:numCache>
                <c:formatCode>General</c:formatCode>
                <c:ptCount val="4"/>
                <c:pt idx="0">
                  <c:v>94</c:v>
                </c:pt>
                <c:pt idx="1">
                  <c:v>24</c:v>
                </c:pt>
                <c:pt idx="2">
                  <c:v>8</c:v>
                </c:pt>
                <c:pt idx="3">
                  <c:v>7</c:v>
                </c:pt>
              </c:numCache>
            </c:numRef>
          </c:val>
          <c:extLst>
            <c:ext xmlns:c16="http://schemas.microsoft.com/office/drawing/2014/chart" uri="{C3380CC4-5D6E-409C-BE32-E72D297353CC}">
              <c16:uniqueId val="{00000000-0064-4E9D-82F8-03FEC41424FA}"/>
            </c:ext>
          </c:extLst>
        </c:ser>
        <c:ser>
          <c:idx val="1"/>
          <c:order val="1"/>
          <c:tx>
            <c:strRef>
              <c:f>'6.1'!$N$42</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'6.1'!$O$40:$R$40</c:f>
              <c:strCache>
                <c:ptCount val="4"/>
                <c:pt idx="0">
                  <c:v>Option 1</c:v>
                </c:pt>
                <c:pt idx="1">
                  <c:v>Option 2</c:v>
                </c:pt>
                <c:pt idx="2">
                  <c:v>Option 3A</c:v>
                </c:pt>
                <c:pt idx="3">
                  <c:v>Option 3B</c:v>
                </c:pt>
              </c:strCache>
            </c:strRef>
          </c:cat>
          <c:val>
            <c:numRef>
              <c:f>'6.1'!$O$42:$R$42</c:f>
              <c:numCache>
                <c:formatCode>General</c:formatCode>
                <c:ptCount val="4"/>
                <c:pt idx="0">
                  <c:v>1</c:v>
                </c:pt>
                <c:pt idx="1">
                  <c:v>58</c:v>
                </c:pt>
                <c:pt idx="2">
                  <c:v>42</c:v>
                </c:pt>
                <c:pt idx="3">
                  <c:v>38</c:v>
                </c:pt>
              </c:numCache>
            </c:numRef>
          </c:val>
          <c:extLst>
            <c:ext xmlns:c16="http://schemas.microsoft.com/office/drawing/2014/chart" uri="{C3380CC4-5D6E-409C-BE32-E72D297353CC}">
              <c16:uniqueId val="{00000001-0064-4E9D-82F8-03FEC41424FA}"/>
            </c:ext>
          </c:extLst>
        </c:ser>
        <c:ser>
          <c:idx val="2"/>
          <c:order val="2"/>
          <c:tx>
            <c:strRef>
              <c:f>'6.1'!$N$43</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'6.1'!$O$40:$R$40</c:f>
              <c:strCache>
                <c:ptCount val="4"/>
                <c:pt idx="0">
                  <c:v>Option 1</c:v>
                </c:pt>
                <c:pt idx="1">
                  <c:v>Option 2</c:v>
                </c:pt>
                <c:pt idx="2">
                  <c:v>Option 3A</c:v>
                </c:pt>
                <c:pt idx="3">
                  <c:v>Option 3B</c:v>
                </c:pt>
              </c:strCache>
            </c:strRef>
          </c:cat>
          <c:val>
            <c:numRef>
              <c:f>'6.1'!$O$43:$R$43</c:f>
              <c:numCache>
                <c:formatCode>General</c:formatCode>
                <c:ptCount val="4"/>
                <c:pt idx="0">
                  <c:v>2</c:v>
                </c:pt>
                <c:pt idx="1">
                  <c:v>14</c:v>
                </c:pt>
                <c:pt idx="2">
                  <c:v>46</c:v>
                </c:pt>
                <c:pt idx="3">
                  <c:v>50</c:v>
                </c:pt>
              </c:numCache>
            </c:numRef>
          </c:val>
          <c:extLst>
            <c:ext xmlns:c16="http://schemas.microsoft.com/office/drawing/2014/chart" uri="{C3380CC4-5D6E-409C-BE32-E72D297353CC}">
              <c16:uniqueId val="{00000002-0064-4E9D-82F8-03FEC41424FA}"/>
            </c:ext>
          </c:extLst>
        </c:ser>
        <c:dLbls>
          <c:dLblPos val="outEnd"/>
          <c:showLegendKey val="0"/>
          <c:showVal val="1"/>
          <c:showCatName val="0"/>
          <c:showSerName val="0"/>
          <c:showPercent val="0"/>
          <c:showBubbleSize val="0"/>
        </c:dLbls>
        <c:gapWidth val="219"/>
        <c:overlap val="-27"/>
        <c:axId val="1781586720"/>
        <c:axId val="1781592960"/>
      </c:barChart>
      <c:catAx>
        <c:axId val="178158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92960"/>
        <c:crosses val="autoZero"/>
        <c:auto val="1"/>
        <c:lblAlgn val="ctr"/>
        <c:lblOffset val="100"/>
        <c:noMultiLvlLbl val="0"/>
      </c:catAx>
      <c:valAx>
        <c:axId val="1781592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8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Live_TVDB_1206.xlsx]6.2'!$M$38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Live_TVDB_1206.xlsx]6.2'!$L$39:$L$41</c:f>
              <c:strCache>
                <c:ptCount val="3"/>
                <c:pt idx="0">
                  <c:v>No Change</c:v>
                </c:pt>
                <c:pt idx="1">
                  <c:v>Somewhat reduce</c:v>
                </c:pt>
                <c:pt idx="2">
                  <c:v>Greatly reduce</c:v>
                </c:pt>
              </c:strCache>
            </c:strRef>
          </c:cat>
          <c:val>
            <c:numRef>
              <c:f>'[Approved Provider Survey Analysis Live_TVDB_1206.xlsx]6.2'!$M$39:$M$41</c:f>
              <c:numCache>
                <c:formatCode>General</c:formatCode>
                <c:ptCount val="3"/>
                <c:pt idx="0">
                  <c:v>77</c:v>
                </c:pt>
                <c:pt idx="1">
                  <c:v>3</c:v>
                </c:pt>
                <c:pt idx="2">
                  <c:v>1</c:v>
                </c:pt>
              </c:numCache>
            </c:numRef>
          </c:val>
          <c:extLst>
            <c:ext xmlns:c16="http://schemas.microsoft.com/office/drawing/2014/chart" uri="{C3380CC4-5D6E-409C-BE32-E72D297353CC}">
              <c16:uniqueId val="{00000000-4484-45C4-BC23-4DECDB2D2B7C}"/>
            </c:ext>
          </c:extLst>
        </c:ser>
        <c:ser>
          <c:idx val="1"/>
          <c:order val="1"/>
          <c:tx>
            <c:strRef>
              <c:f>'[Approved Provider Survey Analysis Live_TVDB_1206.xlsx]6.2'!$N$38</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Live_TVDB_1206.xlsx]6.2'!$L$39:$L$41</c:f>
              <c:strCache>
                <c:ptCount val="3"/>
                <c:pt idx="0">
                  <c:v>No Change</c:v>
                </c:pt>
                <c:pt idx="1">
                  <c:v>Somewhat reduce</c:v>
                </c:pt>
                <c:pt idx="2">
                  <c:v>Greatly reduce</c:v>
                </c:pt>
              </c:strCache>
            </c:strRef>
          </c:cat>
          <c:val>
            <c:numRef>
              <c:f>'[Approved Provider Survey Analysis Live_TVDB_1206.xlsx]6.2'!$N$39:$N$41</c:f>
              <c:numCache>
                <c:formatCode>General</c:formatCode>
                <c:ptCount val="3"/>
                <c:pt idx="0">
                  <c:v>14</c:v>
                </c:pt>
                <c:pt idx="1">
                  <c:v>32</c:v>
                </c:pt>
                <c:pt idx="2">
                  <c:v>36</c:v>
                </c:pt>
              </c:numCache>
            </c:numRef>
          </c:val>
          <c:extLst>
            <c:ext xmlns:c16="http://schemas.microsoft.com/office/drawing/2014/chart" uri="{C3380CC4-5D6E-409C-BE32-E72D297353CC}">
              <c16:uniqueId val="{00000001-4484-45C4-BC23-4DECDB2D2B7C}"/>
            </c:ext>
          </c:extLst>
        </c:ser>
        <c:dLbls>
          <c:dLblPos val="outEnd"/>
          <c:showLegendKey val="0"/>
          <c:showVal val="1"/>
          <c:showCatName val="0"/>
          <c:showSerName val="0"/>
          <c:showPercent val="0"/>
          <c:showBubbleSize val="0"/>
        </c:dLbls>
        <c:gapWidth val="219"/>
        <c:overlap val="-27"/>
        <c:axId val="1781620320"/>
        <c:axId val="1781568960"/>
      </c:barChart>
      <c:catAx>
        <c:axId val="178162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68960"/>
        <c:crosses val="autoZero"/>
        <c:auto val="1"/>
        <c:lblAlgn val="ctr"/>
        <c:lblOffset val="100"/>
        <c:noMultiLvlLbl val="0"/>
      </c:catAx>
      <c:valAx>
        <c:axId val="1781568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62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Live_TVDB_1206.xlsx]6.3'!$N$33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Live_TVDB_1206.xlsx]6.3'!$O$32:$S$32</c:f>
              <c:strCache>
                <c:ptCount val="5"/>
                <c:pt idx="0">
                  <c:v>Option 1</c:v>
                </c:pt>
                <c:pt idx="1">
                  <c:v>Option 2</c:v>
                </c:pt>
                <c:pt idx="2">
                  <c:v>Option 3</c:v>
                </c:pt>
                <c:pt idx="3">
                  <c:v>Option 4</c:v>
                </c:pt>
                <c:pt idx="4">
                  <c:v>Option 5</c:v>
                </c:pt>
              </c:strCache>
            </c:strRef>
          </c:cat>
          <c:val>
            <c:numRef>
              <c:f>'[Approved Provider Survey Analysis Live_TVDB_1206.xlsx]6.3'!$O$33:$S$33</c:f>
              <c:numCache>
                <c:formatCode>General</c:formatCode>
                <c:ptCount val="5"/>
                <c:pt idx="0">
                  <c:v>75</c:v>
                </c:pt>
                <c:pt idx="1">
                  <c:v>19</c:v>
                </c:pt>
                <c:pt idx="2">
                  <c:v>4</c:v>
                </c:pt>
                <c:pt idx="3">
                  <c:v>3</c:v>
                </c:pt>
                <c:pt idx="4">
                  <c:v>5</c:v>
                </c:pt>
              </c:numCache>
            </c:numRef>
          </c:val>
          <c:extLst>
            <c:ext xmlns:c16="http://schemas.microsoft.com/office/drawing/2014/chart" uri="{C3380CC4-5D6E-409C-BE32-E72D297353CC}">
              <c16:uniqueId val="{00000000-4BF3-4988-87AE-7A169A817B71}"/>
            </c:ext>
          </c:extLst>
        </c:ser>
        <c:ser>
          <c:idx val="1"/>
          <c:order val="1"/>
          <c:tx>
            <c:strRef>
              <c:f>'[Approved Provider Survey Analysis Live_TVDB_1206.xlsx]6.3'!$N$34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Live_TVDB_1206.xlsx]6.3'!$O$32:$S$32</c:f>
              <c:strCache>
                <c:ptCount val="5"/>
                <c:pt idx="0">
                  <c:v>Option 1</c:v>
                </c:pt>
                <c:pt idx="1">
                  <c:v>Option 2</c:v>
                </c:pt>
                <c:pt idx="2">
                  <c:v>Option 3</c:v>
                </c:pt>
                <c:pt idx="3">
                  <c:v>Option 4</c:v>
                </c:pt>
                <c:pt idx="4">
                  <c:v>Option 5</c:v>
                </c:pt>
              </c:strCache>
            </c:strRef>
          </c:cat>
          <c:val>
            <c:numRef>
              <c:f>'[Approved Provider Survey Analysis Live_TVDB_1206.xlsx]6.3'!$O$34:$S$34</c:f>
              <c:numCache>
                <c:formatCode>General</c:formatCode>
                <c:ptCount val="5"/>
                <c:pt idx="0">
                  <c:v>0</c:v>
                </c:pt>
                <c:pt idx="1">
                  <c:v>52</c:v>
                </c:pt>
                <c:pt idx="2">
                  <c:v>45</c:v>
                </c:pt>
                <c:pt idx="3">
                  <c:v>28</c:v>
                </c:pt>
                <c:pt idx="4">
                  <c:v>20</c:v>
                </c:pt>
              </c:numCache>
            </c:numRef>
          </c:val>
          <c:extLst>
            <c:ext xmlns:c16="http://schemas.microsoft.com/office/drawing/2014/chart" uri="{C3380CC4-5D6E-409C-BE32-E72D297353CC}">
              <c16:uniqueId val="{00000001-4BF3-4988-87AE-7A169A817B71}"/>
            </c:ext>
          </c:extLst>
        </c:ser>
        <c:ser>
          <c:idx val="2"/>
          <c:order val="2"/>
          <c:tx>
            <c:strRef>
              <c:f>'[Approved Provider Survey Analysis Live_TVDB_1206.xlsx]6.3'!$N$35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Live_TVDB_1206.xlsx]6.3'!$O$32:$S$32</c:f>
              <c:strCache>
                <c:ptCount val="5"/>
                <c:pt idx="0">
                  <c:v>Option 1</c:v>
                </c:pt>
                <c:pt idx="1">
                  <c:v>Option 2</c:v>
                </c:pt>
                <c:pt idx="2">
                  <c:v>Option 3</c:v>
                </c:pt>
                <c:pt idx="3">
                  <c:v>Option 4</c:v>
                </c:pt>
                <c:pt idx="4">
                  <c:v>Option 5</c:v>
                </c:pt>
              </c:strCache>
            </c:strRef>
          </c:cat>
          <c:val>
            <c:numRef>
              <c:f>'[Approved Provider Survey Analysis Live_TVDB_1206.xlsx]6.3'!$O$35:$S$35</c:f>
              <c:numCache>
                <c:formatCode>General</c:formatCode>
                <c:ptCount val="5"/>
                <c:pt idx="0">
                  <c:v>1</c:v>
                </c:pt>
                <c:pt idx="1">
                  <c:v>5</c:v>
                </c:pt>
                <c:pt idx="2">
                  <c:v>28</c:v>
                </c:pt>
                <c:pt idx="3">
                  <c:v>45</c:v>
                </c:pt>
                <c:pt idx="4">
                  <c:v>51</c:v>
                </c:pt>
              </c:numCache>
            </c:numRef>
          </c:val>
          <c:extLst>
            <c:ext xmlns:c16="http://schemas.microsoft.com/office/drawing/2014/chart" uri="{C3380CC4-5D6E-409C-BE32-E72D297353CC}">
              <c16:uniqueId val="{00000002-4BF3-4988-87AE-7A169A817B71}"/>
            </c:ext>
          </c:extLst>
        </c:ser>
        <c:dLbls>
          <c:dLblPos val="outEnd"/>
          <c:showLegendKey val="0"/>
          <c:showVal val="1"/>
          <c:showCatName val="0"/>
          <c:showSerName val="0"/>
          <c:showPercent val="0"/>
          <c:showBubbleSize val="0"/>
        </c:dLbls>
        <c:gapWidth val="219"/>
        <c:overlap val="-27"/>
        <c:axId val="1781570880"/>
        <c:axId val="1781562240"/>
      </c:barChart>
      <c:catAx>
        <c:axId val="178157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62240"/>
        <c:crosses val="autoZero"/>
        <c:auto val="1"/>
        <c:lblAlgn val="ctr"/>
        <c:lblOffset val="100"/>
        <c:noMultiLvlLbl val="0"/>
      </c:catAx>
      <c:valAx>
        <c:axId val="17815622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7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Live_TVDB_1206.xlsx]1.1'!$I$33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Live_TVDB_1206.xlsx]1.1'!$J$32:$L$32</c:f>
              <c:strCache>
                <c:ptCount val="3"/>
                <c:pt idx="0">
                  <c:v>Option 1</c:v>
                </c:pt>
                <c:pt idx="1">
                  <c:v>Option 2</c:v>
                </c:pt>
                <c:pt idx="2">
                  <c:v>Option 3</c:v>
                </c:pt>
              </c:strCache>
            </c:strRef>
          </c:cat>
          <c:val>
            <c:numRef>
              <c:f>'[Approved Provider Survey Analysis Live_TVDB_1206.xlsx]1.1'!$J$33:$L$33</c:f>
              <c:numCache>
                <c:formatCode>General</c:formatCode>
                <c:ptCount val="3"/>
                <c:pt idx="0">
                  <c:v>185</c:v>
                </c:pt>
                <c:pt idx="1">
                  <c:v>24</c:v>
                </c:pt>
                <c:pt idx="2">
                  <c:v>28</c:v>
                </c:pt>
              </c:numCache>
            </c:numRef>
          </c:val>
          <c:extLst>
            <c:ext xmlns:c16="http://schemas.microsoft.com/office/drawing/2014/chart" uri="{C3380CC4-5D6E-409C-BE32-E72D297353CC}">
              <c16:uniqueId val="{00000000-F90B-4CEA-83CF-FB38D69E7973}"/>
            </c:ext>
          </c:extLst>
        </c:ser>
        <c:ser>
          <c:idx val="1"/>
          <c:order val="1"/>
          <c:tx>
            <c:strRef>
              <c:f>'[Approved Provider Survey Analysis Live_TVDB_1206.xlsx]1.1'!$I$34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Live_TVDB_1206.xlsx]1.1'!$J$32:$L$32</c:f>
              <c:strCache>
                <c:ptCount val="3"/>
                <c:pt idx="0">
                  <c:v>Option 1</c:v>
                </c:pt>
                <c:pt idx="1">
                  <c:v>Option 2</c:v>
                </c:pt>
                <c:pt idx="2">
                  <c:v>Option 3</c:v>
                </c:pt>
              </c:strCache>
            </c:strRef>
          </c:cat>
          <c:val>
            <c:numRef>
              <c:f>'[Approved Provider Survey Analysis Live_TVDB_1206.xlsx]1.1'!$J$34:$L$34</c:f>
              <c:numCache>
                <c:formatCode>General</c:formatCode>
                <c:ptCount val="3"/>
                <c:pt idx="0">
                  <c:v>27</c:v>
                </c:pt>
                <c:pt idx="1">
                  <c:v>105</c:v>
                </c:pt>
                <c:pt idx="2">
                  <c:v>66</c:v>
                </c:pt>
              </c:numCache>
            </c:numRef>
          </c:val>
          <c:extLst>
            <c:ext xmlns:c16="http://schemas.microsoft.com/office/drawing/2014/chart" uri="{C3380CC4-5D6E-409C-BE32-E72D297353CC}">
              <c16:uniqueId val="{00000001-F90B-4CEA-83CF-FB38D69E7973}"/>
            </c:ext>
          </c:extLst>
        </c:ser>
        <c:ser>
          <c:idx val="2"/>
          <c:order val="2"/>
          <c:tx>
            <c:strRef>
              <c:f>'[Approved Provider Survey Analysis Live_TVDB_1206.xlsx]1.1'!$I$35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Live_TVDB_1206.xlsx]1.1'!$J$32:$L$32</c:f>
              <c:strCache>
                <c:ptCount val="3"/>
                <c:pt idx="0">
                  <c:v>Option 1</c:v>
                </c:pt>
                <c:pt idx="1">
                  <c:v>Option 2</c:v>
                </c:pt>
                <c:pt idx="2">
                  <c:v>Option 3</c:v>
                </c:pt>
              </c:strCache>
            </c:strRef>
          </c:cat>
          <c:val>
            <c:numRef>
              <c:f>'[Approved Provider Survey Analysis Live_TVDB_1206.xlsx]1.1'!$J$35:$L$35</c:f>
              <c:numCache>
                <c:formatCode>General</c:formatCode>
                <c:ptCount val="3"/>
                <c:pt idx="0">
                  <c:v>8</c:v>
                </c:pt>
                <c:pt idx="1">
                  <c:v>88</c:v>
                </c:pt>
                <c:pt idx="2">
                  <c:v>125</c:v>
                </c:pt>
              </c:numCache>
            </c:numRef>
          </c:val>
          <c:extLst>
            <c:ext xmlns:c16="http://schemas.microsoft.com/office/drawing/2014/chart" uri="{C3380CC4-5D6E-409C-BE32-E72D297353CC}">
              <c16:uniqueId val="{00000002-F90B-4CEA-83CF-FB38D69E7973}"/>
            </c:ext>
          </c:extLst>
        </c:ser>
        <c:dLbls>
          <c:dLblPos val="outEnd"/>
          <c:showLegendKey val="0"/>
          <c:showVal val="1"/>
          <c:showCatName val="0"/>
          <c:showSerName val="0"/>
          <c:showPercent val="0"/>
          <c:showBubbleSize val="0"/>
        </c:dLbls>
        <c:gapWidth val="219"/>
        <c:overlap val="-27"/>
        <c:axId val="15405776"/>
        <c:axId val="15406256"/>
      </c:barChart>
      <c:catAx>
        <c:axId val="1540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06256"/>
        <c:crosses val="autoZero"/>
        <c:auto val="1"/>
        <c:lblAlgn val="ctr"/>
        <c:lblOffset val="100"/>
        <c:noMultiLvlLbl val="0"/>
      </c:catAx>
      <c:valAx>
        <c:axId val="154062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0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Live_TVDB.xlsx]1.1'!$M$30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Live_TVDB.xlsx]1.1'!$N$29:$P$29</c:f>
              <c:strCache>
                <c:ptCount val="3"/>
                <c:pt idx="0">
                  <c:v>Option 1</c:v>
                </c:pt>
                <c:pt idx="1">
                  <c:v>Option 2</c:v>
                </c:pt>
                <c:pt idx="2">
                  <c:v>Option 3</c:v>
                </c:pt>
              </c:strCache>
            </c:strRef>
          </c:cat>
          <c:val>
            <c:numRef>
              <c:f>'[Workforce Survey Analysis Live_TVDB.xlsx]1.1'!$N$30:$P$30</c:f>
              <c:numCache>
                <c:formatCode>General</c:formatCode>
                <c:ptCount val="3"/>
                <c:pt idx="0">
                  <c:v>315</c:v>
                </c:pt>
                <c:pt idx="1">
                  <c:v>111</c:v>
                </c:pt>
                <c:pt idx="2">
                  <c:v>111</c:v>
                </c:pt>
              </c:numCache>
            </c:numRef>
          </c:val>
          <c:extLst>
            <c:ext xmlns:c16="http://schemas.microsoft.com/office/drawing/2014/chart" uri="{C3380CC4-5D6E-409C-BE32-E72D297353CC}">
              <c16:uniqueId val="{00000000-84D7-46C7-B105-A3925F73E547}"/>
            </c:ext>
          </c:extLst>
        </c:ser>
        <c:ser>
          <c:idx val="1"/>
          <c:order val="1"/>
          <c:tx>
            <c:strRef>
              <c:f>'[Workforce Survey Analysis Live_TVDB.xlsx]1.1'!$M$31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Live_TVDB.xlsx]1.1'!$N$29:$P$29</c:f>
              <c:strCache>
                <c:ptCount val="3"/>
                <c:pt idx="0">
                  <c:v>Option 1</c:v>
                </c:pt>
                <c:pt idx="1">
                  <c:v>Option 2</c:v>
                </c:pt>
                <c:pt idx="2">
                  <c:v>Option 3</c:v>
                </c:pt>
              </c:strCache>
            </c:strRef>
          </c:cat>
          <c:val>
            <c:numRef>
              <c:f>'[Workforce Survey Analysis Live_TVDB.xlsx]1.1'!$N$31:$P$31</c:f>
              <c:numCache>
                <c:formatCode>General</c:formatCode>
                <c:ptCount val="3"/>
                <c:pt idx="0">
                  <c:v>46</c:v>
                </c:pt>
                <c:pt idx="1">
                  <c:v>154</c:v>
                </c:pt>
                <c:pt idx="2">
                  <c:v>131</c:v>
                </c:pt>
              </c:numCache>
            </c:numRef>
          </c:val>
          <c:extLst>
            <c:ext xmlns:c16="http://schemas.microsoft.com/office/drawing/2014/chart" uri="{C3380CC4-5D6E-409C-BE32-E72D297353CC}">
              <c16:uniqueId val="{00000001-84D7-46C7-B105-A3925F73E547}"/>
            </c:ext>
          </c:extLst>
        </c:ser>
        <c:ser>
          <c:idx val="2"/>
          <c:order val="2"/>
          <c:tx>
            <c:strRef>
              <c:f>'[Workforce Survey Analysis Live_TVDB.xlsx]1.1'!$M$32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Live_TVDB.xlsx]1.1'!$N$29:$P$29</c:f>
              <c:strCache>
                <c:ptCount val="3"/>
                <c:pt idx="0">
                  <c:v>Option 1</c:v>
                </c:pt>
                <c:pt idx="1">
                  <c:v>Option 2</c:v>
                </c:pt>
                <c:pt idx="2">
                  <c:v>Option 3</c:v>
                </c:pt>
              </c:strCache>
            </c:strRef>
          </c:cat>
          <c:val>
            <c:numRef>
              <c:f>'[Workforce Survey Analysis Live_TVDB.xlsx]1.1'!$N$32:$P$32</c:f>
              <c:numCache>
                <c:formatCode>General</c:formatCode>
                <c:ptCount val="3"/>
                <c:pt idx="0">
                  <c:v>16</c:v>
                </c:pt>
                <c:pt idx="1">
                  <c:v>101</c:v>
                </c:pt>
                <c:pt idx="2">
                  <c:v>121</c:v>
                </c:pt>
              </c:numCache>
            </c:numRef>
          </c:val>
          <c:extLst>
            <c:ext xmlns:c16="http://schemas.microsoft.com/office/drawing/2014/chart" uri="{C3380CC4-5D6E-409C-BE32-E72D297353CC}">
              <c16:uniqueId val="{00000002-84D7-46C7-B105-A3925F73E547}"/>
            </c:ext>
          </c:extLst>
        </c:ser>
        <c:dLbls>
          <c:dLblPos val="outEnd"/>
          <c:showLegendKey val="0"/>
          <c:showVal val="1"/>
          <c:showCatName val="0"/>
          <c:showSerName val="0"/>
          <c:showPercent val="0"/>
          <c:showBubbleSize val="0"/>
        </c:dLbls>
        <c:gapWidth val="219"/>
        <c:overlap val="-27"/>
        <c:axId val="453500767"/>
        <c:axId val="453497887"/>
      </c:barChart>
      <c:catAx>
        <c:axId val="45350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3497887"/>
        <c:crosses val="autoZero"/>
        <c:auto val="1"/>
        <c:lblAlgn val="ctr"/>
        <c:lblOffset val="100"/>
        <c:noMultiLvlLbl val="0"/>
      </c:catAx>
      <c:valAx>
        <c:axId val="4534978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3500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Live_TVDB.xlsx]1.1'!$M$33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Live_TVDB.xlsx]1.1'!$N$32:$P$32</c:f>
              <c:strCache>
                <c:ptCount val="3"/>
                <c:pt idx="0">
                  <c:v>Option 1</c:v>
                </c:pt>
                <c:pt idx="1">
                  <c:v>Option 2</c:v>
                </c:pt>
                <c:pt idx="2">
                  <c:v>Option 3</c:v>
                </c:pt>
              </c:strCache>
            </c:strRef>
          </c:cat>
          <c:val>
            <c:numRef>
              <c:f>'[Families Survey Analysis Live_TVDB.xlsx]1.1'!$N$33:$P$33</c:f>
              <c:numCache>
                <c:formatCode>General</c:formatCode>
                <c:ptCount val="3"/>
                <c:pt idx="0">
                  <c:v>105</c:v>
                </c:pt>
                <c:pt idx="1">
                  <c:v>28</c:v>
                </c:pt>
                <c:pt idx="2">
                  <c:v>31</c:v>
                </c:pt>
              </c:numCache>
            </c:numRef>
          </c:val>
          <c:extLst>
            <c:ext xmlns:c16="http://schemas.microsoft.com/office/drawing/2014/chart" uri="{C3380CC4-5D6E-409C-BE32-E72D297353CC}">
              <c16:uniqueId val="{00000000-7A2C-44C8-867C-85044240A909}"/>
            </c:ext>
          </c:extLst>
        </c:ser>
        <c:ser>
          <c:idx val="1"/>
          <c:order val="1"/>
          <c:tx>
            <c:strRef>
              <c:f>'[Families Survey Analysis Live_TVDB.xlsx]1.1'!$M$34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Live_TVDB.xlsx]1.1'!$N$32:$P$32</c:f>
              <c:strCache>
                <c:ptCount val="3"/>
                <c:pt idx="0">
                  <c:v>Option 1</c:v>
                </c:pt>
                <c:pt idx="1">
                  <c:v>Option 2</c:v>
                </c:pt>
                <c:pt idx="2">
                  <c:v>Option 3</c:v>
                </c:pt>
              </c:strCache>
            </c:strRef>
          </c:cat>
          <c:val>
            <c:numRef>
              <c:f>'[Families Survey Analysis Live_TVDB.xlsx]1.1'!$N$34:$P$34</c:f>
              <c:numCache>
                <c:formatCode>General</c:formatCode>
                <c:ptCount val="3"/>
                <c:pt idx="0">
                  <c:v>10</c:v>
                </c:pt>
                <c:pt idx="1">
                  <c:v>64</c:v>
                </c:pt>
                <c:pt idx="2">
                  <c:v>27</c:v>
                </c:pt>
              </c:numCache>
            </c:numRef>
          </c:val>
          <c:extLst>
            <c:ext xmlns:c16="http://schemas.microsoft.com/office/drawing/2014/chart" uri="{C3380CC4-5D6E-409C-BE32-E72D297353CC}">
              <c16:uniqueId val="{00000001-7A2C-44C8-867C-85044240A909}"/>
            </c:ext>
          </c:extLst>
        </c:ser>
        <c:ser>
          <c:idx val="2"/>
          <c:order val="2"/>
          <c:tx>
            <c:strRef>
              <c:f>'[Families Survey Analysis Live_TVDB.xlsx]1.1'!$M$35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Live_TVDB.xlsx]1.1'!$N$32:$P$32</c:f>
              <c:strCache>
                <c:ptCount val="3"/>
                <c:pt idx="0">
                  <c:v>Option 1</c:v>
                </c:pt>
                <c:pt idx="1">
                  <c:v>Option 2</c:v>
                </c:pt>
                <c:pt idx="2">
                  <c:v>Option 3</c:v>
                </c:pt>
              </c:strCache>
            </c:strRef>
          </c:cat>
          <c:val>
            <c:numRef>
              <c:f>'[Families Survey Analysis Live_TVDB.xlsx]1.1'!$N$35:$P$35</c:f>
              <c:numCache>
                <c:formatCode>General</c:formatCode>
                <c:ptCount val="3"/>
                <c:pt idx="0">
                  <c:v>8</c:v>
                </c:pt>
                <c:pt idx="1">
                  <c:v>29</c:v>
                </c:pt>
                <c:pt idx="2">
                  <c:v>62</c:v>
                </c:pt>
              </c:numCache>
            </c:numRef>
          </c:val>
          <c:extLst>
            <c:ext xmlns:c16="http://schemas.microsoft.com/office/drawing/2014/chart" uri="{C3380CC4-5D6E-409C-BE32-E72D297353CC}">
              <c16:uniqueId val="{00000002-7A2C-44C8-867C-85044240A909}"/>
            </c:ext>
          </c:extLst>
        </c:ser>
        <c:dLbls>
          <c:dLblPos val="outEnd"/>
          <c:showLegendKey val="0"/>
          <c:showVal val="1"/>
          <c:showCatName val="0"/>
          <c:showSerName val="0"/>
          <c:showPercent val="0"/>
          <c:showBubbleSize val="0"/>
        </c:dLbls>
        <c:gapWidth val="219"/>
        <c:overlap val="-27"/>
        <c:axId val="711213408"/>
        <c:axId val="1396801280"/>
      </c:barChart>
      <c:catAx>
        <c:axId val="711213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Reduction in risk of harm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6801280"/>
        <c:crosses val="autoZero"/>
        <c:auto val="1"/>
        <c:lblAlgn val="ctr"/>
        <c:lblOffset val="100"/>
        <c:noMultiLvlLbl val="0"/>
      </c:catAx>
      <c:valAx>
        <c:axId val="13968012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121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Live_TVDB_1206.xlsx]1.1'!$I$18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Live_TVDB_1206.xlsx]1.1'!$J$18</c:f>
              <c:numCache>
                <c:formatCode>0%</c:formatCode>
                <c:ptCount val="1"/>
                <c:pt idx="0">
                  <c:v>0.14423076923076922</c:v>
                </c:pt>
              </c:numCache>
            </c:numRef>
          </c:val>
          <c:extLst>
            <c:ext xmlns:c16="http://schemas.microsoft.com/office/drawing/2014/chart" uri="{C3380CC4-5D6E-409C-BE32-E72D297353CC}">
              <c16:uniqueId val="{00000000-84DE-44AA-9DBA-6B325E24C1DF}"/>
            </c:ext>
          </c:extLst>
        </c:ser>
        <c:ser>
          <c:idx val="1"/>
          <c:order val="1"/>
          <c:tx>
            <c:strRef>
              <c:f>'[Approved Provider Survey Analysis Live_TVDB_1206.xlsx]1.1'!$I$19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Live_TVDB_1206.xlsx]1.1'!$J$19</c:f>
              <c:numCache>
                <c:formatCode>0%</c:formatCode>
                <c:ptCount val="1"/>
                <c:pt idx="0">
                  <c:v>0.45673076923076922</c:v>
                </c:pt>
              </c:numCache>
            </c:numRef>
          </c:val>
          <c:extLst>
            <c:ext xmlns:c16="http://schemas.microsoft.com/office/drawing/2014/chart" uri="{C3380CC4-5D6E-409C-BE32-E72D297353CC}">
              <c16:uniqueId val="{00000001-84DE-44AA-9DBA-6B325E24C1DF}"/>
            </c:ext>
          </c:extLst>
        </c:ser>
        <c:ser>
          <c:idx val="2"/>
          <c:order val="2"/>
          <c:tx>
            <c:strRef>
              <c:f>'[Approved Provider Survey Analysis Live_TVDB_1206.xlsx]1.1'!$I$20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Live_TVDB_1206.xlsx]1.1'!$J$20</c:f>
              <c:numCache>
                <c:formatCode>0%</c:formatCode>
                <c:ptCount val="1"/>
                <c:pt idx="0">
                  <c:v>0.22596153846153846</c:v>
                </c:pt>
              </c:numCache>
            </c:numRef>
          </c:val>
          <c:extLst>
            <c:ext xmlns:c16="http://schemas.microsoft.com/office/drawing/2014/chart" uri="{C3380CC4-5D6E-409C-BE32-E72D297353CC}">
              <c16:uniqueId val="{00000002-84DE-44AA-9DBA-6B325E24C1DF}"/>
            </c:ext>
          </c:extLst>
        </c:ser>
        <c:ser>
          <c:idx val="3"/>
          <c:order val="3"/>
          <c:tx>
            <c:strRef>
              <c:f>'[Approved Provider Survey Analysis Live_TVDB_1206.xlsx]1.1'!$I$21</c:f>
              <c:strCache>
                <c:ptCount val="1"/>
                <c:pt idx="0">
                  <c:v>Options 2 and 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Live_TVDB_1206.xlsx]1.1'!$J$21</c:f>
              <c:numCache>
                <c:formatCode>0%</c:formatCode>
                <c:ptCount val="1"/>
                <c:pt idx="0">
                  <c:v>0.17307692307692307</c:v>
                </c:pt>
              </c:numCache>
            </c:numRef>
          </c:val>
          <c:extLst>
            <c:ext xmlns:c16="http://schemas.microsoft.com/office/drawing/2014/chart" uri="{C3380CC4-5D6E-409C-BE32-E72D297353CC}">
              <c16:uniqueId val="{00000003-84DE-44AA-9DBA-6B325E24C1DF}"/>
            </c:ext>
          </c:extLst>
        </c:ser>
        <c:dLbls>
          <c:dLblPos val="ctr"/>
          <c:showLegendKey val="0"/>
          <c:showVal val="1"/>
          <c:showCatName val="0"/>
          <c:showSerName val="0"/>
          <c:showPercent val="0"/>
          <c:showBubbleSize val="0"/>
        </c:dLbls>
        <c:gapWidth val="150"/>
        <c:overlap val="100"/>
        <c:axId val="1063053552"/>
        <c:axId val="1063052592"/>
      </c:barChart>
      <c:catAx>
        <c:axId val="1063053552"/>
        <c:scaling>
          <c:orientation val="minMax"/>
        </c:scaling>
        <c:delete val="1"/>
        <c:axPos val="l"/>
        <c:numFmt formatCode="General" sourceLinked="1"/>
        <c:majorTickMark val="none"/>
        <c:minorTickMark val="none"/>
        <c:tickLblPos val="nextTo"/>
        <c:crossAx val="1063052592"/>
        <c:crosses val="autoZero"/>
        <c:auto val="1"/>
        <c:lblAlgn val="ctr"/>
        <c:lblOffset val="100"/>
        <c:noMultiLvlLbl val="0"/>
      </c:catAx>
      <c:valAx>
        <c:axId val="106305259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6305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Live_TVDB.xlsx]1.1'!$M$18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Live_TVDB.xlsx]1.1'!$N$18</c:f>
              <c:numCache>
                <c:formatCode>0%</c:formatCode>
                <c:ptCount val="1"/>
                <c:pt idx="0">
                  <c:v>0.51311953352769679</c:v>
                </c:pt>
              </c:numCache>
            </c:numRef>
          </c:val>
          <c:extLst>
            <c:ext xmlns:c16="http://schemas.microsoft.com/office/drawing/2014/chart" uri="{C3380CC4-5D6E-409C-BE32-E72D297353CC}">
              <c16:uniqueId val="{00000000-0AFC-4C4D-A4AA-3569E4126D52}"/>
            </c:ext>
          </c:extLst>
        </c:ser>
        <c:ser>
          <c:idx val="1"/>
          <c:order val="1"/>
          <c:tx>
            <c:strRef>
              <c:f>'[Workforce Survey Analysis Live_TVDB.xlsx]1.1'!$M$19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Live_TVDB.xlsx]1.1'!$N$19</c:f>
              <c:numCache>
                <c:formatCode>0%</c:formatCode>
                <c:ptCount val="1"/>
                <c:pt idx="0">
                  <c:v>0.26822157434402333</c:v>
                </c:pt>
              </c:numCache>
            </c:numRef>
          </c:val>
          <c:extLst>
            <c:ext xmlns:c16="http://schemas.microsoft.com/office/drawing/2014/chart" uri="{C3380CC4-5D6E-409C-BE32-E72D297353CC}">
              <c16:uniqueId val="{00000001-0AFC-4C4D-A4AA-3569E4126D52}"/>
            </c:ext>
          </c:extLst>
        </c:ser>
        <c:ser>
          <c:idx val="2"/>
          <c:order val="2"/>
          <c:tx>
            <c:strRef>
              <c:f>'[Workforce Survey Analysis Live_TVDB.xlsx]1.1'!$M$20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Live_TVDB.xlsx]1.1'!$N$20</c:f>
              <c:numCache>
                <c:formatCode>0%</c:formatCode>
                <c:ptCount val="1"/>
                <c:pt idx="0">
                  <c:v>0.12536443148688048</c:v>
                </c:pt>
              </c:numCache>
            </c:numRef>
          </c:val>
          <c:extLst>
            <c:ext xmlns:c16="http://schemas.microsoft.com/office/drawing/2014/chart" uri="{C3380CC4-5D6E-409C-BE32-E72D297353CC}">
              <c16:uniqueId val="{00000002-0AFC-4C4D-A4AA-3569E4126D52}"/>
            </c:ext>
          </c:extLst>
        </c:ser>
        <c:ser>
          <c:idx val="3"/>
          <c:order val="3"/>
          <c:tx>
            <c:strRef>
              <c:f>'[Workforce Survey Analysis Live_TVDB.xlsx]1.1'!$M$21</c:f>
              <c:strCache>
                <c:ptCount val="1"/>
                <c:pt idx="0">
                  <c:v>Options 2 and 3</c:v>
                </c:pt>
              </c:strCache>
            </c:strRef>
          </c:tx>
          <c:spPr>
            <a:pattFill prst="wdDnDiag">
              <a:fgClr>
                <a:schemeClr val="accent4"/>
              </a:fgClr>
              <a:bgClr>
                <a:schemeClr val="bg1"/>
              </a:bgClr>
            </a:pattFill>
            <a:ln>
              <a:noFill/>
            </a:ln>
            <a:effectLst/>
          </c:spPr>
          <c:invertIfNegative val="0"/>
          <c:dLbls>
            <c:dLbl>
              <c:idx val="0"/>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4-0AFC-4C4D-A4AA-3569E4126D52}"/>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Live_TVDB.xlsx]1.1'!$N$21</c:f>
              <c:numCache>
                <c:formatCode>0%</c:formatCode>
                <c:ptCount val="1"/>
                <c:pt idx="0">
                  <c:v>9.3294460641399415E-2</c:v>
                </c:pt>
              </c:numCache>
            </c:numRef>
          </c:val>
          <c:extLst>
            <c:ext xmlns:c16="http://schemas.microsoft.com/office/drawing/2014/chart" uri="{C3380CC4-5D6E-409C-BE32-E72D297353CC}">
              <c16:uniqueId val="{00000003-0AFC-4C4D-A4AA-3569E4126D52}"/>
            </c:ext>
          </c:extLst>
        </c:ser>
        <c:dLbls>
          <c:dLblPos val="ctr"/>
          <c:showLegendKey val="0"/>
          <c:showVal val="1"/>
          <c:showCatName val="0"/>
          <c:showSerName val="0"/>
          <c:showPercent val="0"/>
          <c:showBubbleSize val="0"/>
        </c:dLbls>
        <c:gapWidth val="150"/>
        <c:overlap val="100"/>
        <c:axId val="1581721471"/>
        <c:axId val="404862367"/>
      </c:barChart>
      <c:catAx>
        <c:axId val="1581721471"/>
        <c:scaling>
          <c:orientation val="minMax"/>
        </c:scaling>
        <c:delete val="1"/>
        <c:axPos val="l"/>
        <c:numFmt formatCode="General" sourceLinked="1"/>
        <c:majorTickMark val="none"/>
        <c:minorTickMark val="none"/>
        <c:tickLblPos val="nextTo"/>
        <c:crossAx val="404862367"/>
        <c:crosses val="autoZero"/>
        <c:auto val="1"/>
        <c:lblAlgn val="ctr"/>
        <c:lblOffset val="100"/>
        <c:noMultiLvlLbl val="0"/>
      </c:catAx>
      <c:valAx>
        <c:axId val="40486236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8172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Live_TVDB.xlsx]1.1'!$M$30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Live_TVDB.xlsx]1.1'!$N$29:$P$29</c:f>
              <c:strCache>
                <c:ptCount val="3"/>
                <c:pt idx="0">
                  <c:v>Option 1</c:v>
                </c:pt>
                <c:pt idx="1">
                  <c:v>Option 2</c:v>
                </c:pt>
                <c:pt idx="2">
                  <c:v>Option 3</c:v>
                </c:pt>
              </c:strCache>
            </c:strRef>
          </c:cat>
          <c:val>
            <c:numRef>
              <c:f>'[Workforce Survey Analysis Live_TVDB.xlsx]1.1'!$N$30:$P$30</c:f>
              <c:numCache>
                <c:formatCode>General</c:formatCode>
                <c:ptCount val="3"/>
                <c:pt idx="0">
                  <c:v>315</c:v>
                </c:pt>
                <c:pt idx="1">
                  <c:v>111</c:v>
                </c:pt>
                <c:pt idx="2">
                  <c:v>111</c:v>
                </c:pt>
              </c:numCache>
            </c:numRef>
          </c:val>
          <c:extLst>
            <c:ext xmlns:c16="http://schemas.microsoft.com/office/drawing/2014/chart" uri="{C3380CC4-5D6E-409C-BE32-E72D297353CC}">
              <c16:uniqueId val="{00000000-4D9F-4BCC-9511-041DCD34E6F4}"/>
            </c:ext>
          </c:extLst>
        </c:ser>
        <c:ser>
          <c:idx val="1"/>
          <c:order val="1"/>
          <c:tx>
            <c:strRef>
              <c:f>'[Workforce Survey Analysis Live_TVDB.xlsx]1.1'!$M$31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Live_TVDB.xlsx]1.1'!$N$29:$P$29</c:f>
              <c:strCache>
                <c:ptCount val="3"/>
                <c:pt idx="0">
                  <c:v>Option 1</c:v>
                </c:pt>
                <c:pt idx="1">
                  <c:v>Option 2</c:v>
                </c:pt>
                <c:pt idx="2">
                  <c:v>Option 3</c:v>
                </c:pt>
              </c:strCache>
            </c:strRef>
          </c:cat>
          <c:val>
            <c:numRef>
              <c:f>'[Workforce Survey Analysis Live_TVDB.xlsx]1.1'!$N$31:$P$31</c:f>
              <c:numCache>
                <c:formatCode>General</c:formatCode>
                <c:ptCount val="3"/>
                <c:pt idx="0">
                  <c:v>46</c:v>
                </c:pt>
                <c:pt idx="1">
                  <c:v>154</c:v>
                </c:pt>
                <c:pt idx="2">
                  <c:v>131</c:v>
                </c:pt>
              </c:numCache>
            </c:numRef>
          </c:val>
          <c:extLst>
            <c:ext xmlns:c16="http://schemas.microsoft.com/office/drawing/2014/chart" uri="{C3380CC4-5D6E-409C-BE32-E72D297353CC}">
              <c16:uniqueId val="{00000001-4D9F-4BCC-9511-041DCD34E6F4}"/>
            </c:ext>
          </c:extLst>
        </c:ser>
        <c:ser>
          <c:idx val="2"/>
          <c:order val="2"/>
          <c:tx>
            <c:strRef>
              <c:f>'[Workforce Survey Analysis Live_TVDB.xlsx]1.1'!$M$32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Live_TVDB.xlsx]1.1'!$N$29:$P$29</c:f>
              <c:strCache>
                <c:ptCount val="3"/>
                <c:pt idx="0">
                  <c:v>Option 1</c:v>
                </c:pt>
                <c:pt idx="1">
                  <c:v>Option 2</c:v>
                </c:pt>
                <c:pt idx="2">
                  <c:v>Option 3</c:v>
                </c:pt>
              </c:strCache>
            </c:strRef>
          </c:cat>
          <c:val>
            <c:numRef>
              <c:f>'[Workforce Survey Analysis Live_TVDB.xlsx]1.1'!$N$32:$P$32</c:f>
              <c:numCache>
                <c:formatCode>General</c:formatCode>
                <c:ptCount val="3"/>
                <c:pt idx="0">
                  <c:v>16</c:v>
                </c:pt>
                <c:pt idx="1">
                  <c:v>101</c:v>
                </c:pt>
                <c:pt idx="2">
                  <c:v>121</c:v>
                </c:pt>
              </c:numCache>
            </c:numRef>
          </c:val>
          <c:extLst>
            <c:ext xmlns:c16="http://schemas.microsoft.com/office/drawing/2014/chart" uri="{C3380CC4-5D6E-409C-BE32-E72D297353CC}">
              <c16:uniqueId val="{00000002-4D9F-4BCC-9511-041DCD34E6F4}"/>
            </c:ext>
          </c:extLst>
        </c:ser>
        <c:dLbls>
          <c:dLblPos val="outEnd"/>
          <c:showLegendKey val="0"/>
          <c:showVal val="1"/>
          <c:showCatName val="0"/>
          <c:showSerName val="0"/>
          <c:showPercent val="0"/>
          <c:showBubbleSize val="0"/>
        </c:dLbls>
        <c:gapWidth val="219"/>
        <c:overlap val="-27"/>
        <c:axId val="453500767"/>
        <c:axId val="453497887"/>
      </c:barChart>
      <c:catAx>
        <c:axId val="45350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3497887"/>
        <c:crosses val="autoZero"/>
        <c:auto val="1"/>
        <c:lblAlgn val="ctr"/>
        <c:lblOffset val="100"/>
        <c:noMultiLvlLbl val="0"/>
      </c:catAx>
      <c:valAx>
        <c:axId val="4534978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3500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Live_TVDB.xlsx]1.1'!$M$19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Live_TVDB.xlsx]1.1'!$N$19</c:f>
              <c:numCache>
                <c:formatCode>0%</c:formatCode>
                <c:ptCount val="1"/>
                <c:pt idx="0">
                  <c:v>0.28440366972477066</c:v>
                </c:pt>
              </c:numCache>
            </c:numRef>
          </c:val>
          <c:extLst>
            <c:ext xmlns:c16="http://schemas.microsoft.com/office/drawing/2014/chart" uri="{C3380CC4-5D6E-409C-BE32-E72D297353CC}">
              <c16:uniqueId val="{00000000-8F9C-470F-B91F-CDCEA79B94DA}"/>
            </c:ext>
          </c:extLst>
        </c:ser>
        <c:ser>
          <c:idx val="1"/>
          <c:order val="1"/>
          <c:tx>
            <c:strRef>
              <c:f>'[Families Survey Analysis Live_TVDB.xlsx]1.1'!$M$20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Live_TVDB.xlsx]1.1'!$N$20</c:f>
              <c:numCache>
                <c:formatCode>0%</c:formatCode>
                <c:ptCount val="1"/>
                <c:pt idx="0">
                  <c:v>0.30275229357798167</c:v>
                </c:pt>
              </c:numCache>
            </c:numRef>
          </c:val>
          <c:extLst>
            <c:ext xmlns:c16="http://schemas.microsoft.com/office/drawing/2014/chart" uri="{C3380CC4-5D6E-409C-BE32-E72D297353CC}">
              <c16:uniqueId val="{00000001-8F9C-470F-B91F-CDCEA79B94DA}"/>
            </c:ext>
          </c:extLst>
        </c:ser>
        <c:ser>
          <c:idx val="2"/>
          <c:order val="2"/>
          <c:tx>
            <c:strRef>
              <c:f>'[Families Survey Analysis Live_TVDB.xlsx]1.1'!$M$21</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Live_TVDB.xlsx]1.1'!$N$21</c:f>
              <c:numCache>
                <c:formatCode>0%</c:formatCode>
                <c:ptCount val="1"/>
                <c:pt idx="0">
                  <c:v>0.24770642201834864</c:v>
                </c:pt>
              </c:numCache>
            </c:numRef>
          </c:val>
          <c:extLst>
            <c:ext xmlns:c16="http://schemas.microsoft.com/office/drawing/2014/chart" uri="{C3380CC4-5D6E-409C-BE32-E72D297353CC}">
              <c16:uniqueId val="{00000002-8F9C-470F-B91F-CDCEA79B94DA}"/>
            </c:ext>
          </c:extLst>
        </c:ser>
        <c:ser>
          <c:idx val="3"/>
          <c:order val="3"/>
          <c:tx>
            <c:strRef>
              <c:f>'[Families Survey Analysis Live_TVDB.xlsx]1.1'!$M$22</c:f>
              <c:strCache>
                <c:ptCount val="1"/>
                <c:pt idx="0">
                  <c:v>Options 2 and 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Live_TVDB.xlsx]1.1'!$N$22</c:f>
              <c:numCache>
                <c:formatCode>0%</c:formatCode>
                <c:ptCount val="1"/>
                <c:pt idx="0">
                  <c:v>0.16513761467889909</c:v>
                </c:pt>
              </c:numCache>
            </c:numRef>
          </c:val>
          <c:extLst>
            <c:ext xmlns:c16="http://schemas.microsoft.com/office/drawing/2014/chart" uri="{C3380CC4-5D6E-409C-BE32-E72D297353CC}">
              <c16:uniqueId val="{00000003-8F9C-470F-B91F-CDCEA79B94DA}"/>
            </c:ext>
          </c:extLst>
        </c:ser>
        <c:dLbls>
          <c:dLblPos val="ctr"/>
          <c:showLegendKey val="0"/>
          <c:showVal val="1"/>
          <c:showCatName val="0"/>
          <c:showSerName val="0"/>
          <c:showPercent val="0"/>
          <c:showBubbleSize val="0"/>
        </c:dLbls>
        <c:gapWidth val="150"/>
        <c:overlap val="100"/>
        <c:axId val="974908880"/>
        <c:axId val="974914160"/>
      </c:barChart>
      <c:catAx>
        <c:axId val="974908880"/>
        <c:scaling>
          <c:orientation val="minMax"/>
        </c:scaling>
        <c:delete val="1"/>
        <c:axPos val="l"/>
        <c:numFmt formatCode="General" sourceLinked="1"/>
        <c:majorTickMark val="none"/>
        <c:minorTickMark val="none"/>
        <c:tickLblPos val="nextTo"/>
        <c:crossAx val="974914160"/>
        <c:crosses val="autoZero"/>
        <c:auto val="1"/>
        <c:lblAlgn val="ctr"/>
        <c:lblOffset val="100"/>
        <c:noMultiLvlLbl val="0"/>
      </c:catAx>
      <c:valAx>
        <c:axId val="97491416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490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Live_TVDB_1206.xlsx]2.1'!$P$42</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Live_TVDB_1206.xlsx]2.1'!$Q$41:$V$41</c:f>
              <c:strCache>
                <c:ptCount val="6"/>
                <c:pt idx="0">
                  <c:v>Option 1</c:v>
                </c:pt>
                <c:pt idx="1">
                  <c:v>Option 2</c:v>
                </c:pt>
                <c:pt idx="2">
                  <c:v>Option 3</c:v>
                </c:pt>
                <c:pt idx="3">
                  <c:v>Option 4</c:v>
                </c:pt>
                <c:pt idx="4">
                  <c:v>Option 5</c:v>
                </c:pt>
                <c:pt idx="5">
                  <c:v>Option 6</c:v>
                </c:pt>
              </c:strCache>
            </c:strRef>
          </c:cat>
          <c:val>
            <c:numRef>
              <c:f>'[Approved Provider Survey Analysis Live_TVDB_1206.xlsx]2.1'!$Q$42:$V$42</c:f>
              <c:numCache>
                <c:formatCode>General</c:formatCode>
                <c:ptCount val="6"/>
                <c:pt idx="0">
                  <c:v>168</c:v>
                </c:pt>
                <c:pt idx="1">
                  <c:v>52</c:v>
                </c:pt>
                <c:pt idx="2">
                  <c:v>22</c:v>
                </c:pt>
                <c:pt idx="3">
                  <c:v>9</c:v>
                </c:pt>
                <c:pt idx="4">
                  <c:v>16</c:v>
                </c:pt>
                <c:pt idx="5">
                  <c:v>8</c:v>
                </c:pt>
              </c:numCache>
            </c:numRef>
          </c:val>
          <c:extLst>
            <c:ext xmlns:c16="http://schemas.microsoft.com/office/drawing/2014/chart" uri="{C3380CC4-5D6E-409C-BE32-E72D297353CC}">
              <c16:uniqueId val="{00000000-1EB1-44DA-8986-0070B3CFF697}"/>
            </c:ext>
          </c:extLst>
        </c:ser>
        <c:ser>
          <c:idx val="1"/>
          <c:order val="1"/>
          <c:tx>
            <c:strRef>
              <c:f>'[Approved Provider Survey Analysis Live_TVDB_1206.xlsx]2.1'!$P$43</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Live_TVDB_1206.xlsx]2.1'!$Q$41:$V$41</c:f>
              <c:strCache>
                <c:ptCount val="6"/>
                <c:pt idx="0">
                  <c:v>Option 1</c:v>
                </c:pt>
                <c:pt idx="1">
                  <c:v>Option 2</c:v>
                </c:pt>
                <c:pt idx="2">
                  <c:v>Option 3</c:v>
                </c:pt>
                <c:pt idx="3">
                  <c:v>Option 4</c:v>
                </c:pt>
                <c:pt idx="4">
                  <c:v>Option 5</c:v>
                </c:pt>
                <c:pt idx="5">
                  <c:v>Option 6</c:v>
                </c:pt>
              </c:strCache>
            </c:strRef>
          </c:cat>
          <c:val>
            <c:numRef>
              <c:f>'[Approved Provider Survey Analysis Live_TVDB_1206.xlsx]2.1'!$Q$43:$V$43</c:f>
              <c:numCache>
                <c:formatCode>General</c:formatCode>
                <c:ptCount val="6"/>
                <c:pt idx="0">
                  <c:v>16</c:v>
                </c:pt>
                <c:pt idx="1">
                  <c:v>113</c:v>
                </c:pt>
                <c:pt idx="2">
                  <c:v>126</c:v>
                </c:pt>
                <c:pt idx="3">
                  <c:v>85</c:v>
                </c:pt>
                <c:pt idx="4">
                  <c:v>93</c:v>
                </c:pt>
                <c:pt idx="5">
                  <c:v>57</c:v>
                </c:pt>
              </c:numCache>
            </c:numRef>
          </c:val>
          <c:extLst>
            <c:ext xmlns:c16="http://schemas.microsoft.com/office/drawing/2014/chart" uri="{C3380CC4-5D6E-409C-BE32-E72D297353CC}">
              <c16:uniqueId val="{00000001-1EB1-44DA-8986-0070B3CFF697}"/>
            </c:ext>
          </c:extLst>
        </c:ser>
        <c:ser>
          <c:idx val="2"/>
          <c:order val="2"/>
          <c:tx>
            <c:strRef>
              <c:f>'[Approved Provider Survey Analysis Live_TVDB_1206.xlsx]2.1'!$P$44</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Live_TVDB_1206.xlsx]2.1'!$Q$41:$V$41</c:f>
              <c:strCache>
                <c:ptCount val="6"/>
                <c:pt idx="0">
                  <c:v>Option 1</c:v>
                </c:pt>
                <c:pt idx="1">
                  <c:v>Option 2</c:v>
                </c:pt>
                <c:pt idx="2">
                  <c:v>Option 3</c:v>
                </c:pt>
                <c:pt idx="3">
                  <c:v>Option 4</c:v>
                </c:pt>
                <c:pt idx="4">
                  <c:v>Option 5</c:v>
                </c:pt>
                <c:pt idx="5">
                  <c:v>Option 6</c:v>
                </c:pt>
              </c:strCache>
            </c:strRef>
          </c:cat>
          <c:val>
            <c:numRef>
              <c:f>'[Approved Provider Survey Analysis Live_TVDB_1206.xlsx]2.1'!$Q$44:$V$44</c:f>
              <c:numCache>
                <c:formatCode>General</c:formatCode>
                <c:ptCount val="6"/>
                <c:pt idx="0">
                  <c:v>6</c:v>
                </c:pt>
                <c:pt idx="1">
                  <c:v>25</c:v>
                </c:pt>
                <c:pt idx="2">
                  <c:v>43</c:v>
                </c:pt>
                <c:pt idx="3">
                  <c:v>97</c:v>
                </c:pt>
                <c:pt idx="4">
                  <c:v>82</c:v>
                </c:pt>
                <c:pt idx="5">
                  <c:v>125</c:v>
                </c:pt>
              </c:numCache>
            </c:numRef>
          </c:val>
          <c:extLst>
            <c:ext xmlns:c16="http://schemas.microsoft.com/office/drawing/2014/chart" uri="{C3380CC4-5D6E-409C-BE32-E72D297353CC}">
              <c16:uniqueId val="{00000002-1EB1-44DA-8986-0070B3CFF697}"/>
            </c:ext>
          </c:extLst>
        </c:ser>
        <c:dLbls>
          <c:dLblPos val="outEnd"/>
          <c:showLegendKey val="0"/>
          <c:showVal val="1"/>
          <c:showCatName val="0"/>
          <c:showSerName val="0"/>
          <c:showPercent val="0"/>
          <c:showBubbleSize val="0"/>
        </c:dLbls>
        <c:gapWidth val="219"/>
        <c:overlap val="-27"/>
        <c:axId val="1684648256"/>
        <c:axId val="1684646336"/>
      </c:barChart>
      <c:catAx>
        <c:axId val="168464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46336"/>
        <c:crosses val="autoZero"/>
        <c:auto val="1"/>
        <c:lblAlgn val="ctr"/>
        <c:lblOffset val="100"/>
        <c:noMultiLvlLbl val="0"/>
      </c:catAx>
      <c:valAx>
        <c:axId val="1684646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4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Live_TVDB.xlsx]2.1'!$O$42</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Live_TVDB.xlsx]2.1'!$P$41:$U$41</c:f>
              <c:strCache>
                <c:ptCount val="6"/>
                <c:pt idx="0">
                  <c:v>Option 1</c:v>
                </c:pt>
                <c:pt idx="1">
                  <c:v>Option 2</c:v>
                </c:pt>
                <c:pt idx="2">
                  <c:v>Option 3</c:v>
                </c:pt>
                <c:pt idx="3">
                  <c:v>Option 4</c:v>
                </c:pt>
                <c:pt idx="4">
                  <c:v>Option 5</c:v>
                </c:pt>
                <c:pt idx="5">
                  <c:v>Option 6</c:v>
                </c:pt>
              </c:strCache>
            </c:strRef>
          </c:cat>
          <c:val>
            <c:numRef>
              <c:f>'[Workforce Survey Analysis Live_TVDB.xlsx]2.1'!$P$42:$U$42</c:f>
              <c:numCache>
                <c:formatCode>General</c:formatCode>
                <c:ptCount val="6"/>
                <c:pt idx="0">
                  <c:v>183</c:v>
                </c:pt>
                <c:pt idx="1">
                  <c:v>54</c:v>
                </c:pt>
                <c:pt idx="2">
                  <c:v>37</c:v>
                </c:pt>
                <c:pt idx="3">
                  <c:v>21</c:v>
                </c:pt>
                <c:pt idx="4">
                  <c:v>22</c:v>
                </c:pt>
                <c:pt idx="5">
                  <c:v>16</c:v>
                </c:pt>
              </c:numCache>
            </c:numRef>
          </c:val>
          <c:extLst>
            <c:ext xmlns:c16="http://schemas.microsoft.com/office/drawing/2014/chart" uri="{C3380CC4-5D6E-409C-BE32-E72D297353CC}">
              <c16:uniqueId val="{00000000-CCD6-48A8-8DEA-F037A97DA659}"/>
            </c:ext>
          </c:extLst>
        </c:ser>
        <c:ser>
          <c:idx val="1"/>
          <c:order val="1"/>
          <c:tx>
            <c:strRef>
              <c:f>'[Workforce Survey Analysis Live_TVDB.xlsx]2.1'!$O$43</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Live_TVDB.xlsx]2.1'!$P$41:$U$41</c:f>
              <c:strCache>
                <c:ptCount val="6"/>
                <c:pt idx="0">
                  <c:v>Option 1</c:v>
                </c:pt>
                <c:pt idx="1">
                  <c:v>Option 2</c:v>
                </c:pt>
                <c:pt idx="2">
                  <c:v>Option 3</c:v>
                </c:pt>
                <c:pt idx="3">
                  <c:v>Option 4</c:v>
                </c:pt>
                <c:pt idx="4">
                  <c:v>Option 5</c:v>
                </c:pt>
                <c:pt idx="5">
                  <c:v>Option 6</c:v>
                </c:pt>
              </c:strCache>
            </c:strRef>
          </c:cat>
          <c:val>
            <c:numRef>
              <c:f>'[Workforce Survey Analysis Live_TVDB.xlsx]2.1'!$P$43:$U$43</c:f>
              <c:numCache>
                <c:formatCode>General</c:formatCode>
                <c:ptCount val="6"/>
                <c:pt idx="0">
                  <c:v>9</c:v>
                </c:pt>
                <c:pt idx="1">
                  <c:v>115</c:v>
                </c:pt>
                <c:pt idx="2">
                  <c:v>119</c:v>
                </c:pt>
                <c:pt idx="3">
                  <c:v>79</c:v>
                </c:pt>
                <c:pt idx="4">
                  <c:v>83</c:v>
                </c:pt>
                <c:pt idx="5">
                  <c:v>53</c:v>
                </c:pt>
              </c:numCache>
            </c:numRef>
          </c:val>
          <c:extLst>
            <c:ext xmlns:c16="http://schemas.microsoft.com/office/drawing/2014/chart" uri="{C3380CC4-5D6E-409C-BE32-E72D297353CC}">
              <c16:uniqueId val="{00000001-CCD6-48A8-8DEA-F037A97DA659}"/>
            </c:ext>
          </c:extLst>
        </c:ser>
        <c:ser>
          <c:idx val="2"/>
          <c:order val="2"/>
          <c:tx>
            <c:strRef>
              <c:f>'[Workforce Survey Analysis Live_TVDB.xlsx]2.1'!$O$44</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Live_TVDB.xlsx]2.1'!$P$41:$U$41</c:f>
              <c:strCache>
                <c:ptCount val="6"/>
                <c:pt idx="0">
                  <c:v>Option 1</c:v>
                </c:pt>
                <c:pt idx="1">
                  <c:v>Option 2</c:v>
                </c:pt>
                <c:pt idx="2">
                  <c:v>Option 3</c:v>
                </c:pt>
                <c:pt idx="3">
                  <c:v>Option 4</c:v>
                </c:pt>
                <c:pt idx="4">
                  <c:v>Option 5</c:v>
                </c:pt>
                <c:pt idx="5">
                  <c:v>Option 6</c:v>
                </c:pt>
              </c:strCache>
            </c:strRef>
          </c:cat>
          <c:val>
            <c:numRef>
              <c:f>'[Workforce Survey Analysis Live_TVDB.xlsx]2.1'!$P$44:$U$44</c:f>
              <c:numCache>
                <c:formatCode>General</c:formatCode>
                <c:ptCount val="6"/>
                <c:pt idx="0">
                  <c:v>8</c:v>
                </c:pt>
                <c:pt idx="1">
                  <c:v>33</c:v>
                </c:pt>
                <c:pt idx="2">
                  <c:v>44</c:v>
                </c:pt>
                <c:pt idx="3">
                  <c:v>101</c:v>
                </c:pt>
                <c:pt idx="4">
                  <c:v>97</c:v>
                </c:pt>
                <c:pt idx="5">
                  <c:v>132</c:v>
                </c:pt>
              </c:numCache>
            </c:numRef>
          </c:val>
          <c:extLst>
            <c:ext xmlns:c16="http://schemas.microsoft.com/office/drawing/2014/chart" uri="{C3380CC4-5D6E-409C-BE32-E72D297353CC}">
              <c16:uniqueId val="{00000002-CCD6-48A8-8DEA-F037A97DA659}"/>
            </c:ext>
          </c:extLst>
        </c:ser>
        <c:dLbls>
          <c:dLblPos val="outEnd"/>
          <c:showLegendKey val="0"/>
          <c:showVal val="1"/>
          <c:showCatName val="0"/>
          <c:showSerName val="0"/>
          <c:showPercent val="0"/>
          <c:showBubbleSize val="0"/>
        </c:dLbls>
        <c:gapWidth val="219"/>
        <c:overlap val="-27"/>
        <c:axId val="584050063"/>
        <c:axId val="584051503"/>
      </c:barChart>
      <c:catAx>
        <c:axId val="58405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4051503"/>
        <c:crosses val="autoZero"/>
        <c:auto val="1"/>
        <c:lblAlgn val="ctr"/>
        <c:lblOffset val="100"/>
        <c:noMultiLvlLbl val="0"/>
      </c:catAx>
      <c:valAx>
        <c:axId val="5840515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4050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Live_TVDB.xlsx]2.1'!$O$42</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Live_TVDB.xlsx]2.1'!$P$41:$U$41</c:f>
              <c:strCache>
                <c:ptCount val="6"/>
                <c:pt idx="0">
                  <c:v>Option 1</c:v>
                </c:pt>
                <c:pt idx="1">
                  <c:v>Option 2</c:v>
                </c:pt>
                <c:pt idx="2">
                  <c:v>Option 3</c:v>
                </c:pt>
                <c:pt idx="3">
                  <c:v>Option 4</c:v>
                </c:pt>
                <c:pt idx="4">
                  <c:v>Option 5</c:v>
                </c:pt>
                <c:pt idx="5">
                  <c:v>Option 6</c:v>
                </c:pt>
              </c:strCache>
            </c:strRef>
          </c:cat>
          <c:val>
            <c:numRef>
              <c:f>'[Families Survey Analysis Live_TVDB.xlsx]2.1'!$P$42:$U$42</c:f>
              <c:numCache>
                <c:formatCode>General</c:formatCode>
                <c:ptCount val="6"/>
                <c:pt idx="0">
                  <c:v>77</c:v>
                </c:pt>
                <c:pt idx="1">
                  <c:v>30</c:v>
                </c:pt>
                <c:pt idx="2">
                  <c:v>12</c:v>
                </c:pt>
                <c:pt idx="3">
                  <c:v>10</c:v>
                </c:pt>
                <c:pt idx="4">
                  <c:v>15</c:v>
                </c:pt>
                <c:pt idx="5">
                  <c:v>8</c:v>
                </c:pt>
              </c:numCache>
            </c:numRef>
          </c:val>
          <c:extLst>
            <c:ext xmlns:c16="http://schemas.microsoft.com/office/drawing/2014/chart" uri="{C3380CC4-5D6E-409C-BE32-E72D297353CC}">
              <c16:uniqueId val="{00000000-4AF7-4557-A841-E8A7816A4B5F}"/>
            </c:ext>
          </c:extLst>
        </c:ser>
        <c:ser>
          <c:idx val="1"/>
          <c:order val="1"/>
          <c:tx>
            <c:strRef>
              <c:f>'[Families Survey Analysis Live_TVDB.xlsx]2.1'!$O$43</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Live_TVDB.xlsx]2.1'!$P$41:$U$41</c:f>
              <c:strCache>
                <c:ptCount val="6"/>
                <c:pt idx="0">
                  <c:v>Option 1</c:v>
                </c:pt>
                <c:pt idx="1">
                  <c:v>Option 2</c:v>
                </c:pt>
                <c:pt idx="2">
                  <c:v>Option 3</c:v>
                </c:pt>
                <c:pt idx="3">
                  <c:v>Option 4</c:v>
                </c:pt>
                <c:pt idx="4">
                  <c:v>Option 5</c:v>
                </c:pt>
                <c:pt idx="5">
                  <c:v>Option 6</c:v>
                </c:pt>
              </c:strCache>
            </c:strRef>
          </c:cat>
          <c:val>
            <c:numRef>
              <c:f>'[Families Survey Analysis Live_TVDB.xlsx]2.1'!$P$43:$U$43</c:f>
              <c:numCache>
                <c:formatCode>General</c:formatCode>
                <c:ptCount val="6"/>
                <c:pt idx="0">
                  <c:v>8</c:v>
                </c:pt>
                <c:pt idx="1">
                  <c:v>48</c:v>
                </c:pt>
                <c:pt idx="2">
                  <c:v>56</c:v>
                </c:pt>
                <c:pt idx="3">
                  <c:v>27</c:v>
                </c:pt>
                <c:pt idx="4">
                  <c:v>42</c:v>
                </c:pt>
                <c:pt idx="5">
                  <c:v>22</c:v>
                </c:pt>
              </c:numCache>
            </c:numRef>
          </c:val>
          <c:extLst>
            <c:ext xmlns:c16="http://schemas.microsoft.com/office/drawing/2014/chart" uri="{C3380CC4-5D6E-409C-BE32-E72D297353CC}">
              <c16:uniqueId val="{00000001-4AF7-4557-A841-E8A7816A4B5F}"/>
            </c:ext>
          </c:extLst>
        </c:ser>
        <c:ser>
          <c:idx val="2"/>
          <c:order val="2"/>
          <c:tx>
            <c:strRef>
              <c:f>'[Families Survey Analysis Live_TVDB.xlsx]2.1'!$O$44</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Live_TVDB.xlsx]2.1'!$P$41:$U$41</c:f>
              <c:strCache>
                <c:ptCount val="6"/>
                <c:pt idx="0">
                  <c:v>Option 1</c:v>
                </c:pt>
                <c:pt idx="1">
                  <c:v>Option 2</c:v>
                </c:pt>
                <c:pt idx="2">
                  <c:v>Option 3</c:v>
                </c:pt>
                <c:pt idx="3">
                  <c:v>Option 4</c:v>
                </c:pt>
                <c:pt idx="4">
                  <c:v>Option 5</c:v>
                </c:pt>
                <c:pt idx="5">
                  <c:v>Option 6</c:v>
                </c:pt>
              </c:strCache>
            </c:strRef>
          </c:cat>
          <c:val>
            <c:numRef>
              <c:f>'[Families Survey Analysis Live_TVDB.xlsx]2.1'!$P$44:$U$44</c:f>
              <c:numCache>
                <c:formatCode>General</c:formatCode>
                <c:ptCount val="6"/>
                <c:pt idx="0">
                  <c:v>3</c:v>
                </c:pt>
                <c:pt idx="1">
                  <c:v>9</c:v>
                </c:pt>
                <c:pt idx="2">
                  <c:v>19</c:v>
                </c:pt>
                <c:pt idx="3">
                  <c:v>50</c:v>
                </c:pt>
                <c:pt idx="4">
                  <c:v>30</c:v>
                </c:pt>
                <c:pt idx="5">
                  <c:v>57</c:v>
                </c:pt>
              </c:numCache>
            </c:numRef>
          </c:val>
          <c:extLst>
            <c:ext xmlns:c16="http://schemas.microsoft.com/office/drawing/2014/chart" uri="{C3380CC4-5D6E-409C-BE32-E72D297353CC}">
              <c16:uniqueId val="{00000002-4AF7-4557-A841-E8A7816A4B5F}"/>
            </c:ext>
          </c:extLst>
        </c:ser>
        <c:dLbls>
          <c:dLblPos val="outEnd"/>
          <c:showLegendKey val="0"/>
          <c:showVal val="1"/>
          <c:showCatName val="0"/>
          <c:showSerName val="0"/>
          <c:showPercent val="0"/>
          <c:showBubbleSize val="0"/>
        </c:dLbls>
        <c:gapWidth val="219"/>
        <c:overlap val="-27"/>
        <c:axId val="726649808"/>
        <c:axId val="726651728"/>
      </c:barChart>
      <c:catAx>
        <c:axId val="72664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6651728"/>
        <c:crosses val="autoZero"/>
        <c:auto val="1"/>
        <c:lblAlgn val="ctr"/>
        <c:lblOffset val="100"/>
        <c:noMultiLvlLbl val="0"/>
      </c:catAx>
      <c:valAx>
        <c:axId val="7266517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664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03355015405683E-2"/>
          <c:y val="5.4739708018972121E-2"/>
          <c:w val="0.93796644984594313"/>
          <c:h val="0.65591747378402598"/>
        </c:manualLayout>
      </c:layout>
      <c:barChart>
        <c:barDir val="col"/>
        <c:grouping val="clustered"/>
        <c:varyColors val="0"/>
        <c:ser>
          <c:idx val="0"/>
          <c:order val="0"/>
          <c:tx>
            <c:strRef>
              <c:f>'[Approved Provider Survey Analysis Live_TVDB_1206.xlsx]3.1'!$M$29</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Live_TVDB_1206.xlsx]3.1'!$N$28:$P$28</c:f>
              <c:strCache>
                <c:ptCount val="3"/>
                <c:pt idx="0">
                  <c:v>Option 1</c:v>
                </c:pt>
                <c:pt idx="1">
                  <c:v>Option 2</c:v>
                </c:pt>
                <c:pt idx="2">
                  <c:v>Option 3</c:v>
                </c:pt>
              </c:strCache>
            </c:strRef>
          </c:cat>
          <c:val>
            <c:numRef>
              <c:f>'[Approved Provider Survey Analysis Live_TVDB_1206.xlsx]3.1'!$N$29:$P$29</c:f>
              <c:numCache>
                <c:formatCode>General</c:formatCode>
                <c:ptCount val="3"/>
                <c:pt idx="0">
                  <c:v>154</c:v>
                </c:pt>
                <c:pt idx="1">
                  <c:v>22</c:v>
                </c:pt>
                <c:pt idx="2">
                  <c:v>7</c:v>
                </c:pt>
              </c:numCache>
            </c:numRef>
          </c:val>
          <c:extLst>
            <c:ext xmlns:c16="http://schemas.microsoft.com/office/drawing/2014/chart" uri="{C3380CC4-5D6E-409C-BE32-E72D297353CC}">
              <c16:uniqueId val="{00000000-9FAC-4F58-9E58-D3A381E95248}"/>
            </c:ext>
          </c:extLst>
        </c:ser>
        <c:ser>
          <c:idx val="1"/>
          <c:order val="1"/>
          <c:tx>
            <c:strRef>
              <c:f>'[Approved Provider Survey Analysis Live_TVDB_1206.xlsx]3.1'!$M$30</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Live_TVDB_1206.xlsx]3.1'!$N$28:$P$28</c:f>
              <c:strCache>
                <c:ptCount val="3"/>
                <c:pt idx="0">
                  <c:v>Option 1</c:v>
                </c:pt>
                <c:pt idx="1">
                  <c:v>Option 2</c:v>
                </c:pt>
                <c:pt idx="2">
                  <c:v>Option 3</c:v>
                </c:pt>
              </c:strCache>
            </c:strRef>
          </c:cat>
          <c:val>
            <c:numRef>
              <c:f>'[Approved Provider Survey Analysis Live_TVDB_1206.xlsx]3.1'!$N$30:$P$30</c:f>
              <c:numCache>
                <c:formatCode>General</c:formatCode>
                <c:ptCount val="3"/>
                <c:pt idx="0">
                  <c:v>3</c:v>
                </c:pt>
                <c:pt idx="1">
                  <c:v>115</c:v>
                </c:pt>
                <c:pt idx="2">
                  <c:v>52</c:v>
                </c:pt>
              </c:numCache>
            </c:numRef>
          </c:val>
          <c:extLst>
            <c:ext xmlns:c16="http://schemas.microsoft.com/office/drawing/2014/chart" uri="{C3380CC4-5D6E-409C-BE32-E72D297353CC}">
              <c16:uniqueId val="{00000001-9FAC-4F58-9E58-D3A381E95248}"/>
            </c:ext>
          </c:extLst>
        </c:ser>
        <c:ser>
          <c:idx val="2"/>
          <c:order val="2"/>
          <c:tx>
            <c:strRef>
              <c:f>'[Approved Provider Survey Analysis Live_TVDB_1206.xlsx]3.1'!$M$31</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Live_TVDB_1206.xlsx]3.1'!$N$28:$P$28</c:f>
              <c:strCache>
                <c:ptCount val="3"/>
                <c:pt idx="0">
                  <c:v>Option 1</c:v>
                </c:pt>
                <c:pt idx="1">
                  <c:v>Option 2</c:v>
                </c:pt>
                <c:pt idx="2">
                  <c:v>Option 3</c:v>
                </c:pt>
              </c:strCache>
            </c:strRef>
          </c:cat>
          <c:val>
            <c:numRef>
              <c:f>'[Approved Provider Survey Analysis Live_TVDB_1206.xlsx]3.1'!$N$31:$P$31</c:f>
              <c:numCache>
                <c:formatCode>General</c:formatCode>
                <c:ptCount val="3"/>
                <c:pt idx="0">
                  <c:v>4</c:v>
                </c:pt>
                <c:pt idx="1">
                  <c:v>25</c:v>
                </c:pt>
                <c:pt idx="2">
                  <c:v>101</c:v>
                </c:pt>
              </c:numCache>
            </c:numRef>
          </c:val>
          <c:extLst>
            <c:ext xmlns:c16="http://schemas.microsoft.com/office/drawing/2014/chart" uri="{C3380CC4-5D6E-409C-BE32-E72D297353CC}">
              <c16:uniqueId val="{00000002-9FAC-4F58-9E58-D3A381E95248}"/>
            </c:ext>
          </c:extLst>
        </c:ser>
        <c:dLbls>
          <c:dLblPos val="outEnd"/>
          <c:showLegendKey val="0"/>
          <c:showVal val="1"/>
          <c:showCatName val="0"/>
          <c:showSerName val="0"/>
          <c:showPercent val="0"/>
          <c:showBubbleSize val="0"/>
        </c:dLbls>
        <c:gapWidth val="219"/>
        <c:overlap val="-27"/>
        <c:axId val="1521063984"/>
        <c:axId val="1521064464"/>
      </c:barChart>
      <c:catAx>
        <c:axId val="152106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1064464"/>
        <c:crosses val="autoZero"/>
        <c:auto val="1"/>
        <c:lblAlgn val="ctr"/>
        <c:lblOffset val="100"/>
        <c:noMultiLvlLbl val="0"/>
      </c:catAx>
      <c:valAx>
        <c:axId val="15210644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1063984"/>
        <c:crosses val="autoZero"/>
        <c:crossBetween val="between"/>
      </c:valAx>
      <c:spPr>
        <a:noFill/>
        <a:ln>
          <a:noFill/>
        </a:ln>
        <a:effectLst/>
      </c:spPr>
    </c:plotArea>
    <c:legend>
      <c:legendPos val="b"/>
      <c:layout>
        <c:manualLayout>
          <c:xMode val="edge"/>
          <c:yMode val="edge"/>
          <c:x val="0.28270928564485143"/>
          <c:y val="0.83601111316644405"/>
          <c:w val="0.60147771627283253"/>
          <c:h val="7.2756040135268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Live_TVDB.xlsx]3.1'!$M$31</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Live_TVDB.xlsx]3.1'!$N$30:$P$30</c:f>
              <c:strCache>
                <c:ptCount val="3"/>
                <c:pt idx="0">
                  <c:v>Option 1</c:v>
                </c:pt>
                <c:pt idx="1">
                  <c:v>Option 2</c:v>
                </c:pt>
                <c:pt idx="2">
                  <c:v>Option 3</c:v>
                </c:pt>
              </c:strCache>
            </c:strRef>
          </c:cat>
          <c:val>
            <c:numRef>
              <c:f>'[Workforce Survey Analysis Live_TVDB.xlsx]3.1'!$N$31:$P$31</c:f>
              <c:numCache>
                <c:formatCode>General</c:formatCode>
                <c:ptCount val="3"/>
                <c:pt idx="0">
                  <c:v>163</c:v>
                </c:pt>
                <c:pt idx="1">
                  <c:v>43</c:v>
                </c:pt>
                <c:pt idx="2">
                  <c:v>19</c:v>
                </c:pt>
              </c:numCache>
            </c:numRef>
          </c:val>
          <c:extLst>
            <c:ext xmlns:c16="http://schemas.microsoft.com/office/drawing/2014/chart" uri="{C3380CC4-5D6E-409C-BE32-E72D297353CC}">
              <c16:uniqueId val="{00000000-C977-43A0-A516-EF8E5B42FFF6}"/>
            </c:ext>
          </c:extLst>
        </c:ser>
        <c:ser>
          <c:idx val="1"/>
          <c:order val="1"/>
          <c:tx>
            <c:strRef>
              <c:f>'[Workforce Survey Analysis Live_TVDB.xlsx]3.1'!$M$32</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Live_TVDB.xlsx]3.1'!$N$30:$P$30</c:f>
              <c:strCache>
                <c:ptCount val="3"/>
                <c:pt idx="0">
                  <c:v>Option 1</c:v>
                </c:pt>
                <c:pt idx="1">
                  <c:v>Option 2</c:v>
                </c:pt>
                <c:pt idx="2">
                  <c:v>Option 3</c:v>
                </c:pt>
              </c:strCache>
            </c:strRef>
          </c:cat>
          <c:val>
            <c:numRef>
              <c:f>'[Workforce Survey Analysis Live_TVDB.xlsx]3.1'!$N$32:$P$32</c:f>
              <c:numCache>
                <c:formatCode>General</c:formatCode>
                <c:ptCount val="3"/>
                <c:pt idx="0">
                  <c:v>6</c:v>
                </c:pt>
                <c:pt idx="1">
                  <c:v>103</c:v>
                </c:pt>
                <c:pt idx="2">
                  <c:v>44</c:v>
                </c:pt>
              </c:numCache>
            </c:numRef>
          </c:val>
          <c:extLst>
            <c:ext xmlns:c16="http://schemas.microsoft.com/office/drawing/2014/chart" uri="{C3380CC4-5D6E-409C-BE32-E72D297353CC}">
              <c16:uniqueId val="{00000001-C977-43A0-A516-EF8E5B42FFF6}"/>
            </c:ext>
          </c:extLst>
        </c:ser>
        <c:ser>
          <c:idx val="2"/>
          <c:order val="2"/>
          <c:tx>
            <c:strRef>
              <c:f>'[Workforce Survey Analysis Live_TVDB.xlsx]3.1'!$M$33</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Live_TVDB.xlsx]3.1'!$N$30:$P$30</c:f>
              <c:strCache>
                <c:ptCount val="3"/>
                <c:pt idx="0">
                  <c:v>Option 1</c:v>
                </c:pt>
                <c:pt idx="1">
                  <c:v>Option 2</c:v>
                </c:pt>
                <c:pt idx="2">
                  <c:v>Option 3</c:v>
                </c:pt>
              </c:strCache>
            </c:strRef>
          </c:cat>
          <c:val>
            <c:numRef>
              <c:f>'[Workforce Survey Analysis Live_TVDB.xlsx]3.1'!$N$33:$P$33</c:f>
              <c:numCache>
                <c:formatCode>General</c:formatCode>
                <c:ptCount val="3"/>
                <c:pt idx="0">
                  <c:v>4</c:v>
                </c:pt>
                <c:pt idx="1">
                  <c:v>22</c:v>
                </c:pt>
                <c:pt idx="2">
                  <c:v>103</c:v>
                </c:pt>
              </c:numCache>
            </c:numRef>
          </c:val>
          <c:extLst>
            <c:ext xmlns:c16="http://schemas.microsoft.com/office/drawing/2014/chart" uri="{C3380CC4-5D6E-409C-BE32-E72D297353CC}">
              <c16:uniqueId val="{00000002-C977-43A0-A516-EF8E5B42FFF6}"/>
            </c:ext>
          </c:extLst>
        </c:ser>
        <c:dLbls>
          <c:dLblPos val="outEnd"/>
          <c:showLegendKey val="0"/>
          <c:showVal val="1"/>
          <c:showCatName val="0"/>
          <c:showSerName val="0"/>
          <c:showPercent val="0"/>
          <c:showBubbleSize val="0"/>
        </c:dLbls>
        <c:gapWidth val="219"/>
        <c:overlap val="-27"/>
        <c:axId val="403362063"/>
        <c:axId val="403365423"/>
      </c:barChart>
      <c:catAx>
        <c:axId val="403362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3365423"/>
        <c:crosses val="autoZero"/>
        <c:auto val="1"/>
        <c:lblAlgn val="ctr"/>
        <c:lblOffset val="100"/>
        <c:noMultiLvlLbl val="0"/>
      </c:catAx>
      <c:valAx>
        <c:axId val="4033654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3362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Live_TVDB.xlsx]3.1'!$M$35</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Live_TVDB.xlsx]3.1'!$N$34:$P$34</c:f>
              <c:strCache>
                <c:ptCount val="3"/>
                <c:pt idx="0">
                  <c:v>Option 1</c:v>
                </c:pt>
                <c:pt idx="1">
                  <c:v>Option 2</c:v>
                </c:pt>
                <c:pt idx="2">
                  <c:v>Option 3</c:v>
                </c:pt>
              </c:strCache>
            </c:strRef>
          </c:cat>
          <c:val>
            <c:numRef>
              <c:f>'[Families Survey Analysis Live_TVDB.xlsx]3.1'!$N$35:$P$35</c:f>
              <c:numCache>
                <c:formatCode>General</c:formatCode>
                <c:ptCount val="3"/>
                <c:pt idx="0">
                  <c:v>79</c:v>
                </c:pt>
                <c:pt idx="1">
                  <c:v>34</c:v>
                </c:pt>
                <c:pt idx="2">
                  <c:v>3</c:v>
                </c:pt>
              </c:numCache>
            </c:numRef>
          </c:val>
          <c:extLst>
            <c:ext xmlns:c16="http://schemas.microsoft.com/office/drawing/2014/chart" uri="{C3380CC4-5D6E-409C-BE32-E72D297353CC}">
              <c16:uniqueId val="{00000000-99EF-4C07-AE62-4DF4F9E5EE7C}"/>
            </c:ext>
          </c:extLst>
        </c:ser>
        <c:ser>
          <c:idx val="1"/>
          <c:order val="1"/>
          <c:tx>
            <c:strRef>
              <c:f>'[Families Survey Analysis Live_TVDB.xlsx]3.1'!$M$36</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Live_TVDB.xlsx]3.1'!$N$34:$P$34</c:f>
              <c:strCache>
                <c:ptCount val="3"/>
                <c:pt idx="0">
                  <c:v>Option 1</c:v>
                </c:pt>
                <c:pt idx="1">
                  <c:v>Option 2</c:v>
                </c:pt>
                <c:pt idx="2">
                  <c:v>Option 3</c:v>
                </c:pt>
              </c:strCache>
            </c:strRef>
          </c:cat>
          <c:val>
            <c:numRef>
              <c:f>'[Families Survey Analysis Live_TVDB.xlsx]3.1'!$N$36:$P$36</c:f>
              <c:numCache>
                <c:formatCode>General</c:formatCode>
                <c:ptCount val="3"/>
                <c:pt idx="0">
                  <c:v>4</c:v>
                </c:pt>
                <c:pt idx="1">
                  <c:v>41</c:v>
                </c:pt>
                <c:pt idx="2">
                  <c:v>14</c:v>
                </c:pt>
              </c:numCache>
            </c:numRef>
          </c:val>
          <c:extLst>
            <c:ext xmlns:c16="http://schemas.microsoft.com/office/drawing/2014/chart" uri="{C3380CC4-5D6E-409C-BE32-E72D297353CC}">
              <c16:uniqueId val="{00000001-99EF-4C07-AE62-4DF4F9E5EE7C}"/>
            </c:ext>
          </c:extLst>
        </c:ser>
        <c:ser>
          <c:idx val="2"/>
          <c:order val="2"/>
          <c:tx>
            <c:strRef>
              <c:f>'[Families Survey Analysis Live_TVDB.xlsx]3.1'!$M$37</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Live_TVDB.xlsx]3.1'!$N$34:$P$34</c:f>
              <c:strCache>
                <c:ptCount val="3"/>
                <c:pt idx="0">
                  <c:v>Option 1</c:v>
                </c:pt>
                <c:pt idx="1">
                  <c:v>Option 2</c:v>
                </c:pt>
                <c:pt idx="2">
                  <c:v>Option 3</c:v>
                </c:pt>
              </c:strCache>
            </c:strRef>
          </c:cat>
          <c:val>
            <c:numRef>
              <c:f>'[Families Survey Analysis Live_TVDB.xlsx]3.1'!$N$37:$P$37</c:f>
              <c:numCache>
                <c:formatCode>General</c:formatCode>
                <c:ptCount val="3"/>
                <c:pt idx="0">
                  <c:v>0</c:v>
                </c:pt>
                <c:pt idx="1">
                  <c:v>8</c:v>
                </c:pt>
                <c:pt idx="2">
                  <c:v>66</c:v>
                </c:pt>
              </c:numCache>
            </c:numRef>
          </c:val>
          <c:extLst>
            <c:ext xmlns:c16="http://schemas.microsoft.com/office/drawing/2014/chart" uri="{C3380CC4-5D6E-409C-BE32-E72D297353CC}">
              <c16:uniqueId val="{00000002-99EF-4C07-AE62-4DF4F9E5EE7C}"/>
            </c:ext>
          </c:extLst>
        </c:ser>
        <c:dLbls>
          <c:dLblPos val="outEnd"/>
          <c:showLegendKey val="0"/>
          <c:showVal val="1"/>
          <c:showCatName val="0"/>
          <c:showSerName val="0"/>
          <c:showPercent val="0"/>
          <c:showBubbleSize val="0"/>
        </c:dLbls>
        <c:gapWidth val="219"/>
        <c:overlap val="-27"/>
        <c:axId val="719631424"/>
        <c:axId val="719632864"/>
      </c:barChart>
      <c:catAx>
        <c:axId val="71963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632864"/>
        <c:crosses val="autoZero"/>
        <c:auto val="1"/>
        <c:lblAlgn val="ctr"/>
        <c:lblOffset val="100"/>
        <c:noMultiLvlLbl val="0"/>
      </c:catAx>
      <c:valAx>
        <c:axId val="7196328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63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Live_TVDB_1206.xlsx]3.1'!$M$18</c:f>
              <c:strCache>
                <c:ptCount val="1"/>
                <c:pt idx="0">
                  <c:v>Option 1</c:v>
                </c:pt>
              </c:strCache>
            </c:strRef>
          </c:tx>
          <c:spPr>
            <a:solidFill>
              <a:schemeClr val="accent1"/>
            </a:solidFill>
            <a:ln>
              <a:noFill/>
            </a:ln>
            <a:effectLst/>
          </c:spPr>
          <c:invertIfNegative val="0"/>
          <c:dLbls>
            <c:dLbl>
              <c:idx val="0"/>
              <c:layout>
                <c:manualLayout>
                  <c:x val="2.2172949002217295E-3"/>
                  <c:y val="-0.163998438110113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F1-4083-856F-CF9F34E495C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Live_TVDB_1206.xlsx]3.1'!$N$18</c:f>
              <c:numCache>
                <c:formatCode>0%</c:formatCode>
                <c:ptCount val="1"/>
                <c:pt idx="0">
                  <c:v>1.282051282051282E-2</c:v>
                </c:pt>
              </c:numCache>
            </c:numRef>
          </c:val>
          <c:extLst>
            <c:ext xmlns:c16="http://schemas.microsoft.com/office/drawing/2014/chart" uri="{C3380CC4-5D6E-409C-BE32-E72D297353CC}">
              <c16:uniqueId val="{00000000-36F1-4083-856F-CF9F34E495C4}"/>
            </c:ext>
          </c:extLst>
        </c:ser>
        <c:ser>
          <c:idx val="1"/>
          <c:order val="1"/>
          <c:tx>
            <c:strRef>
              <c:f>'[Approved Provider Survey Analysis Live_TVDB_1206.xlsx]3.1'!$M$19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Live_TVDB_1206.xlsx]3.1'!$N$19</c:f>
              <c:numCache>
                <c:formatCode>0%</c:formatCode>
                <c:ptCount val="1"/>
                <c:pt idx="0">
                  <c:v>0.26923076923076922</c:v>
                </c:pt>
              </c:numCache>
            </c:numRef>
          </c:val>
          <c:extLst>
            <c:ext xmlns:c16="http://schemas.microsoft.com/office/drawing/2014/chart" uri="{C3380CC4-5D6E-409C-BE32-E72D297353CC}">
              <c16:uniqueId val="{00000001-36F1-4083-856F-CF9F34E495C4}"/>
            </c:ext>
          </c:extLst>
        </c:ser>
        <c:ser>
          <c:idx val="2"/>
          <c:order val="2"/>
          <c:tx>
            <c:strRef>
              <c:f>'[Approved Provider Survey Analysis Live_TVDB_1206.xlsx]3.1'!$M$20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Live_TVDB_1206.xlsx]3.1'!$N$20</c:f>
              <c:numCache>
                <c:formatCode>0%</c:formatCode>
                <c:ptCount val="1"/>
                <c:pt idx="0">
                  <c:v>0.46153846153846156</c:v>
                </c:pt>
              </c:numCache>
            </c:numRef>
          </c:val>
          <c:extLst>
            <c:ext xmlns:c16="http://schemas.microsoft.com/office/drawing/2014/chart" uri="{C3380CC4-5D6E-409C-BE32-E72D297353CC}">
              <c16:uniqueId val="{00000002-36F1-4083-856F-CF9F34E495C4}"/>
            </c:ext>
          </c:extLst>
        </c:ser>
        <c:ser>
          <c:idx val="3"/>
          <c:order val="3"/>
          <c:tx>
            <c:strRef>
              <c:f>'[Approved Provider Survey Analysis Live_TVDB_1206.xlsx]3.1'!$M$21</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Live_TVDB_1206.xlsx]3.1'!$N$21</c:f>
              <c:numCache>
                <c:formatCode>0%</c:formatCode>
                <c:ptCount val="1"/>
                <c:pt idx="0">
                  <c:v>0.25641025641025639</c:v>
                </c:pt>
              </c:numCache>
            </c:numRef>
          </c:val>
          <c:extLst>
            <c:ext xmlns:c16="http://schemas.microsoft.com/office/drawing/2014/chart" uri="{C3380CC4-5D6E-409C-BE32-E72D297353CC}">
              <c16:uniqueId val="{00000003-36F1-4083-856F-CF9F34E495C4}"/>
            </c:ext>
          </c:extLst>
        </c:ser>
        <c:dLbls>
          <c:dLblPos val="ctr"/>
          <c:showLegendKey val="0"/>
          <c:showVal val="1"/>
          <c:showCatName val="0"/>
          <c:showSerName val="0"/>
          <c:showPercent val="0"/>
          <c:showBubbleSize val="0"/>
        </c:dLbls>
        <c:gapWidth val="150"/>
        <c:overlap val="100"/>
        <c:axId val="1684637216"/>
        <c:axId val="1684658336"/>
      </c:barChart>
      <c:catAx>
        <c:axId val="1684637216"/>
        <c:scaling>
          <c:orientation val="minMax"/>
        </c:scaling>
        <c:delete val="1"/>
        <c:axPos val="l"/>
        <c:numFmt formatCode="General" sourceLinked="1"/>
        <c:majorTickMark val="none"/>
        <c:minorTickMark val="none"/>
        <c:tickLblPos val="nextTo"/>
        <c:crossAx val="1684658336"/>
        <c:crosses val="autoZero"/>
        <c:auto val="1"/>
        <c:lblAlgn val="ctr"/>
        <c:lblOffset val="100"/>
        <c:noMultiLvlLbl val="0"/>
      </c:catAx>
      <c:valAx>
        <c:axId val="168465833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3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Live_TVDB.xlsx]3.1'!$M$18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Live_TVDB.xlsx]3.1'!$N$18</c:f>
              <c:numCache>
                <c:formatCode>0%</c:formatCode>
                <c:ptCount val="1"/>
                <c:pt idx="0">
                  <c:v>6.3694267515923567E-2</c:v>
                </c:pt>
              </c:numCache>
            </c:numRef>
          </c:val>
          <c:extLst>
            <c:ext xmlns:c16="http://schemas.microsoft.com/office/drawing/2014/chart" uri="{C3380CC4-5D6E-409C-BE32-E72D297353CC}">
              <c16:uniqueId val="{00000000-22C5-499B-87CB-7509368334A8}"/>
            </c:ext>
          </c:extLst>
        </c:ser>
        <c:ser>
          <c:idx val="1"/>
          <c:order val="1"/>
          <c:tx>
            <c:strRef>
              <c:f>'[Workforce Survey Analysis Live_TVDB.xlsx]3.1'!$M$19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Live_TVDB.xlsx]3.1'!$N$19</c:f>
              <c:numCache>
                <c:formatCode>0%</c:formatCode>
                <c:ptCount val="1"/>
                <c:pt idx="0">
                  <c:v>0.22929936305732485</c:v>
                </c:pt>
              </c:numCache>
            </c:numRef>
          </c:val>
          <c:extLst>
            <c:ext xmlns:c16="http://schemas.microsoft.com/office/drawing/2014/chart" uri="{C3380CC4-5D6E-409C-BE32-E72D297353CC}">
              <c16:uniqueId val="{00000001-22C5-499B-87CB-7509368334A8}"/>
            </c:ext>
          </c:extLst>
        </c:ser>
        <c:ser>
          <c:idx val="2"/>
          <c:order val="2"/>
          <c:tx>
            <c:strRef>
              <c:f>'[Workforce Survey Analysis Live_TVDB.xlsx]3.1'!$M$20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Live_TVDB.xlsx]3.1'!$N$20</c:f>
              <c:numCache>
                <c:formatCode>0%</c:formatCode>
                <c:ptCount val="1"/>
                <c:pt idx="0">
                  <c:v>0.48407643312101911</c:v>
                </c:pt>
              </c:numCache>
            </c:numRef>
          </c:val>
          <c:extLst>
            <c:ext xmlns:c16="http://schemas.microsoft.com/office/drawing/2014/chart" uri="{C3380CC4-5D6E-409C-BE32-E72D297353CC}">
              <c16:uniqueId val="{00000002-22C5-499B-87CB-7509368334A8}"/>
            </c:ext>
          </c:extLst>
        </c:ser>
        <c:ser>
          <c:idx val="3"/>
          <c:order val="3"/>
          <c:tx>
            <c:strRef>
              <c:f>'[Workforce Survey Analysis Live_TVDB.xlsx]3.1'!$M$21</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Live_TVDB.xlsx]3.1'!$N$21</c:f>
              <c:numCache>
                <c:formatCode>0%</c:formatCode>
                <c:ptCount val="1"/>
                <c:pt idx="0">
                  <c:v>0.22292993630573249</c:v>
                </c:pt>
              </c:numCache>
            </c:numRef>
          </c:val>
          <c:extLst>
            <c:ext xmlns:c16="http://schemas.microsoft.com/office/drawing/2014/chart" uri="{C3380CC4-5D6E-409C-BE32-E72D297353CC}">
              <c16:uniqueId val="{00000003-22C5-499B-87CB-7509368334A8}"/>
            </c:ext>
          </c:extLst>
        </c:ser>
        <c:dLbls>
          <c:dLblPos val="ctr"/>
          <c:showLegendKey val="0"/>
          <c:showVal val="1"/>
          <c:showCatName val="0"/>
          <c:showSerName val="0"/>
          <c:showPercent val="0"/>
          <c:showBubbleSize val="0"/>
        </c:dLbls>
        <c:gapWidth val="150"/>
        <c:overlap val="100"/>
        <c:axId val="401873311"/>
        <c:axId val="401872351"/>
      </c:barChart>
      <c:catAx>
        <c:axId val="401873311"/>
        <c:scaling>
          <c:orientation val="minMax"/>
        </c:scaling>
        <c:delete val="1"/>
        <c:axPos val="l"/>
        <c:numFmt formatCode="General" sourceLinked="1"/>
        <c:majorTickMark val="none"/>
        <c:minorTickMark val="none"/>
        <c:tickLblPos val="nextTo"/>
        <c:crossAx val="401872351"/>
        <c:crosses val="autoZero"/>
        <c:auto val="1"/>
        <c:lblAlgn val="ctr"/>
        <c:lblOffset val="100"/>
        <c:noMultiLvlLbl val="0"/>
      </c:catAx>
      <c:valAx>
        <c:axId val="40187235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1873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Live_TVDB.xlsx]3.1'!$M$19</c:f>
              <c:strCache>
                <c:ptCount val="1"/>
                <c:pt idx="0">
                  <c:v>Option 1</c:v>
                </c:pt>
              </c:strCache>
            </c:strRef>
          </c:tx>
          <c:spPr>
            <a:solidFill>
              <a:schemeClr val="accent1"/>
            </a:solidFill>
            <a:ln>
              <a:noFill/>
            </a:ln>
            <a:effectLst/>
          </c:spPr>
          <c:invertIfNegative val="0"/>
          <c:dLbls>
            <c:dLbl>
              <c:idx val="0"/>
              <c:layout>
                <c:manualLayout>
                  <c:x val="-5.0660775802887119E-18"/>
                  <c:y val="-0.1718983557548580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5F-4726-8585-45D0F5A70A6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Live_TVDB.xlsx]3.1'!$N$19</c:f>
              <c:numCache>
                <c:formatCode>0%</c:formatCode>
                <c:ptCount val="1"/>
                <c:pt idx="0">
                  <c:v>1.2658227848101266E-2</c:v>
                </c:pt>
              </c:numCache>
            </c:numRef>
          </c:val>
          <c:extLst>
            <c:ext xmlns:c16="http://schemas.microsoft.com/office/drawing/2014/chart" uri="{C3380CC4-5D6E-409C-BE32-E72D297353CC}">
              <c16:uniqueId val="{00000000-035F-4726-8585-45D0F5A70A6E}"/>
            </c:ext>
          </c:extLst>
        </c:ser>
        <c:ser>
          <c:idx val="1"/>
          <c:order val="1"/>
          <c:tx>
            <c:strRef>
              <c:f>'[Families Survey Analysis Live_TVDB.xlsx]3.1'!$M$20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Live_TVDB.xlsx]3.1'!$N$20</c:f>
              <c:numCache>
                <c:formatCode>0%</c:formatCode>
                <c:ptCount val="1"/>
                <c:pt idx="0">
                  <c:v>5.0632911392405063E-2</c:v>
                </c:pt>
              </c:numCache>
            </c:numRef>
          </c:val>
          <c:extLst>
            <c:ext xmlns:c16="http://schemas.microsoft.com/office/drawing/2014/chart" uri="{C3380CC4-5D6E-409C-BE32-E72D297353CC}">
              <c16:uniqueId val="{00000001-035F-4726-8585-45D0F5A70A6E}"/>
            </c:ext>
          </c:extLst>
        </c:ser>
        <c:ser>
          <c:idx val="2"/>
          <c:order val="2"/>
          <c:tx>
            <c:strRef>
              <c:f>'[Families Survey Analysis Live_TVDB.xlsx]3.1'!$M$21</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Live_TVDB.xlsx]3.1'!$N$21</c:f>
              <c:numCache>
                <c:formatCode>0%</c:formatCode>
                <c:ptCount val="1"/>
                <c:pt idx="0">
                  <c:v>0.759493670886076</c:v>
                </c:pt>
              </c:numCache>
            </c:numRef>
          </c:val>
          <c:extLst>
            <c:ext xmlns:c16="http://schemas.microsoft.com/office/drawing/2014/chart" uri="{C3380CC4-5D6E-409C-BE32-E72D297353CC}">
              <c16:uniqueId val="{00000002-035F-4726-8585-45D0F5A70A6E}"/>
            </c:ext>
          </c:extLst>
        </c:ser>
        <c:ser>
          <c:idx val="3"/>
          <c:order val="3"/>
          <c:tx>
            <c:strRef>
              <c:f>'[Families Survey Analysis Live_TVDB.xlsx]3.1'!$M$22</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Live_TVDB.xlsx]3.1'!$N$22</c:f>
              <c:numCache>
                <c:formatCode>0%</c:formatCode>
                <c:ptCount val="1"/>
                <c:pt idx="0">
                  <c:v>0.17721518987341772</c:v>
                </c:pt>
              </c:numCache>
            </c:numRef>
          </c:val>
          <c:extLst>
            <c:ext xmlns:c16="http://schemas.microsoft.com/office/drawing/2014/chart" uri="{C3380CC4-5D6E-409C-BE32-E72D297353CC}">
              <c16:uniqueId val="{00000003-035F-4726-8585-45D0F5A70A6E}"/>
            </c:ext>
          </c:extLst>
        </c:ser>
        <c:dLbls>
          <c:dLblPos val="ctr"/>
          <c:showLegendKey val="0"/>
          <c:showVal val="1"/>
          <c:showCatName val="0"/>
          <c:showSerName val="0"/>
          <c:showPercent val="0"/>
          <c:showBubbleSize val="0"/>
        </c:dLbls>
        <c:gapWidth val="150"/>
        <c:overlap val="100"/>
        <c:axId val="1483895920"/>
        <c:axId val="1483895440"/>
      </c:barChart>
      <c:catAx>
        <c:axId val="1483895920"/>
        <c:scaling>
          <c:orientation val="minMax"/>
        </c:scaling>
        <c:delete val="1"/>
        <c:axPos val="l"/>
        <c:numFmt formatCode="General" sourceLinked="1"/>
        <c:majorTickMark val="none"/>
        <c:minorTickMark val="none"/>
        <c:tickLblPos val="nextTo"/>
        <c:crossAx val="1483895440"/>
        <c:crosses val="autoZero"/>
        <c:auto val="1"/>
        <c:lblAlgn val="ctr"/>
        <c:lblOffset val="100"/>
        <c:noMultiLvlLbl val="0"/>
      </c:catAx>
      <c:valAx>
        <c:axId val="148389544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8389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Live_TVDB_1206.xlsx]1.1'!$H$58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Live_TVDB_1206.xlsx]1.1'!$I$57:$M$57</c:f>
              <c:strCache>
                <c:ptCount val="5"/>
                <c:pt idx="0">
                  <c:v>Preschool/kindergarten</c:v>
                </c:pt>
                <c:pt idx="1">
                  <c:v>Long Day Care</c:v>
                </c:pt>
                <c:pt idx="2">
                  <c:v>Family Day Care</c:v>
                </c:pt>
                <c:pt idx="3">
                  <c:v>Outside School Hours Care</c:v>
                </c:pt>
                <c:pt idx="4">
                  <c:v>Other (including playgroups, outreach programs)</c:v>
                </c:pt>
              </c:strCache>
            </c:strRef>
          </c:cat>
          <c:val>
            <c:numRef>
              <c:f>'[Approved Provider Survey Analysis Live_TVDB_1206.xlsx]1.1'!$I$58:$M$58</c:f>
              <c:numCache>
                <c:formatCode>General</c:formatCode>
                <c:ptCount val="5"/>
                <c:pt idx="0">
                  <c:v>19</c:v>
                </c:pt>
                <c:pt idx="1">
                  <c:v>23</c:v>
                </c:pt>
                <c:pt idx="2">
                  <c:v>5</c:v>
                </c:pt>
                <c:pt idx="3">
                  <c:v>10</c:v>
                </c:pt>
                <c:pt idx="4">
                  <c:v>3</c:v>
                </c:pt>
              </c:numCache>
            </c:numRef>
          </c:val>
          <c:extLst>
            <c:ext xmlns:c16="http://schemas.microsoft.com/office/drawing/2014/chart" uri="{C3380CC4-5D6E-409C-BE32-E72D297353CC}">
              <c16:uniqueId val="{00000000-095E-4394-A4E8-5424C905D07D}"/>
            </c:ext>
          </c:extLst>
        </c:ser>
        <c:ser>
          <c:idx val="1"/>
          <c:order val="1"/>
          <c:tx>
            <c:strRef>
              <c:f>'[Approved Provider Survey Analysis Live_TVDB_1206.xlsx]1.1'!$H$59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Live_TVDB_1206.xlsx]1.1'!$I$57:$M$57</c:f>
              <c:strCache>
                <c:ptCount val="5"/>
                <c:pt idx="0">
                  <c:v>Preschool/kindergarten</c:v>
                </c:pt>
                <c:pt idx="1">
                  <c:v>Long Day Care</c:v>
                </c:pt>
                <c:pt idx="2">
                  <c:v>Family Day Care</c:v>
                </c:pt>
                <c:pt idx="3">
                  <c:v>Outside School Hours Care</c:v>
                </c:pt>
                <c:pt idx="4">
                  <c:v>Other (including playgroups, outreach programs)</c:v>
                </c:pt>
              </c:strCache>
            </c:strRef>
          </c:cat>
          <c:val>
            <c:numRef>
              <c:f>'[Approved Provider Survey Analysis Live_TVDB_1206.xlsx]1.1'!$I$59:$M$59</c:f>
              <c:numCache>
                <c:formatCode>General</c:formatCode>
                <c:ptCount val="5"/>
                <c:pt idx="0">
                  <c:v>41</c:v>
                </c:pt>
                <c:pt idx="1">
                  <c:v>53</c:v>
                </c:pt>
                <c:pt idx="2">
                  <c:v>11</c:v>
                </c:pt>
                <c:pt idx="3">
                  <c:v>22</c:v>
                </c:pt>
                <c:pt idx="4">
                  <c:v>9</c:v>
                </c:pt>
              </c:numCache>
            </c:numRef>
          </c:val>
          <c:extLst>
            <c:ext xmlns:c16="http://schemas.microsoft.com/office/drawing/2014/chart" uri="{C3380CC4-5D6E-409C-BE32-E72D297353CC}">
              <c16:uniqueId val="{00000001-095E-4394-A4E8-5424C905D07D}"/>
            </c:ext>
          </c:extLst>
        </c:ser>
        <c:ser>
          <c:idx val="2"/>
          <c:order val="2"/>
          <c:tx>
            <c:strRef>
              <c:f>'[Approved Provider Survey Analysis Live_TVDB_1206.xlsx]1.1'!$H$60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Live_TVDB_1206.xlsx]1.1'!$I$57:$M$57</c:f>
              <c:strCache>
                <c:ptCount val="5"/>
                <c:pt idx="0">
                  <c:v>Preschool/kindergarten</c:v>
                </c:pt>
                <c:pt idx="1">
                  <c:v>Long Day Care</c:v>
                </c:pt>
                <c:pt idx="2">
                  <c:v>Family Day Care</c:v>
                </c:pt>
                <c:pt idx="3">
                  <c:v>Outside School Hours Care</c:v>
                </c:pt>
                <c:pt idx="4">
                  <c:v>Other (including playgroups, outreach programs)</c:v>
                </c:pt>
              </c:strCache>
            </c:strRef>
          </c:cat>
          <c:val>
            <c:numRef>
              <c:f>'[Approved Provider Survey Analysis Live_TVDB_1206.xlsx]1.1'!$I$60:$M$60</c:f>
              <c:numCache>
                <c:formatCode>General</c:formatCode>
                <c:ptCount val="5"/>
                <c:pt idx="0">
                  <c:v>19</c:v>
                </c:pt>
                <c:pt idx="1">
                  <c:v>23</c:v>
                </c:pt>
                <c:pt idx="2">
                  <c:v>5</c:v>
                </c:pt>
                <c:pt idx="3">
                  <c:v>10</c:v>
                </c:pt>
                <c:pt idx="4">
                  <c:v>3</c:v>
                </c:pt>
              </c:numCache>
            </c:numRef>
          </c:val>
          <c:extLst>
            <c:ext xmlns:c16="http://schemas.microsoft.com/office/drawing/2014/chart" uri="{C3380CC4-5D6E-409C-BE32-E72D297353CC}">
              <c16:uniqueId val="{00000002-095E-4394-A4E8-5424C905D07D}"/>
            </c:ext>
          </c:extLst>
        </c:ser>
        <c:ser>
          <c:idx val="3"/>
          <c:order val="3"/>
          <c:tx>
            <c:strRef>
              <c:f>'[Approved Provider Survey Analysis Live_TVDB_1206.xlsx]1.1'!$H$61</c:f>
              <c:strCache>
                <c:ptCount val="1"/>
                <c:pt idx="0">
                  <c:v>Options 2 and 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Live_TVDB_1206.xlsx]1.1'!$I$57:$M$57</c:f>
              <c:strCache>
                <c:ptCount val="5"/>
                <c:pt idx="0">
                  <c:v>Preschool/kindergarten</c:v>
                </c:pt>
                <c:pt idx="1">
                  <c:v>Long Day Care</c:v>
                </c:pt>
                <c:pt idx="2">
                  <c:v>Family Day Care</c:v>
                </c:pt>
                <c:pt idx="3">
                  <c:v>Outside School Hours Care</c:v>
                </c:pt>
                <c:pt idx="4">
                  <c:v>Other (including playgroups, outreach programs)</c:v>
                </c:pt>
              </c:strCache>
            </c:strRef>
          </c:cat>
          <c:val>
            <c:numRef>
              <c:f>'[Approved Provider Survey Analysis Live_TVDB_1206.xlsx]1.1'!$I$61:$M$61</c:f>
              <c:numCache>
                <c:formatCode>General</c:formatCode>
                <c:ptCount val="5"/>
                <c:pt idx="0">
                  <c:v>16</c:v>
                </c:pt>
                <c:pt idx="1">
                  <c:v>21</c:v>
                </c:pt>
                <c:pt idx="2">
                  <c:v>1</c:v>
                </c:pt>
                <c:pt idx="3">
                  <c:v>3</c:v>
                </c:pt>
                <c:pt idx="4">
                  <c:v>3</c:v>
                </c:pt>
              </c:numCache>
            </c:numRef>
          </c:val>
          <c:extLst>
            <c:ext xmlns:c16="http://schemas.microsoft.com/office/drawing/2014/chart" uri="{C3380CC4-5D6E-409C-BE32-E72D297353CC}">
              <c16:uniqueId val="{00000003-095E-4394-A4E8-5424C905D07D}"/>
            </c:ext>
          </c:extLst>
        </c:ser>
        <c:dLbls>
          <c:dLblPos val="outEnd"/>
          <c:showLegendKey val="0"/>
          <c:showVal val="1"/>
          <c:showCatName val="0"/>
          <c:showSerName val="0"/>
          <c:showPercent val="0"/>
          <c:showBubbleSize val="0"/>
        </c:dLbls>
        <c:gapWidth val="219"/>
        <c:overlap val="-27"/>
        <c:axId val="1594003840"/>
        <c:axId val="1594015360"/>
      </c:barChart>
      <c:catAx>
        <c:axId val="159400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94015360"/>
        <c:crosses val="autoZero"/>
        <c:auto val="1"/>
        <c:lblAlgn val="ctr"/>
        <c:lblOffset val="100"/>
        <c:noMultiLvlLbl val="0"/>
      </c:catAx>
      <c:valAx>
        <c:axId val="15940153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9400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Live_TVDB_1206.xlsx]3.2'!$N$43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Live_TVDB_1206.xlsx]3.2'!$O$42:$R$42</c:f>
              <c:strCache>
                <c:ptCount val="4"/>
                <c:pt idx="0">
                  <c:v>Option 1</c:v>
                </c:pt>
                <c:pt idx="1">
                  <c:v>Option 2</c:v>
                </c:pt>
                <c:pt idx="2">
                  <c:v>Option 3</c:v>
                </c:pt>
                <c:pt idx="3">
                  <c:v>Option 4</c:v>
                </c:pt>
              </c:strCache>
            </c:strRef>
          </c:cat>
          <c:val>
            <c:numRef>
              <c:f>'[Approved Provider Survey Analysis Live_TVDB_1206.xlsx]3.2'!$O$43:$R$43</c:f>
              <c:numCache>
                <c:formatCode>General</c:formatCode>
                <c:ptCount val="4"/>
                <c:pt idx="0">
                  <c:v>145</c:v>
                </c:pt>
                <c:pt idx="1">
                  <c:v>34</c:v>
                </c:pt>
                <c:pt idx="2">
                  <c:v>6</c:v>
                </c:pt>
                <c:pt idx="3">
                  <c:v>5</c:v>
                </c:pt>
              </c:numCache>
            </c:numRef>
          </c:val>
          <c:extLst>
            <c:ext xmlns:c16="http://schemas.microsoft.com/office/drawing/2014/chart" uri="{C3380CC4-5D6E-409C-BE32-E72D297353CC}">
              <c16:uniqueId val="{00000000-C593-4D0B-AFDD-CE06F3D1CD47}"/>
            </c:ext>
          </c:extLst>
        </c:ser>
        <c:ser>
          <c:idx val="1"/>
          <c:order val="1"/>
          <c:tx>
            <c:strRef>
              <c:f>'[Approved Provider Survey Analysis Live_TVDB_1206.xlsx]3.2'!$N$44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Live_TVDB_1206.xlsx]3.2'!$O$42:$R$42</c:f>
              <c:strCache>
                <c:ptCount val="4"/>
                <c:pt idx="0">
                  <c:v>Option 1</c:v>
                </c:pt>
                <c:pt idx="1">
                  <c:v>Option 2</c:v>
                </c:pt>
                <c:pt idx="2">
                  <c:v>Option 3</c:v>
                </c:pt>
                <c:pt idx="3">
                  <c:v>Option 4</c:v>
                </c:pt>
              </c:strCache>
            </c:strRef>
          </c:cat>
          <c:val>
            <c:numRef>
              <c:f>'[Approved Provider Survey Analysis Live_TVDB_1206.xlsx]3.2'!$O$44:$R$44</c:f>
              <c:numCache>
                <c:formatCode>General</c:formatCode>
                <c:ptCount val="4"/>
                <c:pt idx="0">
                  <c:v>5</c:v>
                </c:pt>
                <c:pt idx="1">
                  <c:v>100</c:v>
                </c:pt>
                <c:pt idx="2">
                  <c:v>43</c:v>
                </c:pt>
                <c:pt idx="3">
                  <c:v>29</c:v>
                </c:pt>
              </c:numCache>
            </c:numRef>
          </c:val>
          <c:extLst>
            <c:ext xmlns:c16="http://schemas.microsoft.com/office/drawing/2014/chart" uri="{C3380CC4-5D6E-409C-BE32-E72D297353CC}">
              <c16:uniqueId val="{00000001-C593-4D0B-AFDD-CE06F3D1CD47}"/>
            </c:ext>
          </c:extLst>
        </c:ser>
        <c:ser>
          <c:idx val="2"/>
          <c:order val="2"/>
          <c:tx>
            <c:strRef>
              <c:f>'[Approved Provider Survey Analysis Live_TVDB_1206.xlsx]3.2'!$N$45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Live_TVDB_1206.xlsx]3.2'!$O$42:$R$42</c:f>
              <c:strCache>
                <c:ptCount val="4"/>
                <c:pt idx="0">
                  <c:v>Option 1</c:v>
                </c:pt>
                <c:pt idx="1">
                  <c:v>Option 2</c:v>
                </c:pt>
                <c:pt idx="2">
                  <c:v>Option 3</c:v>
                </c:pt>
                <c:pt idx="3">
                  <c:v>Option 4</c:v>
                </c:pt>
              </c:strCache>
            </c:strRef>
          </c:cat>
          <c:val>
            <c:numRef>
              <c:f>'[Approved Provider Survey Analysis Live_TVDB_1206.xlsx]3.2'!$O$45:$R$45</c:f>
              <c:numCache>
                <c:formatCode>General</c:formatCode>
                <c:ptCount val="4"/>
                <c:pt idx="0">
                  <c:v>2</c:v>
                </c:pt>
                <c:pt idx="1">
                  <c:v>17</c:v>
                </c:pt>
                <c:pt idx="2">
                  <c:v>101</c:v>
                </c:pt>
                <c:pt idx="3">
                  <c:v>114</c:v>
                </c:pt>
              </c:numCache>
            </c:numRef>
          </c:val>
          <c:extLst>
            <c:ext xmlns:c16="http://schemas.microsoft.com/office/drawing/2014/chart" uri="{C3380CC4-5D6E-409C-BE32-E72D297353CC}">
              <c16:uniqueId val="{00000002-C593-4D0B-AFDD-CE06F3D1CD47}"/>
            </c:ext>
          </c:extLst>
        </c:ser>
        <c:dLbls>
          <c:dLblPos val="outEnd"/>
          <c:showLegendKey val="0"/>
          <c:showVal val="1"/>
          <c:showCatName val="0"/>
          <c:showSerName val="0"/>
          <c:showPercent val="0"/>
          <c:showBubbleSize val="0"/>
        </c:dLbls>
        <c:gapWidth val="219"/>
        <c:overlap val="-27"/>
        <c:axId val="1684662656"/>
        <c:axId val="1684647776"/>
      </c:barChart>
      <c:catAx>
        <c:axId val="168466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47776"/>
        <c:crosses val="autoZero"/>
        <c:auto val="1"/>
        <c:lblAlgn val="ctr"/>
        <c:lblOffset val="100"/>
        <c:noMultiLvlLbl val="0"/>
      </c:catAx>
      <c:valAx>
        <c:axId val="1684647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6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Live_TVDB.xlsx]3.2'!$N$35</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Live_TVDB.xlsx]3.2'!$O$34:$R$34</c:f>
              <c:strCache>
                <c:ptCount val="4"/>
                <c:pt idx="0">
                  <c:v>Option 1</c:v>
                </c:pt>
                <c:pt idx="1">
                  <c:v>Option 2</c:v>
                </c:pt>
                <c:pt idx="2">
                  <c:v>Option 3</c:v>
                </c:pt>
                <c:pt idx="3">
                  <c:v>Option 4</c:v>
                </c:pt>
              </c:strCache>
            </c:strRef>
          </c:cat>
          <c:val>
            <c:numRef>
              <c:f>'[Workforce Survey Analysis Live_TVDB.xlsx]3.2'!$O$35:$R$35</c:f>
              <c:numCache>
                <c:formatCode>General</c:formatCode>
                <c:ptCount val="4"/>
                <c:pt idx="0">
                  <c:v>148</c:v>
                </c:pt>
                <c:pt idx="1">
                  <c:v>46</c:v>
                </c:pt>
                <c:pt idx="2">
                  <c:v>10</c:v>
                </c:pt>
                <c:pt idx="3">
                  <c:v>9</c:v>
                </c:pt>
              </c:numCache>
            </c:numRef>
          </c:val>
          <c:extLst>
            <c:ext xmlns:c16="http://schemas.microsoft.com/office/drawing/2014/chart" uri="{C3380CC4-5D6E-409C-BE32-E72D297353CC}">
              <c16:uniqueId val="{00000000-C9DC-47F4-8B23-66884D4C7AF8}"/>
            </c:ext>
          </c:extLst>
        </c:ser>
        <c:ser>
          <c:idx val="1"/>
          <c:order val="1"/>
          <c:tx>
            <c:strRef>
              <c:f>'[Workforce Survey Analysis Live_TVDB.xlsx]3.2'!$N$36</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Live_TVDB.xlsx]3.2'!$O$34:$R$34</c:f>
              <c:strCache>
                <c:ptCount val="4"/>
                <c:pt idx="0">
                  <c:v>Option 1</c:v>
                </c:pt>
                <c:pt idx="1">
                  <c:v>Option 2</c:v>
                </c:pt>
                <c:pt idx="2">
                  <c:v>Option 3</c:v>
                </c:pt>
                <c:pt idx="3">
                  <c:v>Option 4</c:v>
                </c:pt>
              </c:strCache>
            </c:strRef>
          </c:cat>
          <c:val>
            <c:numRef>
              <c:f>'[Workforce Survey Analysis Live_TVDB.xlsx]3.2'!$O$36:$R$36</c:f>
              <c:numCache>
                <c:formatCode>General</c:formatCode>
                <c:ptCount val="4"/>
                <c:pt idx="0">
                  <c:v>8</c:v>
                </c:pt>
                <c:pt idx="1">
                  <c:v>95</c:v>
                </c:pt>
                <c:pt idx="2">
                  <c:v>53</c:v>
                </c:pt>
                <c:pt idx="3">
                  <c:v>37</c:v>
                </c:pt>
              </c:numCache>
            </c:numRef>
          </c:val>
          <c:extLst>
            <c:ext xmlns:c16="http://schemas.microsoft.com/office/drawing/2014/chart" uri="{C3380CC4-5D6E-409C-BE32-E72D297353CC}">
              <c16:uniqueId val="{00000001-C9DC-47F4-8B23-66884D4C7AF8}"/>
            </c:ext>
          </c:extLst>
        </c:ser>
        <c:ser>
          <c:idx val="2"/>
          <c:order val="2"/>
          <c:tx>
            <c:strRef>
              <c:f>'[Workforce Survey Analysis Live_TVDB.xlsx]3.2'!$N$37</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Live_TVDB.xlsx]3.2'!$O$34:$R$34</c:f>
              <c:strCache>
                <c:ptCount val="4"/>
                <c:pt idx="0">
                  <c:v>Option 1</c:v>
                </c:pt>
                <c:pt idx="1">
                  <c:v>Option 2</c:v>
                </c:pt>
                <c:pt idx="2">
                  <c:v>Option 3</c:v>
                </c:pt>
                <c:pt idx="3">
                  <c:v>Option 4</c:v>
                </c:pt>
              </c:strCache>
            </c:strRef>
          </c:cat>
          <c:val>
            <c:numRef>
              <c:f>'[Workforce Survey Analysis Live_TVDB.xlsx]3.2'!$O$37:$R$37</c:f>
              <c:numCache>
                <c:formatCode>General</c:formatCode>
                <c:ptCount val="4"/>
                <c:pt idx="0">
                  <c:v>2</c:v>
                </c:pt>
                <c:pt idx="1">
                  <c:v>14</c:v>
                </c:pt>
                <c:pt idx="2">
                  <c:v>93</c:v>
                </c:pt>
                <c:pt idx="3">
                  <c:v>110</c:v>
                </c:pt>
              </c:numCache>
            </c:numRef>
          </c:val>
          <c:extLst>
            <c:ext xmlns:c16="http://schemas.microsoft.com/office/drawing/2014/chart" uri="{C3380CC4-5D6E-409C-BE32-E72D297353CC}">
              <c16:uniqueId val="{00000002-C9DC-47F4-8B23-66884D4C7AF8}"/>
            </c:ext>
          </c:extLst>
        </c:ser>
        <c:dLbls>
          <c:dLblPos val="outEnd"/>
          <c:showLegendKey val="0"/>
          <c:showVal val="1"/>
          <c:showCatName val="0"/>
          <c:showSerName val="0"/>
          <c:showPercent val="0"/>
          <c:showBubbleSize val="0"/>
        </c:dLbls>
        <c:gapWidth val="219"/>
        <c:overlap val="-27"/>
        <c:axId val="547542255"/>
        <c:axId val="547538895"/>
      </c:barChart>
      <c:catAx>
        <c:axId val="547542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7538895"/>
        <c:crosses val="autoZero"/>
        <c:auto val="1"/>
        <c:lblAlgn val="ctr"/>
        <c:lblOffset val="100"/>
        <c:noMultiLvlLbl val="0"/>
      </c:catAx>
      <c:valAx>
        <c:axId val="5475388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7542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Live_TVDB.xlsx]3.2'!$N$40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Live_TVDB.xlsx]3.2'!$O$39:$R$39</c:f>
              <c:strCache>
                <c:ptCount val="4"/>
                <c:pt idx="0">
                  <c:v>Option 1</c:v>
                </c:pt>
                <c:pt idx="1">
                  <c:v>Option 2</c:v>
                </c:pt>
                <c:pt idx="2">
                  <c:v>Option 3</c:v>
                </c:pt>
                <c:pt idx="3">
                  <c:v>Option 4</c:v>
                </c:pt>
              </c:strCache>
            </c:strRef>
          </c:cat>
          <c:val>
            <c:numRef>
              <c:f>'[Families Survey Analysis Live_TVDB.xlsx]3.2'!$O$40:$R$40</c:f>
              <c:numCache>
                <c:formatCode>General</c:formatCode>
                <c:ptCount val="4"/>
                <c:pt idx="0">
                  <c:v>75</c:v>
                </c:pt>
                <c:pt idx="1">
                  <c:v>27</c:v>
                </c:pt>
                <c:pt idx="2">
                  <c:v>6</c:v>
                </c:pt>
                <c:pt idx="3">
                  <c:v>3</c:v>
                </c:pt>
              </c:numCache>
            </c:numRef>
          </c:val>
          <c:extLst>
            <c:ext xmlns:c16="http://schemas.microsoft.com/office/drawing/2014/chart" uri="{C3380CC4-5D6E-409C-BE32-E72D297353CC}">
              <c16:uniqueId val="{00000000-BC27-462A-AC92-87F3106DB05E}"/>
            </c:ext>
          </c:extLst>
        </c:ser>
        <c:ser>
          <c:idx val="1"/>
          <c:order val="1"/>
          <c:tx>
            <c:strRef>
              <c:f>'[Families Survey Analysis Live_TVDB.xlsx]3.2'!$N$41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Live_TVDB.xlsx]3.2'!$O$39:$R$39</c:f>
              <c:strCache>
                <c:ptCount val="4"/>
                <c:pt idx="0">
                  <c:v>Option 1</c:v>
                </c:pt>
                <c:pt idx="1">
                  <c:v>Option 2</c:v>
                </c:pt>
                <c:pt idx="2">
                  <c:v>Option 3</c:v>
                </c:pt>
                <c:pt idx="3">
                  <c:v>Option 4</c:v>
                </c:pt>
              </c:strCache>
            </c:strRef>
          </c:cat>
          <c:val>
            <c:numRef>
              <c:f>'[Families Survey Analysis Live_TVDB.xlsx]3.2'!$O$41:$R$41</c:f>
              <c:numCache>
                <c:formatCode>General</c:formatCode>
                <c:ptCount val="4"/>
                <c:pt idx="0">
                  <c:v>3</c:v>
                </c:pt>
                <c:pt idx="1">
                  <c:v>47</c:v>
                </c:pt>
                <c:pt idx="2">
                  <c:v>19</c:v>
                </c:pt>
                <c:pt idx="3">
                  <c:v>12</c:v>
                </c:pt>
              </c:numCache>
            </c:numRef>
          </c:val>
          <c:extLst>
            <c:ext xmlns:c16="http://schemas.microsoft.com/office/drawing/2014/chart" uri="{C3380CC4-5D6E-409C-BE32-E72D297353CC}">
              <c16:uniqueId val="{00000001-BC27-462A-AC92-87F3106DB05E}"/>
            </c:ext>
          </c:extLst>
        </c:ser>
        <c:ser>
          <c:idx val="2"/>
          <c:order val="2"/>
          <c:tx>
            <c:strRef>
              <c:f>'[Families Survey Analysis Live_TVDB.xlsx]3.2'!$N$42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Live_TVDB.xlsx]3.2'!$O$39:$R$39</c:f>
              <c:strCache>
                <c:ptCount val="4"/>
                <c:pt idx="0">
                  <c:v>Option 1</c:v>
                </c:pt>
                <c:pt idx="1">
                  <c:v>Option 2</c:v>
                </c:pt>
                <c:pt idx="2">
                  <c:v>Option 3</c:v>
                </c:pt>
                <c:pt idx="3">
                  <c:v>Option 4</c:v>
                </c:pt>
              </c:strCache>
            </c:strRef>
          </c:cat>
          <c:val>
            <c:numRef>
              <c:f>'[Families Survey Analysis Live_TVDB.xlsx]3.2'!$O$42:$R$42</c:f>
              <c:numCache>
                <c:formatCode>General</c:formatCode>
                <c:ptCount val="4"/>
                <c:pt idx="0">
                  <c:v>0</c:v>
                </c:pt>
                <c:pt idx="1">
                  <c:v>4</c:v>
                </c:pt>
                <c:pt idx="2">
                  <c:v>53</c:v>
                </c:pt>
                <c:pt idx="3">
                  <c:v>62</c:v>
                </c:pt>
              </c:numCache>
            </c:numRef>
          </c:val>
          <c:extLst>
            <c:ext xmlns:c16="http://schemas.microsoft.com/office/drawing/2014/chart" uri="{C3380CC4-5D6E-409C-BE32-E72D297353CC}">
              <c16:uniqueId val="{00000002-BC27-462A-AC92-87F3106DB05E}"/>
            </c:ext>
          </c:extLst>
        </c:ser>
        <c:dLbls>
          <c:dLblPos val="outEnd"/>
          <c:showLegendKey val="0"/>
          <c:showVal val="1"/>
          <c:showCatName val="0"/>
          <c:showSerName val="0"/>
          <c:showPercent val="0"/>
          <c:showBubbleSize val="0"/>
        </c:dLbls>
        <c:gapWidth val="219"/>
        <c:overlap val="-27"/>
        <c:axId val="1072195024"/>
        <c:axId val="1072191184"/>
      </c:barChart>
      <c:catAx>
        <c:axId val="107219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2191184"/>
        <c:crosses val="autoZero"/>
        <c:auto val="1"/>
        <c:lblAlgn val="ctr"/>
        <c:lblOffset val="100"/>
        <c:noMultiLvlLbl val="0"/>
      </c:catAx>
      <c:valAx>
        <c:axId val="10721911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219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870878171158441E-2"/>
          <c:y val="5.0069584895543806E-2"/>
          <c:w val="0.89698463223114866"/>
          <c:h val="0.56495970121205197"/>
        </c:manualLayout>
      </c:layout>
      <c:barChart>
        <c:barDir val="bar"/>
        <c:grouping val="percentStacked"/>
        <c:varyColors val="0"/>
        <c:ser>
          <c:idx val="0"/>
          <c:order val="0"/>
          <c:tx>
            <c:strRef>
              <c:f>'[Approved Provider Survey Analysis Live_TVDB_1206.xlsx]3.2'!$N$22</c:f>
              <c:strCache>
                <c:ptCount val="1"/>
                <c:pt idx="0">
                  <c:v>Option 1</c:v>
                </c:pt>
              </c:strCache>
            </c:strRef>
          </c:tx>
          <c:spPr>
            <a:solidFill>
              <a:schemeClr val="accent1"/>
            </a:solidFill>
            <a:ln>
              <a:noFill/>
            </a:ln>
            <a:effectLst/>
          </c:spPr>
          <c:invertIfNegative val="0"/>
          <c:dLbls>
            <c:dLbl>
              <c:idx val="0"/>
              <c:layout>
                <c:manualLayout>
                  <c:x val="0"/>
                  <c:y val="-0.171884591774094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81-4217-83EE-2FD186CFC56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Live_TVDB_1206.xlsx]3.2'!$O$22</c:f>
              <c:numCache>
                <c:formatCode>0%</c:formatCode>
                <c:ptCount val="1"/>
                <c:pt idx="0">
                  <c:v>2.5974025974025976E-2</c:v>
                </c:pt>
              </c:numCache>
            </c:numRef>
          </c:val>
          <c:extLst>
            <c:ext xmlns:c16="http://schemas.microsoft.com/office/drawing/2014/chart" uri="{C3380CC4-5D6E-409C-BE32-E72D297353CC}">
              <c16:uniqueId val="{00000000-9C81-4217-83EE-2FD186CFC560}"/>
            </c:ext>
          </c:extLst>
        </c:ser>
        <c:ser>
          <c:idx val="1"/>
          <c:order val="1"/>
          <c:tx>
            <c:strRef>
              <c:f>'[Approved Provider Survey Analysis Live_TVDB_1206.xlsx]3.2'!$N$23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Live_TVDB_1206.xlsx]3.2'!$O$23</c:f>
              <c:numCache>
                <c:formatCode>0%</c:formatCode>
                <c:ptCount val="1"/>
                <c:pt idx="0">
                  <c:v>4.5454545454545456E-2</c:v>
                </c:pt>
              </c:numCache>
            </c:numRef>
          </c:val>
          <c:extLst>
            <c:ext xmlns:c16="http://schemas.microsoft.com/office/drawing/2014/chart" uri="{C3380CC4-5D6E-409C-BE32-E72D297353CC}">
              <c16:uniqueId val="{00000001-9C81-4217-83EE-2FD186CFC560}"/>
            </c:ext>
          </c:extLst>
        </c:ser>
        <c:ser>
          <c:idx val="2"/>
          <c:order val="2"/>
          <c:tx>
            <c:strRef>
              <c:f>'[Approved Provider Survey Analysis Live_TVDB_1206.xlsx]3.2'!$N$24</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Live_TVDB_1206.xlsx]3.2'!$O$24</c:f>
              <c:numCache>
                <c:formatCode>0%</c:formatCode>
                <c:ptCount val="1"/>
                <c:pt idx="0">
                  <c:v>0.11038961038961038</c:v>
                </c:pt>
              </c:numCache>
            </c:numRef>
          </c:val>
          <c:extLst>
            <c:ext xmlns:c16="http://schemas.microsoft.com/office/drawing/2014/chart" uri="{C3380CC4-5D6E-409C-BE32-E72D297353CC}">
              <c16:uniqueId val="{00000002-9C81-4217-83EE-2FD186CFC560}"/>
            </c:ext>
          </c:extLst>
        </c:ser>
        <c:ser>
          <c:idx val="3"/>
          <c:order val="3"/>
          <c:tx>
            <c:strRef>
              <c:f>'[Approved Provider Survey Analysis Live_TVDB_1206.xlsx]3.2'!$N$25</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Live_TVDB_1206.xlsx]3.2'!$O$25</c:f>
              <c:numCache>
                <c:formatCode>0%</c:formatCode>
                <c:ptCount val="1"/>
                <c:pt idx="0">
                  <c:v>0.31818181818181818</c:v>
                </c:pt>
              </c:numCache>
            </c:numRef>
          </c:val>
          <c:extLst>
            <c:ext xmlns:c16="http://schemas.microsoft.com/office/drawing/2014/chart" uri="{C3380CC4-5D6E-409C-BE32-E72D297353CC}">
              <c16:uniqueId val="{00000003-9C81-4217-83EE-2FD186CFC560}"/>
            </c:ext>
          </c:extLst>
        </c:ser>
        <c:ser>
          <c:idx val="4"/>
          <c:order val="4"/>
          <c:tx>
            <c:strRef>
              <c:f>'[Approved Provider Survey Analysis Live_TVDB_1206.xlsx]3.2'!$N$26</c:f>
              <c:strCache>
                <c:ptCount val="1"/>
                <c:pt idx="0">
                  <c:v>Options 2 and 3</c:v>
                </c:pt>
              </c:strCache>
            </c:strRef>
          </c:tx>
          <c:spPr>
            <a:pattFill prst="wdDnDiag">
              <a:fgClr>
                <a:schemeClr val="accent3"/>
              </a:fgClr>
              <a:bgClr>
                <a:schemeClr val="bg1"/>
              </a:bgClr>
            </a:pattFill>
            <a:ln>
              <a:noFill/>
            </a:ln>
            <a:effectLst/>
          </c:spPr>
          <c:invertIfNegative val="0"/>
          <c:dLbls>
            <c:dLbl>
              <c:idx val="0"/>
              <c:layout>
                <c:manualLayout>
                  <c:x val="0"/>
                  <c:y val="-0.178023327194597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81-4217-83EE-2FD186CFC56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Live_TVDB_1206.xlsx]3.2'!$O$26</c:f>
              <c:numCache>
                <c:formatCode>0%</c:formatCode>
                <c:ptCount val="1"/>
                <c:pt idx="0">
                  <c:v>1.2987012987012988E-2</c:v>
                </c:pt>
              </c:numCache>
            </c:numRef>
          </c:val>
          <c:extLst>
            <c:ext xmlns:c16="http://schemas.microsoft.com/office/drawing/2014/chart" uri="{C3380CC4-5D6E-409C-BE32-E72D297353CC}">
              <c16:uniqueId val="{00000004-9C81-4217-83EE-2FD186CFC560}"/>
            </c:ext>
          </c:extLst>
        </c:ser>
        <c:ser>
          <c:idx val="5"/>
          <c:order val="5"/>
          <c:tx>
            <c:strRef>
              <c:f>'[Approved Provider Survey Analysis Live_TVDB_1206.xlsx]3.2'!$N$27</c:f>
              <c:strCache>
                <c:ptCount val="1"/>
                <c:pt idx="0">
                  <c:v>Options 2 and 4</c:v>
                </c:pt>
              </c:strCache>
            </c:strRef>
          </c:tx>
          <c:spPr>
            <a:solidFill>
              <a:schemeClr val="accent6"/>
            </a:solidFill>
            <a:ln>
              <a:noFill/>
            </a:ln>
            <a:effectLst/>
          </c:spPr>
          <c:invertIfNegative val="0"/>
          <c:dLbls>
            <c:dLbl>
              <c:idx val="0"/>
              <c:layout>
                <c:manualLayout>
                  <c:x val="2.2172949002217297E-2"/>
                  <c:y val="-0.190300798035604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81-4217-83EE-2FD186CFC56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Live_TVDB_1206.xlsx]3.2'!$O$27</c:f>
              <c:numCache>
                <c:formatCode>0%</c:formatCode>
                <c:ptCount val="1"/>
                <c:pt idx="0">
                  <c:v>3.2467532467532464E-2</c:v>
                </c:pt>
              </c:numCache>
            </c:numRef>
          </c:val>
          <c:extLst>
            <c:ext xmlns:c16="http://schemas.microsoft.com/office/drawing/2014/chart" uri="{C3380CC4-5D6E-409C-BE32-E72D297353CC}">
              <c16:uniqueId val="{00000005-9C81-4217-83EE-2FD186CFC560}"/>
            </c:ext>
          </c:extLst>
        </c:ser>
        <c:ser>
          <c:idx val="6"/>
          <c:order val="6"/>
          <c:tx>
            <c:strRef>
              <c:f>'[Approved Provider Survey Analysis Live_TVDB_1206.xlsx]3.2'!$N$28</c:f>
              <c:strCache>
                <c:ptCount val="1"/>
                <c:pt idx="0">
                  <c:v>Options 3 and 4</c:v>
                </c:pt>
              </c:strCache>
            </c:strRef>
          </c:tx>
          <c:spPr>
            <a:pattFill prst="wdDnDiag">
              <a:fgClr>
                <a:srgbClr val="006B77"/>
              </a:fgClr>
              <a:bgClr>
                <a:schemeClr val="bg1"/>
              </a:bgClr>
            </a:pattFill>
            <a:ln>
              <a:noFill/>
            </a:ln>
            <a:effectLst/>
          </c:spPr>
          <c:invertIfNegative val="0"/>
          <c:dPt>
            <c:idx val="0"/>
            <c:invertIfNegative val="0"/>
            <c:bubble3D val="0"/>
            <c:spPr>
              <a:pattFill prst="wdDnDiag">
                <a:fgClr>
                  <a:srgbClr val="006B77"/>
                </a:fgClr>
                <a:bgClr>
                  <a:schemeClr val="bg1"/>
                </a:bgClr>
              </a:pattFill>
              <a:ln>
                <a:noFill/>
              </a:ln>
              <a:effectLst/>
            </c:spPr>
            <c:extLst>
              <c:ext xmlns:c16="http://schemas.microsoft.com/office/drawing/2014/chart" uri="{C3380CC4-5D6E-409C-BE32-E72D297353CC}">
                <c16:uniqueId val="{0000000B-9C81-4217-83EE-2FD186CFC560}"/>
              </c:ext>
            </c:extLst>
          </c:dPt>
          <c:dLbls>
            <c:dLbl>
              <c:idx val="0"/>
              <c:spPr>
                <a:solidFill>
                  <a:schemeClr val="bg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B-9C81-4217-83EE-2FD186CFC560}"/>
                </c:ext>
              </c:extLst>
            </c:dLbl>
            <c:spPr>
              <a:solidFill>
                <a:schemeClr val="bg2"/>
              </a:soli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Live_TVDB_1206.xlsx]3.2'!$O$28</c:f>
              <c:numCache>
                <c:formatCode>0%</c:formatCode>
                <c:ptCount val="1"/>
                <c:pt idx="0">
                  <c:v>0.24025974025974026</c:v>
                </c:pt>
              </c:numCache>
            </c:numRef>
          </c:val>
          <c:extLst>
            <c:ext xmlns:c16="http://schemas.microsoft.com/office/drawing/2014/chart" uri="{C3380CC4-5D6E-409C-BE32-E72D297353CC}">
              <c16:uniqueId val="{00000006-9C81-4217-83EE-2FD186CFC560}"/>
            </c:ext>
          </c:extLst>
        </c:ser>
        <c:ser>
          <c:idx val="7"/>
          <c:order val="7"/>
          <c:tx>
            <c:strRef>
              <c:f>'[Approved Provider Survey Analysis Live_TVDB_1206.xlsx]3.2'!$N$29</c:f>
              <c:strCache>
                <c:ptCount val="1"/>
                <c:pt idx="0">
                  <c:v>Options 2, 3 and 4</c:v>
                </c:pt>
              </c:strCache>
            </c:strRef>
          </c:tx>
          <c:spPr>
            <a:pattFill prst="wdDnDiag">
              <a:fgClr>
                <a:schemeClr val="accent6">
                  <a:lumMod val="60000"/>
                  <a:lumOff val="40000"/>
                </a:schemeClr>
              </a:fgClr>
              <a:bgClr>
                <a:schemeClr val="bg1"/>
              </a:bgClr>
            </a:pattFill>
            <a:ln>
              <a:noFill/>
            </a:ln>
            <a:effectLst/>
          </c:spPr>
          <c:invertIfNegative val="0"/>
          <c:dLbls>
            <c:spPr>
              <a:solidFill>
                <a:schemeClr val="accent6">
                  <a:lumMod val="60000"/>
                  <a:lumOff val="40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Live_TVDB_1206.xlsx]3.2'!$O$29</c:f>
              <c:numCache>
                <c:formatCode>0%</c:formatCode>
                <c:ptCount val="1"/>
                <c:pt idx="0">
                  <c:v>0.21428571428571427</c:v>
                </c:pt>
              </c:numCache>
            </c:numRef>
          </c:val>
          <c:extLst>
            <c:ext xmlns:c16="http://schemas.microsoft.com/office/drawing/2014/chart" uri="{C3380CC4-5D6E-409C-BE32-E72D297353CC}">
              <c16:uniqueId val="{00000007-9C81-4217-83EE-2FD186CFC560}"/>
            </c:ext>
          </c:extLst>
        </c:ser>
        <c:dLbls>
          <c:dLblPos val="ctr"/>
          <c:showLegendKey val="0"/>
          <c:showVal val="1"/>
          <c:showCatName val="0"/>
          <c:showSerName val="0"/>
          <c:showPercent val="0"/>
          <c:showBubbleSize val="0"/>
        </c:dLbls>
        <c:gapWidth val="150"/>
        <c:overlap val="100"/>
        <c:axId val="1469004928"/>
        <c:axId val="1469001568"/>
      </c:barChart>
      <c:catAx>
        <c:axId val="1469004928"/>
        <c:scaling>
          <c:orientation val="minMax"/>
        </c:scaling>
        <c:delete val="1"/>
        <c:axPos val="l"/>
        <c:numFmt formatCode="General" sourceLinked="1"/>
        <c:majorTickMark val="none"/>
        <c:minorTickMark val="none"/>
        <c:tickLblPos val="nextTo"/>
        <c:crossAx val="1469001568"/>
        <c:crosses val="autoZero"/>
        <c:auto val="1"/>
        <c:lblAlgn val="ctr"/>
        <c:lblOffset val="100"/>
        <c:noMultiLvlLbl val="0"/>
      </c:catAx>
      <c:valAx>
        <c:axId val="146900156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900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Live_TVDB.xlsx]3.2'!$N$22</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Live_TVDB.xlsx]3.2'!$O$22</c:f>
              <c:numCache>
                <c:formatCode>0%</c:formatCode>
                <c:ptCount val="1"/>
                <c:pt idx="0">
                  <c:v>4.6357615894039736E-2</c:v>
                </c:pt>
              </c:numCache>
            </c:numRef>
          </c:val>
          <c:extLst>
            <c:ext xmlns:c16="http://schemas.microsoft.com/office/drawing/2014/chart" uri="{C3380CC4-5D6E-409C-BE32-E72D297353CC}">
              <c16:uniqueId val="{00000000-3463-4EC6-9A14-E83640EE9D34}"/>
            </c:ext>
          </c:extLst>
        </c:ser>
        <c:ser>
          <c:idx val="1"/>
          <c:order val="1"/>
          <c:tx>
            <c:strRef>
              <c:f>'[Workforce Survey Analysis Live_TVDB.xlsx]3.2'!$N$23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Live_TVDB.xlsx]3.2'!$O$23</c:f>
              <c:numCache>
                <c:formatCode>0%</c:formatCode>
                <c:ptCount val="1"/>
                <c:pt idx="0">
                  <c:v>7.2847682119205295E-2</c:v>
                </c:pt>
              </c:numCache>
            </c:numRef>
          </c:val>
          <c:extLst>
            <c:ext xmlns:c16="http://schemas.microsoft.com/office/drawing/2014/chart" uri="{C3380CC4-5D6E-409C-BE32-E72D297353CC}">
              <c16:uniqueId val="{00000001-3463-4EC6-9A14-E83640EE9D34}"/>
            </c:ext>
          </c:extLst>
        </c:ser>
        <c:ser>
          <c:idx val="2"/>
          <c:order val="2"/>
          <c:tx>
            <c:strRef>
              <c:f>'[Workforce Survey Analysis Live_TVDB.xlsx]3.2'!$N$24</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Live_TVDB.xlsx]3.2'!$O$24</c:f>
              <c:numCache>
                <c:formatCode>0%</c:formatCode>
                <c:ptCount val="1"/>
                <c:pt idx="0">
                  <c:v>0.13245033112582782</c:v>
                </c:pt>
              </c:numCache>
            </c:numRef>
          </c:val>
          <c:extLst>
            <c:ext xmlns:c16="http://schemas.microsoft.com/office/drawing/2014/chart" uri="{C3380CC4-5D6E-409C-BE32-E72D297353CC}">
              <c16:uniqueId val="{00000002-3463-4EC6-9A14-E83640EE9D34}"/>
            </c:ext>
          </c:extLst>
        </c:ser>
        <c:ser>
          <c:idx val="3"/>
          <c:order val="3"/>
          <c:tx>
            <c:strRef>
              <c:f>'[Workforce Survey Analysis Live_TVDB.xlsx]3.2'!$N$25</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Live_TVDB.xlsx]3.2'!$O$25</c:f>
              <c:numCache>
                <c:formatCode>0%</c:formatCode>
                <c:ptCount val="1"/>
                <c:pt idx="0">
                  <c:v>0.25827814569536423</c:v>
                </c:pt>
              </c:numCache>
            </c:numRef>
          </c:val>
          <c:extLst>
            <c:ext xmlns:c16="http://schemas.microsoft.com/office/drawing/2014/chart" uri="{C3380CC4-5D6E-409C-BE32-E72D297353CC}">
              <c16:uniqueId val="{00000003-3463-4EC6-9A14-E83640EE9D34}"/>
            </c:ext>
          </c:extLst>
        </c:ser>
        <c:ser>
          <c:idx val="4"/>
          <c:order val="4"/>
          <c:tx>
            <c:strRef>
              <c:f>'[Workforce Survey Analysis Live_TVDB.xlsx]3.2'!$N$26</c:f>
              <c:strCache>
                <c:ptCount val="1"/>
                <c:pt idx="0">
                  <c:v>Options 2 and 3</c:v>
                </c:pt>
              </c:strCache>
            </c:strRef>
          </c:tx>
          <c:spPr>
            <a:pattFill prst="wdDnDiag">
              <a:fgClr>
                <a:schemeClr val="accent3"/>
              </a:fgClr>
              <a:bgClr>
                <a:schemeClr val="bg1"/>
              </a:bgClr>
            </a:pattFill>
            <a:ln>
              <a:noFill/>
            </a:ln>
            <a:effectLst/>
          </c:spPr>
          <c:invertIfNegative val="0"/>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Live_TVDB.xlsx]3.2'!$O$26</c:f>
              <c:numCache>
                <c:formatCode>0%</c:formatCode>
                <c:ptCount val="1"/>
                <c:pt idx="0">
                  <c:v>6.6225165562913912E-2</c:v>
                </c:pt>
              </c:numCache>
            </c:numRef>
          </c:val>
          <c:extLst>
            <c:ext xmlns:c16="http://schemas.microsoft.com/office/drawing/2014/chart" uri="{C3380CC4-5D6E-409C-BE32-E72D297353CC}">
              <c16:uniqueId val="{00000004-3463-4EC6-9A14-E83640EE9D34}"/>
            </c:ext>
          </c:extLst>
        </c:ser>
        <c:ser>
          <c:idx val="5"/>
          <c:order val="5"/>
          <c:tx>
            <c:strRef>
              <c:f>'[Workforce Survey Analysis Live_TVDB.xlsx]3.2'!$N$27</c:f>
              <c:strCache>
                <c:ptCount val="1"/>
                <c:pt idx="0">
                  <c:v>Options 2 and 4</c:v>
                </c:pt>
              </c:strCache>
            </c:strRef>
          </c:tx>
          <c:spPr>
            <a:solidFill>
              <a:schemeClr val="accent6"/>
            </a:solidFill>
            <a:ln>
              <a:noFill/>
            </a:ln>
            <a:effectLst/>
          </c:spPr>
          <c:invertIfNegative val="0"/>
          <c:dLbls>
            <c:dLbl>
              <c:idx val="0"/>
              <c:layout>
                <c:manualLayout>
                  <c:x val="0"/>
                  <c:y val="-0.1222867624579639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63-4EC6-9A14-E83640EE9D3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Live_TVDB.xlsx]3.2'!$O$27</c:f>
              <c:numCache>
                <c:formatCode>0%</c:formatCode>
                <c:ptCount val="1"/>
                <c:pt idx="0">
                  <c:v>1.9867549668874173E-2</c:v>
                </c:pt>
              </c:numCache>
            </c:numRef>
          </c:val>
          <c:extLst>
            <c:ext xmlns:c16="http://schemas.microsoft.com/office/drawing/2014/chart" uri="{C3380CC4-5D6E-409C-BE32-E72D297353CC}">
              <c16:uniqueId val="{00000005-3463-4EC6-9A14-E83640EE9D34}"/>
            </c:ext>
          </c:extLst>
        </c:ser>
        <c:ser>
          <c:idx val="6"/>
          <c:order val="6"/>
          <c:tx>
            <c:strRef>
              <c:f>'[Workforce Survey Analysis Live_TVDB.xlsx]3.2'!$N$28</c:f>
              <c:strCache>
                <c:ptCount val="1"/>
                <c:pt idx="0">
                  <c:v>Options 3 and 4</c:v>
                </c:pt>
              </c:strCache>
            </c:strRef>
          </c:tx>
          <c:spPr>
            <a:pattFill prst="wdDnDiag">
              <a:fgClr>
                <a:schemeClr val="accent1"/>
              </a:fgClr>
              <a:bgClr>
                <a:schemeClr val="bg1"/>
              </a:bgClr>
            </a:pattFill>
            <a:ln>
              <a:noFill/>
            </a:ln>
            <a:effectLst/>
          </c:spPr>
          <c:invertIfNegative val="0"/>
          <c:dLbls>
            <c:spPr>
              <a:solidFill>
                <a:schemeClr val="accent1"/>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Live_TVDB.xlsx]3.2'!$O$28</c:f>
              <c:numCache>
                <c:formatCode>0%</c:formatCode>
                <c:ptCount val="1"/>
                <c:pt idx="0">
                  <c:v>0.2119205298013245</c:v>
                </c:pt>
              </c:numCache>
            </c:numRef>
          </c:val>
          <c:extLst>
            <c:ext xmlns:c16="http://schemas.microsoft.com/office/drawing/2014/chart" uri="{C3380CC4-5D6E-409C-BE32-E72D297353CC}">
              <c16:uniqueId val="{00000006-3463-4EC6-9A14-E83640EE9D34}"/>
            </c:ext>
          </c:extLst>
        </c:ser>
        <c:ser>
          <c:idx val="7"/>
          <c:order val="7"/>
          <c:tx>
            <c:strRef>
              <c:f>'[Workforce Survey Analysis Live_TVDB.xlsx]3.2'!$N$29</c:f>
              <c:strCache>
                <c:ptCount val="1"/>
                <c:pt idx="0">
                  <c:v>Options 2, 3 and 4</c:v>
                </c:pt>
              </c:strCache>
            </c:strRef>
          </c:tx>
          <c:spPr>
            <a:pattFill prst="wdDnDiag">
              <a:fgClr>
                <a:schemeClr val="accent6">
                  <a:lumMod val="60000"/>
                  <a:lumOff val="40000"/>
                </a:schemeClr>
              </a:fgClr>
              <a:bgClr>
                <a:schemeClr val="bg1"/>
              </a:bgClr>
            </a:pattFill>
            <a:ln>
              <a:noFill/>
            </a:ln>
            <a:effectLst/>
          </c:spPr>
          <c:invertIfNegative val="0"/>
          <c:dLbls>
            <c:spPr>
              <a:solidFill>
                <a:schemeClr val="accent6">
                  <a:lumMod val="60000"/>
                  <a:lumOff val="40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Live_TVDB.xlsx]3.2'!$O$29</c:f>
              <c:numCache>
                <c:formatCode>0%</c:formatCode>
                <c:ptCount val="1"/>
                <c:pt idx="0">
                  <c:v>0.19205298013245034</c:v>
                </c:pt>
              </c:numCache>
            </c:numRef>
          </c:val>
          <c:extLst>
            <c:ext xmlns:c16="http://schemas.microsoft.com/office/drawing/2014/chart" uri="{C3380CC4-5D6E-409C-BE32-E72D297353CC}">
              <c16:uniqueId val="{00000007-3463-4EC6-9A14-E83640EE9D34}"/>
            </c:ext>
          </c:extLst>
        </c:ser>
        <c:dLbls>
          <c:dLblPos val="ctr"/>
          <c:showLegendKey val="0"/>
          <c:showVal val="1"/>
          <c:showCatName val="0"/>
          <c:showSerName val="0"/>
          <c:showPercent val="0"/>
          <c:showBubbleSize val="0"/>
        </c:dLbls>
        <c:gapWidth val="150"/>
        <c:overlap val="100"/>
        <c:axId val="396966415"/>
        <c:axId val="396966895"/>
      </c:barChart>
      <c:catAx>
        <c:axId val="396966415"/>
        <c:scaling>
          <c:orientation val="minMax"/>
        </c:scaling>
        <c:delete val="1"/>
        <c:axPos val="l"/>
        <c:numFmt formatCode="General" sourceLinked="1"/>
        <c:majorTickMark val="none"/>
        <c:minorTickMark val="none"/>
        <c:tickLblPos val="nextTo"/>
        <c:crossAx val="396966895"/>
        <c:crosses val="autoZero"/>
        <c:auto val="1"/>
        <c:lblAlgn val="ctr"/>
        <c:lblOffset val="100"/>
        <c:noMultiLvlLbl val="0"/>
      </c:catAx>
      <c:valAx>
        <c:axId val="3969668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96966415"/>
        <c:crosses val="autoZero"/>
        <c:crossBetween val="between"/>
      </c:valAx>
      <c:spPr>
        <a:noFill/>
        <a:ln>
          <a:noFill/>
        </a:ln>
        <a:effectLst/>
      </c:spPr>
    </c:plotArea>
    <c:legend>
      <c:legendPos val="b"/>
      <c:layout>
        <c:manualLayout>
          <c:xMode val="edge"/>
          <c:yMode val="edge"/>
          <c:x val="0.13315573053368329"/>
          <c:y val="0.82774457239087884"/>
          <c:w val="0.73288636903247362"/>
          <c:h val="0.172255239076623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Live_TVDB.xlsx]3.2'!$N$23</c:f>
              <c:strCache>
                <c:ptCount val="1"/>
                <c:pt idx="0">
                  <c:v>Option 1</c:v>
                </c:pt>
              </c:strCache>
            </c:strRef>
          </c:tx>
          <c:spPr>
            <a:solidFill>
              <a:schemeClr val="accent1"/>
            </a:solidFill>
            <a:ln>
              <a:noFill/>
            </a:ln>
            <a:effectLst/>
          </c:spPr>
          <c:invertIfNegative val="0"/>
          <c:dLbls>
            <c:delete val="1"/>
          </c:dLbls>
          <c:val>
            <c:numRef>
              <c:f>'[Families Survey Analysis Live_TVDB.xlsx]3.2'!$O$23</c:f>
              <c:numCache>
                <c:formatCode>0%</c:formatCode>
                <c:ptCount val="1"/>
                <c:pt idx="0">
                  <c:v>0</c:v>
                </c:pt>
              </c:numCache>
            </c:numRef>
          </c:val>
          <c:extLst>
            <c:ext xmlns:c16="http://schemas.microsoft.com/office/drawing/2014/chart" uri="{C3380CC4-5D6E-409C-BE32-E72D297353CC}">
              <c16:uniqueId val="{00000000-33C1-42ED-A172-FDEE65CCCA7F}"/>
            </c:ext>
          </c:extLst>
        </c:ser>
        <c:ser>
          <c:idx val="1"/>
          <c:order val="1"/>
          <c:tx>
            <c:strRef>
              <c:f>'[Families Survey Analysis Live_TVDB.xlsx]3.2'!$N$24</c:f>
              <c:strCache>
                <c:ptCount val="1"/>
                <c:pt idx="0">
                  <c:v>Option 2</c:v>
                </c:pt>
              </c:strCache>
            </c:strRef>
          </c:tx>
          <c:spPr>
            <a:solidFill>
              <a:schemeClr val="accent2"/>
            </a:solidFill>
            <a:ln>
              <a:noFill/>
            </a:ln>
            <a:effectLst/>
          </c:spPr>
          <c:invertIfNegative val="0"/>
          <c:dLbls>
            <c:dLbl>
              <c:idx val="0"/>
              <c:layout>
                <c:manualLayout>
                  <c:x val="0"/>
                  <c:y val="-0.1605888256942121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C1-42ED-A172-FDEE65CCCA7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Live_TVDB.xlsx]3.2'!$O$24</c:f>
              <c:numCache>
                <c:formatCode>0%</c:formatCode>
                <c:ptCount val="1"/>
                <c:pt idx="0">
                  <c:v>1.3698630136986301E-2</c:v>
                </c:pt>
              </c:numCache>
            </c:numRef>
          </c:val>
          <c:extLst>
            <c:ext xmlns:c16="http://schemas.microsoft.com/office/drawing/2014/chart" uri="{C3380CC4-5D6E-409C-BE32-E72D297353CC}">
              <c16:uniqueId val="{00000001-33C1-42ED-A172-FDEE65CCCA7F}"/>
            </c:ext>
          </c:extLst>
        </c:ser>
        <c:ser>
          <c:idx val="2"/>
          <c:order val="2"/>
          <c:tx>
            <c:strRef>
              <c:f>'[Families Survey Analysis Live_TVDB.xlsx]3.2'!$N$25</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Live_TVDB.xlsx]3.2'!$O$25</c:f>
              <c:numCache>
                <c:formatCode>0%</c:formatCode>
                <c:ptCount val="1"/>
                <c:pt idx="0">
                  <c:v>0.13698630136986301</c:v>
                </c:pt>
              </c:numCache>
            </c:numRef>
          </c:val>
          <c:extLst>
            <c:ext xmlns:c16="http://schemas.microsoft.com/office/drawing/2014/chart" uri="{C3380CC4-5D6E-409C-BE32-E72D297353CC}">
              <c16:uniqueId val="{00000002-33C1-42ED-A172-FDEE65CCCA7F}"/>
            </c:ext>
          </c:extLst>
        </c:ser>
        <c:ser>
          <c:idx val="3"/>
          <c:order val="3"/>
          <c:tx>
            <c:strRef>
              <c:f>'[Families Survey Analysis Live_TVDB.xlsx]3.2'!$N$26</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Live_TVDB.xlsx]3.2'!$O$26</c:f>
              <c:numCache>
                <c:formatCode>0%</c:formatCode>
                <c:ptCount val="1"/>
                <c:pt idx="0">
                  <c:v>0.27397260273972601</c:v>
                </c:pt>
              </c:numCache>
            </c:numRef>
          </c:val>
          <c:extLst>
            <c:ext xmlns:c16="http://schemas.microsoft.com/office/drawing/2014/chart" uri="{C3380CC4-5D6E-409C-BE32-E72D297353CC}">
              <c16:uniqueId val="{00000003-33C1-42ED-A172-FDEE65CCCA7F}"/>
            </c:ext>
          </c:extLst>
        </c:ser>
        <c:ser>
          <c:idx val="4"/>
          <c:order val="4"/>
          <c:tx>
            <c:strRef>
              <c:f>'[Families Survey Analysis Live_TVDB.xlsx]3.2'!$N$27</c:f>
              <c:strCache>
                <c:ptCount val="1"/>
                <c:pt idx="0">
                  <c:v>Options 2 and 3</c:v>
                </c:pt>
              </c:strCache>
            </c:strRef>
          </c:tx>
          <c:spPr>
            <a:pattFill prst="wdDnDiag">
              <a:fgClr>
                <a:schemeClr val="accent3"/>
              </a:fgClr>
              <a:bgClr>
                <a:schemeClr val="bg1"/>
              </a:bgClr>
            </a:pattFill>
            <a:ln>
              <a:noFill/>
            </a:ln>
            <a:effectLst/>
          </c:spPr>
          <c:invertIfNegative val="0"/>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Live_TVDB.xlsx]3.2'!$O$27</c:f>
              <c:numCache>
                <c:formatCode>0%</c:formatCode>
                <c:ptCount val="1"/>
                <c:pt idx="0">
                  <c:v>4.1095890410958902E-2</c:v>
                </c:pt>
              </c:numCache>
            </c:numRef>
          </c:val>
          <c:extLst>
            <c:ext xmlns:c16="http://schemas.microsoft.com/office/drawing/2014/chart" uri="{C3380CC4-5D6E-409C-BE32-E72D297353CC}">
              <c16:uniqueId val="{00000004-33C1-42ED-A172-FDEE65CCCA7F}"/>
            </c:ext>
          </c:extLst>
        </c:ser>
        <c:ser>
          <c:idx val="5"/>
          <c:order val="5"/>
          <c:tx>
            <c:strRef>
              <c:f>'[Families Survey Analysis Live_TVDB.xlsx]3.2'!$N$28</c:f>
              <c:strCache>
                <c:ptCount val="1"/>
                <c:pt idx="0">
                  <c:v>Options 2 and 4</c:v>
                </c:pt>
              </c:strCache>
            </c:strRef>
          </c:tx>
          <c:spPr>
            <a:solidFill>
              <a:schemeClr val="accent6"/>
            </a:solidFill>
            <a:ln>
              <a:noFill/>
            </a:ln>
            <a:effectLst/>
          </c:spPr>
          <c:invertIfNegative val="0"/>
          <c:dLbls>
            <c:dLbl>
              <c:idx val="0"/>
              <c:layout>
                <c:manualLayout>
                  <c:x val="4.4345898004433774E-3"/>
                  <c:y val="-0.167280026764804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3C1-42ED-A172-FDEE65CCCA7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Live_TVDB.xlsx]3.2'!$O$28</c:f>
              <c:numCache>
                <c:formatCode>0%</c:formatCode>
                <c:ptCount val="1"/>
                <c:pt idx="0">
                  <c:v>2.7397260273972601E-2</c:v>
                </c:pt>
              </c:numCache>
            </c:numRef>
          </c:val>
          <c:extLst>
            <c:ext xmlns:c16="http://schemas.microsoft.com/office/drawing/2014/chart" uri="{C3380CC4-5D6E-409C-BE32-E72D297353CC}">
              <c16:uniqueId val="{00000005-33C1-42ED-A172-FDEE65CCCA7F}"/>
            </c:ext>
          </c:extLst>
        </c:ser>
        <c:ser>
          <c:idx val="6"/>
          <c:order val="6"/>
          <c:tx>
            <c:strRef>
              <c:f>'[Families Survey Analysis Live_TVDB.xlsx]3.2'!$N$29</c:f>
              <c:strCache>
                <c:ptCount val="1"/>
                <c:pt idx="0">
                  <c:v>Options 3 and 4</c:v>
                </c:pt>
              </c:strCache>
            </c:strRef>
          </c:tx>
          <c:spPr>
            <a:pattFill prst="wdDnDiag">
              <a:fgClr>
                <a:schemeClr val="accent1"/>
              </a:fgClr>
              <a:bgClr>
                <a:schemeClr val="bg1"/>
              </a:bgClr>
            </a:pattFill>
            <a:ln>
              <a:noFill/>
            </a:ln>
            <a:effectLst/>
          </c:spPr>
          <c:invertIfNegative val="0"/>
          <c:dLbls>
            <c:spPr>
              <a:solidFill>
                <a:schemeClr val="accent1"/>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Live_TVDB.xlsx]3.2'!$O$29</c:f>
              <c:numCache>
                <c:formatCode>0%</c:formatCode>
                <c:ptCount val="1"/>
                <c:pt idx="0">
                  <c:v>0.38356164383561642</c:v>
                </c:pt>
              </c:numCache>
            </c:numRef>
          </c:val>
          <c:extLst>
            <c:ext xmlns:c16="http://schemas.microsoft.com/office/drawing/2014/chart" uri="{C3380CC4-5D6E-409C-BE32-E72D297353CC}">
              <c16:uniqueId val="{00000006-33C1-42ED-A172-FDEE65CCCA7F}"/>
            </c:ext>
          </c:extLst>
        </c:ser>
        <c:ser>
          <c:idx val="7"/>
          <c:order val="7"/>
          <c:tx>
            <c:strRef>
              <c:f>'[Families Survey Analysis Live_TVDB.xlsx]3.2'!$N$30</c:f>
              <c:strCache>
                <c:ptCount val="1"/>
                <c:pt idx="0">
                  <c:v>Options 2, 3 and 4</c:v>
                </c:pt>
              </c:strCache>
            </c:strRef>
          </c:tx>
          <c:spPr>
            <a:pattFill prst="wdDnDiag">
              <a:fgClr>
                <a:schemeClr val="accent6">
                  <a:lumMod val="60000"/>
                  <a:lumOff val="40000"/>
                </a:schemeClr>
              </a:fgClr>
              <a:bgClr>
                <a:schemeClr val="bg1"/>
              </a:bgClr>
            </a:pattFill>
            <a:ln>
              <a:noFill/>
            </a:ln>
            <a:effectLst/>
          </c:spPr>
          <c:invertIfNegative val="0"/>
          <c:dLbls>
            <c:spPr>
              <a:solidFill>
                <a:schemeClr val="accent6">
                  <a:lumMod val="60000"/>
                  <a:lumOff val="40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Live_TVDB.xlsx]3.2'!$O$30</c:f>
              <c:numCache>
                <c:formatCode>0%</c:formatCode>
                <c:ptCount val="1"/>
                <c:pt idx="0">
                  <c:v>0.12328767123287671</c:v>
                </c:pt>
              </c:numCache>
            </c:numRef>
          </c:val>
          <c:extLst>
            <c:ext xmlns:c16="http://schemas.microsoft.com/office/drawing/2014/chart" uri="{C3380CC4-5D6E-409C-BE32-E72D297353CC}">
              <c16:uniqueId val="{00000007-33C1-42ED-A172-FDEE65CCCA7F}"/>
            </c:ext>
          </c:extLst>
        </c:ser>
        <c:dLbls>
          <c:dLblPos val="ctr"/>
          <c:showLegendKey val="0"/>
          <c:showVal val="1"/>
          <c:showCatName val="0"/>
          <c:showSerName val="0"/>
          <c:showPercent val="0"/>
          <c:showBubbleSize val="0"/>
        </c:dLbls>
        <c:gapWidth val="150"/>
        <c:overlap val="100"/>
        <c:axId val="1078061520"/>
        <c:axId val="1078062480"/>
      </c:barChart>
      <c:catAx>
        <c:axId val="1078061520"/>
        <c:scaling>
          <c:orientation val="minMax"/>
        </c:scaling>
        <c:delete val="1"/>
        <c:axPos val="l"/>
        <c:numFmt formatCode="General" sourceLinked="1"/>
        <c:majorTickMark val="none"/>
        <c:minorTickMark val="none"/>
        <c:tickLblPos val="nextTo"/>
        <c:crossAx val="1078062480"/>
        <c:crosses val="autoZero"/>
        <c:auto val="1"/>
        <c:lblAlgn val="ctr"/>
        <c:lblOffset val="100"/>
        <c:noMultiLvlLbl val="0"/>
      </c:catAx>
      <c:valAx>
        <c:axId val="107806248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8061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Live_TVDB_1206.xlsx]3.3'!$N$33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Live_TVDB_1206.xlsx]3.3'!$O$32:$S$32</c:f>
              <c:strCache>
                <c:ptCount val="5"/>
                <c:pt idx="0">
                  <c:v>Option 1</c:v>
                </c:pt>
                <c:pt idx="1">
                  <c:v>Option 2</c:v>
                </c:pt>
                <c:pt idx="2">
                  <c:v>Option 3</c:v>
                </c:pt>
                <c:pt idx="3">
                  <c:v>Option 4</c:v>
                </c:pt>
                <c:pt idx="4">
                  <c:v>Option 5</c:v>
                </c:pt>
              </c:strCache>
            </c:strRef>
          </c:cat>
          <c:val>
            <c:numRef>
              <c:f>'[Approved Provider Survey Analysis Live_TVDB_1206.xlsx]3.3'!$O$33:$S$33</c:f>
              <c:numCache>
                <c:formatCode>General</c:formatCode>
                <c:ptCount val="5"/>
                <c:pt idx="0">
                  <c:v>142</c:v>
                </c:pt>
                <c:pt idx="1">
                  <c:v>34</c:v>
                </c:pt>
                <c:pt idx="2">
                  <c:v>5</c:v>
                </c:pt>
                <c:pt idx="3">
                  <c:v>10</c:v>
                </c:pt>
                <c:pt idx="4">
                  <c:v>9</c:v>
                </c:pt>
              </c:numCache>
            </c:numRef>
          </c:val>
          <c:extLst>
            <c:ext xmlns:c16="http://schemas.microsoft.com/office/drawing/2014/chart" uri="{C3380CC4-5D6E-409C-BE32-E72D297353CC}">
              <c16:uniqueId val="{00000000-FF18-47D9-9996-85E941DCF787}"/>
            </c:ext>
          </c:extLst>
        </c:ser>
        <c:ser>
          <c:idx val="1"/>
          <c:order val="1"/>
          <c:tx>
            <c:strRef>
              <c:f>'[Approved Provider Survey Analysis Live_TVDB_1206.xlsx]3.3'!$N$34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Live_TVDB_1206.xlsx]3.3'!$O$32:$S$32</c:f>
              <c:strCache>
                <c:ptCount val="5"/>
                <c:pt idx="0">
                  <c:v>Option 1</c:v>
                </c:pt>
                <c:pt idx="1">
                  <c:v>Option 2</c:v>
                </c:pt>
                <c:pt idx="2">
                  <c:v>Option 3</c:v>
                </c:pt>
                <c:pt idx="3">
                  <c:v>Option 4</c:v>
                </c:pt>
                <c:pt idx="4">
                  <c:v>Option 5</c:v>
                </c:pt>
              </c:strCache>
            </c:strRef>
          </c:cat>
          <c:val>
            <c:numRef>
              <c:f>'[Approved Provider Survey Analysis Live_TVDB_1206.xlsx]3.3'!$O$34:$S$34</c:f>
              <c:numCache>
                <c:formatCode>General</c:formatCode>
                <c:ptCount val="5"/>
                <c:pt idx="0">
                  <c:v>3</c:v>
                </c:pt>
                <c:pt idx="1">
                  <c:v>101</c:v>
                </c:pt>
                <c:pt idx="2">
                  <c:v>69</c:v>
                </c:pt>
                <c:pt idx="3">
                  <c:v>60</c:v>
                </c:pt>
                <c:pt idx="4">
                  <c:v>52</c:v>
                </c:pt>
              </c:numCache>
            </c:numRef>
          </c:val>
          <c:extLst>
            <c:ext xmlns:c16="http://schemas.microsoft.com/office/drawing/2014/chart" uri="{C3380CC4-5D6E-409C-BE32-E72D297353CC}">
              <c16:uniqueId val="{00000001-FF18-47D9-9996-85E941DCF787}"/>
            </c:ext>
          </c:extLst>
        </c:ser>
        <c:ser>
          <c:idx val="2"/>
          <c:order val="2"/>
          <c:tx>
            <c:strRef>
              <c:f>'[Approved Provider Survey Analysis Live_TVDB_1206.xlsx]3.3'!$N$35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Live_TVDB_1206.xlsx]3.3'!$O$32:$S$32</c:f>
              <c:strCache>
                <c:ptCount val="5"/>
                <c:pt idx="0">
                  <c:v>Option 1</c:v>
                </c:pt>
                <c:pt idx="1">
                  <c:v>Option 2</c:v>
                </c:pt>
                <c:pt idx="2">
                  <c:v>Option 3</c:v>
                </c:pt>
                <c:pt idx="3">
                  <c:v>Option 4</c:v>
                </c:pt>
                <c:pt idx="4">
                  <c:v>Option 5</c:v>
                </c:pt>
              </c:strCache>
            </c:strRef>
          </c:cat>
          <c:val>
            <c:numRef>
              <c:f>'[Approved Provider Survey Analysis Live_TVDB_1206.xlsx]3.3'!$O$35:$S$35</c:f>
              <c:numCache>
                <c:formatCode>General</c:formatCode>
                <c:ptCount val="5"/>
                <c:pt idx="0">
                  <c:v>2</c:v>
                </c:pt>
                <c:pt idx="1">
                  <c:v>12</c:v>
                </c:pt>
                <c:pt idx="2">
                  <c:v>71</c:v>
                </c:pt>
                <c:pt idx="3">
                  <c:v>75</c:v>
                </c:pt>
                <c:pt idx="4">
                  <c:v>82</c:v>
                </c:pt>
              </c:numCache>
            </c:numRef>
          </c:val>
          <c:extLst>
            <c:ext xmlns:c16="http://schemas.microsoft.com/office/drawing/2014/chart" uri="{C3380CC4-5D6E-409C-BE32-E72D297353CC}">
              <c16:uniqueId val="{00000002-FF18-47D9-9996-85E941DCF787}"/>
            </c:ext>
          </c:extLst>
        </c:ser>
        <c:dLbls>
          <c:dLblPos val="outEnd"/>
          <c:showLegendKey val="0"/>
          <c:showVal val="1"/>
          <c:showCatName val="0"/>
          <c:showSerName val="0"/>
          <c:showPercent val="0"/>
          <c:showBubbleSize val="0"/>
        </c:dLbls>
        <c:gapWidth val="219"/>
        <c:overlap val="-27"/>
        <c:axId val="1522584192"/>
        <c:axId val="1522575072"/>
      </c:barChart>
      <c:catAx>
        <c:axId val="152258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2575072"/>
        <c:crosses val="autoZero"/>
        <c:auto val="1"/>
        <c:lblAlgn val="ctr"/>
        <c:lblOffset val="100"/>
        <c:noMultiLvlLbl val="0"/>
      </c:catAx>
      <c:valAx>
        <c:axId val="15225750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258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Live_TVDB.xlsx]3.3'!$N$33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Live_TVDB.xlsx]3.3'!$O$32:$S$32</c:f>
              <c:strCache>
                <c:ptCount val="5"/>
                <c:pt idx="0">
                  <c:v>Option 1</c:v>
                </c:pt>
                <c:pt idx="1">
                  <c:v>Option 2</c:v>
                </c:pt>
                <c:pt idx="2">
                  <c:v>Option 3</c:v>
                </c:pt>
                <c:pt idx="3">
                  <c:v>Option 4</c:v>
                </c:pt>
                <c:pt idx="4">
                  <c:v>Option 5</c:v>
                </c:pt>
              </c:strCache>
            </c:strRef>
          </c:cat>
          <c:val>
            <c:numRef>
              <c:f>'[Workforce Survey Analysis Live_TVDB.xlsx]3.3'!$O$33:$S$33</c:f>
              <c:numCache>
                <c:formatCode>General</c:formatCode>
                <c:ptCount val="5"/>
                <c:pt idx="0">
                  <c:v>132</c:v>
                </c:pt>
                <c:pt idx="1">
                  <c:v>43</c:v>
                </c:pt>
                <c:pt idx="2">
                  <c:v>13</c:v>
                </c:pt>
                <c:pt idx="3">
                  <c:v>16</c:v>
                </c:pt>
                <c:pt idx="4">
                  <c:v>15</c:v>
                </c:pt>
              </c:numCache>
            </c:numRef>
          </c:val>
          <c:extLst>
            <c:ext xmlns:c16="http://schemas.microsoft.com/office/drawing/2014/chart" uri="{C3380CC4-5D6E-409C-BE32-E72D297353CC}">
              <c16:uniqueId val="{00000000-6903-448A-A96A-A25EA48CE58C}"/>
            </c:ext>
          </c:extLst>
        </c:ser>
        <c:ser>
          <c:idx val="1"/>
          <c:order val="1"/>
          <c:tx>
            <c:strRef>
              <c:f>'[Workforce Survey Analysis Live_TVDB.xlsx]3.3'!$N$34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Live_TVDB.xlsx]3.3'!$O$32:$S$32</c:f>
              <c:strCache>
                <c:ptCount val="5"/>
                <c:pt idx="0">
                  <c:v>Option 1</c:v>
                </c:pt>
                <c:pt idx="1">
                  <c:v>Option 2</c:v>
                </c:pt>
                <c:pt idx="2">
                  <c:v>Option 3</c:v>
                </c:pt>
                <c:pt idx="3">
                  <c:v>Option 4</c:v>
                </c:pt>
                <c:pt idx="4">
                  <c:v>Option 5</c:v>
                </c:pt>
              </c:strCache>
            </c:strRef>
          </c:cat>
          <c:val>
            <c:numRef>
              <c:f>'[Workforce Survey Analysis Live_TVDB.xlsx]3.3'!$O$34:$S$34</c:f>
              <c:numCache>
                <c:formatCode>General</c:formatCode>
                <c:ptCount val="5"/>
                <c:pt idx="0">
                  <c:v>9</c:v>
                </c:pt>
                <c:pt idx="1">
                  <c:v>84</c:v>
                </c:pt>
                <c:pt idx="2">
                  <c:v>56</c:v>
                </c:pt>
                <c:pt idx="3">
                  <c:v>37</c:v>
                </c:pt>
                <c:pt idx="4">
                  <c:v>56</c:v>
                </c:pt>
              </c:numCache>
            </c:numRef>
          </c:val>
          <c:extLst>
            <c:ext xmlns:c16="http://schemas.microsoft.com/office/drawing/2014/chart" uri="{C3380CC4-5D6E-409C-BE32-E72D297353CC}">
              <c16:uniqueId val="{00000001-6903-448A-A96A-A25EA48CE58C}"/>
            </c:ext>
          </c:extLst>
        </c:ser>
        <c:ser>
          <c:idx val="2"/>
          <c:order val="2"/>
          <c:tx>
            <c:strRef>
              <c:f>'[Workforce Survey Analysis Live_TVDB.xlsx]3.3'!$N$35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Live_TVDB.xlsx]3.3'!$O$32:$S$32</c:f>
              <c:strCache>
                <c:ptCount val="5"/>
                <c:pt idx="0">
                  <c:v>Option 1</c:v>
                </c:pt>
                <c:pt idx="1">
                  <c:v>Option 2</c:v>
                </c:pt>
                <c:pt idx="2">
                  <c:v>Option 3</c:v>
                </c:pt>
                <c:pt idx="3">
                  <c:v>Option 4</c:v>
                </c:pt>
                <c:pt idx="4">
                  <c:v>Option 5</c:v>
                </c:pt>
              </c:strCache>
            </c:strRef>
          </c:cat>
          <c:val>
            <c:numRef>
              <c:f>'[Workforce Survey Analysis Live_TVDB.xlsx]3.3'!$O$35:$S$35</c:f>
              <c:numCache>
                <c:formatCode>General</c:formatCode>
                <c:ptCount val="5"/>
                <c:pt idx="0">
                  <c:v>2</c:v>
                </c:pt>
                <c:pt idx="1">
                  <c:v>14</c:v>
                </c:pt>
                <c:pt idx="2">
                  <c:v>67</c:v>
                </c:pt>
                <c:pt idx="3">
                  <c:v>85</c:v>
                </c:pt>
                <c:pt idx="4">
                  <c:v>68</c:v>
                </c:pt>
              </c:numCache>
            </c:numRef>
          </c:val>
          <c:extLst>
            <c:ext xmlns:c16="http://schemas.microsoft.com/office/drawing/2014/chart" uri="{C3380CC4-5D6E-409C-BE32-E72D297353CC}">
              <c16:uniqueId val="{00000002-6903-448A-A96A-A25EA48CE58C}"/>
            </c:ext>
          </c:extLst>
        </c:ser>
        <c:dLbls>
          <c:dLblPos val="outEnd"/>
          <c:showLegendKey val="0"/>
          <c:showVal val="1"/>
          <c:showCatName val="0"/>
          <c:showSerName val="0"/>
          <c:showPercent val="0"/>
          <c:showBubbleSize val="0"/>
        </c:dLbls>
        <c:gapWidth val="219"/>
        <c:overlap val="-27"/>
        <c:axId val="344738703"/>
        <c:axId val="344740143"/>
      </c:barChart>
      <c:catAx>
        <c:axId val="344738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44740143"/>
        <c:crosses val="autoZero"/>
        <c:auto val="1"/>
        <c:lblAlgn val="ctr"/>
        <c:lblOffset val="100"/>
        <c:noMultiLvlLbl val="0"/>
      </c:catAx>
      <c:valAx>
        <c:axId val="34474014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44738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Live_TVDB.xlsx]3.3'!$N$33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Live_TVDB.xlsx]3.3'!$O$32:$S$32</c:f>
              <c:strCache>
                <c:ptCount val="5"/>
                <c:pt idx="0">
                  <c:v>Option 1</c:v>
                </c:pt>
                <c:pt idx="1">
                  <c:v>Option 2</c:v>
                </c:pt>
                <c:pt idx="2">
                  <c:v>Option 3</c:v>
                </c:pt>
                <c:pt idx="3">
                  <c:v>Option 4</c:v>
                </c:pt>
                <c:pt idx="4">
                  <c:v>Option 5</c:v>
                </c:pt>
              </c:strCache>
            </c:strRef>
          </c:cat>
          <c:val>
            <c:numRef>
              <c:f>'[Families Survey Analysis Live_TVDB.xlsx]3.3'!$O$33:$S$33</c:f>
              <c:numCache>
                <c:formatCode>General</c:formatCode>
                <c:ptCount val="5"/>
                <c:pt idx="0">
                  <c:v>71</c:v>
                </c:pt>
                <c:pt idx="1">
                  <c:v>42</c:v>
                </c:pt>
                <c:pt idx="2">
                  <c:v>8</c:v>
                </c:pt>
                <c:pt idx="3">
                  <c:v>4</c:v>
                </c:pt>
                <c:pt idx="4">
                  <c:v>7</c:v>
                </c:pt>
              </c:numCache>
            </c:numRef>
          </c:val>
          <c:extLst>
            <c:ext xmlns:c16="http://schemas.microsoft.com/office/drawing/2014/chart" uri="{C3380CC4-5D6E-409C-BE32-E72D297353CC}">
              <c16:uniqueId val="{00000000-E83B-489F-83FB-107AE0E480F9}"/>
            </c:ext>
          </c:extLst>
        </c:ser>
        <c:ser>
          <c:idx val="1"/>
          <c:order val="1"/>
          <c:tx>
            <c:strRef>
              <c:f>'[Families Survey Analysis Live_TVDB.xlsx]3.3'!$N$34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Live_TVDB.xlsx]3.3'!$O$32:$S$32</c:f>
              <c:strCache>
                <c:ptCount val="5"/>
                <c:pt idx="0">
                  <c:v>Option 1</c:v>
                </c:pt>
                <c:pt idx="1">
                  <c:v>Option 2</c:v>
                </c:pt>
                <c:pt idx="2">
                  <c:v>Option 3</c:v>
                </c:pt>
                <c:pt idx="3">
                  <c:v>Option 4</c:v>
                </c:pt>
                <c:pt idx="4">
                  <c:v>Option 5</c:v>
                </c:pt>
              </c:strCache>
            </c:strRef>
          </c:cat>
          <c:val>
            <c:numRef>
              <c:f>'[Families Survey Analysis Live_TVDB.xlsx]3.3'!$O$34:$S$34</c:f>
              <c:numCache>
                <c:formatCode>General</c:formatCode>
                <c:ptCount val="5"/>
                <c:pt idx="0">
                  <c:v>4</c:v>
                </c:pt>
                <c:pt idx="1">
                  <c:v>33</c:v>
                </c:pt>
                <c:pt idx="2">
                  <c:v>21</c:v>
                </c:pt>
                <c:pt idx="3">
                  <c:v>25</c:v>
                </c:pt>
                <c:pt idx="4">
                  <c:v>33</c:v>
                </c:pt>
              </c:numCache>
            </c:numRef>
          </c:val>
          <c:extLst>
            <c:ext xmlns:c16="http://schemas.microsoft.com/office/drawing/2014/chart" uri="{C3380CC4-5D6E-409C-BE32-E72D297353CC}">
              <c16:uniqueId val="{00000001-E83B-489F-83FB-107AE0E480F9}"/>
            </c:ext>
          </c:extLst>
        </c:ser>
        <c:ser>
          <c:idx val="2"/>
          <c:order val="2"/>
          <c:tx>
            <c:strRef>
              <c:f>'[Families Survey Analysis Live_TVDB.xlsx]3.3'!$N$35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Live_TVDB.xlsx]3.3'!$O$32:$S$32</c:f>
              <c:strCache>
                <c:ptCount val="5"/>
                <c:pt idx="0">
                  <c:v>Option 1</c:v>
                </c:pt>
                <c:pt idx="1">
                  <c:v>Option 2</c:v>
                </c:pt>
                <c:pt idx="2">
                  <c:v>Option 3</c:v>
                </c:pt>
                <c:pt idx="3">
                  <c:v>Option 4</c:v>
                </c:pt>
                <c:pt idx="4">
                  <c:v>Option 5</c:v>
                </c:pt>
              </c:strCache>
            </c:strRef>
          </c:cat>
          <c:val>
            <c:numRef>
              <c:f>'[Families Survey Analysis Live_TVDB.xlsx]3.3'!$O$35:$S$35</c:f>
              <c:numCache>
                <c:formatCode>General</c:formatCode>
                <c:ptCount val="5"/>
                <c:pt idx="0">
                  <c:v>0</c:v>
                </c:pt>
                <c:pt idx="1">
                  <c:v>2</c:v>
                </c:pt>
                <c:pt idx="2">
                  <c:v>48</c:v>
                </c:pt>
                <c:pt idx="3">
                  <c:v>47</c:v>
                </c:pt>
                <c:pt idx="4">
                  <c:v>35</c:v>
                </c:pt>
              </c:numCache>
            </c:numRef>
          </c:val>
          <c:extLst>
            <c:ext xmlns:c16="http://schemas.microsoft.com/office/drawing/2014/chart" uri="{C3380CC4-5D6E-409C-BE32-E72D297353CC}">
              <c16:uniqueId val="{00000002-E83B-489F-83FB-107AE0E480F9}"/>
            </c:ext>
          </c:extLst>
        </c:ser>
        <c:dLbls>
          <c:dLblPos val="outEnd"/>
          <c:showLegendKey val="0"/>
          <c:showVal val="1"/>
          <c:showCatName val="0"/>
          <c:showSerName val="0"/>
          <c:showPercent val="0"/>
          <c:showBubbleSize val="0"/>
        </c:dLbls>
        <c:gapWidth val="219"/>
        <c:overlap val="-27"/>
        <c:axId val="201090335"/>
        <c:axId val="201085055"/>
      </c:barChart>
      <c:catAx>
        <c:axId val="201090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1085055"/>
        <c:crosses val="autoZero"/>
        <c:auto val="1"/>
        <c:lblAlgn val="ctr"/>
        <c:lblOffset val="100"/>
        <c:noMultiLvlLbl val="0"/>
      </c:catAx>
      <c:valAx>
        <c:axId val="20108505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1090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Live_TVDB_1206.xlsx]3.1'!$I$52</c:f>
              <c:strCache>
                <c:ptCount val="1"/>
                <c:pt idx="0">
                  <c:v>Never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Live_TVDB_1206.xlsx]3.1'!$K$52</c:f>
              <c:numCache>
                <c:formatCode>0%</c:formatCode>
                <c:ptCount val="1"/>
                <c:pt idx="0">
                  <c:v>0.31874999999999998</c:v>
                </c:pt>
              </c:numCache>
            </c:numRef>
          </c:val>
          <c:extLst>
            <c:ext xmlns:c16="http://schemas.microsoft.com/office/drawing/2014/chart" uri="{C3380CC4-5D6E-409C-BE32-E72D297353CC}">
              <c16:uniqueId val="{00000000-4E6F-40B9-919A-FF0A15632EC5}"/>
            </c:ext>
          </c:extLst>
        </c:ser>
        <c:ser>
          <c:idx val="1"/>
          <c:order val="1"/>
          <c:tx>
            <c:strRef>
              <c:f>'[Approved Provider Survey Analysis Live_TVDB_1206.xlsx]3.1'!$I$53</c:f>
              <c:strCache>
                <c:ptCount val="1"/>
                <c:pt idx="0">
                  <c:v>Once a week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Live_TVDB_1206.xlsx]3.1'!$K$53</c:f>
              <c:numCache>
                <c:formatCode>0%</c:formatCode>
                <c:ptCount val="1"/>
                <c:pt idx="0">
                  <c:v>6.25E-2</c:v>
                </c:pt>
              </c:numCache>
            </c:numRef>
          </c:val>
          <c:extLst>
            <c:ext xmlns:c16="http://schemas.microsoft.com/office/drawing/2014/chart" uri="{C3380CC4-5D6E-409C-BE32-E72D297353CC}">
              <c16:uniqueId val="{00000001-4E6F-40B9-919A-FF0A15632EC5}"/>
            </c:ext>
          </c:extLst>
        </c:ser>
        <c:ser>
          <c:idx val="2"/>
          <c:order val="2"/>
          <c:tx>
            <c:strRef>
              <c:f>'[Approved Provider Survey Analysis Live_TVDB_1206.xlsx]3.1'!$I$54</c:f>
              <c:strCache>
                <c:ptCount val="1"/>
                <c:pt idx="0">
                  <c:v>Once a month</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Live_TVDB_1206.xlsx]3.1'!$K$54</c:f>
              <c:numCache>
                <c:formatCode>0%</c:formatCode>
                <c:ptCount val="1"/>
                <c:pt idx="0">
                  <c:v>6.25E-2</c:v>
                </c:pt>
              </c:numCache>
            </c:numRef>
          </c:val>
          <c:extLst>
            <c:ext xmlns:c16="http://schemas.microsoft.com/office/drawing/2014/chart" uri="{C3380CC4-5D6E-409C-BE32-E72D297353CC}">
              <c16:uniqueId val="{00000002-4E6F-40B9-919A-FF0A15632EC5}"/>
            </c:ext>
          </c:extLst>
        </c:ser>
        <c:ser>
          <c:idx val="3"/>
          <c:order val="3"/>
          <c:tx>
            <c:strRef>
              <c:f>'[Approved Provider Survey Analysis Live_TVDB_1206.xlsx]3.1'!$I$55</c:f>
              <c:strCache>
                <c:ptCount val="1"/>
                <c:pt idx="0">
                  <c:v>Once every few months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Live_TVDB_1206.xlsx]3.1'!$K$55</c:f>
              <c:numCache>
                <c:formatCode>0%</c:formatCode>
                <c:ptCount val="1"/>
                <c:pt idx="0">
                  <c:v>0.26250000000000001</c:v>
                </c:pt>
              </c:numCache>
            </c:numRef>
          </c:val>
          <c:extLst>
            <c:ext xmlns:c16="http://schemas.microsoft.com/office/drawing/2014/chart" uri="{C3380CC4-5D6E-409C-BE32-E72D297353CC}">
              <c16:uniqueId val="{00000003-4E6F-40B9-919A-FF0A15632EC5}"/>
            </c:ext>
          </c:extLst>
        </c:ser>
        <c:ser>
          <c:idx val="4"/>
          <c:order val="4"/>
          <c:tx>
            <c:strRef>
              <c:f>'[Approved Provider Survey Analysis Live_TVDB_1206.xlsx]3.1'!$I$56</c:f>
              <c:strCache>
                <c:ptCount val="1"/>
                <c:pt idx="0">
                  <c:v>Once a year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Live_TVDB_1206.xlsx]3.1'!$K$56</c:f>
              <c:numCache>
                <c:formatCode>0%</c:formatCode>
                <c:ptCount val="1"/>
                <c:pt idx="0">
                  <c:v>0.29375000000000001</c:v>
                </c:pt>
              </c:numCache>
            </c:numRef>
          </c:val>
          <c:extLst>
            <c:ext xmlns:c16="http://schemas.microsoft.com/office/drawing/2014/chart" uri="{C3380CC4-5D6E-409C-BE32-E72D297353CC}">
              <c16:uniqueId val="{00000004-4E6F-40B9-919A-FF0A15632EC5}"/>
            </c:ext>
          </c:extLst>
        </c:ser>
        <c:dLbls>
          <c:dLblPos val="ctr"/>
          <c:showLegendKey val="0"/>
          <c:showVal val="1"/>
          <c:showCatName val="0"/>
          <c:showSerName val="0"/>
          <c:showPercent val="0"/>
          <c:showBubbleSize val="0"/>
        </c:dLbls>
        <c:gapWidth val="150"/>
        <c:overlap val="100"/>
        <c:axId val="1780797503"/>
        <c:axId val="1780809503"/>
      </c:barChart>
      <c:catAx>
        <c:axId val="1780797503"/>
        <c:scaling>
          <c:orientation val="minMax"/>
        </c:scaling>
        <c:delete val="1"/>
        <c:axPos val="l"/>
        <c:numFmt formatCode="General" sourceLinked="1"/>
        <c:majorTickMark val="none"/>
        <c:minorTickMark val="none"/>
        <c:tickLblPos val="nextTo"/>
        <c:crossAx val="1780809503"/>
        <c:crosses val="autoZero"/>
        <c:auto val="1"/>
        <c:lblAlgn val="ctr"/>
        <c:lblOffset val="100"/>
        <c:noMultiLvlLbl val="0"/>
      </c:catAx>
      <c:valAx>
        <c:axId val="178080950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79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Live_TVDB.xlsx]1.1'!$AB$45</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Live_TVDB.xlsx]1.1'!$AC$44:$AG$44</c:f>
              <c:strCache>
                <c:ptCount val="5"/>
                <c:pt idx="0">
                  <c:v>Preschool/kindergarten</c:v>
                </c:pt>
                <c:pt idx="1">
                  <c:v>Long Day Care</c:v>
                </c:pt>
                <c:pt idx="2">
                  <c:v>Family Day Care</c:v>
                </c:pt>
                <c:pt idx="3">
                  <c:v>Outside School Hours Care</c:v>
                </c:pt>
                <c:pt idx="4">
                  <c:v>Other (including playgroups, outreach programs)</c:v>
                </c:pt>
              </c:strCache>
            </c:strRef>
          </c:cat>
          <c:val>
            <c:numRef>
              <c:f>'[Workforce Survey Analysis Live_TVDB.xlsx]1.1'!$AC$45:$AG$45</c:f>
              <c:numCache>
                <c:formatCode>General</c:formatCode>
                <c:ptCount val="5"/>
                <c:pt idx="0">
                  <c:v>4</c:v>
                </c:pt>
                <c:pt idx="1">
                  <c:v>4</c:v>
                </c:pt>
                <c:pt idx="2">
                  <c:v>169</c:v>
                </c:pt>
                <c:pt idx="3">
                  <c:v>4</c:v>
                </c:pt>
                <c:pt idx="4">
                  <c:v>3</c:v>
                </c:pt>
              </c:numCache>
            </c:numRef>
          </c:val>
          <c:extLst>
            <c:ext xmlns:c16="http://schemas.microsoft.com/office/drawing/2014/chart" uri="{C3380CC4-5D6E-409C-BE32-E72D297353CC}">
              <c16:uniqueId val="{00000000-F7F6-4D6A-9F5C-0F5C1EEA53D1}"/>
            </c:ext>
          </c:extLst>
        </c:ser>
        <c:ser>
          <c:idx val="1"/>
          <c:order val="1"/>
          <c:tx>
            <c:strRef>
              <c:f>'[Workforce Survey Analysis Live_TVDB.xlsx]1.1'!$AB$46</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Live_TVDB.xlsx]1.1'!$AC$44:$AG$44</c:f>
              <c:strCache>
                <c:ptCount val="5"/>
                <c:pt idx="0">
                  <c:v>Preschool/kindergarten</c:v>
                </c:pt>
                <c:pt idx="1">
                  <c:v>Long Day Care</c:v>
                </c:pt>
                <c:pt idx="2">
                  <c:v>Family Day Care</c:v>
                </c:pt>
                <c:pt idx="3">
                  <c:v>Outside School Hours Care</c:v>
                </c:pt>
                <c:pt idx="4">
                  <c:v>Other (including playgroups, outreach programs)</c:v>
                </c:pt>
              </c:strCache>
            </c:strRef>
          </c:cat>
          <c:val>
            <c:numRef>
              <c:f>'[Workforce Survey Analysis Live_TVDB.xlsx]1.1'!$AC$46:$AG$46</c:f>
              <c:numCache>
                <c:formatCode>General</c:formatCode>
                <c:ptCount val="5"/>
                <c:pt idx="0">
                  <c:v>38</c:v>
                </c:pt>
                <c:pt idx="1">
                  <c:v>26</c:v>
                </c:pt>
                <c:pt idx="2">
                  <c:v>24</c:v>
                </c:pt>
                <c:pt idx="3">
                  <c:v>10</c:v>
                </c:pt>
                <c:pt idx="4">
                  <c:v>8</c:v>
                </c:pt>
              </c:numCache>
            </c:numRef>
          </c:val>
          <c:extLst>
            <c:ext xmlns:c16="http://schemas.microsoft.com/office/drawing/2014/chart" uri="{C3380CC4-5D6E-409C-BE32-E72D297353CC}">
              <c16:uniqueId val="{00000001-F7F6-4D6A-9F5C-0F5C1EEA53D1}"/>
            </c:ext>
          </c:extLst>
        </c:ser>
        <c:ser>
          <c:idx val="2"/>
          <c:order val="2"/>
          <c:tx>
            <c:strRef>
              <c:f>'[Workforce Survey Analysis Live_TVDB.xlsx]1.1'!$AB$47</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Live_TVDB.xlsx]1.1'!$AC$44:$AG$44</c:f>
              <c:strCache>
                <c:ptCount val="5"/>
                <c:pt idx="0">
                  <c:v>Preschool/kindergarten</c:v>
                </c:pt>
                <c:pt idx="1">
                  <c:v>Long Day Care</c:v>
                </c:pt>
                <c:pt idx="2">
                  <c:v>Family Day Care</c:v>
                </c:pt>
                <c:pt idx="3">
                  <c:v>Outside School Hours Care</c:v>
                </c:pt>
                <c:pt idx="4">
                  <c:v>Other (including playgroups, outreach programs)</c:v>
                </c:pt>
              </c:strCache>
            </c:strRef>
          </c:cat>
          <c:val>
            <c:numRef>
              <c:f>'[Workforce Survey Analysis Live_TVDB.xlsx]1.1'!$AC$47:$AG$47</c:f>
              <c:numCache>
                <c:formatCode>General</c:formatCode>
                <c:ptCount val="5"/>
                <c:pt idx="0">
                  <c:v>16</c:v>
                </c:pt>
                <c:pt idx="1">
                  <c:v>23</c:v>
                </c:pt>
                <c:pt idx="2">
                  <c:v>7</c:v>
                </c:pt>
                <c:pt idx="3">
                  <c:v>6</c:v>
                </c:pt>
                <c:pt idx="4">
                  <c:v>1</c:v>
                </c:pt>
              </c:numCache>
            </c:numRef>
          </c:val>
          <c:extLst>
            <c:ext xmlns:c16="http://schemas.microsoft.com/office/drawing/2014/chart" uri="{C3380CC4-5D6E-409C-BE32-E72D297353CC}">
              <c16:uniqueId val="{00000002-F7F6-4D6A-9F5C-0F5C1EEA53D1}"/>
            </c:ext>
          </c:extLst>
        </c:ser>
        <c:ser>
          <c:idx val="3"/>
          <c:order val="3"/>
          <c:tx>
            <c:strRef>
              <c:f>'[Workforce Survey Analysis Live_TVDB.xlsx]1.1'!$AB$48</c:f>
              <c:strCache>
                <c:ptCount val="1"/>
                <c:pt idx="0">
                  <c:v>Options 2 and 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Live_TVDB.xlsx]1.1'!$AC$44:$AG$44</c:f>
              <c:strCache>
                <c:ptCount val="5"/>
                <c:pt idx="0">
                  <c:v>Preschool/kindergarten</c:v>
                </c:pt>
                <c:pt idx="1">
                  <c:v>Long Day Care</c:v>
                </c:pt>
                <c:pt idx="2">
                  <c:v>Family Day Care</c:v>
                </c:pt>
                <c:pt idx="3">
                  <c:v>Outside School Hours Care</c:v>
                </c:pt>
                <c:pt idx="4">
                  <c:v>Other (including playgroups, outreach programs)</c:v>
                </c:pt>
              </c:strCache>
            </c:strRef>
          </c:cat>
          <c:val>
            <c:numRef>
              <c:f>'[Workforce Survey Analysis Live_TVDB.xlsx]1.1'!$AC$48:$AG$48</c:f>
              <c:numCache>
                <c:formatCode>General</c:formatCode>
                <c:ptCount val="5"/>
                <c:pt idx="0">
                  <c:v>9</c:v>
                </c:pt>
                <c:pt idx="1">
                  <c:v>19</c:v>
                </c:pt>
                <c:pt idx="2">
                  <c:v>6</c:v>
                </c:pt>
                <c:pt idx="3">
                  <c:v>1</c:v>
                </c:pt>
                <c:pt idx="4">
                  <c:v>0</c:v>
                </c:pt>
              </c:numCache>
            </c:numRef>
          </c:val>
          <c:extLst>
            <c:ext xmlns:c16="http://schemas.microsoft.com/office/drawing/2014/chart" uri="{C3380CC4-5D6E-409C-BE32-E72D297353CC}">
              <c16:uniqueId val="{00000003-F7F6-4D6A-9F5C-0F5C1EEA53D1}"/>
            </c:ext>
          </c:extLst>
        </c:ser>
        <c:dLbls>
          <c:dLblPos val="outEnd"/>
          <c:showLegendKey val="0"/>
          <c:showVal val="1"/>
          <c:showCatName val="0"/>
          <c:showSerName val="0"/>
          <c:showPercent val="0"/>
          <c:showBubbleSize val="0"/>
        </c:dLbls>
        <c:gapWidth val="219"/>
        <c:overlap val="-27"/>
        <c:axId val="1120177391"/>
        <c:axId val="1120176911"/>
      </c:barChart>
      <c:catAx>
        <c:axId val="1120177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0176911"/>
        <c:crosses val="autoZero"/>
        <c:auto val="1"/>
        <c:lblAlgn val="ctr"/>
        <c:lblOffset val="100"/>
        <c:noMultiLvlLbl val="0"/>
      </c:catAx>
      <c:valAx>
        <c:axId val="112017691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0177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Live_TVDB.xlsx]3.1'!$Q$42</c:f>
              <c:strCache>
                <c:ptCount val="1"/>
                <c:pt idx="0">
                  <c:v>Never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Live_TVDB.xlsx]3.1'!$R$42</c:f>
              <c:numCache>
                <c:formatCode>0%</c:formatCode>
                <c:ptCount val="1"/>
                <c:pt idx="0">
                  <c:v>0.69590643274853803</c:v>
                </c:pt>
              </c:numCache>
            </c:numRef>
          </c:val>
          <c:extLst>
            <c:ext xmlns:c16="http://schemas.microsoft.com/office/drawing/2014/chart" uri="{C3380CC4-5D6E-409C-BE32-E72D297353CC}">
              <c16:uniqueId val="{00000000-6D15-46DF-898C-0C6AD95E42D0}"/>
            </c:ext>
          </c:extLst>
        </c:ser>
        <c:ser>
          <c:idx val="1"/>
          <c:order val="1"/>
          <c:tx>
            <c:strRef>
              <c:f>'[Workforce Survey Analysis Live_TVDB.xlsx]3.1'!$Q$43</c:f>
              <c:strCache>
                <c:ptCount val="1"/>
                <c:pt idx="0">
                  <c:v>Once a week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Live_TVDB.xlsx]3.1'!$R$43</c:f>
              <c:numCache>
                <c:formatCode>0%</c:formatCode>
                <c:ptCount val="1"/>
                <c:pt idx="0">
                  <c:v>3.5087719298245612E-2</c:v>
                </c:pt>
              </c:numCache>
            </c:numRef>
          </c:val>
          <c:extLst>
            <c:ext xmlns:c16="http://schemas.microsoft.com/office/drawing/2014/chart" uri="{C3380CC4-5D6E-409C-BE32-E72D297353CC}">
              <c16:uniqueId val="{00000001-6D15-46DF-898C-0C6AD95E42D0}"/>
            </c:ext>
          </c:extLst>
        </c:ser>
        <c:ser>
          <c:idx val="2"/>
          <c:order val="2"/>
          <c:tx>
            <c:strRef>
              <c:f>'[Workforce Survey Analysis Live_TVDB.xlsx]3.1'!$Q$44</c:f>
              <c:strCache>
                <c:ptCount val="1"/>
                <c:pt idx="0">
                  <c:v>Once a month</c:v>
                </c:pt>
              </c:strCache>
            </c:strRef>
          </c:tx>
          <c:spPr>
            <a:solidFill>
              <a:schemeClr val="accent3"/>
            </a:solidFill>
            <a:ln>
              <a:noFill/>
            </a:ln>
            <a:effectLst/>
          </c:spPr>
          <c:invertIfNegative val="0"/>
          <c:dLbls>
            <c:dLbl>
              <c:idx val="0"/>
              <c:layout>
                <c:manualLayout>
                  <c:x val="0"/>
                  <c:y val="-0.173031026252983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15-46DF-898C-0C6AD95E42D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Live_TVDB.xlsx]3.1'!$R$44</c:f>
              <c:numCache>
                <c:formatCode>0%</c:formatCode>
                <c:ptCount val="1"/>
                <c:pt idx="0">
                  <c:v>1.1695906432748537E-2</c:v>
                </c:pt>
              </c:numCache>
            </c:numRef>
          </c:val>
          <c:extLst>
            <c:ext xmlns:c16="http://schemas.microsoft.com/office/drawing/2014/chart" uri="{C3380CC4-5D6E-409C-BE32-E72D297353CC}">
              <c16:uniqueId val="{00000002-6D15-46DF-898C-0C6AD95E42D0}"/>
            </c:ext>
          </c:extLst>
        </c:ser>
        <c:ser>
          <c:idx val="3"/>
          <c:order val="3"/>
          <c:tx>
            <c:strRef>
              <c:f>'[Workforce Survey Analysis Live_TVDB.xlsx]3.1'!$Q$45</c:f>
              <c:strCache>
                <c:ptCount val="1"/>
                <c:pt idx="0">
                  <c:v>Once every few months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Live_TVDB.xlsx]3.1'!$R$45</c:f>
              <c:numCache>
                <c:formatCode>0%</c:formatCode>
                <c:ptCount val="1"/>
                <c:pt idx="0">
                  <c:v>6.4327485380116955E-2</c:v>
                </c:pt>
              </c:numCache>
            </c:numRef>
          </c:val>
          <c:extLst>
            <c:ext xmlns:c16="http://schemas.microsoft.com/office/drawing/2014/chart" uri="{C3380CC4-5D6E-409C-BE32-E72D297353CC}">
              <c16:uniqueId val="{00000003-6D15-46DF-898C-0C6AD95E42D0}"/>
            </c:ext>
          </c:extLst>
        </c:ser>
        <c:ser>
          <c:idx val="4"/>
          <c:order val="4"/>
          <c:tx>
            <c:strRef>
              <c:f>'[Workforce Survey Analysis Live_TVDB.xlsx]3.1'!$Q$46</c:f>
              <c:strCache>
                <c:ptCount val="1"/>
                <c:pt idx="0">
                  <c:v>Once a year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Live_TVDB.xlsx]3.1'!$R$46</c:f>
              <c:numCache>
                <c:formatCode>0%</c:formatCode>
                <c:ptCount val="1"/>
                <c:pt idx="0">
                  <c:v>0.19298245614035087</c:v>
                </c:pt>
              </c:numCache>
            </c:numRef>
          </c:val>
          <c:extLst>
            <c:ext xmlns:c16="http://schemas.microsoft.com/office/drawing/2014/chart" uri="{C3380CC4-5D6E-409C-BE32-E72D297353CC}">
              <c16:uniqueId val="{00000004-6D15-46DF-898C-0C6AD95E42D0}"/>
            </c:ext>
          </c:extLst>
        </c:ser>
        <c:dLbls>
          <c:dLblPos val="ctr"/>
          <c:showLegendKey val="0"/>
          <c:showVal val="1"/>
          <c:showCatName val="0"/>
          <c:showSerName val="0"/>
          <c:showPercent val="0"/>
          <c:showBubbleSize val="0"/>
        </c:dLbls>
        <c:gapWidth val="150"/>
        <c:overlap val="100"/>
        <c:axId val="628019791"/>
        <c:axId val="628017391"/>
      </c:barChart>
      <c:catAx>
        <c:axId val="628019791"/>
        <c:scaling>
          <c:orientation val="minMax"/>
        </c:scaling>
        <c:delete val="1"/>
        <c:axPos val="l"/>
        <c:numFmt formatCode="General" sourceLinked="1"/>
        <c:majorTickMark val="none"/>
        <c:minorTickMark val="none"/>
        <c:tickLblPos val="nextTo"/>
        <c:crossAx val="628017391"/>
        <c:crosses val="autoZero"/>
        <c:auto val="1"/>
        <c:lblAlgn val="ctr"/>
        <c:lblOffset val="100"/>
        <c:noMultiLvlLbl val="0"/>
      </c:catAx>
      <c:valAx>
        <c:axId val="62801739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8019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'3.1'!$K$52</c:f>
              <c:strCache>
                <c:ptCount val="1"/>
                <c:pt idx="0">
                  <c:v>Never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'3.1'!$L$52</c:f>
              <c:numCache>
                <c:formatCode>0%</c:formatCode>
                <c:ptCount val="1"/>
                <c:pt idx="0">
                  <c:v>0.83529411764705885</c:v>
                </c:pt>
              </c:numCache>
            </c:numRef>
          </c:val>
          <c:extLst>
            <c:ext xmlns:c16="http://schemas.microsoft.com/office/drawing/2014/chart" uri="{C3380CC4-5D6E-409C-BE32-E72D297353CC}">
              <c16:uniqueId val="{00000000-7DA4-4ACB-84FA-1ACAE82347B7}"/>
            </c:ext>
          </c:extLst>
        </c:ser>
        <c:ser>
          <c:idx val="1"/>
          <c:order val="1"/>
          <c:tx>
            <c:strRef>
              <c:f>'3.1'!$K$53</c:f>
              <c:strCache>
                <c:ptCount val="1"/>
                <c:pt idx="0">
                  <c:v>Once a week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'3.1'!$L$53</c:f>
              <c:numCache>
                <c:formatCode>0%</c:formatCode>
                <c:ptCount val="1"/>
                <c:pt idx="0">
                  <c:v>1.7647058823529412E-2</c:v>
                </c:pt>
              </c:numCache>
            </c:numRef>
          </c:val>
          <c:extLst>
            <c:ext xmlns:c16="http://schemas.microsoft.com/office/drawing/2014/chart" uri="{C3380CC4-5D6E-409C-BE32-E72D297353CC}">
              <c16:uniqueId val="{00000001-7DA4-4ACB-84FA-1ACAE82347B7}"/>
            </c:ext>
          </c:extLst>
        </c:ser>
        <c:ser>
          <c:idx val="2"/>
          <c:order val="2"/>
          <c:tx>
            <c:strRef>
              <c:f>'3.1'!$K$54</c:f>
              <c:strCache>
                <c:ptCount val="1"/>
                <c:pt idx="0">
                  <c:v>Once a month</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'3.1'!$L$54</c:f>
              <c:numCache>
                <c:formatCode>0%</c:formatCode>
                <c:ptCount val="1"/>
                <c:pt idx="0">
                  <c:v>2.9411764705882353E-2</c:v>
                </c:pt>
              </c:numCache>
            </c:numRef>
          </c:val>
          <c:extLst>
            <c:ext xmlns:c16="http://schemas.microsoft.com/office/drawing/2014/chart" uri="{C3380CC4-5D6E-409C-BE32-E72D297353CC}">
              <c16:uniqueId val="{00000002-7DA4-4ACB-84FA-1ACAE82347B7}"/>
            </c:ext>
          </c:extLst>
        </c:ser>
        <c:ser>
          <c:idx val="3"/>
          <c:order val="3"/>
          <c:tx>
            <c:strRef>
              <c:f>'3.1'!$K$55</c:f>
              <c:strCache>
                <c:ptCount val="1"/>
                <c:pt idx="0">
                  <c:v>Once every few months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'3.1'!$L$55</c:f>
              <c:numCache>
                <c:formatCode>0%</c:formatCode>
                <c:ptCount val="1"/>
                <c:pt idx="0">
                  <c:v>3.5294117647058823E-2</c:v>
                </c:pt>
              </c:numCache>
            </c:numRef>
          </c:val>
          <c:extLst>
            <c:ext xmlns:c16="http://schemas.microsoft.com/office/drawing/2014/chart" uri="{C3380CC4-5D6E-409C-BE32-E72D297353CC}">
              <c16:uniqueId val="{00000003-7DA4-4ACB-84FA-1ACAE82347B7}"/>
            </c:ext>
          </c:extLst>
        </c:ser>
        <c:ser>
          <c:idx val="4"/>
          <c:order val="4"/>
          <c:tx>
            <c:strRef>
              <c:f>'3.1'!$K$56</c:f>
              <c:strCache>
                <c:ptCount val="1"/>
                <c:pt idx="0">
                  <c:v>Once a year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'3.1'!$L$56</c:f>
              <c:numCache>
                <c:formatCode>0%</c:formatCode>
                <c:ptCount val="1"/>
                <c:pt idx="0">
                  <c:v>8.2352941176470587E-2</c:v>
                </c:pt>
              </c:numCache>
            </c:numRef>
          </c:val>
          <c:extLst>
            <c:ext xmlns:c16="http://schemas.microsoft.com/office/drawing/2014/chart" uri="{C3380CC4-5D6E-409C-BE32-E72D297353CC}">
              <c16:uniqueId val="{00000004-7DA4-4ACB-84FA-1ACAE82347B7}"/>
            </c:ext>
          </c:extLst>
        </c:ser>
        <c:dLbls>
          <c:dLblPos val="ctr"/>
          <c:showLegendKey val="0"/>
          <c:showVal val="1"/>
          <c:showCatName val="0"/>
          <c:showSerName val="0"/>
          <c:showPercent val="0"/>
          <c:showBubbleSize val="0"/>
        </c:dLbls>
        <c:gapWidth val="150"/>
        <c:overlap val="100"/>
        <c:axId val="2001986656"/>
        <c:axId val="2001987136"/>
      </c:barChart>
      <c:catAx>
        <c:axId val="2001986656"/>
        <c:scaling>
          <c:orientation val="minMax"/>
        </c:scaling>
        <c:delete val="1"/>
        <c:axPos val="l"/>
        <c:numFmt formatCode="General" sourceLinked="1"/>
        <c:majorTickMark val="none"/>
        <c:minorTickMark val="none"/>
        <c:tickLblPos val="nextTo"/>
        <c:crossAx val="2001987136"/>
        <c:crosses val="autoZero"/>
        <c:auto val="1"/>
        <c:lblAlgn val="ctr"/>
        <c:lblOffset val="100"/>
        <c:noMultiLvlLbl val="0"/>
      </c:catAx>
      <c:valAx>
        <c:axId val="200198713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0198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Live_TVDB_1206.xlsx]3.1'!$N$70:$N$72</c:f>
              <c:strCache>
                <c:ptCount val="3"/>
                <c:pt idx="0">
                  <c:v>Fully addresses</c:v>
                </c:pt>
                <c:pt idx="1">
                  <c:v>Somewhat addresses</c:v>
                </c:pt>
                <c:pt idx="2">
                  <c:v>Does not address</c:v>
                </c:pt>
              </c:strCache>
            </c:strRef>
          </c:cat>
          <c:val>
            <c:numRef>
              <c:f>'[Approved Provider Survey Analysis Live_TVDB_1206.xlsx]3.1'!$O$70:$O$72</c:f>
              <c:numCache>
                <c:formatCode>0%</c:formatCode>
                <c:ptCount val="3"/>
                <c:pt idx="0">
                  <c:v>0.60493827160493829</c:v>
                </c:pt>
                <c:pt idx="1">
                  <c:v>0.36419753086419754</c:v>
                </c:pt>
                <c:pt idx="2">
                  <c:v>3.0864197530864196E-2</c:v>
                </c:pt>
              </c:numCache>
            </c:numRef>
          </c:val>
          <c:extLst>
            <c:ext xmlns:c16="http://schemas.microsoft.com/office/drawing/2014/chart" uri="{C3380CC4-5D6E-409C-BE32-E72D297353CC}">
              <c16:uniqueId val="{00000000-1522-4C8A-86CB-6D0D2540E2C0}"/>
            </c:ext>
          </c:extLst>
        </c:ser>
        <c:dLbls>
          <c:dLblPos val="outEnd"/>
          <c:showLegendKey val="0"/>
          <c:showVal val="1"/>
          <c:showCatName val="0"/>
          <c:showSerName val="0"/>
          <c:showPercent val="0"/>
          <c:showBubbleSize val="0"/>
        </c:dLbls>
        <c:gapWidth val="182"/>
        <c:axId val="831488319"/>
        <c:axId val="831485439"/>
      </c:barChart>
      <c:catAx>
        <c:axId val="831488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31485439"/>
        <c:crosses val="autoZero"/>
        <c:auto val="1"/>
        <c:lblAlgn val="ctr"/>
        <c:lblOffset val="100"/>
        <c:noMultiLvlLbl val="0"/>
      </c:catAx>
      <c:valAx>
        <c:axId val="831485439"/>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31488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Live_TVDB.xlsx]3.1'!$Q$61</c:f>
              <c:strCache>
                <c:ptCount val="1"/>
                <c:pt idx="0">
                  <c:v>Strongly 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Live_TVDB.xlsx]3.1'!$R$61</c:f>
              <c:numCache>
                <c:formatCode>0%</c:formatCode>
                <c:ptCount val="1"/>
                <c:pt idx="0">
                  <c:v>0.57714285714285718</c:v>
                </c:pt>
              </c:numCache>
            </c:numRef>
          </c:val>
          <c:extLst>
            <c:ext xmlns:c16="http://schemas.microsoft.com/office/drawing/2014/chart" uri="{C3380CC4-5D6E-409C-BE32-E72D297353CC}">
              <c16:uniqueId val="{00000000-9373-4CF6-B6CF-7A49370DDB48}"/>
            </c:ext>
          </c:extLst>
        </c:ser>
        <c:ser>
          <c:idx val="1"/>
          <c:order val="1"/>
          <c:tx>
            <c:strRef>
              <c:f>'[Workforce Survey Analysis Live_TVDB.xlsx]3.1'!$Q$62</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Live_TVDB.xlsx]3.1'!$R$62</c:f>
              <c:numCache>
                <c:formatCode>0%</c:formatCode>
                <c:ptCount val="1"/>
                <c:pt idx="0">
                  <c:v>0.26285714285714284</c:v>
                </c:pt>
              </c:numCache>
            </c:numRef>
          </c:val>
          <c:extLst>
            <c:ext xmlns:c16="http://schemas.microsoft.com/office/drawing/2014/chart" uri="{C3380CC4-5D6E-409C-BE32-E72D297353CC}">
              <c16:uniqueId val="{00000001-9373-4CF6-B6CF-7A49370DDB48}"/>
            </c:ext>
          </c:extLst>
        </c:ser>
        <c:ser>
          <c:idx val="2"/>
          <c:order val="2"/>
          <c:tx>
            <c:strRef>
              <c:f>'[Workforce Survey Analysis Live_TVDB.xlsx]3.1'!$Q$63</c:f>
              <c:strCache>
                <c:ptCount val="1"/>
                <c:pt idx="0">
                  <c:v>Neither agree nor disagree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Live_TVDB.xlsx]3.1'!$R$63</c:f>
              <c:numCache>
                <c:formatCode>0%</c:formatCode>
                <c:ptCount val="1"/>
                <c:pt idx="0">
                  <c:v>0.08</c:v>
                </c:pt>
              </c:numCache>
            </c:numRef>
          </c:val>
          <c:extLst>
            <c:ext xmlns:c16="http://schemas.microsoft.com/office/drawing/2014/chart" uri="{C3380CC4-5D6E-409C-BE32-E72D297353CC}">
              <c16:uniqueId val="{00000002-9373-4CF6-B6CF-7A49370DDB48}"/>
            </c:ext>
          </c:extLst>
        </c:ser>
        <c:ser>
          <c:idx val="3"/>
          <c:order val="3"/>
          <c:tx>
            <c:strRef>
              <c:f>'[Workforce Survey Analysis Live_TVDB.xlsx]3.1'!$Q$64</c:f>
              <c:strCache>
                <c:ptCount val="1"/>
                <c:pt idx="0">
                  <c:v>Disagree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Live_TVDB.xlsx]3.1'!$R$64</c:f>
              <c:numCache>
                <c:formatCode>0%</c:formatCode>
                <c:ptCount val="1"/>
                <c:pt idx="0">
                  <c:v>4.5714285714285714E-2</c:v>
                </c:pt>
              </c:numCache>
            </c:numRef>
          </c:val>
          <c:extLst>
            <c:ext xmlns:c16="http://schemas.microsoft.com/office/drawing/2014/chart" uri="{C3380CC4-5D6E-409C-BE32-E72D297353CC}">
              <c16:uniqueId val="{00000003-9373-4CF6-B6CF-7A49370DDB48}"/>
            </c:ext>
          </c:extLst>
        </c:ser>
        <c:ser>
          <c:idx val="4"/>
          <c:order val="4"/>
          <c:tx>
            <c:strRef>
              <c:f>'[Workforce Survey Analysis Live_TVDB.xlsx]3.1'!$Q$65</c:f>
              <c:strCache>
                <c:ptCount val="1"/>
                <c:pt idx="0">
                  <c:v>Strongly disagree</c:v>
                </c:pt>
              </c:strCache>
            </c:strRef>
          </c:tx>
          <c:spPr>
            <a:solidFill>
              <a:schemeClr val="accent5"/>
            </a:solidFill>
            <a:ln>
              <a:noFill/>
            </a:ln>
            <a:effectLst/>
          </c:spPr>
          <c:invertIfNegative val="0"/>
          <c:dLbls>
            <c:dLbl>
              <c:idx val="0"/>
              <c:layout>
                <c:manualLayout>
                  <c:x val="-4.5330915684496827E-3"/>
                  <c:y val="-0.226230510547233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73-4CF6-B6CF-7A49370DDB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Live_TVDB.xlsx]3.1'!$R$65</c:f>
              <c:numCache>
                <c:formatCode>0%</c:formatCode>
                <c:ptCount val="1"/>
                <c:pt idx="0">
                  <c:v>1.7142857142857144E-2</c:v>
                </c:pt>
              </c:numCache>
            </c:numRef>
          </c:val>
          <c:extLst>
            <c:ext xmlns:c16="http://schemas.microsoft.com/office/drawing/2014/chart" uri="{C3380CC4-5D6E-409C-BE32-E72D297353CC}">
              <c16:uniqueId val="{00000004-9373-4CF6-B6CF-7A49370DDB48}"/>
            </c:ext>
          </c:extLst>
        </c:ser>
        <c:ser>
          <c:idx val="5"/>
          <c:order val="5"/>
          <c:tx>
            <c:strRef>
              <c:f>'[Workforce Survey Analysis Live_TVDB.xlsx]3.1'!$Q$66</c:f>
              <c:strCache>
                <c:ptCount val="1"/>
                <c:pt idx="0">
                  <c:v>Unsure</c:v>
                </c:pt>
              </c:strCache>
            </c:strRef>
          </c:tx>
          <c:spPr>
            <a:solidFill>
              <a:schemeClr val="accent6"/>
            </a:solidFill>
            <a:ln>
              <a:noFill/>
            </a:ln>
            <a:effectLst/>
          </c:spPr>
          <c:invertIfNegative val="0"/>
          <c:dLbls>
            <c:dLbl>
              <c:idx val="0"/>
              <c:layout>
                <c:manualLayout>
                  <c:x val="1.5865820489573891E-2"/>
                  <c:y val="-0.177315805564047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373-4CF6-B6CF-7A49370DDB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Live_TVDB.xlsx]3.1'!$R$66</c:f>
              <c:numCache>
                <c:formatCode>0%</c:formatCode>
                <c:ptCount val="1"/>
                <c:pt idx="0">
                  <c:v>1.7142857142857144E-2</c:v>
                </c:pt>
              </c:numCache>
            </c:numRef>
          </c:val>
          <c:extLst>
            <c:ext xmlns:c16="http://schemas.microsoft.com/office/drawing/2014/chart" uri="{C3380CC4-5D6E-409C-BE32-E72D297353CC}">
              <c16:uniqueId val="{00000005-9373-4CF6-B6CF-7A49370DDB48}"/>
            </c:ext>
          </c:extLst>
        </c:ser>
        <c:dLbls>
          <c:dLblPos val="ctr"/>
          <c:showLegendKey val="0"/>
          <c:showVal val="1"/>
          <c:showCatName val="0"/>
          <c:showSerName val="0"/>
          <c:showPercent val="0"/>
          <c:showBubbleSize val="0"/>
        </c:dLbls>
        <c:gapWidth val="150"/>
        <c:overlap val="100"/>
        <c:axId val="1113324767"/>
        <c:axId val="1113321887"/>
      </c:barChart>
      <c:catAx>
        <c:axId val="1113324767"/>
        <c:scaling>
          <c:orientation val="minMax"/>
        </c:scaling>
        <c:delete val="1"/>
        <c:axPos val="l"/>
        <c:numFmt formatCode="General" sourceLinked="1"/>
        <c:majorTickMark val="none"/>
        <c:minorTickMark val="none"/>
        <c:tickLblPos val="nextTo"/>
        <c:crossAx val="1113321887"/>
        <c:crosses val="autoZero"/>
        <c:auto val="1"/>
        <c:lblAlgn val="ctr"/>
        <c:lblOffset val="100"/>
        <c:noMultiLvlLbl val="0"/>
      </c:catAx>
      <c:valAx>
        <c:axId val="111332188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3324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Live_TVDB_1206.xlsx]4.1'!$M$37</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Live_TVDB_1206.xlsx]4.1'!$N$36:$P$36</c:f>
              <c:strCache>
                <c:ptCount val="3"/>
                <c:pt idx="0">
                  <c:v>Option 1</c:v>
                </c:pt>
                <c:pt idx="1">
                  <c:v>Option 2</c:v>
                </c:pt>
                <c:pt idx="2">
                  <c:v>Option 3</c:v>
                </c:pt>
              </c:strCache>
            </c:strRef>
          </c:cat>
          <c:val>
            <c:numRef>
              <c:f>'[Approved Provider Survey Analysis Live_TVDB_1206.xlsx]4.1'!$N$37:$P$37</c:f>
              <c:numCache>
                <c:formatCode>General</c:formatCode>
                <c:ptCount val="3"/>
                <c:pt idx="0">
                  <c:v>140</c:v>
                </c:pt>
                <c:pt idx="1">
                  <c:v>47</c:v>
                </c:pt>
                <c:pt idx="2">
                  <c:v>10</c:v>
                </c:pt>
              </c:numCache>
            </c:numRef>
          </c:val>
          <c:extLst>
            <c:ext xmlns:c16="http://schemas.microsoft.com/office/drawing/2014/chart" uri="{C3380CC4-5D6E-409C-BE32-E72D297353CC}">
              <c16:uniqueId val="{00000000-6778-4BE7-888D-9B31A0DA7D3E}"/>
            </c:ext>
          </c:extLst>
        </c:ser>
        <c:ser>
          <c:idx val="1"/>
          <c:order val="1"/>
          <c:tx>
            <c:strRef>
              <c:f>'[Approved Provider Survey Analysis Live_TVDB_1206.xlsx]4.1'!$M$38</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Live_TVDB_1206.xlsx]4.1'!$N$36:$P$36</c:f>
              <c:strCache>
                <c:ptCount val="3"/>
                <c:pt idx="0">
                  <c:v>Option 1</c:v>
                </c:pt>
                <c:pt idx="1">
                  <c:v>Option 2</c:v>
                </c:pt>
                <c:pt idx="2">
                  <c:v>Option 3</c:v>
                </c:pt>
              </c:strCache>
            </c:strRef>
          </c:cat>
          <c:val>
            <c:numRef>
              <c:f>'[Approved Provider Survey Analysis Live_TVDB_1206.xlsx]4.1'!$N$38:$P$38</c:f>
              <c:numCache>
                <c:formatCode>General</c:formatCode>
                <c:ptCount val="3"/>
                <c:pt idx="0">
                  <c:v>5</c:v>
                </c:pt>
                <c:pt idx="1">
                  <c:v>81</c:v>
                </c:pt>
                <c:pt idx="2">
                  <c:v>36</c:v>
                </c:pt>
              </c:numCache>
            </c:numRef>
          </c:val>
          <c:extLst>
            <c:ext xmlns:c16="http://schemas.microsoft.com/office/drawing/2014/chart" uri="{C3380CC4-5D6E-409C-BE32-E72D297353CC}">
              <c16:uniqueId val="{00000001-6778-4BE7-888D-9B31A0DA7D3E}"/>
            </c:ext>
          </c:extLst>
        </c:ser>
        <c:ser>
          <c:idx val="2"/>
          <c:order val="2"/>
          <c:tx>
            <c:strRef>
              <c:f>'[Approved Provider Survey Analysis Live_TVDB_1206.xlsx]4.1'!$M$39</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Live_TVDB_1206.xlsx]4.1'!$N$36:$P$36</c:f>
              <c:strCache>
                <c:ptCount val="3"/>
                <c:pt idx="0">
                  <c:v>Option 1</c:v>
                </c:pt>
                <c:pt idx="1">
                  <c:v>Option 2</c:v>
                </c:pt>
                <c:pt idx="2">
                  <c:v>Option 3</c:v>
                </c:pt>
              </c:strCache>
            </c:strRef>
          </c:cat>
          <c:val>
            <c:numRef>
              <c:f>'[Approved Provider Survey Analysis Live_TVDB_1206.xlsx]4.1'!$N$39:$P$39</c:f>
              <c:numCache>
                <c:formatCode>General</c:formatCode>
                <c:ptCount val="3"/>
                <c:pt idx="0">
                  <c:v>1</c:v>
                </c:pt>
                <c:pt idx="1">
                  <c:v>18</c:v>
                </c:pt>
                <c:pt idx="2">
                  <c:v>99</c:v>
                </c:pt>
              </c:numCache>
            </c:numRef>
          </c:val>
          <c:extLst>
            <c:ext xmlns:c16="http://schemas.microsoft.com/office/drawing/2014/chart" uri="{C3380CC4-5D6E-409C-BE32-E72D297353CC}">
              <c16:uniqueId val="{00000002-6778-4BE7-888D-9B31A0DA7D3E}"/>
            </c:ext>
          </c:extLst>
        </c:ser>
        <c:dLbls>
          <c:dLblPos val="outEnd"/>
          <c:showLegendKey val="0"/>
          <c:showVal val="1"/>
          <c:showCatName val="0"/>
          <c:showSerName val="0"/>
          <c:showPercent val="0"/>
          <c:showBubbleSize val="0"/>
        </c:dLbls>
        <c:gapWidth val="219"/>
        <c:overlap val="-27"/>
        <c:axId val="1684666496"/>
        <c:axId val="1684666976"/>
      </c:barChart>
      <c:catAx>
        <c:axId val="168466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66976"/>
        <c:crosses val="autoZero"/>
        <c:auto val="1"/>
        <c:lblAlgn val="ctr"/>
        <c:lblOffset val="100"/>
        <c:noMultiLvlLbl val="0"/>
      </c:catAx>
      <c:valAx>
        <c:axId val="1684666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6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Live_TVDB.xlsx]4.1'!$M$31</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Live_TVDB.xlsx]4.1'!$N$30:$P$30</c:f>
              <c:strCache>
                <c:ptCount val="3"/>
                <c:pt idx="0">
                  <c:v>Option 1</c:v>
                </c:pt>
                <c:pt idx="1">
                  <c:v>Option 2</c:v>
                </c:pt>
                <c:pt idx="2">
                  <c:v>Option 3</c:v>
                </c:pt>
              </c:strCache>
            </c:strRef>
          </c:cat>
          <c:val>
            <c:numRef>
              <c:f>'[Workforce Survey Analysis Live_TVDB.xlsx]4.1'!$N$31:$P$31</c:f>
              <c:numCache>
                <c:formatCode>General</c:formatCode>
                <c:ptCount val="3"/>
                <c:pt idx="0">
                  <c:v>141</c:v>
                </c:pt>
                <c:pt idx="1">
                  <c:v>48</c:v>
                </c:pt>
                <c:pt idx="2">
                  <c:v>20</c:v>
                </c:pt>
              </c:numCache>
            </c:numRef>
          </c:val>
          <c:extLst>
            <c:ext xmlns:c16="http://schemas.microsoft.com/office/drawing/2014/chart" uri="{C3380CC4-5D6E-409C-BE32-E72D297353CC}">
              <c16:uniqueId val="{00000000-4898-4D2B-811F-2F42F2C2A930}"/>
            </c:ext>
          </c:extLst>
        </c:ser>
        <c:ser>
          <c:idx val="1"/>
          <c:order val="1"/>
          <c:tx>
            <c:strRef>
              <c:f>'[Workforce Survey Analysis Live_TVDB.xlsx]4.1'!$M$32</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Live_TVDB.xlsx]4.1'!$N$30:$P$30</c:f>
              <c:strCache>
                <c:ptCount val="3"/>
                <c:pt idx="0">
                  <c:v>Option 1</c:v>
                </c:pt>
                <c:pt idx="1">
                  <c:v>Option 2</c:v>
                </c:pt>
                <c:pt idx="2">
                  <c:v>Option 3</c:v>
                </c:pt>
              </c:strCache>
            </c:strRef>
          </c:cat>
          <c:val>
            <c:numRef>
              <c:f>'[Workforce Survey Analysis Live_TVDB.xlsx]4.1'!$N$32:$P$32</c:f>
              <c:numCache>
                <c:formatCode>General</c:formatCode>
                <c:ptCount val="3"/>
                <c:pt idx="0">
                  <c:v>13</c:v>
                </c:pt>
                <c:pt idx="1">
                  <c:v>84</c:v>
                </c:pt>
                <c:pt idx="2">
                  <c:v>42</c:v>
                </c:pt>
              </c:numCache>
            </c:numRef>
          </c:val>
          <c:extLst>
            <c:ext xmlns:c16="http://schemas.microsoft.com/office/drawing/2014/chart" uri="{C3380CC4-5D6E-409C-BE32-E72D297353CC}">
              <c16:uniqueId val="{00000001-4898-4D2B-811F-2F42F2C2A930}"/>
            </c:ext>
          </c:extLst>
        </c:ser>
        <c:ser>
          <c:idx val="2"/>
          <c:order val="2"/>
          <c:tx>
            <c:strRef>
              <c:f>'[Workforce Survey Analysis Live_TVDB.xlsx]4.1'!$M$33</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Live_TVDB.xlsx]4.1'!$N$30:$P$30</c:f>
              <c:strCache>
                <c:ptCount val="3"/>
                <c:pt idx="0">
                  <c:v>Option 1</c:v>
                </c:pt>
                <c:pt idx="1">
                  <c:v>Option 2</c:v>
                </c:pt>
                <c:pt idx="2">
                  <c:v>Option 3</c:v>
                </c:pt>
              </c:strCache>
            </c:strRef>
          </c:cat>
          <c:val>
            <c:numRef>
              <c:f>'[Workforce Survey Analysis Live_TVDB.xlsx]4.1'!$N$33:$P$33</c:f>
              <c:numCache>
                <c:formatCode>General</c:formatCode>
                <c:ptCount val="3"/>
                <c:pt idx="0">
                  <c:v>5</c:v>
                </c:pt>
                <c:pt idx="1">
                  <c:v>20</c:v>
                </c:pt>
                <c:pt idx="2">
                  <c:v>90</c:v>
                </c:pt>
              </c:numCache>
            </c:numRef>
          </c:val>
          <c:extLst>
            <c:ext xmlns:c16="http://schemas.microsoft.com/office/drawing/2014/chart" uri="{C3380CC4-5D6E-409C-BE32-E72D297353CC}">
              <c16:uniqueId val="{00000002-4898-4D2B-811F-2F42F2C2A930}"/>
            </c:ext>
          </c:extLst>
        </c:ser>
        <c:dLbls>
          <c:dLblPos val="outEnd"/>
          <c:showLegendKey val="0"/>
          <c:showVal val="1"/>
          <c:showCatName val="0"/>
          <c:showSerName val="0"/>
          <c:showPercent val="0"/>
          <c:showBubbleSize val="0"/>
        </c:dLbls>
        <c:gapWidth val="219"/>
        <c:overlap val="-27"/>
        <c:axId val="372177263"/>
        <c:axId val="645110287"/>
      </c:barChart>
      <c:catAx>
        <c:axId val="372177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5110287"/>
        <c:crosses val="autoZero"/>
        <c:auto val="1"/>
        <c:lblAlgn val="ctr"/>
        <c:lblOffset val="100"/>
        <c:noMultiLvlLbl val="0"/>
      </c:catAx>
      <c:valAx>
        <c:axId val="6451102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2177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Live_TVDB.xlsx]4.1'!$M$33</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Live_TVDB.xlsx]4.1'!$N$32:$P$32</c:f>
              <c:strCache>
                <c:ptCount val="3"/>
                <c:pt idx="0">
                  <c:v>Option 1</c:v>
                </c:pt>
                <c:pt idx="1">
                  <c:v>Option 2</c:v>
                </c:pt>
                <c:pt idx="2">
                  <c:v>Option 3</c:v>
                </c:pt>
              </c:strCache>
            </c:strRef>
          </c:cat>
          <c:val>
            <c:numRef>
              <c:f>'[Families Survey Analysis Live_TVDB.xlsx]4.1'!$N$33:$P$33</c:f>
              <c:numCache>
                <c:formatCode>General</c:formatCode>
                <c:ptCount val="3"/>
                <c:pt idx="0">
                  <c:v>57</c:v>
                </c:pt>
                <c:pt idx="1">
                  <c:v>19</c:v>
                </c:pt>
                <c:pt idx="2">
                  <c:v>7</c:v>
                </c:pt>
              </c:numCache>
            </c:numRef>
          </c:val>
          <c:extLst>
            <c:ext xmlns:c16="http://schemas.microsoft.com/office/drawing/2014/chart" uri="{C3380CC4-5D6E-409C-BE32-E72D297353CC}">
              <c16:uniqueId val="{00000000-3A0B-47B4-863E-72A1D5AB6CF8}"/>
            </c:ext>
          </c:extLst>
        </c:ser>
        <c:ser>
          <c:idx val="1"/>
          <c:order val="1"/>
          <c:tx>
            <c:strRef>
              <c:f>'[Families Survey Analysis Live_TVDB.xlsx]4.1'!$M$34</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Live_TVDB.xlsx]4.1'!$N$32:$P$32</c:f>
              <c:strCache>
                <c:ptCount val="3"/>
                <c:pt idx="0">
                  <c:v>Option 1</c:v>
                </c:pt>
                <c:pt idx="1">
                  <c:v>Option 2</c:v>
                </c:pt>
                <c:pt idx="2">
                  <c:v>Option 3</c:v>
                </c:pt>
              </c:strCache>
            </c:strRef>
          </c:cat>
          <c:val>
            <c:numRef>
              <c:f>'[Families Survey Analysis Live_TVDB.xlsx]4.1'!$N$34:$P$34</c:f>
              <c:numCache>
                <c:formatCode>General</c:formatCode>
                <c:ptCount val="3"/>
                <c:pt idx="0">
                  <c:v>4</c:v>
                </c:pt>
                <c:pt idx="1">
                  <c:v>39</c:v>
                </c:pt>
                <c:pt idx="2">
                  <c:v>21</c:v>
                </c:pt>
              </c:numCache>
            </c:numRef>
          </c:val>
          <c:extLst>
            <c:ext xmlns:c16="http://schemas.microsoft.com/office/drawing/2014/chart" uri="{C3380CC4-5D6E-409C-BE32-E72D297353CC}">
              <c16:uniqueId val="{00000001-3A0B-47B4-863E-72A1D5AB6CF8}"/>
            </c:ext>
          </c:extLst>
        </c:ser>
        <c:ser>
          <c:idx val="2"/>
          <c:order val="2"/>
          <c:tx>
            <c:strRef>
              <c:f>'[Families Survey Analysis Live_TVDB.xlsx]4.1'!$M$35</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Live_TVDB.xlsx]4.1'!$N$32:$P$32</c:f>
              <c:strCache>
                <c:ptCount val="3"/>
                <c:pt idx="0">
                  <c:v>Option 1</c:v>
                </c:pt>
                <c:pt idx="1">
                  <c:v>Option 2</c:v>
                </c:pt>
                <c:pt idx="2">
                  <c:v>Option 3</c:v>
                </c:pt>
              </c:strCache>
            </c:strRef>
          </c:cat>
          <c:val>
            <c:numRef>
              <c:f>'[Families Survey Analysis Live_TVDB.xlsx]4.1'!$N$35:$P$35</c:f>
              <c:numCache>
                <c:formatCode>General</c:formatCode>
                <c:ptCount val="3"/>
                <c:pt idx="0">
                  <c:v>3</c:v>
                </c:pt>
                <c:pt idx="1">
                  <c:v>7</c:v>
                </c:pt>
                <c:pt idx="2">
                  <c:v>35</c:v>
                </c:pt>
              </c:numCache>
            </c:numRef>
          </c:val>
          <c:extLst>
            <c:ext xmlns:c16="http://schemas.microsoft.com/office/drawing/2014/chart" uri="{C3380CC4-5D6E-409C-BE32-E72D297353CC}">
              <c16:uniqueId val="{00000002-3A0B-47B4-863E-72A1D5AB6CF8}"/>
            </c:ext>
          </c:extLst>
        </c:ser>
        <c:dLbls>
          <c:dLblPos val="outEnd"/>
          <c:showLegendKey val="0"/>
          <c:showVal val="1"/>
          <c:showCatName val="0"/>
          <c:showSerName val="0"/>
          <c:showPercent val="0"/>
          <c:showBubbleSize val="0"/>
        </c:dLbls>
        <c:gapWidth val="219"/>
        <c:overlap val="-27"/>
        <c:axId val="2018897216"/>
        <c:axId val="2018902016"/>
      </c:barChart>
      <c:catAx>
        <c:axId val="201889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18902016"/>
        <c:crosses val="autoZero"/>
        <c:auto val="1"/>
        <c:lblAlgn val="ctr"/>
        <c:lblOffset val="100"/>
        <c:noMultiLvlLbl val="0"/>
      </c:catAx>
      <c:valAx>
        <c:axId val="20189020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1889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Live_TVDB_1206.xlsx]4.1'!$M$20</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Live_TVDB_1206.xlsx]4.1'!$N$20</c:f>
              <c:numCache>
                <c:formatCode>0%</c:formatCode>
                <c:ptCount val="1"/>
                <c:pt idx="0">
                  <c:v>4.7619047619047616E-2</c:v>
                </c:pt>
              </c:numCache>
            </c:numRef>
          </c:val>
          <c:extLst>
            <c:ext xmlns:c16="http://schemas.microsoft.com/office/drawing/2014/chart" uri="{C3380CC4-5D6E-409C-BE32-E72D297353CC}">
              <c16:uniqueId val="{00000000-A3FA-4BB7-84B1-E48C70FF0F7C}"/>
            </c:ext>
          </c:extLst>
        </c:ser>
        <c:ser>
          <c:idx val="1"/>
          <c:order val="1"/>
          <c:tx>
            <c:strRef>
              <c:f>'[Approved Provider Survey Analysis Live_TVDB_1206.xlsx]4.1'!$M$21</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Live_TVDB_1206.xlsx]4.1'!$N$21</c:f>
              <c:numCache>
                <c:formatCode>0%</c:formatCode>
                <c:ptCount val="1"/>
                <c:pt idx="0">
                  <c:v>5.4421768707482991E-2</c:v>
                </c:pt>
              </c:numCache>
            </c:numRef>
          </c:val>
          <c:extLst>
            <c:ext xmlns:c16="http://schemas.microsoft.com/office/drawing/2014/chart" uri="{C3380CC4-5D6E-409C-BE32-E72D297353CC}">
              <c16:uniqueId val="{00000001-A3FA-4BB7-84B1-E48C70FF0F7C}"/>
            </c:ext>
          </c:extLst>
        </c:ser>
        <c:ser>
          <c:idx val="2"/>
          <c:order val="2"/>
          <c:tx>
            <c:strRef>
              <c:f>'[Approved Provider Survey Analysis Live_TVDB_1206.xlsx]4.1'!$M$22</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Live_TVDB_1206.xlsx]4.1'!$N$22</c:f>
              <c:numCache>
                <c:formatCode>0%</c:formatCode>
                <c:ptCount val="1"/>
                <c:pt idx="0">
                  <c:v>0.60544217687074831</c:v>
                </c:pt>
              </c:numCache>
            </c:numRef>
          </c:val>
          <c:extLst>
            <c:ext xmlns:c16="http://schemas.microsoft.com/office/drawing/2014/chart" uri="{C3380CC4-5D6E-409C-BE32-E72D297353CC}">
              <c16:uniqueId val="{00000002-A3FA-4BB7-84B1-E48C70FF0F7C}"/>
            </c:ext>
          </c:extLst>
        </c:ser>
        <c:ser>
          <c:idx val="3"/>
          <c:order val="3"/>
          <c:tx>
            <c:strRef>
              <c:f>'[Approved Provider Survey Analysis Live_TVDB_1206.xlsx]4.1'!$M$23</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Live_TVDB_1206.xlsx]4.1'!$N$23</c:f>
              <c:numCache>
                <c:formatCode>0%</c:formatCode>
                <c:ptCount val="1"/>
                <c:pt idx="0">
                  <c:v>0.29251700680272108</c:v>
                </c:pt>
              </c:numCache>
            </c:numRef>
          </c:val>
          <c:extLst>
            <c:ext xmlns:c16="http://schemas.microsoft.com/office/drawing/2014/chart" uri="{C3380CC4-5D6E-409C-BE32-E72D297353CC}">
              <c16:uniqueId val="{00000003-A3FA-4BB7-84B1-E48C70FF0F7C}"/>
            </c:ext>
          </c:extLst>
        </c:ser>
        <c:dLbls>
          <c:dLblPos val="ctr"/>
          <c:showLegendKey val="0"/>
          <c:showVal val="1"/>
          <c:showCatName val="0"/>
          <c:showSerName val="0"/>
          <c:showPercent val="0"/>
          <c:showBubbleSize val="0"/>
        </c:dLbls>
        <c:gapWidth val="150"/>
        <c:overlap val="100"/>
        <c:axId val="1522574112"/>
        <c:axId val="1522575552"/>
      </c:barChart>
      <c:catAx>
        <c:axId val="1522574112"/>
        <c:scaling>
          <c:orientation val="minMax"/>
        </c:scaling>
        <c:delete val="1"/>
        <c:axPos val="l"/>
        <c:numFmt formatCode="General" sourceLinked="1"/>
        <c:majorTickMark val="none"/>
        <c:minorTickMark val="none"/>
        <c:tickLblPos val="nextTo"/>
        <c:crossAx val="1522575552"/>
        <c:crosses val="autoZero"/>
        <c:auto val="1"/>
        <c:lblAlgn val="ctr"/>
        <c:lblOffset val="100"/>
        <c:noMultiLvlLbl val="0"/>
      </c:catAx>
      <c:valAx>
        <c:axId val="152257555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2257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Live_TVDB.xlsx]4.1'!$M$18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Live_TVDB.xlsx]4.1'!$N$18</c:f>
              <c:numCache>
                <c:formatCode>0%</c:formatCode>
                <c:ptCount val="1"/>
                <c:pt idx="0">
                  <c:v>5.3333333333333337E-2</c:v>
                </c:pt>
              </c:numCache>
            </c:numRef>
          </c:val>
          <c:extLst>
            <c:ext xmlns:c16="http://schemas.microsoft.com/office/drawing/2014/chart" uri="{C3380CC4-5D6E-409C-BE32-E72D297353CC}">
              <c16:uniqueId val="{00000000-D912-46B8-83C0-088FA0282E90}"/>
            </c:ext>
          </c:extLst>
        </c:ser>
        <c:ser>
          <c:idx val="1"/>
          <c:order val="1"/>
          <c:tx>
            <c:strRef>
              <c:f>'[Workforce Survey Analysis Live_TVDB.xlsx]4.1'!$M$19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Live_TVDB.xlsx]4.1'!$N$19</c:f>
              <c:numCache>
                <c:formatCode>0%</c:formatCode>
                <c:ptCount val="1"/>
                <c:pt idx="0">
                  <c:v>0.13333333333333333</c:v>
                </c:pt>
              </c:numCache>
            </c:numRef>
          </c:val>
          <c:extLst>
            <c:ext xmlns:c16="http://schemas.microsoft.com/office/drawing/2014/chart" uri="{C3380CC4-5D6E-409C-BE32-E72D297353CC}">
              <c16:uniqueId val="{00000001-D912-46B8-83C0-088FA0282E90}"/>
            </c:ext>
          </c:extLst>
        </c:ser>
        <c:ser>
          <c:idx val="2"/>
          <c:order val="2"/>
          <c:tx>
            <c:strRef>
              <c:f>'[Workforce Survey Analysis Live_TVDB.xlsx]4.1'!$M$20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Live_TVDB.xlsx]4.1'!$N$20</c:f>
              <c:numCache>
                <c:formatCode>0%</c:formatCode>
                <c:ptCount val="1"/>
                <c:pt idx="0">
                  <c:v>0.52</c:v>
                </c:pt>
              </c:numCache>
            </c:numRef>
          </c:val>
          <c:extLst>
            <c:ext xmlns:c16="http://schemas.microsoft.com/office/drawing/2014/chart" uri="{C3380CC4-5D6E-409C-BE32-E72D297353CC}">
              <c16:uniqueId val="{00000002-D912-46B8-83C0-088FA0282E90}"/>
            </c:ext>
          </c:extLst>
        </c:ser>
        <c:ser>
          <c:idx val="3"/>
          <c:order val="3"/>
          <c:tx>
            <c:strRef>
              <c:f>'[Workforce Survey Analysis Live_TVDB.xlsx]4.1'!$M$21</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Live_TVDB.xlsx]4.1'!$N$21</c:f>
              <c:numCache>
                <c:formatCode>0%</c:formatCode>
                <c:ptCount val="1"/>
                <c:pt idx="0">
                  <c:v>0.29333333333333333</c:v>
                </c:pt>
              </c:numCache>
            </c:numRef>
          </c:val>
          <c:extLst>
            <c:ext xmlns:c16="http://schemas.microsoft.com/office/drawing/2014/chart" uri="{C3380CC4-5D6E-409C-BE32-E72D297353CC}">
              <c16:uniqueId val="{00000003-D912-46B8-83C0-088FA0282E90}"/>
            </c:ext>
          </c:extLst>
        </c:ser>
        <c:dLbls>
          <c:dLblPos val="ctr"/>
          <c:showLegendKey val="0"/>
          <c:showVal val="1"/>
          <c:showCatName val="0"/>
          <c:showSerName val="0"/>
          <c:showPercent val="0"/>
          <c:showBubbleSize val="0"/>
        </c:dLbls>
        <c:gapWidth val="150"/>
        <c:overlap val="100"/>
        <c:axId val="1573894319"/>
        <c:axId val="1573895759"/>
      </c:barChart>
      <c:catAx>
        <c:axId val="1573894319"/>
        <c:scaling>
          <c:orientation val="minMax"/>
        </c:scaling>
        <c:delete val="1"/>
        <c:axPos val="l"/>
        <c:numFmt formatCode="General" sourceLinked="1"/>
        <c:majorTickMark val="none"/>
        <c:minorTickMark val="none"/>
        <c:tickLblPos val="nextTo"/>
        <c:crossAx val="1573895759"/>
        <c:crosses val="autoZero"/>
        <c:auto val="1"/>
        <c:lblAlgn val="ctr"/>
        <c:lblOffset val="100"/>
        <c:noMultiLvlLbl val="0"/>
      </c:catAx>
      <c:valAx>
        <c:axId val="1573895759"/>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7389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Live_TVDB.xlsx]4.1'!$M$18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Live_TVDB.xlsx]4.1'!$N$18</c:f>
              <c:numCache>
                <c:formatCode>0%</c:formatCode>
                <c:ptCount val="1"/>
                <c:pt idx="0">
                  <c:v>3.0769230769230771E-2</c:v>
                </c:pt>
              </c:numCache>
            </c:numRef>
          </c:val>
          <c:extLst>
            <c:ext xmlns:c16="http://schemas.microsoft.com/office/drawing/2014/chart" uri="{C3380CC4-5D6E-409C-BE32-E72D297353CC}">
              <c16:uniqueId val="{00000000-1810-426B-BE77-316D56526FFD}"/>
            </c:ext>
          </c:extLst>
        </c:ser>
        <c:ser>
          <c:idx val="1"/>
          <c:order val="1"/>
          <c:tx>
            <c:strRef>
              <c:f>'[Families Survey Analysis Live_TVDB.xlsx]4.1'!$M$19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Live_TVDB.xlsx]4.1'!$N$19</c:f>
              <c:numCache>
                <c:formatCode>0%</c:formatCode>
                <c:ptCount val="1"/>
                <c:pt idx="0">
                  <c:v>7.6923076923076927E-2</c:v>
                </c:pt>
              </c:numCache>
            </c:numRef>
          </c:val>
          <c:extLst>
            <c:ext xmlns:c16="http://schemas.microsoft.com/office/drawing/2014/chart" uri="{C3380CC4-5D6E-409C-BE32-E72D297353CC}">
              <c16:uniqueId val="{00000001-1810-426B-BE77-316D56526FFD}"/>
            </c:ext>
          </c:extLst>
        </c:ser>
        <c:ser>
          <c:idx val="2"/>
          <c:order val="2"/>
          <c:tx>
            <c:strRef>
              <c:f>'[Families Survey Analysis Live_TVDB.xlsx]4.1'!$M$20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Live_TVDB.xlsx]4.1'!$N$20</c:f>
              <c:numCache>
                <c:formatCode>0%</c:formatCode>
                <c:ptCount val="1"/>
                <c:pt idx="0">
                  <c:v>0.63076923076923075</c:v>
                </c:pt>
              </c:numCache>
            </c:numRef>
          </c:val>
          <c:extLst>
            <c:ext xmlns:c16="http://schemas.microsoft.com/office/drawing/2014/chart" uri="{C3380CC4-5D6E-409C-BE32-E72D297353CC}">
              <c16:uniqueId val="{00000002-1810-426B-BE77-316D56526FFD}"/>
            </c:ext>
          </c:extLst>
        </c:ser>
        <c:ser>
          <c:idx val="3"/>
          <c:order val="3"/>
          <c:tx>
            <c:strRef>
              <c:f>'[Families Survey Analysis Live_TVDB.xlsx]4.1'!$M$21</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Live_TVDB.xlsx]4.1'!$N$21</c:f>
              <c:numCache>
                <c:formatCode>0%</c:formatCode>
                <c:ptCount val="1"/>
                <c:pt idx="0">
                  <c:v>0.26153846153846155</c:v>
                </c:pt>
              </c:numCache>
            </c:numRef>
          </c:val>
          <c:extLst>
            <c:ext xmlns:c16="http://schemas.microsoft.com/office/drawing/2014/chart" uri="{C3380CC4-5D6E-409C-BE32-E72D297353CC}">
              <c16:uniqueId val="{00000003-1810-426B-BE77-316D56526FFD}"/>
            </c:ext>
          </c:extLst>
        </c:ser>
        <c:dLbls>
          <c:dLblPos val="ctr"/>
          <c:showLegendKey val="0"/>
          <c:showVal val="1"/>
          <c:showCatName val="0"/>
          <c:showSerName val="0"/>
          <c:showPercent val="0"/>
          <c:showBubbleSize val="0"/>
        </c:dLbls>
        <c:gapWidth val="150"/>
        <c:overlap val="100"/>
        <c:axId val="1396811840"/>
        <c:axId val="1396800320"/>
      </c:barChart>
      <c:catAx>
        <c:axId val="1396811840"/>
        <c:scaling>
          <c:orientation val="minMax"/>
        </c:scaling>
        <c:delete val="1"/>
        <c:axPos val="l"/>
        <c:numFmt formatCode="General" sourceLinked="1"/>
        <c:majorTickMark val="none"/>
        <c:minorTickMark val="none"/>
        <c:tickLblPos val="nextTo"/>
        <c:crossAx val="1396800320"/>
        <c:crosses val="autoZero"/>
        <c:auto val="1"/>
        <c:lblAlgn val="ctr"/>
        <c:lblOffset val="100"/>
        <c:noMultiLvlLbl val="0"/>
      </c:catAx>
      <c:valAx>
        <c:axId val="139680032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681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Live_TVDB_1206.xlsx]2.1'!$P$42</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Live_TVDB_1206.xlsx]2.1'!$Q$41:$V$41</c:f>
              <c:strCache>
                <c:ptCount val="6"/>
                <c:pt idx="0">
                  <c:v>Option 1</c:v>
                </c:pt>
                <c:pt idx="1">
                  <c:v>Option 2</c:v>
                </c:pt>
                <c:pt idx="2">
                  <c:v>Option 3</c:v>
                </c:pt>
                <c:pt idx="3">
                  <c:v>Option 4</c:v>
                </c:pt>
                <c:pt idx="4">
                  <c:v>Option 5</c:v>
                </c:pt>
                <c:pt idx="5">
                  <c:v>Option 6</c:v>
                </c:pt>
              </c:strCache>
            </c:strRef>
          </c:cat>
          <c:val>
            <c:numRef>
              <c:f>'[Approved Provider Survey Analysis Live_TVDB_1206.xlsx]2.1'!$Q$42:$V$42</c:f>
              <c:numCache>
                <c:formatCode>General</c:formatCode>
                <c:ptCount val="6"/>
                <c:pt idx="0">
                  <c:v>168</c:v>
                </c:pt>
                <c:pt idx="1">
                  <c:v>52</c:v>
                </c:pt>
                <c:pt idx="2">
                  <c:v>22</c:v>
                </c:pt>
                <c:pt idx="3">
                  <c:v>9</c:v>
                </c:pt>
                <c:pt idx="4">
                  <c:v>16</c:v>
                </c:pt>
                <c:pt idx="5">
                  <c:v>8</c:v>
                </c:pt>
              </c:numCache>
            </c:numRef>
          </c:val>
          <c:extLst>
            <c:ext xmlns:c16="http://schemas.microsoft.com/office/drawing/2014/chart" uri="{C3380CC4-5D6E-409C-BE32-E72D297353CC}">
              <c16:uniqueId val="{00000000-FDE3-4A81-A3CD-B771F6C56899}"/>
            </c:ext>
          </c:extLst>
        </c:ser>
        <c:ser>
          <c:idx val="1"/>
          <c:order val="1"/>
          <c:tx>
            <c:strRef>
              <c:f>'[Approved Provider Survey Analysis Live_TVDB_1206.xlsx]2.1'!$P$43</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Live_TVDB_1206.xlsx]2.1'!$Q$41:$V$41</c:f>
              <c:strCache>
                <c:ptCount val="6"/>
                <c:pt idx="0">
                  <c:v>Option 1</c:v>
                </c:pt>
                <c:pt idx="1">
                  <c:v>Option 2</c:v>
                </c:pt>
                <c:pt idx="2">
                  <c:v>Option 3</c:v>
                </c:pt>
                <c:pt idx="3">
                  <c:v>Option 4</c:v>
                </c:pt>
                <c:pt idx="4">
                  <c:v>Option 5</c:v>
                </c:pt>
                <c:pt idx="5">
                  <c:v>Option 6</c:v>
                </c:pt>
              </c:strCache>
            </c:strRef>
          </c:cat>
          <c:val>
            <c:numRef>
              <c:f>'[Approved Provider Survey Analysis Live_TVDB_1206.xlsx]2.1'!$Q$43:$V$43</c:f>
              <c:numCache>
                <c:formatCode>General</c:formatCode>
                <c:ptCount val="6"/>
                <c:pt idx="0">
                  <c:v>16</c:v>
                </c:pt>
                <c:pt idx="1">
                  <c:v>113</c:v>
                </c:pt>
                <c:pt idx="2">
                  <c:v>126</c:v>
                </c:pt>
                <c:pt idx="3">
                  <c:v>85</c:v>
                </c:pt>
                <c:pt idx="4">
                  <c:v>93</c:v>
                </c:pt>
                <c:pt idx="5">
                  <c:v>57</c:v>
                </c:pt>
              </c:numCache>
            </c:numRef>
          </c:val>
          <c:extLst>
            <c:ext xmlns:c16="http://schemas.microsoft.com/office/drawing/2014/chart" uri="{C3380CC4-5D6E-409C-BE32-E72D297353CC}">
              <c16:uniqueId val="{00000001-FDE3-4A81-A3CD-B771F6C56899}"/>
            </c:ext>
          </c:extLst>
        </c:ser>
        <c:ser>
          <c:idx val="2"/>
          <c:order val="2"/>
          <c:tx>
            <c:strRef>
              <c:f>'[Approved Provider Survey Analysis Live_TVDB_1206.xlsx]2.1'!$P$44</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Live_TVDB_1206.xlsx]2.1'!$Q$41:$V$41</c:f>
              <c:strCache>
                <c:ptCount val="6"/>
                <c:pt idx="0">
                  <c:v>Option 1</c:v>
                </c:pt>
                <c:pt idx="1">
                  <c:v>Option 2</c:v>
                </c:pt>
                <c:pt idx="2">
                  <c:v>Option 3</c:v>
                </c:pt>
                <c:pt idx="3">
                  <c:v>Option 4</c:v>
                </c:pt>
                <c:pt idx="4">
                  <c:v>Option 5</c:v>
                </c:pt>
                <c:pt idx="5">
                  <c:v>Option 6</c:v>
                </c:pt>
              </c:strCache>
            </c:strRef>
          </c:cat>
          <c:val>
            <c:numRef>
              <c:f>'[Approved Provider Survey Analysis Live_TVDB_1206.xlsx]2.1'!$Q$44:$V$44</c:f>
              <c:numCache>
                <c:formatCode>General</c:formatCode>
                <c:ptCount val="6"/>
                <c:pt idx="0">
                  <c:v>6</c:v>
                </c:pt>
                <c:pt idx="1">
                  <c:v>25</c:v>
                </c:pt>
                <c:pt idx="2">
                  <c:v>43</c:v>
                </c:pt>
                <c:pt idx="3">
                  <c:v>97</c:v>
                </c:pt>
                <c:pt idx="4">
                  <c:v>82</c:v>
                </c:pt>
                <c:pt idx="5">
                  <c:v>125</c:v>
                </c:pt>
              </c:numCache>
            </c:numRef>
          </c:val>
          <c:extLst>
            <c:ext xmlns:c16="http://schemas.microsoft.com/office/drawing/2014/chart" uri="{C3380CC4-5D6E-409C-BE32-E72D297353CC}">
              <c16:uniqueId val="{00000002-FDE3-4A81-A3CD-B771F6C56899}"/>
            </c:ext>
          </c:extLst>
        </c:ser>
        <c:dLbls>
          <c:dLblPos val="outEnd"/>
          <c:showLegendKey val="0"/>
          <c:showVal val="1"/>
          <c:showCatName val="0"/>
          <c:showSerName val="0"/>
          <c:showPercent val="0"/>
          <c:showBubbleSize val="0"/>
        </c:dLbls>
        <c:gapWidth val="219"/>
        <c:overlap val="-27"/>
        <c:axId val="1684648256"/>
        <c:axId val="1684646336"/>
      </c:barChart>
      <c:catAx>
        <c:axId val="168464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46336"/>
        <c:crosses val="autoZero"/>
        <c:auto val="1"/>
        <c:lblAlgn val="ctr"/>
        <c:lblOffset val="100"/>
        <c:noMultiLvlLbl val="0"/>
      </c:catAx>
      <c:valAx>
        <c:axId val="1684646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464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Live_TVDB_1206.xlsx]4.2'!$M$35</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Live_TVDB_1206.xlsx]4.2'!$N$34:$P$34</c:f>
              <c:strCache>
                <c:ptCount val="3"/>
                <c:pt idx="0">
                  <c:v>Option 1</c:v>
                </c:pt>
                <c:pt idx="1">
                  <c:v>Option 2</c:v>
                </c:pt>
                <c:pt idx="2">
                  <c:v>Option 3A and 3B</c:v>
                </c:pt>
              </c:strCache>
            </c:strRef>
          </c:cat>
          <c:val>
            <c:numRef>
              <c:f>'[Approved Provider Survey Analysis Live_TVDB_1206.xlsx]4.2'!$N$35:$P$35</c:f>
              <c:numCache>
                <c:formatCode>General</c:formatCode>
                <c:ptCount val="3"/>
                <c:pt idx="0">
                  <c:v>131</c:v>
                </c:pt>
                <c:pt idx="1">
                  <c:v>26</c:v>
                </c:pt>
                <c:pt idx="2">
                  <c:v>15</c:v>
                </c:pt>
              </c:numCache>
            </c:numRef>
          </c:val>
          <c:extLst>
            <c:ext xmlns:c16="http://schemas.microsoft.com/office/drawing/2014/chart" uri="{C3380CC4-5D6E-409C-BE32-E72D297353CC}">
              <c16:uniqueId val="{00000000-BB24-47B3-B5A8-45A66F051BFC}"/>
            </c:ext>
          </c:extLst>
        </c:ser>
        <c:ser>
          <c:idx val="1"/>
          <c:order val="1"/>
          <c:tx>
            <c:strRef>
              <c:f>'[Approved Provider Survey Analysis Live_TVDB_1206.xlsx]4.2'!$M$36</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Live_TVDB_1206.xlsx]4.2'!$N$34:$P$34</c:f>
              <c:strCache>
                <c:ptCount val="3"/>
                <c:pt idx="0">
                  <c:v>Option 1</c:v>
                </c:pt>
                <c:pt idx="1">
                  <c:v>Option 2</c:v>
                </c:pt>
                <c:pt idx="2">
                  <c:v>Option 3A and 3B</c:v>
                </c:pt>
              </c:strCache>
            </c:strRef>
          </c:cat>
          <c:val>
            <c:numRef>
              <c:f>'[Approved Provider Survey Analysis Live_TVDB_1206.xlsx]4.2'!$N$36:$P$36</c:f>
              <c:numCache>
                <c:formatCode>General</c:formatCode>
                <c:ptCount val="3"/>
                <c:pt idx="0">
                  <c:v>4</c:v>
                </c:pt>
                <c:pt idx="1">
                  <c:v>97</c:v>
                </c:pt>
                <c:pt idx="2">
                  <c:v>42</c:v>
                </c:pt>
              </c:numCache>
            </c:numRef>
          </c:val>
          <c:extLst>
            <c:ext xmlns:c16="http://schemas.microsoft.com/office/drawing/2014/chart" uri="{C3380CC4-5D6E-409C-BE32-E72D297353CC}">
              <c16:uniqueId val="{00000001-BB24-47B3-B5A8-45A66F051BFC}"/>
            </c:ext>
          </c:extLst>
        </c:ser>
        <c:ser>
          <c:idx val="2"/>
          <c:order val="2"/>
          <c:tx>
            <c:strRef>
              <c:f>'[Approved Provider Survey Analysis Live_TVDB_1206.xlsx]4.2'!$M$37</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Live_TVDB_1206.xlsx]4.2'!$N$34:$P$34</c:f>
              <c:strCache>
                <c:ptCount val="3"/>
                <c:pt idx="0">
                  <c:v>Option 1</c:v>
                </c:pt>
                <c:pt idx="1">
                  <c:v>Option 2</c:v>
                </c:pt>
                <c:pt idx="2">
                  <c:v>Option 3A and 3B</c:v>
                </c:pt>
              </c:strCache>
            </c:strRef>
          </c:cat>
          <c:val>
            <c:numRef>
              <c:f>'[Approved Provider Survey Analysis Live_TVDB_1206.xlsx]4.2'!$N$37:$P$37</c:f>
              <c:numCache>
                <c:formatCode>General</c:formatCode>
                <c:ptCount val="3"/>
                <c:pt idx="0">
                  <c:v>1</c:v>
                </c:pt>
                <c:pt idx="1">
                  <c:v>11</c:v>
                </c:pt>
                <c:pt idx="2">
                  <c:v>76</c:v>
                </c:pt>
              </c:numCache>
            </c:numRef>
          </c:val>
          <c:extLst>
            <c:ext xmlns:c16="http://schemas.microsoft.com/office/drawing/2014/chart" uri="{C3380CC4-5D6E-409C-BE32-E72D297353CC}">
              <c16:uniqueId val="{00000002-BB24-47B3-B5A8-45A66F051BFC}"/>
            </c:ext>
          </c:extLst>
        </c:ser>
        <c:dLbls>
          <c:dLblPos val="outEnd"/>
          <c:showLegendKey val="0"/>
          <c:showVal val="1"/>
          <c:showCatName val="0"/>
          <c:showSerName val="0"/>
          <c:showPercent val="0"/>
          <c:showBubbleSize val="0"/>
        </c:dLbls>
        <c:gapWidth val="219"/>
        <c:overlap val="-27"/>
        <c:axId val="1745008736"/>
        <c:axId val="1745030336"/>
      </c:barChart>
      <c:catAx>
        <c:axId val="174500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30336"/>
        <c:crosses val="autoZero"/>
        <c:auto val="1"/>
        <c:lblAlgn val="ctr"/>
        <c:lblOffset val="100"/>
        <c:noMultiLvlLbl val="0"/>
      </c:catAx>
      <c:valAx>
        <c:axId val="1745030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0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Live_TVDB.xlsx]4.2'!$M$30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Live_TVDB.xlsx]4.2'!$N$29:$P$29</c:f>
              <c:strCache>
                <c:ptCount val="3"/>
                <c:pt idx="0">
                  <c:v>Option 1</c:v>
                </c:pt>
                <c:pt idx="1">
                  <c:v>Option 2</c:v>
                </c:pt>
                <c:pt idx="2">
                  <c:v>Option 3A and 3B</c:v>
                </c:pt>
              </c:strCache>
            </c:strRef>
          </c:cat>
          <c:val>
            <c:numRef>
              <c:f>'[Workforce Survey Analysis Live_TVDB.xlsx]4.2'!$N$30:$P$30</c:f>
              <c:numCache>
                <c:formatCode>General</c:formatCode>
                <c:ptCount val="3"/>
                <c:pt idx="0">
                  <c:v>133</c:v>
                </c:pt>
                <c:pt idx="1">
                  <c:v>39</c:v>
                </c:pt>
                <c:pt idx="2">
                  <c:v>19</c:v>
                </c:pt>
              </c:numCache>
            </c:numRef>
          </c:val>
          <c:extLst>
            <c:ext xmlns:c16="http://schemas.microsoft.com/office/drawing/2014/chart" uri="{C3380CC4-5D6E-409C-BE32-E72D297353CC}">
              <c16:uniqueId val="{00000000-4C15-4B3E-99B9-5ABC6B1EDB3B}"/>
            </c:ext>
          </c:extLst>
        </c:ser>
        <c:ser>
          <c:idx val="1"/>
          <c:order val="1"/>
          <c:tx>
            <c:strRef>
              <c:f>'[Workforce Survey Analysis Live_TVDB.xlsx]4.2'!$M$31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Live_TVDB.xlsx]4.2'!$N$29:$P$29</c:f>
              <c:strCache>
                <c:ptCount val="3"/>
                <c:pt idx="0">
                  <c:v>Option 1</c:v>
                </c:pt>
                <c:pt idx="1">
                  <c:v>Option 2</c:v>
                </c:pt>
                <c:pt idx="2">
                  <c:v>Option 3A and 3B</c:v>
                </c:pt>
              </c:strCache>
            </c:strRef>
          </c:cat>
          <c:val>
            <c:numRef>
              <c:f>'[Workforce Survey Analysis Live_TVDB.xlsx]4.2'!$N$31:$P$31</c:f>
              <c:numCache>
                <c:formatCode>General</c:formatCode>
                <c:ptCount val="3"/>
                <c:pt idx="0">
                  <c:v>11</c:v>
                </c:pt>
                <c:pt idx="1">
                  <c:v>81</c:v>
                </c:pt>
                <c:pt idx="2">
                  <c:v>45</c:v>
                </c:pt>
              </c:numCache>
            </c:numRef>
          </c:val>
          <c:extLst>
            <c:ext xmlns:c16="http://schemas.microsoft.com/office/drawing/2014/chart" uri="{C3380CC4-5D6E-409C-BE32-E72D297353CC}">
              <c16:uniqueId val="{00000001-4C15-4B3E-99B9-5ABC6B1EDB3B}"/>
            </c:ext>
          </c:extLst>
        </c:ser>
        <c:ser>
          <c:idx val="2"/>
          <c:order val="2"/>
          <c:tx>
            <c:strRef>
              <c:f>'[Workforce Survey Analysis Live_TVDB.xlsx]4.2'!$M$32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Live_TVDB.xlsx]4.2'!$N$29:$P$29</c:f>
              <c:strCache>
                <c:ptCount val="3"/>
                <c:pt idx="0">
                  <c:v>Option 1</c:v>
                </c:pt>
                <c:pt idx="1">
                  <c:v>Option 2</c:v>
                </c:pt>
                <c:pt idx="2">
                  <c:v>Option 3A and 3B</c:v>
                </c:pt>
              </c:strCache>
            </c:strRef>
          </c:cat>
          <c:val>
            <c:numRef>
              <c:f>'[Workforce Survey Analysis Live_TVDB.xlsx]4.2'!$N$32:$P$32</c:f>
              <c:numCache>
                <c:formatCode>General</c:formatCode>
                <c:ptCount val="3"/>
                <c:pt idx="0">
                  <c:v>4</c:v>
                </c:pt>
                <c:pt idx="1">
                  <c:v>28</c:v>
                </c:pt>
                <c:pt idx="2">
                  <c:v>83</c:v>
                </c:pt>
              </c:numCache>
            </c:numRef>
          </c:val>
          <c:extLst>
            <c:ext xmlns:c16="http://schemas.microsoft.com/office/drawing/2014/chart" uri="{C3380CC4-5D6E-409C-BE32-E72D297353CC}">
              <c16:uniqueId val="{00000002-4C15-4B3E-99B9-5ABC6B1EDB3B}"/>
            </c:ext>
          </c:extLst>
        </c:ser>
        <c:dLbls>
          <c:dLblPos val="outEnd"/>
          <c:showLegendKey val="0"/>
          <c:showVal val="1"/>
          <c:showCatName val="0"/>
          <c:showSerName val="0"/>
          <c:showPercent val="0"/>
          <c:showBubbleSize val="0"/>
        </c:dLbls>
        <c:gapWidth val="219"/>
        <c:overlap val="-27"/>
        <c:axId val="645109807"/>
        <c:axId val="645108847"/>
      </c:barChart>
      <c:catAx>
        <c:axId val="64510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5108847"/>
        <c:crosses val="autoZero"/>
        <c:auto val="1"/>
        <c:lblAlgn val="ctr"/>
        <c:lblOffset val="100"/>
        <c:noMultiLvlLbl val="0"/>
      </c:catAx>
      <c:valAx>
        <c:axId val="645108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5109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Live_TVDB.xlsx]4.2'!$M$34</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Live_TVDB.xlsx]4.2'!$N$33:$P$33</c:f>
              <c:strCache>
                <c:ptCount val="3"/>
                <c:pt idx="0">
                  <c:v>Option 1</c:v>
                </c:pt>
                <c:pt idx="1">
                  <c:v>Option 2</c:v>
                </c:pt>
                <c:pt idx="2">
                  <c:v>Option 3</c:v>
                </c:pt>
              </c:strCache>
            </c:strRef>
          </c:cat>
          <c:val>
            <c:numRef>
              <c:f>'[Families Survey Analysis Live_TVDB.xlsx]4.2'!$N$34:$P$34</c:f>
              <c:numCache>
                <c:formatCode>General</c:formatCode>
                <c:ptCount val="3"/>
                <c:pt idx="0">
                  <c:v>64</c:v>
                </c:pt>
                <c:pt idx="1">
                  <c:v>22</c:v>
                </c:pt>
                <c:pt idx="2">
                  <c:v>10</c:v>
                </c:pt>
              </c:numCache>
            </c:numRef>
          </c:val>
          <c:extLst>
            <c:ext xmlns:c16="http://schemas.microsoft.com/office/drawing/2014/chart" uri="{C3380CC4-5D6E-409C-BE32-E72D297353CC}">
              <c16:uniqueId val="{00000000-0C7A-43F2-B10C-6D92754E91F3}"/>
            </c:ext>
          </c:extLst>
        </c:ser>
        <c:ser>
          <c:idx val="1"/>
          <c:order val="1"/>
          <c:tx>
            <c:strRef>
              <c:f>'[Families Survey Analysis Live_TVDB.xlsx]4.2'!$M$35</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Live_TVDB.xlsx]4.2'!$N$33:$P$33</c:f>
              <c:strCache>
                <c:ptCount val="3"/>
                <c:pt idx="0">
                  <c:v>Option 1</c:v>
                </c:pt>
                <c:pt idx="1">
                  <c:v>Option 2</c:v>
                </c:pt>
                <c:pt idx="2">
                  <c:v>Option 3</c:v>
                </c:pt>
              </c:strCache>
            </c:strRef>
          </c:cat>
          <c:val>
            <c:numRef>
              <c:f>'[Families Survey Analysis Live_TVDB.xlsx]4.2'!$N$35:$P$35</c:f>
              <c:numCache>
                <c:formatCode>General</c:formatCode>
                <c:ptCount val="3"/>
                <c:pt idx="0">
                  <c:v>1</c:v>
                </c:pt>
                <c:pt idx="1">
                  <c:v>37</c:v>
                </c:pt>
                <c:pt idx="2">
                  <c:v>18</c:v>
                </c:pt>
              </c:numCache>
            </c:numRef>
          </c:val>
          <c:extLst>
            <c:ext xmlns:c16="http://schemas.microsoft.com/office/drawing/2014/chart" uri="{C3380CC4-5D6E-409C-BE32-E72D297353CC}">
              <c16:uniqueId val="{00000001-0C7A-43F2-B10C-6D92754E91F3}"/>
            </c:ext>
          </c:extLst>
        </c:ser>
        <c:ser>
          <c:idx val="2"/>
          <c:order val="2"/>
          <c:tx>
            <c:strRef>
              <c:f>'[Families Survey Analysis Live_TVDB.xlsx]4.2'!$M$36</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Live_TVDB.xlsx]4.2'!$N$33:$P$33</c:f>
              <c:strCache>
                <c:ptCount val="3"/>
                <c:pt idx="0">
                  <c:v>Option 1</c:v>
                </c:pt>
                <c:pt idx="1">
                  <c:v>Option 2</c:v>
                </c:pt>
                <c:pt idx="2">
                  <c:v>Option 3</c:v>
                </c:pt>
              </c:strCache>
            </c:strRef>
          </c:cat>
          <c:val>
            <c:numRef>
              <c:f>'[Families Survey Analysis Live_TVDB.xlsx]4.2'!$N$36:$P$36</c:f>
              <c:numCache>
                <c:formatCode>General</c:formatCode>
                <c:ptCount val="3"/>
                <c:pt idx="0">
                  <c:v>1</c:v>
                </c:pt>
                <c:pt idx="1">
                  <c:v>7</c:v>
                </c:pt>
                <c:pt idx="2">
                  <c:v>39</c:v>
                </c:pt>
              </c:numCache>
            </c:numRef>
          </c:val>
          <c:extLst>
            <c:ext xmlns:c16="http://schemas.microsoft.com/office/drawing/2014/chart" uri="{C3380CC4-5D6E-409C-BE32-E72D297353CC}">
              <c16:uniqueId val="{00000002-0C7A-43F2-B10C-6D92754E91F3}"/>
            </c:ext>
          </c:extLst>
        </c:ser>
        <c:dLbls>
          <c:dLblPos val="outEnd"/>
          <c:showLegendKey val="0"/>
          <c:showVal val="1"/>
          <c:showCatName val="0"/>
          <c:showSerName val="0"/>
          <c:showPercent val="0"/>
          <c:showBubbleSize val="0"/>
        </c:dLbls>
        <c:gapWidth val="219"/>
        <c:overlap val="-27"/>
        <c:axId val="1983644543"/>
        <c:axId val="2039294207"/>
      </c:barChart>
      <c:catAx>
        <c:axId val="1983644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9294207"/>
        <c:crosses val="autoZero"/>
        <c:auto val="1"/>
        <c:lblAlgn val="ctr"/>
        <c:lblOffset val="100"/>
        <c:noMultiLvlLbl val="0"/>
      </c:catAx>
      <c:valAx>
        <c:axId val="20392942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3644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Live_TVDB_1206.xlsx]4.2'!$M$18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Live_TVDB_1206.xlsx]4.2'!$N$18</c:f>
              <c:numCache>
                <c:formatCode>0%</c:formatCode>
                <c:ptCount val="1"/>
                <c:pt idx="0">
                  <c:v>4.4776119402985072E-2</c:v>
                </c:pt>
              </c:numCache>
            </c:numRef>
          </c:val>
          <c:extLst>
            <c:ext xmlns:c16="http://schemas.microsoft.com/office/drawing/2014/chart" uri="{C3380CC4-5D6E-409C-BE32-E72D297353CC}">
              <c16:uniqueId val="{00000000-4A47-4B2C-A172-8FA7FE82ECA4}"/>
            </c:ext>
          </c:extLst>
        </c:ser>
        <c:ser>
          <c:idx val="1"/>
          <c:order val="1"/>
          <c:tx>
            <c:strRef>
              <c:f>'[Approved Provider Survey Analysis Live_TVDB_1206.xlsx]4.2'!$M$19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Live_TVDB_1206.xlsx]4.2'!$N$19</c:f>
              <c:numCache>
                <c:formatCode>0%</c:formatCode>
                <c:ptCount val="1"/>
                <c:pt idx="0">
                  <c:v>0.17164179104477612</c:v>
                </c:pt>
              </c:numCache>
            </c:numRef>
          </c:val>
          <c:extLst>
            <c:ext xmlns:c16="http://schemas.microsoft.com/office/drawing/2014/chart" uri="{C3380CC4-5D6E-409C-BE32-E72D297353CC}">
              <c16:uniqueId val="{00000001-4A47-4B2C-A172-8FA7FE82ECA4}"/>
            </c:ext>
          </c:extLst>
        </c:ser>
        <c:ser>
          <c:idx val="2"/>
          <c:order val="2"/>
          <c:tx>
            <c:strRef>
              <c:f>'[Approved Provider Survey Analysis Live_TVDB_1206.xlsx]4.2'!$M$20</c:f>
              <c:strCache>
                <c:ptCount val="1"/>
                <c:pt idx="0">
                  <c:v>Option 3A and 3B</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Live_TVDB_1206.xlsx]4.2'!$N$20</c:f>
              <c:numCache>
                <c:formatCode>0%</c:formatCode>
                <c:ptCount val="1"/>
                <c:pt idx="0">
                  <c:v>0.48507462686567165</c:v>
                </c:pt>
              </c:numCache>
            </c:numRef>
          </c:val>
          <c:extLst>
            <c:ext xmlns:c16="http://schemas.microsoft.com/office/drawing/2014/chart" uri="{C3380CC4-5D6E-409C-BE32-E72D297353CC}">
              <c16:uniqueId val="{00000002-4A47-4B2C-A172-8FA7FE82ECA4}"/>
            </c:ext>
          </c:extLst>
        </c:ser>
        <c:ser>
          <c:idx val="3"/>
          <c:order val="3"/>
          <c:tx>
            <c:strRef>
              <c:f>'[Approved Provider Survey Analysis Live_TVDB_1206.xlsx]4.2'!$M$21</c:f>
              <c:strCache>
                <c:ptCount val="1"/>
                <c:pt idx="0">
                  <c:v>Options 2 and 3A and 3B</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Live_TVDB_1206.xlsx]4.2'!$N$21</c:f>
              <c:numCache>
                <c:formatCode>0%</c:formatCode>
                <c:ptCount val="1"/>
                <c:pt idx="0">
                  <c:v>0.29850746268656714</c:v>
                </c:pt>
              </c:numCache>
            </c:numRef>
          </c:val>
          <c:extLst>
            <c:ext xmlns:c16="http://schemas.microsoft.com/office/drawing/2014/chart" uri="{C3380CC4-5D6E-409C-BE32-E72D297353CC}">
              <c16:uniqueId val="{00000003-4A47-4B2C-A172-8FA7FE82ECA4}"/>
            </c:ext>
          </c:extLst>
        </c:ser>
        <c:dLbls>
          <c:dLblPos val="ctr"/>
          <c:showLegendKey val="0"/>
          <c:showVal val="1"/>
          <c:showCatName val="0"/>
          <c:showSerName val="0"/>
          <c:showPercent val="0"/>
          <c:showBubbleSize val="0"/>
        </c:dLbls>
        <c:gapWidth val="150"/>
        <c:overlap val="100"/>
        <c:axId val="1745032256"/>
        <c:axId val="1745012576"/>
      </c:barChart>
      <c:catAx>
        <c:axId val="1745032256"/>
        <c:scaling>
          <c:orientation val="minMax"/>
        </c:scaling>
        <c:delete val="1"/>
        <c:axPos val="l"/>
        <c:numFmt formatCode="General" sourceLinked="1"/>
        <c:majorTickMark val="none"/>
        <c:minorTickMark val="none"/>
        <c:tickLblPos val="nextTo"/>
        <c:crossAx val="1745012576"/>
        <c:crosses val="autoZero"/>
        <c:auto val="1"/>
        <c:lblAlgn val="ctr"/>
        <c:lblOffset val="100"/>
        <c:noMultiLvlLbl val="0"/>
      </c:catAx>
      <c:valAx>
        <c:axId val="174501257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3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Live_TVDB.xlsx]4.2'!$M$18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Live_TVDB.xlsx]4.2'!$N$18</c:f>
              <c:numCache>
                <c:formatCode>0%</c:formatCode>
                <c:ptCount val="1"/>
                <c:pt idx="0">
                  <c:v>8.2089552238805971E-2</c:v>
                </c:pt>
              </c:numCache>
            </c:numRef>
          </c:val>
          <c:extLst>
            <c:ext xmlns:c16="http://schemas.microsoft.com/office/drawing/2014/chart" uri="{C3380CC4-5D6E-409C-BE32-E72D297353CC}">
              <c16:uniqueId val="{00000000-12BA-4411-AD62-0B33D5D360D4}"/>
            </c:ext>
          </c:extLst>
        </c:ser>
        <c:ser>
          <c:idx val="1"/>
          <c:order val="1"/>
          <c:tx>
            <c:strRef>
              <c:f>'[Workforce Survey Analysis Live_TVDB.xlsx]4.2'!$M$19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Live_TVDB.xlsx]4.2'!$N$19</c:f>
              <c:numCache>
                <c:formatCode>0%</c:formatCode>
                <c:ptCount val="1"/>
                <c:pt idx="0">
                  <c:v>0.22388059701492538</c:v>
                </c:pt>
              </c:numCache>
            </c:numRef>
          </c:val>
          <c:extLst>
            <c:ext xmlns:c16="http://schemas.microsoft.com/office/drawing/2014/chart" uri="{C3380CC4-5D6E-409C-BE32-E72D297353CC}">
              <c16:uniqueId val="{00000001-12BA-4411-AD62-0B33D5D360D4}"/>
            </c:ext>
          </c:extLst>
        </c:ser>
        <c:ser>
          <c:idx val="2"/>
          <c:order val="2"/>
          <c:tx>
            <c:strRef>
              <c:f>'[Workforce Survey Analysis Live_TVDB.xlsx]4.2'!$M$20</c:f>
              <c:strCache>
                <c:ptCount val="1"/>
                <c:pt idx="0">
                  <c:v>Option 3A and 3B</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Live_TVDB.xlsx]4.2'!$N$20</c:f>
              <c:numCache>
                <c:formatCode>0%</c:formatCode>
                <c:ptCount val="1"/>
                <c:pt idx="0">
                  <c:v>0.38805970149253732</c:v>
                </c:pt>
              </c:numCache>
            </c:numRef>
          </c:val>
          <c:extLst>
            <c:ext xmlns:c16="http://schemas.microsoft.com/office/drawing/2014/chart" uri="{C3380CC4-5D6E-409C-BE32-E72D297353CC}">
              <c16:uniqueId val="{00000002-12BA-4411-AD62-0B33D5D360D4}"/>
            </c:ext>
          </c:extLst>
        </c:ser>
        <c:ser>
          <c:idx val="3"/>
          <c:order val="3"/>
          <c:tx>
            <c:strRef>
              <c:f>'[Workforce Survey Analysis Live_TVDB.xlsx]4.2'!$M$21</c:f>
              <c:strCache>
                <c:ptCount val="1"/>
                <c:pt idx="0">
                  <c:v>Options 2 and 3A and 3B</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Live_TVDB.xlsx]4.2'!$N$21</c:f>
              <c:numCache>
                <c:formatCode>0%</c:formatCode>
                <c:ptCount val="1"/>
                <c:pt idx="0">
                  <c:v>0.30597014925373134</c:v>
                </c:pt>
              </c:numCache>
            </c:numRef>
          </c:val>
          <c:extLst>
            <c:ext xmlns:c16="http://schemas.microsoft.com/office/drawing/2014/chart" uri="{C3380CC4-5D6E-409C-BE32-E72D297353CC}">
              <c16:uniqueId val="{00000003-12BA-4411-AD62-0B33D5D360D4}"/>
            </c:ext>
          </c:extLst>
        </c:ser>
        <c:dLbls>
          <c:dLblPos val="ctr"/>
          <c:showLegendKey val="0"/>
          <c:showVal val="1"/>
          <c:showCatName val="0"/>
          <c:showSerName val="0"/>
          <c:showPercent val="0"/>
          <c:showBubbleSize val="0"/>
        </c:dLbls>
        <c:gapWidth val="150"/>
        <c:overlap val="100"/>
        <c:axId val="543491935"/>
        <c:axId val="543493375"/>
      </c:barChart>
      <c:catAx>
        <c:axId val="543491935"/>
        <c:scaling>
          <c:orientation val="minMax"/>
        </c:scaling>
        <c:delete val="1"/>
        <c:axPos val="l"/>
        <c:numFmt formatCode="General" sourceLinked="1"/>
        <c:majorTickMark val="none"/>
        <c:minorTickMark val="none"/>
        <c:tickLblPos val="nextTo"/>
        <c:crossAx val="543493375"/>
        <c:crosses val="autoZero"/>
        <c:auto val="1"/>
        <c:lblAlgn val="ctr"/>
        <c:lblOffset val="100"/>
        <c:noMultiLvlLbl val="0"/>
      </c:catAx>
      <c:valAx>
        <c:axId val="54349337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3491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Live_TVDB.xlsx]4.2'!$M$19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Live_TVDB.xlsx]4.2'!$N$19</c:f>
              <c:numCache>
                <c:formatCode>0%</c:formatCode>
                <c:ptCount val="1"/>
                <c:pt idx="0">
                  <c:v>4.5454545454545456E-2</c:v>
                </c:pt>
              </c:numCache>
            </c:numRef>
          </c:val>
          <c:extLst>
            <c:ext xmlns:c16="http://schemas.microsoft.com/office/drawing/2014/chart" uri="{C3380CC4-5D6E-409C-BE32-E72D297353CC}">
              <c16:uniqueId val="{00000000-27AE-40D0-A1DC-0AC41D96EBB8}"/>
            </c:ext>
          </c:extLst>
        </c:ser>
        <c:ser>
          <c:idx val="1"/>
          <c:order val="1"/>
          <c:tx>
            <c:strRef>
              <c:f>'[Families Survey Analysis Live_TVDB.xlsx]4.2'!$M$20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Live_TVDB.xlsx]4.2'!$N$20</c:f>
              <c:numCache>
                <c:formatCode>0%</c:formatCode>
                <c:ptCount val="1"/>
                <c:pt idx="0">
                  <c:v>9.0909090909090912E-2</c:v>
                </c:pt>
              </c:numCache>
            </c:numRef>
          </c:val>
          <c:extLst>
            <c:ext xmlns:c16="http://schemas.microsoft.com/office/drawing/2014/chart" uri="{C3380CC4-5D6E-409C-BE32-E72D297353CC}">
              <c16:uniqueId val="{00000001-27AE-40D0-A1DC-0AC41D96EBB8}"/>
            </c:ext>
          </c:extLst>
        </c:ser>
        <c:ser>
          <c:idx val="2"/>
          <c:order val="2"/>
          <c:tx>
            <c:strRef>
              <c:f>'[Families Survey Analysis Live_TVDB.xlsx]4.2'!$M$21</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Live_TVDB.xlsx]4.2'!$N$21</c:f>
              <c:numCache>
                <c:formatCode>0%</c:formatCode>
                <c:ptCount val="1"/>
                <c:pt idx="0">
                  <c:v>0.59090909090909094</c:v>
                </c:pt>
              </c:numCache>
            </c:numRef>
          </c:val>
          <c:extLst>
            <c:ext xmlns:c16="http://schemas.microsoft.com/office/drawing/2014/chart" uri="{C3380CC4-5D6E-409C-BE32-E72D297353CC}">
              <c16:uniqueId val="{00000002-27AE-40D0-A1DC-0AC41D96EBB8}"/>
            </c:ext>
          </c:extLst>
        </c:ser>
        <c:ser>
          <c:idx val="3"/>
          <c:order val="3"/>
          <c:tx>
            <c:strRef>
              <c:f>'[Families Survey Analysis Live_TVDB.xlsx]4.2'!$M$22</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Live_TVDB.xlsx]4.2'!$N$22</c:f>
              <c:numCache>
                <c:formatCode>0%</c:formatCode>
                <c:ptCount val="1"/>
                <c:pt idx="0">
                  <c:v>0.27272727272727271</c:v>
                </c:pt>
              </c:numCache>
            </c:numRef>
          </c:val>
          <c:extLst>
            <c:ext xmlns:c16="http://schemas.microsoft.com/office/drawing/2014/chart" uri="{C3380CC4-5D6E-409C-BE32-E72D297353CC}">
              <c16:uniqueId val="{00000003-27AE-40D0-A1DC-0AC41D96EBB8}"/>
            </c:ext>
          </c:extLst>
        </c:ser>
        <c:dLbls>
          <c:dLblPos val="ctr"/>
          <c:showLegendKey val="0"/>
          <c:showVal val="1"/>
          <c:showCatName val="0"/>
          <c:showSerName val="0"/>
          <c:showPercent val="0"/>
          <c:showBubbleSize val="0"/>
        </c:dLbls>
        <c:gapWidth val="150"/>
        <c:overlap val="100"/>
        <c:axId val="1229410223"/>
        <c:axId val="1229409263"/>
      </c:barChart>
      <c:catAx>
        <c:axId val="1229410223"/>
        <c:scaling>
          <c:orientation val="minMax"/>
        </c:scaling>
        <c:delete val="1"/>
        <c:axPos val="l"/>
        <c:numFmt formatCode="General" sourceLinked="1"/>
        <c:majorTickMark val="none"/>
        <c:minorTickMark val="none"/>
        <c:tickLblPos val="nextTo"/>
        <c:crossAx val="1229409263"/>
        <c:crosses val="autoZero"/>
        <c:auto val="1"/>
        <c:lblAlgn val="ctr"/>
        <c:lblOffset val="100"/>
        <c:noMultiLvlLbl val="0"/>
      </c:catAx>
      <c:valAx>
        <c:axId val="122940926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29410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Live_TVDB_1206.xlsx]5.1'!$N$40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Live_TVDB_1206.xlsx]5.1'!$O$39:$R$39</c:f>
              <c:strCache>
                <c:ptCount val="4"/>
                <c:pt idx="0">
                  <c:v>Option 1</c:v>
                </c:pt>
                <c:pt idx="1">
                  <c:v>Option 2</c:v>
                </c:pt>
                <c:pt idx="2">
                  <c:v>Option 3</c:v>
                </c:pt>
                <c:pt idx="3">
                  <c:v>Option 4</c:v>
                </c:pt>
              </c:strCache>
            </c:strRef>
          </c:cat>
          <c:val>
            <c:numRef>
              <c:f>'[Approved Provider Survey Analysis Live_TVDB_1206.xlsx]5.1'!$O$40:$R$40</c:f>
              <c:numCache>
                <c:formatCode>General</c:formatCode>
                <c:ptCount val="4"/>
                <c:pt idx="0">
                  <c:v>129</c:v>
                </c:pt>
                <c:pt idx="1">
                  <c:v>34</c:v>
                </c:pt>
                <c:pt idx="2">
                  <c:v>19</c:v>
                </c:pt>
                <c:pt idx="3">
                  <c:v>20</c:v>
                </c:pt>
              </c:numCache>
            </c:numRef>
          </c:val>
          <c:extLst>
            <c:ext xmlns:c16="http://schemas.microsoft.com/office/drawing/2014/chart" uri="{C3380CC4-5D6E-409C-BE32-E72D297353CC}">
              <c16:uniqueId val="{00000000-3A6A-4A78-81E3-BBC966E3A523}"/>
            </c:ext>
          </c:extLst>
        </c:ser>
        <c:ser>
          <c:idx val="1"/>
          <c:order val="1"/>
          <c:tx>
            <c:strRef>
              <c:f>'[Approved Provider Survey Analysis Live_TVDB_1206.xlsx]5.1'!$N$41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Live_TVDB_1206.xlsx]5.1'!$O$39:$R$39</c:f>
              <c:strCache>
                <c:ptCount val="4"/>
                <c:pt idx="0">
                  <c:v>Option 1</c:v>
                </c:pt>
                <c:pt idx="1">
                  <c:v>Option 2</c:v>
                </c:pt>
                <c:pt idx="2">
                  <c:v>Option 3</c:v>
                </c:pt>
                <c:pt idx="3">
                  <c:v>Option 4</c:v>
                </c:pt>
              </c:strCache>
            </c:strRef>
          </c:cat>
          <c:val>
            <c:numRef>
              <c:f>'[Approved Provider Survey Analysis Live_TVDB_1206.xlsx]5.1'!$O$41:$R$41</c:f>
              <c:numCache>
                <c:formatCode>General</c:formatCode>
                <c:ptCount val="4"/>
                <c:pt idx="0">
                  <c:v>4</c:v>
                </c:pt>
                <c:pt idx="1">
                  <c:v>81</c:v>
                </c:pt>
                <c:pt idx="2">
                  <c:v>72</c:v>
                </c:pt>
                <c:pt idx="3">
                  <c:v>57</c:v>
                </c:pt>
              </c:numCache>
            </c:numRef>
          </c:val>
          <c:extLst>
            <c:ext xmlns:c16="http://schemas.microsoft.com/office/drawing/2014/chart" uri="{C3380CC4-5D6E-409C-BE32-E72D297353CC}">
              <c16:uniqueId val="{00000001-3A6A-4A78-81E3-BBC966E3A523}"/>
            </c:ext>
          </c:extLst>
        </c:ser>
        <c:ser>
          <c:idx val="2"/>
          <c:order val="2"/>
          <c:tx>
            <c:strRef>
              <c:f>'[Approved Provider Survey Analysis Live_TVDB_1206.xlsx]5.1'!$N$42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Live_TVDB_1206.xlsx]5.1'!$O$39:$R$39</c:f>
              <c:strCache>
                <c:ptCount val="4"/>
                <c:pt idx="0">
                  <c:v>Option 1</c:v>
                </c:pt>
                <c:pt idx="1">
                  <c:v>Option 2</c:v>
                </c:pt>
                <c:pt idx="2">
                  <c:v>Option 3</c:v>
                </c:pt>
                <c:pt idx="3">
                  <c:v>Option 4</c:v>
                </c:pt>
              </c:strCache>
            </c:strRef>
          </c:cat>
          <c:val>
            <c:numRef>
              <c:f>'[Approved Provider Survey Analysis Live_TVDB_1206.xlsx]5.1'!$O$42:$R$42</c:f>
              <c:numCache>
                <c:formatCode>General</c:formatCode>
                <c:ptCount val="4"/>
                <c:pt idx="0">
                  <c:v>4</c:v>
                </c:pt>
                <c:pt idx="1">
                  <c:v>13</c:v>
                </c:pt>
                <c:pt idx="2">
                  <c:v>38</c:v>
                </c:pt>
                <c:pt idx="3">
                  <c:v>46</c:v>
                </c:pt>
              </c:numCache>
            </c:numRef>
          </c:val>
          <c:extLst>
            <c:ext xmlns:c16="http://schemas.microsoft.com/office/drawing/2014/chart" uri="{C3380CC4-5D6E-409C-BE32-E72D297353CC}">
              <c16:uniqueId val="{00000002-3A6A-4A78-81E3-BBC966E3A523}"/>
            </c:ext>
          </c:extLst>
        </c:ser>
        <c:dLbls>
          <c:dLblPos val="outEnd"/>
          <c:showLegendKey val="0"/>
          <c:showVal val="1"/>
          <c:showCatName val="0"/>
          <c:showSerName val="0"/>
          <c:showPercent val="0"/>
          <c:showBubbleSize val="0"/>
        </c:dLbls>
        <c:gapWidth val="219"/>
        <c:overlap val="-27"/>
        <c:axId val="1745038496"/>
        <c:axId val="1745037536"/>
      </c:barChart>
      <c:catAx>
        <c:axId val="174503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37536"/>
        <c:crosses val="autoZero"/>
        <c:auto val="1"/>
        <c:lblAlgn val="ctr"/>
        <c:lblOffset val="100"/>
        <c:noMultiLvlLbl val="0"/>
      </c:catAx>
      <c:valAx>
        <c:axId val="1745037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3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Live_TVDB.xlsx]5.1'!$N$36</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Live_TVDB.xlsx]5.1'!$O$35:$R$35</c:f>
              <c:strCache>
                <c:ptCount val="4"/>
                <c:pt idx="0">
                  <c:v>Option 1</c:v>
                </c:pt>
                <c:pt idx="1">
                  <c:v>Option 2</c:v>
                </c:pt>
                <c:pt idx="2">
                  <c:v>Option 3</c:v>
                </c:pt>
                <c:pt idx="3">
                  <c:v>Option 4</c:v>
                </c:pt>
              </c:strCache>
            </c:strRef>
          </c:cat>
          <c:val>
            <c:numRef>
              <c:f>'[Workforce Survey Analysis Live_TVDB.xlsx]5.1'!$O$36:$R$36</c:f>
              <c:numCache>
                <c:formatCode>General</c:formatCode>
                <c:ptCount val="4"/>
                <c:pt idx="0">
                  <c:v>157</c:v>
                </c:pt>
                <c:pt idx="1">
                  <c:v>47</c:v>
                </c:pt>
                <c:pt idx="2">
                  <c:v>37</c:v>
                </c:pt>
                <c:pt idx="3">
                  <c:v>40</c:v>
                </c:pt>
              </c:numCache>
            </c:numRef>
          </c:val>
          <c:extLst>
            <c:ext xmlns:c16="http://schemas.microsoft.com/office/drawing/2014/chart" uri="{C3380CC4-5D6E-409C-BE32-E72D297353CC}">
              <c16:uniqueId val="{00000000-F7C8-4BDF-8EC1-C43A83300343}"/>
            </c:ext>
          </c:extLst>
        </c:ser>
        <c:ser>
          <c:idx val="1"/>
          <c:order val="1"/>
          <c:tx>
            <c:strRef>
              <c:f>'[Workforce Survey Analysis Live_TVDB.xlsx]5.1'!$N$37</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Live_TVDB.xlsx]5.1'!$O$35:$R$35</c:f>
              <c:strCache>
                <c:ptCount val="4"/>
                <c:pt idx="0">
                  <c:v>Option 1</c:v>
                </c:pt>
                <c:pt idx="1">
                  <c:v>Option 2</c:v>
                </c:pt>
                <c:pt idx="2">
                  <c:v>Option 3</c:v>
                </c:pt>
                <c:pt idx="3">
                  <c:v>Option 4</c:v>
                </c:pt>
              </c:strCache>
            </c:strRef>
          </c:cat>
          <c:val>
            <c:numRef>
              <c:f>'[Workforce Survey Analysis Live_TVDB.xlsx]5.1'!$O$37:$R$37</c:f>
              <c:numCache>
                <c:formatCode>General</c:formatCode>
                <c:ptCount val="4"/>
                <c:pt idx="0">
                  <c:v>13</c:v>
                </c:pt>
                <c:pt idx="1">
                  <c:v>110</c:v>
                </c:pt>
                <c:pt idx="2">
                  <c:v>79</c:v>
                </c:pt>
                <c:pt idx="3">
                  <c:v>67</c:v>
                </c:pt>
              </c:numCache>
            </c:numRef>
          </c:val>
          <c:extLst>
            <c:ext xmlns:c16="http://schemas.microsoft.com/office/drawing/2014/chart" uri="{C3380CC4-5D6E-409C-BE32-E72D297353CC}">
              <c16:uniqueId val="{00000001-F7C8-4BDF-8EC1-C43A83300343}"/>
            </c:ext>
          </c:extLst>
        </c:ser>
        <c:ser>
          <c:idx val="2"/>
          <c:order val="2"/>
          <c:tx>
            <c:strRef>
              <c:f>'[Workforce Survey Analysis Live_TVDB.xlsx]5.1'!$N$38</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Live_TVDB.xlsx]5.1'!$O$35:$R$35</c:f>
              <c:strCache>
                <c:ptCount val="4"/>
                <c:pt idx="0">
                  <c:v>Option 1</c:v>
                </c:pt>
                <c:pt idx="1">
                  <c:v>Option 2</c:v>
                </c:pt>
                <c:pt idx="2">
                  <c:v>Option 3</c:v>
                </c:pt>
                <c:pt idx="3">
                  <c:v>Option 4</c:v>
                </c:pt>
              </c:strCache>
            </c:strRef>
          </c:cat>
          <c:val>
            <c:numRef>
              <c:f>'[Workforce Survey Analysis Live_TVDB.xlsx]5.1'!$O$38:$R$38</c:f>
              <c:numCache>
                <c:formatCode>General</c:formatCode>
                <c:ptCount val="4"/>
                <c:pt idx="0">
                  <c:v>7</c:v>
                </c:pt>
                <c:pt idx="1">
                  <c:v>18</c:v>
                </c:pt>
                <c:pt idx="2">
                  <c:v>52</c:v>
                </c:pt>
                <c:pt idx="3">
                  <c:v>45</c:v>
                </c:pt>
              </c:numCache>
            </c:numRef>
          </c:val>
          <c:extLst>
            <c:ext xmlns:c16="http://schemas.microsoft.com/office/drawing/2014/chart" uri="{C3380CC4-5D6E-409C-BE32-E72D297353CC}">
              <c16:uniqueId val="{00000002-F7C8-4BDF-8EC1-C43A83300343}"/>
            </c:ext>
          </c:extLst>
        </c:ser>
        <c:dLbls>
          <c:dLblPos val="outEnd"/>
          <c:showLegendKey val="0"/>
          <c:showVal val="1"/>
          <c:showCatName val="0"/>
          <c:showSerName val="0"/>
          <c:showPercent val="0"/>
          <c:showBubbleSize val="0"/>
        </c:dLbls>
        <c:gapWidth val="219"/>
        <c:overlap val="-27"/>
        <c:axId val="650089007"/>
        <c:axId val="650085647"/>
      </c:barChart>
      <c:catAx>
        <c:axId val="650089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0085647"/>
        <c:crosses val="autoZero"/>
        <c:auto val="1"/>
        <c:lblAlgn val="ctr"/>
        <c:lblOffset val="100"/>
        <c:noMultiLvlLbl val="0"/>
      </c:catAx>
      <c:valAx>
        <c:axId val="6500856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0089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Live_TVDB.xlsx]5.1'!$N$39</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Live_TVDB.xlsx]5.1'!$O$38:$R$38</c:f>
              <c:strCache>
                <c:ptCount val="4"/>
                <c:pt idx="0">
                  <c:v>Option 1</c:v>
                </c:pt>
                <c:pt idx="1">
                  <c:v>Option 2</c:v>
                </c:pt>
                <c:pt idx="2">
                  <c:v>Option 3</c:v>
                </c:pt>
                <c:pt idx="3">
                  <c:v>Option 4</c:v>
                </c:pt>
              </c:strCache>
            </c:strRef>
          </c:cat>
          <c:val>
            <c:numRef>
              <c:f>'[Families Survey Analysis Live_TVDB.xlsx]5.1'!$O$39:$R$39</c:f>
              <c:numCache>
                <c:formatCode>General</c:formatCode>
                <c:ptCount val="4"/>
                <c:pt idx="0">
                  <c:v>70</c:v>
                </c:pt>
                <c:pt idx="1">
                  <c:v>24</c:v>
                </c:pt>
                <c:pt idx="2">
                  <c:v>15</c:v>
                </c:pt>
                <c:pt idx="3">
                  <c:v>22</c:v>
                </c:pt>
              </c:numCache>
            </c:numRef>
          </c:val>
          <c:extLst>
            <c:ext xmlns:c16="http://schemas.microsoft.com/office/drawing/2014/chart" uri="{C3380CC4-5D6E-409C-BE32-E72D297353CC}">
              <c16:uniqueId val="{00000000-92C9-4D8D-BE13-68CDDE86F065}"/>
            </c:ext>
          </c:extLst>
        </c:ser>
        <c:ser>
          <c:idx val="1"/>
          <c:order val="1"/>
          <c:tx>
            <c:strRef>
              <c:f>'[Families Survey Analysis Live_TVDB.xlsx]5.1'!$N$40</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Live_TVDB.xlsx]5.1'!$O$38:$R$38</c:f>
              <c:strCache>
                <c:ptCount val="4"/>
                <c:pt idx="0">
                  <c:v>Option 1</c:v>
                </c:pt>
                <c:pt idx="1">
                  <c:v>Option 2</c:v>
                </c:pt>
                <c:pt idx="2">
                  <c:v>Option 3</c:v>
                </c:pt>
                <c:pt idx="3">
                  <c:v>Option 4</c:v>
                </c:pt>
              </c:strCache>
            </c:strRef>
          </c:cat>
          <c:val>
            <c:numRef>
              <c:f>'[Families Survey Analysis Live_TVDB.xlsx]5.1'!$O$40:$R$40</c:f>
              <c:numCache>
                <c:formatCode>General</c:formatCode>
                <c:ptCount val="4"/>
                <c:pt idx="0">
                  <c:v>4</c:v>
                </c:pt>
                <c:pt idx="1">
                  <c:v>45</c:v>
                </c:pt>
                <c:pt idx="2">
                  <c:v>33</c:v>
                </c:pt>
                <c:pt idx="3">
                  <c:v>19</c:v>
                </c:pt>
              </c:numCache>
            </c:numRef>
          </c:val>
          <c:extLst>
            <c:ext xmlns:c16="http://schemas.microsoft.com/office/drawing/2014/chart" uri="{C3380CC4-5D6E-409C-BE32-E72D297353CC}">
              <c16:uniqueId val="{00000001-92C9-4D8D-BE13-68CDDE86F065}"/>
            </c:ext>
          </c:extLst>
        </c:ser>
        <c:ser>
          <c:idx val="2"/>
          <c:order val="2"/>
          <c:tx>
            <c:strRef>
              <c:f>'[Families Survey Analysis Live_TVDB.xlsx]5.1'!$N$41</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Live_TVDB.xlsx]5.1'!$O$38:$R$38</c:f>
              <c:strCache>
                <c:ptCount val="4"/>
                <c:pt idx="0">
                  <c:v>Option 1</c:v>
                </c:pt>
                <c:pt idx="1">
                  <c:v>Option 2</c:v>
                </c:pt>
                <c:pt idx="2">
                  <c:v>Option 3</c:v>
                </c:pt>
                <c:pt idx="3">
                  <c:v>Option 4</c:v>
                </c:pt>
              </c:strCache>
            </c:strRef>
          </c:cat>
          <c:val>
            <c:numRef>
              <c:f>'[Families Survey Analysis Live_TVDB.xlsx]5.1'!$O$41:$R$41</c:f>
              <c:numCache>
                <c:formatCode>General</c:formatCode>
                <c:ptCount val="4"/>
                <c:pt idx="0">
                  <c:v>2</c:v>
                </c:pt>
                <c:pt idx="1">
                  <c:v>8</c:v>
                </c:pt>
                <c:pt idx="2">
                  <c:v>26</c:v>
                </c:pt>
                <c:pt idx="3">
                  <c:v>27</c:v>
                </c:pt>
              </c:numCache>
            </c:numRef>
          </c:val>
          <c:extLst>
            <c:ext xmlns:c16="http://schemas.microsoft.com/office/drawing/2014/chart" uri="{C3380CC4-5D6E-409C-BE32-E72D297353CC}">
              <c16:uniqueId val="{00000002-92C9-4D8D-BE13-68CDDE86F065}"/>
            </c:ext>
          </c:extLst>
        </c:ser>
        <c:dLbls>
          <c:dLblPos val="outEnd"/>
          <c:showLegendKey val="0"/>
          <c:showVal val="1"/>
          <c:showCatName val="0"/>
          <c:showSerName val="0"/>
          <c:showPercent val="0"/>
          <c:showBubbleSize val="0"/>
        </c:dLbls>
        <c:gapWidth val="219"/>
        <c:overlap val="-27"/>
        <c:axId val="1983626783"/>
        <c:axId val="1983627743"/>
      </c:barChart>
      <c:catAx>
        <c:axId val="1983626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3627743"/>
        <c:crosses val="autoZero"/>
        <c:auto val="1"/>
        <c:lblAlgn val="ctr"/>
        <c:lblOffset val="100"/>
        <c:noMultiLvlLbl val="0"/>
      </c:catAx>
      <c:valAx>
        <c:axId val="198362774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3626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Live_TVDB_1206.xlsx]5.1'!$N$23</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Live_TVDB_1206.xlsx]5.1'!$O$23</c:f>
              <c:numCache>
                <c:formatCode>0%</c:formatCode>
                <c:ptCount val="1"/>
                <c:pt idx="0">
                  <c:v>7.6923076923076927E-2</c:v>
                </c:pt>
              </c:numCache>
            </c:numRef>
          </c:val>
          <c:extLst>
            <c:ext xmlns:c16="http://schemas.microsoft.com/office/drawing/2014/chart" uri="{C3380CC4-5D6E-409C-BE32-E72D297353CC}">
              <c16:uniqueId val="{00000000-38C1-4724-9100-0FEFCB5C978E}"/>
            </c:ext>
          </c:extLst>
        </c:ser>
        <c:ser>
          <c:idx val="1"/>
          <c:order val="1"/>
          <c:tx>
            <c:strRef>
              <c:f>'[Approved Provider Survey Analysis Live_TVDB_1206.xlsx]5.1'!$N$24</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Live_TVDB_1206.xlsx]5.1'!$O$24</c:f>
              <c:numCache>
                <c:formatCode>0%</c:formatCode>
                <c:ptCount val="1"/>
                <c:pt idx="0">
                  <c:v>0.33076923076923076</c:v>
                </c:pt>
              </c:numCache>
            </c:numRef>
          </c:val>
          <c:extLst>
            <c:ext xmlns:c16="http://schemas.microsoft.com/office/drawing/2014/chart" uri="{C3380CC4-5D6E-409C-BE32-E72D297353CC}">
              <c16:uniqueId val="{00000001-38C1-4724-9100-0FEFCB5C978E}"/>
            </c:ext>
          </c:extLst>
        </c:ser>
        <c:ser>
          <c:idx val="2"/>
          <c:order val="2"/>
          <c:tx>
            <c:strRef>
              <c:f>'[Approved Provider Survey Analysis Live_TVDB_1206.xlsx]5.1'!$N$25</c:f>
              <c:strCache>
                <c:ptCount val="1"/>
                <c:pt idx="0">
                  <c:v>Option 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Live_TVDB_1206.xlsx]5.1'!$O$25</c:f>
              <c:numCache>
                <c:formatCode>0%</c:formatCode>
                <c:ptCount val="1"/>
                <c:pt idx="0">
                  <c:v>0.13076923076923078</c:v>
                </c:pt>
              </c:numCache>
            </c:numRef>
          </c:val>
          <c:extLst>
            <c:ext xmlns:c16="http://schemas.microsoft.com/office/drawing/2014/chart" uri="{C3380CC4-5D6E-409C-BE32-E72D297353CC}">
              <c16:uniqueId val="{00000002-38C1-4724-9100-0FEFCB5C978E}"/>
            </c:ext>
          </c:extLst>
        </c:ser>
        <c:ser>
          <c:idx val="3"/>
          <c:order val="3"/>
          <c:tx>
            <c:strRef>
              <c:f>'[Approved Provider Survey Analysis Live_TVDB_1206.xlsx]5.1'!$N$26</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Live_TVDB_1206.xlsx]5.1'!$O$26</c:f>
              <c:numCache>
                <c:formatCode>0%</c:formatCode>
                <c:ptCount val="1"/>
                <c:pt idx="0">
                  <c:v>0.13076923076923078</c:v>
                </c:pt>
              </c:numCache>
            </c:numRef>
          </c:val>
          <c:extLst>
            <c:ext xmlns:c16="http://schemas.microsoft.com/office/drawing/2014/chart" uri="{C3380CC4-5D6E-409C-BE32-E72D297353CC}">
              <c16:uniqueId val="{00000003-38C1-4724-9100-0FEFCB5C978E}"/>
            </c:ext>
          </c:extLst>
        </c:ser>
        <c:ser>
          <c:idx val="4"/>
          <c:order val="4"/>
          <c:tx>
            <c:strRef>
              <c:f>'[Approved Provider Survey Analysis Live_TVDB_1206.xlsx]5.1'!$N$27</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Live_TVDB_1206.xlsx]5.1'!$O$27</c:f>
              <c:numCache>
                <c:formatCode>0%</c:formatCode>
                <c:ptCount val="1"/>
                <c:pt idx="0">
                  <c:v>0.23076923076923078</c:v>
                </c:pt>
              </c:numCache>
            </c:numRef>
          </c:val>
          <c:extLst>
            <c:ext xmlns:c16="http://schemas.microsoft.com/office/drawing/2014/chart" uri="{C3380CC4-5D6E-409C-BE32-E72D297353CC}">
              <c16:uniqueId val="{00000004-38C1-4724-9100-0FEFCB5C978E}"/>
            </c:ext>
          </c:extLst>
        </c:ser>
        <c:ser>
          <c:idx val="5"/>
          <c:order val="5"/>
          <c:tx>
            <c:strRef>
              <c:f>'[Approved Provider Survey Analysis Live_TVDB_1206.xlsx]5.1'!$N$28</c:f>
              <c:strCache>
                <c:ptCount val="1"/>
                <c:pt idx="0">
                  <c:v>Options 2 and 4</c:v>
                </c:pt>
              </c:strCache>
            </c:strRef>
          </c:tx>
          <c:spPr>
            <a:pattFill prst="wdDnDiag">
              <a:fgClr>
                <a:schemeClr val="accent6"/>
              </a:fgClr>
              <a:bgClr>
                <a:schemeClr val="bg1"/>
              </a:bgClr>
            </a:pattFill>
            <a:ln>
              <a:noFill/>
            </a:ln>
            <a:effectLst/>
          </c:spPr>
          <c:invertIfNegative val="0"/>
          <c:dLbls>
            <c:spPr>
              <a:solidFill>
                <a:schemeClr val="accent6"/>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Live_TVDB_1206.xlsx]5.1'!$O$28</c:f>
              <c:numCache>
                <c:formatCode>0%</c:formatCode>
                <c:ptCount val="1"/>
                <c:pt idx="0">
                  <c:v>0.1</c:v>
                </c:pt>
              </c:numCache>
            </c:numRef>
          </c:val>
          <c:extLst>
            <c:ext xmlns:c16="http://schemas.microsoft.com/office/drawing/2014/chart" uri="{C3380CC4-5D6E-409C-BE32-E72D297353CC}">
              <c16:uniqueId val="{00000005-38C1-4724-9100-0FEFCB5C978E}"/>
            </c:ext>
          </c:extLst>
        </c:ser>
        <c:dLbls>
          <c:dLblPos val="ctr"/>
          <c:showLegendKey val="0"/>
          <c:showVal val="1"/>
          <c:showCatName val="0"/>
          <c:showSerName val="0"/>
          <c:showPercent val="0"/>
          <c:showBubbleSize val="0"/>
        </c:dLbls>
        <c:gapWidth val="150"/>
        <c:overlap val="100"/>
        <c:axId val="1469011648"/>
        <c:axId val="1468992448"/>
      </c:barChart>
      <c:catAx>
        <c:axId val="1469011648"/>
        <c:scaling>
          <c:orientation val="minMax"/>
        </c:scaling>
        <c:delete val="1"/>
        <c:axPos val="l"/>
        <c:numFmt formatCode="General" sourceLinked="1"/>
        <c:majorTickMark val="none"/>
        <c:minorTickMark val="none"/>
        <c:tickLblPos val="nextTo"/>
        <c:crossAx val="1468992448"/>
        <c:crosses val="autoZero"/>
        <c:auto val="1"/>
        <c:lblAlgn val="ctr"/>
        <c:lblOffset val="100"/>
        <c:noMultiLvlLbl val="0"/>
      </c:catAx>
      <c:valAx>
        <c:axId val="146899244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901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'[PDF submissions analysis.xlsx]Tables and charts'!$B$13</c:f>
              <c:strCache>
                <c:ptCount val="1"/>
                <c:pt idx="0">
                  <c:v>Not supported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'[PDF submissions analysis.xlsx]Tables and charts'!$F$12:$K$12</c:f>
              <c:strCache>
                <c:ptCount val="6"/>
                <c:pt idx="0">
                  <c:v>Option 1</c:v>
                </c:pt>
                <c:pt idx="1">
                  <c:v>Option 2</c:v>
                </c:pt>
                <c:pt idx="2">
                  <c:v>Option 3</c:v>
                </c:pt>
                <c:pt idx="3">
                  <c:v>Option 4</c:v>
                </c:pt>
                <c:pt idx="4">
                  <c:v>Option 5</c:v>
                </c:pt>
                <c:pt idx="5">
                  <c:v>Option 6</c:v>
                </c:pt>
              </c:strCache>
            </c:strRef>
          </c:cat>
          <c:val>
            <c:numRef>
              <c:f>'[PDF submissions analysis.xlsx]Tables and charts'!$F$13:$K$13</c:f>
              <c:numCache>
                <c:formatCode>General</c:formatCode>
                <c:ptCount val="6"/>
                <c:pt idx="0">
                  <c:v>50</c:v>
                </c:pt>
                <c:pt idx="1">
                  <c:v>23</c:v>
                </c:pt>
                <c:pt idx="2">
                  <c:v>28</c:v>
                </c:pt>
                <c:pt idx="3">
                  <c:v>14</c:v>
                </c:pt>
                <c:pt idx="4">
                  <c:v>13</c:v>
                </c:pt>
                <c:pt idx="5">
                  <c:v>15</c:v>
                </c:pt>
              </c:numCache>
            </c:numRef>
          </c:val>
          <c:extLst>
            <c:ext xmlns:c16="http://schemas.microsoft.com/office/drawing/2014/chart" uri="{C3380CC4-5D6E-409C-BE32-E72D297353CC}">
              <c16:uniqueId val="{00000000-469D-4EF6-874A-2B7730E20B84}"/>
            </c:ext>
          </c:extLst>
        </c:ser>
        <c:ser>
          <c:idx val="1"/>
          <c:order val="1"/>
          <c:tx>
            <c:strRef>
              <c:f>'[PDF submissions analysis.xlsx]Tables and charts'!$B$14</c:f>
              <c:strCache>
                <c:ptCount val="1"/>
                <c:pt idx="0">
                  <c:v>Mixed response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'[PDF submissions analysis.xlsx]Tables and charts'!$F$12:$K$12</c:f>
              <c:strCache>
                <c:ptCount val="6"/>
                <c:pt idx="0">
                  <c:v>Option 1</c:v>
                </c:pt>
                <c:pt idx="1">
                  <c:v>Option 2</c:v>
                </c:pt>
                <c:pt idx="2">
                  <c:v>Option 3</c:v>
                </c:pt>
                <c:pt idx="3">
                  <c:v>Option 4</c:v>
                </c:pt>
                <c:pt idx="4">
                  <c:v>Option 5</c:v>
                </c:pt>
                <c:pt idx="5">
                  <c:v>Option 6</c:v>
                </c:pt>
              </c:strCache>
            </c:strRef>
          </c:cat>
          <c:val>
            <c:numRef>
              <c:f>'[PDF submissions analysis.xlsx]Tables and charts'!$F$14:$K$14</c:f>
              <c:numCache>
                <c:formatCode>General</c:formatCode>
                <c:ptCount val="6"/>
                <c:pt idx="0">
                  <c:v>6</c:v>
                </c:pt>
                <c:pt idx="1">
                  <c:v>6</c:v>
                </c:pt>
                <c:pt idx="2">
                  <c:v>7</c:v>
                </c:pt>
                <c:pt idx="3">
                  <c:v>10</c:v>
                </c:pt>
                <c:pt idx="4">
                  <c:v>9</c:v>
                </c:pt>
                <c:pt idx="5">
                  <c:v>7</c:v>
                </c:pt>
              </c:numCache>
            </c:numRef>
          </c:val>
          <c:extLst>
            <c:ext xmlns:c16="http://schemas.microsoft.com/office/drawing/2014/chart" uri="{C3380CC4-5D6E-409C-BE32-E72D297353CC}">
              <c16:uniqueId val="{00000001-469D-4EF6-874A-2B7730E20B84}"/>
            </c:ext>
          </c:extLst>
        </c:ser>
        <c:ser>
          <c:idx val="2"/>
          <c:order val="2"/>
          <c:tx>
            <c:strRef>
              <c:f>'[PDF submissions analysis.xlsx]Tables and charts'!$B$15</c:f>
              <c:strCache>
                <c:ptCount val="1"/>
                <c:pt idx="0">
                  <c:v>Support</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'[PDF submissions analysis.xlsx]Tables and charts'!$F$12:$K$12</c:f>
              <c:strCache>
                <c:ptCount val="6"/>
                <c:pt idx="0">
                  <c:v>Option 1</c:v>
                </c:pt>
                <c:pt idx="1">
                  <c:v>Option 2</c:v>
                </c:pt>
                <c:pt idx="2">
                  <c:v>Option 3</c:v>
                </c:pt>
                <c:pt idx="3">
                  <c:v>Option 4</c:v>
                </c:pt>
                <c:pt idx="4">
                  <c:v>Option 5</c:v>
                </c:pt>
                <c:pt idx="5">
                  <c:v>Option 6</c:v>
                </c:pt>
              </c:strCache>
            </c:strRef>
          </c:cat>
          <c:val>
            <c:numRef>
              <c:f>'[PDF submissions analysis.xlsx]Tables and charts'!$F$15:$K$15</c:f>
              <c:numCache>
                <c:formatCode>General</c:formatCode>
                <c:ptCount val="6"/>
                <c:pt idx="0">
                  <c:v>5</c:v>
                </c:pt>
                <c:pt idx="1">
                  <c:v>26</c:v>
                </c:pt>
                <c:pt idx="2">
                  <c:v>15</c:v>
                </c:pt>
                <c:pt idx="3">
                  <c:v>29</c:v>
                </c:pt>
                <c:pt idx="4">
                  <c:v>30</c:v>
                </c:pt>
                <c:pt idx="5">
                  <c:v>44</c:v>
                </c:pt>
              </c:numCache>
            </c:numRef>
          </c:val>
          <c:extLst>
            <c:ext xmlns:c16="http://schemas.microsoft.com/office/drawing/2014/chart" uri="{C3380CC4-5D6E-409C-BE32-E72D297353CC}">
              <c16:uniqueId val="{00000002-469D-4EF6-874A-2B7730E20B84}"/>
            </c:ext>
          </c:extLst>
        </c:ser>
        <c:dLbls>
          <c:dLblPos val="ctr"/>
          <c:showLegendKey val="0"/>
          <c:showVal val="1"/>
          <c:showCatName val="0"/>
          <c:showSerName val="0"/>
          <c:showPercent val="0"/>
          <c:showBubbleSize val="0"/>
        </c:dLbls>
        <c:gapWidth val="150"/>
        <c:overlap val="100"/>
        <c:axId val="1629080096"/>
        <c:axId val="1629077216"/>
      </c:barChart>
      <c:catAx>
        <c:axId val="162908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29077216"/>
        <c:crosses val="autoZero"/>
        <c:auto val="1"/>
        <c:lblAlgn val="ctr"/>
        <c:lblOffset val="100"/>
        <c:noMultiLvlLbl val="0"/>
      </c:catAx>
      <c:valAx>
        <c:axId val="162907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2908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'5.1'!$N$22</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'5.1'!$O$22</c:f>
              <c:numCache>
                <c:formatCode>0%</c:formatCode>
                <c:ptCount val="1"/>
                <c:pt idx="0">
                  <c:v>0.15286624203821655</c:v>
                </c:pt>
              </c:numCache>
            </c:numRef>
          </c:val>
          <c:extLst>
            <c:ext xmlns:c16="http://schemas.microsoft.com/office/drawing/2014/chart" uri="{C3380CC4-5D6E-409C-BE32-E72D297353CC}">
              <c16:uniqueId val="{00000000-A6D1-41D7-B843-2383372E3667}"/>
            </c:ext>
          </c:extLst>
        </c:ser>
        <c:ser>
          <c:idx val="1"/>
          <c:order val="1"/>
          <c:tx>
            <c:strRef>
              <c:f>'5.1'!$N$23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'5.1'!$O$23</c:f>
              <c:numCache>
                <c:formatCode>0%</c:formatCode>
                <c:ptCount val="1"/>
                <c:pt idx="0">
                  <c:v>0.26751592356687898</c:v>
                </c:pt>
              </c:numCache>
            </c:numRef>
          </c:val>
          <c:extLst>
            <c:ext xmlns:c16="http://schemas.microsoft.com/office/drawing/2014/chart" uri="{C3380CC4-5D6E-409C-BE32-E72D297353CC}">
              <c16:uniqueId val="{00000001-A6D1-41D7-B843-2383372E3667}"/>
            </c:ext>
          </c:extLst>
        </c:ser>
        <c:ser>
          <c:idx val="2"/>
          <c:order val="2"/>
          <c:tx>
            <c:strRef>
              <c:f>'5.1'!$N$24</c:f>
              <c:strCache>
                <c:ptCount val="1"/>
                <c:pt idx="0">
                  <c:v>Option 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'5.1'!$O$24</c:f>
              <c:numCache>
                <c:formatCode>0%</c:formatCode>
                <c:ptCount val="1"/>
                <c:pt idx="0">
                  <c:v>0.17834394904458598</c:v>
                </c:pt>
              </c:numCache>
            </c:numRef>
          </c:val>
          <c:extLst>
            <c:ext xmlns:c16="http://schemas.microsoft.com/office/drawing/2014/chart" uri="{C3380CC4-5D6E-409C-BE32-E72D297353CC}">
              <c16:uniqueId val="{00000002-A6D1-41D7-B843-2383372E3667}"/>
            </c:ext>
          </c:extLst>
        </c:ser>
        <c:ser>
          <c:idx val="3"/>
          <c:order val="3"/>
          <c:tx>
            <c:strRef>
              <c:f>'5.1'!$N$25</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'5.1'!$O$25</c:f>
              <c:numCache>
                <c:formatCode>0%</c:formatCode>
                <c:ptCount val="1"/>
                <c:pt idx="0">
                  <c:v>8.9171974522292988E-2</c:v>
                </c:pt>
              </c:numCache>
            </c:numRef>
          </c:val>
          <c:extLst>
            <c:ext xmlns:c16="http://schemas.microsoft.com/office/drawing/2014/chart" uri="{C3380CC4-5D6E-409C-BE32-E72D297353CC}">
              <c16:uniqueId val="{00000003-A6D1-41D7-B843-2383372E3667}"/>
            </c:ext>
          </c:extLst>
        </c:ser>
        <c:ser>
          <c:idx val="4"/>
          <c:order val="4"/>
          <c:tx>
            <c:strRef>
              <c:f>'5.1'!$N$26</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'5.1'!$O$26</c:f>
              <c:numCache>
                <c:formatCode>0%</c:formatCode>
                <c:ptCount val="1"/>
                <c:pt idx="0">
                  <c:v>0.2356687898089172</c:v>
                </c:pt>
              </c:numCache>
            </c:numRef>
          </c:val>
          <c:extLst>
            <c:ext xmlns:c16="http://schemas.microsoft.com/office/drawing/2014/chart" uri="{C3380CC4-5D6E-409C-BE32-E72D297353CC}">
              <c16:uniqueId val="{00000004-A6D1-41D7-B843-2383372E3667}"/>
            </c:ext>
          </c:extLst>
        </c:ser>
        <c:ser>
          <c:idx val="5"/>
          <c:order val="5"/>
          <c:tx>
            <c:strRef>
              <c:f>'5.1'!$N$27</c:f>
              <c:strCache>
                <c:ptCount val="1"/>
                <c:pt idx="0">
                  <c:v>Options 2 and 4</c:v>
                </c:pt>
              </c:strCache>
            </c:strRef>
          </c:tx>
          <c:spPr>
            <a:pattFill prst="wdDnDiag">
              <a:fgClr>
                <a:schemeClr val="accent6"/>
              </a:fgClr>
              <a:bgClr>
                <a:schemeClr val="bg1"/>
              </a:bgClr>
            </a:pattFill>
            <a:ln>
              <a:noFill/>
            </a:ln>
            <a:effectLst/>
          </c:spPr>
          <c:invertIfNegative val="0"/>
          <c:dLbls>
            <c:spPr>
              <a:solidFill>
                <a:schemeClr val="accent6"/>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'5.1'!$O$27</c:f>
              <c:numCache>
                <c:formatCode>0%</c:formatCode>
                <c:ptCount val="1"/>
                <c:pt idx="0">
                  <c:v>7.6433121019108277E-2</c:v>
                </c:pt>
              </c:numCache>
            </c:numRef>
          </c:val>
          <c:extLst>
            <c:ext xmlns:c16="http://schemas.microsoft.com/office/drawing/2014/chart" uri="{C3380CC4-5D6E-409C-BE32-E72D297353CC}">
              <c16:uniqueId val="{00000005-A6D1-41D7-B843-2383372E3667}"/>
            </c:ext>
          </c:extLst>
        </c:ser>
        <c:dLbls>
          <c:dLblPos val="ctr"/>
          <c:showLegendKey val="0"/>
          <c:showVal val="1"/>
          <c:showCatName val="0"/>
          <c:showSerName val="0"/>
          <c:showPercent val="0"/>
          <c:showBubbleSize val="0"/>
        </c:dLbls>
        <c:gapWidth val="150"/>
        <c:overlap val="100"/>
        <c:axId val="1578836847"/>
        <c:axId val="656369487"/>
      </c:barChart>
      <c:catAx>
        <c:axId val="1578836847"/>
        <c:scaling>
          <c:orientation val="minMax"/>
        </c:scaling>
        <c:delete val="1"/>
        <c:axPos val="l"/>
        <c:numFmt formatCode="General" sourceLinked="1"/>
        <c:majorTickMark val="none"/>
        <c:minorTickMark val="none"/>
        <c:tickLblPos val="nextTo"/>
        <c:crossAx val="656369487"/>
        <c:crosses val="autoZero"/>
        <c:auto val="1"/>
        <c:lblAlgn val="ctr"/>
        <c:lblOffset val="100"/>
        <c:noMultiLvlLbl val="0"/>
      </c:catAx>
      <c:valAx>
        <c:axId val="65636948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78836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Live_TVDB.xlsx]5.1'!$N$23</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Live_TVDB.xlsx]5.1'!$O$23</c:f>
              <c:numCache>
                <c:formatCode>0%</c:formatCode>
                <c:ptCount val="1"/>
                <c:pt idx="0">
                  <c:v>5.8823529411764705E-2</c:v>
                </c:pt>
              </c:numCache>
            </c:numRef>
          </c:val>
          <c:extLst>
            <c:ext xmlns:c16="http://schemas.microsoft.com/office/drawing/2014/chart" uri="{C3380CC4-5D6E-409C-BE32-E72D297353CC}">
              <c16:uniqueId val="{00000000-BDBA-4223-9AEF-BAA1F3C4C2B4}"/>
            </c:ext>
          </c:extLst>
        </c:ser>
        <c:ser>
          <c:idx val="1"/>
          <c:order val="1"/>
          <c:tx>
            <c:strRef>
              <c:f>'[Families Survey Analysis Live_TVDB.xlsx]5.1'!$N$24</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Live_TVDB.xlsx]5.1'!$O$24</c:f>
              <c:numCache>
                <c:formatCode>0%</c:formatCode>
                <c:ptCount val="1"/>
                <c:pt idx="0">
                  <c:v>0.17647058823529413</c:v>
                </c:pt>
              </c:numCache>
            </c:numRef>
          </c:val>
          <c:extLst>
            <c:ext xmlns:c16="http://schemas.microsoft.com/office/drawing/2014/chart" uri="{C3380CC4-5D6E-409C-BE32-E72D297353CC}">
              <c16:uniqueId val="{00000001-BDBA-4223-9AEF-BAA1F3C4C2B4}"/>
            </c:ext>
          </c:extLst>
        </c:ser>
        <c:ser>
          <c:idx val="2"/>
          <c:order val="2"/>
          <c:tx>
            <c:strRef>
              <c:f>'[Families Survey Analysis Live_TVDB.xlsx]5.1'!$N$25</c:f>
              <c:strCache>
                <c:ptCount val="1"/>
                <c:pt idx="0">
                  <c:v>Option 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Live_TVDB.xlsx]5.1'!$O$25</c:f>
              <c:numCache>
                <c:formatCode>0%</c:formatCode>
                <c:ptCount val="1"/>
                <c:pt idx="0">
                  <c:v>0.22058823529411764</c:v>
                </c:pt>
              </c:numCache>
            </c:numRef>
          </c:val>
          <c:extLst>
            <c:ext xmlns:c16="http://schemas.microsoft.com/office/drawing/2014/chart" uri="{C3380CC4-5D6E-409C-BE32-E72D297353CC}">
              <c16:uniqueId val="{00000002-BDBA-4223-9AEF-BAA1F3C4C2B4}"/>
            </c:ext>
          </c:extLst>
        </c:ser>
        <c:ser>
          <c:idx val="3"/>
          <c:order val="3"/>
          <c:tx>
            <c:strRef>
              <c:f>'[Families Survey Analysis Live_TVDB.xlsx]5.1'!$N$26</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Live_TVDB.xlsx]5.1'!$O$26</c:f>
              <c:numCache>
                <c:formatCode>0%</c:formatCode>
                <c:ptCount val="1"/>
                <c:pt idx="0">
                  <c:v>0.26470588235294118</c:v>
                </c:pt>
              </c:numCache>
            </c:numRef>
          </c:val>
          <c:extLst>
            <c:ext xmlns:c16="http://schemas.microsoft.com/office/drawing/2014/chart" uri="{C3380CC4-5D6E-409C-BE32-E72D297353CC}">
              <c16:uniqueId val="{00000003-BDBA-4223-9AEF-BAA1F3C4C2B4}"/>
            </c:ext>
          </c:extLst>
        </c:ser>
        <c:ser>
          <c:idx val="4"/>
          <c:order val="4"/>
          <c:tx>
            <c:strRef>
              <c:f>'[Families Survey Analysis Live_TVDB.xlsx]5.1'!$N$27</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Live_TVDB.xlsx]5.1'!$O$27</c:f>
              <c:numCache>
                <c:formatCode>0%</c:formatCode>
                <c:ptCount val="1"/>
                <c:pt idx="0">
                  <c:v>0.19117647058823528</c:v>
                </c:pt>
              </c:numCache>
            </c:numRef>
          </c:val>
          <c:extLst>
            <c:ext xmlns:c16="http://schemas.microsoft.com/office/drawing/2014/chart" uri="{C3380CC4-5D6E-409C-BE32-E72D297353CC}">
              <c16:uniqueId val="{00000004-BDBA-4223-9AEF-BAA1F3C4C2B4}"/>
            </c:ext>
          </c:extLst>
        </c:ser>
        <c:ser>
          <c:idx val="5"/>
          <c:order val="5"/>
          <c:tx>
            <c:strRef>
              <c:f>'[Families Survey Analysis Live_TVDB.xlsx]5.1'!$N$28</c:f>
              <c:strCache>
                <c:ptCount val="1"/>
                <c:pt idx="0">
                  <c:v>Options 2 and 4</c:v>
                </c:pt>
              </c:strCache>
            </c:strRef>
          </c:tx>
          <c:spPr>
            <a:pattFill prst="wdDnDiag">
              <a:fgClr>
                <a:schemeClr val="accent6"/>
              </a:fgClr>
              <a:bgClr>
                <a:schemeClr val="bg1"/>
              </a:bgClr>
            </a:pattFill>
            <a:ln>
              <a:noFill/>
            </a:ln>
            <a:effectLst/>
          </c:spPr>
          <c:invertIfNegative val="0"/>
          <c:dLbls>
            <c:spPr>
              <a:solidFill>
                <a:schemeClr val="accent6"/>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Live_TVDB.xlsx]5.1'!$O$28</c:f>
              <c:numCache>
                <c:formatCode>0%</c:formatCode>
                <c:ptCount val="1"/>
                <c:pt idx="0">
                  <c:v>8.8235294117647065E-2</c:v>
                </c:pt>
              </c:numCache>
            </c:numRef>
          </c:val>
          <c:extLst>
            <c:ext xmlns:c16="http://schemas.microsoft.com/office/drawing/2014/chart" uri="{C3380CC4-5D6E-409C-BE32-E72D297353CC}">
              <c16:uniqueId val="{00000005-BDBA-4223-9AEF-BAA1F3C4C2B4}"/>
            </c:ext>
          </c:extLst>
        </c:ser>
        <c:dLbls>
          <c:dLblPos val="ctr"/>
          <c:showLegendKey val="0"/>
          <c:showVal val="1"/>
          <c:showCatName val="0"/>
          <c:showSerName val="0"/>
          <c:showPercent val="0"/>
          <c:showBubbleSize val="0"/>
        </c:dLbls>
        <c:gapWidth val="150"/>
        <c:overlap val="100"/>
        <c:axId val="1983620543"/>
        <c:axId val="1983637343"/>
      </c:barChart>
      <c:catAx>
        <c:axId val="1983620543"/>
        <c:scaling>
          <c:orientation val="minMax"/>
        </c:scaling>
        <c:delete val="1"/>
        <c:axPos val="l"/>
        <c:numFmt formatCode="General" sourceLinked="1"/>
        <c:majorTickMark val="none"/>
        <c:minorTickMark val="none"/>
        <c:tickLblPos val="nextTo"/>
        <c:crossAx val="1983637343"/>
        <c:crosses val="autoZero"/>
        <c:auto val="1"/>
        <c:lblAlgn val="ctr"/>
        <c:lblOffset val="100"/>
        <c:noMultiLvlLbl val="0"/>
      </c:catAx>
      <c:valAx>
        <c:axId val="198363734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3620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Live_TVDB_1206.xlsx]5.2'!$N$42</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Live_TVDB_1206.xlsx]5.2'!$O$41:$R$41</c:f>
              <c:strCache>
                <c:ptCount val="4"/>
                <c:pt idx="0">
                  <c:v>Option 1</c:v>
                </c:pt>
                <c:pt idx="1">
                  <c:v>Option 2</c:v>
                </c:pt>
                <c:pt idx="2">
                  <c:v>Option 3</c:v>
                </c:pt>
                <c:pt idx="3">
                  <c:v>Option 4</c:v>
                </c:pt>
              </c:strCache>
            </c:strRef>
          </c:cat>
          <c:val>
            <c:numRef>
              <c:f>'[Approved Provider Survey Analysis Live_TVDB_1206.xlsx]5.2'!$O$42:$R$42</c:f>
              <c:numCache>
                <c:formatCode>General</c:formatCode>
                <c:ptCount val="4"/>
                <c:pt idx="0">
                  <c:v>98</c:v>
                </c:pt>
                <c:pt idx="1">
                  <c:v>19</c:v>
                </c:pt>
                <c:pt idx="2">
                  <c:v>18</c:v>
                </c:pt>
                <c:pt idx="3">
                  <c:v>18</c:v>
                </c:pt>
              </c:numCache>
            </c:numRef>
          </c:val>
          <c:extLst>
            <c:ext xmlns:c16="http://schemas.microsoft.com/office/drawing/2014/chart" uri="{C3380CC4-5D6E-409C-BE32-E72D297353CC}">
              <c16:uniqueId val="{00000000-7577-4A13-8029-AE3CE0E8292B}"/>
            </c:ext>
          </c:extLst>
        </c:ser>
        <c:ser>
          <c:idx val="1"/>
          <c:order val="1"/>
          <c:tx>
            <c:strRef>
              <c:f>'[Approved Provider Survey Analysis Live_TVDB_1206.xlsx]5.2'!$N$43</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Live_TVDB_1206.xlsx]5.2'!$O$41:$R$41</c:f>
              <c:strCache>
                <c:ptCount val="4"/>
                <c:pt idx="0">
                  <c:v>Option 1</c:v>
                </c:pt>
                <c:pt idx="1">
                  <c:v>Option 2</c:v>
                </c:pt>
                <c:pt idx="2">
                  <c:v>Option 3</c:v>
                </c:pt>
                <c:pt idx="3">
                  <c:v>Option 4</c:v>
                </c:pt>
              </c:strCache>
            </c:strRef>
          </c:cat>
          <c:val>
            <c:numRef>
              <c:f>'[Approved Provider Survey Analysis Live_TVDB_1206.xlsx]5.2'!$O$43:$R$43</c:f>
              <c:numCache>
                <c:formatCode>General</c:formatCode>
                <c:ptCount val="4"/>
                <c:pt idx="0">
                  <c:v>4</c:v>
                </c:pt>
                <c:pt idx="1">
                  <c:v>69</c:v>
                </c:pt>
                <c:pt idx="2">
                  <c:v>40</c:v>
                </c:pt>
                <c:pt idx="3">
                  <c:v>34</c:v>
                </c:pt>
              </c:numCache>
            </c:numRef>
          </c:val>
          <c:extLst>
            <c:ext xmlns:c16="http://schemas.microsoft.com/office/drawing/2014/chart" uri="{C3380CC4-5D6E-409C-BE32-E72D297353CC}">
              <c16:uniqueId val="{00000001-7577-4A13-8029-AE3CE0E8292B}"/>
            </c:ext>
          </c:extLst>
        </c:ser>
        <c:ser>
          <c:idx val="2"/>
          <c:order val="2"/>
          <c:tx>
            <c:strRef>
              <c:f>'[Approved Provider Survey Analysis Live_TVDB_1206.xlsx]5.2'!$N$44</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Live_TVDB_1206.xlsx]5.2'!$O$41:$R$41</c:f>
              <c:strCache>
                <c:ptCount val="4"/>
                <c:pt idx="0">
                  <c:v>Option 1</c:v>
                </c:pt>
                <c:pt idx="1">
                  <c:v>Option 2</c:v>
                </c:pt>
                <c:pt idx="2">
                  <c:v>Option 3</c:v>
                </c:pt>
                <c:pt idx="3">
                  <c:v>Option 4</c:v>
                </c:pt>
              </c:strCache>
            </c:strRef>
          </c:cat>
          <c:val>
            <c:numRef>
              <c:f>'[Approved Provider Survey Analysis Live_TVDB_1206.xlsx]5.2'!$O$44:$R$44</c:f>
              <c:numCache>
                <c:formatCode>General</c:formatCode>
                <c:ptCount val="4"/>
                <c:pt idx="0">
                  <c:v>3</c:v>
                </c:pt>
                <c:pt idx="1">
                  <c:v>14</c:v>
                </c:pt>
                <c:pt idx="2">
                  <c:v>41</c:v>
                </c:pt>
                <c:pt idx="3">
                  <c:v>47</c:v>
                </c:pt>
              </c:numCache>
            </c:numRef>
          </c:val>
          <c:extLst>
            <c:ext xmlns:c16="http://schemas.microsoft.com/office/drawing/2014/chart" uri="{C3380CC4-5D6E-409C-BE32-E72D297353CC}">
              <c16:uniqueId val="{00000002-7577-4A13-8029-AE3CE0E8292B}"/>
            </c:ext>
          </c:extLst>
        </c:ser>
        <c:dLbls>
          <c:dLblPos val="outEnd"/>
          <c:showLegendKey val="0"/>
          <c:showVal val="1"/>
          <c:showCatName val="0"/>
          <c:showSerName val="0"/>
          <c:showPercent val="0"/>
          <c:showBubbleSize val="0"/>
        </c:dLbls>
        <c:gapWidth val="219"/>
        <c:overlap val="-27"/>
        <c:axId val="1745027936"/>
        <c:axId val="508348256"/>
      </c:barChart>
      <c:catAx>
        <c:axId val="174502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8348256"/>
        <c:crosses val="autoZero"/>
        <c:auto val="1"/>
        <c:lblAlgn val="ctr"/>
        <c:lblOffset val="100"/>
        <c:noMultiLvlLbl val="0"/>
      </c:catAx>
      <c:valAx>
        <c:axId val="5083482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2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Live_TVDB.xlsx]5.2'!$N$35</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Live_TVDB.xlsx]5.2'!$O$34:$R$34</c:f>
              <c:strCache>
                <c:ptCount val="4"/>
                <c:pt idx="0">
                  <c:v>Option 1</c:v>
                </c:pt>
                <c:pt idx="1">
                  <c:v>Option 2</c:v>
                </c:pt>
                <c:pt idx="2">
                  <c:v>Option 3</c:v>
                </c:pt>
                <c:pt idx="3">
                  <c:v>Option 4</c:v>
                </c:pt>
              </c:strCache>
            </c:strRef>
          </c:cat>
          <c:val>
            <c:numRef>
              <c:f>'[Workforce Survey Analysis Live_TVDB.xlsx]5.2'!$O$35:$R$35</c:f>
              <c:numCache>
                <c:formatCode>General</c:formatCode>
                <c:ptCount val="4"/>
                <c:pt idx="0">
                  <c:v>162</c:v>
                </c:pt>
                <c:pt idx="1">
                  <c:v>60</c:v>
                </c:pt>
                <c:pt idx="2">
                  <c:v>57</c:v>
                </c:pt>
                <c:pt idx="3">
                  <c:v>53</c:v>
                </c:pt>
              </c:numCache>
            </c:numRef>
          </c:val>
          <c:extLst>
            <c:ext xmlns:c16="http://schemas.microsoft.com/office/drawing/2014/chart" uri="{C3380CC4-5D6E-409C-BE32-E72D297353CC}">
              <c16:uniqueId val="{00000000-E9E1-4D49-8FE8-724DAF1BF271}"/>
            </c:ext>
          </c:extLst>
        </c:ser>
        <c:ser>
          <c:idx val="1"/>
          <c:order val="1"/>
          <c:tx>
            <c:strRef>
              <c:f>'[Workforce Survey Analysis Live_TVDB.xlsx]5.2'!$N$36</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Live_TVDB.xlsx]5.2'!$O$34:$R$34</c:f>
              <c:strCache>
                <c:ptCount val="4"/>
                <c:pt idx="0">
                  <c:v>Option 1</c:v>
                </c:pt>
                <c:pt idx="1">
                  <c:v>Option 2</c:v>
                </c:pt>
                <c:pt idx="2">
                  <c:v>Option 3</c:v>
                </c:pt>
                <c:pt idx="3">
                  <c:v>Option 4</c:v>
                </c:pt>
              </c:strCache>
            </c:strRef>
          </c:cat>
          <c:val>
            <c:numRef>
              <c:f>'[Workforce Survey Analysis Live_TVDB.xlsx]5.2'!$O$36:$R$36</c:f>
              <c:numCache>
                <c:formatCode>General</c:formatCode>
                <c:ptCount val="4"/>
                <c:pt idx="0">
                  <c:v>16</c:v>
                </c:pt>
                <c:pt idx="1">
                  <c:v>97</c:v>
                </c:pt>
                <c:pt idx="2">
                  <c:v>80</c:v>
                </c:pt>
                <c:pt idx="3">
                  <c:v>71</c:v>
                </c:pt>
              </c:numCache>
            </c:numRef>
          </c:val>
          <c:extLst>
            <c:ext xmlns:c16="http://schemas.microsoft.com/office/drawing/2014/chart" uri="{C3380CC4-5D6E-409C-BE32-E72D297353CC}">
              <c16:uniqueId val="{00000001-E9E1-4D49-8FE8-724DAF1BF271}"/>
            </c:ext>
          </c:extLst>
        </c:ser>
        <c:ser>
          <c:idx val="2"/>
          <c:order val="2"/>
          <c:tx>
            <c:strRef>
              <c:f>'[Workforce Survey Analysis Live_TVDB.xlsx]5.2'!$N$37</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Live_TVDB.xlsx]5.2'!$O$34:$R$34</c:f>
              <c:strCache>
                <c:ptCount val="4"/>
                <c:pt idx="0">
                  <c:v>Option 1</c:v>
                </c:pt>
                <c:pt idx="1">
                  <c:v>Option 2</c:v>
                </c:pt>
                <c:pt idx="2">
                  <c:v>Option 3</c:v>
                </c:pt>
                <c:pt idx="3">
                  <c:v>Option 4</c:v>
                </c:pt>
              </c:strCache>
            </c:strRef>
          </c:cat>
          <c:val>
            <c:numRef>
              <c:f>'[Workforce Survey Analysis Live_TVDB.xlsx]5.2'!$O$37:$R$37</c:f>
              <c:numCache>
                <c:formatCode>General</c:formatCode>
                <c:ptCount val="4"/>
                <c:pt idx="0">
                  <c:v>11</c:v>
                </c:pt>
                <c:pt idx="1">
                  <c:v>25</c:v>
                </c:pt>
                <c:pt idx="2">
                  <c:v>41</c:v>
                </c:pt>
                <c:pt idx="3">
                  <c:v>55</c:v>
                </c:pt>
              </c:numCache>
            </c:numRef>
          </c:val>
          <c:extLst>
            <c:ext xmlns:c16="http://schemas.microsoft.com/office/drawing/2014/chart" uri="{C3380CC4-5D6E-409C-BE32-E72D297353CC}">
              <c16:uniqueId val="{00000002-E9E1-4D49-8FE8-724DAF1BF271}"/>
            </c:ext>
          </c:extLst>
        </c:ser>
        <c:dLbls>
          <c:dLblPos val="outEnd"/>
          <c:showLegendKey val="0"/>
          <c:showVal val="1"/>
          <c:showCatName val="0"/>
          <c:showSerName val="0"/>
          <c:showPercent val="0"/>
          <c:showBubbleSize val="0"/>
        </c:dLbls>
        <c:gapWidth val="219"/>
        <c:overlap val="-27"/>
        <c:axId val="651253759"/>
        <c:axId val="651254239"/>
      </c:barChart>
      <c:catAx>
        <c:axId val="651253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1254239"/>
        <c:crosses val="autoZero"/>
        <c:auto val="1"/>
        <c:lblAlgn val="ctr"/>
        <c:lblOffset val="100"/>
        <c:noMultiLvlLbl val="0"/>
      </c:catAx>
      <c:valAx>
        <c:axId val="65125423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1253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Live_TVDB.xlsx]5.2'!$N$39</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Live_TVDB.xlsx]5.2'!$O$38:$R$38</c:f>
              <c:strCache>
                <c:ptCount val="4"/>
                <c:pt idx="0">
                  <c:v>Option 1</c:v>
                </c:pt>
                <c:pt idx="1">
                  <c:v>Option 2</c:v>
                </c:pt>
                <c:pt idx="2">
                  <c:v>Option 3</c:v>
                </c:pt>
                <c:pt idx="3">
                  <c:v>Option 4</c:v>
                </c:pt>
              </c:strCache>
            </c:strRef>
          </c:cat>
          <c:val>
            <c:numRef>
              <c:f>'[Families Survey Analysis Live_TVDB.xlsx]5.2'!$O$39:$R$39</c:f>
              <c:numCache>
                <c:formatCode>General</c:formatCode>
                <c:ptCount val="4"/>
                <c:pt idx="0">
                  <c:v>68</c:v>
                </c:pt>
                <c:pt idx="1">
                  <c:v>23</c:v>
                </c:pt>
                <c:pt idx="2">
                  <c:v>15</c:v>
                </c:pt>
                <c:pt idx="3">
                  <c:v>11</c:v>
                </c:pt>
              </c:numCache>
            </c:numRef>
          </c:val>
          <c:extLst>
            <c:ext xmlns:c16="http://schemas.microsoft.com/office/drawing/2014/chart" uri="{C3380CC4-5D6E-409C-BE32-E72D297353CC}">
              <c16:uniqueId val="{00000000-D695-4333-AED9-80D4A95045D0}"/>
            </c:ext>
          </c:extLst>
        </c:ser>
        <c:ser>
          <c:idx val="1"/>
          <c:order val="1"/>
          <c:tx>
            <c:strRef>
              <c:f>'[Families Survey Analysis Live_TVDB.xlsx]5.2'!$N$40</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Live_TVDB.xlsx]5.2'!$O$38:$R$38</c:f>
              <c:strCache>
                <c:ptCount val="4"/>
                <c:pt idx="0">
                  <c:v>Option 1</c:v>
                </c:pt>
                <c:pt idx="1">
                  <c:v>Option 2</c:v>
                </c:pt>
                <c:pt idx="2">
                  <c:v>Option 3</c:v>
                </c:pt>
                <c:pt idx="3">
                  <c:v>Option 4</c:v>
                </c:pt>
              </c:strCache>
            </c:strRef>
          </c:cat>
          <c:val>
            <c:numRef>
              <c:f>'[Families Survey Analysis Live_TVDB.xlsx]5.2'!$O$40:$R$40</c:f>
              <c:numCache>
                <c:formatCode>General</c:formatCode>
                <c:ptCount val="4"/>
                <c:pt idx="0">
                  <c:v>3</c:v>
                </c:pt>
                <c:pt idx="1">
                  <c:v>40</c:v>
                </c:pt>
                <c:pt idx="2">
                  <c:v>30</c:v>
                </c:pt>
                <c:pt idx="3">
                  <c:v>25</c:v>
                </c:pt>
              </c:numCache>
            </c:numRef>
          </c:val>
          <c:extLst>
            <c:ext xmlns:c16="http://schemas.microsoft.com/office/drawing/2014/chart" uri="{C3380CC4-5D6E-409C-BE32-E72D297353CC}">
              <c16:uniqueId val="{00000001-D695-4333-AED9-80D4A95045D0}"/>
            </c:ext>
          </c:extLst>
        </c:ser>
        <c:ser>
          <c:idx val="2"/>
          <c:order val="2"/>
          <c:tx>
            <c:strRef>
              <c:f>'[Families Survey Analysis Live_TVDB.xlsx]5.2'!$N$41</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Live_TVDB.xlsx]5.2'!$O$38:$R$38</c:f>
              <c:strCache>
                <c:ptCount val="4"/>
                <c:pt idx="0">
                  <c:v>Option 1</c:v>
                </c:pt>
                <c:pt idx="1">
                  <c:v>Option 2</c:v>
                </c:pt>
                <c:pt idx="2">
                  <c:v>Option 3</c:v>
                </c:pt>
                <c:pt idx="3">
                  <c:v>Option 4</c:v>
                </c:pt>
              </c:strCache>
            </c:strRef>
          </c:cat>
          <c:val>
            <c:numRef>
              <c:f>'[Families Survey Analysis Live_TVDB.xlsx]5.2'!$O$41:$R$41</c:f>
              <c:numCache>
                <c:formatCode>General</c:formatCode>
                <c:ptCount val="4"/>
                <c:pt idx="0">
                  <c:v>5</c:v>
                </c:pt>
                <c:pt idx="1">
                  <c:v>12</c:v>
                </c:pt>
                <c:pt idx="2">
                  <c:v>29</c:v>
                </c:pt>
                <c:pt idx="3">
                  <c:v>37</c:v>
                </c:pt>
              </c:numCache>
            </c:numRef>
          </c:val>
          <c:extLst>
            <c:ext xmlns:c16="http://schemas.microsoft.com/office/drawing/2014/chart" uri="{C3380CC4-5D6E-409C-BE32-E72D297353CC}">
              <c16:uniqueId val="{00000002-D695-4333-AED9-80D4A95045D0}"/>
            </c:ext>
          </c:extLst>
        </c:ser>
        <c:dLbls>
          <c:dLblPos val="outEnd"/>
          <c:showLegendKey val="0"/>
          <c:showVal val="1"/>
          <c:showCatName val="0"/>
          <c:showSerName val="0"/>
          <c:showPercent val="0"/>
          <c:showBubbleSize val="0"/>
        </c:dLbls>
        <c:gapWidth val="219"/>
        <c:overlap val="-27"/>
        <c:axId val="1229402063"/>
        <c:axId val="383235487"/>
      </c:barChart>
      <c:catAx>
        <c:axId val="1229402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83235487"/>
        <c:crosses val="autoZero"/>
        <c:auto val="1"/>
        <c:lblAlgn val="ctr"/>
        <c:lblOffset val="100"/>
        <c:noMultiLvlLbl val="0"/>
      </c:catAx>
      <c:valAx>
        <c:axId val="3832354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29402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Live_TVDB_1206.xlsx]5.2'!$N$23</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Live_TVDB_1206.xlsx]5.2'!$O$23</c:f>
              <c:numCache>
                <c:formatCode>0%</c:formatCode>
                <c:ptCount val="1"/>
                <c:pt idx="0">
                  <c:v>5.9405940594059403E-2</c:v>
                </c:pt>
              </c:numCache>
            </c:numRef>
          </c:val>
          <c:extLst>
            <c:ext xmlns:c16="http://schemas.microsoft.com/office/drawing/2014/chart" uri="{C3380CC4-5D6E-409C-BE32-E72D297353CC}">
              <c16:uniqueId val="{00000000-7084-40FD-B834-E3BF44540D44}"/>
            </c:ext>
          </c:extLst>
        </c:ser>
        <c:ser>
          <c:idx val="1"/>
          <c:order val="1"/>
          <c:tx>
            <c:strRef>
              <c:f>'[Approved Provider Survey Analysis Live_TVDB_1206.xlsx]5.2'!$N$24</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Live_TVDB_1206.xlsx]5.2'!$O$24</c:f>
              <c:numCache>
                <c:formatCode>0%</c:formatCode>
                <c:ptCount val="1"/>
                <c:pt idx="0">
                  <c:v>0.30693069306930693</c:v>
                </c:pt>
              </c:numCache>
            </c:numRef>
          </c:val>
          <c:extLst>
            <c:ext xmlns:c16="http://schemas.microsoft.com/office/drawing/2014/chart" uri="{C3380CC4-5D6E-409C-BE32-E72D297353CC}">
              <c16:uniqueId val="{00000001-7084-40FD-B834-E3BF44540D44}"/>
            </c:ext>
          </c:extLst>
        </c:ser>
        <c:ser>
          <c:idx val="2"/>
          <c:order val="2"/>
          <c:tx>
            <c:strRef>
              <c:f>'[Approved Provider Survey Analysis Live_TVDB_1206.xlsx]5.2'!$N$25</c:f>
              <c:strCache>
                <c:ptCount val="1"/>
                <c:pt idx="0">
                  <c:v>Option 3</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Live_TVDB_1206.xlsx]5.2'!$O$25</c:f>
              <c:numCache>
                <c:formatCode>0%</c:formatCode>
                <c:ptCount val="1"/>
                <c:pt idx="0">
                  <c:v>5.9405940594059403E-2</c:v>
                </c:pt>
              </c:numCache>
            </c:numRef>
          </c:val>
          <c:extLst>
            <c:ext xmlns:c16="http://schemas.microsoft.com/office/drawing/2014/chart" uri="{C3380CC4-5D6E-409C-BE32-E72D297353CC}">
              <c16:uniqueId val="{00000002-7084-40FD-B834-E3BF44540D44}"/>
            </c:ext>
          </c:extLst>
        </c:ser>
        <c:ser>
          <c:idx val="3"/>
          <c:order val="3"/>
          <c:tx>
            <c:strRef>
              <c:f>'[Approved Provider Survey Analysis Live_TVDB_1206.xlsx]5.2'!$N$26</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Live_TVDB_1206.xlsx]5.2'!$O$26</c:f>
              <c:numCache>
                <c:formatCode>0%</c:formatCode>
                <c:ptCount val="1"/>
                <c:pt idx="0">
                  <c:v>0.23762376237623761</c:v>
                </c:pt>
              </c:numCache>
            </c:numRef>
          </c:val>
          <c:extLst>
            <c:ext xmlns:c16="http://schemas.microsoft.com/office/drawing/2014/chart" uri="{C3380CC4-5D6E-409C-BE32-E72D297353CC}">
              <c16:uniqueId val="{00000003-7084-40FD-B834-E3BF44540D44}"/>
            </c:ext>
          </c:extLst>
        </c:ser>
        <c:ser>
          <c:idx val="4"/>
          <c:order val="4"/>
          <c:tx>
            <c:strRef>
              <c:f>'[Approved Provider Survey Analysis Live_TVDB_1206.xlsx]5.2'!$N$27</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Live_TVDB_1206.xlsx]5.2'!$O$27</c:f>
              <c:numCache>
                <c:formatCode>0%</c:formatCode>
                <c:ptCount val="1"/>
                <c:pt idx="0">
                  <c:v>4.9504950495049507E-2</c:v>
                </c:pt>
              </c:numCache>
            </c:numRef>
          </c:val>
          <c:extLst>
            <c:ext xmlns:c16="http://schemas.microsoft.com/office/drawing/2014/chart" uri="{C3380CC4-5D6E-409C-BE32-E72D297353CC}">
              <c16:uniqueId val="{00000004-7084-40FD-B834-E3BF44540D44}"/>
            </c:ext>
          </c:extLst>
        </c:ser>
        <c:ser>
          <c:idx val="5"/>
          <c:order val="5"/>
          <c:tx>
            <c:strRef>
              <c:f>'[Approved Provider Survey Analysis Live_TVDB_1206.xlsx]5.2'!$N$28</c:f>
              <c:strCache>
                <c:ptCount val="1"/>
                <c:pt idx="0">
                  <c:v>Options 2 and 4</c:v>
                </c:pt>
              </c:strCache>
            </c:strRef>
          </c:tx>
          <c:spPr>
            <a:pattFill prst="wdDnDiag">
              <a:fgClr>
                <a:schemeClr val="accent3"/>
              </a:fgClr>
              <a:bgClr>
                <a:schemeClr val="bg1"/>
              </a:bgClr>
            </a:pattFill>
            <a:ln>
              <a:noFill/>
            </a:ln>
            <a:effectLst/>
          </c:spPr>
          <c:invertIfNegative val="0"/>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Live_TVDB_1206.xlsx]5.2'!$O$28</c:f>
              <c:numCache>
                <c:formatCode>0%</c:formatCode>
                <c:ptCount val="1"/>
                <c:pt idx="0">
                  <c:v>7.9207920792079209E-2</c:v>
                </c:pt>
              </c:numCache>
            </c:numRef>
          </c:val>
          <c:extLst>
            <c:ext xmlns:c16="http://schemas.microsoft.com/office/drawing/2014/chart" uri="{C3380CC4-5D6E-409C-BE32-E72D297353CC}">
              <c16:uniqueId val="{00000005-7084-40FD-B834-E3BF44540D44}"/>
            </c:ext>
          </c:extLst>
        </c:ser>
        <c:ser>
          <c:idx val="6"/>
          <c:order val="6"/>
          <c:tx>
            <c:strRef>
              <c:f>'[Approved Provider Survey Analysis Live_TVDB_1206.xlsx]5.2'!$N$29</c:f>
              <c:strCache>
                <c:ptCount val="1"/>
                <c:pt idx="0">
                  <c:v>Options 3 and 4</c:v>
                </c:pt>
              </c:strCache>
            </c:strRef>
          </c:tx>
          <c:spPr>
            <a:pattFill prst="wdDnDiag">
              <a:fgClr>
                <a:schemeClr val="accent1"/>
              </a:fgClr>
              <a:bgClr>
                <a:schemeClr val="bg1"/>
              </a:bgClr>
            </a:pattFill>
            <a:ln>
              <a:noFill/>
            </a:ln>
            <a:effectLst/>
          </c:spPr>
          <c:invertIfNegative val="0"/>
          <c:dLbls>
            <c:spPr>
              <a:solidFill>
                <a:schemeClr val="accent1"/>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Live_TVDB_1206.xlsx]5.2'!$O$29</c:f>
              <c:numCache>
                <c:formatCode>0%</c:formatCode>
                <c:ptCount val="1"/>
                <c:pt idx="0">
                  <c:v>0.10891089108910891</c:v>
                </c:pt>
              </c:numCache>
            </c:numRef>
          </c:val>
          <c:extLst>
            <c:ext xmlns:c16="http://schemas.microsoft.com/office/drawing/2014/chart" uri="{C3380CC4-5D6E-409C-BE32-E72D297353CC}">
              <c16:uniqueId val="{00000006-7084-40FD-B834-E3BF44540D44}"/>
            </c:ext>
          </c:extLst>
        </c:ser>
        <c:ser>
          <c:idx val="7"/>
          <c:order val="7"/>
          <c:tx>
            <c:strRef>
              <c:f>'[Approved Provider Survey Analysis Live_TVDB_1206.xlsx]5.2'!$N$30</c:f>
              <c:strCache>
                <c:ptCount val="1"/>
                <c:pt idx="0">
                  <c:v>Options 2, 3 and 4</c:v>
                </c:pt>
              </c:strCache>
            </c:strRef>
          </c:tx>
          <c:spPr>
            <a:pattFill prst="wdDnDiag">
              <a:fgClr>
                <a:schemeClr val="accent2"/>
              </a:fgClr>
              <a:bgClr>
                <a:schemeClr val="bg1"/>
              </a:bgClr>
            </a:pattFill>
            <a:ln>
              <a:noFill/>
            </a:ln>
            <a:effectLst/>
          </c:spPr>
          <c:invertIfNegative val="0"/>
          <c:dLbls>
            <c:spPr>
              <a:solidFill>
                <a:schemeClr val="accent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Live_TVDB_1206.xlsx]5.2'!$O$30</c:f>
              <c:numCache>
                <c:formatCode>0%</c:formatCode>
                <c:ptCount val="1"/>
                <c:pt idx="0">
                  <c:v>9.9009900990099015E-2</c:v>
                </c:pt>
              </c:numCache>
            </c:numRef>
          </c:val>
          <c:extLst>
            <c:ext xmlns:c16="http://schemas.microsoft.com/office/drawing/2014/chart" uri="{C3380CC4-5D6E-409C-BE32-E72D297353CC}">
              <c16:uniqueId val="{00000007-7084-40FD-B834-E3BF44540D44}"/>
            </c:ext>
          </c:extLst>
        </c:ser>
        <c:dLbls>
          <c:dLblPos val="ctr"/>
          <c:showLegendKey val="0"/>
          <c:showVal val="1"/>
          <c:showCatName val="0"/>
          <c:showSerName val="0"/>
          <c:showPercent val="0"/>
          <c:showBubbleSize val="0"/>
        </c:dLbls>
        <c:gapWidth val="150"/>
        <c:overlap val="100"/>
        <c:axId val="1745023136"/>
        <c:axId val="1745023616"/>
      </c:barChart>
      <c:catAx>
        <c:axId val="1745023136"/>
        <c:scaling>
          <c:orientation val="minMax"/>
        </c:scaling>
        <c:delete val="1"/>
        <c:axPos val="l"/>
        <c:numFmt formatCode="General" sourceLinked="1"/>
        <c:majorTickMark val="none"/>
        <c:minorTickMark val="none"/>
        <c:tickLblPos val="nextTo"/>
        <c:crossAx val="1745023616"/>
        <c:crosses val="autoZero"/>
        <c:auto val="1"/>
        <c:lblAlgn val="ctr"/>
        <c:lblOffset val="100"/>
        <c:noMultiLvlLbl val="0"/>
      </c:catAx>
      <c:valAx>
        <c:axId val="174502361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502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Live_TVDB.xlsx]5.2'!$N$22</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Live_TVDB.xlsx]5.2'!$O$22</c:f>
              <c:numCache>
                <c:formatCode>0%</c:formatCode>
                <c:ptCount val="1"/>
                <c:pt idx="0">
                  <c:v>0.31360946745562129</c:v>
                </c:pt>
              </c:numCache>
            </c:numRef>
          </c:val>
          <c:extLst>
            <c:ext xmlns:c16="http://schemas.microsoft.com/office/drawing/2014/chart" uri="{C3380CC4-5D6E-409C-BE32-E72D297353CC}">
              <c16:uniqueId val="{00000000-86B4-42C5-ADB4-B204A9CE221A}"/>
            </c:ext>
          </c:extLst>
        </c:ser>
        <c:ser>
          <c:idx val="1"/>
          <c:order val="1"/>
          <c:tx>
            <c:strRef>
              <c:f>'[Workforce Survey Analysis Live_TVDB.xlsx]5.2'!$N$23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Live_TVDB.xlsx]5.2'!$O$23</c:f>
              <c:numCache>
                <c:formatCode>0%</c:formatCode>
                <c:ptCount val="1"/>
                <c:pt idx="0">
                  <c:v>0.22485207100591717</c:v>
                </c:pt>
              </c:numCache>
            </c:numRef>
          </c:val>
          <c:extLst>
            <c:ext xmlns:c16="http://schemas.microsoft.com/office/drawing/2014/chart" uri="{C3380CC4-5D6E-409C-BE32-E72D297353CC}">
              <c16:uniqueId val="{00000001-86B4-42C5-ADB4-B204A9CE221A}"/>
            </c:ext>
          </c:extLst>
        </c:ser>
        <c:ser>
          <c:idx val="2"/>
          <c:order val="2"/>
          <c:tx>
            <c:strRef>
              <c:f>'[Workforce Survey Analysis Live_TVDB.xlsx]5.2'!$N$24</c:f>
              <c:strCache>
                <c:ptCount val="1"/>
                <c:pt idx="0">
                  <c:v>Option 3</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Live_TVDB.xlsx]5.2'!$O$24</c:f>
              <c:numCache>
                <c:formatCode>0%</c:formatCode>
                <c:ptCount val="1"/>
                <c:pt idx="0">
                  <c:v>7.1005917159763315E-2</c:v>
                </c:pt>
              </c:numCache>
            </c:numRef>
          </c:val>
          <c:extLst>
            <c:ext xmlns:c16="http://schemas.microsoft.com/office/drawing/2014/chart" uri="{C3380CC4-5D6E-409C-BE32-E72D297353CC}">
              <c16:uniqueId val="{00000002-86B4-42C5-ADB4-B204A9CE221A}"/>
            </c:ext>
          </c:extLst>
        </c:ser>
        <c:ser>
          <c:idx val="3"/>
          <c:order val="3"/>
          <c:tx>
            <c:strRef>
              <c:f>'[Workforce Survey Analysis Live_TVDB.xlsx]5.2'!$N$25</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Live_TVDB.xlsx]5.2'!$O$25</c:f>
              <c:numCache>
                <c:formatCode>0%</c:formatCode>
                <c:ptCount val="1"/>
                <c:pt idx="0">
                  <c:v>0.16568047337278108</c:v>
                </c:pt>
              </c:numCache>
            </c:numRef>
          </c:val>
          <c:extLst>
            <c:ext xmlns:c16="http://schemas.microsoft.com/office/drawing/2014/chart" uri="{C3380CC4-5D6E-409C-BE32-E72D297353CC}">
              <c16:uniqueId val="{00000003-86B4-42C5-ADB4-B204A9CE221A}"/>
            </c:ext>
          </c:extLst>
        </c:ser>
        <c:ser>
          <c:idx val="4"/>
          <c:order val="4"/>
          <c:tx>
            <c:strRef>
              <c:f>'[Workforce Survey Analysis Live_TVDB.xlsx]5.2'!$N$26</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Live_TVDB.xlsx]5.2'!$O$26</c:f>
              <c:numCache>
                <c:formatCode>0%</c:formatCode>
                <c:ptCount val="1"/>
                <c:pt idx="0">
                  <c:v>5.9171597633136092E-2</c:v>
                </c:pt>
              </c:numCache>
            </c:numRef>
          </c:val>
          <c:extLst>
            <c:ext xmlns:c16="http://schemas.microsoft.com/office/drawing/2014/chart" uri="{C3380CC4-5D6E-409C-BE32-E72D297353CC}">
              <c16:uniqueId val="{00000004-86B4-42C5-ADB4-B204A9CE221A}"/>
            </c:ext>
          </c:extLst>
        </c:ser>
        <c:ser>
          <c:idx val="5"/>
          <c:order val="5"/>
          <c:tx>
            <c:strRef>
              <c:f>'[Workforce Survey Analysis Live_TVDB.xlsx]5.2'!$N$27</c:f>
              <c:strCache>
                <c:ptCount val="1"/>
                <c:pt idx="0">
                  <c:v>Options 2 and 4</c:v>
                </c:pt>
              </c:strCache>
            </c:strRef>
          </c:tx>
          <c:spPr>
            <a:pattFill prst="wdDnDiag">
              <a:fgClr>
                <a:schemeClr val="accent3"/>
              </a:fgClr>
              <a:bgClr>
                <a:schemeClr val="bg1"/>
              </a:bgClr>
            </a:pattFill>
            <a:ln>
              <a:noFill/>
            </a:ln>
            <a:effectLst/>
          </c:spPr>
          <c:invertIfNegative val="0"/>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Live_TVDB.xlsx]5.2'!$O$27</c:f>
              <c:numCache>
                <c:formatCode>0%</c:formatCode>
                <c:ptCount val="1"/>
                <c:pt idx="0">
                  <c:v>5.9171597633136092E-2</c:v>
                </c:pt>
              </c:numCache>
            </c:numRef>
          </c:val>
          <c:extLst>
            <c:ext xmlns:c16="http://schemas.microsoft.com/office/drawing/2014/chart" uri="{C3380CC4-5D6E-409C-BE32-E72D297353CC}">
              <c16:uniqueId val="{00000005-86B4-42C5-ADB4-B204A9CE221A}"/>
            </c:ext>
          </c:extLst>
        </c:ser>
        <c:ser>
          <c:idx val="6"/>
          <c:order val="6"/>
          <c:tx>
            <c:strRef>
              <c:f>'[Workforce Survey Analysis Live_TVDB.xlsx]5.2'!$N$28</c:f>
              <c:strCache>
                <c:ptCount val="1"/>
                <c:pt idx="0">
                  <c:v>Options 3 and 4</c:v>
                </c:pt>
              </c:strCache>
            </c:strRef>
          </c:tx>
          <c:spPr>
            <a:pattFill prst="wdDnDiag">
              <a:fgClr>
                <a:schemeClr val="accent1"/>
              </a:fgClr>
              <a:bgClr>
                <a:schemeClr val="bg1"/>
              </a:bgClr>
            </a:pattFill>
            <a:ln>
              <a:noFill/>
            </a:ln>
            <a:effectLst/>
          </c:spPr>
          <c:invertIfNegative val="0"/>
          <c:dLbls>
            <c:spPr>
              <a:solidFill>
                <a:schemeClr val="accent1"/>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Live_TVDB.xlsx]5.2'!$O$28</c:f>
              <c:numCache>
                <c:formatCode>0%</c:formatCode>
                <c:ptCount val="1"/>
                <c:pt idx="0">
                  <c:v>5.9171597633136092E-2</c:v>
                </c:pt>
              </c:numCache>
            </c:numRef>
          </c:val>
          <c:extLst>
            <c:ext xmlns:c16="http://schemas.microsoft.com/office/drawing/2014/chart" uri="{C3380CC4-5D6E-409C-BE32-E72D297353CC}">
              <c16:uniqueId val="{00000006-86B4-42C5-ADB4-B204A9CE221A}"/>
            </c:ext>
          </c:extLst>
        </c:ser>
        <c:ser>
          <c:idx val="7"/>
          <c:order val="7"/>
          <c:tx>
            <c:strRef>
              <c:f>'[Workforce Survey Analysis Live_TVDB.xlsx]5.2'!$N$29</c:f>
              <c:strCache>
                <c:ptCount val="1"/>
                <c:pt idx="0">
                  <c:v>Options 2, 3 and 4</c:v>
                </c:pt>
              </c:strCache>
            </c:strRef>
          </c:tx>
          <c:spPr>
            <a:pattFill prst="wdDnDiag">
              <a:fgClr>
                <a:schemeClr val="accent2"/>
              </a:fgClr>
              <a:bgClr>
                <a:schemeClr val="bg1"/>
              </a:bgClr>
            </a:pattFill>
            <a:ln>
              <a:noFill/>
            </a:ln>
            <a:effectLst/>
          </c:spPr>
          <c:invertIfNegative val="0"/>
          <c:dLbls>
            <c:spPr>
              <a:solidFill>
                <a:schemeClr val="accent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Live_TVDB.xlsx]5.2'!$O$29</c:f>
              <c:numCache>
                <c:formatCode>0%</c:formatCode>
                <c:ptCount val="1"/>
                <c:pt idx="0">
                  <c:v>4.7337278106508875E-2</c:v>
                </c:pt>
              </c:numCache>
            </c:numRef>
          </c:val>
          <c:extLst>
            <c:ext xmlns:c16="http://schemas.microsoft.com/office/drawing/2014/chart" uri="{C3380CC4-5D6E-409C-BE32-E72D297353CC}">
              <c16:uniqueId val="{00000007-86B4-42C5-ADB4-B204A9CE221A}"/>
            </c:ext>
          </c:extLst>
        </c:ser>
        <c:dLbls>
          <c:dLblPos val="ctr"/>
          <c:showLegendKey val="0"/>
          <c:showVal val="1"/>
          <c:showCatName val="0"/>
          <c:showSerName val="0"/>
          <c:showPercent val="0"/>
          <c:showBubbleSize val="0"/>
        </c:dLbls>
        <c:gapWidth val="150"/>
        <c:overlap val="100"/>
        <c:axId val="377865343"/>
        <c:axId val="377864383"/>
      </c:barChart>
      <c:catAx>
        <c:axId val="377865343"/>
        <c:scaling>
          <c:orientation val="minMax"/>
        </c:scaling>
        <c:delete val="1"/>
        <c:axPos val="l"/>
        <c:numFmt formatCode="General" sourceLinked="1"/>
        <c:majorTickMark val="none"/>
        <c:minorTickMark val="none"/>
        <c:tickLblPos val="nextTo"/>
        <c:crossAx val="377864383"/>
        <c:crosses val="autoZero"/>
        <c:auto val="1"/>
        <c:lblAlgn val="ctr"/>
        <c:lblOffset val="100"/>
        <c:noMultiLvlLbl val="0"/>
      </c:catAx>
      <c:valAx>
        <c:axId val="37786438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7865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Live_TVDB.xlsx]5.2'!$N$22</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Live_TVDB.xlsx]5.2'!$O$22</c:f>
              <c:numCache>
                <c:formatCode>0%</c:formatCode>
                <c:ptCount val="1"/>
                <c:pt idx="0">
                  <c:v>0.13513513513513514</c:v>
                </c:pt>
              </c:numCache>
            </c:numRef>
          </c:val>
          <c:extLst>
            <c:ext xmlns:c16="http://schemas.microsoft.com/office/drawing/2014/chart" uri="{C3380CC4-5D6E-409C-BE32-E72D297353CC}">
              <c16:uniqueId val="{00000000-D086-4B45-8291-17A1CF5764EA}"/>
            </c:ext>
          </c:extLst>
        </c:ser>
        <c:ser>
          <c:idx val="1"/>
          <c:order val="1"/>
          <c:tx>
            <c:strRef>
              <c:f>'[Families Survey Analysis Live_TVDB.xlsx]5.2'!$N$23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Live_TVDB.xlsx]5.2'!$O$23</c:f>
              <c:numCache>
                <c:formatCode>0%</c:formatCode>
                <c:ptCount val="1"/>
                <c:pt idx="0">
                  <c:v>4.0540540540540543E-2</c:v>
                </c:pt>
              </c:numCache>
            </c:numRef>
          </c:val>
          <c:extLst>
            <c:ext xmlns:c16="http://schemas.microsoft.com/office/drawing/2014/chart" uri="{C3380CC4-5D6E-409C-BE32-E72D297353CC}">
              <c16:uniqueId val="{00000001-D086-4B45-8291-17A1CF5764EA}"/>
            </c:ext>
          </c:extLst>
        </c:ser>
        <c:ser>
          <c:idx val="2"/>
          <c:order val="2"/>
          <c:tx>
            <c:strRef>
              <c:f>'[Families Survey Analysis Live_TVDB.xlsx]5.2'!$N$24</c:f>
              <c:strCache>
                <c:ptCount val="1"/>
                <c:pt idx="0">
                  <c:v>Option 3</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Live_TVDB.xlsx]5.2'!$O$24</c:f>
              <c:numCache>
                <c:formatCode>0%</c:formatCode>
                <c:ptCount val="1"/>
                <c:pt idx="0">
                  <c:v>0.13513513513513514</c:v>
                </c:pt>
              </c:numCache>
            </c:numRef>
          </c:val>
          <c:extLst>
            <c:ext xmlns:c16="http://schemas.microsoft.com/office/drawing/2014/chart" uri="{C3380CC4-5D6E-409C-BE32-E72D297353CC}">
              <c16:uniqueId val="{00000002-D086-4B45-8291-17A1CF5764EA}"/>
            </c:ext>
          </c:extLst>
        </c:ser>
        <c:ser>
          <c:idx val="3"/>
          <c:order val="3"/>
          <c:tx>
            <c:strRef>
              <c:f>'[Families Survey Analysis Live_TVDB.xlsx]5.2'!$N$25</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Live_TVDB.xlsx]5.2'!$O$25</c:f>
              <c:numCache>
                <c:formatCode>0%</c:formatCode>
                <c:ptCount val="1"/>
                <c:pt idx="0">
                  <c:v>0.29729729729729731</c:v>
                </c:pt>
              </c:numCache>
            </c:numRef>
          </c:val>
          <c:extLst>
            <c:ext xmlns:c16="http://schemas.microsoft.com/office/drawing/2014/chart" uri="{C3380CC4-5D6E-409C-BE32-E72D297353CC}">
              <c16:uniqueId val="{00000003-D086-4B45-8291-17A1CF5764EA}"/>
            </c:ext>
          </c:extLst>
        </c:ser>
        <c:ser>
          <c:idx val="4"/>
          <c:order val="4"/>
          <c:tx>
            <c:strRef>
              <c:f>'[Families Survey Analysis Live_TVDB.xlsx]5.2'!$N$26</c:f>
              <c:strCache>
                <c:ptCount val="1"/>
                <c:pt idx="0">
                  <c:v>Options 2 and 3</c:v>
                </c:pt>
              </c:strCache>
            </c:strRef>
          </c:tx>
          <c:spPr>
            <a:pattFill prst="wdDnDiag">
              <a:fgClr>
                <a:schemeClr val="accent5"/>
              </a:fgClr>
              <a:bgClr>
                <a:schemeClr val="bg1"/>
              </a:bgClr>
            </a:pattFill>
            <a:ln>
              <a:noFill/>
            </a:ln>
            <a:effectLst/>
          </c:spPr>
          <c:invertIfNegative val="0"/>
          <c:dLbls>
            <c:spPr>
              <a:solidFill>
                <a:schemeClr val="accent5"/>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Live_TVDB.xlsx]5.2'!$O$26</c:f>
              <c:numCache>
                <c:formatCode>0%</c:formatCode>
                <c:ptCount val="1"/>
                <c:pt idx="0">
                  <c:v>5.4054054054054057E-2</c:v>
                </c:pt>
              </c:numCache>
            </c:numRef>
          </c:val>
          <c:extLst>
            <c:ext xmlns:c16="http://schemas.microsoft.com/office/drawing/2014/chart" uri="{C3380CC4-5D6E-409C-BE32-E72D297353CC}">
              <c16:uniqueId val="{00000004-D086-4B45-8291-17A1CF5764EA}"/>
            </c:ext>
          </c:extLst>
        </c:ser>
        <c:ser>
          <c:idx val="5"/>
          <c:order val="5"/>
          <c:tx>
            <c:strRef>
              <c:f>'[Families Survey Analysis Live_TVDB.xlsx]5.2'!$N$27</c:f>
              <c:strCache>
                <c:ptCount val="1"/>
                <c:pt idx="0">
                  <c:v>Options 2 and 4</c:v>
                </c:pt>
              </c:strCache>
            </c:strRef>
          </c:tx>
          <c:spPr>
            <a:pattFill prst="wdDnDiag">
              <a:fgClr>
                <a:schemeClr val="accent3"/>
              </a:fgClr>
              <a:bgClr>
                <a:schemeClr val="bg1"/>
              </a:bgClr>
            </a:pattFill>
            <a:ln>
              <a:noFill/>
            </a:ln>
            <a:effectLst/>
          </c:spPr>
          <c:invertIfNegative val="0"/>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Live_TVDB.xlsx]5.2'!$O$27</c:f>
              <c:numCache>
                <c:formatCode>0%</c:formatCode>
                <c:ptCount val="1"/>
                <c:pt idx="0">
                  <c:v>8.1081081081081086E-2</c:v>
                </c:pt>
              </c:numCache>
            </c:numRef>
          </c:val>
          <c:extLst>
            <c:ext xmlns:c16="http://schemas.microsoft.com/office/drawing/2014/chart" uri="{C3380CC4-5D6E-409C-BE32-E72D297353CC}">
              <c16:uniqueId val="{00000005-D086-4B45-8291-17A1CF5764EA}"/>
            </c:ext>
          </c:extLst>
        </c:ser>
        <c:ser>
          <c:idx val="6"/>
          <c:order val="6"/>
          <c:tx>
            <c:strRef>
              <c:f>'[Families Survey Analysis Live_TVDB.xlsx]5.2'!$N$28</c:f>
              <c:strCache>
                <c:ptCount val="1"/>
                <c:pt idx="0">
                  <c:v>Options 3 and 4</c:v>
                </c:pt>
              </c:strCache>
            </c:strRef>
          </c:tx>
          <c:spPr>
            <a:pattFill prst="wdDnDiag">
              <a:fgClr>
                <a:schemeClr val="accent1"/>
              </a:fgClr>
              <a:bgClr>
                <a:schemeClr val="bg1"/>
              </a:bgClr>
            </a:pattFill>
            <a:ln>
              <a:noFill/>
            </a:ln>
            <a:effectLst/>
          </c:spPr>
          <c:invertIfNegative val="0"/>
          <c:dLbls>
            <c:spPr>
              <a:solidFill>
                <a:schemeClr val="accent1"/>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Live_TVDB.xlsx]5.2'!$O$28</c:f>
              <c:numCache>
                <c:formatCode>0%</c:formatCode>
                <c:ptCount val="1"/>
                <c:pt idx="0">
                  <c:v>0.10810810810810811</c:v>
                </c:pt>
              </c:numCache>
            </c:numRef>
          </c:val>
          <c:extLst>
            <c:ext xmlns:c16="http://schemas.microsoft.com/office/drawing/2014/chart" uri="{C3380CC4-5D6E-409C-BE32-E72D297353CC}">
              <c16:uniqueId val="{00000006-D086-4B45-8291-17A1CF5764EA}"/>
            </c:ext>
          </c:extLst>
        </c:ser>
        <c:ser>
          <c:idx val="7"/>
          <c:order val="7"/>
          <c:tx>
            <c:strRef>
              <c:f>'[Families Survey Analysis Live_TVDB.xlsx]5.2'!$N$29</c:f>
              <c:strCache>
                <c:ptCount val="1"/>
                <c:pt idx="0">
                  <c:v>Options 2, 3 and 4</c:v>
                </c:pt>
              </c:strCache>
            </c:strRef>
          </c:tx>
          <c:spPr>
            <a:pattFill prst="wdDnDiag">
              <a:fgClr>
                <a:schemeClr val="accent2"/>
              </a:fgClr>
              <a:bgClr>
                <a:schemeClr val="bg1"/>
              </a:bgClr>
            </a:pattFill>
            <a:ln>
              <a:noFill/>
            </a:ln>
            <a:effectLst/>
          </c:spPr>
          <c:invertIfNegative val="0"/>
          <c:dLbls>
            <c:spPr>
              <a:solidFill>
                <a:schemeClr val="accent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Live_TVDB.xlsx]5.2'!$O$29</c:f>
              <c:numCache>
                <c:formatCode>0%</c:formatCode>
                <c:ptCount val="1"/>
                <c:pt idx="0">
                  <c:v>0.14864864864864866</c:v>
                </c:pt>
              </c:numCache>
            </c:numRef>
          </c:val>
          <c:extLst>
            <c:ext xmlns:c16="http://schemas.microsoft.com/office/drawing/2014/chart" uri="{C3380CC4-5D6E-409C-BE32-E72D297353CC}">
              <c16:uniqueId val="{00000007-D086-4B45-8291-17A1CF5764EA}"/>
            </c:ext>
          </c:extLst>
        </c:ser>
        <c:dLbls>
          <c:dLblPos val="ctr"/>
          <c:showLegendKey val="0"/>
          <c:showVal val="1"/>
          <c:showCatName val="0"/>
          <c:showSerName val="0"/>
          <c:showPercent val="0"/>
          <c:showBubbleSize val="0"/>
        </c:dLbls>
        <c:gapWidth val="150"/>
        <c:overlap val="100"/>
        <c:axId val="1272788031"/>
        <c:axId val="1272793311"/>
      </c:barChart>
      <c:catAx>
        <c:axId val="1272788031"/>
        <c:scaling>
          <c:orientation val="minMax"/>
        </c:scaling>
        <c:delete val="1"/>
        <c:axPos val="l"/>
        <c:numFmt formatCode="General" sourceLinked="1"/>
        <c:majorTickMark val="none"/>
        <c:minorTickMark val="none"/>
        <c:tickLblPos val="nextTo"/>
        <c:crossAx val="1272793311"/>
        <c:crosses val="autoZero"/>
        <c:auto val="1"/>
        <c:lblAlgn val="ctr"/>
        <c:lblOffset val="100"/>
        <c:noMultiLvlLbl val="0"/>
      </c:catAx>
      <c:valAx>
        <c:axId val="127279331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2788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Live_TVDB_1206.xlsx]5.3'!$M$39</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Live_TVDB_1206.xlsx]5.3'!$N$38:$P$38</c:f>
              <c:strCache>
                <c:ptCount val="3"/>
                <c:pt idx="0">
                  <c:v>Option 1</c:v>
                </c:pt>
                <c:pt idx="1">
                  <c:v>Option 2</c:v>
                </c:pt>
                <c:pt idx="2">
                  <c:v>Option 3</c:v>
                </c:pt>
              </c:strCache>
            </c:strRef>
          </c:cat>
          <c:val>
            <c:numRef>
              <c:f>'[Approved Provider Survey Analysis Live_TVDB_1206.xlsx]5.3'!$N$39:$P$39</c:f>
              <c:numCache>
                <c:formatCode>General</c:formatCode>
                <c:ptCount val="3"/>
                <c:pt idx="0">
                  <c:v>94</c:v>
                </c:pt>
                <c:pt idx="1">
                  <c:v>26</c:v>
                </c:pt>
                <c:pt idx="2">
                  <c:v>12</c:v>
                </c:pt>
              </c:numCache>
            </c:numRef>
          </c:val>
          <c:extLst>
            <c:ext xmlns:c16="http://schemas.microsoft.com/office/drawing/2014/chart" uri="{C3380CC4-5D6E-409C-BE32-E72D297353CC}">
              <c16:uniqueId val="{00000000-8163-4382-B99D-9BBCDA3617BF}"/>
            </c:ext>
          </c:extLst>
        </c:ser>
        <c:ser>
          <c:idx val="1"/>
          <c:order val="1"/>
          <c:tx>
            <c:strRef>
              <c:f>'[Approved Provider Survey Analysis Live_TVDB_1206.xlsx]5.3'!$M$40</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Live_TVDB_1206.xlsx]5.3'!$N$38:$P$38</c:f>
              <c:strCache>
                <c:ptCount val="3"/>
                <c:pt idx="0">
                  <c:v>Option 1</c:v>
                </c:pt>
                <c:pt idx="1">
                  <c:v>Option 2</c:v>
                </c:pt>
                <c:pt idx="2">
                  <c:v>Option 3</c:v>
                </c:pt>
              </c:strCache>
            </c:strRef>
          </c:cat>
          <c:val>
            <c:numRef>
              <c:f>'[Approved Provider Survey Analysis Live_TVDB_1206.xlsx]5.3'!$N$40:$P$40</c:f>
              <c:numCache>
                <c:formatCode>General</c:formatCode>
                <c:ptCount val="3"/>
                <c:pt idx="0">
                  <c:v>3</c:v>
                </c:pt>
                <c:pt idx="1">
                  <c:v>51</c:v>
                </c:pt>
                <c:pt idx="2">
                  <c:v>33</c:v>
                </c:pt>
              </c:numCache>
            </c:numRef>
          </c:val>
          <c:extLst>
            <c:ext xmlns:c16="http://schemas.microsoft.com/office/drawing/2014/chart" uri="{C3380CC4-5D6E-409C-BE32-E72D297353CC}">
              <c16:uniqueId val="{00000001-8163-4382-B99D-9BBCDA3617BF}"/>
            </c:ext>
          </c:extLst>
        </c:ser>
        <c:ser>
          <c:idx val="2"/>
          <c:order val="2"/>
          <c:tx>
            <c:strRef>
              <c:f>'[Approved Provider Survey Analysis Live_TVDB_1206.xlsx]5.3'!$M$41</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Live_TVDB_1206.xlsx]5.3'!$N$38:$P$38</c:f>
              <c:strCache>
                <c:ptCount val="3"/>
                <c:pt idx="0">
                  <c:v>Option 1</c:v>
                </c:pt>
                <c:pt idx="1">
                  <c:v>Option 2</c:v>
                </c:pt>
                <c:pt idx="2">
                  <c:v>Option 3</c:v>
                </c:pt>
              </c:strCache>
            </c:strRef>
          </c:cat>
          <c:val>
            <c:numRef>
              <c:f>'[Approved Provider Survey Analysis Live_TVDB_1206.xlsx]5.3'!$N$41:$P$41</c:f>
              <c:numCache>
                <c:formatCode>General</c:formatCode>
                <c:ptCount val="3"/>
                <c:pt idx="0">
                  <c:v>3</c:v>
                </c:pt>
                <c:pt idx="1">
                  <c:v>21</c:v>
                </c:pt>
                <c:pt idx="2">
                  <c:v>52</c:v>
                </c:pt>
              </c:numCache>
            </c:numRef>
          </c:val>
          <c:extLst>
            <c:ext xmlns:c16="http://schemas.microsoft.com/office/drawing/2014/chart" uri="{C3380CC4-5D6E-409C-BE32-E72D297353CC}">
              <c16:uniqueId val="{00000002-8163-4382-B99D-9BBCDA3617BF}"/>
            </c:ext>
          </c:extLst>
        </c:ser>
        <c:dLbls>
          <c:dLblPos val="outEnd"/>
          <c:showLegendKey val="0"/>
          <c:showVal val="1"/>
          <c:showCatName val="0"/>
          <c:showSerName val="0"/>
          <c:showPercent val="0"/>
          <c:showBubbleSize val="0"/>
        </c:dLbls>
        <c:gapWidth val="219"/>
        <c:overlap val="-27"/>
        <c:axId val="1781600160"/>
        <c:axId val="1781619840"/>
      </c:barChart>
      <c:catAx>
        <c:axId val="178160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619840"/>
        <c:crosses val="autoZero"/>
        <c:auto val="1"/>
        <c:lblAlgn val="ctr"/>
        <c:lblOffset val="100"/>
        <c:noMultiLvlLbl val="0"/>
      </c:catAx>
      <c:valAx>
        <c:axId val="17816198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60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Live_TVDB.xlsx]5.3'!$M$30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Live_TVDB.xlsx]5.3'!$N$29:$P$29</c:f>
              <c:strCache>
                <c:ptCount val="3"/>
                <c:pt idx="0">
                  <c:v>Option 1</c:v>
                </c:pt>
                <c:pt idx="1">
                  <c:v>Option 2</c:v>
                </c:pt>
                <c:pt idx="2">
                  <c:v>Option 3</c:v>
                </c:pt>
              </c:strCache>
            </c:strRef>
          </c:cat>
          <c:val>
            <c:numRef>
              <c:f>'[Workforce Survey Analysis Live_TVDB.xlsx]5.3'!$N$30:$P$30</c:f>
              <c:numCache>
                <c:formatCode>General</c:formatCode>
                <c:ptCount val="3"/>
                <c:pt idx="0">
                  <c:v>156</c:v>
                </c:pt>
                <c:pt idx="1">
                  <c:v>70</c:v>
                </c:pt>
                <c:pt idx="2">
                  <c:v>62</c:v>
                </c:pt>
              </c:numCache>
            </c:numRef>
          </c:val>
          <c:extLst>
            <c:ext xmlns:c16="http://schemas.microsoft.com/office/drawing/2014/chart" uri="{C3380CC4-5D6E-409C-BE32-E72D297353CC}">
              <c16:uniqueId val="{00000000-9A61-4265-A90F-90DF998EE3C6}"/>
            </c:ext>
          </c:extLst>
        </c:ser>
        <c:ser>
          <c:idx val="1"/>
          <c:order val="1"/>
          <c:tx>
            <c:strRef>
              <c:f>'[Workforce Survey Analysis Live_TVDB.xlsx]5.3'!$M$31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Live_TVDB.xlsx]5.3'!$N$29:$P$29</c:f>
              <c:strCache>
                <c:ptCount val="3"/>
                <c:pt idx="0">
                  <c:v>Option 1</c:v>
                </c:pt>
                <c:pt idx="1">
                  <c:v>Option 2</c:v>
                </c:pt>
                <c:pt idx="2">
                  <c:v>Option 3</c:v>
                </c:pt>
              </c:strCache>
            </c:strRef>
          </c:cat>
          <c:val>
            <c:numRef>
              <c:f>'[Workforce Survey Analysis Live_TVDB.xlsx]5.3'!$N$31:$P$31</c:f>
              <c:numCache>
                <c:formatCode>General</c:formatCode>
                <c:ptCount val="3"/>
                <c:pt idx="0">
                  <c:v>11</c:v>
                </c:pt>
                <c:pt idx="1">
                  <c:v>88</c:v>
                </c:pt>
                <c:pt idx="2">
                  <c:v>44</c:v>
                </c:pt>
              </c:numCache>
            </c:numRef>
          </c:val>
          <c:extLst>
            <c:ext xmlns:c16="http://schemas.microsoft.com/office/drawing/2014/chart" uri="{C3380CC4-5D6E-409C-BE32-E72D297353CC}">
              <c16:uniqueId val="{00000001-9A61-4265-A90F-90DF998EE3C6}"/>
            </c:ext>
          </c:extLst>
        </c:ser>
        <c:ser>
          <c:idx val="2"/>
          <c:order val="2"/>
          <c:tx>
            <c:strRef>
              <c:f>'[Workforce Survey Analysis Live_TVDB.xlsx]5.3'!$M$32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Live_TVDB.xlsx]5.3'!$N$29:$P$29</c:f>
              <c:strCache>
                <c:ptCount val="3"/>
                <c:pt idx="0">
                  <c:v>Option 1</c:v>
                </c:pt>
                <c:pt idx="1">
                  <c:v>Option 2</c:v>
                </c:pt>
                <c:pt idx="2">
                  <c:v>Option 3</c:v>
                </c:pt>
              </c:strCache>
            </c:strRef>
          </c:cat>
          <c:val>
            <c:numRef>
              <c:f>'[Workforce Survey Analysis Live_TVDB.xlsx]5.3'!$N$32:$P$32</c:f>
              <c:numCache>
                <c:formatCode>General</c:formatCode>
                <c:ptCount val="3"/>
                <c:pt idx="0">
                  <c:v>12</c:v>
                </c:pt>
                <c:pt idx="1">
                  <c:v>14</c:v>
                </c:pt>
                <c:pt idx="2">
                  <c:v>62</c:v>
                </c:pt>
              </c:numCache>
            </c:numRef>
          </c:val>
          <c:extLst>
            <c:ext xmlns:c16="http://schemas.microsoft.com/office/drawing/2014/chart" uri="{C3380CC4-5D6E-409C-BE32-E72D297353CC}">
              <c16:uniqueId val="{00000002-9A61-4265-A90F-90DF998EE3C6}"/>
            </c:ext>
          </c:extLst>
        </c:ser>
        <c:dLbls>
          <c:dLblPos val="outEnd"/>
          <c:showLegendKey val="0"/>
          <c:showVal val="1"/>
          <c:showCatName val="0"/>
          <c:showSerName val="0"/>
          <c:showPercent val="0"/>
          <c:showBubbleSize val="0"/>
        </c:dLbls>
        <c:gapWidth val="219"/>
        <c:overlap val="-27"/>
        <c:axId val="547537455"/>
        <c:axId val="547535055"/>
      </c:barChart>
      <c:catAx>
        <c:axId val="547537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7535055"/>
        <c:crosses val="autoZero"/>
        <c:auto val="1"/>
        <c:lblAlgn val="ctr"/>
        <c:lblOffset val="100"/>
        <c:noMultiLvlLbl val="0"/>
      </c:catAx>
      <c:valAx>
        <c:axId val="54753505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7537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Live_TVDB_1206.xlsx]3.1'!$I$52</c:f>
              <c:strCache>
                <c:ptCount val="1"/>
                <c:pt idx="0">
                  <c:v>Never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Live_TVDB_1206.xlsx]3.1'!$K$52</c:f>
              <c:numCache>
                <c:formatCode>0%</c:formatCode>
                <c:ptCount val="1"/>
                <c:pt idx="0">
                  <c:v>0.31874999999999998</c:v>
                </c:pt>
              </c:numCache>
            </c:numRef>
          </c:val>
          <c:extLst>
            <c:ext xmlns:c16="http://schemas.microsoft.com/office/drawing/2014/chart" uri="{C3380CC4-5D6E-409C-BE32-E72D297353CC}">
              <c16:uniqueId val="{00000000-0F87-4080-9E9C-BA29A962E062}"/>
            </c:ext>
          </c:extLst>
        </c:ser>
        <c:ser>
          <c:idx val="1"/>
          <c:order val="1"/>
          <c:tx>
            <c:strRef>
              <c:f>'[Approved Provider Survey Analysis Live_TVDB_1206.xlsx]3.1'!$I$53</c:f>
              <c:strCache>
                <c:ptCount val="1"/>
                <c:pt idx="0">
                  <c:v>Once a week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Live_TVDB_1206.xlsx]3.1'!$K$53</c:f>
              <c:numCache>
                <c:formatCode>0%</c:formatCode>
                <c:ptCount val="1"/>
                <c:pt idx="0">
                  <c:v>6.25E-2</c:v>
                </c:pt>
              </c:numCache>
            </c:numRef>
          </c:val>
          <c:extLst>
            <c:ext xmlns:c16="http://schemas.microsoft.com/office/drawing/2014/chart" uri="{C3380CC4-5D6E-409C-BE32-E72D297353CC}">
              <c16:uniqueId val="{00000001-0F87-4080-9E9C-BA29A962E062}"/>
            </c:ext>
          </c:extLst>
        </c:ser>
        <c:ser>
          <c:idx val="2"/>
          <c:order val="2"/>
          <c:tx>
            <c:strRef>
              <c:f>'[Approved Provider Survey Analysis Live_TVDB_1206.xlsx]3.1'!$I$54</c:f>
              <c:strCache>
                <c:ptCount val="1"/>
                <c:pt idx="0">
                  <c:v>Once a month</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Live_TVDB_1206.xlsx]3.1'!$K$54</c:f>
              <c:numCache>
                <c:formatCode>0%</c:formatCode>
                <c:ptCount val="1"/>
                <c:pt idx="0">
                  <c:v>6.25E-2</c:v>
                </c:pt>
              </c:numCache>
            </c:numRef>
          </c:val>
          <c:extLst>
            <c:ext xmlns:c16="http://schemas.microsoft.com/office/drawing/2014/chart" uri="{C3380CC4-5D6E-409C-BE32-E72D297353CC}">
              <c16:uniqueId val="{00000002-0F87-4080-9E9C-BA29A962E062}"/>
            </c:ext>
          </c:extLst>
        </c:ser>
        <c:ser>
          <c:idx val="3"/>
          <c:order val="3"/>
          <c:tx>
            <c:strRef>
              <c:f>'[Approved Provider Survey Analysis Live_TVDB_1206.xlsx]3.1'!$I$55</c:f>
              <c:strCache>
                <c:ptCount val="1"/>
                <c:pt idx="0">
                  <c:v>Once every few months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Live_TVDB_1206.xlsx]3.1'!$K$55</c:f>
              <c:numCache>
                <c:formatCode>0%</c:formatCode>
                <c:ptCount val="1"/>
                <c:pt idx="0">
                  <c:v>0.26250000000000001</c:v>
                </c:pt>
              </c:numCache>
            </c:numRef>
          </c:val>
          <c:extLst>
            <c:ext xmlns:c16="http://schemas.microsoft.com/office/drawing/2014/chart" uri="{C3380CC4-5D6E-409C-BE32-E72D297353CC}">
              <c16:uniqueId val="{00000003-0F87-4080-9E9C-BA29A962E062}"/>
            </c:ext>
          </c:extLst>
        </c:ser>
        <c:ser>
          <c:idx val="4"/>
          <c:order val="4"/>
          <c:tx>
            <c:strRef>
              <c:f>'[Approved Provider Survey Analysis Live_TVDB_1206.xlsx]3.1'!$I$56</c:f>
              <c:strCache>
                <c:ptCount val="1"/>
                <c:pt idx="0">
                  <c:v>Once a year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Live_TVDB_1206.xlsx]3.1'!$K$56</c:f>
              <c:numCache>
                <c:formatCode>0%</c:formatCode>
                <c:ptCount val="1"/>
                <c:pt idx="0">
                  <c:v>0.29375000000000001</c:v>
                </c:pt>
              </c:numCache>
            </c:numRef>
          </c:val>
          <c:extLst>
            <c:ext xmlns:c16="http://schemas.microsoft.com/office/drawing/2014/chart" uri="{C3380CC4-5D6E-409C-BE32-E72D297353CC}">
              <c16:uniqueId val="{00000004-0F87-4080-9E9C-BA29A962E062}"/>
            </c:ext>
          </c:extLst>
        </c:ser>
        <c:dLbls>
          <c:dLblPos val="ctr"/>
          <c:showLegendKey val="0"/>
          <c:showVal val="1"/>
          <c:showCatName val="0"/>
          <c:showSerName val="0"/>
          <c:showPercent val="0"/>
          <c:showBubbleSize val="0"/>
        </c:dLbls>
        <c:gapWidth val="150"/>
        <c:overlap val="100"/>
        <c:axId val="1780797503"/>
        <c:axId val="1780809503"/>
      </c:barChart>
      <c:catAx>
        <c:axId val="1780797503"/>
        <c:scaling>
          <c:orientation val="minMax"/>
        </c:scaling>
        <c:delete val="1"/>
        <c:axPos val="l"/>
        <c:numFmt formatCode="General" sourceLinked="1"/>
        <c:majorTickMark val="none"/>
        <c:minorTickMark val="none"/>
        <c:tickLblPos val="nextTo"/>
        <c:crossAx val="1780809503"/>
        <c:crosses val="autoZero"/>
        <c:auto val="1"/>
        <c:lblAlgn val="ctr"/>
        <c:lblOffset val="100"/>
        <c:noMultiLvlLbl val="0"/>
      </c:catAx>
      <c:valAx>
        <c:axId val="178080950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8079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bg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Live_TVDB.xlsx]5.3'!$M$30</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Live_TVDB.xlsx]5.3'!$N$29:$P$29</c:f>
              <c:strCache>
                <c:ptCount val="3"/>
                <c:pt idx="0">
                  <c:v>Option 1</c:v>
                </c:pt>
                <c:pt idx="1">
                  <c:v>Option 2</c:v>
                </c:pt>
                <c:pt idx="2">
                  <c:v>Option 3</c:v>
                </c:pt>
              </c:strCache>
            </c:strRef>
          </c:cat>
          <c:val>
            <c:numRef>
              <c:f>'[Families Survey Analysis Live_TVDB.xlsx]5.3'!$N$30:$P$30</c:f>
              <c:numCache>
                <c:formatCode>General</c:formatCode>
                <c:ptCount val="3"/>
                <c:pt idx="0">
                  <c:v>67</c:v>
                </c:pt>
                <c:pt idx="1">
                  <c:v>27</c:v>
                </c:pt>
                <c:pt idx="2">
                  <c:v>11</c:v>
                </c:pt>
              </c:numCache>
            </c:numRef>
          </c:val>
          <c:extLst>
            <c:ext xmlns:c16="http://schemas.microsoft.com/office/drawing/2014/chart" uri="{C3380CC4-5D6E-409C-BE32-E72D297353CC}">
              <c16:uniqueId val="{00000000-47B8-4DC3-AA88-E69A0B4DE34E}"/>
            </c:ext>
          </c:extLst>
        </c:ser>
        <c:ser>
          <c:idx val="1"/>
          <c:order val="1"/>
          <c:tx>
            <c:strRef>
              <c:f>'[Families Survey Analysis Live_TVDB.xlsx]5.3'!$M$31</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Live_TVDB.xlsx]5.3'!$N$29:$P$29</c:f>
              <c:strCache>
                <c:ptCount val="3"/>
                <c:pt idx="0">
                  <c:v>Option 1</c:v>
                </c:pt>
                <c:pt idx="1">
                  <c:v>Option 2</c:v>
                </c:pt>
                <c:pt idx="2">
                  <c:v>Option 3</c:v>
                </c:pt>
              </c:strCache>
            </c:strRef>
          </c:cat>
          <c:val>
            <c:numRef>
              <c:f>'[Families Survey Analysis Live_TVDB.xlsx]5.3'!$N$31:$P$31</c:f>
              <c:numCache>
                <c:formatCode>General</c:formatCode>
                <c:ptCount val="3"/>
                <c:pt idx="0">
                  <c:v>2</c:v>
                </c:pt>
                <c:pt idx="1">
                  <c:v>39</c:v>
                </c:pt>
                <c:pt idx="2">
                  <c:v>22</c:v>
                </c:pt>
              </c:numCache>
            </c:numRef>
          </c:val>
          <c:extLst>
            <c:ext xmlns:c16="http://schemas.microsoft.com/office/drawing/2014/chart" uri="{C3380CC4-5D6E-409C-BE32-E72D297353CC}">
              <c16:uniqueId val="{00000001-47B8-4DC3-AA88-E69A0B4DE34E}"/>
            </c:ext>
          </c:extLst>
        </c:ser>
        <c:ser>
          <c:idx val="2"/>
          <c:order val="2"/>
          <c:tx>
            <c:strRef>
              <c:f>'[Families Survey Analysis Live_TVDB.xlsx]5.3'!$M$32</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Live_TVDB.xlsx]5.3'!$N$29:$P$29</c:f>
              <c:strCache>
                <c:ptCount val="3"/>
                <c:pt idx="0">
                  <c:v>Option 1</c:v>
                </c:pt>
                <c:pt idx="1">
                  <c:v>Option 2</c:v>
                </c:pt>
                <c:pt idx="2">
                  <c:v>Option 3</c:v>
                </c:pt>
              </c:strCache>
            </c:strRef>
          </c:cat>
          <c:val>
            <c:numRef>
              <c:f>'[Families Survey Analysis Live_TVDB.xlsx]5.3'!$N$32:$P$32</c:f>
              <c:numCache>
                <c:formatCode>General</c:formatCode>
                <c:ptCount val="3"/>
                <c:pt idx="0">
                  <c:v>3</c:v>
                </c:pt>
                <c:pt idx="1">
                  <c:v>7</c:v>
                </c:pt>
                <c:pt idx="2">
                  <c:v>41</c:v>
                </c:pt>
              </c:numCache>
            </c:numRef>
          </c:val>
          <c:extLst>
            <c:ext xmlns:c16="http://schemas.microsoft.com/office/drawing/2014/chart" uri="{C3380CC4-5D6E-409C-BE32-E72D297353CC}">
              <c16:uniqueId val="{00000002-47B8-4DC3-AA88-E69A0B4DE34E}"/>
            </c:ext>
          </c:extLst>
        </c:ser>
        <c:dLbls>
          <c:dLblPos val="outEnd"/>
          <c:showLegendKey val="0"/>
          <c:showVal val="1"/>
          <c:showCatName val="0"/>
          <c:showSerName val="0"/>
          <c:showPercent val="0"/>
          <c:showBubbleSize val="0"/>
        </c:dLbls>
        <c:gapWidth val="219"/>
        <c:overlap val="-27"/>
        <c:axId val="1273568655"/>
        <c:axId val="1273569615"/>
      </c:barChart>
      <c:catAx>
        <c:axId val="1273568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3569615"/>
        <c:crosses val="autoZero"/>
        <c:auto val="1"/>
        <c:lblAlgn val="ctr"/>
        <c:lblOffset val="100"/>
        <c:noMultiLvlLbl val="0"/>
      </c:catAx>
      <c:valAx>
        <c:axId val="127356961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3568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'[Approved Provider Survey Analysis Live_TVDB_1206.xlsx]5.3'!$M$19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Live_TVDB_1206.xlsx]5.3'!$N$19</c:f>
              <c:numCache>
                <c:formatCode>0%</c:formatCode>
                <c:ptCount val="1"/>
                <c:pt idx="0">
                  <c:v>9.7087378640776698E-2</c:v>
                </c:pt>
              </c:numCache>
            </c:numRef>
          </c:val>
          <c:extLst>
            <c:ext xmlns:c16="http://schemas.microsoft.com/office/drawing/2014/chart" uri="{C3380CC4-5D6E-409C-BE32-E72D297353CC}">
              <c16:uniqueId val="{00000000-B818-46EC-AFB2-AA45AA0671C2}"/>
            </c:ext>
          </c:extLst>
        </c:ser>
        <c:ser>
          <c:idx val="1"/>
          <c:order val="1"/>
          <c:tx>
            <c:strRef>
              <c:f>'[Approved Provider Survey Analysis Live_TVDB_1206.xlsx]5.3'!$M$20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Live_TVDB_1206.xlsx]5.3'!$N$20</c:f>
              <c:numCache>
                <c:formatCode>0%</c:formatCode>
                <c:ptCount val="1"/>
                <c:pt idx="0">
                  <c:v>0.25242718446601942</c:v>
                </c:pt>
              </c:numCache>
            </c:numRef>
          </c:val>
          <c:extLst>
            <c:ext xmlns:c16="http://schemas.microsoft.com/office/drawing/2014/chart" uri="{C3380CC4-5D6E-409C-BE32-E72D297353CC}">
              <c16:uniqueId val="{00000001-B818-46EC-AFB2-AA45AA0671C2}"/>
            </c:ext>
          </c:extLst>
        </c:ser>
        <c:ser>
          <c:idx val="2"/>
          <c:order val="2"/>
          <c:tx>
            <c:strRef>
              <c:f>'[Approved Provider Survey Analysis Live_TVDB_1206.xlsx]5.3'!$M$21</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Live_TVDB_1206.xlsx]5.3'!$N$21</c:f>
              <c:numCache>
                <c:formatCode>0%</c:formatCode>
                <c:ptCount val="1"/>
                <c:pt idx="0">
                  <c:v>0.37864077669902912</c:v>
                </c:pt>
              </c:numCache>
            </c:numRef>
          </c:val>
          <c:extLst>
            <c:ext xmlns:c16="http://schemas.microsoft.com/office/drawing/2014/chart" uri="{C3380CC4-5D6E-409C-BE32-E72D297353CC}">
              <c16:uniqueId val="{00000002-B818-46EC-AFB2-AA45AA0671C2}"/>
            </c:ext>
          </c:extLst>
        </c:ser>
        <c:ser>
          <c:idx val="3"/>
          <c:order val="3"/>
          <c:tx>
            <c:strRef>
              <c:f>'[Approved Provider Survey Analysis Live_TVDB_1206.xlsx]5.3'!$M$22</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'[Approved Provider Survey Analysis Live_TVDB_1206.xlsx]5.3'!$N$22</c:f>
              <c:numCache>
                <c:formatCode>0%</c:formatCode>
                <c:ptCount val="1"/>
                <c:pt idx="0">
                  <c:v>0.27184466019417475</c:v>
                </c:pt>
              </c:numCache>
            </c:numRef>
          </c:val>
          <c:extLst>
            <c:ext xmlns:c16="http://schemas.microsoft.com/office/drawing/2014/chart" uri="{C3380CC4-5D6E-409C-BE32-E72D297353CC}">
              <c16:uniqueId val="{00000003-B818-46EC-AFB2-AA45AA0671C2}"/>
            </c:ext>
          </c:extLst>
        </c:ser>
        <c:dLbls>
          <c:dLblPos val="ctr"/>
          <c:showLegendKey val="0"/>
          <c:showVal val="1"/>
          <c:showCatName val="0"/>
          <c:showSerName val="0"/>
          <c:showPercent val="0"/>
          <c:showBubbleSize val="0"/>
        </c:dLbls>
        <c:gapWidth val="150"/>
        <c:overlap val="100"/>
        <c:axId val="1781613120"/>
        <c:axId val="1781596800"/>
      </c:barChart>
      <c:catAx>
        <c:axId val="1781613120"/>
        <c:scaling>
          <c:orientation val="minMax"/>
        </c:scaling>
        <c:delete val="1"/>
        <c:axPos val="l"/>
        <c:numFmt formatCode="General" sourceLinked="1"/>
        <c:majorTickMark val="none"/>
        <c:minorTickMark val="none"/>
        <c:tickLblPos val="nextTo"/>
        <c:crossAx val="1781596800"/>
        <c:crosses val="autoZero"/>
        <c:auto val="1"/>
        <c:lblAlgn val="ctr"/>
        <c:lblOffset val="100"/>
        <c:noMultiLvlLbl val="0"/>
      </c:catAx>
      <c:valAx>
        <c:axId val="178159680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61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Live_TVDB.xlsx]5.3'!$M$18</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Live_TVDB.xlsx]5.3'!$N$18</c:f>
              <c:numCache>
                <c:formatCode>0%</c:formatCode>
                <c:ptCount val="1"/>
                <c:pt idx="0">
                  <c:v>0.39766081871345027</c:v>
                </c:pt>
              </c:numCache>
            </c:numRef>
          </c:val>
          <c:extLst>
            <c:ext xmlns:c16="http://schemas.microsoft.com/office/drawing/2014/chart" uri="{C3380CC4-5D6E-409C-BE32-E72D297353CC}">
              <c16:uniqueId val="{00000000-8726-4409-8E51-89CBE2725F4B}"/>
            </c:ext>
          </c:extLst>
        </c:ser>
        <c:ser>
          <c:idx val="1"/>
          <c:order val="1"/>
          <c:tx>
            <c:strRef>
              <c:f>'[Workforce Survey Analysis Live_TVDB.xlsx]5.3'!$M$19</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Live_TVDB.xlsx]5.3'!$N$19</c:f>
              <c:numCache>
                <c:formatCode>0%</c:formatCode>
                <c:ptCount val="1"/>
                <c:pt idx="0">
                  <c:v>0.21637426900584794</c:v>
                </c:pt>
              </c:numCache>
            </c:numRef>
          </c:val>
          <c:extLst>
            <c:ext xmlns:c16="http://schemas.microsoft.com/office/drawing/2014/chart" uri="{C3380CC4-5D6E-409C-BE32-E72D297353CC}">
              <c16:uniqueId val="{00000001-8726-4409-8E51-89CBE2725F4B}"/>
            </c:ext>
          </c:extLst>
        </c:ser>
        <c:ser>
          <c:idx val="2"/>
          <c:order val="2"/>
          <c:tx>
            <c:strRef>
              <c:f>'[Workforce Survey Analysis Live_TVDB.xlsx]5.3'!$M$20</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Live_TVDB.xlsx]5.3'!$N$20</c:f>
              <c:numCache>
                <c:formatCode>0%</c:formatCode>
                <c:ptCount val="1"/>
                <c:pt idx="0">
                  <c:v>0.24561403508771928</c:v>
                </c:pt>
              </c:numCache>
            </c:numRef>
          </c:val>
          <c:extLst>
            <c:ext xmlns:c16="http://schemas.microsoft.com/office/drawing/2014/chart" uri="{C3380CC4-5D6E-409C-BE32-E72D297353CC}">
              <c16:uniqueId val="{00000002-8726-4409-8E51-89CBE2725F4B}"/>
            </c:ext>
          </c:extLst>
        </c:ser>
        <c:ser>
          <c:idx val="3"/>
          <c:order val="3"/>
          <c:tx>
            <c:strRef>
              <c:f>'[Workforce Survey Analysis Live_TVDB.xlsx]5.3'!$M$21</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Live_TVDB.xlsx]5.3'!$N$21</c:f>
              <c:numCache>
                <c:formatCode>0%</c:formatCode>
                <c:ptCount val="1"/>
                <c:pt idx="0">
                  <c:v>0.14035087719298245</c:v>
                </c:pt>
              </c:numCache>
            </c:numRef>
          </c:val>
          <c:extLst>
            <c:ext xmlns:c16="http://schemas.microsoft.com/office/drawing/2014/chart" uri="{C3380CC4-5D6E-409C-BE32-E72D297353CC}">
              <c16:uniqueId val="{00000003-8726-4409-8E51-89CBE2725F4B}"/>
            </c:ext>
          </c:extLst>
        </c:ser>
        <c:dLbls>
          <c:dLblPos val="ctr"/>
          <c:showLegendKey val="0"/>
          <c:showVal val="1"/>
          <c:showCatName val="0"/>
          <c:showSerName val="0"/>
          <c:showPercent val="0"/>
          <c:showBubbleSize val="0"/>
        </c:dLbls>
        <c:gapWidth val="150"/>
        <c:overlap val="100"/>
        <c:axId val="548316095"/>
        <c:axId val="548316575"/>
      </c:barChart>
      <c:catAx>
        <c:axId val="548316095"/>
        <c:scaling>
          <c:orientation val="minMax"/>
        </c:scaling>
        <c:delete val="1"/>
        <c:axPos val="l"/>
        <c:numFmt formatCode="General" sourceLinked="1"/>
        <c:majorTickMark val="none"/>
        <c:minorTickMark val="none"/>
        <c:tickLblPos val="nextTo"/>
        <c:crossAx val="548316575"/>
        <c:crosses val="autoZero"/>
        <c:auto val="1"/>
        <c:lblAlgn val="ctr"/>
        <c:lblOffset val="100"/>
        <c:noMultiLvlLbl val="0"/>
      </c:catAx>
      <c:valAx>
        <c:axId val="54831657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8316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Live_TVDB.xlsx]5.3'!$M$19</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Live_TVDB.xlsx]5.3'!$N$19</c:f>
              <c:numCache>
                <c:formatCode>0%</c:formatCode>
                <c:ptCount val="1"/>
                <c:pt idx="0">
                  <c:v>9.8591549295774641E-2</c:v>
                </c:pt>
              </c:numCache>
            </c:numRef>
          </c:val>
          <c:extLst>
            <c:ext xmlns:c16="http://schemas.microsoft.com/office/drawing/2014/chart" uri="{C3380CC4-5D6E-409C-BE32-E72D297353CC}">
              <c16:uniqueId val="{00000000-30C6-4887-8DEE-B22E5B5C53CF}"/>
            </c:ext>
          </c:extLst>
        </c:ser>
        <c:ser>
          <c:idx val="1"/>
          <c:order val="1"/>
          <c:tx>
            <c:strRef>
              <c:f>'[Families Survey Analysis Live_TVDB.xlsx]5.3'!$M$20</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Live_TVDB.xlsx]5.3'!$N$20</c:f>
              <c:numCache>
                <c:formatCode>0%</c:formatCode>
                <c:ptCount val="1"/>
                <c:pt idx="0">
                  <c:v>9.8591549295774641E-2</c:v>
                </c:pt>
              </c:numCache>
            </c:numRef>
          </c:val>
          <c:extLst>
            <c:ext xmlns:c16="http://schemas.microsoft.com/office/drawing/2014/chart" uri="{C3380CC4-5D6E-409C-BE32-E72D297353CC}">
              <c16:uniqueId val="{00000001-30C6-4887-8DEE-B22E5B5C53CF}"/>
            </c:ext>
          </c:extLst>
        </c:ser>
        <c:ser>
          <c:idx val="2"/>
          <c:order val="2"/>
          <c:tx>
            <c:strRef>
              <c:f>'[Families Survey Analysis Live_TVDB.xlsx]5.3'!$M$21</c:f>
              <c:strCache>
                <c:ptCount val="1"/>
                <c:pt idx="0">
                  <c:v>Option 3</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Live_TVDB.xlsx]5.3'!$N$21</c:f>
              <c:numCache>
                <c:formatCode>0%</c:formatCode>
                <c:ptCount val="1"/>
                <c:pt idx="0">
                  <c:v>0.60563380281690138</c:v>
                </c:pt>
              </c:numCache>
            </c:numRef>
          </c:val>
          <c:extLst>
            <c:ext xmlns:c16="http://schemas.microsoft.com/office/drawing/2014/chart" uri="{C3380CC4-5D6E-409C-BE32-E72D297353CC}">
              <c16:uniqueId val="{00000002-30C6-4887-8DEE-B22E5B5C53CF}"/>
            </c:ext>
          </c:extLst>
        </c:ser>
        <c:ser>
          <c:idx val="3"/>
          <c:order val="3"/>
          <c:tx>
            <c:strRef>
              <c:f>'[Families Survey Analysis Live_TVDB.xlsx]5.3'!$M$22</c:f>
              <c:strCache>
                <c:ptCount val="1"/>
                <c:pt idx="0">
                  <c:v>Options 2 and 3</c:v>
                </c:pt>
              </c:strCache>
            </c:strRef>
          </c:tx>
          <c:spPr>
            <a:pattFill prst="wdDnDiag">
              <a:fgClr>
                <a:schemeClr val="accent4"/>
              </a:fgClr>
              <a:bgClr>
                <a:schemeClr val="bg1"/>
              </a:bgClr>
            </a:pattFill>
            <a:ln>
              <a:noFill/>
            </a:ln>
            <a:effectLst/>
          </c:spPr>
          <c:invertIfNegative val="0"/>
          <c:dLbls>
            <c:spPr>
              <a:solidFill>
                <a:schemeClr val="accent4"/>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Live_TVDB.xlsx]5.3'!$N$22</c:f>
              <c:numCache>
                <c:formatCode>0%</c:formatCode>
                <c:ptCount val="1"/>
                <c:pt idx="0">
                  <c:v>0.19718309859154928</c:v>
                </c:pt>
              </c:numCache>
            </c:numRef>
          </c:val>
          <c:extLst>
            <c:ext xmlns:c16="http://schemas.microsoft.com/office/drawing/2014/chart" uri="{C3380CC4-5D6E-409C-BE32-E72D297353CC}">
              <c16:uniqueId val="{00000003-30C6-4887-8DEE-B22E5B5C53CF}"/>
            </c:ext>
          </c:extLst>
        </c:ser>
        <c:dLbls>
          <c:dLblPos val="ctr"/>
          <c:showLegendKey val="0"/>
          <c:showVal val="1"/>
          <c:showCatName val="0"/>
          <c:showSerName val="0"/>
          <c:showPercent val="0"/>
          <c:showBubbleSize val="0"/>
        </c:dLbls>
        <c:gapWidth val="150"/>
        <c:overlap val="100"/>
        <c:axId val="2039290367"/>
        <c:axId val="2039305247"/>
      </c:barChart>
      <c:catAx>
        <c:axId val="2039290367"/>
        <c:scaling>
          <c:orientation val="minMax"/>
        </c:scaling>
        <c:delete val="1"/>
        <c:axPos val="l"/>
        <c:numFmt formatCode="General" sourceLinked="1"/>
        <c:majorTickMark val="none"/>
        <c:minorTickMark val="none"/>
        <c:tickLblPos val="nextTo"/>
        <c:crossAx val="2039305247"/>
        <c:crosses val="autoZero"/>
        <c:auto val="1"/>
        <c:lblAlgn val="ctr"/>
        <c:lblOffset val="100"/>
        <c:noMultiLvlLbl val="0"/>
      </c:catAx>
      <c:valAx>
        <c:axId val="203930524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929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'[Approved Provider Survey Analysis Live_TVDB_1206.xlsx]6.1'!$N$41</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Live_TVDB_1206.xlsx]6.1'!$O$40:$R$40</c:f>
              <c:strCache>
                <c:ptCount val="4"/>
                <c:pt idx="0">
                  <c:v>Option 1</c:v>
                </c:pt>
                <c:pt idx="1">
                  <c:v>Option 2</c:v>
                </c:pt>
                <c:pt idx="2">
                  <c:v>Option 3A</c:v>
                </c:pt>
                <c:pt idx="3">
                  <c:v>Option 3B</c:v>
                </c:pt>
              </c:strCache>
            </c:strRef>
          </c:cat>
          <c:val>
            <c:numRef>
              <c:f>'[Approved Provider Survey Analysis Live_TVDB_1206.xlsx]6.1'!$O$41:$R$41</c:f>
              <c:numCache>
                <c:formatCode>General</c:formatCode>
                <c:ptCount val="4"/>
                <c:pt idx="0">
                  <c:v>94</c:v>
                </c:pt>
                <c:pt idx="1">
                  <c:v>24</c:v>
                </c:pt>
                <c:pt idx="2">
                  <c:v>8</c:v>
                </c:pt>
                <c:pt idx="3">
                  <c:v>7</c:v>
                </c:pt>
              </c:numCache>
            </c:numRef>
          </c:val>
          <c:extLst>
            <c:ext xmlns:c16="http://schemas.microsoft.com/office/drawing/2014/chart" uri="{C3380CC4-5D6E-409C-BE32-E72D297353CC}">
              <c16:uniqueId val="{00000000-03B3-4A75-B1CA-B1A5A46E6CA6}"/>
            </c:ext>
          </c:extLst>
        </c:ser>
        <c:ser>
          <c:idx val="1"/>
          <c:order val="1"/>
          <c:tx>
            <c:strRef>
              <c:f>'[Approved Provider Survey Analysis Live_TVDB_1206.xlsx]6.1'!$N$42</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Live_TVDB_1206.xlsx]6.1'!$O$40:$R$40</c:f>
              <c:strCache>
                <c:ptCount val="4"/>
                <c:pt idx="0">
                  <c:v>Option 1</c:v>
                </c:pt>
                <c:pt idx="1">
                  <c:v>Option 2</c:v>
                </c:pt>
                <c:pt idx="2">
                  <c:v>Option 3A</c:v>
                </c:pt>
                <c:pt idx="3">
                  <c:v>Option 3B</c:v>
                </c:pt>
              </c:strCache>
            </c:strRef>
          </c:cat>
          <c:val>
            <c:numRef>
              <c:f>'[Approved Provider Survey Analysis Live_TVDB_1206.xlsx]6.1'!$O$42:$R$42</c:f>
              <c:numCache>
                <c:formatCode>General</c:formatCode>
                <c:ptCount val="4"/>
                <c:pt idx="0">
                  <c:v>1</c:v>
                </c:pt>
                <c:pt idx="1">
                  <c:v>58</c:v>
                </c:pt>
                <c:pt idx="2">
                  <c:v>42</c:v>
                </c:pt>
                <c:pt idx="3">
                  <c:v>38</c:v>
                </c:pt>
              </c:numCache>
            </c:numRef>
          </c:val>
          <c:extLst>
            <c:ext xmlns:c16="http://schemas.microsoft.com/office/drawing/2014/chart" uri="{C3380CC4-5D6E-409C-BE32-E72D297353CC}">
              <c16:uniqueId val="{00000001-03B3-4A75-B1CA-B1A5A46E6CA6}"/>
            </c:ext>
          </c:extLst>
        </c:ser>
        <c:ser>
          <c:idx val="2"/>
          <c:order val="2"/>
          <c:tx>
            <c:strRef>
              <c:f>'[Approved Provider Survey Analysis Live_TVDB_1206.xlsx]6.1'!$N$43</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'[Approved Provider Survey Analysis Live_TVDB_1206.xlsx]6.1'!$O$40:$R$40</c:f>
              <c:strCache>
                <c:ptCount val="4"/>
                <c:pt idx="0">
                  <c:v>Option 1</c:v>
                </c:pt>
                <c:pt idx="1">
                  <c:v>Option 2</c:v>
                </c:pt>
                <c:pt idx="2">
                  <c:v>Option 3A</c:v>
                </c:pt>
                <c:pt idx="3">
                  <c:v>Option 3B</c:v>
                </c:pt>
              </c:strCache>
            </c:strRef>
          </c:cat>
          <c:val>
            <c:numRef>
              <c:f>'[Approved Provider Survey Analysis Live_TVDB_1206.xlsx]6.1'!$O$43:$R$43</c:f>
              <c:numCache>
                <c:formatCode>General</c:formatCode>
                <c:ptCount val="4"/>
                <c:pt idx="0">
                  <c:v>2</c:v>
                </c:pt>
                <c:pt idx="1">
                  <c:v>14</c:v>
                </c:pt>
                <c:pt idx="2">
                  <c:v>46</c:v>
                </c:pt>
                <c:pt idx="3">
                  <c:v>50</c:v>
                </c:pt>
              </c:numCache>
            </c:numRef>
          </c:val>
          <c:extLst>
            <c:ext xmlns:c16="http://schemas.microsoft.com/office/drawing/2014/chart" uri="{C3380CC4-5D6E-409C-BE32-E72D297353CC}">
              <c16:uniqueId val="{00000002-03B3-4A75-B1CA-B1A5A46E6CA6}"/>
            </c:ext>
          </c:extLst>
        </c:ser>
        <c:dLbls>
          <c:dLblPos val="outEnd"/>
          <c:showLegendKey val="0"/>
          <c:showVal val="1"/>
          <c:showCatName val="0"/>
          <c:showSerName val="0"/>
          <c:showPercent val="0"/>
          <c:showBubbleSize val="0"/>
        </c:dLbls>
        <c:gapWidth val="219"/>
        <c:overlap val="-27"/>
        <c:axId val="1781586720"/>
        <c:axId val="1781592960"/>
      </c:barChart>
      <c:catAx>
        <c:axId val="178158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92960"/>
        <c:crosses val="autoZero"/>
        <c:auto val="1"/>
        <c:lblAlgn val="ctr"/>
        <c:lblOffset val="100"/>
        <c:noMultiLvlLbl val="0"/>
      </c:catAx>
      <c:valAx>
        <c:axId val="1781592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8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'[Workforce Survey Analysis Live_TVDB.xlsx]6.1'!$N$35</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Live_TVDB.xlsx]6.1'!$O$34:$R$34</c:f>
              <c:strCache>
                <c:ptCount val="4"/>
                <c:pt idx="0">
                  <c:v>Option 1</c:v>
                </c:pt>
                <c:pt idx="1">
                  <c:v>Option 2</c:v>
                </c:pt>
                <c:pt idx="2">
                  <c:v>Option 3A</c:v>
                </c:pt>
                <c:pt idx="3">
                  <c:v>Option 3B</c:v>
                </c:pt>
              </c:strCache>
            </c:strRef>
          </c:cat>
          <c:val>
            <c:numRef>
              <c:f>'[Workforce Survey Analysis Live_TVDB.xlsx]6.1'!$O$35:$R$35</c:f>
              <c:numCache>
                <c:formatCode>General</c:formatCode>
                <c:ptCount val="4"/>
                <c:pt idx="0">
                  <c:v>77</c:v>
                </c:pt>
                <c:pt idx="1">
                  <c:v>24</c:v>
                </c:pt>
                <c:pt idx="2">
                  <c:v>12</c:v>
                </c:pt>
                <c:pt idx="3">
                  <c:v>12</c:v>
                </c:pt>
              </c:numCache>
            </c:numRef>
          </c:val>
          <c:extLst>
            <c:ext xmlns:c16="http://schemas.microsoft.com/office/drawing/2014/chart" uri="{C3380CC4-5D6E-409C-BE32-E72D297353CC}">
              <c16:uniqueId val="{00000000-68EB-40C8-9C71-FD45D2FFFDE1}"/>
            </c:ext>
          </c:extLst>
        </c:ser>
        <c:ser>
          <c:idx val="1"/>
          <c:order val="1"/>
          <c:tx>
            <c:strRef>
              <c:f>'[Workforce Survey Analysis Live_TVDB.xlsx]6.1'!$N$36</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Live_TVDB.xlsx]6.1'!$O$34:$R$34</c:f>
              <c:strCache>
                <c:ptCount val="4"/>
                <c:pt idx="0">
                  <c:v>Option 1</c:v>
                </c:pt>
                <c:pt idx="1">
                  <c:v>Option 2</c:v>
                </c:pt>
                <c:pt idx="2">
                  <c:v>Option 3A</c:v>
                </c:pt>
                <c:pt idx="3">
                  <c:v>Option 3B</c:v>
                </c:pt>
              </c:strCache>
            </c:strRef>
          </c:cat>
          <c:val>
            <c:numRef>
              <c:f>'[Workforce Survey Analysis Live_TVDB.xlsx]6.1'!$O$36:$R$36</c:f>
              <c:numCache>
                <c:formatCode>General</c:formatCode>
                <c:ptCount val="4"/>
                <c:pt idx="0">
                  <c:v>6</c:v>
                </c:pt>
                <c:pt idx="1">
                  <c:v>48</c:v>
                </c:pt>
                <c:pt idx="2">
                  <c:v>33</c:v>
                </c:pt>
                <c:pt idx="3">
                  <c:v>28</c:v>
                </c:pt>
              </c:numCache>
            </c:numRef>
          </c:val>
          <c:extLst>
            <c:ext xmlns:c16="http://schemas.microsoft.com/office/drawing/2014/chart" uri="{C3380CC4-5D6E-409C-BE32-E72D297353CC}">
              <c16:uniqueId val="{00000001-68EB-40C8-9C71-FD45D2FFFDE1}"/>
            </c:ext>
          </c:extLst>
        </c:ser>
        <c:ser>
          <c:idx val="2"/>
          <c:order val="2"/>
          <c:tx>
            <c:strRef>
              <c:f>'[Workforce Survey Analysis Live_TVDB.xlsx]6.1'!$N$37</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'[Workforce Survey Analysis Live_TVDB.xlsx]6.1'!$O$34:$R$34</c:f>
              <c:strCache>
                <c:ptCount val="4"/>
                <c:pt idx="0">
                  <c:v>Option 1</c:v>
                </c:pt>
                <c:pt idx="1">
                  <c:v>Option 2</c:v>
                </c:pt>
                <c:pt idx="2">
                  <c:v>Option 3A</c:v>
                </c:pt>
                <c:pt idx="3">
                  <c:v>Option 3B</c:v>
                </c:pt>
              </c:strCache>
            </c:strRef>
          </c:cat>
          <c:val>
            <c:numRef>
              <c:f>'[Workforce Survey Analysis Live_TVDB.xlsx]6.1'!$O$37:$R$37</c:f>
              <c:numCache>
                <c:formatCode>General</c:formatCode>
                <c:ptCount val="4"/>
                <c:pt idx="0">
                  <c:v>2</c:v>
                </c:pt>
                <c:pt idx="1">
                  <c:v>12</c:v>
                </c:pt>
                <c:pt idx="2">
                  <c:v>38</c:v>
                </c:pt>
                <c:pt idx="3">
                  <c:v>43</c:v>
                </c:pt>
              </c:numCache>
            </c:numRef>
          </c:val>
          <c:extLst>
            <c:ext xmlns:c16="http://schemas.microsoft.com/office/drawing/2014/chart" uri="{C3380CC4-5D6E-409C-BE32-E72D297353CC}">
              <c16:uniqueId val="{00000002-68EB-40C8-9C71-FD45D2FFFDE1}"/>
            </c:ext>
          </c:extLst>
        </c:ser>
        <c:dLbls>
          <c:dLblPos val="outEnd"/>
          <c:showLegendKey val="0"/>
          <c:showVal val="1"/>
          <c:showCatName val="0"/>
          <c:showSerName val="0"/>
          <c:showPercent val="0"/>
          <c:showBubbleSize val="0"/>
        </c:dLbls>
        <c:gapWidth val="219"/>
        <c:overlap val="-27"/>
        <c:axId val="1542128831"/>
        <c:axId val="703970863"/>
      </c:barChart>
      <c:catAx>
        <c:axId val="1542128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03970863"/>
        <c:crosses val="autoZero"/>
        <c:auto val="1"/>
        <c:lblAlgn val="ctr"/>
        <c:lblOffset val="100"/>
        <c:noMultiLvlLbl val="0"/>
      </c:catAx>
      <c:valAx>
        <c:axId val="7039708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2128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'[Families Survey Analysis Live_TVDB.xlsx]6.1'!$N$36</c:f>
              <c:strCache>
                <c:ptCount val="1"/>
                <c:pt idx="0">
                  <c:v>No Change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Live_TVDB.xlsx]6.1'!$O$35:$R$35</c:f>
              <c:strCache>
                <c:ptCount val="4"/>
                <c:pt idx="0">
                  <c:v>Option 1</c:v>
                </c:pt>
                <c:pt idx="1">
                  <c:v>Option 2</c:v>
                </c:pt>
                <c:pt idx="2">
                  <c:v>Option 3A</c:v>
                </c:pt>
                <c:pt idx="3">
                  <c:v>Option 3B</c:v>
                </c:pt>
              </c:strCache>
            </c:strRef>
          </c:cat>
          <c:val>
            <c:numRef>
              <c:f>'[Families Survey Analysis Live_TVDB.xlsx]6.1'!$O$36:$R$36</c:f>
              <c:numCache>
                <c:formatCode>General</c:formatCode>
                <c:ptCount val="4"/>
                <c:pt idx="0">
                  <c:v>51</c:v>
                </c:pt>
                <c:pt idx="1">
                  <c:v>16</c:v>
                </c:pt>
                <c:pt idx="2">
                  <c:v>7</c:v>
                </c:pt>
                <c:pt idx="3">
                  <c:v>6</c:v>
                </c:pt>
              </c:numCache>
            </c:numRef>
          </c:val>
          <c:extLst>
            <c:ext xmlns:c16="http://schemas.microsoft.com/office/drawing/2014/chart" uri="{C3380CC4-5D6E-409C-BE32-E72D297353CC}">
              <c16:uniqueId val="{00000000-015A-4EA4-94A8-7BA88428CFA4}"/>
            </c:ext>
          </c:extLst>
        </c:ser>
        <c:ser>
          <c:idx val="1"/>
          <c:order val="1"/>
          <c:tx>
            <c:strRef>
              <c:f>'[Families Survey Analysis Live_TVDB.xlsx]6.1'!$N$37</c:f>
              <c:strCache>
                <c:ptCount val="1"/>
                <c:pt idx="0">
                  <c:v>Somewhat reduce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Live_TVDB.xlsx]6.1'!$O$35:$R$35</c:f>
              <c:strCache>
                <c:ptCount val="4"/>
                <c:pt idx="0">
                  <c:v>Option 1</c:v>
                </c:pt>
                <c:pt idx="1">
                  <c:v>Option 2</c:v>
                </c:pt>
                <c:pt idx="2">
                  <c:v>Option 3A</c:v>
                </c:pt>
                <c:pt idx="3">
                  <c:v>Option 3B</c:v>
                </c:pt>
              </c:strCache>
            </c:strRef>
          </c:cat>
          <c:val>
            <c:numRef>
              <c:f>'[Families Survey Analysis Live_TVDB.xlsx]6.1'!$O$37:$R$37</c:f>
              <c:numCache>
                <c:formatCode>General</c:formatCode>
                <c:ptCount val="4"/>
                <c:pt idx="0">
                  <c:v>3</c:v>
                </c:pt>
                <c:pt idx="1">
                  <c:v>31</c:v>
                </c:pt>
                <c:pt idx="2">
                  <c:v>19</c:v>
                </c:pt>
                <c:pt idx="3">
                  <c:v>19</c:v>
                </c:pt>
              </c:numCache>
            </c:numRef>
          </c:val>
          <c:extLst>
            <c:ext xmlns:c16="http://schemas.microsoft.com/office/drawing/2014/chart" uri="{C3380CC4-5D6E-409C-BE32-E72D297353CC}">
              <c16:uniqueId val="{00000001-015A-4EA4-94A8-7BA88428CFA4}"/>
            </c:ext>
          </c:extLst>
        </c:ser>
        <c:ser>
          <c:idx val="2"/>
          <c:order val="2"/>
          <c:tx>
            <c:strRef>
              <c:f>'[Families Survey Analysis Live_TVDB.xlsx]6.1'!$N$38</c:f>
              <c:strCache>
                <c:ptCount val="1"/>
                <c:pt idx="0">
                  <c:v>Greatly reduce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'[Families Survey Analysis Live_TVDB.xlsx]6.1'!$O$35:$R$35</c:f>
              <c:strCache>
                <c:ptCount val="4"/>
                <c:pt idx="0">
                  <c:v>Option 1</c:v>
                </c:pt>
                <c:pt idx="1">
                  <c:v>Option 2</c:v>
                </c:pt>
                <c:pt idx="2">
                  <c:v>Option 3A</c:v>
                </c:pt>
                <c:pt idx="3">
                  <c:v>Option 3B</c:v>
                </c:pt>
              </c:strCache>
            </c:strRef>
          </c:cat>
          <c:val>
            <c:numRef>
              <c:f>'[Families Survey Analysis Live_TVDB.xlsx]6.1'!$O$38:$R$38</c:f>
              <c:numCache>
                <c:formatCode>General</c:formatCode>
                <c:ptCount val="4"/>
                <c:pt idx="0">
                  <c:v>0</c:v>
                </c:pt>
                <c:pt idx="1">
                  <c:v>6</c:v>
                </c:pt>
                <c:pt idx="2">
                  <c:v>27</c:v>
                </c:pt>
                <c:pt idx="3">
                  <c:v>29</c:v>
                </c:pt>
              </c:numCache>
            </c:numRef>
          </c:val>
          <c:extLst>
            <c:ext xmlns:c16="http://schemas.microsoft.com/office/drawing/2014/chart" uri="{C3380CC4-5D6E-409C-BE32-E72D297353CC}">
              <c16:uniqueId val="{00000002-015A-4EA4-94A8-7BA88428CFA4}"/>
            </c:ext>
          </c:extLst>
        </c:ser>
        <c:dLbls>
          <c:dLblPos val="outEnd"/>
          <c:showLegendKey val="0"/>
          <c:showVal val="1"/>
          <c:showCatName val="0"/>
          <c:showSerName val="0"/>
          <c:showPercent val="0"/>
          <c:showBubbleSize val="0"/>
        </c:dLbls>
        <c:gapWidth val="219"/>
        <c:overlap val="-27"/>
        <c:axId val="511910943"/>
        <c:axId val="511925343"/>
      </c:barChart>
      <c:catAx>
        <c:axId val="511910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1925343"/>
        <c:crosses val="autoZero"/>
        <c:auto val="1"/>
        <c:lblAlgn val="ctr"/>
        <c:lblOffset val="100"/>
        <c:noMultiLvlLbl val="0"/>
      </c:catAx>
      <c:valAx>
        <c:axId val="51192534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1910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'6.1'!$N$23</c:f>
              <c:strCache>
                <c:ptCount val="1"/>
                <c:pt idx="0">
                  <c:v>Option 1</c:v>
                </c:pt>
              </c:strCache>
            </c:strRef>
          </c:tx>
          <c:spPr>
            <a:solidFill>
              <a:schemeClr val="accent1"/>
            </a:solidFill>
            <a:ln>
              <a:noFill/>
            </a:ln>
            <a:effectLst/>
          </c:spPr>
          <c:invertIfNegative val="0"/>
          <c:dLbls>
            <c:dLbl>
              <c:idx val="0"/>
              <c:layout>
                <c:manualLayout>
                  <c:x val="0"/>
                  <c:y val="-0.171477565018576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96-4571-8C16-8AD9717D533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'6.1'!$O$23</c:f>
              <c:numCache>
                <c:formatCode>0%</c:formatCode>
                <c:ptCount val="1"/>
                <c:pt idx="0">
                  <c:v>3.125E-2</c:v>
                </c:pt>
              </c:numCache>
            </c:numRef>
          </c:val>
          <c:extLst>
            <c:ext xmlns:c16="http://schemas.microsoft.com/office/drawing/2014/chart" uri="{C3380CC4-5D6E-409C-BE32-E72D297353CC}">
              <c16:uniqueId val="{00000000-0896-4571-8C16-8AD9717D5331}"/>
            </c:ext>
          </c:extLst>
        </c:ser>
        <c:ser>
          <c:idx val="1"/>
          <c:order val="1"/>
          <c:tx>
            <c:strRef>
              <c:f>'6.1'!$N$24</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'6.1'!$O$24</c:f>
              <c:numCache>
                <c:formatCode>0%</c:formatCode>
                <c:ptCount val="1"/>
                <c:pt idx="0">
                  <c:v>8.3333333333333329E-2</c:v>
                </c:pt>
              </c:numCache>
            </c:numRef>
          </c:val>
          <c:extLst>
            <c:ext xmlns:c16="http://schemas.microsoft.com/office/drawing/2014/chart" uri="{C3380CC4-5D6E-409C-BE32-E72D297353CC}">
              <c16:uniqueId val="{00000001-0896-4571-8C16-8AD9717D5331}"/>
            </c:ext>
          </c:extLst>
        </c:ser>
        <c:ser>
          <c:idx val="2"/>
          <c:order val="2"/>
          <c:tx>
            <c:strRef>
              <c:f>'6.1'!$N$25</c:f>
              <c:strCache>
                <c:ptCount val="1"/>
                <c:pt idx="0">
                  <c:v>Option 3A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'6.1'!$O$25</c:f>
              <c:numCache>
                <c:formatCode>0%</c:formatCode>
                <c:ptCount val="1"/>
                <c:pt idx="0">
                  <c:v>5.2083333333333336E-2</c:v>
                </c:pt>
              </c:numCache>
            </c:numRef>
          </c:val>
          <c:extLst>
            <c:ext xmlns:c16="http://schemas.microsoft.com/office/drawing/2014/chart" uri="{C3380CC4-5D6E-409C-BE32-E72D297353CC}">
              <c16:uniqueId val="{00000002-0896-4571-8C16-8AD9717D5331}"/>
            </c:ext>
          </c:extLst>
        </c:ser>
        <c:ser>
          <c:idx val="3"/>
          <c:order val="3"/>
          <c:tx>
            <c:strRef>
              <c:f>'6.1'!$N$26</c:f>
              <c:strCache>
                <c:ptCount val="1"/>
                <c:pt idx="0">
                  <c:v>Option 3B</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'6.1'!$O$26</c:f>
              <c:numCache>
                <c:formatCode>0%</c:formatCode>
                <c:ptCount val="1"/>
                <c:pt idx="0">
                  <c:v>9.375E-2</c:v>
                </c:pt>
              </c:numCache>
            </c:numRef>
          </c:val>
          <c:extLst>
            <c:ext xmlns:c16="http://schemas.microsoft.com/office/drawing/2014/chart" uri="{C3380CC4-5D6E-409C-BE32-E72D297353CC}">
              <c16:uniqueId val="{00000003-0896-4571-8C16-8AD9717D5331}"/>
            </c:ext>
          </c:extLst>
        </c:ser>
        <c:ser>
          <c:idx val="4"/>
          <c:order val="4"/>
          <c:tx>
            <c:strRef>
              <c:f>'6.1'!$N$27</c:f>
              <c:strCache>
                <c:ptCount val="1"/>
                <c:pt idx="0">
                  <c:v>Options 2 and 3A</c:v>
                </c:pt>
              </c:strCache>
            </c:strRef>
          </c:tx>
          <c:spPr>
            <a:pattFill prst="wdDnDiag">
              <a:fgClr>
                <a:schemeClr val="accent5"/>
              </a:fgClr>
              <a:bgClr>
                <a:schemeClr val="bg1"/>
              </a:bgClr>
            </a:pattFill>
            <a:ln>
              <a:noFill/>
            </a:ln>
            <a:effectLst/>
          </c:spPr>
          <c:invertIfNegative val="0"/>
          <c:dLbls>
            <c:dLbl>
              <c:idx val="0"/>
              <c:layout>
                <c:manualLayout>
                  <c:x val="-4.0649936912525032E-17"/>
                  <c:y val="-0.171477565018576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96-4571-8C16-8AD9717D533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'6.1'!$O$27</c:f>
              <c:numCache>
                <c:formatCode>0%</c:formatCode>
                <c:ptCount val="1"/>
                <c:pt idx="0">
                  <c:v>2.0833333333333332E-2</c:v>
                </c:pt>
              </c:numCache>
            </c:numRef>
          </c:val>
          <c:extLst>
            <c:ext xmlns:c16="http://schemas.microsoft.com/office/drawing/2014/chart" uri="{C3380CC4-5D6E-409C-BE32-E72D297353CC}">
              <c16:uniqueId val="{00000004-0896-4571-8C16-8AD9717D5331}"/>
            </c:ext>
          </c:extLst>
        </c:ser>
        <c:ser>
          <c:idx val="5"/>
          <c:order val="5"/>
          <c:tx>
            <c:strRef>
              <c:f>'6.1'!$N$28</c:f>
              <c:strCache>
                <c:ptCount val="1"/>
              </c:strCache>
            </c:strRef>
          </c:tx>
          <c:spPr>
            <a:solidFill>
              <a:schemeClr val="accent6"/>
            </a:solidFill>
            <a:ln>
              <a:noFill/>
            </a:ln>
            <a:effectLst/>
          </c:spPr>
          <c:invertIfNegative val="0"/>
          <c:dLbls>
            <c:delete val="1"/>
          </c:dLbls>
          <c:val>
            <c:numRef>
              <c:f>'6.1'!$O$28</c:f>
              <c:numCache>
                <c:formatCode>0%</c:formatCode>
                <c:ptCount val="1"/>
              </c:numCache>
            </c:numRef>
          </c:val>
          <c:extLst>
            <c:ext xmlns:c16="http://schemas.microsoft.com/office/drawing/2014/chart" uri="{C3380CC4-5D6E-409C-BE32-E72D297353CC}">
              <c16:uniqueId val="{00000005-0896-4571-8C16-8AD9717D5331}"/>
            </c:ext>
          </c:extLst>
        </c:ser>
        <c:ser>
          <c:idx val="6"/>
          <c:order val="6"/>
          <c:tx>
            <c:strRef>
              <c:f>'6.1'!$N$29</c:f>
              <c:strCache>
                <c:ptCount val="1"/>
                <c:pt idx="0">
                  <c:v>Options 3A and 3B</c:v>
                </c:pt>
              </c:strCache>
            </c:strRef>
          </c:tx>
          <c:spPr>
            <a:pattFill prst="wdDnDiag">
              <a:fgClr>
                <a:schemeClr val="accent3"/>
              </a:fgClr>
              <a:bgClr>
                <a:schemeClr val="bg1"/>
              </a:bgClr>
            </a:pattFill>
            <a:ln>
              <a:noFill/>
            </a:ln>
            <a:effectLst/>
          </c:spPr>
          <c:invertIfNegative val="0"/>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'6.1'!$O$29</c:f>
              <c:numCache>
                <c:formatCode>0%</c:formatCode>
                <c:ptCount val="1"/>
                <c:pt idx="0">
                  <c:v>0.30208333333333331</c:v>
                </c:pt>
              </c:numCache>
            </c:numRef>
          </c:val>
          <c:extLst>
            <c:ext xmlns:c16="http://schemas.microsoft.com/office/drawing/2014/chart" uri="{C3380CC4-5D6E-409C-BE32-E72D297353CC}">
              <c16:uniqueId val="{00000006-0896-4571-8C16-8AD9717D5331}"/>
            </c:ext>
          </c:extLst>
        </c:ser>
        <c:ser>
          <c:idx val="7"/>
          <c:order val="7"/>
          <c:tx>
            <c:strRef>
              <c:f>'6.1'!$N$30</c:f>
              <c:strCache>
                <c:ptCount val="1"/>
                <c:pt idx="0">
                  <c:v>Options 2, 3A and 3B</c:v>
                </c:pt>
              </c:strCache>
            </c:strRef>
          </c:tx>
          <c:spPr>
            <a:pattFill prst="wdDnDiag">
              <a:fgClr>
                <a:schemeClr val="tx2"/>
              </a:fgClr>
              <a:bgClr>
                <a:schemeClr val="bg1"/>
              </a:bgClr>
            </a:pattFill>
            <a:ln>
              <a:noFill/>
            </a:ln>
            <a:effectLst/>
          </c:spPr>
          <c:invertIfNegative val="0"/>
          <c:dLbls>
            <c:spPr>
              <a:solidFill>
                <a:schemeClr val="tx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'6.1'!$O$30</c:f>
              <c:numCache>
                <c:formatCode>0%</c:formatCode>
                <c:ptCount val="1"/>
                <c:pt idx="0">
                  <c:v>0.41666666666666669</c:v>
                </c:pt>
              </c:numCache>
            </c:numRef>
          </c:val>
          <c:extLst>
            <c:ext xmlns:c16="http://schemas.microsoft.com/office/drawing/2014/chart" uri="{C3380CC4-5D6E-409C-BE32-E72D297353CC}">
              <c16:uniqueId val="{00000007-0896-4571-8C16-8AD9717D5331}"/>
            </c:ext>
          </c:extLst>
        </c:ser>
        <c:dLbls>
          <c:dLblPos val="ctr"/>
          <c:showLegendKey val="0"/>
          <c:showVal val="1"/>
          <c:showCatName val="0"/>
          <c:showSerName val="0"/>
          <c:showPercent val="0"/>
          <c:showBubbleSize val="0"/>
        </c:dLbls>
        <c:gapWidth val="150"/>
        <c:overlap val="100"/>
        <c:axId val="1781584800"/>
        <c:axId val="1781560800"/>
      </c:barChart>
      <c:catAx>
        <c:axId val="1781584800"/>
        <c:scaling>
          <c:orientation val="minMax"/>
        </c:scaling>
        <c:delete val="1"/>
        <c:axPos val="l"/>
        <c:numFmt formatCode="General" sourceLinked="1"/>
        <c:majorTickMark val="none"/>
        <c:minorTickMark val="none"/>
        <c:tickLblPos val="nextTo"/>
        <c:crossAx val="1781560800"/>
        <c:crosses val="autoZero"/>
        <c:auto val="1"/>
        <c:lblAlgn val="ctr"/>
        <c:lblOffset val="100"/>
        <c:noMultiLvlLbl val="0"/>
      </c:catAx>
      <c:valAx>
        <c:axId val="178156080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1584800"/>
        <c:crosses val="autoZero"/>
        <c:crossBetween val="between"/>
      </c:valAx>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'[Workforce Survey Analysis Live_TVDB.xlsx]6.1'!$N$22</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Live_TVDB.xlsx]6.1'!$O$22</c:f>
              <c:numCache>
                <c:formatCode>0%</c:formatCode>
                <c:ptCount val="1"/>
                <c:pt idx="0">
                  <c:v>0.21818181818181817</c:v>
                </c:pt>
              </c:numCache>
            </c:numRef>
          </c:val>
          <c:extLst>
            <c:ext xmlns:c16="http://schemas.microsoft.com/office/drawing/2014/chart" uri="{C3380CC4-5D6E-409C-BE32-E72D297353CC}">
              <c16:uniqueId val="{00000000-7080-415B-8FA2-264708510460}"/>
            </c:ext>
          </c:extLst>
        </c:ser>
        <c:ser>
          <c:idx val="1"/>
          <c:order val="1"/>
          <c:tx>
            <c:strRef>
              <c:f>'[Workforce Survey Analysis Live_TVDB.xlsx]6.1'!$N$23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Live_TVDB.xlsx]6.1'!$O$23</c:f>
              <c:numCache>
                <c:formatCode>0%</c:formatCode>
                <c:ptCount val="1"/>
                <c:pt idx="0">
                  <c:v>9.0909090909090912E-2</c:v>
                </c:pt>
              </c:numCache>
            </c:numRef>
          </c:val>
          <c:extLst>
            <c:ext xmlns:c16="http://schemas.microsoft.com/office/drawing/2014/chart" uri="{C3380CC4-5D6E-409C-BE32-E72D297353CC}">
              <c16:uniqueId val="{00000001-7080-415B-8FA2-264708510460}"/>
            </c:ext>
          </c:extLst>
        </c:ser>
        <c:ser>
          <c:idx val="2"/>
          <c:order val="2"/>
          <c:tx>
            <c:strRef>
              <c:f>'[Workforce Survey Analysis Live_TVDB.xlsx]6.1'!$N$24</c:f>
              <c:strCache>
                <c:ptCount val="1"/>
                <c:pt idx="0">
                  <c:v>Option 3A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Live_TVDB.xlsx]6.1'!$O$24</c:f>
              <c:numCache>
                <c:formatCode>0%</c:formatCode>
                <c:ptCount val="1"/>
                <c:pt idx="0">
                  <c:v>7.2727272727272724E-2</c:v>
                </c:pt>
              </c:numCache>
            </c:numRef>
          </c:val>
          <c:extLst>
            <c:ext xmlns:c16="http://schemas.microsoft.com/office/drawing/2014/chart" uri="{C3380CC4-5D6E-409C-BE32-E72D297353CC}">
              <c16:uniqueId val="{00000002-7080-415B-8FA2-264708510460}"/>
            </c:ext>
          </c:extLst>
        </c:ser>
        <c:ser>
          <c:idx val="3"/>
          <c:order val="3"/>
          <c:tx>
            <c:strRef>
              <c:f>'[Workforce Survey Analysis Live_TVDB.xlsx]6.1'!$N$25</c:f>
              <c:strCache>
                <c:ptCount val="1"/>
                <c:pt idx="0">
                  <c:v>Option 3B</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Live_TVDB.xlsx]6.1'!$O$25</c:f>
              <c:numCache>
                <c:formatCode>0%</c:formatCode>
                <c:ptCount val="1"/>
                <c:pt idx="0">
                  <c:v>0.14545454545454545</c:v>
                </c:pt>
              </c:numCache>
            </c:numRef>
          </c:val>
          <c:extLst>
            <c:ext xmlns:c16="http://schemas.microsoft.com/office/drawing/2014/chart" uri="{C3380CC4-5D6E-409C-BE32-E72D297353CC}">
              <c16:uniqueId val="{00000003-7080-415B-8FA2-264708510460}"/>
            </c:ext>
          </c:extLst>
        </c:ser>
        <c:ser>
          <c:idx val="4"/>
          <c:order val="4"/>
          <c:tx>
            <c:strRef>
              <c:f>'[Workforce Survey Analysis Live_TVDB.xlsx]6.1'!$N$26</c:f>
              <c:strCache>
                <c:ptCount val="1"/>
                <c:pt idx="0">
                  <c:v>Options 2 and 3A</c:v>
                </c:pt>
              </c:strCache>
            </c:strRef>
          </c:tx>
          <c:spPr>
            <a:solidFill>
              <a:schemeClr val="accent5"/>
            </a:solidFill>
            <a:ln>
              <a:noFill/>
            </a:ln>
            <a:effectLst/>
          </c:spPr>
          <c:invertIfNegative val="0"/>
          <c:dLbls>
            <c:dLbl>
              <c:idx val="0"/>
              <c:layout>
                <c:manualLayout>
                  <c:x val="-4.1880346196570625E-17"/>
                  <c:y val="-0.174746335963923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080-415B-8FA2-26470851046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Live_TVDB.xlsx]6.1'!$O$26</c:f>
              <c:numCache>
                <c:formatCode>0%</c:formatCode>
                <c:ptCount val="1"/>
                <c:pt idx="0">
                  <c:v>3.6363636363636362E-2</c:v>
                </c:pt>
              </c:numCache>
            </c:numRef>
          </c:val>
          <c:extLst>
            <c:ext xmlns:c16="http://schemas.microsoft.com/office/drawing/2014/chart" uri="{C3380CC4-5D6E-409C-BE32-E72D297353CC}">
              <c16:uniqueId val="{00000004-7080-415B-8FA2-264708510460}"/>
            </c:ext>
          </c:extLst>
        </c:ser>
        <c:ser>
          <c:idx val="5"/>
          <c:order val="5"/>
          <c:tx>
            <c:strRef>
              <c:f>'[Workforce Survey Analysis Live_TVDB.xlsx]6.1'!$N$27</c:f>
              <c:strCache>
                <c:ptCount val="1"/>
                <c:pt idx="0">
                  <c:v>Options 2 and 3B</c:v>
                </c:pt>
              </c:strCache>
            </c:strRef>
          </c:tx>
          <c:spPr>
            <a:solidFill>
              <a:schemeClr val="accent6"/>
            </a:solidFill>
            <a:ln>
              <a:noFill/>
            </a:ln>
            <a:effectLst/>
          </c:spPr>
          <c:invertIfNegative val="0"/>
          <c:dLbls>
            <c:delete val="1"/>
          </c:dLbls>
          <c:val>
            <c:numRef>
              <c:f>'[Workforce Survey Analysis Live_TVDB.xlsx]6.1'!$O$27</c:f>
              <c:numCache>
                <c:formatCode>0%</c:formatCode>
                <c:ptCount val="1"/>
                <c:pt idx="0">
                  <c:v>0</c:v>
                </c:pt>
              </c:numCache>
            </c:numRef>
          </c:val>
          <c:extLst>
            <c:ext xmlns:c16="http://schemas.microsoft.com/office/drawing/2014/chart" uri="{C3380CC4-5D6E-409C-BE32-E72D297353CC}">
              <c16:uniqueId val="{00000005-7080-415B-8FA2-264708510460}"/>
            </c:ext>
          </c:extLst>
        </c:ser>
        <c:ser>
          <c:idx val="6"/>
          <c:order val="6"/>
          <c:tx>
            <c:strRef>
              <c:f>'[Workforce Survey Analysis Live_TVDB.xlsx]6.1'!$N$28</c:f>
              <c:strCache>
                <c:ptCount val="1"/>
                <c:pt idx="0">
                  <c:v>Options 3A and 3B</c:v>
                </c:pt>
              </c:strCache>
            </c:strRef>
          </c:tx>
          <c:spPr>
            <a:pattFill prst="wdDnDiag">
              <a:fgClr>
                <a:schemeClr val="accent3"/>
              </a:fgClr>
              <a:bgClr>
                <a:schemeClr val="bg1"/>
              </a:bgClr>
            </a:pattFill>
            <a:ln>
              <a:noFill/>
            </a:ln>
            <a:effectLst/>
          </c:spPr>
          <c:invertIfNegative val="0"/>
          <c:dPt>
            <c:idx val="0"/>
            <c:invertIfNegative val="0"/>
            <c:bubble3D val="0"/>
            <c:spPr>
              <a:pattFill prst="wdDnDiag">
                <a:fgClr>
                  <a:schemeClr val="accent3"/>
                </a:fgClr>
                <a:bgClr>
                  <a:schemeClr val="bg1"/>
                </a:bgClr>
              </a:pattFill>
              <a:ln>
                <a:noFill/>
              </a:ln>
              <a:effectLst/>
            </c:spPr>
            <c:extLst>
              <c:ext xmlns:c16="http://schemas.microsoft.com/office/drawing/2014/chart" uri="{C3380CC4-5D6E-409C-BE32-E72D297353CC}">
                <c16:uniqueId val="{0000000A-7080-415B-8FA2-264708510460}"/>
              </c:ext>
            </c:extLst>
          </c:dPt>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Live_TVDB.xlsx]6.1'!$O$28</c:f>
              <c:numCache>
                <c:formatCode>0%</c:formatCode>
                <c:ptCount val="1"/>
                <c:pt idx="0">
                  <c:v>0.43636363636363634</c:v>
                </c:pt>
              </c:numCache>
            </c:numRef>
          </c:val>
          <c:extLst>
            <c:ext xmlns:c16="http://schemas.microsoft.com/office/drawing/2014/chart" uri="{C3380CC4-5D6E-409C-BE32-E72D297353CC}">
              <c16:uniqueId val="{00000006-7080-415B-8FA2-264708510460}"/>
            </c:ext>
          </c:extLst>
        </c:ser>
        <c:ser>
          <c:idx val="7"/>
          <c:order val="7"/>
          <c:tx>
            <c:strRef>
              <c:f>'[Workforce Survey Analysis Live_TVDB.xlsx]6.1'!$N$29</c:f>
              <c:strCache>
                <c:ptCount val="1"/>
                <c:pt idx="0">
                  <c:v>Options 2, 3A and 3B</c:v>
                </c:pt>
              </c:strCache>
            </c:strRef>
          </c:tx>
          <c:spPr>
            <a:pattFill prst="wdDnDiag">
              <a:fgClr>
                <a:schemeClr val="bg2">
                  <a:lumMod val="50000"/>
                </a:schemeClr>
              </a:fgClr>
              <a:bgClr>
                <a:schemeClr val="bg1"/>
              </a:bgClr>
            </a:pattFill>
            <a:ln>
              <a:noFill/>
            </a:ln>
            <a:effectLst/>
          </c:spPr>
          <c:invertIfNegative val="0"/>
          <c:dLbls>
            <c:spPr>
              <a:solidFill>
                <a:schemeClr val="bg2">
                  <a:lumMod val="50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 Survey Analysis Live_TVDB.xlsx]6.1'!$O$29</c:f>
              <c:numCache>
                <c:formatCode>0%</c:formatCode>
                <c:ptCount val="1"/>
                <c:pt idx="0">
                  <c:v>0.49090909090909091</c:v>
                </c:pt>
              </c:numCache>
            </c:numRef>
          </c:val>
          <c:extLst>
            <c:ext xmlns:c16="http://schemas.microsoft.com/office/drawing/2014/chart" uri="{C3380CC4-5D6E-409C-BE32-E72D297353CC}">
              <c16:uniqueId val="{00000007-7080-415B-8FA2-264708510460}"/>
            </c:ext>
          </c:extLst>
        </c:ser>
        <c:dLbls>
          <c:dLblPos val="ctr"/>
          <c:showLegendKey val="0"/>
          <c:showVal val="1"/>
          <c:showCatName val="0"/>
          <c:showSerName val="0"/>
          <c:showPercent val="0"/>
          <c:showBubbleSize val="0"/>
        </c:dLbls>
        <c:gapWidth val="150"/>
        <c:overlap val="100"/>
        <c:axId val="402397135"/>
        <c:axId val="402398575"/>
      </c:barChart>
      <c:catAx>
        <c:axId val="402397135"/>
        <c:scaling>
          <c:orientation val="minMax"/>
        </c:scaling>
        <c:delete val="1"/>
        <c:axPos val="l"/>
        <c:numFmt formatCode="General" sourceLinked="1"/>
        <c:majorTickMark val="none"/>
        <c:minorTickMark val="none"/>
        <c:tickLblPos val="nextTo"/>
        <c:crossAx val="402398575"/>
        <c:crosses val="autoZero"/>
        <c:auto val="1"/>
        <c:lblAlgn val="ctr"/>
        <c:lblOffset val="100"/>
        <c:noMultiLvlLbl val="0"/>
      </c:catAx>
      <c:valAx>
        <c:axId val="40239857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2397135"/>
        <c:crosses val="autoZero"/>
        <c:crossBetween val="between"/>
      </c:valAx>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'[Families Survey Analysis Live_TVDB.xlsx]6.1'!$N$22</c:f>
              <c:strCache>
                <c:ptCount val="1"/>
                <c:pt idx="0">
                  <c:v>Option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Live_TVDB.xlsx]6.1'!$O$22</c:f>
              <c:numCache>
                <c:formatCode>0%</c:formatCode>
                <c:ptCount val="1"/>
                <c:pt idx="0">
                  <c:v>3.4482758620689655E-2</c:v>
                </c:pt>
              </c:numCache>
            </c:numRef>
          </c:val>
          <c:extLst>
            <c:ext xmlns:c16="http://schemas.microsoft.com/office/drawing/2014/chart" uri="{C3380CC4-5D6E-409C-BE32-E72D297353CC}">
              <c16:uniqueId val="{00000000-DD56-44DE-8A18-F2199915EFA6}"/>
            </c:ext>
          </c:extLst>
        </c:ser>
        <c:ser>
          <c:idx val="1"/>
          <c:order val="1"/>
          <c:tx>
            <c:strRef>
              <c:f>'[Families Survey Analysis Live_TVDB.xlsx]6.1'!$N$23</c:f>
              <c:strCache>
                <c:ptCount val="1"/>
                <c:pt idx="0">
                  <c:v>Option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Live_TVDB.xlsx]6.1'!$O$23</c:f>
              <c:numCache>
                <c:formatCode>0%</c:formatCode>
                <c:ptCount val="1"/>
                <c:pt idx="0">
                  <c:v>6.8965517241379309E-2</c:v>
                </c:pt>
              </c:numCache>
            </c:numRef>
          </c:val>
          <c:extLst>
            <c:ext xmlns:c16="http://schemas.microsoft.com/office/drawing/2014/chart" uri="{C3380CC4-5D6E-409C-BE32-E72D297353CC}">
              <c16:uniqueId val="{00000001-DD56-44DE-8A18-F2199915EFA6}"/>
            </c:ext>
          </c:extLst>
        </c:ser>
        <c:ser>
          <c:idx val="2"/>
          <c:order val="2"/>
          <c:tx>
            <c:strRef>
              <c:f>'[Families Survey Analysis Live_TVDB.xlsx]6.1'!$N$24</c:f>
              <c:strCache>
                <c:ptCount val="1"/>
                <c:pt idx="0">
                  <c:v>Option 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Live_TVDB.xlsx]6.1'!$O$24</c:f>
              <c:numCache>
                <c:formatCode>0%</c:formatCode>
                <c:ptCount val="1"/>
                <c:pt idx="0">
                  <c:v>0.20689655172413793</c:v>
                </c:pt>
              </c:numCache>
            </c:numRef>
          </c:val>
          <c:extLst>
            <c:ext xmlns:c16="http://schemas.microsoft.com/office/drawing/2014/chart" uri="{C3380CC4-5D6E-409C-BE32-E72D297353CC}">
              <c16:uniqueId val="{00000002-DD56-44DE-8A18-F2199915EFA6}"/>
            </c:ext>
          </c:extLst>
        </c:ser>
        <c:ser>
          <c:idx val="3"/>
          <c:order val="3"/>
          <c:tx>
            <c:strRef>
              <c:f>'[Families Survey Analysis Live_TVDB.xlsx]6.1'!$N$25</c:f>
              <c:strCache>
                <c:ptCount val="1"/>
                <c:pt idx="0">
                  <c:v>Option 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Live_TVDB.xlsx]6.1'!$O$25</c:f>
              <c:numCache>
                <c:formatCode>0%</c:formatCode>
                <c:ptCount val="1"/>
                <c:pt idx="0">
                  <c:v>6.8965517241379309E-2</c:v>
                </c:pt>
              </c:numCache>
            </c:numRef>
          </c:val>
          <c:extLst>
            <c:ext xmlns:c16="http://schemas.microsoft.com/office/drawing/2014/chart" uri="{C3380CC4-5D6E-409C-BE32-E72D297353CC}">
              <c16:uniqueId val="{00000003-DD56-44DE-8A18-F2199915EFA6}"/>
            </c:ext>
          </c:extLst>
        </c:ser>
        <c:ser>
          <c:idx val="4"/>
          <c:order val="4"/>
          <c:tx>
            <c:strRef>
              <c:f>'[Families Survey Analysis Live_TVDB.xlsx]6.1'!$N$26</c:f>
              <c:strCache>
                <c:ptCount val="1"/>
                <c:pt idx="0">
                  <c:v>Options 2 and 3A</c:v>
                </c:pt>
              </c:strCache>
            </c:strRef>
          </c:tx>
          <c:spPr>
            <a:pattFill prst="wdDnDiag">
              <a:fgClr>
                <a:schemeClr val="accent5"/>
              </a:fgClr>
              <a:bgClr>
                <a:schemeClr val="bg1"/>
              </a:bgClr>
            </a:pattFill>
            <a:ln>
              <a:noFill/>
            </a:ln>
            <a:effectLst/>
          </c:spPr>
          <c:invertIfNegative val="0"/>
          <c:dLbls>
            <c:dLbl>
              <c:idx val="0"/>
              <c:layout>
                <c:manualLayout>
                  <c:x val="-8.9837170129141337E-3"/>
                  <c:y val="-0.208756161206146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D56-44DE-8A18-F2199915EFA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Live_TVDB.xlsx]6.1'!$O$26</c:f>
              <c:numCache>
                <c:formatCode>0%</c:formatCode>
                <c:ptCount val="1"/>
                <c:pt idx="0">
                  <c:v>1.7241379310344827E-2</c:v>
                </c:pt>
              </c:numCache>
            </c:numRef>
          </c:val>
          <c:extLst>
            <c:ext xmlns:c16="http://schemas.microsoft.com/office/drawing/2014/chart" uri="{C3380CC4-5D6E-409C-BE32-E72D297353CC}">
              <c16:uniqueId val="{00000004-DD56-44DE-8A18-F2199915EFA6}"/>
            </c:ext>
          </c:extLst>
        </c:ser>
        <c:ser>
          <c:idx val="5"/>
          <c:order val="5"/>
          <c:tx>
            <c:strRef>
              <c:f>'[Families Survey Analysis Live_TVDB.xlsx]6.1'!$N$27</c:f>
              <c:strCache>
                <c:ptCount val="1"/>
                <c:pt idx="0">
                  <c:v>Options 2 and 3B</c:v>
                </c:pt>
              </c:strCache>
            </c:strRef>
          </c:tx>
          <c:spPr>
            <a:pattFill prst="wdDnDiag">
              <a:fgClr>
                <a:schemeClr val="accent6"/>
              </a:fgClr>
              <a:bgClr>
                <a:schemeClr val="bg1"/>
              </a:bgClr>
            </a:pattFill>
            <a:ln>
              <a:noFill/>
            </a:ln>
            <a:effectLst/>
          </c:spPr>
          <c:invertIfNegative val="0"/>
          <c:dLbls>
            <c:dLbl>
              <c:idx val="0"/>
              <c:layout>
                <c:manualLayout>
                  <c:x val="2.0213363279056627E-2"/>
                  <c:y val="-0.231951290229051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56-44DE-8A18-F2199915EFA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Live_TVDB.xlsx]6.1'!$O$27</c:f>
              <c:numCache>
                <c:formatCode>0%</c:formatCode>
                <c:ptCount val="1"/>
                <c:pt idx="0">
                  <c:v>1.7241379310344827E-2</c:v>
                </c:pt>
              </c:numCache>
            </c:numRef>
          </c:val>
          <c:extLst>
            <c:ext xmlns:c16="http://schemas.microsoft.com/office/drawing/2014/chart" uri="{C3380CC4-5D6E-409C-BE32-E72D297353CC}">
              <c16:uniqueId val="{00000005-DD56-44DE-8A18-F2199915EFA6}"/>
            </c:ext>
          </c:extLst>
        </c:ser>
        <c:ser>
          <c:idx val="6"/>
          <c:order val="6"/>
          <c:tx>
            <c:strRef>
              <c:f>'[Families Survey Analysis Live_TVDB.xlsx]6.1'!$N$28</c:f>
              <c:strCache>
                <c:ptCount val="1"/>
                <c:pt idx="0">
                  <c:v>Optins 3A and 3B</c:v>
                </c:pt>
              </c:strCache>
            </c:strRef>
          </c:tx>
          <c:spPr>
            <a:pattFill prst="wdDnDiag">
              <a:fgClr>
                <a:schemeClr val="accent3"/>
              </a:fgClr>
              <a:bgClr>
                <a:schemeClr val="bg1"/>
              </a:bgClr>
            </a:pattFill>
            <a:ln>
              <a:noFill/>
            </a:ln>
            <a:effectLst/>
          </c:spPr>
          <c:invertIfNegative val="0"/>
          <c:dLbls>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Live_TVDB.xlsx]6.1'!$O$28</c:f>
              <c:numCache>
                <c:formatCode>0%</c:formatCode>
                <c:ptCount val="1"/>
                <c:pt idx="0">
                  <c:v>0.34482758620689657</c:v>
                </c:pt>
              </c:numCache>
            </c:numRef>
          </c:val>
          <c:extLst>
            <c:ext xmlns:c16="http://schemas.microsoft.com/office/drawing/2014/chart" uri="{C3380CC4-5D6E-409C-BE32-E72D297353CC}">
              <c16:uniqueId val="{00000006-DD56-44DE-8A18-F2199915EFA6}"/>
            </c:ext>
          </c:extLst>
        </c:ser>
        <c:ser>
          <c:idx val="7"/>
          <c:order val="7"/>
          <c:tx>
            <c:strRef>
              <c:f>'[Families Survey Analysis Live_TVDB.xlsx]6.1'!$N$29</c:f>
              <c:strCache>
                <c:ptCount val="1"/>
                <c:pt idx="0">
                  <c:v>Options 2, 3A and 3B</c:v>
                </c:pt>
              </c:strCache>
            </c:strRef>
          </c:tx>
          <c:spPr>
            <a:pattFill prst="wdDnDiag">
              <a:fgClr>
                <a:schemeClr val="tx2"/>
              </a:fgClr>
              <a:bgClr>
                <a:schemeClr val="bg1"/>
              </a:bgClr>
            </a:pattFill>
            <a:ln>
              <a:noFill/>
            </a:ln>
            <a:effectLst/>
          </c:spPr>
          <c:invertIfNegative val="0"/>
          <c:dLbls>
            <c:spPr>
              <a:solidFill>
                <a:schemeClr val="tx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'[Families Survey Analysis Live_TVDB.xlsx]6.1'!$O$29</c:f>
              <c:numCache>
                <c:formatCode>0%</c:formatCode>
                <c:ptCount val="1"/>
                <c:pt idx="0">
                  <c:v>0.2413793103448276</c:v>
                </c:pt>
              </c:numCache>
            </c:numRef>
          </c:val>
          <c:extLst>
            <c:ext xmlns:c16="http://schemas.microsoft.com/office/drawing/2014/chart" uri="{C3380CC4-5D6E-409C-BE32-E72D297353CC}">
              <c16:uniqueId val="{00000007-DD56-44DE-8A18-F2199915EFA6}"/>
            </c:ext>
          </c:extLst>
        </c:ser>
        <c:dLbls>
          <c:dLblPos val="ctr"/>
          <c:showLegendKey val="0"/>
          <c:showVal val="1"/>
          <c:showCatName val="0"/>
          <c:showSerName val="0"/>
          <c:showPercent val="0"/>
          <c:showBubbleSize val="0"/>
        </c:dLbls>
        <c:gapWidth val="150"/>
        <c:overlap val="100"/>
        <c:axId val="383229247"/>
        <c:axId val="383227807"/>
      </c:barChart>
      <c:catAx>
        <c:axId val="383229247"/>
        <c:scaling>
          <c:orientation val="minMax"/>
        </c:scaling>
        <c:delete val="1"/>
        <c:axPos val="l"/>
        <c:numFmt formatCode="General" sourceLinked="1"/>
        <c:majorTickMark val="none"/>
        <c:minorTickMark val="none"/>
        <c:tickLblPos val="nextTo"/>
        <c:crossAx val="383227807"/>
        <c:crosses val="autoZero"/>
        <c:auto val="1"/>
        <c:lblAlgn val="ctr"/>
        <c:lblOffset val="100"/>
        <c:noMultiLvlLbl val="0"/>
      </c:catAx>
      <c:valAx>
        <c:axId val="38322780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83229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SR">
      <a:dk1>
        <a:sysClr val="windowText" lastClr="000000"/>
      </a:dk1>
      <a:lt1>
        <a:sysClr val="window" lastClr="FFFFFF"/>
      </a:lt1>
      <a:dk2>
        <a:srgbClr val="14233C"/>
      </a:dk2>
      <a:lt2>
        <a:srgbClr val="006B77"/>
      </a:lt2>
      <a:accent1>
        <a:srgbClr val="006B77"/>
      </a:accent1>
      <a:accent2>
        <a:srgbClr val="A12068"/>
      </a:accent2>
      <a:accent3>
        <a:srgbClr val="FFC000"/>
      </a:accent3>
      <a:accent4>
        <a:srgbClr val="482366"/>
      </a:accent4>
      <a:accent5>
        <a:srgbClr val="A6CE38"/>
      </a:accent5>
      <a:accent6>
        <a:srgbClr val="0563C1"/>
      </a:accent6>
      <a:hlink>
        <a:srgbClr val="006B77"/>
      </a:hlink>
      <a:folHlink>
        <a:srgbClr val="A1206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C225F7BE371F45B931F1C1E844000D" ma:contentTypeVersion="13" ma:contentTypeDescription="Create a new document." ma:contentTypeScope="" ma:versionID="6f03ab09820e1100e34fc1f4f986ab93">
  <xsd:schema xmlns:xsd="http://www.w3.org/2001/XMLSchema" xmlns:xs="http://www.w3.org/2001/XMLSchema" xmlns:p="http://schemas.microsoft.com/office/2006/metadata/properties" xmlns:ns2="1a01a226-b9b7-45db-a062-329e05dbadeb" xmlns:ns3="f3cf897f-221f-4250-a43f-877069f3b965" targetNamespace="http://schemas.microsoft.com/office/2006/metadata/properties" ma:root="true" ma:fieldsID="b0214495ec072c955b3cafb707ee0497" ns2:_="" ns3:_="">
    <xsd:import namespace="1a01a226-b9b7-45db-a062-329e05dbadeb"/>
    <xsd:import namespace="f3cf897f-221f-4250-a43f-877069f3b9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Typeor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1a226-b9b7-45db-a062-329e05dba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Typeorgroup" ma:index="20" nillable="true" ma:displayName="Type or group" ma:format="Dropdown" ma:internalName="Typeorgrou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cf897f-221f-4250-a43f-877069f3b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a4c70b-afbf-40ca-ba65-743dede83b03}" ma:internalName="TaxCatchAll" ma:showField="CatchAllData" ma:web="f3cf897f-221f-4250-a43f-877069f3b9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3cf897f-221f-4250-a43f-877069f3b965" xsi:nil="true"/>
    <lcf76f155ced4ddcb4097134ff3c332f xmlns="1a01a226-b9b7-45db-a062-329e05dbadeb">
      <Terms xmlns="http://schemas.microsoft.com/office/infopath/2007/PartnerControls"/>
    </lcf76f155ced4ddcb4097134ff3c332f>
    <Typeorgroup xmlns="1a01a226-b9b7-45db-a062-329e05dbadeb" xsi:nil="true"/>
  </documentManagement>
</p:properties>
</file>

<file path=customXml/itemProps1.xml><?xml version="1.0" encoding="utf-8"?>
<ds:datastoreItem xmlns:ds="http://schemas.openxmlformats.org/officeDocument/2006/customXml" ds:itemID="{4B00B269-C24A-458B-814B-7D9F0FE68C96}">
  <ds:schemaRefs>
    <ds:schemaRef ds:uri="http://schemas.microsoft.com/sharepoint/v3/contenttype/forms"/>
  </ds:schemaRefs>
</ds:datastoreItem>
</file>

<file path=customXml/itemProps2.xml><?xml version="1.0" encoding="utf-8"?>
<ds:datastoreItem xmlns:ds="http://schemas.openxmlformats.org/officeDocument/2006/customXml" ds:itemID="{A88FE60D-62BE-47CA-BE24-F89A5BC2B4C8}">
  <ds:schemaRefs>
    <ds:schemaRef ds:uri="http://schemas.openxmlformats.org/officeDocument/2006/bibliography"/>
  </ds:schemaRefs>
</ds:datastoreItem>
</file>

<file path=customXml/itemProps3.xml><?xml version="1.0" encoding="utf-8"?>
<ds:datastoreItem xmlns:ds="http://schemas.openxmlformats.org/officeDocument/2006/customXml" ds:itemID="{9AD27480-2D71-470A-A489-027E89AFC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1a226-b9b7-45db-a062-329e05dbadeb"/>
    <ds:schemaRef ds:uri="f3cf897f-221f-4250-a43f-877069f3b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883B6-E88E-4676-A1D9-2B27A9452B3C}">
  <ds:schemaRefs>
    <ds:schemaRef ds:uri="1a01a226-b9b7-45db-a062-329e05dbadeb"/>
    <ds:schemaRef ds:uri="f3cf897f-221f-4250-a43f-877069f3b965"/>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TotalTime>
  <Pages>379</Pages>
  <Words>101040</Words>
  <Characters>575934</Characters>
  <Application>Microsoft Office Word</Application>
  <DocSecurity>0</DocSecurity>
  <Lines>4799</Lines>
  <Paragraphs>1351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675623</CharactersWithSpaces>
  <SharedDoc>false</SharedDoc>
  <HLinks>
    <vt:vector size="1260" baseType="variant">
      <vt:variant>
        <vt:i4>7274582</vt:i4>
      </vt:variant>
      <vt:variant>
        <vt:i4>990</vt:i4>
      </vt:variant>
      <vt:variant>
        <vt:i4>0</vt:i4>
      </vt:variant>
      <vt:variant>
        <vt:i4>5</vt:i4>
      </vt:variant>
      <vt:variant>
        <vt:lpwstr/>
      </vt:variant>
      <vt:variant>
        <vt:lpwstr>_12.3.3_Responding_to</vt:lpwstr>
      </vt:variant>
      <vt:variant>
        <vt:i4>4718691</vt:i4>
      </vt:variant>
      <vt:variant>
        <vt:i4>987</vt:i4>
      </vt:variant>
      <vt:variant>
        <vt:i4>0</vt:i4>
      </vt:variant>
      <vt:variant>
        <vt:i4>5</vt:i4>
      </vt:variant>
      <vt:variant>
        <vt:lpwstr/>
      </vt:variant>
      <vt:variant>
        <vt:lpwstr>_12.3.2_Child_safety</vt:lpwstr>
      </vt:variant>
      <vt:variant>
        <vt:i4>4718691</vt:i4>
      </vt:variant>
      <vt:variant>
        <vt:i4>984</vt:i4>
      </vt:variant>
      <vt:variant>
        <vt:i4>0</vt:i4>
      </vt:variant>
      <vt:variant>
        <vt:i4>5</vt:i4>
      </vt:variant>
      <vt:variant>
        <vt:lpwstr/>
      </vt:variant>
      <vt:variant>
        <vt:lpwstr>_12.3.2_Child_safety</vt:lpwstr>
      </vt:variant>
      <vt:variant>
        <vt:i4>4718691</vt:i4>
      </vt:variant>
      <vt:variant>
        <vt:i4>981</vt:i4>
      </vt:variant>
      <vt:variant>
        <vt:i4>0</vt:i4>
      </vt:variant>
      <vt:variant>
        <vt:i4>5</vt:i4>
      </vt:variant>
      <vt:variant>
        <vt:lpwstr/>
      </vt:variant>
      <vt:variant>
        <vt:lpwstr>_12.3.2_Child_safety</vt:lpwstr>
      </vt:variant>
      <vt:variant>
        <vt:i4>4718691</vt:i4>
      </vt:variant>
      <vt:variant>
        <vt:i4>978</vt:i4>
      </vt:variant>
      <vt:variant>
        <vt:i4>0</vt:i4>
      </vt:variant>
      <vt:variant>
        <vt:i4>5</vt:i4>
      </vt:variant>
      <vt:variant>
        <vt:lpwstr/>
      </vt:variant>
      <vt:variant>
        <vt:lpwstr>_12.3.2_Child_safety</vt:lpwstr>
      </vt:variant>
      <vt:variant>
        <vt:i4>7929943</vt:i4>
      </vt:variant>
      <vt:variant>
        <vt:i4>975</vt:i4>
      </vt:variant>
      <vt:variant>
        <vt:i4>0</vt:i4>
      </vt:variant>
      <vt:variant>
        <vt:i4>5</vt:i4>
      </vt:variant>
      <vt:variant>
        <vt:lpwstr/>
      </vt:variant>
      <vt:variant>
        <vt:lpwstr>_12.5_Child_protection</vt:lpwstr>
      </vt:variant>
      <vt:variant>
        <vt:i4>7929943</vt:i4>
      </vt:variant>
      <vt:variant>
        <vt:i4>972</vt:i4>
      </vt:variant>
      <vt:variant>
        <vt:i4>0</vt:i4>
      </vt:variant>
      <vt:variant>
        <vt:i4>5</vt:i4>
      </vt:variant>
      <vt:variant>
        <vt:lpwstr/>
      </vt:variant>
      <vt:variant>
        <vt:lpwstr>_12.5_Child_protection</vt:lpwstr>
      </vt:variant>
      <vt:variant>
        <vt:i4>1376276</vt:i4>
      </vt:variant>
      <vt:variant>
        <vt:i4>969</vt:i4>
      </vt:variant>
      <vt:variant>
        <vt:i4>0</vt:i4>
      </vt:variant>
      <vt:variant>
        <vt:i4>5</vt:i4>
      </vt:variant>
      <vt:variant>
        <vt:lpwstr>https://www.acecqa.gov.au/nqf-online-safety-guide</vt:lpwstr>
      </vt:variant>
      <vt:variant>
        <vt:lpwstr/>
      </vt:variant>
      <vt:variant>
        <vt:i4>8192092</vt:i4>
      </vt:variant>
      <vt:variant>
        <vt:i4>966</vt:i4>
      </vt:variant>
      <vt:variant>
        <vt:i4>0</vt:i4>
      </vt:variant>
      <vt:variant>
        <vt:i4>5</vt:i4>
      </vt:variant>
      <vt:variant>
        <vt:lpwstr/>
      </vt:variant>
      <vt:variant>
        <vt:lpwstr>_12.4_The_National</vt:lpwstr>
      </vt:variant>
      <vt:variant>
        <vt:i4>6553719</vt:i4>
      </vt:variant>
      <vt:variant>
        <vt:i4>963</vt:i4>
      </vt:variant>
      <vt:variant>
        <vt:i4>0</vt:i4>
      </vt:variant>
      <vt:variant>
        <vt:i4>5</vt:i4>
      </vt:variant>
      <vt:variant>
        <vt:lpwstr>https://www.acecqa.gov.au/national-model-code-taking-images-early-childhood-education-and-care</vt:lpwstr>
      </vt:variant>
      <vt:variant>
        <vt:lpwstr/>
      </vt:variant>
      <vt:variant>
        <vt:i4>1376276</vt:i4>
      </vt:variant>
      <vt:variant>
        <vt:i4>960</vt:i4>
      </vt:variant>
      <vt:variant>
        <vt:i4>0</vt:i4>
      </vt:variant>
      <vt:variant>
        <vt:i4>5</vt:i4>
      </vt:variant>
      <vt:variant>
        <vt:lpwstr>https://www.acecqa.gov.au/nqf-child-safety-guides</vt:lpwstr>
      </vt:variant>
      <vt:variant>
        <vt:lpwstr/>
      </vt:variant>
      <vt:variant>
        <vt:i4>262237</vt:i4>
      </vt:variant>
      <vt:variant>
        <vt:i4>957</vt:i4>
      </vt:variant>
      <vt:variant>
        <vt:i4>0</vt:i4>
      </vt:variant>
      <vt:variant>
        <vt:i4>5</vt:i4>
      </vt:variant>
      <vt:variant>
        <vt:lpwstr>https://www.acecqa.gov.au/resources/national-registers/services?s=&amp;nocache=1752628667210</vt:lpwstr>
      </vt:variant>
      <vt:variant>
        <vt:lpwstr/>
      </vt:variant>
      <vt:variant>
        <vt:i4>327807</vt:i4>
      </vt:variant>
      <vt:variant>
        <vt:i4>948</vt:i4>
      </vt:variant>
      <vt:variant>
        <vt:i4>0</vt:i4>
      </vt:variant>
      <vt:variant>
        <vt:i4>5</vt:i4>
      </vt:variant>
      <vt:variant>
        <vt:lpwstr/>
      </vt:variant>
      <vt:variant>
        <vt:lpwstr>_1.1_The_National</vt:lpwstr>
      </vt:variant>
      <vt:variant>
        <vt:i4>1376318</vt:i4>
      </vt:variant>
      <vt:variant>
        <vt:i4>945</vt:i4>
      </vt:variant>
      <vt:variant>
        <vt:i4>0</vt:i4>
      </vt:variant>
      <vt:variant>
        <vt:i4>5</vt:i4>
      </vt:variant>
      <vt:variant>
        <vt:lpwstr/>
      </vt:variant>
      <vt:variant>
        <vt:lpwstr>_9._Additional_recommendations</vt:lpwstr>
      </vt:variant>
      <vt:variant>
        <vt:i4>5701757</vt:i4>
      </vt:variant>
      <vt:variant>
        <vt:i4>942</vt:i4>
      </vt:variant>
      <vt:variant>
        <vt:i4>0</vt:i4>
      </vt:variant>
      <vt:variant>
        <vt:i4>5</vt:i4>
      </vt:variant>
      <vt:variant>
        <vt:lpwstr/>
      </vt:variant>
      <vt:variant>
        <vt:lpwstr>_8._Improving_the</vt:lpwstr>
      </vt:variant>
      <vt:variant>
        <vt:i4>6029433</vt:i4>
      </vt:variant>
      <vt:variant>
        <vt:i4>939</vt:i4>
      </vt:variant>
      <vt:variant>
        <vt:i4>0</vt:i4>
      </vt:variant>
      <vt:variant>
        <vt:i4>5</vt:i4>
      </vt:variant>
      <vt:variant>
        <vt:lpwstr/>
      </vt:variant>
      <vt:variant>
        <vt:lpwstr>_7._Working_with</vt:lpwstr>
      </vt:variant>
      <vt:variant>
        <vt:i4>6815818</vt:i4>
      </vt:variant>
      <vt:variant>
        <vt:i4>936</vt:i4>
      </vt:variant>
      <vt:variant>
        <vt:i4>0</vt:i4>
      </vt:variant>
      <vt:variant>
        <vt:i4>5</vt:i4>
      </vt:variant>
      <vt:variant>
        <vt:lpwstr/>
      </vt:variant>
      <vt:variant>
        <vt:lpwstr>_6._Responding_to</vt:lpwstr>
      </vt:variant>
      <vt:variant>
        <vt:i4>4980862</vt:i4>
      </vt:variant>
      <vt:variant>
        <vt:i4>933</vt:i4>
      </vt:variant>
      <vt:variant>
        <vt:i4>0</vt:i4>
      </vt:variant>
      <vt:variant>
        <vt:i4>5</vt:i4>
      </vt:variant>
      <vt:variant>
        <vt:lpwstr/>
      </vt:variant>
      <vt:variant>
        <vt:lpwstr>_5._Child_safety</vt:lpwstr>
      </vt:variant>
      <vt:variant>
        <vt:i4>7340105</vt:i4>
      </vt:variant>
      <vt:variant>
        <vt:i4>930</vt:i4>
      </vt:variant>
      <vt:variant>
        <vt:i4>0</vt:i4>
      </vt:variant>
      <vt:variant>
        <vt:i4>5</vt:i4>
      </vt:variant>
      <vt:variant>
        <vt:lpwstr/>
      </vt:variant>
      <vt:variant>
        <vt:lpwstr>_4._Management_of</vt:lpwstr>
      </vt:variant>
      <vt:variant>
        <vt:i4>5898285</vt:i4>
      </vt:variant>
      <vt:variant>
        <vt:i4>924</vt:i4>
      </vt:variant>
      <vt:variant>
        <vt:i4>0</vt:i4>
      </vt:variant>
      <vt:variant>
        <vt:i4>5</vt:i4>
      </vt:variant>
      <vt:variant>
        <vt:lpwstr>https://www.acecqa.gov.au/sites/default/files/2023-12/Review of Child Safety Arrangements under the National Quality Framework-full_report.pdf</vt:lpwstr>
      </vt:variant>
      <vt:variant>
        <vt:lpwstr/>
      </vt:variant>
      <vt:variant>
        <vt:i4>589891</vt:i4>
      </vt:variant>
      <vt:variant>
        <vt:i4>921</vt:i4>
      </vt:variant>
      <vt:variant>
        <vt:i4>0</vt:i4>
      </vt:variant>
      <vt:variant>
        <vt:i4>5</vt:i4>
      </vt:variant>
      <vt:variant>
        <vt:lpwstr/>
      </vt:variant>
      <vt:variant>
        <vt:lpwstr>_12._Appendix</vt:lpwstr>
      </vt:variant>
      <vt:variant>
        <vt:i4>2949212</vt:i4>
      </vt:variant>
      <vt:variant>
        <vt:i4>918</vt:i4>
      </vt:variant>
      <vt:variant>
        <vt:i4>0</vt:i4>
      </vt:variant>
      <vt:variant>
        <vt:i4>5</vt:i4>
      </vt:variant>
      <vt:variant>
        <vt:lpwstr/>
      </vt:variant>
      <vt:variant>
        <vt:lpwstr>_11._Implementing_and</vt:lpwstr>
      </vt:variant>
      <vt:variant>
        <vt:i4>5242928</vt:i4>
      </vt:variant>
      <vt:variant>
        <vt:i4>915</vt:i4>
      </vt:variant>
      <vt:variant>
        <vt:i4>0</vt:i4>
      </vt:variant>
      <vt:variant>
        <vt:i4>5</vt:i4>
      </vt:variant>
      <vt:variant>
        <vt:lpwstr/>
      </vt:variant>
      <vt:variant>
        <vt:lpwstr>_10._Additional_recommendations</vt:lpwstr>
      </vt:variant>
      <vt:variant>
        <vt:i4>5636221</vt:i4>
      </vt:variant>
      <vt:variant>
        <vt:i4>912</vt:i4>
      </vt:variant>
      <vt:variant>
        <vt:i4>0</vt:i4>
      </vt:variant>
      <vt:variant>
        <vt:i4>5</vt:i4>
      </vt:variant>
      <vt:variant>
        <vt:lpwstr/>
      </vt:variant>
      <vt:variant>
        <vt:lpwstr>_9._Improving_the</vt:lpwstr>
      </vt:variant>
      <vt:variant>
        <vt:i4>5439609</vt:i4>
      </vt:variant>
      <vt:variant>
        <vt:i4>909</vt:i4>
      </vt:variant>
      <vt:variant>
        <vt:i4>0</vt:i4>
      </vt:variant>
      <vt:variant>
        <vt:i4>5</vt:i4>
      </vt:variant>
      <vt:variant>
        <vt:lpwstr/>
      </vt:variant>
      <vt:variant>
        <vt:lpwstr>_8._Working_with</vt:lpwstr>
      </vt:variant>
      <vt:variant>
        <vt:i4>6881354</vt:i4>
      </vt:variant>
      <vt:variant>
        <vt:i4>906</vt:i4>
      </vt:variant>
      <vt:variant>
        <vt:i4>0</vt:i4>
      </vt:variant>
      <vt:variant>
        <vt:i4>5</vt:i4>
      </vt:variant>
      <vt:variant>
        <vt:lpwstr/>
      </vt:variant>
      <vt:variant>
        <vt:lpwstr>_7._Responding_to</vt:lpwstr>
      </vt:variant>
      <vt:variant>
        <vt:i4>5177470</vt:i4>
      </vt:variant>
      <vt:variant>
        <vt:i4>903</vt:i4>
      </vt:variant>
      <vt:variant>
        <vt:i4>0</vt:i4>
      </vt:variant>
      <vt:variant>
        <vt:i4>5</vt:i4>
      </vt:variant>
      <vt:variant>
        <vt:lpwstr/>
      </vt:variant>
      <vt:variant>
        <vt:lpwstr>_6._Child_safety</vt:lpwstr>
      </vt:variant>
      <vt:variant>
        <vt:i4>7405641</vt:i4>
      </vt:variant>
      <vt:variant>
        <vt:i4>900</vt:i4>
      </vt:variant>
      <vt:variant>
        <vt:i4>0</vt:i4>
      </vt:variant>
      <vt:variant>
        <vt:i4>5</vt:i4>
      </vt:variant>
      <vt:variant>
        <vt:lpwstr/>
      </vt:variant>
      <vt:variant>
        <vt:lpwstr>_5._Management_of</vt:lpwstr>
      </vt:variant>
      <vt:variant>
        <vt:i4>1310771</vt:i4>
      </vt:variant>
      <vt:variant>
        <vt:i4>897</vt:i4>
      </vt:variant>
      <vt:variant>
        <vt:i4>0</vt:i4>
      </vt:variant>
      <vt:variant>
        <vt:i4>5</vt:i4>
      </vt:variant>
      <vt:variant>
        <vt:lpwstr/>
      </vt:variant>
      <vt:variant>
        <vt:lpwstr>_4._Approach_to</vt:lpwstr>
      </vt:variant>
      <vt:variant>
        <vt:i4>4128792</vt:i4>
      </vt:variant>
      <vt:variant>
        <vt:i4>894</vt:i4>
      </vt:variant>
      <vt:variant>
        <vt:i4>0</vt:i4>
      </vt:variant>
      <vt:variant>
        <vt:i4>5</vt:i4>
      </vt:variant>
      <vt:variant>
        <vt:lpwstr/>
      </vt:variant>
      <vt:variant>
        <vt:lpwstr>_3._Summary_of</vt:lpwstr>
      </vt:variant>
      <vt:variant>
        <vt:i4>6160496</vt:i4>
      </vt:variant>
      <vt:variant>
        <vt:i4>891</vt:i4>
      </vt:variant>
      <vt:variant>
        <vt:i4>0</vt:i4>
      </vt:variant>
      <vt:variant>
        <vt:i4>5</vt:i4>
      </vt:variant>
      <vt:variant>
        <vt:lpwstr/>
      </vt:variant>
      <vt:variant>
        <vt:lpwstr>_2._The_case</vt:lpwstr>
      </vt:variant>
      <vt:variant>
        <vt:i4>7471213</vt:i4>
      </vt:variant>
      <vt:variant>
        <vt:i4>888</vt:i4>
      </vt:variant>
      <vt:variant>
        <vt:i4>0</vt:i4>
      </vt:variant>
      <vt:variant>
        <vt:i4>5</vt:i4>
      </vt:variant>
      <vt:variant>
        <vt:lpwstr/>
      </vt:variant>
      <vt:variant>
        <vt:lpwstr>_1._Introduction</vt:lpwstr>
      </vt:variant>
      <vt:variant>
        <vt:i4>2949212</vt:i4>
      </vt:variant>
      <vt:variant>
        <vt:i4>885</vt:i4>
      </vt:variant>
      <vt:variant>
        <vt:i4>0</vt:i4>
      </vt:variant>
      <vt:variant>
        <vt:i4>5</vt:i4>
      </vt:variant>
      <vt:variant>
        <vt:lpwstr/>
      </vt:variant>
      <vt:variant>
        <vt:lpwstr>_11._Implementing_and</vt:lpwstr>
      </vt:variant>
      <vt:variant>
        <vt:i4>5242928</vt:i4>
      </vt:variant>
      <vt:variant>
        <vt:i4>882</vt:i4>
      </vt:variant>
      <vt:variant>
        <vt:i4>0</vt:i4>
      </vt:variant>
      <vt:variant>
        <vt:i4>5</vt:i4>
      </vt:variant>
      <vt:variant>
        <vt:lpwstr/>
      </vt:variant>
      <vt:variant>
        <vt:lpwstr>_10._Additional_recommendations</vt:lpwstr>
      </vt:variant>
      <vt:variant>
        <vt:i4>5636221</vt:i4>
      </vt:variant>
      <vt:variant>
        <vt:i4>879</vt:i4>
      </vt:variant>
      <vt:variant>
        <vt:i4>0</vt:i4>
      </vt:variant>
      <vt:variant>
        <vt:i4>5</vt:i4>
      </vt:variant>
      <vt:variant>
        <vt:lpwstr/>
      </vt:variant>
      <vt:variant>
        <vt:lpwstr>_9._Improving_the</vt:lpwstr>
      </vt:variant>
      <vt:variant>
        <vt:i4>5439609</vt:i4>
      </vt:variant>
      <vt:variant>
        <vt:i4>876</vt:i4>
      </vt:variant>
      <vt:variant>
        <vt:i4>0</vt:i4>
      </vt:variant>
      <vt:variant>
        <vt:i4>5</vt:i4>
      </vt:variant>
      <vt:variant>
        <vt:lpwstr/>
      </vt:variant>
      <vt:variant>
        <vt:lpwstr>_8._Working_with</vt:lpwstr>
      </vt:variant>
      <vt:variant>
        <vt:i4>6881354</vt:i4>
      </vt:variant>
      <vt:variant>
        <vt:i4>873</vt:i4>
      </vt:variant>
      <vt:variant>
        <vt:i4>0</vt:i4>
      </vt:variant>
      <vt:variant>
        <vt:i4>5</vt:i4>
      </vt:variant>
      <vt:variant>
        <vt:lpwstr/>
      </vt:variant>
      <vt:variant>
        <vt:lpwstr>_7._Responding_to</vt:lpwstr>
      </vt:variant>
      <vt:variant>
        <vt:i4>5177470</vt:i4>
      </vt:variant>
      <vt:variant>
        <vt:i4>870</vt:i4>
      </vt:variant>
      <vt:variant>
        <vt:i4>0</vt:i4>
      </vt:variant>
      <vt:variant>
        <vt:i4>5</vt:i4>
      </vt:variant>
      <vt:variant>
        <vt:lpwstr/>
      </vt:variant>
      <vt:variant>
        <vt:lpwstr>_6._Child_safety</vt:lpwstr>
      </vt:variant>
      <vt:variant>
        <vt:i4>7405641</vt:i4>
      </vt:variant>
      <vt:variant>
        <vt:i4>867</vt:i4>
      </vt:variant>
      <vt:variant>
        <vt:i4>0</vt:i4>
      </vt:variant>
      <vt:variant>
        <vt:i4>5</vt:i4>
      </vt:variant>
      <vt:variant>
        <vt:lpwstr/>
      </vt:variant>
      <vt:variant>
        <vt:lpwstr>_5._Management_of</vt:lpwstr>
      </vt:variant>
      <vt:variant>
        <vt:i4>4128792</vt:i4>
      </vt:variant>
      <vt:variant>
        <vt:i4>864</vt:i4>
      </vt:variant>
      <vt:variant>
        <vt:i4>0</vt:i4>
      </vt:variant>
      <vt:variant>
        <vt:i4>5</vt:i4>
      </vt:variant>
      <vt:variant>
        <vt:lpwstr/>
      </vt:variant>
      <vt:variant>
        <vt:lpwstr>_3._Summary_of</vt:lpwstr>
      </vt:variant>
      <vt:variant>
        <vt:i4>5898285</vt:i4>
      </vt:variant>
      <vt:variant>
        <vt:i4>861</vt:i4>
      </vt:variant>
      <vt:variant>
        <vt:i4>0</vt:i4>
      </vt:variant>
      <vt:variant>
        <vt:i4>5</vt:i4>
      </vt:variant>
      <vt:variant>
        <vt:lpwstr>https://www.acecqa.gov.au/sites/default/files/2023-12/Review of Child Safety Arrangements under the National Quality Framework-full_report.pdf</vt:lpwstr>
      </vt:variant>
      <vt:variant>
        <vt:lpwstr/>
      </vt:variant>
      <vt:variant>
        <vt:i4>1441842</vt:i4>
      </vt:variant>
      <vt:variant>
        <vt:i4>854</vt:i4>
      </vt:variant>
      <vt:variant>
        <vt:i4>0</vt:i4>
      </vt:variant>
      <vt:variant>
        <vt:i4>5</vt:i4>
      </vt:variant>
      <vt:variant>
        <vt:lpwstr/>
      </vt:variant>
      <vt:variant>
        <vt:lpwstr>_Toc205471243</vt:lpwstr>
      </vt:variant>
      <vt:variant>
        <vt:i4>1441842</vt:i4>
      </vt:variant>
      <vt:variant>
        <vt:i4>848</vt:i4>
      </vt:variant>
      <vt:variant>
        <vt:i4>0</vt:i4>
      </vt:variant>
      <vt:variant>
        <vt:i4>5</vt:i4>
      </vt:variant>
      <vt:variant>
        <vt:lpwstr/>
      </vt:variant>
      <vt:variant>
        <vt:lpwstr>_Toc205471242</vt:lpwstr>
      </vt:variant>
      <vt:variant>
        <vt:i4>1441842</vt:i4>
      </vt:variant>
      <vt:variant>
        <vt:i4>842</vt:i4>
      </vt:variant>
      <vt:variant>
        <vt:i4>0</vt:i4>
      </vt:variant>
      <vt:variant>
        <vt:i4>5</vt:i4>
      </vt:variant>
      <vt:variant>
        <vt:lpwstr/>
      </vt:variant>
      <vt:variant>
        <vt:lpwstr>_Toc205471241</vt:lpwstr>
      </vt:variant>
      <vt:variant>
        <vt:i4>1441842</vt:i4>
      </vt:variant>
      <vt:variant>
        <vt:i4>836</vt:i4>
      </vt:variant>
      <vt:variant>
        <vt:i4>0</vt:i4>
      </vt:variant>
      <vt:variant>
        <vt:i4>5</vt:i4>
      </vt:variant>
      <vt:variant>
        <vt:lpwstr/>
      </vt:variant>
      <vt:variant>
        <vt:lpwstr>_Toc205471240</vt:lpwstr>
      </vt:variant>
      <vt:variant>
        <vt:i4>1114162</vt:i4>
      </vt:variant>
      <vt:variant>
        <vt:i4>830</vt:i4>
      </vt:variant>
      <vt:variant>
        <vt:i4>0</vt:i4>
      </vt:variant>
      <vt:variant>
        <vt:i4>5</vt:i4>
      </vt:variant>
      <vt:variant>
        <vt:lpwstr/>
      </vt:variant>
      <vt:variant>
        <vt:lpwstr>_Toc205471239</vt:lpwstr>
      </vt:variant>
      <vt:variant>
        <vt:i4>1114162</vt:i4>
      </vt:variant>
      <vt:variant>
        <vt:i4>824</vt:i4>
      </vt:variant>
      <vt:variant>
        <vt:i4>0</vt:i4>
      </vt:variant>
      <vt:variant>
        <vt:i4>5</vt:i4>
      </vt:variant>
      <vt:variant>
        <vt:lpwstr/>
      </vt:variant>
      <vt:variant>
        <vt:lpwstr>_Toc205471238</vt:lpwstr>
      </vt:variant>
      <vt:variant>
        <vt:i4>1114162</vt:i4>
      </vt:variant>
      <vt:variant>
        <vt:i4>818</vt:i4>
      </vt:variant>
      <vt:variant>
        <vt:i4>0</vt:i4>
      </vt:variant>
      <vt:variant>
        <vt:i4>5</vt:i4>
      </vt:variant>
      <vt:variant>
        <vt:lpwstr/>
      </vt:variant>
      <vt:variant>
        <vt:lpwstr>_Toc205471237</vt:lpwstr>
      </vt:variant>
      <vt:variant>
        <vt:i4>1114162</vt:i4>
      </vt:variant>
      <vt:variant>
        <vt:i4>812</vt:i4>
      </vt:variant>
      <vt:variant>
        <vt:i4>0</vt:i4>
      </vt:variant>
      <vt:variant>
        <vt:i4>5</vt:i4>
      </vt:variant>
      <vt:variant>
        <vt:lpwstr/>
      </vt:variant>
      <vt:variant>
        <vt:lpwstr>_Toc205471236</vt:lpwstr>
      </vt:variant>
      <vt:variant>
        <vt:i4>1114162</vt:i4>
      </vt:variant>
      <vt:variant>
        <vt:i4>806</vt:i4>
      </vt:variant>
      <vt:variant>
        <vt:i4>0</vt:i4>
      </vt:variant>
      <vt:variant>
        <vt:i4>5</vt:i4>
      </vt:variant>
      <vt:variant>
        <vt:lpwstr/>
      </vt:variant>
      <vt:variant>
        <vt:lpwstr>_Toc205471235</vt:lpwstr>
      </vt:variant>
      <vt:variant>
        <vt:i4>1114162</vt:i4>
      </vt:variant>
      <vt:variant>
        <vt:i4>800</vt:i4>
      </vt:variant>
      <vt:variant>
        <vt:i4>0</vt:i4>
      </vt:variant>
      <vt:variant>
        <vt:i4>5</vt:i4>
      </vt:variant>
      <vt:variant>
        <vt:lpwstr/>
      </vt:variant>
      <vt:variant>
        <vt:lpwstr>_Toc205471234</vt:lpwstr>
      </vt:variant>
      <vt:variant>
        <vt:i4>1114162</vt:i4>
      </vt:variant>
      <vt:variant>
        <vt:i4>794</vt:i4>
      </vt:variant>
      <vt:variant>
        <vt:i4>0</vt:i4>
      </vt:variant>
      <vt:variant>
        <vt:i4>5</vt:i4>
      </vt:variant>
      <vt:variant>
        <vt:lpwstr/>
      </vt:variant>
      <vt:variant>
        <vt:lpwstr>_Toc205471233</vt:lpwstr>
      </vt:variant>
      <vt:variant>
        <vt:i4>1114162</vt:i4>
      </vt:variant>
      <vt:variant>
        <vt:i4>788</vt:i4>
      </vt:variant>
      <vt:variant>
        <vt:i4>0</vt:i4>
      </vt:variant>
      <vt:variant>
        <vt:i4>5</vt:i4>
      </vt:variant>
      <vt:variant>
        <vt:lpwstr/>
      </vt:variant>
      <vt:variant>
        <vt:lpwstr>_Toc205471232</vt:lpwstr>
      </vt:variant>
      <vt:variant>
        <vt:i4>1114162</vt:i4>
      </vt:variant>
      <vt:variant>
        <vt:i4>782</vt:i4>
      </vt:variant>
      <vt:variant>
        <vt:i4>0</vt:i4>
      </vt:variant>
      <vt:variant>
        <vt:i4>5</vt:i4>
      </vt:variant>
      <vt:variant>
        <vt:lpwstr/>
      </vt:variant>
      <vt:variant>
        <vt:lpwstr>_Toc205471231</vt:lpwstr>
      </vt:variant>
      <vt:variant>
        <vt:i4>1114162</vt:i4>
      </vt:variant>
      <vt:variant>
        <vt:i4>776</vt:i4>
      </vt:variant>
      <vt:variant>
        <vt:i4>0</vt:i4>
      </vt:variant>
      <vt:variant>
        <vt:i4>5</vt:i4>
      </vt:variant>
      <vt:variant>
        <vt:lpwstr/>
      </vt:variant>
      <vt:variant>
        <vt:lpwstr>_Toc205471230</vt:lpwstr>
      </vt:variant>
      <vt:variant>
        <vt:i4>1048626</vt:i4>
      </vt:variant>
      <vt:variant>
        <vt:i4>770</vt:i4>
      </vt:variant>
      <vt:variant>
        <vt:i4>0</vt:i4>
      </vt:variant>
      <vt:variant>
        <vt:i4>5</vt:i4>
      </vt:variant>
      <vt:variant>
        <vt:lpwstr/>
      </vt:variant>
      <vt:variant>
        <vt:lpwstr>_Toc205471229</vt:lpwstr>
      </vt:variant>
      <vt:variant>
        <vt:i4>1048626</vt:i4>
      </vt:variant>
      <vt:variant>
        <vt:i4>764</vt:i4>
      </vt:variant>
      <vt:variant>
        <vt:i4>0</vt:i4>
      </vt:variant>
      <vt:variant>
        <vt:i4>5</vt:i4>
      </vt:variant>
      <vt:variant>
        <vt:lpwstr/>
      </vt:variant>
      <vt:variant>
        <vt:lpwstr>_Toc205471228</vt:lpwstr>
      </vt:variant>
      <vt:variant>
        <vt:i4>1048626</vt:i4>
      </vt:variant>
      <vt:variant>
        <vt:i4>758</vt:i4>
      </vt:variant>
      <vt:variant>
        <vt:i4>0</vt:i4>
      </vt:variant>
      <vt:variant>
        <vt:i4>5</vt:i4>
      </vt:variant>
      <vt:variant>
        <vt:lpwstr/>
      </vt:variant>
      <vt:variant>
        <vt:lpwstr>_Toc205471227</vt:lpwstr>
      </vt:variant>
      <vt:variant>
        <vt:i4>1048626</vt:i4>
      </vt:variant>
      <vt:variant>
        <vt:i4>752</vt:i4>
      </vt:variant>
      <vt:variant>
        <vt:i4>0</vt:i4>
      </vt:variant>
      <vt:variant>
        <vt:i4>5</vt:i4>
      </vt:variant>
      <vt:variant>
        <vt:lpwstr/>
      </vt:variant>
      <vt:variant>
        <vt:lpwstr>_Toc205471226</vt:lpwstr>
      </vt:variant>
      <vt:variant>
        <vt:i4>1048626</vt:i4>
      </vt:variant>
      <vt:variant>
        <vt:i4>746</vt:i4>
      </vt:variant>
      <vt:variant>
        <vt:i4>0</vt:i4>
      </vt:variant>
      <vt:variant>
        <vt:i4>5</vt:i4>
      </vt:variant>
      <vt:variant>
        <vt:lpwstr/>
      </vt:variant>
      <vt:variant>
        <vt:lpwstr>_Toc205471225</vt:lpwstr>
      </vt:variant>
      <vt:variant>
        <vt:i4>1048626</vt:i4>
      </vt:variant>
      <vt:variant>
        <vt:i4>740</vt:i4>
      </vt:variant>
      <vt:variant>
        <vt:i4>0</vt:i4>
      </vt:variant>
      <vt:variant>
        <vt:i4>5</vt:i4>
      </vt:variant>
      <vt:variant>
        <vt:lpwstr/>
      </vt:variant>
      <vt:variant>
        <vt:lpwstr>_Toc205471224</vt:lpwstr>
      </vt:variant>
      <vt:variant>
        <vt:i4>1048626</vt:i4>
      </vt:variant>
      <vt:variant>
        <vt:i4>734</vt:i4>
      </vt:variant>
      <vt:variant>
        <vt:i4>0</vt:i4>
      </vt:variant>
      <vt:variant>
        <vt:i4>5</vt:i4>
      </vt:variant>
      <vt:variant>
        <vt:lpwstr/>
      </vt:variant>
      <vt:variant>
        <vt:lpwstr>_Toc205471223</vt:lpwstr>
      </vt:variant>
      <vt:variant>
        <vt:i4>1048626</vt:i4>
      </vt:variant>
      <vt:variant>
        <vt:i4>728</vt:i4>
      </vt:variant>
      <vt:variant>
        <vt:i4>0</vt:i4>
      </vt:variant>
      <vt:variant>
        <vt:i4>5</vt:i4>
      </vt:variant>
      <vt:variant>
        <vt:lpwstr/>
      </vt:variant>
      <vt:variant>
        <vt:lpwstr>_Toc205471222</vt:lpwstr>
      </vt:variant>
      <vt:variant>
        <vt:i4>1048626</vt:i4>
      </vt:variant>
      <vt:variant>
        <vt:i4>722</vt:i4>
      </vt:variant>
      <vt:variant>
        <vt:i4>0</vt:i4>
      </vt:variant>
      <vt:variant>
        <vt:i4>5</vt:i4>
      </vt:variant>
      <vt:variant>
        <vt:lpwstr/>
      </vt:variant>
      <vt:variant>
        <vt:lpwstr>_Toc205471221</vt:lpwstr>
      </vt:variant>
      <vt:variant>
        <vt:i4>1048626</vt:i4>
      </vt:variant>
      <vt:variant>
        <vt:i4>716</vt:i4>
      </vt:variant>
      <vt:variant>
        <vt:i4>0</vt:i4>
      </vt:variant>
      <vt:variant>
        <vt:i4>5</vt:i4>
      </vt:variant>
      <vt:variant>
        <vt:lpwstr/>
      </vt:variant>
      <vt:variant>
        <vt:lpwstr>_Toc205471220</vt:lpwstr>
      </vt:variant>
      <vt:variant>
        <vt:i4>1245234</vt:i4>
      </vt:variant>
      <vt:variant>
        <vt:i4>710</vt:i4>
      </vt:variant>
      <vt:variant>
        <vt:i4>0</vt:i4>
      </vt:variant>
      <vt:variant>
        <vt:i4>5</vt:i4>
      </vt:variant>
      <vt:variant>
        <vt:lpwstr/>
      </vt:variant>
      <vt:variant>
        <vt:lpwstr>_Toc205471219</vt:lpwstr>
      </vt:variant>
      <vt:variant>
        <vt:i4>1245234</vt:i4>
      </vt:variant>
      <vt:variant>
        <vt:i4>704</vt:i4>
      </vt:variant>
      <vt:variant>
        <vt:i4>0</vt:i4>
      </vt:variant>
      <vt:variant>
        <vt:i4>5</vt:i4>
      </vt:variant>
      <vt:variant>
        <vt:lpwstr/>
      </vt:variant>
      <vt:variant>
        <vt:lpwstr>_Toc205471218</vt:lpwstr>
      </vt:variant>
      <vt:variant>
        <vt:i4>1245234</vt:i4>
      </vt:variant>
      <vt:variant>
        <vt:i4>698</vt:i4>
      </vt:variant>
      <vt:variant>
        <vt:i4>0</vt:i4>
      </vt:variant>
      <vt:variant>
        <vt:i4>5</vt:i4>
      </vt:variant>
      <vt:variant>
        <vt:lpwstr/>
      </vt:variant>
      <vt:variant>
        <vt:lpwstr>_Toc205471217</vt:lpwstr>
      </vt:variant>
      <vt:variant>
        <vt:i4>1245234</vt:i4>
      </vt:variant>
      <vt:variant>
        <vt:i4>692</vt:i4>
      </vt:variant>
      <vt:variant>
        <vt:i4>0</vt:i4>
      </vt:variant>
      <vt:variant>
        <vt:i4>5</vt:i4>
      </vt:variant>
      <vt:variant>
        <vt:lpwstr/>
      </vt:variant>
      <vt:variant>
        <vt:lpwstr>_Toc205471216</vt:lpwstr>
      </vt:variant>
      <vt:variant>
        <vt:i4>1245234</vt:i4>
      </vt:variant>
      <vt:variant>
        <vt:i4>686</vt:i4>
      </vt:variant>
      <vt:variant>
        <vt:i4>0</vt:i4>
      </vt:variant>
      <vt:variant>
        <vt:i4>5</vt:i4>
      </vt:variant>
      <vt:variant>
        <vt:lpwstr/>
      </vt:variant>
      <vt:variant>
        <vt:lpwstr>_Toc205471215</vt:lpwstr>
      </vt:variant>
      <vt:variant>
        <vt:i4>1245234</vt:i4>
      </vt:variant>
      <vt:variant>
        <vt:i4>680</vt:i4>
      </vt:variant>
      <vt:variant>
        <vt:i4>0</vt:i4>
      </vt:variant>
      <vt:variant>
        <vt:i4>5</vt:i4>
      </vt:variant>
      <vt:variant>
        <vt:lpwstr/>
      </vt:variant>
      <vt:variant>
        <vt:lpwstr>_Toc205471214</vt:lpwstr>
      </vt:variant>
      <vt:variant>
        <vt:i4>1245234</vt:i4>
      </vt:variant>
      <vt:variant>
        <vt:i4>674</vt:i4>
      </vt:variant>
      <vt:variant>
        <vt:i4>0</vt:i4>
      </vt:variant>
      <vt:variant>
        <vt:i4>5</vt:i4>
      </vt:variant>
      <vt:variant>
        <vt:lpwstr/>
      </vt:variant>
      <vt:variant>
        <vt:lpwstr>_Toc205471213</vt:lpwstr>
      </vt:variant>
      <vt:variant>
        <vt:i4>1245234</vt:i4>
      </vt:variant>
      <vt:variant>
        <vt:i4>668</vt:i4>
      </vt:variant>
      <vt:variant>
        <vt:i4>0</vt:i4>
      </vt:variant>
      <vt:variant>
        <vt:i4>5</vt:i4>
      </vt:variant>
      <vt:variant>
        <vt:lpwstr/>
      </vt:variant>
      <vt:variant>
        <vt:lpwstr>_Toc205471212</vt:lpwstr>
      </vt:variant>
      <vt:variant>
        <vt:i4>1245234</vt:i4>
      </vt:variant>
      <vt:variant>
        <vt:i4>662</vt:i4>
      </vt:variant>
      <vt:variant>
        <vt:i4>0</vt:i4>
      </vt:variant>
      <vt:variant>
        <vt:i4>5</vt:i4>
      </vt:variant>
      <vt:variant>
        <vt:lpwstr/>
      </vt:variant>
      <vt:variant>
        <vt:lpwstr>_Toc205471211</vt:lpwstr>
      </vt:variant>
      <vt:variant>
        <vt:i4>1245234</vt:i4>
      </vt:variant>
      <vt:variant>
        <vt:i4>656</vt:i4>
      </vt:variant>
      <vt:variant>
        <vt:i4>0</vt:i4>
      </vt:variant>
      <vt:variant>
        <vt:i4>5</vt:i4>
      </vt:variant>
      <vt:variant>
        <vt:lpwstr/>
      </vt:variant>
      <vt:variant>
        <vt:lpwstr>_Toc205471210</vt:lpwstr>
      </vt:variant>
      <vt:variant>
        <vt:i4>1179698</vt:i4>
      </vt:variant>
      <vt:variant>
        <vt:i4>650</vt:i4>
      </vt:variant>
      <vt:variant>
        <vt:i4>0</vt:i4>
      </vt:variant>
      <vt:variant>
        <vt:i4>5</vt:i4>
      </vt:variant>
      <vt:variant>
        <vt:lpwstr/>
      </vt:variant>
      <vt:variant>
        <vt:lpwstr>_Toc205471209</vt:lpwstr>
      </vt:variant>
      <vt:variant>
        <vt:i4>1179698</vt:i4>
      </vt:variant>
      <vt:variant>
        <vt:i4>644</vt:i4>
      </vt:variant>
      <vt:variant>
        <vt:i4>0</vt:i4>
      </vt:variant>
      <vt:variant>
        <vt:i4>5</vt:i4>
      </vt:variant>
      <vt:variant>
        <vt:lpwstr/>
      </vt:variant>
      <vt:variant>
        <vt:lpwstr>_Toc205471208</vt:lpwstr>
      </vt:variant>
      <vt:variant>
        <vt:i4>1179698</vt:i4>
      </vt:variant>
      <vt:variant>
        <vt:i4>638</vt:i4>
      </vt:variant>
      <vt:variant>
        <vt:i4>0</vt:i4>
      </vt:variant>
      <vt:variant>
        <vt:i4>5</vt:i4>
      </vt:variant>
      <vt:variant>
        <vt:lpwstr/>
      </vt:variant>
      <vt:variant>
        <vt:lpwstr>_Toc205471207</vt:lpwstr>
      </vt:variant>
      <vt:variant>
        <vt:i4>1179698</vt:i4>
      </vt:variant>
      <vt:variant>
        <vt:i4>632</vt:i4>
      </vt:variant>
      <vt:variant>
        <vt:i4>0</vt:i4>
      </vt:variant>
      <vt:variant>
        <vt:i4>5</vt:i4>
      </vt:variant>
      <vt:variant>
        <vt:lpwstr/>
      </vt:variant>
      <vt:variant>
        <vt:lpwstr>_Toc205471206</vt:lpwstr>
      </vt:variant>
      <vt:variant>
        <vt:i4>1179698</vt:i4>
      </vt:variant>
      <vt:variant>
        <vt:i4>626</vt:i4>
      </vt:variant>
      <vt:variant>
        <vt:i4>0</vt:i4>
      </vt:variant>
      <vt:variant>
        <vt:i4>5</vt:i4>
      </vt:variant>
      <vt:variant>
        <vt:lpwstr/>
      </vt:variant>
      <vt:variant>
        <vt:lpwstr>_Toc205471205</vt:lpwstr>
      </vt:variant>
      <vt:variant>
        <vt:i4>1179698</vt:i4>
      </vt:variant>
      <vt:variant>
        <vt:i4>620</vt:i4>
      </vt:variant>
      <vt:variant>
        <vt:i4>0</vt:i4>
      </vt:variant>
      <vt:variant>
        <vt:i4>5</vt:i4>
      </vt:variant>
      <vt:variant>
        <vt:lpwstr/>
      </vt:variant>
      <vt:variant>
        <vt:lpwstr>_Toc205471204</vt:lpwstr>
      </vt:variant>
      <vt:variant>
        <vt:i4>1179698</vt:i4>
      </vt:variant>
      <vt:variant>
        <vt:i4>614</vt:i4>
      </vt:variant>
      <vt:variant>
        <vt:i4>0</vt:i4>
      </vt:variant>
      <vt:variant>
        <vt:i4>5</vt:i4>
      </vt:variant>
      <vt:variant>
        <vt:lpwstr/>
      </vt:variant>
      <vt:variant>
        <vt:lpwstr>_Toc205471203</vt:lpwstr>
      </vt:variant>
      <vt:variant>
        <vt:i4>1179698</vt:i4>
      </vt:variant>
      <vt:variant>
        <vt:i4>608</vt:i4>
      </vt:variant>
      <vt:variant>
        <vt:i4>0</vt:i4>
      </vt:variant>
      <vt:variant>
        <vt:i4>5</vt:i4>
      </vt:variant>
      <vt:variant>
        <vt:lpwstr/>
      </vt:variant>
      <vt:variant>
        <vt:lpwstr>_Toc205471202</vt:lpwstr>
      </vt:variant>
      <vt:variant>
        <vt:i4>1179698</vt:i4>
      </vt:variant>
      <vt:variant>
        <vt:i4>602</vt:i4>
      </vt:variant>
      <vt:variant>
        <vt:i4>0</vt:i4>
      </vt:variant>
      <vt:variant>
        <vt:i4>5</vt:i4>
      </vt:variant>
      <vt:variant>
        <vt:lpwstr/>
      </vt:variant>
      <vt:variant>
        <vt:lpwstr>_Toc205471201</vt:lpwstr>
      </vt:variant>
      <vt:variant>
        <vt:i4>1179698</vt:i4>
      </vt:variant>
      <vt:variant>
        <vt:i4>596</vt:i4>
      </vt:variant>
      <vt:variant>
        <vt:i4>0</vt:i4>
      </vt:variant>
      <vt:variant>
        <vt:i4>5</vt:i4>
      </vt:variant>
      <vt:variant>
        <vt:lpwstr/>
      </vt:variant>
      <vt:variant>
        <vt:lpwstr>_Toc205471200</vt:lpwstr>
      </vt:variant>
      <vt:variant>
        <vt:i4>1769521</vt:i4>
      </vt:variant>
      <vt:variant>
        <vt:i4>590</vt:i4>
      </vt:variant>
      <vt:variant>
        <vt:i4>0</vt:i4>
      </vt:variant>
      <vt:variant>
        <vt:i4>5</vt:i4>
      </vt:variant>
      <vt:variant>
        <vt:lpwstr/>
      </vt:variant>
      <vt:variant>
        <vt:lpwstr>_Toc205471199</vt:lpwstr>
      </vt:variant>
      <vt:variant>
        <vt:i4>1769521</vt:i4>
      </vt:variant>
      <vt:variant>
        <vt:i4>584</vt:i4>
      </vt:variant>
      <vt:variant>
        <vt:i4>0</vt:i4>
      </vt:variant>
      <vt:variant>
        <vt:i4>5</vt:i4>
      </vt:variant>
      <vt:variant>
        <vt:lpwstr/>
      </vt:variant>
      <vt:variant>
        <vt:lpwstr>_Toc205471198</vt:lpwstr>
      </vt:variant>
      <vt:variant>
        <vt:i4>1769521</vt:i4>
      </vt:variant>
      <vt:variant>
        <vt:i4>578</vt:i4>
      </vt:variant>
      <vt:variant>
        <vt:i4>0</vt:i4>
      </vt:variant>
      <vt:variant>
        <vt:i4>5</vt:i4>
      </vt:variant>
      <vt:variant>
        <vt:lpwstr/>
      </vt:variant>
      <vt:variant>
        <vt:lpwstr>_Toc205471197</vt:lpwstr>
      </vt:variant>
      <vt:variant>
        <vt:i4>1769521</vt:i4>
      </vt:variant>
      <vt:variant>
        <vt:i4>572</vt:i4>
      </vt:variant>
      <vt:variant>
        <vt:i4>0</vt:i4>
      </vt:variant>
      <vt:variant>
        <vt:i4>5</vt:i4>
      </vt:variant>
      <vt:variant>
        <vt:lpwstr/>
      </vt:variant>
      <vt:variant>
        <vt:lpwstr>_Toc205471196</vt:lpwstr>
      </vt:variant>
      <vt:variant>
        <vt:i4>1769521</vt:i4>
      </vt:variant>
      <vt:variant>
        <vt:i4>566</vt:i4>
      </vt:variant>
      <vt:variant>
        <vt:i4>0</vt:i4>
      </vt:variant>
      <vt:variant>
        <vt:i4>5</vt:i4>
      </vt:variant>
      <vt:variant>
        <vt:lpwstr/>
      </vt:variant>
      <vt:variant>
        <vt:lpwstr>_Toc205471195</vt:lpwstr>
      </vt:variant>
      <vt:variant>
        <vt:i4>1769521</vt:i4>
      </vt:variant>
      <vt:variant>
        <vt:i4>560</vt:i4>
      </vt:variant>
      <vt:variant>
        <vt:i4>0</vt:i4>
      </vt:variant>
      <vt:variant>
        <vt:i4>5</vt:i4>
      </vt:variant>
      <vt:variant>
        <vt:lpwstr/>
      </vt:variant>
      <vt:variant>
        <vt:lpwstr>_Toc205471194</vt:lpwstr>
      </vt:variant>
      <vt:variant>
        <vt:i4>1769521</vt:i4>
      </vt:variant>
      <vt:variant>
        <vt:i4>554</vt:i4>
      </vt:variant>
      <vt:variant>
        <vt:i4>0</vt:i4>
      </vt:variant>
      <vt:variant>
        <vt:i4>5</vt:i4>
      </vt:variant>
      <vt:variant>
        <vt:lpwstr/>
      </vt:variant>
      <vt:variant>
        <vt:lpwstr>_Toc205471193</vt:lpwstr>
      </vt:variant>
      <vt:variant>
        <vt:i4>1769521</vt:i4>
      </vt:variant>
      <vt:variant>
        <vt:i4>548</vt:i4>
      </vt:variant>
      <vt:variant>
        <vt:i4>0</vt:i4>
      </vt:variant>
      <vt:variant>
        <vt:i4>5</vt:i4>
      </vt:variant>
      <vt:variant>
        <vt:lpwstr/>
      </vt:variant>
      <vt:variant>
        <vt:lpwstr>_Toc205471192</vt:lpwstr>
      </vt:variant>
      <vt:variant>
        <vt:i4>1769521</vt:i4>
      </vt:variant>
      <vt:variant>
        <vt:i4>542</vt:i4>
      </vt:variant>
      <vt:variant>
        <vt:i4>0</vt:i4>
      </vt:variant>
      <vt:variant>
        <vt:i4>5</vt:i4>
      </vt:variant>
      <vt:variant>
        <vt:lpwstr/>
      </vt:variant>
      <vt:variant>
        <vt:lpwstr>_Toc205471191</vt:lpwstr>
      </vt:variant>
      <vt:variant>
        <vt:i4>1769521</vt:i4>
      </vt:variant>
      <vt:variant>
        <vt:i4>536</vt:i4>
      </vt:variant>
      <vt:variant>
        <vt:i4>0</vt:i4>
      </vt:variant>
      <vt:variant>
        <vt:i4>5</vt:i4>
      </vt:variant>
      <vt:variant>
        <vt:lpwstr/>
      </vt:variant>
      <vt:variant>
        <vt:lpwstr>_Toc205471190</vt:lpwstr>
      </vt:variant>
      <vt:variant>
        <vt:i4>1703985</vt:i4>
      </vt:variant>
      <vt:variant>
        <vt:i4>530</vt:i4>
      </vt:variant>
      <vt:variant>
        <vt:i4>0</vt:i4>
      </vt:variant>
      <vt:variant>
        <vt:i4>5</vt:i4>
      </vt:variant>
      <vt:variant>
        <vt:lpwstr/>
      </vt:variant>
      <vt:variant>
        <vt:lpwstr>_Toc205471189</vt:lpwstr>
      </vt:variant>
      <vt:variant>
        <vt:i4>1703985</vt:i4>
      </vt:variant>
      <vt:variant>
        <vt:i4>524</vt:i4>
      </vt:variant>
      <vt:variant>
        <vt:i4>0</vt:i4>
      </vt:variant>
      <vt:variant>
        <vt:i4>5</vt:i4>
      </vt:variant>
      <vt:variant>
        <vt:lpwstr/>
      </vt:variant>
      <vt:variant>
        <vt:lpwstr>_Toc205471188</vt:lpwstr>
      </vt:variant>
      <vt:variant>
        <vt:i4>1703985</vt:i4>
      </vt:variant>
      <vt:variant>
        <vt:i4>518</vt:i4>
      </vt:variant>
      <vt:variant>
        <vt:i4>0</vt:i4>
      </vt:variant>
      <vt:variant>
        <vt:i4>5</vt:i4>
      </vt:variant>
      <vt:variant>
        <vt:lpwstr/>
      </vt:variant>
      <vt:variant>
        <vt:lpwstr>_Toc205471187</vt:lpwstr>
      </vt:variant>
      <vt:variant>
        <vt:i4>1703985</vt:i4>
      </vt:variant>
      <vt:variant>
        <vt:i4>512</vt:i4>
      </vt:variant>
      <vt:variant>
        <vt:i4>0</vt:i4>
      </vt:variant>
      <vt:variant>
        <vt:i4>5</vt:i4>
      </vt:variant>
      <vt:variant>
        <vt:lpwstr/>
      </vt:variant>
      <vt:variant>
        <vt:lpwstr>_Toc205471186</vt:lpwstr>
      </vt:variant>
      <vt:variant>
        <vt:i4>1703985</vt:i4>
      </vt:variant>
      <vt:variant>
        <vt:i4>506</vt:i4>
      </vt:variant>
      <vt:variant>
        <vt:i4>0</vt:i4>
      </vt:variant>
      <vt:variant>
        <vt:i4>5</vt:i4>
      </vt:variant>
      <vt:variant>
        <vt:lpwstr/>
      </vt:variant>
      <vt:variant>
        <vt:lpwstr>_Toc205471185</vt:lpwstr>
      </vt:variant>
      <vt:variant>
        <vt:i4>1703985</vt:i4>
      </vt:variant>
      <vt:variant>
        <vt:i4>500</vt:i4>
      </vt:variant>
      <vt:variant>
        <vt:i4>0</vt:i4>
      </vt:variant>
      <vt:variant>
        <vt:i4>5</vt:i4>
      </vt:variant>
      <vt:variant>
        <vt:lpwstr/>
      </vt:variant>
      <vt:variant>
        <vt:lpwstr>_Toc205471184</vt:lpwstr>
      </vt:variant>
      <vt:variant>
        <vt:i4>1703985</vt:i4>
      </vt:variant>
      <vt:variant>
        <vt:i4>494</vt:i4>
      </vt:variant>
      <vt:variant>
        <vt:i4>0</vt:i4>
      </vt:variant>
      <vt:variant>
        <vt:i4>5</vt:i4>
      </vt:variant>
      <vt:variant>
        <vt:lpwstr/>
      </vt:variant>
      <vt:variant>
        <vt:lpwstr>_Toc205471183</vt:lpwstr>
      </vt:variant>
      <vt:variant>
        <vt:i4>1703985</vt:i4>
      </vt:variant>
      <vt:variant>
        <vt:i4>488</vt:i4>
      </vt:variant>
      <vt:variant>
        <vt:i4>0</vt:i4>
      </vt:variant>
      <vt:variant>
        <vt:i4>5</vt:i4>
      </vt:variant>
      <vt:variant>
        <vt:lpwstr/>
      </vt:variant>
      <vt:variant>
        <vt:lpwstr>_Toc205471182</vt:lpwstr>
      </vt:variant>
      <vt:variant>
        <vt:i4>1703985</vt:i4>
      </vt:variant>
      <vt:variant>
        <vt:i4>482</vt:i4>
      </vt:variant>
      <vt:variant>
        <vt:i4>0</vt:i4>
      </vt:variant>
      <vt:variant>
        <vt:i4>5</vt:i4>
      </vt:variant>
      <vt:variant>
        <vt:lpwstr/>
      </vt:variant>
      <vt:variant>
        <vt:lpwstr>_Toc205471181</vt:lpwstr>
      </vt:variant>
      <vt:variant>
        <vt:i4>1703985</vt:i4>
      </vt:variant>
      <vt:variant>
        <vt:i4>476</vt:i4>
      </vt:variant>
      <vt:variant>
        <vt:i4>0</vt:i4>
      </vt:variant>
      <vt:variant>
        <vt:i4>5</vt:i4>
      </vt:variant>
      <vt:variant>
        <vt:lpwstr/>
      </vt:variant>
      <vt:variant>
        <vt:lpwstr>_Toc205471180</vt:lpwstr>
      </vt:variant>
      <vt:variant>
        <vt:i4>1376305</vt:i4>
      </vt:variant>
      <vt:variant>
        <vt:i4>470</vt:i4>
      </vt:variant>
      <vt:variant>
        <vt:i4>0</vt:i4>
      </vt:variant>
      <vt:variant>
        <vt:i4>5</vt:i4>
      </vt:variant>
      <vt:variant>
        <vt:lpwstr/>
      </vt:variant>
      <vt:variant>
        <vt:lpwstr>_Toc205471179</vt:lpwstr>
      </vt:variant>
      <vt:variant>
        <vt:i4>1376305</vt:i4>
      </vt:variant>
      <vt:variant>
        <vt:i4>464</vt:i4>
      </vt:variant>
      <vt:variant>
        <vt:i4>0</vt:i4>
      </vt:variant>
      <vt:variant>
        <vt:i4>5</vt:i4>
      </vt:variant>
      <vt:variant>
        <vt:lpwstr/>
      </vt:variant>
      <vt:variant>
        <vt:lpwstr>_Toc205471178</vt:lpwstr>
      </vt:variant>
      <vt:variant>
        <vt:i4>1376305</vt:i4>
      </vt:variant>
      <vt:variant>
        <vt:i4>458</vt:i4>
      </vt:variant>
      <vt:variant>
        <vt:i4>0</vt:i4>
      </vt:variant>
      <vt:variant>
        <vt:i4>5</vt:i4>
      </vt:variant>
      <vt:variant>
        <vt:lpwstr/>
      </vt:variant>
      <vt:variant>
        <vt:lpwstr>_Toc205471177</vt:lpwstr>
      </vt:variant>
      <vt:variant>
        <vt:i4>1376305</vt:i4>
      </vt:variant>
      <vt:variant>
        <vt:i4>452</vt:i4>
      </vt:variant>
      <vt:variant>
        <vt:i4>0</vt:i4>
      </vt:variant>
      <vt:variant>
        <vt:i4>5</vt:i4>
      </vt:variant>
      <vt:variant>
        <vt:lpwstr/>
      </vt:variant>
      <vt:variant>
        <vt:lpwstr>_Toc205471176</vt:lpwstr>
      </vt:variant>
      <vt:variant>
        <vt:i4>1376305</vt:i4>
      </vt:variant>
      <vt:variant>
        <vt:i4>446</vt:i4>
      </vt:variant>
      <vt:variant>
        <vt:i4>0</vt:i4>
      </vt:variant>
      <vt:variant>
        <vt:i4>5</vt:i4>
      </vt:variant>
      <vt:variant>
        <vt:lpwstr/>
      </vt:variant>
      <vt:variant>
        <vt:lpwstr>_Toc205471175</vt:lpwstr>
      </vt:variant>
      <vt:variant>
        <vt:i4>1376305</vt:i4>
      </vt:variant>
      <vt:variant>
        <vt:i4>440</vt:i4>
      </vt:variant>
      <vt:variant>
        <vt:i4>0</vt:i4>
      </vt:variant>
      <vt:variant>
        <vt:i4>5</vt:i4>
      </vt:variant>
      <vt:variant>
        <vt:lpwstr/>
      </vt:variant>
      <vt:variant>
        <vt:lpwstr>_Toc205471174</vt:lpwstr>
      </vt:variant>
      <vt:variant>
        <vt:i4>1376305</vt:i4>
      </vt:variant>
      <vt:variant>
        <vt:i4>434</vt:i4>
      </vt:variant>
      <vt:variant>
        <vt:i4>0</vt:i4>
      </vt:variant>
      <vt:variant>
        <vt:i4>5</vt:i4>
      </vt:variant>
      <vt:variant>
        <vt:lpwstr/>
      </vt:variant>
      <vt:variant>
        <vt:lpwstr>_Toc205471173</vt:lpwstr>
      </vt:variant>
      <vt:variant>
        <vt:i4>1376305</vt:i4>
      </vt:variant>
      <vt:variant>
        <vt:i4>428</vt:i4>
      </vt:variant>
      <vt:variant>
        <vt:i4>0</vt:i4>
      </vt:variant>
      <vt:variant>
        <vt:i4>5</vt:i4>
      </vt:variant>
      <vt:variant>
        <vt:lpwstr/>
      </vt:variant>
      <vt:variant>
        <vt:lpwstr>_Toc205471172</vt:lpwstr>
      </vt:variant>
      <vt:variant>
        <vt:i4>1376305</vt:i4>
      </vt:variant>
      <vt:variant>
        <vt:i4>422</vt:i4>
      </vt:variant>
      <vt:variant>
        <vt:i4>0</vt:i4>
      </vt:variant>
      <vt:variant>
        <vt:i4>5</vt:i4>
      </vt:variant>
      <vt:variant>
        <vt:lpwstr/>
      </vt:variant>
      <vt:variant>
        <vt:lpwstr>_Toc205471171</vt:lpwstr>
      </vt:variant>
      <vt:variant>
        <vt:i4>1376305</vt:i4>
      </vt:variant>
      <vt:variant>
        <vt:i4>416</vt:i4>
      </vt:variant>
      <vt:variant>
        <vt:i4>0</vt:i4>
      </vt:variant>
      <vt:variant>
        <vt:i4>5</vt:i4>
      </vt:variant>
      <vt:variant>
        <vt:lpwstr/>
      </vt:variant>
      <vt:variant>
        <vt:lpwstr>_Toc205471170</vt:lpwstr>
      </vt:variant>
      <vt:variant>
        <vt:i4>1310769</vt:i4>
      </vt:variant>
      <vt:variant>
        <vt:i4>410</vt:i4>
      </vt:variant>
      <vt:variant>
        <vt:i4>0</vt:i4>
      </vt:variant>
      <vt:variant>
        <vt:i4>5</vt:i4>
      </vt:variant>
      <vt:variant>
        <vt:lpwstr/>
      </vt:variant>
      <vt:variant>
        <vt:lpwstr>_Toc205471169</vt:lpwstr>
      </vt:variant>
      <vt:variant>
        <vt:i4>1310769</vt:i4>
      </vt:variant>
      <vt:variant>
        <vt:i4>404</vt:i4>
      </vt:variant>
      <vt:variant>
        <vt:i4>0</vt:i4>
      </vt:variant>
      <vt:variant>
        <vt:i4>5</vt:i4>
      </vt:variant>
      <vt:variant>
        <vt:lpwstr/>
      </vt:variant>
      <vt:variant>
        <vt:lpwstr>_Toc205471168</vt:lpwstr>
      </vt:variant>
      <vt:variant>
        <vt:i4>1310769</vt:i4>
      </vt:variant>
      <vt:variant>
        <vt:i4>398</vt:i4>
      </vt:variant>
      <vt:variant>
        <vt:i4>0</vt:i4>
      </vt:variant>
      <vt:variant>
        <vt:i4>5</vt:i4>
      </vt:variant>
      <vt:variant>
        <vt:lpwstr/>
      </vt:variant>
      <vt:variant>
        <vt:lpwstr>_Toc205471167</vt:lpwstr>
      </vt:variant>
      <vt:variant>
        <vt:i4>1310769</vt:i4>
      </vt:variant>
      <vt:variant>
        <vt:i4>392</vt:i4>
      </vt:variant>
      <vt:variant>
        <vt:i4>0</vt:i4>
      </vt:variant>
      <vt:variant>
        <vt:i4>5</vt:i4>
      </vt:variant>
      <vt:variant>
        <vt:lpwstr/>
      </vt:variant>
      <vt:variant>
        <vt:lpwstr>_Toc205471166</vt:lpwstr>
      </vt:variant>
      <vt:variant>
        <vt:i4>1310769</vt:i4>
      </vt:variant>
      <vt:variant>
        <vt:i4>386</vt:i4>
      </vt:variant>
      <vt:variant>
        <vt:i4>0</vt:i4>
      </vt:variant>
      <vt:variant>
        <vt:i4>5</vt:i4>
      </vt:variant>
      <vt:variant>
        <vt:lpwstr/>
      </vt:variant>
      <vt:variant>
        <vt:lpwstr>_Toc205471165</vt:lpwstr>
      </vt:variant>
      <vt:variant>
        <vt:i4>1310769</vt:i4>
      </vt:variant>
      <vt:variant>
        <vt:i4>380</vt:i4>
      </vt:variant>
      <vt:variant>
        <vt:i4>0</vt:i4>
      </vt:variant>
      <vt:variant>
        <vt:i4>5</vt:i4>
      </vt:variant>
      <vt:variant>
        <vt:lpwstr/>
      </vt:variant>
      <vt:variant>
        <vt:lpwstr>_Toc205471164</vt:lpwstr>
      </vt:variant>
      <vt:variant>
        <vt:i4>1310769</vt:i4>
      </vt:variant>
      <vt:variant>
        <vt:i4>374</vt:i4>
      </vt:variant>
      <vt:variant>
        <vt:i4>0</vt:i4>
      </vt:variant>
      <vt:variant>
        <vt:i4>5</vt:i4>
      </vt:variant>
      <vt:variant>
        <vt:lpwstr/>
      </vt:variant>
      <vt:variant>
        <vt:lpwstr>_Toc205471163</vt:lpwstr>
      </vt:variant>
      <vt:variant>
        <vt:i4>1310769</vt:i4>
      </vt:variant>
      <vt:variant>
        <vt:i4>368</vt:i4>
      </vt:variant>
      <vt:variant>
        <vt:i4>0</vt:i4>
      </vt:variant>
      <vt:variant>
        <vt:i4>5</vt:i4>
      </vt:variant>
      <vt:variant>
        <vt:lpwstr/>
      </vt:variant>
      <vt:variant>
        <vt:lpwstr>_Toc205471162</vt:lpwstr>
      </vt:variant>
      <vt:variant>
        <vt:i4>1310769</vt:i4>
      </vt:variant>
      <vt:variant>
        <vt:i4>362</vt:i4>
      </vt:variant>
      <vt:variant>
        <vt:i4>0</vt:i4>
      </vt:variant>
      <vt:variant>
        <vt:i4>5</vt:i4>
      </vt:variant>
      <vt:variant>
        <vt:lpwstr/>
      </vt:variant>
      <vt:variant>
        <vt:lpwstr>_Toc205471161</vt:lpwstr>
      </vt:variant>
      <vt:variant>
        <vt:i4>1310769</vt:i4>
      </vt:variant>
      <vt:variant>
        <vt:i4>356</vt:i4>
      </vt:variant>
      <vt:variant>
        <vt:i4>0</vt:i4>
      </vt:variant>
      <vt:variant>
        <vt:i4>5</vt:i4>
      </vt:variant>
      <vt:variant>
        <vt:lpwstr/>
      </vt:variant>
      <vt:variant>
        <vt:lpwstr>_Toc205471160</vt:lpwstr>
      </vt:variant>
      <vt:variant>
        <vt:i4>1507377</vt:i4>
      </vt:variant>
      <vt:variant>
        <vt:i4>347</vt:i4>
      </vt:variant>
      <vt:variant>
        <vt:i4>0</vt:i4>
      </vt:variant>
      <vt:variant>
        <vt:i4>5</vt:i4>
      </vt:variant>
      <vt:variant>
        <vt:lpwstr/>
      </vt:variant>
      <vt:variant>
        <vt:lpwstr>_Toc205471159</vt:lpwstr>
      </vt:variant>
      <vt:variant>
        <vt:i4>1507377</vt:i4>
      </vt:variant>
      <vt:variant>
        <vt:i4>341</vt:i4>
      </vt:variant>
      <vt:variant>
        <vt:i4>0</vt:i4>
      </vt:variant>
      <vt:variant>
        <vt:i4>5</vt:i4>
      </vt:variant>
      <vt:variant>
        <vt:lpwstr/>
      </vt:variant>
      <vt:variant>
        <vt:lpwstr>_Toc205471158</vt:lpwstr>
      </vt:variant>
      <vt:variant>
        <vt:i4>1507377</vt:i4>
      </vt:variant>
      <vt:variant>
        <vt:i4>335</vt:i4>
      </vt:variant>
      <vt:variant>
        <vt:i4>0</vt:i4>
      </vt:variant>
      <vt:variant>
        <vt:i4>5</vt:i4>
      </vt:variant>
      <vt:variant>
        <vt:lpwstr/>
      </vt:variant>
      <vt:variant>
        <vt:lpwstr>_Toc205471157</vt:lpwstr>
      </vt:variant>
      <vt:variant>
        <vt:i4>1507377</vt:i4>
      </vt:variant>
      <vt:variant>
        <vt:i4>329</vt:i4>
      </vt:variant>
      <vt:variant>
        <vt:i4>0</vt:i4>
      </vt:variant>
      <vt:variant>
        <vt:i4>5</vt:i4>
      </vt:variant>
      <vt:variant>
        <vt:lpwstr/>
      </vt:variant>
      <vt:variant>
        <vt:lpwstr>_Toc205471156</vt:lpwstr>
      </vt:variant>
      <vt:variant>
        <vt:i4>1507377</vt:i4>
      </vt:variant>
      <vt:variant>
        <vt:i4>323</vt:i4>
      </vt:variant>
      <vt:variant>
        <vt:i4>0</vt:i4>
      </vt:variant>
      <vt:variant>
        <vt:i4>5</vt:i4>
      </vt:variant>
      <vt:variant>
        <vt:lpwstr/>
      </vt:variant>
      <vt:variant>
        <vt:lpwstr>_Toc205471155</vt:lpwstr>
      </vt:variant>
      <vt:variant>
        <vt:i4>1507377</vt:i4>
      </vt:variant>
      <vt:variant>
        <vt:i4>317</vt:i4>
      </vt:variant>
      <vt:variant>
        <vt:i4>0</vt:i4>
      </vt:variant>
      <vt:variant>
        <vt:i4>5</vt:i4>
      </vt:variant>
      <vt:variant>
        <vt:lpwstr/>
      </vt:variant>
      <vt:variant>
        <vt:lpwstr>_Toc205471154</vt:lpwstr>
      </vt:variant>
      <vt:variant>
        <vt:i4>1507377</vt:i4>
      </vt:variant>
      <vt:variant>
        <vt:i4>311</vt:i4>
      </vt:variant>
      <vt:variant>
        <vt:i4>0</vt:i4>
      </vt:variant>
      <vt:variant>
        <vt:i4>5</vt:i4>
      </vt:variant>
      <vt:variant>
        <vt:lpwstr/>
      </vt:variant>
      <vt:variant>
        <vt:lpwstr>_Toc205471153</vt:lpwstr>
      </vt:variant>
      <vt:variant>
        <vt:i4>1507377</vt:i4>
      </vt:variant>
      <vt:variant>
        <vt:i4>305</vt:i4>
      </vt:variant>
      <vt:variant>
        <vt:i4>0</vt:i4>
      </vt:variant>
      <vt:variant>
        <vt:i4>5</vt:i4>
      </vt:variant>
      <vt:variant>
        <vt:lpwstr/>
      </vt:variant>
      <vt:variant>
        <vt:lpwstr>_Toc205471152</vt:lpwstr>
      </vt:variant>
      <vt:variant>
        <vt:i4>1507377</vt:i4>
      </vt:variant>
      <vt:variant>
        <vt:i4>299</vt:i4>
      </vt:variant>
      <vt:variant>
        <vt:i4>0</vt:i4>
      </vt:variant>
      <vt:variant>
        <vt:i4>5</vt:i4>
      </vt:variant>
      <vt:variant>
        <vt:lpwstr/>
      </vt:variant>
      <vt:variant>
        <vt:lpwstr>_Toc205471151</vt:lpwstr>
      </vt:variant>
      <vt:variant>
        <vt:i4>1507377</vt:i4>
      </vt:variant>
      <vt:variant>
        <vt:i4>293</vt:i4>
      </vt:variant>
      <vt:variant>
        <vt:i4>0</vt:i4>
      </vt:variant>
      <vt:variant>
        <vt:i4>5</vt:i4>
      </vt:variant>
      <vt:variant>
        <vt:lpwstr/>
      </vt:variant>
      <vt:variant>
        <vt:lpwstr>_Toc205471150</vt:lpwstr>
      </vt:variant>
      <vt:variant>
        <vt:i4>1441841</vt:i4>
      </vt:variant>
      <vt:variant>
        <vt:i4>287</vt:i4>
      </vt:variant>
      <vt:variant>
        <vt:i4>0</vt:i4>
      </vt:variant>
      <vt:variant>
        <vt:i4>5</vt:i4>
      </vt:variant>
      <vt:variant>
        <vt:lpwstr/>
      </vt:variant>
      <vt:variant>
        <vt:lpwstr>_Toc205471149</vt:lpwstr>
      </vt:variant>
      <vt:variant>
        <vt:i4>1441841</vt:i4>
      </vt:variant>
      <vt:variant>
        <vt:i4>281</vt:i4>
      </vt:variant>
      <vt:variant>
        <vt:i4>0</vt:i4>
      </vt:variant>
      <vt:variant>
        <vt:i4>5</vt:i4>
      </vt:variant>
      <vt:variant>
        <vt:lpwstr/>
      </vt:variant>
      <vt:variant>
        <vt:lpwstr>_Toc205471148</vt:lpwstr>
      </vt:variant>
      <vt:variant>
        <vt:i4>1441841</vt:i4>
      </vt:variant>
      <vt:variant>
        <vt:i4>275</vt:i4>
      </vt:variant>
      <vt:variant>
        <vt:i4>0</vt:i4>
      </vt:variant>
      <vt:variant>
        <vt:i4>5</vt:i4>
      </vt:variant>
      <vt:variant>
        <vt:lpwstr/>
      </vt:variant>
      <vt:variant>
        <vt:lpwstr>_Toc205471147</vt:lpwstr>
      </vt:variant>
      <vt:variant>
        <vt:i4>1441841</vt:i4>
      </vt:variant>
      <vt:variant>
        <vt:i4>269</vt:i4>
      </vt:variant>
      <vt:variant>
        <vt:i4>0</vt:i4>
      </vt:variant>
      <vt:variant>
        <vt:i4>5</vt:i4>
      </vt:variant>
      <vt:variant>
        <vt:lpwstr/>
      </vt:variant>
      <vt:variant>
        <vt:lpwstr>_Toc205471146</vt:lpwstr>
      </vt:variant>
      <vt:variant>
        <vt:i4>1441841</vt:i4>
      </vt:variant>
      <vt:variant>
        <vt:i4>263</vt:i4>
      </vt:variant>
      <vt:variant>
        <vt:i4>0</vt:i4>
      </vt:variant>
      <vt:variant>
        <vt:i4>5</vt:i4>
      </vt:variant>
      <vt:variant>
        <vt:lpwstr/>
      </vt:variant>
      <vt:variant>
        <vt:lpwstr>_Toc205471145</vt:lpwstr>
      </vt:variant>
      <vt:variant>
        <vt:i4>1441841</vt:i4>
      </vt:variant>
      <vt:variant>
        <vt:i4>257</vt:i4>
      </vt:variant>
      <vt:variant>
        <vt:i4>0</vt:i4>
      </vt:variant>
      <vt:variant>
        <vt:i4>5</vt:i4>
      </vt:variant>
      <vt:variant>
        <vt:lpwstr/>
      </vt:variant>
      <vt:variant>
        <vt:lpwstr>_Toc205471144</vt:lpwstr>
      </vt:variant>
      <vt:variant>
        <vt:i4>1441841</vt:i4>
      </vt:variant>
      <vt:variant>
        <vt:i4>251</vt:i4>
      </vt:variant>
      <vt:variant>
        <vt:i4>0</vt:i4>
      </vt:variant>
      <vt:variant>
        <vt:i4>5</vt:i4>
      </vt:variant>
      <vt:variant>
        <vt:lpwstr/>
      </vt:variant>
      <vt:variant>
        <vt:lpwstr>_Toc205471143</vt:lpwstr>
      </vt:variant>
      <vt:variant>
        <vt:i4>1441841</vt:i4>
      </vt:variant>
      <vt:variant>
        <vt:i4>245</vt:i4>
      </vt:variant>
      <vt:variant>
        <vt:i4>0</vt:i4>
      </vt:variant>
      <vt:variant>
        <vt:i4>5</vt:i4>
      </vt:variant>
      <vt:variant>
        <vt:lpwstr/>
      </vt:variant>
      <vt:variant>
        <vt:lpwstr>_Toc205471142</vt:lpwstr>
      </vt:variant>
      <vt:variant>
        <vt:i4>1441841</vt:i4>
      </vt:variant>
      <vt:variant>
        <vt:i4>239</vt:i4>
      </vt:variant>
      <vt:variant>
        <vt:i4>0</vt:i4>
      </vt:variant>
      <vt:variant>
        <vt:i4>5</vt:i4>
      </vt:variant>
      <vt:variant>
        <vt:lpwstr/>
      </vt:variant>
      <vt:variant>
        <vt:lpwstr>_Toc205471141</vt:lpwstr>
      </vt:variant>
      <vt:variant>
        <vt:i4>1441841</vt:i4>
      </vt:variant>
      <vt:variant>
        <vt:i4>233</vt:i4>
      </vt:variant>
      <vt:variant>
        <vt:i4>0</vt:i4>
      </vt:variant>
      <vt:variant>
        <vt:i4>5</vt:i4>
      </vt:variant>
      <vt:variant>
        <vt:lpwstr/>
      </vt:variant>
      <vt:variant>
        <vt:lpwstr>_Toc205471140</vt:lpwstr>
      </vt:variant>
      <vt:variant>
        <vt:i4>1114161</vt:i4>
      </vt:variant>
      <vt:variant>
        <vt:i4>227</vt:i4>
      </vt:variant>
      <vt:variant>
        <vt:i4>0</vt:i4>
      </vt:variant>
      <vt:variant>
        <vt:i4>5</vt:i4>
      </vt:variant>
      <vt:variant>
        <vt:lpwstr/>
      </vt:variant>
      <vt:variant>
        <vt:lpwstr>_Toc205471139</vt:lpwstr>
      </vt:variant>
      <vt:variant>
        <vt:i4>1114161</vt:i4>
      </vt:variant>
      <vt:variant>
        <vt:i4>221</vt:i4>
      </vt:variant>
      <vt:variant>
        <vt:i4>0</vt:i4>
      </vt:variant>
      <vt:variant>
        <vt:i4>5</vt:i4>
      </vt:variant>
      <vt:variant>
        <vt:lpwstr/>
      </vt:variant>
      <vt:variant>
        <vt:lpwstr>_Toc205471138</vt:lpwstr>
      </vt:variant>
      <vt:variant>
        <vt:i4>1114161</vt:i4>
      </vt:variant>
      <vt:variant>
        <vt:i4>215</vt:i4>
      </vt:variant>
      <vt:variant>
        <vt:i4>0</vt:i4>
      </vt:variant>
      <vt:variant>
        <vt:i4>5</vt:i4>
      </vt:variant>
      <vt:variant>
        <vt:lpwstr/>
      </vt:variant>
      <vt:variant>
        <vt:lpwstr>_Toc205471137</vt:lpwstr>
      </vt:variant>
      <vt:variant>
        <vt:i4>1114161</vt:i4>
      </vt:variant>
      <vt:variant>
        <vt:i4>209</vt:i4>
      </vt:variant>
      <vt:variant>
        <vt:i4>0</vt:i4>
      </vt:variant>
      <vt:variant>
        <vt:i4>5</vt:i4>
      </vt:variant>
      <vt:variant>
        <vt:lpwstr/>
      </vt:variant>
      <vt:variant>
        <vt:lpwstr>_Toc205471136</vt:lpwstr>
      </vt:variant>
      <vt:variant>
        <vt:i4>1114161</vt:i4>
      </vt:variant>
      <vt:variant>
        <vt:i4>203</vt:i4>
      </vt:variant>
      <vt:variant>
        <vt:i4>0</vt:i4>
      </vt:variant>
      <vt:variant>
        <vt:i4>5</vt:i4>
      </vt:variant>
      <vt:variant>
        <vt:lpwstr/>
      </vt:variant>
      <vt:variant>
        <vt:lpwstr>_Toc205471135</vt:lpwstr>
      </vt:variant>
      <vt:variant>
        <vt:i4>1114161</vt:i4>
      </vt:variant>
      <vt:variant>
        <vt:i4>197</vt:i4>
      </vt:variant>
      <vt:variant>
        <vt:i4>0</vt:i4>
      </vt:variant>
      <vt:variant>
        <vt:i4>5</vt:i4>
      </vt:variant>
      <vt:variant>
        <vt:lpwstr/>
      </vt:variant>
      <vt:variant>
        <vt:lpwstr>_Toc205471134</vt:lpwstr>
      </vt:variant>
      <vt:variant>
        <vt:i4>1114161</vt:i4>
      </vt:variant>
      <vt:variant>
        <vt:i4>191</vt:i4>
      </vt:variant>
      <vt:variant>
        <vt:i4>0</vt:i4>
      </vt:variant>
      <vt:variant>
        <vt:i4>5</vt:i4>
      </vt:variant>
      <vt:variant>
        <vt:lpwstr/>
      </vt:variant>
      <vt:variant>
        <vt:lpwstr>_Toc205471133</vt:lpwstr>
      </vt:variant>
      <vt:variant>
        <vt:i4>1114161</vt:i4>
      </vt:variant>
      <vt:variant>
        <vt:i4>185</vt:i4>
      </vt:variant>
      <vt:variant>
        <vt:i4>0</vt:i4>
      </vt:variant>
      <vt:variant>
        <vt:i4>5</vt:i4>
      </vt:variant>
      <vt:variant>
        <vt:lpwstr/>
      </vt:variant>
      <vt:variant>
        <vt:lpwstr>_Toc205471132</vt:lpwstr>
      </vt:variant>
      <vt:variant>
        <vt:i4>1114161</vt:i4>
      </vt:variant>
      <vt:variant>
        <vt:i4>179</vt:i4>
      </vt:variant>
      <vt:variant>
        <vt:i4>0</vt:i4>
      </vt:variant>
      <vt:variant>
        <vt:i4>5</vt:i4>
      </vt:variant>
      <vt:variant>
        <vt:lpwstr/>
      </vt:variant>
      <vt:variant>
        <vt:lpwstr>_Toc205471131</vt:lpwstr>
      </vt:variant>
      <vt:variant>
        <vt:i4>1114161</vt:i4>
      </vt:variant>
      <vt:variant>
        <vt:i4>173</vt:i4>
      </vt:variant>
      <vt:variant>
        <vt:i4>0</vt:i4>
      </vt:variant>
      <vt:variant>
        <vt:i4>5</vt:i4>
      </vt:variant>
      <vt:variant>
        <vt:lpwstr/>
      </vt:variant>
      <vt:variant>
        <vt:lpwstr>_Toc205471130</vt:lpwstr>
      </vt:variant>
      <vt:variant>
        <vt:i4>1048625</vt:i4>
      </vt:variant>
      <vt:variant>
        <vt:i4>167</vt:i4>
      </vt:variant>
      <vt:variant>
        <vt:i4>0</vt:i4>
      </vt:variant>
      <vt:variant>
        <vt:i4>5</vt:i4>
      </vt:variant>
      <vt:variant>
        <vt:lpwstr/>
      </vt:variant>
      <vt:variant>
        <vt:lpwstr>_Toc205471129</vt:lpwstr>
      </vt:variant>
      <vt:variant>
        <vt:i4>1048625</vt:i4>
      </vt:variant>
      <vt:variant>
        <vt:i4>161</vt:i4>
      </vt:variant>
      <vt:variant>
        <vt:i4>0</vt:i4>
      </vt:variant>
      <vt:variant>
        <vt:i4>5</vt:i4>
      </vt:variant>
      <vt:variant>
        <vt:lpwstr/>
      </vt:variant>
      <vt:variant>
        <vt:lpwstr>_Toc205471128</vt:lpwstr>
      </vt:variant>
      <vt:variant>
        <vt:i4>1048625</vt:i4>
      </vt:variant>
      <vt:variant>
        <vt:i4>155</vt:i4>
      </vt:variant>
      <vt:variant>
        <vt:i4>0</vt:i4>
      </vt:variant>
      <vt:variant>
        <vt:i4>5</vt:i4>
      </vt:variant>
      <vt:variant>
        <vt:lpwstr/>
      </vt:variant>
      <vt:variant>
        <vt:lpwstr>_Toc205471127</vt:lpwstr>
      </vt:variant>
      <vt:variant>
        <vt:i4>1048625</vt:i4>
      </vt:variant>
      <vt:variant>
        <vt:i4>149</vt:i4>
      </vt:variant>
      <vt:variant>
        <vt:i4>0</vt:i4>
      </vt:variant>
      <vt:variant>
        <vt:i4>5</vt:i4>
      </vt:variant>
      <vt:variant>
        <vt:lpwstr/>
      </vt:variant>
      <vt:variant>
        <vt:lpwstr>_Toc205471126</vt:lpwstr>
      </vt:variant>
      <vt:variant>
        <vt:i4>1048625</vt:i4>
      </vt:variant>
      <vt:variant>
        <vt:i4>143</vt:i4>
      </vt:variant>
      <vt:variant>
        <vt:i4>0</vt:i4>
      </vt:variant>
      <vt:variant>
        <vt:i4>5</vt:i4>
      </vt:variant>
      <vt:variant>
        <vt:lpwstr/>
      </vt:variant>
      <vt:variant>
        <vt:lpwstr>_Toc205471125</vt:lpwstr>
      </vt:variant>
      <vt:variant>
        <vt:i4>1048625</vt:i4>
      </vt:variant>
      <vt:variant>
        <vt:i4>137</vt:i4>
      </vt:variant>
      <vt:variant>
        <vt:i4>0</vt:i4>
      </vt:variant>
      <vt:variant>
        <vt:i4>5</vt:i4>
      </vt:variant>
      <vt:variant>
        <vt:lpwstr/>
      </vt:variant>
      <vt:variant>
        <vt:lpwstr>_Toc205471124</vt:lpwstr>
      </vt:variant>
      <vt:variant>
        <vt:i4>1048625</vt:i4>
      </vt:variant>
      <vt:variant>
        <vt:i4>131</vt:i4>
      </vt:variant>
      <vt:variant>
        <vt:i4>0</vt:i4>
      </vt:variant>
      <vt:variant>
        <vt:i4>5</vt:i4>
      </vt:variant>
      <vt:variant>
        <vt:lpwstr/>
      </vt:variant>
      <vt:variant>
        <vt:lpwstr>_Toc205471123</vt:lpwstr>
      </vt:variant>
      <vt:variant>
        <vt:i4>1048625</vt:i4>
      </vt:variant>
      <vt:variant>
        <vt:i4>125</vt:i4>
      </vt:variant>
      <vt:variant>
        <vt:i4>0</vt:i4>
      </vt:variant>
      <vt:variant>
        <vt:i4>5</vt:i4>
      </vt:variant>
      <vt:variant>
        <vt:lpwstr/>
      </vt:variant>
      <vt:variant>
        <vt:lpwstr>_Toc205471122</vt:lpwstr>
      </vt:variant>
      <vt:variant>
        <vt:i4>1048625</vt:i4>
      </vt:variant>
      <vt:variant>
        <vt:i4>119</vt:i4>
      </vt:variant>
      <vt:variant>
        <vt:i4>0</vt:i4>
      </vt:variant>
      <vt:variant>
        <vt:i4>5</vt:i4>
      </vt:variant>
      <vt:variant>
        <vt:lpwstr/>
      </vt:variant>
      <vt:variant>
        <vt:lpwstr>_Toc205471121</vt:lpwstr>
      </vt:variant>
      <vt:variant>
        <vt:i4>1048625</vt:i4>
      </vt:variant>
      <vt:variant>
        <vt:i4>113</vt:i4>
      </vt:variant>
      <vt:variant>
        <vt:i4>0</vt:i4>
      </vt:variant>
      <vt:variant>
        <vt:i4>5</vt:i4>
      </vt:variant>
      <vt:variant>
        <vt:lpwstr/>
      </vt:variant>
      <vt:variant>
        <vt:lpwstr>_Toc205471120</vt:lpwstr>
      </vt:variant>
      <vt:variant>
        <vt:i4>1245233</vt:i4>
      </vt:variant>
      <vt:variant>
        <vt:i4>107</vt:i4>
      </vt:variant>
      <vt:variant>
        <vt:i4>0</vt:i4>
      </vt:variant>
      <vt:variant>
        <vt:i4>5</vt:i4>
      </vt:variant>
      <vt:variant>
        <vt:lpwstr/>
      </vt:variant>
      <vt:variant>
        <vt:lpwstr>_Toc205471119</vt:lpwstr>
      </vt:variant>
      <vt:variant>
        <vt:i4>1245233</vt:i4>
      </vt:variant>
      <vt:variant>
        <vt:i4>101</vt:i4>
      </vt:variant>
      <vt:variant>
        <vt:i4>0</vt:i4>
      </vt:variant>
      <vt:variant>
        <vt:i4>5</vt:i4>
      </vt:variant>
      <vt:variant>
        <vt:lpwstr/>
      </vt:variant>
      <vt:variant>
        <vt:lpwstr>_Toc205471118</vt:lpwstr>
      </vt:variant>
      <vt:variant>
        <vt:i4>1245233</vt:i4>
      </vt:variant>
      <vt:variant>
        <vt:i4>95</vt:i4>
      </vt:variant>
      <vt:variant>
        <vt:i4>0</vt:i4>
      </vt:variant>
      <vt:variant>
        <vt:i4>5</vt:i4>
      </vt:variant>
      <vt:variant>
        <vt:lpwstr/>
      </vt:variant>
      <vt:variant>
        <vt:lpwstr>_Toc205471117</vt:lpwstr>
      </vt:variant>
      <vt:variant>
        <vt:i4>1245233</vt:i4>
      </vt:variant>
      <vt:variant>
        <vt:i4>89</vt:i4>
      </vt:variant>
      <vt:variant>
        <vt:i4>0</vt:i4>
      </vt:variant>
      <vt:variant>
        <vt:i4>5</vt:i4>
      </vt:variant>
      <vt:variant>
        <vt:lpwstr/>
      </vt:variant>
      <vt:variant>
        <vt:lpwstr>_Toc205471116</vt:lpwstr>
      </vt:variant>
      <vt:variant>
        <vt:i4>1245233</vt:i4>
      </vt:variant>
      <vt:variant>
        <vt:i4>83</vt:i4>
      </vt:variant>
      <vt:variant>
        <vt:i4>0</vt:i4>
      </vt:variant>
      <vt:variant>
        <vt:i4>5</vt:i4>
      </vt:variant>
      <vt:variant>
        <vt:lpwstr/>
      </vt:variant>
      <vt:variant>
        <vt:lpwstr>_Toc205471115</vt:lpwstr>
      </vt:variant>
      <vt:variant>
        <vt:i4>1245233</vt:i4>
      </vt:variant>
      <vt:variant>
        <vt:i4>77</vt:i4>
      </vt:variant>
      <vt:variant>
        <vt:i4>0</vt:i4>
      </vt:variant>
      <vt:variant>
        <vt:i4>5</vt:i4>
      </vt:variant>
      <vt:variant>
        <vt:lpwstr/>
      </vt:variant>
      <vt:variant>
        <vt:lpwstr>_Toc205471114</vt:lpwstr>
      </vt:variant>
      <vt:variant>
        <vt:i4>1245233</vt:i4>
      </vt:variant>
      <vt:variant>
        <vt:i4>71</vt:i4>
      </vt:variant>
      <vt:variant>
        <vt:i4>0</vt:i4>
      </vt:variant>
      <vt:variant>
        <vt:i4>5</vt:i4>
      </vt:variant>
      <vt:variant>
        <vt:lpwstr/>
      </vt:variant>
      <vt:variant>
        <vt:lpwstr>_Toc205471113</vt:lpwstr>
      </vt:variant>
      <vt:variant>
        <vt:i4>1245233</vt:i4>
      </vt:variant>
      <vt:variant>
        <vt:i4>65</vt:i4>
      </vt:variant>
      <vt:variant>
        <vt:i4>0</vt:i4>
      </vt:variant>
      <vt:variant>
        <vt:i4>5</vt:i4>
      </vt:variant>
      <vt:variant>
        <vt:lpwstr/>
      </vt:variant>
      <vt:variant>
        <vt:lpwstr>_Toc205471112</vt:lpwstr>
      </vt:variant>
      <vt:variant>
        <vt:i4>1245233</vt:i4>
      </vt:variant>
      <vt:variant>
        <vt:i4>59</vt:i4>
      </vt:variant>
      <vt:variant>
        <vt:i4>0</vt:i4>
      </vt:variant>
      <vt:variant>
        <vt:i4>5</vt:i4>
      </vt:variant>
      <vt:variant>
        <vt:lpwstr/>
      </vt:variant>
      <vt:variant>
        <vt:lpwstr>_Toc205471111</vt:lpwstr>
      </vt:variant>
      <vt:variant>
        <vt:i4>1245233</vt:i4>
      </vt:variant>
      <vt:variant>
        <vt:i4>53</vt:i4>
      </vt:variant>
      <vt:variant>
        <vt:i4>0</vt:i4>
      </vt:variant>
      <vt:variant>
        <vt:i4>5</vt:i4>
      </vt:variant>
      <vt:variant>
        <vt:lpwstr/>
      </vt:variant>
      <vt:variant>
        <vt:lpwstr>_Toc205471110</vt:lpwstr>
      </vt:variant>
      <vt:variant>
        <vt:i4>1179697</vt:i4>
      </vt:variant>
      <vt:variant>
        <vt:i4>47</vt:i4>
      </vt:variant>
      <vt:variant>
        <vt:i4>0</vt:i4>
      </vt:variant>
      <vt:variant>
        <vt:i4>5</vt:i4>
      </vt:variant>
      <vt:variant>
        <vt:lpwstr/>
      </vt:variant>
      <vt:variant>
        <vt:lpwstr>_Toc205471109</vt:lpwstr>
      </vt:variant>
      <vt:variant>
        <vt:i4>1179697</vt:i4>
      </vt:variant>
      <vt:variant>
        <vt:i4>41</vt:i4>
      </vt:variant>
      <vt:variant>
        <vt:i4>0</vt:i4>
      </vt:variant>
      <vt:variant>
        <vt:i4>5</vt:i4>
      </vt:variant>
      <vt:variant>
        <vt:lpwstr/>
      </vt:variant>
      <vt:variant>
        <vt:lpwstr>_Toc205471108</vt:lpwstr>
      </vt:variant>
      <vt:variant>
        <vt:i4>1179697</vt:i4>
      </vt:variant>
      <vt:variant>
        <vt:i4>35</vt:i4>
      </vt:variant>
      <vt:variant>
        <vt:i4>0</vt:i4>
      </vt:variant>
      <vt:variant>
        <vt:i4>5</vt:i4>
      </vt:variant>
      <vt:variant>
        <vt:lpwstr/>
      </vt:variant>
      <vt:variant>
        <vt:lpwstr>_Toc205471107</vt:lpwstr>
      </vt:variant>
      <vt:variant>
        <vt:i4>1179697</vt:i4>
      </vt:variant>
      <vt:variant>
        <vt:i4>29</vt:i4>
      </vt:variant>
      <vt:variant>
        <vt:i4>0</vt:i4>
      </vt:variant>
      <vt:variant>
        <vt:i4>5</vt:i4>
      </vt:variant>
      <vt:variant>
        <vt:lpwstr/>
      </vt:variant>
      <vt:variant>
        <vt:lpwstr>_Toc205471106</vt:lpwstr>
      </vt:variant>
      <vt:variant>
        <vt:i4>1179697</vt:i4>
      </vt:variant>
      <vt:variant>
        <vt:i4>23</vt:i4>
      </vt:variant>
      <vt:variant>
        <vt:i4>0</vt:i4>
      </vt:variant>
      <vt:variant>
        <vt:i4>5</vt:i4>
      </vt:variant>
      <vt:variant>
        <vt:lpwstr/>
      </vt:variant>
      <vt:variant>
        <vt:lpwstr>_Toc205471105</vt:lpwstr>
      </vt:variant>
      <vt:variant>
        <vt:i4>1179697</vt:i4>
      </vt:variant>
      <vt:variant>
        <vt:i4>17</vt:i4>
      </vt:variant>
      <vt:variant>
        <vt:i4>0</vt:i4>
      </vt:variant>
      <vt:variant>
        <vt:i4>5</vt:i4>
      </vt:variant>
      <vt:variant>
        <vt:lpwstr/>
      </vt:variant>
      <vt:variant>
        <vt:lpwstr>_Toc205471104</vt:lpwstr>
      </vt:variant>
      <vt:variant>
        <vt:i4>1179697</vt:i4>
      </vt:variant>
      <vt:variant>
        <vt:i4>11</vt:i4>
      </vt:variant>
      <vt:variant>
        <vt:i4>0</vt:i4>
      </vt:variant>
      <vt:variant>
        <vt:i4>5</vt:i4>
      </vt:variant>
      <vt:variant>
        <vt:lpwstr/>
      </vt:variant>
      <vt:variant>
        <vt:lpwstr>_Toc205471103</vt:lpwstr>
      </vt:variant>
      <vt:variant>
        <vt:i4>1179697</vt:i4>
      </vt:variant>
      <vt:variant>
        <vt:i4>5</vt:i4>
      </vt:variant>
      <vt:variant>
        <vt:i4>0</vt:i4>
      </vt:variant>
      <vt:variant>
        <vt:i4>5</vt:i4>
      </vt:variant>
      <vt:variant>
        <vt:lpwstr/>
      </vt:variant>
      <vt:variant>
        <vt:lpwstr>_Toc205471102</vt:lpwstr>
      </vt:variant>
      <vt:variant>
        <vt:i4>5963833</vt:i4>
      </vt:variant>
      <vt:variant>
        <vt:i4>0</vt:i4>
      </vt:variant>
      <vt:variant>
        <vt:i4>0</vt:i4>
      </vt:variant>
      <vt:variant>
        <vt:i4>5</vt:i4>
      </vt:variant>
      <vt:variant>
        <vt:lpwstr>mailto:Emmsupport@education.gov.au</vt:lpwstr>
      </vt:variant>
      <vt:variant>
        <vt:lpwstr/>
      </vt:variant>
      <vt:variant>
        <vt:i4>2031700</vt:i4>
      </vt:variant>
      <vt:variant>
        <vt:i4>75</vt:i4>
      </vt:variant>
      <vt:variant>
        <vt:i4>0</vt:i4>
      </vt:variant>
      <vt:variant>
        <vt:i4>5</vt:i4>
      </vt:variant>
      <vt:variant>
        <vt:lpwstr>https://nt.gov.au/emergency/child-safety/working-with-children-clearance-before-you-apply</vt:lpwstr>
      </vt:variant>
      <vt:variant>
        <vt:lpwstr/>
      </vt:variant>
      <vt:variant>
        <vt:i4>8257572</vt:i4>
      </vt:variant>
      <vt:variant>
        <vt:i4>72</vt:i4>
      </vt:variant>
      <vt:variant>
        <vt:i4>0</vt:i4>
      </vt:variant>
      <vt:variant>
        <vt:i4>5</vt:i4>
      </vt:variant>
      <vt:variant>
        <vt:lpwstr>https://trb.tas.gov.au/wp-content/uploads/2022/10/Update-your-TRB-record-with-your-Registration-to-Work-with-Vulnerable-People-details.pdf</vt:lpwstr>
      </vt:variant>
      <vt:variant>
        <vt:lpwstr/>
      </vt:variant>
      <vt:variant>
        <vt:i4>8257569</vt:i4>
      </vt:variant>
      <vt:variant>
        <vt:i4>69</vt:i4>
      </vt:variant>
      <vt:variant>
        <vt:i4>0</vt:i4>
      </vt:variant>
      <vt:variant>
        <vt:i4>5</vt:i4>
      </vt:variant>
      <vt:variant>
        <vt:lpwstr>https://publicdocumentcentre.education.tas.gov.au/library/Shared Documents/Information-Sheet-Working-With-Vulnerable-People.pdf</vt:lpwstr>
      </vt:variant>
      <vt:variant>
        <vt:lpwstr/>
      </vt:variant>
      <vt:variant>
        <vt:i4>8257590</vt:i4>
      </vt:variant>
      <vt:variant>
        <vt:i4>66</vt:i4>
      </vt:variant>
      <vt:variant>
        <vt:i4>0</vt:i4>
      </vt:variant>
      <vt:variant>
        <vt:i4>5</vt:i4>
      </vt:variant>
      <vt:variant>
        <vt:lpwstr>https://www.education.wa.edu.au/web/policies/-/working-with-children-checks-in-department-of-education-sites-policy</vt:lpwstr>
      </vt:variant>
      <vt:variant>
        <vt:lpwstr/>
      </vt:variant>
      <vt:variant>
        <vt:i4>1179718</vt:i4>
      </vt:variant>
      <vt:variant>
        <vt:i4>63</vt:i4>
      </vt:variant>
      <vt:variant>
        <vt:i4>0</vt:i4>
      </vt:variant>
      <vt:variant>
        <vt:i4>5</vt:i4>
      </vt:variant>
      <vt:variant>
        <vt:lpwstr>https://www.qld.gov.au/education/jobs/teacher/childhood</vt:lpwstr>
      </vt:variant>
      <vt:variant>
        <vt:lpwstr>:~:text=and%20industry%20news.-,Registration,childhood%20education%20and%20care%20qualification</vt:lpwstr>
      </vt:variant>
      <vt:variant>
        <vt:i4>1179663</vt:i4>
      </vt:variant>
      <vt:variant>
        <vt:i4>60</vt:i4>
      </vt:variant>
      <vt:variant>
        <vt:i4>0</vt:i4>
      </vt:variant>
      <vt:variant>
        <vt:i4>5</vt:i4>
      </vt:variant>
      <vt:variant>
        <vt:lpwstr>https://www.qld.gov.au/law/laws-regulated-industries-and-accountability/queensland-laws-and-regulations/regulated-industries-and-licensing/blue-card/required/industries/young-people</vt:lpwstr>
      </vt:variant>
      <vt:variant>
        <vt:lpwstr/>
      </vt:variant>
      <vt:variant>
        <vt:i4>6160474</vt:i4>
      </vt:variant>
      <vt:variant>
        <vt:i4>57</vt:i4>
      </vt:variant>
      <vt:variant>
        <vt:i4>0</vt:i4>
      </vt:variant>
      <vt:variant>
        <vt:i4>5</vt:i4>
      </vt:variant>
      <vt:variant>
        <vt:lpwstr>https://ocg.nsw.gov.au/working-children-check/who-needs-check</vt:lpwstr>
      </vt:variant>
      <vt:variant>
        <vt:lpwstr/>
      </vt:variant>
      <vt:variant>
        <vt:i4>589836</vt:i4>
      </vt:variant>
      <vt:variant>
        <vt:i4>54</vt:i4>
      </vt:variant>
      <vt:variant>
        <vt:i4>0</vt:i4>
      </vt:variant>
      <vt:variant>
        <vt:i4>5</vt:i4>
      </vt:variant>
      <vt:variant>
        <vt:lpwstr>https://nt.gov.au/emergency/child-safety/apply-for-a-working-with-children-clearance</vt:lpwstr>
      </vt:variant>
      <vt:variant>
        <vt:lpwstr>:~:text=To%20work%20or%20volunteer%20with,%248%20%2D%20if%20volunteering</vt:lpwstr>
      </vt:variant>
      <vt:variant>
        <vt:i4>6291497</vt:i4>
      </vt:variant>
      <vt:variant>
        <vt:i4>51</vt:i4>
      </vt:variant>
      <vt:variant>
        <vt:i4>0</vt:i4>
      </vt:variant>
      <vt:variant>
        <vt:i4>5</vt:i4>
      </vt:variant>
      <vt:variant>
        <vt:lpwstr>https://www.accesscanberra.act.gov.au/business-and-work/working-with-vulnerable-people/apply-for-or-renew-a-wwvp-registration</vt:lpwstr>
      </vt:variant>
      <vt:variant>
        <vt:lpwstr>:~:text=If%20you're%20seeking%20WWVP,payment%20by%20VISA%20or%20MasterCard</vt:lpwstr>
      </vt:variant>
      <vt:variant>
        <vt:i4>7274505</vt:i4>
      </vt:variant>
      <vt:variant>
        <vt:i4>48</vt:i4>
      </vt:variant>
      <vt:variant>
        <vt:i4>0</vt:i4>
      </vt:variant>
      <vt:variant>
        <vt:i4>5</vt:i4>
      </vt:variant>
      <vt:variant>
        <vt:lpwstr>https://www.service.tas.gov.au/services/education-and-skills/working-with-vulnerable-people-including-children/apply-for-registration-to-work-with-vulnerable-people</vt:lpwstr>
      </vt:variant>
      <vt:variant>
        <vt:lpwstr>fpo_fees</vt:lpwstr>
      </vt:variant>
      <vt:variant>
        <vt:i4>5373974</vt:i4>
      </vt:variant>
      <vt:variant>
        <vt:i4>45</vt:i4>
      </vt:variant>
      <vt:variant>
        <vt:i4>0</vt:i4>
      </vt:variant>
      <vt:variant>
        <vt:i4>5</vt:i4>
      </vt:variant>
      <vt:variant>
        <vt:lpwstr>https://www.sa.gov.au/topics/rights-and-law/rights-and-responsibilities/screening-checks/apply-for-a-screening-check/fees</vt:lpwstr>
      </vt:variant>
      <vt:variant>
        <vt:lpwstr/>
      </vt:variant>
      <vt:variant>
        <vt:i4>7667754</vt:i4>
      </vt:variant>
      <vt:variant>
        <vt:i4>42</vt:i4>
      </vt:variant>
      <vt:variant>
        <vt:i4>0</vt:i4>
      </vt:variant>
      <vt:variant>
        <vt:i4>5</vt:i4>
      </vt:variant>
      <vt:variant>
        <vt:lpwstr>https://www.wa.gov.au/organisation/department-of-communities/working-children-check-application-and-renewal-process</vt:lpwstr>
      </vt:variant>
      <vt:variant>
        <vt:lpwstr>fees</vt:lpwstr>
      </vt:variant>
      <vt:variant>
        <vt:i4>786445</vt:i4>
      </vt:variant>
      <vt:variant>
        <vt:i4>39</vt:i4>
      </vt:variant>
      <vt:variant>
        <vt:i4>0</vt:i4>
      </vt:variant>
      <vt:variant>
        <vt:i4>5</vt:i4>
      </vt:variant>
      <vt:variant>
        <vt:lpwstr>https://www.qld.gov.au/law/laws-regulated-industries-and-accountability/queensland-laws-and-regulations/regulated-industries-and-licensing/blue-card/applications/payment</vt:lpwstr>
      </vt:variant>
      <vt:variant>
        <vt:lpwstr/>
      </vt:variant>
      <vt:variant>
        <vt:i4>2293820</vt:i4>
      </vt:variant>
      <vt:variant>
        <vt:i4>36</vt:i4>
      </vt:variant>
      <vt:variant>
        <vt:i4>0</vt:i4>
      </vt:variant>
      <vt:variant>
        <vt:i4>5</vt:i4>
      </vt:variant>
      <vt:variant>
        <vt:lpwstr>https://www.vic.gov.au/check-explained</vt:lpwstr>
      </vt:variant>
      <vt:variant>
        <vt:lpwstr>fees-valid-until-30-june-2024</vt:lpwstr>
      </vt:variant>
      <vt:variant>
        <vt:i4>2949235</vt:i4>
      </vt:variant>
      <vt:variant>
        <vt:i4>33</vt:i4>
      </vt:variant>
      <vt:variant>
        <vt:i4>0</vt:i4>
      </vt:variant>
      <vt:variant>
        <vt:i4>5</vt:i4>
      </vt:variant>
      <vt:variant>
        <vt:lpwstr>https://www.service.nsw.gov.au/transaction/apply-for-a-working-with-children-check</vt:lpwstr>
      </vt:variant>
      <vt:variant>
        <vt:lpwstr>:~:text=The%20outcome%20of%20a%20check,and%20is%20free%20for%20volunteers</vt:lpwstr>
      </vt:variant>
      <vt:variant>
        <vt:i4>3604538</vt:i4>
      </vt:variant>
      <vt:variant>
        <vt:i4>30</vt:i4>
      </vt:variant>
      <vt:variant>
        <vt:i4>0</vt:i4>
      </vt:variant>
      <vt:variant>
        <vt:i4>5</vt:i4>
      </vt:variant>
      <vt:variant>
        <vt:lpwstr>https://www.act.gov.au/community/child-protection-and-youth-justice/training-to-respond-to-child-abuse-and-neglect</vt:lpwstr>
      </vt:variant>
      <vt:variant>
        <vt:lpwstr/>
      </vt:variant>
      <vt:variant>
        <vt:i4>3211371</vt:i4>
      </vt:variant>
      <vt:variant>
        <vt:i4>27</vt:i4>
      </vt:variant>
      <vt:variant>
        <vt:i4>0</vt:i4>
      </vt:variant>
      <vt:variant>
        <vt:i4>5</vt:i4>
      </vt:variant>
      <vt:variant>
        <vt:lpwstr>https://www.safespacelegal.com.au/australian-child-safe-standards-a-state-by-state-guide-2025/</vt:lpwstr>
      </vt:variant>
      <vt:variant>
        <vt:lpwstr/>
      </vt:variant>
      <vt:variant>
        <vt:i4>1114120</vt:i4>
      </vt:variant>
      <vt:variant>
        <vt:i4>24</vt:i4>
      </vt:variant>
      <vt:variant>
        <vt:i4>0</vt:i4>
      </vt:variant>
      <vt:variant>
        <vt:i4>5</vt:i4>
      </vt:variant>
      <vt:variant>
        <vt:lpwstr>https://www.education.sa.gov.au/working-us/rrhan-ec/rrhan-ec-mandatory-notification-training-list-courses</vt:lpwstr>
      </vt:variant>
      <vt:variant>
        <vt:lpwstr/>
      </vt:variant>
      <vt:variant>
        <vt:i4>3211371</vt:i4>
      </vt:variant>
      <vt:variant>
        <vt:i4>21</vt:i4>
      </vt:variant>
      <vt:variant>
        <vt:i4>0</vt:i4>
      </vt:variant>
      <vt:variant>
        <vt:i4>5</vt:i4>
      </vt:variant>
      <vt:variant>
        <vt:lpwstr>https://www.safespacelegal.com.au/australian-child-safe-standards-a-state-by-state-guide-2025/</vt:lpwstr>
      </vt:variant>
      <vt:variant>
        <vt:lpwstr/>
      </vt:variant>
      <vt:variant>
        <vt:i4>1769543</vt:i4>
      </vt:variant>
      <vt:variant>
        <vt:i4>18</vt:i4>
      </vt:variant>
      <vt:variant>
        <vt:i4>0</vt:i4>
      </vt:variant>
      <vt:variant>
        <vt:i4>5</vt:i4>
      </vt:variant>
      <vt:variant>
        <vt:lpwstr>https://earlychildhood.qld.gov.au/regulation/health-and-safety/child-protection-requirements</vt:lpwstr>
      </vt:variant>
      <vt:variant>
        <vt:lpwstr/>
      </vt:variant>
      <vt:variant>
        <vt:i4>3211371</vt:i4>
      </vt:variant>
      <vt:variant>
        <vt:i4>15</vt:i4>
      </vt:variant>
      <vt:variant>
        <vt:i4>0</vt:i4>
      </vt:variant>
      <vt:variant>
        <vt:i4>5</vt:i4>
      </vt:variant>
      <vt:variant>
        <vt:lpwstr>https://www.safespacelegal.com.au/australian-child-safe-standards-a-state-by-state-guide-2025/</vt:lpwstr>
      </vt:variant>
      <vt:variant>
        <vt:lpwstr/>
      </vt:variant>
      <vt:variant>
        <vt:i4>7340093</vt:i4>
      </vt:variant>
      <vt:variant>
        <vt:i4>12</vt:i4>
      </vt:variant>
      <vt:variant>
        <vt:i4>0</vt:i4>
      </vt:variant>
      <vt:variant>
        <vt:i4>5</vt:i4>
      </vt:variant>
      <vt:variant>
        <vt:lpwstr>https://education.nsw.gov.au/early-childhood-education/regulation-and-compliance/regulation-assessment-and-rating/child-safety/child-protection-training-requirements</vt:lpwstr>
      </vt:variant>
      <vt:variant>
        <vt:lpwstr>Refresher3</vt:lpwstr>
      </vt:variant>
      <vt:variant>
        <vt:i4>2621496</vt:i4>
      </vt:variant>
      <vt:variant>
        <vt:i4>9</vt:i4>
      </vt:variant>
      <vt:variant>
        <vt:i4>0</vt:i4>
      </vt:variant>
      <vt:variant>
        <vt:i4>5</vt:i4>
      </vt:variant>
      <vt:variant>
        <vt:lpwstr>https://www.childabuseroyalcommission.gov.au/identifying-and-disclosing-child-sexual-abuse</vt:lpwstr>
      </vt:variant>
      <vt:variant>
        <vt:lpwstr/>
      </vt:variant>
      <vt:variant>
        <vt:i4>917582</vt:i4>
      </vt:variant>
      <vt:variant>
        <vt:i4>6</vt:i4>
      </vt:variant>
      <vt:variant>
        <vt:i4>0</vt:i4>
      </vt:variant>
      <vt:variant>
        <vt:i4>5</vt:i4>
      </vt:variant>
      <vt:variant>
        <vt:lpwstr>https://www.ato.gov.au/law/view/document?DocID=ITD/EF20151C8/00001&amp;PiT=99991231235958</vt:lpwstr>
      </vt:variant>
      <vt:variant>
        <vt:lpwstr/>
      </vt:variant>
      <vt:variant>
        <vt:i4>4456517</vt:i4>
      </vt:variant>
      <vt:variant>
        <vt:i4>3</vt:i4>
      </vt:variant>
      <vt:variant>
        <vt:i4>0</vt:i4>
      </vt:variant>
      <vt:variant>
        <vt:i4>5</vt:i4>
      </vt:variant>
      <vt:variant>
        <vt:lpwstr>https://doi.org/10.1016/j.childyouth.2016.11.014</vt:lpwstr>
      </vt:variant>
      <vt:variant>
        <vt:lpwstr/>
      </vt:variant>
      <vt:variant>
        <vt:i4>5898285</vt:i4>
      </vt:variant>
      <vt:variant>
        <vt:i4>0</vt:i4>
      </vt:variant>
      <vt:variant>
        <vt:i4>0</vt:i4>
      </vt:variant>
      <vt:variant>
        <vt:i4>5</vt:i4>
      </vt:variant>
      <vt:variant>
        <vt:lpwstr>https://www.acecqa.gov.au/sites/default/files/2023-12/Review of Child Safety Arrangements under the National Quality Framework-full_report.pdf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Sophie</dc:creator>
  <cp:keywords/>
  <dc:description/>
  <cp:lastModifiedBy>DOWNEY,Grace</cp:lastModifiedBy>
  <cp:revision>2</cp:revision>
  <cp:lastPrinted>2025-08-29T02:49:00Z</cp:lastPrinted>
  <dcterms:created xsi:type="dcterms:W3CDTF">2025-09-08T03:35:00Z</dcterms:created>
  <dcterms:modified xsi:type="dcterms:W3CDTF">2025-09-08T03:35:00Z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0x010100D5C225F7BE371F45B931F1C1E844000D</vt:lpwstr>
  </property>
  <property fmtid="{D5CDD505-2E9C-101B-9397-08002B2CF9AE}" pid="3" name="MediaServiceImageTags">
    <vt:lpwstr/>
  </property>
  <property fmtid="{D5CDD505-2E9C-101B-9397-08002B2CF9AE}" pid="4" name="GrammarlyDocumentId">
    <vt:lpwstr>a437e3e3-8a39-454e-8c9e-627017e6d353</vt:lpwstr>
  </property>
  <property fmtid="{D5CDD505-2E9C-101B-9397-08002B2CF9AE}" pid="5" name="MSIP_Label_79d889eb-932f-4752-8739-64d25806ef64_Enabled">
    <vt:lpwstr>true</vt:lpwstr>
  </property>
  <property fmtid="{D5CDD505-2E9C-101B-9397-08002B2CF9AE}" pid="6" name="MSIP_Label_79d889eb-932f-4752-8739-64d25806ef64_SetDate">
    <vt:lpwstr>2025-09-08T02:39:02Z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8e585200-5a26-4b48-93d5-3b4b63b9d27c</vt:lpwstr>
  </property>
  <property fmtid="{D5CDD505-2E9C-101B-9397-08002B2CF9AE}" pid="11" name="MSIP_Label_79d889eb-932f-4752-8739-64d25806ef64_ContentBits">
    <vt:lpwstr>0</vt:lpwstr>
  </property>
  <property fmtid="{D5CDD505-2E9C-101B-9397-08002B2CF9AE}" pid="12" name="MSIP_Label_79d889eb-932f-4752-8739-64d25806ef64_Tag">
    <vt:lpwstr>10, 0, 1, 1</vt:lpwstr>
  </property>
</Properties>
</file>