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11BD" w14:textId="77777777" w:rsidR="00A75541" w:rsidRDefault="00A82F81" w:rsidP="00A75541">
      <w:pPr>
        <w:spacing w:before="360"/>
        <w:jc w:val="center"/>
      </w:pPr>
      <w:r>
        <w:rPr>
          <w:caps/>
          <w:noProof/>
          <w:lang w:eastAsia="en-AU"/>
        </w:rPr>
        <w:drawing>
          <wp:inline distT="0" distB="0" distL="0" distR="0" wp14:anchorId="4A134DE4" wp14:editId="619FF473">
            <wp:extent cx="2465705" cy="1371600"/>
            <wp:effectExtent l="0" t="0" r="0" b="0"/>
            <wp:docPr id="5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43B2" w14:textId="7E9C8510" w:rsidR="00A75541" w:rsidRPr="00594A0A" w:rsidRDefault="00A82F81" w:rsidP="00A75541">
      <w:pPr>
        <w:spacing w:before="360"/>
        <w:jc w:val="center"/>
        <w:rPr>
          <w:rFonts w:asciiTheme="minorHAnsi" w:hAnsiTheme="minorHAnsi" w:cstheme="minorHAnsi"/>
          <w:sz w:val="36"/>
          <w:szCs w:val="36"/>
        </w:rPr>
      </w:pPr>
      <w:r w:rsidRPr="00594A0A">
        <w:rPr>
          <w:rFonts w:asciiTheme="minorHAnsi" w:hAnsiTheme="minorHAnsi" w:cstheme="minorHAnsi"/>
          <w:sz w:val="36"/>
          <w:szCs w:val="36"/>
        </w:rPr>
        <w:t xml:space="preserve">Australian Government response to the </w:t>
      </w:r>
      <w:r w:rsidRPr="00594A0A">
        <w:rPr>
          <w:rFonts w:asciiTheme="minorHAnsi" w:hAnsiTheme="minorHAnsi" w:cstheme="minorHAnsi"/>
          <w:sz w:val="36"/>
          <w:szCs w:val="36"/>
        </w:rPr>
        <w:br/>
      </w:r>
      <w:r w:rsidRPr="00A82F81">
        <w:rPr>
          <w:rFonts w:asciiTheme="minorHAnsi" w:hAnsiTheme="minorHAnsi" w:cstheme="minorHAnsi"/>
          <w:iCs/>
          <w:color w:val="000000" w:themeColor="text1"/>
          <w:sz w:val="36"/>
          <w:szCs w:val="36"/>
        </w:rPr>
        <w:t>Senate Education and Employment Legislation Committee</w:t>
      </w:r>
      <w:r w:rsidRPr="00A82F8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594A0A">
        <w:rPr>
          <w:rFonts w:asciiTheme="minorHAnsi" w:hAnsiTheme="minorHAnsi" w:cstheme="minorHAnsi"/>
          <w:sz w:val="36"/>
          <w:szCs w:val="36"/>
        </w:rPr>
        <w:t>report:</w:t>
      </w:r>
    </w:p>
    <w:p w14:paraId="5B7CDACE" w14:textId="5D7E1C5F" w:rsidR="00A75541" w:rsidRPr="003A2057" w:rsidRDefault="00A82F81" w:rsidP="00A75541">
      <w:pPr>
        <w:spacing w:before="240"/>
        <w:jc w:val="center"/>
        <w:rPr>
          <w:rFonts w:asciiTheme="minorHAnsi" w:hAnsiTheme="minorHAnsi" w:cstheme="minorHAnsi"/>
          <w:i/>
          <w:color w:val="000000" w:themeColor="text1"/>
          <w:sz w:val="36"/>
          <w:szCs w:val="36"/>
        </w:rPr>
      </w:pPr>
      <w:r w:rsidRPr="003A2057">
        <w:rPr>
          <w:rFonts w:asciiTheme="minorHAnsi" w:hAnsiTheme="minorHAnsi" w:cstheme="minorHAnsi"/>
          <w:i/>
          <w:color w:val="000000" w:themeColor="text1"/>
          <w:sz w:val="36"/>
          <w:szCs w:val="36"/>
        </w:rPr>
        <w:t>Wage Justice for Early Childhood Education and Care Workers (Special Account) Bill 2024 [Provisions]</w:t>
      </w:r>
    </w:p>
    <w:p w14:paraId="5FE2F430" w14:textId="389D7339" w:rsidR="00A75541" w:rsidRPr="000E1FCE" w:rsidRDefault="00812CD7" w:rsidP="00A75541">
      <w:pPr>
        <w:spacing w:before="6840" w:after="120"/>
        <w:jc w:val="right"/>
        <w:rPr>
          <w:rFonts w:asciiTheme="minorHAnsi" w:hAnsiTheme="minorHAnsi" w:cstheme="minorHAnsi"/>
          <w:caps/>
          <w:sz w:val="28"/>
          <w:szCs w:val="28"/>
        </w:rPr>
      </w:pPr>
      <w:r>
        <w:rPr>
          <w:rFonts w:asciiTheme="minorHAnsi" w:hAnsiTheme="minorHAnsi" w:cstheme="minorHAnsi"/>
          <w:caps/>
          <w:sz w:val="28"/>
          <w:szCs w:val="28"/>
        </w:rPr>
        <w:t>MARCH</w:t>
      </w:r>
      <w:r w:rsidR="000E1FCE" w:rsidRPr="00254448">
        <w:rPr>
          <w:rFonts w:asciiTheme="minorHAnsi" w:hAnsiTheme="minorHAnsi" w:cstheme="minorHAnsi"/>
          <w:caps/>
          <w:sz w:val="28"/>
          <w:szCs w:val="28"/>
        </w:rPr>
        <w:t xml:space="preserve"> 202</w:t>
      </w:r>
      <w:r w:rsidR="001576CA" w:rsidRPr="00254448">
        <w:rPr>
          <w:rFonts w:asciiTheme="minorHAnsi" w:hAnsiTheme="minorHAnsi" w:cstheme="minorHAnsi"/>
          <w:caps/>
          <w:sz w:val="28"/>
          <w:szCs w:val="28"/>
        </w:rPr>
        <w:t>5</w:t>
      </w:r>
    </w:p>
    <w:p w14:paraId="4EABDDA3" w14:textId="7DAAC6F6" w:rsidR="006C794F" w:rsidRDefault="006C794F">
      <w:pPr>
        <w:spacing w:after="200" w:line="276" w:lineRule="auto"/>
      </w:pPr>
    </w:p>
    <w:p w14:paraId="5B827B19" w14:textId="77777777" w:rsidR="000E1FCE" w:rsidRDefault="000E1FCE">
      <w:pPr>
        <w:spacing w:after="200" w:line="276" w:lineRule="auto"/>
      </w:pPr>
    </w:p>
    <w:p w14:paraId="793EC149" w14:textId="77777777" w:rsidR="000E1FCE" w:rsidRPr="000E1FCE" w:rsidRDefault="000E1FCE">
      <w:pPr>
        <w:spacing w:after="200" w:line="276" w:lineRule="auto"/>
      </w:pPr>
    </w:p>
    <w:p w14:paraId="11C6A24C" w14:textId="75C7E47C" w:rsidR="000C60E1" w:rsidRPr="00D179C1" w:rsidRDefault="000C60E1" w:rsidP="00A75541">
      <w:pPr>
        <w:spacing w:after="120"/>
        <w:rPr>
          <w:rFonts w:asciiTheme="minorHAnsi" w:hAnsiTheme="minorHAnsi" w:cstheme="minorHAnsi"/>
          <w:b/>
        </w:rPr>
      </w:pPr>
      <w:r w:rsidRPr="00D179C1">
        <w:rPr>
          <w:rFonts w:asciiTheme="minorHAnsi" w:hAnsiTheme="minorHAnsi" w:cstheme="minorHAnsi"/>
          <w:b/>
        </w:rPr>
        <w:lastRenderedPageBreak/>
        <w:t>Committee Recommendations</w:t>
      </w:r>
    </w:p>
    <w:p w14:paraId="09968243" w14:textId="662201A6" w:rsidR="00A75541" w:rsidRPr="00D179C1" w:rsidRDefault="000E1FCE" w:rsidP="000C60E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iCs/>
          <w:sz w:val="24"/>
          <w:szCs w:val="24"/>
        </w:rPr>
      </w:pPr>
      <w:r w:rsidRPr="00D179C1">
        <w:rPr>
          <w:rFonts w:asciiTheme="minorHAnsi" w:hAnsiTheme="minorHAnsi" w:cstheme="minorHAnsi"/>
          <w:b/>
          <w:iCs/>
          <w:sz w:val="24"/>
          <w:szCs w:val="24"/>
        </w:rPr>
        <w:t>The committee recommends that the bill be passed.</w:t>
      </w:r>
    </w:p>
    <w:p w14:paraId="6E100034" w14:textId="77777777" w:rsidR="002172ED" w:rsidRPr="00D179C1" w:rsidRDefault="002172ED">
      <w:pPr>
        <w:rPr>
          <w:rFonts w:asciiTheme="minorHAnsi" w:hAnsiTheme="minorHAnsi" w:cstheme="minorHAnsi"/>
          <w:iCs/>
        </w:rPr>
      </w:pPr>
    </w:p>
    <w:p w14:paraId="76E4D01C" w14:textId="5134581F" w:rsidR="002172ED" w:rsidRPr="00D179C1" w:rsidRDefault="000E1FCE">
      <w:pPr>
        <w:rPr>
          <w:rFonts w:asciiTheme="minorHAnsi" w:hAnsiTheme="minorHAnsi" w:cstheme="minorHAnsi"/>
          <w:iCs/>
        </w:rPr>
      </w:pPr>
      <w:r w:rsidRPr="00D179C1">
        <w:rPr>
          <w:rFonts w:asciiTheme="minorHAnsi" w:hAnsiTheme="minorHAnsi" w:cstheme="minorHAnsi"/>
          <w:iCs/>
        </w:rPr>
        <w:t xml:space="preserve">The Australian Government </w:t>
      </w:r>
      <w:r w:rsidR="00913A36" w:rsidRPr="00D179C1">
        <w:rPr>
          <w:rFonts w:asciiTheme="minorHAnsi" w:hAnsiTheme="minorHAnsi" w:cstheme="minorHAnsi"/>
          <w:iCs/>
        </w:rPr>
        <w:t>accepts the recommendation</w:t>
      </w:r>
      <w:r w:rsidRPr="00D179C1">
        <w:rPr>
          <w:rFonts w:asciiTheme="minorHAnsi" w:hAnsiTheme="minorHAnsi" w:cstheme="minorHAnsi"/>
          <w:iCs/>
        </w:rPr>
        <w:t>.</w:t>
      </w:r>
      <w:r w:rsidR="000E03D8" w:rsidRPr="00D179C1">
        <w:rPr>
          <w:rFonts w:asciiTheme="minorHAnsi" w:hAnsiTheme="minorHAnsi" w:cstheme="minorHAnsi"/>
          <w:iCs/>
        </w:rPr>
        <w:t xml:space="preserve"> The bill </w:t>
      </w:r>
      <w:r w:rsidR="003A2057" w:rsidRPr="00D179C1">
        <w:rPr>
          <w:rFonts w:asciiTheme="minorHAnsi" w:hAnsiTheme="minorHAnsi" w:cstheme="minorHAnsi"/>
          <w:iCs/>
        </w:rPr>
        <w:t xml:space="preserve">passed both Houses </w:t>
      </w:r>
      <w:r w:rsidR="000E03D8" w:rsidRPr="00D179C1">
        <w:rPr>
          <w:rFonts w:asciiTheme="minorHAnsi" w:hAnsiTheme="minorHAnsi" w:cstheme="minorHAnsi"/>
          <w:iCs/>
        </w:rPr>
        <w:t>on 26 November 2024</w:t>
      </w:r>
      <w:r w:rsidR="003A2057" w:rsidRPr="00D179C1">
        <w:rPr>
          <w:rFonts w:asciiTheme="minorHAnsi" w:hAnsiTheme="minorHAnsi" w:cstheme="minorHAnsi"/>
          <w:iCs/>
        </w:rPr>
        <w:t xml:space="preserve"> and received Royal Assent on 10 December 2024.</w:t>
      </w:r>
    </w:p>
    <w:p w14:paraId="4F1EAC22" w14:textId="77777777" w:rsidR="000C60E1" w:rsidRPr="00D179C1" w:rsidRDefault="000C60E1">
      <w:pPr>
        <w:rPr>
          <w:rFonts w:asciiTheme="minorHAnsi" w:hAnsiTheme="minorHAnsi" w:cstheme="minorHAnsi"/>
          <w:iCs/>
        </w:rPr>
      </w:pPr>
    </w:p>
    <w:p w14:paraId="3117D0AD" w14:textId="070BF2E8" w:rsidR="000C60E1" w:rsidRPr="00D179C1" w:rsidRDefault="000C60E1">
      <w:pPr>
        <w:rPr>
          <w:rFonts w:asciiTheme="minorHAnsi" w:hAnsiTheme="minorHAnsi" w:cstheme="minorHAnsi"/>
          <w:b/>
          <w:bCs/>
          <w:iCs/>
        </w:rPr>
      </w:pPr>
      <w:r w:rsidRPr="00D179C1">
        <w:rPr>
          <w:rFonts w:asciiTheme="minorHAnsi" w:hAnsiTheme="minorHAnsi" w:cstheme="minorHAnsi"/>
          <w:b/>
          <w:bCs/>
          <w:iCs/>
        </w:rPr>
        <w:t>Greens Recommendations</w:t>
      </w:r>
    </w:p>
    <w:p w14:paraId="2430AA27" w14:textId="75E8A6F3" w:rsidR="002172ED" w:rsidRPr="00D179C1" w:rsidRDefault="002172ED" w:rsidP="00C113D5">
      <w:pPr>
        <w:rPr>
          <w:rFonts w:asciiTheme="minorHAnsi" w:hAnsiTheme="minorHAnsi" w:cstheme="minorHAnsi"/>
          <w:bCs/>
          <w:iCs/>
          <w:lang w:val="en-US"/>
        </w:rPr>
      </w:pPr>
    </w:p>
    <w:p w14:paraId="6C7C7F69" w14:textId="4B61A47D" w:rsidR="000C60E1" w:rsidRPr="00D179C1" w:rsidRDefault="009E5AAD" w:rsidP="000C60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r w:rsidRPr="00D179C1">
        <w:rPr>
          <w:rFonts w:asciiTheme="minorHAnsi" w:hAnsiTheme="minorHAnsi" w:cstheme="minorHAnsi"/>
          <w:b/>
          <w:iCs/>
          <w:sz w:val="24"/>
          <w:szCs w:val="24"/>
          <w:lang w:val="en-US"/>
        </w:rPr>
        <w:t>That the Australian Government amends the bill to fully fund a 25 percent wage increase for early childhood educators.</w:t>
      </w:r>
    </w:p>
    <w:p w14:paraId="5ACD7FBA" w14:textId="77777777" w:rsidR="009E5AAD" w:rsidRPr="00D179C1" w:rsidRDefault="009E5AAD" w:rsidP="009E5AAD">
      <w:pPr>
        <w:rPr>
          <w:rFonts w:asciiTheme="minorHAnsi" w:hAnsiTheme="minorHAnsi" w:cstheme="minorHAnsi"/>
          <w:b/>
          <w:iCs/>
          <w:lang w:val="en-US"/>
        </w:rPr>
      </w:pPr>
    </w:p>
    <w:p w14:paraId="73A7AC80" w14:textId="4B72E53F" w:rsidR="009E5AAD" w:rsidRPr="00D179C1" w:rsidRDefault="009E5AAD" w:rsidP="00A97928">
      <w:pPr>
        <w:pStyle w:val="MBPoint"/>
        <w:numPr>
          <w:ilvl w:val="0"/>
          <w:numId w:val="0"/>
        </w:numPr>
        <w:ind w:left="57"/>
        <w:rPr>
          <w:rFonts w:asciiTheme="minorHAnsi" w:hAnsiTheme="minorHAnsi" w:cstheme="minorHAnsi"/>
          <w:iCs/>
        </w:rPr>
      </w:pPr>
      <w:r w:rsidRPr="00D179C1">
        <w:rPr>
          <w:rFonts w:asciiTheme="minorHAnsi" w:hAnsiTheme="minorHAnsi" w:cstheme="minorHAnsi"/>
          <w:iCs/>
        </w:rPr>
        <w:t>The Australian Government</w:t>
      </w:r>
      <w:r w:rsidR="00D65F79" w:rsidRPr="00D179C1">
        <w:rPr>
          <w:rFonts w:asciiTheme="minorHAnsi" w:hAnsiTheme="minorHAnsi" w:cstheme="minorHAnsi"/>
          <w:iCs/>
        </w:rPr>
        <w:t xml:space="preserve"> does not accept the recommendation. A phased wage increase of 10 per cent in the first year, increasing to 15 per cent in the second year is an economically responsible approach</w:t>
      </w:r>
      <w:r w:rsidR="00A97928">
        <w:rPr>
          <w:rFonts w:asciiTheme="minorHAnsi" w:hAnsiTheme="minorHAnsi" w:cstheme="minorHAnsi"/>
          <w:iCs/>
        </w:rPr>
        <w:t xml:space="preserve"> which also provides an historic pay increase for Early Childhood Education and Care (ECEC) educators.</w:t>
      </w:r>
    </w:p>
    <w:p w14:paraId="628D7E8E" w14:textId="77777777" w:rsidR="009E5AAD" w:rsidRPr="00D179C1" w:rsidRDefault="009E5AAD" w:rsidP="009E5AAD">
      <w:pPr>
        <w:rPr>
          <w:rFonts w:asciiTheme="minorHAnsi" w:hAnsiTheme="minorHAnsi" w:cstheme="minorHAnsi"/>
          <w:b/>
          <w:iCs/>
          <w:lang w:val="en-US"/>
        </w:rPr>
      </w:pPr>
    </w:p>
    <w:p w14:paraId="3673F26B" w14:textId="50B85A00" w:rsidR="009E5AAD" w:rsidRPr="00D179C1" w:rsidRDefault="009E5AAD" w:rsidP="000C60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r w:rsidRPr="00D179C1">
        <w:rPr>
          <w:rFonts w:asciiTheme="minorHAnsi" w:hAnsiTheme="minorHAnsi" w:cstheme="minorHAnsi"/>
          <w:b/>
          <w:iCs/>
          <w:sz w:val="24"/>
          <w:szCs w:val="24"/>
          <w:lang w:val="en-US"/>
        </w:rPr>
        <w:t>That the Australian Government invests in improving educator working conditions.</w:t>
      </w:r>
    </w:p>
    <w:p w14:paraId="3087B561" w14:textId="77777777" w:rsidR="00D65F79" w:rsidRPr="00D179C1" w:rsidRDefault="00D65F79" w:rsidP="00D65F79">
      <w:pPr>
        <w:rPr>
          <w:rFonts w:asciiTheme="minorHAnsi" w:hAnsiTheme="minorHAnsi" w:cstheme="minorHAnsi"/>
          <w:b/>
          <w:iCs/>
          <w:lang w:val="en-US"/>
        </w:rPr>
      </w:pPr>
    </w:p>
    <w:p w14:paraId="5B74F5CF" w14:textId="5FDE2B90" w:rsidR="00D65F79" w:rsidRPr="00D179C1" w:rsidRDefault="00D65F79" w:rsidP="00D65F79">
      <w:pPr>
        <w:rPr>
          <w:rFonts w:asciiTheme="minorHAnsi" w:hAnsiTheme="minorHAnsi" w:cstheme="minorHAnsi"/>
          <w:bCs/>
          <w:iCs/>
          <w:lang w:val="en-US"/>
        </w:rPr>
      </w:pPr>
      <w:r w:rsidRPr="00D179C1">
        <w:rPr>
          <w:rFonts w:asciiTheme="minorHAnsi" w:hAnsiTheme="minorHAnsi" w:cstheme="minorHAnsi"/>
          <w:bCs/>
          <w:iCs/>
          <w:lang w:val="en-US"/>
        </w:rPr>
        <w:t xml:space="preserve">The Australian Government accepts the recommendation and notes the significant investments it has made to improve educator working conditions, including through this </w:t>
      </w:r>
      <w:r w:rsidR="00FB43CB">
        <w:rPr>
          <w:rFonts w:asciiTheme="minorHAnsi" w:hAnsiTheme="minorHAnsi" w:cstheme="minorHAnsi"/>
          <w:bCs/>
          <w:iCs/>
          <w:lang w:val="en-US"/>
        </w:rPr>
        <w:t>ECEC</w:t>
      </w:r>
      <w:r w:rsidRPr="00D179C1">
        <w:rPr>
          <w:rFonts w:asciiTheme="minorHAnsi" w:hAnsiTheme="minorHAnsi" w:cstheme="minorHAnsi"/>
          <w:bCs/>
          <w:iCs/>
          <w:lang w:val="en-US"/>
        </w:rPr>
        <w:t xml:space="preserve"> Worker Retention Payment</w:t>
      </w:r>
      <w:r w:rsidR="00FB43CB">
        <w:rPr>
          <w:rFonts w:asciiTheme="minorHAnsi" w:hAnsiTheme="minorHAnsi" w:cstheme="minorHAnsi"/>
          <w:bCs/>
          <w:iCs/>
          <w:lang w:val="en-US"/>
        </w:rPr>
        <w:t>.</w:t>
      </w:r>
    </w:p>
    <w:p w14:paraId="62AC5AF7" w14:textId="77777777" w:rsidR="009E5AAD" w:rsidRPr="00D179C1" w:rsidRDefault="009E5AAD" w:rsidP="009E5AAD">
      <w:pPr>
        <w:rPr>
          <w:rFonts w:asciiTheme="minorHAnsi" w:hAnsiTheme="minorHAnsi" w:cstheme="minorHAnsi"/>
          <w:b/>
          <w:iCs/>
          <w:lang w:val="en-US"/>
        </w:rPr>
      </w:pPr>
    </w:p>
    <w:p w14:paraId="4A9029B6" w14:textId="522F61D4" w:rsidR="009E5AAD" w:rsidRPr="00D179C1" w:rsidRDefault="009E5AAD" w:rsidP="000C60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r w:rsidRPr="00D179C1">
        <w:rPr>
          <w:rFonts w:asciiTheme="minorHAnsi" w:hAnsiTheme="minorHAnsi" w:cstheme="minorHAnsi"/>
          <w:b/>
          <w:iCs/>
          <w:sz w:val="24"/>
          <w:szCs w:val="24"/>
          <w:lang w:val="en-US"/>
        </w:rPr>
        <w:t>That the bill be amended to extend the wage increase beyond the sunset provision until the Fair Work Commission decision is operational.</w:t>
      </w:r>
    </w:p>
    <w:p w14:paraId="6D979243" w14:textId="77777777" w:rsidR="00D65F79" w:rsidRPr="00D179C1" w:rsidRDefault="00D65F79" w:rsidP="00D65F79">
      <w:pPr>
        <w:rPr>
          <w:rFonts w:ascii="Arial" w:hAnsi="Arial" w:cs="Arial"/>
        </w:rPr>
      </w:pPr>
    </w:p>
    <w:p w14:paraId="0D2355CB" w14:textId="6AD8409A" w:rsidR="00D65F79" w:rsidRPr="00D179C1" w:rsidRDefault="00D65F79" w:rsidP="00D65F79">
      <w:pPr>
        <w:rPr>
          <w:rFonts w:asciiTheme="minorHAnsi" w:hAnsiTheme="minorHAnsi" w:cstheme="minorHAnsi"/>
          <w:bCs/>
          <w:iCs/>
          <w:lang w:val="en-US"/>
        </w:rPr>
      </w:pPr>
      <w:r w:rsidRPr="00D179C1">
        <w:rPr>
          <w:rFonts w:asciiTheme="minorHAnsi" w:hAnsiTheme="minorHAnsi" w:cstheme="minorHAnsi"/>
          <w:bCs/>
          <w:iCs/>
          <w:lang w:val="en-US"/>
        </w:rPr>
        <w:t>The Australian Government does not accept the recommendation</w:t>
      </w:r>
      <w:r w:rsidR="00D179C1" w:rsidRPr="00D179C1">
        <w:rPr>
          <w:rFonts w:asciiTheme="minorHAnsi" w:hAnsiTheme="minorHAnsi" w:cstheme="minorHAnsi"/>
          <w:bCs/>
          <w:iCs/>
          <w:lang w:val="en-US"/>
        </w:rPr>
        <w:t xml:space="preserve"> a</w:t>
      </w:r>
      <w:r w:rsidRPr="00D179C1">
        <w:rPr>
          <w:rFonts w:asciiTheme="minorHAnsi" w:hAnsiTheme="minorHAnsi" w:cstheme="minorHAnsi"/>
          <w:bCs/>
          <w:iCs/>
          <w:lang w:val="en-US"/>
        </w:rPr>
        <w:t>nd notes that the</w:t>
      </w:r>
      <w:r w:rsidR="00D179C1" w:rsidRPr="00D179C1">
        <w:rPr>
          <w:rFonts w:asciiTheme="minorHAnsi" w:hAnsiTheme="minorHAnsi" w:cstheme="minorHAnsi"/>
          <w:bCs/>
          <w:iCs/>
          <w:lang w:val="en-US"/>
        </w:rPr>
        <w:t xml:space="preserve"> </w:t>
      </w:r>
      <w:r w:rsidR="00497024">
        <w:rPr>
          <w:rFonts w:asciiTheme="minorHAnsi" w:hAnsiTheme="minorHAnsi" w:cstheme="minorHAnsi"/>
          <w:bCs/>
          <w:iCs/>
          <w:lang w:val="en-US"/>
        </w:rPr>
        <w:t xml:space="preserve">ECEC Worker Retention </w:t>
      </w:r>
      <w:r w:rsidR="00D179C1" w:rsidRPr="00D179C1">
        <w:rPr>
          <w:rFonts w:asciiTheme="minorHAnsi" w:hAnsiTheme="minorHAnsi" w:cstheme="minorHAnsi"/>
          <w:bCs/>
          <w:iCs/>
          <w:lang w:val="en-US"/>
        </w:rPr>
        <w:t>Payment</w:t>
      </w:r>
      <w:r w:rsidRPr="00D179C1">
        <w:rPr>
          <w:rFonts w:asciiTheme="minorHAnsi" w:hAnsiTheme="minorHAnsi" w:cstheme="minorHAnsi"/>
          <w:bCs/>
          <w:iCs/>
          <w:lang w:val="en-US"/>
        </w:rPr>
        <w:t xml:space="preserve"> is an interim measure while the Fair Work Commission finalises its gender undervaluation review of priority awards</w:t>
      </w:r>
      <w:r w:rsidR="00D179C1" w:rsidRPr="00D179C1">
        <w:rPr>
          <w:rFonts w:asciiTheme="minorHAnsi" w:hAnsiTheme="minorHAnsi" w:cstheme="minorHAnsi"/>
          <w:bCs/>
          <w:iCs/>
          <w:lang w:val="en-US"/>
        </w:rPr>
        <w:t xml:space="preserve">. </w:t>
      </w:r>
    </w:p>
    <w:p w14:paraId="100DE382" w14:textId="77777777" w:rsidR="009E5AAD" w:rsidRPr="00D179C1" w:rsidRDefault="009E5AAD" w:rsidP="009E5AAD">
      <w:pPr>
        <w:rPr>
          <w:rFonts w:asciiTheme="minorHAnsi" w:hAnsiTheme="minorHAnsi" w:cstheme="minorHAnsi"/>
          <w:bCs/>
          <w:iCs/>
          <w:lang w:val="en-US"/>
        </w:rPr>
      </w:pPr>
    </w:p>
    <w:p w14:paraId="79E3BB05" w14:textId="7E4F4DAE" w:rsidR="009E5AAD" w:rsidRPr="00D179C1" w:rsidRDefault="009E5AAD" w:rsidP="000C60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r w:rsidRPr="00D179C1">
        <w:rPr>
          <w:rFonts w:asciiTheme="minorHAnsi" w:hAnsiTheme="minorHAnsi" w:cstheme="minorHAnsi"/>
          <w:b/>
          <w:iCs/>
          <w:sz w:val="24"/>
          <w:szCs w:val="24"/>
          <w:lang w:val="en-US"/>
        </w:rPr>
        <w:t>That the Australian Government commits to fully funding the Fair Work Com</w:t>
      </w:r>
      <w:r w:rsidR="00D65F79" w:rsidRPr="00D179C1">
        <w:rPr>
          <w:rFonts w:asciiTheme="minorHAnsi" w:hAnsiTheme="minorHAnsi" w:cstheme="minorHAnsi"/>
          <w:b/>
          <w:iCs/>
          <w:sz w:val="24"/>
          <w:szCs w:val="24"/>
          <w:lang w:val="en-US"/>
        </w:rPr>
        <w:t>m</w:t>
      </w:r>
      <w:r w:rsidRPr="00D179C1">
        <w:rPr>
          <w:rFonts w:asciiTheme="minorHAnsi" w:hAnsiTheme="minorHAnsi" w:cstheme="minorHAnsi"/>
          <w:b/>
          <w:iCs/>
          <w:sz w:val="24"/>
          <w:szCs w:val="24"/>
          <w:lang w:val="en-US"/>
        </w:rPr>
        <w:t>ission decision on early childhood wages.</w:t>
      </w:r>
    </w:p>
    <w:p w14:paraId="08AFC97E" w14:textId="77777777" w:rsidR="009E5AAD" w:rsidRPr="00D179C1" w:rsidRDefault="009E5AAD" w:rsidP="009E5AAD">
      <w:pPr>
        <w:rPr>
          <w:rFonts w:ascii="Arial" w:hAnsi="Arial" w:cs="Arial"/>
        </w:rPr>
      </w:pPr>
    </w:p>
    <w:p w14:paraId="2E866C84" w14:textId="38D6F292" w:rsidR="00D65F79" w:rsidRPr="00D179C1" w:rsidRDefault="00D179C1" w:rsidP="009E5AAD">
      <w:pPr>
        <w:rPr>
          <w:rFonts w:asciiTheme="minorHAnsi" w:hAnsiTheme="minorHAnsi" w:cstheme="minorHAnsi"/>
          <w:bCs/>
          <w:iCs/>
          <w:lang w:val="en-US"/>
        </w:rPr>
      </w:pPr>
      <w:r w:rsidRPr="00D179C1">
        <w:rPr>
          <w:rFonts w:asciiTheme="minorHAnsi" w:hAnsiTheme="minorHAnsi" w:cstheme="minorHAnsi"/>
          <w:bCs/>
          <w:iCs/>
          <w:lang w:val="en-US"/>
        </w:rPr>
        <w:t>The Australian Government does not accept the recommendation and will not pre</w:t>
      </w:r>
      <w:r w:rsidR="00FE120D">
        <w:rPr>
          <w:rFonts w:asciiTheme="minorHAnsi" w:hAnsiTheme="minorHAnsi" w:cstheme="minorHAnsi"/>
          <w:bCs/>
          <w:iCs/>
          <w:lang w:val="en-US"/>
        </w:rPr>
        <w:t>-</w:t>
      </w:r>
      <w:r w:rsidRPr="00D179C1">
        <w:rPr>
          <w:rFonts w:asciiTheme="minorHAnsi" w:hAnsiTheme="minorHAnsi" w:cstheme="minorHAnsi"/>
          <w:bCs/>
          <w:iCs/>
          <w:lang w:val="en-US"/>
        </w:rPr>
        <w:t xml:space="preserve">emptively commit to future decisions </w:t>
      </w:r>
      <w:r w:rsidR="00C804AB">
        <w:rPr>
          <w:rFonts w:asciiTheme="minorHAnsi" w:hAnsiTheme="minorHAnsi" w:cstheme="minorHAnsi"/>
          <w:bCs/>
          <w:iCs/>
          <w:lang w:val="en-US"/>
        </w:rPr>
        <w:t>of</w:t>
      </w:r>
      <w:r w:rsidRPr="00D179C1">
        <w:rPr>
          <w:rFonts w:asciiTheme="minorHAnsi" w:hAnsiTheme="minorHAnsi" w:cstheme="minorHAnsi"/>
          <w:bCs/>
          <w:iCs/>
          <w:lang w:val="en-US"/>
        </w:rPr>
        <w:t xml:space="preserve"> the independent Fair Work Commission.</w:t>
      </w:r>
    </w:p>
    <w:p w14:paraId="5C6732FC" w14:textId="77777777" w:rsidR="00D179C1" w:rsidRPr="00D179C1" w:rsidRDefault="00D179C1" w:rsidP="009E5AAD">
      <w:pPr>
        <w:rPr>
          <w:rFonts w:asciiTheme="minorHAnsi" w:hAnsiTheme="minorHAnsi" w:cstheme="minorHAnsi"/>
          <w:b/>
          <w:iCs/>
          <w:lang w:val="en-US"/>
        </w:rPr>
      </w:pPr>
    </w:p>
    <w:p w14:paraId="7B3C0F10" w14:textId="1B8CD516" w:rsidR="009E5AAD" w:rsidRPr="00D179C1" w:rsidRDefault="009E5AAD" w:rsidP="000C60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r w:rsidRPr="00D179C1">
        <w:rPr>
          <w:rFonts w:asciiTheme="minorHAnsi" w:hAnsiTheme="minorHAnsi" w:cstheme="minorHAnsi"/>
          <w:b/>
          <w:iCs/>
          <w:sz w:val="24"/>
          <w:szCs w:val="24"/>
          <w:lang w:val="en-US"/>
        </w:rPr>
        <w:t>That the Australian Government allocate extra funding for administrative expenses associated with the workplace instrument.</w:t>
      </w:r>
    </w:p>
    <w:p w14:paraId="392DD75C" w14:textId="77777777" w:rsidR="009E5AAD" w:rsidRPr="00D179C1" w:rsidRDefault="009E5AAD" w:rsidP="009E5AAD">
      <w:pPr>
        <w:rPr>
          <w:rFonts w:asciiTheme="minorHAnsi" w:hAnsiTheme="minorHAnsi" w:cstheme="minorHAnsi"/>
          <w:b/>
          <w:iCs/>
          <w:lang w:val="en-US"/>
        </w:rPr>
      </w:pPr>
    </w:p>
    <w:p w14:paraId="38DA1821" w14:textId="6E5B7EC5" w:rsidR="00D179C1" w:rsidRPr="00D179C1" w:rsidRDefault="00D179C1" w:rsidP="009E5AAD">
      <w:pPr>
        <w:rPr>
          <w:rFonts w:asciiTheme="minorHAnsi" w:hAnsiTheme="minorHAnsi" w:cstheme="minorHAnsi"/>
          <w:bCs/>
          <w:iCs/>
          <w:lang w:val="en-US"/>
        </w:rPr>
      </w:pPr>
      <w:r w:rsidRPr="00D179C1">
        <w:rPr>
          <w:rFonts w:asciiTheme="minorHAnsi" w:hAnsiTheme="minorHAnsi" w:cstheme="minorHAnsi"/>
          <w:bCs/>
          <w:iCs/>
          <w:lang w:val="en-US"/>
        </w:rPr>
        <w:t xml:space="preserve">The Australian Government </w:t>
      </w:r>
      <w:r w:rsidR="0004201B">
        <w:rPr>
          <w:rFonts w:asciiTheme="minorHAnsi" w:hAnsiTheme="minorHAnsi" w:cstheme="minorHAnsi"/>
          <w:bCs/>
          <w:iCs/>
          <w:lang w:val="en-US"/>
        </w:rPr>
        <w:t>notes</w:t>
      </w:r>
      <w:r w:rsidRPr="00D179C1">
        <w:rPr>
          <w:rFonts w:asciiTheme="minorHAnsi" w:hAnsiTheme="minorHAnsi" w:cstheme="minorHAnsi"/>
          <w:bCs/>
          <w:iCs/>
          <w:lang w:val="en-US"/>
        </w:rPr>
        <w:t xml:space="preserve"> the recommendation and </w:t>
      </w:r>
      <w:r w:rsidR="000D2071">
        <w:rPr>
          <w:rFonts w:asciiTheme="minorHAnsi" w:hAnsiTheme="minorHAnsi" w:cstheme="minorHAnsi"/>
          <w:bCs/>
          <w:iCs/>
          <w:lang w:val="en-US"/>
        </w:rPr>
        <w:t xml:space="preserve">is providing </w:t>
      </w:r>
      <w:r w:rsidR="008D7B3A">
        <w:rPr>
          <w:rFonts w:asciiTheme="minorHAnsi" w:hAnsiTheme="minorHAnsi" w:cstheme="minorHAnsi"/>
          <w:bCs/>
          <w:iCs/>
          <w:lang w:val="en-US"/>
        </w:rPr>
        <w:br/>
      </w:r>
      <w:r w:rsidR="000D2071">
        <w:rPr>
          <w:rFonts w:asciiTheme="minorHAnsi" w:hAnsiTheme="minorHAnsi" w:cstheme="minorHAnsi"/>
          <w:bCs/>
          <w:iCs/>
          <w:lang w:val="en-US"/>
        </w:rPr>
        <w:t>$10</w:t>
      </w:r>
      <w:r w:rsidR="00FB43CB">
        <w:rPr>
          <w:rFonts w:asciiTheme="minorHAnsi" w:hAnsiTheme="minorHAnsi" w:cstheme="minorHAnsi"/>
          <w:bCs/>
          <w:iCs/>
          <w:lang w:val="en-US"/>
        </w:rPr>
        <w:t>.0</w:t>
      </w:r>
      <w:r w:rsidR="000D2071">
        <w:rPr>
          <w:rFonts w:asciiTheme="minorHAnsi" w:hAnsiTheme="minorHAnsi" w:cstheme="minorHAnsi"/>
          <w:bCs/>
          <w:iCs/>
          <w:lang w:val="en-US"/>
        </w:rPr>
        <w:t xml:space="preserve"> million 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from 2024-25 </w:t>
      </w:r>
      <w:r w:rsidR="0057289F">
        <w:rPr>
          <w:rFonts w:asciiTheme="minorHAnsi" w:hAnsiTheme="minorHAnsi" w:cstheme="minorHAnsi"/>
          <w:bCs/>
          <w:iCs/>
          <w:lang w:val="en-US"/>
        </w:rPr>
        <w:t>for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 the ECEC Worker Retention Payment Engagement Program to</w:t>
      </w:r>
      <w:r w:rsidR="000D2071">
        <w:rPr>
          <w:rFonts w:asciiTheme="minorHAnsi" w:hAnsiTheme="minorHAnsi" w:cstheme="minorHAnsi"/>
          <w:bCs/>
          <w:iCs/>
          <w:lang w:val="en-US"/>
        </w:rPr>
        <w:t xml:space="preserve"> support services to meet the requirement</w:t>
      </w:r>
      <w:r w:rsidR="00FB43CB">
        <w:rPr>
          <w:rFonts w:asciiTheme="minorHAnsi" w:hAnsiTheme="minorHAnsi" w:cstheme="minorHAnsi"/>
          <w:bCs/>
          <w:iCs/>
          <w:lang w:val="en-US"/>
        </w:rPr>
        <w:t>s and conditions of the grant</w:t>
      </w:r>
      <w:r w:rsidR="00FE120D">
        <w:rPr>
          <w:rFonts w:asciiTheme="minorHAnsi" w:hAnsiTheme="minorHAnsi" w:cstheme="minorHAnsi"/>
          <w:bCs/>
          <w:iCs/>
          <w:lang w:val="en-US"/>
        </w:rPr>
        <w:t>, including the workplace instrument</w:t>
      </w:r>
      <w:r w:rsidR="000D2071">
        <w:rPr>
          <w:rFonts w:asciiTheme="minorHAnsi" w:hAnsiTheme="minorHAnsi" w:cstheme="minorHAnsi"/>
          <w:bCs/>
          <w:iCs/>
          <w:lang w:val="en-US"/>
        </w:rPr>
        <w:t>.</w:t>
      </w:r>
    </w:p>
    <w:p w14:paraId="0FE94CD1" w14:textId="7A92D0AD" w:rsidR="008D7B3A" w:rsidRDefault="008D7B3A">
      <w:pPr>
        <w:spacing w:after="200" w:line="276" w:lineRule="auto"/>
        <w:rPr>
          <w:rFonts w:asciiTheme="minorHAnsi" w:hAnsiTheme="minorHAnsi" w:cstheme="minorHAnsi"/>
          <w:b/>
          <w:iCs/>
          <w:lang w:val="en-US"/>
        </w:rPr>
      </w:pPr>
      <w:r>
        <w:rPr>
          <w:rFonts w:asciiTheme="minorHAnsi" w:hAnsiTheme="minorHAnsi" w:cstheme="minorHAnsi"/>
          <w:b/>
          <w:iCs/>
          <w:lang w:val="en-US"/>
        </w:rPr>
        <w:br w:type="page"/>
      </w:r>
    </w:p>
    <w:p w14:paraId="2D9C16E2" w14:textId="499CBD4D" w:rsidR="009E5AAD" w:rsidRPr="00D179C1" w:rsidRDefault="009E5AAD" w:rsidP="000C60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r w:rsidRPr="00D179C1">
        <w:rPr>
          <w:rFonts w:asciiTheme="minorHAnsi" w:hAnsiTheme="minorHAnsi" w:cstheme="minorHAnsi"/>
          <w:b/>
          <w:iCs/>
          <w:sz w:val="24"/>
          <w:szCs w:val="24"/>
          <w:lang w:val="en-US"/>
        </w:rPr>
        <w:lastRenderedPageBreak/>
        <w:t>That the Australian Government increase transparency on grant calculations for providers in the grant guidelines.</w:t>
      </w:r>
    </w:p>
    <w:p w14:paraId="23DB4CB8" w14:textId="77777777" w:rsidR="00D179C1" w:rsidRPr="00D179C1" w:rsidRDefault="00D179C1" w:rsidP="00D179C1">
      <w:pPr>
        <w:rPr>
          <w:rFonts w:asciiTheme="minorHAnsi" w:hAnsiTheme="minorHAnsi" w:cstheme="minorHAnsi"/>
          <w:b/>
          <w:iCs/>
          <w:lang w:val="en-US"/>
        </w:rPr>
      </w:pPr>
    </w:p>
    <w:p w14:paraId="60EC7884" w14:textId="11CC5F25" w:rsidR="00D179C1" w:rsidRPr="00D179C1" w:rsidRDefault="00D179C1" w:rsidP="00D179C1">
      <w:pPr>
        <w:rPr>
          <w:rFonts w:asciiTheme="minorHAnsi" w:hAnsiTheme="minorHAnsi" w:cstheme="minorHAnsi"/>
          <w:bCs/>
          <w:iCs/>
          <w:lang w:val="en-US"/>
        </w:rPr>
      </w:pPr>
      <w:r w:rsidRPr="00D179C1">
        <w:rPr>
          <w:rFonts w:asciiTheme="minorHAnsi" w:hAnsiTheme="minorHAnsi" w:cstheme="minorHAnsi"/>
          <w:bCs/>
          <w:iCs/>
          <w:lang w:val="en-US"/>
        </w:rPr>
        <w:t xml:space="preserve">The Australian Government does not accept the recommendation. </w:t>
      </w:r>
      <w:r w:rsidR="00FB43CB">
        <w:rPr>
          <w:rFonts w:asciiTheme="minorHAnsi" w:hAnsiTheme="minorHAnsi" w:cstheme="minorHAnsi"/>
          <w:bCs/>
          <w:iCs/>
          <w:lang w:val="en-US"/>
        </w:rPr>
        <w:t>The ECEC Worker Retention Payment provides</w:t>
      </w:r>
      <w:r w:rsidR="00FB43CB" w:rsidRPr="00FB43CB">
        <w:rPr>
          <w:rFonts w:asciiTheme="minorHAnsi" w:hAnsiTheme="minorHAnsi" w:cstheme="minorHAnsi"/>
          <w:bCs/>
          <w:iCs/>
          <w:lang w:val="en-US"/>
        </w:rPr>
        <w:t xml:space="preserve"> funding to cover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 </w:t>
      </w:r>
      <w:r w:rsidR="00FB43CB" w:rsidRPr="00FB43CB">
        <w:rPr>
          <w:rFonts w:asciiTheme="minorHAnsi" w:hAnsiTheme="minorHAnsi" w:cstheme="minorHAnsi"/>
          <w:bCs/>
          <w:iCs/>
          <w:lang w:val="en-US"/>
        </w:rPr>
        <w:t>a 10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 per cent</w:t>
      </w:r>
      <w:r w:rsidR="00FB43CB" w:rsidRPr="00FB43CB">
        <w:rPr>
          <w:rFonts w:asciiTheme="minorHAnsi" w:hAnsiTheme="minorHAnsi" w:cstheme="minorHAnsi"/>
          <w:bCs/>
          <w:iCs/>
          <w:lang w:val="en-US"/>
        </w:rPr>
        <w:t xml:space="preserve"> wage increase for all eligible </w:t>
      </w:r>
      <w:r w:rsidR="00FB43CB">
        <w:rPr>
          <w:rFonts w:asciiTheme="minorHAnsi" w:hAnsiTheme="minorHAnsi" w:cstheme="minorHAnsi"/>
          <w:bCs/>
          <w:iCs/>
          <w:lang w:val="en-US"/>
        </w:rPr>
        <w:t>workers</w:t>
      </w:r>
      <w:r w:rsidR="00FB43CB" w:rsidRPr="00FB43CB">
        <w:rPr>
          <w:rFonts w:asciiTheme="minorHAnsi" w:hAnsiTheme="minorHAnsi" w:cstheme="minorHAnsi"/>
          <w:bCs/>
          <w:iCs/>
          <w:lang w:val="en-US"/>
        </w:rPr>
        <w:t xml:space="preserve"> from 2 December 2024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, </w:t>
      </w:r>
      <w:r w:rsidR="00FB43CB" w:rsidRPr="00FB43CB">
        <w:rPr>
          <w:rFonts w:asciiTheme="minorHAnsi" w:hAnsiTheme="minorHAnsi" w:cstheme="minorHAnsi"/>
          <w:bCs/>
          <w:iCs/>
          <w:lang w:val="en-US"/>
        </w:rPr>
        <w:t>an additional 5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 per cent</w:t>
      </w:r>
      <w:r w:rsidR="00FB43CB" w:rsidRPr="00FB43CB">
        <w:rPr>
          <w:rFonts w:asciiTheme="minorHAnsi" w:hAnsiTheme="minorHAnsi" w:cstheme="minorHAnsi"/>
          <w:bCs/>
          <w:iCs/>
          <w:lang w:val="en-US"/>
        </w:rPr>
        <w:t xml:space="preserve"> wage increase for all eligible </w:t>
      </w:r>
      <w:r w:rsidR="00FB43CB">
        <w:rPr>
          <w:rFonts w:asciiTheme="minorHAnsi" w:hAnsiTheme="minorHAnsi" w:cstheme="minorHAnsi"/>
          <w:bCs/>
          <w:iCs/>
          <w:lang w:val="en-US"/>
        </w:rPr>
        <w:t>workers</w:t>
      </w:r>
      <w:r w:rsidR="00FB43CB" w:rsidRPr="00FB43CB">
        <w:rPr>
          <w:rFonts w:asciiTheme="minorHAnsi" w:hAnsiTheme="minorHAnsi" w:cstheme="minorHAnsi"/>
          <w:bCs/>
          <w:iCs/>
          <w:lang w:val="en-US"/>
        </w:rPr>
        <w:t xml:space="preserve"> from December 2025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 and </w:t>
      </w:r>
      <w:r w:rsidR="00FB43CB" w:rsidRPr="00FB43CB">
        <w:rPr>
          <w:rFonts w:asciiTheme="minorHAnsi" w:hAnsiTheme="minorHAnsi" w:cstheme="minorHAnsi"/>
          <w:bCs/>
          <w:iCs/>
          <w:lang w:val="en-US"/>
        </w:rPr>
        <w:t>a minimum of an additional 20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 per cent</w:t>
      </w:r>
      <w:r w:rsidR="00FB43CB" w:rsidRPr="00FB43CB">
        <w:rPr>
          <w:rFonts w:asciiTheme="minorHAnsi" w:hAnsiTheme="minorHAnsi" w:cstheme="minorHAnsi"/>
          <w:bCs/>
          <w:iCs/>
          <w:lang w:val="en-US"/>
        </w:rPr>
        <w:t>, calculated against the wage increase, for on-costs.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 If services</w:t>
      </w:r>
      <w:r w:rsidR="00FE120D">
        <w:rPr>
          <w:rFonts w:asciiTheme="minorHAnsi" w:hAnsiTheme="minorHAnsi" w:cstheme="minorHAnsi"/>
          <w:bCs/>
          <w:iCs/>
          <w:lang w:val="en-US"/>
        </w:rPr>
        <w:t xml:space="preserve"> do not receive sufficient funding to cover this,</w:t>
      </w:r>
      <w:r w:rsidR="00FB43CB">
        <w:rPr>
          <w:rFonts w:asciiTheme="minorHAnsi" w:hAnsiTheme="minorHAnsi" w:cstheme="minorHAnsi"/>
          <w:bCs/>
          <w:iCs/>
          <w:lang w:val="en-US"/>
        </w:rPr>
        <w:t xml:space="preserve"> they may apply for a funding review.  </w:t>
      </w:r>
    </w:p>
    <w:sectPr w:rsidR="00D179C1" w:rsidRPr="00D17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B14"/>
    <w:multiLevelType w:val="hybridMultilevel"/>
    <w:tmpl w:val="DF56742E"/>
    <w:lvl w:ilvl="0" w:tplc="A6C2DC58">
      <w:start w:val="1"/>
      <w:numFmt w:val="decimal"/>
      <w:pStyle w:val="MBPoint"/>
      <w:lvlText w:val="%1."/>
      <w:lvlJc w:val="left"/>
      <w:pPr>
        <w:ind w:left="417" w:hanging="360"/>
      </w:pPr>
      <w:rPr>
        <w:rFonts w:ascii="Arial" w:hAnsi="Arial" w:cs="Arial" w:hint="default"/>
      </w:rPr>
    </w:lvl>
    <w:lvl w:ilvl="1" w:tplc="EE083528" w:tentative="1">
      <w:start w:val="1"/>
      <w:numFmt w:val="lowerLetter"/>
      <w:lvlText w:val="%2."/>
      <w:lvlJc w:val="left"/>
      <w:pPr>
        <w:ind w:left="1137" w:hanging="360"/>
      </w:pPr>
    </w:lvl>
    <w:lvl w:ilvl="2" w:tplc="85DA8E30" w:tentative="1">
      <w:start w:val="1"/>
      <w:numFmt w:val="lowerRoman"/>
      <w:lvlText w:val="%3."/>
      <w:lvlJc w:val="right"/>
      <w:pPr>
        <w:ind w:left="1857" w:hanging="180"/>
      </w:pPr>
    </w:lvl>
    <w:lvl w:ilvl="3" w:tplc="675CA040" w:tentative="1">
      <w:start w:val="1"/>
      <w:numFmt w:val="decimal"/>
      <w:lvlText w:val="%4."/>
      <w:lvlJc w:val="left"/>
      <w:pPr>
        <w:ind w:left="2577" w:hanging="360"/>
      </w:pPr>
    </w:lvl>
    <w:lvl w:ilvl="4" w:tplc="6414BB04" w:tentative="1">
      <w:start w:val="1"/>
      <w:numFmt w:val="lowerLetter"/>
      <w:lvlText w:val="%5."/>
      <w:lvlJc w:val="left"/>
      <w:pPr>
        <w:ind w:left="3297" w:hanging="360"/>
      </w:pPr>
    </w:lvl>
    <w:lvl w:ilvl="5" w:tplc="0EBC8A58" w:tentative="1">
      <w:start w:val="1"/>
      <w:numFmt w:val="lowerRoman"/>
      <w:lvlText w:val="%6."/>
      <w:lvlJc w:val="right"/>
      <w:pPr>
        <w:ind w:left="4017" w:hanging="180"/>
      </w:pPr>
    </w:lvl>
    <w:lvl w:ilvl="6" w:tplc="B3BCAE00" w:tentative="1">
      <w:start w:val="1"/>
      <w:numFmt w:val="decimal"/>
      <w:lvlText w:val="%7."/>
      <w:lvlJc w:val="left"/>
      <w:pPr>
        <w:ind w:left="4737" w:hanging="360"/>
      </w:pPr>
    </w:lvl>
    <w:lvl w:ilvl="7" w:tplc="DDC461F2" w:tentative="1">
      <w:start w:val="1"/>
      <w:numFmt w:val="lowerLetter"/>
      <w:lvlText w:val="%8."/>
      <w:lvlJc w:val="left"/>
      <w:pPr>
        <w:ind w:left="5457" w:hanging="360"/>
      </w:pPr>
    </w:lvl>
    <w:lvl w:ilvl="8" w:tplc="FBB864F8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2C560E30"/>
    <w:multiLevelType w:val="hybridMultilevel"/>
    <w:tmpl w:val="1908A2AA"/>
    <w:lvl w:ilvl="0" w:tplc="5DDC4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7CB5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2A0A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927B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CB0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DC67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EEDC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4A3C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968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550F8A"/>
    <w:multiLevelType w:val="hybridMultilevel"/>
    <w:tmpl w:val="9C224A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34A2"/>
    <w:multiLevelType w:val="hybridMultilevel"/>
    <w:tmpl w:val="F5D0DC0C"/>
    <w:lvl w:ilvl="0" w:tplc="24CA9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03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42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8E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9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F07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C5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2B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507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666C3"/>
    <w:multiLevelType w:val="hybridMultilevel"/>
    <w:tmpl w:val="89D084A8"/>
    <w:lvl w:ilvl="0" w:tplc="729EB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A5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80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81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671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CF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63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E5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A1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B5298"/>
    <w:multiLevelType w:val="hybridMultilevel"/>
    <w:tmpl w:val="1C4A99A6"/>
    <w:lvl w:ilvl="0" w:tplc="1F8483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610561">
    <w:abstractNumId w:val="3"/>
  </w:num>
  <w:num w:numId="2" w16cid:durableId="2111464384">
    <w:abstractNumId w:val="4"/>
  </w:num>
  <w:num w:numId="3" w16cid:durableId="144010150">
    <w:abstractNumId w:val="4"/>
  </w:num>
  <w:num w:numId="4" w16cid:durableId="212039897">
    <w:abstractNumId w:val="1"/>
  </w:num>
  <w:num w:numId="5" w16cid:durableId="1073891764">
    <w:abstractNumId w:val="5"/>
  </w:num>
  <w:num w:numId="6" w16cid:durableId="1460875412">
    <w:abstractNumId w:val="2"/>
  </w:num>
  <w:num w:numId="7" w16cid:durableId="19245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1"/>
    <w:rsid w:val="00003FBD"/>
    <w:rsid w:val="00020506"/>
    <w:rsid w:val="0004201B"/>
    <w:rsid w:val="000B66A6"/>
    <w:rsid w:val="000C60E1"/>
    <w:rsid w:val="000D2071"/>
    <w:rsid w:val="000E03D8"/>
    <w:rsid w:val="000E1FCE"/>
    <w:rsid w:val="000E3A14"/>
    <w:rsid w:val="000E5DF7"/>
    <w:rsid w:val="001576CA"/>
    <w:rsid w:val="0016052A"/>
    <w:rsid w:val="001C3888"/>
    <w:rsid w:val="001D072C"/>
    <w:rsid w:val="002172ED"/>
    <w:rsid w:val="00227C99"/>
    <w:rsid w:val="00254448"/>
    <w:rsid w:val="00294317"/>
    <w:rsid w:val="002B28EE"/>
    <w:rsid w:val="003035E1"/>
    <w:rsid w:val="003441D9"/>
    <w:rsid w:val="003A2057"/>
    <w:rsid w:val="003A7C6F"/>
    <w:rsid w:val="003C22EA"/>
    <w:rsid w:val="003D073B"/>
    <w:rsid w:val="004061DA"/>
    <w:rsid w:val="004907DD"/>
    <w:rsid w:val="00497024"/>
    <w:rsid w:val="00537F89"/>
    <w:rsid w:val="0057289F"/>
    <w:rsid w:val="00594A0A"/>
    <w:rsid w:val="006B2022"/>
    <w:rsid w:val="006C794F"/>
    <w:rsid w:val="007A6CE3"/>
    <w:rsid w:val="00812CD7"/>
    <w:rsid w:val="00815DBD"/>
    <w:rsid w:val="00892CF4"/>
    <w:rsid w:val="008D7B3A"/>
    <w:rsid w:val="0091358B"/>
    <w:rsid w:val="00913A36"/>
    <w:rsid w:val="009348FA"/>
    <w:rsid w:val="009E5AAD"/>
    <w:rsid w:val="00A75541"/>
    <w:rsid w:val="00A82F81"/>
    <w:rsid w:val="00A97928"/>
    <w:rsid w:val="00B04247"/>
    <w:rsid w:val="00B55D43"/>
    <w:rsid w:val="00B60A17"/>
    <w:rsid w:val="00B869BB"/>
    <w:rsid w:val="00C113D5"/>
    <w:rsid w:val="00C804AB"/>
    <w:rsid w:val="00CD606C"/>
    <w:rsid w:val="00D179C1"/>
    <w:rsid w:val="00D64CB5"/>
    <w:rsid w:val="00D65F79"/>
    <w:rsid w:val="00DD38C8"/>
    <w:rsid w:val="00DF0446"/>
    <w:rsid w:val="00E03078"/>
    <w:rsid w:val="00E30C0C"/>
    <w:rsid w:val="00E73DA3"/>
    <w:rsid w:val="00E811C8"/>
    <w:rsid w:val="00EB31EE"/>
    <w:rsid w:val="00FB22E8"/>
    <w:rsid w:val="00FB43CB"/>
    <w:rsid w:val="00FB608B"/>
    <w:rsid w:val="00F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288B"/>
  <w15:chartTrackingRefBased/>
  <w15:docId w15:val="{251641BC-B895-4C51-839D-B6C5F340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7DD"/>
    <w:pPr>
      <w:spacing w:before="200" w:line="276" w:lineRule="auto"/>
      <w:outlineLvl w:val="5"/>
    </w:pPr>
    <w:rPr>
      <w:rFonts w:ascii="Calibri" w:eastAsiaTheme="majorEastAsia" w:hAnsi="Calibri" w:cstheme="majorBidi"/>
      <w:b/>
      <w:bCs/>
      <w:i/>
      <w:iCs/>
      <w:color w:val="75757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BBodyText">
    <w:name w:val="IGB_Body Text"/>
    <w:basedOn w:val="Normal"/>
    <w:rsid w:val="00A75541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Calibri" w:hAnsi="Calibri" w:cs="Garamond"/>
      <w:color w:val="000000"/>
      <w:sz w:val="21"/>
      <w:szCs w:val="22"/>
      <w:lang w:val="en-GB" w:eastAsia="en-AU"/>
    </w:rPr>
  </w:style>
  <w:style w:type="paragraph" w:customStyle="1" w:styleId="Default">
    <w:name w:val="Default"/>
    <w:rsid w:val="007A6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907DD"/>
    <w:rPr>
      <w:rFonts w:ascii="Calibri" w:eastAsiaTheme="majorEastAsia" w:hAnsi="Calibri" w:cstheme="majorBidi"/>
      <w:b/>
      <w:bCs/>
      <w:i/>
      <w:iCs/>
      <w:color w:val="757575"/>
    </w:rPr>
  </w:style>
  <w:style w:type="paragraph" w:styleId="ListParagraph">
    <w:name w:val="List Paragraph"/>
    <w:basedOn w:val="Normal"/>
    <w:uiPriority w:val="34"/>
    <w:rsid w:val="00DF0446"/>
    <w:pPr>
      <w:ind w:left="720"/>
      <w:contextualSpacing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3A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A36"/>
    <w:rPr>
      <w:color w:val="605E5C"/>
      <w:shd w:val="clear" w:color="auto" w:fill="E1DFDD"/>
    </w:rPr>
  </w:style>
  <w:style w:type="paragraph" w:customStyle="1" w:styleId="MBPoint">
    <w:name w:val="MB Point"/>
    <w:basedOn w:val="ListParagraph"/>
    <w:link w:val="MBPointChar"/>
    <w:qFormat/>
    <w:rsid w:val="00D65F79"/>
    <w:pPr>
      <w:numPr>
        <w:numId w:val="7"/>
      </w:numPr>
      <w:spacing w:after="60"/>
      <w:contextualSpacing w:val="0"/>
    </w:pPr>
    <w:rPr>
      <w:rFonts w:eastAsiaTheme="minorHAnsi"/>
      <w:sz w:val="24"/>
      <w:szCs w:val="24"/>
    </w:rPr>
  </w:style>
  <w:style w:type="character" w:customStyle="1" w:styleId="MBPointChar">
    <w:name w:val="MB Point Char"/>
    <w:basedOn w:val="DefaultParagraphFont"/>
    <w:link w:val="MBPoint"/>
    <w:rsid w:val="00D65F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C6A18B15AECE64F84E0AC8DACF22E1C" ma:contentTypeVersion="" ma:contentTypeDescription="PDMS Document Site Content Type" ma:contentTypeScope="" ma:versionID="15463bdcae705f94050eff4d6cf9a035">
  <xsd:schema xmlns:xsd="http://www.w3.org/2001/XMLSchema" xmlns:xs="http://www.w3.org/2001/XMLSchema" xmlns:p="http://schemas.microsoft.com/office/2006/metadata/properties" xmlns:ns2="27066DD0-E169-4B8B-A028-DD27660247DC" targetNamespace="http://schemas.microsoft.com/office/2006/metadata/properties" ma:root="true" ma:fieldsID="005b0d64022548fc73c732c284798ac7" ns2:_="">
    <xsd:import namespace="27066DD0-E169-4B8B-A028-DD27660247D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66DD0-E169-4B8B-A028-DD27660247D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7066DD0-E169-4B8B-A028-DD27660247DC" xsi:nil="true"/>
  </documentManagement>
</p:properties>
</file>

<file path=customXml/itemProps1.xml><?xml version="1.0" encoding="utf-8"?>
<ds:datastoreItem xmlns:ds="http://schemas.openxmlformats.org/officeDocument/2006/customXml" ds:itemID="{F2D8D9BF-F3B1-44AA-A5B3-89C784951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66DD0-E169-4B8B-A028-DD276602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A0DC3-7999-4F30-A990-DD4A1EB27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83057-22B1-4417-83E9-7CD0337E66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A079C-9770-417D-A72C-92DCF95A46AB}">
  <ds:schemaRefs>
    <ds:schemaRef ds:uri="http://schemas.microsoft.com/office/2006/metadata/properties"/>
    <ds:schemaRef ds:uri="http://schemas.microsoft.com/office/infopath/2007/PartnerControls"/>
    <ds:schemaRef ds:uri="27066DD0-E169-4B8B-A028-DD2766024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AGR | Inquiry into the Wage Justice for Early Childhood Education and Care Workers (Special Account) Bill 2024 [Provisions]</dc:subject>
  <dc:creator>BORG,Amanda</dc:creator>
  <cp:lastModifiedBy>DOWNEY,Grace</cp:lastModifiedBy>
  <cp:revision>2</cp:revision>
  <dcterms:created xsi:type="dcterms:W3CDTF">2025-08-01T01:03:00Z</dcterms:created>
  <dcterms:modified xsi:type="dcterms:W3CDTF">2025-08-01T01:03:00Z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gencyAttending">
    <vt:lpwstr/>
  </property>
  <property fmtid="{D5CDD505-2E9C-101B-9397-08002B2CF9AE}" pid="4" name="AgencyPosition">
    <vt:lpwstr/>
  </property>
  <property fmtid="{D5CDD505-2E9C-101B-9397-08002B2CF9AE}" pid="5" name="AgencyResponsibility">
    <vt:lpwstr>Lead</vt:lpwstr>
  </property>
  <property fmtid="{D5CDD505-2E9C-101B-9397-08002B2CF9AE}" pid="6" name="ClearanceDueDate">
    <vt:lpwstr/>
  </property>
  <property fmtid="{D5CDD505-2E9C-101B-9397-08002B2CF9AE}" pid="7" name="CommitteeDueDate">
    <vt:lpwstr/>
  </property>
  <property fmtid="{D5CDD505-2E9C-101B-9397-08002B2CF9AE}" pid="8" name="CommitteeName">
    <vt:lpwstr>Standing Committees on Education and Employment</vt:lpwstr>
  </property>
  <property fmtid="{D5CDD505-2E9C-101B-9397-08002B2CF9AE}" pid="9" name="CommitteeType">
    <vt:lpwstr>Senate</vt:lpwstr>
  </property>
  <property fmtid="{D5CDD505-2E9C-101B-9397-08002B2CF9AE}" pid="10" name="ContactOfficer">
    <vt:lpwstr>Julia Chandra</vt:lpwstr>
  </property>
  <property fmtid="{D5CDD505-2E9C-101B-9397-08002B2CF9AE}" pid="11" name="ContactOfficerPhone">
    <vt:lpwstr>(02) 6121 8213</vt:lpwstr>
  </property>
  <property fmtid="{D5CDD505-2E9C-101B-9397-08002B2CF9AE}" pid="12" name="ContentTypeId">
    <vt:lpwstr>0x010100266966F133664895A6EE3632470D45F5004C6A18B15AECE64F84E0AC8DACF22E1C</vt:lpwstr>
  </property>
  <property fmtid="{D5CDD505-2E9C-101B-9397-08002B2CF9AE}" pid="13" name="ContributingAgency">
    <vt:lpwstr/>
  </property>
  <property fmtid="{D5CDD505-2E9C-101B-9397-08002B2CF9AE}" pid="14" name="CriticalDate">
    <vt:lpwstr>30 January 2025</vt:lpwstr>
  </property>
  <property fmtid="{D5CDD505-2E9C-101B-9397-08002B2CF9AE}" pid="15" name="CriticalDateReason">
    <vt:lpwstr>Due to be tabled/response due date</vt:lpwstr>
  </property>
  <property fmtid="{D5CDD505-2E9C-101B-9397-08002B2CF9AE}" pid="16" name="DateFirstSentToMO">
    <vt:lpwstr/>
  </property>
  <property fmtid="{D5CDD505-2E9C-101B-9397-08002B2CF9AE}" pid="17" name="DateReferred">
    <vt:lpwstr/>
  </property>
  <property fmtid="{D5CDD505-2E9C-101B-9397-08002B2CF9AE}" pid="18" name="DateSentToCommittee">
    <vt:lpwstr/>
  </property>
  <property fmtid="{D5CDD505-2E9C-101B-9397-08002B2CF9AE}" pid="19" name="DateSentToMO">
    <vt:lpwstr/>
  </property>
  <property fmtid="{D5CDD505-2E9C-101B-9397-08002B2CF9AE}" pid="20" name="Electorates">
    <vt:lpwstr> </vt:lpwstr>
  </property>
  <property fmtid="{D5CDD505-2E9C-101B-9397-08002B2CF9AE}" pid="21" name="Executives">
    <vt:lpwstr>Kylie Crane</vt:lpwstr>
  </property>
  <property fmtid="{D5CDD505-2E9C-101B-9397-08002B2CF9AE}" pid="22" name="FinalReportTitle">
    <vt:lpwstr>Wage Justice for Early Childhood  Education and Care Workers (Special  Account) Bill 2024 [Provisions]</vt:lpwstr>
  </property>
  <property fmtid="{D5CDD505-2E9C-101B-9397-08002B2CF9AE}" pid="23" name="FinancialYear">
    <vt:lpwstr>2024 - 2025</vt:lpwstr>
  </property>
  <property fmtid="{D5CDD505-2E9C-101B-9397-08002B2CF9AE}" pid="24" name="GroupResponsible">
    <vt:lpwstr>| ECY | Evidence and Reform</vt:lpwstr>
  </property>
  <property fmtid="{D5CDD505-2E9C-101B-9397-08002B2CF9AE}" pid="25" name="HandlingProtocol">
    <vt:lpwstr>Standard</vt:lpwstr>
  </property>
  <property fmtid="{D5CDD505-2E9C-101B-9397-08002B2CF9AE}" pid="26" name="HansardPage">
    <vt:lpwstr/>
  </property>
  <property fmtid="{D5CDD505-2E9C-101B-9397-08002B2CF9AE}" pid="27" name="HearingDate">
    <vt:lpwstr/>
  </property>
  <property fmtid="{D5CDD505-2E9C-101B-9397-08002B2CF9AE}" pid="28" name="HearingType">
    <vt:lpwstr/>
  </property>
  <property fmtid="{D5CDD505-2E9C-101B-9397-08002B2CF9AE}" pid="29" name="ImplementationDetails">
    <vt:lpwstr/>
  </property>
  <property fmtid="{D5CDD505-2E9C-101B-9397-08002B2CF9AE}" pid="30" name="ImplementationStatus">
    <vt:lpwstr/>
  </property>
  <property fmtid="{D5CDD505-2E9C-101B-9397-08002B2CF9AE}" pid="31" name="InformationExecutive">
    <vt:lpwstr> </vt:lpwstr>
  </property>
  <property fmtid="{D5CDD505-2E9C-101B-9397-08002B2CF9AE}" pid="32" name="InformationMinister">
    <vt:lpwstr>Anne Aly</vt:lpwstr>
  </property>
  <property fmtid="{D5CDD505-2E9C-101B-9397-08002B2CF9AE}" pid="33" name="InitiatorAddressBlock">
    <vt:lpwstr/>
  </property>
  <property fmtid="{D5CDD505-2E9C-101B-9397-08002B2CF9AE}" pid="34" name="InitiatorAddressLine1">
    <vt:lpwstr/>
  </property>
  <property fmtid="{D5CDD505-2E9C-101B-9397-08002B2CF9AE}" pid="35" name="InitiatorAddressLine1And2">
    <vt:lpwstr/>
  </property>
  <property fmtid="{D5CDD505-2E9C-101B-9397-08002B2CF9AE}" pid="36" name="InitiatorAddressLine2">
    <vt:lpwstr/>
  </property>
  <property fmtid="{D5CDD505-2E9C-101B-9397-08002B2CF9AE}" pid="37" name="InitiatorContactDate">
    <vt:lpwstr/>
  </property>
  <property fmtid="{D5CDD505-2E9C-101B-9397-08002B2CF9AE}" pid="38" name="InitiatorContactName">
    <vt:lpwstr/>
  </property>
  <property fmtid="{D5CDD505-2E9C-101B-9397-08002B2CF9AE}" pid="39" name="InitiatorContactPosition">
    <vt:lpwstr/>
  </property>
  <property fmtid="{D5CDD505-2E9C-101B-9397-08002B2CF9AE}" pid="40" name="InitiatorCountry">
    <vt:lpwstr/>
  </property>
  <property fmtid="{D5CDD505-2E9C-101B-9397-08002B2CF9AE}" pid="41" name="InitiatorEmail">
    <vt:lpwstr/>
  </property>
  <property fmtid="{D5CDD505-2E9C-101B-9397-08002B2CF9AE}" pid="42" name="InitiatorFax">
    <vt:lpwstr/>
  </property>
  <property fmtid="{D5CDD505-2E9C-101B-9397-08002B2CF9AE}" pid="43" name="InitiatorFirstName">
    <vt:lpwstr/>
  </property>
  <property fmtid="{D5CDD505-2E9C-101B-9397-08002B2CF9AE}" pid="44" name="InitiatorFormalTitle">
    <vt:lpwstr/>
  </property>
  <property fmtid="{D5CDD505-2E9C-101B-9397-08002B2CF9AE}" pid="45" name="InitiatorFullName">
    <vt:lpwstr/>
  </property>
  <property fmtid="{D5CDD505-2E9C-101B-9397-08002B2CF9AE}" pid="46" name="InitiatorLastName">
    <vt:lpwstr/>
  </property>
  <property fmtid="{D5CDD505-2E9C-101B-9397-08002B2CF9AE}" pid="47" name="InitiatorMobile">
    <vt:lpwstr/>
  </property>
  <property fmtid="{D5CDD505-2E9C-101B-9397-08002B2CF9AE}" pid="48" name="InitiatorMPElectorate">
    <vt:lpwstr/>
  </property>
  <property fmtid="{D5CDD505-2E9C-101B-9397-08002B2CF9AE}" pid="49" name="InitiatorMPState">
    <vt:lpwstr/>
  </property>
  <property fmtid="{D5CDD505-2E9C-101B-9397-08002B2CF9AE}" pid="50" name="InitiatorName">
    <vt:lpwstr/>
  </property>
  <property fmtid="{D5CDD505-2E9C-101B-9397-08002B2CF9AE}" pid="51" name="InitiatorOnBehalfVia">
    <vt:lpwstr/>
  </property>
  <property fmtid="{D5CDD505-2E9C-101B-9397-08002B2CF9AE}" pid="52" name="InitiatorOrganisation">
    <vt:lpwstr/>
  </property>
  <property fmtid="{D5CDD505-2E9C-101B-9397-08002B2CF9AE}" pid="53" name="InitiatorOrganisationContactInformation">
    <vt:lpwstr/>
  </property>
  <property fmtid="{D5CDD505-2E9C-101B-9397-08002B2CF9AE}" pid="54" name="InitiatorOrganisationType">
    <vt:lpwstr/>
  </property>
  <property fmtid="{D5CDD505-2E9C-101B-9397-08002B2CF9AE}" pid="55" name="InitiatorOrganisationWebsite">
    <vt:lpwstr/>
  </property>
  <property fmtid="{D5CDD505-2E9C-101B-9397-08002B2CF9AE}" pid="56" name="InitiatorParliamentaryTitle">
    <vt:lpwstr/>
  </property>
  <property fmtid="{D5CDD505-2E9C-101B-9397-08002B2CF9AE}" pid="57" name="InitiatorPhone">
    <vt:lpwstr/>
  </property>
  <property fmtid="{D5CDD505-2E9C-101B-9397-08002B2CF9AE}" pid="58" name="InitiatorPostCode">
    <vt:lpwstr/>
  </property>
  <property fmtid="{D5CDD505-2E9C-101B-9397-08002B2CF9AE}" pid="59" name="InitiatorPostNominal">
    <vt:lpwstr/>
  </property>
  <property fmtid="{D5CDD505-2E9C-101B-9397-08002B2CF9AE}" pid="60" name="InitiatorState">
    <vt:lpwstr/>
  </property>
  <property fmtid="{D5CDD505-2E9C-101B-9397-08002B2CF9AE}" pid="61" name="InitiatorSuburbOrCity">
    <vt:lpwstr/>
  </property>
  <property fmtid="{D5CDD505-2E9C-101B-9397-08002B2CF9AE}" pid="62" name="InitiatorSuburbStatePostcode">
    <vt:lpwstr/>
  </property>
  <property fmtid="{D5CDD505-2E9C-101B-9397-08002B2CF9AE}" pid="63" name="InitiatorTitle">
    <vt:lpwstr/>
  </property>
  <property fmtid="{D5CDD505-2E9C-101B-9397-08002B2CF9AE}" pid="64" name="InitiatorTitledFullName">
    <vt:lpwstr/>
  </property>
  <property fmtid="{D5CDD505-2E9C-101B-9397-08002B2CF9AE}" pid="65" name="InquiryName">
    <vt:lpwstr>Inquiry into the Wage Justice for Early Childhood Education and Care Workers (Special Account) Bill 2024 [Provisions]</vt:lpwstr>
  </property>
  <property fmtid="{D5CDD505-2E9C-101B-9397-08002B2CF9AE}" pid="66" name="InquiryStatus">
    <vt:lpwstr>Report Tabled</vt:lpwstr>
  </property>
  <property fmtid="{D5CDD505-2E9C-101B-9397-08002B2CF9AE}" pid="67" name="InquiryType">
    <vt:lpwstr>Bill</vt:lpwstr>
  </property>
  <property fmtid="{D5CDD505-2E9C-101B-9397-08002B2CF9AE}" pid="68" name="Location">
    <vt:lpwstr/>
  </property>
  <property fmtid="{D5CDD505-2E9C-101B-9397-08002B2CF9AE}" pid="69" name="Ministers">
    <vt:lpwstr>Jason Clare, Anne Aly</vt:lpwstr>
  </property>
  <property fmtid="{D5CDD505-2E9C-101B-9397-08002B2CF9AE}" pid="70" name="MOActionActualDate">
    <vt:lpwstr/>
  </property>
  <property fmtid="{D5CDD505-2E9C-101B-9397-08002B2CF9AE}" pid="71" name="MOActionDueDate">
    <vt:lpwstr>16 January 2025</vt:lpwstr>
  </property>
  <property fmtid="{D5CDD505-2E9C-101B-9397-08002B2CF9AE}" pid="72" name="MSIP_Label_79d889eb-932f-4752-8739-64d25806ef64_ActionId">
    <vt:lpwstr>a2fa73cc-31ac-48ee-a357-392ad63e3349</vt:lpwstr>
  </property>
  <property fmtid="{D5CDD505-2E9C-101B-9397-08002B2CF9AE}" pid="73" name="MSIP_Label_79d889eb-932f-4752-8739-64d25806ef64_ContentBits">
    <vt:lpwstr>0</vt:lpwstr>
  </property>
  <property fmtid="{D5CDD505-2E9C-101B-9397-08002B2CF9AE}" pid="74" name="MSIP_Label_79d889eb-932f-4752-8739-64d25806ef64_Enabled">
    <vt:lpwstr>true</vt:lpwstr>
  </property>
  <property fmtid="{D5CDD505-2E9C-101B-9397-08002B2CF9AE}" pid="75" name="MSIP_Label_79d889eb-932f-4752-8739-64d25806ef64_Method">
    <vt:lpwstr>Privileged</vt:lpwstr>
  </property>
  <property fmtid="{D5CDD505-2E9C-101B-9397-08002B2CF9AE}" pid="76" name="MSIP_Label_79d889eb-932f-4752-8739-64d25806ef64_Name">
    <vt:lpwstr>79d889eb-932f-4752-8739-64d25806ef64</vt:lpwstr>
  </property>
  <property fmtid="{D5CDD505-2E9C-101B-9397-08002B2CF9AE}" pid="77" name="MSIP_Label_79d889eb-932f-4752-8739-64d25806ef64_SetDate">
    <vt:lpwstr>2023-04-06T02:57:40Z</vt:lpwstr>
  </property>
  <property fmtid="{D5CDD505-2E9C-101B-9397-08002B2CF9AE}" pid="78" name="MSIP_Label_79d889eb-932f-4752-8739-64d25806ef64_SiteId">
    <vt:lpwstr>dd0cfd15-4558-4b12-8bad-ea26984fc417</vt:lpwstr>
  </property>
  <property fmtid="{D5CDD505-2E9C-101B-9397-08002B2CF9AE}" pid="79" name="ParliamentaryCommitteeNumber">
    <vt:lpwstr>PC24-000027</vt:lpwstr>
  </property>
  <property fmtid="{D5CDD505-2E9C-101B-9397-08002B2CF9AE}" pid="80" name="PdrId">
    <vt:lpwstr>GR24-000036</vt:lpwstr>
  </property>
  <property fmtid="{D5CDD505-2E9C-101B-9397-08002B2CF9AE}" pid="81" name="PlannedDate">
    <vt:lpwstr/>
  </property>
  <property fmtid="{D5CDD505-2E9C-101B-9397-08002B2CF9AE}" pid="82" name="PMApprovalDate">
    <vt:lpwstr/>
  </property>
  <property fmtid="{D5CDD505-2E9C-101B-9397-08002B2CF9AE}" pid="83" name="PositionOnPage">
    <vt:lpwstr/>
  </property>
  <property fmtid="{D5CDD505-2E9C-101B-9397-08002B2CF9AE}" pid="84" name="Principal">
    <vt:lpwstr>Minister Clare</vt:lpwstr>
  </property>
  <property fmtid="{D5CDD505-2E9C-101B-9397-08002B2CF9AE}" pid="85" name="QoNNumber">
    <vt:lpwstr/>
  </property>
  <property fmtid="{D5CDD505-2E9C-101B-9397-08002B2CF9AE}" pid="86" name="QualityCheckActualDate">
    <vt:lpwstr/>
  </property>
  <property fmtid="{D5CDD505-2E9C-101B-9397-08002B2CF9AE}" pid="87" name="QualityCheckDueDate">
    <vt:lpwstr>16 January 2025</vt:lpwstr>
  </property>
  <property fmtid="{D5CDD505-2E9C-101B-9397-08002B2CF9AE}" pid="88" name="QuestionDate">
    <vt:lpwstr/>
  </property>
  <property fmtid="{D5CDD505-2E9C-101B-9397-08002B2CF9AE}" pid="89" name="QuestionFormat">
    <vt:lpwstr/>
  </property>
  <property fmtid="{D5CDD505-2E9C-101B-9397-08002B2CF9AE}" pid="90" name="QuestionSubmittedBy">
    <vt:lpwstr/>
  </property>
  <property fmtid="{D5CDD505-2E9C-101B-9397-08002B2CF9AE}" pid="91" name="QuestionText">
    <vt:lpwstr/>
  </property>
  <property fmtid="{D5CDD505-2E9C-101B-9397-08002B2CF9AE}" pid="92" name="ReasonForSensitivity">
    <vt:lpwstr/>
  </property>
  <property fmtid="{D5CDD505-2E9C-101B-9397-08002B2CF9AE}" pid="93" name="RecommendationText">
    <vt:lpwstr/>
  </property>
  <property fmtid="{D5CDD505-2E9C-101B-9397-08002B2CF9AE}" pid="94" name="RegisteredDate">
    <vt:lpwstr>19 November 2024</vt:lpwstr>
  </property>
  <property fmtid="{D5CDD505-2E9C-101B-9397-08002B2CF9AE}" pid="95" name="ReportingDate">
    <vt:lpwstr>30 October 2024</vt:lpwstr>
  </property>
  <property fmtid="{D5CDD505-2E9C-101B-9397-08002B2CF9AE}" pid="96" name="ReportTabledDate">
    <vt:lpwstr>30 October 2024</vt:lpwstr>
  </property>
  <property fmtid="{D5CDD505-2E9C-101B-9397-08002B2CF9AE}" pid="97" name="ReportTitle">
    <vt:lpwstr>Wage Justice for Early Childhood  Education and Care Workers (Special  Account) Bill 2024 [Provisions]</vt:lpwstr>
  </property>
  <property fmtid="{D5CDD505-2E9C-101B-9397-08002B2CF9AE}" pid="98" name="ReportType">
    <vt:lpwstr>Final</vt:lpwstr>
  </property>
  <property fmtid="{D5CDD505-2E9C-101B-9397-08002B2CF9AE}" pid="99" name="RequestedAction">
    <vt:lpwstr/>
  </property>
  <property fmtid="{D5CDD505-2E9C-101B-9397-08002B2CF9AE}" pid="100" name="ResponseDetails">
    <vt:lpwstr/>
  </property>
  <property fmtid="{D5CDD505-2E9C-101B-9397-08002B2CF9AE}" pid="101" name="ResponseDueDate">
    <vt:lpwstr>30 January 2025</vt:lpwstr>
  </property>
  <property fmtid="{D5CDD505-2E9C-101B-9397-08002B2CF9AE}" pid="102" name="ResponseStatus">
    <vt:lpwstr>Not Tabled</vt:lpwstr>
  </property>
  <property fmtid="{D5CDD505-2E9C-101B-9397-08002B2CF9AE}" pid="103" name="ResponsibleExecutive">
    <vt:lpwstr>Kylie Crane</vt:lpwstr>
  </property>
  <property fmtid="{D5CDD505-2E9C-101B-9397-08002B2CF9AE}" pid="104" name="ResponsibleMinister">
    <vt:lpwstr>Jason Clare</vt:lpwstr>
  </property>
  <property fmtid="{D5CDD505-2E9C-101B-9397-08002B2CF9AE}" pid="105" name="SecurityClassification">
    <vt:lpwstr>OFFICIAL  </vt:lpwstr>
  </property>
  <property fmtid="{D5CDD505-2E9C-101B-9397-08002B2CF9AE}" pid="106" name="SignedDate">
    <vt:lpwstr/>
  </property>
  <property fmtid="{D5CDD505-2E9C-101B-9397-08002B2CF9AE}" pid="107" name="Subject">
    <vt:lpwstr>AGR | Inquiry into the Wage Justice for Early Childhood Education and Care Workers (Special Account) Bill 2024 [Provisions]</vt:lpwstr>
  </property>
  <property fmtid="{D5CDD505-2E9C-101B-9397-08002B2CF9AE}" pid="108" name="SubmissionClosingDate">
    <vt:lpwstr>04 October 2024</vt:lpwstr>
  </property>
  <property fmtid="{D5CDD505-2E9C-101B-9397-08002B2CF9AE}" pid="109" name="SubmissionProvidedBy">
    <vt:lpwstr/>
  </property>
  <property fmtid="{D5CDD505-2E9C-101B-9397-08002B2CF9AE}" pid="110" name="SubmissionType">
    <vt:lpwstr/>
  </property>
  <property fmtid="{D5CDD505-2E9C-101B-9397-08002B2CF9AE}" pid="111" name="TabledDate">
    <vt:lpwstr/>
  </property>
  <property fmtid="{D5CDD505-2E9C-101B-9397-08002B2CF9AE}" pid="112" name="TaskSeqNo">
    <vt:lpwstr>0</vt:lpwstr>
  </property>
  <property fmtid="{D5CDD505-2E9C-101B-9397-08002B2CF9AE}" pid="113" name="TemplateSubType">
    <vt:lpwstr>Standard</vt:lpwstr>
  </property>
  <property fmtid="{D5CDD505-2E9C-101B-9397-08002B2CF9AE}" pid="114" name="TemplateType">
    <vt:lpwstr>Information Submission</vt:lpwstr>
  </property>
  <property fmtid="{D5CDD505-2E9C-101B-9397-08002B2CF9AE}" pid="115" name="TrustedGroups">
    <vt:lpwstr>Business Administrator, DLO, Limited Distribution PC, Ministerial Staff - Labor 2022, Parliamentary Coordinator PC</vt:lpwstr>
  </property>
  <property fmtid="{D5CDD505-2E9C-101B-9397-08002B2CF9AE}" pid="116" name="Witnesses">
    <vt:lpwstr/>
  </property>
</Properties>
</file>