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CC48"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72A4AB03"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32418F85"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182BBDDB"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611F3A8C"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0615EB59"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11F26AAF"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1BF37BA4"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66DB01AA" w14:textId="77777777" w:rsidR="00E273D5" w:rsidRPr="0016134F" w:rsidRDefault="00E273D5" w:rsidP="00E273D5">
      <w:pPr>
        <w:spacing w:after="0" w:line="240" w:lineRule="auto"/>
        <w:rPr>
          <w:rFonts w:ascii="Gill Sans Nova" w:eastAsia="Calibri" w:hAnsi="Gill Sans Nova" w:cs="Times New Roman"/>
          <w:b/>
          <w:bCs/>
          <w:caps/>
          <w:sz w:val="60"/>
          <w:szCs w:val="60"/>
          <w:lang w:val="en-US"/>
        </w:rPr>
      </w:pPr>
      <w:r w:rsidRPr="16EAD92C">
        <w:rPr>
          <w:rFonts w:ascii="Gill Sans Nova" w:eastAsia="Calibri" w:hAnsi="Gill Sans Nova" w:cs="Times New Roman"/>
          <w:b/>
          <w:bCs/>
          <w:caps/>
          <w:sz w:val="60"/>
          <w:szCs w:val="60"/>
          <w:lang w:val="en-US"/>
        </w:rPr>
        <w:t>final report</w:t>
      </w:r>
    </w:p>
    <w:p w14:paraId="7ADBD4B6" w14:textId="77777777" w:rsidR="00E273D5" w:rsidRPr="0016134F" w:rsidRDefault="00E273D5" w:rsidP="00E273D5">
      <w:pPr>
        <w:spacing w:after="0" w:line="240" w:lineRule="auto"/>
        <w:rPr>
          <w:rFonts w:ascii="Gill Sans Nova" w:eastAsia="Calibri" w:hAnsi="Gill Sans Nova" w:cs="Times New Roman"/>
          <w:sz w:val="24"/>
          <w:szCs w:val="24"/>
          <w:lang w:val="en-US"/>
        </w:rPr>
      </w:pPr>
    </w:p>
    <w:p w14:paraId="242C833B" w14:textId="2F71ECD3" w:rsidR="00E273D5" w:rsidRPr="00E273D5" w:rsidRDefault="00E273D5" w:rsidP="00E273D5">
      <w:pPr>
        <w:spacing w:after="0" w:line="240" w:lineRule="auto"/>
        <w:rPr>
          <w:rFonts w:ascii="Gill Sans Nova" w:eastAsia="Calibri" w:hAnsi="Gill Sans Nova" w:cs="Times New Roman"/>
          <w:sz w:val="36"/>
          <w:szCs w:val="36"/>
          <w:lang w:val="en-US"/>
        </w:rPr>
      </w:pPr>
      <w:r w:rsidRPr="0016134F">
        <w:rPr>
          <w:rFonts w:ascii="Gill Sans Nova" w:eastAsia="Calibri" w:hAnsi="Gill Sans Nova" w:cs="Times New Roman"/>
          <w:sz w:val="36"/>
          <w:szCs w:val="36"/>
          <w:lang w:val="en-US"/>
        </w:rPr>
        <w:t>Shaping Our Future Workforce Project FA2-1</w:t>
      </w:r>
      <w:r w:rsidRPr="00E273D5">
        <w:rPr>
          <w:rFonts w:ascii="Gill Sans Nova" w:eastAsia="Calibri" w:hAnsi="Gill Sans Nova" w:cs="Times New Roman"/>
          <w:sz w:val="24"/>
          <w:szCs w:val="24"/>
          <w:lang w:val="en-US"/>
        </w:rPr>
        <w:br w:type="page"/>
      </w:r>
      <w:bookmarkStart w:id="0" w:name="_Toc167799709"/>
      <w:r w:rsidRPr="0016134F">
        <w:rPr>
          <w:rFonts w:ascii="Gill Sans Nova" w:eastAsia="Calibri" w:hAnsi="Gill Sans Nova" w:cs="Times New Roman"/>
          <w:b/>
          <w:bCs/>
          <w:sz w:val="36"/>
          <w:szCs w:val="36"/>
          <w:lang w:val="en-US"/>
        </w:rPr>
        <w:lastRenderedPageBreak/>
        <w:t>Executive summary</w:t>
      </w:r>
      <w:bookmarkEnd w:id="0"/>
    </w:p>
    <w:p w14:paraId="5AB32488"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Participation in quality early learning environments positively impacts a child’s life outcomes and supports them to realise their full potential. Based on Aboriginal and Torres Strait Islander cultural child-rearing practices that have been growing our kids up strong in culture and community for millennia, ACCOs have been providing integrated early years services tailored to the needs of children and families in their communities for decades. </w:t>
      </w:r>
    </w:p>
    <w:p w14:paraId="258D54CB"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39FAABFD"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However, the sustainability and ongoing impact of ACCO integrated early years services hinges on the strength of the Aboriginal and Torres Strait Islander early childhood education and care (ECEC) workforce. While ACCOs have become adept at operating within mainstream frameworks and implementing creative solutions to workforce challenges, there is a need for policy reform and investment into programs, systems and approaches that strengthen the Aboriginal and Torres Strait Islander ECEC workforce. </w:t>
      </w:r>
    </w:p>
    <w:p w14:paraId="60A4E43F"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30D52ED6"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As an action under </w:t>
      </w:r>
      <w:r w:rsidRPr="0016134F">
        <w:rPr>
          <w:rFonts w:ascii="Gill Sans Nova" w:eastAsia="Calibri" w:hAnsi="Gill Sans Nova" w:cs="Times New Roman"/>
          <w:i/>
          <w:iCs/>
          <w:kern w:val="0"/>
          <w:sz w:val="24"/>
          <w:szCs w:val="24"/>
          <w:lang w:val="en-US" w:eastAsia="en-AU"/>
          <w14:ligatures w14:val="none"/>
        </w:rPr>
        <w:t>Shaping Our Future National Children’s Education and Care Workforce Strategy</w:t>
      </w:r>
      <w:r w:rsidRPr="0016134F">
        <w:rPr>
          <w:rFonts w:ascii="Gill Sans Nova" w:eastAsia="Times New Roman" w:hAnsi="Gill Sans Nova" w:cs="Segoe UI"/>
          <w:kern w:val="0"/>
          <w:sz w:val="24"/>
          <w:szCs w:val="24"/>
          <w:lang w:eastAsia="en-AU"/>
          <w14:ligatures w14:val="none"/>
        </w:rPr>
        <w:t>, this project examines</w:t>
      </w:r>
      <w:r w:rsidRPr="0016134F">
        <w:rPr>
          <w:rFonts w:ascii="Gill Sans Nova" w:eastAsia="Calibri" w:hAnsi="Gill Sans Nova" w:cs="Times New Roman"/>
          <w:kern w:val="0"/>
          <w:sz w:val="24"/>
          <w:szCs w:val="24"/>
          <w:lang w:val="en-US" w:eastAsia="en-AU"/>
          <w14:ligatures w14:val="none"/>
        </w:rPr>
        <w:t xml:space="preserve"> targeted programs to support studies and placements for Aboriginal and Torres Strait Islander potential educators and teachers to strengthen the Aboriginal and Torres Strait Islander ECEC workforce.</w:t>
      </w:r>
      <w:r w:rsidRPr="0016134F">
        <w:rPr>
          <w:rFonts w:ascii="Gill Sans Nova" w:eastAsia="Calibri" w:hAnsi="Gill Sans Nova" w:cs="Times New Roman"/>
          <w:kern w:val="0"/>
          <w:sz w:val="24"/>
          <w:szCs w:val="24"/>
          <w:vertAlign w:val="superscript"/>
          <w:lang w:val="en-US" w:eastAsia="en-AU"/>
          <w14:ligatures w14:val="none"/>
        </w:rPr>
        <w:footnoteReference w:id="1"/>
      </w:r>
      <w:r w:rsidRPr="0016134F">
        <w:rPr>
          <w:rFonts w:ascii="Gill Sans Nova" w:eastAsia="Calibri" w:hAnsi="Gill Sans Nova" w:cs="Times New Roman"/>
          <w:kern w:val="0"/>
          <w:sz w:val="24"/>
          <w:szCs w:val="24"/>
          <w:lang w:val="en-US" w:eastAsia="en-AU"/>
          <w14:ligatures w14:val="none"/>
        </w:rPr>
        <w:t xml:space="preserve"> It is critical that the findings and recommendations of this project are understood within the broader policy landscape and build upon the advocacy and reform priorities identified by Aboriginal and Torres Strait Islander </w:t>
      </w:r>
      <w:r>
        <w:rPr>
          <w:rFonts w:ascii="Gill Sans Nova" w:eastAsia="Calibri" w:hAnsi="Gill Sans Nova" w:cs="Times New Roman"/>
          <w:kern w:val="0"/>
          <w:sz w:val="24"/>
          <w:szCs w:val="24"/>
          <w:lang w:val="en-US" w:eastAsia="en-AU"/>
          <w14:ligatures w14:val="none"/>
        </w:rPr>
        <w:t>ECEC</w:t>
      </w:r>
      <w:r w:rsidRPr="0016134F">
        <w:rPr>
          <w:rFonts w:ascii="Gill Sans Nova" w:eastAsia="Calibri" w:hAnsi="Gill Sans Nova" w:cs="Times New Roman"/>
          <w:kern w:val="0"/>
          <w:sz w:val="24"/>
          <w:szCs w:val="24"/>
          <w:lang w:val="en-US" w:eastAsia="en-AU"/>
          <w14:ligatures w14:val="none"/>
        </w:rPr>
        <w:t xml:space="preserve"> services and communities. </w:t>
      </w:r>
    </w:p>
    <w:p w14:paraId="7D729B6F"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30C1ED68"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As a peak body, SNAICC has built its understanding of the workforce needs of the sector through its Early Years Support </w:t>
      </w:r>
      <w:r>
        <w:rPr>
          <w:rFonts w:ascii="Gill Sans Nova" w:eastAsia="Times New Roman" w:hAnsi="Gill Sans Nova" w:cs="Segoe UI"/>
          <w:kern w:val="0"/>
          <w:sz w:val="24"/>
          <w:szCs w:val="24"/>
          <w:lang w:eastAsia="en-AU"/>
          <w14:ligatures w14:val="none"/>
        </w:rPr>
        <w:t>service</w:t>
      </w:r>
      <w:r w:rsidRPr="0016134F">
        <w:rPr>
          <w:rFonts w:ascii="Gill Sans Nova" w:eastAsia="Times New Roman" w:hAnsi="Gill Sans Nova" w:cs="Segoe UI"/>
          <w:kern w:val="0"/>
          <w:sz w:val="24"/>
          <w:szCs w:val="24"/>
          <w:lang w:eastAsia="en-AU"/>
          <w14:ligatures w14:val="none"/>
        </w:rPr>
        <w:t xml:space="preserve"> which operates in New South Wales, Victoria and Western Australia, discrete research projects and targeted engagement activities such as the ECEC Workforce Development Roundtable held in 2021. As a result, both program-specific and broader reform recommendations are included in this report. </w:t>
      </w:r>
    </w:p>
    <w:p w14:paraId="1ABD80D5"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73041AE1"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This project expands upon this existing knowledge of the Aboriginal and Torres Strait Islander ECEC workforce to consider current factors of success, barriers and opportunities for government to take action in the support and growth of programs and services supporting students to obtain their ECEC qualifications. </w:t>
      </w:r>
    </w:p>
    <w:p w14:paraId="7F883015"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26A989B2"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r w:rsidRPr="0016134F">
        <w:rPr>
          <w:rFonts w:ascii="Gill Sans Nova" w:eastAsia="Times New Roman" w:hAnsi="Gill Sans Nova" w:cs="Segoe UI"/>
          <w:kern w:val="0"/>
          <w:sz w:val="24"/>
          <w:szCs w:val="24"/>
          <w:lang w:eastAsia="en-AU"/>
          <w14:ligatures w14:val="none"/>
        </w:rPr>
        <w:t xml:space="preserve">The report outlines </w:t>
      </w:r>
      <w:r w:rsidRPr="00A70399">
        <w:rPr>
          <w:rFonts w:ascii="Gill Sans Nova" w:eastAsia="Times New Roman" w:hAnsi="Gill Sans Nova" w:cs="Segoe UI"/>
          <w:kern w:val="0"/>
          <w:sz w:val="24"/>
          <w:szCs w:val="24"/>
          <w:lang w:eastAsia="en-AU"/>
          <w14:ligatures w14:val="none"/>
        </w:rPr>
        <w:t>1</w:t>
      </w:r>
      <w:r>
        <w:rPr>
          <w:rFonts w:ascii="Gill Sans Nova" w:eastAsia="Times New Roman" w:hAnsi="Gill Sans Nova" w:cs="Segoe UI"/>
          <w:kern w:val="0"/>
          <w:sz w:val="24"/>
          <w:szCs w:val="24"/>
          <w:lang w:eastAsia="en-AU"/>
          <w14:ligatures w14:val="none"/>
        </w:rPr>
        <w:t>4</w:t>
      </w:r>
      <w:r w:rsidRPr="0016134F">
        <w:rPr>
          <w:rFonts w:ascii="Gill Sans Nova" w:eastAsia="Times New Roman" w:hAnsi="Gill Sans Nova" w:cs="Segoe UI"/>
          <w:kern w:val="0"/>
          <w:sz w:val="24"/>
          <w:szCs w:val="24"/>
          <w:lang w:eastAsia="en-AU"/>
          <w14:ligatures w14:val="none"/>
        </w:rPr>
        <w:t xml:space="preserve"> recommendations</w:t>
      </w:r>
      <w:r>
        <w:rPr>
          <w:rFonts w:ascii="Gill Sans Nova" w:eastAsia="Times New Roman" w:hAnsi="Gill Sans Nova" w:cs="Segoe UI"/>
          <w:kern w:val="0"/>
          <w:sz w:val="24"/>
          <w:szCs w:val="24"/>
          <w:lang w:eastAsia="en-AU"/>
          <w14:ligatures w14:val="none"/>
        </w:rPr>
        <w:t>, including priority recommendations,</w:t>
      </w:r>
      <w:r w:rsidRPr="0016134F">
        <w:rPr>
          <w:rFonts w:ascii="Gill Sans Nova" w:eastAsia="Times New Roman" w:hAnsi="Gill Sans Nova" w:cs="Segoe UI"/>
          <w:kern w:val="0"/>
          <w:sz w:val="24"/>
          <w:szCs w:val="24"/>
          <w:lang w:eastAsia="en-AU"/>
          <w14:ligatures w14:val="none"/>
        </w:rPr>
        <w:t xml:space="preserve"> across four themes – education and training organisations and support; ACCO sector investment; government policy frameworks; and data investment – that will strengthen the delivery of tailored programs of support for Aboriginal and Torres Strait Islander people to gain ECEC qualifications. </w:t>
      </w:r>
    </w:p>
    <w:p w14:paraId="51143313"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0EF84FB3" w14:textId="77777777" w:rsidR="00E273D5" w:rsidRPr="0016134F" w:rsidRDefault="00E273D5" w:rsidP="00E273D5">
      <w:pPr>
        <w:spacing w:after="0" w:line="240" w:lineRule="auto"/>
        <w:textAlignment w:val="baseline"/>
        <w:rPr>
          <w:rFonts w:ascii="Gill Sans Nova" w:eastAsia="Calibri" w:hAnsi="Gill Sans Nova" w:cs="Times New Roman"/>
          <w:kern w:val="0"/>
          <w:sz w:val="24"/>
          <w:szCs w:val="24"/>
          <w:lang w:val="en-US" w:eastAsia="en-AU"/>
          <w14:ligatures w14:val="none"/>
        </w:rPr>
      </w:pPr>
      <w:r w:rsidRPr="0016134F">
        <w:rPr>
          <w:rFonts w:ascii="Gill Sans Nova" w:eastAsia="Times New Roman" w:hAnsi="Gill Sans Nova" w:cs="Times New Roman"/>
          <w:kern w:val="0"/>
          <w:sz w:val="24"/>
          <w:szCs w:val="24"/>
          <w:lang w:val="en-US" w:eastAsia="en-AU"/>
          <w14:ligatures w14:val="none"/>
        </w:rPr>
        <w:lastRenderedPageBreak/>
        <w:t xml:space="preserve">A key finding from this report is that the combination of tailored and place-based workforce programs and the critical support provided by ACCO </w:t>
      </w:r>
      <w:r>
        <w:rPr>
          <w:rFonts w:ascii="Gill Sans Nova" w:eastAsia="Times New Roman" w:hAnsi="Gill Sans Nova" w:cs="Times New Roman"/>
          <w:kern w:val="0"/>
          <w:sz w:val="24"/>
          <w:szCs w:val="24"/>
          <w:lang w:val="en-US" w:eastAsia="en-AU"/>
          <w14:ligatures w14:val="none"/>
        </w:rPr>
        <w:t>ECEC</w:t>
      </w:r>
      <w:r w:rsidRPr="0016134F">
        <w:rPr>
          <w:rFonts w:ascii="Gill Sans Nova" w:eastAsia="Times New Roman" w:hAnsi="Gill Sans Nova" w:cs="Times New Roman"/>
          <w:kern w:val="0"/>
          <w:sz w:val="24"/>
          <w:szCs w:val="24"/>
          <w:lang w:val="en-US" w:eastAsia="en-AU"/>
          <w14:ligatures w14:val="none"/>
        </w:rPr>
        <w:t xml:space="preserve"> services are key in creating successful students and a strengthened Aboriginal and Torres Strait Islander ECEC workforce. </w:t>
      </w:r>
      <w:r>
        <w:rPr>
          <w:rFonts w:ascii="Gill Sans Nova" w:eastAsia="Calibri" w:hAnsi="Gill Sans Nova" w:cs="Times New Roman"/>
          <w:kern w:val="0"/>
          <w:sz w:val="24"/>
          <w:szCs w:val="24"/>
          <w:lang w:val="en-US" w:eastAsia="en-AU"/>
          <w14:ligatures w14:val="none"/>
        </w:rPr>
        <w:t>The</w:t>
      </w:r>
      <w:r w:rsidRPr="0016134F">
        <w:rPr>
          <w:rFonts w:ascii="Gill Sans Nova" w:eastAsia="Calibri" w:hAnsi="Gill Sans Nova" w:cs="Times New Roman"/>
          <w:kern w:val="0"/>
          <w:sz w:val="24"/>
          <w:szCs w:val="24"/>
          <w:lang w:val="en-US" w:eastAsia="en-AU"/>
          <w14:ligatures w14:val="none"/>
        </w:rPr>
        <w:t xml:space="preserve"> combination of the specific program and the support from the ACCO </w:t>
      </w:r>
      <w:r>
        <w:rPr>
          <w:rFonts w:ascii="Gill Sans Nova" w:eastAsia="Calibri" w:hAnsi="Gill Sans Nova" w:cs="Times New Roman"/>
          <w:kern w:val="0"/>
          <w:sz w:val="24"/>
          <w:szCs w:val="24"/>
          <w:lang w:val="en-US" w:eastAsia="en-AU"/>
          <w14:ligatures w14:val="none"/>
        </w:rPr>
        <w:t>ECEC</w:t>
      </w:r>
      <w:r w:rsidRPr="0016134F">
        <w:rPr>
          <w:rFonts w:ascii="Gill Sans Nova" w:eastAsia="Calibri" w:hAnsi="Gill Sans Nova" w:cs="Times New Roman"/>
          <w:kern w:val="0"/>
          <w:sz w:val="24"/>
          <w:szCs w:val="24"/>
          <w:lang w:val="en-US" w:eastAsia="en-AU"/>
          <w14:ligatures w14:val="none"/>
        </w:rPr>
        <w:t xml:space="preserve"> service </w:t>
      </w:r>
      <w:r>
        <w:rPr>
          <w:rFonts w:ascii="Gill Sans Nova" w:eastAsia="Calibri" w:hAnsi="Gill Sans Nova" w:cs="Times New Roman"/>
          <w:kern w:val="0"/>
          <w:sz w:val="24"/>
          <w:szCs w:val="24"/>
          <w:lang w:val="en-US" w:eastAsia="en-AU"/>
          <w14:ligatures w14:val="none"/>
        </w:rPr>
        <w:t>is what</w:t>
      </w:r>
      <w:r w:rsidRPr="0016134F">
        <w:rPr>
          <w:rFonts w:ascii="Gill Sans Nova" w:eastAsia="Calibri" w:hAnsi="Gill Sans Nova" w:cs="Times New Roman"/>
          <w:kern w:val="0"/>
          <w:sz w:val="24"/>
          <w:szCs w:val="24"/>
          <w:lang w:val="en-US" w:eastAsia="en-AU"/>
          <w14:ligatures w14:val="none"/>
        </w:rPr>
        <w:t xml:space="preserve"> has the biggest impact on a student being able to complete their qualification.</w:t>
      </w:r>
    </w:p>
    <w:p w14:paraId="671639CD" w14:textId="77777777" w:rsidR="00E273D5" w:rsidRPr="0016134F" w:rsidRDefault="00E273D5" w:rsidP="00E273D5">
      <w:pPr>
        <w:spacing w:after="0" w:line="240" w:lineRule="auto"/>
        <w:textAlignment w:val="baseline"/>
        <w:rPr>
          <w:rFonts w:ascii="Gill Sans Nova" w:eastAsia="Calibri" w:hAnsi="Gill Sans Nova" w:cs="Times New Roman"/>
          <w:kern w:val="0"/>
          <w:sz w:val="24"/>
          <w:szCs w:val="24"/>
          <w:lang w:val="en-US" w:eastAsia="en-AU"/>
          <w14:ligatures w14:val="none"/>
        </w:rPr>
      </w:pPr>
    </w:p>
    <w:p w14:paraId="5AB45B04" w14:textId="77777777" w:rsidR="00E273D5" w:rsidRPr="0016134F" w:rsidRDefault="00E273D5" w:rsidP="00E273D5">
      <w:pPr>
        <w:spacing w:after="0" w:line="240" w:lineRule="auto"/>
        <w:textAlignment w:val="baseline"/>
        <w:rPr>
          <w:rFonts w:ascii="Gill Sans Nova" w:eastAsia="Calibri" w:hAnsi="Gill Sans Nova" w:cs="Times New Roman"/>
          <w:kern w:val="0"/>
          <w:sz w:val="24"/>
          <w:szCs w:val="24"/>
          <w:lang w:val="en-US" w:eastAsia="en-AU"/>
          <w14:ligatures w14:val="none"/>
        </w:rPr>
      </w:pPr>
      <w:r w:rsidRPr="0016134F">
        <w:rPr>
          <w:rFonts w:ascii="Gill Sans Nova" w:eastAsia="Calibri" w:hAnsi="Gill Sans Nova" w:cs="Times New Roman"/>
          <w:kern w:val="0"/>
          <w:sz w:val="24"/>
          <w:szCs w:val="24"/>
          <w:lang w:val="en-US" w:eastAsia="en-AU"/>
          <w14:ligatures w14:val="none"/>
        </w:rPr>
        <w:t>The full list of recommendations</w:t>
      </w:r>
      <w:r>
        <w:rPr>
          <w:rFonts w:ascii="Gill Sans Nova" w:eastAsia="Calibri" w:hAnsi="Gill Sans Nova" w:cs="Times New Roman"/>
          <w:kern w:val="0"/>
          <w:sz w:val="24"/>
          <w:szCs w:val="24"/>
          <w:lang w:val="en-US" w:eastAsia="en-AU"/>
          <w14:ligatures w14:val="none"/>
        </w:rPr>
        <w:t>, including priority recommendations,</w:t>
      </w:r>
      <w:r w:rsidRPr="0016134F">
        <w:rPr>
          <w:rFonts w:ascii="Gill Sans Nova" w:eastAsia="Calibri" w:hAnsi="Gill Sans Nova" w:cs="Times New Roman"/>
          <w:kern w:val="0"/>
          <w:sz w:val="24"/>
          <w:szCs w:val="24"/>
          <w:lang w:val="en-US" w:eastAsia="en-AU"/>
          <w14:ligatures w14:val="none"/>
        </w:rPr>
        <w:t xml:space="preserve"> is outlined on the following page. </w:t>
      </w:r>
    </w:p>
    <w:p w14:paraId="541497B9" w14:textId="77777777" w:rsidR="00E273D5" w:rsidRPr="0016134F" w:rsidRDefault="00E273D5" w:rsidP="00E273D5">
      <w:pPr>
        <w:spacing w:after="0" w:line="240" w:lineRule="auto"/>
        <w:textAlignment w:val="baseline"/>
        <w:rPr>
          <w:rFonts w:ascii="Gill Sans Nova" w:eastAsia="Times New Roman" w:hAnsi="Gill Sans Nova" w:cs="Segoe UI"/>
          <w:kern w:val="0"/>
          <w:sz w:val="24"/>
          <w:szCs w:val="24"/>
          <w:lang w:eastAsia="en-AU"/>
          <w14:ligatures w14:val="none"/>
        </w:rPr>
      </w:pPr>
    </w:p>
    <w:p w14:paraId="350D63EF" w14:textId="77777777" w:rsidR="00E273D5" w:rsidRPr="00D5696E" w:rsidRDefault="00E273D5" w:rsidP="00E273D5">
      <w:pPr>
        <w:rPr>
          <w:rFonts w:ascii="Gill Sans Nova" w:hAnsi="Gill Sans Nova" w:cs="Segoe UI"/>
        </w:rPr>
      </w:pPr>
      <w:r w:rsidRPr="0016134F">
        <w:rPr>
          <w:rFonts w:ascii="Gill Sans Nova" w:hAnsi="Gill Sans Nova" w:cs="Segoe UI"/>
        </w:rPr>
        <w:br w:type="page"/>
      </w:r>
    </w:p>
    <w:p w14:paraId="5DBF857D" w14:textId="77777777" w:rsidR="00E273D5" w:rsidRDefault="00E273D5" w:rsidP="00E273D5">
      <w:pPr>
        <w:spacing w:after="0" w:line="240" w:lineRule="auto"/>
        <w:outlineLvl w:val="0"/>
        <w:rPr>
          <w:rFonts w:ascii="Gill Sans Nova" w:eastAsia="Calibri" w:hAnsi="Gill Sans Nova" w:cs="Times New Roman"/>
          <w:b/>
          <w:bCs/>
          <w:sz w:val="36"/>
          <w:szCs w:val="36"/>
          <w:lang w:val="en-US"/>
        </w:rPr>
      </w:pPr>
      <w:bookmarkStart w:id="1" w:name="_Toc167799711"/>
      <w:r w:rsidRPr="0016134F">
        <w:rPr>
          <w:rFonts w:ascii="Gill Sans Nova" w:eastAsia="Calibri" w:hAnsi="Gill Sans Nova" w:cs="Times New Roman"/>
          <w:b/>
          <w:bCs/>
          <w:sz w:val="36"/>
          <w:szCs w:val="36"/>
          <w:lang w:val="en-US"/>
        </w:rPr>
        <w:lastRenderedPageBreak/>
        <w:t>Recommendations</w:t>
      </w:r>
      <w:bookmarkEnd w:id="1"/>
    </w:p>
    <w:p w14:paraId="1770F90F" w14:textId="77777777" w:rsidR="00E273D5" w:rsidRPr="008F6816" w:rsidRDefault="00E273D5" w:rsidP="00E273D5">
      <w:pPr>
        <w:rPr>
          <w:rFonts w:ascii="Gill Sans Nova" w:hAnsi="Gill Sans Nova"/>
          <w:sz w:val="24"/>
          <w:szCs w:val="24"/>
          <w:lang w:val="en-US"/>
        </w:rPr>
      </w:pPr>
      <w:r>
        <w:rPr>
          <w:rFonts w:ascii="Gill Sans Nova" w:hAnsi="Gill Sans Nova"/>
          <w:sz w:val="24"/>
          <w:szCs w:val="24"/>
          <w:lang w:val="en-US"/>
        </w:rPr>
        <w:t>SNAICC makes the following recommendations which include early opportunity priorities, high impact priorities and longer-term priorities to support Aboriginal and Torres Strait Islander potential educators and teachers and strengthen the Aboriginal and Torres Strait Islander ECEC workforce. Priority recommendations are expanded upon following the recommendation list below.</w:t>
      </w:r>
    </w:p>
    <w:p w14:paraId="640F7676" w14:textId="77777777" w:rsidR="00E273D5" w:rsidRPr="0016134F" w:rsidRDefault="00E273D5" w:rsidP="00E273D5">
      <w:pPr>
        <w:numPr>
          <w:ilvl w:val="0"/>
          <w:numId w:val="15"/>
        </w:numPr>
        <w:contextualSpacing/>
        <w:rPr>
          <w:rFonts w:ascii="Gill Sans Nova" w:hAnsi="Gill Sans Nova"/>
          <w:sz w:val="24"/>
          <w:szCs w:val="24"/>
        </w:rPr>
      </w:pPr>
      <w:r w:rsidRPr="0016134F">
        <w:rPr>
          <w:rFonts w:ascii="Gill Sans Nova" w:hAnsi="Gill Sans Nova"/>
          <w:sz w:val="24"/>
          <w:szCs w:val="24"/>
        </w:rPr>
        <w:t>Education and training organisations and support</w:t>
      </w:r>
    </w:p>
    <w:p w14:paraId="404067AE"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Invest in building the cultural safety and capability of non-Indigenous Registered Training Organisations and Universities including working with them to better meet the needs of Aboriginal and Torres Strait Islander students and acknowledge the value of cultural knowledge.</w:t>
      </w:r>
    </w:p>
    <w:p w14:paraId="01D65DC0" w14:textId="77777777" w:rsidR="00E273D5"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 xml:space="preserve">Remove the requirement for Aboriginal and Torres Strait Islander students to complete practicums outside of an Aboriginal and Torres Strait Islander ECEC service they are employed by. </w:t>
      </w:r>
    </w:p>
    <w:p w14:paraId="17D73292" w14:textId="0096F2C0" w:rsidR="00E273D5" w:rsidRPr="0016134F" w:rsidRDefault="00E273D5" w:rsidP="00A84948">
      <w:pPr>
        <w:ind w:left="1701" w:hanging="708"/>
        <w:contextualSpacing/>
        <w:rPr>
          <w:rFonts w:ascii="Gill Sans Nova" w:hAnsi="Gill Sans Nova"/>
          <w:sz w:val="24"/>
          <w:szCs w:val="24"/>
        </w:rPr>
      </w:pPr>
      <w:r>
        <w:rPr>
          <w:rFonts w:ascii="Gill Sans Nova" w:hAnsi="Gill Sans Nova"/>
          <w:sz w:val="24"/>
          <w:szCs w:val="24"/>
        </w:rPr>
        <w:t xml:space="preserve">1.2.1 </w:t>
      </w:r>
      <w:r w:rsidR="00A84948">
        <w:rPr>
          <w:rFonts w:ascii="Gill Sans Nova" w:hAnsi="Gill Sans Nova"/>
          <w:sz w:val="24"/>
          <w:szCs w:val="24"/>
        </w:rPr>
        <w:tab/>
      </w:r>
      <w:r>
        <w:rPr>
          <w:rFonts w:ascii="Gill Sans Nova" w:hAnsi="Gill Sans Nova"/>
          <w:sz w:val="24"/>
          <w:szCs w:val="24"/>
        </w:rPr>
        <w:t>Review the Australian Children’s Education and Care Quality Authority guidelines</w:t>
      </w:r>
      <w:r w:rsidR="00A84948">
        <w:rPr>
          <w:rFonts w:ascii="Gill Sans Nova" w:hAnsi="Gill Sans Nova"/>
          <w:sz w:val="24"/>
          <w:szCs w:val="24"/>
        </w:rPr>
        <w:t xml:space="preserve"> </w:t>
      </w:r>
      <w:r>
        <w:rPr>
          <w:rFonts w:ascii="Gill Sans Nova" w:hAnsi="Gill Sans Nova"/>
          <w:sz w:val="24"/>
          <w:szCs w:val="24"/>
        </w:rPr>
        <w:t>to clarify regulations, requirements and equivalent early childhood qualifications regarding practicums.</w:t>
      </w:r>
    </w:p>
    <w:p w14:paraId="35BBB7C6"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Review entry requirements within institutions with a view to recognising prior learning and cultural knowledge and building in prerequisites in a sustainable way to enable and support Aboriginal and Torres Strait Islander students to progress.</w:t>
      </w:r>
    </w:p>
    <w:p w14:paraId="7D860244" w14:textId="77777777" w:rsidR="00E273D5" w:rsidRPr="00872B4A" w:rsidRDefault="00E273D5" w:rsidP="00E273D5">
      <w:pPr>
        <w:numPr>
          <w:ilvl w:val="1"/>
          <w:numId w:val="15"/>
        </w:numPr>
        <w:contextualSpacing/>
        <w:rPr>
          <w:rFonts w:ascii="Gill Sans Nova" w:hAnsi="Gill Sans Nova"/>
          <w:sz w:val="24"/>
          <w:szCs w:val="24"/>
        </w:rPr>
      </w:pPr>
      <w:bookmarkStart w:id="2" w:name="_Hlk168056371"/>
      <w:r>
        <w:rPr>
          <w:rFonts w:ascii="Gill Sans Nova" w:hAnsi="Gill Sans Nova"/>
          <w:sz w:val="24"/>
          <w:szCs w:val="24"/>
        </w:rPr>
        <w:t>Fund 12,000 places across ECEC Certificate III, Diploma and Bachelor of Early Childhood Education courses, including paid practicums, for Aboriginal and Torres Strait Islander potential educators and students.</w:t>
      </w:r>
      <w:bookmarkEnd w:id="2"/>
    </w:p>
    <w:p w14:paraId="1911D4A8" w14:textId="77777777" w:rsidR="00E273D5" w:rsidRPr="0016134F" w:rsidRDefault="00E273D5" w:rsidP="00E273D5">
      <w:pPr>
        <w:ind w:left="720"/>
        <w:contextualSpacing/>
        <w:rPr>
          <w:rFonts w:ascii="Gill Sans Nova" w:hAnsi="Gill Sans Nova"/>
          <w:sz w:val="24"/>
          <w:szCs w:val="24"/>
        </w:rPr>
      </w:pPr>
    </w:p>
    <w:p w14:paraId="5C17DE83" w14:textId="77777777" w:rsidR="00E273D5" w:rsidRPr="0016134F" w:rsidRDefault="00E273D5" w:rsidP="00E273D5">
      <w:pPr>
        <w:numPr>
          <w:ilvl w:val="0"/>
          <w:numId w:val="15"/>
        </w:numPr>
        <w:contextualSpacing/>
        <w:rPr>
          <w:rFonts w:ascii="Gill Sans Nova" w:hAnsi="Gill Sans Nova"/>
          <w:sz w:val="24"/>
          <w:szCs w:val="24"/>
        </w:rPr>
      </w:pPr>
      <w:r w:rsidRPr="0016134F">
        <w:rPr>
          <w:rFonts w:ascii="Gill Sans Nova" w:hAnsi="Gill Sans Nova"/>
          <w:sz w:val="24"/>
          <w:szCs w:val="24"/>
        </w:rPr>
        <w:t>ACCO Sector Investment</w:t>
      </w:r>
    </w:p>
    <w:p w14:paraId="1AC02B3F"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Invest in and prioritise the establishment and expansion of ACCO Registered Training Organisations with a specialisation in early childhood education and care.</w:t>
      </w:r>
    </w:p>
    <w:p w14:paraId="5947D9B1"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Invest in the sustainable and long-term funding of Aboriginal and Torres Strait Islander backbone support services to support the growth of the Aboriginal and Torres Strait Islander workforce in gaining ECEC qualifications, building on SNAICC’s Early Years Support pilot program.</w:t>
      </w:r>
    </w:p>
    <w:p w14:paraId="347731EB"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 xml:space="preserve">Increase funding to ACCO services to provide increase wages and flexible working conditions to remain competitive with mainstream ECEC services. </w:t>
      </w:r>
    </w:p>
    <w:p w14:paraId="5BC2DD4F" w14:textId="77777777" w:rsidR="00E273D5" w:rsidRDefault="00E273D5" w:rsidP="00E273D5">
      <w:pPr>
        <w:numPr>
          <w:ilvl w:val="1"/>
          <w:numId w:val="15"/>
        </w:numPr>
        <w:contextualSpacing/>
        <w:rPr>
          <w:rFonts w:ascii="Gill Sans Nova" w:hAnsi="Gill Sans Nova"/>
          <w:sz w:val="24"/>
          <w:szCs w:val="24"/>
        </w:rPr>
      </w:pPr>
      <w:r w:rsidRPr="00872B4A">
        <w:rPr>
          <w:rFonts w:ascii="Gill Sans Nova" w:hAnsi="Gill Sans Nova"/>
          <w:sz w:val="24"/>
          <w:szCs w:val="24"/>
        </w:rPr>
        <w:t>Increase investment to adequately resource mentoring and other education and practicum supports for Aboriginal and Torres Strait Islander ECEC students.</w:t>
      </w:r>
    </w:p>
    <w:p w14:paraId="5DB110D7" w14:textId="77777777" w:rsidR="00E273D5" w:rsidRPr="009C76B4" w:rsidRDefault="00E273D5" w:rsidP="00E273D5">
      <w:pPr>
        <w:pStyle w:val="ListParagraph"/>
        <w:numPr>
          <w:ilvl w:val="2"/>
          <w:numId w:val="15"/>
        </w:numPr>
        <w:rPr>
          <w:rFonts w:ascii="Gill Sans Nova" w:hAnsi="Gill Sans Nova"/>
          <w:sz w:val="24"/>
          <w:szCs w:val="24"/>
        </w:rPr>
      </w:pPr>
      <w:r w:rsidRPr="009C76B4">
        <w:rPr>
          <w:rFonts w:ascii="Gill Sans Nova" w:hAnsi="Gill Sans Nova"/>
          <w:sz w:val="24"/>
          <w:szCs w:val="24"/>
        </w:rPr>
        <w:t>Prioritise funding for ACCO ECEC service</w:t>
      </w:r>
      <w:r>
        <w:rPr>
          <w:rFonts w:ascii="Gill Sans Nova" w:hAnsi="Gill Sans Nova"/>
          <w:sz w:val="24"/>
          <w:szCs w:val="24"/>
        </w:rPr>
        <w:t>s and backbone support services to provide direct supports to Aboriginal and Torres Strait Islander ECEC students.</w:t>
      </w:r>
    </w:p>
    <w:p w14:paraId="6CDFEC95" w14:textId="77777777" w:rsidR="00E273D5" w:rsidRPr="009C76B4" w:rsidRDefault="00E273D5" w:rsidP="00E273D5">
      <w:pPr>
        <w:pStyle w:val="ListParagraph"/>
        <w:numPr>
          <w:ilvl w:val="2"/>
          <w:numId w:val="15"/>
        </w:numPr>
        <w:rPr>
          <w:rFonts w:ascii="Gill Sans Nova" w:hAnsi="Gill Sans Nova"/>
          <w:sz w:val="24"/>
          <w:szCs w:val="24"/>
        </w:rPr>
      </w:pPr>
      <w:r>
        <w:rPr>
          <w:rFonts w:ascii="Gill Sans Nova" w:hAnsi="Gill Sans Nova"/>
          <w:sz w:val="24"/>
          <w:szCs w:val="24"/>
        </w:rPr>
        <w:lastRenderedPageBreak/>
        <w:t>Invest in resourcing to establish Aboriginal and Torres Strait Islander ECEC mentors in each state and territory.</w:t>
      </w:r>
    </w:p>
    <w:p w14:paraId="65840038" w14:textId="77777777" w:rsidR="00E273D5" w:rsidRDefault="00E273D5" w:rsidP="00E273D5">
      <w:pPr>
        <w:numPr>
          <w:ilvl w:val="1"/>
          <w:numId w:val="15"/>
        </w:numPr>
        <w:contextualSpacing/>
        <w:rPr>
          <w:rFonts w:ascii="Gill Sans Nova" w:hAnsi="Gill Sans Nova"/>
          <w:sz w:val="24"/>
          <w:szCs w:val="24"/>
        </w:rPr>
      </w:pPr>
      <w:r>
        <w:rPr>
          <w:rFonts w:ascii="Gill Sans Nova" w:hAnsi="Gill Sans Nova"/>
          <w:sz w:val="24"/>
          <w:szCs w:val="24"/>
        </w:rPr>
        <w:t xml:space="preserve">Fund the development of </w:t>
      </w:r>
      <w:r w:rsidRPr="00872B4A">
        <w:rPr>
          <w:rFonts w:ascii="Gill Sans Nova" w:hAnsi="Gill Sans Nova"/>
          <w:sz w:val="24"/>
          <w:szCs w:val="24"/>
        </w:rPr>
        <w:t>wage increase and enterprise bargaining resources for ACCO ECEC services and the Aboriginal and Torres Strait Islander ECEC staff and students.</w:t>
      </w:r>
    </w:p>
    <w:p w14:paraId="14095A5C" w14:textId="77777777" w:rsidR="00E273D5" w:rsidRPr="004E65F1" w:rsidRDefault="00E273D5" w:rsidP="00E273D5">
      <w:pPr>
        <w:ind w:left="1440"/>
        <w:contextualSpacing/>
        <w:rPr>
          <w:rFonts w:ascii="Gill Sans Nova" w:hAnsi="Gill Sans Nova"/>
          <w:sz w:val="24"/>
          <w:szCs w:val="24"/>
        </w:rPr>
      </w:pPr>
    </w:p>
    <w:p w14:paraId="45DC321F" w14:textId="77777777" w:rsidR="00E273D5" w:rsidRPr="0016134F" w:rsidRDefault="00E273D5" w:rsidP="00E273D5">
      <w:pPr>
        <w:numPr>
          <w:ilvl w:val="0"/>
          <w:numId w:val="15"/>
        </w:numPr>
        <w:contextualSpacing/>
        <w:rPr>
          <w:rFonts w:ascii="Gill Sans Nova" w:hAnsi="Gill Sans Nova"/>
          <w:sz w:val="24"/>
          <w:szCs w:val="24"/>
        </w:rPr>
      </w:pPr>
      <w:r w:rsidRPr="0016134F">
        <w:rPr>
          <w:rFonts w:ascii="Gill Sans Nova" w:hAnsi="Gill Sans Nova"/>
          <w:sz w:val="24"/>
          <w:szCs w:val="24"/>
        </w:rPr>
        <w:t>Government Policy Frameworks</w:t>
      </w:r>
    </w:p>
    <w:p w14:paraId="2B7B99AB"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Develop and invest in a dedicated strategy and action plan for the Aboriginal and Torres Strait Islander ECEC Workforce. The strategy and action plan should:</w:t>
      </w:r>
    </w:p>
    <w:p w14:paraId="3FC2F6C2" w14:textId="77777777" w:rsidR="00E273D5" w:rsidRPr="0016134F" w:rsidRDefault="00E273D5" w:rsidP="00E273D5">
      <w:pPr>
        <w:numPr>
          <w:ilvl w:val="2"/>
          <w:numId w:val="15"/>
        </w:numPr>
        <w:contextualSpacing/>
        <w:rPr>
          <w:rFonts w:ascii="Gill Sans Nova" w:hAnsi="Gill Sans Nova"/>
          <w:sz w:val="24"/>
          <w:szCs w:val="24"/>
        </w:rPr>
      </w:pPr>
      <w:r w:rsidRPr="0016134F">
        <w:rPr>
          <w:rFonts w:ascii="Gill Sans Nova" w:hAnsi="Gill Sans Nova"/>
          <w:sz w:val="24"/>
          <w:szCs w:val="24"/>
        </w:rPr>
        <w:t>Prioritise the attraction and retention of the Aboriginal and Torres Strait Islander ECEC workforce.</w:t>
      </w:r>
    </w:p>
    <w:p w14:paraId="35814ED0" w14:textId="77777777" w:rsidR="00E273D5" w:rsidRPr="0016134F" w:rsidRDefault="00E273D5" w:rsidP="00E273D5">
      <w:pPr>
        <w:numPr>
          <w:ilvl w:val="2"/>
          <w:numId w:val="15"/>
        </w:numPr>
        <w:contextualSpacing/>
        <w:rPr>
          <w:rFonts w:ascii="Gill Sans Nova" w:hAnsi="Gill Sans Nova"/>
          <w:sz w:val="24"/>
          <w:szCs w:val="24"/>
        </w:rPr>
      </w:pPr>
      <w:r w:rsidRPr="0016134F">
        <w:rPr>
          <w:rFonts w:ascii="Gill Sans Nova" w:hAnsi="Gill Sans Nova"/>
          <w:sz w:val="24"/>
          <w:szCs w:val="24"/>
        </w:rPr>
        <w:t>Include a focus on increasing the number of Aboriginal and Torres Strait Islander training and tertiary educators.</w:t>
      </w:r>
    </w:p>
    <w:p w14:paraId="3CB94F57"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eastAsia="Calibri" w:hAnsi="Gill Sans Nova" w:cs="Times New Roman"/>
          <w:iCs/>
          <w:color w:val="000000"/>
          <w:sz w:val="24"/>
          <w:szCs w:val="24"/>
          <w:lang w:val="en-US"/>
        </w:rPr>
        <w:t xml:space="preserve">Ensure recognition of cultural knowledge and cultural strengths are included in </w:t>
      </w:r>
      <w:r w:rsidRPr="0016134F">
        <w:rPr>
          <w:rFonts w:ascii="Gill Sans Nova" w:hAnsi="Gill Sans Nova"/>
          <w:sz w:val="24"/>
          <w:szCs w:val="24"/>
        </w:rPr>
        <w:t>the Education and Care Services National Regulations and the National Quality Standards, including components on cultural competency.</w:t>
      </w:r>
    </w:p>
    <w:p w14:paraId="2C2584EA"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 xml:space="preserve">Develop, implement and monitor a shared common language and framework for cultural competence and cultural safety in ECEC workforce education and professional development. </w:t>
      </w:r>
    </w:p>
    <w:p w14:paraId="3668C359" w14:textId="77777777" w:rsidR="00E273D5" w:rsidRPr="00872B4A" w:rsidRDefault="00E273D5" w:rsidP="00E273D5">
      <w:pPr>
        <w:numPr>
          <w:ilvl w:val="1"/>
          <w:numId w:val="15"/>
        </w:numPr>
        <w:contextualSpacing/>
        <w:rPr>
          <w:rFonts w:ascii="Gill Sans Nova" w:hAnsi="Gill Sans Nova"/>
          <w:sz w:val="24"/>
          <w:szCs w:val="24"/>
        </w:rPr>
      </w:pPr>
      <w:r w:rsidRPr="00872B4A">
        <w:rPr>
          <w:rFonts w:ascii="Gill Sans Nova" w:hAnsi="Gill Sans Nova"/>
          <w:sz w:val="24"/>
          <w:szCs w:val="24"/>
        </w:rPr>
        <w:t>Establish an innovation fund to support the delivery of Aboriginal and Torres Strait Islander early childhood education and care workforce development initiatives. The innovation fund should:</w:t>
      </w:r>
    </w:p>
    <w:p w14:paraId="6C1B0BF7" w14:textId="77777777" w:rsidR="00E273D5" w:rsidRPr="00872B4A" w:rsidRDefault="00E273D5" w:rsidP="00E273D5">
      <w:pPr>
        <w:numPr>
          <w:ilvl w:val="2"/>
          <w:numId w:val="15"/>
        </w:numPr>
        <w:contextualSpacing/>
        <w:rPr>
          <w:rFonts w:ascii="Gill Sans Nova" w:hAnsi="Gill Sans Nova"/>
          <w:sz w:val="24"/>
          <w:szCs w:val="24"/>
        </w:rPr>
      </w:pPr>
      <w:r w:rsidRPr="00872B4A">
        <w:rPr>
          <w:rFonts w:ascii="Gill Sans Nova" w:hAnsi="Gill Sans Nova"/>
          <w:sz w:val="24"/>
          <w:szCs w:val="24"/>
        </w:rPr>
        <w:t>Prioritise Aboriginal and Torres Strait Islander led/community-controlled initiatives or/and partnerships between mainstream institutions and Aboriginal community controlled organisations.</w:t>
      </w:r>
    </w:p>
    <w:p w14:paraId="64A6EC61" w14:textId="77777777" w:rsidR="00E273D5" w:rsidRPr="00872B4A" w:rsidRDefault="00E273D5" w:rsidP="00E273D5">
      <w:pPr>
        <w:numPr>
          <w:ilvl w:val="2"/>
          <w:numId w:val="15"/>
        </w:numPr>
        <w:contextualSpacing/>
        <w:rPr>
          <w:rFonts w:ascii="Gill Sans Nova" w:hAnsi="Gill Sans Nova"/>
          <w:sz w:val="24"/>
          <w:szCs w:val="24"/>
        </w:rPr>
      </w:pPr>
      <w:r w:rsidRPr="00872B4A">
        <w:rPr>
          <w:rFonts w:ascii="Gill Sans Nova" w:hAnsi="Gill Sans Nova"/>
          <w:sz w:val="24"/>
          <w:szCs w:val="24"/>
        </w:rPr>
        <w:t>Provide substantial funding to cover the high costs of successful delivery of the initiatives and support evaluation to build an evidence base.</w:t>
      </w:r>
    </w:p>
    <w:p w14:paraId="72C72392" w14:textId="77777777" w:rsidR="00E273D5" w:rsidRDefault="00E273D5" w:rsidP="00E273D5">
      <w:pPr>
        <w:numPr>
          <w:ilvl w:val="2"/>
          <w:numId w:val="15"/>
        </w:numPr>
        <w:contextualSpacing/>
        <w:rPr>
          <w:rFonts w:ascii="Gill Sans Nova" w:hAnsi="Gill Sans Nova"/>
          <w:sz w:val="24"/>
          <w:szCs w:val="24"/>
        </w:rPr>
      </w:pPr>
      <w:r w:rsidRPr="00872B4A">
        <w:rPr>
          <w:rFonts w:ascii="Gill Sans Nova" w:hAnsi="Gill Sans Nova"/>
          <w:sz w:val="24"/>
          <w:szCs w:val="24"/>
        </w:rPr>
        <w:t>Align with the Priority Reforms under the National Agreement on Closing the Gap.</w:t>
      </w:r>
    </w:p>
    <w:p w14:paraId="5CAC8C2D" w14:textId="77777777" w:rsidR="00E273D5" w:rsidRPr="00AD3969" w:rsidRDefault="00E273D5" w:rsidP="00E273D5">
      <w:pPr>
        <w:numPr>
          <w:ilvl w:val="2"/>
          <w:numId w:val="15"/>
        </w:numPr>
        <w:contextualSpacing/>
        <w:rPr>
          <w:rFonts w:ascii="Gill Sans Nova" w:hAnsi="Gill Sans Nova"/>
          <w:sz w:val="24"/>
          <w:szCs w:val="24"/>
        </w:rPr>
      </w:pPr>
      <w:r>
        <w:rPr>
          <w:rFonts w:ascii="Gill Sans Nova" w:hAnsi="Gill Sans Nova"/>
          <w:sz w:val="24"/>
          <w:szCs w:val="24"/>
        </w:rPr>
        <w:t>Incorporate the recommendations under the Australian Universities Accord Final Report which encourage better alignment and partnership between RTOs, TAFEs, Universities to be responsive to student and ECEC sector needs.</w:t>
      </w:r>
    </w:p>
    <w:p w14:paraId="628A892A" w14:textId="77777777" w:rsidR="00E273D5" w:rsidRPr="0016134F" w:rsidRDefault="00E273D5" w:rsidP="00E273D5">
      <w:pPr>
        <w:ind w:left="1800"/>
        <w:contextualSpacing/>
        <w:rPr>
          <w:rFonts w:ascii="Gill Sans Nova" w:hAnsi="Gill Sans Nova"/>
          <w:sz w:val="24"/>
          <w:szCs w:val="24"/>
        </w:rPr>
      </w:pPr>
    </w:p>
    <w:p w14:paraId="77BD02E5" w14:textId="77777777" w:rsidR="00E273D5" w:rsidRPr="0016134F" w:rsidRDefault="00E273D5" w:rsidP="00E273D5">
      <w:pPr>
        <w:numPr>
          <w:ilvl w:val="0"/>
          <w:numId w:val="15"/>
        </w:numPr>
        <w:contextualSpacing/>
        <w:rPr>
          <w:rFonts w:ascii="Gill Sans Nova" w:hAnsi="Gill Sans Nova"/>
          <w:sz w:val="24"/>
          <w:szCs w:val="24"/>
        </w:rPr>
      </w:pPr>
      <w:r w:rsidRPr="0016134F">
        <w:rPr>
          <w:rFonts w:ascii="Gill Sans Nova" w:hAnsi="Gill Sans Nova"/>
          <w:sz w:val="24"/>
          <w:szCs w:val="24"/>
        </w:rPr>
        <w:t>Data Investment</w:t>
      </w:r>
    </w:p>
    <w:p w14:paraId="292507F3" w14:textId="77777777" w:rsidR="00E273D5" w:rsidRPr="0016134F" w:rsidRDefault="00E273D5" w:rsidP="00E273D5">
      <w:pPr>
        <w:numPr>
          <w:ilvl w:val="1"/>
          <w:numId w:val="15"/>
        </w:numPr>
        <w:contextualSpacing/>
        <w:rPr>
          <w:rFonts w:ascii="Gill Sans Nova" w:hAnsi="Gill Sans Nova"/>
          <w:sz w:val="24"/>
          <w:szCs w:val="24"/>
        </w:rPr>
      </w:pPr>
      <w:r w:rsidRPr="0016134F">
        <w:rPr>
          <w:rFonts w:ascii="Gill Sans Nova" w:hAnsi="Gill Sans Nova"/>
          <w:sz w:val="24"/>
          <w:szCs w:val="24"/>
        </w:rPr>
        <w:t>Establish an ongoing mechanism to gather and report on Aboriginal and Torres Strait Islander ECEC Workforce in alignment with Indigenous Data Sovereignty Principles and Priority Reform 4 of the National Agreement on Closing the Gap.</w:t>
      </w:r>
    </w:p>
    <w:p w14:paraId="0CAEB964" w14:textId="77777777" w:rsidR="00E273D5" w:rsidRDefault="00E273D5" w:rsidP="00E273D5">
      <w:pPr>
        <w:rPr>
          <w:rFonts w:ascii="Gill Sans Nova" w:eastAsia="Calibri" w:hAnsi="Gill Sans Nova" w:cs="Times New Roman"/>
          <w:b/>
          <w:bCs/>
          <w:sz w:val="24"/>
          <w:szCs w:val="24"/>
          <w:lang w:val="en-US"/>
        </w:rPr>
      </w:pPr>
    </w:p>
    <w:p w14:paraId="200875EE" w14:textId="77777777" w:rsidR="00E273D5" w:rsidRDefault="00E273D5" w:rsidP="00E273D5">
      <w:pPr>
        <w:rPr>
          <w:rFonts w:ascii="Gill Sans Nova" w:eastAsia="Calibri" w:hAnsi="Gill Sans Nova" w:cs="Times New Roman"/>
          <w:b/>
          <w:bCs/>
          <w:sz w:val="24"/>
          <w:szCs w:val="24"/>
          <w:lang w:val="en-US"/>
        </w:rPr>
      </w:pPr>
    </w:p>
    <w:p w14:paraId="260AE914" w14:textId="77777777" w:rsidR="00E273D5" w:rsidRPr="0016134F" w:rsidRDefault="00E273D5" w:rsidP="00E273D5">
      <w:pPr>
        <w:spacing w:after="0" w:line="240" w:lineRule="auto"/>
        <w:outlineLvl w:val="1"/>
        <w:rPr>
          <w:rFonts w:ascii="Gill Sans Nova" w:eastAsia="Calibri" w:hAnsi="Gill Sans Nova" w:cs="Times New Roman"/>
          <w:b/>
          <w:bCs/>
          <w:sz w:val="28"/>
          <w:szCs w:val="28"/>
        </w:rPr>
      </w:pPr>
      <w:r>
        <w:rPr>
          <w:rFonts w:ascii="Gill Sans Nova" w:eastAsia="Calibri" w:hAnsi="Gill Sans Nova" w:cs="Times New Roman"/>
          <w:b/>
          <w:bCs/>
          <w:sz w:val="28"/>
          <w:szCs w:val="28"/>
        </w:rPr>
        <w:lastRenderedPageBreak/>
        <w:t>Priority recommendations</w:t>
      </w:r>
      <w:r w:rsidRPr="0016134F">
        <w:rPr>
          <w:rFonts w:ascii="Gill Sans Nova" w:eastAsia="Calibri" w:hAnsi="Gill Sans Nova" w:cs="Times New Roman"/>
          <w:b/>
          <w:bCs/>
          <w:sz w:val="28"/>
          <w:szCs w:val="28"/>
        </w:rPr>
        <w:t xml:space="preserve"> </w:t>
      </w:r>
    </w:p>
    <w:p w14:paraId="0B9C5D24" w14:textId="77777777" w:rsidR="00E273D5" w:rsidRPr="00E96AF2" w:rsidRDefault="00E273D5" w:rsidP="00E273D5">
      <w:pPr>
        <w:rPr>
          <w:rFonts w:ascii="Gill Sans Nova" w:eastAsia="Calibri" w:hAnsi="Gill Sans Nova" w:cs="Times New Roman"/>
          <w:sz w:val="24"/>
          <w:szCs w:val="24"/>
          <w:lang w:val="en-US"/>
        </w:rPr>
      </w:pPr>
      <w:r>
        <w:rPr>
          <w:rFonts w:ascii="Gill Sans Nova" w:eastAsia="Calibri" w:hAnsi="Gill Sans Nova" w:cs="Times New Roman"/>
          <w:sz w:val="24"/>
          <w:szCs w:val="24"/>
          <w:lang w:val="en-US"/>
        </w:rPr>
        <w:t>The recommendations outlined above are all necessary to progress the support, development and growth of the Aboriginal and Torres Strait Islander ECEC educators and teachers. While all recommendations should be progressed in parallel, there are early opportunity priorities for short term reforms and high impact priorities for greater systemic impact overall. Further context for these priority recommendations is found in the ‘Identified success factors’ and ‘Next steps’ sections of this report.</w:t>
      </w:r>
    </w:p>
    <w:p w14:paraId="08ADDC63"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b/>
          <w:bCs/>
          <w:iCs/>
          <w:color w:val="000000"/>
          <w:sz w:val="24"/>
          <w:szCs w:val="24"/>
          <w:lang w:val="en-US"/>
        </w:rPr>
      </w:pPr>
      <w:r>
        <w:rPr>
          <w:rFonts w:ascii="Gill Sans Nova" w:eastAsia="Calibri" w:hAnsi="Gill Sans Nova" w:cs="Times New Roman"/>
          <w:b/>
          <w:bCs/>
          <w:iCs/>
          <w:color w:val="000000"/>
          <w:sz w:val="24"/>
          <w:szCs w:val="24"/>
          <w:lang w:val="en-US"/>
        </w:rPr>
        <w:t xml:space="preserve">Early opportunity priorities: </w:t>
      </w:r>
    </w:p>
    <w:p w14:paraId="10EC7F2F"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p>
    <w:p w14:paraId="5BD7F0E9"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1.4 – Fund 12,000 places across ECEC Certificate III, Diploma and Bachelor of Early Childhood Education courses, including paid practicums, for Aboriginal and Torres Strait Islander potential educators and students.</w:t>
      </w:r>
    </w:p>
    <w:p w14:paraId="0641F563"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p>
    <w:p w14:paraId="2B6F892B" w14:textId="77777777" w:rsidR="00E273D5" w:rsidRPr="009F0DCC"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2.5 – Fund the development of wage increase and enterprise bargaining resources for ACCO ECEC services and Aboriginal and Torres Strait Islander ECEC staff and students.</w:t>
      </w:r>
    </w:p>
    <w:p w14:paraId="70EE04EB" w14:textId="77777777" w:rsidR="00E273D5" w:rsidRDefault="00E273D5" w:rsidP="00E273D5">
      <w:pPr>
        <w:rPr>
          <w:rFonts w:ascii="Gill Sans Nova" w:eastAsia="Calibri" w:hAnsi="Gill Sans Nova" w:cs="Times New Roman"/>
          <w:b/>
          <w:bCs/>
          <w:sz w:val="24"/>
          <w:szCs w:val="24"/>
          <w:lang w:val="en-US"/>
        </w:rPr>
      </w:pPr>
    </w:p>
    <w:p w14:paraId="763FA474"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b/>
          <w:bCs/>
          <w:iCs/>
          <w:color w:val="000000"/>
          <w:sz w:val="24"/>
          <w:szCs w:val="24"/>
          <w:lang w:val="en-US"/>
        </w:rPr>
      </w:pPr>
      <w:r>
        <w:rPr>
          <w:rFonts w:ascii="Gill Sans Nova" w:eastAsia="Calibri" w:hAnsi="Gill Sans Nova" w:cs="Times New Roman"/>
          <w:b/>
          <w:bCs/>
          <w:iCs/>
          <w:color w:val="000000"/>
          <w:sz w:val="24"/>
          <w:szCs w:val="24"/>
          <w:lang w:val="en-US"/>
        </w:rPr>
        <w:t xml:space="preserve">High impact priorities: </w:t>
      </w:r>
    </w:p>
    <w:p w14:paraId="0294E45D"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p>
    <w:p w14:paraId="25097EC1"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3.4 – Establish an innovation fund to support the delivery of Aboriginal and Torres Strait Islander early childhood education and care workforce development initiatives. The innovation fund should:</w:t>
      </w:r>
    </w:p>
    <w:p w14:paraId="78508A14"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 xml:space="preserve">      3.4.1 Prioritise Aboriginal and Torres Strait Islander led/community  </w:t>
      </w:r>
      <w:r>
        <w:rPr>
          <w:rFonts w:ascii="Gill Sans Nova" w:eastAsia="Calibri" w:hAnsi="Gill Sans Nova" w:cs="Times New Roman"/>
          <w:iCs/>
          <w:color w:val="000000"/>
          <w:sz w:val="24"/>
          <w:szCs w:val="24"/>
          <w:lang w:val="en-US"/>
        </w:rPr>
        <w:br/>
        <w:t xml:space="preserve">            controlled initiatives or/and partnerships between mainstream </w:t>
      </w:r>
      <w:r>
        <w:rPr>
          <w:rFonts w:ascii="Gill Sans Nova" w:eastAsia="Calibri" w:hAnsi="Gill Sans Nova" w:cs="Times New Roman"/>
          <w:iCs/>
          <w:color w:val="000000"/>
          <w:sz w:val="24"/>
          <w:szCs w:val="24"/>
          <w:lang w:val="en-US"/>
        </w:rPr>
        <w:br/>
        <w:t xml:space="preserve">            institutions and Aboriginal and community controlled organisations.</w:t>
      </w:r>
    </w:p>
    <w:p w14:paraId="44CE1B8C"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 xml:space="preserve">      3.4.2 Provide substantial funding to cover the high costs of successful </w:t>
      </w:r>
      <w:r>
        <w:rPr>
          <w:rFonts w:ascii="Gill Sans Nova" w:eastAsia="Calibri" w:hAnsi="Gill Sans Nova" w:cs="Times New Roman"/>
          <w:iCs/>
          <w:color w:val="000000"/>
          <w:sz w:val="24"/>
          <w:szCs w:val="24"/>
          <w:lang w:val="en-US"/>
        </w:rPr>
        <w:br/>
        <w:t xml:space="preserve">            delivery of the initiatives and support evaluation to build an evidence </w:t>
      </w:r>
      <w:r>
        <w:rPr>
          <w:rFonts w:ascii="Gill Sans Nova" w:eastAsia="Calibri" w:hAnsi="Gill Sans Nova" w:cs="Times New Roman"/>
          <w:iCs/>
          <w:color w:val="000000"/>
          <w:sz w:val="24"/>
          <w:szCs w:val="24"/>
          <w:lang w:val="en-US"/>
        </w:rPr>
        <w:br/>
        <w:t xml:space="preserve">            base.</w:t>
      </w:r>
    </w:p>
    <w:p w14:paraId="3203B47C"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 xml:space="preserve">      3.4.3 Align with the Priority Reform under the National Agreement on </w:t>
      </w:r>
      <w:r>
        <w:rPr>
          <w:rFonts w:ascii="Gill Sans Nova" w:eastAsia="Calibri" w:hAnsi="Gill Sans Nova" w:cs="Times New Roman"/>
          <w:iCs/>
          <w:color w:val="000000"/>
          <w:sz w:val="24"/>
          <w:szCs w:val="24"/>
          <w:lang w:val="en-US"/>
        </w:rPr>
        <w:br/>
        <w:t xml:space="preserve">            Closing the Gap.</w:t>
      </w:r>
    </w:p>
    <w:p w14:paraId="532FBEBB"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 xml:space="preserve">      3.4.4 Incorporate the recommendations under the Australian Universities </w:t>
      </w:r>
      <w:r>
        <w:rPr>
          <w:rFonts w:ascii="Gill Sans Nova" w:eastAsia="Calibri" w:hAnsi="Gill Sans Nova" w:cs="Times New Roman"/>
          <w:iCs/>
          <w:color w:val="000000"/>
          <w:sz w:val="24"/>
          <w:szCs w:val="24"/>
          <w:lang w:val="en-US"/>
        </w:rPr>
        <w:br/>
        <w:t xml:space="preserve">            Accord Final Report which encourage between alignment and </w:t>
      </w:r>
      <w:r>
        <w:rPr>
          <w:rFonts w:ascii="Gill Sans Nova" w:eastAsia="Calibri" w:hAnsi="Gill Sans Nova" w:cs="Times New Roman"/>
          <w:iCs/>
          <w:color w:val="000000"/>
          <w:sz w:val="24"/>
          <w:szCs w:val="24"/>
          <w:lang w:val="en-US"/>
        </w:rPr>
        <w:br/>
        <w:t xml:space="preserve">            partnership between RTOs, TAFEs and Universities to be responsive </w:t>
      </w:r>
      <w:r>
        <w:rPr>
          <w:rFonts w:ascii="Gill Sans Nova" w:eastAsia="Calibri" w:hAnsi="Gill Sans Nova" w:cs="Times New Roman"/>
          <w:iCs/>
          <w:color w:val="000000"/>
          <w:sz w:val="24"/>
          <w:szCs w:val="24"/>
          <w:lang w:val="en-US"/>
        </w:rPr>
        <w:br/>
        <w:t xml:space="preserve">            to student and ECEC sector needs.</w:t>
      </w:r>
    </w:p>
    <w:p w14:paraId="69B4E2EC"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p>
    <w:p w14:paraId="5B727384"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851" w:right="851"/>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2.4 – Increase investment to adequately resource mentoring and other education and practicum supports for Aboriginal and Torres Strait Islander ECEC students.</w:t>
      </w:r>
    </w:p>
    <w:p w14:paraId="50C66B7D"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t xml:space="preserve">      2.4.1 Prioritise funding for ACCO ECEC services and backbone support  </w:t>
      </w:r>
      <w:r>
        <w:rPr>
          <w:rFonts w:ascii="Gill Sans Nova" w:eastAsia="Calibri" w:hAnsi="Gill Sans Nova" w:cs="Times New Roman"/>
          <w:iCs/>
          <w:color w:val="000000"/>
          <w:sz w:val="24"/>
          <w:szCs w:val="24"/>
          <w:lang w:val="en-US"/>
        </w:rPr>
        <w:br/>
        <w:t xml:space="preserve">            services to provide direct supports to Aboriginal and Torres Strait </w:t>
      </w:r>
      <w:r>
        <w:rPr>
          <w:rFonts w:ascii="Gill Sans Nova" w:eastAsia="Calibri" w:hAnsi="Gill Sans Nova" w:cs="Times New Roman"/>
          <w:iCs/>
          <w:color w:val="000000"/>
          <w:sz w:val="24"/>
          <w:szCs w:val="24"/>
          <w:lang w:val="en-US"/>
        </w:rPr>
        <w:br/>
        <w:t xml:space="preserve">            Islander ECEC students.</w:t>
      </w:r>
    </w:p>
    <w:p w14:paraId="671680C3" w14:textId="77777777" w:rsidR="00E273D5" w:rsidRDefault="00E273D5" w:rsidP="00E273D5">
      <w:pPr>
        <w:pBdr>
          <w:top w:val="single" w:sz="4" w:space="7" w:color="CFD9DD"/>
          <w:left w:val="single" w:sz="4" w:space="7" w:color="CFD9DD"/>
          <w:bottom w:val="single" w:sz="4" w:space="7" w:color="CFD9DD"/>
          <w:right w:val="single" w:sz="4" w:space="7" w:color="CFD9DD"/>
        </w:pBdr>
        <w:shd w:val="clear" w:color="auto" w:fill="FAE2D5" w:themeFill="accent2" w:themeFillTint="33"/>
        <w:spacing w:after="0" w:line="240" w:lineRule="auto"/>
        <w:ind w:left="993" w:right="851" w:hanging="142"/>
        <w:rPr>
          <w:rFonts w:ascii="Gill Sans Nova" w:eastAsia="Calibri" w:hAnsi="Gill Sans Nova" w:cs="Times New Roman"/>
          <w:iCs/>
          <w:color w:val="000000"/>
          <w:sz w:val="24"/>
          <w:szCs w:val="24"/>
          <w:lang w:val="en-US"/>
        </w:rPr>
      </w:pPr>
      <w:r>
        <w:rPr>
          <w:rFonts w:ascii="Gill Sans Nova" w:eastAsia="Calibri" w:hAnsi="Gill Sans Nova" w:cs="Times New Roman"/>
          <w:iCs/>
          <w:color w:val="000000"/>
          <w:sz w:val="24"/>
          <w:szCs w:val="24"/>
          <w:lang w:val="en-US"/>
        </w:rPr>
        <w:lastRenderedPageBreak/>
        <w:t xml:space="preserve">      2.4.2 Invest in resourcing to establish Aboriginal and Torres Strait Islander </w:t>
      </w:r>
      <w:r>
        <w:rPr>
          <w:rFonts w:ascii="Gill Sans Nova" w:eastAsia="Calibri" w:hAnsi="Gill Sans Nova" w:cs="Times New Roman"/>
          <w:iCs/>
          <w:color w:val="000000"/>
          <w:sz w:val="24"/>
          <w:szCs w:val="24"/>
          <w:lang w:val="en-US"/>
        </w:rPr>
        <w:br/>
        <w:t xml:space="preserve">            ECEC mentors in each state and territory.</w:t>
      </w:r>
    </w:p>
    <w:p w14:paraId="65569753" w14:textId="77777777" w:rsidR="00E273D5" w:rsidRDefault="00E273D5" w:rsidP="00E273D5">
      <w:pPr>
        <w:rPr>
          <w:rFonts w:ascii="Gill Sans Nova" w:eastAsia="Calibri" w:hAnsi="Gill Sans Nova" w:cs="Times New Roman"/>
          <w:b/>
          <w:bCs/>
          <w:sz w:val="24"/>
          <w:szCs w:val="24"/>
          <w:lang w:val="en-US"/>
        </w:rPr>
      </w:pPr>
    </w:p>
    <w:p w14:paraId="45F826DD" w14:textId="77777777" w:rsidR="00E273D5" w:rsidRDefault="00E273D5" w:rsidP="00E273D5">
      <w:pPr>
        <w:rPr>
          <w:rFonts w:ascii="Gill Sans Nova" w:eastAsia="Calibri" w:hAnsi="Gill Sans Nova" w:cs="Times New Roman"/>
          <w:b/>
          <w:bCs/>
          <w:sz w:val="24"/>
          <w:szCs w:val="24"/>
          <w:lang w:val="en-US"/>
        </w:rPr>
      </w:pPr>
    </w:p>
    <w:p w14:paraId="5BF7D2B6" w14:textId="77777777" w:rsidR="00E273D5" w:rsidRDefault="00E273D5" w:rsidP="00E273D5">
      <w:pPr>
        <w:rPr>
          <w:rFonts w:ascii="Gill Sans Nova" w:eastAsia="Calibri" w:hAnsi="Gill Sans Nova" w:cs="Times New Roman"/>
          <w:b/>
          <w:bCs/>
          <w:sz w:val="24"/>
          <w:szCs w:val="24"/>
          <w:lang w:val="en-US"/>
        </w:rPr>
      </w:pPr>
    </w:p>
    <w:p w14:paraId="4D5B7592" w14:textId="77777777" w:rsidR="00E273D5" w:rsidRDefault="00E273D5" w:rsidP="00E273D5">
      <w:pPr>
        <w:rPr>
          <w:rFonts w:ascii="Gill Sans Nova" w:eastAsia="Calibri" w:hAnsi="Gill Sans Nova" w:cs="Times New Roman"/>
          <w:b/>
          <w:bCs/>
          <w:sz w:val="24"/>
          <w:szCs w:val="24"/>
          <w:lang w:val="en-US"/>
        </w:rPr>
      </w:pPr>
    </w:p>
    <w:p w14:paraId="48BA39A1" w14:textId="77777777" w:rsidR="00E273D5" w:rsidRDefault="00E273D5" w:rsidP="00E273D5">
      <w:pPr>
        <w:rPr>
          <w:rFonts w:ascii="Gill Sans Nova" w:eastAsia="Calibri" w:hAnsi="Gill Sans Nova" w:cs="Times New Roman"/>
          <w:b/>
          <w:bCs/>
          <w:sz w:val="24"/>
          <w:szCs w:val="24"/>
          <w:lang w:val="en-US"/>
        </w:rPr>
      </w:pPr>
    </w:p>
    <w:p w14:paraId="2B41BC4B" w14:textId="77777777" w:rsidR="00E273D5" w:rsidRDefault="00E273D5" w:rsidP="00E273D5">
      <w:pPr>
        <w:rPr>
          <w:rFonts w:ascii="Gill Sans Nova" w:eastAsia="Calibri" w:hAnsi="Gill Sans Nova" w:cs="Times New Roman"/>
          <w:b/>
          <w:bCs/>
          <w:sz w:val="24"/>
          <w:szCs w:val="24"/>
          <w:lang w:val="en-US"/>
        </w:rPr>
      </w:pPr>
    </w:p>
    <w:p w14:paraId="13E144D1" w14:textId="77777777" w:rsidR="00E273D5" w:rsidRDefault="00E273D5" w:rsidP="00E273D5">
      <w:pPr>
        <w:rPr>
          <w:rFonts w:ascii="Gill Sans Nova" w:eastAsia="Calibri" w:hAnsi="Gill Sans Nova" w:cs="Times New Roman"/>
          <w:b/>
          <w:bCs/>
          <w:sz w:val="24"/>
          <w:szCs w:val="24"/>
          <w:lang w:val="en-US"/>
        </w:rPr>
      </w:pPr>
    </w:p>
    <w:p w14:paraId="4419C8E9" w14:textId="77777777" w:rsidR="00E273D5" w:rsidRDefault="00E273D5" w:rsidP="00E273D5">
      <w:pPr>
        <w:rPr>
          <w:rFonts w:ascii="Gill Sans Nova" w:eastAsia="Calibri" w:hAnsi="Gill Sans Nova" w:cs="Times New Roman"/>
          <w:b/>
          <w:bCs/>
          <w:sz w:val="24"/>
          <w:szCs w:val="24"/>
          <w:lang w:val="en-US"/>
        </w:rPr>
      </w:pPr>
    </w:p>
    <w:p w14:paraId="2C3D7B52" w14:textId="77777777" w:rsidR="00E273D5" w:rsidRDefault="00E273D5" w:rsidP="00E273D5">
      <w:pPr>
        <w:rPr>
          <w:rFonts w:ascii="Gill Sans Nova" w:eastAsia="Calibri" w:hAnsi="Gill Sans Nova" w:cs="Times New Roman"/>
          <w:b/>
          <w:bCs/>
          <w:sz w:val="24"/>
          <w:szCs w:val="24"/>
          <w:lang w:val="en-US"/>
        </w:rPr>
      </w:pPr>
    </w:p>
    <w:p w14:paraId="4DB0C91D" w14:textId="77777777" w:rsidR="00E273D5" w:rsidRDefault="00E273D5" w:rsidP="00E273D5">
      <w:pPr>
        <w:rPr>
          <w:rFonts w:ascii="Gill Sans Nova" w:eastAsia="Calibri" w:hAnsi="Gill Sans Nova" w:cs="Times New Roman"/>
          <w:b/>
          <w:bCs/>
          <w:sz w:val="24"/>
          <w:szCs w:val="24"/>
          <w:lang w:val="en-US"/>
        </w:rPr>
      </w:pPr>
    </w:p>
    <w:p w14:paraId="12202C96" w14:textId="77777777" w:rsidR="00E273D5" w:rsidRDefault="00E273D5" w:rsidP="00E273D5">
      <w:pPr>
        <w:rPr>
          <w:rFonts w:ascii="Gill Sans Nova" w:eastAsia="Calibri" w:hAnsi="Gill Sans Nova" w:cs="Times New Roman"/>
          <w:b/>
          <w:bCs/>
          <w:sz w:val="24"/>
          <w:szCs w:val="24"/>
          <w:lang w:val="en-US"/>
        </w:rPr>
      </w:pPr>
    </w:p>
    <w:p w14:paraId="775B422B" w14:textId="77777777" w:rsidR="00E273D5" w:rsidRDefault="00E273D5" w:rsidP="00E273D5">
      <w:pPr>
        <w:rPr>
          <w:rFonts w:ascii="Gill Sans Nova" w:eastAsia="Calibri" w:hAnsi="Gill Sans Nova" w:cs="Times New Roman"/>
          <w:b/>
          <w:bCs/>
          <w:sz w:val="24"/>
          <w:szCs w:val="24"/>
          <w:lang w:val="en-US"/>
        </w:rPr>
      </w:pPr>
    </w:p>
    <w:p w14:paraId="030656FF" w14:textId="77777777" w:rsidR="00E273D5" w:rsidRDefault="00E273D5" w:rsidP="00E273D5">
      <w:pPr>
        <w:rPr>
          <w:rFonts w:ascii="Gill Sans Nova" w:eastAsia="Calibri" w:hAnsi="Gill Sans Nova" w:cs="Times New Roman"/>
          <w:b/>
          <w:bCs/>
          <w:sz w:val="24"/>
          <w:szCs w:val="24"/>
          <w:lang w:val="en-US"/>
        </w:rPr>
      </w:pPr>
    </w:p>
    <w:p w14:paraId="2544335B" w14:textId="77777777" w:rsidR="00E273D5" w:rsidRDefault="00E273D5" w:rsidP="00E273D5">
      <w:pPr>
        <w:rPr>
          <w:rFonts w:ascii="Gill Sans Nova" w:eastAsia="Calibri" w:hAnsi="Gill Sans Nova" w:cs="Times New Roman"/>
          <w:b/>
          <w:bCs/>
          <w:sz w:val="24"/>
          <w:szCs w:val="24"/>
          <w:lang w:val="en-US"/>
        </w:rPr>
      </w:pPr>
    </w:p>
    <w:p w14:paraId="4472DECF" w14:textId="77777777" w:rsidR="00E273D5" w:rsidRDefault="00E273D5" w:rsidP="00E273D5">
      <w:pPr>
        <w:rPr>
          <w:rFonts w:ascii="Gill Sans Nova" w:eastAsia="Calibri" w:hAnsi="Gill Sans Nova" w:cs="Times New Roman"/>
          <w:b/>
          <w:bCs/>
          <w:sz w:val="24"/>
          <w:szCs w:val="24"/>
          <w:lang w:val="en-US"/>
        </w:rPr>
      </w:pPr>
    </w:p>
    <w:p w14:paraId="05DA9740" w14:textId="77777777" w:rsidR="00E273D5" w:rsidRDefault="00E273D5" w:rsidP="00E273D5">
      <w:pPr>
        <w:rPr>
          <w:rFonts w:ascii="Gill Sans Nova" w:eastAsia="Calibri" w:hAnsi="Gill Sans Nova" w:cs="Times New Roman"/>
          <w:b/>
          <w:bCs/>
          <w:sz w:val="24"/>
          <w:szCs w:val="24"/>
          <w:lang w:val="en-US"/>
        </w:rPr>
      </w:pPr>
    </w:p>
    <w:p w14:paraId="2DE922E1" w14:textId="77777777" w:rsidR="00E273D5" w:rsidRDefault="00E273D5" w:rsidP="00E273D5">
      <w:pPr>
        <w:rPr>
          <w:rFonts w:ascii="Gill Sans Nova" w:eastAsia="Calibri" w:hAnsi="Gill Sans Nova" w:cs="Times New Roman"/>
          <w:b/>
          <w:bCs/>
          <w:sz w:val="24"/>
          <w:szCs w:val="24"/>
          <w:lang w:val="en-US"/>
        </w:rPr>
      </w:pPr>
    </w:p>
    <w:p w14:paraId="63EBE728" w14:textId="77777777" w:rsidR="00E273D5" w:rsidRDefault="00E273D5" w:rsidP="00E273D5">
      <w:pPr>
        <w:rPr>
          <w:rFonts w:ascii="Gill Sans Nova" w:eastAsia="Calibri" w:hAnsi="Gill Sans Nova" w:cs="Times New Roman"/>
          <w:b/>
          <w:bCs/>
          <w:sz w:val="24"/>
          <w:szCs w:val="24"/>
          <w:lang w:val="en-US"/>
        </w:rPr>
      </w:pPr>
    </w:p>
    <w:p w14:paraId="6C0FC611" w14:textId="77777777" w:rsidR="00E273D5" w:rsidRDefault="00E273D5" w:rsidP="00E273D5">
      <w:pPr>
        <w:rPr>
          <w:rFonts w:ascii="Gill Sans Nova" w:eastAsia="Calibri" w:hAnsi="Gill Sans Nova" w:cs="Times New Roman"/>
          <w:b/>
          <w:bCs/>
          <w:sz w:val="24"/>
          <w:szCs w:val="24"/>
          <w:lang w:val="en-US"/>
        </w:rPr>
      </w:pPr>
    </w:p>
    <w:p w14:paraId="342E6087" w14:textId="77777777" w:rsidR="00E273D5" w:rsidRDefault="00E273D5" w:rsidP="00E273D5">
      <w:pPr>
        <w:rPr>
          <w:rFonts w:ascii="Gill Sans Nova" w:eastAsia="Calibri" w:hAnsi="Gill Sans Nova" w:cs="Times New Roman"/>
          <w:b/>
          <w:bCs/>
          <w:sz w:val="24"/>
          <w:szCs w:val="24"/>
          <w:lang w:val="en-US"/>
        </w:rPr>
      </w:pPr>
    </w:p>
    <w:p w14:paraId="7239F9AD" w14:textId="77777777" w:rsidR="00E273D5" w:rsidRDefault="00E273D5" w:rsidP="00E273D5">
      <w:pPr>
        <w:rPr>
          <w:rFonts w:ascii="Gill Sans Nova" w:eastAsia="Calibri" w:hAnsi="Gill Sans Nova" w:cs="Times New Roman"/>
          <w:b/>
          <w:bCs/>
          <w:sz w:val="24"/>
          <w:szCs w:val="24"/>
          <w:lang w:val="en-US"/>
        </w:rPr>
      </w:pPr>
    </w:p>
    <w:p w14:paraId="352C4B7F" w14:textId="77777777" w:rsidR="00E273D5" w:rsidRDefault="00E273D5" w:rsidP="00E273D5">
      <w:pPr>
        <w:rPr>
          <w:rFonts w:ascii="Gill Sans Nova" w:eastAsia="Calibri" w:hAnsi="Gill Sans Nova" w:cs="Times New Roman"/>
          <w:b/>
          <w:bCs/>
          <w:sz w:val="24"/>
          <w:szCs w:val="24"/>
          <w:lang w:val="en-US"/>
        </w:rPr>
      </w:pPr>
    </w:p>
    <w:p w14:paraId="7F592578" w14:textId="77777777" w:rsidR="00E273D5" w:rsidRPr="0016134F" w:rsidRDefault="00E273D5" w:rsidP="00E273D5">
      <w:pPr>
        <w:rPr>
          <w:rFonts w:ascii="Gill Sans Nova" w:eastAsia="Calibri" w:hAnsi="Gill Sans Nova" w:cs="Times New Roman"/>
          <w:b/>
          <w:bCs/>
          <w:sz w:val="24"/>
          <w:szCs w:val="24"/>
          <w:lang w:val="en-US"/>
        </w:rPr>
      </w:pPr>
    </w:p>
    <w:p w14:paraId="2987C329" w14:textId="22D03BBB" w:rsidR="00E273D5" w:rsidRPr="00E273D5" w:rsidRDefault="00E273D5" w:rsidP="00E273D5">
      <w:pPr>
        <w:rPr>
          <w:rFonts w:ascii="Gill Sans Nova" w:eastAsia="Calibri" w:hAnsi="Gill Sans Nova" w:cs="Times New Roman"/>
          <w:b/>
          <w:bCs/>
          <w:sz w:val="36"/>
          <w:szCs w:val="36"/>
          <w:lang w:val="en-US"/>
        </w:rPr>
        <w:sectPr w:rsidR="00E273D5" w:rsidRPr="00E273D5" w:rsidSect="00E273D5">
          <w:headerReference w:type="default" r:id="rId11"/>
          <w:footerReference w:type="default" r:id="rId12"/>
          <w:headerReference w:type="first" r:id="rId13"/>
          <w:pgSz w:w="11900" w:h="16840"/>
          <w:pgMar w:top="2268" w:right="1134" w:bottom="851" w:left="1134" w:header="0" w:footer="795" w:gutter="0"/>
          <w:cols w:space="708"/>
          <w:titlePg/>
          <w:docGrid w:linePitch="360"/>
        </w:sectPr>
      </w:pPr>
      <w:bookmarkStart w:id="3" w:name="_Toc167799712"/>
      <w:r>
        <w:rPr>
          <w:rFonts w:ascii="Gill Sans Nova" w:eastAsia="Calibri" w:hAnsi="Gill Sans Nova" w:cs="Times New Roman"/>
          <w:b/>
          <w:bCs/>
          <w:sz w:val="36"/>
          <w:szCs w:val="36"/>
          <w:lang w:val="en-US"/>
        </w:rPr>
        <w:br w:type="page"/>
      </w:r>
      <w:bookmarkEnd w:id="3"/>
    </w:p>
    <w:p w14:paraId="5856C074" w14:textId="77777777" w:rsidR="00E273D5" w:rsidRDefault="00E273D5" w:rsidP="00E273D5"/>
    <w:p w14:paraId="7A26F2F4" w14:textId="77777777" w:rsidR="00284187" w:rsidRDefault="00284187"/>
    <w:sectPr w:rsidR="00284187" w:rsidSect="00E273D5">
      <w:headerReference w:type="first" r:id="rId14"/>
      <w:footerReference w:type="first" r:id="rId15"/>
      <w:pgSz w:w="11900" w:h="16840"/>
      <w:pgMar w:top="2268" w:right="1134" w:bottom="851" w:left="1134" w:header="0" w:footer="7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C63A" w14:textId="77777777" w:rsidR="00E273D5" w:rsidRDefault="00E273D5" w:rsidP="00E273D5">
      <w:pPr>
        <w:spacing w:after="0" w:line="240" w:lineRule="auto"/>
      </w:pPr>
      <w:r>
        <w:separator/>
      </w:r>
    </w:p>
  </w:endnote>
  <w:endnote w:type="continuationSeparator" w:id="0">
    <w:p w14:paraId="6650C56C" w14:textId="77777777" w:rsidR="00E273D5" w:rsidRDefault="00E273D5" w:rsidP="00E2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609297"/>
      <w:docPartObj>
        <w:docPartGallery w:val="Page Numbers (Bottom of Page)"/>
        <w:docPartUnique/>
      </w:docPartObj>
    </w:sdtPr>
    <w:sdtEndPr>
      <w:rPr>
        <w:b/>
        <w:bCs/>
        <w:noProof/>
        <w:sz w:val="20"/>
        <w:szCs w:val="20"/>
      </w:rPr>
    </w:sdtEndPr>
    <w:sdtContent>
      <w:p w14:paraId="0C870C38" w14:textId="77777777" w:rsidR="00E273D5" w:rsidRDefault="00E273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A7D6" w14:textId="77777777" w:rsidR="00D679C8" w:rsidRDefault="00D679C8">
    <w:pPr>
      <w:pStyle w:val="Footer"/>
      <w:jc w:val="center"/>
    </w:pPr>
    <w:r>
      <w:rPr>
        <w:noProof/>
      </w:rPr>
      <w:drawing>
        <wp:inline distT="0" distB="0" distL="0" distR="0" wp14:anchorId="1FD67F6A" wp14:editId="545163EB">
          <wp:extent cx="1752600" cy="1298448"/>
          <wp:effectExtent l="0" t="0" r="0" b="0"/>
          <wp:docPr id="1475788693" name="Picture 1475788693" descr="The SNAICC logo which features a central circle representing SNAICC and its core work, with inner circles symbolizing the people and governing board, and an outer layer representing state and territory peaks. The dots flowing outwards represent the journey towards ensuring Aboriginal and Torres Strait Islander children are loved, nurtured, supported, and safe, with larger circles and dots signifying the various programs and policies SNAICC work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88693" name="Picture 1475788693" descr="The SNAICC logo which features a central circle representing SNAICC and its core work, with inner circles symbolizing the people and governing board, and an outer layer representing state and territory peaks. The dots flowing outwards represent the journey towards ensuring Aboriginal and Torres Strait Islander children are loved, nurtured, supported, and safe, with larger circles and dots signifying the various programs and policies SNAICC works on"/>
                  <pic:cNvPicPr/>
                </pic:nvPicPr>
                <pic:blipFill>
                  <a:blip r:embed="rId1">
                    <a:extLst>
                      <a:ext uri="{28A0092B-C50C-407E-A947-70E740481C1C}">
                        <a14:useLocalDpi xmlns:a14="http://schemas.microsoft.com/office/drawing/2010/main" val="0"/>
                      </a:ext>
                    </a:extLst>
                  </a:blip>
                  <a:stretch>
                    <a:fillRect/>
                  </a:stretch>
                </pic:blipFill>
                <pic:spPr>
                  <a:xfrm>
                    <a:off x="0" y="0"/>
                    <a:ext cx="1752600" cy="1298448"/>
                  </a:xfrm>
                  <a:prstGeom prst="rect">
                    <a:avLst/>
                  </a:prstGeom>
                </pic:spPr>
              </pic:pic>
            </a:graphicData>
          </a:graphic>
        </wp:inline>
      </w:drawing>
    </w:r>
  </w:p>
  <w:p w14:paraId="4676AD6F" w14:textId="77777777" w:rsidR="00D679C8" w:rsidRDefault="00D679C8">
    <w:pPr>
      <w:pStyle w:val="Footer"/>
      <w:jc w:val="center"/>
    </w:pPr>
  </w:p>
  <w:p w14:paraId="51E85C5B" w14:textId="77777777" w:rsidR="00D679C8" w:rsidRDefault="00D679C8">
    <w:pPr>
      <w:pStyle w:val="Footer"/>
      <w:jc w:val="center"/>
    </w:pPr>
    <w:r>
      <w:t>© SNAICC – National Voice for our Children, 2023</w:t>
    </w:r>
  </w:p>
  <w:p w14:paraId="5A2BF183" w14:textId="77777777" w:rsidR="00D679C8" w:rsidRDefault="00D679C8">
    <w:pPr>
      <w:pStyle w:val="Footer"/>
      <w:jc w:val="center"/>
    </w:pPr>
  </w:p>
  <w:p w14:paraId="62DD225A" w14:textId="77777777" w:rsidR="00D679C8" w:rsidRPr="00D445F7" w:rsidRDefault="00D679C8">
    <w:pPr>
      <w:pStyle w:val="Footer"/>
      <w:jc w:val="center"/>
      <w:rPr>
        <w:sz w:val="20"/>
        <w:szCs w:val="20"/>
      </w:rPr>
    </w:pPr>
    <w:r>
      <w:rPr>
        <w:sz w:val="20"/>
        <w:szCs w:val="20"/>
      </w:rPr>
      <w:t>Level 1/27 Budd St, Collingwood VIC 3066   |   ABN 42 513 562 148   |   T: (03) 9419 1921   |   www.snaicc.org.au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FD5B" w14:textId="77777777" w:rsidR="00E273D5" w:rsidRDefault="00E273D5" w:rsidP="00E273D5">
      <w:pPr>
        <w:spacing w:after="0" w:line="240" w:lineRule="auto"/>
      </w:pPr>
      <w:r>
        <w:separator/>
      </w:r>
    </w:p>
  </w:footnote>
  <w:footnote w:type="continuationSeparator" w:id="0">
    <w:p w14:paraId="3C2BE856" w14:textId="77777777" w:rsidR="00E273D5" w:rsidRDefault="00E273D5" w:rsidP="00E273D5">
      <w:pPr>
        <w:spacing w:after="0" w:line="240" w:lineRule="auto"/>
      </w:pPr>
      <w:r>
        <w:continuationSeparator/>
      </w:r>
    </w:p>
  </w:footnote>
  <w:footnote w:id="1">
    <w:p w14:paraId="3D06872E" w14:textId="77777777" w:rsidR="00E273D5" w:rsidRDefault="00E273D5" w:rsidP="00E273D5">
      <w:pPr>
        <w:pStyle w:val="FootnoteText"/>
      </w:pPr>
      <w:r>
        <w:rPr>
          <w:rStyle w:val="FootnoteReference"/>
        </w:rPr>
        <w:footnoteRef/>
      </w:r>
      <w:r>
        <w:t xml:space="preserve"> </w:t>
      </w:r>
      <w:r w:rsidRPr="009C6E3B">
        <w:rPr>
          <w:sz w:val="18"/>
          <w:szCs w:val="18"/>
        </w:rPr>
        <w:t xml:space="preserve">Australian Government, ‘Shaping Our Future: A ten-year strategy to ensure a sustainable, high-quality children’s education and care workforce 2022-2031’. Retrieved from: </w:t>
      </w:r>
      <w:hyperlink r:id="rId1" w:history="1">
        <w:r w:rsidRPr="009C6E3B">
          <w:rPr>
            <w:rStyle w:val="Hyperlink"/>
            <w:color w:val="002060"/>
            <w:sz w:val="18"/>
            <w:szCs w:val="18"/>
          </w:rPr>
          <w:t>https://www.acecqa.gov.au/sites/default/files/2021-10/ShapingOurFutureChildrensEducationandCareNationalWorkforceStrategy-September2021.pdf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19FC" w14:textId="67338E6C" w:rsidR="00E273D5" w:rsidRDefault="00E273D5">
    <w:pPr>
      <w:pStyle w:val="Header"/>
    </w:pPr>
    <w:r>
      <w:rPr>
        <w:noProof/>
      </w:rPr>
      <w:drawing>
        <wp:anchor distT="0" distB="0" distL="114300" distR="114300" simplePos="0" relativeHeight="251657216" behindDoc="1" locked="0" layoutInCell="1" allowOverlap="1" wp14:anchorId="756C092D" wp14:editId="1ECB6E56">
          <wp:simplePos x="0" y="0"/>
          <wp:positionH relativeFrom="page">
            <wp:align>right</wp:align>
          </wp:positionH>
          <wp:positionV relativeFrom="paragraph">
            <wp:posOffset>0</wp:posOffset>
          </wp:positionV>
          <wp:extent cx="7554428" cy="1180903"/>
          <wp:effectExtent l="0" t="0" r="0" b="635"/>
          <wp:wrapNone/>
          <wp:docPr id="1056779339" name="Picture 1056779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79339" name="Picture 10567793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428" cy="1180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09B9" w14:textId="77777777" w:rsidR="00E273D5" w:rsidRDefault="00E273D5">
    <w:pPr>
      <w:pStyle w:val="Header"/>
    </w:pPr>
    <w:r>
      <w:rPr>
        <w:noProof/>
      </w:rPr>
      <w:drawing>
        <wp:anchor distT="0" distB="0" distL="114300" distR="114300" simplePos="0" relativeHeight="251659264" behindDoc="1" locked="0" layoutInCell="1" allowOverlap="1" wp14:anchorId="0A814F68" wp14:editId="3599EE5C">
          <wp:simplePos x="0" y="0"/>
          <wp:positionH relativeFrom="page">
            <wp:align>right</wp:align>
          </wp:positionH>
          <wp:positionV relativeFrom="paragraph">
            <wp:posOffset>0</wp:posOffset>
          </wp:positionV>
          <wp:extent cx="7553325" cy="10675483"/>
          <wp:effectExtent l="0" t="0" r="0" b="0"/>
          <wp:wrapNone/>
          <wp:docPr id="1457142003" name="Picture 1457142003" descr="A close-up of a yellow and orange gradient with the words 'Final Report' Shaping Our Future Workforce Project FA2-1). &#10;&#10;This image also includes the SNAICC logo. This logo features a central circle representing SNAICC and its core work, with inner circles symbolizing the people and governing board, and an outer layer representing state and territory peaks. The dots flowing outwards represent the journey towards ensuring Aboriginal and Torres Strait Islander children are loved, nurtured, supported, and safe, with larger circles and dots signifying the various programs and policies SNAICC work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42003" name="Picture 1457142003" descr="A close-up of a yellow and orange gradient with the words 'Final Report' Shaping Our Future Workforce Project FA2-1). &#10;&#10;This image also includes the SNAICC logo. This logo features a central circle representing SNAICC and its core work, with inner circles symbolizing the people and governing board, and an outer layer representing state and territory peaks. The dots flowing outwards represent the journey towards ensuring Aboriginal and Torres Strait Islander children are loved, nurtured, supported, and safe, with larger circles and dots signifying the various programs and policies SNAICC works on. "/>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7548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6BA" w14:textId="77777777" w:rsidR="00D679C8" w:rsidRDefault="00D6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E6B"/>
    <w:multiLevelType w:val="hybridMultilevel"/>
    <w:tmpl w:val="D2940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E2278"/>
    <w:multiLevelType w:val="hybridMultilevel"/>
    <w:tmpl w:val="273A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6147D"/>
    <w:multiLevelType w:val="hybridMultilevel"/>
    <w:tmpl w:val="2E804138"/>
    <w:lvl w:ilvl="0" w:tplc="BEB4A7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E6B471B"/>
    <w:multiLevelType w:val="multilevel"/>
    <w:tmpl w:val="2638A290"/>
    <w:lvl w:ilvl="0">
      <w:start w:val="4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E3A3B"/>
    <w:multiLevelType w:val="multilevel"/>
    <w:tmpl w:val="C660CB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20141B3"/>
    <w:multiLevelType w:val="hybridMultilevel"/>
    <w:tmpl w:val="5DC24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7D3348"/>
    <w:multiLevelType w:val="hybridMultilevel"/>
    <w:tmpl w:val="EBCED1E2"/>
    <w:lvl w:ilvl="0" w:tplc="4AEA8514">
      <w:start w:val="1"/>
      <w:numFmt w:val="bullet"/>
      <w:lvlText w:val=""/>
      <w:lvlJc w:val="left"/>
      <w:pPr>
        <w:ind w:left="737" w:hanging="37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F71B1E"/>
    <w:multiLevelType w:val="hybridMultilevel"/>
    <w:tmpl w:val="27D8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9A07E7"/>
    <w:multiLevelType w:val="hybridMultilevel"/>
    <w:tmpl w:val="9C7CD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153AC"/>
    <w:multiLevelType w:val="hybridMultilevel"/>
    <w:tmpl w:val="CEE25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20C5C"/>
    <w:multiLevelType w:val="hybridMultilevel"/>
    <w:tmpl w:val="58BED304"/>
    <w:lvl w:ilvl="0" w:tplc="D11A5DC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1623B1C"/>
    <w:multiLevelType w:val="hybridMultilevel"/>
    <w:tmpl w:val="B6E6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02141"/>
    <w:multiLevelType w:val="multilevel"/>
    <w:tmpl w:val="CF9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56320"/>
    <w:multiLevelType w:val="hybridMultilevel"/>
    <w:tmpl w:val="176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3F154B"/>
    <w:multiLevelType w:val="hybridMultilevel"/>
    <w:tmpl w:val="2F6ED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DA3E86"/>
    <w:multiLevelType w:val="hybridMultilevel"/>
    <w:tmpl w:val="C42AF13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1B72418"/>
    <w:multiLevelType w:val="hybridMultilevel"/>
    <w:tmpl w:val="D6F057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796751"/>
    <w:multiLevelType w:val="hybridMultilevel"/>
    <w:tmpl w:val="16B8F674"/>
    <w:lvl w:ilvl="0" w:tplc="0C09000F">
      <w:start w:val="1"/>
      <w:numFmt w:val="decimal"/>
      <w:lvlText w:val="%1."/>
      <w:lvlJc w:val="left"/>
      <w:pPr>
        <w:ind w:left="720" w:hanging="360"/>
      </w:pPr>
      <w:rPr>
        <w:rFont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477577"/>
    <w:multiLevelType w:val="hybridMultilevel"/>
    <w:tmpl w:val="4744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4175C"/>
    <w:multiLevelType w:val="hybridMultilevel"/>
    <w:tmpl w:val="48C4F3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861E8F"/>
    <w:multiLevelType w:val="hybridMultilevel"/>
    <w:tmpl w:val="16B8F674"/>
    <w:lvl w:ilvl="0" w:tplc="FFFFFFFF">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D06BD6"/>
    <w:multiLevelType w:val="hybridMultilevel"/>
    <w:tmpl w:val="B7A47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9E248A"/>
    <w:multiLevelType w:val="hybridMultilevel"/>
    <w:tmpl w:val="F8C661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C9C626A"/>
    <w:multiLevelType w:val="hybridMultilevel"/>
    <w:tmpl w:val="F7728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731871"/>
    <w:multiLevelType w:val="hybridMultilevel"/>
    <w:tmpl w:val="5D1083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06C4918">
      <w:numFmt w:val="bullet"/>
      <w:lvlText w:val="-"/>
      <w:lvlJc w:val="left"/>
      <w:pPr>
        <w:ind w:left="2160" w:hanging="360"/>
      </w:pPr>
      <w:rPr>
        <w:rFonts w:ascii="Gill Sans Nova" w:eastAsia="Calibri" w:hAnsi="Gill Sans Nova"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B353B2"/>
    <w:multiLevelType w:val="hybridMultilevel"/>
    <w:tmpl w:val="6F7E8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174090"/>
    <w:multiLevelType w:val="hybridMultilevel"/>
    <w:tmpl w:val="51AA69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37C365F"/>
    <w:multiLevelType w:val="hybridMultilevel"/>
    <w:tmpl w:val="0D606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B07D54"/>
    <w:multiLevelType w:val="hybridMultilevel"/>
    <w:tmpl w:val="B0902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B73829"/>
    <w:multiLevelType w:val="hybridMultilevel"/>
    <w:tmpl w:val="9702A80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0" w15:restartNumberingAfterBreak="0">
    <w:nsid w:val="7FFD5065"/>
    <w:multiLevelType w:val="hybridMultilevel"/>
    <w:tmpl w:val="E5A441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2810622">
    <w:abstractNumId w:val="3"/>
  </w:num>
  <w:num w:numId="2" w16cid:durableId="225998268">
    <w:abstractNumId w:val="30"/>
  </w:num>
  <w:num w:numId="3" w16cid:durableId="1869097236">
    <w:abstractNumId w:val="19"/>
  </w:num>
  <w:num w:numId="4" w16cid:durableId="850067911">
    <w:abstractNumId w:val="24"/>
  </w:num>
  <w:num w:numId="5" w16cid:durableId="1881282096">
    <w:abstractNumId w:val="17"/>
  </w:num>
  <w:num w:numId="6" w16cid:durableId="503863477">
    <w:abstractNumId w:val="20"/>
  </w:num>
  <w:num w:numId="7" w16cid:durableId="1116171802">
    <w:abstractNumId w:val="9"/>
  </w:num>
  <w:num w:numId="8" w16cid:durableId="2086339501">
    <w:abstractNumId w:val="15"/>
  </w:num>
  <w:num w:numId="9" w16cid:durableId="1281380046">
    <w:abstractNumId w:val="1"/>
  </w:num>
  <w:num w:numId="10" w16cid:durableId="1435898538">
    <w:abstractNumId w:val="13"/>
  </w:num>
  <w:num w:numId="11" w16cid:durableId="968779168">
    <w:abstractNumId w:val="27"/>
  </w:num>
  <w:num w:numId="12" w16cid:durableId="401098645">
    <w:abstractNumId w:val="6"/>
  </w:num>
  <w:num w:numId="13" w16cid:durableId="851801600">
    <w:abstractNumId w:val="11"/>
  </w:num>
  <w:num w:numId="14" w16cid:durableId="1211726396">
    <w:abstractNumId w:val="8"/>
  </w:num>
  <w:num w:numId="15" w16cid:durableId="1129588332">
    <w:abstractNumId w:val="4"/>
  </w:num>
  <w:num w:numId="16" w16cid:durableId="1611009607">
    <w:abstractNumId w:val="28"/>
  </w:num>
  <w:num w:numId="17" w16cid:durableId="510725451">
    <w:abstractNumId w:val="5"/>
  </w:num>
  <w:num w:numId="18" w16cid:durableId="938442237">
    <w:abstractNumId w:val="25"/>
  </w:num>
  <w:num w:numId="19" w16cid:durableId="232981092">
    <w:abstractNumId w:val="18"/>
  </w:num>
  <w:num w:numId="20" w16cid:durableId="2117292376">
    <w:abstractNumId w:val="0"/>
  </w:num>
  <w:num w:numId="21" w16cid:durableId="1128940070">
    <w:abstractNumId w:val="21"/>
  </w:num>
  <w:num w:numId="22" w16cid:durableId="301544904">
    <w:abstractNumId w:val="10"/>
  </w:num>
  <w:num w:numId="23" w16cid:durableId="1094478270">
    <w:abstractNumId w:val="26"/>
  </w:num>
  <w:num w:numId="24" w16cid:durableId="119157648">
    <w:abstractNumId w:val="2"/>
  </w:num>
  <w:num w:numId="25" w16cid:durableId="571503481">
    <w:abstractNumId w:val="12"/>
  </w:num>
  <w:num w:numId="26" w16cid:durableId="2107262345">
    <w:abstractNumId w:val="16"/>
  </w:num>
  <w:num w:numId="27" w16cid:durableId="688990847">
    <w:abstractNumId w:val="23"/>
  </w:num>
  <w:num w:numId="28" w16cid:durableId="1787847987">
    <w:abstractNumId w:val="7"/>
  </w:num>
  <w:num w:numId="29" w16cid:durableId="1694112754">
    <w:abstractNumId w:val="14"/>
  </w:num>
  <w:num w:numId="30" w16cid:durableId="1689719237">
    <w:abstractNumId w:val="22"/>
  </w:num>
  <w:num w:numId="31" w16cid:durableId="6966653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D5"/>
    <w:rsid w:val="002220B8"/>
    <w:rsid w:val="00284187"/>
    <w:rsid w:val="0039352A"/>
    <w:rsid w:val="00471E36"/>
    <w:rsid w:val="00640694"/>
    <w:rsid w:val="00A84948"/>
    <w:rsid w:val="00C4177E"/>
    <w:rsid w:val="00C76043"/>
    <w:rsid w:val="00D0705B"/>
    <w:rsid w:val="00D679C8"/>
    <w:rsid w:val="00E016F9"/>
    <w:rsid w:val="00E27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1294"/>
  <w15:chartTrackingRefBased/>
  <w15:docId w15:val="{80236831-E858-4674-B7D1-7ADC2D0F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D5"/>
  </w:style>
  <w:style w:type="paragraph" w:styleId="Heading1">
    <w:name w:val="heading 1"/>
    <w:aliases w:val="Heading 1 Section Heading"/>
    <w:basedOn w:val="Normal"/>
    <w:next w:val="Normal"/>
    <w:link w:val="Heading1Char"/>
    <w:uiPriority w:val="9"/>
    <w:qFormat/>
    <w:rsid w:val="00E2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E2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3D5"/>
    <w:rPr>
      <w:rFonts w:eastAsiaTheme="majorEastAsia" w:cstheme="majorBidi"/>
      <w:color w:val="272727" w:themeColor="text1" w:themeTint="D8"/>
    </w:rPr>
  </w:style>
  <w:style w:type="paragraph" w:styleId="Title">
    <w:name w:val="Title"/>
    <w:basedOn w:val="Normal"/>
    <w:next w:val="Normal"/>
    <w:link w:val="TitleChar"/>
    <w:uiPriority w:val="10"/>
    <w:qFormat/>
    <w:rsid w:val="00E2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3D5"/>
    <w:pPr>
      <w:spacing w:before="160"/>
      <w:jc w:val="center"/>
    </w:pPr>
    <w:rPr>
      <w:i/>
      <w:iCs/>
      <w:color w:val="404040" w:themeColor="text1" w:themeTint="BF"/>
    </w:rPr>
  </w:style>
  <w:style w:type="character" w:customStyle="1" w:styleId="QuoteChar">
    <w:name w:val="Quote Char"/>
    <w:basedOn w:val="DefaultParagraphFont"/>
    <w:link w:val="Quote"/>
    <w:uiPriority w:val="29"/>
    <w:rsid w:val="00E273D5"/>
    <w:rPr>
      <w:i/>
      <w:iCs/>
      <w:color w:val="404040" w:themeColor="text1" w:themeTint="BF"/>
    </w:rPr>
  </w:style>
  <w:style w:type="paragraph" w:styleId="ListParagraph">
    <w:name w:val="List Paragraph"/>
    <w:aliases w:val="1 heading,Bullet point,Dot point 1.5 line spacing,L,List Paragraph - bullets,List Paragraph1,List Paragraph11,NFP GP Bulleted List,Recommendation,bullet point list,Bulletr List Paragraph,FooterText,List Paragraph2,List Paragraph21"/>
    <w:basedOn w:val="Normal"/>
    <w:link w:val="ListParagraphChar"/>
    <w:uiPriority w:val="34"/>
    <w:qFormat/>
    <w:rsid w:val="00E273D5"/>
    <w:pPr>
      <w:ind w:left="720"/>
      <w:contextualSpacing/>
    </w:pPr>
  </w:style>
  <w:style w:type="character" w:styleId="IntenseEmphasis">
    <w:name w:val="Intense Emphasis"/>
    <w:basedOn w:val="DefaultParagraphFont"/>
    <w:uiPriority w:val="21"/>
    <w:qFormat/>
    <w:rsid w:val="00E273D5"/>
    <w:rPr>
      <w:i/>
      <w:iCs/>
      <w:color w:val="0F4761" w:themeColor="accent1" w:themeShade="BF"/>
    </w:rPr>
  </w:style>
  <w:style w:type="paragraph" w:styleId="IntenseQuote">
    <w:name w:val="Intense Quote"/>
    <w:basedOn w:val="Normal"/>
    <w:next w:val="Normal"/>
    <w:link w:val="IntenseQuoteChar"/>
    <w:uiPriority w:val="30"/>
    <w:qFormat/>
    <w:rsid w:val="00E2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3D5"/>
    <w:rPr>
      <w:i/>
      <w:iCs/>
      <w:color w:val="0F4761" w:themeColor="accent1" w:themeShade="BF"/>
    </w:rPr>
  </w:style>
  <w:style w:type="character" w:styleId="IntenseReference">
    <w:name w:val="Intense Reference"/>
    <w:basedOn w:val="DefaultParagraphFont"/>
    <w:uiPriority w:val="32"/>
    <w:qFormat/>
    <w:rsid w:val="00E273D5"/>
    <w:rPr>
      <w:b/>
      <w:bCs/>
      <w:smallCaps/>
      <w:color w:val="0F4761" w:themeColor="accent1" w:themeShade="BF"/>
      <w:spacing w:val="5"/>
    </w:rPr>
  </w:style>
  <w:style w:type="paragraph" w:styleId="Header">
    <w:name w:val="header"/>
    <w:basedOn w:val="Normal"/>
    <w:link w:val="HeaderChar"/>
    <w:uiPriority w:val="99"/>
    <w:unhideWhenUsed/>
    <w:rsid w:val="00E27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D5"/>
  </w:style>
  <w:style w:type="paragraph" w:styleId="Footer">
    <w:name w:val="footer"/>
    <w:basedOn w:val="Normal"/>
    <w:link w:val="FooterChar"/>
    <w:uiPriority w:val="99"/>
    <w:unhideWhenUsed/>
    <w:rsid w:val="00E27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D5"/>
  </w:style>
  <w:style w:type="character" w:customStyle="1" w:styleId="Hyperlink1">
    <w:name w:val="Hyperlink1"/>
    <w:basedOn w:val="DefaultParagraphFont"/>
    <w:uiPriority w:val="99"/>
    <w:unhideWhenUsed/>
    <w:rsid w:val="00E273D5"/>
    <w:rPr>
      <w:color w:val="1E428A"/>
      <w:u w:val="single"/>
    </w:rPr>
  </w:style>
  <w:style w:type="paragraph" w:styleId="FootnoteText">
    <w:name w:val="footnote text"/>
    <w:basedOn w:val="Normal"/>
    <w:link w:val="FootnoteTextChar"/>
    <w:uiPriority w:val="99"/>
    <w:unhideWhenUsed/>
    <w:rsid w:val="00E273D5"/>
    <w:pPr>
      <w:spacing w:after="0" w:line="240" w:lineRule="auto"/>
    </w:pPr>
    <w:rPr>
      <w:rFonts w:ascii="Gill Sans Nova" w:hAnsi="Gill Sans Nova"/>
      <w:sz w:val="20"/>
      <w:szCs w:val="20"/>
    </w:rPr>
  </w:style>
  <w:style w:type="character" w:customStyle="1" w:styleId="FootnoteTextChar">
    <w:name w:val="Footnote Text Char"/>
    <w:basedOn w:val="DefaultParagraphFont"/>
    <w:link w:val="FootnoteText"/>
    <w:uiPriority w:val="99"/>
    <w:rsid w:val="00E273D5"/>
    <w:rPr>
      <w:rFonts w:ascii="Gill Sans Nova" w:hAnsi="Gill Sans Nova"/>
      <w:sz w:val="20"/>
      <w:szCs w:val="20"/>
    </w:rPr>
  </w:style>
  <w:style w:type="character" w:styleId="FootnoteReference">
    <w:name w:val="footnote reference"/>
    <w:aliases w:val="Footnotes refss,4_G,Footnote number,Footnote,4_G Char,Footnotes refss Char,ftref Char,BVI fnr Char,BVI fnr Car Car Char,BVI fnr Car Char,BVI fnr Car Car Car Car Char,BVI fnr Char Car Car Car Char,BVI fnr Char Car Car Car Char Char,Ref"/>
    <w:basedOn w:val="DefaultParagraphFont"/>
    <w:link w:val="ftref"/>
    <w:uiPriority w:val="99"/>
    <w:unhideWhenUsed/>
    <w:qFormat/>
    <w:rsid w:val="00E273D5"/>
    <w:rPr>
      <w:vertAlign w:val="superscript"/>
    </w:rPr>
  </w:style>
  <w:style w:type="paragraph" w:customStyle="1" w:styleId="ftref">
    <w:name w:val="ftref"/>
    <w:aliases w:val="BVI fnr,BVI fnr Car Car,BVI fnr Car,BVI fnr Car Car Car Car,BVI fnr Char Car Car Car,BVI fnr Car Car Car Car Char Char,BVI fnr Car Car Car Car Char Char Char Char Char"/>
    <w:link w:val="FootnoteReference"/>
    <w:uiPriority w:val="99"/>
    <w:rsid w:val="00E273D5"/>
    <w:pPr>
      <w:spacing w:line="240" w:lineRule="exact"/>
      <w:ind w:firstLine="360"/>
    </w:pPr>
    <w:rPr>
      <w:vertAlign w:val="superscript"/>
    </w:rPr>
  </w:style>
  <w:style w:type="character" w:styleId="Hyperlink">
    <w:name w:val="Hyperlink"/>
    <w:basedOn w:val="DefaultParagraphFont"/>
    <w:uiPriority w:val="99"/>
    <w:unhideWhenUsed/>
    <w:rsid w:val="00E273D5"/>
    <w:rPr>
      <w:color w:val="467886" w:themeColor="hyperlink"/>
      <w:u w:val="single"/>
    </w:rPr>
  </w:style>
  <w:style w:type="character" w:styleId="CommentReference">
    <w:name w:val="annotation reference"/>
    <w:basedOn w:val="DefaultParagraphFont"/>
    <w:uiPriority w:val="99"/>
    <w:semiHidden/>
    <w:unhideWhenUsed/>
    <w:rsid w:val="00E273D5"/>
    <w:rPr>
      <w:sz w:val="16"/>
      <w:szCs w:val="16"/>
    </w:rPr>
  </w:style>
  <w:style w:type="paragraph" w:styleId="CommentText">
    <w:name w:val="annotation text"/>
    <w:basedOn w:val="Normal"/>
    <w:link w:val="CommentTextChar"/>
    <w:uiPriority w:val="99"/>
    <w:unhideWhenUsed/>
    <w:rsid w:val="00E273D5"/>
    <w:pPr>
      <w:spacing w:line="240" w:lineRule="auto"/>
    </w:pPr>
    <w:rPr>
      <w:sz w:val="20"/>
      <w:szCs w:val="20"/>
    </w:rPr>
  </w:style>
  <w:style w:type="character" w:customStyle="1" w:styleId="CommentTextChar">
    <w:name w:val="Comment Text Char"/>
    <w:basedOn w:val="DefaultParagraphFont"/>
    <w:link w:val="CommentText"/>
    <w:uiPriority w:val="99"/>
    <w:rsid w:val="00E273D5"/>
    <w:rPr>
      <w:sz w:val="20"/>
      <w:szCs w:val="20"/>
    </w:rPr>
  </w:style>
  <w:style w:type="paragraph" w:styleId="CommentSubject">
    <w:name w:val="annotation subject"/>
    <w:basedOn w:val="CommentText"/>
    <w:next w:val="CommentText"/>
    <w:link w:val="CommentSubjectChar"/>
    <w:uiPriority w:val="99"/>
    <w:semiHidden/>
    <w:unhideWhenUsed/>
    <w:rsid w:val="00E273D5"/>
    <w:rPr>
      <w:b/>
      <w:bCs/>
    </w:rPr>
  </w:style>
  <w:style w:type="character" w:customStyle="1" w:styleId="CommentSubjectChar">
    <w:name w:val="Comment Subject Char"/>
    <w:basedOn w:val="CommentTextChar"/>
    <w:link w:val="CommentSubject"/>
    <w:uiPriority w:val="99"/>
    <w:semiHidden/>
    <w:rsid w:val="00E273D5"/>
    <w:rPr>
      <w:b/>
      <w:bCs/>
      <w:sz w:val="20"/>
      <w:szCs w:val="20"/>
    </w:rPr>
  </w:style>
  <w:style w:type="paragraph" w:styleId="TOC1">
    <w:name w:val="toc 1"/>
    <w:basedOn w:val="Normal"/>
    <w:next w:val="Normal"/>
    <w:autoRedefine/>
    <w:uiPriority w:val="39"/>
    <w:unhideWhenUsed/>
    <w:rsid w:val="00E273D5"/>
    <w:pPr>
      <w:tabs>
        <w:tab w:val="right" w:leader="dot" w:pos="9622"/>
      </w:tabs>
      <w:spacing w:after="100"/>
    </w:pPr>
  </w:style>
  <w:style w:type="paragraph" w:styleId="TOC2">
    <w:name w:val="toc 2"/>
    <w:basedOn w:val="Normal"/>
    <w:next w:val="Normal"/>
    <w:autoRedefine/>
    <w:uiPriority w:val="39"/>
    <w:unhideWhenUsed/>
    <w:rsid w:val="00E273D5"/>
    <w:pPr>
      <w:tabs>
        <w:tab w:val="right" w:leader="dot" w:pos="9622"/>
      </w:tabs>
      <w:spacing w:after="100"/>
      <w:ind w:left="220"/>
    </w:pPr>
  </w:style>
  <w:style w:type="character" w:styleId="UnresolvedMention">
    <w:name w:val="Unresolved Mention"/>
    <w:basedOn w:val="DefaultParagraphFont"/>
    <w:uiPriority w:val="99"/>
    <w:semiHidden/>
    <w:unhideWhenUsed/>
    <w:rsid w:val="00E273D5"/>
    <w:rPr>
      <w:color w:val="605E5C"/>
      <w:shd w:val="clear" w:color="auto" w:fill="E1DFDD"/>
    </w:rPr>
  </w:style>
  <w:style w:type="paragraph" w:customStyle="1" w:styleId="paragraph">
    <w:name w:val="paragraph"/>
    <w:basedOn w:val="Normal"/>
    <w:rsid w:val="00E273D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E273D5"/>
  </w:style>
  <w:style w:type="character" w:customStyle="1" w:styleId="eop">
    <w:name w:val="eop"/>
    <w:basedOn w:val="DefaultParagraphFont"/>
    <w:rsid w:val="00E273D5"/>
  </w:style>
  <w:style w:type="character" w:customStyle="1" w:styleId="superscript">
    <w:name w:val="superscript"/>
    <w:basedOn w:val="DefaultParagraphFont"/>
    <w:rsid w:val="00E273D5"/>
  </w:style>
  <w:style w:type="character" w:customStyle="1" w:styleId="findhit">
    <w:name w:val="findhit"/>
    <w:basedOn w:val="DefaultParagraphFont"/>
    <w:rsid w:val="00E273D5"/>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rsid w:val="00E273D5"/>
  </w:style>
  <w:style w:type="paragraph" w:styleId="Revision">
    <w:name w:val="Revision"/>
    <w:hidden/>
    <w:uiPriority w:val="99"/>
    <w:semiHidden/>
    <w:rsid w:val="00E273D5"/>
    <w:pPr>
      <w:spacing w:after="0" w:line="240" w:lineRule="auto"/>
    </w:pPr>
  </w:style>
  <w:style w:type="paragraph" w:customStyle="1" w:styleId="Default">
    <w:name w:val="Default"/>
    <w:rsid w:val="00E273D5"/>
    <w:pPr>
      <w:autoSpaceDE w:val="0"/>
      <w:autoSpaceDN w:val="0"/>
      <w:adjustRightInd w:val="0"/>
      <w:spacing w:after="0" w:line="240" w:lineRule="auto"/>
    </w:pPr>
    <w:rPr>
      <w:rFonts w:ascii="Arial" w:hAnsi="Arial" w:cs="Arial"/>
      <w:color w:val="000000"/>
      <w:kern w:val="0"/>
      <w:sz w:val="24"/>
      <w:szCs w:val="24"/>
    </w:rPr>
  </w:style>
  <w:style w:type="character" w:styleId="Mention">
    <w:name w:val="Mention"/>
    <w:basedOn w:val="DefaultParagraphFont"/>
    <w:uiPriority w:val="99"/>
    <w:unhideWhenUsed/>
    <w:rsid w:val="00E273D5"/>
    <w:rPr>
      <w:color w:val="2B579A"/>
      <w:shd w:val="clear" w:color="auto" w:fill="E1DFDD"/>
    </w:rPr>
  </w:style>
  <w:style w:type="table" w:styleId="TableGrid">
    <w:name w:val="Table Grid"/>
    <w:basedOn w:val="TableNormal"/>
    <w:uiPriority w:val="39"/>
    <w:rsid w:val="00E2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acecqa.gov.au/sites/default/files/2021-10/ShapingOurFutureChildrensEducationandCareNationalWorkforceStrategy-September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2232de-ab3d-446d-9cdf-cad18efeb500">
      <Terms xmlns="http://schemas.microsoft.com/office/infopath/2007/PartnerControls"/>
    </lcf76f155ced4ddcb4097134ff3c332f>
    <TaxCatchAll xmlns="8e385ea9-78bc-48a7-b0ae-b9d0ad6e5e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5" ma:contentTypeDescription="Create a new document." ma:contentTypeScope="" ma:versionID="6503ef61f5b0e44200f8c5b4779d9fcf">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edf98c56bcd97f2ecedb328894c91eff"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5b7f2-2576-4db0-8b35-64a9550dc36e}"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A3EAE-1822-44B4-876A-ED703B98C7EC}">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632232de-ab3d-446d-9cdf-cad18efeb500"/>
    <ds:schemaRef ds:uri="http://purl.org/dc/terms/"/>
    <ds:schemaRef ds:uri="http://purl.org/dc/dcmitype/"/>
    <ds:schemaRef ds:uri="http://schemas.openxmlformats.org/package/2006/metadata/core-properties"/>
    <ds:schemaRef ds:uri="8e385ea9-78bc-48a7-b0ae-b9d0ad6e5e81"/>
  </ds:schemaRefs>
</ds:datastoreItem>
</file>

<file path=customXml/itemProps2.xml><?xml version="1.0" encoding="utf-8"?>
<ds:datastoreItem xmlns:ds="http://schemas.openxmlformats.org/officeDocument/2006/customXml" ds:itemID="{0B532990-D6FA-421D-9315-7FBB2F76666B}">
  <ds:schemaRefs>
    <ds:schemaRef ds:uri="http://schemas.openxmlformats.org/officeDocument/2006/bibliography"/>
  </ds:schemaRefs>
</ds:datastoreItem>
</file>

<file path=customXml/itemProps3.xml><?xml version="1.0" encoding="utf-8"?>
<ds:datastoreItem xmlns:ds="http://schemas.openxmlformats.org/officeDocument/2006/customXml" ds:itemID="{22D41A42-BC26-4A9D-BB4A-8D55D1EB0FA7}">
  <ds:schemaRefs>
    <ds:schemaRef ds:uri="http://schemas.microsoft.com/sharepoint/v3/contenttype/forms"/>
  </ds:schemaRefs>
</ds:datastoreItem>
</file>

<file path=customXml/itemProps4.xml><?xml version="1.0" encoding="utf-8"?>
<ds:datastoreItem xmlns:ds="http://schemas.openxmlformats.org/officeDocument/2006/customXml" ds:itemID="{566EEB48-7202-4C53-8772-84BCFFBCC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1507</Words>
  <Characters>8864</Characters>
  <Application>Microsoft Office Word</Application>
  <DocSecurity>4</DocSecurity>
  <Lines>285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Stewart</dc:creator>
  <cp:keywords/>
  <dc:description/>
  <cp:lastModifiedBy>YOUNG,Gabrielle</cp:lastModifiedBy>
  <cp:revision>2</cp:revision>
  <dcterms:created xsi:type="dcterms:W3CDTF">2025-07-15T00:11:00Z</dcterms:created>
  <dcterms:modified xsi:type="dcterms:W3CDTF">2025-07-15T00:11:00Z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0x0101007F9F4128165EC14F9D0928D6FF92FCF4</vt:lpwstr>
  </property>
  <property fmtid="{D5CDD505-2E9C-101B-9397-08002B2CF9AE}" pid="3" name="MSIP_Label_79d889eb-932f-4752-8739-64d25806ef64_Enabled">
    <vt:lpwstr>true</vt:lpwstr>
  </property>
  <property fmtid="{D5CDD505-2E9C-101B-9397-08002B2CF9AE}" pid="4" name="MSIP_Label_79d889eb-932f-4752-8739-64d25806ef64_SetDate">
    <vt:lpwstr>2025-07-15T00:10:59Z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a1bf0eb8-8f7f-49b1-8c3a-61702ceb3bf6</vt:lpwstr>
  </property>
  <property fmtid="{D5CDD505-2E9C-101B-9397-08002B2CF9AE}" pid="9" name="MSIP_Label_79d889eb-932f-4752-8739-64d25806ef64_ContentBits">
    <vt:lpwstr>0</vt:lpwstr>
  </property>
  <property fmtid="{D5CDD505-2E9C-101B-9397-08002B2CF9AE}" pid="10" name="MSIP_Label_79d889eb-932f-4752-8739-64d25806ef64_Tag">
    <vt:lpwstr>10, 0, 1, 1</vt:lpwstr>
  </property>
  <property fmtid="{D5CDD505-2E9C-101B-9397-08002B2CF9AE}" pid="11" name="MediaServiceImageTags">
    <vt:lpwstr/>
  </property>
</Properties>
</file>