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2AF9" w14:textId="5A89103D" w:rsidR="00270631" w:rsidRDefault="003313C1" w:rsidP="008C1FEE">
      <w:pPr>
        <w:rPr>
          <w:rFonts w:ascii="Arial" w:hAnsi="Arial" w:cs="Arial"/>
          <w:szCs w:val="24"/>
        </w:rPr>
      </w:pPr>
      <w:r>
        <w:rPr>
          <w:noProof/>
          <w:lang w:eastAsia="en-AU"/>
        </w:rPr>
        <w:drawing>
          <wp:anchor distT="0" distB="0" distL="114300" distR="114300" simplePos="0" relativeHeight="251658241" behindDoc="0" locked="0" layoutInCell="1" allowOverlap="1" wp14:anchorId="36E66010" wp14:editId="11605E75">
            <wp:simplePos x="0" y="0"/>
            <wp:positionH relativeFrom="margin">
              <wp:posOffset>0</wp:posOffset>
            </wp:positionH>
            <wp:positionV relativeFrom="margin">
              <wp:posOffset>-501015</wp:posOffset>
            </wp:positionV>
            <wp:extent cx="2948354" cy="703932"/>
            <wp:effectExtent l="0" t="0" r="4445" b="1270"/>
            <wp:wrapSquare wrapText="bothSides"/>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anchor>
        </w:drawing>
      </w:r>
      <w:r>
        <w:rPr>
          <w:noProof/>
          <w:color w:val="002D3F"/>
          <w:lang w:eastAsia="en-AU"/>
        </w:rPr>
        <mc:AlternateContent>
          <mc:Choice Requires="wps">
            <w:drawing>
              <wp:anchor distT="0" distB="0" distL="114300" distR="114300" simplePos="0" relativeHeight="251658240" behindDoc="1" locked="1" layoutInCell="1" allowOverlap="1" wp14:anchorId="487D93B5" wp14:editId="7D9EA51F">
                <wp:simplePos x="0" y="0"/>
                <wp:positionH relativeFrom="page">
                  <wp:posOffset>0</wp:posOffset>
                </wp:positionH>
                <wp:positionV relativeFrom="page">
                  <wp:posOffset>1305560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350AA" id="Rectangle 3" o:spid="_x0000_s1026" alt="&quot;&quot;" style="position:absolute;margin-left:0;margin-top:102.8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" fillcolor="#4897a2" stroked="f" strokeweight="1pt">
                <w10:wrap anchorx="page" anchory="page"/>
                <w10:anchorlock/>
              </v:rect>
            </w:pict>
          </mc:Fallback>
        </mc:AlternateContent>
      </w: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1DC14B41" w14:textId="77777777" w:rsidR="00EC7525" w:rsidRDefault="00EC7525" w:rsidP="00EC7525">
      <w:pPr>
        <w:rPr>
          <w:rFonts w:ascii="Arial" w:hAnsi="Arial" w:cs="Arial"/>
          <w:szCs w:val="24"/>
        </w:rPr>
      </w:pPr>
    </w:p>
    <w:p w14:paraId="1B70D050" w14:textId="193F0CF4" w:rsidR="00EC7525" w:rsidRDefault="001A2741" w:rsidP="00EC7525">
      <w:pPr>
        <w:jc w:val="right"/>
        <w:rPr>
          <w:rFonts w:ascii="Arial" w:hAnsi="Arial" w:cs="Arial"/>
          <w:szCs w:val="24"/>
        </w:rPr>
      </w:pPr>
      <w:bookmarkStart w:id="0" w:name="_Hlk97710958"/>
      <w:r>
        <w:rPr>
          <w:rFonts w:ascii="Arial" w:hAnsi="Arial" w:cs="Arial"/>
          <w:szCs w:val="24"/>
        </w:rPr>
        <w:t xml:space="preserve">21 </w:t>
      </w:r>
      <w:r w:rsidR="00601B65">
        <w:rPr>
          <w:rFonts w:ascii="Arial" w:hAnsi="Arial" w:cs="Arial"/>
          <w:szCs w:val="24"/>
        </w:rPr>
        <w:t>May</w:t>
      </w:r>
      <w:r w:rsidR="003D647E" w:rsidRPr="00F83797">
        <w:rPr>
          <w:rFonts w:ascii="Arial" w:hAnsi="Arial" w:cs="Arial"/>
          <w:szCs w:val="24"/>
        </w:rPr>
        <w:t xml:space="preserve"> </w:t>
      </w:r>
      <w:r w:rsidR="00EC7525" w:rsidRPr="00F83797">
        <w:rPr>
          <w:rFonts w:ascii="Arial" w:hAnsi="Arial" w:cs="Arial"/>
          <w:szCs w:val="24"/>
        </w:rPr>
        <w:t>202</w:t>
      </w:r>
      <w:r w:rsidR="003E6F23" w:rsidRPr="00F83797">
        <w:rPr>
          <w:rFonts w:ascii="Arial" w:hAnsi="Arial" w:cs="Arial"/>
          <w:szCs w:val="24"/>
        </w:rPr>
        <w:t>5</w:t>
      </w:r>
    </w:p>
    <w:bookmarkEnd w:id="0"/>
    <w:p w14:paraId="36B71325" w14:textId="77777777" w:rsidR="00EC7525" w:rsidRDefault="00EC7525" w:rsidP="00EC7525">
      <w:pPr>
        <w:rPr>
          <w:rFonts w:ascii="Arial" w:hAnsi="Arial" w:cs="Arial"/>
          <w:szCs w:val="24"/>
        </w:rPr>
      </w:pPr>
      <w:r>
        <w:rPr>
          <w:rFonts w:ascii="Arial" w:hAnsi="Arial" w:cs="Arial"/>
          <w:szCs w:val="24"/>
        </w:rPr>
        <w:t>Ms Melinda Hatton</w:t>
      </w:r>
    </w:p>
    <w:p w14:paraId="7B9D478A" w14:textId="24917C22" w:rsidR="00D157FA" w:rsidRDefault="008420A3" w:rsidP="008C1FEE">
      <w:pPr>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p>
    <w:p w14:paraId="5BCE688D" w14:textId="338FF120"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B39298A" w:rsidR="00D157FA" w:rsidRDefault="00433690"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576CF1D9" w14:textId="77777777" w:rsidR="00B85F49" w:rsidRDefault="00B85F49" w:rsidP="008C1FEE">
      <w:pPr>
        <w:rPr>
          <w:rFonts w:ascii="Arial" w:hAnsi="Arial" w:cs="Arial"/>
          <w:b/>
          <w:bCs/>
          <w:szCs w:val="24"/>
        </w:rPr>
      </w:pPr>
    </w:p>
    <w:p w14:paraId="773BCECF" w14:textId="77777777" w:rsidR="003D647E" w:rsidRDefault="003D647E" w:rsidP="008C1FEE">
      <w:pPr>
        <w:rPr>
          <w:rFonts w:ascii="Arial" w:hAnsi="Arial" w:cs="Arial"/>
          <w:szCs w:val="24"/>
        </w:rPr>
      </w:pPr>
    </w:p>
    <w:p w14:paraId="3185E81B" w14:textId="77777777" w:rsidR="00EC7525" w:rsidRPr="004470A6" w:rsidRDefault="00EC7525" w:rsidP="00EC7525">
      <w:pPr>
        <w:rPr>
          <w:rFonts w:ascii="Arial" w:hAnsi="Arial" w:cs="Arial"/>
          <w:szCs w:val="24"/>
        </w:rPr>
      </w:pPr>
      <w:r w:rsidRPr="004470A6">
        <w:rPr>
          <w:rFonts w:ascii="Arial" w:hAnsi="Arial" w:cs="Arial"/>
          <w:szCs w:val="24"/>
        </w:rPr>
        <w:t xml:space="preserve">Dear </w:t>
      </w:r>
      <w:r>
        <w:rPr>
          <w:rFonts w:ascii="Arial" w:hAnsi="Arial" w:cs="Arial"/>
          <w:szCs w:val="24"/>
        </w:rPr>
        <w:t>Ms Hatton</w:t>
      </w:r>
    </w:p>
    <w:p w14:paraId="0D7EE1F5" w14:textId="1F7BF1AF" w:rsidR="008C1FEE" w:rsidRDefault="008C1FEE" w:rsidP="008C1FEE">
      <w:pPr>
        <w:rPr>
          <w:rFonts w:ascii="Arial" w:hAnsi="Arial" w:cs="Arial"/>
          <w:szCs w:val="24"/>
        </w:rPr>
      </w:pPr>
    </w:p>
    <w:p w14:paraId="016BA685" w14:textId="1AB9A89C" w:rsidR="00311F4C" w:rsidRPr="00DE746B" w:rsidRDefault="00311F4C" w:rsidP="7EF54DA3">
      <w:pPr>
        <w:rPr>
          <w:rFonts w:ascii="Arial" w:hAnsi="Arial" w:cs="Arial"/>
          <w:b/>
          <w:bCs/>
        </w:rPr>
      </w:pPr>
      <w:r w:rsidRPr="7EF54DA3">
        <w:rPr>
          <w:rFonts w:ascii="Arial" w:hAnsi="Arial" w:cs="Arial"/>
          <w:b/>
          <w:bCs/>
        </w:rPr>
        <w:t>Re: 202</w:t>
      </w:r>
      <w:r w:rsidR="003E6F23" w:rsidRPr="7EF54DA3">
        <w:rPr>
          <w:rFonts w:ascii="Arial" w:hAnsi="Arial" w:cs="Arial"/>
          <w:b/>
          <w:bCs/>
        </w:rPr>
        <w:t>5</w:t>
      </w:r>
      <w:r w:rsidRPr="7EF54DA3">
        <w:rPr>
          <w:rFonts w:ascii="Arial" w:hAnsi="Arial" w:cs="Arial"/>
          <w:b/>
          <w:bCs/>
        </w:rPr>
        <w:t xml:space="preserve"> Up-</w:t>
      </w:r>
      <w:r w:rsidR="1D6AB121" w:rsidRPr="7EF54DA3">
        <w:rPr>
          <w:rFonts w:ascii="Arial" w:hAnsi="Arial" w:cs="Arial"/>
          <w:b/>
          <w:bCs/>
        </w:rPr>
        <w:t>f</w:t>
      </w:r>
      <w:r w:rsidRPr="7EF54DA3">
        <w:rPr>
          <w:rFonts w:ascii="Arial" w:hAnsi="Arial" w:cs="Arial"/>
          <w:b/>
          <w:bCs/>
        </w:rPr>
        <w:t xml:space="preserve">ront Payments Tuition Protection Levy </w:t>
      </w:r>
      <w:r w:rsidR="008458D4">
        <w:rPr>
          <w:rFonts w:ascii="Arial" w:hAnsi="Arial" w:cs="Arial"/>
          <w:b/>
          <w:bCs/>
        </w:rPr>
        <w:t>Final</w:t>
      </w:r>
      <w:r w:rsidR="008458D4" w:rsidRPr="7EF54DA3">
        <w:rPr>
          <w:rFonts w:ascii="Arial" w:hAnsi="Arial" w:cs="Arial"/>
          <w:b/>
          <w:bCs/>
        </w:rPr>
        <w:t xml:space="preserve"> </w:t>
      </w:r>
      <w:r w:rsidRPr="7EF54DA3">
        <w:rPr>
          <w:rFonts w:ascii="Arial" w:hAnsi="Arial" w:cs="Arial"/>
          <w:b/>
          <w:bCs/>
        </w:rPr>
        <w:t>Advice</w:t>
      </w:r>
    </w:p>
    <w:p w14:paraId="70F3928D" w14:textId="77777777" w:rsidR="00311F4C" w:rsidRPr="004470A6" w:rsidRDefault="00311F4C" w:rsidP="008C1FEE">
      <w:pPr>
        <w:rPr>
          <w:rFonts w:ascii="Arial" w:hAnsi="Arial" w:cs="Arial"/>
          <w:szCs w:val="24"/>
        </w:rPr>
      </w:pPr>
    </w:p>
    <w:p w14:paraId="57AF1CFD" w14:textId="1ED8F25E" w:rsidR="008C1FEE" w:rsidRPr="006542CF" w:rsidRDefault="008C1FEE" w:rsidP="008C1FEE">
      <w:pPr>
        <w:rPr>
          <w:rFonts w:ascii="Arial" w:hAnsi="Arial" w:cs="Arial"/>
          <w:szCs w:val="24"/>
        </w:rPr>
      </w:pPr>
      <w:r w:rsidRPr="006542CF">
        <w:rPr>
          <w:rFonts w:ascii="Arial" w:hAnsi="Arial" w:cs="Arial"/>
          <w:szCs w:val="24"/>
        </w:rPr>
        <w:t>I am writing to you</w:t>
      </w:r>
      <w:r w:rsidR="008458D4">
        <w:rPr>
          <w:rFonts w:ascii="Arial" w:hAnsi="Arial" w:cs="Arial"/>
          <w:szCs w:val="24"/>
        </w:rPr>
        <w:t xml:space="preserve"> on behalf of the Higher Education Tuition Protection Fund Advisory Board (the Board)</w:t>
      </w:r>
      <w:r w:rsidRPr="006542CF">
        <w:rPr>
          <w:rFonts w:ascii="Arial" w:hAnsi="Arial" w:cs="Arial"/>
          <w:szCs w:val="24"/>
        </w:rPr>
        <w:t xml:space="preserve">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w:t>
      </w:r>
      <w:r w:rsidR="00CE359C">
        <w:rPr>
          <w:rFonts w:ascii="Arial" w:hAnsi="Arial" w:cs="Arial"/>
          <w:szCs w:val="24"/>
        </w:rPr>
        <w:t>2</w:t>
      </w:r>
      <w:r w:rsidR="0032060E">
        <w:rPr>
          <w:rFonts w:ascii="Arial" w:hAnsi="Arial" w:cs="Arial"/>
          <w:szCs w:val="24"/>
        </w:rPr>
        <w:t>)</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to provide</w:t>
      </w:r>
      <w:r w:rsidR="008458D4">
        <w:rPr>
          <w:rFonts w:ascii="Arial" w:hAnsi="Arial" w:cs="Arial"/>
          <w:szCs w:val="24"/>
        </w:rPr>
        <w:t xml:space="preserve"> the Board’s final</w:t>
      </w:r>
      <w:r w:rsidR="007F384C">
        <w:rPr>
          <w:rFonts w:ascii="Arial" w:hAnsi="Arial" w:cs="Arial"/>
          <w:szCs w:val="24"/>
        </w:rPr>
        <w:t xml:space="preserve"> </w:t>
      </w:r>
      <w:r w:rsidRPr="006542CF">
        <w:rPr>
          <w:rFonts w:ascii="Arial" w:hAnsi="Arial" w:cs="Arial"/>
          <w:szCs w:val="24"/>
        </w:rPr>
        <w:t xml:space="preserve">advice and make recommendations to you in relation to you making the legislative instrument for the </w:t>
      </w:r>
      <w:r w:rsidR="007F384C">
        <w:rPr>
          <w:rFonts w:ascii="Arial" w:hAnsi="Arial" w:cs="Arial"/>
          <w:szCs w:val="24"/>
        </w:rPr>
        <w:t>R</w:t>
      </w:r>
      <w:r w:rsidRPr="006542CF">
        <w:rPr>
          <w:rFonts w:ascii="Arial" w:hAnsi="Arial" w:cs="Arial"/>
          <w:szCs w:val="24"/>
        </w:rPr>
        <w:t xml:space="preserve">isk </w:t>
      </w:r>
      <w:r w:rsidR="007F384C">
        <w:rPr>
          <w:rFonts w:ascii="Arial" w:hAnsi="Arial" w:cs="Arial"/>
          <w:szCs w:val="24"/>
        </w:rPr>
        <w:t>R</w:t>
      </w:r>
      <w:r w:rsidRPr="006542CF">
        <w:rPr>
          <w:rFonts w:ascii="Arial" w:hAnsi="Arial" w:cs="Arial"/>
          <w:szCs w:val="24"/>
        </w:rPr>
        <w:t xml:space="preserve">ated </w:t>
      </w:r>
      <w:r w:rsidR="007F384C">
        <w:rPr>
          <w:rFonts w:ascii="Arial" w:hAnsi="Arial" w:cs="Arial"/>
          <w:szCs w:val="24"/>
        </w:rPr>
        <w:t>P</w:t>
      </w:r>
      <w:r w:rsidRPr="006542CF">
        <w:rPr>
          <w:rFonts w:ascii="Arial" w:hAnsi="Arial" w:cs="Arial"/>
          <w:szCs w:val="24"/>
        </w:rPr>
        <w:t xml:space="preserve">remium and </w:t>
      </w:r>
      <w:r w:rsidR="007F384C">
        <w:rPr>
          <w:rFonts w:ascii="Arial" w:hAnsi="Arial" w:cs="Arial"/>
          <w:szCs w:val="24"/>
        </w:rPr>
        <w:t>S</w:t>
      </w:r>
      <w:r w:rsidRPr="006542CF">
        <w:rPr>
          <w:rFonts w:ascii="Arial" w:hAnsi="Arial" w:cs="Arial"/>
          <w:szCs w:val="24"/>
        </w:rPr>
        <w:t xml:space="preserve">pecial </w:t>
      </w:r>
      <w:r w:rsidR="007F384C">
        <w:rPr>
          <w:rFonts w:ascii="Arial" w:hAnsi="Arial" w:cs="Arial"/>
          <w:szCs w:val="24"/>
        </w:rPr>
        <w:t>T</w:t>
      </w:r>
      <w:r w:rsidRPr="006542CF">
        <w:rPr>
          <w:rFonts w:ascii="Arial" w:hAnsi="Arial" w:cs="Arial"/>
          <w:szCs w:val="24"/>
        </w:rPr>
        <w:t xml:space="preserve">uition </w:t>
      </w:r>
      <w:r w:rsidR="007F384C">
        <w:rPr>
          <w:rFonts w:ascii="Arial" w:hAnsi="Arial" w:cs="Arial"/>
          <w:szCs w:val="24"/>
        </w:rPr>
        <w:t>P</w:t>
      </w:r>
      <w:r w:rsidRPr="006542CF">
        <w:rPr>
          <w:rFonts w:ascii="Arial" w:hAnsi="Arial" w:cs="Arial"/>
          <w:szCs w:val="24"/>
        </w:rPr>
        <w:t xml:space="preserve">rotection components of the </w:t>
      </w:r>
      <w:r w:rsidR="009E7B99">
        <w:rPr>
          <w:rFonts w:ascii="Arial" w:hAnsi="Arial" w:cs="Arial"/>
          <w:szCs w:val="24"/>
        </w:rPr>
        <w:t>Up-front Payments</w:t>
      </w:r>
      <w:r w:rsidR="0032060E">
        <w:rPr>
          <w:rFonts w:ascii="Arial" w:hAnsi="Arial" w:cs="Arial"/>
          <w:szCs w:val="24"/>
        </w:rPr>
        <w:t xml:space="preserve"> Tuition Protection Levy </w:t>
      </w:r>
      <w:r w:rsidR="00481223">
        <w:rPr>
          <w:rFonts w:ascii="Arial" w:hAnsi="Arial" w:cs="Arial"/>
          <w:szCs w:val="24"/>
        </w:rPr>
        <w:t xml:space="preserve">(the Levy) </w:t>
      </w:r>
      <w:r w:rsidRPr="006542CF">
        <w:rPr>
          <w:rFonts w:ascii="Arial" w:hAnsi="Arial" w:cs="Arial"/>
          <w:szCs w:val="24"/>
        </w:rPr>
        <w:t xml:space="preserve">for </w:t>
      </w:r>
      <w:r w:rsidR="001C6114">
        <w:rPr>
          <w:rFonts w:ascii="Arial" w:hAnsi="Arial" w:cs="Arial"/>
          <w:szCs w:val="24"/>
        </w:rPr>
        <w:t>202</w:t>
      </w:r>
      <w:r w:rsidR="00E66733">
        <w:rPr>
          <w:rFonts w:ascii="Arial" w:hAnsi="Arial" w:cs="Arial"/>
          <w:szCs w:val="24"/>
        </w:rPr>
        <w:t>5</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3BA97484" w:rsidR="008C1FEE" w:rsidRDefault="008C1FEE" w:rsidP="008C1FEE">
      <w:pPr>
        <w:rPr>
          <w:rFonts w:ascii="Arial" w:hAnsi="Arial" w:cs="Arial"/>
          <w:szCs w:val="24"/>
        </w:rPr>
      </w:pPr>
      <w:r w:rsidRPr="006542CF">
        <w:rPr>
          <w:rFonts w:ascii="Arial" w:hAnsi="Arial" w:cs="Arial"/>
          <w:szCs w:val="24"/>
        </w:rPr>
        <w:t>In formulating its advice, the</w:t>
      </w:r>
      <w:r w:rsidR="008458D4">
        <w:rPr>
          <w:rFonts w:ascii="Arial" w:hAnsi="Arial" w:cs="Arial"/>
          <w:szCs w:val="24"/>
        </w:rPr>
        <w:t xml:space="preserve"> Board </w:t>
      </w:r>
      <w:r w:rsidRPr="006542CF">
        <w:rPr>
          <w:rFonts w:ascii="Arial" w:hAnsi="Arial" w:cs="Arial"/>
          <w:szCs w:val="24"/>
        </w:rPr>
        <w:t xml:space="preserve">has considered a number of issues including the advice </w:t>
      </w:r>
      <w:r w:rsidR="006354FC">
        <w:rPr>
          <w:rFonts w:ascii="Arial" w:hAnsi="Arial" w:cs="Arial"/>
          <w:szCs w:val="24"/>
        </w:rPr>
        <w:t>from</w:t>
      </w:r>
      <w:r w:rsidRPr="006542CF">
        <w:rPr>
          <w:rFonts w:ascii="Arial" w:hAnsi="Arial" w:cs="Arial"/>
          <w:szCs w:val="24"/>
        </w:rPr>
        <w:t xml:space="preserve"> the Australian Government Actuary</w:t>
      </w:r>
      <w:r w:rsidR="00294D99" w:rsidRPr="006542CF">
        <w:rPr>
          <w:rFonts w:ascii="Arial" w:hAnsi="Arial" w:cs="Arial"/>
          <w:szCs w:val="24"/>
        </w:rPr>
        <w:t xml:space="preserve"> (AGA)</w:t>
      </w:r>
      <w:r w:rsidR="007F384C">
        <w:rPr>
          <w:rFonts w:ascii="Arial" w:hAnsi="Arial" w:cs="Arial"/>
          <w:szCs w:val="24"/>
        </w:rPr>
        <w:t xml:space="preserve"> </w:t>
      </w:r>
      <w:r w:rsidRPr="006542CF">
        <w:rPr>
          <w:rFonts w:ascii="Arial" w:hAnsi="Arial" w:cs="Arial"/>
          <w:szCs w:val="24"/>
        </w:rPr>
        <w:t xml:space="preserve">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44873267" w14:textId="77777777" w:rsidR="00AE480A" w:rsidRDefault="00AE480A" w:rsidP="008C1FEE">
      <w:pPr>
        <w:rPr>
          <w:rFonts w:ascii="Arial" w:hAnsi="Arial" w:cs="Arial"/>
          <w:szCs w:val="24"/>
        </w:rPr>
      </w:pPr>
    </w:p>
    <w:p w14:paraId="10E9B95F" w14:textId="77777777" w:rsidR="004824EA" w:rsidRPr="006542CF" w:rsidRDefault="004824EA" w:rsidP="004824EA">
      <w:pPr>
        <w:rPr>
          <w:rFonts w:ascii="Arial" w:hAnsi="Arial" w:cs="Arial"/>
          <w:szCs w:val="24"/>
        </w:rPr>
      </w:pPr>
      <w:r>
        <w:rPr>
          <w:rFonts w:ascii="Arial" w:hAnsi="Arial" w:cs="Arial"/>
          <w:szCs w:val="24"/>
        </w:rPr>
        <w:t xml:space="preserve">The Board acknowledges the extensive consultation undertaken by the TPS Director with education providers and peak bodies. The information shared with the Board from the consultation has provided valuable context in making determinations regarding the 2025 levy settings. </w:t>
      </w:r>
    </w:p>
    <w:p w14:paraId="64163CB0" w14:textId="77777777" w:rsidR="008C1FEE" w:rsidRPr="007E5B58" w:rsidRDefault="008C1FEE" w:rsidP="008C1FEE">
      <w:pPr>
        <w:rPr>
          <w:rFonts w:ascii="Arial" w:hAnsi="Arial" w:cs="Arial"/>
          <w:szCs w:val="24"/>
          <w:highlight w:val="yellow"/>
        </w:rPr>
      </w:pPr>
    </w:p>
    <w:p w14:paraId="44231F54" w14:textId="77777777" w:rsidR="008C1FEE" w:rsidRPr="00731368" w:rsidRDefault="006542CF" w:rsidP="005852A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46DC0DD6" w14:textId="73A9165F" w:rsidR="00731368" w:rsidRPr="00884B79" w:rsidRDefault="00731368" w:rsidP="005852A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F32B02">
        <w:rPr>
          <w:rFonts w:ascii="Arial" w:hAnsi="Arial" w:cs="Arial"/>
          <w:szCs w:val="24"/>
        </w:rPr>
        <w:t>.</w:t>
      </w:r>
      <w:r w:rsidRPr="00884B79">
        <w:rPr>
          <w:rFonts w:ascii="Arial" w:hAnsi="Arial" w:cs="Arial"/>
          <w:szCs w:val="24"/>
        </w:rPr>
        <w:t xml:space="preserve"> </w:t>
      </w:r>
    </w:p>
    <w:p w14:paraId="030BA5A2" w14:textId="1D3360D3"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597708">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0DDF7FD" w14:textId="0EADCBC8"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sidR="00E33EFF">
        <w:rPr>
          <w:rFonts w:ascii="Arial" w:hAnsi="Arial" w:cs="Arial"/>
          <w:szCs w:val="24"/>
        </w:rPr>
        <w:t xml:space="preserve"> </w:t>
      </w:r>
      <w:r w:rsidRPr="00731368">
        <w:rPr>
          <w:rFonts w:ascii="Arial" w:hAnsi="Arial" w:cs="Arial"/>
          <w:szCs w:val="24"/>
        </w:rPr>
        <w:t>based on a small number of risk factors.</w:t>
      </w:r>
    </w:p>
    <w:p w14:paraId="0E7F9156" w14:textId="77777777"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48D7A31B" w14:textId="6E09379D" w:rsidR="001B44C5" w:rsidRPr="003552FC" w:rsidRDefault="006542CF" w:rsidP="00B11EF1">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r w:rsidR="00B11EF1" w:rsidRPr="003552FC">
        <w:rPr>
          <w:rFonts w:ascii="Arial" w:hAnsi="Arial" w:cs="Arial"/>
          <w:szCs w:val="24"/>
        </w:rPr>
        <w:t xml:space="preserve">  </w:t>
      </w:r>
    </w:p>
    <w:p w14:paraId="3B51523B" w14:textId="77777777" w:rsidR="00E53157" w:rsidRDefault="00E53157" w:rsidP="00E53157">
      <w:pPr>
        <w:spacing w:after="80"/>
        <w:rPr>
          <w:rFonts w:ascii="Arial" w:hAnsi="Arial" w:cs="Arial"/>
        </w:rPr>
      </w:pPr>
      <w:r w:rsidRPr="00C125F7">
        <w:rPr>
          <w:rFonts w:ascii="Arial" w:hAnsi="Arial" w:cs="Arial"/>
          <w:szCs w:val="24"/>
        </w:rPr>
        <w:t>The Board agrees with the AGA’s recommend</w:t>
      </w:r>
      <w:r>
        <w:rPr>
          <w:rFonts w:ascii="Arial" w:hAnsi="Arial" w:cs="Arial"/>
          <w:szCs w:val="24"/>
        </w:rPr>
        <w:t>ation</w:t>
      </w:r>
      <w:r w:rsidRPr="00C125F7">
        <w:rPr>
          <w:rFonts w:ascii="Arial" w:hAnsi="Arial" w:cs="Arial"/>
          <w:szCs w:val="24"/>
        </w:rPr>
        <w:t xml:space="preserve"> </w:t>
      </w:r>
      <w:r>
        <w:rPr>
          <w:rFonts w:ascii="Arial" w:hAnsi="Arial" w:cs="Arial"/>
          <w:szCs w:val="24"/>
        </w:rPr>
        <w:t>to make no changes to the financial strength and non-compliance and registration renewal</w:t>
      </w:r>
      <w:r w:rsidRPr="00C125F7">
        <w:rPr>
          <w:rFonts w:ascii="Arial" w:hAnsi="Arial" w:cs="Arial"/>
          <w:szCs w:val="24"/>
        </w:rPr>
        <w:t xml:space="preserve"> risk factors</w:t>
      </w:r>
      <w:r>
        <w:rPr>
          <w:rFonts w:ascii="Arial" w:hAnsi="Arial" w:cs="Arial"/>
          <w:szCs w:val="24"/>
        </w:rPr>
        <w:t>.</w:t>
      </w:r>
      <w:r w:rsidRPr="00C125F7">
        <w:rPr>
          <w:rFonts w:ascii="Arial" w:hAnsi="Arial" w:cs="Arial"/>
          <w:szCs w:val="24"/>
        </w:rPr>
        <w:t xml:space="preserve"> </w:t>
      </w:r>
    </w:p>
    <w:p w14:paraId="72409984" w14:textId="77777777" w:rsidR="00E53157" w:rsidRDefault="00E53157" w:rsidP="00E53157">
      <w:pPr>
        <w:keepNext/>
        <w:spacing w:before="40"/>
        <w:rPr>
          <w:rFonts w:ascii="Arial" w:hAnsi="Arial" w:cs="Arial"/>
        </w:rPr>
      </w:pPr>
      <w:r>
        <w:rPr>
          <w:rFonts w:ascii="Arial" w:hAnsi="Arial" w:cs="Arial"/>
        </w:rPr>
        <w:lastRenderedPageBreak/>
        <w:t>The AGA considered three aspects of the completion rate risk factor given industry feedback. These were:</w:t>
      </w:r>
    </w:p>
    <w:p w14:paraId="334E5404" w14:textId="1C0A0A59" w:rsidR="00E53157" w:rsidRDefault="00B938DF" w:rsidP="00E53157">
      <w:pPr>
        <w:pStyle w:val="ListParagraph"/>
        <w:keepNext/>
        <w:numPr>
          <w:ilvl w:val="0"/>
          <w:numId w:val="11"/>
        </w:numPr>
        <w:spacing w:before="40"/>
        <w:rPr>
          <w:rFonts w:ascii="Arial" w:hAnsi="Arial" w:cs="Arial"/>
        </w:rPr>
      </w:pPr>
      <w:r>
        <w:rPr>
          <w:rFonts w:ascii="Arial" w:hAnsi="Arial" w:cs="Arial"/>
        </w:rPr>
        <w:t>r</w:t>
      </w:r>
      <w:r w:rsidR="00E53157">
        <w:rPr>
          <w:rFonts w:ascii="Arial" w:hAnsi="Arial" w:cs="Arial"/>
        </w:rPr>
        <w:t>emoving</w:t>
      </w:r>
      <w:r w:rsidR="00AB5F1E">
        <w:rPr>
          <w:rFonts w:ascii="Arial" w:hAnsi="Arial" w:cs="Arial"/>
        </w:rPr>
        <w:t xml:space="preserve"> </w:t>
      </w:r>
      <w:r w:rsidR="00E53157">
        <w:rPr>
          <w:rFonts w:ascii="Arial" w:hAnsi="Arial" w:cs="Arial"/>
        </w:rPr>
        <w:t>ongoing students from the denominator of the completion rate calculation</w:t>
      </w:r>
      <w:r w:rsidR="004F3003">
        <w:rPr>
          <w:rFonts w:ascii="Arial" w:hAnsi="Arial" w:cs="Arial"/>
        </w:rPr>
        <w:t>;</w:t>
      </w:r>
    </w:p>
    <w:p w14:paraId="5EF9E90E" w14:textId="008DD255" w:rsidR="00E53157" w:rsidRDefault="00E53157" w:rsidP="00E53157">
      <w:pPr>
        <w:pStyle w:val="ListParagraph"/>
        <w:keepNext/>
        <w:numPr>
          <w:ilvl w:val="0"/>
          <w:numId w:val="11"/>
        </w:numPr>
        <w:spacing w:before="40"/>
        <w:rPr>
          <w:rFonts w:ascii="Arial" w:hAnsi="Arial" w:cs="Arial"/>
        </w:rPr>
      </w:pPr>
      <w:r>
        <w:rPr>
          <w:rFonts w:ascii="Arial" w:hAnsi="Arial" w:cs="Arial"/>
        </w:rPr>
        <w:t>removing withdrawn students from the denominator of the completion rate calculation</w:t>
      </w:r>
      <w:r w:rsidR="004F3003">
        <w:rPr>
          <w:rFonts w:ascii="Arial" w:hAnsi="Arial" w:cs="Arial"/>
        </w:rPr>
        <w:t>;</w:t>
      </w:r>
      <w:r w:rsidR="00D131CD">
        <w:rPr>
          <w:rFonts w:ascii="Arial" w:hAnsi="Arial" w:cs="Arial"/>
        </w:rPr>
        <w:t xml:space="preserve"> and</w:t>
      </w:r>
    </w:p>
    <w:p w14:paraId="346EA27E" w14:textId="77777777" w:rsidR="00E53157" w:rsidRPr="00E80657" w:rsidRDefault="00E53157" w:rsidP="00E53157">
      <w:pPr>
        <w:pStyle w:val="ListParagraph"/>
        <w:keepNext/>
        <w:numPr>
          <w:ilvl w:val="0"/>
          <w:numId w:val="11"/>
        </w:numPr>
        <w:spacing w:before="40"/>
        <w:rPr>
          <w:rFonts w:ascii="Arial" w:hAnsi="Arial" w:cs="Arial"/>
        </w:rPr>
      </w:pPr>
      <w:r>
        <w:rPr>
          <w:rFonts w:ascii="Arial" w:hAnsi="Arial" w:cs="Arial"/>
        </w:rPr>
        <w:t xml:space="preserve">reducing the thresholds for which the completion rate loadings apply. </w:t>
      </w:r>
    </w:p>
    <w:p w14:paraId="135C7E8A" w14:textId="77777777" w:rsidR="00E53157" w:rsidRDefault="00E53157" w:rsidP="00E53157">
      <w:pPr>
        <w:keepNext/>
        <w:spacing w:before="40"/>
        <w:rPr>
          <w:rFonts w:ascii="Arial" w:hAnsi="Arial" w:cs="Arial"/>
        </w:rPr>
      </w:pPr>
    </w:p>
    <w:p w14:paraId="5E6F218A" w14:textId="7330C46B" w:rsidR="00E53157" w:rsidRDefault="00E53157" w:rsidP="00E53157">
      <w:pPr>
        <w:keepNext/>
        <w:spacing w:before="40"/>
        <w:rPr>
          <w:rFonts w:ascii="Arial" w:hAnsi="Arial" w:cs="Arial"/>
        </w:rPr>
      </w:pPr>
      <w:r>
        <w:rPr>
          <w:rFonts w:ascii="Arial" w:hAnsi="Arial" w:cs="Arial"/>
        </w:rPr>
        <w:t>Although the AGA tested the removal of ongoing students from the denominator of the completion rate calculation, it was agreed by both the AGA and the Board that a provider with a high number of ongoing students poses a greater cost to the Fund in the event of a provider default and, therefore, this change was rejected. The AGA also tested the removal of withdrawn students from the denominator of the completion rate risk factor</w:t>
      </w:r>
      <w:r w:rsidR="007E43F9">
        <w:rPr>
          <w:rFonts w:ascii="Arial" w:hAnsi="Arial" w:cs="Arial"/>
        </w:rPr>
        <w:t xml:space="preserve"> calculation</w:t>
      </w:r>
      <w:r>
        <w:rPr>
          <w:rFonts w:ascii="Arial" w:hAnsi="Arial" w:cs="Arial"/>
        </w:rPr>
        <w:t xml:space="preserve">. The Board agreed with the AGA that, as withdrawn students no longer qualify for TPS assistance, it is reasonable to remove withdrawn students from the completion rate calculation. </w:t>
      </w:r>
      <w:r w:rsidRPr="00E80657">
        <w:rPr>
          <w:rFonts w:ascii="Arial" w:hAnsi="Arial" w:cs="Arial"/>
        </w:rPr>
        <w:t>The Board has recommended removing withdrawn students from the denominator of the completion rate calculation.</w:t>
      </w:r>
    </w:p>
    <w:p w14:paraId="686687D1" w14:textId="77777777" w:rsidR="00E53157" w:rsidRDefault="00E53157" w:rsidP="00E53157">
      <w:pPr>
        <w:keepNext/>
        <w:spacing w:before="40"/>
        <w:rPr>
          <w:rFonts w:ascii="Arial" w:hAnsi="Arial" w:cs="Arial"/>
        </w:rPr>
      </w:pPr>
    </w:p>
    <w:p w14:paraId="6E764818" w14:textId="054C1305" w:rsidR="00B27ED2" w:rsidRPr="00C125F7" w:rsidRDefault="00E53157" w:rsidP="00E53157">
      <w:pPr>
        <w:keepNext/>
        <w:spacing w:after="80"/>
        <w:rPr>
          <w:rFonts w:ascii="Arial" w:hAnsi="Arial" w:cs="Arial"/>
          <w:szCs w:val="24"/>
        </w:rPr>
      </w:pPr>
      <w:r w:rsidRPr="00E80657">
        <w:rPr>
          <w:rFonts w:ascii="Arial" w:hAnsi="Arial" w:cs="Arial"/>
        </w:rPr>
        <w:t>The AGA</w:t>
      </w:r>
      <w:r>
        <w:rPr>
          <w:rFonts w:ascii="Arial" w:hAnsi="Arial" w:cs="Arial"/>
        </w:rPr>
        <w:t xml:space="preserve"> considered lowering the threshold</w:t>
      </w:r>
      <w:r w:rsidR="00C5062E">
        <w:rPr>
          <w:rFonts w:ascii="Arial" w:hAnsi="Arial" w:cs="Arial"/>
        </w:rPr>
        <w:t>s</w:t>
      </w:r>
      <w:r>
        <w:rPr>
          <w:rFonts w:ascii="Arial" w:hAnsi="Arial" w:cs="Arial"/>
        </w:rPr>
        <w:t xml:space="preserve"> for which the completion rate loadings apply, however, it was noted this would result in a material reduction in the revenue collected. The Board discussed this proposal in the context of the current operating environment, and sustainability of the Fund. The Board agreed</w:t>
      </w:r>
      <w:r w:rsidRPr="00E80657">
        <w:rPr>
          <w:rFonts w:ascii="Arial" w:hAnsi="Arial" w:cs="Arial"/>
        </w:rPr>
        <w:t xml:space="preserve"> to maintain the threshold</w:t>
      </w:r>
      <w:r>
        <w:rPr>
          <w:rFonts w:ascii="Arial" w:hAnsi="Arial" w:cs="Arial"/>
        </w:rPr>
        <w:t>s</w:t>
      </w:r>
      <w:r w:rsidRPr="00E80657">
        <w:rPr>
          <w:rFonts w:ascii="Arial" w:hAnsi="Arial" w:cs="Arial"/>
        </w:rPr>
        <w:t xml:space="preserve"> as </w:t>
      </w:r>
      <w:r>
        <w:rPr>
          <w:rFonts w:ascii="Arial" w:hAnsi="Arial" w:cs="Arial"/>
        </w:rPr>
        <w:t>they</w:t>
      </w:r>
      <w:r w:rsidRPr="00E80657">
        <w:rPr>
          <w:rFonts w:ascii="Arial" w:hAnsi="Arial" w:cs="Arial"/>
        </w:rPr>
        <w:t xml:space="preserve"> currently stand</w:t>
      </w:r>
      <w:r>
        <w:rPr>
          <w:rFonts w:ascii="Arial" w:hAnsi="Arial" w:cs="Arial"/>
        </w:rPr>
        <w:t xml:space="preserve"> for 2025</w:t>
      </w:r>
      <w:r w:rsidR="00F83797">
        <w:rPr>
          <w:rFonts w:ascii="Arial" w:hAnsi="Arial" w:cs="Arial"/>
        </w:rPr>
        <w:t xml:space="preserve"> and to consider this again in 2026.</w:t>
      </w:r>
      <w:r>
        <w:rPr>
          <w:rFonts w:ascii="Arial" w:hAnsi="Arial" w:cs="Arial"/>
        </w:rPr>
        <w:t xml:space="preserve"> </w:t>
      </w:r>
    </w:p>
    <w:p w14:paraId="3E8868CC" w14:textId="77777777" w:rsidR="00014FC8" w:rsidRPr="00014FC8" w:rsidRDefault="00014FC8" w:rsidP="00014FC8">
      <w:pPr>
        <w:rPr>
          <w:rFonts w:ascii="Arial" w:hAnsi="Arial" w:cs="Arial"/>
          <w:szCs w:val="24"/>
        </w:rPr>
      </w:pPr>
    </w:p>
    <w:p w14:paraId="0E1653B4" w14:textId="6F82EF95" w:rsidR="00C125F7" w:rsidRPr="00C125F7" w:rsidRDefault="00B2722B" w:rsidP="00217BB7">
      <w:pPr>
        <w:contextualSpacing/>
        <w:rPr>
          <w:rFonts w:ascii="Arial" w:hAnsi="Arial" w:cs="Arial"/>
          <w:szCs w:val="24"/>
        </w:rPr>
      </w:pPr>
      <w:r w:rsidRPr="00C125F7">
        <w:rPr>
          <w:rFonts w:ascii="Arial" w:hAnsi="Arial" w:cs="Arial"/>
          <w:szCs w:val="24"/>
        </w:rPr>
        <w:t>The Board is satisfied with the correlation of th</w:t>
      </w:r>
      <w:r w:rsidR="00B27ED2">
        <w:rPr>
          <w:rFonts w:ascii="Arial" w:hAnsi="Arial" w:cs="Arial"/>
          <w:szCs w:val="24"/>
        </w:rPr>
        <w:t>e</w:t>
      </w:r>
      <w:r w:rsidRPr="00C125F7">
        <w:rPr>
          <w:rFonts w:ascii="Arial" w:hAnsi="Arial" w:cs="Arial"/>
          <w:szCs w:val="24"/>
        </w:rPr>
        <w:t xml:space="preserve"> </w:t>
      </w:r>
      <w:r w:rsidR="005F6F63">
        <w:rPr>
          <w:rFonts w:ascii="Arial" w:hAnsi="Arial" w:cs="Arial"/>
          <w:szCs w:val="24"/>
        </w:rPr>
        <w:t xml:space="preserve">risk </w:t>
      </w:r>
      <w:r w:rsidRPr="00C125F7">
        <w:rPr>
          <w:rFonts w:ascii="Arial" w:hAnsi="Arial" w:cs="Arial"/>
          <w:szCs w:val="24"/>
        </w:rPr>
        <w:t>factors with the risk of provider</w:t>
      </w:r>
      <w:r w:rsidR="00F776CD">
        <w:rPr>
          <w:rFonts w:ascii="Arial" w:hAnsi="Arial" w:cs="Arial"/>
          <w:szCs w:val="24"/>
        </w:rPr>
        <w:t xml:space="preserve"> closure</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3552FC">
        <w:rPr>
          <w:rFonts w:ascii="Arial" w:hAnsi="Arial" w:cs="Arial"/>
          <w:szCs w:val="24"/>
        </w:rPr>
        <w:t>values</w:t>
      </w:r>
      <w:r w:rsidRPr="00F62532">
        <w:rPr>
          <w:rFonts w:ascii="Arial" w:hAnsi="Arial" w:cs="Arial"/>
          <w:szCs w:val="24"/>
        </w:rPr>
        <w:t xml:space="preserve"> for the risk factors, which are outlined at the end of this letter for the purposes of </w:t>
      </w:r>
      <w:r w:rsidR="008A1828">
        <w:rPr>
          <w:rFonts w:ascii="Arial" w:hAnsi="Arial" w:cs="Arial"/>
          <w:szCs w:val="24"/>
        </w:rPr>
        <w:t>sub</w:t>
      </w:r>
      <w:r w:rsidRPr="00F62532">
        <w:rPr>
          <w:rFonts w:ascii="Arial" w:hAnsi="Arial" w:cs="Arial"/>
          <w:szCs w:val="24"/>
        </w:rPr>
        <w:t>section 13(1)(c) of the</w:t>
      </w:r>
      <w:r w:rsidR="0052681F">
        <w:rPr>
          <w:rFonts w:ascii="Arial" w:hAnsi="Arial" w:cs="Arial"/>
          <w:szCs w:val="24"/>
        </w:rPr>
        <w:t xml:space="preserve"> </w:t>
      </w:r>
      <w:r w:rsidR="0052681F" w:rsidRPr="0052681F">
        <w:rPr>
          <w:rFonts w:ascii="Arial" w:hAnsi="Arial" w:cs="Arial"/>
          <w:i/>
          <w:iCs/>
          <w:szCs w:val="24"/>
        </w:rPr>
        <w:t>Higher Education (Up-front Payments Tuition Protection Levy) Act 2020</w:t>
      </w:r>
      <w:r w:rsidRPr="0052681F">
        <w:rPr>
          <w:rFonts w:ascii="Arial" w:hAnsi="Arial" w:cs="Arial"/>
          <w:i/>
          <w:iCs/>
          <w:szCs w:val="24"/>
        </w:rPr>
        <w:t xml:space="preserve"> </w:t>
      </w:r>
      <w:r w:rsidR="0052681F">
        <w:rPr>
          <w:rFonts w:ascii="Arial" w:hAnsi="Arial" w:cs="Arial"/>
          <w:szCs w:val="24"/>
        </w:rPr>
        <w:t>(</w:t>
      </w:r>
      <w:r w:rsidR="00F0714C">
        <w:rPr>
          <w:rFonts w:ascii="Arial" w:hAnsi="Arial" w:cs="Arial"/>
          <w:szCs w:val="24"/>
        </w:rPr>
        <w:t xml:space="preserve">Up-front Payments </w:t>
      </w:r>
      <w:r>
        <w:rPr>
          <w:rFonts w:ascii="Arial" w:hAnsi="Arial" w:cs="Arial"/>
          <w:iCs/>
          <w:szCs w:val="24"/>
        </w:rPr>
        <w:t>Levy</w:t>
      </w:r>
      <w:r w:rsidRPr="00290E88">
        <w:rPr>
          <w:rFonts w:ascii="Arial" w:hAnsi="Arial" w:cs="Arial"/>
          <w:iCs/>
          <w:szCs w:val="24"/>
        </w:rPr>
        <w:t xml:space="preserve"> Act</w:t>
      </w:r>
      <w:r w:rsidR="0052681F">
        <w:rPr>
          <w:rFonts w:ascii="Arial" w:hAnsi="Arial" w:cs="Arial"/>
          <w:iCs/>
          <w:szCs w:val="24"/>
        </w:rPr>
        <w:t>)</w:t>
      </w:r>
      <w:r w:rsidRPr="00F62532">
        <w:rPr>
          <w:rFonts w:ascii="Arial" w:hAnsi="Arial" w:cs="Arial"/>
          <w:szCs w:val="24"/>
        </w:rPr>
        <w:t>.</w:t>
      </w:r>
    </w:p>
    <w:p w14:paraId="15D3627C" w14:textId="77777777" w:rsidR="00561F73" w:rsidRPr="00C125F7" w:rsidRDefault="00561F73" w:rsidP="0052681F">
      <w:pPr>
        <w:contextualSpacing/>
        <w:rPr>
          <w:rFonts w:ascii="Arial" w:hAnsi="Arial" w:cs="Arial"/>
          <w:szCs w:val="24"/>
        </w:rPr>
      </w:pPr>
    </w:p>
    <w:p w14:paraId="6C23AD78" w14:textId="1A699559" w:rsidR="00561F73" w:rsidRPr="001069F7" w:rsidRDefault="00561F73" w:rsidP="00561F73">
      <w:pPr>
        <w:contextualSpacing/>
        <w:rPr>
          <w:rFonts w:ascii="Arial" w:hAnsi="Arial" w:cs="Arial"/>
          <w:szCs w:val="24"/>
          <w:highlight w:val="yellow"/>
        </w:rPr>
      </w:pPr>
      <w:r w:rsidRPr="5D48E0D5">
        <w:rPr>
          <w:rFonts w:ascii="Arial" w:hAnsi="Arial" w:cs="Arial"/>
        </w:rPr>
        <w:t xml:space="preserve">The </w:t>
      </w:r>
      <w:r w:rsidR="00C04E55" w:rsidRPr="5D48E0D5">
        <w:rPr>
          <w:rFonts w:ascii="Arial" w:hAnsi="Arial" w:cs="Arial"/>
        </w:rPr>
        <w:t>R</w:t>
      </w:r>
      <w:r w:rsidRPr="5D48E0D5">
        <w:rPr>
          <w:rFonts w:ascii="Arial" w:hAnsi="Arial" w:cs="Arial"/>
        </w:rPr>
        <w:t>isk</w:t>
      </w:r>
      <w:r w:rsidR="004F76EC">
        <w:rPr>
          <w:rFonts w:ascii="Arial" w:hAnsi="Arial" w:cs="Arial"/>
        </w:rPr>
        <w:t xml:space="preserve"> R</w:t>
      </w:r>
      <w:r w:rsidRPr="5D48E0D5">
        <w:rPr>
          <w:rFonts w:ascii="Arial" w:hAnsi="Arial" w:cs="Arial"/>
        </w:rPr>
        <w:t xml:space="preserve">ated </w:t>
      </w:r>
      <w:r w:rsidR="00C04E55" w:rsidRPr="5D48E0D5">
        <w:rPr>
          <w:rFonts w:ascii="Arial" w:hAnsi="Arial" w:cs="Arial"/>
        </w:rPr>
        <w:t>P</w:t>
      </w:r>
      <w:r w:rsidRPr="5D48E0D5">
        <w:rPr>
          <w:rFonts w:ascii="Arial" w:hAnsi="Arial" w:cs="Arial"/>
        </w:rPr>
        <w:t xml:space="preserve">remium component formula includes a per student charge and a percentage rate multiple of the </w:t>
      </w:r>
      <w:r w:rsidR="00D179E2" w:rsidRPr="5D48E0D5">
        <w:rPr>
          <w:rFonts w:ascii="Arial" w:hAnsi="Arial" w:cs="Arial"/>
        </w:rPr>
        <w:t>per $1 revenue</w:t>
      </w:r>
      <w:r w:rsidRPr="5D48E0D5">
        <w:rPr>
          <w:rFonts w:ascii="Arial" w:hAnsi="Arial" w:cs="Arial"/>
        </w:rPr>
        <w:t xml:space="preserve"> </w:t>
      </w:r>
      <w:r w:rsidR="00D179E2" w:rsidRPr="5D48E0D5">
        <w:rPr>
          <w:rFonts w:ascii="Arial" w:hAnsi="Arial" w:cs="Arial"/>
        </w:rPr>
        <w:t>received by</w:t>
      </w:r>
      <w:r w:rsidRPr="5D48E0D5">
        <w:rPr>
          <w:rFonts w:ascii="Arial" w:hAnsi="Arial" w:cs="Arial"/>
        </w:rPr>
        <w:t xml:space="preserve"> the provider. </w:t>
      </w:r>
      <w:bookmarkStart w:id="1" w:name="_Hlk97913408"/>
    </w:p>
    <w:p w14:paraId="5C6B15E5" w14:textId="3E325456" w:rsidR="00561F73" w:rsidRPr="00C125F7" w:rsidRDefault="00857A72" w:rsidP="005852AB">
      <w:pPr>
        <w:spacing w:after="80"/>
        <w:rPr>
          <w:rFonts w:ascii="Arial" w:hAnsi="Arial" w:cs="Arial"/>
          <w:szCs w:val="24"/>
        </w:rPr>
      </w:pPr>
      <w:r>
        <w:rPr>
          <w:rFonts w:ascii="Arial" w:hAnsi="Arial" w:cs="Arial"/>
          <w:szCs w:val="24"/>
        </w:rPr>
        <w:t>Accordingly, t</w:t>
      </w:r>
      <w:r w:rsidR="00561F73" w:rsidRPr="00C125F7">
        <w:rPr>
          <w:rFonts w:ascii="Arial" w:hAnsi="Arial" w:cs="Arial"/>
          <w:szCs w:val="24"/>
        </w:rPr>
        <w:t xml:space="preserve">he Board recommends that: </w:t>
      </w:r>
    </w:p>
    <w:p w14:paraId="1333DBD8" w14:textId="45BA7B86" w:rsidR="00561F73"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R</w:t>
      </w:r>
      <w:r w:rsidRPr="00C125F7">
        <w:rPr>
          <w:rFonts w:ascii="Arial" w:hAnsi="Arial" w:cs="Arial"/>
          <w:szCs w:val="24"/>
        </w:rPr>
        <w:t>isk</w:t>
      </w:r>
      <w:r w:rsidR="004F76EC">
        <w:rPr>
          <w:rFonts w:ascii="Arial" w:hAnsi="Arial" w:cs="Arial"/>
          <w:szCs w:val="24"/>
        </w:rPr>
        <w:t xml:space="preserve"> 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w:t>
      </w:r>
      <w:r w:rsidR="000F1455" w:rsidRPr="00C125F7">
        <w:rPr>
          <w:rFonts w:ascii="Arial" w:hAnsi="Arial" w:cs="Arial"/>
          <w:szCs w:val="24"/>
        </w:rPr>
        <w:t xml:space="preserve"> 0.</w:t>
      </w:r>
      <w:r w:rsidR="00F153A7">
        <w:rPr>
          <w:rFonts w:ascii="Arial" w:hAnsi="Arial" w:cs="Arial"/>
          <w:szCs w:val="24"/>
        </w:rPr>
        <w:t>0</w:t>
      </w:r>
      <w:r w:rsidR="00CB17FD">
        <w:rPr>
          <w:rFonts w:ascii="Arial" w:hAnsi="Arial" w:cs="Arial"/>
          <w:szCs w:val="24"/>
        </w:rPr>
        <w:t>4</w:t>
      </w:r>
      <w:r w:rsidRPr="00C125F7">
        <w:rPr>
          <w:rFonts w:ascii="Arial" w:hAnsi="Arial" w:cs="Arial"/>
          <w:szCs w:val="24"/>
        </w:rPr>
        <w:t xml:space="preserve">% </w:t>
      </w:r>
      <w:r w:rsidR="001731CD" w:rsidRPr="00C125F7">
        <w:rPr>
          <w:rFonts w:ascii="Arial" w:hAnsi="Arial" w:cs="Arial"/>
          <w:szCs w:val="24"/>
        </w:rPr>
        <w:t>–</w:t>
      </w:r>
      <w:r w:rsidRPr="00C125F7">
        <w:rPr>
          <w:rFonts w:ascii="Arial" w:hAnsi="Arial" w:cs="Arial"/>
          <w:szCs w:val="24"/>
        </w:rPr>
        <w:t xml:space="preserve"> </w:t>
      </w:r>
      <w:r w:rsidR="001311EB">
        <w:rPr>
          <w:rFonts w:ascii="Arial" w:hAnsi="Arial" w:cs="Arial"/>
          <w:szCs w:val="24"/>
        </w:rPr>
        <w:t>sub</w:t>
      </w:r>
      <w:r w:rsidRPr="00C125F7">
        <w:rPr>
          <w:rFonts w:ascii="Arial" w:hAnsi="Arial" w:cs="Arial"/>
          <w:szCs w:val="24"/>
        </w:rPr>
        <w:t>section 13(1)(b)</w:t>
      </w:r>
      <w:r w:rsidR="00F83797">
        <w:rPr>
          <w:rFonts w:ascii="Arial" w:hAnsi="Arial" w:cs="Arial"/>
          <w:szCs w:val="24"/>
        </w:rPr>
        <w:t xml:space="preserve"> of</w:t>
      </w:r>
      <w:r w:rsidRPr="00C125F7">
        <w:rPr>
          <w:rFonts w:ascii="Arial" w:hAnsi="Arial" w:cs="Arial"/>
          <w:szCs w:val="24"/>
        </w:rPr>
        <w:t xml:space="preserve"> </w:t>
      </w:r>
      <w:r w:rsidR="00F153A7">
        <w:rPr>
          <w:rFonts w:ascii="Arial" w:hAnsi="Arial" w:cs="Arial"/>
          <w:szCs w:val="24"/>
        </w:rPr>
        <w:t xml:space="preserve">the </w:t>
      </w:r>
      <w:r w:rsidR="0052681F">
        <w:rPr>
          <w:rFonts w:ascii="Arial" w:hAnsi="Arial" w:cs="Arial"/>
          <w:szCs w:val="24"/>
        </w:rPr>
        <w:t xml:space="preserve">Up-front Payments </w:t>
      </w:r>
      <w:r w:rsidR="00290E88">
        <w:rPr>
          <w:rFonts w:ascii="Arial" w:hAnsi="Arial" w:cs="Arial"/>
          <w:iCs/>
          <w:szCs w:val="24"/>
        </w:rPr>
        <w:t>Levy Act</w:t>
      </w:r>
      <w:r w:rsidRPr="00C125F7">
        <w:rPr>
          <w:rFonts w:ascii="Arial" w:hAnsi="Arial" w:cs="Arial"/>
          <w:szCs w:val="24"/>
        </w:rPr>
        <w:t xml:space="preserve">; </w:t>
      </w:r>
    </w:p>
    <w:p w14:paraId="4785A54A" w14:textId="1E218ED6" w:rsidR="0059309D"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CD3251">
        <w:rPr>
          <w:rFonts w:ascii="Arial" w:hAnsi="Arial" w:cs="Arial"/>
          <w:szCs w:val="24"/>
        </w:rPr>
        <w:t>R</w:t>
      </w:r>
      <w:r w:rsidRPr="00C125F7">
        <w:rPr>
          <w:rFonts w:ascii="Arial" w:hAnsi="Arial" w:cs="Arial"/>
          <w:szCs w:val="24"/>
        </w:rPr>
        <w:t>isk</w:t>
      </w:r>
      <w:r w:rsidR="004F76EC">
        <w:rPr>
          <w:rFonts w:ascii="Arial" w:hAnsi="Arial" w:cs="Arial"/>
          <w:szCs w:val="24"/>
        </w:rPr>
        <w:t xml:space="preserve"> 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 $</w:t>
      </w:r>
      <w:r w:rsidR="00CB17FD">
        <w:rPr>
          <w:rFonts w:ascii="Arial" w:hAnsi="Arial" w:cs="Arial"/>
          <w:szCs w:val="24"/>
        </w:rPr>
        <w:t>2</w:t>
      </w:r>
      <w:r w:rsidRPr="00C125F7">
        <w:rPr>
          <w:rFonts w:ascii="Arial" w:hAnsi="Arial" w:cs="Arial"/>
          <w:szCs w:val="24"/>
        </w:rPr>
        <w:t xml:space="preserve">.00 – </w:t>
      </w:r>
      <w:r w:rsidR="001311EB">
        <w:rPr>
          <w:rFonts w:ascii="Arial" w:hAnsi="Arial" w:cs="Arial"/>
          <w:szCs w:val="24"/>
        </w:rPr>
        <w:t>sub</w:t>
      </w:r>
      <w:r w:rsidRPr="00C125F7">
        <w:rPr>
          <w:rFonts w:ascii="Arial" w:hAnsi="Arial" w:cs="Arial"/>
          <w:szCs w:val="24"/>
        </w:rPr>
        <w:t>section 13(1)(a)</w:t>
      </w:r>
      <w:r w:rsidR="00F83797">
        <w:rPr>
          <w:rFonts w:ascii="Arial" w:hAnsi="Arial" w:cs="Arial"/>
          <w:szCs w:val="24"/>
        </w:rPr>
        <w:t xml:space="preserve"> of</w:t>
      </w:r>
      <w:r w:rsidRPr="00C125F7">
        <w:rPr>
          <w:rFonts w:ascii="Arial" w:hAnsi="Arial" w:cs="Arial"/>
          <w:szCs w:val="24"/>
        </w:rPr>
        <w:t xml:space="preserve"> </w:t>
      </w:r>
      <w:r w:rsidR="00F153A7">
        <w:rPr>
          <w:rFonts w:ascii="Arial" w:hAnsi="Arial" w:cs="Arial"/>
          <w:iCs/>
          <w:szCs w:val="24"/>
        </w:rPr>
        <w:t>the</w:t>
      </w:r>
      <w:r w:rsidR="00290E88" w:rsidRPr="00290E88">
        <w:rPr>
          <w:rFonts w:ascii="Arial" w:hAnsi="Arial" w:cs="Arial"/>
          <w:iCs/>
          <w:szCs w:val="24"/>
        </w:rPr>
        <w:t xml:space="preserve"> </w:t>
      </w:r>
      <w:r w:rsidR="0052681F">
        <w:rPr>
          <w:rFonts w:ascii="Arial" w:hAnsi="Arial" w:cs="Arial"/>
          <w:szCs w:val="24"/>
        </w:rPr>
        <w:t xml:space="preserve">Up-front Payments </w:t>
      </w:r>
      <w:r w:rsidR="00290E88" w:rsidRPr="00290E88">
        <w:rPr>
          <w:rFonts w:ascii="Arial" w:hAnsi="Arial" w:cs="Arial"/>
          <w:iCs/>
          <w:szCs w:val="24"/>
        </w:rPr>
        <w:t>Levy Act</w:t>
      </w:r>
      <w:r w:rsidR="0059309D" w:rsidRPr="00C125F7">
        <w:rPr>
          <w:rFonts w:ascii="Arial" w:hAnsi="Arial" w:cs="Arial"/>
          <w:szCs w:val="24"/>
        </w:rPr>
        <w:t>; and</w:t>
      </w:r>
    </w:p>
    <w:p w14:paraId="6928EDCB" w14:textId="08716257" w:rsidR="003A6FE7" w:rsidRPr="00AC1992" w:rsidRDefault="0059309D" w:rsidP="00561F73">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S</w:t>
      </w:r>
      <w:r w:rsidRPr="00C125F7">
        <w:rPr>
          <w:rFonts w:ascii="Arial" w:hAnsi="Arial" w:cs="Arial"/>
          <w:szCs w:val="24"/>
        </w:rPr>
        <w:t xml:space="preserve">pecial </w:t>
      </w:r>
      <w:r w:rsidR="00CD3251">
        <w:rPr>
          <w:rFonts w:ascii="Arial" w:hAnsi="Arial" w:cs="Arial"/>
          <w:szCs w:val="24"/>
        </w:rPr>
        <w:t>T</w:t>
      </w:r>
      <w:r w:rsidR="001A6CF4" w:rsidRPr="00C125F7">
        <w:rPr>
          <w:rFonts w:ascii="Arial" w:hAnsi="Arial" w:cs="Arial"/>
          <w:szCs w:val="24"/>
        </w:rPr>
        <w:t xml:space="preserve">uition </w:t>
      </w:r>
      <w:r w:rsidR="00CD3251">
        <w:rPr>
          <w:rFonts w:ascii="Arial" w:hAnsi="Arial" w:cs="Arial"/>
          <w:szCs w:val="24"/>
        </w:rPr>
        <w:t>P</w:t>
      </w:r>
      <w:r w:rsidR="001A6CF4" w:rsidRPr="00C125F7">
        <w:rPr>
          <w:rFonts w:ascii="Arial" w:hAnsi="Arial" w:cs="Arial"/>
          <w:szCs w:val="24"/>
        </w:rPr>
        <w:t xml:space="preserve">rotection </w:t>
      </w:r>
      <w:r w:rsidRPr="00C125F7">
        <w:rPr>
          <w:rFonts w:ascii="Arial" w:hAnsi="Arial" w:cs="Arial"/>
          <w:szCs w:val="24"/>
        </w:rPr>
        <w:t xml:space="preserve">component of the </w:t>
      </w:r>
      <w:r w:rsidR="0052681F">
        <w:rPr>
          <w:rFonts w:ascii="Arial" w:hAnsi="Arial" w:cs="Arial"/>
          <w:szCs w:val="24"/>
        </w:rPr>
        <w:t>L</w:t>
      </w:r>
      <w:r w:rsidRPr="00C125F7">
        <w:rPr>
          <w:rFonts w:ascii="Arial" w:hAnsi="Arial" w:cs="Arial"/>
          <w:szCs w:val="24"/>
        </w:rPr>
        <w:t xml:space="preserve">evy be </w:t>
      </w:r>
      <w:r w:rsidR="001A6CF4" w:rsidRPr="00C125F7">
        <w:rPr>
          <w:rFonts w:ascii="Arial" w:hAnsi="Arial" w:cs="Arial"/>
          <w:szCs w:val="24"/>
        </w:rPr>
        <w:t>0</w:t>
      </w:r>
      <w:r w:rsidRPr="00C125F7">
        <w:rPr>
          <w:rFonts w:ascii="Arial" w:hAnsi="Arial" w:cs="Arial"/>
          <w:szCs w:val="24"/>
        </w:rPr>
        <w:t>.1</w:t>
      </w:r>
      <w:r w:rsidR="00F153A7">
        <w:rPr>
          <w:rFonts w:ascii="Arial" w:hAnsi="Arial" w:cs="Arial"/>
          <w:szCs w:val="24"/>
        </w:rPr>
        <w:t>0</w:t>
      </w:r>
      <w:r w:rsidRPr="00C125F7">
        <w:rPr>
          <w:rFonts w:ascii="Arial" w:hAnsi="Arial" w:cs="Arial"/>
          <w:szCs w:val="24"/>
        </w:rPr>
        <w:t>%</w:t>
      </w:r>
      <w:r w:rsidR="001A6CF4" w:rsidRPr="00C125F7">
        <w:rPr>
          <w:rFonts w:ascii="Arial" w:hAnsi="Arial" w:cs="Arial"/>
          <w:szCs w:val="24"/>
        </w:rPr>
        <w:t xml:space="preserve"> </w:t>
      </w:r>
      <w:r w:rsidR="001731CD" w:rsidRPr="00C125F7">
        <w:rPr>
          <w:rFonts w:ascii="Arial" w:hAnsi="Arial" w:cs="Arial"/>
          <w:szCs w:val="24"/>
        </w:rPr>
        <w:t>–</w:t>
      </w:r>
      <w:r w:rsidR="001731CD">
        <w:rPr>
          <w:rFonts w:ascii="Arial" w:hAnsi="Arial" w:cs="Arial"/>
          <w:szCs w:val="24"/>
        </w:rPr>
        <w:t xml:space="preserve"> </w:t>
      </w:r>
      <w:r w:rsidR="001311EB">
        <w:rPr>
          <w:rFonts w:ascii="Arial" w:hAnsi="Arial" w:cs="Arial"/>
          <w:szCs w:val="24"/>
        </w:rPr>
        <w:t>sub</w:t>
      </w:r>
      <w:r w:rsidR="001A6CF4" w:rsidRPr="00C125F7">
        <w:rPr>
          <w:rFonts w:ascii="Arial" w:hAnsi="Arial" w:cs="Arial"/>
          <w:szCs w:val="24"/>
        </w:rPr>
        <w:t>section 13(1)(d)</w:t>
      </w:r>
      <w:r w:rsidR="00F83797">
        <w:rPr>
          <w:rFonts w:ascii="Arial" w:hAnsi="Arial" w:cs="Arial"/>
          <w:szCs w:val="24"/>
        </w:rPr>
        <w:t xml:space="preserve"> of</w:t>
      </w:r>
      <w:r w:rsidR="001A6CF4" w:rsidRPr="00C125F7">
        <w:rPr>
          <w:rFonts w:ascii="Arial" w:hAnsi="Arial" w:cs="Arial"/>
          <w:szCs w:val="24"/>
        </w:rPr>
        <w:t xml:space="preserve"> </w:t>
      </w:r>
      <w:r w:rsidR="00F153A7">
        <w:rPr>
          <w:rFonts w:ascii="Arial" w:hAnsi="Arial" w:cs="Arial"/>
          <w:szCs w:val="24"/>
        </w:rPr>
        <w:t>the</w:t>
      </w:r>
      <w:r w:rsidR="0052681F" w:rsidRPr="0052681F">
        <w:rPr>
          <w:rFonts w:ascii="Arial" w:hAnsi="Arial" w:cs="Arial"/>
          <w:szCs w:val="24"/>
        </w:rPr>
        <w:t xml:space="preserve"> </w:t>
      </w:r>
      <w:r w:rsidR="0052681F">
        <w:rPr>
          <w:rFonts w:ascii="Arial" w:hAnsi="Arial" w:cs="Arial"/>
          <w:szCs w:val="24"/>
        </w:rPr>
        <w:t>Up-front Payments</w:t>
      </w:r>
      <w:r w:rsidR="00290E88">
        <w:rPr>
          <w:rFonts w:ascii="Arial" w:hAnsi="Arial" w:cs="Arial"/>
          <w:szCs w:val="24"/>
        </w:rPr>
        <w:t xml:space="preserve"> Levy Act.</w:t>
      </w:r>
      <w:bookmarkEnd w:id="1"/>
    </w:p>
    <w:p w14:paraId="0364F8F3" w14:textId="77777777" w:rsidR="003A6FE7" w:rsidRDefault="003A6FE7" w:rsidP="00561F73">
      <w:pPr>
        <w:contextualSpacing/>
        <w:rPr>
          <w:rFonts w:ascii="Arial" w:hAnsi="Arial" w:cs="Arial"/>
          <w:szCs w:val="24"/>
        </w:rPr>
      </w:pPr>
    </w:p>
    <w:p w14:paraId="1D2FAA7F" w14:textId="77777777" w:rsidR="00A67710" w:rsidRDefault="00A67710" w:rsidP="00561F73">
      <w:pPr>
        <w:contextualSpacing/>
        <w:rPr>
          <w:rFonts w:ascii="Arial" w:hAnsi="Arial" w:cs="Arial"/>
          <w:szCs w:val="24"/>
        </w:rPr>
      </w:pPr>
    </w:p>
    <w:p w14:paraId="04A4A2EF" w14:textId="52658F1A"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28916B74" w14:textId="77777777" w:rsidR="00561F73" w:rsidRPr="001731CD" w:rsidRDefault="00561F73" w:rsidP="00561F73">
      <w:pPr>
        <w:contextualSpacing/>
        <w:rPr>
          <w:rFonts w:ascii="Arial" w:hAnsi="Arial" w:cs="Arial"/>
          <w:szCs w:val="24"/>
        </w:rPr>
      </w:pPr>
    </w:p>
    <w:p w14:paraId="6B7DC155" w14:textId="77777777" w:rsidR="00AC1992" w:rsidRDefault="00AC1992" w:rsidP="00561F73">
      <w:pPr>
        <w:contextualSpacing/>
        <w:rPr>
          <w:rFonts w:ascii="Arial" w:hAnsi="Arial" w:cs="Arial"/>
          <w:szCs w:val="24"/>
        </w:rPr>
      </w:pPr>
    </w:p>
    <w:p w14:paraId="40F31DEE" w14:textId="77777777" w:rsidR="00002298" w:rsidRDefault="00002298" w:rsidP="00C04E55">
      <w:pPr>
        <w:contextualSpacing/>
        <w:rPr>
          <w:rFonts w:ascii="Arial" w:hAnsi="Arial" w:cs="Arial"/>
          <w:szCs w:val="24"/>
        </w:rPr>
      </w:pPr>
    </w:p>
    <w:p w14:paraId="5E93CC99" w14:textId="43EA2B69" w:rsidR="00C04E55" w:rsidRPr="003C2A43" w:rsidRDefault="0015716C" w:rsidP="00C04E55">
      <w:pPr>
        <w:contextualSpacing/>
        <w:rPr>
          <w:rFonts w:ascii="Arial" w:hAnsi="Arial" w:cs="Arial"/>
          <w:b/>
          <w:bCs/>
          <w:szCs w:val="24"/>
        </w:rPr>
      </w:pPr>
      <w:r w:rsidRPr="003C2A43">
        <w:rPr>
          <w:rFonts w:ascii="Arial" w:hAnsi="Arial" w:cs="Arial"/>
          <w:b/>
          <w:bCs/>
          <w:szCs w:val="24"/>
        </w:rPr>
        <w:t>Sharon Robertson</w:t>
      </w:r>
    </w:p>
    <w:p w14:paraId="671CE90A" w14:textId="77777777" w:rsidR="00C04E55" w:rsidRPr="001731CD" w:rsidRDefault="00C04E55" w:rsidP="00C04E55">
      <w:pPr>
        <w:contextualSpacing/>
        <w:rPr>
          <w:rFonts w:ascii="Arial" w:hAnsi="Arial" w:cs="Arial"/>
          <w:szCs w:val="24"/>
        </w:rPr>
      </w:pPr>
      <w:r w:rsidRPr="001731CD">
        <w:rPr>
          <w:rFonts w:ascii="Arial" w:hAnsi="Arial" w:cs="Arial"/>
          <w:szCs w:val="24"/>
        </w:rPr>
        <w:t>Chair</w:t>
      </w:r>
    </w:p>
    <w:p w14:paraId="3854A0D3" w14:textId="23FF12C7" w:rsidR="000C372C" w:rsidRDefault="00F153A7" w:rsidP="004A4E38">
      <w:pPr>
        <w:contextualSpacing/>
        <w:rPr>
          <w:rFonts w:ascii="Arial" w:hAnsi="Arial" w:cs="Arial"/>
          <w:szCs w:val="24"/>
        </w:rPr>
        <w:sectPr w:rsidR="000C372C" w:rsidSect="005E2DBE">
          <w:footerReference w:type="default" r:id="rId10"/>
          <w:headerReference w:type="first" r:id="rId11"/>
          <w:footerReference w:type="first" r:id="rId12"/>
          <w:endnotePr>
            <w:numFmt w:val="decimal"/>
          </w:endnotePr>
          <w:pgSz w:w="11906" w:h="16838"/>
          <w:pgMar w:top="1440" w:right="1134" w:bottom="1440" w:left="1134" w:header="709" w:footer="709" w:gutter="0"/>
          <w:cols w:space="708"/>
          <w:titlePg/>
          <w:docGrid w:linePitch="360"/>
        </w:sectPr>
      </w:pPr>
      <w:r>
        <w:rPr>
          <w:rFonts w:ascii="Arial" w:hAnsi="Arial" w:cs="Arial"/>
          <w:szCs w:val="24"/>
        </w:rPr>
        <w:t>Higher Education</w:t>
      </w:r>
      <w:r w:rsidR="00561F73" w:rsidRPr="001731CD">
        <w:rPr>
          <w:rFonts w:ascii="Arial" w:hAnsi="Arial" w:cs="Arial"/>
          <w:szCs w:val="24"/>
        </w:rPr>
        <w:t xml:space="preserve"> Tuition Protection Fund Advisory Board</w:t>
      </w:r>
      <w:r w:rsidR="00561F73">
        <w:rPr>
          <w:rFonts w:ascii="Arial" w:hAnsi="Arial" w:cs="Arial"/>
          <w:szCs w:val="24"/>
        </w:rPr>
        <w:br w:type="page"/>
      </w:r>
    </w:p>
    <w:p w14:paraId="123E5765" w14:textId="5E882EDD" w:rsidR="003552FC" w:rsidRPr="00BA5C78" w:rsidRDefault="00561F73" w:rsidP="005975E2">
      <w:pPr>
        <w:spacing w:after="120" w:line="259" w:lineRule="auto"/>
        <w:rPr>
          <w:rFonts w:ascii="Arial" w:hAnsi="Arial" w:cs="Arial"/>
          <w:b/>
          <w:sz w:val="22"/>
          <w:szCs w:val="22"/>
        </w:rPr>
      </w:pPr>
      <w:r w:rsidRPr="00BA5C78">
        <w:rPr>
          <w:rFonts w:ascii="Arial" w:hAnsi="Arial" w:cs="Arial"/>
          <w:b/>
          <w:sz w:val="22"/>
          <w:szCs w:val="22"/>
        </w:rPr>
        <w:lastRenderedPageBreak/>
        <w:t xml:space="preserve">Risk </w:t>
      </w:r>
      <w:r w:rsidR="00D179E2" w:rsidRPr="00BA5C78">
        <w:rPr>
          <w:rFonts w:ascii="Arial" w:hAnsi="Arial" w:cs="Arial"/>
          <w:b/>
          <w:sz w:val="22"/>
          <w:szCs w:val="22"/>
        </w:rPr>
        <w:t>f</w:t>
      </w:r>
      <w:r w:rsidRPr="00BA5C78">
        <w:rPr>
          <w:rFonts w:ascii="Arial" w:hAnsi="Arial" w:cs="Arial"/>
          <w:b/>
          <w:sz w:val="22"/>
          <w:szCs w:val="22"/>
        </w:rPr>
        <w:t xml:space="preserve">actors and </w:t>
      </w:r>
      <w:r w:rsidR="003552FC" w:rsidRPr="00BA5C78">
        <w:rPr>
          <w:rFonts w:ascii="Arial" w:hAnsi="Arial" w:cs="Arial"/>
          <w:b/>
          <w:sz w:val="22"/>
          <w:szCs w:val="22"/>
        </w:rPr>
        <w:t>values</w:t>
      </w:r>
      <w:r w:rsidRPr="00BA5C78">
        <w:rPr>
          <w:rFonts w:ascii="Arial" w:hAnsi="Arial" w:cs="Arial"/>
          <w:b/>
          <w:sz w:val="22"/>
          <w:szCs w:val="22"/>
        </w:rPr>
        <w:t xml:space="preserve"> for the Risk</w:t>
      </w:r>
      <w:r w:rsidR="005D7334" w:rsidRPr="00BA5C78">
        <w:rPr>
          <w:rFonts w:ascii="Arial" w:hAnsi="Arial" w:cs="Arial"/>
          <w:b/>
          <w:sz w:val="22"/>
          <w:szCs w:val="22"/>
        </w:rPr>
        <w:t xml:space="preserve"> </w:t>
      </w:r>
      <w:r w:rsidR="00667E6D" w:rsidRPr="00BA5C78">
        <w:rPr>
          <w:rFonts w:ascii="Arial" w:hAnsi="Arial" w:cs="Arial"/>
          <w:b/>
          <w:sz w:val="22"/>
          <w:szCs w:val="22"/>
        </w:rPr>
        <w:t>R</w:t>
      </w:r>
      <w:r w:rsidRPr="00BA5C78">
        <w:rPr>
          <w:rFonts w:ascii="Arial" w:hAnsi="Arial" w:cs="Arial"/>
          <w:b/>
          <w:sz w:val="22"/>
          <w:szCs w:val="22"/>
        </w:rPr>
        <w:t xml:space="preserve">ated Premium </w:t>
      </w:r>
      <w:r w:rsidR="00D179E2" w:rsidRPr="00BA5C78">
        <w:rPr>
          <w:rFonts w:ascii="Arial" w:hAnsi="Arial" w:cs="Arial"/>
          <w:b/>
          <w:sz w:val="22"/>
          <w:szCs w:val="22"/>
        </w:rPr>
        <w:t>c</w:t>
      </w:r>
      <w:r w:rsidRPr="00BA5C78">
        <w:rPr>
          <w:rFonts w:ascii="Arial" w:hAnsi="Arial" w:cs="Arial"/>
          <w:b/>
          <w:sz w:val="22"/>
          <w:szCs w:val="22"/>
        </w:rPr>
        <w:t>omponent</w:t>
      </w:r>
      <w:r w:rsidR="004A1C36" w:rsidRPr="00BA5C78">
        <w:rPr>
          <w:rFonts w:ascii="Arial" w:hAnsi="Arial" w:cs="Arial"/>
          <w:b/>
          <w:sz w:val="22"/>
          <w:szCs w:val="22"/>
        </w:rPr>
        <w:t xml:space="preserve"> </w:t>
      </w:r>
      <w:r w:rsidR="00D179E2" w:rsidRPr="00BA5C78">
        <w:rPr>
          <w:rFonts w:ascii="Arial" w:hAnsi="Arial" w:cs="Arial"/>
          <w:b/>
          <w:sz w:val="22"/>
          <w:szCs w:val="22"/>
        </w:rPr>
        <w:t>of</w:t>
      </w:r>
      <w:r w:rsidRPr="00BA5C78">
        <w:rPr>
          <w:rFonts w:ascii="Arial" w:hAnsi="Arial" w:cs="Arial"/>
          <w:b/>
          <w:sz w:val="22"/>
          <w:szCs w:val="22"/>
        </w:rPr>
        <w:t xml:space="preserve"> the</w:t>
      </w:r>
      <w:r w:rsidR="00512072" w:rsidRPr="00BA5C78">
        <w:rPr>
          <w:rFonts w:ascii="Arial" w:hAnsi="Arial" w:cs="Arial"/>
          <w:b/>
          <w:sz w:val="22"/>
          <w:szCs w:val="22"/>
        </w:rPr>
        <w:t xml:space="preserve"> 2025</w:t>
      </w:r>
      <w:r w:rsidRPr="00BA5C78">
        <w:rPr>
          <w:rFonts w:ascii="Arial" w:hAnsi="Arial" w:cs="Arial"/>
          <w:b/>
          <w:sz w:val="22"/>
          <w:szCs w:val="22"/>
        </w:rPr>
        <w:t xml:space="preserve"> </w:t>
      </w:r>
      <w:r w:rsidR="00CB17FD" w:rsidRPr="00BA5C78">
        <w:rPr>
          <w:rFonts w:ascii="Arial" w:hAnsi="Arial" w:cs="Arial"/>
          <w:b/>
          <w:sz w:val="22"/>
          <w:szCs w:val="22"/>
        </w:rPr>
        <w:t>Up-front Payments</w:t>
      </w:r>
      <w:r w:rsidRPr="00BA5C78">
        <w:rPr>
          <w:rFonts w:ascii="Arial" w:hAnsi="Arial" w:cs="Arial"/>
          <w:b/>
          <w:sz w:val="22"/>
          <w:szCs w:val="22"/>
        </w:rPr>
        <w:t xml:space="preserve"> Tuition Protection Levy</w:t>
      </w:r>
    </w:p>
    <w:tbl>
      <w:tblPr>
        <w:tblW w:w="15451" w:type="dxa"/>
        <w:jc w:val="center"/>
        <w:tblCellMar>
          <w:left w:w="0" w:type="dxa"/>
          <w:right w:w="0" w:type="dxa"/>
        </w:tblCellMar>
        <w:tblLook w:val="04A0" w:firstRow="1" w:lastRow="0" w:firstColumn="1" w:lastColumn="0" w:noHBand="0" w:noVBand="1"/>
      </w:tblPr>
      <w:tblGrid>
        <w:gridCol w:w="2675"/>
        <w:gridCol w:w="7712"/>
        <w:gridCol w:w="2336"/>
        <w:gridCol w:w="2728"/>
      </w:tblGrid>
      <w:tr w:rsidR="00512072" w:rsidRPr="00BA5C78" w14:paraId="6C986D79" w14:textId="77777777" w:rsidTr="00D246FC">
        <w:trPr>
          <w:trHeight w:hRule="exact" w:val="630"/>
          <w:jc w:val="center"/>
        </w:trPr>
        <w:tc>
          <w:tcPr>
            <w:tcW w:w="2675" w:type="dxa"/>
            <w:shd w:val="clear" w:color="auto" w:fill="3C7D86"/>
            <w:tcMar>
              <w:top w:w="0" w:type="dxa"/>
              <w:left w:w="108" w:type="dxa"/>
              <w:bottom w:w="0" w:type="dxa"/>
              <w:right w:w="108" w:type="dxa"/>
            </w:tcMar>
            <w:hideMark/>
          </w:tcPr>
          <w:p w14:paraId="217EFC8D" w14:textId="77777777" w:rsidR="00512072" w:rsidRPr="00BA5C78" w:rsidRDefault="00512072" w:rsidP="00667E6D">
            <w:pPr>
              <w:pStyle w:val="subsection"/>
              <w:spacing w:before="0"/>
              <w:jc w:val="center"/>
              <w:rPr>
                <w:rFonts w:ascii="Arial" w:hAnsi="Arial" w:cs="Arial"/>
                <w:b/>
                <w:color w:val="FFFFFF" w:themeColor="background1"/>
                <w:szCs w:val="22"/>
              </w:rPr>
            </w:pPr>
            <w:r w:rsidRPr="00BA5C78">
              <w:rPr>
                <w:rFonts w:ascii="Arial" w:hAnsi="Arial" w:cs="Arial"/>
                <w:b/>
                <w:color w:val="FFFFFF" w:themeColor="background1"/>
                <w:szCs w:val="22"/>
              </w:rPr>
              <w:t>Risk factor</w:t>
            </w:r>
          </w:p>
        </w:tc>
        <w:tc>
          <w:tcPr>
            <w:tcW w:w="7712" w:type="dxa"/>
            <w:shd w:val="clear" w:color="auto" w:fill="3C7D86"/>
            <w:tcMar>
              <w:top w:w="0" w:type="dxa"/>
              <w:left w:w="108" w:type="dxa"/>
              <w:bottom w:w="0" w:type="dxa"/>
              <w:right w:w="108" w:type="dxa"/>
            </w:tcMar>
            <w:hideMark/>
          </w:tcPr>
          <w:p w14:paraId="1FAB809F" w14:textId="77777777" w:rsidR="00512072" w:rsidRPr="00BA5C78" w:rsidRDefault="00512072" w:rsidP="00667E6D">
            <w:pPr>
              <w:pStyle w:val="subsection"/>
              <w:spacing w:before="0"/>
              <w:jc w:val="center"/>
              <w:rPr>
                <w:rFonts w:ascii="Arial" w:hAnsi="Arial" w:cs="Arial"/>
                <w:b/>
                <w:color w:val="FFFFFF" w:themeColor="background1"/>
                <w:szCs w:val="22"/>
              </w:rPr>
            </w:pPr>
            <w:r w:rsidRPr="00BA5C78">
              <w:rPr>
                <w:rFonts w:ascii="Arial" w:hAnsi="Arial" w:cs="Arial"/>
                <w:b/>
                <w:color w:val="FFFFFF" w:themeColor="background1"/>
                <w:szCs w:val="22"/>
              </w:rPr>
              <w:t>Category</w:t>
            </w:r>
          </w:p>
        </w:tc>
        <w:tc>
          <w:tcPr>
            <w:tcW w:w="2336" w:type="dxa"/>
            <w:shd w:val="clear" w:color="auto" w:fill="3C7D86"/>
            <w:tcMar>
              <w:top w:w="0" w:type="dxa"/>
              <w:left w:w="108" w:type="dxa"/>
              <w:bottom w:w="0" w:type="dxa"/>
              <w:right w:w="108" w:type="dxa"/>
            </w:tcMar>
            <w:hideMark/>
          </w:tcPr>
          <w:p w14:paraId="11720D9C" w14:textId="77777777" w:rsidR="00512072" w:rsidRPr="00BA5C78" w:rsidRDefault="00512072" w:rsidP="00667E6D">
            <w:pPr>
              <w:pStyle w:val="subsection"/>
              <w:spacing w:before="0"/>
              <w:jc w:val="center"/>
              <w:rPr>
                <w:rFonts w:ascii="Arial" w:hAnsi="Arial" w:cs="Arial"/>
                <w:b/>
                <w:color w:val="FFFFFF" w:themeColor="background1"/>
                <w:szCs w:val="22"/>
              </w:rPr>
            </w:pPr>
            <w:r w:rsidRPr="00BA5C78">
              <w:rPr>
                <w:rFonts w:ascii="Arial" w:hAnsi="Arial" w:cs="Arial"/>
                <w:b/>
                <w:color w:val="FFFFFF" w:themeColor="background1"/>
                <w:szCs w:val="22"/>
              </w:rPr>
              <w:t>2024 values</w:t>
            </w:r>
          </w:p>
        </w:tc>
        <w:tc>
          <w:tcPr>
            <w:tcW w:w="2728" w:type="dxa"/>
            <w:shd w:val="clear" w:color="auto" w:fill="3C7D86"/>
          </w:tcPr>
          <w:p w14:paraId="5F80D5D6" w14:textId="5452F39E" w:rsidR="00512072" w:rsidRPr="00BA5C78" w:rsidRDefault="008458D4" w:rsidP="00A95830">
            <w:pPr>
              <w:pStyle w:val="subsection"/>
              <w:tabs>
                <w:tab w:val="clear" w:pos="1021"/>
              </w:tabs>
              <w:spacing w:before="0"/>
              <w:ind w:left="0" w:firstLine="0"/>
              <w:jc w:val="center"/>
              <w:rPr>
                <w:rFonts w:ascii="Arial" w:hAnsi="Arial" w:cs="Arial"/>
                <w:b/>
                <w:color w:val="FFFFFF" w:themeColor="background1"/>
                <w:szCs w:val="22"/>
              </w:rPr>
            </w:pPr>
            <w:r w:rsidRPr="00BA5C78">
              <w:rPr>
                <w:rFonts w:ascii="Arial" w:hAnsi="Arial" w:cs="Arial"/>
                <w:b/>
                <w:color w:val="FFFFFF" w:themeColor="background1"/>
                <w:szCs w:val="22"/>
              </w:rPr>
              <w:t>Recommended</w:t>
            </w:r>
            <w:r w:rsidR="00512072" w:rsidRPr="00BA5C78">
              <w:rPr>
                <w:rFonts w:ascii="Arial" w:hAnsi="Arial" w:cs="Arial"/>
                <w:b/>
                <w:color w:val="FFFFFF" w:themeColor="background1"/>
                <w:szCs w:val="22"/>
              </w:rPr>
              <w:t xml:space="preserve"> 2025</w:t>
            </w:r>
            <w:r w:rsidR="00D246FC">
              <w:rPr>
                <w:rFonts w:ascii="Arial" w:hAnsi="Arial" w:cs="Arial"/>
                <w:b/>
                <w:color w:val="FFFFFF" w:themeColor="background1"/>
                <w:szCs w:val="22"/>
              </w:rPr>
              <w:t xml:space="preserve"> </w:t>
            </w:r>
            <w:r w:rsidR="00512072" w:rsidRPr="00BA5C78">
              <w:rPr>
                <w:rFonts w:ascii="Arial" w:hAnsi="Arial" w:cs="Arial"/>
                <w:b/>
                <w:color w:val="FFFFFF" w:themeColor="background1"/>
                <w:szCs w:val="22"/>
              </w:rPr>
              <w:t>settings</w:t>
            </w:r>
          </w:p>
        </w:tc>
      </w:tr>
      <w:tr w:rsidR="00064810" w:rsidRPr="00BA5C78" w14:paraId="2A336F73" w14:textId="77777777" w:rsidTr="001A2741">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hideMark/>
          </w:tcPr>
          <w:p w14:paraId="2EACA907" w14:textId="6AD45F01"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szCs w:val="22"/>
              </w:rPr>
              <w:t>Financial strength</w:t>
            </w:r>
            <w:r w:rsidRPr="00BA5C78">
              <w:rPr>
                <w:rStyle w:val="FootnoteReference"/>
                <w:rFonts w:ascii="Arial" w:hAnsi="Arial" w:cs="Arial"/>
                <w:szCs w:val="22"/>
              </w:rPr>
              <w:footnoteReference w:id="2"/>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0DD44F0" w14:textId="2571FF53"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9</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3AA8B66"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 xml:space="preserve">0.0 </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0B28439"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0.0</w:t>
            </w:r>
          </w:p>
        </w:tc>
      </w:tr>
      <w:tr w:rsidR="00064810" w:rsidRPr="00BA5C78" w14:paraId="44AEAA72"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218AEDF9" w14:textId="77777777" w:rsidR="00064810" w:rsidRPr="00BA5C78" w:rsidRDefault="00064810" w:rsidP="00667E6D">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9D83CC6" w14:textId="3267636D"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6 or 7.5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7A07789"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1.0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216830F"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1.0</w:t>
            </w:r>
          </w:p>
        </w:tc>
      </w:tr>
      <w:tr w:rsidR="00064810" w:rsidRPr="00BA5C78" w14:paraId="37F588DA"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7BCDA2A4" w14:textId="77777777" w:rsidR="00064810" w:rsidRPr="00BA5C78" w:rsidRDefault="00064810" w:rsidP="00667E6D">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AE55582" w14:textId="068D4ABB"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3 or 4.5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B0E0D4D"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2.0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15214234"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2.0</w:t>
            </w:r>
          </w:p>
        </w:tc>
      </w:tr>
      <w:tr w:rsidR="00064810" w:rsidRPr="00BA5C78" w14:paraId="23167350"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618FE35E" w14:textId="77777777" w:rsidR="00064810" w:rsidRPr="00BA5C78" w:rsidRDefault="00064810" w:rsidP="00667E6D">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812749F" w14:textId="5940725B"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 xml:space="preserve">Provider did not submit </w:t>
            </w:r>
            <w:r w:rsidR="00262B94" w:rsidRPr="00BA5C78">
              <w:rPr>
                <w:rFonts w:ascii="Arial" w:hAnsi="Arial" w:cs="Arial"/>
                <w:color w:val="000000" w:themeColor="text1"/>
                <w:szCs w:val="22"/>
              </w:rPr>
              <w:t xml:space="preserve">financial </w:t>
            </w:r>
            <w:r w:rsidRPr="00BA5C78">
              <w:rPr>
                <w:rFonts w:ascii="Arial" w:hAnsi="Arial" w:cs="Arial"/>
                <w:color w:val="000000" w:themeColor="text1"/>
                <w:szCs w:val="22"/>
              </w:rPr>
              <w:t>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710F20C"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2.5</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50227A9E" w14:textId="77777777" w:rsidR="00064810" w:rsidRPr="00BA5C78" w:rsidRDefault="00064810"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2.5</w:t>
            </w:r>
          </w:p>
        </w:tc>
      </w:tr>
      <w:tr w:rsidR="00064810" w:rsidRPr="00BA5C78" w14:paraId="53F6CFDF"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1E3187E0" w14:textId="77777777" w:rsidR="00064810" w:rsidRPr="00BA5C78" w:rsidRDefault="00064810" w:rsidP="00667E6D">
            <w:pPr>
              <w:pStyle w:val="subsection"/>
              <w:spacing w:befor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D366966" w14:textId="3D406CD8" w:rsidR="00064810" w:rsidRPr="00BA5C78" w:rsidRDefault="00262B94"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Provider was not required to submit financial data</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B7663C4" w14:textId="6CE54777" w:rsidR="00064810" w:rsidRPr="00BA5C78" w:rsidRDefault="00262B94"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7DE3DD4" w14:textId="60878819" w:rsidR="00064810" w:rsidRPr="00BA5C78" w:rsidRDefault="00262B94"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0.0</w:t>
            </w:r>
          </w:p>
        </w:tc>
      </w:tr>
      <w:tr w:rsidR="00B20F89" w:rsidRPr="00BA5C78" w14:paraId="34374048" w14:textId="77777777" w:rsidTr="001A2741">
        <w:trPr>
          <w:trHeight w:hRule="exact" w:val="340"/>
          <w:jc w:val="center"/>
        </w:trPr>
        <w:tc>
          <w:tcPr>
            <w:tcW w:w="2675" w:type="dxa"/>
            <w:vMerge w:val="restart"/>
            <w:tcBorders>
              <w:right w:val="single" w:sz="4" w:space="0" w:color="FFFFFF" w:themeColor="background1"/>
            </w:tcBorders>
            <w:shd w:val="clear" w:color="auto" w:fill="F2F2F2"/>
            <w:tcMar>
              <w:top w:w="0" w:type="dxa"/>
              <w:left w:w="108" w:type="dxa"/>
              <w:bottom w:w="0" w:type="dxa"/>
              <w:right w:w="108" w:type="dxa"/>
            </w:tcMar>
            <w:hideMark/>
          </w:tcPr>
          <w:p w14:paraId="6FB0AA32" w14:textId="2B8FE9A5" w:rsidR="00B20F89" w:rsidRPr="00BA5C78" w:rsidRDefault="00B20F89" w:rsidP="00667E6D">
            <w:pPr>
              <w:pStyle w:val="subsection"/>
              <w:spacing w:before="0"/>
              <w:ind w:left="1171"/>
              <w:jc w:val="center"/>
              <w:rPr>
                <w:rFonts w:ascii="Arial" w:hAnsi="Arial" w:cs="Arial"/>
                <w:color w:val="000000" w:themeColor="text1"/>
                <w:szCs w:val="22"/>
              </w:rPr>
            </w:pPr>
            <w:r w:rsidRPr="00BA5C78">
              <w:rPr>
                <w:rFonts w:ascii="Arial" w:hAnsi="Arial" w:cs="Arial"/>
                <w:color w:val="000000" w:themeColor="text1"/>
                <w:szCs w:val="22"/>
              </w:rPr>
              <w:t>Completion rate</w:t>
            </w:r>
            <w:r w:rsidRPr="00BA5C78">
              <w:rPr>
                <w:rStyle w:val="FootnoteReference"/>
                <w:rFonts w:ascii="Arial" w:hAnsi="Arial" w:cs="Arial"/>
                <w:color w:val="000000" w:themeColor="text1"/>
                <w:szCs w:val="22"/>
              </w:rPr>
              <w:footnoteReference w:customMarkFollows="1" w:id="3"/>
              <w:t>2</w:t>
            </w: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677E4310" w14:textId="277757CE" w:rsidR="00B20F89" w:rsidRPr="00BA5C78" w:rsidRDefault="00B20F89" w:rsidP="00667E6D">
            <w:pPr>
              <w:pStyle w:val="subsection"/>
              <w:spacing w:before="0"/>
              <w:ind w:left="0" w:firstLine="0"/>
              <w:jc w:val="center"/>
              <w:rPr>
                <w:rFonts w:ascii="Arial" w:hAnsi="Arial" w:cs="Arial"/>
                <w:color w:val="000000" w:themeColor="text1"/>
                <w:szCs w:val="22"/>
              </w:rPr>
            </w:pPr>
            <w:r w:rsidRPr="00BA5C78">
              <w:rPr>
                <w:rFonts w:ascii="Arial" w:hAnsi="Arial" w:cs="Arial"/>
                <w:color w:val="000000" w:themeColor="text1"/>
                <w:szCs w:val="22"/>
              </w:rPr>
              <w:t>85% or highe</w:t>
            </w:r>
            <w:r w:rsidRPr="00522366">
              <w:rPr>
                <w:rFonts w:ascii="Arial" w:hAnsi="Arial" w:cs="Arial"/>
                <w:color w:val="000000" w:themeColor="text1"/>
                <w:szCs w:val="22"/>
              </w:rPr>
              <w:t>r</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71DFA33D" w14:textId="77777777" w:rsidR="00B20F89" w:rsidRPr="00BA5C78" w:rsidRDefault="00B20F89"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B86409D" w14:textId="77777777" w:rsidR="00B20F89" w:rsidRPr="00BA5C78" w:rsidRDefault="00B20F89"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0.0</w:t>
            </w:r>
          </w:p>
        </w:tc>
      </w:tr>
      <w:tr w:rsidR="00B20F89" w:rsidRPr="00BA5C78" w14:paraId="165B1301" w14:textId="77777777" w:rsidTr="001A2741">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66FD06AA" w14:textId="77777777" w:rsidR="00B20F89" w:rsidRPr="00BA5C78" w:rsidRDefault="00B20F89" w:rsidP="00667E6D">
            <w:pPr>
              <w:pStyle w:val="subsection"/>
              <w:spacing w:before="0"/>
              <w:ind w:left="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13F5A7D0" w14:textId="42A31063" w:rsidR="00B20F89" w:rsidRPr="00BA5C78" w:rsidRDefault="00B20F89" w:rsidP="00667E6D">
            <w:pPr>
              <w:pStyle w:val="subsection"/>
              <w:spacing w:before="0"/>
              <w:ind w:left="0" w:firstLine="0"/>
              <w:jc w:val="center"/>
              <w:rPr>
                <w:rFonts w:ascii="Arial" w:hAnsi="Arial" w:cs="Arial"/>
                <w:color w:val="000000" w:themeColor="text1"/>
                <w:szCs w:val="22"/>
              </w:rPr>
            </w:pPr>
            <w:r w:rsidRPr="00BA5C78">
              <w:rPr>
                <w:rFonts w:ascii="Arial" w:hAnsi="Arial" w:cs="Arial"/>
                <w:color w:val="000000" w:themeColor="text1"/>
                <w:szCs w:val="22"/>
              </w:rPr>
              <w:t>60% to &lt;85%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2339A4C" w14:textId="77777777" w:rsidR="00B20F89" w:rsidRPr="00BA5C78" w:rsidRDefault="00B20F89"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1.0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0B3373E" w14:textId="77777777" w:rsidR="00B20F89" w:rsidRPr="00BA5C78" w:rsidRDefault="00B20F89"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1.0</w:t>
            </w:r>
          </w:p>
        </w:tc>
      </w:tr>
      <w:tr w:rsidR="00B20F89" w:rsidRPr="00BA5C78" w14:paraId="3F0D2A8A" w14:textId="77777777" w:rsidTr="001A2741">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3EF4B9CC" w14:textId="77777777" w:rsidR="00B20F89" w:rsidRPr="00BA5C78" w:rsidRDefault="00B20F89" w:rsidP="00667E6D">
            <w:pPr>
              <w:pStyle w:val="subsection"/>
              <w:spacing w:before="0"/>
              <w:ind w:left="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4D8895EF" w14:textId="38BAA44C" w:rsidR="00B20F89" w:rsidRPr="00BA5C78" w:rsidRDefault="00B20F89" w:rsidP="00667E6D">
            <w:pPr>
              <w:pStyle w:val="subsection"/>
              <w:spacing w:before="0"/>
              <w:ind w:left="0" w:firstLine="0"/>
              <w:jc w:val="center"/>
              <w:rPr>
                <w:rFonts w:ascii="Arial" w:hAnsi="Arial" w:cs="Arial"/>
                <w:color w:val="000000" w:themeColor="text1"/>
                <w:szCs w:val="22"/>
              </w:rPr>
            </w:pPr>
            <w:r w:rsidRPr="00BA5C78">
              <w:rPr>
                <w:rFonts w:ascii="Arial" w:hAnsi="Arial" w:cs="Arial"/>
                <w:color w:val="000000" w:themeColor="text1"/>
                <w:szCs w:val="22"/>
              </w:rPr>
              <w:t>35% to &lt;60%</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0BECCEF7" w14:textId="77777777" w:rsidR="00B20F89" w:rsidRPr="00BA5C78" w:rsidRDefault="00B20F89"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2.5</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16CC84BE" w14:textId="77777777" w:rsidR="00B20F89" w:rsidRPr="00BA5C78" w:rsidRDefault="00B20F89" w:rsidP="00667E6D">
            <w:pPr>
              <w:pStyle w:val="subsection"/>
              <w:spacing w:before="0"/>
              <w:jc w:val="center"/>
              <w:rPr>
                <w:rFonts w:ascii="Arial" w:hAnsi="Arial" w:cs="Arial"/>
                <w:color w:val="000000" w:themeColor="text1"/>
                <w:szCs w:val="22"/>
              </w:rPr>
            </w:pPr>
            <w:r w:rsidRPr="00BA5C78">
              <w:rPr>
                <w:rFonts w:ascii="Arial" w:hAnsi="Arial" w:cs="Arial"/>
                <w:color w:val="000000" w:themeColor="text1"/>
                <w:szCs w:val="22"/>
              </w:rPr>
              <w:t>2.5</w:t>
            </w:r>
          </w:p>
        </w:tc>
      </w:tr>
      <w:tr w:rsidR="00B20F89" w:rsidRPr="00BA5C78" w14:paraId="21E1A784" w14:textId="77777777" w:rsidTr="001A2741">
        <w:trPr>
          <w:trHeight w:hRule="exact" w:val="340"/>
          <w:jc w:val="center"/>
        </w:trPr>
        <w:tc>
          <w:tcPr>
            <w:tcW w:w="2675" w:type="dxa"/>
            <w:vMerge/>
            <w:tcBorders>
              <w:right w:val="single" w:sz="4" w:space="0" w:color="FFFFFF" w:themeColor="background1"/>
            </w:tcBorders>
            <w:shd w:val="clear" w:color="auto" w:fill="F2F2F2"/>
            <w:tcMar>
              <w:top w:w="0" w:type="dxa"/>
              <w:left w:w="108" w:type="dxa"/>
              <w:bottom w:w="0" w:type="dxa"/>
              <w:right w:w="108" w:type="dxa"/>
            </w:tcMar>
            <w:hideMark/>
          </w:tcPr>
          <w:p w14:paraId="7725CED7" w14:textId="77777777" w:rsidR="00B20F89" w:rsidRPr="00BA5C78" w:rsidRDefault="00B20F89" w:rsidP="00667E6D">
            <w:pPr>
              <w:pStyle w:val="subsection"/>
              <w:spacing w:before="0"/>
              <w:ind w:left="0" w:firstLine="0"/>
              <w:jc w:val="center"/>
              <w:rPr>
                <w:rFonts w:ascii="Arial" w:hAnsi="Arial" w:cs="Arial"/>
                <w:color w:val="000000" w:themeColor="text1"/>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tcPr>
          <w:p w14:paraId="007CFEBA" w14:textId="1FFB48B8" w:rsidR="00B20F89" w:rsidRPr="00BA5C78" w:rsidRDefault="00B20F89" w:rsidP="00667E6D">
            <w:pPr>
              <w:pStyle w:val="subsection"/>
              <w:spacing w:before="0"/>
              <w:ind w:left="0" w:firstLine="0"/>
              <w:jc w:val="center"/>
              <w:rPr>
                <w:rFonts w:ascii="Arial" w:hAnsi="Arial" w:cs="Arial"/>
                <w:color w:val="000000" w:themeColor="text1"/>
                <w:szCs w:val="22"/>
              </w:rPr>
            </w:pPr>
            <w:r w:rsidRPr="00BA5C78">
              <w:rPr>
                <w:rFonts w:ascii="Arial" w:hAnsi="Arial" w:cs="Arial"/>
                <w:color w:val="000000" w:themeColor="text1"/>
                <w:szCs w:val="22"/>
              </w:rPr>
              <w:t>0% to &lt;35%</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Mar>
              <w:top w:w="0" w:type="dxa"/>
              <w:left w:w="108" w:type="dxa"/>
              <w:bottom w:w="0" w:type="dxa"/>
              <w:right w:w="108" w:type="dxa"/>
            </w:tcMar>
            <w:hideMark/>
          </w:tcPr>
          <w:p w14:paraId="5644D958" w14:textId="77777777" w:rsidR="00B20F89" w:rsidRPr="00BA5C78" w:rsidRDefault="00B20F89" w:rsidP="00667E6D">
            <w:pPr>
              <w:pStyle w:val="subsection"/>
              <w:spacing w:before="0"/>
              <w:ind w:left="0" w:firstLine="0"/>
              <w:jc w:val="center"/>
              <w:rPr>
                <w:rFonts w:ascii="Arial" w:hAnsi="Arial" w:cs="Arial"/>
                <w:color w:val="000000" w:themeColor="text1"/>
                <w:szCs w:val="22"/>
              </w:rPr>
            </w:pPr>
            <w:r w:rsidRPr="00BA5C78">
              <w:rPr>
                <w:rFonts w:ascii="Arial" w:hAnsi="Arial" w:cs="Arial"/>
                <w:color w:val="000000" w:themeColor="text1"/>
                <w:szCs w:val="22"/>
              </w:rPr>
              <w:t>3.5</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cPr>
          <w:p w14:paraId="2A52F284" w14:textId="77777777" w:rsidR="00B20F89" w:rsidRPr="00BA5C78" w:rsidRDefault="00B20F89" w:rsidP="00667E6D">
            <w:pPr>
              <w:pStyle w:val="subsection"/>
              <w:spacing w:before="0"/>
              <w:ind w:left="0" w:firstLine="0"/>
              <w:jc w:val="center"/>
              <w:rPr>
                <w:rFonts w:ascii="Arial" w:hAnsi="Arial" w:cs="Arial"/>
                <w:color w:val="000000" w:themeColor="text1"/>
                <w:szCs w:val="22"/>
              </w:rPr>
            </w:pPr>
            <w:r w:rsidRPr="00BA5C78">
              <w:rPr>
                <w:rFonts w:ascii="Arial" w:hAnsi="Arial" w:cs="Arial"/>
                <w:color w:val="000000" w:themeColor="text1"/>
                <w:szCs w:val="22"/>
              </w:rPr>
              <w:t>3.5</w:t>
            </w:r>
          </w:p>
        </w:tc>
      </w:tr>
      <w:tr w:rsidR="00B20F89" w:rsidRPr="00BA5C78" w14:paraId="2085938A" w14:textId="77777777" w:rsidTr="001A2741">
        <w:trPr>
          <w:trHeight w:hRule="exact" w:val="340"/>
          <w:jc w:val="center"/>
        </w:trPr>
        <w:tc>
          <w:tcPr>
            <w:tcW w:w="2675" w:type="dxa"/>
            <w:vMerge w:val="restart"/>
            <w:tcBorders>
              <w:right w:val="single" w:sz="4" w:space="0" w:color="FFFFFF" w:themeColor="background1"/>
            </w:tcBorders>
            <w:shd w:val="clear" w:color="auto" w:fill="D5DDE1"/>
            <w:tcMar>
              <w:top w:w="0" w:type="dxa"/>
              <w:left w:w="108" w:type="dxa"/>
              <w:bottom w:w="0" w:type="dxa"/>
              <w:right w:w="108" w:type="dxa"/>
            </w:tcMar>
          </w:tcPr>
          <w:p w14:paraId="52E3E5DC" w14:textId="352E1AB4"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Non-compliance history</w:t>
            </w:r>
            <w:r w:rsidRPr="00BA5C78">
              <w:rPr>
                <w:rStyle w:val="FootnoteReference"/>
                <w:rFonts w:ascii="Arial" w:hAnsi="Arial" w:cs="Arial"/>
                <w:szCs w:val="22"/>
              </w:rPr>
              <w:footnoteReference w:customMarkFollows="1" w:id="4"/>
              <w:t>3</w:t>
            </w:r>
            <w:r w:rsidRPr="00BA5C78">
              <w:rPr>
                <w:rFonts w:ascii="Arial" w:hAnsi="Arial" w:cs="Arial"/>
                <w:szCs w:val="22"/>
              </w:rPr>
              <w:t xml:space="preserve"> and registration renewal</w:t>
            </w:r>
          </w:p>
          <w:p w14:paraId="0BF5FC3F"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6DAAFC3"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A weighted late payment measure of 30 days or more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3E95B27E"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2.0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0FED5FEC"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2.0</w:t>
            </w:r>
          </w:p>
        </w:tc>
      </w:tr>
      <w:tr w:rsidR="00B20F89" w:rsidRPr="00BA5C78" w14:paraId="78F978D6"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hideMark/>
          </w:tcPr>
          <w:p w14:paraId="3F79CE74"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3EF21042"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A weighted late payment measure of 15 days or more, but less than 30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hideMark/>
          </w:tcPr>
          <w:p w14:paraId="67667ED4"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0.9</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621C7676"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0.9</w:t>
            </w:r>
          </w:p>
        </w:tc>
      </w:tr>
      <w:tr w:rsidR="00B20F89" w:rsidRPr="00BA5C78" w14:paraId="385E35EE"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159DA022"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B14EB87" w14:textId="77777777" w:rsidR="00B20F89" w:rsidRPr="00BA5C78" w:rsidDel="00E92842" w:rsidRDefault="00B20F89" w:rsidP="00667E6D">
            <w:pPr>
              <w:pStyle w:val="subsection"/>
              <w:spacing w:before="0"/>
              <w:ind w:left="0" w:firstLine="0"/>
              <w:jc w:val="center"/>
              <w:rPr>
                <w:rFonts w:ascii="Arial" w:hAnsi="Arial" w:cs="Arial"/>
                <w:szCs w:val="22"/>
              </w:rPr>
            </w:pPr>
            <w:r w:rsidRPr="00BA5C78">
              <w:rPr>
                <w:rFonts w:ascii="Arial" w:hAnsi="Arial" w:cs="Arial"/>
                <w:szCs w:val="22"/>
              </w:rPr>
              <w:t>A weighted late payment measure of 1 day or more, but less than 15 days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C9C7634"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0.7</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296F92C4"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0.7</w:t>
            </w:r>
          </w:p>
        </w:tc>
      </w:tr>
      <w:tr w:rsidR="00B20F89" w:rsidRPr="00BA5C78" w14:paraId="246E5D90"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1147C54E"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0968ECA6" w14:textId="339A8C4C"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 xml:space="preserve">No weighted late payment measure exists (payment </w:t>
            </w:r>
            <w:r w:rsidR="002F2E9B" w:rsidRPr="00BA5C78">
              <w:rPr>
                <w:rFonts w:ascii="Arial" w:hAnsi="Arial" w:cs="Arial"/>
                <w:szCs w:val="22"/>
              </w:rPr>
              <w:t>received</w:t>
            </w:r>
            <w:r w:rsidRPr="00BA5C78">
              <w:rPr>
                <w:rFonts w:ascii="Arial" w:hAnsi="Arial" w:cs="Arial"/>
                <w:szCs w:val="22"/>
              </w:rPr>
              <w:t xml:space="preserve"> on time)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194B4F55"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92F3E1A" w14:textId="77777777"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0.0</w:t>
            </w:r>
          </w:p>
        </w:tc>
      </w:tr>
      <w:tr w:rsidR="00B20F89" w:rsidRPr="00BA5C78" w14:paraId="1BE29AB4"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6CB78FF4"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591A78C1" w14:textId="1A56C704" w:rsidR="00B20F89" w:rsidRPr="00BA5C78" w:rsidRDefault="00B20F89" w:rsidP="00667E6D">
            <w:pPr>
              <w:pStyle w:val="subsection"/>
              <w:spacing w:before="0"/>
              <w:ind w:left="0" w:firstLine="0"/>
              <w:jc w:val="center"/>
              <w:rPr>
                <w:rFonts w:ascii="Arial" w:hAnsi="Arial" w:cs="Arial"/>
                <w:b/>
                <w:bCs/>
                <w:szCs w:val="22"/>
              </w:rPr>
            </w:pPr>
            <w:r w:rsidRPr="00BA5C78">
              <w:rPr>
                <w:rFonts w:ascii="Arial" w:hAnsi="Arial" w:cs="Arial"/>
                <w:b/>
                <w:bCs/>
                <w:szCs w:val="22"/>
              </w:rPr>
              <w:t>Plus</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67975A5B" w14:textId="77777777" w:rsidR="00B20F89" w:rsidRPr="00BA5C78" w:rsidRDefault="00B20F89" w:rsidP="00667E6D">
            <w:pPr>
              <w:pStyle w:val="subsection"/>
              <w:spacing w:before="0"/>
              <w:ind w:left="0" w:firstLine="0"/>
              <w:rPr>
                <w:rFonts w:ascii="Arial" w:hAnsi="Arial" w:cs="Arial"/>
                <w:szCs w:val="22"/>
              </w:rPr>
            </w:pP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34723185" w14:textId="77777777" w:rsidR="00B20F89" w:rsidRPr="00BA5C78" w:rsidRDefault="00B20F89" w:rsidP="00667E6D">
            <w:pPr>
              <w:pStyle w:val="subsection"/>
              <w:spacing w:before="0"/>
              <w:ind w:left="0" w:firstLine="0"/>
              <w:jc w:val="center"/>
              <w:rPr>
                <w:rFonts w:ascii="Arial" w:hAnsi="Arial" w:cs="Arial"/>
                <w:szCs w:val="22"/>
              </w:rPr>
            </w:pPr>
          </w:p>
        </w:tc>
      </w:tr>
      <w:tr w:rsidR="00B20F89" w:rsidRPr="00BA5C78" w14:paraId="0A6E81DC"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5F55A7A2"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740CCD30" w14:textId="66DD2E63"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For registration periods less than the maximum allowable due to risk management</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2A289463" w14:textId="3EED55B5"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1.0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1D16DCF" w14:textId="65B0AC30"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1.0</w:t>
            </w:r>
          </w:p>
        </w:tc>
      </w:tr>
      <w:tr w:rsidR="00E8031B" w:rsidRPr="00BA5C78" w14:paraId="602A59BE" w14:textId="77777777" w:rsidTr="001A2741">
        <w:trPr>
          <w:trHeight w:hRule="exact" w:val="340"/>
          <w:jc w:val="center"/>
        </w:trPr>
        <w:tc>
          <w:tcPr>
            <w:tcW w:w="2675" w:type="dxa"/>
            <w:vMerge/>
            <w:tcBorders>
              <w:right w:val="single" w:sz="4" w:space="0" w:color="FFFFFF" w:themeColor="background1"/>
            </w:tcBorders>
            <w:shd w:val="clear" w:color="auto" w:fill="D5DDE1"/>
            <w:tcMar>
              <w:top w:w="0" w:type="dxa"/>
              <w:left w:w="108" w:type="dxa"/>
              <w:bottom w:w="0" w:type="dxa"/>
              <w:right w:w="108" w:type="dxa"/>
            </w:tcMar>
          </w:tcPr>
          <w:p w14:paraId="4C787883" w14:textId="77777777" w:rsidR="00B20F89" w:rsidRPr="00BA5C78" w:rsidRDefault="00B20F89" w:rsidP="00667E6D">
            <w:pPr>
              <w:pStyle w:val="subsection"/>
              <w:spacing w:before="0"/>
              <w:jc w:val="center"/>
              <w:rPr>
                <w:rFonts w:ascii="Arial" w:hAnsi="Arial" w:cs="Arial"/>
                <w:szCs w:val="22"/>
              </w:rPr>
            </w:pPr>
          </w:p>
        </w:tc>
        <w:tc>
          <w:tcPr>
            <w:tcW w:w="77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4B41E25" w14:textId="6C6AC4CE" w:rsidR="00B20F89" w:rsidRPr="00BA5C78" w:rsidRDefault="00B20F89" w:rsidP="00667E6D">
            <w:pPr>
              <w:pStyle w:val="subsection"/>
              <w:spacing w:before="0"/>
              <w:ind w:left="0" w:firstLine="0"/>
              <w:jc w:val="center"/>
              <w:rPr>
                <w:rFonts w:ascii="Arial" w:hAnsi="Arial" w:cs="Arial"/>
                <w:szCs w:val="22"/>
              </w:rPr>
            </w:pPr>
            <w:r w:rsidRPr="00BA5C78">
              <w:rPr>
                <w:rFonts w:ascii="Arial" w:hAnsi="Arial" w:cs="Arial"/>
                <w:szCs w:val="22"/>
              </w:rPr>
              <w:t>For registration periods equal to the maximum allowable</w:t>
            </w:r>
          </w:p>
        </w:tc>
        <w:tc>
          <w:tcPr>
            <w:tcW w:w="23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Mar>
              <w:top w:w="0" w:type="dxa"/>
              <w:left w:w="108" w:type="dxa"/>
              <w:bottom w:w="0" w:type="dxa"/>
              <w:right w:w="108" w:type="dxa"/>
            </w:tcMar>
          </w:tcPr>
          <w:p w14:paraId="4CF54224" w14:textId="01EC8E28" w:rsidR="00E8031B" w:rsidRPr="00BA5C78" w:rsidRDefault="00E8031B" w:rsidP="00667E6D">
            <w:pPr>
              <w:pStyle w:val="subsection"/>
              <w:spacing w:before="0"/>
              <w:ind w:left="0" w:firstLine="0"/>
              <w:jc w:val="center"/>
              <w:rPr>
                <w:rFonts w:ascii="Arial" w:hAnsi="Arial" w:cs="Arial"/>
                <w:szCs w:val="22"/>
              </w:rPr>
            </w:pPr>
            <w:r w:rsidRPr="00BA5C78">
              <w:rPr>
                <w:rFonts w:ascii="Arial" w:hAnsi="Arial" w:cs="Arial"/>
                <w:szCs w:val="22"/>
              </w:rPr>
              <w:t>0.0</w:t>
            </w:r>
          </w:p>
        </w:tc>
        <w:tc>
          <w:tcPr>
            <w:tcW w:w="27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5DDE1"/>
          </w:tcPr>
          <w:p w14:paraId="77F72A9A" w14:textId="70CD3B20" w:rsidR="00E8031B" w:rsidRPr="00BA5C78" w:rsidRDefault="00E8031B" w:rsidP="00667E6D">
            <w:pPr>
              <w:pStyle w:val="subsection"/>
              <w:spacing w:before="0"/>
              <w:ind w:left="0" w:firstLine="0"/>
              <w:jc w:val="center"/>
              <w:rPr>
                <w:rFonts w:ascii="Arial" w:hAnsi="Arial" w:cs="Arial"/>
                <w:szCs w:val="22"/>
              </w:rPr>
            </w:pPr>
            <w:r w:rsidRPr="00BA5C78">
              <w:rPr>
                <w:rFonts w:ascii="Arial" w:hAnsi="Arial" w:cs="Arial"/>
                <w:szCs w:val="22"/>
              </w:rPr>
              <w:t>0.0</w:t>
            </w:r>
          </w:p>
        </w:tc>
      </w:tr>
    </w:tbl>
    <w:p w14:paraId="73A144F9" w14:textId="77777777" w:rsidR="000B702D" w:rsidRPr="00BA5C78" w:rsidRDefault="000B702D" w:rsidP="00B20F89">
      <w:pPr>
        <w:rPr>
          <w:rFonts w:ascii="Arial" w:hAnsi="Arial" w:cs="Arial"/>
          <w:sz w:val="22"/>
          <w:szCs w:val="22"/>
        </w:rPr>
      </w:pPr>
    </w:p>
    <w:sectPr w:rsidR="000B702D" w:rsidRPr="00BA5C78" w:rsidSect="005E2DBE">
      <w:endnotePr>
        <w:numFmt w:val="decimal"/>
        <w:numRestart w:val="eachSect"/>
      </w:endnotePr>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ED96" w14:textId="77777777" w:rsidR="00F06EE6" w:rsidRDefault="00F06EE6" w:rsidP="008C1FEE">
      <w:r>
        <w:separator/>
      </w:r>
    </w:p>
  </w:endnote>
  <w:endnote w:type="continuationSeparator" w:id="0">
    <w:p w14:paraId="682416E2" w14:textId="77777777" w:rsidR="00F06EE6" w:rsidRDefault="00F06EE6" w:rsidP="008C1FEE">
      <w:r>
        <w:continuationSeparator/>
      </w:r>
    </w:p>
  </w:endnote>
  <w:endnote w:type="continuationNotice" w:id="1">
    <w:p w14:paraId="3EA71C0C" w14:textId="77777777" w:rsidR="00F06EE6" w:rsidRDefault="00F06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486017035"/>
      <w:docPartObj>
        <w:docPartGallery w:val="Page Numbers (Bottom of Page)"/>
        <w:docPartUnique/>
      </w:docPartObj>
    </w:sdtPr>
    <w:sdtEndPr>
      <w:rPr>
        <w:rFonts w:asciiTheme="minorHAnsi" w:hAnsiTheme="minorHAnsi" w:cstheme="minorBidi"/>
        <w:noProof/>
      </w:rPr>
    </w:sdtEndPr>
    <w:sdtContent>
      <w:p w14:paraId="32F38BB7" w14:textId="02AF28DE" w:rsidR="00A15C4F" w:rsidRPr="005224C9" w:rsidRDefault="00A15C4F">
        <w:pPr>
          <w:pStyle w:val="Footer"/>
          <w:jc w:val="right"/>
          <w:rPr>
            <w:rFonts w:asciiTheme="minorHAnsi" w:hAnsiTheme="minorHAnsi" w:cstheme="minorHAnsi"/>
            <w:sz w:val="20"/>
          </w:rPr>
        </w:pPr>
        <w:r w:rsidRPr="005224C9">
          <w:rPr>
            <w:rFonts w:asciiTheme="minorHAnsi" w:hAnsiTheme="minorHAnsi" w:cstheme="minorHAnsi"/>
            <w:sz w:val="20"/>
          </w:rPr>
          <w:fldChar w:fldCharType="begin"/>
        </w:r>
        <w:r w:rsidRPr="005224C9">
          <w:rPr>
            <w:rFonts w:asciiTheme="minorHAnsi" w:hAnsiTheme="minorHAnsi" w:cstheme="minorHAnsi"/>
            <w:sz w:val="20"/>
          </w:rPr>
          <w:instrText xml:space="preserve"> PAGE   \* MERGEFORMAT </w:instrText>
        </w:r>
        <w:r w:rsidRPr="005224C9">
          <w:rPr>
            <w:rFonts w:asciiTheme="minorHAnsi" w:hAnsiTheme="minorHAnsi" w:cstheme="minorHAnsi"/>
            <w:sz w:val="20"/>
          </w:rPr>
          <w:fldChar w:fldCharType="separate"/>
        </w:r>
        <w:r w:rsidR="00287B81" w:rsidRPr="005224C9">
          <w:rPr>
            <w:rFonts w:asciiTheme="minorHAnsi" w:hAnsiTheme="minorHAnsi" w:cstheme="minorHAnsi"/>
            <w:noProof/>
            <w:sz w:val="20"/>
          </w:rPr>
          <w:t>4</w:t>
        </w:r>
        <w:r w:rsidRPr="005224C9">
          <w:rPr>
            <w:rFonts w:asciiTheme="minorHAnsi" w:hAnsiTheme="minorHAnsi" w:cstheme="minorHAnsi"/>
            <w:noProof/>
            <w:sz w:val="20"/>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157239"/>
      <w:docPartObj>
        <w:docPartGallery w:val="Page Numbers (Bottom of Page)"/>
        <w:docPartUnique/>
      </w:docPartObj>
    </w:sdtPr>
    <w:sdtEndPr>
      <w:rPr>
        <w:rFonts w:asciiTheme="minorHAnsi" w:hAnsiTheme="minorHAnsi" w:cstheme="minorBidi"/>
        <w:noProof/>
        <w:sz w:val="20"/>
      </w:rPr>
    </w:sdtEndPr>
    <w:sdtContent>
      <w:p w14:paraId="0167C329" w14:textId="5FDDE135" w:rsidR="000F1FE5" w:rsidRPr="005224C9" w:rsidRDefault="000F1FE5">
        <w:pPr>
          <w:pStyle w:val="Footer"/>
          <w:jc w:val="right"/>
          <w:rPr>
            <w:rFonts w:asciiTheme="minorHAnsi" w:hAnsiTheme="minorHAnsi" w:cstheme="minorHAnsi"/>
            <w:sz w:val="20"/>
          </w:rPr>
        </w:pPr>
        <w:r w:rsidRPr="005224C9">
          <w:rPr>
            <w:rFonts w:asciiTheme="minorHAnsi" w:hAnsiTheme="minorHAnsi" w:cstheme="minorHAnsi"/>
            <w:sz w:val="20"/>
          </w:rPr>
          <w:fldChar w:fldCharType="begin"/>
        </w:r>
        <w:r w:rsidRPr="005224C9">
          <w:rPr>
            <w:rFonts w:asciiTheme="minorHAnsi" w:hAnsiTheme="minorHAnsi" w:cstheme="minorHAnsi"/>
            <w:sz w:val="20"/>
          </w:rPr>
          <w:instrText xml:space="preserve"> PAGE   \* MERGEFORMAT </w:instrText>
        </w:r>
        <w:r w:rsidRPr="005224C9">
          <w:rPr>
            <w:rFonts w:asciiTheme="minorHAnsi" w:hAnsiTheme="minorHAnsi" w:cstheme="minorHAnsi"/>
            <w:sz w:val="20"/>
          </w:rPr>
          <w:fldChar w:fldCharType="separate"/>
        </w:r>
        <w:r w:rsidR="00287B81" w:rsidRPr="005224C9">
          <w:rPr>
            <w:rFonts w:asciiTheme="minorHAnsi" w:hAnsiTheme="minorHAnsi" w:cstheme="minorHAnsi"/>
            <w:noProof/>
            <w:sz w:val="20"/>
          </w:rPr>
          <w:t>1</w:t>
        </w:r>
        <w:r w:rsidRPr="005224C9">
          <w:rPr>
            <w:rFonts w:asciiTheme="minorHAnsi" w:hAnsiTheme="minorHAnsi" w:cstheme="minorHAnsi"/>
            <w:noProof/>
            <w:sz w:val="20"/>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E02E" w14:textId="77777777" w:rsidR="00F06EE6" w:rsidRDefault="00F06EE6" w:rsidP="008C1FEE">
      <w:r>
        <w:separator/>
      </w:r>
    </w:p>
  </w:footnote>
  <w:footnote w:type="continuationSeparator" w:id="0">
    <w:p w14:paraId="19339040" w14:textId="77777777" w:rsidR="00F06EE6" w:rsidRDefault="00F06EE6" w:rsidP="008C1FEE">
      <w:r>
        <w:continuationSeparator/>
      </w:r>
    </w:p>
  </w:footnote>
  <w:footnote w:type="continuationNotice" w:id="1">
    <w:p w14:paraId="0BD5E593" w14:textId="77777777" w:rsidR="00F06EE6" w:rsidRDefault="00F06EE6"/>
  </w:footnote>
  <w:footnote w:id="2">
    <w:p w14:paraId="0015CB0C" w14:textId="4988818F" w:rsidR="00064810" w:rsidRPr="00D246FC" w:rsidRDefault="00064810" w:rsidP="009E0C52">
      <w:pPr>
        <w:pStyle w:val="FootnoteText"/>
        <w:rPr>
          <w:rFonts w:ascii="Arial" w:hAnsi="Arial" w:cs="Arial"/>
          <w:sz w:val="18"/>
          <w:szCs w:val="18"/>
        </w:rPr>
      </w:pPr>
      <w:r w:rsidRPr="00D246FC">
        <w:rPr>
          <w:rStyle w:val="FootnoteReference"/>
          <w:rFonts w:ascii="Arial" w:hAnsi="Arial" w:cs="Arial"/>
          <w:sz w:val="18"/>
          <w:szCs w:val="18"/>
        </w:rPr>
        <w:footnoteRef/>
      </w:r>
      <w:r w:rsidR="00063414" w:rsidRPr="00D246FC">
        <w:rPr>
          <w:rFonts w:ascii="Arial" w:hAnsi="Arial" w:cs="Arial"/>
          <w:sz w:val="18"/>
          <w:szCs w:val="18"/>
        </w:rPr>
        <w:t xml:space="preserve"> The financial strength score is the sum of the return on assets and the debt to equity score for the risk factor valu</w:t>
      </w:r>
      <w:r w:rsidR="00F528E5" w:rsidRPr="00D246FC">
        <w:rPr>
          <w:rFonts w:ascii="Arial" w:hAnsi="Arial" w:cs="Arial"/>
          <w:sz w:val="18"/>
          <w:szCs w:val="18"/>
        </w:rPr>
        <w:t>e as set out in the table</w:t>
      </w:r>
      <w:r w:rsidR="00417D10" w:rsidRPr="00D246FC">
        <w:rPr>
          <w:rFonts w:ascii="Arial" w:hAnsi="Arial" w:cs="Arial"/>
          <w:sz w:val="18"/>
          <w:szCs w:val="18"/>
        </w:rPr>
        <w:t>.</w:t>
      </w:r>
    </w:p>
  </w:footnote>
  <w:footnote w:id="3">
    <w:p w14:paraId="5E9E08E5" w14:textId="26E943E5" w:rsidR="00B20F89" w:rsidRPr="00D246FC" w:rsidRDefault="00B20F89" w:rsidP="00570E1B">
      <w:pPr>
        <w:pStyle w:val="FootnoteText"/>
        <w:rPr>
          <w:rFonts w:ascii="Arial" w:hAnsi="Arial" w:cs="Arial"/>
          <w:sz w:val="18"/>
          <w:szCs w:val="18"/>
        </w:rPr>
      </w:pPr>
      <w:r w:rsidRPr="00D246FC">
        <w:rPr>
          <w:rStyle w:val="FootnoteReference"/>
          <w:rFonts w:ascii="Arial" w:hAnsi="Arial" w:cs="Arial"/>
          <w:sz w:val="18"/>
          <w:szCs w:val="18"/>
        </w:rPr>
        <w:t>2</w:t>
      </w:r>
      <w:r w:rsidRPr="00D246FC">
        <w:rPr>
          <w:rFonts w:ascii="Arial" w:hAnsi="Arial" w:cs="Arial"/>
          <w:sz w:val="18"/>
          <w:szCs w:val="18"/>
        </w:rPr>
        <w:t xml:space="preserve"> The risk factor value for the completion rate risk factor is as follows:</w:t>
      </w:r>
    </w:p>
    <w:p w14:paraId="6FC81893" w14:textId="77777777" w:rsidR="00B20F89" w:rsidRPr="00D246FC" w:rsidRDefault="00B20F89" w:rsidP="00570E1B">
      <w:pPr>
        <w:pStyle w:val="FootnoteText"/>
        <w:numPr>
          <w:ilvl w:val="0"/>
          <w:numId w:val="8"/>
        </w:numPr>
        <w:rPr>
          <w:rFonts w:ascii="Arial" w:hAnsi="Arial" w:cs="Arial"/>
          <w:sz w:val="18"/>
          <w:szCs w:val="18"/>
        </w:rPr>
      </w:pPr>
      <w:r w:rsidRPr="00D246FC">
        <w:rPr>
          <w:rFonts w:ascii="Arial" w:hAnsi="Arial" w:cs="Arial"/>
          <w:sz w:val="18"/>
          <w:szCs w:val="18"/>
        </w:rPr>
        <w:t>if the provider did not report any units of study for the calendar year beginning on 1 January 2024 (previous calendar year) in its statement of general information, the risk factor is 0.0,</w:t>
      </w:r>
    </w:p>
    <w:p w14:paraId="6A63A201" w14:textId="77777777" w:rsidR="00B20F89" w:rsidRPr="00D246FC" w:rsidRDefault="00B20F89" w:rsidP="00570E1B">
      <w:pPr>
        <w:pStyle w:val="FootnoteText"/>
        <w:numPr>
          <w:ilvl w:val="0"/>
          <w:numId w:val="8"/>
        </w:numPr>
        <w:rPr>
          <w:rFonts w:ascii="Arial" w:hAnsi="Arial" w:cs="Arial"/>
          <w:sz w:val="18"/>
          <w:szCs w:val="18"/>
        </w:rPr>
      </w:pPr>
      <w:r w:rsidRPr="00D246FC">
        <w:rPr>
          <w:rFonts w:ascii="Arial" w:hAnsi="Arial" w:cs="Arial"/>
          <w:sz w:val="18"/>
          <w:szCs w:val="18"/>
        </w:rPr>
        <w:t>otherwise—the risk factor value is set out in the table.</w:t>
      </w:r>
    </w:p>
  </w:footnote>
  <w:footnote w:id="4">
    <w:p w14:paraId="0FB6C7A3" w14:textId="396604B5" w:rsidR="00B20F89" w:rsidRPr="00B20F89" w:rsidRDefault="00B20F89">
      <w:pPr>
        <w:pStyle w:val="FootnoteText"/>
        <w:rPr>
          <w:rFonts w:asciiTheme="minorHAnsi" w:hAnsiTheme="minorHAnsi" w:cstheme="minorHAnsi"/>
          <w:sz w:val="18"/>
          <w:szCs w:val="18"/>
        </w:rPr>
      </w:pPr>
      <w:r w:rsidRPr="00D246FC">
        <w:rPr>
          <w:rStyle w:val="FootnoteReference"/>
          <w:rFonts w:ascii="Arial" w:hAnsi="Arial" w:cs="Arial"/>
          <w:sz w:val="18"/>
          <w:szCs w:val="18"/>
        </w:rPr>
        <w:t>3</w:t>
      </w:r>
      <w:r w:rsidRPr="00D246FC">
        <w:rPr>
          <w:rFonts w:ascii="Arial" w:hAnsi="Arial" w:cs="Arial"/>
          <w:sz w:val="18"/>
          <w:szCs w:val="18"/>
        </w:rPr>
        <w:t xml:space="preserve"> A provider’s weighted late payment measure calculation considers how many days past the due date the TPS received payment from the provider for the </w:t>
      </w:r>
      <w:r w:rsidR="00E42C2D" w:rsidRPr="00D246FC">
        <w:rPr>
          <w:rFonts w:ascii="Arial" w:hAnsi="Arial" w:cs="Arial"/>
          <w:sz w:val="18"/>
          <w:szCs w:val="18"/>
        </w:rPr>
        <w:t>Up-front Payments Tuition Protection Levy</w:t>
      </w:r>
      <w:r w:rsidRPr="00D246FC">
        <w:rPr>
          <w:rFonts w:ascii="Arial" w:hAnsi="Arial" w:cs="Arial"/>
          <w:sz w:val="18"/>
          <w:szCs w:val="18"/>
        </w:rPr>
        <w:t xml:space="preserve"> and higher education provider charges over the past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7EA3" w14:textId="57C355F1" w:rsidR="00A3669D" w:rsidRDefault="00A3669D">
    <w:pPr>
      <w:pStyle w:val="Header"/>
    </w:pP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CB4F65"/>
    <w:multiLevelType w:val="hybridMultilevel"/>
    <w:tmpl w:val="E71A894A"/>
    <w:lvl w:ilvl="0" w:tplc="4CBAE9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784938"/>
    <w:multiLevelType w:val="multilevel"/>
    <w:tmpl w:val="697C5080"/>
    <w:numStyleLink w:val="Style2"/>
  </w:abstractNum>
  <w:abstractNum w:abstractNumId="11" w15:restartNumberingAfterBreak="0">
    <w:nsid w:val="6053184D"/>
    <w:multiLevelType w:val="hybridMultilevel"/>
    <w:tmpl w:val="90520826"/>
    <w:lvl w:ilvl="0" w:tplc="2BE454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C57C33"/>
    <w:multiLevelType w:val="hybridMultilevel"/>
    <w:tmpl w:val="3614ED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50747142">
    <w:abstractNumId w:val="0"/>
  </w:num>
  <w:num w:numId="2" w16cid:durableId="1027755549">
    <w:abstractNumId w:val="8"/>
  </w:num>
  <w:num w:numId="3" w16cid:durableId="526603833">
    <w:abstractNumId w:val="6"/>
  </w:num>
  <w:num w:numId="4" w16cid:durableId="1042749844">
    <w:abstractNumId w:val="2"/>
  </w:num>
  <w:num w:numId="5" w16cid:durableId="154849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3"/>
  </w:num>
  <w:num w:numId="7" w16cid:durableId="891694676">
    <w:abstractNumId w:val="1"/>
  </w:num>
  <w:num w:numId="8" w16cid:durableId="959263614">
    <w:abstractNumId w:val="4"/>
  </w:num>
  <w:num w:numId="9" w16cid:durableId="1733651692">
    <w:abstractNumId w:val="5"/>
  </w:num>
  <w:num w:numId="10" w16cid:durableId="372538066">
    <w:abstractNumId w:val="10"/>
  </w:num>
  <w:num w:numId="11" w16cid:durableId="219444605">
    <w:abstractNumId w:val="12"/>
  </w:num>
  <w:num w:numId="12" w16cid:durableId="163134948">
    <w:abstractNumId w:val="11"/>
  </w:num>
  <w:num w:numId="13" w16cid:durableId="19180576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1929"/>
    <w:rsid w:val="00001C82"/>
    <w:rsid w:val="00002298"/>
    <w:rsid w:val="0000486B"/>
    <w:rsid w:val="00013B5C"/>
    <w:rsid w:val="00014FC8"/>
    <w:rsid w:val="00016A6A"/>
    <w:rsid w:val="000311D6"/>
    <w:rsid w:val="00035D03"/>
    <w:rsid w:val="000459E9"/>
    <w:rsid w:val="00063414"/>
    <w:rsid w:val="00063D9D"/>
    <w:rsid w:val="00064810"/>
    <w:rsid w:val="00074AEB"/>
    <w:rsid w:val="00083687"/>
    <w:rsid w:val="00084855"/>
    <w:rsid w:val="00090770"/>
    <w:rsid w:val="00095197"/>
    <w:rsid w:val="000951B5"/>
    <w:rsid w:val="000B12E5"/>
    <w:rsid w:val="000B702D"/>
    <w:rsid w:val="000B7C23"/>
    <w:rsid w:val="000C22A4"/>
    <w:rsid w:val="000C372C"/>
    <w:rsid w:val="000C3C8B"/>
    <w:rsid w:val="000D2739"/>
    <w:rsid w:val="000D5A4D"/>
    <w:rsid w:val="000D63ED"/>
    <w:rsid w:val="000D783A"/>
    <w:rsid w:val="000E19A1"/>
    <w:rsid w:val="000E5741"/>
    <w:rsid w:val="000E5F78"/>
    <w:rsid w:val="000F1455"/>
    <w:rsid w:val="000F1FE5"/>
    <w:rsid w:val="000F2AAE"/>
    <w:rsid w:val="000F34AC"/>
    <w:rsid w:val="001069F7"/>
    <w:rsid w:val="00121064"/>
    <w:rsid w:val="00123806"/>
    <w:rsid w:val="001242BD"/>
    <w:rsid w:val="001311EB"/>
    <w:rsid w:val="00136A70"/>
    <w:rsid w:val="00136C1F"/>
    <w:rsid w:val="001447E9"/>
    <w:rsid w:val="00145DE0"/>
    <w:rsid w:val="001462BE"/>
    <w:rsid w:val="001468AF"/>
    <w:rsid w:val="001569AF"/>
    <w:rsid w:val="0015716C"/>
    <w:rsid w:val="001731CD"/>
    <w:rsid w:val="00182055"/>
    <w:rsid w:val="001824CD"/>
    <w:rsid w:val="00184194"/>
    <w:rsid w:val="00192375"/>
    <w:rsid w:val="001A2741"/>
    <w:rsid w:val="001A309E"/>
    <w:rsid w:val="001A6CF4"/>
    <w:rsid w:val="001A79A8"/>
    <w:rsid w:val="001B2DED"/>
    <w:rsid w:val="001B44C5"/>
    <w:rsid w:val="001B5044"/>
    <w:rsid w:val="001B7A1D"/>
    <w:rsid w:val="001B7DF0"/>
    <w:rsid w:val="001C33B6"/>
    <w:rsid w:val="001C43A6"/>
    <w:rsid w:val="001C6114"/>
    <w:rsid w:val="001D268B"/>
    <w:rsid w:val="001D68F5"/>
    <w:rsid w:val="001E1934"/>
    <w:rsid w:val="001F4AD7"/>
    <w:rsid w:val="001F5B59"/>
    <w:rsid w:val="00200359"/>
    <w:rsid w:val="002149A3"/>
    <w:rsid w:val="00216893"/>
    <w:rsid w:val="00217BB7"/>
    <w:rsid w:val="002313E9"/>
    <w:rsid w:val="002321EC"/>
    <w:rsid w:val="00241610"/>
    <w:rsid w:val="00252542"/>
    <w:rsid w:val="00262B94"/>
    <w:rsid w:val="00267778"/>
    <w:rsid w:val="00270631"/>
    <w:rsid w:val="002716A1"/>
    <w:rsid w:val="00271CDB"/>
    <w:rsid w:val="00286AC1"/>
    <w:rsid w:val="002875A7"/>
    <w:rsid w:val="00287B81"/>
    <w:rsid w:val="00290E88"/>
    <w:rsid w:val="00293AA3"/>
    <w:rsid w:val="00294D99"/>
    <w:rsid w:val="002A463D"/>
    <w:rsid w:val="002A56E3"/>
    <w:rsid w:val="002A664E"/>
    <w:rsid w:val="002B4F17"/>
    <w:rsid w:val="002C578F"/>
    <w:rsid w:val="002D33FB"/>
    <w:rsid w:val="002D3AB0"/>
    <w:rsid w:val="002D5A52"/>
    <w:rsid w:val="002E118A"/>
    <w:rsid w:val="002E704D"/>
    <w:rsid w:val="002F2A55"/>
    <w:rsid w:val="002F2E9B"/>
    <w:rsid w:val="0030052F"/>
    <w:rsid w:val="00304D6A"/>
    <w:rsid w:val="003077F7"/>
    <w:rsid w:val="0031174C"/>
    <w:rsid w:val="00311F4C"/>
    <w:rsid w:val="00316CA8"/>
    <w:rsid w:val="0032060E"/>
    <w:rsid w:val="003230AA"/>
    <w:rsid w:val="003313C1"/>
    <w:rsid w:val="0034080D"/>
    <w:rsid w:val="00352254"/>
    <w:rsid w:val="003552FC"/>
    <w:rsid w:val="0035605F"/>
    <w:rsid w:val="00361757"/>
    <w:rsid w:val="00361D52"/>
    <w:rsid w:val="003668AD"/>
    <w:rsid w:val="003841AB"/>
    <w:rsid w:val="00385538"/>
    <w:rsid w:val="00385B06"/>
    <w:rsid w:val="00387E31"/>
    <w:rsid w:val="003939A2"/>
    <w:rsid w:val="003A3CB7"/>
    <w:rsid w:val="003A3D73"/>
    <w:rsid w:val="003A6FE7"/>
    <w:rsid w:val="003B0276"/>
    <w:rsid w:val="003B2A1B"/>
    <w:rsid w:val="003B4E35"/>
    <w:rsid w:val="003B5029"/>
    <w:rsid w:val="003B5E51"/>
    <w:rsid w:val="003B6BB0"/>
    <w:rsid w:val="003C2A43"/>
    <w:rsid w:val="003C376A"/>
    <w:rsid w:val="003C6B57"/>
    <w:rsid w:val="003D231F"/>
    <w:rsid w:val="003D3226"/>
    <w:rsid w:val="003D352F"/>
    <w:rsid w:val="003D647E"/>
    <w:rsid w:val="003D6A6E"/>
    <w:rsid w:val="003E3D70"/>
    <w:rsid w:val="003E6F23"/>
    <w:rsid w:val="00402717"/>
    <w:rsid w:val="00415A2C"/>
    <w:rsid w:val="00417D10"/>
    <w:rsid w:val="00433690"/>
    <w:rsid w:val="00434BD3"/>
    <w:rsid w:val="0043754E"/>
    <w:rsid w:val="00444182"/>
    <w:rsid w:val="004457D4"/>
    <w:rsid w:val="00456440"/>
    <w:rsid w:val="004570BF"/>
    <w:rsid w:val="00457FFE"/>
    <w:rsid w:val="00462466"/>
    <w:rsid w:val="00463FDC"/>
    <w:rsid w:val="004704C6"/>
    <w:rsid w:val="00473306"/>
    <w:rsid w:val="00481223"/>
    <w:rsid w:val="004824EA"/>
    <w:rsid w:val="00482D0A"/>
    <w:rsid w:val="00486B5E"/>
    <w:rsid w:val="00493717"/>
    <w:rsid w:val="00493F42"/>
    <w:rsid w:val="004A077E"/>
    <w:rsid w:val="004A1C36"/>
    <w:rsid w:val="004A4E38"/>
    <w:rsid w:val="004A577C"/>
    <w:rsid w:val="004B4922"/>
    <w:rsid w:val="004C4171"/>
    <w:rsid w:val="004C48AA"/>
    <w:rsid w:val="004C4F10"/>
    <w:rsid w:val="004C72E7"/>
    <w:rsid w:val="004D382B"/>
    <w:rsid w:val="004D4F9A"/>
    <w:rsid w:val="004D7A26"/>
    <w:rsid w:val="004E6714"/>
    <w:rsid w:val="004F3003"/>
    <w:rsid w:val="004F3860"/>
    <w:rsid w:val="004F76EC"/>
    <w:rsid w:val="00502B8E"/>
    <w:rsid w:val="00504C23"/>
    <w:rsid w:val="0050507C"/>
    <w:rsid w:val="00512072"/>
    <w:rsid w:val="00522366"/>
    <w:rsid w:val="0052239C"/>
    <w:rsid w:val="005224C9"/>
    <w:rsid w:val="00525B80"/>
    <w:rsid w:val="0052681F"/>
    <w:rsid w:val="005423C3"/>
    <w:rsid w:val="00542F88"/>
    <w:rsid w:val="00553E0A"/>
    <w:rsid w:val="0056122F"/>
    <w:rsid w:val="00561F73"/>
    <w:rsid w:val="00570E1B"/>
    <w:rsid w:val="00571539"/>
    <w:rsid w:val="005764BA"/>
    <w:rsid w:val="00582EC2"/>
    <w:rsid w:val="005852AB"/>
    <w:rsid w:val="0059309D"/>
    <w:rsid w:val="00594081"/>
    <w:rsid w:val="005975E2"/>
    <w:rsid w:val="00597708"/>
    <w:rsid w:val="005A2A6F"/>
    <w:rsid w:val="005A3589"/>
    <w:rsid w:val="005A6797"/>
    <w:rsid w:val="005C10B3"/>
    <w:rsid w:val="005D0D4B"/>
    <w:rsid w:val="005D0E6F"/>
    <w:rsid w:val="005D18C9"/>
    <w:rsid w:val="005D5184"/>
    <w:rsid w:val="005D7334"/>
    <w:rsid w:val="005E1083"/>
    <w:rsid w:val="005E1D19"/>
    <w:rsid w:val="005E2DBE"/>
    <w:rsid w:val="005E5D63"/>
    <w:rsid w:val="005F2719"/>
    <w:rsid w:val="005F6F63"/>
    <w:rsid w:val="005F7CE4"/>
    <w:rsid w:val="00601B65"/>
    <w:rsid w:val="00602F36"/>
    <w:rsid w:val="0060330D"/>
    <w:rsid w:val="006043BC"/>
    <w:rsid w:val="00604844"/>
    <w:rsid w:val="00606ACC"/>
    <w:rsid w:val="00610222"/>
    <w:rsid w:val="0061312C"/>
    <w:rsid w:val="0062291C"/>
    <w:rsid w:val="00632D35"/>
    <w:rsid w:val="0063443A"/>
    <w:rsid w:val="006354FC"/>
    <w:rsid w:val="0063572E"/>
    <w:rsid w:val="00643CB3"/>
    <w:rsid w:val="00647487"/>
    <w:rsid w:val="006542CF"/>
    <w:rsid w:val="006576D3"/>
    <w:rsid w:val="00662968"/>
    <w:rsid w:val="0066632C"/>
    <w:rsid w:val="00666A72"/>
    <w:rsid w:val="00666B0D"/>
    <w:rsid w:val="00667E6D"/>
    <w:rsid w:val="0067799C"/>
    <w:rsid w:val="00687413"/>
    <w:rsid w:val="006900E1"/>
    <w:rsid w:val="00695246"/>
    <w:rsid w:val="006A15E8"/>
    <w:rsid w:val="006A15F4"/>
    <w:rsid w:val="006A6257"/>
    <w:rsid w:val="006A6C2B"/>
    <w:rsid w:val="006C20C9"/>
    <w:rsid w:val="006C642D"/>
    <w:rsid w:val="00713C35"/>
    <w:rsid w:val="00721109"/>
    <w:rsid w:val="0072673D"/>
    <w:rsid w:val="00731368"/>
    <w:rsid w:val="00742193"/>
    <w:rsid w:val="00743080"/>
    <w:rsid w:val="0075077C"/>
    <w:rsid w:val="0075409D"/>
    <w:rsid w:val="00755115"/>
    <w:rsid w:val="0075757E"/>
    <w:rsid w:val="00764843"/>
    <w:rsid w:val="00771C92"/>
    <w:rsid w:val="00771F8E"/>
    <w:rsid w:val="007747EF"/>
    <w:rsid w:val="0078403A"/>
    <w:rsid w:val="00794494"/>
    <w:rsid w:val="007A0BDC"/>
    <w:rsid w:val="007E43F9"/>
    <w:rsid w:val="007E5B58"/>
    <w:rsid w:val="007F1569"/>
    <w:rsid w:val="007F384C"/>
    <w:rsid w:val="007F57A7"/>
    <w:rsid w:val="00812D6C"/>
    <w:rsid w:val="00812F26"/>
    <w:rsid w:val="008420A3"/>
    <w:rsid w:val="008458D4"/>
    <w:rsid w:val="00851D50"/>
    <w:rsid w:val="008521AF"/>
    <w:rsid w:val="0085338C"/>
    <w:rsid w:val="00854101"/>
    <w:rsid w:val="00857A72"/>
    <w:rsid w:val="008618C3"/>
    <w:rsid w:val="00863A23"/>
    <w:rsid w:val="00864500"/>
    <w:rsid w:val="00874D1B"/>
    <w:rsid w:val="00884B79"/>
    <w:rsid w:val="00890B7E"/>
    <w:rsid w:val="008A1828"/>
    <w:rsid w:val="008A1D43"/>
    <w:rsid w:val="008B0544"/>
    <w:rsid w:val="008B7B53"/>
    <w:rsid w:val="008C1FEE"/>
    <w:rsid w:val="008C5D03"/>
    <w:rsid w:val="008D6C12"/>
    <w:rsid w:val="008E26E1"/>
    <w:rsid w:val="008E28E3"/>
    <w:rsid w:val="008E36A9"/>
    <w:rsid w:val="008E4B7B"/>
    <w:rsid w:val="00903759"/>
    <w:rsid w:val="00916EBE"/>
    <w:rsid w:val="0092670D"/>
    <w:rsid w:val="00935F6F"/>
    <w:rsid w:val="00946E70"/>
    <w:rsid w:val="0095632D"/>
    <w:rsid w:val="009612AE"/>
    <w:rsid w:val="009656D0"/>
    <w:rsid w:val="00982157"/>
    <w:rsid w:val="00983DF3"/>
    <w:rsid w:val="009870EC"/>
    <w:rsid w:val="00991E38"/>
    <w:rsid w:val="009B27D5"/>
    <w:rsid w:val="009B4468"/>
    <w:rsid w:val="009B6896"/>
    <w:rsid w:val="009C2E94"/>
    <w:rsid w:val="009C6B4B"/>
    <w:rsid w:val="009D2189"/>
    <w:rsid w:val="009D5335"/>
    <w:rsid w:val="009E0C52"/>
    <w:rsid w:val="009E6F02"/>
    <w:rsid w:val="009E7B99"/>
    <w:rsid w:val="00A15C4F"/>
    <w:rsid w:val="00A1763E"/>
    <w:rsid w:val="00A23DFC"/>
    <w:rsid w:val="00A26332"/>
    <w:rsid w:val="00A36167"/>
    <w:rsid w:val="00A3669D"/>
    <w:rsid w:val="00A437E5"/>
    <w:rsid w:val="00A44EEB"/>
    <w:rsid w:val="00A50ED7"/>
    <w:rsid w:val="00A62ED3"/>
    <w:rsid w:val="00A63146"/>
    <w:rsid w:val="00A63D4A"/>
    <w:rsid w:val="00A67710"/>
    <w:rsid w:val="00A70001"/>
    <w:rsid w:val="00A81166"/>
    <w:rsid w:val="00A82037"/>
    <w:rsid w:val="00A85C2E"/>
    <w:rsid w:val="00A9455D"/>
    <w:rsid w:val="00A945F4"/>
    <w:rsid w:val="00A95830"/>
    <w:rsid w:val="00A95DE0"/>
    <w:rsid w:val="00AA2582"/>
    <w:rsid w:val="00AB20A3"/>
    <w:rsid w:val="00AB5F1E"/>
    <w:rsid w:val="00AC1992"/>
    <w:rsid w:val="00AC5920"/>
    <w:rsid w:val="00AC697C"/>
    <w:rsid w:val="00AD266A"/>
    <w:rsid w:val="00AE0ACD"/>
    <w:rsid w:val="00AE23D1"/>
    <w:rsid w:val="00AE480A"/>
    <w:rsid w:val="00AE50C6"/>
    <w:rsid w:val="00AF5010"/>
    <w:rsid w:val="00AF7F3C"/>
    <w:rsid w:val="00B00BD8"/>
    <w:rsid w:val="00B0148C"/>
    <w:rsid w:val="00B01ABB"/>
    <w:rsid w:val="00B05CB4"/>
    <w:rsid w:val="00B11EF1"/>
    <w:rsid w:val="00B1418D"/>
    <w:rsid w:val="00B148E7"/>
    <w:rsid w:val="00B14BF0"/>
    <w:rsid w:val="00B16424"/>
    <w:rsid w:val="00B173CC"/>
    <w:rsid w:val="00B176A4"/>
    <w:rsid w:val="00B20F89"/>
    <w:rsid w:val="00B239F5"/>
    <w:rsid w:val="00B2722B"/>
    <w:rsid w:val="00B27ED2"/>
    <w:rsid w:val="00B31E3D"/>
    <w:rsid w:val="00B372E7"/>
    <w:rsid w:val="00B43489"/>
    <w:rsid w:val="00B43974"/>
    <w:rsid w:val="00B53EB7"/>
    <w:rsid w:val="00B545B3"/>
    <w:rsid w:val="00B62A67"/>
    <w:rsid w:val="00B7001E"/>
    <w:rsid w:val="00B73325"/>
    <w:rsid w:val="00B766E7"/>
    <w:rsid w:val="00B81AEC"/>
    <w:rsid w:val="00B85F49"/>
    <w:rsid w:val="00B8723C"/>
    <w:rsid w:val="00B92639"/>
    <w:rsid w:val="00B926AF"/>
    <w:rsid w:val="00B938DF"/>
    <w:rsid w:val="00B960D2"/>
    <w:rsid w:val="00B977B7"/>
    <w:rsid w:val="00B9793A"/>
    <w:rsid w:val="00BA18C6"/>
    <w:rsid w:val="00BA5C78"/>
    <w:rsid w:val="00BA6107"/>
    <w:rsid w:val="00BB5270"/>
    <w:rsid w:val="00BB59CA"/>
    <w:rsid w:val="00BB7134"/>
    <w:rsid w:val="00BC5284"/>
    <w:rsid w:val="00BC6B7F"/>
    <w:rsid w:val="00BD4776"/>
    <w:rsid w:val="00BD7EAA"/>
    <w:rsid w:val="00BE36EF"/>
    <w:rsid w:val="00BE3824"/>
    <w:rsid w:val="00C04E55"/>
    <w:rsid w:val="00C125F7"/>
    <w:rsid w:val="00C237CA"/>
    <w:rsid w:val="00C41DDD"/>
    <w:rsid w:val="00C43E1D"/>
    <w:rsid w:val="00C463F3"/>
    <w:rsid w:val="00C501A3"/>
    <w:rsid w:val="00C5062E"/>
    <w:rsid w:val="00C54026"/>
    <w:rsid w:val="00C5527B"/>
    <w:rsid w:val="00C568F0"/>
    <w:rsid w:val="00C731E4"/>
    <w:rsid w:val="00C81123"/>
    <w:rsid w:val="00C93928"/>
    <w:rsid w:val="00C958A2"/>
    <w:rsid w:val="00CA3C1E"/>
    <w:rsid w:val="00CA4C75"/>
    <w:rsid w:val="00CA5B79"/>
    <w:rsid w:val="00CB0520"/>
    <w:rsid w:val="00CB17FD"/>
    <w:rsid w:val="00CB2473"/>
    <w:rsid w:val="00CC24F5"/>
    <w:rsid w:val="00CC3504"/>
    <w:rsid w:val="00CC743E"/>
    <w:rsid w:val="00CD3251"/>
    <w:rsid w:val="00CD3A4E"/>
    <w:rsid w:val="00CD4CA4"/>
    <w:rsid w:val="00CE359C"/>
    <w:rsid w:val="00CF098D"/>
    <w:rsid w:val="00CF124B"/>
    <w:rsid w:val="00CF1CDD"/>
    <w:rsid w:val="00D02110"/>
    <w:rsid w:val="00D03C68"/>
    <w:rsid w:val="00D063B3"/>
    <w:rsid w:val="00D06B52"/>
    <w:rsid w:val="00D131CD"/>
    <w:rsid w:val="00D1392A"/>
    <w:rsid w:val="00D157FA"/>
    <w:rsid w:val="00D179E2"/>
    <w:rsid w:val="00D212AA"/>
    <w:rsid w:val="00D22E8E"/>
    <w:rsid w:val="00D246FC"/>
    <w:rsid w:val="00D27475"/>
    <w:rsid w:val="00D3731C"/>
    <w:rsid w:val="00D459E8"/>
    <w:rsid w:val="00D45BDE"/>
    <w:rsid w:val="00D474F0"/>
    <w:rsid w:val="00D500A6"/>
    <w:rsid w:val="00D57867"/>
    <w:rsid w:val="00D626AE"/>
    <w:rsid w:val="00D67B43"/>
    <w:rsid w:val="00D73D1D"/>
    <w:rsid w:val="00D82855"/>
    <w:rsid w:val="00D84D75"/>
    <w:rsid w:val="00D86906"/>
    <w:rsid w:val="00D91BC3"/>
    <w:rsid w:val="00D924A4"/>
    <w:rsid w:val="00D95C7E"/>
    <w:rsid w:val="00DA263F"/>
    <w:rsid w:val="00DA4578"/>
    <w:rsid w:val="00DB15FE"/>
    <w:rsid w:val="00DB395A"/>
    <w:rsid w:val="00DB4F6F"/>
    <w:rsid w:val="00DB6DF0"/>
    <w:rsid w:val="00DC3119"/>
    <w:rsid w:val="00DC4E8A"/>
    <w:rsid w:val="00DC557B"/>
    <w:rsid w:val="00DE4815"/>
    <w:rsid w:val="00DE746B"/>
    <w:rsid w:val="00E2321F"/>
    <w:rsid w:val="00E32F66"/>
    <w:rsid w:val="00E33E0B"/>
    <w:rsid w:val="00E33EFF"/>
    <w:rsid w:val="00E35198"/>
    <w:rsid w:val="00E42C2D"/>
    <w:rsid w:val="00E447E7"/>
    <w:rsid w:val="00E462AD"/>
    <w:rsid w:val="00E53157"/>
    <w:rsid w:val="00E55E72"/>
    <w:rsid w:val="00E66733"/>
    <w:rsid w:val="00E73838"/>
    <w:rsid w:val="00E8031B"/>
    <w:rsid w:val="00E8120F"/>
    <w:rsid w:val="00E84EF4"/>
    <w:rsid w:val="00E94CEC"/>
    <w:rsid w:val="00EA04CE"/>
    <w:rsid w:val="00EA3EFB"/>
    <w:rsid w:val="00EA722E"/>
    <w:rsid w:val="00EB4731"/>
    <w:rsid w:val="00EB6E35"/>
    <w:rsid w:val="00EB7730"/>
    <w:rsid w:val="00EC7525"/>
    <w:rsid w:val="00EC7D2A"/>
    <w:rsid w:val="00EE322A"/>
    <w:rsid w:val="00F06EE6"/>
    <w:rsid w:val="00F0714C"/>
    <w:rsid w:val="00F153A7"/>
    <w:rsid w:val="00F32B02"/>
    <w:rsid w:val="00F32B15"/>
    <w:rsid w:val="00F50E6E"/>
    <w:rsid w:val="00F528E5"/>
    <w:rsid w:val="00F6008B"/>
    <w:rsid w:val="00F62010"/>
    <w:rsid w:val="00F62532"/>
    <w:rsid w:val="00F6485D"/>
    <w:rsid w:val="00F70F47"/>
    <w:rsid w:val="00F76B98"/>
    <w:rsid w:val="00F776CD"/>
    <w:rsid w:val="00F8226D"/>
    <w:rsid w:val="00F823AE"/>
    <w:rsid w:val="00F83797"/>
    <w:rsid w:val="00F90610"/>
    <w:rsid w:val="00F91C09"/>
    <w:rsid w:val="00F9270F"/>
    <w:rsid w:val="00F95CA4"/>
    <w:rsid w:val="00F97473"/>
    <w:rsid w:val="00FA54EB"/>
    <w:rsid w:val="00FB4030"/>
    <w:rsid w:val="00FB4718"/>
    <w:rsid w:val="00FC188D"/>
    <w:rsid w:val="00FC57FE"/>
    <w:rsid w:val="00FD037C"/>
    <w:rsid w:val="00FD1495"/>
    <w:rsid w:val="00FE4A73"/>
    <w:rsid w:val="00FF523B"/>
    <w:rsid w:val="1D6AB121"/>
    <w:rsid w:val="5D48E0D5"/>
    <w:rsid w:val="7EF54D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unhideWhenUsed/>
    <w:rsid w:val="00874D1B"/>
    <w:rPr>
      <w:sz w:val="20"/>
    </w:rPr>
  </w:style>
  <w:style w:type="character" w:customStyle="1" w:styleId="CommentTextChar">
    <w:name w:val="Comment Text Char"/>
    <w:basedOn w:val="DefaultParagraphFont"/>
    <w:link w:val="CommentText"/>
    <w:uiPriority w:val="99"/>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32B15"/>
    <w:rPr>
      <w:sz w:val="20"/>
    </w:rPr>
  </w:style>
  <w:style w:type="character" w:customStyle="1" w:styleId="FootnoteTextChar">
    <w:name w:val="Footnote Text Char"/>
    <w:basedOn w:val="DefaultParagraphFont"/>
    <w:link w:val="FootnoteText"/>
    <w:uiPriority w:val="99"/>
    <w:semiHidden/>
    <w:rsid w:val="00F32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2B15"/>
    <w:rPr>
      <w:vertAlign w:val="superscript"/>
    </w:rPr>
  </w:style>
  <w:style w:type="paragraph" w:customStyle="1" w:styleId="SWGTitle">
    <w:name w:val="SWGTitle"/>
    <w:basedOn w:val="Normal"/>
    <w:link w:val="SWGTitleChar"/>
    <w:qFormat/>
    <w:rsid w:val="00C501A3"/>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C501A3"/>
    <w:rPr>
      <w:rFonts w:eastAsiaTheme="majorEastAsia" w:cstheme="minorHAnsi"/>
      <w:b/>
      <w:bCs/>
      <w:color w:val="323E4F" w:themeColor="text2" w:themeShade="BF"/>
      <w:spacing w:val="5"/>
      <w:kern w:val="28"/>
      <w:sz w:val="28"/>
      <w:szCs w:val="28"/>
      <w:lang w:eastAsia="en-AU"/>
    </w:rPr>
  </w:style>
  <w:style w:type="character" w:styleId="Hyperlink">
    <w:name w:val="Hyperlink"/>
    <w:basedOn w:val="DefaultParagraphFont"/>
    <w:uiPriority w:val="99"/>
    <w:unhideWhenUsed/>
    <w:rsid w:val="0067799C"/>
    <w:rPr>
      <w:color w:val="0563C1" w:themeColor="hyperlink"/>
      <w:u w:val="single"/>
    </w:rPr>
  </w:style>
  <w:style w:type="paragraph" w:styleId="ListBullet">
    <w:name w:val="List Bullet"/>
    <w:aliases w:val="Bullet List 1"/>
    <w:basedOn w:val="Normal"/>
    <w:link w:val="ListBulletChar"/>
    <w:uiPriority w:val="99"/>
    <w:unhideWhenUsed/>
    <w:qFormat/>
    <w:rsid w:val="00A945F4"/>
    <w:pPr>
      <w:numPr>
        <w:numId w:val="10"/>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A945F4"/>
    <w:pPr>
      <w:numPr>
        <w:numId w:val="9"/>
      </w:numPr>
    </w:pPr>
  </w:style>
  <w:style w:type="character" w:customStyle="1" w:styleId="ListBulletChar">
    <w:name w:val="List Bullet Char"/>
    <w:aliases w:val="Bullet List 1 Char"/>
    <w:basedOn w:val="DefaultParagraphFont"/>
    <w:link w:val="ListBullet"/>
    <w:uiPriority w:val="99"/>
    <w:rsid w:val="00A945F4"/>
  </w:style>
  <w:style w:type="character" w:styleId="Mention">
    <w:name w:val="Mention"/>
    <w:basedOn w:val="DefaultParagraphFont"/>
    <w:uiPriority w:val="99"/>
    <w:unhideWhenUsed/>
    <w:rsid w:val="004C72E7"/>
    <w:rPr>
      <w:color w:val="2B579A"/>
      <w:shd w:val="clear" w:color="auto" w:fill="E1DFDD"/>
    </w:rPr>
  </w:style>
  <w:style w:type="paragraph" w:styleId="EndnoteText">
    <w:name w:val="endnote text"/>
    <w:basedOn w:val="Normal"/>
    <w:link w:val="EndnoteTextChar"/>
    <w:uiPriority w:val="99"/>
    <w:semiHidden/>
    <w:unhideWhenUsed/>
    <w:rsid w:val="003B0276"/>
    <w:rPr>
      <w:sz w:val="20"/>
    </w:rPr>
  </w:style>
  <w:style w:type="character" w:customStyle="1" w:styleId="EndnoteTextChar">
    <w:name w:val="Endnote Text Char"/>
    <w:basedOn w:val="DefaultParagraphFont"/>
    <w:link w:val="EndnoteText"/>
    <w:uiPriority w:val="99"/>
    <w:semiHidden/>
    <w:rsid w:val="003B027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0276"/>
    <w:rPr>
      <w:vertAlign w:val="superscript"/>
    </w:rPr>
  </w:style>
  <w:style w:type="character" w:styleId="UnresolvedMention">
    <w:name w:val="Unresolved Mention"/>
    <w:basedOn w:val="DefaultParagraphFont"/>
    <w:uiPriority w:val="99"/>
    <w:semiHidden/>
    <w:unhideWhenUsed/>
    <w:rsid w:val="003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2.xml><?xml version="1.0" encoding="utf-8"?>
<ds:datastoreItem xmlns:ds="http://schemas.openxmlformats.org/officeDocument/2006/customXml" ds:itemID="{29C89834-AEEA-4A5D-B9E3-81F7D90E68C9}"/>
</file>

<file path=customXml/itemProps3.xml><?xml version="1.0" encoding="utf-8"?>
<ds:datastoreItem xmlns:ds="http://schemas.openxmlformats.org/officeDocument/2006/customXml" ds:itemID="{D8817658-22B5-4F1A-8189-8A9FBB652B34}"/>
</file>

<file path=customXml/itemProps4.xml><?xml version="1.0" encoding="utf-8"?>
<ds:datastoreItem xmlns:ds="http://schemas.openxmlformats.org/officeDocument/2006/customXml" ds:itemID="{28601338-4722-468F-B57A-6522275F8A40}"/>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4890</Characters>
  <Application>Microsoft Office Word</Application>
  <DocSecurity>0</DocSecurity>
  <Lines>174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2025 Up-front Payments Levy Settings</dc:title>
  <dc:subject/>
  <dc:creator/>
  <cp:keywords/>
  <dc:description/>
  <cp:lastModifiedBy/>
  <cp:revision>1</cp:revision>
  <dcterms:created xsi:type="dcterms:W3CDTF">2025-05-27T01:16:00Z</dcterms:created>
  <dcterms:modified xsi:type="dcterms:W3CDTF">2025-05-27T01:17:00Z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2025-05-27T01:16:40Z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93d0d3eb-6a4a-4f9d-880d-1de184315fd5</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0x010100D0A9CCE9CD21384385A19063B05DA87A</vt:lpwstr>
  </property>
</Properties>
</file>