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F78A2" w14:textId="77777777" w:rsidR="00107DD5" w:rsidRDefault="00221D8F" w:rsidP="00CA4815">
      <w:r w:rsidRPr="00CA4815">
        <w:rPr>
          <w:b/>
          <w:bCs/>
          <w:noProof/>
        </w:rPr>
        <w:drawing>
          <wp:anchor distT="0" distB="0" distL="114300" distR="114300" simplePos="0" relativeHeight="251658240" behindDoc="1" locked="1" layoutInCell="1" allowOverlap="1" wp14:anchorId="1595A18E" wp14:editId="28638D0B">
            <wp:simplePos x="0" y="0"/>
            <wp:positionH relativeFrom="column">
              <wp:posOffset>-914400</wp:posOffset>
            </wp:positionH>
            <wp:positionV relativeFrom="paragraph">
              <wp:posOffset>-777875</wp:posOffset>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0E26AB47" wp14:editId="7C8572D2">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26923157" w:displacedByCustomXml="next"/>
    <w:bookmarkStart w:id="1" w:name="_Toc126923146" w:displacedByCustomXml="next"/>
    <w:sdt>
      <w:sdtPr>
        <w:alias w:val="Title"/>
        <w:tag w:val=""/>
        <w:id w:val="1478495247"/>
        <w:placeholder>
          <w:docPart w:val="BBC102744D1C44DBA955F6693EACD6D1"/>
        </w:placeholder>
        <w:dataBinding w:prefixMappings="xmlns:ns0='http://purl.org/dc/elements/1.1/' xmlns:ns1='http://schemas.openxmlformats.org/package/2006/metadata/core-properties' " w:xpath="/ns1:coreProperties[1]/ns0:title[1]" w:storeItemID="{6C3C8BC8-F283-45AE-878A-BAB7291924A1}"/>
        <w:text/>
      </w:sdtPr>
      <w:sdtEndPr/>
      <w:sdtContent>
        <w:p w14:paraId="1AA3D2FE" w14:textId="1F03AA49" w:rsidR="00221D8F" w:rsidRDefault="0002454C" w:rsidP="00893A34">
          <w:pPr>
            <w:pStyle w:val="Heading1"/>
          </w:pPr>
          <w:r>
            <w:t>Guidance Note</w:t>
          </w:r>
        </w:p>
      </w:sdtContent>
    </w:sdt>
    <w:bookmarkEnd w:id="0" w:displacedByCustomXml="prev"/>
    <w:bookmarkEnd w:id="1" w:displacedByCustomXml="prev"/>
    <w:p w14:paraId="19E22295" w14:textId="389DF66E" w:rsidR="0017134D" w:rsidRDefault="0002454C" w:rsidP="00EB4C2F">
      <w:pPr>
        <w:pStyle w:val="Subtitle"/>
      </w:pPr>
      <w:r>
        <w:t>Governance and Risk Frameworks</w:t>
      </w:r>
    </w:p>
    <w:p w14:paraId="5BD7ADC2" w14:textId="5D053C17" w:rsidR="0002454C" w:rsidRPr="0002454C" w:rsidRDefault="0002454C" w:rsidP="0002454C">
      <w:pPr>
        <w:rPr>
          <w:iCs/>
        </w:rPr>
      </w:pPr>
      <w:r w:rsidRPr="0002454C">
        <w:rPr>
          <w:iCs/>
        </w:rPr>
        <w:t xml:space="preserve">This guidance material presents decision makers with a series of questions to evaluate their university’s implementation of governance and risk frameworks in accordance with this pillar of </w:t>
      </w:r>
      <w:r w:rsidR="002F7F92">
        <w:rPr>
          <w:iCs/>
        </w:rPr>
        <w:t xml:space="preserve">the </w:t>
      </w:r>
      <w:r w:rsidRPr="0002454C">
        <w:rPr>
          <w:iCs/>
        </w:rPr>
        <w:t xml:space="preserve">Guidelines to Counter Foreign Interference in the Australian University Sector. This material is advisory only. It provides specific considerations for decision makers to refer to as appropriate to their circumstances. The questions are grouped under themes to assist navigation. </w:t>
      </w:r>
    </w:p>
    <w:p w14:paraId="627B6369" w14:textId="77777777" w:rsidR="005F4D5F" w:rsidRDefault="009D07FD" w:rsidP="009D07FD">
      <w:r>
        <w:t xml:space="preserve">Universities </w:t>
      </w:r>
      <w:r w:rsidR="00345FF9">
        <w:t>can manage their risks of foreign interference by</w:t>
      </w:r>
      <w:r w:rsidR="005F4D5F">
        <w:t>:</w:t>
      </w:r>
      <w:r w:rsidR="00345FF9">
        <w:t xml:space="preserve"> </w:t>
      </w:r>
    </w:p>
    <w:p w14:paraId="090DC5B1" w14:textId="6AA88191" w:rsidR="00552596" w:rsidRDefault="00552596" w:rsidP="00552596">
      <w:pPr>
        <w:pStyle w:val="ListParagraph"/>
        <w:numPr>
          <w:ilvl w:val="0"/>
          <w:numId w:val="20"/>
        </w:numPr>
      </w:pPr>
      <w:r>
        <w:t xml:space="preserve">having an awareness of how foreign interference </w:t>
      </w:r>
      <w:r w:rsidR="00AB2529">
        <w:t>may occur</w:t>
      </w:r>
    </w:p>
    <w:p w14:paraId="3C4D11A6" w14:textId="00D31CDB" w:rsidR="00345FF9" w:rsidRDefault="00345FF9" w:rsidP="00552596">
      <w:pPr>
        <w:pStyle w:val="ListParagraph"/>
        <w:numPr>
          <w:ilvl w:val="0"/>
          <w:numId w:val="20"/>
        </w:numPr>
      </w:pPr>
      <w:r>
        <w:t xml:space="preserve">determining the potential risks and consequences associated with </w:t>
      </w:r>
      <w:r w:rsidR="00AB2529">
        <w:t>university</w:t>
      </w:r>
      <w:r>
        <w:t xml:space="preserve"> activities</w:t>
      </w:r>
    </w:p>
    <w:p w14:paraId="0A727E2C" w14:textId="236EC4AD" w:rsidR="002C01E3" w:rsidRDefault="002C01E3" w:rsidP="002C01E3">
      <w:pPr>
        <w:pStyle w:val="ListParagraph"/>
        <w:numPr>
          <w:ilvl w:val="0"/>
          <w:numId w:val="20"/>
        </w:numPr>
      </w:pPr>
      <w:r>
        <w:t xml:space="preserve">designating </w:t>
      </w:r>
      <w:r w:rsidR="00AA33EF">
        <w:t>an accountably authority who is responsible for the university’s mitigations</w:t>
      </w:r>
    </w:p>
    <w:p w14:paraId="61A1ACCC" w14:textId="0A2B3334" w:rsidR="002C01E3" w:rsidRDefault="00D22E3B" w:rsidP="002C01E3">
      <w:pPr>
        <w:pStyle w:val="ListParagraph"/>
        <w:numPr>
          <w:ilvl w:val="0"/>
          <w:numId w:val="20"/>
        </w:numPr>
      </w:pPr>
      <w:r>
        <w:t xml:space="preserve">developing policies and procedures </w:t>
      </w:r>
      <w:r w:rsidR="002C01E3">
        <w:t>which set out actions to mitigate risks</w:t>
      </w:r>
    </w:p>
    <w:p w14:paraId="1EFFCF29" w14:textId="697BEE6F" w:rsidR="00E25AB9" w:rsidRDefault="00E25AB9" w:rsidP="002C01E3">
      <w:pPr>
        <w:pStyle w:val="ListParagraph"/>
        <w:numPr>
          <w:ilvl w:val="0"/>
          <w:numId w:val="20"/>
        </w:numPr>
      </w:pPr>
      <w:r>
        <w:t>instituting transparent escalation and reporting requirements.</w:t>
      </w:r>
    </w:p>
    <w:p w14:paraId="3BC43EE0" w14:textId="6877F6AA" w:rsidR="00F16EA9" w:rsidRDefault="007270CC" w:rsidP="00081127">
      <w:pPr>
        <w:pStyle w:val="Heading2"/>
      </w:pPr>
      <w:r>
        <w:t>Identifying acts of foreign interference</w:t>
      </w:r>
    </w:p>
    <w:p w14:paraId="4D23DEBB" w14:textId="19C8E2BB" w:rsidR="007270CC" w:rsidRDefault="00081127" w:rsidP="007270CC">
      <w:r>
        <w:t>Examples of how foreign interference can occur include, but are not limited to:</w:t>
      </w:r>
    </w:p>
    <w:p w14:paraId="320ABCA2" w14:textId="3C5C0BCA" w:rsidR="00081127" w:rsidRDefault="005E2E6E" w:rsidP="005E2E6E">
      <w:pPr>
        <w:pStyle w:val="ListParagraph"/>
        <w:numPr>
          <w:ilvl w:val="0"/>
          <w:numId w:val="21"/>
        </w:numPr>
      </w:pPr>
      <w:r>
        <w:t>improper attempts to obtain information</w:t>
      </w:r>
      <w:r w:rsidR="00570A8D">
        <w:t xml:space="preserve"> (such as sensitive or confidential information) from students or staff via foreign delegations, seminars, collaborations, or obligations of financial support</w:t>
      </w:r>
    </w:p>
    <w:p w14:paraId="148346E5" w14:textId="6FB72B9D" w:rsidR="00570A8D" w:rsidRDefault="00E14AD7" w:rsidP="005E2E6E">
      <w:pPr>
        <w:pStyle w:val="ListParagraph"/>
        <w:numPr>
          <w:ilvl w:val="0"/>
          <w:numId w:val="21"/>
        </w:numPr>
      </w:pPr>
      <w:r>
        <w:t>i</w:t>
      </w:r>
      <w:r w:rsidR="00570A8D">
        <w:t xml:space="preserve">nappropriately </w:t>
      </w:r>
      <w:r>
        <w:t>targeting</w:t>
      </w:r>
      <w:r w:rsidR="00570A8D">
        <w:t xml:space="preserve"> and recruiting staff and students, including HDR students, to further a foreign actor’s interests</w:t>
      </w:r>
    </w:p>
    <w:p w14:paraId="47159011" w14:textId="6A6D7E79" w:rsidR="00570A8D" w:rsidRDefault="00E14AD7" w:rsidP="005E2E6E">
      <w:pPr>
        <w:pStyle w:val="ListParagraph"/>
        <w:numPr>
          <w:ilvl w:val="0"/>
          <w:numId w:val="21"/>
        </w:numPr>
      </w:pPr>
      <w:r>
        <w:t>a</w:t>
      </w:r>
      <w:r w:rsidR="00570A8D">
        <w:t xml:space="preserve">ctions by or for a foreign actor that are inconsistent with academic freedom and the university’s values or codes of conduct, such as demands or inducements to change academic programs for the benefit of a foreign political, </w:t>
      </w:r>
      <w:r>
        <w:t>religious</w:t>
      </w:r>
      <w:r w:rsidR="00570A8D">
        <w:t xml:space="preserve"> or social agenda</w:t>
      </w:r>
    </w:p>
    <w:p w14:paraId="0E6EAC4A" w14:textId="0599DB0D" w:rsidR="00570A8D" w:rsidRDefault="00E14AD7" w:rsidP="005E2E6E">
      <w:pPr>
        <w:pStyle w:val="ListParagraph"/>
        <w:numPr>
          <w:ilvl w:val="0"/>
          <w:numId w:val="21"/>
        </w:numPr>
      </w:pPr>
      <w:r>
        <w:t>i</w:t>
      </w:r>
      <w:r w:rsidR="00570A8D">
        <w:t>nappropriate efforts to alter or direct the universi</w:t>
      </w:r>
      <w:r w:rsidR="0099785D">
        <w:t>ty’s research agenda into particular areas of research (this may occur through subtle forms of undue influence and engagement, and through funding arrangements that may also lead to a loss of future value</w:t>
      </w:r>
      <w:r w:rsidR="009217C0">
        <w:t xml:space="preserve"> and/or control of intellectual property)</w:t>
      </w:r>
    </w:p>
    <w:p w14:paraId="33F5C744" w14:textId="7A753532" w:rsidR="009217C0" w:rsidRDefault="00E14AD7" w:rsidP="005E2E6E">
      <w:pPr>
        <w:pStyle w:val="ListParagraph"/>
        <w:numPr>
          <w:ilvl w:val="0"/>
          <w:numId w:val="21"/>
        </w:numPr>
      </w:pPr>
      <w:r>
        <w:t>s</w:t>
      </w:r>
      <w:r w:rsidR="009217C0">
        <w:t xml:space="preserve">eeking inappropriate </w:t>
      </w:r>
      <w:r w:rsidR="00DF07A0" w:rsidRPr="00DF07A0">
        <w:t>access to, or influence over, particular persons, areas of activity, or research outcomes through various forms of funding arrangements (e.g. donations) or collaborations, financial or other inducements targeted at individuals</w:t>
      </w:r>
    </w:p>
    <w:p w14:paraId="3C4F5F15" w14:textId="371D95E5" w:rsidR="00DF07A0" w:rsidRDefault="00E14AD7" w:rsidP="005E2E6E">
      <w:pPr>
        <w:pStyle w:val="ListParagraph"/>
        <w:numPr>
          <w:ilvl w:val="0"/>
          <w:numId w:val="21"/>
        </w:numPr>
      </w:pPr>
      <w:r>
        <w:t>c</w:t>
      </w:r>
      <w:r w:rsidR="00DF07A0">
        <w:t xml:space="preserve">yber targeting by exploiting network vulnerabilities and unauthorised access. </w:t>
      </w:r>
    </w:p>
    <w:p w14:paraId="6E9E5E63" w14:textId="3A2EEDD0" w:rsidR="00E14AD7" w:rsidRDefault="008138F2" w:rsidP="00E14AD7">
      <w:pPr>
        <w:pStyle w:val="Heading2"/>
      </w:pPr>
      <w:r>
        <w:lastRenderedPageBreak/>
        <w:t xml:space="preserve">Identifying risks </w:t>
      </w:r>
      <w:r w:rsidR="009A3BAF">
        <w:t>and consequences</w:t>
      </w:r>
    </w:p>
    <w:p w14:paraId="1104709E" w14:textId="366B67B9" w:rsidR="008138F2" w:rsidRDefault="008138F2" w:rsidP="008138F2">
      <w:r>
        <w:t>Examples of risks of foreign interference for universities include:</w:t>
      </w:r>
    </w:p>
    <w:p w14:paraId="09CB5F68" w14:textId="1B2C1104" w:rsidR="00F26B02" w:rsidRDefault="009D1B34" w:rsidP="00F26B02">
      <w:pPr>
        <w:pStyle w:val="ListParagraph"/>
        <w:numPr>
          <w:ilvl w:val="0"/>
          <w:numId w:val="22"/>
        </w:numPr>
      </w:pPr>
      <w:r>
        <w:t>u</w:t>
      </w:r>
      <w:r w:rsidR="00F26B02">
        <w:t>nwanted access and potential interference to research, sensitive or personal data</w:t>
      </w:r>
    </w:p>
    <w:p w14:paraId="5A17BF98" w14:textId="049591AF" w:rsidR="00F26B02" w:rsidRDefault="009D1B34" w:rsidP="00F26B02">
      <w:pPr>
        <w:pStyle w:val="ListParagraph"/>
        <w:numPr>
          <w:ilvl w:val="0"/>
          <w:numId w:val="22"/>
        </w:numPr>
      </w:pPr>
      <w:r>
        <w:t>l</w:t>
      </w:r>
      <w:r w:rsidR="00F26B02">
        <w:t>oss of future partnerships / collaborations / talent attraction</w:t>
      </w:r>
    </w:p>
    <w:p w14:paraId="5C1E0781" w14:textId="7902A822" w:rsidR="00F26B02" w:rsidRDefault="009D1B34" w:rsidP="00F26B02">
      <w:pPr>
        <w:pStyle w:val="ListParagraph"/>
        <w:numPr>
          <w:ilvl w:val="0"/>
          <w:numId w:val="22"/>
        </w:numPr>
      </w:pPr>
      <w:r>
        <w:t>b</w:t>
      </w:r>
      <w:r w:rsidR="00F26B02">
        <w:t>reach of legal obligations – contractual or legislative</w:t>
      </w:r>
    </w:p>
    <w:p w14:paraId="0712BF2D" w14:textId="75F91E14" w:rsidR="00F26B02" w:rsidRDefault="009D1B34" w:rsidP="00F26B02">
      <w:pPr>
        <w:pStyle w:val="ListParagraph"/>
        <w:numPr>
          <w:ilvl w:val="0"/>
          <w:numId w:val="22"/>
        </w:numPr>
      </w:pPr>
      <w:r>
        <w:t>l</w:t>
      </w:r>
      <w:r w:rsidR="00F26B02">
        <w:t>oss of intellectual property / commercialisation opportunity</w:t>
      </w:r>
    </w:p>
    <w:p w14:paraId="753CD69E" w14:textId="7103DDAC" w:rsidR="00F26B02" w:rsidRDefault="009D1B34" w:rsidP="00F26B02">
      <w:pPr>
        <w:pStyle w:val="ListParagraph"/>
        <w:numPr>
          <w:ilvl w:val="0"/>
          <w:numId w:val="22"/>
        </w:numPr>
      </w:pPr>
      <w:r>
        <w:t>c</w:t>
      </w:r>
      <w:r w:rsidR="00F26B02">
        <w:t>ultivation of the university community for information gathering</w:t>
      </w:r>
    </w:p>
    <w:p w14:paraId="3A027139" w14:textId="5E142669" w:rsidR="00F26B02" w:rsidRDefault="009D1B34" w:rsidP="00F26B02">
      <w:pPr>
        <w:pStyle w:val="ListParagraph"/>
        <w:numPr>
          <w:ilvl w:val="0"/>
          <w:numId w:val="22"/>
        </w:numPr>
      </w:pPr>
      <w:r>
        <w:t>u</w:t>
      </w:r>
      <w:r w:rsidR="00F26B02">
        <w:t>ndue influence of an agenda within or outside the classroom.</w:t>
      </w:r>
    </w:p>
    <w:p w14:paraId="34F9D9C2" w14:textId="63282EC5" w:rsidR="009A3BAF" w:rsidRDefault="009A3BAF" w:rsidP="00045527">
      <w:r>
        <w:t>Examples of consequences of foreign interference risks include:</w:t>
      </w:r>
    </w:p>
    <w:p w14:paraId="6320D8D9" w14:textId="7D86B732" w:rsidR="00045527" w:rsidRDefault="009D1B34" w:rsidP="00045527">
      <w:pPr>
        <w:pStyle w:val="ListParagraph"/>
        <w:numPr>
          <w:ilvl w:val="0"/>
          <w:numId w:val="24"/>
        </w:numPr>
      </w:pPr>
      <w:r>
        <w:t>d</w:t>
      </w:r>
      <w:r w:rsidR="00045527">
        <w:t>amage to reputation – institution or researcher or research team</w:t>
      </w:r>
    </w:p>
    <w:p w14:paraId="4BCEF4DF" w14:textId="342EF911" w:rsidR="00456CC5" w:rsidRDefault="009D1B34" w:rsidP="00456CC5">
      <w:pPr>
        <w:pStyle w:val="ListParagraph"/>
        <w:numPr>
          <w:ilvl w:val="0"/>
          <w:numId w:val="24"/>
        </w:numPr>
      </w:pPr>
      <w:r>
        <w:t>l</w:t>
      </w:r>
      <w:r w:rsidR="00045527">
        <w:t xml:space="preserve">oss of public or partner trust, </w:t>
      </w:r>
      <w:r w:rsidR="00456CC5">
        <w:t>credibility and integrity of research results or data</w:t>
      </w:r>
    </w:p>
    <w:p w14:paraId="5D94DCA3" w14:textId="0915DD6B" w:rsidR="00456CC5" w:rsidRDefault="009D1B34" w:rsidP="00456CC5">
      <w:pPr>
        <w:pStyle w:val="ListParagraph"/>
        <w:numPr>
          <w:ilvl w:val="0"/>
          <w:numId w:val="24"/>
        </w:numPr>
      </w:pPr>
      <w:r>
        <w:t>l</w:t>
      </w:r>
      <w:r w:rsidR="00456CC5">
        <w:t>oss of control over confidential data or findings, if another individual patents research outcomes, restricts access to it by other means</w:t>
      </w:r>
    </w:p>
    <w:p w14:paraId="32E139F3" w14:textId="68A727B6" w:rsidR="00456CC5" w:rsidRDefault="009D1B34" w:rsidP="00456CC5">
      <w:pPr>
        <w:pStyle w:val="ListParagraph"/>
        <w:numPr>
          <w:ilvl w:val="0"/>
          <w:numId w:val="24"/>
        </w:numPr>
      </w:pPr>
      <w:r>
        <w:t>l</w:t>
      </w:r>
      <w:r w:rsidR="00456CC5">
        <w:t>oss of professional recognition of work / effort and career progression opportunities</w:t>
      </w:r>
    </w:p>
    <w:p w14:paraId="0578E5DD" w14:textId="26DBF5FD" w:rsidR="00456CC5" w:rsidRDefault="009D1B34" w:rsidP="00456CC5">
      <w:pPr>
        <w:pStyle w:val="ListParagraph"/>
        <w:numPr>
          <w:ilvl w:val="0"/>
          <w:numId w:val="24"/>
        </w:numPr>
      </w:pPr>
      <w:r>
        <w:t>l</w:t>
      </w:r>
      <w:r w:rsidR="00456CC5">
        <w:t>oss of potential revenue</w:t>
      </w:r>
    </w:p>
    <w:p w14:paraId="0A1706D0" w14:textId="5F78B384" w:rsidR="00456CC5" w:rsidRDefault="009D1B34" w:rsidP="00456CC5">
      <w:pPr>
        <w:pStyle w:val="ListParagraph"/>
        <w:numPr>
          <w:ilvl w:val="0"/>
          <w:numId w:val="24"/>
        </w:numPr>
      </w:pPr>
      <w:r>
        <w:t>e</w:t>
      </w:r>
      <w:r w:rsidR="00456CC5">
        <w:t>xisting or potential partners may lose confidence in abilities to hold confidential information in the future</w:t>
      </w:r>
    </w:p>
    <w:p w14:paraId="69108906" w14:textId="17094B49" w:rsidR="00045527" w:rsidRDefault="009D1B34" w:rsidP="00456CC5">
      <w:pPr>
        <w:pStyle w:val="ListParagraph"/>
        <w:numPr>
          <w:ilvl w:val="0"/>
          <w:numId w:val="24"/>
        </w:numPr>
      </w:pPr>
      <w:r>
        <w:t>i</w:t>
      </w:r>
      <w:r w:rsidR="00456CC5">
        <w:t>neligibility for future funding opportunities.</w:t>
      </w:r>
    </w:p>
    <w:p w14:paraId="1C76CC13" w14:textId="780CE405" w:rsidR="00456CC5" w:rsidRDefault="00456CC5" w:rsidP="00456CC5">
      <w:r>
        <w:t>More serious activities can lead to sanctions, infringements, litigation or criminal charges. At their most serious, foreign interference activities can provide a pathway to espionage against Australia.</w:t>
      </w:r>
    </w:p>
    <w:p w14:paraId="5C5B0820" w14:textId="4EFE4754" w:rsidR="00302157" w:rsidRDefault="004E4248" w:rsidP="004E4248">
      <w:pPr>
        <w:pStyle w:val="Heading2"/>
      </w:pPr>
      <w:r>
        <w:t>Accountable authorities</w:t>
      </w:r>
    </w:p>
    <w:p w14:paraId="742856CC" w14:textId="6D1F9D6F" w:rsidR="004E4248" w:rsidRDefault="00690139" w:rsidP="00690139">
      <w:r>
        <w:t xml:space="preserve">An accountable authority is a senior executive or executive body responsible and accountable for the security of people, information and assets to counter foreign interference. An accountable authority may be a: </w:t>
      </w:r>
    </w:p>
    <w:p w14:paraId="7FC0CD69" w14:textId="36A6BD77" w:rsidR="00690139" w:rsidRDefault="00690139" w:rsidP="00690139">
      <w:pPr>
        <w:pStyle w:val="ListParagraph"/>
        <w:numPr>
          <w:ilvl w:val="0"/>
          <w:numId w:val="26"/>
        </w:numPr>
      </w:pPr>
      <w:r>
        <w:t>Deputy Vice-Chancellor</w:t>
      </w:r>
    </w:p>
    <w:p w14:paraId="4C884CC9" w14:textId="7AEFFC27" w:rsidR="00690139" w:rsidRDefault="00690139" w:rsidP="00690139">
      <w:pPr>
        <w:pStyle w:val="ListParagraph"/>
        <w:numPr>
          <w:ilvl w:val="0"/>
          <w:numId w:val="26"/>
        </w:numPr>
      </w:pPr>
      <w:r>
        <w:t>Chief Information Security Officer</w:t>
      </w:r>
    </w:p>
    <w:p w14:paraId="76370E57" w14:textId="4439CE5D" w:rsidR="00690139" w:rsidRDefault="009D1B34" w:rsidP="00690139">
      <w:pPr>
        <w:pStyle w:val="ListParagraph"/>
        <w:numPr>
          <w:ilvl w:val="0"/>
          <w:numId w:val="26"/>
        </w:numPr>
      </w:pPr>
      <w:r>
        <w:t>s</w:t>
      </w:r>
      <w:r w:rsidR="00690139">
        <w:t>uitably senior university staff member</w:t>
      </w:r>
    </w:p>
    <w:p w14:paraId="34EA89BB" w14:textId="5CC45F17" w:rsidR="00690139" w:rsidRDefault="009D1B34" w:rsidP="00690139">
      <w:pPr>
        <w:pStyle w:val="ListParagraph"/>
        <w:numPr>
          <w:ilvl w:val="0"/>
          <w:numId w:val="26"/>
        </w:numPr>
      </w:pPr>
      <w:r>
        <w:t>s</w:t>
      </w:r>
      <w:r w:rsidR="00690139">
        <w:t>uitable senior university—level committee.</w:t>
      </w:r>
    </w:p>
    <w:p w14:paraId="14C74173" w14:textId="3C77A4E4" w:rsidR="00690139" w:rsidRDefault="00690139" w:rsidP="00690139">
      <w:r>
        <w:t>Universities and sector bodies could consider adding foreign interference a</w:t>
      </w:r>
      <w:r w:rsidR="00302D54">
        <w:t>s</w:t>
      </w:r>
      <w:r>
        <w:t xml:space="preserve"> </w:t>
      </w:r>
      <w:r w:rsidR="00302D54">
        <w:t>a standing</w:t>
      </w:r>
      <w:r>
        <w:t xml:space="preserve"> agenda item or including it in Terms of Reference for existing executive/leadership/project groups.</w:t>
      </w:r>
    </w:p>
    <w:p w14:paraId="6DF9EB38" w14:textId="53A31872" w:rsidR="00872C49" w:rsidRDefault="00872C49" w:rsidP="00872C49">
      <w:pPr>
        <w:pStyle w:val="Heading2"/>
      </w:pPr>
      <w:r>
        <w:lastRenderedPageBreak/>
        <w:t>Policies and procedures</w:t>
      </w:r>
    </w:p>
    <w:p w14:paraId="268DB3FA" w14:textId="3C2654F9" w:rsidR="00872C49" w:rsidRDefault="00872C49" w:rsidP="00872C49">
      <w:r>
        <w:t xml:space="preserve">Universities have a range of existing policies and procedures that support compliance with </w:t>
      </w:r>
      <w:r w:rsidR="00617426">
        <w:t>legislation</w:t>
      </w:r>
      <w:r>
        <w:t xml:space="preserve"> and these may also be considered as part of managing foreign interference risks. Examples </w:t>
      </w:r>
      <w:r w:rsidR="00A2074E">
        <w:t>include, but are not limited to:</w:t>
      </w:r>
    </w:p>
    <w:p w14:paraId="56A036AA" w14:textId="6FF8F0A7" w:rsidR="00EB793E" w:rsidRDefault="0034510D" w:rsidP="00EB793E">
      <w:pPr>
        <w:pStyle w:val="ListParagraph"/>
        <w:numPr>
          <w:ilvl w:val="0"/>
          <w:numId w:val="27"/>
        </w:numPr>
      </w:pPr>
      <w:r>
        <w:t>s</w:t>
      </w:r>
      <w:r w:rsidR="00EB793E">
        <w:t>ensitive research</w:t>
      </w:r>
    </w:p>
    <w:p w14:paraId="5B5DF185" w14:textId="5F3C498E" w:rsidR="00EB793E" w:rsidRDefault="0034510D" w:rsidP="00EB793E">
      <w:pPr>
        <w:pStyle w:val="ListParagraph"/>
        <w:numPr>
          <w:ilvl w:val="0"/>
          <w:numId w:val="27"/>
        </w:numPr>
      </w:pPr>
      <w:r>
        <w:t>g</w:t>
      </w:r>
      <w:r w:rsidR="00EB793E">
        <w:t>ifts and donations</w:t>
      </w:r>
    </w:p>
    <w:p w14:paraId="3E076C62" w14:textId="489A7EA3" w:rsidR="00EB793E" w:rsidRDefault="0034510D" w:rsidP="00EB793E">
      <w:pPr>
        <w:pStyle w:val="ListParagraph"/>
        <w:numPr>
          <w:ilvl w:val="0"/>
          <w:numId w:val="27"/>
        </w:numPr>
      </w:pPr>
      <w:r>
        <w:t>i</w:t>
      </w:r>
      <w:r w:rsidR="00EB793E">
        <w:t>ncident management</w:t>
      </w:r>
    </w:p>
    <w:p w14:paraId="3DD5C91D" w14:textId="7A87A4E8" w:rsidR="00EB793E" w:rsidRDefault="00143F2F" w:rsidP="00EB793E">
      <w:pPr>
        <w:pStyle w:val="ListParagraph"/>
        <w:numPr>
          <w:ilvl w:val="0"/>
          <w:numId w:val="27"/>
        </w:numPr>
      </w:pPr>
      <w:r>
        <w:t>e</w:t>
      </w:r>
      <w:r w:rsidR="00EB793E">
        <w:t>thical conduct in the workplace</w:t>
      </w:r>
    </w:p>
    <w:p w14:paraId="4D912B63" w14:textId="434E4B06" w:rsidR="00EB793E" w:rsidRDefault="00143F2F" w:rsidP="00EB793E">
      <w:pPr>
        <w:pStyle w:val="ListParagraph"/>
        <w:numPr>
          <w:ilvl w:val="0"/>
          <w:numId w:val="27"/>
        </w:numPr>
      </w:pPr>
      <w:r>
        <w:t>r</w:t>
      </w:r>
      <w:r w:rsidR="00EB793E">
        <w:t>esponsible conduct of research</w:t>
      </w:r>
    </w:p>
    <w:p w14:paraId="553A443D" w14:textId="53AA652B" w:rsidR="00EB793E" w:rsidRDefault="00143F2F" w:rsidP="00EB793E">
      <w:pPr>
        <w:pStyle w:val="ListParagraph"/>
        <w:numPr>
          <w:ilvl w:val="0"/>
          <w:numId w:val="27"/>
        </w:numPr>
      </w:pPr>
      <w:r>
        <w:t>s</w:t>
      </w:r>
      <w:r w:rsidR="00EB793E">
        <w:t>tudent codes of conduct</w:t>
      </w:r>
    </w:p>
    <w:p w14:paraId="3758B8BE" w14:textId="264F7008" w:rsidR="00EB793E" w:rsidRDefault="00143F2F" w:rsidP="00EB793E">
      <w:pPr>
        <w:pStyle w:val="ListParagraph"/>
        <w:numPr>
          <w:ilvl w:val="0"/>
          <w:numId w:val="27"/>
        </w:numPr>
      </w:pPr>
      <w:r>
        <w:t>s</w:t>
      </w:r>
      <w:r w:rsidR="00EB793E">
        <w:t>taff codes of conduct</w:t>
      </w:r>
    </w:p>
    <w:p w14:paraId="61B43008" w14:textId="4E76E46E" w:rsidR="00EB793E" w:rsidRDefault="00143F2F" w:rsidP="00EB793E">
      <w:pPr>
        <w:pStyle w:val="ListParagraph"/>
        <w:numPr>
          <w:ilvl w:val="0"/>
          <w:numId w:val="27"/>
        </w:numPr>
      </w:pPr>
      <w:r>
        <w:t>c</w:t>
      </w:r>
      <w:r w:rsidR="00EB793E">
        <w:t>omplaints reporting and management</w:t>
      </w:r>
    </w:p>
    <w:p w14:paraId="58A38908" w14:textId="4DC247C6" w:rsidR="00EB793E" w:rsidRDefault="00143F2F" w:rsidP="00EB793E">
      <w:pPr>
        <w:pStyle w:val="ListParagraph"/>
        <w:numPr>
          <w:ilvl w:val="0"/>
          <w:numId w:val="27"/>
        </w:numPr>
      </w:pPr>
      <w:r>
        <w:t>a</w:t>
      </w:r>
      <w:r w:rsidR="00EB793E">
        <w:t>nti-discrimination and freedom from bullying and harassment</w:t>
      </w:r>
    </w:p>
    <w:p w14:paraId="14CCE7DA" w14:textId="3D89102A" w:rsidR="00EB793E" w:rsidRDefault="00143F2F" w:rsidP="00EB793E">
      <w:pPr>
        <w:pStyle w:val="ListParagraph"/>
        <w:numPr>
          <w:ilvl w:val="0"/>
          <w:numId w:val="27"/>
        </w:numPr>
      </w:pPr>
      <w:r>
        <w:t>r</w:t>
      </w:r>
      <w:r w:rsidR="00EB793E">
        <w:t>isk management procedures</w:t>
      </w:r>
    </w:p>
    <w:p w14:paraId="13E757E9" w14:textId="367E1975" w:rsidR="00EB793E" w:rsidRDefault="00143F2F" w:rsidP="00EB793E">
      <w:pPr>
        <w:pStyle w:val="ListParagraph"/>
        <w:numPr>
          <w:ilvl w:val="0"/>
          <w:numId w:val="27"/>
        </w:numPr>
      </w:pPr>
      <w:r>
        <w:t>f</w:t>
      </w:r>
      <w:r w:rsidR="00EB793E">
        <w:t>raud and corruption control.</w:t>
      </w:r>
    </w:p>
    <w:p w14:paraId="7A87E1D8" w14:textId="3B1159CE" w:rsidR="00A2074E" w:rsidRDefault="00EB793E" w:rsidP="00EB793E">
      <w:r>
        <w:t xml:space="preserve">Universities can include elements </w:t>
      </w:r>
      <w:r w:rsidR="00665A53">
        <w:t xml:space="preserve">in their policies and procedures to address conduct that could lead to foreign interference. </w:t>
      </w:r>
      <w:r w:rsidR="00FD356B">
        <w:t>Examples</w:t>
      </w:r>
      <w:r w:rsidR="00665A53">
        <w:t xml:space="preserve"> include, but are not limited to:</w:t>
      </w:r>
    </w:p>
    <w:p w14:paraId="6539217D" w14:textId="6D26D69A" w:rsidR="00A24391" w:rsidRDefault="008A5592" w:rsidP="00A24391">
      <w:pPr>
        <w:pStyle w:val="ListParagraph"/>
        <w:numPr>
          <w:ilvl w:val="0"/>
          <w:numId w:val="28"/>
        </w:numPr>
      </w:pPr>
      <w:r>
        <w:t>p</w:t>
      </w:r>
      <w:r w:rsidR="00A24391">
        <w:t>rotections in university codes of conduct for all students and staff from actions that contravene the codes, such as harassment and intimidation of individuals on campus, with codes of conduct publicly accessible to all students and staff.</w:t>
      </w:r>
    </w:p>
    <w:p w14:paraId="5BC69E8A" w14:textId="5BCA0BBD" w:rsidR="00A24391" w:rsidRDefault="008A5592" w:rsidP="00A24391">
      <w:pPr>
        <w:pStyle w:val="ListParagraph"/>
        <w:numPr>
          <w:ilvl w:val="1"/>
          <w:numId w:val="29"/>
        </w:numPr>
      </w:pPr>
      <w:r>
        <w:t>a</w:t>
      </w:r>
      <w:r w:rsidR="00A24391">
        <w:t>lignment with codes on freedom of speech and academic freedom</w:t>
      </w:r>
      <w:r w:rsidR="006D5DDA">
        <w:t>.</w:t>
      </w:r>
    </w:p>
    <w:p w14:paraId="6DBCE92D" w14:textId="0A32D313" w:rsidR="00A24391" w:rsidRDefault="008A5592" w:rsidP="00A24391">
      <w:pPr>
        <w:pStyle w:val="ListParagraph"/>
        <w:numPr>
          <w:ilvl w:val="1"/>
          <w:numId w:val="29"/>
        </w:numPr>
      </w:pPr>
      <w:r>
        <w:t>a</w:t>
      </w:r>
      <w:r w:rsidR="00A24391">
        <w:t xml:space="preserve">ddress activities such as </w:t>
      </w:r>
      <w:proofErr w:type="spellStart"/>
      <w:r w:rsidR="00A24391">
        <w:t>doxxing</w:t>
      </w:r>
      <w:proofErr w:type="spellEnd"/>
      <w:r w:rsidR="00A24391">
        <w:t xml:space="preserve"> or targeting individuals due to their academic contribution.</w:t>
      </w:r>
    </w:p>
    <w:p w14:paraId="034A4369" w14:textId="3548CA1D" w:rsidR="00A24391" w:rsidRDefault="008A5592" w:rsidP="00A24391">
      <w:pPr>
        <w:pStyle w:val="ListParagraph"/>
        <w:numPr>
          <w:ilvl w:val="0"/>
          <w:numId w:val="28"/>
        </w:numPr>
      </w:pPr>
      <w:r>
        <w:t>c</w:t>
      </w:r>
      <w:r w:rsidR="00A24391">
        <w:t>onsideration of issues particular to off campus, offshore and international delivery</w:t>
      </w:r>
      <w:r w:rsidR="006D5DDA">
        <w:t>.</w:t>
      </w:r>
    </w:p>
    <w:p w14:paraId="5308C186" w14:textId="4856A9CE" w:rsidR="00A24391" w:rsidRDefault="008A5592" w:rsidP="00A24391">
      <w:pPr>
        <w:pStyle w:val="ListParagraph"/>
        <w:numPr>
          <w:ilvl w:val="0"/>
          <w:numId w:val="28"/>
        </w:numPr>
      </w:pPr>
      <w:r>
        <w:t>m</w:t>
      </w:r>
      <w:r w:rsidR="00A24391">
        <w:t>anag</w:t>
      </w:r>
      <w:r w:rsidR="005214A9">
        <w:t>ing</w:t>
      </w:r>
      <w:r w:rsidR="00A24391">
        <w:t xml:space="preserve"> claims of foreign interference sensitively, in line with university policies and taking account of confidentiality issues</w:t>
      </w:r>
      <w:r w:rsidR="006D5DDA">
        <w:t>.</w:t>
      </w:r>
    </w:p>
    <w:p w14:paraId="11F51C3C" w14:textId="53ACD897" w:rsidR="00A24391" w:rsidRDefault="008A5592" w:rsidP="00A24391">
      <w:pPr>
        <w:pStyle w:val="ListParagraph"/>
        <w:numPr>
          <w:ilvl w:val="0"/>
          <w:numId w:val="28"/>
        </w:numPr>
      </w:pPr>
      <w:r>
        <w:t>m</w:t>
      </w:r>
      <w:r w:rsidR="00A24391">
        <w:t>echanisms to protect individuals — both students and staff — from undue influence, harassment or intimidation, such as enabling the anonymisation of academic work and grading when engaging on sensitive topics.</w:t>
      </w:r>
    </w:p>
    <w:p w14:paraId="0348D928" w14:textId="324B9D37" w:rsidR="00A24391" w:rsidRDefault="008A5592" w:rsidP="00A24391">
      <w:pPr>
        <w:pStyle w:val="ListParagraph"/>
        <w:numPr>
          <w:ilvl w:val="0"/>
          <w:numId w:val="28"/>
        </w:numPr>
      </w:pPr>
      <w:r>
        <w:t>m</w:t>
      </w:r>
      <w:r w:rsidR="00A24391">
        <w:t>echanisms that check a staff or student’s understanding of foreign interference risk and mitigations prior to the university providing an individual with access to information and assets that may be at risk.</w:t>
      </w:r>
    </w:p>
    <w:p w14:paraId="4ED35CC1" w14:textId="09B8477A" w:rsidR="006D5DDA" w:rsidRDefault="006D5DDA" w:rsidP="00E25AB9">
      <w:pPr>
        <w:pStyle w:val="Heading2"/>
      </w:pPr>
      <w:r>
        <w:t>Escalation and reporting requirements</w:t>
      </w:r>
    </w:p>
    <w:p w14:paraId="68AA0E95" w14:textId="63EBFDDC" w:rsidR="00FD356B" w:rsidRDefault="005475EE" w:rsidP="005475EE">
      <w:r>
        <w:t>Effective reporting mechanisms help to facilitate information flow, communication of expectations, and identification of risks. Examples of escalation and reporting requirements include:</w:t>
      </w:r>
    </w:p>
    <w:p w14:paraId="3A4EEC59" w14:textId="5DA6C933" w:rsidR="005475EE" w:rsidRDefault="00573FE9" w:rsidP="005475EE">
      <w:pPr>
        <w:pStyle w:val="ListParagraph"/>
        <w:numPr>
          <w:ilvl w:val="0"/>
          <w:numId w:val="31"/>
        </w:numPr>
      </w:pPr>
      <w:r>
        <w:t>i</w:t>
      </w:r>
      <w:r w:rsidR="006A24C0">
        <w:t>nternal audit schedules and report</w:t>
      </w:r>
      <w:r w:rsidR="00F37062">
        <w:t>s</w:t>
      </w:r>
    </w:p>
    <w:p w14:paraId="0B506C47" w14:textId="7F490764" w:rsidR="00F37062" w:rsidRDefault="00573FE9" w:rsidP="00F37062">
      <w:pPr>
        <w:pStyle w:val="ListParagraph"/>
        <w:numPr>
          <w:ilvl w:val="0"/>
          <w:numId w:val="31"/>
        </w:numPr>
      </w:pPr>
      <w:r>
        <w:t>p</w:t>
      </w:r>
      <w:r w:rsidR="00F37062">
        <w:t>rogram review schedules and reports</w:t>
      </w:r>
    </w:p>
    <w:p w14:paraId="2756942B" w14:textId="361077F4" w:rsidR="00F37062" w:rsidRDefault="00573FE9" w:rsidP="00F37062">
      <w:pPr>
        <w:pStyle w:val="ListParagraph"/>
        <w:numPr>
          <w:ilvl w:val="0"/>
          <w:numId w:val="31"/>
        </w:numPr>
      </w:pPr>
      <w:r>
        <w:t>a</w:t>
      </w:r>
      <w:r w:rsidR="00F37062">
        <w:t>nnual reports</w:t>
      </w:r>
    </w:p>
    <w:p w14:paraId="3F7F0E30" w14:textId="06EEDC28" w:rsidR="00F37062" w:rsidRDefault="00573FE9" w:rsidP="00F37062">
      <w:pPr>
        <w:pStyle w:val="ListParagraph"/>
        <w:numPr>
          <w:ilvl w:val="0"/>
          <w:numId w:val="31"/>
        </w:numPr>
      </w:pPr>
      <w:r>
        <w:t>i</w:t>
      </w:r>
      <w:r w:rsidR="00F37062">
        <w:t>nformation security incident management reports</w:t>
      </w:r>
    </w:p>
    <w:p w14:paraId="1E415BD1" w14:textId="269C147E" w:rsidR="00F66CBC" w:rsidRDefault="00573FE9" w:rsidP="00F66CBC">
      <w:pPr>
        <w:pStyle w:val="ListParagraph"/>
        <w:numPr>
          <w:ilvl w:val="0"/>
          <w:numId w:val="31"/>
        </w:numPr>
      </w:pPr>
      <w:r>
        <w:lastRenderedPageBreak/>
        <w:t>w</w:t>
      </w:r>
      <w:r w:rsidR="00F37062">
        <w:t>orkplace grievances and complaints systems.</w:t>
      </w:r>
    </w:p>
    <w:p w14:paraId="41E913C2" w14:textId="21744830" w:rsidR="00370DD7" w:rsidRDefault="00370DD7" w:rsidP="00370DD7">
      <w:r>
        <w:t>Templates or forms that guide staff will help consistency in reports on, for example, international collaborations, concerns or incidents of harassment, unauthorised access to data. Reporting provided to the accountable authority may address, for example:</w:t>
      </w:r>
    </w:p>
    <w:p w14:paraId="73532CC7" w14:textId="21726A95" w:rsidR="00834E55" w:rsidRDefault="00573FE9" w:rsidP="00834E55">
      <w:pPr>
        <w:pStyle w:val="ListParagraph"/>
        <w:numPr>
          <w:ilvl w:val="0"/>
          <w:numId w:val="32"/>
        </w:numPr>
      </w:pPr>
      <w:r>
        <w:t>a</w:t>
      </w:r>
      <w:r w:rsidR="00834E55">
        <w:t xml:space="preserve"> summary of the incident</w:t>
      </w:r>
    </w:p>
    <w:p w14:paraId="15884B02" w14:textId="1CC7D71D" w:rsidR="00285E12" w:rsidRDefault="00573FE9" w:rsidP="00285E12">
      <w:pPr>
        <w:pStyle w:val="ListParagraph"/>
        <w:numPr>
          <w:ilvl w:val="0"/>
          <w:numId w:val="32"/>
        </w:numPr>
      </w:pPr>
      <w:r>
        <w:t>t</w:t>
      </w:r>
      <w:r w:rsidR="00285E12">
        <w:t>hose involved in the incident, including those affected and those who handled the incident</w:t>
      </w:r>
    </w:p>
    <w:p w14:paraId="28B23803" w14:textId="77777777" w:rsidR="00285E12" w:rsidRDefault="00285E12" w:rsidP="00285E12">
      <w:pPr>
        <w:pStyle w:val="ListParagraph"/>
        <w:numPr>
          <w:ilvl w:val="0"/>
          <w:numId w:val="32"/>
        </w:numPr>
      </w:pPr>
      <w:r>
        <w:t>detailed incident description, including any technical details</w:t>
      </w:r>
    </w:p>
    <w:p w14:paraId="581B8BFA" w14:textId="77777777" w:rsidR="00285E12" w:rsidRDefault="00285E12" w:rsidP="00285E12">
      <w:pPr>
        <w:pStyle w:val="ListParagraph"/>
        <w:numPr>
          <w:ilvl w:val="0"/>
          <w:numId w:val="32"/>
        </w:numPr>
      </w:pPr>
      <w:r>
        <w:t>response actions</w:t>
      </w:r>
    </w:p>
    <w:p w14:paraId="33D5DB33" w14:textId="77777777" w:rsidR="00285E12" w:rsidRDefault="00285E12" w:rsidP="00285E12">
      <w:pPr>
        <w:pStyle w:val="ListParagraph"/>
        <w:numPr>
          <w:ilvl w:val="0"/>
          <w:numId w:val="32"/>
        </w:numPr>
      </w:pPr>
      <w:r>
        <w:t>if or how the issues have been resolved</w:t>
      </w:r>
    </w:p>
    <w:p w14:paraId="2E470427" w14:textId="77777777" w:rsidR="00285E12" w:rsidRDefault="00285E12" w:rsidP="00285E12">
      <w:pPr>
        <w:pStyle w:val="ListParagraph"/>
        <w:numPr>
          <w:ilvl w:val="0"/>
          <w:numId w:val="32"/>
        </w:numPr>
      </w:pPr>
      <w:r>
        <w:t>lessons learnt.</w:t>
      </w:r>
    </w:p>
    <w:p w14:paraId="65998BB8" w14:textId="77777777" w:rsidR="00225BCF" w:rsidRDefault="00225BCF" w:rsidP="00285E12">
      <w:pPr>
        <w:ind w:left="360"/>
      </w:pPr>
    </w:p>
    <w:p w14:paraId="3CF7C601" w14:textId="77777777" w:rsidR="00834E55" w:rsidRDefault="00834E55" w:rsidP="00370DD7"/>
    <w:p w14:paraId="58E703E1" w14:textId="77777777" w:rsidR="008F2F9B" w:rsidRPr="00872C49" w:rsidRDefault="008F2F9B" w:rsidP="00F66CBC"/>
    <w:p w14:paraId="5FC78553" w14:textId="49DA8724" w:rsidR="007B2CA1" w:rsidRDefault="007B2CA1"/>
    <w:sectPr w:rsidR="007B2CA1" w:rsidSect="00D86284">
      <w:footerReference w:type="default" r:id="rId14"/>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FCC2E" w14:textId="77777777" w:rsidR="008F225B" w:rsidRDefault="008F225B" w:rsidP="000A6228">
      <w:pPr>
        <w:spacing w:after="0" w:line="240" w:lineRule="auto"/>
      </w:pPr>
      <w:r>
        <w:separator/>
      </w:r>
    </w:p>
  </w:endnote>
  <w:endnote w:type="continuationSeparator" w:id="0">
    <w:p w14:paraId="6684EEFB" w14:textId="77777777" w:rsidR="008F225B" w:rsidRDefault="008F225B"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E792" w14:textId="77777777" w:rsidR="00D86284" w:rsidRDefault="00D86284">
    <w:pPr>
      <w:pStyle w:val="Footer"/>
    </w:pPr>
    <w:r>
      <w:rPr>
        <w:noProof/>
      </w:rPr>
      <w:drawing>
        <wp:anchor distT="0" distB="0" distL="114300" distR="114300" simplePos="0" relativeHeight="251658240" behindDoc="1" locked="1" layoutInCell="1" allowOverlap="1" wp14:anchorId="1212AA07" wp14:editId="71118A8F">
          <wp:simplePos x="5425440" y="9593580"/>
          <wp:positionH relativeFrom="page">
            <wp:align>right</wp:align>
          </wp:positionH>
          <wp:positionV relativeFrom="page">
            <wp:align>bottom</wp:align>
          </wp:positionV>
          <wp:extent cx="1216800" cy="64800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E2103" w14:textId="77777777" w:rsidR="008F225B" w:rsidRDefault="008F225B" w:rsidP="000A6228">
      <w:pPr>
        <w:spacing w:after="0" w:line="240" w:lineRule="auto"/>
      </w:pPr>
      <w:r>
        <w:separator/>
      </w:r>
    </w:p>
  </w:footnote>
  <w:footnote w:type="continuationSeparator" w:id="0">
    <w:p w14:paraId="121A606F" w14:textId="77777777" w:rsidR="008F225B" w:rsidRDefault="008F225B"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7E30B91"/>
    <w:multiLevelType w:val="hybridMultilevel"/>
    <w:tmpl w:val="C6EE49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F65D76"/>
    <w:multiLevelType w:val="hybridMultilevel"/>
    <w:tmpl w:val="74FEBA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3"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1B84541"/>
    <w:multiLevelType w:val="hybridMultilevel"/>
    <w:tmpl w:val="886C31EC"/>
    <w:lvl w:ilvl="0" w:tplc="FFFFFFFF">
      <w:start w:val="1"/>
      <w:numFmt w:val="bullet"/>
      <w:lvlText w:val=""/>
      <w:lvlJc w:val="left"/>
      <w:pPr>
        <w:ind w:left="720" w:hanging="360"/>
      </w:pPr>
      <w:rPr>
        <w:rFonts w:ascii="Symbol" w:hAnsi="Symbol" w:hint="default"/>
      </w:rPr>
    </w:lvl>
    <w:lvl w:ilvl="1" w:tplc="D1D69E74">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4ED539B"/>
    <w:multiLevelType w:val="hybridMultilevel"/>
    <w:tmpl w:val="4672EE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A29159F"/>
    <w:multiLevelType w:val="hybridMultilevel"/>
    <w:tmpl w:val="5BF41C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AB2298B"/>
    <w:multiLevelType w:val="hybridMultilevel"/>
    <w:tmpl w:val="D8DAAF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9"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04C0D5F"/>
    <w:multiLevelType w:val="hybridMultilevel"/>
    <w:tmpl w:val="69C8A6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C7D4154"/>
    <w:multiLevelType w:val="hybridMultilevel"/>
    <w:tmpl w:val="E1586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0464515"/>
    <w:multiLevelType w:val="hybridMultilevel"/>
    <w:tmpl w:val="06369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C0E4A41"/>
    <w:multiLevelType w:val="hybridMultilevel"/>
    <w:tmpl w:val="BE4626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0F12367"/>
    <w:multiLevelType w:val="hybridMultilevel"/>
    <w:tmpl w:val="E006F7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9" w15:restartNumberingAfterBreak="0">
    <w:nsid w:val="73EA2F4B"/>
    <w:multiLevelType w:val="hybridMultilevel"/>
    <w:tmpl w:val="18C20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5B15D53"/>
    <w:multiLevelType w:val="hybridMultilevel"/>
    <w:tmpl w:val="0EA2A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70803065">
    <w:abstractNumId w:val="13"/>
  </w:num>
  <w:num w:numId="2" w16cid:durableId="1144616732">
    <w:abstractNumId w:val="5"/>
  </w:num>
  <w:num w:numId="3" w16cid:durableId="979309186">
    <w:abstractNumId w:val="4"/>
  </w:num>
  <w:num w:numId="4" w16cid:durableId="144787752">
    <w:abstractNumId w:val="3"/>
  </w:num>
  <w:num w:numId="5" w16cid:durableId="934556078">
    <w:abstractNumId w:val="19"/>
  </w:num>
  <w:num w:numId="6" w16cid:durableId="816344236">
    <w:abstractNumId w:val="2"/>
  </w:num>
  <w:num w:numId="7" w16cid:durableId="1908612059">
    <w:abstractNumId w:val="1"/>
  </w:num>
  <w:num w:numId="8" w16cid:durableId="1618215078">
    <w:abstractNumId w:val="0"/>
  </w:num>
  <w:num w:numId="9" w16cid:durableId="1850677422">
    <w:abstractNumId w:val="18"/>
  </w:num>
  <w:num w:numId="10" w16cid:durableId="1599946406">
    <w:abstractNumId w:val="7"/>
  </w:num>
  <w:num w:numId="11" w16cid:durableId="714038629">
    <w:abstractNumId w:val="26"/>
  </w:num>
  <w:num w:numId="12" w16cid:durableId="1728914001">
    <w:abstractNumId w:val="12"/>
  </w:num>
  <w:num w:numId="13" w16cid:durableId="17856119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7727262">
    <w:abstractNumId w:val="9"/>
  </w:num>
  <w:num w:numId="15" w16cid:durableId="268391646">
    <w:abstractNumId w:val="6"/>
  </w:num>
  <w:num w:numId="16" w16cid:durableId="1261833621">
    <w:abstractNumId w:val="28"/>
  </w:num>
  <w:num w:numId="17" w16cid:durableId="2029670193">
    <w:abstractNumId w:val="21"/>
  </w:num>
  <w:num w:numId="18" w16cid:durableId="887570554">
    <w:abstractNumId w:val="8"/>
  </w:num>
  <w:num w:numId="19" w16cid:durableId="147789394">
    <w:abstractNumId w:val="24"/>
  </w:num>
  <w:num w:numId="20" w16cid:durableId="456026094">
    <w:abstractNumId w:val="30"/>
  </w:num>
  <w:num w:numId="21" w16cid:durableId="1960794221">
    <w:abstractNumId w:val="10"/>
  </w:num>
  <w:num w:numId="22" w16cid:durableId="471219416">
    <w:abstractNumId w:val="25"/>
  </w:num>
  <w:num w:numId="23" w16cid:durableId="1781608481">
    <w:abstractNumId w:val="17"/>
  </w:num>
  <w:num w:numId="24" w16cid:durableId="519049613">
    <w:abstractNumId w:val="27"/>
  </w:num>
  <w:num w:numId="25" w16cid:durableId="1164668879">
    <w:abstractNumId w:val="16"/>
  </w:num>
  <w:num w:numId="26" w16cid:durableId="608586234">
    <w:abstractNumId w:val="22"/>
  </w:num>
  <w:num w:numId="27" w16cid:durableId="929314959">
    <w:abstractNumId w:val="11"/>
  </w:num>
  <w:num w:numId="28" w16cid:durableId="949356161">
    <w:abstractNumId w:val="20"/>
  </w:num>
  <w:num w:numId="29" w16cid:durableId="22286281">
    <w:abstractNumId w:val="14"/>
  </w:num>
  <w:num w:numId="30" w16cid:durableId="427774009">
    <w:abstractNumId w:val="23"/>
  </w:num>
  <w:num w:numId="31" w16cid:durableId="2057121230">
    <w:abstractNumId w:val="29"/>
  </w:num>
  <w:num w:numId="32" w16cid:durableId="4318272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A3F"/>
    <w:rsid w:val="00012366"/>
    <w:rsid w:val="00021FBE"/>
    <w:rsid w:val="0002454C"/>
    <w:rsid w:val="00045527"/>
    <w:rsid w:val="000521D7"/>
    <w:rsid w:val="00081127"/>
    <w:rsid w:val="000A0B58"/>
    <w:rsid w:val="000A6228"/>
    <w:rsid w:val="000B5D40"/>
    <w:rsid w:val="000B7EC6"/>
    <w:rsid w:val="00107D87"/>
    <w:rsid w:val="00107DD5"/>
    <w:rsid w:val="0012343A"/>
    <w:rsid w:val="00133B8D"/>
    <w:rsid w:val="0013611E"/>
    <w:rsid w:val="00143F2F"/>
    <w:rsid w:val="001515BF"/>
    <w:rsid w:val="0017134D"/>
    <w:rsid w:val="00187E5C"/>
    <w:rsid w:val="001C1523"/>
    <w:rsid w:val="001E1BBD"/>
    <w:rsid w:val="001E3C36"/>
    <w:rsid w:val="001F77B8"/>
    <w:rsid w:val="00221D8F"/>
    <w:rsid w:val="00222F02"/>
    <w:rsid w:val="00225BCF"/>
    <w:rsid w:val="002272DB"/>
    <w:rsid w:val="002355D4"/>
    <w:rsid w:val="0026212E"/>
    <w:rsid w:val="00276047"/>
    <w:rsid w:val="00285E12"/>
    <w:rsid w:val="002A4458"/>
    <w:rsid w:val="002C01E3"/>
    <w:rsid w:val="002C114A"/>
    <w:rsid w:val="002D589A"/>
    <w:rsid w:val="002E491A"/>
    <w:rsid w:val="002F7F92"/>
    <w:rsid w:val="00302157"/>
    <w:rsid w:val="00302D54"/>
    <w:rsid w:val="0034510D"/>
    <w:rsid w:val="00345FF9"/>
    <w:rsid w:val="00370DD7"/>
    <w:rsid w:val="003832D9"/>
    <w:rsid w:val="00384D51"/>
    <w:rsid w:val="0040155D"/>
    <w:rsid w:val="0041713E"/>
    <w:rsid w:val="00421D3F"/>
    <w:rsid w:val="00423785"/>
    <w:rsid w:val="00452D26"/>
    <w:rsid w:val="00456CC5"/>
    <w:rsid w:val="004A06CD"/>
    <w:rsid w:val="004A4B6F"/>
    <w:rsid w:val="004A4CF9"/>
    <w:rsid w:val="004B43B5"/>
    <w:rsid w:val="004D2965"/>
    <w:rsid w:val="004D2D9D"/>
    <w:rsid w:val="004E4248"/>
    <w:rsid w:val="005214A9"/>
    <w:rsid w:val="005475EE"/>
    <w:rsid w:val="00552596"/>
    <w:rsid w:val="00570A8D"/>
    <w:rsid w:val="00570FC5"/>
    <w:rsid w:val="00573FE9"/>
    <w:rsid w:val="005A75C9"/>
    <w:rsid w:val="005B07B2"/>
    <w:rsid w:val="005B187D"/>
    <w:rsid w:val="005B325F"/>
    <w:rsid w:val="005D7A3F"/>
    <w:rsid w:val="005E2E6E"/>
    <w:rsid w:val="005F4D5F"/>
    <w:rsid w:val="00617426"/>
    <w:rsid w:val="006232DC"/>
    <w:rsid w:val="0063094F"/>
    <w:rsid w:val="00665A53"/>
    <w:rsid w:val="00690139"/>
    <w:rsid w:val="006A24C0"/>
    <w:rsid w:val="006D5DDA"/>
    <w:rsid w:val="006D67F3"/>
    <w:rsid w:val="006F1FFF"/>
    <w:rsid w:val="006F6D10"/>
    <w:rsid w:val="00712B94"/>
    <w:rsid w:val="007270CC"/>
    <w:rsid w:val="00727639"/>
    <w:rsid w:val="007B2CA1"/>
    <w:rsid w:val="007D0ABC"/>
    <w:rsid w:val="007D2466"/>
    <w:rsid w:val="007E12FA"/>
    <w:rsid w:val="0080253F"/>
    <w:rsid w:val="008042F5"/>
    <w:rsid w:val="008138F2"/>
    <w:rsid w:val="00834E55"/>
    <w:rsid w:val="00872C49"/>
    <w:rsid w:val="00886959"/>
    <w:rsid w:val="00893A34"/>
    <w:rsid w:val="008A36E1"/>
    <w:rsid w:val="008A37A7"/>
    <w:rsid w:val="008A5592"/>
    <w:rsid w:val="008B0736"/>
    <w:rsid w:val="008E70F5"/>
    <w:rsid w:val="008F225B"/>
    <w:rsid w:val="008F2F9B"/>
    <w:rsid w:val="009217C0"/>
    <w:rsid w:val="00950B06"/>
    <w:rsid w:val="00963969"/>
    <w:rsid w:val="00970069"/>
    <w:rsid w:val="009721EB"/>
    <w:rsid w:val="0099785D"/>
    <w:rsid w:val="009A21EC"/>
    <w:rsid w:val="009A3BAF"/>
    <w:rsid w:val="009B706E"/>
    <w:rsid w:val="009C423A"/>
    <w:rsid w:val="009D07FD"/>
    <w:rsid w:val="009D1B34"/>
    <w:rsid w:val="009E79ED"/>
    <w:rsid w:val="00A07596"/>
    <w:rsid w:val="00A17A08"/>
    <w:rsid w:val="00A2074E"/>
    <w:rsid w:val="00A24391"/>
    <w:rsid w:val="00A60673"/>
    <w:rsid w:val="00AA33EF"/>
    <w:rsid w:val="00AB2529"/>
    <w:rsid w:val="00AC1872"/>
    <w:rsid w:val="00AD631F"/>
    <w:rsid w:val="00AE21FF"/>
    <w:rsid w:val="00AF1F18"/>
    <w:rsid w:val="00B0726E"/>
    <w:rsid w:val="00B219D1"/>
    <w:rsid w:val="00B3282B"/>
    <w:rsid w:val="00B44F74"/>
    <w:rsid w:val="00B81FA4"/>
    <w:rsid w:val="00B8794C"/>
    <w:rsid w:val="00B95EF4"/>
    <w:rsid w:val="00BB6509"/>
    <w:rsid w:val="00BC248C"/>
    <w:rsid w:val="00C01EC0"/>
    <w:rsid w:val="00C244EE"/>
    <w:rsid w:val="00C274DA"/>
    <w:rsid w:val="00C4268A"/>
    <w:rsid w:val="00C72224"/>
    <w:rsid w:val="00C75706"/>
    <w:rsid w:val="00CA409B"/>
    <w:rsid w:val="00CA4815"/>
    <w:rsid w:val="00CF6562"/>
    <w:rsid w:val="00D054BA"/>
    <w:rsid w:val="00D22E3B"/>
    <w:rsid w:val="00D5688A"/>
    <w:rsid w:val="00D86284"/>
    <w:rsid w:val="00DC5980"/>
    <w:rsid w:val="00DD2B46"/>
    <w:rsid w:val="00DE2E41"/>
    <w:rsid w:val="00DF07A0"/>
    <w:rsid w:val="00E06ED6"/>
    <w:rsid w:val="00E108A0"/>
    <w:rsid w:val="00E14AD7"/>
    <w:rsid w:val="00E25AB9"/>
    <w:rsid w:val="00E529E5"/>
    <w:rsid w:val="00E959E8"/>
    <w:rsid w:val="00EB4C2F"/>
    <w:rsid w:val="00EB793E"/>
    <w:rsid w:val="00ED0DDF"/>
    <w:rsid w:val="00EE62CA"/>
    <w:rsid w:val="00F1000D"/>
    <w:rsid w:val="00F16EA9"/>
    <w:rsid w:val="00F26B02"/>
    <w:rsid w:val="00F311A4"/>
    <w:rsid w:val="00F37062"/>
    <w:rsid w:val="00F45E4C"/>
    <w:rsid w:val="00F66CBC"/>
    <w:rsid w:val="00F73AB2"/>
    <w:rsid w:val="00F82C2C"/>
    <w:rsid w:val="00F85913"/>
    <w:rsid w:val="00FD356B"/>
    <w:rsid w:val="00FD4D6E"/>
    <w:rsid w:val="00FD6383"/>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364D1"/>
  <w15:chartTrackingRefBased/>
  <w15:docId w15:val="{29FA4390-2406-43F6-82AB-685B6CEE4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basedOn w:val="Normal"/>
    <w:uiPriority w:val="34"/>
    <w:semiHidden/>
    <w:qFormat/>
    <w:rsid w:val="005525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J2759\OneDrive%20-%20Corporate%20Network\Documents\Work%20for%20Tayla\Website%20refresh\Guidance%20Note%20-%20Governance%20and%20Risk%20Framework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C102744D1C44DBA955F6693EACD6D1"/>
        <w:category>
          <w:name w:val="General"/>
          <w:gallery w:val="placeholder"/>
        </w:category>
        <w:types>
          <w:type w:val="bbPlcHdr"/>
        </w:types>
        <w:behaviors>
          <w:behavior w:val="content"/>
        </w:behaviors>
        <w:guid w:val="{D66087E7-9605-47B3-BC2D-E23F05807D43}"/>
      </w:docPartPr>
      <w:docPartBody>
        <w:p w:rsidR="00F33D90" w:rsidRDefault="00F33D90">
          <w:pPr>
            <w:pStyle w:val="BBC102744D1C44DBA955F6693EACD6D1"/>
          </w:pPr>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42E"/>
    <w:rsid w:val="003D5E0B"/>
    <w:rsid w:val="00570FC5"/>
    <w:rsid w:val="006C342E"/>
    <w:rsid w:val="00727639"/>
    <w:rsid w:val="00963969"/>
    <w:rsid w:val="00D054BA"/>
    <w:rsid w:val="00F33D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BC102744D1C44DBA955F6693EACD6D1">
    <w:name w:val="BBC102744D1C44DBA955F6693EACD6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3E6BABBF022A41B798F67D197D4FF8" ma:contentTypeVersion="24" ma:contentTypeDescription="Create a new document." ma:contentTypeScope="" ma:versionID="ed20a3875cbb07349b22834f9d3d9529">
  <xsd:schema xmlns:xsd="http://www.w3.org/2001/XMLSchema" xmlns:xs="http://www.w3.org/2001/XMLSchema" xmlns:p="http://schemas.microsoft.com/office/2006/metadata/properties" xmlns:ns2="56c1a76a-3993-402c-b889-bffc930cb825" xmlns:ns3="6e4b1ab6-ec4c-4096-a25c-0c6453cbb475" xmlns:ns4="da0d63fb-849c-47fd-8b76-64ea55ded23a" targetNamespace="http://schemas.microsoft.com/office/2006/metadata/properties" ma:root="true" ma:fieldsID="0084b3b065eca0e462c670606c82e43e" ns2:_="" ns3:_="" ns4:_="">
    <xsd:import namespace="56c1a76a-3993-402c-b889-bffc930cb825"/>
    <xsd:import namespace="6e4b1ab6-ec4c-4096-a25c-0c6453cbb475"/>
    <xsd:import namespace="da0d63fb-849c-47fd-8b76-64ea55ded23a"/>
    <xsd:element name="properties">
      <xsd:complexType>
        <xsd:sequence>
          <xsd:element name="documentManagement">
            <xsd:complexType>
              <xsd:all>
                <xsd:element ref="ns2:l12b4fd900ec4b6fbdaf3aad0a37adc3" minOccurs="0"/>
                <xsd:element ref="ns2:IsDepartmentDoc" minOccurs="0"/>
                <xsd:element ref="ns3:TaxCatchAll" minOccurs="0"/>
                <xsd:element ref="ns4:pb9c5fc00ce64e0c8f86acc4dcea7dc1" minOccurs="0"/>
                <xsd:element ref="ns4:f3d6d1692bd44bce9eca1ed9819c7928"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lcf76f155ced4ddcb4097134ff3c332f" minOccurs="0"/>
                <xsd:element ref="ns4:MediaServiceOCR" minOccurs="0"/>
                <xsd:element ref="ns4:MediaServiceGenerationTime" minOccurs="0"/>
                <xsd:element ref="ns4:MediaServiceEventHashCode" minOccurs="0"/>
                <xsd:element ref="ns4:MediaServiceSearchProperties" minOccurs="0"/>
                <xsd:element ref="ns4:Status" minOccurs="0"/>
                <xsd:element ref="ns4:ToUpdate_x002d_Issuestofi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1a76a-3993-402c-b889-bffc930cb825" elementFormDefault="qualified">
    <xsd:import namespace="http://schemas.microsoft.com/office/2006/documentManagement/types"/>
    <xsd:import namespace="http://schemas.microsoft.com/office/infopath/2007/PartnerControls"/>
    <xsd:element name="l12b4fd900ec4b6fbdaf3aad0a37adc3" ma:index="8" nillable="true" ma:taxonomy="true" ma:internalName="l12b4fd900ec4b6fbdaf3aad0a37adc3" ma:taxonomyFieldName="IntranetKeywords" ma:displayName="IntranetKeyword" ma:readOnly="false" ma:default="" ma:fieldId="{512b4fd9-00ec-4b6f-bdaf-3aad0a37adc3}" ma:sspId="7147e460-a74b-4414-8224-31362e5846fd" ma:termSetId="685a27c0-00e0-4e0e-bd07-5dabd7f48bf4" ma:anchorId="00000000-0000-0000-0000-000000000000" ma:open="true" ma:isKeyword="false">
      <xsd:complexType>
        <xsd:sequence>
          <xsd:element ref="pc:Terms" minOccurs="0" maxOccurs="1"/>
        </xsd:sequence>
      </xsd:complexType>
    </xsd:element>
    <xsd:element name="IsDepartmentDoc" ma:index="9" nillable="true" ma:displayName="IsDepartmentDoc" ma:default="1" ma:internalName="IsDepartmentDo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e4b1ab6-ec4c-4096-a25c-0c6453cbb47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cb725984-0aad-44f7-96d8-fadf38782001}" ma:internalName="TaxCatchAll" ma:showField="CatchAllData" ma:web="6e4b1ab6-ec4c-4096-a25c-0c6453cbb47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0d63fb-849c-47fd-8b76-64ea55ded23a" elementFormDefault="qualified">
    <xsd:import namespace="http://schemas.microsoft.com/office/2006/documentManagement/types"/>
    <xsd:import namespace="http://schemas.microsoft.com/office/infopath/2007/PartnerControls"/>
    <xsd:element name="pb9c5fc00ce64e0c8f86acc4dcea7dc1" ma:index="12" nillable="true" ma:taxonomy="true" ma:internalName="pb9c5fc00ce64e0c8f86acc4dcea7dc1" ma:taxonomyFieldName="Stream" ma:displayName="Stream" ma:readOnly="false" ma:default="4;#Communication and media|a829aae0-f6fe-4929-b33d-dad77c6e3f71" ma:fieldId="{9b9c5fc0-0ce6-4e0c-8f86-acc4dcea7dc1}" ma:taxonomyMulti="true" ma:sspId="7147e460-a74b-4414-8224-31362e5846fd" ma:termSetId="ef427926-5d67-416d-865a-78266d870887" ma:anchorId="00000000-0000-0000-0000-000000000000" ma:open="false" ma:isKeyword="false">
      <xsd:complexType>
        <xsd:sequence>
          <xsd:element ref="pc:Terms" minOccurs="0" maxOccurs="1"/>
        </xsd:sequence>
      </xsd:complexType>
    </xsd:element>
    <xsd:element name="f3d6d1692bd44bce9eca1ed9819c7928" ma:index="13" nillable="true" ma:taxonomy="true" ma:internalName="f3d6d1692bd44bce9eca1ed9819c7928" ma:taxonomyFieldName="DocumentType" ma:displayName="DocumentType" ma:default="" ma:fieldId="{f3d6d169-2bd4-4bce-9eca-1ed9819c7928}" ma:sspId="7147e460-a74b-4414-8224-31362e5846fd" ma:termSetId="91ecbc5a-a49c-4a8d-b238-05d9454f4a0f" ma:anchorId="00000000-0000-0000-0000-000000000000" ma:open="false" ma:isKeyword="false">
      <xsd:complexType>
        <xsd:sequence>
          <xsd:element ref="pc:Terms" minOccurs="0" maxOccurs="1"/>
        </xsd:sequence>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Status" ma:index="27" nillable="true" ma:displayName="Status" ma:description="The status column is used by Intranet support to audit the documents in the library. This is part of the Intranet governance policy." ma:format="Dropdown" ma:internalName="Status">
      <xsd:simpleType>
        <xsd:restriction base="dms:Choice">
          <xsd:enumeration value="Current"/>
          <xsd:enumeration value="Update"/>
          <xsd:enumeration value="Archive"/>
        </xsd:restriction>
      </xsd:simpleType>
    </xsd:element>
    <xsd:element name="ToUpdate_x002d_Issuestofix" ma:index="28" nillable="true" ma:displayName="To Update - Issues to fix" ma:description="Where the Status = To Update this column specifies the identified issues that need to be fixed." ma:format="Dropdown" ma:internalName="ToUpdate_x002d_Issuestofix">
      <xsd:complexType>
        <xsd:complexContent>
          <xsd:extension base="dms:MultiChoice">
            <xsd:sequence>
              <xsd:element name="Value" maxOccurs="unbounded" minOccurs="0" nillable="true">
                <xsd:simpleType>
                  <xsd:restriction base="dms:Choice">
                    <xsd:enumeration value="Update template"/>
                    <xsd:enumeration value="Fix broken links"/>
                    <xsd:enumeration value="Update @dese.gov.au emails"/>
                    <xsd:enumeration value="Check currency"/>
                    <xsd:enumeration value="N/A"/>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b9c5fc00ce64e0c8f86acc4dcea7dc1 xmlns="da0d63fb-849c-47fd-8b76-64ea55ded23a">
      <Terms xmlns="http://schemas.microsoft.com/office/infopath/2007/PartnerControls">
        <TermInfo xmlns="http://schemas.microsoft.com/office/infopath/2007/PartnerControls">
          <TermName xmlns="http://schemas.microsoft.com/office/infopath/2007/PartnerControls">Communication and media</TermName>
          <TermId xmlns="http://schemas.microsoft.com/office/infopath/2007/PartnerControls">a829aae0-f6fe-4929-b33d-dad77c6e3f71</TermId>
        </TermInfo>
      </Terms>
    </pb9c5fc00ce64e0c8f86acc4dcea7dc1>
    <l12b4fd900ec4b6fbdaf3aad0a37adc3 xmlns="56c1a76a-3993-402c-b889-bffc930cb825">
      <Terms xmlns="http://schemas.microsoft.com/office/infopath/2007/PartnerControls"/>
    </l12b4fd900ec4b6fbdaf3aad0a37adc3>
    <f3d6d1692bd44bce9eca1ed9819c7928 xmlns="da0d63fb-849c-47fd-8b76-64ea55ded23a">
      <Terms xmlns="http://schemas.microsoft.com/office/infopath/2007/PartnerControls"/>
    </f3d6d1692bd44bce9eca1ed9819c7928>
    <IsDepartmentDoc xmlns="56c1a76a-3993-402c-b889-bffc930cb825">true</IsDepartmentDoc>
    <lcf76f155ced4ddcb4097134ff3c332f xmlns="da0d63fb-849c-47fd-8b76-64ea55ded23a">
      <Terms xmlns="http://schemas.microsoft.com/office/infopath/2007/PartnerControls"/>
    </lcf76f155ced4ddcb4097134ff3c332f>
    <TaxCatchAll xmlns="6e4b1ab6-ec4c-4096-a25c-0c6453cbb475">
      <Value>4</Value>
    </TaxCatchAll>
    <Status xmlns="da0d63fb-849c-47fd-8b76-64ea55ded23a">Current</Status>
    <ToUpdate_x002d_Issuestofix xmlns="da0d63fb-849c-47fd-8b76-64ea55ded23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4E0AD-A76C-4CEA-B2FB-50F3D8F70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1a76a-3993-402c-b889-bffc930cb825"/>
    <ds:schemaRef ds:uri="6e4b1ab6-ec4c-4096-a25c-0c6453cbb475"/>
    <ds:schemaRef ds:uri="da0d63fb-849c-47fd-8b76-64ea55ded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1C3C2E-A515-472E-882F-E756B5F9BD2B}">
  <ds:schemaRefs>
    <ds:schemaRef ds:uri="http://schemas.microsoft.com/sharepoint/v3/contenttype/forms"/>
  </ds:schemaRefs>
</ds:datastoreItem>
</file>

<file path=customXml/itemProps3.xml><?xml version="1.0" encoding="utf-8"?>
<ds:datastoreItem xmlns:ds="http://schemas.openxmlformats.org/officeDocument/2006/customXml" ds:itemID="{8823D9E4-32DC-4084-B08A-28A0DE6BBCF8}">
  <ds:schemaRefs>
    <ds:schemaRef ds:uri="http://schemas.microsoft.com/office/2006/metadata/properties"/>
    <ds:schemaRef ds:uri="http://schemas.microsoft.com/office/infopath/2007/PartnerControls"/>
    <ds:schemaRef ds:uri="da0d63fb-849c-47fd-8b76-64ea55ded23a"/>
    <ds:schemaRef ds:uri="56c1a76a-3993-402c-b889-bffc930cb825"/>
    <ds:schemaRef ds:uri="6e4b1ab6-ec4c-4096-a25c-0c6453cbb475"/>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Guidance Note - Governance and Risk Frameworks.dotx</Template>
  <TotalTime>70</TotalTime>
  <Pages>4</Pages>
  <Words>1028</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Governance and risk frameworks</vt:lpstr>
    </vt:vector>
  </TitlesOfParts>
  <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dc:title>
  <dc:subject/>
  <dc:creator>JOHNSTONE,Benjamin</dc:creator>
  <cp:keywords/>
  <dc:description/>
  <cp:lastModifiedBy>JOHNSTONE,Benjamin</cp:lastModifiedBy>
  <cp:revision>78</cp:revision>
  <dcterms:created xsi:type="dcterms:W3CDTF">2025-01-29T22:08:00Z</dcterms:created>
  <dcterms:modified xsi:type="dcterms:W3CDTF">2025-02-13T00:57:00Z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0x010100D63E6BABBF022A41B798F67D197D4FF8</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ies>
</file>