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6DE0B8" w14:textId="037A7CA1" w:rsidR="00107DD5" w:rsidRDefault="005F13F3" w:rsidP="00CA4815">
      <w:r>
        <w:rPr>
          <w:noProof/>
        </w:rPr>
        <mc:AlternateContent>
          <mc:Choice Requires="wps">
            <w:drawing>
              <wp:anchor distT="0" distB="0" distL="114300" distR="114300" simplePos="0" relativeHeight="251658240" behindDoc="1" locked="0" layoutInCell="1" allowOverlap="1" wp14:anchorId="07442801" wp14:editId="2534AD90">
                <wp:simplePos x="0" y="0"/>
                <wp:positionH relativeFrom="column">
                  <wp:posOffset>-685800</wp:posOffset>
                </wp:positionH>
                <wp:positionV relativeFrom="paragraph">
                  <wp:posOffset>-557530</wp:posOffset>
                </wp:positionV>
                <wp:extent cx="7077075" cy="1524000"/>
                <wp:effectExtent l="0" t="0" r="9525" b="0"/>
                <wp:wrapNone/>
                <wp:docPr id="748295366"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77075" cy="1524000"/>
                        </a:xfrm>
                        <a:prstGeom prst="rect">
                          <a:avLst/>
                        </a:prstGeom>
                        <a:solidFill>
                          <a:schemeClr val="tx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29443E" id="Rectangle 1" o:spid="_x0000_s1026" alt="&quot;&quot;" style="position:absolute;margin-left:-54pt;margin-top:-43.9pt;width:557.25pt;height:12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" fillcolor="#00254a [3215]" stroked="f" strokeweight="1pt"/>
            </w:pict>
          </mc:Fallback>
        </mc:AlternateContent>
      </w:r>
      <w:r w:rsidR="00107DD5">
        <w:rPr>
          <w:noProof/>
        </w:rPr>
        <w:drawing>
          <wp:inline distT="0" distB="0" distL="0" distR="0" wp14:anchorId="0D7DFB7C" wp14:editId="70F33B03">
            <wp:extent cx="2517929" cy="610288"/>
            <wp:effectExtent l="0" t="0" r="0" b="0"/>
            <wp:docPr id="3" name="Graphic 3" descr="Australian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17929" cy="610288"/>
                    </a:xfrm>
                    <a:prstGeom prst="rect">
                      <a:avLst/>
                    </a:prstGeom>
                  </pic:spPr>
                </pic:pic>
              </a:graphicData>
            </a:graphic>
          </wp:inline>
        </w:drawing>
      </w:r>
    </w:p>
    <w:p w14:paraId="53E95BFC" w14:textId="77777777" w:rsidR="00EE34EE" w:rsidRDefault="00EE34EE" w:rsidP="00EE34EE">
      <w:pPr>
        <w:pStyle w:val="Heading1"/>
        <w:spacing w:before="240"/>
      </w:pPr>
      <w:bookmarkStart w:id="0" w:name="_Toc126923146"/>
      <w:bookmarkStart w:id="1" w:name="_Toc126923157"/>
    </w:p>
    <w:p w14:paraId="5807601C" w14:textId="44857FAD" w:rsidR="00EE34EE" w:rsidRDefault="001A64A5" w:rsidP="00EE34EE">
      <w:pPr>
        <w:pStyle w:val="Heading1"/>
        <w:spacing w:before="240"/>
      </w:pPr>
      <w:r>
        <w:t>PRISMS Factsheet</w:t>
      </w:r>
      <w:bookmarkStart w:id="2" w:name="_Toc126923317"/>
      <w:bookmarkStart w:id="3" w:name="_Toc126923158"/>
      <w:bookmarkStart w:id="4" w:name="_Toc126923147"/>
      <w:bookmarkEnd w:id="0"/>
      <w:bookmarkEnd w:id="1"/>
      <w:r w:rsidR="00EE34EE">
        <w:t xml:space="preserve"> </w:t>
      </w:r>
    </w:p>
    <w:p w14:paraId="771959A9" w14:textId="65506482" w:rsidR="0082292F" w:rsidRPr="00EE34EE" w:rsidRDefault="00B90777" w:rsidP="00EE34EE">
      <w:pPr>
        <w:pStyle w:val="Heading1"/>
        <w:spacing w:before="240"/>
        <w:rPr>
          <w:rFonts w:asciiTheme="majorHAnsi" w:hAnsiTheme="majorHAnsi"/>
          <w:color w:val="004C6C" w:themeColor="background2"/>
          <w:sz w:val="44"/>
          <w:szCs w:val="26"/>
        </w:rPr>
      </w:pPr>
      <w:r>
        <w:rPr>
          <w:rFonts w:asciiTheme="majorHAnsi" w:hAnsiTheme="majorHAnsi"/>
          <w:color w:val="004C6C" w:themeColor="background2"/>
          <w:sz w:val="44"/>
          <w:szCs w:val="26"/>
        </w:rPr>
        <w:t xml:space="preserve">Indicative Allocations </w:t>
      </w:r>
      <w:r w:rsidR="000C3461">
        <w:rPr>
          <w:rFonts w:asciiTheme="majorHAnsi" w:hAnsiTheme="majorHAnsi"/>
          <w:color w:val="004C6C" w:themeColor="background2"/>
          <w:sz w:val="44"/>
          <w:szCs w:val="26"/>
        </w:rPr>
        <w:t>and</w:t>
      </w:r>
      <w:r>
        <w:rPr>
          <w:rFonts w:asciiTheme="majorHAnsi" w:hAnsiTheme="majorHAnsi"/>
          <w:color w:val="004C6C" w:themeColor="background2"/>
          <w:sz w:val="44"/>
          <w:szCs w:val="26"/>
        </w:rPr>
        <w:t xml:space="preserve"> </w:t>
      </w:r>
      <w:r w:rsidR="00EE34EE" w:rsidRPr="00EE34EE">
        <w:rPr>
          <w:rFonts w:asciiTheme="majorHAnsi" w:hAnsiTheme="majorHAnsi"/>
          <w:color w:val="004C6C" w:themeColor="background2"/>
          <w:sz w:val="44"/>
          <w:szCs w:val="26"/>
        </w:rPr>
        <w:t>Ministerial Direction 111</w:t>
      </w:r>
    </w:p>
    <w:p w14:paraId="379719E3" w14:textId="77777777" w:rsidR="00EE34EE" w:rsidRDefault="00EE34EE" w:rsidP="00EB4597">
      <w:pPr>
        <w:spacing w:after="60" w:line="276" w:lineRule="auto"/>
        <w:rPr>
          <w:lang w:val="en-GB"/>
        </w:rPr>
      </w:pPr>
    </w:p>
    <w:p w14:paraId="300C8DB2" w14:textId="77777777" w:rsidR="00AB4FBC" w:rsidRDefault="00AB4FBC" w:rsidP="00AB4FBC">
      <w:pPr>
        <w:spacing w:after="60" w:line="276" w:lineRule="auto"/>
        <w:rPr>
          <w:rFonts w:ascii="Calibri" w:eastAsia="Calibri" w:hAnsi="Calibri" w:cs="Calibri"/>
        </w:rPr>
      </w:pPr>
      <w:r>
        <w:rPr>
          <w:rFonts w:ascii="Calibri" w:eastAsia="Calibri" w:hAnsi="Calibri" w:cs="Calibri"/>
        </w:rPr>
        <w:t xml:space="preserve">The Australian Government is committed to ensuring the quality, integrity and sustainability of Australia’s international education sector. Arrangements to improve the integrity and sustainability of the international education sector are set out in the </w:t>
      </w:r>
      <w:r>
        <w:rPr>
          <w:rFonts w:ascii="Calibri" w:eastAsia="Calibri" w:hAnsi="Calibri" w:cs="Calibri"/>
          <w:i/>
        </w:rPr>
        <w:t>Education Services for Overseas Students Amendment (Quality and Integrity) Bill 2024</w:t>
      </w:r>
      <w:r>
        <w:rPr>
          <w:rFonts w:ascii="Calibri" w:eastAsia="Calibri" w:hAnsi="Calibri" w:cs="Calibri"/>
        </w:rPr>
        <w:t>.  </w:t>
      </w:r>
    </w:p>
    <w:p w14:paraId="6CA4AF51" w14:textId="77777777" w:rsidR="00AB4FBC" w:rsidRDefault="00AB4FBC" w:rsidP="00AB4FBC">
      <w:pPr>
        <w:spacing w:after="60" w:line="276" w:lineRule="auto"/>
        <w:rPr>
          <w:rFonts w:ascii="Calibri" w:eastAsia="Calibri" w:hAnsi="Calibri" w:cs="Calibri"/>
        </w:rPr>
      </w:pPr>
      <w:r>
        <w:rPr>
          <w:rFonts w:ascii="Calibri" w:eastAsia="Calibri" w:hAnsi="Calibri" w:cs="Calibri"/>
        </w:rPr>
        <w:t>This Bill has not passed Parliament in time for arrangements to be implemented by 1 January 2025. The proposed legislative amendments are not in operation.  </w:t>
      </w:r>
    </w:p>
    <w:p w14:paraId="27B76CFF" w14:textId="6FA74EAE" w:rsidR="00820D45" w:rsidRPr="003F4332" w:rsidRDefault="000411D2" w:rsidP="00EB4597">
      <w:pPr>
        <w:spacing w:after="60" w:line="276" w:lineRule="auto"/>
      </w:pPr>
      <w:r w:rsidRPr="003F4332">
        <w:t>T</w:t>
      </w:r>
      <w:r w:rsidR="003154C5" w:rsidRPr="003F4332">
        <w:t xml:space="preserve">he Government </w:t>
      </w:r>
      <w:r w:rsidR="008035A1">
        <w:t>will continue</w:t>
      </w:r>
      <w:r w:rsidR="003154C5" w:rsidRPr="003F4332">
        <w:t xml:space="preserve"> to manag</w:t>
      </w:r>
      <w:r w:rsidR="008035A1">
        <w:t>e</w:t>
      </w:r>
      <w:r w:rsidR="003154C5" w:rsidRPr="003F4332">
        <w:t xml:space="preserve"> the sector at sustainable levels and improv</w:t>
      </w:r>
      <w:r w:rsidR="008035A1">
        <w:t>e</w:t>
      </w:r>
      <w:r w:rsidR="003154C5" w:rsidRPr="003F4332">
        <w:t xml:space="preserve"> its quality and integrity.</w:t>
      </w:r>
      <w:r w:rsidR="003F4332" w:rsidRPr="003F4332">
        <w:t xml:space="preserve"> T</w:t>
      </w:r>
      <w:r w:rsidR="0025748E" w:rsidRPr="003F4332">
        <w:rPr>
          <w:lang w:val="en-GB"/>
        </w:rPr>
        <w:t>he Department of Education and Department of Employment and Workplace Relations have informed providers of their 2025 indicative new overseas student commencement (NOSC) allocations. The</w:t>
      </w:r>
      <w:r w:rsidR="00053249" w:rsidRPr="003F4332">
        <w:rPr>
          <w:lang w:val="en-GB"/>
        </w:rPr>
        <w:t>se</w:t>
      </w:r>
      <w:r w:rsidR="0025748E" w:rsidRPr="003F4332">
        <w:rPr>
          <w:lang w:val="en-GB"/>
        </w:rPr>
        <w:t xml:space="preserve"> </w:t>
      </w:r>
      <w:r w:rsidR="00820D45" w:rsidRPr="003F4332">
        <w:rPr>
          <w:lang w:val="en-GB"/>
        </w:rPr>
        <w:t xml:space="preserve">indicative allocations will </w:t>
      </w:r>
      <w:r w:rsidR="00812006" w:rsidRPr="003F4332">
        <w:rPr>
          <w:lang w:val="en-GB"/>
        </w:rPr>
        <w:t xml:space="preserve">now be used </w:t>
      </w:r>
      <w:r w:rsidR="00820D45" w:rsidRPr="003F4332">
        <w:rPr>
          <w:lang w:val="en-GB"/>
        </w:rPr>
        <w:t xml:space="preserve">to guide the new prioritisation process for </w:t>
      </w:r>
      <w:r w:rsidR="00640815" w:rsidRPr="003F4332">
        <w:rPr>
          <w:lang w:val="en-GB"/>
        </w:rPr>
        <w:t xml:space="preserve">offshore </w:t>
      </w:r>
      <w:r w:rsidR="002A61E5" w:rsidRPr="003F4332">
        <w:rPr>
          <w:lang w:val="en-GB"/>
        </w:rPr>
        <w:t xml:space="preserve">student </w:t>
      </w:r>
      <w:r w:rsidR="00820D45" w:rsidRPr="003F4332">
        <w:rPr>
          <w:lang w:val="en-GB"/>
        </w:rPr>
        <w:t>visa processing</w:t>
      </w:r>
      <w:r w:rsidR="00812006" w:rsidRPr="003F4332">
        <w:rPr>
          <w:lang w:val="en-GB"/>
        </w:rPr>
        <w:t>,</w:t>
      </w:r>
      <w:r w:rsidR="00820D45" w:rsidRPr="003F4332">
        <w:rPr>
          <w:lang w:val="en-GB"/>
        </w:rPr>
        <w:t xml:space="preserve"> under </w:t>
      </w:r>
      <w:r w:rsidR="00812006" w:rsidRPr="003F4332">
        <w:rPr>
          <w:lang w:val="en-GB"/>
        </w:rPr>
        <w:t xml:space="preserve">the new </w:t>
      </w:r>
      <w:hyperlink r:id="rId12" w:history="1">
        <w:r w:rsidR="00820D45" w:rsidRPr="003F4332">
          <w:rPr>
            <w:rStyle w:val="Hyperlink"/>
            <w:lang w:val="en-GB"/>
          </w:rPr>
          <w:t>Ministerial Direction 111</w:t>
        </w:r>
      </w:hyperlink>
      <w:r w:rsidR="00812006" w:rsidRPr="003F4332">
        <w:rPr>
          <w:lang w:val="en-GB"/>
        </w:rPr>
        <w:t xml:space="preserve"> which replaces Ministerial Direction 107</w:t>
      </w:r>
      <w:r w:rsidR="00640815" w:rsidRPr="003F4332">
        <w:rPr>
          <w:lang w:val="en-GB"/>
        </w:rPr>
        <w:t xml:space="preserve"> from 19 December 2024</w:t>
      </w:r>
      <w:r w:rsidR="00820D45" w:rsidRPr="003F4332">
        <w:rPr>
          <w:lang w:val="en-GB"/>
        </w:rPr>
        <w:t xml:space="preserve">. </w:t>
      </w:r>
    </w:p>
    <w:p w14:paraId="4F7A7AB3" w14:textId="07BBA277" w:rsidR="00B32C51" w:rsidRDefault="00326E95" w:rsidP="00736A1A">
      <w:pPr>
        <w:pStyle w:val="Heading3"/>
      </w:pPr>
      <w:r>
        <w:t xml:space="preserve">Ministerial Direction 111 - </w:t>
      </w:r>
      <w:r w:rsidR="00B32C51">
        <w:t xml:space="preserve">Prioritisation </w:t>
      </w:r>
      <w:r w:rsidR="00E77528">
        <w:t>Process</w:t>
      </w:r>
    </w:p>
    <w:p w14:paraId="30539BD7" w14:textId="7FC14C7E" w:rsidR="00CE6695" w:rsidRPr="00185046" w:rsidRDefault="00326E95" w:rsidP="00EB4597">
      <w:pPr>
        <w:spacing w:after="60" w:line="276" w:lineRule="auto"/>
        <w:rPr>
          <w:lang w:val="en-GB"/>
        </w:rPr>
      </w:pPr>
      <w:r>
        <w:t xml:space="preserve">There will be more </w:t>
      </w:r>
      <w:r w:rsidR="00A54132">
        <w:t xml:space="preserve">even </w:t>
      </w:r>
      <w:r w:rsidR="00A54132" w:rsidRPr="00B04946">
        <w:t xml:space="preserve">access to </w:t>
      </w:r>
      <w:r w:rsidR="00A54132">
        <w:t xml:space="preserve">offshore student </w:t>
      </w:r>
      <w:r w:rsidR="00A54132" w:rsidRPr="00B04946">
        <w:t xml:space="preserve">visa processing through a new </w:t>
      </w:r>
      <w:r w:rsidR="00A54132" w:rsidRPr="00185046">
        <w:rPr>
          <w:lang w:val="en-GB"/>
        </w:rPr>
        <w:t>prioritisation approach, informed by</w:t>
      </w:r>
      <w:r w:rsidR="001147DF" w:rsidRPr="00185046">
        <w:rPr>
          <w:lang w:val="en-GB"/>
        </w:rPr>
        <w:t xml:space="preserve"> </w:t>
      </w:r>
      <w:r w:rsidR="00A54132" w:rsidRPr="00185046">
        <w:rPr>
          <w:lang w:val="en-GB"/>
        </w:rPr>
        <w:t>consultation with the international education sector throughout 2024</w:t>
      </w:r>
      <w:r w:rsidR="00556171">
        <w:rPr>
          <w:lang w:val="en-GB"/>
        </w:rPr>
        <w:t>:</w:t>
      </w:r>
    </w:p>
    <w:p w14:paraId="4DAD7C53" w14:textId="128E5DBA" w:rsidR="000F1CEF" w:rsidRDefault="000F1CEF" w:rsidP="00EB4597">
      <w:pPr>
        <w:spacing w:after="60" w:line="276" w:lineRule="auto"/>
        <w:rPr>
          <w:lang w:val="en-GB"/>
        </w:rPr>
      </w:pPr>
    </w:p>
    <w:p w14:paraId="531098A6" w14:textId="77777777" w:rsidR="00240882" w:rsidRDefault="002E793E" w:rsidP="00EB4597">
      <w:pPr>
        <w:spacing w:after="60" w:line="276" w:lineRule="auto"/>
        <w:rPr>
          <w:lang w:val="en-GB"/>
        </w:rPr>
      </w:pPr>
      <w:r w:rsidRPr="00C86CB6">
        <w:rPr>
          <w:b/>
          <w:bCs/>
          <w:lang w:val="en-GB"/>
        </w:rPr>
        <w:t>Priority 1 – High</w:t>
      </w:r>
      <w:r w:rsidRPr="002E793E">
        <w:rPr>
          <w:lang w:val="en-GB"/>
        </w:rPr>
        <w:t xml:space="preserve"> visa processing will </w:t>
      </w:r>
      <w:r w:rsidR="00C86CB6" w:rsidRPr="00C86CB6">
        <w:rPr>
          <w:lang w:val="en-GB"/>
        </w:rPr>
        <w:t>apply to</w:t>
      </w:r>
      <w:r w:rsidR="00240882">
        <w:rPr>
          <w:lang w:val="en-GB"/>
        </w:rPr>
        <w:t>:</w:t>
      </w:r>
    </w:p>
    <w:p w14:paraId="3F006C03" w14:textId="3306E18F" w:rsidR="00562A71" w:rsidRPr="00562A71" w:rsidRDefault="00751258" w:rsidP="00562A71">
      <w:pPr>
        <w:pStyle w:val="ListParagraph"/>
        <w:numPr>
          <w:ilvl w:val="0"/>
          <w:numId w:val="8"/>
        </w:numPr>
        <w:spacing w:after="60" w:line="276" w:lineRule="auto"/>
        <w:rPr>
          <w:lang w:val="en-GB"/>
        </w:rPr>
      </w:pPr>
      <w:r>
        <w:rPr>
          <w:lang w:val="en-GB"/>
        </w:rPr>
        <w:t>Offshore s</w:t>
      </w:r>
      <w:r w:rsidR="00562A71" w:rsidRPr="00562A71">
        <w:rPr>
          <w:lang w:val="en-GB"/>
        </w:rPr>
        <w:t xml:space="preserve">tudent visa applications associated with providers </w:t>
      </w:r>
      <w:r w:rsidR="00F11C61">
        <w:rPr>
          <w:lang w:val="en-GB"/>
        </w:rPr>
        <w:t xml:space="preserve">who have </w:t>
      </w:r>
      <w:r w:rsidR="0064582B">
        <w:rPr>
          <w:lang w:val="en-GB"/>
        </w:rPr>
        <w:t>approved</w:t>
      </w:r>
      <w:r w:rsidR="00AE4385">
        <w:rPr>
          <w:lang w:val="en-GB"/>
        </w:rPr>
        <w:t xml:space="preserve"> Confirmation of Enrolments for</w:t>
      </w:r>
      <w:r w:rsidR="0064582B">
        <w:rPr>
          <w:lang w:val="en-GB"/>
        </w:rPr>
        <w:t xml:space="preserve"> </w:t>
      </w:r>
      <w:r w:rsidR="00562A71" w:rsidRPr="00562A71">
        <w:rPr>
          <w:lang w:val="en-GB"/>
        </w:rPr>
        <w:t>up to 80 percent of their 2025 indicative allocation of New Overseas Student Commencements</w:t>
      </w:r>
      <w:r w:rsidR="00374342">
        <w:rPr>
          <w:lang w:val="en-GB"/>
        </w:rPr>
        <w:t xml:space="preserve"> (NOSCs)</w:t>
      </w:r>
      <w:r w:rsidR="00562A71" w:rsidRPr="00562A71">
        <w:rPr>
          <w:lang w:val="en-GB"/>
        </w:rPr>
        <w:t xml:space="preserve"> </w:t>
      </w:r>
      <w:r w:rsidR="00412AD1">
        <w:rPr>
          <w:lang w:val="en-GB"/>
        </w:rPr>
        <w:t xml:space="preserve">- </w:t>
      </w:r>
      <w:r w:rsidR="009B5B7D">
        <w:rPr>
          <w:lang w:val="en-GB"/>
        </w:rPr>
        <w:t>referred to as a provider</w:t>
      </w:r>
      <w:r w:rsidR="00412AD1">
        <w:rPr>
          <w:lang w:val="en-GB"/>
        </w:rPr>
        <w:t xml:space="preserve">’s prioritisation threshold - </w:t>
      </w:r>
      <w:r w:rsidR="00562A71" w:rsidRPr="00562A71">
        <w:rPr>
          <w:lang w:val="en-GB"/>
        </w:rPr>
        <w:t>for the following sectors:</w:t>
      </w:r>
    </w:p>
    <w:p w14:paraId="0E3C8E7A" w14:textId="77777777" w:rsidR="00562A71" w:rsidRPr="00562A71" w:rsidRDefault="00562A71" w:rsidP="00562A71">
      <w:pPr>
        <w:pStyle w:val="ListParagraph"/>
        <w:numPr>
          <w:ilvl w:val="1"/>
          <w:numId w:val="8"/>
        </w:numPr>
        <w:spacing w:after="60" w:line="276" w:lineRule="auto"/>
        <w:rPr>
          <w:lang w:val="en-GB"/>
        </w:rPr>
      </w:pPr>
      <w:r w:rsidRPr="00562A71">
        <w:rPr>
          <w:lang w:val="en-GB"/>
        </w:rPr>
        <w:t xml:space="preserve">Higher Education </w:t>
      </w:r>
    </w:p>
    <w:p w14:paraId="48E2E11A" w14:textId="0DABDD82" w:rsidR="00562A71" w:rsidRDefault="00562A71" w:rsidP="00562A71">
      <w:pPr>
        <w:pStyle w:val="ListParagraph"/>
        <w:numPr>
          <w:ilvl w:val="1"/>
          <w:numId w:val="8"/>
        </w:numPr>
        <w:spacing w:after="60" w:line="276" w:lineRule="auto"/>
        <w:rPr>
          <w:lang w:val="en-GB"/>
        </w:rPr>
      </w:pPr>
      <w:r w:rsidRPr="00562A71">
        <w:rPr>
          <w:lang w:val="en-GB"/>
        </w:rPr>
        <w:t xml:space="preserve">Vocational </w:t>
      </w:r>
      <w:r w:rsidR="008D411D">
        <w:rPr>
          <w:lang w:val="en-GB"/>
        </w:rPr>
        <w:t>e</w:t>
      </w:r>
      <w:r w:rsidRPr="00562A71">
        <w:rPr>
          <w:lang w:val="en-GB"/>
        </w:rPr>
        <w:t xml:space="preserve">ducation and </w:t>
      </w:r>
      <w:r w:rsidR="008D411D">
        <w:rPr>
          <w:lang w:val="en-GB"/>
        </w:rPr>
        <w:t>t</w:t>
      </w:r>
      <w:r w:rsidRPr="00562A71">
        <w:rPr>
          <w:lang w:val="en-GB"/>
        </w:rPr>
        <w:t>raining</w:t>
      </w:r>
      <w:r w:rsidR="008D411D">
        <w:rPr>
          <w:lang w:val="en-GB"/>
        </w:rPr>
        <w:t xml:space="preserve"> (VET)</w:t>
      </w:r>
    </w:p>
    <w:p w14:paraId="23A67AB7" w14:textId="0F2611F8" w:rsidR="002E793E" w:rsidRPr="00240882" w:rsidRDefault="00240882" w:rsidP="0027291A">
      <w:pPr>
        <w:pStyle w:val="ListParagraph"/>
        <w:numPr>
          <w:ilvl w:val="0"/>
          <w:numId w:val="8"/>
        </w:numPr>
        <w:spacing w:after="60" w:line="276" w:lineRule="auto"/>
        <w:rPr>
          <w:lang w:val="en-GB"/>
        </w:rPr>
      </w:pPr>
      <w:r w:rsidRPr="00240882">
        <w:rPr>
          <w:lang w:val="en-GB"/>
        </w:rPr>
        <w:t>A</w:t>
      </w:r>
      <w:r w:rsidR="002E793E" w:rsidRPr="00240882">
        <w:rPr>
          <w:lang w:val="en-GB"/>
        </w:rPr>
        <w:t xml:space="preserve"> range of </w:t>
      </w:r>
      <w:r w:rsidR="00404EE7">
        <w:rPr>
          <w:lang w:val="en-GB"/>
        </w:rPr>
        <w:t xml:space="preserve">cohorts, sectors and </w:t>
      </w:r>
      <w:r w:rsidR="002E793E" w:rsidRPr="00240882">
        <w:rPr>
          <w:lang w:val="en-GB"/>
        </w:rPr>
        <w:t>student types</w:t>
      </w:r>
      <w:r w:rsidR="00404EE7">
        <w:rPr>
          <w:lang w:val="en-GB"/>
        </w:rPr>
        <w:t xml:space="preserve"> will also be allocated ‘Priority 1 </w:t>
      </w:r>
      <w:r w:rsidR="00637504">
        <w:rPr>
          <w:lang w:val="en-GB"/>
        </w:rPr>
        <w:t>– High’</w:t>
      </w:r>
      <w:r w:rsidR="00C72BCD">
        <w:rPr>
          <w:lang w:val="en-GB"/>
        </w:rPr>
        <w:t xml:space="preserve"> processing</w:t>
      </w:r>
      <w:r w:rsidR="00637504">
        <w:rPr>
          <w:lang w:val="en-GB"/>
        </w:rPr>
        <w:t>.</w:t>
      </w:r>
      <w:r w:rsidR="00A0077B">
        <w:rPr>
          <w:lang w:val="en-GB"/>
        </w:rPr>
        <w:t xml:space="preserve"> Please see </w:t>
      </w:r>
      <w:hyperlink r:id="rId13" w:history="1">
        <w:r w:rsidR="00737B4A" w:rsidRPr="004B19E4">
          <w:rPr>
            <w:rStyle w:val="Hyperlink"/>
            <w:lang w:val="en-GB"/>
          </w:rPr>
          <w:t xml:space="preserve">section 8 of </w:t>
        </w:r>
        <w:r w:rsidR="00A0077B" w:rsidRPr="004B19E4">
          <w:rPr>
            <w:rStyle w:val="Hyperlink"/>
            <w:lang w:val="en-GB"/>
          </w:rPr>
          <w:t>Ministerial Direction 111</w:t>
        </w:r>
      </w:hyperlink>
      <w:r w:rsidR="00A0077B">
        <w:rPr>
          <w:lang w:val="en-GB"/>
        </w:rPr>
        <w:t xml:space="preserve"> for a </w:t>
      </w:r>
      <w:r w:rsidR="00737B4A">
        <w:rPr>
          <w:lang w:val="en-GB"/>
        </w:rPr>
        <w:t>complete list</w:t>
      </w:r>
      <w:r w:rsidR="002E793E" w:rsidRPr="00240882">
        <w:rPr>
          <w:lang w:val="en-GB"/>
        </w:rPr>
        <w:t>.</w:t>
      </w:r>
    </w:p>
    <w:p w14:paraId="44BE95EC" w14:textId="77777777" w:rsidR="002E793E" w:rsidRPr="002E793E" w:rsidRDefault="002E793E" w:rsidP="00EB4597">
      <w:pPr>
        <w:spacing w:after="60" w:line="276" w:lineRule="auto"/>
        <w:rPr>
          <w:lang w:val="en-GB"/>
        </w:rPr>
      </w:pPr>
    </w:p>
    <w:p w14:paraId="304471EB" w14:textId="51BA34B6" w:rsidR="00EB4BDD" w:rsidRDefault="006F5A21" w:rsidP="00FB3F4F">
      <w:pPr>
        <w:spacing w:after="60" w:line="276" w:lineRule="auto"/>
        <w:rPr>
          <w:lang w:val="en-GB"/>
        </w:rPr>
      </w:pPr>
      <w:r w:rsidRPr="006F5A21">
        <w:rPr>
          <w:b/>
          <w:bCs/>
          <w:lang w:val="en-GB"/>
        </w:rPr>
        <w:t>Priority 2 – Standard</w:t>
      </w:r>
      <w:r w:rsidRPr="006F5A21">
        <w:rPr>
          <w:lang w:val="en-GB"/>
        </w:rPr>
        <w:t xml:space="preserve"> visa processing will apply to providers who have reached their prioritisation threshold, subsequent entrants, and any other offshore </w:t>
      </w:r>
      <w:r w:rsidR="00533608">
        <w:rPr>
          <w:lang w:val="en-GB"/>
        </w:rPr>
        <w:t>s</w:t>
      </w:r>
      <w:r w:rsidRPr="006F5A21">
        <w:rPr>
          <w:lang w:val="en-GB"/>
        </w:rPr>
        <w:t>tudent visa applicatio</w:t>
      </w:r>
      <w:r w:rsidR="00FB3F4F">
        <w:rPr>
          <w:lang w:val="en-GB"/>
        </w:rPr>
        <w:t>n</w:t>
      </w:r>
      <w:r w:rsidR="000D5AE0">
        <w:rPr>
          <w:lang w:val="en-GB"/>
        </w:rPr>
        <w:t>.</w:t>
      </w:r>
    </w:p>
    <w:p w14:paraId="39F54E5E" w14:textId="77777777" w:rsidR="00EE736E" w:rsidRDefault="00EE736E">
      <w:pPr>
        <w:spacing w:after="160"/>
        <w:rPr>
          <w:rStyle w:val="Heading3Char"/>
        </w:rPr>
      </w:pPr>
      <w:r>
        <w:rPr>
          <w:rStyle w:val="Heading3Char"/>
        </w:rPr>
        <w:br w:type="page"/>
      </w:r>
    </w:p>
    <w:p w14:paraId="75B820BC" w14:textId="01B5E3EB" w:rsidR="000D5AE0" w:rsidRPr="005D0517" w:rsidRDefault="000D5AE0" w:rsidP="005D0517">
      <w:pPr>
        <w:spacing w:after="60" w:line="276" w:lineRule="auto"/>
        <w:rPr>
          <w:lang w:val="en-GB"/>
        </w:rPr>
      </w:pPr>
      <w:r>
        <w:rPr>
          <w:rStyle w:val="Heading3Char"/>
        </w:rPr>
        <w:lastRenderedPageBreak/>
        <w:t>Provider’s Prioritisation Threshold</w:t>
      </w:r>
    </w:p>
    <w:p w14:paraId="54214CFC" w14:textId="6F851D5B" w:rsidR="000D5AE0" w:rsidRDefault="000D5AE0" w:rsidP="000D5AE0">
      <w:pPr>
        <w:spacing w:after="120" w:line="276" w:lineRule="auto"/>
        <w:rPr>
          <w:rStyle w:val="normaltextrun"/>
          <w:color w:val="000000"/>
          <w:shd w:val="clear" w:color="auto" w:fill="FFFFFF"/>
        </w:rPr>
      </w:pPr>
      <w:r w:rsidRPr="00DB6410">
        <w:rPr>
          <w:rStyle w:val="normaltextrun"/>
          <w:color w:val="000000"/>
          <w:shd w:val="clear" w:color="auto" w:fill="FFFFFF"/>
        </w:rPr>
        <w:t xml:space="preserve">Providers </w:t>
      </w:r>
      <w:r>
        <w:rPr>
          <w:rStyle w:val="normaltextrun"/>
          <w:color w:val="000000"/>
          <w:shd w:val="clear" w:color="auto" w:fill="FFFFFF"/>
        </w:rPr>
        <w:t xml:space="preserve">have been advised of their </w:t>
      </w:r>
      <w:r w:rsidR="003F5351">
        <w:rPr>
          <w:rStyle w:val="normaltextrun"/>
          <w:color w:val="000000"/>
          <w:shd w:val="clear" w:color="auto" w:fill="FFFFFF"/>
        </w:rPr>
        <w:t xml:space="preserve">2025 </w:t>
      </w:r>
      <w:r w:rsidRPr="00DB6410">
        <w:rPr>
          <w:rStyle w:val="normaltextrun"/>
          <w:color w:val="000000"/>
          <w:shd w:val="clear" w:color="auto" w:fill="FFFFFF"/>
        </w:rPr>
        <w:t>indicative allocations</w:t>
      </w:r>
      <w:r>
        <w:rPr>
          <w:rStyle w:val="normaltextrun"/>
          <w:color w:val="000000"/>
          <w:shd w:val="clear" w:color="auto" w:fill="FFFFFF"/>
        </w:rPr>
        <w:t xml:space="preserve">, which are available from the following </w:t>
      </w:r>
      <w:r w:rsidR="00CD5C05">
        <w:rPr>
          <w:rStyle w:val="normaltextrun"/>
          <w:color w:val="000000"/>
          <w:shd w:val="clear" w:color="auto" w:fill="FFFFFF"/>
        </w:rPr>
        <w:t xml:space="preserve">websites and available from the </w:t>
      </w:r>
      <w:r>
        <w:rPr>
          <w:rStyle w:val="normaltextrun"/>
          <w:color w:val="000000"/>
          <w:shd w:val="clear" w:color="auto" w:fill="FFFFFF"/>
        </w:rPr>
        <w:t xml:space="preserve">Summary </w:t>
      </w:r>
      <w:r w:rsidR="00513A39">
        <w:rPr>
          <w:rStyle w:val="normaltextrun"/>
          <w:color w:val="000000"/>
          <w:shd w:val="clear" w:color="auto" w:fill="FFFFFF"/>
        </w:rPr>
        <w:t xml:space="preserve">tab </w:t>
      </w:r>
      <w:r>
        <w:rPr>
          <w:rStyle w:val="normaltextrun"/>
          <w:color w:val="000000"/>
          <w:shd w:val="clear" w:color="auto" w:fill="FFFFFF"/>
        </w:rPr>
        <w:t>in a providers New Overseas Student Commencement (</w:t>
      </w:r>
      <w:r w:rsidRPr="00DB6410">
        <w:rPr>
          <w:rStyle w:val="normaltextrun"/>
          <w:color w:val="000000"/>
          <w:shd w:val="clear" w:color="auto" w:fill="FFFFFF"/>
        </w:rPr>
        <w:t>NOSC</w:t>
      </w:r>
      <w:r>
        <w:rPr>
          <w:rStyle w:val="normaltextrun"/>
          <w:color w:val="000000"/>
          <w:shd w:val="clear" w:color="auto" w:fill="FFFFFF"/>
        </w:rPr>
        <w:t>)</w:t>
      </w:r>
      <w:r w:rsidRPr="00DB6410">
        <w:rPr>
          <w:rStyle w:val="normaltextrun"/>
          <w:color w:val="000000"/>
          <w:shd w:val="clear" w:color="auto" w:fill="FFFFFF"/>
        </w:rPr>
        <w:t xml:space="preserve"> Identification Export report in PRISMS</w:t>
      </w:r>
      <w:r>
        <w:rPr>
          <w:rStyle w:val="normaltextrun"/>
          <w:color w:val="000000"/>
          <w:shd w:val="clear" w:color="auto" w:fill="FFFFFF"/>
        </w:rPr>
        <w:t>:</w:t>
      </w:r>
    </w:p>
    <w:p w14:paraId="05229EAC" w14:textId="77777777" w:rsidR="007665F6" w:rsidRPr="007665F6" w:rsidRDefault="007665F6" w:rsidP="007665F6">
      <w:pPr>
        <w:numPr>
          <w:ilvl w:val="0"/>
          <w:numId w:val="15"/>
        </w:numPr>
        <w:spacing w:after="120" w:line="276" w:lineRule="auto"/>
        <w:rPr>
          <w:color w:val="000000"/>
          <w:shd w:val="clear" w:color="auto" w:fill="FFFFFF"/>
        </w:rPr>
      </w:pPr>
      <w:hyperlink r:id="rId14" w:history="1">
        <w:r w:rsidRPr="007665F6">
          <w:rPr>
            <w:rStyle w:val="Hyperlink"/>
            <w:shd w:val="clear" w:color="auto" w:fill="FFFFFF"/>
          </w:rPr>
          <w:t>Indicative allocations for higher education new overseas student commencements 2025 - Department of Education, Australian Government</w:t>
        </w:r>
      </w:hyperlink>
      <w:r w:rsidRPr="007665F6">
        <w:rPr>
          <w:color w:val="000000"/>
          <w:shd w:val="clear" w:color="auto" w:fill="FFFFFF"/>
        </w:rPr>
        <w:t> and</w:t>
      </w:r>
    </w:p>
    <w:p w14:paraId="1C2DD65F" w14:textId="77777777" w:rsidR="007665F6" w:rsidRPr="007665F6" w:rsidRDefault="007665F6" w:rsidP="007665F6">
      <w:pPr>
        <w:numPr>
          <w:ilvl w:val="0"/>
          <w:numId w:val="15"/>
        </w:numPr>
        <w:spacing w:after="120" w:line="276" w:lineRule="auto"/>
        <w:rPr>
          <w:color w:val="000000"/>
          <w:shd w:val="clear" w:color="auto" w:fill="FFFFFF"/>
        </w:rPr>
      </w:pPr>
      <w:hyperlink r:id="rId15" w:history="1">
        <w:r w:rsidRPr="007665F6">
          <w:rPr>
            <w:rStyle w:val="Hyperlink"/>
            <w:shd w:val="clear" w:color="auto" w:fill="FFFFFF"/>
          </w:rPr>
          <w:t>Indicative allocations for VET new overseas student commencements 2025 - Department of Employment and Workplace Relations, Australian Government</w:t>
        </w:r>
      </w:hyperlink>
      <w:r w:rsidRPr="007665F6">
        <w:rPr>
          <w:color w:val="000000"/>
          <w:shd w:val="clear" w:color="auto" w:fill="FFFFFF"/>
        </w:rPr>
        <w:t>​</w:t>
      </w:r>
    </w:p>
    <w:p w14:paraId="349F50E2" w14:textId="38595798" w:rsidR="00C705FB" w:rsidRDefault="00C705FB" w:rsidP="00C705FB">
      <w:pPr>
        <w:spacing w:after="120" w:line="276" w:lineRule="auto"/>
        <w:rPr>
          <w:rStyle w:val="normaltextrun"/>
          <w:color w:val="000000"/>
          <w:shd w:val="clear" w:color="auto" w:fill="FFFFFF"/>
        </w:rPr>
      </w:pPr>
      <w:r>
        <w:rPr>
          <w:rStyle w:val="normaltextrun"/>
          <w:color w:val="000000"/>
          <w:shd w:val="clear" w:color="auto" w:fill="FFFFFF"/>
        </w:rPr>
        <w:t xml:space="preserve">The </w:t>
      </w:r>
      <w:r w:rsidR="00EE736E">
        <w:rPr>
          <w:rStyle w:val="normaltextrun"/>
          <w:color w:val="000000"/>
          <w:shd w:val="clear" w:color="auto" w:fill="FFFFFF"/>
        </w:rPr>
        <w:t>terms ‘</w:t>
      </w:r>
      <w:r>
        <w:rPr>
          <w:rStyle w:val="normaltextrun"/>
          <w:color w:val="000000"/>
          <w:shd w:val="clear" w:color="auto" w:fill="FFFFFF"/>
        </w:rPr>
        <w:t>prioritisation threshold</w:t>
      </w:r>
      <w:r w:rsidR="00EE736E">
        <w:rPr>
          <w:rStyle w:val="normaltextrun"/>
          <w:color w:val="000000"/>
          <w:shd w:val="clear" w:color="auto" w:fill="FFFFFF"/>
        </w:rPr>
        <w:t>’</w:t>
      </w:r>
      <w:r>
        <w:rPr>
          <w:rStyle w:val="normaltextrun"/>
          <w:color w:val="000000"/>
          <w:shd w:val="clear" w:color="auto" w:fill="FFFFFF"/>
        </w:rPr>
        <w:t xml:space="preserve"> and </w:t>
      </w:r>
      <w:r w:rsidR="00EE736E">
        <w:rPr>
          <w:rStyle w:val="normaltextrun"/>
          <w:color w:val="000000"/>
          <w:shd w:val="clear" w:color="auto" w:fill="FFFFFF"/>
        </w:rPr>
        <w:t>‘</w:t>
      </w:r>
      <w:r>
        <w:rPr>
          <w:rStyle w:val="normaltextrun"/>
          <w:color w:val="000000"/>
          <w:shd w:val="clear" w:color="auto" w:fill="FFFFFF"/>
        </w:rPr>
        <w:t>New Overseas Student Commencement</w:t>
      </w:r>
      <w:r w:rsidR="00EE736E">
        <w:rPr>
          <w:rStyle w:val="normaltextrun"/>
          <w:color w:val="000000"/>
          <w:shd w:val="clear" w:color="auto" w:fill="FFFFFF"/>
        </w:rPr>
        <w:t>’</w:t>
      </w:r>
      <w:r>
        <w:rPr>
          <w:rStyle w:val="normaltextrun"/>
          <w:color w:val="000000"/>
          <w:shd w:val="clear" w:color="auto" w:fill="FFFFFF"/>
        </w:rPr>
        <w:t xml:space="preserve"> (NOSC) are defined </w:t>
      </w:r>
      <w:r w:rsidR="002332F8">
        <w:rPr>
          <w:rStyle w:val="normaltextrun"/>
          <w:color w:val="000000"/>
          <w:shd w:val="clear" w:color="auto" w:fill="FFFFFF"/>
        </w:rPr>
        <w:t>at sub</w:t>
      </w:r>
      <w:r>
        <w:rPr>
          <w:rStyle w:val="normaltextrun"/>
          <w:color w:val="000000"/>
          <w:shd w:val="clear" w:color="auto" w:fill="FFFFFF"/>
        </w:rPr>
        <w:t xml:space="preserve"> section 6 (1) of </w:t>
      </w:r>
      <w:hyperlink r:id="rId16" w:history="1">
        <w:r w:rsidRPr="002534B4">
          <w:rPr>
            <w:rStyle w:val="Hyperlink"/>
            <w:shd w:val="clear" w:color="auto" w:fill="FFFFFF"/>
          </w:rPr>
          <w:t>Ministerial Direction 111</w:t>
        </w:r>
      </w:hyperlink>
      <w:r>
        <w:rPr>
          <w:rStyle w:val="normaltextrun"/>
          <w:color w:val="000000"/>
          <w:shd w:val="clear" w:color="auto" w:fill="FFFFFF"/>
        </w:rPr>
        <w:t xml:space="preserve">. </w:t>
      </w:r>
    </w:p>
    <w:p w14:paraId="284C62C5" w14:textId="77777777" w:rsidR="00E44CE1" w:rsidRDefault="00E44CE1" w:rsidP="00E44CE1">
      <w:pPr>
        <w:pStyle w:val="Heading3"/>
      </w:pPr>
      <w:r>
        <w:t xml:space="preserve">New Overseas Student Commencements (NOSCs) </w:t>
      </w:r>
    </w:p>
    <w:p w14:paraId="4D771C34" w14:textId="46133866" w:rsidR="00E44CE1" w:rsidRDefault="00E44CE1" w:rsidP="00C35D39">
      <w:pPr>
        <w:pStyle w:val="paragraph"/>
        <w:spacing w:before="0" w:beforeAutospacing="0" w:after="0" w:afterAutospacing="0" w:line="276" w:lineRule="auto"/>
        <w:textAlignment w:val="baseline"/>
        <w:rPr>
          <w:rStyle w:val="eop"/>
          <w:rFonts w:ascii="Calibri" w:hAnsi="Calibri" w:cs="Calibri"/>
          <w:sz w:val="22"/>
          <w:szCs w:val="22"/>
        </w:rPr>
      </w:pPr>
      <w:r>
        <w:rPr>
          <w:rStyle w:val="normaltextrun"/>
          <w:rFonts w:ascii="Calibri" w:hAnsi="Calibri" w:cs="Calibri"/>
          <w:sz w:val="22"/>
          <w:szCs w:val="22"/>
        </w:rPr>
        <w:t>An international student will count as a New Overseas Student Commencement (NOSC) when they are onshore and start their first non-exempt course at their first provider.</w:t>
      </w:r>
      <w:r w:rsidDel="00D526CF">
        <w:rPr>
          <w:rStyle w:val="normaltextrun"/>
          <w:rFonts w:ascii="Calibri" w:hAnsi="Calibri" w:cs="Calibri"/>
          <w:sz w:val="22"/>
          <w:szCs w:val="22"/>
        </w:rPr>
        <w:t> </w:t>
      </w:r>
      <w:r>
        <w:rPr>
          <w:rStyle w:val="normaltextrun"/>
          <w:rFonts w:ascii="Calibri" w:hAnsi="Calibri" w:cs="Calibri"/>
          <w:sz w:val="22"/>
          <w:szCs w:val="22"/>
        </w:rPr>
        <w:t>This includes each time the student changes into a non-exempt course at a different provider. </w:t>
      </w:r>
      <w:r>
        <w:rPr>
          <w:rStyle w:val="normaltextrun"/>
          <w:rFonts w:ascii="Calibri" w:hAnsi="Calibri" w:cs="Calibri"/>
          <w:sz w:val="22"/>
          <w:szCs w:val="22"/>
          <w:lang w:val="en-US"/>
        </w:rPr>
        <w:t>Students who move courses within a provider or commence a subsequent course at the same provider immediately after the first course, will not be counted as an additional NOSC (they are deemed ‘continuing students’).</w:t>
      </w:r>
      <w:r>
        <w:rPr>
          <w:rStyle w:val="eop"/>
          <w:rFonts w:ascii="Calibri" w:hAnsi="Calibri" w:cs="Calibri"/>
          <w:sz w:val="22"/>
          <w:szCs w:val="22"/>
        </w:rPr>
        <w:t> </w:t>
      </w:r>
      <w:r w:rsidR="00B31100" w:rsidDel="00B31100">
        <w:rPr>
          <w:rFonts w:ascii="Segoe UI" w:hAnsi="Segoe UI" w:cs="Segoe UI"/>
          <w:sz w:val="18"/>
          <w:szCs w:val="18"/>
        </w:rPr>
        <w:t xml:space="preserve"> </w:t>
      </w:r>
    </w:p>
    <w:p w14:paraId="6D81C843" w14:textId="77777777" w:rsidR="00E44CE1" w:rsidRDefault="00E44CE1" w:rsidP="00E44CE1">
      <w:pPr>
        <w:pStyle w:val="paragraph"/>
        <w:spacing w:before="0" w:beforeAutospacing="0" w:after="0" w:afterAutospacing="0" w:line="276" w:lineRule="auto"/>
        <w:textAlignment w:val="baseline"/>
        <w:rPr>
          <w:rFonts w:ascii="Segoe UI" w:hAnsi="Segoe UI" w:cs="Segoe UI"/>
          <w:sz w:val="18"/>
          <w:szCs w:val="18"/>
        </w:rPr>
      </w:pPr>
    </w:p>
    <w:p w14:paraId="26EC9639" w14:textId="0522AA34" w:rsidR="00E44CE1" w:rsidRPr="005B3AD2" w:rsidRDefault="00E44CE1" w:rsidP="00E44CE1">
      <w:pPr>
        <w:pStyle w:val="Heading5"/>
        <w:rPr>
          <w:lang w:val="en-GB"/>
        </w:rPr>
      </w:pPr>
      <w:r>
        <w:rPr>
          <w:lang w:val="en-GB"/>
        </w:rPr>
        <w:t xml:space="preserve">Categories </w:t>
      </w:r>
      <w:r w:rsidR="007E7E19">
        <w:rPr>
          <w:lang w:val="en-GB"/>
        </w:rPr>
        <w:t xml:space="preserve">that are </w:t>
      </w:r>
      <w:r>
        <w:rPr>
          <w:lang w:val="en-GB"/>
        </w:rPr>
        <w:t xml:space="preserve">not defined </w:t>
      </w:r>
      <w:r w:rsidR="007E7E19">
        <w:rPr>
          <w:lang w:val="en-GB"/>
        </w:rPr>
        <w:t xml:space="preserve">as </w:t>
      </w:r>
      <w:r w:rsidRPr="005B3AD2">
        <w:rPr>
          <w:lang w:val="en-GB"/>
        </w:rPr>
        <w:t>NOSC</w:t>
      </w:r>
      <w:r w:rsidR="007E7E19">
        <w:rPr>
          <w:lang w:val="en-GB"/>
        </w:rPr>
        <w:t>s</w:t>
      </w:r>
      <w:r w:rsidRPr="005B3AD2">
        <w:rPr>
          <w:lang w:val="en-GB"/>
        </w:rPr>
        <w:t xml:space="preserve"> </w:t>
      </w:r>
    </w:p>
    <w:p w14:paraId="5D4BC120" w14:textId="77777777" w:rsidR="00E44CE1" w:rsidRDefault="00E44CE1" w:rsidP="00E44CE1">
      <w:pPr>
        <w:pStyle w:val="paragraph"/>
        <w:spacing w:before="0" w:beforeAutospacing="0" w:after="0" w:afterAutospacing="0" w:line="276" w:lineRule="auto"/>
        <w:textAlignment w:val="baseline"/>
        <w:rPr>
          <w:rStyle w:val="normaltextrun"/>
          <w:rFonts w:ascii="Calibri" w:hAnsi="Calibri" w:cs="Calibri"/>
          <w:sz w:val="22"/>
          <w:szCs w:val="22"/>
          <w:lang w:val="en-US"/>
        </w:rPr>
      </w:pPr>
      <w:r>
        <w:rPr>
          <w:rStyle w:val="normaltextrun"/>
          <w:rFonts w:ascii="Calibri" w:hAnsi="Calibri" w:cs="Calibri"/>
          <w:sz w:val="22"/>
          <w:szCs w:val="22"/>
          <w:lang w:val="en-US"/>
        </w:rPr>
        <w:t xml:space="preserve">The following categories of students are </w:t>
      </w:r>
      <w:r w:rsidRPr="0011712A">
        <w:rPr>
          <w:rStyle w:val="normaltextrun"/>
          <w:rFonts w:ascii="Calibri" w:hAnsi="Calibri" w:cs="Calibri"/>
          <w:b/>
          <w:bCs/>
          <w:sz w:val="22"/>
          <w:szCs w:val="22"/>
          <w:lang w:val="en-US"/>
        </w:rPr>
        <w:t>not</w:t>
      </w:r>
      <w:r>
        <w:rPr>
          <w:rStyle w:val="normaltextrun"/>
          <w:rFonts w:ascii="Calibri" w:hAnsi="Calibri" w:cs="Calibri"/>
          <w:sz w:val="22"/>
          <w:szCs w:val="22"/>
          <w:lang w:val="en-US"/>
        </w:rPr>
        <w:t xml:space="preserve"> defined as a NOSC and will </w:t>
      </w:r>
      <w:r w:rsidRPr="009B2697">
        <w:rPr>
          <w:rStyle w:val="normaltextrun"/>
          <w:rFonts w:ascii="Calibri" w:hAnsi="Calibri" w:cs="Calibri"/>
          <w:b/>
          <w:bCs/>
          <w:sz w:val="22"/>
          <w:szCs w:val="22"/>
          <w:lang w:val="en-US"/>
        </w:rPr>
        <w:t>not</w:t>
      </w:r>
      <w:r>
        <w:rPr>
          <w:rStyle w:val="normaltextrun"/>
          <w:rFonts w:ascii="Calibri" w:hAnsi="Calibri" w:cs="Calibri"/>
          <w:sz w:val="22"/>
          <w:szCs w:val="22"/>
          <w:lang w:val="en-US"/>
        </w:rPr>
        <w:t xml:space="preserve"> count as part of a provider’s use of their indicative allocations:</w:t>
      </w:r>
    </w:p>
    <w:p w14:paraId="3E3CE036" w14:textId="77777777" w:rsidR="00E44CE1" w:rsidRPr="00393C71" w:rsidRDefault="00E44CE1" w:rsidP="00E44CE1">
      <w:pPr>
        <w:pStyle w:val="paragraph"/>
        <w:numPr>
          <w:ilvl w:val="0"/>
          <w:numId w:val="6"/>
        </w:numPr>
        <w:spacing w:after="0" w:line="276" w:lineRule="auto"/>
        <w:textAlignment w:val="baseline"/>
        <w:rPr>
          <w:rFonts w:ascii="Calibri" w:hAnsi="Calibri" w:cs="Calibri"/>
          <w:sz w:val="22"/>
          <w:szCs w:val="22"/>
        </w:rPr>
      </w:pPr>
      <w:r w:rsidRPr="00393C71">
        <w:rPr>
          <w:rFonts w:ascii="Calibri" w:hAnsi="Calibri" w:cs="Calibri"/>
          <w:sz w:val="22"/>
          <w:szCs w:val="22"/>
        </w:rPr>
        <w:t>Schools</w:t>
      </w:r>
    </w:p>
    <w:p w14:paraId="40724D8F" w14:textId="77777777" w:rsidR="00E44CE1" w:rsidRPr="00393C71" w:rsidRDefault="00E44CE1" w:rsidP="00E44CE1">
      <w:pPr>
        <w:pStyle w:val="paragraph"/>
        <w:numPr>
          <w:ilvl w:val="0"/>
          <w:numId w:val="6"/>
        </w:numPr>
        <w:spacing w:after="0" w:line="276" w:lineRule="auto"/>
        <w:textAlignment w:val="baseline"/>
        <w:rPr>
          <w:rFonts w:ascii="Calibri" w:hAnsi="Calibri" w:cs="Calibri"/>
          <w:sz w:val="22"/>
          <w:szCs w:val="22"/>
        </w:rPr>
      </w:pPr>
      <w:r w:rsidRPr="00393C71">
        <w:rPr>
          <w:rFonts w:ascii="Calibri" w:hAnsi="Calibri" w:cs="Calibri"/>
          <w:sz w:val="22"/>
          <w:szCs w:val="22"/>
        </w:rPr>
        <w:t>Students studying standalone ELICOS courses</w:t>
      </w:r>
    </w:p>
    <w:p w14:paraId="7C164DE6" w14:textId="77777777" w:rsidR="00E44CE1" w:rsidRPr="00393C71" w:rsidRDefault="00E44CE1" w:rsidP="00E44CE1">
      <w:pPr>
        <w:pStyle w:val="paragraph"/>
        <w:numPr>
          <w:ilvl w:val="0"/>
          <w:numId w:val="6"/>
        </w:numPr>
        <w:spacing w:after="0" w:line="276" w:lineRule="auto"/>
        <w:textAlignment w:val="baseline"/>
        <w:rPr>
          <w:rFonts w:ascii="Calibri" w:hAnsi="Calibri" w:cs="Calibri"/>
          <w:sz w:val="22"/>
          <w:szCs w:val="22"/>
        </w:rPr>
      </w:pPr>
      <w:r w:rsidRPr="00393C71">
        <w:rPr>
          <w:rFonts w:ascii="Calibri" w:hAnsi="Calibri" w:cs="Calibri"/>
          <w:sz w:val="22"/>
          <w:szCs w:val="22"/>
        </w:rPr>
        <w:t>Higher degree by research students</w:t>
      </w:r>
    </w:p>
    <w:p w14:paraId="7EB7606B" w14:textId="77777777" w:rsidR="00E44CE1" w:rsidRPr="00393C71" w:rsidRDefault="00E44CE1" w:rsidP="00E44CE1">
      <w:pPr>
        <w:pStyle w:val="paragraph"/>
        <w:numPr>
          <w:ilvl w:val="0"/>
          <w:numId w:val="6"/>
        </w:numPr>
        <w:spacing w:after="0" w:line="276" w:lineRule="auto"/>
        <w:textAlignment w:val="baseline"/>
        <w:rPr>
          <w:rFonts w:ascii="Calibri" w:hAnsi="Calibri" w:cs="Calibri"/>
          <w:sz w:val="22"/>
          <w:szCs w:val="22"/>
        </w:rPr>
      </w:pPr>
      <w:r w:rsidRPr="00393C71">
        <w:rPr>
          <w:rFonts w:ascii="Calibri" w:hAnsi="Calibri" w:cs="Calibri"/>
          <w:sz w:val="22"/>
          <w:szCs w:val="22"/>
        </w:rPr>
        <w:t xml:space="preserve">Non-award students, including short term exchange students </w:t>
      </w:r>
    </w:p>
    <w:p w14:paraId="5BFAF06A" w14:textId="77777777" w:rsidR="00E44CE1" w:rsidRPr="00393C71" w:rsidRDefault="00E44CE1" w:rsidP="00E44CE1">
      <w:pPr>
        <w:pStyle w:val="paragraph"/>
        <w:numPr>
          <w:ilvl w:val="0"/>
          <w:numId w:val="6"/>
        </w:numPr>
        <w:spacing w:line="276" w:lineRule="auto"/>
        <w:textAlignment w:val="baseline"/>
        <w:rPr>
          <w:rFonts w:ascii="Calibri" w:hAnsi="Calibri" w:cs="Calibri"/>
          <w:sz w:val="22"/>
          <w:szCs w:val="22"/>
        </w:rPr>
      </w:pPr>
      <w:r w:rsidRPr="00393C71">
        <w:rPr>
          <w:rFonts w:ascii="Calibri" w:hAnsi="Calibri" w:cs="Calibri"/>
          <w:sz w:val="22"/>
          <w:szCs w:val="22"/>
        </w:rPr>
        <w:t xml:space="preserve">Students awarded </w:t>
      </w:r>
      <w:hyperlink r:id="rId17" w:history="1">
        <w:r w:rsidRPr="00393C71">
          <w:rPr>
            <w:rStyle w:val="Hyperlink"/>
            <w:rFonts w:ascii="Calibri" w:hAnsi="Calibri" w:cs="Calibri"/>
            <w:sz w:val="22"/>
            <w:szCs w:val="22"/>
          </w:rPr>
          <w:t>scholarships</w:t>
        </w:r>
      </w:hyperlink>
      <w:r w:rsidRPr="00393C71">
        <w:rPr>
          <w:rFonts w:ascii="Calibri" w:hAnsi="Calibri" w:cs="Calibri"/>
          <w:sz w:val="22"/>
          <w:szCs w:val="22"/>
        </w:rPr>
        <w:t xml:space="preserve"> including from foreign governments, multilateral organisations and Australian governments</w:t>
      </w:r>
    </w:p>
    <w:p w14:paraId="44E602FA" w14:textId="77777777" w:rsidR="00E44CE1" w:rsidRPr="00393C71" w:rsidRDefault="00E44CE1" w:rsidP="00E44CE1">
      <w:pPr>
        <w:pStyle w:val="paragraph"/>
        <w:numPr>
          <w:ilvl w:val="0"/>
          <w:numId w:val="6"/>
        </w:numPr>
        <w:spacing w:line="276" w:lineRule="auto"/>
        <w:textAlignment w:val="baseline"/>
        <w:rPr>
          <w:rFonts w:ascii="Calibri" w:hAnsi="Calibri" w:cs="Calibri"/>
          <w:sz w:val="22"/>
          <w:szCs w:val="22"/>
        </w:rPr>
      </w:pPr>
      <w:r w:rsidRPr="00393C71">
        <w:rPr>
          <w:rFonts w:ascii="Calibri" w:hAnsi="Calibri" w:cs="Calibri"/>
          <w:sz w:val="22"/>
          <w:szCs w:val="22"/>
          <w:lang w:val="en-GB"/>
        </w:rPr>
        <w:t xml:space="preserve">Students that are part of an Australian </w:t>
      </w:r>
      <w:hyperlink r:id="rId18" w:history="1">
        <w:r w:rsidRPr="00393C71">
          <w:rPr>
            <w:rStyle w:val="Hyperlink"/>
            <w:rFonts w:ascii="Calibri" w:hAnsi="Calibri" w:cs="Calibri"/>
            <w:sz w:val="22"/>
            <w:szCs w:val="22"/>
            <w:lang w:val="en-GB"/>
          </w:rPr>
          <w:t>Transnational Education (TNE) arrangement</w:t>
        </w:r>
      </w:hyperlink>
    </w:p>
    <w:p w14:paraId="470CFCF3" w14:textId="77777777" w:rsidR="00E44CE1" w:rsidRPr="00393C71" w:rsidRDefault="00E44CE1" w:rsidP="00E44CE1">
      <w:pPr>
        <w:pStyle w:val="paragraph"/>
        <w:numPr>
          <w:ilvl w:val="0"/>
          <w:numId w:val="6"/>
        </w:numPr>
        <w:spacing w:after="0" w:line="276" w:lineRule="auto"/>
        <w:textAlignment w:val="baseline"/>
        <w:rPr>
          <w:rFonts w:ascii="Calibri" w:hAnsi="Calibri" w:cs="Calibri"/>
          <w:sz w:val="22"/>
          <w:szCs w:val="22"/>
        </w:rPr>
      </w:pPr>
      <w:r w:rsidRPr="00393C71">
        <w:rPr>
          <w:rFonts w:ascii="Calibri" w:hAnsi="Calibri" w:cs="Calibri"/>
          <w:sz w:val="22"/>
          <w:szCs w:val="22"/>
          <w:lang w:val="en-GB"/>
        </w:rPr>
        <w:t>Students from the Pacific and Timor Leste</w:t>
      </w:r>
    </w:p>
    <w:p w14:paraId="5850BEBB" w14:textId="77777777" w:rsidR="00E44CE1" w:rsidRPr="00393C71" w:rsidRDefault="00E44CE1" w:rsidP="00E44CE1">
      <w:pPr>
        <w:pStyle w:val="paragraph"/>
        <w:numPr>
          <w:ilvl w:val="0"/>
          <w:numId w:val="6"/>
        </w:numPr>
        <w:spacing w:after="0" w:line="276" w:lineRule="auto"/>
        <w:textAlignment w:val="baseline"/>
        <w:rPr>
          <w:rFonts w:ascii="Calibri" w:hAnsi="Calibri" w:cs="Calibri"/>
          <w:sz w:val="22"/>
          <w:szCs w:val="22"/>
        </w:rPr>
      </w:pPr>
      <w:r w:rsidRPr="00393C71">
        <w:rPr>
          <w:rFonts w:ascii="Calibri" w:hAnsi="Calibri" w:cs="Calibri"/>
          <w:sz w:val="22"/>
          <w:szCs w:val="22"/>
        </w:rPr>
        <w:t>Students in pilot training courses.</w:t>
      </w:r>
      <w:r w:rsidRPr="00393C71">
        <w:rPr>
          <w:rFonts w:ascii="Calibri" w:hAnsi="Calibri" w:cs="Calibri"/>
          <w:sz w:val="22"/>
          <w:szCs w:val="22"/>
          <w:lang w:val="en-GB"/>
        </w:rPr>
        <w:t> </w:t>
      </w:r>
      <w:r w:rsidRPr="00393C71">
        <w:rPr>
          <w:rFonts w:ascii="Calibri" w:hAnsi="Calibri" w:cs="Calibri"/>
          <w:sz w:val="22"/>
          <w:szCs w:val="22"/>
        </w:rPr>
        <w:t> </w:t>
      </w:r>
    </w:p>
    <w:p w14:paraId="5F195E0D" w14:textId="2060C3AA" w:rsidR="00D75ACF" w:rsidRPr="00C35D39" w:rsidRDefault="00E44CE1" w:rsidP="007C05C2">
      <w:pPr>
        <w:pStyle w:val="paragraph"/>
        <w:spacing w:before="0" w:beforeAutospacing="0" w:after="0" w:afterAutospacing="0" w:line="276" w:lineRule="auto"/>
        <w:textAlignment w:val="baseline"/>
        <w:rPr>
          <w:rFonts w:asciiTheme="majorHAnsi" w:eastAsiaTheme="majorEastAsia" w:hAnsiTheme="majorHAnsi" w:cstheme="majorBidi"/>
          <w:b/>
          <w:color w:val="004C6C" w:themeColor="background2"/>
          <w:sz w:val="22"/>
          <w:szCs w:val="22"/>
        </w:rPr>
      </w:pPr>
      <w:r w:rsidRPr="00C35D39">
        <w:rPr>
          <w:rFonts w:ascii="Calibri" w:hAnsi="Calibri" w:cs="Calibri"/>
          <w:sz w:val="22"/>
          <w:szCs w:val="22"/>
        </w:rPr>
        <w:t xml:space="preserve">Scholarship </w:t>
      </w:r>
      <w:r w:rsidR="007A2FE8">
        <w:rPr>
          <w:rFonts w:ascii="Calibri" w:hAnsi="Calibri" w:cs="Calibri"/>
          <w:sz w:val="22"/>
          <w:szCs w:val="22"/>
        </w:rPr>
        <w:t>holders</w:t>
      </w:r>
      <w:r>
        <w:rPr>
          <w:rFonts w:ascii="Calibri" w:hAnsi="Calibri" w:cs="Calibri"/>
          <w:sz w:val="22"/>
          <w:szCs w:val="22"/>
        </w:rPr>
        <w:t xml:space="preserve"> </w:t>
      </w:r>
      <w:r w:rsidRPr="00C35D39">
        <w:rPr>
          <w:rFonts w:ascii="Calibri" w:hAnsi="Calibri" w:cs="Calibri"/>
          <w:sz w:val="22"/>
          <w:szCs w:val="22"/>
        </w:rPr>
        <w:t>and transnational education arrangements (TNE) are currently manually collected from higher education providers</w:t>
      </w:r>
      <w:r w:rsidR="008A756E" w:rsidRPr="00C35D39">
        <w:rPr>
          <w:rFonts w:ascii="Calibri" w:hAnsi="Calibri" w:cs="Calibri"/>
          <w:sz w:val="22"/>
          <w:szCs w:val="22"/>
        </w:rPr>
        <w:t xml:space="preserve"> </w:t>
      </w:r>
      <w:r w:rsidRPr="00C35D39">
        <w:rPr>
          <w:rFonts w:ascii="Calibri" w:hAnsi="Calibri" w:cs="Calibri"/>
          <w:sz w:val="22"/>
          <w:szCs w:val="22"/>
        </w:rPr>
        <w:t>(and will also similarly be collected from VET providers) and uploaded into PRISMS</w:t>
      </w:r>
      <w:r w:rsidR="008A756E" w:rsidRPr="00C35D39">
        <w:rPr>
          <w:rFonts w:ascii="Calibri" w:hAnsi="Calibri" w:cs="Calibri"/>
          <w:sz w:val="22"/>
          <w:szCs w:val="22"/>
        </w:rPr>
        <w:t xml:space="preserve"> fortnightly</w:t>
      </w:r>
      <w:r w:rsidRPr="00C35D39">
        <w:rPr>
          <w:rFonts w:ascii="Calibri" w:hAnsi="Calibri" w:cs="Calibri"/>
          <w:sz w:val="22"/>
          <w:szCs w:val="22"/>
        </w:rPr>
        <w:t>. Instructions will be available on the Department of Education website (and linked to the Department of Employment and Workplace Relations website) from early 2025 on how to submit information on TNE students and scholarsh</w:t>
      </w:r>
      <w:r w:rsidR="00D75ACF" w:rsidRPr="00C35D39">
        <w:rPr>
          <w:rFonts w:ascii="Calibri" w:hAnsi="Calibri" w:cs="Calibri"/>
          <w:sz w:val="22"/>
          <w:szCs w:val="22"/>
        </w:rPr>
        <w:t>ip holders</w:t>
      </w:r>
      <w:r w:rsidR="00D173CC" w:rsidRPr="00C35D39">
        <w:rPr>
          <w:rFonts w:ascii="Calibri" w:eastAsiaTheme="majorEastAsia" w:hAnsi="Calibri" w:cs="Calibri"/>
          <w:sz w:val="22"/>
          <w:szCs w:val="22"/>
        </w:rPr>
        <w:t>.</w:t>
      </w:r>
      <w:r w:rsidR="00502FB2" w:rsidRPr="00C35D39">
        <w:rPr>
          <w:rFonts w:asciiTheme="majorHAnsi" w:eastAsiaTheme="majorEastAsia" w:hAnsiTheme="majorHAnsi" w:cstheme="majorBidi"/>
          <w:b/>
          <w:color w:val="004C6C" w:themeColor="background2"/>
          <w:sz w:val="22"/>
          <w:szCs w:val="22"/>
        </w:rPr>
        <w:t xml:space="preserve"> </w:t>
      </w:r>
    </w:p>
    <w:p w14:paraId="2D1AB8F3" w14:textId="77777777" w:rsidR="00D75ACF" w:rsidRPr="00C35D39" w:rsidRDefault="00D75ACF" w:rsidP="00CF7C72">
      <w:pPr>
        <w:spacing w:before="120" w:after="120" w:line="276" w:lineRule="auto"/>
        <w:rPr>
          <w:rFonts w:asciiTheme="majorHAnsi" w:eastAsiaTheme="majorEastAsia" w:hAnsiTheme="majorHAnsi" w:cstheme="majorBidi"/>
          <w:b/>
          <w:color w:val="004C6C" w:themeColor="background2"/>
        </w:rPr>
      </w:pPr>
    </w:p>
    <w:p w14:paraId="1F5D877B" w14:textId="77777777" w:rsidR="00B31100" w:rsidRDefault="00B31100">
      <w:pPr>
        <w:spacing w:after="160"/>
        <w:rPr>
          <w:rFonts w:asciiTheme="majorHAnsi" w:eastAsiaTheme="majorEastAsia" w:hAnsiTheme="majorHAnsi" w:cstheme="majorBidi"/>
          <w:b/>
          <w:color w:val="004C6C" w:themeColor="background2"/>
          <w:sz w:val="32"/>
          <w:szCs w:val="24"/>
        </w:rPr>
      </w:pPr>
      <w:r>
        <w:rPr>
          <w:rFonts w:asciiTheme="majorHAnsi" w:eastAsiaTheme="majorEastAsia" w:hAnsiTheme="majorHAnsi" w:cstheme="majorBidi"/>
          <w:b/>
          <w:color w:val="004C6C" w:themeColor="background2"/>
          <w:sz w:val="32"/>
          <w:szCs w:val="24"/>
        </w:rPr>
        <w:br w:type="page"/>
      </w:r>
    </w:p>
    <w:p w14:paraId="13879115" w14:textId="1E723B66" w:rsidR="00CF7C72" w:rsidRDefault="00CF7C72" w:rsidP="00CF7C72">
      <w:pPr>
        <w:spacing w:before="120" w:after="120" w:line="276" w:lineRule="auto"/>
        <w:rPr>
          <w:rFonts w:asciiTheme="majorHAnsi" w:eastAsiaTheme="majorEastAsia" w:hAnsiTheme="majorHAnsi" w:cstheme="majorBidi"/>
          <w:b/>
          <w:color w:val="004C6C" w:themeColor="background2"/>
          <w:sz w:val="32"/>
          <w:szCs w:val="24"/>
        </w:rPr>
      </w:pPr>
      <w:r w:rsidRPr="00607041">
        <w:rPr>
          <w:rFonts w:asciiTheme="majorHAnsi" w:eastAsiaTheme="majorEastAsia" w:hAnsiTheme="majorHAnsi" w:cstheme="majorBidi"/>
          <w:b/>
          <w:color w:val="004C6C" w:themeColor="background2"/>
          <w:sz w:val="32"/>
          <w:szCs w:val="24"/>
        </w:rPr>
        <w:lastRenderedPageBreak/>
        <w:t xml:space="preserve">New </w:t>
      </w:r>
      <w:r w:rsidRPr="00F46ED5">
        <w:rPr>
          <w:rFonts w:asciiTheme="majorHAnsi" w:eastAsiaTheme="majorEastAsia" w:hAnsiTheme="majorHAnsi" w:cstheme="majorBidi"/>
          <w:b/>
          <w:color w:val="004C6C" w:themeColor="background2"/>
          <w:sz w:val="32"/>
          <w:szCs w:val="24"/>
        </w:rPr>
        <w:t>Overseas Student Commencement (NOSC) Identification Export report</w:t>
      </w:r>
      <w:r w:rsidRPr="00607041">
        <w:rPr>
          <w:rFonts w:asciiTheme="majorHAnsi" w:eastAsiaTheme="majorEastAsia" w:hAnsiTheme="majorHAnsi" w:cstheme="majorBidi"/>
          <w:b/>
          <w:color w:val="004C6C" w:themeColor="background2"/>
          <w:sz w:val="32"/>
          <w:szCs w:val="24"/>
        </w:rPr>
        <w:t xml:space="preserve"> </w:t>
      </w:r>
    </w:p>
    <w:p w14:paraId="1863E08C" w14:textId="45B0A98E" w:rsidR="508F6CFC" w:rsidRDefault="004924A9" w:rsidP="0D055A2F">
      <w:pPr>
        <w:pStyle w:val="ListParagraph"/>
        <w:numPr>
          <w:ilvl w:val="0"/>
          <w:numId w:val="7"/>
        </w:numPr>
        <w:spacing w:before="120" w:after="120" w:line="276" w:lineRule="auto"/>
        <w:ind w:left="714" w:hanging="357"/>
      </w:pPr>
      <w:r>
        <w:t>The Summary tab now includes a</w:t>
      </w:r>
      <w:r w:rsidR="48D0E7CB">
        <w:t xml:space="preserve"> </w:t>
      </w:r>
      <w:r w:rsidR="007C447D">
        <w:t>p</w:t>
      </w:r>
      <w:r w:rsidR="48D0E7CB">
        <w:t>rovider</w:t>
      </w:r>
      <w:r w:rsidR="15BCB450">
        <w:t>’s</w:t>
      </w:r>
      <w:r w:rsidR="48D0E7CB">
        <w:t xml:space="preserve"> offshore visa processing </w:t>
      </w:r>
      <w:r w:rsidR="2D7017EF">
        <w:t>prioritisation</w:t>
      </w:r>
      <w:r w:rsidR="48D0E7CB">
        <w:t xml:space="preserve"> </w:t>
      </w:r>
      <w:r>
        <w:t xml:space="preserve">percentage and Priority Status </w:t>
      </w:r>
      <w:r w:rsidR="48D0E7CB">
        <w:t>under Ministerial Direction 111</w:t>
      </w:r>
      <w:r w:rsidR="508F6CFC">
        <w:t xml:space="preserve">. </w:t>
      </w:r>
    </w:p>
    <w:p w14:paraId="0D56ADCB" w14:textId="0AB7CDBA" w:rsidR="00595F84" w:rsidRDefault="00595F84" w:rsidP="00595F84">
      <w:pPr>
        <w:pStyle w:val="ListParagraph"/>
        <w:numPr>
          <w:ilvl w:val="0"/>
          <w:numId w:val="7"/>
        </w:numPr>
        <w:spacing w:before="120" w:after="120" w:line="276" w:lineRule="auto"/>
        <w:ind w:left="714" w:hanging="357"/>
      </w:pPr>
      <w:r>
        <w:t>Data in this report lists a provider’s approved Confirmation of Enrolments (CoE</w:t>
      </w:r>
      <w:r w:rsidR="007C447D">
        <w:t>s</w:t>
      </w:r>
      <w:r>
        <w:t>) for 2025.</w:t>
      </w:r>
    </w:p>
    <w:p w14:paraId="65CB5CDD" w14:textId="4BE89878" w:rsidR="00CF7C72" w:rsidRDefault="00CF7C72" w:rsidP="00CF7C72">
      <w:pPr>
        <w:pStyle w:val="ListParagraph"/>
        <w:numPr>
          <w:ilvl w:val="0"/>
          <w:numId w:val="7"/>
        </w:numPr>
        <w:spacing w:before="120" w:after="120" w:line="276" w:lineRule="auto"/>
        <w:ind w:left="714" w:hanging="357"/>
      </w:pPr>
      <w:r>
        <w:t xml:space="preserve">The </w:t>
      </w:r>
      <w:r w:rsidR="00852B11">
        <w:t xml:space="preserve">NOSC </w:t>
      </w:r>
      <w:r w:rsidR="0029350C">
        <w:t>Details tab</w:t>
      </w:r>
      <w:r>
        <w:t xml:space="preserve"> identifies which CoEs are defined as NOSCs for 2025</w:t>
      </w:r>
      <w:r w:rsidDel="00CF7C72">
        <w:t xml:space="preserve"> </w:t>
      </w:r>
      <w:r w:rsidR="7F3DEC69">
        <w:t xml:space="preserve">and </w:t>
      </w:r>
      <w:r w:rsidR="008778E6">
        <w:t>now identif</w:t>
      </w:r>
      <w:r w:rsidR="0029350C">
        <w:t xml:space="preserve">ies </w:t>
      </w:r>
      <w:r w:rsidR="7F3DEC69">
        <w:t xml:space="preserve">CoEs </w:t>
      </w:r>
      <w:r w:rsidR="5F956B6A">
        <w:t>counted towards the prioritisation</w:t>
      </w:r>
      <w:r w:rsidR="7F3DEC69">
        <w:t xml:space="preserve"> threshold calculation for the provider</w:t>
      </w:r>
      <w:r>
        <w:t xml:space="preserve">. </w:t>
      </w:r>
    </w:p>
    <w:p w14:paraId="45B684B8" w14:textId="0268404B" w:rsidR="00CF7C72" w:rsidRPr="00CB2D39" w:rsidRDefault="00CF7C72" w:rsidP="00CF7C72">
      <w:pPr>
        <w:pStyle w:val="ListParagraph"/>
        <w:numPr>
          <w:ilvl w:val="0"/>
          <w:numId w:val="7"/>
        </w:numPr>
        <w:spacing w:before="120" w:after="120" w:line="276" w:lineRule="auto"/>
        <w:ind w:left="714" w:hanging="357"/>
      </w:pPr>
      <w:r>
        <w:t xml:space="preserve">The report also identifies CoEs that are </w:t>
      </w:r>
      <w:r w:rsidRPr="005C4902">
        <w:rPr>
          <w:b/>
          <w:bCs/>
        </w:rPr>
        <w:t>exempt</w:t>
      </w:r>
      <w:r>
        <w:t xml:space="preserve"> from</w:t>
      </w:r>
      <w:r w:rsidR="00510D33">
        <w:t xml:space="preserve"> being deemed a</w:t>
      </w:r>
      <w:r>
        <w:t xml:space="preserve"> NOSC, and therefore are </w:t>
      </w:r>
      <w:r w:rsidRPr="005C4902">
        <w:rPr>
          <w:b/>
          <w:bCs/>
        </w:rPr>
        <w:t>not</w:t>
      </w:r>
      <w:r>
        <w:t xml:space="preserve"> counted </w:t>
      </w:r>
      <w:r w:rsidRPr="00CB2D39">
        <w:t xml:space="preserve">towards the </w:t>
      </w:r>
      <w:r>
        <w:t>p</w:t>
      </w:r>
      <w:r w:rsidRPr="00CB2D39">
        <w:t xml:space="preserve">rovider’s </w:t>
      </w:r>
      <w:r>
        <w:t xml:space="preserve">use of their indicative allocations </w:t>
      </w:r>
      <w:r w:rsidRPr="00CB2D39">
        <w:t xml:space="preserve">for 2025. </w:t>
      </w:r>
    </w:p>
    <w:p w14:paraId="060E590B" w14:textId="00A91968" w:rsidR="00CF7C72" w:rsidRPr="008D18CF" w:rsidRDefault="00CF7C72" w:rsidP="00CF7C72">
      <w:pPr>
        <w:pStyle w:val="ListParagraph"/>
        <w:numPr>
          <w:ilvl w:val="0"/>
          <w:numId w:val="7"/>
        </w:numPr>
        <w:spacing w:before="120" w:after="120" w:line="276" w:lineRule="auto"/>
        <w:ind w:left="714" w:hanging="357"/>
      </w:pPr>
      <w:r w:rsidRPr="008D18CF">
        <w:t xml:space="preserve">For each CoE listed, the report identifies student information, if it is counted as a NOSC, or if it is exempt and not counted as a NOSC including the exemption reason. However, the data contained in this report is </w:t>
      </w:r>
      <w:r w:rsidRPr="008D18CF">
        <w:rPr>
          <w:b/>
          <w:bCs/>
        </w:rPr>
        <w:t>indicative only</w:t>
      </w:r>
      <w:r w:rsidRPr="008D18CF">
        <w:t xml:space="preserve"> as it may not contain all </w:t>
      </w:r>
      <w:proofErr w:type="gramStart"/>
      <w:r w:rsidRPr="008D18CF">
        <w:t>up to date</w:t>
      </w:r>
      <w:proofErr w:type="gramEnd"/>
      <w:r w:rsidRPr="008D18CF">
        <w:t xml:space="preserve"> exemptions, such as for foreign government scholarship and transnational education program arrangements, which are currently collected manually from providers.</w:t>
      </w:r>
    </w:p>
    <w:p w14:paraId="6F7AB86F" w14:textId="77777777" w:rsidR="00CF7C72" w:rsidRPr="001C17FD" w:rsidRDefault="00CF7C72" w:rsidP="00CF7C72">
      <w:pPr>
        <w:pStyle w:val="Heading5"/>
        <w:spacing w:before="120" w:after="120" w:line="276" w:lineRule="auto"/>
        <w:rPr>
          <w:sz w:val="10"/>
          <w:szCs w:val="6"/>
        </w:rPr>
      </w:pPr>
    </w:p>
    <w:p w14:paraId="5202786E" w14:textId="77777777" w:rsidR="00CF7C72" w:rsidRDefault="00CF7C72" w:rsidP="00CF7C72">
      <w:pPr>
        <w:pStyle w:val="Heading5"/>
        <w:spacing w:before="120" w:after="120" w:line="276" w:lineRule="auto"/>
      </w:pPr>
      <w:r>
        <w:t>How do I access the report?</w:t>
      </w:r>
    </w:p>
    <w:p w14:paraId="43D2E269" w14:textId="77777777" w:rsidR="00CF7C72" w:rsidRPr="00152CF5" w:rsidRDefault="00CF7C72" w:rsidP="00CF7C72">
      <w:pPr>
        <w:pStyle w:val="Heading2"/>
        <w:numPr>
          <w:ilvl w:val="0"/>
          <w:numId w:val="13"/>
        </w:numPr>
        <w:spacing w:before="120" w:after="120" w:line="276" w:lineRule="auto"/>
        <w:rPr>
          <w:rFonts w:asciiTheme="minorHAnsi" w:eastAsiaTheme="minorHAnsi" w:hAnsiTheme="minorHAnsi" w:cstheme="minorBidi"/>
          <w:b w:val="0"/>
          <w:color w:val="auto"/>
          <w:sz w:val="22"/>
          <w:szCs w:val="22"/>
        </w:rPr>
      </w:pPr>
      <w:r w:rsidRPr="00152CF5">
        <w:rPr>
          <w:rFonts w:asciiTheme="minorHAnsi" w:eastAsiaTheme="minorHAnsi" w:hAnsiTheme="minorHAnsi" w:cstheme="minorBidi"/>
          <w:b w:val="0"/>
          <w:color w:val="auto"/>
          <w:sz w:val="22"/>
          <w:szCs w:val="22"/>
        </w:rPr>
        <w:t xml:space="preserve">Navigate to the left-hand menu, and select ‘Reports’ </w:t>
      </w:r>
    </w:p>
    <w:p w14:paraId="0C44B6CE" w14:textId="77777777" w:rsidR="00CF7C72" w:rsidRPr="00152CF5" w:rsidRDefault="00CF7C72" w:rsidP="00CF7C72">
      <w:pPr>
        <w:pStyle w:val="Heading2"/>
        <w:numPr>
          <w:ilvl w:val="0"/>
          <w:numId w:val="13"/>
        </w:numPr>
        <w:spacing w:before="120" w:after="120" w:line="276" w:lineRule="auto"/>
        <w:rPr>
          <w:rFonts w:asciiTheme="minorHAnsi" w:eastAsiaTheme="minorHAnsi" w:hAnsiTheme="minorHAnsi" w:cstheme="minorBidi"/>
          <w:b w:val="0"/>
          <w:color w:val="auto"/>
          <w:sz w:val="22"/>
          <w:szCs w:val="22"/>
        </w:rPr>
      </w:pPr>
      <w:r w:rsidRPr="00152CF5">
        <w:rPr>
          <w:rFonts w:asciiTheme="minorHAnsi" w:eastAsiaTheme="minorHAnsi" w:hAnsiTheme="minorHAnsi" w:cstheme="minorBidi"/>
          <w:b w:val="0"/>
          <w:color w:val="auto"/>
          <w:sz w:val="22"/>
          <w:szCs w:val="22"/>
        </w:rPr>
        <w:t>The list of available Exports and Reports will be displayed</w:t>
      </w:r>
    </w:p>
    <w:p w14:paraId="4325BC73" w14:textId="77777777" w:rsidR="00CF7C72" w:rsidRPr="00152CF5" w:rsidRDefault="00CF7C72" w:rsidP="00CF7C72">
      <w:pPr>
        <w:pStyle w:val="Heading2"/>
        <w:numPr>
          <w:ilvl w:val="0"/>
          <w:numId w:val="13"/>
        </w:numPr>
        <w:spacing w:before="120" w:after="120" w:line="276" w:lineRule="auto"/>
        <w:rPr>
          <w:rFonts w:asciiTheme="minorHAnsi" w:eastAsiaTheme="minorHAnsi" w:hAnsiTheme="minorHAnsi" w:cstheme="minorBidi"/>
          <w:b w:val="0"/>
          <w:color w:val="auto"/>
          <w:sz w:val="22"/>
          <w:szCs w:val="22"/>
        </w:rPr>
      </w:pPr>
      <w:r w:rsidRPr="00152CF5">
        <w:rPr>
          <w:rFonts w:asciiTheme="minorHAnsi" w:eastAsiaTheme="minorHAnsi" w:hAnsiTheme="minorHAnsi" w:cstheme="minorBidi"/>
          <w:b w:val="0"/>
          <w:color w:val="auto"/>
          <w:sz w:val="22"/>
          <w:szCs w:val="22"/>
        </w:rPr>
        <w:t>Under the ‘Data Exports’ folder, scroll down and select the ‘New Overseas Student Commencement (NOSC) Identification Export’ report</w:t>
      </w:r>
    </w:p>
    <w:p w14:paraId="19BB69C9" w14:textId="77777777" w:rsidR="00CF7C72" w:rsidRDefault="00CF7C72" w:rsidP="00CF7C72">
      <w:pPr>
        <w:pStyle w:val="Heading2"/>
        <w:numPr>
          <w:ilvl w:val="0"/>
          <w:numId w:val="13"/>
        </w:numPr>
        <w:spacing w:before="120" w:after="120" w:line="276" w:lineRule="auto"/>
        <w:rPr>
          <w:rFonts w:asciiTheme="minorHAnsi" w:eastAsiaTheme="minorHAnsi" w:hAnsiTheme="minorHAnsi" w:cstheme="minorBidi"/>
          <w:b w:val="0"/>
          <w:color w:val="auto"/>
          <w:sz w:val="22"/>
          <w:szCs w:val="22"/>
        </w:rPr>
      </w:pPr>
      <w:r w:rsidRPr="00A33D9A">
        <w:rPr>
          <w:rFonts w:asciiTheme="minorHAnsi" w:eastAsiaTheme="minorHAnsi" w:hAnsiTheme="minorHAnsi" w:cstheme="minorBidi"/>
          <w:b w:val="0"/>
          <w:color w:val="auto"/>
          <w:sz w:val="22"/>
          <w:szCs w:val="22"/>
        </w:rPr>
        <w:t xml:space="preserve">Once the </w:t>
      </w:r>
      <w:r w:rsidRPr="007E03B6">
        <w:rPr>
          <w:rFonts w:asciiTheme="minorHAnsi" w:eastAsiaTheme="minorHAnsi" w:hAnsiTheme="minorHAnsi" w:cstheme="minorBidi"/>
          <w:bCs/>
          <w:color w:val="auto"/>
          <w:sz w:val="22"/>
          <w:szCs w:val="22"/>
        </w:rPr>
        <w:t>NOSC Identification Export report</w:t>
      </w:r>
      <w:r w:rsidRPr="00A33D9A">
        <w:rPr>
          <w:rFonts w:asciiTheme="minorHAnsi" w:eastAsiaTheme="minorHAnsi" w:hAnsiTheme="minorHAnsi" w:cstheme="minorBidi"/>
          <w:b w:val="0"/>
          <w:color w:val="auto"/>
          <w:sz w:val="22"/>
          <w:szCs w:val="22"/>
        </w:rPr>
        <w:t xml:space="preserve"> is selected, details </w:t>
      </w:r>
      <w:r>
        <w:rPr>
          <w:rFonts w:asciiTheme="minorHAnsi" w:eastAsiaTheme="minorHAnsi" w:hAnsiTheme="minorHAnsi" w:cstheme="minorBidi"/>
          <w:b w:val="0"/>
          <w:color w:val="auto"/>
          <w:sz w:val="22"/>
          <w:szCs w:val="22"/>
        </w:rPr>
        <w:t xml:space="preserve">about the report </w:t>
      </w:r>
      <w:r w:rsidRPr="00A33D9A">
        <w:rPr>
          <w:rFonts w:asciiTheme="minorHAnsi" w:eastAsiaTheme="minorHAnsi" w:hAnsiTheme="minorHAnsi" w:cstheme="minorBidi"/>
          <w:b w:val="0"/>
          <w:color w:val="auto"/>
          <w:sz w:val="22"/>
          <w:szCs w:val="22"/>
        </w:rPr>
        <w:t xml:space="preserve">will display in the </w:t>
      </w:r>
      <w:r>
        <w:rPr>
          <w:rFonts w:asciiTheme="minorHAnsi" w:eastAsiaTheme="minorHAnsi" w:hAnsiTheme="minorHAnsi" w:cstheme="minorBidi"/>
          <w:b w:val="0"/>
          <w:color w:val="auto"/>
          <w:sz w:val="22"/>
          <w:szCs w:val="22"/>
        </w:rPr>
        <w:t xml:space="preserve">section to the left of the ‘Select a report’ section. </w:t>
      </w:r>
    </w:p>
    <w:p w14:paraId="45D60DF9" w14:textId="77777777" w:rsidR="00CF7C72" w:rsidRDefault="00CF7C72" w:rsidP="00CF7C72">
      <w:pPr>
        <w:pStyle w:val="Heading2"/>
        <w:numPr>
          <w:ilvl w:val="0"/>
          <w:numId w:val="13"/>
        </w:numPr>
        <w:spacing w:before="120" w:after="120" w:line="276" w:lineRule="auto"/>
        <w:rPr>
          <w:rFonts w:asciiTheme="minorHAnsi" w:eastAsiaTheme="minorHAnsi" w:hAnsiTheme="minorHAnsi" w:cstheme="minorBidi"/>
          <w:b w:val="0"/>
          <w:color w:val="auto"/>
          <w:sz w:val="22"/>
          <w:szCs w:val="22"/>
        </w:rPr>
      </w:pPr>
      <w:r>
        <w:rPr>
          <w:rFonts w:asciiTheme="minorHAnsi" w:eastAsiaTheme="minorHAnsi" w:hAnsiTheme="minorHAnsi" w:cstheme="minorBidi"/>
          <w:b w:val="0"/>
          <w:color w:val="auto"/>
          <w:sz w:val="22"/>
          <w:szCs w:val="22"/>
        </w:rPr>
        <w:t>Select ‘</w:t>
      </w:r>
      <w:r w:rsidRPr="007E03B6">
        <w:rPr>
          <w:rFonts w:asciiTheme="minorHAnsi" w:eastAsiaTheme="minorHAnsi" w:hAnsiTheme="minorHAnsi" w:cstheme="minorBidi"/>
          <w:bCs/>
          <w:color w:val="auto"/>
          <w:sz w:val="22"/>
          <w:szCs w:val="22"/>
        </w:rPr>
        <w:t>Generate Report</w:t>
      </w:r>
      <w:r>
        <w:rPr>
          <w:rFonts w:asciiTheme="minorHAnsi" w:eastAsiaTheme="minorHAnsi" w:hAnsiTheme="minorHAnsi" w:cstheme="minorBidi"/>
          <w:b w:val="0"/>
          <w:color w:val="auto"/>
          <w:sz w:val="22"/>
          <w:szCs w:val="22"/>
        </w:rPr>
        <w:t>’ to create a full downloadable Microsoft Excel copy of the report. The ‘</w:t>
      </w:r>
      <w:r w:rsidRPr="007E03B6">
        <w:rPr>
          <w:rFonts w:asciiTheme="minorHAnsi" w:eastAsiaTheme="minorHAnsi" w:hAnsiTheme="minorHAnsi" w:cstheme="minorBidi"/>
          <w:bCs/>
          <w:color w:val="auto"/>
          <w:sz w:val="22"/>
          <w:szCs w:val="22"/>
        </w:rPr>
        <w:t>Generate Comma-Separated</w:t>
      </w:r>
      <w:r>
        <w:rPr>
          <w:rFonts w:asciiTheme="minorHAnsi" w:eastAsiaTheme="minorHAnsi" w:hAnsiTheme="minorHAnsi" w:cstheme="minorBidi"/>
          <w:b w:val="0"/>
          <w:color w:val="auto"/>
          <w:sz w:val="22"/>
          <w:szCs w:val="22"/>
        </w:rPr>
        <w:t xml:space="preserve">’ to create a partial downloadable CSV version of the file. </w:t>
      </w:r>
    </w:p>
    <w:p w14:paraId="3FE2EE03" w14:textId="77777777" w:rsidR="00CF7C72" w:rsidRPr="00BB562E" w:rsidRDefault="00CF7C72" w:rsidP="00167597">
      <w:pPr>
        <w:spacing w:before="120" w:after="120" w:line="276" w:lineRule="auto"/>
        <w:ind w:left="720"/>
      </w:pPr>
      <w:r w:rsidRPr="007E03B6">
        <w:rPr>
          <w:i/>
          <w:iCs/>
        </w:rPr>
        <w:t>Please note</w:t>
      </w:r>
      <w:r>
        <w:t xml:space="preserve"> - t</w:t>
      </w:r>
      <w:r w:rsidRPr="00742E54">
        <w:t>he difference between the Excel and Comma-Separated (CSV) files is that the Excel file include</w:t>
      </w:r>
      <w:r w:rsidRPr="00581585">
        <w:t>s</w:t>
      </w:r>
      <w:r w:rsidRPr="00742E54">
        <w:t xml:space="preserve"> </w:t>
      </w:r>
      <w:r>
        <w:t xml:space="preserve">three </w:t>
      </w:r>
      <w:proofErr w:type="gramStart"/>
      <w:r>
        <w:t>tabs</w:t>
      </w:r>
      <w:proofErr w:type="gramEnd"/>
      <w:r>
        <w:t xml:space="preserve"> and the CSV file only includes one. The Excel file has the ‘Purpose Statement’ which is </w:t>
      </w:r>
      <w:r w:rsidRPr="00742E54">
        <w:t xml:space="preserve">a cover sheet with explanatory information about the report, </w:t>
      </w:r>
      <w:r>
        <w:t>the ‘Summary’, which includes provider indicative allocation information</w:t>
      </w:r>
      <w:r w:rsidRPr="00742E54">
        <w:t xml:space="preserve">, and the </w:t>
      </w:r>
      <w:r>
        <w:t xml:space="preserve">‘NOSC Details’ which is the </w:t>
      </w:r>
      <w:r w:rsidRPr="00742E54">
        <w:t xml:space="preserve">report </w:t>
      </w:r>
      <w:r>
        <w:t xml:space="preserve">containing all </w:t>
      </w:r>
      <w:r w:rsidRPr="00742E54">
        <w:t>CoEs</w:t>
      </w:r>
      <w:r>
        <w:t xml:space="preserve"> and detail on the NOSC status</w:t>
      </w:r>
      <w:r w:rsidRPr="00742E54">
        <w:t xml:space="preserve">. The Comma-Separated (CSV) file only has </w:t>
      </w:r>
      <w:r>
        <w:t>the ‘NOSC Details’</w:t>
      </w:r>
      <w:r w:rsidRPr="00742E54">
        <w:t xml:space="preserve"> of the </w:t>
      </w:r>
      <w:r w:rsidRPr="00BB562E">
        <w:t>report.</w:t>
      </w:r>
    </w:p>
    <w:p w14:paraId="57D1C0FA" w14:textId="77777777" w:rsidR="00654019" w:rsidRDefault="00654019" w:rsidP="00654019">
      <w:pPr>
        <w:spacing w:after="120" w:line="276" w:lineRule="auto"/>
      </w:pPr>
    </w:p>
    <w:p w14:paraId="24E51DB4" w14:textId="77777777" w:rsidR="00654019" w:rsidRDefault="00654019" w:rsidP="00654019">
      <w:pPr>
        <w:spacing w:after="120" w:line="276" w:lineRule="auto"/>
        <w:sectPr w:rsidR="00654019" w:rsidSect="000D24CA">
          <w:footerReference w:type="default" r:id="rId19"/>
          <w:footerReference w:type="first" r:id="rId20"/>
          <w:pgSz w:w="11906" w:h="16838"/>
          <w:pgMar w:top="1223" w:right="1440" w:bottom="1440" w:left="1440" w:header="709" w:footer="709" w:gutter="0"/>
          <w:cols w:space="708"/>
          <w:docGrid w:linePitch="360"/>
        </w:sectPr>
      </w:pPr>
    </w:p>
    <w:p w14:paraId="04B13592" w14:textId="361B4745" w:rsidR="00654019" w:rsidRDefault="009663E9" w:rsidP="00654019">
      <w:pPr>
        <w:spacing w:after="120" w:line="276" w:lineRule="auto"/>
        <w:rPr>
          <w:rStyle w:val="Heading3Char"/>
        </w:rPr>
      </w:pPr>
      <w:r w:rsidRPr="00C35D39">
        <w:rPr>
          <w:rStyle w:val="Heading3Char"/>
        </w:rPr>
        <w:lastRenderedPageBreak/>
        <w:t>How to access the New Overseas Student Commencement (NOSC) Identification Export report from PRISMS:</w:t>
      </w:r>
    </w:p>
    <w:p w14:paraId="3067EC68" w14:textId="56936B0F" w:rsidR="00FA7890" w:rsidRPr="00C35D39" w:rsidRDefault="00DF05CB" w:rsidP="00654019">
      <w:pPr>
        <w:spacing w:after="120" w:line="276" w:lineRule="auto"/>
        <w:rPr>
          <w:rStyle w:val="Heading3Char"/>
        </w:rPr>
      </w:pPr>
      <w:r>
        <w:rPr>
          <w:rStyle w:val="Heading3Char"/>
          <w:noProof/>
        </w:rPr>
        <w:drawing>
          <wp:inline distT="0" distB="0" distL="0" distR="0" wp14:anchorId="51C7EF54" wp14:editId="226224CB">
            <wp:extent cx="6125441" cy="2667991"/>
            <wp:effectExtent l="0" t="0" r="8890" b="0"/>
            <wp:docPr id="1053029512" name="Picture 1" descr="The image highlights the &quot;location&quot; of the New Overseas Student Commencement (NOSC) Identification Export report in the PRISMS Reports listing and the &quot;button&quot; to generate the repor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029512" name="Picture 1" descr="The image highlights the &quot;location&quot; of the New Overseas Student Commencement (NOSC) Identification Export report in the PRISMS Reports listing and the &quot;button&quot; to generate the report. "/>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141119" cy="2674820"/>
                    </a:xfrm>
                    <a:prstGeom prst="rect">
                      <a:avLst/>
                    </a:prstGeom>
                    <a:noFill/>
                    <a:ln>
                      <a:noFill/>
                    </a:ln>
                  </pic:spPr>
                </pic:pic>
              </a:graphicData>
            </a:graphic>
          </wp:inline>
        </w:drawing>
      </w:r>
    </w:p>
    <w:p w14:paraId="2934E06B" w14:textId="640CB7D9" w:rsidR="0000214A" w:rsidRPr="00C35D39" w:rsidRDefault="0000214A" w:rsidP="0000214A">
      <w:pPr>
        <w:pStyle w:val="Caption"/>
        <w:rPr>
          <w:color w:val="auto"/>
          <w:sz w:val="16"/>
          <w:szCs w:val="16"/>
        </w:rPr>
      </w:pPr>
      <w:r w:rsidRPr="00C35D39">
        <w:rPr>
          <w:color w:val="auto"/>
          <w:sz w:val="16"/>
          <w:szCs w:val="12"/>
        </w:rPr>
        <w:t xml:space="preserve">Figure </w:t>
      </w:r>
      <w:r w:rsidRPr="00C35D39">
        <w:rPr>
          <w:color w:val="auto"/>
          <w:sz w:val="16"/>
          <w:szCs w:val="12"/>
        </w:rPr>
        <w:fldChar w:fldCharType="begin"/>
      </w:r>
      <w:r w:rsidRPr="00C35D39">
        <w:rPr>
          <w:color w:val="auto"/>
          <w:sz w:val="16"/>
          <w:szCs w:val="12"/>
        </w:rPr>
        <w:instrText xml:space="preserve"> SEQ Figure \* ARABIC </w:instrText>
      </w:r>
      <w:r w:rsidRPr="00C35D39">
        <w:rPr>
          <w:color w:val="auto"/>
          <w:sz w:val="16"/>
          <w:szCs w:val="12"/>
        </w:rPr>
        <w:fldChar w:fldCharType="separate"/>
      </w:r>
      <w:r w:rsidR="00C208D9">
        <w:rPr>
          <w:noProof/>
          <w:color w:val="auto"/>
          <w:sz w:val="16"/>
          <w:szCs w:val="12"/>
        </w:rPr>
        <w:t>1</w:t>
      </w:r>
      <w:r w:rsidRPr="00C35D39">
        <w:rPr>
          <w:color w:val="auto"/>
          <w:sz w:val="16"/>
          <w:szCs w:val="12"/>
        </w:rPr>
        <w:fldChar w:fldCharType="end"/>
      </w:r>
      <w:r w:rsidRPr="00C35D39">
        <w:rPr>
          <w:color w:val="auto"/>
          <w:sz w:val="16"/>
          <w:szCs w:val="12"/>
        </w:rPr>
        <w:t>. Generate NOSC Identification Export Report</w:t>
      </w:r>
    </w:p>
    <w:p w14:paraId="714C88F7" w14:textId="77777777" w:rsidR="00654019" w:rsidRDefault="00654019" w:rsidP="00654019">
      <w:pPr>
        <w:pStyle w:val="Heading5"/>
      </w:pPr>
    </w:p>
    <w:p w14:paraId="35396F30" w14:textId="77777777" w:rsidR="00CF502A" w:rsidRDefault="00CF502A" w:rsidP="00F231A0">
      <w:pPr>
        <w:spacing w:after="120" w:line="276" w:lineRule="auto"/>
        <w:rPr>
          <w:rStyle w:val="Heading3Char"/>
          <w:bCs/>
        </w:rPr>
      </w:pPr>
    </w:p>
    <w:p w14:paraId="01EB3A2C" w14:textId="3BF83853" w:rsidR="00724BF5" w:rsidRDefault="00FA3BF1" w:rsidP="00F231A0">
      <w:pPr>
        <w:spacing w:after="120" w:line="276" w:lineRule="auto"/>
      </w:pPr>
      <w:r>
        <w:rPr>
          <w:rStyle w:val="Heading3Char"/>
          <w:bCs/>
        </w:rPr>
        <w:t xml:space="preserve">Key data points </w:t>
      </w:r>
      <w:r w:rsidR="008D700E">
        <w:rPr>
          <w:rStyle w:val="Heading3Char"/>
          <w:bCs/>
        </w:rPr>
        <w:t xml:space="preserve">relating to MD111 </w:t>
      </w:r>
      <w:r>
        <w:rPr>
          <w:rStyle w:val="Heading3Char"/>
          <w:bCs/>
        </w:rPr>
        <w:t xml:space="preserve">in the </w:t>
      </w:r>
      <w:r w:rsidR="00F231A0">
        <w:rPr>
          <w:rStyle w:val="Heading3Char"/>
          <w:bCs/>
        </w:rPr>
        <w:t>NOSC Identification Export report</w:t>
      </w:r>
    </w:p>
    <w:p w14:paraId="4101AB64" w14:textId="40B084D0" w:rsidR="00D8157D" w:rsidRDefault="000A75FE" w:rsidP="00724BF5">
      <w:r w:rsidRPr="000A75FE">
        <w:rPr>
          <w:noProof/>
        </w:rPr>
        <w:drawing>
          <wp:inline distT="0" distB="0" distL="0" distR="0" wp14:anchorId="57A120CA" wp14:editId="1B1F2DB7">
            <wp:extent cx="5731510" cy="778510"/>
            <wp:effectExtent l="19050" t="19050" r="21590" b="21590"/>
            <wp:docPr id="105165963" name="Picture 1" descr="The image highlights Prioritisation Percentage on summary tab and provides information about Prioritisation categor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65963" name="Picture 1" descr="The image highlights Prioritisation Percentage on summary tab and provides information about Prioritisation category. "/>
                    <pic:cNvPicPr/>
                  </pic:nvPicPr>
                  <pic:blipFill>
                    <a:blip r:embed="rId22"/>
                    <a:stretch>
                      <a:fillRect/>
                    </a:stretch>
                  </pic:blipFill>
                  <pic:spPr>
                    <a:xfrm>
                      <a:off x="0" y="0"/>
                      <a:ext cx="5731510" cy="778510"/>
                    </a:xfrm>
                    <a:prstGeom prst="rect">
                      <a:avLst/>
                    </a:prstGeom>
                    <a:ln>
                      <a:solidFill>
                        <a:schemeClr val="tx1"/>
                      </a:solidFill>
                    </a:ln>
                  </pic:spPr>
                </pic:pic>
              </a:graphicData>
            </a:graphic>
          </wp:inline>
        </w:drawing>
      </w:r>
    </w:p>
    <w:p w14:paraId="0ED077A6" w14:textId="785EC5A0" w:rsidR="00FF6BB4" w:rsidRPr="00C35D39" w:rsidRDefault="00EC1F9A" w:rsidP="00F94D57">
      <w:pPr>
        <w:pStyle w:val="Caption"/>
        <w:rPr>
          <w:sz w:val="16"/>
          <w:szCs w:val="12"/>
        </w:rPr>
      </w:pPr>
      <w:r w:rsidRPr="00C35D39">
        <w:rPr>
          <w:bCs/>
          <w:iCs w:val="0"/>
          <w:sz w:val="16"/>
          <w:szCs w:val="12"/>
        </w:rPr>
        <w:t xml:space="preserve">Figure 2. </w:t>
      </w:r>
      <w:r w:rsidR="004C482E" w:rsidRPr="00C35D39">
        <w:rPr>
          <w:bCs/>
          <w:iCs w:val="0"/>
          <w:sz w:val="16"/>
          <w:szCs w:val="12"/>
        </w:rPr>
        <w:t>Summary tab</w:t>
      </w:r>
      <w:r w:rsidR="001B6FEB">
        <w:rPr>
          <w:bCs/>
          <w:iCs w:val="0"/>
          <w:sz w:val="16"/>
          <w:szCs w:val="12"/>
        </w:rPr>
        <w:t xml:space="preserve"> now provides </w:t>
      </w:r>
      <w:r w:rsidR="0054751D" w:rsidRPr="00C35D39">
        <w:rPr>
          <w:bCs/>
          <w:iCs w:val="0"/>
          <w:sz w:val="16"/>
          <w:szCs w:val="12"/>
        </w:rPr>
        <w:t>P</w:t>
      </w:r>
      <w:r w:rsidR="006135D1" w:rsidRPr="00C35D39">
        <w:rPr>
          <w:bCs/>
          <w:iCs w:val="0"/>
          <w:sz w:val="16"/>
          <w:szCs w:val="12"/>
        </w:rPr>
        <w:t xml:space="preserve">rioritisation </w:t>
      </w:r>
      <w:r w:rsidR="00F32419" w:rsidRPr="00C35D39">
        <w:rPr>
          <w:bCs/>
          <w:iCs w:val="0"/>
          <w:sz w:val="16"/>
          <w:szCs w:val="12"/>
        </w:rPr>
        <w:t>Percenta</w:t>
      </w:r>
      <w:r w:rsidR="00F94D57" w:rsidRPr="00C35D39">
        <w:rPr>
          <w:bCs/>
          <w:iCs w:val="0"/>
          <w:sz w:val="16"/>
          <w:szCs w:val="12"/>
        </w:rPr>
        <w:t xml:space="preserve">ge and Priority </w:t>
      </w:r>
      <w:r w:rsidR="006135D1" w:rsidRPr="00C35D39">
        <w:rPr>
          <w:bCs/>
          <w:iCs w:val="0"/>
          <w:sz w:val="16"/>
          <w:szCs w:val="12"/>
        </w:rPr>
        <w:t>Category</w:t>
      </w:r>
    </w:p>
    <w:p w14:paraId="2DD16A68" w14:textId="77777777" w:rsidR="004A36DF" w:rsidRDefault="004A36DF" w:rsidP="00FF6BB4"/>
    <w:p w14:paraId="7F4C42E2" w14:textId="3B23BF4C" w:rsidR="008D523F" w:rsidRDefault="00F231A0" w:rsidP="00FF6BB4">
      <w:r>
        <w:t xml:space="preserve">Select </w:t>
      </w:r>
      <w:r w:rsidR="00AE780E">
        <w:t>the S</w:t>
      </w:r>
      <w:r>
        <w:t xml:space="preserve">ummary tab to view </w:t>
      </w:r>
      <w:r w:rsidR="008D523F">
        <w:t xml:space="preserve">the </w:t>
      </w:r>
      <w:r w:rsidR="004412A1">
        <w:t>‘</w:t>
      </w:r>
      <w:r w:rsidR="00FF6BB4" w:rsidRPr="00727065">
        <w:t>Prioritisation Percentage</w:t>
      </w:r>
      <w:r w:rsidR="004412A1">
        <w:t>’</w:t>
      </w:r>
      <w:r w:rsidR="00FF6BB4">
        <w:t xml:space="preserve"> and </w:t>
      </w:r>
      <w:r w:rsidR="004412A1">
        <w:t>‘</w:t>
      </w:r>
      <w:r w:rsidR="00FF6BB4" w:rsidRPr="00727065">
        <w:t>Offshore Visa Processing Prioritisation Category</w:t>
      </w:r>
      <w:r w:rsidR="004412A1">
        <w:t>’</w:t>
      </w:r>
      <w:r w:rsidR="00FF6BB4">
        <w:t xml:space="preserve"> for the provider</w:t>
      </w:r>
      <w:r w:rsidR="00BB0F10">
        <w:t xml:space="preserve"> (see yellow shaded cells)</w:t>
      </w:r>
      <w:r w:rsidR="00FF6BB4">
        <w:t>.</w:t>
      </w:r>
      <w:r w:rsidR="00045BC8">
        <w:t xml:space="preserve"> </w:t>
      </w:r>
    </w:p>
    <w:p w14:paraId="1F69EC00" w14:textId="4814E393" w:rsidR="00FF6BB4" w:rsidRDefault="00045BC8" w:rsidP="00FF6BB4">
      <w:r w:rsidRPr="00B438E1">
        <w:t xml:space="preserve">The </w:t>
      </w:r>
      <w:r w:rsidR="004051F7" w:rsidRPr="00B438E1">
        <w:t>‘</w:t>
      </w:r>
      <w:r w:rsidR="00D9651C" w:rsidRPr="00B438E1">
        <w:t>P</w:t>
      </w:r>
      <w:r w:rsidR="003F2CF0" w:rsidRPr="00B438E1">
        <w:t xml:space="preserve">rioritisation </w:t>
      </w:r>
      <w:r w:rsidR="00D9651C" w:rsidRPr="00B438E1">
        <w:t>P</w:t>
      </w:r>
      <w:r w:rsidR="00DD29F8" w:rsidRPr="00B438E1">
        <w:t>ercentage</w:t>
      </w:r>
      <w:r w:rsidR="004051F7" w:rsidRPr="00B438E1">
        <w:t>’</w:t>
      </w:r>
      <w:r w:rsidR="00DD29F8" w:rsidRPr="00B438E1">
        <w:t xml:space="preserve"> is calculated </w:t>
      </w:r>
      <w:r w:rsidR="0059767E" w:rsidRPr="00B438E1">
        <w:t xml:space="preserve">by </w:t>
      </w:r>
      <w:r w:rsidR="00490D3E" w:rsidRPr="00B438E1">
        <w:t>identifying</w:t>
      </w:r>
      <w:r w:rsidR="0059767E" w:rsidRPr="00B438E1">
        <w:t xml:space="preserve"> the </w:t>
      </w:r>
      <w:r w:rsidR="00E36F9F" w:rsidRPr="00B438E1">
        <w:t xml:space="preserve">CoEs identified </w:t>
      </w:r>
      <w:r w:rsidR="006828A7" w:rsidRPr="00B438E1">
        <w:t xml:space="preserve">as </w:t>
      </w:r>
      <w:r w:rsidR="009F2757" w:rsidRPr="00C35D39">
        <w:t>NOSC</w:t>
      </w:r>
      <w:r w:rsidR="008F7511" w:rsidRPr="00C35D39">
        <w:t>s</w:t>
      </w:r>
      <w:r w:rsidR="004D4DAF" w:rsidRPr="00C35D39">
        <w:t xml:space="preserve"> where </w:t>
      </w:r>
      <w:r w:rsidR="0088000A" w:rsidRPr="00C35D39">
        <w:t xml:space="preserve">a </w:t>
      </w:r>
      <w:r w:rsidR="009F2757" w:rsidRPr="00C35D39">
        <w:t>relevant visa</w:t>
      </w:r>
      <w:r w:rsidR="0088000A" w:rsidRPr="00C35D39">
        <w:t xml:space="preserve"> is attached</w:t>
      </w:r>
      <w:r w:rsidR="0010485E" w:rsidRPr="00C35D39">
        <w:t>. This data is</w:t>
      </w:r>
      <w:r w:rsidR="00FB7B2D" w:rsidRPr="00B438E1">
        <w:t xml:space="preserve"> </w:t>
      </w:r>
      <w:r w:rsidR="00405D89" w:rsidRPr="00B438E1">
        <w:t>displayed in the ‘Indicative NOSCs holding relevant visa’ column</w:t>
      </w:r>
      <w:r w:rsidR="00704AB9" w:rsidRPr="00C35D39">
        <w:t xml:space="preserve"> (see </w:t>
      </w:r>
      <w:r w:rsidR="00AE780E">
        <w:t xml:space="preserve">second </w:t>
      </w:r>
      <w:r w:rsidR="00704AB9" w:rsidRPr="00C35D39">
        <w:t>green shaded cell)</w:t>
      </w:r>
      <w:r w:rsidR="00100160" w:rsidRPr="00C35D39">
        <w:t xml:space="preserve">. Next, </w:t>
      </w:r>
      <w:r w:rsidR="00FB7B2D" w:rsidRPr="00B438E1">
        <w:t>divid</w:t>
      </w:r>
      <w:r w:rsidR="00100160" w:rsidRPr="00C35D39">
        <w:t>e</w:t>
      </w:r>
      <w:r w:rsidR="00FB7B2D" w:rsidRPr="00B438E1">
        <w:t xml:space="preserve"> </w:t>
      </w:r>
      <w:r w:rsidR="00244EC7" w:rsidRPr="00B438E1">
        <w:t xml:space="preserve">this count </w:t>
      </w:r>
      <w:r w:rsidR="00FB7B2D" w:rsidRPr="00B438E1">
        <w:t>by the ‘Indicative Allocation’</w:t>
      </w:r>
      <w:r w:rsidR="0011636C">
        <w:t xml:space="preserve"> (see </w:t>
      </w:r>
      <w:r w:rsidR="00AE780E">
        <w:t xml:space="preserve">first </w:t>
      </w:r>
      <w:r w:rsidR="0011636C">
        <w:t>green shaded cell)</w:t>
      </w:r>
      <w:r w:rsidR="006828A7" w:rsidRPr="00C35D39">
        <w:t xml:space="preserve">. </w:t>
      </w:r>
      <w:r w:rsidR="00E4455B" w:rsidRPr="00C35D39">
        <w:t>This calculation replicate</w:t>
      </w:r>
      <w:r w:rsidR="006828A7" w:rsidRPr="00C35D39">
        <w:t>s</w:t>
      </w:r>
      <w:r w:rsidR="00E4455B" w:rsidRPr="00C35D39">
        <w:t xml:space="preserve"> the </w:t>
      </w:r>
      <w:r w:rsidR="00B33115" w:rsidRPr="00C35D39">
        <w:t>data</w:t>
      </w:r>
      <w:r w:rsidR="00E4455B" w:rsidRPr="00C35D39">
        <w:t xml:space="preserve"> used by the Department of Home Affairs.</w:t>
      </w:r>
    </w:p>
    <w:p w14:paraId="20817821" w14:textId="69B505AA" w:rsidR="00FF6BB4" w:rsidRPr="00FF6BB4" w:rsidRDefault="00FF6BB4" w:rsidP="00C35D39">
      <w:pPr>
        <w:rPr>
          <w:b/>
        </w:rPr>
        <w:sectPr w:rsidR="00FF6BB4" w:rsidRPr="00FF6BB4" w:rsidSect="00DA29CE">
          <w:pgSz w:w="11906" w:h="16838"/>
          <w:pgMar w:top="1223" w:right="1440" w:bottom="1440" w:left="1440" w:header="709" w:footer="709" w:gutter="0"/>
          <w:cols w:space="708"/>
          <w:titlePg/>
          <w:docGrid w:linePitch="360"/>
        </w:sectPr>
      </w:pPr>
    </w:p>
    <w:p w14:paraId="122D2C30" w14:textId="422AEBDE" w:rsidR="002E41B8" w:rsidRDefault="002E41B8" w:rsidP="002E41B8">
      <w:pPr>
        <w:spacing w:after="120" w:line="276" w:lineRule="auto"/>
        <w:rPr>
          <w:rStyle w:val="Heading3Char"/>
          <w:bCs/>
        </w:rPr>
      </w:pPr>
      <w:r>
        <w:rPr>
          <w:rStyle w:val="Heading3Char"/>
          <w:bCs/>
        </w:rPr>
        <w:lastRenderedPageBreak/>
        <w:t xml:space="preserve">How </w:t>
      </w:r>
      <w:r w:rsidR="00312855">
        <w:rPr>
          <w:rStyle w:val="Heading3Char"/>
          <w:bCs/>
        </w:rPr>
        <w:t>t</w:t>
      </w:r>
      <w:r>
        <w:rPr>
          <w:rStyle w:val="Heading3Char"/>
          <w:bCs/>
        </w:rPr>
        <w:t xml:space="preserve">o </w:t>
      </w:r>
      <w:r w:rsidR="004F342D">
        <w:rPr>
          <w:rStyle w:val="Heading3Char"/>
          <w:bCs/>
        </w:rPr>
        <w:t xml:space="preserve">manually </w:t>
      </w:r>
      <w:r w:rsidR="000E4568">
        <w:rPr>
          <w:rStyle w:val="Heading3Char"/>
          <w:bCs/>
        </w:rPr>
        <w:t>calculate</w:t>
      </w:r>
      <w:r w:rsidR="00244EC7">
        <w:rPr>
          <w:rStyle w:val="Heading3Char"/>
          <w:bCs/>
        </w:rPr>
        <w:t xml:space="preserve"> the</w:t>
      </w:r>
      <w:r>
        <w:rPr>
          <w:rStyle w:val="Heading3Char"/>
          <w:bCs/>
        </w:rPr>
        <w:t xml:space="preserve"> prioritisation threshold </w:t>
      </w:r>
    </w:p>
    <w:p w14:paraId="6A04DB71" w14:textId="4B73DAA6" w:rsidR="002E41B8" w:rsidRDefault="002E41B8" w:rsidP="002E41B8">
      <w:pPr>
        <w:spacing w:after="60" w:line="276" w:lineRule="auto"/>
        <w:rPr>
          <w:rStyle w:val="normaltextrun"/>
          <w:color w:val="000000"/>
          <w:shd w:val="clear" w:color="auto" w:fill="FFFFFF"/>
        </w:rPr>
      </w:pPr>
      <w:r>
        <w:rPr>
          <w:rStyle w:val="normaltextrun"/>
          <w:color w:val="000000"/>
          <w:shd w:val="clear" w:color="auto" w:fill="FFFFFF"/>
        </w:rPr>
        <w:t xml:space="preserve">To calculate </w:t>
      </w:r>
      <w:r w:rsidR="00E60D06">
        <w:rPr>
          <w:rStyle w:val="normaltextrun"/>
          <w:color w:val="000000"/>
          <w:shd w:val="clear" w:color="auto" w:fill="FFFFFF"/>
        </w:rPr>
        <w:t xml:space="preserve">the </w:t>
      </w:r>
      <w:r>
        <w:rPr>
          <w:rStyle w:val="normaltextrun"/>
          <w:color w:val="000000"/>
          <w:shd w:val="clear" w:color="auto" w:fill="FFFFFF"/>
        </w:rPr>
        <w:t>prioritisation threshold, providers should download the NOSC Identification Export report (Excel version) in PRISMS and identify the following data points</w:t>
      </w:r>
      <w:r w:rsidR="0061308D" w:rsidRPr="00C164A6">
        <w:rPr>
          <w:rStyle w:val="normaltextrun"/>
          <w:color w:val="000000"/>
          <w:shd w:val="clear" w:color="auto" w:fill="FFFFFF"/>
        </w:rPr>
        <w:t xml:space="preserve"> from the Summary tab</w:t>
      </w:r>
      <w:r>
        <w:rPr>
          <w:rStyle w:val="normaltextrun"/>
          <w:color w:val="000000"/>
          <w:shd w:val="clear" w:color="auto" w:fill="FFFFFF"/>
        </w:rPr>
        <w:t>:</w:t>
      </w:r>
    </w:p>
    <w:p w14:paraId="43F6697C" w14:textId="0FDDF723" w:rsidR="00A33D58" w:rsidRPr="00C164A6" w:rsidRDefault="002E41B8" w:rsidP="00B1220F">
      <w:pPr>
        <w:pStyle w:val="ListParagraph"/>
        <w:numPr>
          <w:ilvl w:val="0"/>
          <w:numId w:val="10"/>
        </w:numPr>
        <w:spacing w:after="60" w:line="276" w:lineRule="auto"/>
        <w:rPr>
          <w:rStyle w:val="normaltextrun"/>
          <w:color w:val="000000"/>
          <w:shd w:val="clear" w:color="auto" w:fill="FFFFFF"/>
        </w:rPr>
      </w:pPr>
      <w:r w:rsidRPr="00B83CF4">
        <w:rPr>
          <w:rStyle w:val="normaltextrun"/>
          <w:color w:val="000000"/>
          <w:shd w:val="clear" w:color="auto" w:fill="FFFFFF"/>
        </w:rPr>
        <w:t>‘Indicative Allocation’</w:t>
      </w:r>
      <w:r w:rsidRPr="00B50929">
        <w:rPr>
          <w:rStyle w:val="normaltextrun"/>
          <w:color w:val="000000"/>
          <w:shd w:val="clear" w:color="auto" w:fill="FFFFFF"/>
        </w:rPr>
        <w:t xml:space="preserve"> column</w:t>
      </w:r>
    </w:p>
    <w:p w14:paraId="5D1D98AA" w14:textId="09619FF1" w:rsidR="00A33D58" w:rsidRPr="00C164A6" w:rsidRDefault="004356CB" w:rsidP="00A33D58">
      <w:pPr>
        <w:pStyle w:val="ListParagraph"/>
        <w:numPr>
          <w:ilvl w:val="0"/>
          <w:numId w:val="10"/>
        </w:numPr>
        <w:spacing w:after="60" w:line="276" w:lineRule="auto"/>
        <w:rPr>
          <w:rStyle w:val="normaltextrun"/>
          <w:color w:val="000000"/>
          <w:shd w:val="clear" w:color="auto" w:fill="FFFFFF"/>
        </w:rPr>
      </w:pPr>
      <w:r w:rsidRPr="00C164A6">
        <w:rPr>
          <w:rStyle w:val="normaltextrun"/>
          <w:color w:val="000000"/>
          <w:shd w:val="clear" w:color="auto" w:fill="FFFFFF"/>
        </w:rPr>
        <w:t xml:space="preserve">‘Indicative </w:t>
      </w:r>
      <w:r w:rsidR="00A33D58" w:rsidRPr="00C164A6">
        <w:rPr>
          <w:rStyle w:val="normaltextrun"/>
          <w:color w:val="000000"/>
          <w:shd w:val="clear" w:color="auto" w:fill="FFFFFF"/>
        </w:rPr>
        <w:t>NOSCs holding relevant visa</w:t>
      </w:r>
      <w:r w:rsidR="00580E67" w:rsidRPr="00C164A6">
        <w:rPr>
          <w:rStyle w:val="normaltextrun"/>
          <w:color w:val="000000"/>
          <w:shd w:val="clear" w:color="auto" w:fill="FFFFFF"/>
        </w:rPr>
        <w:t>’ column</w:t>
      </w:r>
    </w:p>
    <w:p w14:paraId="3CEEF178" w14:textId="77777777" w:rsidR="002E41B8" w:rsidRPr="00C35D39" w:rsidRDefault="002E41B8" w:rsidP="00C35D39">
      <w:pPr>
        <w:spacing w:after="60" w:line="276" w:lineRule="auto"/>
        <w:rPr>
          <w:b/>
          <w:color w:val="000000"/>
          <w:shd w:val="clear" w:color="auto" w:fill="FFFFFF"/>
        </w:rPr>
      </w:pPr>
    </w:p>
    <w:p w14:paraId="0457A304" w14:textId="642C5CB4" w:rsidR="002E41B8" w:rsidRPr="00C35D39" w:rsidRDefault="002E41B8" w:rsidP="0000214A">
      <w:pPr>
        <w:spacing w:after="60" w:line="276" w:lineRule="auto"/>
        <w:rPr>
          <w:b/>
          <w:color w:val="000000"/>
          <w:shd w:val="clear" w:color="auto" w:fill="FFFFFF"/>
        </w:rPr>
      </w:pPr>
      <w:r w:rsidRPr="00C35D39">
        <w:rPr>
          <w:b/>
          <w:color w:val="000000"/>
          <w:shd w:val="clear" w:color="auto" w:fill="FFFFFF"/>
        </w:rPr>
        <w:t xml:space="preserve">Step </w:t>
      </w:r>
      <w:r w:rsidR="00881C0B" w:rsidRPr="00C35D39">
        <w:rPr>
          <w:b/>
          <w:bCs/>
          <w:color w:val="000000"/>
          <w:shd w:val="clear" w:color="auto" w:fill="FFFFFF"/>
        </w:rPr>
        <w:t>1</w:t>
      </w:r>
    </w:p>
    <w:p w14:paraId="311576F8" w14:textId="7091D720" w:rsidR="002E41B8" w:rsidRPr="00C35D39" w:rsidRDefault="002E41B8" w:rsidP="00C35D39">
      <w:pPr>
        <w:pStyle w:val="ListParagraph"/>
        <w:numPr>
          <w:ilvl w:val="0"/>
          <w:numId w:val="41"/>
        </w:numPr>
        <w:spacing w:after="60" w:line="276" w:lineRule="auto"/>
        <w:rPr>
          <w:color w:val="000000"/>
          <w:shd w:val="clear" w:color="auto" w:fill="FFFFFF"/>
        </w:rPr>
      </w:pPr>
      <w:r w:rsidRPr="00C35D39">
        <w:rPr>
          <w:color w:val="000000"/>
          <w:shd w:val="clear" w:color="auto" w:fill="FFFFFF"/>
        </w:rPr>
        <w:t>Divide th</w:t>
      </w:r>
      <w:r w:rsidR="0062576D" w:rsidRPr="00C35D39">
        <w:rPr>
          <w:color w:val="000000"/>
          <w:shd w:val="clear" w:color="auto" w:fill="FFFFFF"/>
        </w:rPr>
        <w:t xml:space="preserve">e </w:t>
      </w:r>
      <w:r w:rsidR="00881C0B" w:rsidRPr="00C35D39">
        <w:rPr>
          <w:color w:val="000000"/>
          <w:shd w:val="clear" w:color="auto" w:fill="FFFFFF"/>
        </w:rPr>
        <w:t>‘</w:t>
      </w:r>
      <w:r w:rsidR="0062576D" w:rsidRPr="00C35D39">
        <w:rPr>
          <w:i/>
          <w:iCs/>
        </w:rPr>
        <w:t>Indicative NOSCs holding relevant visa</w:t>
      </w:r>
      <w:r w:rsidR="0062576D" w:rsidRPr="00C35D39">
        <w:t xml:space="preserve">’ </w:t>
      </w:r>
      <w:r w:rsidRPr="00C35D39">
        <w:rPr>
          <w:color w:val="000000"/>
          <w:shd w:val="clear" w:color="auto" w:fill="FFFFFF"/>
        </w:rPr>
        <w:t>count by the ‘</w:t>
      </w:r>
      <w:r w:rsidRPr="00C35D39">
        <w:rPr>
          <w:i/>
          <w:color w:val="000000"/>
          <w:shd w:val="clear" w:color="auto" w:fill="FFFFFF"/>
        </w:rPr>
        <w:t>Indicative Allocation</w:t>
      </w:r>
      <w:r w:rsidRPr="00C35D39">
        <w:rPr>
          <w:color w:val="000000"/>
          <w:shd w:val="clear" w:color="auto" w:fill="FFFFFF"/>
        </w:rPr>
        <w:t>’ figure.</w:t>
      </w:r>
    </w:p>
    <w:p w14:paraId="42C6A200" w14:textId="77777777" w:rsidR="005C6596" w:rsidRPr="00C164A6" w:rsidRDefault="005C6596" w:rsidP="0000214A">
      <w:pPr>
        <w:spacing w:after="60" w:line="276" w:lineRule="auto"/>
        <w:rPr>
          <w:color w:val="000000"/>
          <w:shd w:val="clear" w:color="auto" w:fill="FFFFFF"/>
        </w:rPr>
      </w:pPr>
    </w:p>
    <w:p w14:paraId="1F81C982" w14:textId="657E8BD0" w:rsidR="002E41B8" w:rsidRPr="00C35D39" w:rsidRDefault="002E41B8" w:rsidP="0000214A">
      <w:pPr>
        <w:spacing w:after="60" w:line="276" w:lineRule="auto"/>
        <w:rPr>
          <w:color w:val="000000"/>
          <w:shd w:val="clear" w:color="auto" w:fill="FFFFFF"/>
        </w:rPr>
      </w:pPr>
      <w:r w:rsidRPr="00C35D39">
        <w:rPr>
          <w:color w:val="000000"/>
          <w:shd w:val="clear" w:color="auto" w:fill="FFFFFF"/>
        </w:rPr>
        <w:t>For the below example, the calculation is:</w:t>
      </w:r>
    </w:p>
    <w:p w14:paraId="52B14E19" w14:textId="29B38080" w:rsidR="002A4E86" w:rsidRPr="00C35D39" w:rsidRDefault="005043AF" w:rsidP="00C35D39">
      <w:pPr>
        <w:pStyle w:val="ListParagraph"/>
        <w:numPr>
          <w:ilvl w:val="0"/>
          <w:numId w:val="41"/>
        </w:numPr>
        <w:spacing w:after="60" w:line="276" w:lineRule="auto"/>
        <w:rPr>
          <w:i/>
          <w:color w:val="000000"/>
          <w:shd w:val="clear" w:color="auto" w:fill="FFFFFF"/>
        </w:rPr>
      </w:pPr>
      <w:r w:rsidRPr="00C35D39">
        <w:rPr>
          <w:b/>
          <w:i/>
          <w:color w:val="000000"/>
          <w:shd w:val="clear" w:color="auto" w:fill="FFFFFF"/>
        </w:rPr>
        <w:t>5</w:t>
      </w:r>
      <w:r w:rsidR="00240340" w:rsidRPr="00C35D39">
        <w:rPr>
          <w:b/>
          <w:i/>
          <w:color w:val="000000"/>
          <w:shd w:val="clear" w:color="auto" w:fill="FFFFFF"/>
        </w:rPr>
        <w:t xml:space="preserve"> </w:t>
      </w:r>
      <w:r w:rsidR="00382B73" w:rsidRPr="00C35D39">
        <w:rPr>
          <w:i/>
          <w:color w:val="000000"/>
          <w:shd w:val="clear" w:color="auto" w:fill="FFFFFF"/>
        </w:rPr>
        <w:t>(‘</w:t>
      </w:r>
      <w:r w:rsidR="00B121C3" w:rsidRPr="00C35D39">
        <w:rPr>
          <w:i/>
          <w:iCs/>
        </w:rPr>
        <w:t>Indicative NOSCs holding relevant visa’</w:t>
      </w:r>
      <w:r w:rsidR="00382B73" w:rsidRPr="00C35D39">
        <w:rPr>
          <w:i/>
          <w:color w:val="000000"/>
          <w:shd w:val="clear" w:color="auto" w:fill="FFFFFF"/>
        </w:rPr>
        <w:t>)</w:t>
      </w:r>
    </w:p>
    <w:p w14:paraId="7B46FF45" w14:textId="3AB7586F" w:rsidR="002A4E86" w:rsidRPr="00C35D39" w:rsidRDefault="00382B73" w:rsidP="00C35D39">
      <w:pPr>
        <w:pStyle w:val="ListParagraph"/>
        <w:numPr>
          <w:ilvl w:val="0"/>
          <w:numId w:val="41"/>
        </w:numPr>
        <w:spacing w:after="60" w:line="276" w:lineRule="auto"/>
        <w:rPr>
          <w:i/>
          <w:color w:val="000000"/>
          <w:shd w:val="clear" w:color="auto" w:fill="FFFFFF"/>
        </w:rPr>
      </w:pPr>
      <w:r w:rsidRPr="00C35D39">
        <w:rPr>
          <w:b/>
          <w:i/>
          <w:color w:val="000000"/>
          <w:shd w:val="clear" w:color="auto" w:fill="FFFFFF"/>
        </w:rPr>
        <w:t>divided</w:t>
      </w:r>
      <w:r w:rsidRPr="00C35D39">
        <w:rPr>
          <w:i/>
          <w:color w:val="000000"/>
          <w:shd w:val="clear" w:color="auto" w:fill="FFFFFF"/>
        </w:rPr>
        <w:t xml:space="preserve"> by </w:t>
      </w:r>
      <w:r w:rsidR="005043AF" w:rsidRPr="00C35D39">
        <w:rPr>
          <w:b/>
          <w:i/>
          <w:color w:val="000000"/>
          <w:shd w:val="clear" w:color="auto" w:fill="FFFFFF"/>
        </w:rPr>
        <w:t>52</w:t>
      </w:r>
      <w:r w:rsidR="008A6BC6" w:rsidRPr="00C35D39">
        <w:rPr>
          <w:i/>
          <w:color w:val="000000"/>
          <w:shd w:val="clear" w:color="auto" w:fill="FFFFFF"/>
        </w:rPr>
        <w:t xml:space="preserve"> </w:t>
      </w:r>
      <w:r w:rsidRPr="00C35D39">
        <w:rPr>
          <w:i/>
          <w:color w:val="000000"/>
          <w:shd w:val="clear" w:color="auto" w:fill="FFFFFF"/>
        </w:rPr>
        <w:t xml:space="preserve">(‘Indicative Allocation’) </w:t>
      </w:r>
    </w:p>
    <w:p w14:paraId="0668E940" w14:textId="73429F3F" w:rsidR="00382B73" w:rsidRPr="00C35D39" w:rsidRDefault="00382B73">
      <w:pPr>
        <w:pStyle w:val="ListParagraph"/>
        <w:numPr>
          <w:ilvl w:val="0"/>
          <w:numId w:val="41"/>
        </w:numPr>
        <w:spacing w:after="60" w:line="276" w:lineRule="auto"/>
        <w:rPr>
          <w:color w:val="000000"/>
          <w:shd w:val="clear" w:color="auto" w:fill="FFFFFF"/>
        </w:rPr>
      </w:pPr>
      <w:r w:rsidRPr="00C35D39">
        <w:rPr>
          <w:i/>
          <w:color w:val="000000"/>
          <w:shd w:val="clear" w:color="auto" w:fill="FFFFFF"/>
        </w:rPr>
        <w:t xml:space="preserve">= </w:t>
      </w:r>
      <w:r w:rsidR="00240340" w:rsidRPr="00C35D39">
        <w:rPr>
          <w:b/>
          <w:i/>
          <w:color w:val="000000"/>
          <w:shd w:val="clear" w:color="auto" w:fill="FFFFFF"/>
        </w:rPr>
        <w:t>9.615</w:t>
      </w:r>
      <w:r w:rsidRPr="00C35D39">
        <w:rPr>
          <w:i/>
          <w:color w:val="000000"/>
          <w:shd w:val="clear" w:color="auto" w:fill="FFFFFF"/>
        </w:rPr>
        <w:t xml:space="preserve"> (</w:t>
      </w:r>
      <w:r w:rsidR="00A63711" w:rsidRPr="00C35D39">
        <w:rPr>
          <w:i/>
          <w:color w:val="000000"/>
          <w:shd w:val="clear" w:color="auto" w:fill="FFFFFF"/>
        </w:rPr>
        <w:t>9</w:t>
      </w:r>
      <w:r w:rsidRPr="00C35D39">
        <w:rPr>
          <w:i/>
          <w:color w:val="000000"/>
          <w:shd w:val="clear" w:color="auto" w:fill="FFFFFF"/>
        </w:rPr>
        <w:t>% = under 80% threshold)</w:t>
      </w:r>
    </w:p>
    <w:p w14:paraId="042BDA6D" w14:textId="77777777" w:rsidR="000A179F" w:rsidRDefault="000A179F" w:rsidP="000A179F">
      <w:pPr>
        <w:spacing w:after="60" w:line="276" w:lineRule="auto"/>
        <w:rPr>
          <w:color w:val="000000"/>
          <w:shd w:val="clear" w:color="auto" w:fill="FFFFFF"/>
        </w:rPr>
      </w:pPr>
    </w:p>
    <w:p w14:paraId="4002F068" w14:textId="7BBE9B60" w:rsidR="006C596E" w:rsidRPr="0049743D" w:rsidRDefault="0049743D" w:rsidP="0049743D">
      <w:pPr>
        <w:spacing w:after="60" w:line="276" w:lineRule="auto"/>
        <w:rPr>
          <w:i/>
          <w:color w:val="000000"/>
          <w:shd w:val="clear" w:color="auto" w:fill="FFFFFF"/>
        </w:rPr>
      </w:pPr>
      <w:r w:rsidRPr="0049743D">
        <w:rPr>
          <w:noProof/>
          <w:color w:val="000000"/>
          <w:shd w:val="clear" w:color="auto" w:fill="FFFFFF"/>
        </w:rPr>
        <w:drawing>
          <wp:inline distT="0" distB="0" distL="0" distR="0" wp14:anchorId="2EEDB041" wp14:editId="732EB7C0">
            <wp:extent cx="5731510" cy="3098165"/>
            <wp:effectExtent l="19050" t="19050" r="21590" b="26035"/>
            <wp:docPr id="955428512" name="Picture 1" descr="The image highlights data points (as identified in step ) on the Summary tab in the NOSC Identification Export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5428512" name="Picture 1" descr="The image highlights data points (as identified in step ) on the Summary tab in the NOSC Identification Export table."/>
                    <pic:cNvPicPr/>
                  </pic:nvPicPr>
                  <pic:blipFill>
                    <a:blip r:embed="rId23"/>
                    <a:stretch>
                      <a:fillRect/>
                    </a:stretch>
                  </pic:blipFill>
                  <pic:spPr>
                    <a:xfrm>
                      <a:off x="0" y="0"/>
                      <a:ext cx="5731510" cy="3098165"/>
                    </a:xfrm>
                    <a:prstGeom prst="rect">
                      <a:avLst/>
                    </a:prstGeom>
                    <a:ln w="3175">
                      <a:solidFill>
                        <a:schemeClr val="tx1"/>
                      </a:solidFill>
                    </a:ln>
                  </pic:spPr>
                </pic:pic>
              </a:graphicData>
            </a:graphic>
          </wp:inline>
        </w:drawing>
      </w:r>
    </w:p>
    <w:p w14:paraId="4A75C086" w14:textId="6C40E2C2" w:rsidR="00457938" w:rsidRPr="00C35D39" w:rsidRDefault="00457938" w:rsidP="00457938">
      <w:pPr>
        <w:pStyle w:val="Caption"/>
        <w:rPr>
          <w:color w:val="auto"/>
          <w:sz w:val="16"/>
          <w:szCs w:val="12"/>
        </w:rPr>
      </w:pPr>
      <w:r w:rsidRPr="00C35D39">
        <w:rPr>
          <w:color w:val="auto"/>
          <w:sz w:val="16"/>
          <w:szCs w:val="12"/>
        </w:rPr>
        <w:t xml:space="preserve">Figure </w:t>
      </w:r>
      <w:r w:rsidR="0054751D" w:rsidRPr="00C35D39">
        <w:rPr>
          <w:color w:val="auto"/>
          <w:sz w:val="16"/>
          <w:szCs w:val="12"/>
        </w:rPr>
        <w:t>3</w:t>
      </w:r>
      <w:r w:rsidRPr="00C35D39">
        <w:rPr>
          <w:color w:val="auto"/>
          <w:sz w:val="16"/>
          <w:szCs w:val="12"/>
        </w:rPr>
        <w:t xml:space="preserve">. Identify data points </w:t>
      </w:r>
    </w:p>
    <w:p w14:paraId="0A9CE4CE" w14:textId="4AF566EE" w:rsidR="002C5AC2" w:rsidRPr="002C5AC2" w:rsidRDefault="002C5AC2" w:rsidP="002C5AC2">
      <w:pPr>
        <w:spacing w:after="60" w:line="276" w:lineRule="auto"/>
        <w:ind w:left="720"/>
        <w:rPr>
          <w:color w:val="000000" w:themeColor="text1"/>
          <w:sz w:val="24"/>
          <w:szCs w:val="24"/>
        </w:rPr>
      </w:pPr>
    </w:p>
    <w:p w14:paraId="02E2A094" w14:textId="0B680A11" w:rsidR="00190B1A" w:rsidRDefault="00FA3401" w:rsidP="00FA3401">
      <w:pPr>
        <w:spacing w:before="120" w:after="120" w:line="276" w:lineRule="auto"/>
        <w:rPr>
          <w:rStyle w:val="normaltextrun"/>
          <w:color w:val="000000" w:themeColor="text1"/>
        </w:rPr>
      </w:pPr>
      <w:r w:rsidRPr="00FA3401">
        <w:rPr>
          <w:rStyle w:val="normaltextrun"/>
          <w:color w:val="000000" w:themeColor="text1"/>
        </w:rPr>
        <w:t xml:space="preserve">The above calculation will generate a provider’s prioritisation threshold. This calculation </w:t>
      </w:r>
      <w:r w:rsidR="0054751D">
        <w:rPr>
          <w:rStyle w:val="normaltextrun"/>
          <w:color w:val="000000" w:themeColor="text1"/>
        </w:rPr>
        <w:t xml:space="preserve">will </w:t>
      </w:r>
      <w:r w:rsidR="0054751D" w:rsidRPr="00FA3401">
        <w:rPr>
          <w:rStyle w:val="normaltextrun"/>
          <w:color w:val="000000" w:themeColor="text1"/>
        </w:rPr>
        <w:t>replicate</w:t>
      </w:r>
      <w:r w:rsidRPr="00FA3401">
        <w:rPr>
          <w:rStyle w:val="normaltextrun"/>
          <w:color w:val="000000" w:themeColor="text1"/>
        </w:rPr>
        <w:t xml:space="preserve"> </w:t>
      </w:r>
      <w:r w:rsidR="0054751D">
        <w:rPr>
          <w:rStyle w:val="normaltextrun"/>
          <w:color w:val="000000" w:themeColor="text1"/>
        </w:rPr>
        <w:t xml:space="preserve">the </w:t>
      </w:r>
      <w:r w:rsidR="00E16952">
        <w:rPr>
          <w:rStyle w:val="normaltextrun"/>
          <w:color w:val="000000" w:themeColor="text1"/>
        </w:rPr>
        <w:t>‘Prioritisation Percentage’</w:t>
      </w:r>
      <w:r w:rsidR="0054751D">
        <w:rPr>
          <w:rStyle w:val="normaltextrun"/>
          <w:color w:val="000000" w:themeColor="text1"/>
        </w:rPr>
        <w:t xml:space="preserve"> </w:t>
      </w:r>
      <w:r w:rsidR="009268EF">
        <w:rPr>
          <w:rStyle w:val="normaltextrun"/>
          <w:color w:val="000000" w:themeColor="text1"/>
        </w:rPr>
        <w:t xml:space="preserve">displayed on </w:t>
      </w:r>
      <w:r w:rsidR="00E16952">
        <w:rPr>
          <w:rStyle w:val="normaltextrun"/>
          <w:color w:val="000000" w:themeColor="text1"/>
        </w:rPr>
        <w:t>the Summary tab</w:t>
      </w:r>
      <w:r w:rsidRPr="00FA3401">
        <w:rPr>
          <w:rStyle w:val="normaltextrun"/>
          <w:color w:val="000000" w:themeColor="text1"/>
        </w:rPr>
        <w:t xml:space="preserve">. </w:t>
      </w:r>
    </w:p>
    <w:p w14:paraId="673E61C1" w14:textId="6CDBD658" w:rsidR="00FA3401" w:rsidRDefault="00BB468C" w:rsidP="00FA3401">
      <w:pPr>
        <w:spacing w:before="120" w:after="120" w:line="276" w:lineRule="auto"/>
        <w:rPr>
          <w:rStyle w:val="normaltextrun"/>
          <w:color w:val="000000" w:themeColor="text1"/>
        </w:rPr>
      </w:pPr>
      <w:r>
        <w:t>S</w:t>
      </w:r>
      <w:r w:rsidR="009F1B7D" w:rsidRPr="00B11F5D">
        <w:t>cholarship</w:t>
      </w:r>
      <w:r w:rsidR="009F1B7D">
        <w:t xml:space="preserve"> </w:t>
      </w:r>
      <w:r>
        <w:t xml:space="preserve">holders </w:t>
      </w:r>
      <w:r w:rsidR="009F1B7D">
        <w:t xml:space="preserve">and </w:t>
      </w:r>
      <w:r w:rsidR="005F0BDF">
        <w:t>TNE</w:t>
      </w:r>
      <w:r w:rsidR="009F1B7D">
        <w:t xml:space="preserve"> arrangements</w:t>
      </w:r>
      <w:r w:rsidR="0029638D">
        <w:t>, currently collected manually from providers</w:t>
      </w:r>
      <w:r w:rsidR="00BE758D">
        <w:t>,</w:t>
      </w:r>
      <w:r w:rsidR="0029638D">
        <w:t xml:space="preserve"> </w:t>
      </w:r>
      <w:r w:rsidR="009F1B7D">
        <w:t>ar</w:t>
      </w:r>
      <w:r w:rsidR="0029638D">
        <w:t>e added to this report fortnightly</w:t>
      </w:r>
      <w:r w:rsidR="006C3E9C">
        <w:t xml:space="preserve"> and shared with the </w:t>
      </w:r>
      <w:r w:rsidR="006C3E9C" w:rsidRPr="00FA3401">
        <w:rPr>
          <w:rStyle w:val="normaltextrun"/>
          <w:color w:val="000000" w:themeColor="text1"/>
        </w:rPr>
        <w:t>Department of Home Affairs</w:t>
      </w:r>
      <w:r w:rsidR="006C3E9C">
        <w:rPr>
          <w:rStyle w:val="normaltextrun"/>
          <w:color w:val="000000" w:themeColor="text1"/>
        </w:rPr>
        <w:t xml:space="preserve">. </w:t>
      </w:r>
    </w:p>
    <w:p w14:paraId="625FE55B" w14:textId="77777777" w:rsidR="00611923" w:rsidRDefault="00611923" w:rsidP="00FA3401">
      <w:pPr>
        <w:spacing w:before="120" w:after="120" w:line="276" w:lineRule="auto"/>
        <w:rPr>
          <w:rStyle w:val="normaltextrun"/>
          <w:color w:val="000000" w:themeColor="text1"/>
        </w:rPr>
      </w:pPr>
    </w:p>
    <w:p w14:paraId="3582DE0D" w14:textId="14C10856" w:rsidR="00192329" w:rsidRPr="006D2C69" w:rsidRDefault="006D2C69" w:rsidP="006D2C69">
      <w:pPr>
        <w:spacing w:before="120" w:after="120" w:line="276" w:lineRule="auto"/>
        <w:rPr>
          <w:rStyle w:val="normaltextrun"/>
          <w:color w:val="000000" w:themeColor="text1"/>
        </w:rPr>
      </w:pPr>
      <w:r>
        <w:rPr>
          <w:rStyle w:val="normaltextrun"/>
          <w:color w:val="000000" w:themeColor="text1"/>
        </w:rPr>
        <w:t xml:space="preserve">Please note – if you identify any discrepancies or inconsistencies with the data for your provider, please email: </w:t>
      </w:r>
      <w:hyperlink r:id="rId24" w:history="1">
        <w:r w:rsidRPr="00202C41">
          <w:rPr>
            <w:rStyle w:val="Hyperlink"/>
          </w:rPr>
          <w:t>PRISMS@education.gov.au</w:t>
        </w:r>
      </w:hyperlink>
    </w:p>
    <w:bookmarkEnd w:id="2"/>
    <w:bookmarkEnd w:id="3"/>
    <w:bookmarkEnd w:id="4"/>
    <w:p w14:paraId="3CAAA5F9" w14:textId="3A81049D" w:rsidR="00B170C2" w:rsidRDefault="00B170C2" w:rsidP="00AD631F">
      <w:pPr>
        <w:pStyle w:val="Heading2"/>
      </w:pPr>
      <w:r>
        <w:lastRenderedPageBreak/>
        <w:t>Further Information</w:t>
      </w:r>
    </w:p>
    <w:p w14:paraId="36349E05" w14:textId="0366B5FA" w:rsidR="006B5246" w:rsidRDefault="006B5246" w:rsidP="006B5246">
      <w:r>
        <w:t>To access further information</w:t>
      </w:r>
      <w:r w:rsidR="00B26EDE">
        <w:t xml:space="preserve">, please see </w:t>
      </w:r>
      <w:r w:rsidR="009A788B">
        <w:t xml:space="preserve">the following </w:t>
      </w:r>
      <w:r w:rsidR="00A158A6">
        <w:t>resources</w:t>
      </w:r>
      <w:r w:rsidR="009A788B">
        <w:t>:</w:t>
      </w:r>
    </w:p>
    <w:p w14:paraId="3E9DB432" w14:textId="05AC0982" w:rsidR="00A158A6" w:rsidRPr="00A158A6" w:rsidRDefault="00A158A6" w:rsidP="00FA0BC6">
      <w:pPr>
        <w:spacing w:before="120"/>
        <w:rPr>
          <w:i/>
          <w:iCs/>
        </w:rPr>
      </w:pPr>
      <w:r w:rsidRPr="00A158A6">
        <w:rPr>
          <w:i/>
          <w:iCs/>
        </w:rPr>
        <w:t xml:space="preserve">Department of Home Affairs </w:t>
      </w:r>
    </w:p>
    <w:p w14:paraId="55ACC7AD" w14:textId="37E90CD2" w:rsidR="00F02501" w:rsidRPr="00A34EFD" w:rsidRDefault="00A34EFD" w:rsidP="00FA0BC6">
      <w:pPr>
        <w:pStyle w:val="ListParagraph"/>
        <w:numPr>
          <w:ilvl w:val="0"/>
          <w:numId w:val="12"/>
        </w:numPr>
        <w:spacing w:before="120"/>
        <w:contextualSpacing w:val="0"/>
        <w:rPr>
          <w:rStyle w:val="Hyperlink"/>
        </w:rPr>
      </w:pPr>
      <w:r w:rsidRPr="00A34EFD">
        <w:fldChar w:fldCharType="begin"/>
      </w:r>
      <w:r w:rsidRPr="00A34EFD">
        <w:instrText>HYPERLINK "https://immi.homeaffairs.gov.au/news-media/archive/article?itemId=1282"</w:instrText>
      </w:r>
      <w:r w:rsidRPr="00A34EFD">
        <w:fldChar w:fldCharType="separate"/>
      </w:r>
      <w:r w:rsidR="00FC1F84" w:rsidRPr="00A34EFD">
        <w:rPr>
          <w:rStyle w:val="Hyperlink"/>
        </w:rPr>
        <w:t>Ministerial Direction No. 111 – Department of Hom</w:t>
      </w:r>
      <w:r w:rsidRPr="00A34EFD">
        <w:rPr>
          <w:rStyle w:val="Hyperlink"/>
        </w:rPr>
        <w:t>e Affairs, Australian Government</w:t>
      </w:r>
    </w:p>
    <w:p w14:paraId="678A2ADF" w14:textId="5A172D77" w:rsidR="00FA18F2" w:rsidRPr="00FA18F0" w:rsidRDefault="00A34EFD" w:rsidP="00FA18F0">
      <w:r w:rsidRPr="00A34EFD">
        <w:fldChar w:fldCharType="end"/>
      </w:r>
    </w:p>
    <w:p w14:paraId="18A6F209" w14:textId="2786557C" w:rsidR="00A158A6" w:rsidRPr="00A34EFD" w:rsidRDefault="00A158A6" w:rsidP="00FA0BC6">
      <w:pPr>
        <w:spacing w:before="120"/>
        <w:rPr>
          <w:i/>
          <w:iCs/>
        </w:rPr>
      </w:pPr>
      <w:r w:rsidRPr="00A34EFD">
        <w:rPr>
          <w:i/>
          <w:iCs/>
        </w:rPr>
        <w:t>Department of Education</w:t>
      </w:r>
    </w:p>
    <w:p w14:paraId="6B6F837E" w14:textId="2E2B4DBF" w:rsidR="004815BA" w:rsidRDefault="00640F09" w:rsidP="00FA0BC6">
      <w:pPr>
        <w:pStyle w:val="ListParagraph"/>
        <w:numPr>
          <w:ilvl w:val="0"/>
          <w:numId w:val="12"/>
        </w:numPr>
        <w:spacing w:before="120"/>
        <w:contextualSpacing w:val="0"/>
      </w:pPr>
      <w:hyperlink r:id="rId25" w:history="1">
        <w:r w:rsidRPr="00A34EFD">
          <w:rPr>
            <w:rStyle w:val="Hyperlink"/>
          </w:rPr>
          <w:t>Supporting a Sustainable International Education Sector</w:t>
        </w:r>
        <w:r w:rsidR="002D3EFB" w:rsidRPr="00A34EFD">
          <w:rPr>
            <w:rStyle w:val="Hyperlink"/>
          </w:rPr>
          <w:t xml:space="preserve"> - Department of Education, Australian Government</w:t>
        </w:r>
      </w:hyperlink>
    </w:p>
    <w:p w14:paraId="1287680E" w14:textId="00AECED8" w:rsidR="008010AB" w:rsidRDefault="008010AB" w:rsidP="00FA0BC6">
      <w:pPr>
        <w:pStyle w:val="ListParagraph"/>
        <w:numPr>
          <w:ilvl w:val="0"/>
          <w:numId w:val="12"/>
        </w:numPr>
        <w:spacing w:before="120"/>
        <w:contextualSpacing w:val="0"/>
      </w:pPr>
      <w:r w:rsidRPr="008010AB">
        <w:t>F</w:t>
      </w:r>
      <w:hyperlink r:id="rId26" w:history="1">
        <w:r w:rsidRPr="00F84DC6">
          <w:rPr>
            <w:rStyle w:val="Hyperlink"/>
          </w:rPr>
          <w:t>actsheet – Definition of students of certain transnational education programs</w:t>
        </w:r>
      </w:hyperlink>
    </w:p>
    <w:p w14:paraId="43F687DB" w14:textId="179BE6AC" w:rsidR="00F84DC6" w:rsidRPr="00A34EFD" w:rsidRDefault="00D73920" w:rsidP="00FA0BC6">
      <w:pPr>
        <w:pStyle w:val="ListParagraph"/>
        <w:numPr>
          <w:ilvl w:val="0"/>
          <w:numId w:val="12"/>
        </w:numPr>
        <w:spacing w:before="120"/>
        <w:contextualSpacing w:val="0"/>
      </w:pPr>
      <w:hyperlink r:id="rId27" w:history="1">
        <w:r w:rsidRPr="00651BE5">
          <w:rPr>
            <w:rStyle w:val="Hyperlink"/>
          </w:rPr>
          <w:t>Factsheet - Scholarship holders</w:t>
        </w:r>
      </w:hyperlink>
    </w:p>
    <w:p w14:paraId="7BE4871D" w14:textId="77777777" w:rsidR="00FA18F2" w:rsidRDefault="00FA18F2" w:rsidP="00FA0BC6">
      <w:pPr>
        <w:spacing w:before="120"/>
        <w:rPr>
          <w:i/>
          <w:iCs/>
        </w:rPr>
      </w:pPr>
    </w:p>
    <w:p w14:paraId="1B834B3B" w14:textId="3A9B8906" w:rsidR="004815BA" w:rsidRPr="00A34EFD" w:rsidRDefault="00A158A6" w:rsidP="00FA0BC6">
      <w:pPr>
        <w:spacing w:before="120"/>
        <w:rPr>
          <w:i/>
          <w:iCs/>
        </w:rPr>
      </w:pPr>
      <w:r w:rsidRPr="00A34EFD">
        <w:rPr>
          <w:i/>
          <w:iCs/>
        </w:rPr>
        <w:t xml:space="preserve">Department of Employment and Workplace Relations </w:t>
      </w:r>
    </w:p>
    <w:p w14:paraId="1DB29741" w14:textId="13DF3E58" w:rsidR="003C4646" w:rsidRPr="00A34EFD" w:rsidRDefault="003C4646" w:rsidP="00FA0BC6">
      <w:pPr>
        <w:pStyle w:val="ListParagraph"/>
        <w:numPr>
          <w:ilvl w:val="0"/>
          <w:numId w:val="12"/>
        </w:numPr>
        <w:spacing w:before="120"/>
        <w:contextualSpacing w:val="0"/>
      </w:pPr>
      <w:hyperlink r:id="rId28" w:tgtFrame="_blank" w:tooltip="https://www.dewr.gov.au/international-skills-engagement/resources/indicative-allocations-vet-new-overseas-student-commencements-2025" w:history="1">
        <w:r w:rsidRPr="00A34EFD">
          <w:rPr>
            <w:rStyle w:val="Hyperlink"/>
          </w:rPr>
          <w:t>Indicative allocations for VET new overseas student commencements 2025 - Department of Employment and Workplace Relations, Australian Government</w:t>
        </w:r>
      </w:hyperlink>
    </w:p>
    <w:p w14:paraId="0ADDCB83" w14:textId="24821718" w:rsidR="003C4646" w:rsidRPr="00907147" w:rsidRDefault="00A158A6" w:rsidP="00FA0BC6">
      <w:pPr>
        <w:pStyle w:val="ListParagraph"/>
        <w:numPr>
          <w:ilvl w:val="0"/>
          <w:numId w:val="12"/>
        </w:numPr>
        <w:spacing w:before="120"/>
        <w:contextualSpacing w:val="0"/>
        <w:rPr>
          <w:rStyle w:val="Hyperlink"/>
          <w:color w:val="auto"/>
          <w:u w:val="none"/>
        </w:rPr>
      </w:pPr>
      <w:hyperlink r:id="rId29" w:tgtFrame="_blank" w:tooltip="https://www.dewr.gov.au/international-skills-engagement/resources/factsheet-definition-students-certain-transnational-education-programs" w:history="1">
        <w:r w:rsidRPr="00A34EFD">
          <w:rPr>
            <w:rStyle w:val="Hyperlink"/>
          </w:rPr>
          <w:t>Factsheet – Definition of students of certain transnational education programs - Department of Employment and Workplace</w:t>
        </w:r>
        <w:r w:rsidR="0080117A">
          <w:rPr>
            <w:rStyle w:val="Hyperlink"/>
          </w:rPr>
          <w:t xml:space="preserve"> </w:t>
        </w:r>
        <w:r w:rsidRPr="00A34EFD">
          <w:rPr>
            <w:rStyle w:val="Hyperlink"/>
          </w:rPr>
          <w:t>Relations, Australian Government</w:t>
        </w:r>
      </w:hyperlink>
    </w:p>
    <w:p w14:paraId="02451E0C" w14:textId="77777777" w:rsidR="00907147" w:rsidRDefault="00907147" w:rsidP="00907147">
      <w:pPr>
        <w:spacing w:before="120"/>
      </w:pPr>
    </w:p>
    <w:p w14:paraId="5FFDF373" w14:textId="34FC270E" w:rsidR="00654019" w:rsidRPr="00A34EFD" w:rsidRDefault="00654019" w:rsidP="004B4B42">
      <w:pPr>
        <w:spacing w:before="120"/>
      </w:pPr>
      <w:r>
        <w:t xml:space="preserve"> </w:t>
      </w:r>
    </w:p>
    <w:sectPr w:rsidR="00654019" w:rsidRPr="00A34EFD" w:rsidSect="00A8249A">
      <w:footerReference w:type="default" r:id="rId30"/>
      <w:pgSz w:w="11906" w:h="16838"/>
      <w:pgMar w:top="1223"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68C105" w14:textId="77777777" w:rsidR="00044650" w:rsidRDefault="00044650" w:rsidP="000A6228">
      <w:pPr>
        <w:spacing w:after="0" w:line="240" w:lineRule="auto"/>
      </w:pPr>
      <w:r>
        <w:separator/>
      </w:r>
    </w:p>
  </w:endnote>
  <w:endnote w:type="continuationSeparator" w:id="0">
    <w:p w14:paraId="34532D34" w14:textId="77777777" w:rsidR="00044650" w:rsidRDefault="00044650" w:rsidP="000A6228">
      <w:pPr>
        <w:spacing w:after="0" w:line="240" w:lineRule="auto"/>
      </w:pPr>
      <w:r>
        <w:continuationSeparator/>
      </w:r>
    </w:p>
  </w:endnote>
  <w:endnote w:type="continuationNotice" w:id="1">
    <w:p w14:paraId="0E5790D9" w14:textId="77777777" w:rsidR="00044650" w:rsidRDefault="0004465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7329786"/>
      <w:docPartObj>
        <w:docPartGallery w:val="Page Numbers (Bottom of Page)"/>
        <w:docPartUnique/>
      </w:docPartObj>
    </w:sdtPr>
    <w:sdtEndPr>
      <w:rPr>
        <w:noProof/>
      </w:rPr>
    </w:sdtEndPr>
    <w:sdtContent>
      <w:p w14:paraId="6B17EED3" w14:textId="757476F1" w:rsidR="000D24CA" w:rsidRDefault="000D24C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269AF77" w14:textId="77777777" w:rsidR="000D24CA" w:rsidRDefault="000D24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0016401"/>
      <w:docPartObj>
        <w:docPartGallery w:val="Page Numbers (Bottom of Page)"/>
        <w:docPartUnique/>
      </w:docPartObj>
    </w:sdtPr>
    <w:sdtEndPr>
      <w:rPr>
        <w:noProof/>
      </w:rPr>
    </w:sdtEndPr>
    <w:sdtContent>
      <w:p w14:paraId="469DACF1" w14:textId="15E536D4" w:rsidR="000D24CA" w:rsidRDefault="000D24C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CD0180E" w14:textId="77777777" w:rsidR="000D24CA" w:rsidRDefault="000D24C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7655262"/>
      <w:docPartObj>
        <w:docPartGallery w:val="Page Numbers (Bottom of Page)"/>
        <w:docPartUnique/>
      </w:docPartObj>
    </w:sdtPr>
    <w:sdtEndPr>
      <w:rPr>
        <w:noProof/>
      </w:rPr>
    </w:sdtEndPr>
    <w:sdtContent>
      <w:p w14:paraId="74EBF3B8" w14:textId="08530A9C" w:rsidR="00320F81" w:rsidRDefault="00320F8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9DB8002" w14:textId="632BF3E8" w:rsidR="00A6260B" w:rsidRPr="0084530F" w:rsidRDefault="00A6260B" w:rsidP="0084530F">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05F0AF" w14:textId="77777777" w:rsidR="00044650" w:rsidRDefault="00044650" w:rsidP="000A6228">
      <w:pPr>
        <w:spacing w:after="0" w:line="240" w:lineRule="auto"/>
      </w:pPr>
      <w:r>
        <w:separator/>
      </w:r>
    </w:p>
  </w:footnote>
  <w:footnote w:type="continuationSeparator" w:id="0">
    <w:p w14:paraId="7F81A7A1" w14:textId="77777777" w:rsidR="00044650" w:rsidRDefault="00044650" w:rsidP="000A6228">
      <w:pPr>
        <w:spacing w:after="0" w:line="240" w:lineRule="auto"/>
      </w:pPr>
      <w:r>
        <w:continuationSeparator/>
      </w:r>
    </w:p>
  </w:footnote>
  <w:footnote w:type="continuationNotice" w:id="1">
    <w:p w14:paraId="66532FE0" w14:textId="77777777" w:rsidR="00044650" w:rsidRDefault="0004465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C7C55"/>
    <w:multiLevelType w:val="hybridMultilevel"/>
    <w:tmpl w:val="795E77EA"/>
    <w:lvl w:ilvl="0" w:tplc="C5BE90D6">
      <w:start w:val="1"/>
      <w:numFmt w:val="decimal"/>
      <w:lvlText w:val="%1."/>
      <w:lvlJc w:val="left"/>
      <w:pPr>
        <w:ind w:left="720" w:hanging="360"/>
      </w:pPr>
      <w:rPr>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4A13768"/>
    <w:multiLevelType w:val="hybridMultilevel"/>
    <w:tmpl w:val="2814FDBC"/>
    <w:lvl w:ilvl="0" w:tplc="0C09000F">
      <w:start w:val="1"/>
      <w:numFmt w:val="decimal"/>
      <w:lvlText w:val="%1."/>
      <w:lvlJc w:val="left"/>
      <w:pPr>
        <w:ind w:left="644" w:hanging="360"/>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2"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AE51CC7"/>
    <w:multiLevelType w:val="hybridMultilevel"/>
    <w:tmpl w:val="E3028588"/>
    <w:lvl w:ilvl="0" w:tplc="1E5618E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5" w15:restartNumberingAfterBreak="0">
    <w:nsid w:val="0D081320"/>
    <w:multiLevelType w:val="hybridMultilevel"/>
    <w:tmpl w:val="20F81FE4"/>
    <w:lvl w:ilvl="0" w:tplc="5EB250F6">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2A7402C"/>
    <w:multiLevelType w:val="multilevel"/>
    <w:tmpl w:val="15EE9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CD590E"/>
    <w:multiLevelType w:val="hybridMultilevel"/>
    <w:tmpl w:val="6CE874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4AB0DCC"/>
    <w:multiLevelType w:val="hybridMultilevel"/>
    <w:tmpl w:val="64544D8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18B21541"/>
    <w:multiLevelType w:val="multilevel"/>
    <w:tmpl w:val="064A7EA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18FF1AB7"/>
    <w:multiLevelType w:val="multilevel"/>
    <w:tmpl w:val="4F68E302"/>
    <w:name w:val="EDU - Bullet List"/>
    <w:lvl w:ilvl="0">
      <w:start w:val="1"/>
      <w:numFmt w:val="bullet"/>
      <w:pStyle w:val="List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2B5938BA"/>
    <w:multiLevelType w:val="multilevel"/>
    <w:tmpl w:val="D2327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6B5F1C"/>
    <w:multiLevelType w:val="hybridMultilevel"/>
    <w:tmpl w:val="F0C690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DAE2929"/>
    <w:multiLevelType w:val="hybridMultilevel"/>
    <w:tmpl w:val="948C548C"/>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E1A445C"/>
    <w:multiLevelType w:val="hybridMultilevel"/>
    <w:tmpl w:val="BDBED4E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57464F9"/>
    <w:multiLevelType w:val="hybridMultilevel"/>
    <w:tmpl w:val="01FEB796"/>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6EE07A7"/>
    <w:multiLevelType w:val="multilevel"/>
    <w:tmpl w:val="749CFB6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8"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8C04B92"/>
    <w:multiLevelType w:val="hybridMultilevel"/>
    <w:tmpl w:val="E74874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B5A34D8"/>
    <w:multiLevelType w:val="hybridMultilevel"/>
    <w:tmpl w:val="4A865E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B9E530F"/>
    <w:multiLevelType w:val="multilevel"/>
    <w:tmpl w:val="5964EDCC"/>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3DCB4FA9"/>
    <w:multiLevelType w:val="hybridMultilevel"/>
    <w:tmpl w:val="97340DA8"/>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460C70E"/>
    <w:multiLevelType w:val="hybridMultilevel"/>
    <w:tmpl w:val="64544D8E"/>
    <w:lvl w:ilvl="0" w:tplc="D96EF78E">
      <w:start w:val="1"/>
      <w:numFmt w:val="decimal"/>
      <w:lvlText w:val="%1."/>
      <w:lvlJc w:val="left"/>
      <w:pPr>
        <w:ind w:left="720" w:hanging="360"/>
      </w:pPr>
    </w:lvl>
    <w:lvl w:ilvl="1" w:tplc="C6CAE126">
      <w:start w:val="1"/>
      <w:numFmt w:val="lowerLetter"/>
      <w:lvlText w:val="%2."/>
      <w:lvlJc w:val="left"/>
      <w:pPr>
        <w:ind w:left="1440" w:hanging="360"/>
      </w:pPr>
    </w:lvl>
    <w:lvl w:ilvl="2" w:tplc="F4DE9158">
      <w:start w:val="1"/>
      <w:numFmt w:val="lowerRoman"/>
      <w:lvlText w:val="%3."/>
      <w:lvlJc w:val="right"/>
      <w:pPr>
        <w:ind w:left="2160" w:hanging="180"/>
      </w:pPr>
    </w:lvl>
    <w:lvl w:ilvl="3" w:tplc="541E7294">
      <w:start w:val="1"/>
      <w:numFmt w:val="decimal"/>
      <w:lvlText w:val="%4."/>
      <w:lvlJc w:val="left"/>
      <w:pPr>
        <w:ind w:left="2880" w:hanging="360"/>
      </w:pPr>
    </w:lvl>
    <w:lvl w:ilvl="4" w:tplc="02141406">
      <w:start w:val="1"/>
      <w:numFmt w:val="lowerLetter"/>
      <w:lvlText w:val="%5."/>
      <w:lvlJc w:val="left"/>
      <w:pPr>
        <w:ind w:left="3600" w:hanging="360"/>
      </w:pPr>
    </w:lvl>
    <w:lvl w:ilvl="5" w:tplc="96DC16A8">
      <w:start w:val="1"/>
      <w:numFmt w:val="lowerRoman"/>
      <w:lvlText w:val="%6."/>
      <w:lvlJc w:val="right"/>
      <w:pPr>
        <w:ind w:left="4320" w:hanging="180"/>
      </w:pPr>
    </w:lvl>
    <w:lvl w:ilvl="6" w:tplc="AA72708C">
      <w:start w:val="1"/>
      <w:numFmt w:val="decimal"/>
      <w:lvlText w:val="%7."/>
      <w:lvlJc w:val="left"/>
      <w:pPr>
        <w:ind w:left="5040" w:hanging="360"/>
      </w:pPr>
    </w:lvl>
    <w:lvl w:ilvl="7" w:tplc="08DA15EC">
      <w:start w:val="1"/>
      <w:numFmt w:val="lowerLetter"/>
      <w:lvlText w:val="%8."/>
      <w:lvlJc w:val="left"/>
      <w:pPr>
        <w:ind w:left="5760" w:hanging="360"/>
      </w:pPr>
    </w:lvl>
    <w:lvl w:ilvl="8" w:tplc="617C453E">
      <w:start w:val="1"/>
      <w:numFmt w:val="lowerRoman"/>
      <w:lvlText w:val="%9."/>
      <w:lvlJc w:val="right"/>
      <w:pPr>
        <w:ind w:left="6480" w:hanging="180"/>
      </w:pPr>
    </w:lvl>
  </w:abstractNum>
  <w:abstractNum w:abstractNumId="24" w15:restartNumberingAfterBreak="0">
    <w:nsid w:val="47B5383B"/>
    <w:multiLevelType w:val="hybridMultilevel"/>
    <w:tmpl w:val="D7462FC0"/>
    <w:lvl w:ilvl="0" w:tplc="4694276C">
      <w:start w:val="2"/>
      <w:numFmt w:val="decimal"/>
      <w:lvlText w:val="%1."/>
      <w:lvlJc w:val="left"/>
      <w:pPr>
        <w:ind w:left="644" w:hanging="360"/>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25" w15:restartNumberingAfterBreak="0">
    <w:nsid w:val="49C262E5"/>
    <w:multiLevelType w:val="hybridMultilevel"/>
    <w:tmpl w:val="5FD844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AA32386"/>
    <w:multiLevelType w:val="multilevel"/>
    <w:tmpl w:val="172E8DF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4E166B92"/>
    <w:multiLevelType w:val="hybridMultilevel"/>
    <w:tmpl w:val="27381160"/>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4ED500E5"/>
    <w:multiLevelType w:val="hybridMultilevel"/>
    <w:tmpl w:val="984E8886"/>
    <w:lvl w:ilvl="0" w:tplc="0C09000F">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81A23B8"/>
    <w:multiLevelType w:val="hybridMultilevel"/>
    <w:tmpl w:val="EC90EF0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0" w15:restartNumberingAfterBreak="0">
    <w:nsid w:val="5878455E"/>
    <w:multiLevelType w:val="hybridMultilevel"/>
    <w:tmpl w:val="64544D8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1" w15:restartNumberingAfterBreak="0">
    <w:nsid w:val="592C2944"/>
    <w:multiLevelType w:val="hybridMultilevel"/>
    <w:tmpl w:val="8116AAAE"/>
    <w:lvl w:ilvl="0" w:tplc="4034577E">
      <w:start w:val="1"/>
      <w:numFmt w:val="decimal"/>
      <w:lvlText w:val="%1."/>
      <w:lvlJc w:val="left"/>
      <w:pPr>
        <w:ind w:left="1320" w:hanging="360"/>
      </w:pPr>
    </w:lvl>
    <w:lvl w:ilvl="1" w:tplc="08AC0670">
      <w:start w:val="1"/>
      <w:numFmt w:val="decimal"/>
      <w:lvlText w:val="%2."/>
      <w:lvlJc w:val="left"/>
      <w:pPr>
        <w:ind w:left="1320" w:hanging="360"/>
      </w:pPr>
    </w:lvl>
    <w:lvl w:ilvl="2" w:tplc="6414D690">
      <w:start w:val="1"/>
      <w:numFmt w:val="decimal"/>
      <w:lvlText w:val="%3."/>
      <w:lvlJc w:val="left"/>
      <w:pPr>
        <w:ind w:left="1320" w:hanging="360"/>
      </w:pPr>
    </w:lvl>
    <w:lvl w:ilvl="3" w:tplc="FC0C0E54">
      <w:start w:val="1"/>
      <w:numFmt w:val="decimal"/>
      <w:lvlText w:val="%4."/>
      <w:lvlJc w:val="left"/>
      <w:pPr>
        <w:ind w:left="1320" w:hanging="360"/>
      </w:pPr>
    </w:lvl>
    <w:lvl w:ilvl="4" w:tplc="EE7C8C64">
      <w:start w:val="1"/>
      <w:numFmt w:val="decimal"/>
      <w:lvlText w:val="%5."/>
      <w:lvlJc w:val="left"/>
      <w:pPr>
        <w:ind w:left="1320" w:hanging="360"/>
      </w:pPr>
    </w:lvl>
    <w:lvl w:ilvl="5" w:tplc="3F04DF64">
      <w:start w:val="1"/>
      <w:numFmt w:val="decimal"/>
      <w:lvlText w:val="%6."/>
      <w:lvlJc w:val="left"/>
      <w:pPr>
        <w:ind w:left="1320" w:hanging="360"/>
      </w:pPr>
    </w:lvl>
    <w:lvl w:ilvl="6" w:tplc="B330B53E">
      <w:start w:val="1"/>
      <w:numFmt w:val="decimal"/>
      <w:lvlText w:val="%7."/>
      <w:lvlJc w:val="left"/>
      <w:pPr>
        <w:ind w:left="1320" w:hanging="360"/>
      </w:pPr>
    </w:lvl>
    <w:lvl w:ilvl="7" w:tplc="AF04BA58">
      <w:start w:val="1"/>
      <w:numFmt w:val="decimal"/>
      <w:lvlText w:val="%8."/>
      <w:lvlJc w:val="left"/>
      <w:pPr>
        <w:ind w:left="1320" w:hanging="360"/>
      </w:pPr>
    </w:lvl>
    <w:lvl w:ilvl="8" w:tplc="4E7EA074">
      <w:start w:val="1"/>
      <w:numFmt w:val="decimal"/>
      <w:lvlText w:val="%9."/>
      <w:lvlJc w:val="left"/>
      <w:pPr>
        <w:ind w:left="1320" w:hanging="360"/>
      </w:pPr>
    </w:lvl>
  </w:abstractNum>
  <w:abstractNum w:abstractNumId="32"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63DC32BD"/>
    <w:multiLevelType w:val="hybridMultilevel"/>
    <w:tmpl w:val="6192A0AA"/>
    <w:lvl w:ilvl="0" w:tplc="379CD72E">
      <w:start w:val="1"/>
      <w:numFmt w:val="bullet"/>
      <w:lvlText w:val=""/>
      <w:lvlJc w:val="left"/>
      <w:pPr>
        <w:tabs>
          <w:tab w:val="num" w:pos="720"/>
        </w:tabs>
        <w:ind w:left="720" w:hanging="360"/>
      </w:pPr>
      <w:rPr>
        <w:rFonts w:ascii="Symbol" w:hAnsi="Symbol" w:hint="default"/>
      </w:rPr>
    </w:lvl>
    <w:lvl w:ilvl="1" w:tplc="92880410">
      <w:start w:val="1"/>
      <w:numFmt w:val="bullet"/>
      <w:lvlText w:val=""/>
      <w:lvlJc w:val="left"/>
      <w:pPr>
        <w:tabs>
          <w:tab w:val="num" w:pos="1440"/>
        </w:tabs>
        <w:ind w:left="1440" w:hanging="360"/>
      </w:pPr>
      <w:rPr>
        <w:rFonts w:ascii="Symbol" w:hAnsi="Symbol" w:hint="default"/>
      </w:rPr>
    </w:lvl>
    <w:lvl w:ilvl="2" w:tplc="2F4A8482">
      <w:start w:val="1"/>
      <w:numFmt w:val="bullet"/>
      <w:lvlText w:val=""/>
      <w:lvlJc w:val="left"/>
      <w:pPr>
        <w:tabs>
          <w:tab w:val="num" w:pos="2160"/>
        </w:tabs>
        <w:ind w:left="2160" w:hanging="360"/>
      </w:pPr>
      <w:rPr>
        <w:rFonts w:ascii="Symbol" w:hAnsi="Symbol" w:hint="default"/>
      </w:rPr>
    </w:lvl>
    <w:lvl w:ilvl="3" w:tplc="E4285636" w:tentative="1">
      <w:start w:val="1"/>
      <w:numFmt w:val="bullet"/>
      <w:lvlText w:val=""/>
      <w:lvlJc w:val="left"/>
      <w:pPr>
        <w:tabs>
          <w:tab w:val="num" w:pos="2880"/>
        </w:tabs>
        <w:ind w:left="2880" w:hanging="360"/>
      </w:pPr>
      <w:rPr>
        <w:rFonts w:ascii="Symbol" w:hAnsi="Symbol" w:hint="default"/>
      </w:rPr>
    </w:lvl>
    <w:lvl w:ilvl="4" w:tplc="AB6CEF18" w:tentative="1">
      <w:start w:val="1"/>
      <w:numFmt w:val="bullet"/>
      <w:lvlText w:val=""/>
      <w:lvlJc w:val="left"/>
      <w:pPr>
        <w:tabs>
          <w:tab w:val="num" w:pos="3600"/>
        </w:tabs>
        <w:ind w:left="3600" w:hanging="360"/>
      </w:pPr>
      <w:rPr>
        <w:rFonts w:ascii="Symbol" w:hAnsi="Symbol" w:hint="default"/>
      </w:rPr>
    </w:lvl>
    <w:lvl w:ilvl="5" w:tplc="1E46A9CE" w:tentative="1">
      <w:start w:val="1"/>
      <w:numFmt w:val="bullet"/>
      <w:lvlText w:val=""/>
      <w:lvlJc w:val="left"/>
      <w:pPr>
        <w:tabs>
          <w:tab w:val="num" w:pos="4320"/>
        </w:tabs>
        <w:ind w:left="4320" w:hanging="360"/>
      </w:pPr>
      <w:rPr>
        <w:rFonts w:ascii="Symbol" w:hAnsi="Symbol" w:hint="default"/>
      </w:rPr>
    </w:lvl>
    <w:lvl w:ilvl="6" w:tplc="E4B0ED76" w:tentative="1">
      <w:start w:val="1"/>
      <w:numFmt w:val="bullet"/>
      <w:lvlText w:val=""/>
      <w:lvlJc w:val="left"/>
      <w:pPr>
        <w:tabs>
          <w:tab w:val="num" w:pos="5040"/>
        </w:tabs>
        <w:ind w:left="5040" w:hanging="360"/>
      </w:pPr>
      <w:rPr>
        <w:rFonts w:ascii="Symbol" w:hAnsi="Symbol" w:hint="default"/>
      </w:rPr>
    </w:lvl>
    <w:lvl w:ilvl="7" w:tplc="4D18F8E8" w:tentative="1">
      <w:start w:val="1"/>
      <w:numFmt w:val="bullet"/>
      <w:lvlText w:val=""/>
      <w:lvlJc w:val="left"/>
      <w:pPr>
        <w:tabs>
          <w:tab w:val="num" w:pos="5760"/>
        </w:tabs>
        <w:ind w:left="5760" w:hanging="360"/>
      </w:pPr>
      <w:rPr>
        <w:rFonts w:ascii="Symbol" w:hAnsi="Symbol" w:hint="default"/>
      </w:rPr>
    </w:lvl>
    <w:lvl w:ilvl="8" w:tplc="8F4CCFC6" w:tentative="1">
      <w:start w:val="1"/>
      <w:numFmt w:val="bullet"/>
      <w:lvlText w:val=""/>
      <w:lvlJc w:val="left"/>
      <w:pPr>
        <w:tabs>
          <w:tab w:val="num" w:pos="6480"/>
        </w:tabs>
        <w:ind w:left="6480" w:hanging="360"/>
      </w:pPr>
      <w:rPr>
        <w:rFonts w:ascii="Symbol" w:hAnsi="Symbol" w:hint="default"/>
      </w:rPr>
    </w:lvl>
  </w:abstractNum>
  <w:abstractNum w:abstractNumId="34" w15:restartNumberingAfterBreak="0">
    <w:nsid w:val="66771DBA"/>
    <w:multiLevelType w:val="hybridMultilevel"/>
    <w:tmpl w:val="6F7E9FCC"/>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0C09001B">
      <w:start w:val="1"/>
      <w:numFmt w:val="lowerRoman"/>
      <w:lvlText w:val="%4."/>
      <w:lvlJc w:val="righ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9496014"/>
    <w:multiLevelType w:val="hybridMultilevel"/>
    <w:tmpl w:val="425C3252"/>
    <w:lvl w:ilvl="0" w:tplc="0C09000F">
      <w:start w:val="1"/>
      <w:numFmt w:val="decimal"/>
      <w:lvlText w:val="%1."/>
      <w:lvlJc w:val="left"/>
      <w:pPr>
        <w:ind w:left="720" w:hanging="360"/>
      </w:p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6" w15:restartNumberingAfterBreak="0">
    <w:nsid w:val="6DE77320"/>
    <w:multiLevelType w:val="hybridMultilevel"/>
    <w:tmpl w:val="ACD0499A"/>
    <w:lvl w:ilvl="0" w:tplc="0C090001">
      <w:start w:val="1"/>
      <w:numFmt w:val="bullet"/>
      <w:lvlText w:val=""/>
      <w:lvlJc w:val="left"/>
      <w:pPr>
        <w:ind w:left="1446" w:hanging="360"/>
      </w:pPr>
      <w:rPr>
        <w:rFonts w:ascii="Symbol" w:hAnsi="Symbol" w:hint="default"/>
      </w:rPr>
    </w:lvl>
    <w:lvl w:ilvl="1" w:tplc="0C090003" w:tentative="1">
      <w:start w:val="1"/>
      <w:numFmt w:val="bullet"/>
      <w:lvlText w:val="o"/>
      <w:lvlJc w:val="left"/>
      <w:pPr>
        <w:ind w:left="2166" w:hanging="360"/>
      </w:pPr>
      <w:rPr>
        <w:rFonts w:ascii="Courier New" w:hAnsi="Courier New" w:cs="Courier New" w:hint="default"/>
      </w:rPr>
    </w:lvl>
    <w:lvl w:ilvl="2" w:tplc="0C090005" w:tentative="1">
      <w:start w:val="1"/>
      <w:numFmt w:val="bullet"/>
      <w:lvlText w:val=""/>
      <w:lvlJc w:val="left"/>
      <w:pPr>
        <w:ind w:left="2886" w:hanging="360"/>
      </w:pPr>
      <w:rPr>
        <w:rFonts w:ascii="Wingdings" w:hAnsi="Wingdings" w:hint="default"/>
      </w:rPr>
    </w:lvl>
    <w:lvl w:ilvl="3" w:tplc="0C090001" w:tentative="1">
      <w:start w:val="1"/>
      <w:numFmt w:val="bullet"/>
      <w:lvlText w:val=""/>
      <w:lvlJc w:val="left"/>
      <w:pPr>
        <w:ind w:left="3606" w:hanging="360"/>
      </w:pPr>
      <w:rPr>
        <w:rFonts w:ascii="Symbol" w:hAnsi="Symbol" w:hint="default"/>
      </w:rPr>
    </w:lvl>
    <w:lvl w:ilvl="4" w:tplc="0C090003" w:tentative="1">
      <w:start w:val="1"/>
      <w:numFmt w:val="bullet"/>
      <w:lvlText w:val="o"/>
      <w:lvlJc w:val="left"/>
      <w:pPr>
        <w:ind w:left="4326" w:hanging="360"/>
      </w:pPr>
      <w:rPr>
        <w:rFonts w:ascii="Courier New" w:hAnsi="Courier New" w:cs="Courier New" w:hint="default"/>
      </w:rPr>
    </w:lvl>
    <w:lvl w:ilvl="5" w:tplc="0C090005" w:tentative="1">
      <w:start w:val="1"/>
      <w:numFmt w:val="bullet"/>
      <w:lvlText w:val=""/>
      <w:lvlJc w:val="left"/>
      <w:pPr>
        <w:ind w:left="5046" w:hanging="360"/>
      </w:pPr>
      <w:rPr>
        <w:rFonts w:ascii="Wingdings" w:hAnsi="Wingdings" w:hint="default"/>
      </w:rPr>
    </w:lvl>
    <w:lvl w:ilvl="6" w:tplc="0C090001" w:tentative="1">
      <w:start w:val="1"/>
      <w:numFmt w:val="bullet"/>
      <w:lvlText w:val=""/>
      <w:lvlJc w:val="left"/>
      <w:pPr>
        <w:ind w:left="5766" w:hanging="360"/>
      </w:pPr>
      <w:rPr>
        <w:rFonts w:ascii="Symbol" w:hAnsi="Symbol" w:hint="default"/>
      </w:rPr>
    </w:lvl>
    <w:lvl w:ilvl="7" w:tplc="0C090003" w:tentative="1">
      <w:start w:val="1"/>
      <w:numFmt w:val="bullet"/>
      <w:lvlText w:val="o"/>
      <w:lvlJc w:val="left"/>
      <w:pPr>
        <w:ind w:left="6486" w:hanging="360"/>
      </w:pPr>
      <w:rPr>
        <w:rFonts w:ascii="Courier New" w:hAnsi="Courier New" w:cs="Courier New" w:hint="default"/>
      </w:rPr>
    </w:lvl>
    <w:lvl w:ilvl="8" w:tplc="0C090005" w:tentative="1">
      <w:start w:val="1"/>
      <w:numFmt w:val="bullet"/>
      <w:lvlText w:val=""/>
      <w:lvlJc w:val="left"/>
      <w:pPr>
        <w:ind w:left="7206" w:hanging="360"/>
      </w:pPr>
      <w:rPr>
        <w:rFonts w:ascii="Wingdings" w:hAnsi="Wingdings" w:hint="default"/>
      </w:rPr>
    </w:lvl>
  </w:abstractNum>
  <w:abstractNum w:abstractNumId="37" w15:restartNumberingAfterBreak="0">
    <w:nsid w:val="6F794962"/>
    <w:multiLevelType w:val="hybridMultilevel"/>
    <w:tmpl w:val="D7D0E9CE"/>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0A95CE5"/>
    <w:multiLevelType w:val="hybridMultilevel"/>
    <w:tmpl w:val="01CC3BF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9"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40" w15:restartNumberingAfterBreak="0">
    <w:nsid w:val="775D7BDE"/>
    <w:multiLevelType w:val="multilevel"/>
    <w:tmpl w:val="F01AC7F4"/>
    <w:lvl w:ilvl="0">
      <w:start w:val="1"/>
      <w:numFmt w:val="lowerLetter"/>
      <w:lvlText w:val="%1."/>
      <w:lvlJc w:val="left"/>
      <w:pPr>
        <w:tabs>
          <w:tab w:val="num" w:pos="720"/>
        </w:tabs>
        <w:ind w:left="720" w:hanging="360"/>
      </w:pPr>
    </w:lvl>
    <w:lvl w:ilvl="1">
      <w:start w:val="1"/>
      <w:numFmt w:val="lowerRoman"/>
      <w:lvlText w:val="%2."/>
      <w:lvlJc w:val="right"/>
      <w:pPr>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1" w15:restartNumberingAfterBreak="0">
    <w:nsid w:val="77DD24ED"/>
    <w:multiLevelType w:val="hybridMultilevel"/>
    <w:tmpl w:val="8C88C7A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2" w15:restartNumberingAfterBreak="0">
    <w:nsid w:val="7DF43FCE"/>
    <w:multiLevelType w:val="hybridMultilevel"/>
    <w:tmpl w:val="30160764"/>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0C09001B">
      <w:start w:val="1"/>
      <w:numFmt w:val="lowerRoman"/>
      <w:lvlText w:val="%4."/>
      <w:lvlJc w:val="righ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79560429">
    <w:abstractNumId w:val="10"/>
  </w:num>
  <w:num w:numId="2" w16cid:durableId="861433996">
    <w:abstractNumId w:val="15"/>
  </w:num>
  <w:num w:numId="3" w16cid:durableId="1266572246">
    <w:abstractNumId w:val="4"/>
  </w:num>
  <w:num w:numId="4" w16cid:durableId="1172835113">
    <w:abstractNumId w:val="39"/>
  </w:num>
  <w:num w:numId="5" w16cid:durableId="271010807">
    <w:abstractNumId w:val="32"/>
  </w:num>
  <w:num w:numId="6" w16cid:durableId="1650404001">
    <w:abstractNumId w:val="16"/>
  </w:num>
  <w:num w:numId="7" w16cid:durableId="852887262">
    <w:abstractNumId w:val="5"/>
  </w:num>
  <w:num w:numId="8" w16cid:durableId="1543135759">
    <w:abstractNumId w:val="14"/>
  </w:num>
  <w:num w:numId="9" w16cid:durableId="1993825620">
    <w:abstractNumId w:val="12"/>
  </w:num>
  <w:num w:numId="10" w16cid:durableId="1953827555">
    <w:abstractNumId w:val="25"/>
  </w:num>
  <w:num w:numId="11" w16cid:durableId="518660418">
    <w:abstractNumId w:val="6"/>
  </w:num>
  <w:num w:numId="12" w16cid:durableId="1670985983">
    <w:abstractNumId w:val="20"/>
  </w:num>
  <w:num w:numId="13" w16cid:durableId="1105271352">
    <w:abstractNumId w:val="0"/>
  </w:num>
  <w:num w:numId="14" w16cid:durableId="1006984747">
    <w:abstractNumId w:val="33"/>
  </w:num>
  <w:num w:numId="15" w16cid:durableId="2057309170">
    <w:abstractNumId w:val="11"/>
  </w:num>
  <w:num w:numId="16" w16cid:durableId="1180465526">
    <w:abstractNumId w:val="23"/>
  </w:num>
  <w:num w:numId="17" w16cid:durableId="615449921">
    <w:abstractNumId w:val="19"/>
  </w:num>
  <w:num w:numId="18" w16cid:durableId="1381704753">
    <w:abstractNumId w:val="1"/>
  </w:num>
  <w:num w:numId="19" w16cid:durableId="1887836275">
    <w:abstractNumId w:val="24"/>
  </w:num>
  <w:num w:numId="20" w16cid:durableId="364215119">
    <w:abstractNumId w:val="28"/>
  </w:num>
  <w:num w:numId="21" w16cid:durableId="1647321882">
    <w:abstractNumId w:val="30"/>
  </w:num>
  <w:num w:numId="22" w16cid:durableId="2128086904">
    <w:abstractNumId w:val="8"/>
  </w:num>
  <w:num w:numId="23" w16cid:durableId="1905557121">
    <w:abstractNumId w:val="38"/>
  </w:num>
  <w:num w:numId="24" w16cid:durableId="314647085">
    <w:abstractNumId w:val="29"/>
  </w:num>
  <w:num w:numId="25" w16cid:durableId="25451482">
    <w:abstractNumId w:val="35"/>
    <w:lvlOverride w:ilvl="0">
      <w:startOverride w:val="1"/>
    </w:lvlOverride>
    <w:lvlOverride w:ilvl="1"/>
    <w:lvlOverride w:ilvl="2"/>
    <w:lvlOverride w:ilvl="3"/>
    <w:lvlOverride w:ilvl="4"/>
    <w:lvlOverride w:ilvl="5"/>
    <w:lvlOverride w:ilvl="6"/>
    <w:lvlOverride w:ilvl="7"/>
    <w:lvlOverride w:ilvl="8"/>
  </w:num>
  <w:num w:numId="26" w16cid:durableId="1122655981">
    <w:abstractNumId w:val="36"/>
  </w:num>
  <w:num w:numId="27" w16cid:durableId="627971412">
    <w:abstractNumId w:val="41"/>
  </w:num>
  <w:num w:numId="28" w16cid:durableId="410546627">
    <w:abstractNumId w:val="3"/>
  </w:num>
  <w:num w:numId="29" w16cid:durableId="61951863">
    <w:abstractNumId w:val="22"/>
  </w:num>
  <w:num w:numId="30" w16cid:durableId="1197738835">
    <w:abstractNumId w:val="13"/>
  </w:num>
  <w:num w:numId="31" w16cid:durableId="840585525">
    <w:abstractNumId w:val="34"/>
  </w:num>
  <w:num w:numId="32" w16cid:durableId="2090228518">
    <w:abstractNumId w:val="42"/>
  </w:num>
  <w:num w:numId="33" w16cid:durableId="131600411">
    <w:abstractNumId w:val="31"/>
  </w:num>
  <w:num w:numId="34" w16cid:durableId="1198544728">
    <w:abstractNumId w:val="26"/>
  </w:num>
  <w:num w:numId="35" w16cid:durableId="234051727">
    <w:abstractNumId w:val="9"/>
  </w:num>
  <w:num w:numId="36" w16cid:durableId="950749446">
    <w:abstractNumId w:val="21"/>
  </w:num>
  <w:num w:numId="37" w16cid:durableId="719673943">
    <w:abstractNumId w:val="17"/>
  </w:num>
  <w:num w:numId="38" w16cid:durableId="1137916944">
    <w:abstractNumId w:val="40"/>
  </w:num>
  <w:num w:numId="39" w16cid:durableId="1085539923">
    <w:abstractNumId w:val="27"/>
  </w:num>
  <w:num w:numId="40" w16cid:durableId="639459814">
    <w:abstractNumId w:val="37"/>
  </w:num>
  <w:num w:numId="41" w16cid:durableId="904798240">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efaultTableStyle w:val="EDU-Basic"/>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228"/>
    <w:rsid w:val="00000732"/>
    <w:rsid w:val="00001216"/>
    <w:rsid w:val="0000214A"/>
    <w:rsid w:val="00002AED"/>
    <w:rsid w:val="000036A3"/>
    <w:rsid w:val="00004DE4"/>
    <w:rsid w:val="0000550E"/>
    <w:rsid w:val="000057E5"/>
    <w:rsid w:val="00005A0E"/>
    <w:rsid w:val="0001000F"/>
    <w:rsid w:val="00012366"/>
    <w:rsid w:val="00012D9E"/>
    <w:rsid w:val="00013383"/>
    <w:rsid w:val="00014874"/>
    <w:rsid w:val="00014FCE"/>
    <w:rsid w:val="00015B28"/>
    <w:rsid w:val="00016733"/>
    <w:rsid w:val="00017A21"/>
    <w:rsid w:val="00020691"/>
    <w:rsid w:val="00020E6F"/>
    <w:rsid w:val="00021FBE"/>
    <w:rsid w:val="00022859"/>
    <w:rsid w:val="000246B8"/>
    <w:rsid w:val="00024BED"/>
    <w:rsid w:val="000254E4"/>
    <w:rsid w:val="00025F06"/>
    <w:rsid w:val="00027DA8"/>
    <w:rsid w:val="000306CE"/>
    <w:rsid w:val="00030767"/>
    <w:rsid w:val="00030C28"/>
    <w:rsid w:val="000315A5"/>
    <w:rsid w:val="00031B26"/>
    <w:rsid w:val="00032523"/>
    <w:rsid w:val="0003284A"/>
    <w:rsid w:val="000328B6"/>
    <w:rsid w:val="00032AF2"/>
    <w:rsid w:val="00033D9C"/>
    <w:rsid w:val="00035946"/>
    <w:rsid w:val="00036B53"/>
    <w:rsid w:val="00037235"/>
    <w:rsid w:val="00037626"/>
    <w:rsid w:val="00037645"/>
    <w:rsid w:val="000411D2"/>
    <w:rsid w:val="00042844"/>
    <w:rsid w:val="00042C19"/>
    <w:rsid w:val="00042EBB"/>
    <w:rsid w:val="00044650"/>
    <w:rsid w:val="0004471D"/>
    <w:rsid w:val="00044BA9"/>
    <w:rsid w:val="00045AC6"/>
    <w:rsid w:val="00045BC8"/>
    <w:rsid w:val="0004612B"/>
    <w:rsid w:val="00046EAB"/>
    <w:rsid w:val="000478C5"/>
    <w:rsid w:val="00050298"/>
    <w:rsid w:val="00050472"/>
    <w:rsid w:val="000510FB"/>
    <w:rsid w:val="0005169E"/>
    <w:rsid w:val="00051B68"/>
    <w:rsid w:val="00051F71"/>
    <w:rsid w:val="000521D7"/>
    <w:rsid w:val="00053249"/>
    <w:rsid w:val="00054904"/>
    <w:rsid w:val="00055403"/>
    <w:rsid w:val="0005554E"/>
    <w:rsid w:val="000564EA"/>
    <w:rsid w:val="00056A00"/>
    <w:rsid w:val="00057048"/>
    <w:rsid w:val="00063AAC"/>
    <w:rsid w:val="0006412F"/>
    <w:rsid w:val="00065C8A"/>
    <w:rsid w:val="00066EF9"/>
    <w:rsid w:val="00067116"/>
    <w:rsid w:val="00067386"/>
    <w:rsid w:val="00070247"/>
    <w:rsid w:val="00071487"/>
    <w:rsid w:val="00071488"/>
    <w:rsid w:val="00071899"/>
    <w:rsid w:val="00074330"/>
    <w:rsid w:val="0007553A"/>
    <w:rsid w:val="000761E7"/>
    <w:rsid w:val="000768CC"/>
    <w:rsid w:val="0007697B"/>
    <w:rsid w:val="00077CB9"/>
    <w:rsid w:val="000811CF"/>
    <w:rsid w:val="000823C3"/>
    <w:rsid w:val="0008382A"/>
    <w:rsid w:val="00083D25"/>
    <w:rsid w:val="0008767B"/>
    <w:rsid w:val="000902AD"/>
    <w:rsid w:val="000915D1"/>
    <w:rsid w:val="000921BC"/>
    <w:rsid w:val="0009298A"/>
    <w:rsid w:val="000937A7"/>
    <w:rsid w:val="00094422"/>
    <w:rsid w:val="00094B02"/>
    <w:rsid w:val="00095A36"/>
    <w:rsid w:val="0009693C"/>
    <w:rsid w:val="00096C65"/>
    <w:rsid w:val="000A0B58"/>
    <w:rsid w:val="000A179F"/>
    <w:rsid w:val="000A288C"/>
    <w:rsid w:val="000A44F4"/>
    <w:rsid w:val="000A4A7A"/>
    <w:rsid w:val="000A559D"/>
    <w:rsid w:val="000A6228"/>
    <w:rsid w:val="000A655C"/>
    <w:rsid w:val="000A7386"/>
    <w:rsid w:val="000A75FE"/>
    <w:rsid w:val="000B0762"/>
    <w:rsid w:val="000B1546"/>
    <w:rsid w:val="000B1803"/>
    <w:rsid w:val="000B1CB9"/>
    <w:rsid w:val="000B3154"/>
    <w:rsid w:val="000B5D40"/>
    <w:rsid w:val="000B6DC9"/>
    <w:rsid w:val="000B752F"/>
    <w:rsid w:val="000B7EC6"/>
    <w:rsid w:val="000C0483"/>
    <w:rsid w:val="000C057D"/>
    <w:rsid w:val="000C3461"/>
    <w:rsid w:val="000C3EBB"/>
    <w:rsid w:val="000C4365"/>
    <w:rsid w:val="000C542B"/>
    <w:rsid w:val="000C5EF4"/>
    <w:rsid w:val="000C7DC9"/>
    <w:rsid w:val="000D0C60"/>
    <w:rsid w:val="000D1DAA"/>
    <w:rsid w:val="000D22DB"/>
    <w:rsid w:val="000D2347"/>
    <w:rsid w:val="000D24CA"/>
    <w:rsid w:val="000D28AB"/>
    <w:rsid w:val="000D2E15"/>
    <w:rsid w:val="000D48FB"/>
    <w:rsid w:val="000D5AE0"/>
    <w:rsid w:val="000D5C2B"/>
    <w:rsid w:val="000D6233"/>
    <w:rsid w:val="000D6D02"/>
    <w:rsid w:val="000E108B"/>
    <w:rsid w:val="000E1311"/>
    <w:rsid w:val="000E4568"/>
    <w:rsid w:val="000E5FF6"/>
    <w:rsid w:val="000F1CEF"/>
    <w:rsid w:val="000F25E3"/>
    <w:rsid w:val="000F2CAC"/>
    <w:rsid w:val="000F3F61"/>
    <w:rsid w:val="000F5FD9"/>
    <w:rsid w:val="000F627D"/>
    <w:rsid w:val="000F6B1E"/>
    <w:rsid w:val="000F7988"/>
    <w:rsid w:val="000F7F3E"/>
    <w:rsid w:val="00100160"/>
    <w:rsid w:val="00101191"/>
    <w:rsid w:val="0010203C"/>
    <w:rsid w:val="00102385"/>
    <w:rsid w:val="00102AE2"/>
    <w:rsid w:val="001044AD"/>
    <w:rsid w:val="0010485E"/>
    <w:rsid w:val="00104ABA"/>
    <w:rsid w:val="00104F75"/>
    <w:rsid w:val="001053FB"/>
    <w:rsid w:val="00105912"/>
    <w:rsid w:val="00105BA8"/>
    <w:rsid w:val="0010655E"/>
    <w:rsid w:val="001068C0"/>
    <w:rsid w:val="001074C4"/>
    <w:rsid w:val="00107D87"/>
    <w:rsid w:val="00107DD5"/>
    <w:rsid w:val="00110106"/>
    <w:rsid w:val="0011108B"/>
    <w:rsid w:val="00111CCC"/>
    <w:rsid w:val="001132E6"/>
    <w:rsid w:val="001140F9"/>
    <w:rsid w:val="001147DF"/>
    <w:rsid w:val="00114CD6"/>
    <w:rsid w:val="0011636C"/>
    <w:rsid w:val="00116DBA"/>
    <w:rsid w:val="0011712A"/>
    <w:rsid w:val="00117791"/>
    <w:rsid w:val="00117A68"/>
    <w:rsid w:val="00117E34"/>
    <w:rsid w:val="001206ED"/>
    <w:rsid w:val="001213B6"/>
    <w:rsid w:val="001215DC"/>
    <w:rsid w:val="0012265E"/>
    <w:rsid w:val="00123295"/>
    <w:rsid w:val="0012343A"/>
    <w:rsid w:val="001235C1"/>
    <w:rsid w:val="001239E3"/>
    <w:rsid w:val="00124C8F"/>
    <w:rsid w:val="00126DA2"/>
    <w:rsid w:val="00127160"/>
    <w:rsid w:val="00130A28"/>
    <w:rsid w:val="00131A0E"/>
    <w:rsid w:val="00133B87"/>
    <w:rsid w:val="00133B8D"/>
    <w:rsid w:val="00133CAE"/>
    <w:rsid w:val="00133E55"/>
    <w:rsid w:val="00134546"/>
    <w:rsid w:val="00134649"/>
    <w:rsid w:val="00134664"/>
    <w:rsid w:val="001347D3"/>
    <w:rsid w:val="0013539E"/>
    <w:rsid w:val="0013611E"/>
    <w:rsid w:val="001366DB"/>
    <w:rsid w:val="0014082E"/>
    <w:rsid w:val="00142210"/>
    <w:rsid w:val="00143085"/>
    <w:rsid w:val="001439AD"/>
    <w:rsid w:val="00143CF3"/>
    <w:rsid w:val="00145559"/>
    <w:rsid w:val="00145A27"/>
    <w:rsid w:val="0014707A"/>
    <w:rsid w:val="00150083"/>
    <w:rsid w:val="001515BF"/>
    <w:rsid w:val="00152CF5"/>
    <w:rsid w:val="00152D27"/>
    <w:rsid w:val="00152E45"/>
    <w:rsid w:val="00153391"/>
    <w:rsid w:val="00154410"/>
    <w:rsid w:val="00155DAE"/>
    <w:rsid w:val="0015637D"/>
    <w:rsid w:val="0015703A"/>
    <w:rsid w:val="00160D84"/>
    <w:rsid w:val="001620B1"/>
    <w:rsid w:val="001625D4"/>
    <w:rsid w:val="00162ED9"/>
    <w:rsid w:val="001659DF"/>
    <w:rsid w:val="00166D3C"/>
    <w:rsid w:val="001674C1"/>
    <w:rsid w:val="00167597"/>
    <w:rsid w:val="001677D6"/>
    <w:rsid w:val="001679CD"/>
    <w:rsid w:val="0017134D"/>
    <w:rsid w:val="00171389"/>
    <w:rsid w:val="001755F8"/>
    <w:rsid w:val="001769FD"/>
    <w:rsid w:val="001822BE"/>
    <w:rsid w:val="00182F6F"/>
    <w:rsid w:val="001844DC"/>
    <w:rsid w:val="001846B4"/>
    <w:rsid w:val="00185046"/>
    <w:rsid w:val="001854A1"/>
    <w:rsid w:val="00185A9D"/>
    <w:rsid w:val="00185BEF"/>
    <w:rsid w:val="00185CAE"/>
    <w:rsid w:val="00186094"/>
    <w:rsid w:val="00187D82"/>
    <w:rsid w:val="00190770"/>
    <w:rsid w:val="00190B1A"/>
    <w:rsid w:val="0019135C"/>
    <w:rsid w:val="0019217D"/>
    <w:rsid w:val="00192329"/>
    <w:rsid w:val="0019275D"/>
    <w:rsid w:val="001948D3"/>
    <w:rsid w:val="001952EF"/>
    <w:rsid w:val="0019564D"/>
    <w:rsid w:val="0019778D"/>
    <w:rsid w:val="001A2155"/>
    <w:rsid w:val="001A231F"/>
    <w:rsid w:val="001A505C"/>
    <w:rsid w:val="001A5AB9"/>
    <w:rsid w:val="001A61FF"/>
    <w:rsid w:val="001A64A5"/>
    <w:rsid w:val="001A6E46"/>
    <w:rsid w:val="001A7075"/>
    <w:rsid w:val="001A7FFE"/>
    <w:rsid w:val="001B0902"/>
    <w:rsid w:val="001B0A2C"/>
    <w:rsid w:val="001B0AE0"/>
    <w:rsid w:val="001B2957"/>
    <w:rsid w:val="001B3D13"/>
    <w:rsid w:val="001B509B"/>
    <w:rsid w:val="001B5B12"/>
    <w:rsid w:val="001B6FEB"/>
    <w:rsid w:val="001C0308"/>
    <w:rsid w:val="001C0D19"/>
    <w:rsid w:val="001C10D0"/>
    <w:rsid w:val="001C140E"/>
    <w:rsid w:val="001C1486"/>
    <w:rsid w:val="001C1523"/>
    <w:rsid w:val="001C17FD"/>
    <w:rsid w:val="001C2436"/>
    <w:rsid w:val="001C2DA1"/>
    <w:rsid w:val="001C2F62"/>
    <w:rsid w:val="001C3148"/>
    <w:rsid w:val="001C48FD"/>
    <w:rsid w:val="001C5E89"/>
    <w:rsid w:val="001D0CDB"/>
    <w:rsid w:val="001D220D"/>
    <w:rsid w:val="001D27BF"/>
    <w:rsid w:val="001D3F98"/>
    <w:rsid w:val="001D48E1"/>
    <w:rsid w:val="001D523C"/>
    <w:rsid w:val="001D79BF"/>
    <w:rsid w:val="001E020D"/>
    <w:rsid w:val="001E20EA"/>
    <w:rsid w:val="001E38A3"/>
    <w:rsid w:val="001E3B89"/>
    <w:rsid w:val="001E41CA"/>
    <w:rsid w:val="001E5BEE"/>
    <w:rsid w:val="001E5C8A"/>
    <w:rsid w:val="001E7604"/>
    <w:rsid w:val="001E76CF"/>
    <w:rsid w:val="001F0D46"/>
    <w:rsid w:val="001F0DA6"/>
    <w:rsid w:val="001F12EE"/>
    <w:rsid w:val="001F377F"/>
    <w:rsid w:val="001F3873"/>
    <w:rsid w:val="001F438F"/>
    <w:rsid w:val="001F4466"/>
    <w:rsid w:val="001F4AED"/>
    <w:rsid w:val="00200034"/>
    <w:rsid w:val="0020430A"/>
    <w:rsid w:val="002049B6"/>
    <w:rsid w:val="002049C8"/>
    <w:rsid w:val="00204DB0"/>
    <w:rsid w:val="002059DB"/>
    <w:rsid w:val="00205C8E"/>
    <w:rsid w:val="0020606B"/>
    <w:rsid w:val="00210B2C"/>
    <w:rsid w:val="00210BF8"/>
    <w:rsid w:val="00211451"/>
    <w:rsid w:val="00211C98"/>
    <w:rsid w:val="00213527"/>
    <w:rsid w:val="0021395F"/>
    <w:rsid w:val="002139ED"/>
    <w:rsid w:val="00213BA3"/>
    <w:rsid w:val="00214B75"/>
    <w:rsid w:val="00214C8B"/>
    <w:rsid w:val="00215E7B"/>
    <w:rsid w:val="00217115"/>
    <w:rsid w:val="00217D1F"/>
    <w:rsid w:val="0022051F"/>
    <w:rsid w:val="0022081D"/>
    <w:rsid w:val="00221590"/>
    <w:rsid w:val="00221D8F"/>
    <w:rsid w:val="00222965"/>
    <w:rsid w:val="00222FF8"/>
    <w:rsid w:val="002240D4"/>
    <w:rsid w:val="0022466F"/>
    <w:rsid w:val="00224D6C"/>
    <w:rsid w:val="00225A25"/>
    <w:rsid w:val="002272DB"/>
    <w:rsid w:val="00227A70"/>
    <w:rsid w:val="00227BD7"/>
    <w:rsid w:val="00227E60"/>
    <w:rsid w:val="002302C7"/>
    <w:rsid w:val="00230DD5"/>
    <w:rsid w:val="00230FDA"/>
    <w:rsid w:val="0023106E"/>
    <w:rsid w:val="002312B1"/>
    <w:rsid w:val="002332F8"/>
    <w:rsid w:val="00234155"/>
    <w:rsid w:val="00234C7D"/>
    <w:rsid w:val="00235212"/>
    <w:rsid w:val="002352A6"/>
    <w:rsid w:val="00235752"/>
    <w:rsid w:val="002375B4"/>
    <w:rsid w:val="0023768D"/>
    <w:rsid w:val="00237A2E"/>
    <w:rsid w:val="00237C88"/>
    <w:rsid w:val="0024027A"/>
    <w:rsid w:val="00240340"/>
    <w:rsid w:val="00240386"/>
    <w:rsid w:val="002406C6"/>
    <w:rsid w:val="00240882"/>
    <w:rsid w:val="00243897"/>
    <w:rsid w:val="00244304"/>
    <w:rsid w:val="00244BC7"/>
    <w:rsid w:val="00244EC7"/>
    <w:rsid w:val="0024579F"/>
    <w:rsid w:val="00245E81"/>
    <w:rsid w:val="002473DB"/>
    <w:rsid w:val="0025048A"/>
    <w:rsid w:val="002509C9"/>
    <w:rsid w:val="00250A10"/>
    <w:rsid w:val="002512BE"/>
    <w:rsid w:val="002512F9"/>
    <w:rsid w:val="0025159C"/>
    <w:rsid w:val="00252609"/>
    <w:rsid w:val="002534B4"/>
    <w:rsid w:val="00253ACA"/>
    <w:rsid w:val="00254DAD"/>
    <w:rsid w:val="00256320"/>
    <w:rsid w:val="002568DC"/>
    <w:rsid w:val="0025748E"/>
    <w:rsid w:val="0026173D"/>
    <w:rsid w:val="00262F96"/>
    <w:rsid w:val="0026326E"/>
    <w:rsid w:val="00263692"/>
    <w:rsid w:val="00264D91"/>
    <w:rsid w:val="00265C00"/>
    <w:rsid w:val="002666A2"/>
    <w:rsid w:val="00266BAA"/>
    <w:rsid w:val="002676C7"/>
    <w:rsid w:val="00270230"/>
    <w:rsid w:val="00270DF6"/>
    <w:rsid w:val="00270EC4"/>
    <w:rsid w:val="00271394"/>
    <w:rsid w:val="00271ED3"/>
    <w:rsid w:val="00272620"/>
    <w:rsid w:val="0027291A"/>
    <w:rsid w:val="002734CB"/>
    <w:rsid w:val="00273B8B"/>
    <w:rsid w:val="002742D9"/>
    <w:rsid w:val="00275E04"/>
    <w:rsid w:val="00276047"/>
    <w:rsid w:val="00276F59"/>
    <w:rsid w:val="00277884"/>
    <w:rsid w:val="0028381B"/>
    <w:rsid w:val="00283D2F"/>
    <w:rsid w:val="00284015"/>
    <w:rsid w:val="00284B8F"/>
    <w:rsid w:val="0028537A"/>
    <w:rsid w:val="00286F4D"/>
    <w:rsid w:val="00292EFB"/>
    <w:rsid w:val="0029350C"/>
    <w:rsid w:val="00294CDA"/>
    <w:rsid w:val="0029638D"/>
    <w:rsid w:val="002A085A"/>
    <w:rsid w:val="002A1160"/>
    <w:rsid w:val="002A1799"/>
    <w:rsid w:val="002A24DA"/>
    <w:rsid w:val="002A2F4F"/>
    <w:rsid w:val="002A3456"/>
    <w:rsid w:val="002A3D60"/>
    <w:rsid w:val="002A4458"/>
    <w:rsid w:val="002A482F"/>
    <w:rsid w:val="002A4E86"/>
    <w:rsid w:val="002A54C8"/>
    <w:rsid w:val="002A5A1C"/>
    <w:rsid w:val="002A5CA7"/>
    <w:rsid w:val="002A5CF2"/>
    <w:rsid w:val="002A61E5"/>
    <w:rsid w:val="002A62DD"/>
    <w:rsid w:val="002A67E2"/>
    <w:rsid w:val="002A7459"/>
    <w:rsid w:val="002B0BBB"/>
    <w:rsid w:val="002B4FC6"/>
    <w:rsid w:val="002C15BF"/>
    <w:rsid w:val="002C4101"/>
    <w:rsid w:val="002C431F"/>
    <w:rsid w:val="002C5AC2"/>
    <w:rsid w:val="002C6BC4"/>
    <w:rsid w:val="002C6CAB"/>
    <w:rsid w:val="002C79E1"/>
    <w:rsid w:val="002D0650"/>
    <w:rsid w:val="002D3EFB"/>
    <w:rsid w:val="002D560A"/>
    <w:rsid w:val="002D589A"/>
    <w:rsid w:val="002D5E96"/>
    <w:rsid w:val="002D5FA8"/>
    <w:rsid w:val="002D6A0A"/>
    <w:rsid w:val="002D7611"/>
    <w:rsid w:val="002E0795"/>
    <w:rsid w:val="002E3092"/>
    <w:rsid w:val="002E41B8"/>
    <w:rsid w:val="002E491A"/>
    <w:rsid w:val="002E4FF9"/>
    <w:rsid w:val="002E5197"/>
    <w:rsid w:val="002E5FDC"/>
    <w:rsid w:val="002E72C0"/>
    <w:rsid w:val="002E793E"/>
    <w:rsid w:val="002F1146"/>
    <w:rsid w:val="002F37ED"/>
    <w:rsid w:val="002F5255"/>
    <w:rsid w:val="002F5A36"/>
    <w:rsid w:val="002F5F87"/>
    <w:rsid w:val="002F67ED"/>
    <w:rsid w:val="002F6AE5"/>
    <w:rsid w:val="00302C6A"/>
    <w:rsid w:val="003040BE"/>
    <w:rsid w:val="00305311"/>
    <w:rsid w:val="003053CF"/>
    <w:rsid w:val="00306A28"/>
    <w:rsid w:val="00307795"/>
    <w:rsid w:val="00307AB4"/>
    <w:rsid w:val="003101EB"/>
    <w:rsid w:val="00310D1E"/>
    <w:rsid w:val="00311475"/>
    <w:rsid w:val="00311A2E"/>
    <w:rsid w:val="00311E3F"/>
    <w:rsid w:val="00311EF7"/>
    <w:rsid w:val="00312855"/>
    <w:rsid w:val="003137C9"/>
    <w:rsid w:val="0031546C"/>
    <w:rsid w:val="003154C5"/>
    <w:rsid w:val="00316DFC"/>
    <w:rsid w:val="00317229"/>
    <w:rsid w:val="00317804"/>
    <w:rsid w:val="003179A7"/>
    <w:rsid w:val="00320C59"/>
    <w:rsid w:val="00320F81"/>
    <w:rsid w:val="003219CC"/>
    <w:rsid w:val="00321F37"/>
    <w:rsid w:val="00322A3D"/>
    <w:rsid w:val="00323949"/>
    <w:rsid w:val="00326E95"/>
    <w:rsid w:val="003277CD"/>
    <w:rsid w:val="00327DD3"/>
    <w:rsid w:val="0033205E"/>
    <w:rsid w:val="003327B0"/>
    <w:rsid w:val="00333BC0"/>
    <w:rsid w:val="00335890"/>
    <w:rsid w:val="00335F6F"/>
    <w:rsid w:val="0034019D"/>
    <w:rsid w:val="00342407"/>
    <w:rsid w:val="00342AFB"/>
    <w:rsid w:val="00343B6A"/>
    <w:rsid w:val="00343F7F"/>
    <w:rsid w:val="00344442"/>
    <w:rsid w:val="0034508C"/>
    <w:rsid w:val="0034665D"/>
    <w:rsid w:val="00350206"/>
    <w:rsid w:val="00353750"/>
    <w:rsid w:val="00354328"/>
    <w:rsid w:val="003549DC"/>
    <w:rsid w:val="00355AC0"/>
    <w:rsid w:val="003566B3"/>
    <w:rsid w:val="00356B66"/>
    <w:rsid w:val="003601EC"/>
    <w:rsid w:val="00360229"/>
    <w:rsid w:val="00360C3A"/>
    <w:rsid w:val="003617C6"/>
    <w:rsid w:val="0036456C"/>
    <w:rsid w:val="00366799"/>
    <w:rsid w:val="00367F4D"/>
    <w:rsid w:val="00371CEB"/>
    <w:rsid w:val="003726BE"/>
    <w:rsid w:val="003739BF"/>
    <w:rsid w:val="00374342"/>
    <w:rsid w:val="003749DB"/>
    <w:rsid w:val="00374BB6"/>
    <w:rsid w:val="003751F5"/>
    <w:rsid w:val="003767A7"/>
    <w:rsid w:val="0038036E"/>
    <w:rsid w:val="00382B73"/>
    <w:rsid w:val="00382EE3"/>
    <w:rsid w:val="0038550D"/>
    <w:rsid w:val="00385835"/>
    <w:rsid w:val="00386787"/>
    <w:rsid w:val="00386F97"/>
    <w:rsid w:val="0038722B"/>
    <w:rsid w:val="00390AB3"/>
    <w:rsid w:val="00390E3C"/>
    <w:rsid w:val="00392DF5"/>
    <w:rsid w:val="00392F5D"/>
    <w:rsid w:val="00393C71"/>
    <w:rsid w:val="00393DB3"/>
    <w:rsid w:val="00394944"/>
    <w:rsid w:val="00395DA9"/>
    <w:rsid w:val="003967E2"/>
    <w:rsid w:val="0039729A"/>
    <w:rsid w:val="00397F06"/>
    <w:rsid w:val="003A0821"/>
    <w:rsid w:val="003A0915"/>
    <w:rsid w:val="003A0C37"/>
    <w:rsid w:val="003A1982"/>
    <w:rsid w:val="003A33D7"/>
    <w:rsid w:val="003A3531"/>
    <w:rsid w:val="003A367A"/>
    <w:rsid w:val="003A3D2E"/>
    <w:rsid w:val="003A4431"/>
    <w:rsid w:val="003A4DCE"/>
    <w:rsid w:val="003A53C2"/>
    <w:rsid w:val="003A568B"/>
    <w:rsid w:val="003A7E6B"/>
    <w:rsid w:val="003B0A37"/>
    <w:rsid w:val="003B1342"/>
    <w:rsid w:val="003B1ECB"/>
    <w:rsid w:val="003B2AE3"/>
    <w:rsid w:val="003B2DBC"/>
    <w:rsid w:val="003B4D44"/>
    <w:rsid w:val="003B4F77"/>
    <w:rsid w:val="003B516C"/>
    <w:rsid w:val="003B560E"/>
    <w:rsid w:val="003B59CA"/>
    <w:rsid w:val="003B6338"/>
    <w:rsid w:val="003B6817"/>
    <w:rsid w:val="003B6D8D"/>
    <w:rsid w:val="003B6DB3"/>
    <w:rsid w:val="003B78F2"/>
    <w:rsid w:val="003B7CF3"/>
    <w:rsid w:val="003C182E"/>
    <w:rsid w:val="003C1F6A"/>
    <w:rsid w:val="003C20AC"/>
    <w:rsid w:val="003C3938"/>
    <w:rsid w:val="003C4646"/>
    <w:rsid w:val="003C57B1"/>
    <w:rsid w:val="003C5E14"/>
    <w:rsid w:val="003C7063"/>
    <w:rsid w:val="003C775C"/>
    <w:rsid w:val="003D15B8"/>
    <w:rsid w:val="003D1B52"/>
    <w:rsid w:val="003D3BD0"/>
    <w:rsid w:val="003D5793"/>
    <w:rsid w:val="003E1E63"/>
    <w:rsid w:val="003E3045"/>
    <w:rsid w:val="003E34B3"/>
    <w:rsid w:val="003E3826"/>
    <w:rsid w:val="003E459B"/>
    <w:rsid w:val="003E45E3"/>
    <w:rsid w:val="003E4CB1"/>
    <w:rsid w:val="003E4E58"/>
    <w:rsid w:val="003E5101"/>
    <w:rsid w:val="003E652E"/>
    <w:rsid w:val="003E6822"/>
    <w:rsid w:val="003E6EE8"/>
    <w:rsid w:val="003E6F12"/>
    <w:rsid w:val="003E7A1D"/>
    <w:rsid w:val="003F07D9"/>
    <w:rsid w:val="003F17E2"/>
    <w:rsid w:val="003F23CD"/>
    <w:rsid w:val="003F2CF0"/>
    <w:rsid w:val="003F2D58"/>
    <w:rsid w:val="003F3692"/>
    <w:rsid w:val="003F4332"/>
    <w:rsid w:val="003F4A62"/>
    <w:rsid w:val="003F4B3E"/>
    <w:rsid w:val="003F5351"/>
    <w:rsid w:val="003F5604"/>
    <w:rsid w:val="003F7004"/>
    <w:rsid w:val="003F70E7"/>
    <w:rsid w:val="003F799E"/>
    <w:rsid w:val="003F7D70"/>
    <w:rsid w:val="0040155D"/>
    <w:rsid w:val="00402D70"/>
    <w:rsid w:val="00403420"/>
    <w:rsid w:val="00403B88"/>
    <w:rsid w:val="00403E3D"/>
    <w:rsid w:val="00404ED1"/>
    <w:rsid w:val="00404EE7"/>
    <w:rsid w:val="004051F7"/>
    <w:rsid w:val="00405D89"/>
    <w:rsid w:val="00406A7B"/>
    <w:rsid w:val="00407D59"/>
    <w:rsid w:val="00410CE7"/>
    <w:rsid w:val="00411955"/>
    <w:rsid w:val="00411C97"/>
    <w:rsid w:val="00412320"/>
    <w:rsid w:val="00412AD1"/>
    <w:rsid w:val="004132DA"/>
    <w:rsid w:val="00415E46"/>
    <w:rsid w:val="00416F4C"/>
    <w:rsid w:val="0041713E"/>
    <w:rsid w:val="00417B40"/>
    <w:rsid w:val="0042156B"/>
    <w:rsid w:val="00421D3F"/>
    <w:rsid w:val="0042227C"/>
    <w:rsid w:val="00423785"/>
    <w:rsid w:val="00424717"/>
    <w:rsid w:val="004253CF"/>
    <w:rsid w:val="00425DD7"/>
    <w:rsid w:val="00426197"/>
    <w:rsid w:val="00426661"/>
    <w:rsid w:val="00427ED8"/>
    <w:rsid w:val="00434FA9"/>
    <w:rsid w:val="004351F1"/>
    <w:rsid w:val="004356CB"/>
    <w:rsid w:val="00435774"/>
    <w:rsid w:val="00436021"/>
    <w:rsid w:val="00437099"/>
    <w:rsid w:val="00437537"/>
    <w:rsid w:val="00437B12"/>
    <w:rsid w:val="0044067A"/>
    <w:rsid w:val="004412A1"/>
    <w:rsid w:val="00441D9D"/>
    <w:rsid w:val="00442004"/>
    <w:rsid w:val="004425DF"/>
    <w:rsid w:val="004433AC"/>
    <w:rsid w:val="00444000"/>
    <w:rsid w:val="00444881"/>
    <w:rsid w:val="004461F4"/>
    <w:rsid w:val="00447C04"/>
    <w:rsid w:val="00450E0F"/>
    <w:rsid w:val="004513A4"/>
    <w:rsid w:val="004519A7"/>
    <w:rsid w:val="00452D26"/>
    <w:rsid w:val="00453857"/>
    <w:rsid w:val="00454B4E"/>
    <w:rsid w:val="00456D88"/>
    <w:rsid w:val="00457938"/>
    <w:rsid w:val="0046194F"/>
    <w:rsid w:val="00463076"/>
    <w:rsid w:val="004644DA"/>
    <w:rsid w:val="0046581B"/>
    <w:rsid w:val="00467455"/>
    <w:rsid w:val="00467989"/>
    <w:rsid w:val="00467C51"/>
    <w:rsid w:val="00471E81"/>
    <w:rsid w:val="0047369D"/>
    <w:rsid w:val="00473C83"/>
    <w:rsid w:val="00474111"/>
    <w:rsid w:val="0047461F"/>
    <w:rsid w:val="00476048"/>
    <w:rsid w:val="004763C1"/>
    <w:rsid w:val="004802A6"/>
    <w:rsid w:val="004813BD"/>
    <w:rsid w:val="004815BA"/>
    <w:rsid w:val="00482494"/>
    <w:rsid w:val="00483620"/>
    <w:rsid w:val="0048409E"/>
    <w:rsid w:val="004852FE"/>
    <w:rsid w:val="00487B29"/>
    <w:rsid w:val="004904D0"/>
    <w:rsid w:val="004908EF"/>
    <w:rsid w:val="00490D26"/>
    <w:rsid w:val="00490D3E"/>
    <w:rsid w:val="0049158A"/>
    <w:rsid w:val="00491A34"/>
    <w:rsid w:val="004924A9"/>
    <w:rsid w:val="00493296"/>
    <w:rsid w:val="00493910"/>
    <w:rsid w:val="0049439C"/>
    <w:rsid w:val="00495743"/>
    <w:rsid w:val="00496555"/>
    <w:rsid w:val="0049743D"/>
    <w:rsid w:val="004A0084"/>
    <w:rsid w:val="004A0551"/>
    <w:rsid w:val="004A06CD"/>
    <w:rsid w:val="004A36DF"/>
    <w:rsid w:val="004A39B2"/>
    <w:rsid w:val="004A4B6F"/>
    <w:rsid w:val="004A4CF9"/>
    <w:rsid w:val="004A5741"/>
    <w:rsid w:val="004A5770"/>
    <w:rsid w:val="004A6A35"/>
    <w:rsid w:val="004A77D7"/>
    <w:rsid w:val="004B19E4"/>
    <w:rsid w:val="004B3878"/>
    <w:rsid w:val="004B4163"/>
    <w:rsid w:val="004B420B"/>
    <w:rsid w:val="004B4B42"/>
    <w:rsid w:val="004B5515"/>
    <w:rsid w:val="004B6994"/>
    <w:rsid w:val="004B6B60"/>
    <w:rsid w:val="004C01D6"/>
    <w:rsid w:val="004C482E"/>
    <w:rsid w:val="004C4F1D"/>
    <w:rsid w:val="004C5591"/>
    <w:rsid w:val="004D09E7"/>
    <w:rsid w:val="004D204C"/>
    <w:rsid w:val="004D2587"/>
    <w:rsid w:val="004D2965"/>
    <w:rsid w:val="004D2D9D"/>
    <w:rsid w:val="004D3E9E"/>
    <w:rsid w:val="004D4DAF"/>
    <w:rsid w:val="004D4E22"/>
    <w:rsid w:val="004D5941"/>
    <w:rsid w:val="004D652B"/>
    <w:rsid w:val="004D6F9F"/>
    <w:rsid w:val="004D7D06"/>
    <w:rsid w:val="004D7F22"/>
    <w:rsid w:val="004E023A"/>
    <w:rsid w:val="004E1B36"/>
    <w:rsid w:val="004E1CEF"/>
    <w:rsid w:val="004E2333"/>
    <w:rsid w:val="004E317B"/>
    <w:rsid w:val="004E3409"/>
    <w:rsid w:val="004E34C3"/>
    <w:rsid w:val="004E3867"/>
    <w:rsid w:val="004E3D72"/>
    <w:rsid w:val="004E5BCA"/>
    <w:rsid w:val="004E62AA"/>
    <w:rsid w:val="004E6702"/>
    <w:rsid w:val="004E6E2E"/>
    <w:rsid w:val="004F0849"/>
    <w:rsid w:val="004F16EA"/>
    <w:rsid w:val="004F342D"/>
    <w:rsid w:val="004F3B21"/>
    <w:rsid w:val="004F3EA6"/>
    <w:rsid w:val="004F4FCA"/>
    <w:rsid w:val="004F5B39"/>
    <w:rsid w:val="004F69BF"/>
    <w:rsid w:val="004F73A4"/>
    <w:rsid w:val="005007E6"/>
    <w:rsid w:val="00500E8E"/>
    <w:rsid w:val="0050217A"/>
    <w:rsid w:val="00502FB2"/>
    <w:rsid w:val="00503220"/>
    <w:rsid w:val="00503E19"/>
    <w:rsid w:val="0050406F"/>
    <w:rsid w:val="005043AF"/>
    <w:rsid w:val="0050440F"/>
    <w:rsid w:val="005053AD"/>
    <w:rsid w:val="00505B2F"/>
    <w:rsid w:val="00510B0B"/>
    <w:rsid w:val="00510D33"/>
    <w:rsid w:val="00511E44"/>
    <w:rsid w:val="00511ED2"/>
    <w:rsid w:val="00512F6F"/>
    <w:rsid w:val="00513A39"/>
    <w:rsid w:val="00514BE1"/>
    <w:rsid w:val="00514EAF"/>
    <w:rsid w:val="005154B6"/>
    <w:rsid w:val="005157BC"/>
    <w:rsid w:val="005162E7"/>
    <w:rsid w:val="0051732B"/>
    <w:rsid w:val="00520067"/>
    <w:rsid w:val="0052084D"/>
    <w:rsid w:val="00520AE9"/>
    <w:rsid w:val="00521621"/>
    <w:rsid w:val="00521A0D"/>
    <w:rsid w:val="00521C64"/>
    <w:rsid w:val="00522064"/>
    <w:rsid w:val="005252E5"/>
    <w:rsid w:val="00525422"/>
    <w:rsid w:val="005259FA"/>
    <w:rsid w:val="00525CAC"/>
    <w:rsid w:val="0052603D"/>
    <w:rsid w:val="00527845"/>
    <w:rsid w:val="00527941"/>
    <w:rsid w:val="0053019F"/>
    <w:rsid w:val="00531676"/>
    <w:rsid w:val="00531CF5"/>
    <w:rsid w:val="00532889"/>
    <w:rsid w:val="00532EA5"/>
    <w:rsid w:val="00533608"/>
    <w:rsid w:val="00533902"/>
    <w:rsid w:val="00534F7E"/>
    <w:rsid w:val="005379B9"/>
    <w:rsid w:val="00540512"/>
    <w:rsid w:val="00541EFD"/>
    <w:rsid w:val="00542853"/>
    <w:rsid w:val="00543DF4"/>
    <w:rsid w:val="00544486"/>
    <w:rsid w:val="00544CCE"/>
    <w:rsid w:val="00546396"/>
    <w:rsid w:val="0054751D"/>
    <w:rsid w:val="005526D0"/>
    <w:rsid w:val="005527EA"/>
    <w:rsid w:val="00553456"/>
    <w:rsid w:val="0055597E"/>
    <w:rsid w:val="00556171"/>
    <w:rsid w:val="005570B0"/>
    <w:rsid w:val="0055778A"/>
    <w:rsid w:val="00560E21"/>
    <w:rsid w:val="00560F8C"/>
    <w:rsid w:val="005615F8"/>
    <w:rsid w:val="00562A71"/>
    <w:rsid w:val="005635AD"/>
    <w:rsid w:val="00564730"/>
    <w:rsid w:val="00564C90"/>
    <w:rsid w:val="00565418"/>
    <w:rsid w:val="005663D8"/>
    <w:rsid w:val="005670B6"/>
    <w:rsid w:val="00567532"/>
    <w:rsid w:val="005701C8"/>
    <w:rsid w:val="0057040D"/>
    <w:rsid w:val="0057129F"/>
    <w:rsid w:val="00572936"/>
    <w:rsid w:val="00572938"/>
    <w:rsid w:val="00573D7C"/>
    <w:rsid w:val="00573FFA"/>
    <w:rsid w:val="005756B8"/>
    <w:rsid w:val="005778FE"/>
    <w:rsid w:val="00577B23"/>
    <w:rsid w:val="00580E67"/>
    <w:rsid w:val="0058140F"/>
    <w:rsid w:val="00581421"/>
    <w:rsid w:val="00581855"/>
    <w:rsid w:val="00581AD3"/>
    <w:rsid w:val="0058225D"/>
    <w:rsid w:val="0058416E"/>
    <w:rsid w:val="0058510B"/>
    <w:rsid w:val="0058669A"/>
    <w:rsid w:val="00586F1F"/>
    <w:rsid w:val="00591924"/>
    <w:rsid w:val="00591F57"/>
    <w:rsid w:val="00591FCB"/>
    <w:rsid w:val="00592108"/>
    <w:rsid w:val="005923B6"/>
    <w:rsid w:val="00594E27"/>
    <w:rsid w:val="005950C4"/>
    <w:rsid w:val="005957D7"/>
    <w:rsid w:val="00595D51"/>
    <w:rsid w:val="00595F84"/>
    <w:rsid w:val="0059767E"/>
    <w:rsid w:val="005A0AC4"/>
    <w:rsid w:val="005A0FC0"/>
    <w:rsid w:val="005A2DD5"/>
    <w:rsid w:val="005A2F9C"/>
    <w:rsid w:val="005A301E"/>
    <w:rsid w:val="005A356A"/>
    <w:rsid w:val="005A4263"/>
    <w:rsid w:val="005A4A4E"/>
    <w:rsid w:val="005A6805"/>
    <w:rsid w:val="005A72C1"/>
    <w:rsid w:val="005A74E7"/>
    <w:rsid w:val="005A75C9"/>
    <w:rsid w:val="005A783F"/>
    <w:rsid w:val="005A79B3"/>
    <w:rsid w:val="005A7E91"/>
    <w:rsid w:val="005B0039"/>
    <w:rsid w:val="005B013A"/>
    <w:rsid w:val="005B187D"/>
    <w:rsid w:val="005B3AD2"/>
    <w:rsid w:val="005B3BA2"/>
    <w:rsid w:val="005B4E7F"/>
    <w:rsid w:val="005B5862"/>
    <w:rsid w:val="005B62F5"/>
    <w:rsid w:val="005B7DCD"/>
    <w:rsid w:val="005C139E"/>
    <w:rsid w:val="005C17D4"/>
    <w:rsid w:val="005C1931"/>
    <w:rsid w:val="005C1BBC"/>
    <w:rsid w:val="005C2806"/>
    <w:rsid w:val="005C3C3E"/>
    <w:rsid w:val="005C4245"/>
    <w:rsid w:val="005C4902"/>
    <w:rsid w:val="005C4E6B"/>
    <w:rsid w:val="005C4F8C"/>
    <w:rsid w:val="005C5B6C"/>
    <w:rsid w:val="005C6596"/>
    <w:rsid w:val="005D0182"/>
    <w:rsid w:val="005D0517"/>
    <w:rsid w:val="005D0E81"/>
    <w:rsid w:val="005D1B78"/>
    <w:rsid w:val="005D203B"/>
    <w:rsid w:val="005D275A"/>
    <w:rsid w:val="005D28CF"/>
    <w:rsid w:val="005D2D53"/>
    <w:rsid w:val="005D3793"/>
    <w:rsid w:val="005D3924"/>
    <w:rsid w:val="005D3E7E"/>
    <w:rsid w:val="005D63D9"/>
    <w:rsid w:val="005D6512"/>
    <w:rsid w:val="005E09A4"/>
    <w:rsid w:val="005E1DD7"/>
    <w:rsid w:val="005E342B"/>
    <w:rsid w:val="005E545F"/>
    <w:rsid w:val="005E5815"/>
    <w:rsid w:val="005E7836"/>
    <w:rsid w:val="005F0BDF"/>
    <w:rsid w:val="005F0C9F"/>
    <w:rsid w:val="005F13F3"/>
    <w:rsid w:val="005F2C76"/>
    <w:rsid w:val="005F35D6"/>
    <w:rsid w:val="005F4026"/>
    <w:rsid w:val="006007A7"/>
    <w:rsid w:val="006010A3"/>
    <w:rsid w:val="00601330"/>
    <w:rsid w:val="006023C7"/>
    <w:rsid w:val="006027D8"/>
    <w:rsid w:val="006027F6"/>
    <w:rsid w:val="0060282C"/>
    <w:rsid w:val="00605540"/>
    <w:rsid w:val="00605728"/>
    <w:rsid w:val="0060584A"/>
    <w:rsid w:val="00605DEA"/>
    <w:rsid w:val="00607041"/>
    <w:rsid w:val="00610485"/>
    <w:rsid w:val="006105FA"/>
    <w:rsid w:val="00611923"/>
    <w:rsid w:val="0061308D"/>
    <w:rsid w:val="006135D1"/>
    <w:rsid w:val="00613862"/>
    <w:rsid w:val="00614BCE"/>
    <w:rsid w:val="006157F9"/>
    <w:rsid w:val="00616EDC"/>
    <w:rsid w:val="00617129"/>
    <w:rsid w:val="00620045"/>
    <w:rsid w:val="0062029D"/>
    <w:rsid w:val="00620689"/>
    <w:rsid w:val="00620DCF"/>
    <w:rsid w:val="00621FA3"/>
    <w:rsid w:val="00622EC4"/>
    <w:rsid w:val="006232DC"/>
    <w:rsid w:val="0062348B"/>
    <w:rsid w:val="00623921"/>
    <w:rsid w:val="0062421A"/>
    <w:rsid w:val="00625683"/>
    <w:rsid w:val="0062576D"/>
    <w:rsid w:val="0062581F"/>
    <w:rsid w:val="00625927"/>
    <w:rsid w:val="00625F61"/>
    <w:rsid w:val="0062675A"/>
    <w:rsid w:val="00627BAC"/>
    <w:rsid w:val="0063011F"/>
    <w:rsid w:val="006307BF"/>
    <w:rsid w:val="006308DE"/>
    <w:rsid w:val="0063094F"/>
    <w:rsid w:val="00632C97"/>
    <w:rsid w:val="00633EAE"/>
    <w:rsid w:val="0063411E"/>
    <w:rsid w:val="0063559A"/>
    <w:rsid w:val="00636311"/>
    <w:rsid w:val="00637504"/>
    <w:rsid w:val="00640815"/>
    <w:rsid w:val="0064083E"/>
    <w:rsid w:val="006409CF"/>
    <w:rsid w:val="00640F09"/>
    <w:rsid w:val="00641999"/>
    <w:rsid w:val="00641A53"/>
    <w:rsid w:val="00641C7B"/>
    <w:rsid w:val="00641CFA"/>
    <w:rsid w:val="006425AC"/>
    <w:rsid w:val="0064309B"/>
    <w:rsid w:val="00644BC5"/>
    <w:rsid w:val="006453E4"/>
    <w:rsid w:val="0064582B"/>
    <w:rsid w:val="00645B98"/>
    <w:rsid w:val="0064603A"/>
    <w:rsid w:val="00646AB2"/>
    <w:rsid w:val="0065043B"/>
    <w:rsid w:val="00651BE5"/>
    <w:rsid w:val="00652129"/>
    <w:rsid w:val="00654019"/>
    <w:rsid w:val="006542BD"/>
    <w:rsid w:val="00655D01"/>
    <w:rsid w:val="00656E46"/>
    <w:rsid w:val="00662771"/>
    <w:rsid w:val="006634E2"/>
    <w:rsid w:val="00663FD2"/>
    <w:rsid w:val="00664260"/>
    <w:rsid w:val="006642CF"/>
    <w:rsid w:val="00666703"/>
    <w:rsid w:val="0067049C"/>
    <w:rsid w:val="006708AB"/>
    <w:rsid w:val="006718AD"/>
    <w:rsid w:val="00671CA7"/>
    <w:rsid w:val="006723C0"/>
    <w:rsid w:val="00672810"/>
    <w:rsid w:val="006732A3"/>
    <w:rsid w:val="0067627D"/>
    <w:rsid w:val="00677149"/>
    <w:rsid w:val="00680AAB"/>
    <w:rsid w:val="0068155A"/>
    <w:rsid w:val="00681812"/>
    <w:rsid w:val="00681925"/>
    <w:rsid w:val="006820BC"/>
    <w:rsid w:val="006828A7"/>
    <w:rsid w:val="00683109"/>
    <w:rsid w:val="00683E20"/>
    <w:rsid w:val="006859DE"/>
    <w:rsid w:val="00686B5E"/>
    <w:rsid w:val="0069201A"/>
    <w:rsid w:val="00692E7E"/>
    <w:rsid w:val="0069369B"/>
    <w:rsid w:val="00694DA8"/>
    <w:rsid w:val="006954A3"/>
    <w:rsid w:val="00696296"/>
    <w:rsid w:val="0069795E"/>
    <w:rsid w:val="00697E07"/>
    <w:rsid w:val="006A16FF"/>
    <w:rsid w:val="006A1DEE"/>
    <w:rsid w:val="006A2D26"/>
    <w:rsid w:val="006A2F28"/>
    <w:rsid w:val="006A3FA2"/>
    <w:rsid w:val="006A54DB"/>
    <w:rsid w:val="006A6ECD"/>
    <w:rsid w:val="006A77B4"/>
    <w:rsid w:val="006B0152"/>
    <w:rsid w:val="006B055C"/>
    <w:rsid w:val="006B18E2"/>
    <w:rsid w:val="006B2074"/>
    <w:rsid w:val="006B2F08"/>
    <w:rsid w:val="006B4AE0"/>
    <w:rsid w:val="006B5246"/>
    <w:rsid w:val="006B7477"/>
    <w:rsid w:val="006C0CDD"/>
    <w:rsid w:val="006C2080"/>
    <w:rsid w:val="006C294A"/>
    <w:rsid w:val="006C2A27"/>
    <w:rsid w:val="006C31DE"/>
    <w:rsid w:val="006C3816"/>
    <w:rsid w:val="006C3E9C"/>
    <w:rsid w:val="006C4E66"/>
    <w:rsid w:val="006C56EF"/>
    <w:rsid w:val="006C596E"/>
    <w:rsid w:val="006D0448"/>
    <w:rsid w:val="006D2622"/>
    <w:rsid w:val="006D2C69"/>
    <w:rsid w:val="006D499A"/>
    <w:rsid w:val="006D5548"/>
    <w:rsid w:val="006D67D0"/>
    <w:rsid w:val="006D67F3"/>
    <w:rsid w:val="006E0FE4"/>
    <w:rsid w:val="006E228E"/>
    <w:rsid w:val="006E34E9"/>
    <w:rsid w:val="006E3996"/>
    <w:rsid w:val="006F0CD6"/>
    <w:rsid w:val="006F0F69"/>
    <w:rsid w:val="006F1FFF"/>
    <w:rsid w:val="006F27FD"/>
    <w:rsid w:val="006F2D63"/>
    <w:rsid w:val="006F4840"/>
    <w:rsid w:val="006F5A21"/>
    <w:rsid w:val="006F68C7"/>
    <w:rsid w:val="006F6D10"/>
    <w:rsid w:val="00700722"/>
    <w:rsid w:val="00704AB9"/>
    <w:rsid w:val="00704ACF"/>
    <w:rsid w:val="00705D73"/>
    <w:rsid w:val="00706337"/>
    <w:rsid w:val="0070680B"/>
    <w:rsid w:val="007075B0"/>
    <w:rsid w:val="0070794D"/>
    <w:rsid w:val="00707E26"/>
    <w:rsid w:val="00712B94"/>
    <w:rsid w:val="00712FC2"/>
    <w:rsid w:val="0071302B"/>
    <w:rsid w:val="007138DE"/>
    <w:rsid w:val="00720700"/>
    <w:rsid w:val="007218B3"/>
    <w:rsid w:val="00721D42"/>
    <w:rsid w:val="00722B4B"/>
    <w:rsid w:val="00722C5A"/>
    <w:rsid w:val="007247EB"/>
    <w:rsid w:val="00724BF5"/>
    <w:rsid w:val="00725523"/>
    <w:rsid w:val="0072575A"/>
    <w:rsid w:val="00726E16"/>
    <w:rsid w:val="00727065"/>
    <w:rsid w:val="00730129"/>
    <w:rsid w:val="00730315"/>
    <w:rsid w:val="00732CC8"/>
    <w:rsid w:val="007334CA"/>
    <w:rsid w:val="007356A6"/>
    <w:rsid w:val="00736A1A"/>
    <w:rsid w:val="00736A47"/>
    <w:rsid w:val="007372AA"/>
    <w:rsid w:val="0073730C"/>
    <w:rsid w:val="00737B4A"/>
    <w:rsid w:val="00737DE7"/>
    <w:rsid w:val="00737EA3"/>
    <w:rsid w:val="0074096C"/>
    <w:rsid w:val="0074135F"/>
    <w:rsid w:val="007431B5"/>
    <w:rsid w:val="0074511B"/>
    <w:rsid w:val="007451BC"/>
    <w:rsid w:val="00745BF7"/>
    <w:rsid w:val="007464C3"/>
    <w:rsid w:val="00747991"/>
    <w:rsid w:val="00747DF8"/>
    <w:rsid w:val="00751258"/>
    <w:rsid w:val="00751D17"/>
    <w:rsid w:val="00752259"/>
    <w:rsid w:val="0075225F"/>
    <w:rsid w:val="0075302F"/>
    <w:rsid w:val="007541C3"/>
    <w:rsid w:val="00754D2F"/>
    <w:rsid w:val="007566D8"/>
    <w:rsid w:val="00756A8D"/>
    <w:rsid w:val="00757D96"/>
    <w:rsid w:val="007607A4"/>
    <w:rsid w:val="007633B2"/>
    <w:rsid w:val="00764A1E"/>
    <w:rsid w:val="0076545B"/>
    <w:rsid w:val="00765847"/>
    <w:rsid w:val="00766398"/>
    <w:rsid w:val="007665F6"/>
    <w:rsid w:val="0077159C"/>
    <w:rsid w:val="00775A8A"/>
    <w:rsid w:val="00775EBA"/>
    <w:rsid w:val="007779BC"/>
    <w:rsid w:val="00780121"/>
    <w:rsid w:val="00780E20"/>
    <w:rsid w:val="00781D8C"/>
    <w:rsid w:val="00781FCF"/>
    <w:rsid w:val="007826F6"/>
    <w:rsid w:val="00782DF4"/>
    <w:rsid w:val="00783085"/>
    <w:rsid w:val="00785066"/>
    <w:rsid w:val="00785B1E"/>
    <w:rsid w:val="007907E7"/>
    <w:rsid w:val="007910A3"/>
    <w:rsid w:val="007A1CC7"/>
    <w:rsid w:val="007A24FE"/>
    <w:rsid w:val="007A2FE8"/>
    <w:rsid w:val="007A3941"/>
    <w:rsid w:val="007A697C"/>
    <w:rsid w:val="007A6A27"/>
    <w:rsid w:val="007A79FD"/>
    <w:rsid w:val="007B08A6"/>
    <w:rsid w:val="007B1F17"/>
    <w:rsid w:val="007B2CA1"/>
    <w:rsid w:val="007B3256"/>
    <w:rsid w:val="007B3444"/>
    <w:rsid w:val="007B349C"/>
    <w:rsid w:val="007B4057"/>
    <w:rsid w:val="007B47EF"/>
    <w:rsid w:val="007B5FC0"/>
    <w:rsid w:val="007B7EE9"/>
    <w:rsid w:val="007C05C2"/>
    <w:rsid w:val="007C2A90"/>
    <w:rsid w:val="007C447D"/>
    <w:rsid w:val="007C56E3"/>
    <w:rsid w:val="007C61E2"/>
    <w:rsid w:val="007C67F1"/>
    <w:rsid w:val="007C7994"/>
    <w:rsid w:val="007D0ABC"/>
    <w:rsid w:val="007D3DCA"/>
    <w:rsid w:val="007D4E3E"/>
    <w:rsid w:val="007D5C2B"/>
    <w:rsid w:val="007D65C4"/>
    <w:rsid w:val="007D78A3"/>
    <w:rsid w:val="007E03B6"/>
    <w:rsid w:val="007E0A6B"/>
    <w:rsid w:val="007E0C86"/>
    <w:rsid w:val="007E1578"/>
    <w:rsid w:val="007E1EDA"/>
    <w:rsid w:val="007E226A"/>
    <w:rsid w:val="007E2C65"/>
    <w:rsid w:val="007E37A0"/>
    <w:rsid w:val="007E4ECD"/>
    <w:rsid w:val="007E7E19"/>
    <w:rsid w:val="007F02A1"/>
    <w:rsid w:val="007F069E"/>
    <w:rsid w:val="007F0B92"/>
    <w:rsid w:val="007F0D0E"/>
    <w:rsid w:val="007F14F3"/>
    <w:rsid w:val="007F236D"/>
    <w:rsid w:val="007F349A"/>
    <w:rsid w:val="007F4F6E"/>
    <w:rsid w:val="007F5506"/>
    <w:rsid w:val="008010AB"/>
    <w:rsid w:val="0080117A"/>
    <w:rsid w:val="00801E2A"/>
    <w:rsid w:val="0080229B"/>
    <w:rsid w:val="008035A1"/>
    <w:rsid w:val="008042F5"/>
    <w:rsid w:val="00806852"/>
    <w:rsid w:val="008069B1"/>
    <w:rsid w:val="00807988"/>
    <w:rsid w:val="00810744"/>
    <w:rsid w:val="00810D09"/>
    <w:rsid w:val="00812006"/>
    <w:rsid w:val="00812359"/>
    <w:rsid w:val="00814D7F"/>
    <w:rsid w:val="00814FBF"/>
    <w:rsid w:val="00815861"/>
    <w:rsid w:val="00815964"/>
    <w:rsid w:val="00815D6A"/>
    <w:rsid w:val="00817A8E"/>
    <w:rsid w:val="00820010"/>
    <w:rsid w:val="008207A8"/>
    <w:rsid w:val="008209AE"/>
    <w:rsid w:val="00820AFB"/>
    <w:rsid w:val="00820D45"/>
    <w:rsid w:val="00821E66"/>
    <w:rsid w:val="0082292F"/>
    <w:rsid w:val="00824277"/>
    <w:rsid w:val="0083043E"/>
    <w:rsid w:val="00835D3D"/>
    <w:rsid w:val="00836039"/>
    <w:rsid w:val="008360F9"/>
    <w:rsid w:val="008361D8"/>
    <w:rsid w:val="00837315"/>
    <w:rsid w:val="008374A6"/>
    <w:rsid w:val="008374F0"/>
    <w:rsid w:val="008436CE"/>
    <w:rsid w:val="0084382B"/>
    <w:rsid w:val="0084530F"/>
    <w:rsid w:val="00845883"/>
    <w:rsid w:val="00845CDF"/>
    <w:rsid w:val="00846420"/>
    <w:rsid w:val="0084795B"/>
    <w:rsid w:val="0085047F"/>
    <w:rsid w:val="00852B11"/>
    <w:rsid w:val="00852F4D"/>
    <w:rsid w:val="008545AD"/>
    <w:rsid w:val="00857924"/>
    <w:rsid w:val="00860677"/>
    <w:rsid w:val="0086100E"/>
    <w:rsid w:val="00861097"/>
    <w:rsid w:val="00861FBF"/>
    <w:rsid w:val="00862EB9"/>
    <w:rsid w:val="008635F5"/>
    <w:rsid w:val="00863BEA"/>
    <w:rsid w:val="00863C75"/>
    <w:rsid w:val="00863D0F"/>
    <w:rsid w:val="00864AEA"/>
    <w:rsid w:val="00865273"/>
    <w:rsid w:val="00867249"/>
    <w:rsid w:val="00872E56"/>
    <w:rsid w:val="00873930"/>
    <w:rsid w:val="00873CE0"/>
    <w:rsid w:val="0087406F"/>
    <w:rsid w:val="008740EB"/>
    <w:rsid w:val="00874D2F"/>
    <w:rsid w:val="008778E6"/>
    <w:rsid w:val="0088000A"/>
    <w:rsid w:val="00880DC4"/>
    <w:rsid w:val="00881C0B"/>
    <w:rsid w:val="00883AC0"/>
    <w:rsid w:val="00884054"/>
    <w:rsid w:val="008854C5"/>
    <w:rsid w:val="00885E44"/>
    <w:rsid w:val="0088667B"/>
    <w:rsid w:val="00886959"/>
    <w:rsid w:val="00886BEB"/>
    <w:rsid w:val="008904D7"/>
    <w:rsid w:val="0089306E"/>
    <w:rsid w:val="0089331F"/>
    <w:rsid w:val="00893A34"/>
    <w:rsid w:val="00894E3E"/>
    <w:rsid w:val="00895BB6"/>
    <w:rsid w:val="008A01A8"/>
    <w:rsid w:val="008A36E1"/>
    <w:rsid w:val="008A37A7"/>
    <w:rsid w:val="008A628D"/>
    <w:rsid w:val="008A6BC6"/>
    <w:rsid w:val="008A756E"/>
    <w:rsid w:val="008A7AB4"/>
    <w:rsid w:val="008B0736"/>
    <w:rsid w:val="008B0D94"/>
    <w:rsid w:val="008B38C7"/>
    <w:rsid w:val="008B4704"/>
    <w:rsid w:val="008B59C8"/>
    <w:rsid w:val="008B670C"/>
    <w:rsid w:val="008B7299"/>
    <w:rsid w:val="008B7605"/>
    <w:rsid w:val="008B7E87"/>
    <w:rsid w:val="008B7EA5"/>
    <w:rsid w:val="008C177B"/>
    <w:rsid w:val="008C4C0D"/>
    <w:rsid w:val="008C722D"/>
    <w:rsid w:val="008D10B9"/>
    <w:rsid w:val="008D18CF"/>
    <w:rsid w:val="008D192E"/>
    <w:rsid w:val="008D2077"/>
    <w:rsid w:val="008D3171"/>
    <w:rsid w:val="008D411D"/>
    <w:rsid w:val="008D4DF8"/>
    <w:rsid w:val="008D523F"/>
    <w:rsid w:val="008D700E"/>
    <w:rsid w:val="008E41B0"/>
    <w:rsid w:val="008E4335"/>
    <w:rsid w:val="008E4F40"/>
    <w:rsid w:val="008E5971"/>
    <w:rsid w:val="008E5E04"/>
    <w:rsid w:val="008E6C3D"/>
    <w:rsid w:val="008E75ED"/>
    <w:rsid w:val="008F151A"/>
    <w:rsid w:val="008F1AA7"/>
    <w:rsid w:val="008F3B95"/>
    <w:rsid w:val="008F4709"/>
    <w:rsid w:val="008F4A27"/>
    <w:rsid w:val="008F4DBC"/>
    <w:rsid w:val="008F5340"/>
    <w:rsid w:val="008F6B81"/>
    <w:rsid w:val="008F7167"/>
    <w:rsid w:val="008F7511"/>
    <w:rsid w:val="009001AF"/>
    <w:rsid w:val="0090338C"/>
    <w:rsid w:val="00903950"/>
    <w:rsid w:val="009039B6"/>
    <w:rsid w:val="009039D2"/>
    <w:rsid w:val="00903E13"/>
    <w:rsid w:val="009057C8"/>
    <w:rsid w:val="00905B18"/>
    <w:rsid w:val="00907147"/>
    <w:rsid w:val="0091131E"/>
    <w:rsid w:val="00912051"/>
    <w:rsid w:val="00912109"/>
    <w:rsid w:val="00914241"/>
    <w:rsid w:val="00915FF1"/>
    <w:rsid w:val="00916174"/>
    <w:rsid w:val="0091639B"/>
    <w:rsid w:val="00917853"/>
    <w:rsid w:val="00921A41"/>
    <w:rsid w:val="00921B0A"/>
    <w:rsid w:val="00922CF1"/>
    <w:rsid w:val="009268EF"/>
    <w:rsid w:val="00926958"/>
    <w:rsid w:val="00926E75"/>
    <w:rsid w:val="0092726F"/>
    <w:rsid w:val="00927EBA"/>
    <w:rsid w:val="009305C1"/>
    <w:rsid w:val="009319CB"/>
    <w:rsid w:val="00932D9E"/>
    <w:rsid w:val="00934D9D"/>
    <w:rsid w:val="00936880"/>
    <w:rsid w:val="00940F53"/>
    <w:rsid w:val="00941222"/>
    <w:rsid w:val="00941F88"/>
    <w:rsid w:val="00943449"/>
    <w:rsid w:val="009447C1"/>
    <w:rsid w:val="00945B83"/>
    <w:rsid w:val="00945EDD"/>
    <w:rsid w:val="00947950"/>
    <w:rsid w:val="0095039A"/>
    <w:rsid w:val="009504F4"/>
    <w:rsid w:val="00950759"/>
    <w:rsid w:val="00950B06"/>
    <w:rsid w:val="00951923"/>
    <w:rsid w:val="009520A8"/>
    <w:rsid w:val="00952178"/>
    <w:rsid w:val="00957291"/>
    <w:rsid w:val="0096341D"/>
    <w:rsid w:val="0096543E"/>
    <w:rsid w:val="009663E9"/>
    <w:rsid w:val="00970069"/>
    <w:rsid w:val="0097081D"/>
    <w:rsid w:val="00971C62"/>
    <w:rsid w:val="009721EB"/>
    <w:rsid w:val="0097428F"/>
    <w:rsid w:val="009759FB"/>
    <w:rsid w:val="009815DB"/>
    <w:rsid w:val="00982E72"/>
    <w:rsid w:val="0098322E"/>
    <w:rsid w:val="0098475E"/>
    <w:rsid w:val="00985434"/>
    <w:rsid w:val="00986234"/>
    <w:rsid w:val="009863B5"/>
    <w:rsid w:val="0098778D"/>
    <w:rsid w:val="00987795"/>
    <w:rsid w:val="00990416"/>
    <w:rsid w:val="00990906"/>
    <w:rsid w:val="0099284A"/>
    <w:rsid w:val="00994584"/>
    <w:rsid w:val="00995A6A"/>
    <w:rsid w:val="00995D0A"/>
    <w:rsid w:val="0099656E"/>
    <w:rsid w:val="00997E87"/>
    <w:rsid w:val="00997EE9"/>
    <w:rsid w:val="009A2072"/>
    <w:rsid w:val="009A4318"/>
    <w:rsid w:val="009A4BFC"/>
    <w:rsid w:val="009A6732"/>
    <w:rsid w:val="009A68E8"/>
    <w:rsid w:val="009A788B"/>
    <w:rsid w:val="009B0D95"/>
    <w:rsid w:val="009B2697"/>
    <w:rsid w:val="009B286A"/>
    <w:rsid w:val="009B2D07"/>
    <w:rsid w:val="009B3901"/>
    <w:rsid w:val="009B3B33"/>
    <w:rsid w:val="009B45CE"/>
    <w:rsid w:val="009B5B7D"/>
    <w:rsid w:val="009B706E"/>
    <w:rsid w:val="009B70BF"/>
    <w:rsid w:val="009B775A"/>
    <w:rsid w:val="009C141A"/>
    <w:rsid w:val="009C17C1"/>
    <w:rsid w:val="009C1EEB"/>
    <w:rsid w:val="009C2BD7"/>
    <w:rsid w:val="009C423A"/>
    <w:rsid w:val="009C4949"/>
    <w:rsid w:val="009C5A39"/>
    <w:rsid w:val="009C6BED"/>
    <w:rsid w:val="009C6DB4"/>
    <w:rsid w:val="009C7029"/>
    <w:rsid w:val="009D1726"/>
    <w:rsid w:val="009D34A8"/>
    <w:rsid w:val="009D544B"/>
    <w:rsid w:val="009D7A42"/>
    <w:rsid w:val="009E116A"/>
    <w:rsid w:val="009E2918"/>
    <w:rsid w:val="009E5288"/>
    <w:rsid w:val="009E792B"/>
    <w:rsid w:val="009E79ED"/>
    <w:rsid w:val="009E7A7E"/>
    <w:rsid w:val="009F0133"/>
    <w:rsid w:val="009F1B7D"/>
    <w:rsid w:val="009F2724"/>
    <w:rsid w:val="009F2757"/>
    <w:rsid w:val="009F35E3"/>
    <w:rsid w:val="009F36E0"/>
    <w:rsid w:val="009F52D6"/>
    <w:rsid w:val="009F77FF"/>
    <w:rsid w:val="009F7CB8"/>
    <w:rsid w:val="00A0077B"/>
    <w:rsid w:val="00A01092"/>
    <w:rsid w:val="00A022DB"/>
    <w:rsid w:val="00A0277C"/>
    <w:rsid w:val="00A038AF"/>
    <w:rsid w:val="00A03BE8"/>
    <w:rsid w:val="00A03FBA"/>
    <w:rsid w:val="00A04CBB"/>
    <w:rsid w:val="00A05C5C"/>
    <w:rsid w:val="00A06C90"/>
    <w:rsid w:val="00A07596"/>
    <w:rsid w:val="00A07A33"/>
    <w:rsid w:val="00A10945"/>
    <w:rsid w:val="00A11545"/>
    <w:rsid w:val="00A12A60"/>
    <w:rsid w:val="00A12F29"/>
    <w:rsid w:val="00A14310"/>
    <w:rsid w:val="00A15109"/>
    <w:rsid w:val="00A158A6"/>
    <w:rsid w:val="00A170F2"/>
    <w:rsid w:val="00A177EF"/>
    <w:rsid w:val="00A17A08"/>
    <w:rsid w:val="00A17D19"/>
    <w:rsid w:val="00A20F0C"/>
    <w:rsid w:val="00A21657"/>
    <w:rsid w:val="00A21666"/>
    <w:rsid w:val="00A24865"/>
    <w:rsid w:val="00A24A0E"/>
    <w:rsid w:val="00A25BE6"/>
    <w:rsid w:val="00A27E47"/>
    <w:rsid w:val="00A30E9D"/>
    <w:rsid w:val="00A31901"/>
    <w:rsid w:val="00A31A3A"/>
    <w:rsid w:val="00A31F1C"/>
    <w:rsid w:val="00A33D58"/>
    <w:rsid w:val="00A33D9A"/>
    <w:rsid w:val="00A34B34"/>
    <w:rsid w:val="00A34EFD"/>
    <w:rsid w:val="00A35508"/>
    <w:rsid w:val="00A372C7"/>
    <w:rsid w:val="00A4048E"/>
    <w:rsid w:val="00A40DF6"/>
    <w:rsid w:val="00A41F29"/>
    <w:rsid w:val="00A43251"/>
    <w:rsid w:val="00A43A77"/>
    <w:rsid w:val="00A44A90"/>
    <w:rsid w:val="00A47A47"/>
    <w:rsid w:val="00A52010"/>
    <w:rsid w:val="00A52925"/>
    <w:rsid w:val="00A5300F"/>
    <w:rsid w:val="00A5362A"/>
    <w:rsid w:val="00A54132"/>
    <w:rsid w:val="00A5431F"/>
    <w:rsid w:val="00A54966"/>
    <w:rsid w:val="00A54A9B"/>
    <w:rsid w:val="00A54F38"/>
    <w:rsid w:val="00A56163"/>
    <w:rsid w:val="00A56243"/>
    <w:rsid w:val="00A562D1"/>
    <w:rsid w:val="00A56770"/>
    <w:rsid w:val="00A56A4B"/>
    <w:rsid w:val="00A579E1"/>
    <w:rsid w:val="00A60673"/>
    <w:rsid w:val="00A60ACD"/>
    <w:rsid w:val="00A61D00"/>
    <w:rsid w:val="00A61E65"/>
    <w:rsid w:val="00A61ED4"/>
    <w:rsid w:val="00A622EB"/>
    <w:rsid w:val="00A623BE"/>
    <w:rsid w:val="00A6260B"/>
    <w:rsid w:val="00A62A25"/>
    <w:rsid w:val="00A63711"/>
    <w:rsid w:val="00A652F8"/>
    <w:rsid w:val="00A6617C"/>
    <w:rsid w:val="00A66869"/>
    <w:rsid w:val="00A67080"/>
    <w:rsid w:val="00A67AD8"/>
    <w:rsid w:val="00A71772"/>
    <w:rsid w:val="00A71B4C"/>
    <w:rsid w:val="00A71C6C"/>
    <w:rsid w:val="00A71C6E"/>
    <w:rsid w:val="00A73831"/>
    <w:rsid w:val="00A74B77"/>
    <w:rsid w:val="00A74E97"/>
    <w:rsid w:val="00A7597F"/>
    <w:rsid w:val="00A77BCD"/>
    <w:rsid w:val="00A80744"/>
    <w:rsid w:val="00A80C5A"/>
    <w:rsid w:val="00A80E07"/>
    <w:rsid w:val="00A8130C"/>
    <w:rsid w:val="00A8249A"/>
    <w:rsid w:val="00A82571"/>
    <w:rsid w:val="00A82B0B"/>
    <w:rsid w:val="00A84DFB"/>
    <w:rsid w:val="00A84E03"/>
    <w:rsid w:val="00A862C8"/>
    <w:rsid w:val="00A870D6"/>
    <w:rsid w:val="00A90E20"/>
    <w:rsid w:val="00A9106D"/>
    <w:rsid w:val="00A92232"/>
    <w:rsid w:val="00A94F89"/>
    <w:rsid w:val="00A95B11"/>
    <w:rsid w:val="00A95EFC"/>
    <w:rsid w:val="00A966EB"/>
    <w:rsid w:val="00A96D9C"/>
    <w:rsid w:val="00A9772E"/>
    <w:rsid w:val="00A97AED"/>
    <w:rsid w:val="00AA131F"/>
    <w:rsid w:val="00AA174C"/>
    <w:rsid w:val="00AA1D18"/>
    <w:rsid w:val="00AA63A8"/>
    <w:rsid w:val="00AA67A2"/>
    <w:rsid w:val="00AB0318"/>
    <w:rsid w:val="00AB1086"/>
    <w:rsid w:val="00AB3916"/>
    <w:rsid w:val="00AB45A0"/>
    <w:rsid w:val="00AB4FBC"/>
    <w:rsid w:val="00AB567C"/>
    <w:rsid w:val="00AB5E73"/>
    <w:rsid w:val="00AB67EA"/>
    <w:rsid w:val="00AB6C9E"/>
    <w:rsid w:val="00AB70EF"/>
    <w:rsid w:val="00AC10BF"/>
    <w:rsid w:val="00AC10D3"/>
    <w:rsid w:val="00AC1135"/>
    <w:rsid w:val="00AC14D5"/>
    <w:rsid w:val="00AC185A"/>
    <w:rsid w:val="00AC1872"/>
    <w:rsid w:val="00AC21EE"/>
    <w:rsid w:val="00AC21F7"/>
    <w:rsid w:val="00AC2659"/>
    <w:rsid w:val="00AC3B34"/>
    <w:rsid w:val="00AC51FA"/>
    <w:rsid w:val="00AC5AC6"/>
    <w:rsid w:val="00AC5EA1"/>
    <w:rsid w:val="00AC6064"/>
    <w:rsid w:val="00AD0C55"/>
    <w:rsid w:val="00AD231B"/>
    <w:rsid w:val="00AD4747"/>
    <w:rsid w:val="00AD53A6"/>
    <w:rsid w:val="00AD631F"/>
    <w:rsid w:val="00AD6E69"/>
    <w:rsid w:val="00AD7DA4"/>
    <w:rsid w:val="00AD7EF8"/>
    <w:rsid w:val="00AE00F6"/>
    <w:rsid w:val="00AE0C09"/>
    <w:rsid w:val="00AE0CED"/>
    <w:rsid w:val="00AE21FF"/>
    <w:rsid w:val="00AE23CD"/>
    <w:rsid w:val="00AE2C72"/>
    <w:rsid w:val="00AE3543"/>
    <w:rsid w:val="00AE4385"/>
    <w:rsid w:val="00AE780E"/>
    <w:rsid w:val="00AE7BE5"/>
    <w:rsid w:val="00AF1F18"/>
    <w:rsid w:val="00AF40A0"/>
    <w:rsid w:val="00AF491B"/>
    <w:rsid w:val="00AF5BD3"/>
    <w:rsid w:val="00AF62B8"/>
    <w:rsid w:val="00B007ED"/>
    <w:rsid w:val="00B01A6A"/>
    <w:rsid w:val="00B01A82"/>
    <w:rsid w:val="00B025D5"/>
    <w:rsid w:val="00B0402E"/>
    <w:rsid w:val="00B042CD"/>
    <w:rsid w:val="00B0498F"/>
    <w:rsid w:val="00B0726E"/>
    <w:rsid w:val="00B0740B"/>
    <w:rsid w:val="00B07F25"/>
    <w:rsid w:val="00B1000B"/>
    <w:rsid w:val="00B108BB"/>
    <w:rsid w:val="00B11A54"/>
    <w:rsid w:val="00B11B63"/>
    <w:rsid w:val="00B11F5D"/>
    <w:rsid w:val="00B121C3"/>
    <w:rsid w:val="00B1220F"/>
    <w:rsid w:val="00B12999"/>
    <w:rsid w:val="00B12A76"/>
    <w:rsid w:val="00B12CD6"/>
    <w:rsid w:val="00B12FA9"/>
    <w:rsid w:val="00B14524"/>
    <w:rsid w:val="00B14674"/>
    <w:rsid w:val="00B14B9C"/>
    <w:rsid w:val="00B14FB2"/>
    <w:rsid w:val="00B170C2"/>
    <w:rsid w:val="00B2018D"/>
    <w:rsid w:val="00B20BF0"/>
    <w:rsid w:val="00B219D1"/>
    <w:rsid w:val="00B222ED"/>
    <w:rsid w:val="00B2365D"/>
    <w:rsid w:val="00B23821"/>
    <w:rsid w:val="00B2557B"/>
    <w:rsid w:val="00B25F23"/>
    <w:rsid w:val="00B26EDE"/>
    <w:rsid w:val="00B31100"/>
    <w:rsid w:val="00B32751"/>
    <w:rsid w:val="00B32C51"/>
    <w:rsid w:val="00B33115"/>
    <w:rsid w:val="00B3539E"/>
    <w:rsid w:val="00B35681"/>
    <w:rsid w:val="00B35DDA"/>
    <w:rsid w:val="00B36679"/>
    <w:rsid w:val="00B37D9D"/>
    <w:rsid w:val="00B40F8C"/>
    <w:rsid w:val="00B41AB2"/>
    <w:rsid w:val="00B42677"/>
    <w:rsid w:val="00B4388B"/>
    <w:rsid w:val="00B438E1"/>
    <w:rsid w:val="00B43CEA"/>
    <w:rsid w:val="00B44182"/>
    <w:rsid w:val="00B47CF4"/>
    <w:rsid w:val="00B5041B"/>
    <w:rsid w:val="00B50929"/>
    <w:rsid w:val="00B50A92"/>
    <w:rsid w:val="00B5188B"/>
    <w:rsid w:val="00B53997"/>
    <w:rsid w:val="00B57616"/>
    <w:rsid w:val="00B63079"/>
    <w:rsid w:val="00B632D4"/>
    <w:rsid w:val="00B63BF5"/>
    <w:rsid w:val="00B64C21"/>
    <w:rsid w:val="00B65A54"/>
    <w:rsid w:val="00B677D9"/>
    <w:rsid w:val="00B72125"/>
    <w:rsid w:val="00B7317A"/>
    <w:rsid w:val="00B743E3"/>
    <w:rsid w:val="00B74A14"/>
    <w:rsid w:val="00B75192"/>
    <w:rsid w:val="00B80DAB"/>
    <w:rsid w:val="00B80E5E"/>
    <w:rsid w:val="00B81018"/>
    <w:rsid w:val="00B81FA4"/>
    <w:rsid w:val="00B824FC"/>
    <w:rsid w:val="00B82E4B"/>
    <w:rsid w:val="00B83CF4"/>
    <w:rsid w:val="00B8447A"/>
    <w:rsid w:val="00B859AC"/>
    <w:rsid w:val="00B868B6"/>
    <w:rsid w:val="00B8794C"/>
    <w:rsid w:val="00B90777"/>
    <w:rsid w:val="00B90BFF"/>
    <w:rsid w:val="00B95EF4"/>
    <w:rsid w:val="00BA03C5"/>
    <w:rsid w:val="00BA2CC8"/>
    <w:rsid w:val="00BA3536"/>
    <w:rsid w:val="00BA36D8"/>
    <w:rsid w:val="00BA56A8"/>
    <w:rsid w:val="00BB0395"/>
    <w:rsid w:val="00BB0F10"/>
    <w:rsid w:val="00BB2DB0"/>
    <w:rsid w:val="00BB33A1"/>
    <w:rsid w:val="00BB468C"/>
    <w:rsid w:val="00BB47DA"/>
    <w:rsid w:val="00BB5768"/>
    <w:rsid w:val="00BB6509"/>
    <w:rsid w:val="00BB6AA2"/>
    <w:rsid w:val="00BB7BB6"/>
    <w:rsid w:val="00BB7E11"/>
    <w:rsid w:val="00BC01D0"/>
    <w:rsid w:val="00BC0392"/>
    <w:rsid w:val="00BC0DEF"/>
    <w:rsid w:val="00BC0F79"/>
    <w:rsid w:val="00BC207F"/>
    <w:rsid w:val="00BC2404"/>
    <w:rsid w:val="00BC248C"/>
    <w:rsid w:val="00BC31BB"/>
    <w:rsid w:val="00BC337A"/>
    <w:rsid w:val="00BC39CF"/>
    <w:rsid w:val="00BC4FE0"/>
    <w:rsid w:val="00BC5515"/>
    <w:rsid w:val="00BC5AC6"/>
    <w:rsid w:val="00BC6E48"/>
    <w:rsid w:val="00BC6F8D"/>
    <w:rsid w:val="00BD239E"/>
    <w:rsid w:val="00BD2E57"/>
    <w:rsid w:val="00BD4EC2"/>
    <w:rsid w:val="00BD5D33"/>
    <w:rsid w:val="00BD67A1"/>
    <w:rsid w:val="00BD6F90"/>
    <w:rsid w:val="00BD7CC5"/>
    <w:rsid w:val="00BD7DD6"/>
    <w:rsid w:val="00BE0E76"/>
    <w:rsid w:val="00BE155F"/>
    <w:rsid w:val="00BE29D9"/>
    <w:rsid w:val="00BE310C"/>
    <w:rsid w:val="00BE35B0"/>
    <w:rsid w:val="00BE6389"/>
    <w:rsid w:val="00BE6593"/>
    <w:rsid w:val="00BE7374"/>
    <w:rsid w:val="00BE758D"/>
    <w:rsid w:val="00BF011E"/>
    <w:rsid w:val="00BF0187"/>
    <w:rsid w:val="00BF1654"/>
    <w:rsid w:val="00BF1D34"/>
    <w:rsid w:val="00BF29B1"/>
    <w:rsid w:val="00BF430C"/>
    <w:rsid w:val="00BF5257"/>
    <w:rsid w:val="00BF52B1"/>
    <w:rsid w:val="00BF607F"/>
    <w:rsid w:val="00C00261"/>
    <w:rsid w:val="00C01EC0"/>
    <w:rsid w:val="00C02C41"/>
    <w:rsid w:val="00C03E27"/>
    <w:rsid w:val="00C04CF5"/>
    <w:rsid w:val="00C07EA5"/>
    <w:rsid w:val="00C11825"/>
    <w:rsid w:val="00C122A0"/>
    <w:rsid w:val="00C13943"/>
    <w:rsid w:val="00C153EA"/>
    <w:rsid w:val="00C15AB9"/>
    <w:rsid w:val="00C164A6"/>
    <w:rsid w:val="00C166E0"/>
    <w:rsid w:val="00C208D9"/>
    <w:rsid w:val="00C20E5D"/>
    <w:rsid w:val="00C20F86"/>
    <w:rsid w:val="00C21B8D"/>
    <w:rsid w:val="00C222B0"/>
    <w:rsid w:val="00C225C6"/>
    <w:rsid w:val="00C235A2"/>
    <w:rsid w:val="00C244EE"/>
    <w:rsid w:val="00C249FF"/>
    <w:rsid w:val="00C30128"/>
    <w:rsid w:val="00C305EE"/>
    <w:rsid w:val="00C31F4E"/>
    <w:rsid w:val="00C329B6"/>
    <w:rsid w:val="00C334AD"/>
    <w:rsid w:val="00C33731"/>
    <w:rsid w:val="00C35D39"/>
    <w:rsid w:val="00C36E33"/>
    <w:rsid w:val="00C3724F"/>
    <w:rsid w:val="00C4030A"/>
    <w:rsid w:val="00C407E6"/>
    <w:rsid w:val="00C4219D"/>
    <w:rsid w:val="00C4350C"/>
    <w:rsid w:val="00C4427E"/>
    <w:rsid w:val="00C45305"/>
    <w:rsid w:val="00C46CF2"/>
    <w:rsid w:val="00C476AA"/>
    <w:rsid w:val="00C512A3"/>
    <w:rsid w:val="00C51537"/>
    <w:rsid w:val="00C51E2A"/>
    <w:rsid w:val="00C52083"/>
    <w:rsid w:val="00C52E1B"/>
    <w:rsid w:val="00C52F1E"/>
    <w:rsid w:val="00C5319E"/>
    <w:rsid w:val="00C53AA1"/>
    <w:rsid w:val="00C54332"/>
    <w:rsid w:val="00C54AA3"/>
    <w:rsid w:val="00C552E3"/>
    <w:rsid w:val="00C6080B"/>
    <w:rsid w:val="00C60E38"/>
    <w:rsid w:val="00C63BF7"/>
    <w:rsid w:val="00C66AA6"/>
    <w:rsid w:val="00C705FB"/>
    <w:rsid w:val="00C70DBA"/>
    <w:rsid w:val="00C719AC"/>
    <w:rsid w:val="00C72224"/>
    <w:rsid w:val="00C724FF"/>
    <w:rsid w:val="00C72BCD"/>
    <w:rsid w:val="00C73CDE"/>
    <w:rsid w:val="00C7436A"/>
    <w:rsid w:val="00C75706"/>
    <w:rsid w:val="00C75CCA"/>
    <w:rsid w:val="00C75EB7"/>
    <w:rsid w:val="00C7655E"/>
    <w:rsid w:val="00C76ECF"/>
    <w:rsid w:val="00C77651"/>
    <w:rsid w:val="00C80CED"/>
    <w:rsid w:val="00C81BF2"/>
    <w:rsid w:val="00C82F79"/>
    <w:rsid w:val="00C832D0"/>
    <w:rsid w:val="00C852DA"/>
    <w:rsid w:val="00C86CB6"/>
    <w:rsid w:val="00C908C6"/>
    <w:rsid w:val="00C91BD3"/>
    <w:rsid w:val="00C9276B"/>
    <w:rsid w:val="00C95F6B"/>
    <w:rsid w:val="00CA2970"/>
    <w:rsid w:val="00CA34FA"/>
    <w:rsid w:val="00CA4815"/>
    <w:rsid w:val="00CA64B3"/>
    <w:rsid w:val="00CA6624"/>
    <w:rsid w:val="00CA6BF3"/>
    <w:rsid w:val="00CA76E8"/>
    <w:rsid w:val="00CB13F2"/>
    <w:rsid w:val="00CB2D39"/>
    <w:rsid w:val="00CB2F84"/>
    <w:rsid w:val="00CB3DCC"/>
    <w:rsid w:val="00CB59E5"/>
    <w:rsid w:val="00CB60EB"/>
    <w:rsid w:val="00CB6357"/>
    <w:rsid w:val="00CB6935"/>
    <w:rsid w:val="00CB6F20"/>
    <w:rsid w:val="00CB7A62"/>
    <w:rsid w:val="00CC0D9E"/>
    <w:rsid w:val="00CC25A9"/>
    <w:rsid w:val="00CC2992"/>
    <w:rsid w:val="00CC33B1"/>
    <w:rsid w:val="00CC55F3"/>
    <w:rsid w:val="00CC598B"/>
    <w:rsid w:val="00CC7282"/>
    <w:rsid w:val="00CC739E"/>
    <w:rsid w:val="00CC748C"/>
    <w:rsid w:val="00CD15CA"/>
    <w:rsid w:val="00CD1B3B"/>
    <w:rsid w:val="00CD24CA"/>
    <w:rsid w:val="00CD2C86"/>
    <w:rsid w:val="00CD5C05"/>
    <w:rsid w:val="00CD70F2"/>
    <w:rsid w:val="00CD7F3E"/>
    <w:rsid w:val="00CE1015"/>
    <w:rsid w:val="00CE1133"/>
    <w:rsid w:val="00CE1262"/>
    <w:rsid w:val="00CE1856"/>
    <w:rsid w:val="00CE23E1"/>
    <w:rsid w:val="00CE3306"/>
    <w:rsid w:val="00CE5270"/>
    <w:rsid w:val="00CE57C0"/>
    <w:rsid w:val="00CE5CBA"/>
    <w:rsid w:val="00CE632A"/>
    <w:rsid w:val="00CE6695"/>
    <w:rsid w:val="00CE6F1D"/>
    <w:rsid w:val="00CF1E93"/>
    <w:rsid w:val="00CF1FBC"/>
    <w:rsid w:val="00CF32DC"/>
    <w:rsid w:val="00CF4AA6"/>
    <w:rsid w:val="00CF502A"/>
    <w:rsid w:val="00CF5896"/>
    <w:rsid w:val="00CF6562"/>
    <w:rsid w:val="00CF72B0"/>
    <w:rsid w:val="00CF7C72"/>
    <w:rsid w:val="00D02EBA"/>
    <w:rsid w:val="00D0645E"/>
    <w:rsid w:val="00D0662A"/>
    <w:rsid w:val="00D07EE3"/>
    <w:rsid w:val="00D10F82"/>
    <w:rsid w:val="00D119B1"/>
    <w:rsid w:val="00D14E32"/>
    <w:rsid w:val="00D156E0"/>
    <w:rsid w:val="00D16D63"/>
    <w:rsid w:val="00D16F9B"/>
    <w:rsid w:val="00D173CC"/>
    <w:rsid w:val="00D2217E"/>
    <w:rsid w:val="00D2370C"/>
    <w:rsid w:val="00D239E1"/>
    <w:rsid w:val="00D23ABC"/>
    <w:rsid w:val="00D24E49"/>
    <w:rsid w:val="00D26161"/>
    <w:rsid w:val="00D33CF4"/>
    <w:rsid w:val="00D33DF0"/>
    <w:rsid w:val="00D34B43"/>
    <w:rsid w:val="00D376C4"/>
    <w:rsid w:val="00D40032"/>
    <w:rsid w:val="00D4233C"/>
    <w:rsid w:val="00D44782"/>
    <w:rsid w:val="00D44982"/>
    <w:rsid w:val="00D4772D"/>
    <w:rsid w:val="00D47B70"/>
    <w:rsid w:val="00D51574"/>
    <w:rsid w:val="00D52215"/>
    <w:rsid w:val="00D526CF"/>
    <w:rsid w:val="00D52ECC"/>
    <w:rsid w:val="00D52F77"/>
    <w:rsid w:val="00D536A4"/>
    <w:rsid w:val="00D54D67"/>
    <w:rsid w:val="00D562CB"/>
    <w:rsid w:val="00D562FD"/>
    <w:rsid w:val="00D5688A"/>
    <w:rsid w:val="00D6191F"/>
    <w:rsid w:val="00D61F9D"/>
    <w:rsid w:val="00D6228F"/>
    <w:rsid w:val="00D6246C"/>
    <w:rsid w:val="00D62D87"/>
    <w:rsid w:val="00D639E9"/>
    <w:rsid w:val="00D63AF3"/>
    <w:rsid w:val="00D64F8E"/>
    <w:rsid w:val="00D67BFA"/>
    <w:rsid w:val="00D701F2"/>
    <w:rsid w:val="00D70B76"/>
    <w:rsid w:val="00D71C8B"/>
    <w:rsid w:val="00D71D80"/>
    <w:rsid w:val="00D7357A"/>
    <w:rsid w:val="00D73920"/>
    <w:rsid w:val="00D74158"/>
    <w:rsid w:val="00D74AA1"/>
    <w:rsid w:val="00D75ACF"/>
    <w:rsid w:val="00D7679E"/>
    <w:rsid w:val="00D76C04"/>
    <w:rsid w:val="00D80884"/>
    <w:rsid w:val="00D80FDE"/>
    <w:rsid w:val="00D8157D"/>
    <w:rsid w:val="00D81905"/>
    <w:rsid w:val="00D81BAC"/>
    <w:rsid w:val="00D821F2"/>
    <w:rsid w:val="00D82F41"/>
    <w:rsid w:val="00D84E83"/>
    <w:rsid w:val="00D852EF"/>
    <w:rsid w:val="00D86284"/>
    <w:rsid w:val="00D87055"/>
    <w:rsid w:val="00D90CBF"/>
    <w:rsid w:val="00D92281"/>
    <w:rsid w:val="00D926B1"/>
    <w:rsid w:val="00D93A3D"/>
    <w:rsid w:val="00D93AC6"/>
    <w:rsid w:val="00D93AFC"/>
    <w:rsid w:val="00D9651C"/>
    <w:rsid w:val="00D97B5D"/>
    <w:rsid w:val="00DA2280"/>
    <w:rsid w:val="00DA29CE"/>
    <w:rsid w:val="00DA2E6B"/>
    <w:rsid w:val="00DA3354"/>
    <w:rsid w:val="00DA3B15"/>
    <w:rsid w:val="00DA49B3"/>
    <w:rsid w:val="00DA4B2E"/>
    <w:rsid w:val="00DA63A3"/>
    <w:rsid w:val="00DA67B2"/>
    <w:rsid w:val="00DA6C34"/>
    <w:rsid w:val="00DA6D81"/>
    <w:rsid w:val="00DA734C"/>
    <w:rsid w:val="00DB246A"/>
    <w:rsid w:val="00DB28AF"/>
    <w:rsid w:val="00DB3318"/>
    <w:rsid w:val="00DB5C09"/>
    <w:rsid w:val="00DB6410"/>
    <w:rsid w:val="00DB6A1A"/>
    <w:rsid w:val="00DB7590"/>
    <w:rsid w:val="00DB7F92"/>
    <w:rsid w:val="00DC16D1"/>
    <w:rsid w:val="00DC3033"/>
    <w:rsid w:val="00DC3868"/>
    <w:rsid w:val="00DC57E4"/>
    <w:rsid w:val="00DC5980"/>
    <w:rsid w:val="00DC6D0C"/>
    <w:rsid w:val="00DC7CE7"/>
    <w:rsid w:val="00DD0BB9"/>
    <w:rsid w:val="00DD0D3C"/>
    <w:rsid w:val="00DD233C"/>
    <w:rsid w:val="00DD29F8"/>
    <w:rsid w:val="00DD2B46"/>
    <w:rsid w:val="00DD55EE"/>
    <w:rsid w:val="00DD5C8A"/>
    <w:rsid w:val="00DD613D"/>
    <w:rsid w:val="00DD7E25"/>
    <w:rsid w:val="00DE2B35"/>
    <w:rsid w:val="00DE2C51"/>
    <w:rsid w:val="00DE35FF"/>
    <w:rsid w:val="00DE646E"/>
    <w:rsid w:val="00DE6AF4"/>
    <w:rsid w:val="00DE721F"/>
    <w:rsid w:val="00DF0375"/>
    <w:rsid w:val="00DF05CB"/>
    <w:rsid w:val="00DF1BC6"/>
    <w:rsid w:val="00DF1D75"/>
    <w:rsid w:val="00DF26F5"/>
    <w:rsid w:val="00DF73F3"/>
    <w:rsid w:val="00E0437D"/>
    <w:rsid w:val="00E06ED6"/>
    <w:rsid w:val="00E1258B"/>
    <w:rsid w:val="00E12F43"/>
    <w:rsid w:val="00E16233"/>
    <w:rsid w:val="00E16952"/>
    <w:rsid w:val="00E209A2"/>
    <w:rsid w:val="00E2194B"/>
    <w:rsid w:val="00E225B9"/>
    <w:rsid w:val="00E22DF1"/>
    <w:rsid w:val="00E231AF"/>
    <w:rsid w:val="00E25D50"/>
    <w:rsid w:val="00E266F3"/>
    <w:rsid w:val="00E267E7"/>
    <w:rsid w:val="00E26BD5"/>
    <w:rsid w:val="00E30511"/>
    <w:rsid w:val="00E33B8A"/>
    <w:rsid w:val="00E34A9C"/>
    <w:rsid w:val="00E34B65"/>
    <w:rsid w:val="00E351DA"/>
    <w:rsid w:val="00E359BD"/>
    <w:rsid w:val="00E36F9F"/>
    <w:rsid w:val="00E37785"/>
    <w:rsid w:val="00E40192"/>
    <w:rsid w:val="00E42238"/>
    <w:rsid w:val="00E4266F"/>
    <w:rsid w:val="00E4348F"/>
    <w:rsid w:val="00E443DD"/>
    <w:rsid w:val="00E4455B"/>
    <w:rsid w:val="00E447AC"/>
    <w:rsid w:val="00E44CE1"/>
    <w:rsid w:val="00E45099"/>
    <w:rsid w:val="00E45F05"/>
    <w:rsid w:val="00E50002"/>
    <w:rsid w:val="00E50C35"/>
    <w:rsid w:val="00E513D5"/>
    <w:rsid w:val="00E520E6"/>
    <w:rsid w:val="00E529E5"/>
    <w:rsid w:val="00E54E8F"/>
    <w:rsid w:val="00E5585F"/>
    <w:rsid w:val="00E5643A"/>
    <w:rsid w:val="00E57E6F"/>
    <w:rsid w:val="00E60D06"/>
    <w:rsid w:val="00E611B7"/>
    <w:rsid w:val="00E6496E"/>
    <w:rsid w:val="00E65F9F"/>
    <w:rsid w:val="00E6609A"/>
    <w:rsid w:val="00E66445"/>
    <w:rsid w:val="00E70927"/>
    <w:rsid w:val="00E71709"/>
    <w:rsid w:val="00E72E0F"/>
    <w:rsid w:val="00E72E79"/>
    <w:rsid w:val="00E731A0"/>
    <w:rsid w:val="00E75617"/>
    <w:rsid w:val="00E7635C"/>
    <w:rsid w:val="00E76AB5"/>
    <w:rsid w:val="00E77528"/>
    <w:rsid w:val="00E81378"/>
    <w:rsid w:val="00E83994"/>
    <w:rsid w:val="00E84DFF"/>
    <w:rsid w:val="00E85DE0"/>
    <w:rsid w:val="00E85FCF"/>
    <w:rsid w:val="00E86190"/>
    <w:rsid w:val="00E863D2"/>
    <w:rsid w:val="00E87814"/>
    <w:rsid w:val="00E87DF1"/>
    <w:rsid w:val="00E930FB"/>
    <w:rsid w:val="00E936DF"/>
    <w:rsid w:val="00E93BBE"/>
    <w:rsid w:val="00E93E5D"/>
    <w:rsid w:val="00E94328"/>
    <w:rsid w:val="00E94E42"/>
    <w:rsid w:val="00E95425"/>
    <w:rsid w:val="00EA03EE"/>
    <w:rsid w:val="00EA161F"/>
    <w:rsid w:val="00EA1A21"/>
    <w:rsid w:val="00EA226C"/>
    <w:rsid w:val="00EA2469"/>
    <w:rsid w:val="00EA2C4E"/>
    <w:rsid w:val="00EA6F40"/>
    <w:rsid w:val="00EB0719"/>
    <w:rsid w:val="00EB19E2"/>
    <w:rsid w:val="00EB274C"/>
    <w:rsid w:val="00EB2AAD"/>
    <w:rsid w:val="00EB4597"/>
    <w:rsid w:val="00EB4BDD"/>
    <w:rsid w:val="00EB4C2F"/>
    <w:rsid w:val="00EB4CDF"/>
    <w:rsid w:val="00EB604C"/>
    <w:rsid w:val="00EB6980"/>
    <w:rsid w:val="00EB71FF"/>
    <w:rsid w:val="00EB7F5A"/>
    <w:rsid w:val="00EC0C47"/>
    <w:rsid w:val="00EC1F9A"/>
    <w:rsid w:val="00EC330E"/>
    <w:rsid w:val="00EC44F8"/>
    <w:rsid w:val="00EC4DB5"/>
    <w:rsid w:val="00EC56BC"/>
    <w:rsid w:val="00EC5DFF"/>
    <w:rsid w:val="00EC60BA"/>
    <w:rsid w:val="00EC75A1"/>
    <w:rsid w:val="00EC77B0"/>
    <w:rsid w:val="00ED0073"/>
    <w:rsid w:val="00ED0498"/>
    <w:rsid w:val="00ED0BFE"/>
    <w:rsid w:val="00ED0DDF"/>
    <w:rsid w:val="00ED219B"/>
    <w:rsid w:val="00ED2D5B"/>
    <w:rsid w:val="00ED2FD4"/>
    <w:rsid w:val="00ED399E"/>
    <w:rsid w:val="00ED41E1"/>
    <w:rsid w:val="00ED4F63"/>
    <w:rsid w:val="00ED5B9F"/>
    <w:rsid w:val="00ED76AA"/>
    <w:rsid w:val="00EE0189"/>
    <w:rsid w:val="00EE0DEB"/>
    <w:rsid w:val="00EE0F44"/>
    <w:rsid w:val="00EE1D5A"/>
    <w:rsid w:val="00EE2494"/>
    <w:rsid w:val="00EE24BD"/>
    <w:rsid w:val="00EE2A90"/>
    <w:rsid w:val="00EE34EE"/>
    <w:rsid w:val="00EE481B"/>
    <w:rsid w:val="00EE6CDA"/>
    <w:rsid w:val="00EE736E"/>
    <w:rsid w:val="00EE741B"/>
    <w:rsid w:val="00EE7C26"/>
    <w:rsid w:val="00EF248F"/>
    <w:rsid w:val="00EF47A8"/>
    <w:rsid w:val="00EF47FC"/>
    <w:rsid w:val="00EF511A"/>
    <w:rsid w:val="00EF590D"/>
    <w:rsid w:val="00EF5E0E"/>
    <w:rsid w:val="00EF7743"/>
    <w:rsid w:val="00EF7803"/>
    <w:rsid w:val="00F02501"/>
    <w:rsid w:val="00F026F3"/>
    <w:rsid w:val="00F037E9"/>
    <w:rsid w:val="00F03963"/>
    <w:rsid w:val="00F03A0B"/>
    <w:rsid w:val="00F062CE"/>
    <w:rsid w:val="00F06A74"/>
    <w:rsid w:val="00F1000D"/>
    <w:rsid w:val="00F102FF"/>
    <w:rsid w:val="00F10C13"/>
    <w:rsid w:val="00F11302"/>
    <w:rsid w:val="00F11739"/>
    <w:rsid w:val="00F11C61"/>
    <w:rsid w:val="00F11E77"/>
    <w:rsid w:val="00F12E4B"/>
    <w:rsid w:val="00F144B2"/>
    <w:rsid w:val="00F14AE0"/>
    <w:rsid w:val="00F17AAF"/>
    <w:rsid w:val="00F17CD9"/>
    <w:rsid w:val="00F20167"/>
    <w:rsid w:val="00F20A2D"/>
    <w:rsid w:val="00F21BBE"/>
    <w:rsid w:val="00F22005"/>
    <w:rsid w:val="00F231A0"/>
    <w:rsid w:val="00F24B72"/>
    <w:rsid w:val="00F25E4C"/>
    <w:rsid w:val="00F273E0"/>
    <w:rsid w:val="00F30189"/>
    <w:rsid w:val="00F30C48"/>
    <w:rsid w:val="00F311A4"/>
    <w:rsid w:val="00F31663"/>
    <w:rsid w:val="00F31D56"/>
    <w:rsid w:val="00F321A0"/>
    <w:rsid w:val="00F32419"/>
    <w:rsid w:val="00F331AC"/>
    <w:rsid w:val="00F339CB"/>
    <w:rsid w:val="00F34ADF"/>
    <w:rsid w:val="00F34F12"/>
    <w:rsid w:val="00F34FE7"/>
    <w:rsid w:val="00F351F6"/>
    <w:rsid w:val="00F36D77"/>
    <w:rsid w:val="00F36DE4"/>
    <w:rsid w:val="00F37BAB"/>
    <w:rsid w:val="00F405F8"/>
    <w:rsid w:val="00F409CF"/>
    <w:rsid w:val="00F435B5"/>
    <w:rsid w:val="00F45534"/>
    <w:rsid w:val="00F46ED5"/>
    <w:rsid w:val="00F478E7"/>
    <w:rsid w:val="00F50E5A"/>
    <w:rsid w:val="00F50F1B"/>
    <w:rsid w:val="00F52E9C"/>
    <w:rsid w:val="00F53895"/>
    <w:rsid w:val="00F54623"/>
    <w:rsid w:val="00F54A0D"/>
    <w:rsid w:val="00F54AD7"/>
    <w:rsid w:val="00F54E97"/>
    <w:rsid w:val="00F55213"/>
    <w:rsid w:val="00F5612A"/>
    <w:rsid w:val="00F56791"/>
    <w:rsid w:val="00F568AB"/>
    <w:rsid w:val="00F5756C"/>
    <w:rsid w:val="00F5789A"/>
    <w:rsid w:val="00F60393"/>
    <w:rsid w:val="00F60D8F"/>
    <w:rsid w:val="00F615CA"/>
    <w:rsid w:val="00F61C3F"/>
    <w:rsid w:val="00F623CE"/>
    <w:rsid w:val="00F63ADB"/>
    <w:rsid w:val="00F63E23"/>
    <w:rsid w:val="00F64BE3"/>
    <w:rsid w:val="00F6519F"/>
    <w:rsid w:val="00F67EE2"/>
    <w:rsid w:val="00F70562"/>
    <w:rsid w:val="00F72B46"/>
    <w:rsid w:val="00F72EF7"/>
    <w:rsid w:val="00F7326E"/>
    <w:rsid w:val="00F75A64"/>
    <w:rsid w:val="00F775FE"/>
    <w:rsid w:val="00F80E19"/>
    <w:rsid w:val="00F81066"/>
    <w:rsid w:val="00F81FB9"/>
    <w:rsid w:val="00F82C2C"/>
    <w:rsid w:val="00F84DC6"/>
    <w:rsid w:val="00F85913"/>
    <w:rsid w:val="00F8707C"/>
    <w:rsid w:val="00F901C6"/>
    <w:rsid w:val="00F914C3"/>
    <w:rsid w:val="00F91F34"/>
    <w:rsid w:val="00F92216"/>
    <w:rsid w:val="00F9368D"/>
    <w:rsid w:val="00F943FB"/>
    <w:rsid w:val="00F945E2"/>
    <w:rsid w:val="00F946B2"/>
    <w:rsid w:val="00F94D57"/>
    <w:rsid w:val="00F9618D"/>
    <w:rsid w:val="00F97BC8"/>
    <w:rsid w:val="00FA0BC6"/>
    <w:rsid w:val="00FA18F0"/>
    <w:rsid w:val="00FA18F2"/>
    <w:rsid w:val="00FA25B6"/>
    <w:rsid w:val="00FA3401"/>
    <w:rsid w:val="00FA3BF1"/>
    <w:rsid w:val="00FA4215"/>
    <w:rsid w:val="00FA47D7"/>
    <w:rsid w:val="00FA5277"/>
    <w:rsid w:val="00FA6E3C"/>
    <w:rsid w:val="00FA7890"/>
    <w:rsid w:val="00FA7EEE"/>
    <w:rsid w:val="00FB0305"/>
    <w:rsid w:val="00FB118A"/>
    <w:rsid w:val="00FB182F"/>
    <w:rsid w:val="00FB26AC"/>
    <w:rsid w:val="00FB2C0F"/>
    <w:rsid w:val="00FB2C51"/>
    <w:rsid w:val="00FB3F4F"/>
    <w:rsid w:val="00FB429A"/>
    <w:rsid w:val="00FB565B"/>
    <w:rsid w:val="00FB5819"/>
    <w:rsid w:val="00FB7AB5"/>
    <w:rsid w:val="00FB7B2D"/>
    <w:rsid w:val="00FC02B8"/>
    <w:rsid w:val="00FC0594"/>
    <w:rsid w:val="00FC1F84"/>
    <w:rsid w:val="00FC2A17"/>
    <w:rsid w:val="00FC4C60"/>
    <w:rsid w:val="00FC7648"/>
    <w:rsid w:val="00FD0C3C"/>
    <w:rsid w:val="00FD101C"/>
    <w:rsid w:val="00FD35C2"/>
    <w:rsid w:val="00FD4D6E"/>
    <w:rsid w:val="00FD56F0"/>
    <w:rsid w:val="00FD6383"/>
    <w:rsid w:val="00FD68C1"/>
    <w:rsid w:val="00FE038E"/>
    <w:rsid w:val="00FE0C38"/>
    <w:rsid w:val="00FE103F"/>
    <w:rsid w:val="00FE139E"/>
    <w:rsid w:val="00FE1BB6"/>
    <w:rsid w:val="00FE2D8A"/>
    <w:rsid w:val="00FE5352"/>
    <w:rsid w:val="00FE6038"/>
    <w:rsid w:val="00FE65AE"/>
    <w:rsid w:val="00FE6681"/>
    <w:rsid w:val="00FE6E7A"/>
    <w:rsid w:val="00FE714A"/>
    <w:rsid w:val="00FF06E4"/>
    <w:rsid w:val="00FF0831"/>
    <w:rsid w:val="00FF1465"/>
    <w:rsid w:val="00FF2336"/>
    <w:rsid w:val="00FF4266"/>
    <w:rsid w:val="00FF4DE3"/>
    <w:rsid w:val="00FF5985"/>
    <w:rsid w:val="00FF5BC8"/>
    <w:rsid w:val="00FF6B63"/>
    <w:rsid w:val="00FF6BB4"/>
    <w:rsid w:val="00FF7245"/>
    <w:rsid w:val="00FF7B07"/>
    <w:rsid w:val="013463F1"/>
    <w:rsid w:val="0294548D"/>
    <w:rsid w:val="0416CEF7"/>
    <w:rsid w:val="06C20D26"/>
    <w:rsid w:val="0950F670"/>
    <w:rsid w:val="0B3E1948"/>
    <w:rsid w:val="0D055A2F"/>
    <w:rsid w:val="0D1ECB20"/>
    <w:rsid w:val="0DD2D19A"/>
    <w:rsid w:val="0DD74EC8"/>
    <w:rsid w:val="0F1A2A9F"/>
    <w:rsid w:val="1054BF4A"/>
    <w:rsid w:val="114B6CD1"/>
    <w:rsid w:val="1167D084"/>
    <w:rsid w:val="120A3232"/>
    <w:rsid w:val="15AC1BF6"/>
    <w:rsid w:val="15BCB450"/>
    <w:rsid w:val="163CABFE"/>
    <w:rsid w:val="1681E8A8"/>
    <w:rsid w:val="17BCF451"/>
    <w:rsid w:val="180F6D17"/>
    <w:rsid w:val="18254951"/>
    <w:rsid w:val="197DBF2B"/>
    <w:rsid w:val="19EC548E"/>
    <w:rsid w:val="1B1A6CF7"/>
    <w:rsid w:val="1BC48250"/>
    <w:rsid w:val="1ECD28EC"/>
    <w:rsid w:val="1FBCEE9C"/>
    <w:rsid w:val="20E8B7D4"/>
    <w:rsid w:val="21AF0B5B"/>
    <w:rsid w:val="25011743"/>
    <w:rsid w:val="2A6CEA97"/>
    <w:rsid w:val="2B2C5DBB"/>
    <w:rsid w:val="2BCBE20D"/>
    <w:rsid w:val="2BF9012C"/>
    <w:rsid w:val="2BFA3F14"/>
    <w:rsid w:val="2C1C0F0B"/>
    <w:rsid w:val="2D61C866"/>
    <w:rsid w:val="2D7017EF"/>
    <w:rsid w:val="2DA15F98"/>
    <w:rsid w:val="2E5F3EC8"/>
    <w:rsid w:val="2F05F16B"/>
    <w:rsid w:val="2FBE4F83"/>
    <w:rsid w:val="309E49AF"/>
    <w:rsid w:val="3141EA06"/>
    <w:rsid w:val="318442C4"/>
    <w:rsid w:val="31A8D0E6"/>
    <w:rsid w:val="32DEAE65"/>
    <w:rsid w:val="34979F55"/>
    <w:rsid w:val="34B09686"/>
    <w:rsid w:val="35EFDED8"/>
    <w:rsid w:val="36598C8E"/>
    <w:rsid w:val="3687A1F7"/>
    <w:rsid w:val="37112076"/>
    <w:rsid w:val="38107284"/>
    <w:rsid w:val="389A8EAF"/>
    <w:rsid w:val="3C165838"/>
    <w:rsid w:val="3CE96367"/>
    <w:rsid w:val="3DD3498F"/>
    <w:rsid w:val="3EEF4447"/>
    <w:rsid w:val="3FC054E1"/>
    <w:rsid w:val="3FC8ABBD"/>
    <w:rsid w:val="40803936"/>
    <w:rsid w:val="412D2D58"/>
    <w:rsid w:val="44C7AF67"/>
    <w:rsid w:val="477ECC91"/>
    <w:rsid w:val="48D0E7CB"/>
    <w:rsid w:val="4D799684"/>
    <w:rsid w:val="508F6CFC"/>
    <w:rsid w:val="51594BB7"/>
    <w:rsid w:val="526DC3C5"/>
    <w:rsid w:val="53381FB3"/>
    <w:rsid w:val="54854C68"/>
    <w:rsid w:val="54903847"/>
    <w:rsid w:val="553B0B2B"/>
    <w:rsid w:val="55BB63A7"/>
    <w:rsid w:val="58EDDCFC"/>
    <w:rsid w:val="598CD9F7"/>
    <w:rsid w:val="5B0BF7B2"/>
    <w:rsid w:val="5D176B9B"/>
    <w:rsid w:val="5E1C6ADC"/>
    <w:rsid w:val="5E2CC052"/>
    <w:rsid w:val="5ECCB92C"/>
    <w:rsid w:val="5F956B6A"/>
    <w:rsid w:val="6017B923"/>
    <w:rsid w:val="634F90A5"/>
    <w:rsid w:val="6778BE51"/>
    <w:rsid w:val="6917C006"/>
    <w:rsid w:val="6A578E44"/>
    <w:rsid w:val="6AE84586"/>
    <w:rsid w:val="6AEC3DF4"/>
    <w:rsid w:val="6C8B2C44"/>
    <w:rsid w:val="6D22BFC3"/>
    <w:rsid w:val="6F2A500C"/>
    <w:rsid w:val="6F9611FB"/>
    <w:rsid w:val="707F196F"/>
    <w:rsid w:val="70F23018"/>
    <w:rsid w:val="721155B8"/>
    <w:rsid w:val="732EDCAF"/>
    <w:rsid w:val="733F06F3"/>
    <w:rsid w:val="73E27E28"/>
    <w:rsid w:val="75FC3B12"/>
    <w:rsid w:val="763DEAE5"/>
    <w:rsid w:val="765CA130"/>
    <w:rsid w:val="7822E2F1"/>
    <w:rsid w:val="7866FEC7"/>
    <w:rsid w:val="78D57D6C"/>
    <w:rsid w:val="7C23E3CE"/>
    <w:rsid w:val="7C4AD861"/>
    <w:rsid w:val="7C8941B5"/>
    <w:rsid w:val="7F05EFBA"/>
    <w:rsid w:val="7F3DEC6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C36818"/>
  <w15:chartTrackingRefBased/>
  <w15:docId w15:val="{7753F11E-493A-4660-BE27-F4318E7EA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D10"/>
    <w:pPr>
      <w:spacing w:after="240"/>
    </w:pPr>
  </w:style>
  <w:style w:type="paragraph" w:styleId="Heading1">
    <w:name w:val="heading 1"/>
    <w:basedOn w:val="Normal"/>
    <w:next w:val="Normal"/>
    <w:link w:val="Heading1Char"/>
    <w:uiPriority w:val="9"/>
    <w:qFormat/>
    <w:rsid w:val="00BF430C"/>
    <w:pPr>
      <w:keepNext/>
      <w:keepLines/>
      <w:spacing w:before="1440" w:after="0" w:line="640" w:lineRule="exact"/>
      <w:outlineLvl w:val="0"/>
    </w:pPr>
    <w:rPr>
      <w:rFonts w:ascii="Calibri" w:eastAsiaTheme="majorEastAsia" w:hAnsi="Calibri" w:cstheme="majorBidi"/>
      <w:b/>
      <w:color w:val="000000" w:themeColor="text1"/>
      <w:sz w:val="60"/>
      <w:szCs w:val="32"/>
    </w:rPr>
  </w:style>
  <w:style w:type="paragraph" w:styleId="Heading2">
    <w:name w:val="heading 2"/>
    <w:basedOn w:val="Normal"/>
    <w:next w:val="Normal"/>
    <w:link w:val="Heading2Char"/>
    <w:uiPriority w:val="9"/>
    <w:unhideWhenUsed/>
    <w:qFormat/>
    <w:rsid w:val="00BF430C"/>
    <w:pPr>
      <w:keepNext/>
      <w:keepLines/>
      <w:spacing w:before="720" w:after="160"/>
      <w:outlineLvl w:val="1"/>
    </w:pPr>
    <w:rPr>
      <w:rFonts w:asciiTheme="majorHAnsi" w:eastAsiaTheme="majorEastAsia" w:hAnsiTheme="majorHAnsi" w:cstheme="majorBidi"/>
      <w:b/>
      <w:color w:val="004C6C" w:themeColor="background2"/>
      <w:sz w:val="44"/>
      <w:szCs w:val="26"/>
    </w:rPr>
  </w:style>
  <w:style w:type="paragraph" w:styleId="Heading3">
    <w:name w:val="heading 3"/>
    <w:basedOn w:val="Normal"/>
    <w:next w:val="Normal"/>
    <w:link w:val="Heading3Char"/>
    <w:uiPriority w:val="9"/>
    <w:unhideWhenUsed/>
    <w:qFormat/>
    <w:rsid w:val="00BF430C"/>
    <w:pPr>
      <w:keepNext/>
      <w:keepLines/>
      <w:spacing w:before="320" w:after="60"/>
      <w:outlineLvl w:val="2"/>
    </w:pPr>
    <w:rPr>
      <w:rFonts w:asciiTheme="majorHAnsi" w:eastAsiaTheme="majorEastAsia" w:hAnsiTheme="majorHAnsi" w:cstheme="majorBidi"/>
      <w:b/>
      <w:color w:val="004C6C" w:themeColor="background2"/>
      <w:sz w:val="32"/>
      <w:szCs w:val="24"/>
    </w:rPr>
  </w:style>
  <w:style w:type="paragraph" w:styleId="Heading4">
    <w:name w:val="heading 4"/>
    <w:basedOn w:val="Normal"/>
    <w:next w:val="Normal"/>
    <w:link w:val="Heading4Char"/>
    <w:uiPriority w:val="9"/>
    <w:unhideWhenUsed/>
    <w:qFormat/>
    <w:rsid w:val="00FD6383"/>
    <w:pPr>
      <w:keepNext/>
      <w:keepLines/>
      <w:spacing w:before="360" w:after="0"/>
      <w:outlineLvl w:val="3"/>
    </w:pPr>
    <w:rPr>
      <w:rFonts w:asciiTheme="majorHAnsi" w:eastAsiaTheme="majorEastAsia" w:hAnsiTheme="majorHAnsi" w:cstheme="majorBidi"/>
      <w:b/>
      <w:iCs/>
      <w:color w:val="00254A" w:themeColor="text2"/>
      <w:sz w:val="28"/>
    </w:rPr>
  </w:style>
  <w:style w:type="paragraph" w:styleId="Heading5">
    <w:name w:val="heading 5"/>
    <w:basedOn w:val="Normal"/>
    <w:next w:val="Normal"/>
    <w:link w:val="Heading5Char"/>
    <w:uiPriority w:val="9"/>
    <w:unhideWhenUsed/>
    <w:qFormat/>
    <w:rsid w:val="00FD6383"/>
    <w:pPr>
      <w:keepNext/>
      <w:keepLines/>
      <w:spacing w:before="40" w:after="0"/>
      <w:outlineLvl w:val="4"/>
    </w:pPr>
    <w:rPr>
      <w:rFonts w:asciiTheme="majorHAnsi" w:eastAsiaTheme="majorEastAsia" w:hAnsiTheme="majorHAnsi" w:cstheme="majorBidi"/>
      <w:b/>
      <w:color w:val="004C6C" w:themeColor="background2"/>
      <w:sz w:val="26"/>
    </w:rPr>
  </w:style>
  <w:style w:type="paragraph" w:styleId="Heading6">
    <w:name w:val="heading 6"/>
    <w:basedOn w:val="Normal"/>
    <w:next w:val="Normal"/>
    <w:link w:val="Heading6Char"/>
    <w:uiPriority w:val="9"/>
    <w:unhideWhenUsed/>
    <w:qFormat/>
    <w:rsid w:val="00AD631F"/>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8"/>
    <w:unhideWhenUsed/>
    <w:qFormat/>
    <w:rsid w:val="00107D87"/>
    <w:rPr>
      <w:color w:val="7F4594" w:themeColor="hyperlink"/>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3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F430C"/>
    <w:rPr>
      <w:rFonts w:ascii="Calibri" w:eastAsiaTheme="majorEastAsia" w:hAnsi="Calibri" w:cstheme="majorBidi"/>
      <w:b/>
      <w:color w:val="000000" w:themeColor="text1"/>
      <w:sz w:val="60"/>
      <w:szCs w:val="32"/>
    </w:rPr>
  </w:style>
  <w:style w:type="character" w:customStyle="1" w:styleId="Heading2Char">
    <w:name w:val="Heading 2 Char"/>
    <w:basedOn w:val="DefaultParagraphFont"/>
    <w:link w:val="Heading2"/>
    <w:uiPriority w:val="9"/>
    <w:rsid w:val="00BF430C"/>
    <w:rPr>
      <w:rFonts w:asciiTheme="majorHAnsi" w:eastAsiaTheme="majorEastAsia" w:hAnsiTheme="majorHAnsi" w:cstheme="majorBidi"/>
      <w:b/>
      <w:color w:val="004C6C" w:themeColor="background2"/>
      <w:sz w:val="44"/>
      <w:szCs w:val="26"/>
    </w:rPr>
  </w:style>
  <w:style w:type="character" w:customStyle="1" w:styleId="Heading3Char">
    <w:name w:val="Heading 3 Char"/>
    <w:basedOn w:val="DefaultParagraphFont"/>
    <w:link w:val="Heading3"/>
    <w:uiPriority w:val="9"/>
    <w:rsid w:val="00BF430C"/>
    <w:rPr>
      <w:rFonts w:asciiTheme="majorHAnsi" w:eastAsiaTheme="majorEastAsia" w:hAnsiTheme="majorHAnsi" w:cstheme="majorBidi"/>
      <w:b/>
      <w:color w:val="004C6C" w:themeColor="background2"/>
      <w:sz w:val="32"/>
      <w:szCs w:val="24"/>
    </w:rPr>
  </w:style>
  <w:style w:type="character" w:customStyle="1" w:styleId="Heading4Char">
    <w:name w:val="Heading 4 Char"/>
    <w:basedOn w:val="DefaultParagraphFont"/>
    <w:link w:val="Heading4"/>
    <w:uiPriority w:val="9"/>
    <w:rsid w:val="00FD6383"/>
    <w:rPr>
      <w:rFonts w:asciiTheme="majorHAnsi" w:eastAsiaTheme="majorEastAsia" w:hAnsiTheme="majorHAnsi" w:cstheme="majorBidi"/>
      <w:b/>
      <w:iCs/>
      <w:color w:val="00254A" w:themeColor="text2"/>
      <w:sz w:val="28"/>
    </w:rPr>
  </w:style>
  <w:style w:type="character" w:customStyle="1" w:styleId="Heading5Char">
    <w:name w:val="Heading 5 Char"/>
    <w:basedOn w:val="DefaultParagraphFont"/>
    <w:link w:val="Heading5"/>
    <w:uiPriority w:val="9"/>
    <w:rsid w:val="00FD6383"/>
    <w:rPr>
      <w:rFonts w:asciiTheme="majorHAnsi" w:eastAsiaTheme="majorEastAsia" w:hAnsiTheme="majorHAnsi" w:cstheme="majorBidi"/>
      <w:b/>
      <w:color w:val="004C6C" w:themeColor="background2"/>
      <w:sz w:val="26"/>
    </w:rPr>
  </w:style>
  <w:style w:type="character" w:customStyle="1" w:styleId="Heading6Char">
    <w:name w:val="Heading 6 Char"/>
    <w:basedOn w:val="DefaultParagraphFont"/>
    <w:link w:val="Heading6"/>
    <w:uiPriority w:val="9"/>
    <w:rsid w:val="00AD631F"/>
    <w:rPr>
      <w:rFonts w:asciiTheme="majorHAnsi" w:eastAsiaTheme="majorEastAsia" w:hAnsiTheme="majorHAnsi" w:cstheme="majorBidi"/>
      <w:b/>
      <w:color w:val="5F636A"/>
    </w:rPr>
  </w:style>
  <w:style w:type="paragraph" w:styleId="Caption">
    <w:name w:val="caption"/>
    <w:basedOn w:val="Normal"/>
    <w:next w:val="Normal"/>
    <w:uiPriority w:val="35"/>
    <w:qFormat/>
    <w:rsid w:val="00EB4C2F"/>
    <w:pPr>
      <w:spacing w:after="120" w:line="240" w:lineRule="auto"/>
    </w:pPr>
    <w:rPr>
      <w:b/>
      <w:iCs/>
      <w:color w:val="00254A" w:themeColor="text2"/>
      <w:szCs w:val="18"/>
    </w:rPr>
  </w:style>
  <w:style w:type="paragraph" w:customStyle="1" w:styleId="Source">
    <w:name w:val="Source"/>
    <w:basedOn w:val="Normal"/>
    <w:uiPriority w:val="97"/>
    <w:qFormat/>
    <w:rsid w:val="00EB4C2F"/>
    <w:pPr>
      <w:spacing w:before="120"/>
    </w:pPr>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BF430C"/>
    <w:pPr>
      <w:numPr>
        <w:ilvl w:val="1"/>
      </w:numPr>
      <w:spacing w:before="120" w:after="140"/>
    </w:pPr>
    <w:rPr>
      <w:rFonts w:eastAsiaTheme="minorEastAsia"/>
      <w:color w:val="004C6C" w:themeColor="background2"/>
      <w:spacing w:val="15"/>
      <w:sz w:val="40"/>
    </w:rPr>
  </w:style>
  <w:style w:type="character" w:customStyle="1" w:styleId="SubtitleChar">
    <w:name w:val="Subtitle Char"/>
    <w:basedOn w:val="DefaultParagraphFont"/>
    <w:link w:val="Subtitle"/>
    <w:uiPriority w:val="11"/>
    <w:rsid w:val="00BF430C"/>
    <w:rPr>
      <w:rFonts w:eastAsiaTheme="minorEastAsia"/>
      <w:color w:val="004C6C" w:themeColor="background2"/>
      <w:spacing w:val="15"/>
      <w:sz w:val="40"/>
    </w:rPr>
  </w:style>
  <w:style w:type="paragraph" w:styleId="List">
    <w:name w:val="List"/>
    <w:basedOn w:val="Normal"/>
    <w:uiPriority w:val="98"/>
    <w:qFormat/>
    <w:rsid w:val="00886959"/>
    <w:pPr>
      <w:numPr>
        <w:numId w:val="5"/>
      </w:numPr>
      <w:spacing w:after="200"/>
      <w:contextualSpacing/>
    </w:pPr>
  </w:style>
  <w:style w:type="paragraph" w:styleId="List2">
    <w:name w:val="List 2"/>
    <w:basedOn w:val="Normal"/>
    <w:uiPriority w:val="98"/>
    <w:qFormat/>
    <w:rsid w:val="00F85913"/>
    <w:pPr>
      <w:numPr>
        <w:ilvl w:val="1"/>
        <w:numId w:val="5"/>
      </w:numPr>
      <w:spacing w:after="200"/>
      <w:contextualSpacing/>
    </w:pPr>
  </w:style>
  <w:style w:type="paragraph" w:styleId="List3">
    <w:name w:val="List 3"/>
    <w:basedOn w:val="Normal"/>
    <w:uiPriority w:val="98"/>
    <w:qFormat/>
    <w:rsid w:val="00BC248C"/>
    <w:pPr>
      <w:numPr>
        <w:ilvl w:val="2"/>
        <w:numId w:val="5"/>
      </w:numPr>
      <w:spacing w:after="200"/>
      <w:contextualSpacing/>
    </w:pPr>
  </w:style>
  <w:style w:type="paragraph" w:styleId="List4">
    <w:name w:val="List 4"/>
    <w:basedOn w:val="Normal"/>
    <w:uiPriority w:val="98"/>
    <w:qFormat/>
    <w:rsid w:val="00BC248C"/>
    <w:pPr>
      <w:numPr>
        <w:ilvl w:val="3"/>
        <w:numId w:val="5"/>
      </w:numPr>
      <w:spacing w:after="200"/>
      <w:contextualSpacing/>
    </w:pPr>
  </w:style>
  <w:style w:type="paragraph" w:styleId="ListNumber">
    <w:name w:val="List Number"/>
    <w:basedOn w:val="Normal"/>
    <w:uiPriority w:val="98"/>
    <w:qFormat/>
    <w:rsid w:val="00276047"/>
    <w:pPr>
      <w:numPr>
        <w:numId w:val="2"/>
      </w:numPr>
      <w:spacing w:after="200"/>
      <w:contextualSpacing/>
    </w:pPr>
  </w:style>
  <w:style w:type="paragraph" w:styleId="ListNumber2">
    <w:name w:val="List Number 2"/>
    <w:basedOn w:val="Normal"/>
    <w:uiPriority w:val="98"/>
    <w:qFormat/>
    <w:rsid w:val="00276047"/>
    <w:pPr>
      <w:numPr>
        <w:ilvl w:val="1"/>
        <w:numId w:val="2"/>
      </w:numPr>
      <w:spacing w:after="200"/>
      <w:contextualSpacing/>
    </w:pPr>
  </w:style>
  <w:style w:type="paragraph" w:styleId="ListBullet3">
    <w:name w:val="List Bullet 3"/>
    <w:basedOn w:val="Normal"/>
    <w:uiPriority w:val="98"/>
    <w:qFormat/>
    <w:rsid w:val="008A36E1"/>
    <w:pPr>
      <w:numPr>
        <w:numId w:val="4"/>
      </w:numPr>
      <w:spacing w:after="200"/>
      <w:ind w:left="851" w:hanging="284"/>
      <w:contextualSpacing/>
    </w:pPr>
  </w:style>
  <w:style w:type="paragraph" w:styleId="ListNumber3">
    <w:name w:val="List Number 3"/>
    <w:basedOn w:val="Normal"/>
    <w:uiPriority w:val="98"/>
    <w:qFormat/>
    <w:rsid w:val="00950B06"/>
    <w:pPr>
      <w:numPr>
        <w:ilvl w:val="2"/>
        <w:numId w:val="2"/>
      </w:numPr>
      <w:spacing w:after="200"/>
      <w:contextualSpacing/>
    </w:pPr>
  </w:style>
  <w:style w:type="paragraph" w:styleId="ListNumber4">
    <w:name w:val="List Number 4"/>
    <w:basedOn w:val="Normal"/>
    <w:uiPriority w:val="98"/>
    <w:qFormat/>
    <w:rsid w:val="0012343A"/>
    <w:pPr>
      <w:numPr>
        <w:ilvl w:val="3"/>
        <w:numId w:val="2"/>
      </w:numPr>
      <w:spacing w:after="200"/>
      <w:contextualSpacing/>
    </w:pPr>
  </w:style>
  <w:style w:type="paragraph" w:styleId="ListBullet">
    <w:name w:val="List Bullet"/>
    <w:basedOn w:val="Normal"/>
    <w:uiPriority w:val="98"/>
    <w:qFormat/>
    <w:rsid w:val="008A36E1"/>
    <w:pPr>
      <w:numPr>
        <w:numId w:val="1"/>
      </w:numPr>
      <w:spacing w:after="200"/>
      <w:ind w:left="284" w:hanging="284"/>
      <w:contextualSpacing/>
    </w:pPr>
  </w:style>
  <w:style w:type="paragraph" w:styleId="ListBullet2">
    <w:name w:val="List Bullet 2"/>
    <w:basedOn w:val="Normal"/>
    <w:uiPriority w:val="98"/>
    <w:qFormat/>
    <w:rsid w:val="00C75706"/>
    <w:pPr>
      <w:numPr>
        <w:ilvl w:val="1"/>
        <w:numId w:val="1"/>
      </w:numPr>
      <w:spacing w:after="200"/>
      <w:ind w:left="568" w:hanging="284"/>
      <w:contextualSpacing/>
    </w:pPr>
  </w:style>
  <w:style w:type="paragraph" w:styleId="ListBullet4">
    <w:name w:val="List Bullet 4"/>
    <w:basedOn w:val="Normal"/>
    <w:uiPriority w:val="98"/>
    <w:qFormat/>
    <w:rsid w:val="00C75706"/>
    <w:pPr>
      <w:numPr>
        <w:numId w:val="3"/>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235752"/>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rPr>
        <w:color w:val="FFFFFF" w:themeColor="background1"/>
      </w:rPr>
      <w:tblPr/>
      <w:tcPr>
        <w:shd w:val="clear" w:color="auto" w:fill="5F636A"/>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99"/>
    <w:unhideWhenUsed/>
    <w:rsid w:val="00AF1F18"/>
    <w:pPr>
      <w:tabs>
        <w:tab w:val="right" w:leader="dot" w:pos="9016"/>
      </w:tabs>
      <w:spacing w:after="100"/>
    </w:pPr>
  </w:style>
  <w:style w:type="paragraph" w:styleId="TOC2">
    <w:name w:val="toc 2"/>
    <w:basedOn w:val="Normal"/>
    <w:next w:val="Normal"/>
    <w:autoRedefine/>
    <w:uiPriority w:val="99"/>
    <w:unhideWhenUsed/>
    <w:rsid w:val="00AF1F18"/>
    <w:pPr>
      <w:spacing w:after="100"/>
      <w:ind w:left="220"/>
    </w:pPr>
  </w:style>
  <w:style w:type="paragraph" w:styleId="TOC3">
    <w:name w:val="toc 3"/>
    <w:basedOn w:val="Normal"/>
    <w:next w:val="Normal"/>
    <w:autoRedefine/>
    <w:uiPriority w:val="99"/>
    <w:unhideWhenUsed/>
    <w:rsid w:val="00AF1F18"/>
    <w:pPr>
      <w:spacing w:after="100"/>
      <w:ind w:left="440"/>
    </w:pPr>
  </w:style>
  <w:style w:type="paragraph" w:styleId="TOCHeading">
    <w:name w:val="TOC Heading"/>
    <w:basedOn w:val="Heading1"/>
    <w:next w:val="Normal"/>
    <w:uiPriority w:val="99"/>
    <w:unhideWhenUsed/>
    <w:rsid w:val="00AF1F18"/>
    <w:pPr>
      <w:spacing w:before="0" w:after="240" w:line="259" w:lineRule="auto"/>
      <w:outlineLvl w:val="9"/>
    </w:pPr>
    <w:rPr>
      <w:rFonts w:asciiTheme="majorHAnsi" w:hAnsiTheme="majorHAnsi"/>
      <w:color w:val="55437E" w:themeColor="accent2"/>
      <w:sz w:val="44"/>
      <w:lang w:val="en-US"/>
    </w:rPr>
  </w:style>
  <w:style w:type="paragraph" w:customStyle="1" w:styleId="paragraph">
    <w:name w:val="paragraph"/>
    <w:basedOn w:val="Normal"/>
    <w:rsid w:val="0082292F"/>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82292F"/>
  </w:style>
  <w:style w:type="character" w:customStyle="1" w:styleId="eop">
    <w:name w:val="eop"/>
    <w:basedOn w:val="DefaultParagraphFont"/>
    <w:rsid w:val="0082292F"/>
  </w:style>
  <w:style w:type="paragraph" w:styleId="Revision">
    <w:name w:val="Revision"/>
    <w:hidden/>
    <w:uiPriority w:val="99"/>
    <w:semiHidden/>
    <w:rsid w:val="0082292F"/>
    <w:pPr>
      <w:spacing w:after="0" w:line="240" w:lineRule="auto"/>
    </w:pPr>
  </w:style>
  <w:style w:type="paragraph" w:styleId="ListParagraph">
    <w:name w:val="List Paragraph"/>
    <w:aliases w:val="Bullets,TOC style,lp1,Bullet OSM,Proposal Bullet List,List Paragraph1,Recommendation,List Paragraph11,List Paragraph111,L,F5 List Paragraph,Dot pt,CV text,Table text,Medium Grid 1 - Accent 21,Numbered Paragraph,List Paragraph2,FooterText"/>
    <w:basedOn w:val="Normal"/>
    <w:link w:val="ListParagraphChar"/>
    <w:uiPriority w:val="34"/>
    <w:qFormat/>
    <w:rsid w:val="003A53C2"/>
    <w:pPr>
      <w:ind w:left="720"/>
      <w:contextualSpacing/>
    </w:pPr>
  </w:style>
  <w:style w:type="character" w:styleId="FollowedHyperlink">
    <w:name w:val="FollowedHyperlink"/>
    <w:basedOn w:val="DefaultParagraphFont"/>
    <w:uiPriority w:val="99"/>
    <w:semiHidden/>
    <w:unhideWhenUsed/>
    <w:rsid w:val="004D204C"/>
    <w:rPr>
      <w:color w:val="CE372F" w:themeColor="followedHyperlink"/>
      <w:u w:val="single"/>
    </w:rPr>
  </w:style>
  <w:style w:type="paragraph" w:styleId="CommentText">
    <w:name w:val="annotation text"/>
    <w:basedOn w:val="Normal"/>
    <w:link w:val="CommentTextChar"/>
    <w:uiPriority w:val="99"/>
    <w:unhideWhenUsed/>
    <w:rsid w:val="007B3444"/>
    <w:pPr>
      <w:spacing w:line="240" w:lineRule="auto"/>
    </w:pPr>
    <w:rPr>
      <w:sz w:val="20"/>
      <w:szCs w:val="20"/>
    </w:rPr>
  </w:style>
  <w:style w:type="character" w:customStyle="1" w:styleId="CommentTextChar">
    <w:name w:val="Comment Text Char"/>
    <w:basedOn w:val="DefaultParagraphFont"/>
    <w:link w:val="CommentText"/>
    <w:uiPriority w:val="99"/>
    <w:rsid w:val="007B3444"/>
    <w:rPr>
      <w:sz w:val="20"/>
      <w:szCs w:val="20"/>
    </w:rPr>
  </w:style>
  <w:style w:type="character" w:styleId="CommentReference">
    <w:name w:val="annotation reference"/>
    <w:basedOn w:val="DefaultParagraphFont"/>
    <w:uiPriority w:val="99"/>
    <w:semiHidden/>
    <w:unhideWhenUsed/>
    <w:rsid w:val="007B3444"/>
    <w:rPr>
      <w:sz w:val="16"/>
      <w:szCs w:val="16"/>
    </w:rPr>
  </w:style>
  <w:style w:type="paragraph" w:styleId="CommentSubject">
    <w:name w:val="annotation subject"/>
    <w:basedOn w:val="CommentText"/>
    <w:next w:val="CommentText"/>
    <w:link w:val="CommentSubjectChar"/>
    <w:uiPriority w:val="99"/>
    <w:semiHidden/>
    <w:unhideWhenUsed/>
    <w:rsid w:val="00BD5D33"/>
    <w:rPr>
      <w:b/>
      <w:bCs/>
    </w:rPr>
  </w:style>
  <w:style w:type="character" w:customStyle="1" w:styleId="CommentSubjectChar">
    <w:name w:val="Comment Subject Char"/>
    <w:basedOn w:val="CommentTextChar"/>
    <w:link w:val="CommentSubject"/>
    <w:uiPriority w:val="99"/>
    <w:semiHidden/>
    <w:rsid w:val="00BD5D33"/>
    <w:rPr>
      <w:b/>
      <w:bCs/>
      <w:sz w:val="20"/>
      <w:szCs w:val="20"/>
    </w:rPr>
  </w:style>
  <w:style w:type="character" w:customStyle="1" w:styleId="ListParagraphChar">
    <w:name w:val="List Paragraph Char"/>
    <w:aliases w:val="Bullets Char,TOC style Char,lp1 Char,Bullet OSM Char,Proposal Bullet List Char,List Paragraph1 Char,Recommendation Char,List Paragraph11 Char,List Paragraph111 Char,L Char,F5 List Paragraph Char,Dot pt Char,CV text Char"/>
    <w:basedOn w:val="DefaultParagraphFont"/>
    <w:link w:val="ListParagraph"/>
    <w:uiPriority w:val="34"/>
    <w:qFormat/>
    <w:locked/>
    <w:rsid w:val="007D5C2B"/>
  </w:style>
  <w:style w:type="paragraph" w:styleId="BodyText">
    <w:name w:val="Body Text"/>
    <w:basedOn w:val="Normal"/>
    <w:link w:val="BodyTextChar"/>
    <w:uiPriority w:val="1"/>
    <w:unhideWhenUsed/>
    <w:qFormat/>
    <w:rsid w:val="007D5C2B"/>
    <w:pPr>
      <w:spacing w:before="120" w:after="120" w:line="264" w:lineRule="auto"/>
    </w:pPr>
    <w:rPr>
      <w:rFonts w:eastAsia="Times New Roman" w:cs="Times New Roman"/>
      <w:sz w:val="20"/>
      <w:szCs w:val="24"/>
      <w:lang w:eastAsia="en-AU"/>
    </w:rPr>
  </w:style>
  <w:style w:type="character" w:customStyle="1" w:styleId="BodyTextChar">
    <w:name w:val="Body Text Char"/>
    <w:basedOn w:val="DefaultParagraphFont"/>
    <w:link w:val="BodyText"/>
    <w:uiPriority w:val="1"/>
    <w:rsid w:val="007D5C2B"/>
    <w:rPr>
      <w:rFonts w:eastAsia="Times New Roman" w:cs="Times New Roman"/>
      <w:sz w:val="20"/>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2251">
      <w:bodyDiv w:val="1"/>
      <w:marLeft w:val="0"/>
      <w:marRight w:val="0"/>
      <w:marTop w:val="0"/>
      <w:marBottom w:val="0"/>
      <w:divBdr>
        <w:top w:val="none" w:sz="0" w:space="0" w:color="auto"/>
        <w:left w:val="none" w:sz="0" w:space="0" w:color="auto"/>
        <w:bottom w:val="none" w:sz="0" w:space="0" w:color="auto"/>
        <w:right w:val="none" w:sz="0" w:space="0" w:color="auto"/>
      </w:divBdr>
    </w:div>
    <w:div w:id="8527347">
      <w:bodyDiv w:val="1"/>
      <w:marLeft w:val="0"/>
      <w:marRight w:val="0"/>
      <w:marTop w:val="0"/>
      <w:marBottom w:val="0"/>
      <w:divBdr>
        <w:top w:val="none" w:sz="0" w:space="0" w:color="auto"/>
        <w:left w:val="none" w:sz="0" w:space="0" w:color="auto"/>
        <w:bottom w:val="none" w:sz="0" w:space="0" w:color="auto"/>
        <w:right w:val="none" w:sz="0" w:space="0" w:color="auto"/>
      </w:divBdr>
      <w:divsChild>
        <w:div w:id="695036096">
          <w:marLeft w:val="0"/>
          <w:marRight w:val="0"/>
          <w:marTop w:val="0"/>
          <w:marBottom w:val="0"/>
          <w:divBdr>
            <w:top w:val="none" w:sz="0" w:space="0" w:color="auto"/>
            <w:left w:val="none" w:sz="0" w:space="0" w:color="auto"/>
            <w:bottom w:val="none" w:sz="0" w:space="0" w:color="auto"/>
            <w:right w:val="none" w:sz="0" w:space="0" w:color="auto"/>
          </w:divBdr>
        </w:div>
        <w:div w:id="741368718">
          <w:marLeft w:val="0"/>
          <w:marRight w:val="0"/>
          <w:marTop w:val="0"/>
          <w:marBottom w:val="0"/>
          <w:divBdr>
            <w:top w:val="none" w:sz="0" w:space="0" w:color="auto"/>
            <w:left w:val="none" w:sz="0" w:space="0" w:color="auto"/>
            <w:bottom w:val="none" w:sz="0" w:space="0" w:color="auto"/>
            <w:right w:val="none" w:sz="0" w:space="0" w:color="auto"/>
          </w:divBdr>
        </w:div>
        <w:div w:id="1665888484">
          <w:marLeft w:val="0"/>
          <w:marRight w:val="0"/>
          <w:marTop w:val="0"/>
          <w:marBottom w:val="0"/>
          <w:divBdr>
            <w:top w:val="none" w:sz="0" w:space="0" w:color="auto"/>
            <w:left w:val="none" w:sz="0" w:space="0" w:color="auto"/>
            <w:bottom w:val="none" w:sz="0" w:space="0" w:color="auto"/>
            <w:right w:val="none" w:sz="0" w:space="0" w:color="auto"/>
          </w:divBdr>
        </w:div>
      </w:divsChild>
    </w:div>
    <w:div w:id="12072012">
      <w:bodyDiv w:val="1"/>
      <w:marLeft w:val="0"/>
      <w:marRight w:val="0"/>
      <w:marTop w:val="0"/>
      <w:marBottom w:val="0"/>
      <w:divBdr>
        <w:top w:val="none" w:sz="0" w:space="0" w:color="auto"/>
        <w:left w:val="none" w:sz="0" w:space="0" w:color="auto"/>
        <w:bottom w:val="none" w:sz="0" w:space="0" w:color="auto"/>
        <w:right w:val="none" w:sz="0" w:space="0" w:color="auto"/>
      </w:divBdr>
    </w:div>
    <w:div w:id="126893873">
      <w:bodyDiv w:val="1"/>
      <w:marLeft w:val="0"/>
      <w:marRight w:val="0"/>
      <w:marTop w:val="0"/>
      <w:marBottom w:val="0"/>
      <w:divBdr>
        <w:top w:val="none" w:sz="0" w:space="0" w:color="auto"/>
        <w:left w:val="none" w:sz="0" w:space="0" w:color="auto"/>
        <w:bottom w:val="none" w:sz="0" w:space="0" w:color="auto"/>
        <w:right w:val="none" w:sz="0" w:space="0" w:color="auto"/>
      </w:divBdr>
    </w:div>
    <w:div w:id="172846998">
      <w:bodyDiv w:val="1"/>
      <w:marLeft w:val="0"/>
      <w:marRight w:val="0"/>
      <w:marTop w:val="0"/>
      <w:marBottom w:val="0"/>
      <w:divBdr>
        <w:top w:val="none" w:sz="0" w:space="0" w:color="auto"/>
        <w:left w:val="none" w:sz="0" w:space="0" w:color="auto"/>
        <w:bottom w:val="none" w:sz="0" w:space="0" w:color="auto"/>
        <w:right w:val="none" w:sz="0" w:space="0" w:color="auto"/>
      </w:divBdr>
      <w:divsChild>
        <w:div w:id="112214068">
          <w:marLeft w:val="0"/>
          <w:marRight w:val="0"/>
          <w:marTop w:val="0"/>
          <w:marBottom w:val="0"/>
          <w:divBdr>
            <w:top w:val="none" w:sz="0" w:space="0" w:color="auto"/>
            <w:left w:val="none" w:sz="0" w:space="0" w:color="auto"/>
            <w:bottom w:val="none" w:sz="0" w:space="0" w:color="auto"/>
            <w:right w:val="none" w:sz="0" w:space="0" w:color="auto"/>
          </w:divBdr>
        </w:div>
        <w:div w:id="163209063">
          <w:marLeft w:val="0"/>
          <w:marRight w:val="0"/>
          <w:marTop w:val="0"/>
          <w:marBottom w:val="0"/>
          <w:divBdr>
            <w:top w:val="none" w:sz="0" w:space="0" w:color="auto"/>
            <w:left w:val="none" w:sz="0" w:space="0" w:color="auto"/>
            <w:bottom w:val="none" w:sz="0" w:space="0" w:color="auto"/>
            <w:right w:val="none" w:sz="0" w:space="0" w:color="auto"/>
          </w:divBdr>
        </w:div>
        <w:div w:id="741634043">
          <w:marLeft w:val="0"/>
          <w:marRight w:val="0"/>
          <w:marTop w:val="0"/>
          <w:marBottom w:val="0"/>
          <w:divBdr>
            <w:top w:val="none" w:sz="0" w:space="0" w:color="auto"/>
            <w:left w:val="none" w:sz="0" w:space="0" w:color="auto"/>
            <w:bottom w:val="none" w:sz="0" w:space="0" w:color="auto"/>
            <w:right w:val="none" w:sz="0" w:space="0" w:color="auto"/>
          </w:divBdr>
        </w:div>
        <w:div w:id="2026593763">
          <w:marLeft w:val="0"/>
          <w:marRight w:val="0"/>
          <w:marTop w:val="0"/>
          <w:marBottom w:val="0"/>
          <w:divBdr>
            <w:top w:val="none" w:sz="0" w:space="0" w:color="auto"/>
            <w:left w:val="none" w:sz="0" w:space="0" w:color="auto"/>
            <w:bottom w:val="none" w:sz="0" w:space="0" w:color="auto"/>
            <w:right w:val="none" w:sz="0" w:space="0" w:color="auto"/>
          </w:divBdr>
        </w:div>
        <w:div w:id="2102019637">
          <w:marLeft w:val="0"/>
          <w:marRight w:val="0"/>
          <w:marTop w:val="0"/>
          <w:marBottom w:val="0"/>
          <w:divBdr>
            <w:top w:val="none" w:sz="0" w:space="0" w:color="auto"/>
            <w:left w:val="none" w:sz="0" w:space="0" w:color="auto"/>
            <w:bottom w:val="none" w:sz="0" w:space="0" w:color="auto"/>
            <w:right w:val="none" w:sz="0" w:space="0" w:color="auto"/>
          </w:divBdr>
        </w:div>
      </w:divsChild>
    </w:div>
    <w:div w:id="264508543">
      <w:bodyDiv w:val="1"/>
      <w:marLeft w:val="0"/>
      <w:marRight w:val="0"/>
      <w:marTop w:val="0"/>
      <w:marBottom w:val="0"/>
      <w:divBdr>
        <w:top w:val="none" w:sz="0" w:space="0" w:color="auto"/>
        <w:left w:val="none" w:sz="0" w:space="0" w:color="auto"/>
        <w:bottom w:val="none" w:sz="0" w:space="0" w:color="auto"/>
        <w:right w:val="none" w:sz="0" w:space="0" w:color="auto"/>
      </w:divBdr>
    </w:div>
    <w:div w:id="300693422">
      <w:bodyDiv w:val="1"/>
      <w:marLeft w:val="0"/>
      <w:marRight w:val="0"/>
      <w:marTop w:val="0"/>
      <w:marBottom w:val="0"/>
      <w:divBdr>
        <w:top w:val="none" w:sz="0" w:space="0" w:color="auto"/>
        <w:left w:val="none" w:sz="0" w:space="0" w:color="auto"/>
        <w:bottom w:val="none" w:sz="0" w:space="0" w:color="auto"/>
        <w:right w:val="none" w:sz="0" w:space="0" w:color="auto"/>
      </w:divBdr>
    </w:div>
    <w:div w:id="344282106">
      <w:bodyDiv w:val="1"/>
      <w:marLeft w:val="0"/>
      <w:marRight w:val="0"/>
      <w:marTop w:val="0"/>
      <w:marBottom w:val="0"/>
      <w:divBdr>
        <w:top w:val="none" w:sz="0" w:space="0" w:color="auto"/>
        <w:left w:val="none" w:sz="0" w:space="0" w:color="auto"/>
        <w:bottom w:val="none" w:sz="0" w:space="0" w:color="auto"/>
        <w:right w:val="none" w:sz="0" w:space="0" w:color="auto"/>
      </w:divBdr>
      <w:divsChild>
        <w:div w:id="17045263">
          <w:marLeft w:val="0"/>
          <w:marRight w:val="0"/>
          <w:marTop w:val="0"/>
          <w:marBottom w:val="0"/>
          <w:divBdr>
            <w:top w:val="none" w:sz="0" w:space="0" w:color="auto"/>
            <w:left w:val="none" w:sz="0" w:space="0" w:color="auto"/>
            <w:bottom w:val="none" w:sz="0" w:space="0" w:color="auto"/>
            <w:right w:val="none" w:sz="0" w:space="0" w:color="auto"/>
          </w:divBdr>
        </w:div>
        <w:div w:id="24984764">
          <w:marLeft w:val="0"/>
          <w:marRight w:val="0"/>
          <w:marTop w:val="0"/>
          <w:marBottom w:val="0"/>
          <w:divBdr>
            <w:top w:val="none" w:sz="0" w:space="0" w:color="auto"/>
            <w:left w:val="none" w:sz="0" w:space="0" w:color="auto"/>
            <w:bottom w:val="none" w:sz="0" w:space="0" w:color="auto"/>
            <w:right w:val="none" w:sz="0" w:space="0" w:color="auto"/>
          </w:divBdr>
        </w:div>
        <w:div w:id="244998104">
          <w:marLeft w:val="0"/>
          <w:marRight w:val="0"/>
          <w:marTop w:val="0"/>
          <w:marBottom w:val="0"/>
          <w:divBdr>
            <w:top w:val="none" w:sz="0" w:space="0" w:color="auto"/>
            <w:left w:val="none" w:sz="0" w:space="0" w:color="auto"/>
            <w:bottom w:val="none" w:sz="0" w:space="0" w:color="auto"/>
            <w:right w:val="none" w:sz="0" w:space="0" w:color="auto"/>
          </w:divBdr>
        </w:div>
        <w:div w:id="812213008">
          <w:marLeft w:val="0"/>
          <w:marRight w:val="0"/>
          <w:marTop w:val="0"/>
          <w:marBottom w:val="0"/>
          <w:divBdr>
            <w:top w:val="none" w:sz="0" w:space="0" w:color="auto"/>
            <w:left w:val="none" w:sz="0" w:space="0" w:color="auto"/>
            <w:bottom w:val="none" w:sz="0" w:space="0" w:color="auto"/>
            <w:right w:val="none" w:sz="0" w:space="0" w:color="auto"/>
          </w:divBdr>
        </w:div>
        <w:div w:id="1168252000">
          <w:marLeft w:val="0"/>
          <w:marRight w:val="0"/>
          <w:marTop w:val="0"/>
          <w:marBottom w:val="0"/>
          <w:divBdr>
            <w:top w:val="none" w:sz="0" w:space="0" w:color="auto"/>
            <w:left w:val="none" w:sz="0" w:space="0" w:color="auto"/>
            <w:bottom w:val="none" w:sz="0" w:space="0" w:color="auto"/>
            <w:right w:val="none" w:sz="0" w:space="0" w:color="auto"/>
          </w:divBdr>
        </w:div>
      </w:divsChild>
    </w:div>
    <w:div w:id="395712478">
      <w:bodyDiv w:val="1"/>
      <w:marLeft w:val="0"/>
      <w:marRight w:val="0"/>
      <w:marTop w:val="0"/>
      <w:marBottom w:val="0"/>
      <w:divBdr>
        <w:top w:val="none" w:sz="0" w:space="0" w:color="auto"/>
        <w:left w:val="none" w:sz="0" w:space="0" w:color="auto"/>
        <w:bottom w:val="none" w:sz="0" w:space="0" w:color="auto"/>
        <w:right w:val="none" w:sz="0" w:space="0" w:color="auto"/>
      </w:divBdr>
    </w:div>
    <w:div w:id="411120405">
      <w:bodyDiv w:val="1"/>
      <w:marLeft w:val="0"/>
      <w:marRight w:val="0"/>
      <w:marTop w:val="0"/>
      <w:marBottom w:val="0"/>
      <w:divBdr>
        <w:top w:val="none" w:sz="0" w:space="0" w:color="auto"/>
        <w:left w:val="none" w:sz="0" w:space="0" w:color="auto"/>
        <w:bottom w:val="none" w:sz="0" w:space="0" w:color="auto"/>
        <w:right w:val="none" w:sz="0" w:space="0" w:color="auto"/>
      </w:divBdr>
    </w:div>
    <w:div w:id="423913629">
      <w:bodyDiv w:val="1"/>
      <w:marLeft w:val="0"/>
      <w:marRight w:val="0"/>
      <w:marTop w:val="0"/>
      <w:marBottom w:val="0"/>
      <w:divBdr>
        <w:top w:val="none" w:sz="0" w:space="0" w:color="auto"/>
        <w:left w:val="none" w:sz="0" w:space="0" w:color="auto"/>
        <w:bottom w:val="none" w:sz="0" w:space="0" w:color="auto"/>
        <w:right w:val="none" w:sz="0" w:space="0" w:color="auto"/>
      </w:divBdr>
      <w:divsChild>
        <w:div w:id="582956522">
          <w:marLeft w:val="274"/>
          <w:marRight w:val="0"/>
          <w:marTop w:val="0"/>
          <w:marBottom w:val="0"/>
          <w:divBdr>
            <w:top w:val="none" w:sz="0" w:space="0" w:color="auto"/>
            <w:left w:val="none" w:sz="0" w:space="0" w:color="auto"/>
            <w:bottom w:val="none" w:sz="0" w:space="0" w:color="auto"/>
            <w:right w:val="none" w:sz="0" w:space="0" w:color="auto"/>
          </w:divBdr>
        </w:div>
        <w:div w:id="1458984982">
          <w:marLeft w:val="274"/>
          <w:marRight w:val="0"/>
          <w:marTop w:val="0"/>
          <w:marBottom w:val="0"/>
          <w:divBdr>
            <w:top w:val="none" w:sz="0" w:space="0" w:color="auto"/>
            <w:left w:val="none" w:sz="0" w:space="0" w:color="auto"/>
            <w:bottom w:val="none" w:sz="0" w:space="0" w:color="auto"/>
            <w:right w:val="none" w:sz="0" w:space="0" w:color="auto"/>
          </w:divBdr>
        </w:div>
        <w:div w:id="1595434158">
          <w:marLeft w:val="274"/>
          <w:marRight w:val="0"/>
          <w:marTop w:val="0"/>
          <w:marBottom w:val="0"/>
          <w:divBdr>
            <w:top w:val="none" w:sz="0" w:space="0" w:color="auto"/>
            <w:left w:val="none" w:sz="0" w:space="0" w:color="auto"/>
            <w:bottom w:val="none" w:sz="0" w:space="0" w:color="auto"/>
            <w:right w:val="none" w:sz="0" w:space="0" w:color="auto"/>
          </w:divBdr>
        </w:div>
        <w:div w:id="2060203118">
          <w:marLeft w:val="274"/>
          <w:marRight w:val="0"/>
          <w:marTop w:val="0"/>
          <w:marBottom w:val="0"/>
          <w:divBdr>
            <w:top w:val="none" w:sz="0" w:space="0" w:color="auto"/>
            <w:left w:val="none" w:sz="0" w:space="0" w:color="auto"/>
            <w:bottom w:val="none" w:sz="0" w:space="0" w:color="auto"/>
            <w:right w:val="none" w:sz="0" w:space="0" w:color="auto"/>
          </w:divBdr>
        </w:div>
      </w:divsChild>
    </w:div>
    <w:div w:id="444930951">
      <w:bodyDiv w:val="1"/>
      <w:marLeft w:val="0"/>
      <w:marRight w:val="0"/>
      <w:marTop w:val="0"/>
      <w:marBottom w:val="0"/>
      <w:divBdr>
        <w:top w:val="none" w:sz="0" w:space="0" w:color="auto"/>
        <w:left w:val="none" w:sz="0" w:space="0" w:color="auto"/>
        <w:bottom w:val="none" w:sz="0" w:space="0" w:color="auto"/>
        <w:right w:val="none" w:sz="0" w:space="0" w:color="auto"/>
      </w:divBdr>
    </w:div>
    <w:div w:id="452869331">
      <w:bodyDiv w:val="1"/>
      <w:marLeft w:val="0"/>
      <w:marRight w:val="0"/>
      <w:marTop w:val="0"/>
      <w:marBottom w:val="0"/>
      <w:divBdr>
        <w:top w:val="none" w:sz="0" w:space="0" w:color="auto"/>
        <w:left w:val="none" w:sz="0" w:space="0" w:color="auto"/>
        <w:bottom w:val="none" w:sz="0" w:space="0" w:color="auto"/>
        <w:right w:val="none" w:sz="0" w:space="0" w:color="auto"/>
      </w:divBdr>
      <w:divsChild>
        <w:div w:id="535507587">
          <w:marLeft w:val="274"/>
          <w:marRight w:val="0"/>
          <w:marTop w:val="0"/>
          <w:marBottom w:val="0"/>
          <w:divBdr>
            <w:top w:val="none" w:sz="0" w:space="0" w:color="auto"/>
            <w:left w:val="none" w:sz="0" w:space="0" w:color="auto"/>
            <w:bottom w:val="none" w:sz="0" w:space="0" w:color="auto"/>
            <w:right w:val="none" w:sz="0" w:space="0" w:color="auto"/>
          </w:divBdr>
        </w:div>
        <w:div w:id="1345210516">
          <w:marLeft w:val="274"/>
          <w:marRight w:val="0"/>
          <w:marTop w:val="0"/>
          <w:marBottom w:val="0"/>
          <w:divBdr>
            <w:top w:val="none" w:sz="0" w:space="0" w:color="auto"/>
            <w:left w:val="none" w:sz="0" w:space="0" w:color="auto"/>
            <w:bottom w:val="none" w:sz="0" w:space="0" w:color="auto"/>
            <w:right w:val="none" w:sz="0" w:space="0" w:color="auto"/>
          </w:divBdr>
        </w:div>
        <w:div w:id="1469086289">
          <w:marLeft w:val="274"/>
          <w:marRight w:val="0"/>
          <w:marTop w:val="0"/>
          <w:marBottom w:val="0"/>
          <w:divBdr>
            <w:top w:val="none" w:sz="0" w:space="0" w:color="auto"/>
            <w:left w:val="none" w:sz="0" w:space="0" w:color="auto"/>
            <w:bottom w:val="none" w:sz="0" w:space="0" w:color="auto"/>
            <w:right w:val="none" w:sz="0" w:space="0" w:color="auto"/>
          </w:divBdr>
        </w:div>
        <w:div w:id="2133278994">
          <w:marLeft w:val="274"/>
          <w:marRight w:val="0"/>
          <w:marTop w:val="0"/>
          <w:marBottom w:val="0"/>
          <w:divBdr>
            <w:top w:val="none" w:sz="0" w:space="0" w:color="auto"/>
            <w:left w:val="none" w:sz="0" w:space="0" w:color="auto"/>
            <w:bottom w:val="none" w:sz="0" w:space="0" w:color="auto"/>
            <w:right w:val="none" w:sz="0" w:space="0" w:color="auto"/>
          </w:divBdr>
        </w:div>
      </w:divsChild>
    </w:div>
    <w:div w:id="473838616">
      <w:bodyDiv w:val="1"/>
      <w:marLeft w:val="0"/>
      <w:marRight w:val="0"/>
      <w:marTop w:val="0"/>
      <w:marBottom w:val="0"/>
      <w:divBdr>
        <w:top w:val="none" w:sz="0" w:space="0" w:color="auto"/>
        <w:left w:val="none" w:sz="0" w:space="0" w:color="auto"/>
        <w:bottom w:val="none" w:sz="0" w:space="0" w:color="auto"/>
        <w:right w:val="none" w:sz="0" w:space="0" w:color="auto"/>
      </w:divBdr>
      <w:divsChild>
        <w:div w:id="256643147">
          <w:marLeft w:val="0"/>
          <w:marRight w:val="0"/>
          <w:marTop w:val="0"/>
          <w:marBottom w:val="0"/>
          <w:divBdr>
            <w:top w:val="none" w:sz="0" w:space="0" w:color="auto"/>
            <w:left w:val="none" w:sz="0" w:space="0" w:color="auto"/>
            <w:bottom w:val="none" w:sz="0" w:space="0" w:color="auto"/>
            <w:right w:val="none" w:sz="0" w:space="0" w:color="auto"/>
          </w:divBdr>
        </w:div>
        <w:div w:id="1242526251">
          <w:marLeft w:val="0"/>
          <w:marRight w:val="0"/>
          <w:marTop w:val="0"/>
          <w:marBottom w:val="0"/>
          <w:divBdr>
            <w:top w:val="none" w:sz="0" w:space="0" w:color="auto"/>
            <w:left w:val="none" w:sz="0" w:space="0" w:color="auto"/>
            <w:bottom w:val="none" w:sz="0" w:space="0" w:color="auto"/>
            <w:right w:val="none" w:sz="0" w:space="0" w:color="auto"/>
          </w:divBdr>
        </w:div>
        <w:div w:id="1939369568">
          <w:marLeft w:val="0"/>
          <w:marRight w:val="0"/>
          <w:marTop w:val="0"/>
          <w:marBottom w:val="0"/>
          <w:divBdr>
            <w:top w:val="none" w:sz="0" w:space="0" w:color="auto"/>
            <w:left w:val="none" w:sz="0" w:space="0" w:color="auto"/>
            <w:bottom w:val="none" w:sz="0" w:space="0" w:color="auto"/>
            <w:right w:val="none" w:sz="0" w:space="0" w:color="auto"/>
          </w:divBdr>
        </w:div>
      </w:divsChild>
    </w:div>
    <w:div w:id="588588403">
      <w:bodyDiv w:val="1"/>
      <w:marLeft w:val="0"/>
      <w:marRight w:val="0"/>
      <w:marTop w:val="0"/>
      <w:marBottom w:val="0"/>
      <w:divBdr>
        <w:top w:val="none" w:sz="0" w:space="0" w:color="auto"/>
        <w:left w:val="none" w:sz="0" w:space="0" w:color="auto"/>
        <w:bottom w:val="none" w:sz="0" w:space="0" w:color="auto"/>
        <w:right w:val="none" w:sz="0" w:space="0" w:color="auto"/>
      </w:divBdr>
    </w:div>
    <w:div w:id="618948808">
      <w:bodyDiv w:val="1"/>
      <w:marLeft w:val="0"/>
      <w:marRight w:val="0"/>
      <w:marTop w:val="0"/>
      <w:marBottom w:val="0"/>
      <w:divBdr>
        <w:top w:val="none" w:sz="0" w:space="0" w:color="auto"/>
        <w:left w:val="none" w:sz="0" w:space="0" w:color="auto"/>
        <w:bottom w:val="none" w:sz="0" w:space="0" w:color="auto"/>
        <w:right w:val="none" w:sz="0" w:space="0" w:color="auto"/>
      </w:divBdr>
    </w:div>
    <w:div w:id="619142555">
      <w:bodyDiv w:val="1"/>
      <w:marLeft w:val="0"/>
      <w:marRight w:val="0"/>
      <w:marTop w:val="0"/>
      <w:marBottom w:val="0"/>
      <w:divBdr>
        <w:top w:val="none" w:sz="0" w:space="0" w:color="auto"/>
        <w:left w:val="none" w:sz="0" w:space="0" w:color="auto"/>
        <w:bottom w:val="none" w:sz="0" w:space="0" w:color="auto"/>
        <w:right w:val="none" w:sz="0" w:space="0" w:color="auto"/>
      </w:divBdr>
    </w:div>
    <w:div w:id="633829793">
      <w:bodyDiv w:val="1"/>
      <w:marLeft w:val="0"/>
      <w:marRight w:val="0"/>
      <w:marTop w:val="0"/>
      <w:marBottom w:val="0"/>
      <w:divBdr>
        <w:top w:val="none" w:sz="0" w:space="0" w:color="auto"/>
        <w:left w:val="none" w:sz="0" w:space="0" w:color="auto"/>
        <w:bottom w:val="none" w:sz="0" w:space="0" w:color="auto"/>
        <w:right w:val="none" w:sz="0" w:space="0" w:color="auto"/>
      </w:divBdr>
    </w:div>
    <w:div w:id="671226634">
      <w:bodyDiv w:val="1"/>
      <w:marLeft w:val="0"/>
      <w:marRight w:val="0"/>
      <w:marTop w:val="0"/>
      <w:marBottom w:val="0"/>
      <w:divBdr>
        <w:top w:val="none" w:sz="0" w:space="0" w:color="auto"/>
        <w:left w:val="none" w:sz="0" w:space="0" w:color="auto"/>
        <w:bottom w:val="none" w:sz="0" w:space="0" w:color="auto"/>
        <w:right w:val="none" w:sz="0" w:space="0" w:color="auto"/>
      </w:divBdr>
      <w:divsChild>
        <w:div w:id="67072622">
          <w:marLeft w:val="0"/>
          <w:marRight w:val="0"/>
          <w:marTop w:val="0"/>
          <w:marBottom w:val="0"/>
          <w:divBdr>
            <w:top w:val="none" w:sz="0" w:space="0" w:color="auto"/>
            <w:left w:val="none" w:sz="0" w:space="0" w:color="auto"/>
            <w:bottom w:val="none" w:sz="0" w:space="0" w:color="auto"/>
            <w:right w:val="none" w:sz="0" w:space="0" w:color="auto"/>
          </w:divBdr>
        </w:div>
        <w:div w:id="440271256">
          <w:marLeft w:val="0"/>
          <w:marRight w:val="0"/>
          <w:marTop w:val="0"/>
          <w:marBottom w:val="0"/>
          <w:divBdr>
            <w:top w:val="none" w:sz="0" w:space="0" w:color="auto"/>
            <w:left w:val="none" w:sz="0" w:space="0" w:color="auto"/>
            <w:bottom w:val="none" w:sz="0" w:space="0" w:color="auto"/>
            <w:right w:val="none" w:sz="0" w:space="0" w:color="auto"/>
          </w:divBdr>
        </w:div>
        <w:div w:id="506988135">
          <w:marLeft w:val="0"/>
          <w:marRight w:val="0"/>
          <w:marTop w:val="0"/>
          <w:marBottom w:val="0"/>
          <w:divBdr>
            <w:top w:val="none" w:sz="0" w:space="0" w:color="auto"/>
            <w:left w:val="none" w:sz="0" w:space="0" w:color="auto"/>
            <w:bottom w:val="none" w:sz="0" w:space="0" w:color="auto"/>
            <w:right w:val="none" w:sz="0" w:space="0" w:color="auto"/>
          </w:divBdr>
        </w:div>
        <w:div w:id="563759116">
          <w:marLeft w:val="0"/>
          <w:marRight w:val="0"/>
          <w:marTop w:val="0"/>
          <w:marBottom w:val="0"/>
          <w:divBdr>
            <w:top w:val="none" w:sz="0" w:space="0" w:color="auto"/>
            <w:left w:val="none" w:sz="0" w:space="0" w:color="auto"/>
            <w:bottom w:val="none" w:sz="0" w:space="0" w:color="auto"/>
            <w:right w:val="none" w:sz="0" w:space="0" w:color="auto"/>
          </w:divBdr>
        </w:div>
        <w:div w:id="836926153">
          <w:marLeft w:val="0"/>
          <w:marRight w:val="0"/>
          <w:marTop w:val="0"/>
          <w:marBottom w:val="0"/>
          <w:divBdr>
            <w:top w:val="none" w:sz="0" w:space="0" w:color="auto"/>
            <w:left w:val="none" w:sz="0" w:space="0" w:color="auto"/>
            <w:bottom w:val="none" w:sz="0" w:space="0" w:color="auto"/>
            <w:right w:val="none" w:sz="0" w:space="0" w:color="auto"/>
          </w:divBdr>
        </w:div>
      </w:divsChild>
    </w:div>
    <w:div w:id="830943728">
      <w:bodyDiv w:val="1"/>
      <w:marLeft w:val="0"/>
      <w:marRight w:val="0"/>
      <w:marTop w:val="0"/>
      <w:marBottom w:val="0"/>
      <w:divBdr>
        <w:top w:val="none" w:sz="0" w:space="0" w:color="auto"/>
        <w:left w:val="none" w:sz="0" w:space="0" w:color="auto"/>
        <w:bottom w:val="none" w:sz="0" w:space="0" w:color="auto"/>
        <w:right w:val="none" w:sz="0" w:space="0" w:color="auto"/>
      </w:divBdr>
      <w:divsChild>
        <w:div w:id="1474034">
          <w:marLeft w:val="0"/>
          <w:marRight w:val="0"/>
          <w:marTop w:val="0"/>
          <w:marBottom w:val="0"/>
          <w:divBdr>
            <w:top w:val="none" w:sz="0" w:space="0" w:color="auto"/>
            <w:left w:val="none" w:sz="0" w:space="0" w:color="auto"/>
            <w:bottom w:val="none" w:sz="0" w:space="0" w:color="auto"/>
            <w:right w:val="none" w:sz="0" w:space="0" w:color="auto"/>
          </w:divBdr>
        </w:div>
        <w:div w:id="645863993">
          <w:marLeft w:val="0"/>
          <w:marRight w:val="0"/>
          <w:marTop w:val="0"/>
          <w:marBottom w:val="0"/>
          <w:divBdr>
            <w:top w:val="none" w:sz="0" w:space="0" w:color="auto"/>
            <w:left w:val="none" w:sz="0" w:space="0" w:color="auto"/>
            <w:bottom w:val="none" w:sz="0" w:space="0" w:color="auto"/>
            <w:right w:val="none" w:sz="0" w:space="0" w:color="auto"/>
          </w:divBdr>
        </w:div>
        <w:div w:id="731393662">
          <w:marLeft w:val="0"/>
          <w:marRight w:val="0"/>
          <w:marTop w:val="0"/>
          <w:marBottom w:val="0"/>
          <w:divBdr>
            <w:top w:val="none" w:sz="0" w:space="0" w:color="auto"/>
            <w:left w:val="none" w:sz="0" w:space="0" w:color="auto"/>
            <w:bottom w:val="none" w:sz="0" w:space="0" w:color="auto"/>
            <w:right w:val="none" w:sz="0" w:space="0" w:color="auto"/>
          </w:divBdr>
        </w:div>
        <w:div w:id="1126923108">
          <w:marLeft w:val="0"/>
          <w:marRight w:val="0"/>
          <w:marTop w:val="0"/>
          <w:marBottom w:val="0"/>
          <w:divBdr>
            <w:top w:val="none" w:sz="0" w:space="0" w:color="auto"/>
            <w:left w:val="none" w:sz="0" w:space="0" w:color="auto"/>
            <w:bottom w:val="none" w:sz="0" w:space="0" w:color="auto"/>
            <w:right w:val="none" w:sz="0" w:space="0" w:color="auto"/>
          </w:divBdr>
        </w:div>
        <w:div w:id="1335691403">
          <w:marLeft w:val="0"/>
          <w:marRight w:val="0"/>
          <w:marTop w:val="0"/>
          <w:marBottom w:val="0"/>
          <w:divBdr>
            <w:top w:val="none" w:sz="0" w:space="0" w:color="auto"/>
            <w:left w:val="none" w:sz="0" w:space="0" w:color="auto"/>
            <w:bottom w:val="none" w:sz="0" w:space="0" w:color="auto"/>
            <w:right w:val="none" w:sz="0" w:space="0" w:color="auto"/>
          </w:divBdr>
        </w:div>
        <w:div w:id="1361200244">
          <w:marLeft w:val="0"/>
          <w:marRight w:val="0"/>
          <w:marTop w:val="0"/>
          <w:marBottom w:val="0"/>
          <w:divBdr>
            <w:top w:val="none" w:sz="0" w:space="0" w:color="auto"/>
            <w:left w:val="none" w:sz="0" w:space="0" w:color="auto"/>
            <w:bottom w:val="none" w:sz="0" w:space="0" w:color="auto"/>
            <w:right w:val="none" w:sz="0" w:space="0" w:color="auto"/>
          </w:divBdr>
        </w:div>
        <w:div w:id="1704091782">
          <w:marLeft w:val="0"/>
          <w:marRight w:val="0"/>
          <w:marTop w:val="0"/>
          <w:marBottom w:val="0"/>
          <w:divBdr>
            <w:top w:val="none" w:sz="0" w:space="0" w:color="auto"/>
            <w:left w:val="none" w:sz="0" w:space="0" w:color="auto"/>
            <w:bottom w:val="none" w:sz="0" w:space="0" w:color="auto"/>
            <w:right w:val="none" w:sz="0" w:space="0" w:color="auto"/>
          </w:divBdr>
        </w:div>
        <w:div w:id="2103916970">
          <w:marLeft w:val="0"/>
          <w:marRight w:val="0"/>
          <w:marTop w:val="0"/>
          <w:marBottom w:val="0"/>
          <w:divBdr>
            <w:top w:val="none" w:sz="0" w:space="0" w:color="auto"/>
            <w:left w:val="none" w:sz="0" w:space="0" w:color="auto"/>
            <w:bottom w:val="none" w:sz="0" w:space="0" w:color="auto"/>
            <w:right w:val="none" w:sz="0" w:space="0" w:color="auto"/>
          </w:divBdr>
        </w:div>
      </w:divsChild>
    </w:div>
    <w:div w:id="965307283">
      <w:bodyDiv w:val="1"/>
      <w:marLeft w:val="0"/>
      <w:marRight w:val="0"/>
      <w:marTop w:val="0"/>
      <w:marBottom w:val="0"/>
      <w:divBdr>
        <w:top w:val="none" w:sz="0" w:space="0" w:color="auto"/>
        <w:left w:val="none" w:sz="0" w:space="0" w:color="auto"/>
        <w:bottom w:val="none" w:sz="0" w:space="0" w:color="auto"/>
        <w:right w:val="none" w:sz="0" w:space="0" w:color="auto"/>
      </w:divBdr>
    </w:div>
    <w:div w:id="1064991079">
      <w:bodyDiv w:val="1"/>
      <w:marLeft w:val="0"/>
      <w:marRight w:val="0"/>
      <w:marTop w:val="0"/>
      <w:marBottom w:val="0"/>
      <w:divBdr>
        <w:top w:val="none" w:sz="0" w:space="0" w:color="auto"/>
        <w:left w:val="none" w:sz="0" w:space="0" w:color="auto"/>
        <w:bottom w:val="none" w:sz="0" w:space="0" w:color="auto"/>
        <w:right w:val="none" w:sz="0" w:space="0" w:color="auto"/>
      </w:divBdr>
    </w:div>
    <w:div w:id="1113213883">
      <w:bodyDiv w:val="1"/>
      <w:marLeft w:val="0"/>
      <w:marRight w:val="0"/>
      <w:marTop w:val="0"/>
      <w:marBottom w:val="0"/>
      <w:divBdr>
        <w:top w:val="none" w:sz="0" w:space="0" w:color="auto"/>
        <w:left w:val="none" w:sz="0" w:space="0" w:color="auto"/>
        <w:bottom w:val="none" w:sz="0" w:space="0" w:color="auto"/>
        <w:right w:val="none" w:sz="0" w:space="0" w:color="auto"/>
      </w:divBdr>
    </w:div>
    <w:div w:id="1126971947">
      <w:bodyDiv w:val="1"/>
      <w:marLeft w:val="0"/>
      <w:marRight w:val="0"/>
      <w:marTop w:val="0"/>
      <w:marBottom w:val="0"/>
      <w:divBdr>
        <w:top w:val="none" w:sz="0" w:space="0" w:color="auto"/>
        <w:left w:val="none" w:sz="0" w:space="0" w:color="auto"/>
        <w:bottom w:val="none" w:sz="0" w:space="0" w:color="auto"/>
        <w:right w:val="none" w:sz="0" w:space="0" w:color="auto"/>
      </w:divBdr>
      <w:divsChild>
        <w:div w:id="25639728">
          <w:marLeft w:val="274"/>
          <w:marRight w:val="0"/>
          <w:marTop w:val="0"/>
          <w:marBottom w:val="0"/>
          <w:divBdr>
            <w:top w:val="none" w:sz="0" w:space="0" w:color="auto"/>
            <w:left w:val="none" w:sz="0" w:space="0" w:color="auto"/>
            <w:bottom w:val="none" w:sz="0" w:space="0" w:color="auto"/>
            <w:right w:val="none" w:sz="0" w:space="0" w:color="auto"/>
          </w:divBdr>
        </w:div>
      </w:divsChild>
    </w:div>
    <w:div w:id="1246262214">
      <w:bodyDiv w:val="1"/>
      <w:marLeft w:val="0"/>
      <w:marRight w:val="0"/>
      <w:marTop w:val="0"/>
      <w:marBottom w:val="0"/>
      <w:divBdr>
        <w:top w:val="none" w:sz="0" w:space="0" w:color="auto"/>
        <w:left w:val="none" w:sz="0" w:space="0" w:color="auto"/>
        <w:bottom w:val="none" w:sz="0" w:space="0" w:color="auto"/>
        <w:right w:val="none" w:sz="0" w:space="0" w:color="auto"/>
      </w:divBdr>
    </w:div>
    <w:div w:id="1485203326">
      <w:bodyDiv w:val="1"/>
      <w:marLeft w:val="0"/>
      <w:marRight w:val="0"/>
      <w:marTop w:val="0"/>
      <w:marBottom w:val="0"/>
      <w:divBdr>
        <w:top w:val="none" w:sz="0" w:space="0" w:color="auto"/>
        <w:left w:val="none" w:sz="0" w:space="0" w:color="auto"/>
        <w:bottom w:val="none" w:sz="0" w:space="0" w:color="auto"/>
        <w:right w:val="none" w:sz="0" w:space="0" w:color="auto"/>
      </w:divBdr>
      <w:divsChild>
        <w:div w:id="558782314">
          <w:marLeft w:val="0"/>
          <w:marRight w:val="0"/>
          <w:marTop w:val="0"/>
          <w:marBottom w:val="0"/>
          <w:divBdr>
            <w:top w:val="none" w:sz="0" w:space="0" w:color="auto"/>
            <w:left w:val="none" w:sz="0" w:space="0" w:color="auto"/>
            <w:bottom w:val="none" w:sz="0" w:space="0" w:color="auto"/>
            <w:right w:val="none" w:sz="0" w:space="0" w:color="auto"/>
          </w:divBdr>
        </w:div>
        <w:div w:id="1139028714">
          <w:marLeft w:val="0"/>
          <w:marRight w:val="0"/>
          <w:marTop w:val="0"/>
          <w:marBottom w:val="0"/>
          <w:divBdr>
            <w:top w:val="none" w:sz="0" w:space="0" w:color="auto"/>
            <w:left w:val="none" w:sz="0" w:space="0" w:color="auto"/>
            <w:bottom w:val="none" w:sz="0" w:space="0" w:color="auto"/>
            <w:right w:val="none" w:sz="0" w:space="0" w:color="auto"/>
          </w:divBdr>
        </w:div>
        <w:div w:id="1171944502">
          <w:marLeft w:val="0"/>
          <w:marRight w:val="0"/>
          <w:marTop w:val="0"/>
          <w:marBottom w:val="0"/>
          <w:divBdr>
            <w:top w:val="none" w:sz="0" w:space="0" w:color="auto"/>
            <w:left w:val="none" w:sz="0" w:space="0" w:color="auto"/>
            <w:bottom w:val="none" w:sz="0" w:space="0" w:color="auto"/>
            <w:right w:val="none" w:sz="0" w:space="0" w:color="auto"/>
          </w:divBdr>
        </w:div>
      </w:divsChild>
    </w:div>
    <w:div w:id="1651330649">
      <w:bodyDiv w:val="1"/>
      <w:marLeft w:val="0"/>
      <w:marRight w:val="0"/>
      <w:marTop w:val="0"/>
      <w:marBottom w:val="0"/>
      <w:divBdr>
        <w:top w:val="none" w:sz="0" w:space="0" w:color="auto"/>
        <w:left w:val="none" w:sz="0" w:space="0" w:color="auto"/>
        <w:bottom w:val="none" w:sz="0" w:space="0" w:color="auto"/>
        <w:right w:val="none" w:sz="0" w:space="0" w:color="auto"/>
      </w:divBdr>
    </w:div>
    <w:div w:id="1651981352">
      <w:bodyDiv w:val="1"/>
      <w:marLeft w:val="0"/>
      <w:marRight w:val="0"/>
      <w:marTop w:val="0"/>
      <w:marBottom w:val="0"/>
      <w:divBdr>
        <w:top w:val="none" w:sz="0" w:space="0" w:color="auto"/>
        <w:left w:val="none" w:sz="0" w:space="0" w:color="auto"/>
        <w:bottom w:val="none" w:sz="0" w:space="0" w:color="auto"/>
        <w:right w:val="none" w:sz="0" w:space="0" w:color="auto"/>
      </w:divBdr>
      <w:divsChild>
        <w:div w:id="486360220">
          <w:marLeft w:val="0"/>
          <w:marRight w:val="0"/>
          <w:marTop w:val="0"/>
          <w:marBottom w:val="0"/>
          <w:divBdr>
            <w:top w:val="none" w:sz="0" w:space="0" w:color="auto"/>
            <w:left w:val="none" w:sz="0" w:space="0" w:color="auto"/>
            <w:bottom w:val="none" w:sz="0" w:space="0" w:color="auto"/>
            <w:right w:val="none" w:sz="0" w:space="0" w:color="auto"/>
          </w:divBdr>
        </w:div>
        <w:div w:id="542523264">
          <w:marLeft w:val="0"/>
          <w:marRight w:val="0"/>
          <w:marTop w:val="0"/>
          <w:marBottom w:val="0"/>
          <w:divBdr>
            <w:top w:val="none" w:sz="0" w:space="0" w:color="auto"/>
            <w:left w:val="none" w:sz="0" w:space="0" w:color="auto"/>
            <w:bottom w:val="none" w:sz="0" w:space="0" w:color="auto"/>
            <w:right w:val="none" w:sz="0" w:space="0" w:color="auto"/>
          </w:divBdr>
        </w:div>
        <w:div w:id="619848611">
          <w:marLeft w:val="0"/>
          <w:marRight w:val="0"/>
          <w:marTop w:val="0"/>
          <w:marBottom w:val="0"/>
          <w:divBdr>
            <w:top w:val="none" w:sz="0" w:space="0" w:color="auto"/>
            <w:left w:val="none" w:sz="0" w:space="0" w:color="auto"/>
            <w:bottom w:val="none" w:sz="0" w:space="0" w:color="auto"/>
            <w:right w:val="none" w:sz="0" w:space="0" w:color="auto"/>
          </w:divBdr>
        </w:div>
        <w:div w:id="725642108">
          <w:marLeft w:val="0"/>
          <w:marRight w:val="0"/>
          <w:marTop w:val="0"/>
          <w:marBottom w:val="0"/>
          <w:divBdr>
            <w:top w:val="none" w:sz="0" w:space="0" w:color="auto"/>
            <w:left w:val="none" w:sz="0" w:space="0" w:color="auto"/>
            <w:bottom w:val="none" w:sz="0" w:space="0" w:color="auto"/>
            <w:right w:val="none" w:sz="0" w:space="0" w:color="auto"/>
          </w:divBdr>
        </w:div>
        <w:div w:id="778841868">
          <w:marLeft w:val="0"/>
          <w:marRight w:val="0"/>
          <w:marTop w:val="0"/>
          <w:marBottom w:val="0"/>
          <w:divBdr>
            <w:top w:val="none" w:sz="0" w:space="0" w:color="auto"/>
            <w:left w:val="none" w:sz="0" w:space="0" w:color="auto"/>
            <w:bottom w:val="none" w:sz="0" w:space="0" w:color="auto"/>
            <w:right w:val="none" w:sz="0" w:space="0" w:color="auto"/>
          </w:divBdr>
        </w:div>
      </w:divsChild>
    </w:div>
    <w:div w:id="1690520838">
      <w:bodyDiv w:val="1"/>
      <w:marLeft w:val="0"/>
      <w:marRight w:val="0"/>
      <w:marTop w:val="0"/>
      <w:marBottom w:val="0"/>
      <w:divBdr>
        <w:top w:val="none" w:sz="0" w:space="0" w:color="auto"/>
        <w:left w:val="none" w:sz="0" w:space="0" w:color="auto"/>
        <w:bottom w:val="none" w:sz="0" w:space="0" w:color="auto"/>
        <w:right w:val="none" w:sz="0" w:space="0" w:color="auto"/>
      </w:divBdr>
      <w:divsChild>
        <w:div w:id="747114679">
          <w:marLeft w:val="720"/>
          <w:marRight w:val="0"/>
          <w:marTop w:val="0"/>
          <w:marBottom w:val="80"/>
          <w:divBdr>
            <w:top w:val="none" w:sz="0" w:space="0" w:color="auto"/>
            <w:left w:val="none" w:sz="0" w:space="0" w:color="auto"/>
            <w:bottom w:val="none" w:sz="0" w:space="0" w:color="auto"/>
            <w:right w:val="none" w:sz="0" w:space="0" w:color="auto"/>
          </w:divBdr>
        </w:div>
        <w:div w:id="1770199191">
          <w:marLeft w:val="720"/>
          <w:marRight w:val="0"/>
          <w:marTop w:val="0"/>
          <w:marBottom w:val="80"/>
          <w:divBdr>
            <w:top w:val="none" w:sz="0" w:space="0" w:color="auto"/>
            <w:left w:val="none" w:sz="0" w:space="0" w:color="auto"/>
            <w:bottom w:val="none" w:sz="0" w:space="0" w:color="auto"/>
            <w:right w:val="none" w:sz="0" w:space="0" w:color="auto"/>
          </w:divBdr>
        </w:div>
      </w:divsChild>
    </w:div>
    <w:div w:id="1732772174">
      <w:bodyDiv w:val="1"/>
      <w:marLeft w:val="0"/>
      <w:marRight w:val="0"/>
      <w:marTop w:val="0"/>
      <w:marBottom w:val="0"/>
      <w:divBdr>
        <w:top w:val="none" w:sz="0" w:space="0" w:color="auto"/>
        <w:left w:val="none" w:sz="0" w:space="0" w:color="auto"/>
        <w:bottom w:val="none" w:sz="0" w:space="0" w:color="auto"/>
        <w:right w:val="none" w:sz="0" w:space="0" w:color="auto"/>
      </w:divBdr>
      <w:divsChild>
        <w:div w:id="358162385">
          <w:marLeft w:val="0"/>
          <w:marRight w:val="0"/>
          <w:marTop w:val="0"/>
          <w:marBottom w:val="0"/>
          <w:divBdr>
            <w:top w:val="none" w:sz="0" w:space="0" w:color="auto"/>
            <w:left w:val="none" w:sz="0" w:space="0" w:color="auto"/>
            <w:bottom w:val="none" w:sz="0" w:space="0" w:color="auto"/>
            <w:right w:val="none" w:sz="0" w:space="0" w:color="auto"/>
          </w:divBdr>
        </w:div>
        <w:div w:id="467671771">
          <w:marLeft w:val="0"/>
          <w:marRight w:val="0"/>
          <w:marTop w:val="0"/>
          <w:marBottom w:val="0"/>
          <w:divBdr>
            <w:top w:val="none" w:sz="0" w:space="0" w:color="auto"/>
            <w:left w:val="none" w:sz="0" w:space="0" w:color="auto"/>
            <w:bottom w:val="none" w:sz="0" w:space="0" w:color="auto"/>
            <w:right w:val="none" w:sz="0" w:space="0" w:color="auto"/>
          </w:divBdr>
        </w:div>
        <w:div w:id="642277884">
          <w:marLeft w:val="0"/>
          <w:marRight w:val="0"/>
          <w:marTop w:val="0"/>
          <w:marBottom w:val="0"/>
          <w:divBdr>
            <w:top w:val="none" w:sz="0" w:space="0" w:color="auto"/>
            <w:left w:val="none" w:sz="0" w:space="0" w:color="auto"/>
            <w:bottom w:val="none" w:sz="0" w:space="0" w:color="auto"/>
            <w:right w:val="none" w:sz="0" w:space="0" w:color="auto"/>
          </w:divBdr>
        </w:div>
        <w:div w:id="762528845">
          <w:marLeft w:val="0"/>
          <w:marRight w:val="0"/>
          <w:marTop w:val="0"/>
          <w:marBottom w:val="0"/>
          <w:divBdr>
            <w:top w:val="none" w:sz="0" w:space="0" w:color="auto"/>
            <w:left w:val="none" w:sz="0" w:space="0" w:color="auto"/>
            <w:bottom w:val="none" w:sz="0" w:space="0" w:color="auto"/>
            <w:right w:val="none" w:sz="0" w:space="0" w:color="auto"/>
          </w:divBdr>
        </w:div>
        <w:div w:id="1455755950">
          <w:marLeft w:val="0"/>
          <w:marRight w:val="0"/>
          <w:marTop w:val="0"/>
          <w:marBottom w:val="0"/>
          <w:divBdr>
            <w:top w:val="none" w:sz="0" w:space="0" w:color="auto"/>
            <w:left w:val="none" w:sz="0" w:space="0" w:color="auto"/>
            <w:bottom w:val="none" w:sz="0" w:space="0" w:color="auto"/>
            <w:right w:val="none" w:sz="0" w:space="0" w:color="auto"/>
          </w:divBdr>
        </w:div>
      </w:divsChild>
    </w:div>
    <w:div w:id="1792286533">
      <w:bodyDiv w:val="1"/>
      <w:marLeft w:val="0"/>
      <w:marRight w:val="0"/>
      <w:marTop w:val="0"/>
      <w:marBottom w:val="0"/>
      <w:divBdr>
        <w:top w:val="none" w:sz="0" w:space="0" w:color="auto"/>
        <w:left w:val="none" w:sz="0" w:space="0" w:color="auto"/>
        <w:bottom w:val="none" w:sz="0" w:space="0" w:color="auto"/>
        <w:right w:val="none" w:sz="0" w:space="0" w:color="auto"/>
      </w:divBdr>
    </w:div>
    <w:div w:id="1811241479">
      <w:bodyDiv w:val="1"/>
      <w:marLeft w:val="0"/>
      <w:marRight w:val="0"/>
      <w:marTop w:val="0"/>
      <w:marBottom w:val="0"/>
      <w:divBdr>
        <w:top w:val="none" w:sz="0" w:space="0" w:color="auto"/>
        <w:left w:val="none" w:sz="0" w:space="0" w:color="auto"/>
        <w:bottom w:val="none" w:sz="0" w:space="0" w:color="auto"/>
        <w:right w:val="none" w:sz="0" w:space="0" w:color="auto"/>
      </w:divBdr>
    </w:div>
    <w:div w:id="1846362763">
      <w:bodyDiv w:val="1"/>
      <w:marLeft w:val="0"/>
      <w:marRight w:val="0"/>
      <w:marTop w:val="0"/>
      <w:marBottom w:val="0"/>
      <w:divBdr>
        <w:top w:val="none" w:sz="0" w:space="0" w:color="auto"/>
        <w:left w:val="none" w:sz="0" w:space="0" w:color="auto"/>
        <w:bottom w:val="none" w:sz="0" w:space="0" w:color="auto"/>
        <w:right w:val="none" w:sz="0" w:space="0" w:color="auto"/>
      </w:divBdr>
    </w:div>
    <w:div w:id="1893228598">
      <w:bodyDiv w:val="1"/>
      <w:marLeft w:val="0"/>
      <w:marRight w:val="0"/>
      <w:marTop w:val="0"/>
      <w:marBottom w:val="0"/>
      <w:divBdr>
        <w:top w:val="none" w:sz="0" w:space="0" w:color="auto"/>
        <w:left w:val="none" w:sz="0" w:space="0" w:color="auto"/>
        <w:bottom w:val="none" w:sz="0" w:space="0" w:color="auto"/>
        <w:right w:val="none" w:sz="0" w:space="0" w:color="auto"/>
      </w:divBdr>
    </w:div>
    <w:div w:id="1922524043">
      <w:bodyDiv w:val="1"/>
      <w:marLeft w:val="0"/>
      <w:marRight w:val="0"/>
      <w:marTop w:val="0"/>
      <w:marBottom w:val="0"/>
      <w:divBdr>
        <w:top w:val="none" w:sz="0" w:space="0" w:color="auto"/>
        <w:left w:val="none" w:sz="0" w:space="0" w:color="auto"/>
        <w:bottom w:val="none" w:sz="0" w:space="0" w:color="auto"/>
        <w:right w:val="none" w:sz="0" w:space="0" w:color="auto"/>
      </w:divBdr>
      <w:divsChild>
        <w:div w:id="843786382">
          <w:marLeft w:val="0"/>
          <w:marRight w:val="0"/>
          <w:marTop w:val="0"/>
          <w:marBottom w:val="0"/>
          <w:divBdr>
            <w:top w:val="none" w:sz="0" w:space="0" w:color="auto"/>
            <w:left w:val="none" w:sz="0" w:space="0" w:color="auto"/>
            <w:bottom w:val="none" w:sz="0" w:space="0" w:color="auto"/>
            <w:right w:val="none" w:sz="0" w:space="0" w:color="auto"/>
          </w:divBdr>
        </w:div>
        <w:div w:id="1352486295">
          <w:marLeft w:val="0"/>
          <w:marRight w:val="0"/>
          <w:marTop w:val="0"/>
          <w:marBottom w:val="0"/>
          <w:divBdr>
            <w:top w:val="none" w:sz="0" w:space="0" w:color="auto"/>
            <w:left w:val="none" w:sz="0" w:space="0" w:color="auto"/>
            <w:bottom w:val="none" w:sz="0" w:space="0" w:color="auto"/>
            <w:right w:val="none" w:sz="0" w:space="0" w:color="auto"/>
          </w:divBdr>
        </w:div>
        <w:div w:id="1378701990">
          <w:marLeft w:val="0"/>
          <w:marRight w:val="0"/>
          <w:marTop w:val="0"/>
          <w:marBottom w:val="0"/>
          <w:divBdr>
            <w:top w:val="none" w:sz="0" w:space="0" w:color="auto"/>
            <w:left w:val="none" w:sz="0" w:space="0" w:color="auto"/>
            <w:bottom w:val="none" w:sz="0" w:space="0" w:color="auto"/>
            <w:right w:val="none" w:sz="0" w:space="0" w:color="auto"/>
          </w:divBdr>
        </w:div>
      </w:divsChild>
    </w:div>
    <w:div w:id="1926722071">
      <w:bodyDiv w:val="1"/>
      <w:marLeft w:val="0"/>
      <w:marRight w:val="0"/>
      <w:marTop w:val="0"/>
      <w:marBottom w:val="0"/>
      <w:divBdr>
        <w:top w:val="none" w:sz="0" w:space="0" w:color="auto"/>
        <w:left w:val="none" w:sz="0" w:space="0" w:color="auto"/>
        <w:bottom w:val="none" w:sz="0" w:space="0" w:color="auto"/>
        <w:right w:val="none" w:sz="0" w:space="0" w:color="auto"/>
      </w:divBdr>
    </w:div>
    <w:div w:id="1968393804">
      <w:bodyDiv w:val="1"/>
      <w:marLeft w:val="0"/>
      <w:marRight w:val="0"/>
      <w:marTop w:val="0"/>
      <w:marBottom w:val="0"/>
      <w:divBdr>
        <w:top w:val="none" w:sz="0" w:space="0" w:color="auto"/>
        <w:left w:val="none" w:sz="0" w:space="0" w:color="auto"/>
        <w:bottom w:val="none" w:sz="0" w:space="0" w:color="auto"/>
        <w:right w:val="none" w:sz="0" w:space="0" w:color="auto"/>
      </w:divBdr>
    </w:div>
    <w:div w:id="2000500659">
      <w:bodyDiv w:val="1"/>
      <w:marLeft w:val="0"/>
      <w:marRight w:val="0"/>
      <w:marTop w:val="0"/>
      <w:marBottom w:val="0"/>
      <w:divBdr>
        <w:top w:val="none" w:sz="0" w:space="0" w:color="auto"/>
        <w:left w:val="none" w:sz="0" w:space="0" w:color="auto"/>
        <w:bottom w:val="none" w:sz="0" w:space="0" w:color="auto"/>
        <w:right w:val="none" w:sz="0" w:space="0" w:color="auto"/>
      </w:divBdr>
    </w:div>
    <w:div w:id="2029519844">
      <w:bodyDiv w:val="1"/>
      <w:marLeft w:val="0"/>
      <w:marRight w:val="0"/>
      <w:marTop w:val="0"/>
      <w:marBottom w:val="0"/>
      <w:divBdr>
        <w:top w:val="none" w:sz="0" w:space="0" w:color="auto"/>
        <w:left w:val="none" w:sz="0" w:space="0" w:color="auto"/>
        <w:bottom w:val="none" w:sz="0" w:space="0" w:color="auto"/>
        <w:right w:val="none" w:sz="0" w:space="0" w:color="auto"/>
      </w:divBdr>
    </w:div>
    <w:div w:id="2092311228">
      <w:bodyDiv w:val="1"/>
      <w:marLeft w:val="0"/>
      <w:marRight w:val="0"/>
      <w:marTop w:val="0"/>
      <w:marBottom w:val="0"/>
      <w:divBdr>
        <w:top w:val="none" w:sz="0" w:space="0" w:color="auto"/>
        <w:left w:val="none" w:sz="0" w:space="0" w:color="auto"/>
        <w:bottom w:val="none" w:sz="0" w:space="0" w:color="auto"/>
        <w:right w:val="none" w:sz="0" w:space="0" w:color="auto"/>
      </w:divBdr>
    </w:div>
    <w:div w:id="2133788491">
      <w:bodyDiv w:val="1"/>
      <w:marLeft w:val="0"/>
      <w:marRight w:val="0"/>
      <w:marTop w:val="0"/>
      <w:marBottom w:val="0"/>
      <w:divBdr>
        <w:top w:val="none" w:sz="0" w:space="0" w:color="auto"/>
        <w:left w:val="none" w:sz="0" w:space="0" w:color="auto"/>
        <w:bottom w:val="none" w:sz="0" w:space="0" w:color="auto"/>
        <w:right w:val="none" w:sz="0" w:space="0" w:color="auto"/>
      </w:divBdr>
      <w:divsChild>
        <w:div w:id="773869635">
          <w:marLeft w:val="0"/>
          <w:marRight w:val="0"/>
          <w:marTop w:val="0"/>
          <w:marBottom w:val="0"/>
          <w:divBdr>
            <w:top w:val="none" w:sz="0" w:space="0" w:color="auto"/>
            <w:left w:val="none" w:sz="0" w:space="0" w:color="auto"/>
            <w:bottom w:val="none" w:sz="0" w:space="0" w:color="auto"/>
            <w:right w:val="none" w:sz="0" w:space="0" w:color="auto"/>
          </w:divBdr>
        </w:div>
        <w:div w:id="1179006853">
          <w:marLeft w:val="0"/>
          <w:marRight w:val="0"/>
          <w:marTop w:val="0"/>
          <w:marBottom w:val="0"/>
          <w:divBdr>
            <w:top w:val="none" w:sz="0" w:space="0" w:color="auto"/>
            <w:left w:val="none" w:sz="0" w:space="0" w:color="auto"/>
            <w:bottom w:val="none" w:sz="0" w:space="0" w:color="auto"/>
            <w:right w:val="none" w:sz="0" w:space="0" w:color="auto"/>
          </w:divBdr>
        </w:div>
        <w:div w:id="1250119745">
          <w:marLeft w:val="0"/>
          <w:marRight w:val="0"/>
          <w:marTop w:val="0"/>
          <w:marBottom w:val="0"/>
          <w:divBdr>
            <w:top w:val="none" w:sz="0" w:space="0" w:color="auto"/>
            <w:left w:val="none" w:sz="0" w:space="0" w:color="auto"/>
            <w:bottom w:val="none" w:sz="0" w:space="0" w:color="auto"/>
            <w:right w:val="none" w:sz="0" w:space="0" w:color="auto"/>
          </w:divBdr>
        </w:div>
        <w:div w:id="1760100504">
          <w:marLeft w:val="0"/>
          <w:marRight w:val="0"/>
          <w:marTop w:val="0"/>
          <w:marBottom w:val="0"/>
          <w:divBdr>
            <w:top w:val="none" w:sz="0" w:space="0" w:color="auto"/>
            <w:left w:val="none" w:sz="0" w:space="0" w:color="auto"/>
            <w:bottom w:val="none" w:sz="0" w:space="0" w:color="auto"/>
            <w:right w:val="none" w:sz="0" w:space="0" w:color="auto"/>
          </w:divBdr>
        </w:div>
        <w:div w:id="1867908089">
          <w:marLeft w:val="0"/>
          <w:marRight w:val="0"/>
          <w:marTop w:val="0"/>
          <w:marBottom w:val="0"/>
          <w:divBdr>
            <w:top w:val="none" w:sz="0" w:space="0" w:color="auto"/>
            <w:left w:val="none" w:sz="0" w:space="0" w:color="auto"/>
            <w:bottom w:val="none" w:sz="0" w:space="0" w:color="auto"/>
            <w:right w:val="none" w:sz="0" w:space="0" w:color="auto"/>
          </w:divBdr>
        </w:div>
      </w:divsChild>
    </w:div>
    <w:div w:id="2137403684">
      <w:bodyDiv w:val="1"/>
      <w:marLeft w:val="0"/>
      <w:marRight w:val="0"/>
      <w:marTop w:val="0"/>
      <w:marBottom w:val="0"/>
      <w:divBdr>
        <w:top w:val="none" w:sz="0" w:space="0" w:color="auto"/>
        <w:left w:val="none" w:sz="0" w:space="0" w:color="auto"/>
        <w:bottom w:val="none" w:sz="0" w:space="0" w:color="auto"/>
        <w:right w:val="none" w:sz="0" w:space="0" w:color="auto"/>
      </w:divBdr>
      <w:divsChild>
        <w:div w:id="524515577">
          <w:marLeft w:val="0"/>
          <w:marRight w:val="0"/>
          <w:marTop w:val="0"/>
          <w:marBottom w:val="0"/>
          <w:divBdr>
            <w:top w:val="none" w:sz="0" w:space="0" w:color="auto"/>
            <w:left w:val="none" w:sz="0" w:space="0" w:color="auto"/>
            <w:bottom w:val="none" w:sz="0" w:space="0" w:color="auto"/>
            <w:right w:val="none" w:sz="0" w:space="0" w:color="auto"/>
          </w:divBdr>
        </w:div>
        <w:div w:id="605189785">
          <w:marLeft w:val="0"/>
          <w:marRight w:val="0"/>
          <w:marTop w:val="0"/>
          <w:marBottom w:val="0"/>
          <w:divBdr>
            <w:top w:val="none" w:sz="0" w:space="0" w:color="auto"/>
            <w:left w:val="none" w:sz="0" w:space="0" w:color="auto"/>
            <w:bottom w:val="none" w:sz="0" w:space="0" w:color="auto"/>
            <w:right w:val="none" w:sz="0" w:space="0" w:color="auto"/>
          </w:divBdr>
        </w:div>
        <w:div w:id="16141706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mmi.homeaffairs.gov.au/support-subsite/files/ministerial-direction-111.pdf" TargetMode="External"/><Relationship Id="rId18" Type="http://schemas.openxmlformats.org/officeDocument/2006/relationships/hyperlink" Target="https://www.education.gov.au/international-education/resources/factsheet-definition-students-certain-transnational-education-programs" TargetMode="External"/><Relationship Id="rId26" Type="http://schemas.openxmlformats.org/officeDocument/2006/relationships/hyperlink" Target="https://www.education.gov.au/international-education/resources/factsheet-definition-students-certain-transnational-education-programs" TargetMode="External"/><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settings" Target="settings.xml"/><Relationship Id="rId12" Type="http://schemas.openxmlformats.org/officeDocument/2006/relationships/hyperlink" Target="https://immi.homeaffairs.gov.au/news-media/archive/article?itemId=1282" TargetMode="External"/><Relationship Id="rId17" Type="http://schemas.openxmlformats.org/officeDocument/2006/relationships/hyperlink" Target="https://www.education.gov.au/international-education/resources/factsheet-scholarship-holders" TargetMode="External"/><Relationship Id="rId25" Type="http://schemas.openxmlformats.org/officeDocument/2006/relationships/hyperlink" Target="https://www.education.gov.au/international-education/supporting-sustainable-international-education-sector" TargetMode="External"/><Relationship Id="rId2" Type="http://schemas.openxmlformats.org/officeDocument/2006/relationships/customXml" Target="../customXml/item2.xml"/><Relationship Id="rId16" Type="http://schemas.openxmlformats.org/officeDocument/2006/relationships/hyperlink" Target="https://immi.homeaffairs.gov.au/support-subsite/files/ministerial-direction-111.pdf" TargetMode="External"/><Relationship Id="rId20" Type="http://schemas.openxmlformats.org/officeDocument/2006/relationships/footer" Target="footer2.xml"/><Relationship Id="rId29" Type="http://schemas.openxmlformats.org/officeDocument/2006/relationships/hyperlink" Target="https://www.dewr.gov.au/international-skills-engagement/resources/factsheet-definition-students-certain-transnational-education-program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PRISMS@education.gov.au"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dewr.gov.au/international-skills-engagement/resources/indicative-allocations-vet-new-overseas-student-commencements-2025" TargetMode="External"/><Relationship Id="rId23" Type="http://schemas.openxmlformats.org/officeDocument/2006/relationships/image" Target="media/image4.png"/><Relationship Id="rId28" Type="http://schemas.openxmlformats.org/officeDocument/2006/relationships/hyperlink" Target="https://www.dewr.gov.au/international-skills-engagement/resources/indicative-allocations-vet-new-overseas-student-commencements-2025" TargetMode="External"/><Relationship Id="rId10" Type="http://schemas.openxmlformats.org/officeDocument/2006/relationships/endnotes" Target="endnotes.xml"/><Relationship Id="rId19" Type="http://schemas.openxmlformats.org/officeDocument/2006/relationships/footer" Target="footer1.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ducation.gov.au/international-education/resources/indicative-allocations-higher-education-new-overseas-student-commencements-2025" TargetMode="External"/><Relationship Id="rId22" Type="http://schemas.openxmlformats.org/officeDocument/2006/relationships/image" Target="media/image3.png"/><Relationship Id="rId27" Type="http://schemas.openxmlformats.org/officeDocument/2006/relationships/hyperlink" Target="https://www.education.gov.au/international-education/resources/factsheet-scholarship-holders" TargetMode="Externa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162BA753748F4BB53721499FC70481" ma:contentTypeVersion="15" ma:contentTypeDescription="Create a new document." ma:contentTypeScope="" ma:versionID="c068a97b8ceb20e12cbe3121a0351198">
  <xsd:schema xmlns:xsd="http://www.w3.org/2001/XMLSchema" xmlns:xs="http://www.w3.org/2001/XMLSchema" xmlns:p="http://schemas.microsoft.com/office/2006/metadata/properties" xmlns:ns2="da72cac6-940c-4742-b333-53bc562b4053" xmlns:ns3="c35adfce-f9b0-4566-a0fa-e4f70df87b41" targetNamespace="http://schemas.microsoft.com/office/2006/metadata/properties" ma:root="true" ma:fieldsID="035e375e3188a1762dbc685d1bd5b9fa" ns2:_="" ns3:_="">
    <xsd:import namespace="da72cac6-940c-4742-b333-53bc562b4053"/>
    <xsd:import namespace="c35adfce-f9b0-4566-a0fa-e4f70df87b4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72cac6-940c-4742-b333-53bc562b40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35adfce-f9b0-4566-a0fa-e4f70df87b4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71e8d9d-fbc5-4c5f-be92-0def1f9d0b2d}" ma:internalName="TaxCatchAll" ma:showField="CatchAllData" ma:web="c35adfce-f9b0-4566-a0fa-e4f70df87b41">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a72cac6-940c-4742-b333-53bc562b4053">
      <Terms xmlns="http://schemas.microsoft.com/office/infopath/2007/PartnerControls"/>
    </lcf76f155ced4ddcb4097134ff3c332f>
    <TaxCatchAll xmlns="c35adfce-f9b0-4566-a0fa-e4f70df87b4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DA81C9-7ED0-44CB-A7ED-E92A110B5214}"/>
</file>

<file path=customXml/itemProps2.xml><?xml version="1.0" encoding="utf-8"?>
<ds:datastoreItem xmlns:ds="http://schemas.openxmlformats.org/officeDocument/2006/customXml" ds:itemID="{61EB6A57-3E65-4C0F-8700-1A0B832CCB88}">
  <ds:schemaRefs>
    <ds:schemaRef ds:uri="http://schemas.microsoft.com/sharepoint/v3/contenttype/forms"/>
  </ds:schemaRefs>
</ds:datastoreItem>
</file>

<file path=customXml/itemProps3.xml><?xml version="1.0" encoding="utf-8"?>
<ds:datastoreItem xmlns:ds="http://schemas.openxmlformats.org/officeDocument/2006/customXml" ds:itemID="{43EA8E50-97BB-4AAF-B800-BE07DF3E07FE}">
  <ds:schemaRefs>
    <ds:schemaRef ds:uri="http://schemas.microsoft.com/office/2006/metadata/properties"/>
    <ds:schemaRef ds:uri="http://purl.org/dc/elements/1.1/"/>
    <ds:schemaRef ds:uri="e5f77067-5392-4b23-b755-871203432bdc"/>
    <ds:schemaRef ds:uri="http://purl.org/dc/dcmitype/"/>
    <ds:schemaRef ds:uri="http://schemas.microsoft.com/office/infopath/2007/PartnerControls"/>
    <ds:schemaRef ds:uri="http://www.w3.org/XML/1998/namespace"/>
    <ds:schemaRef ds:uri="http://purl.org/dc/terms/"/>
    <ds:schemaRef ds:uri="http://schemas.microsoft.com/office/2006/documentManagement/types"/>
    <ds:schemaRef ds:uri="http://schemas.openxmlformats.org/package/2006/metadata/core-properties"/>
    <ds:schemaRef ds:uri="68cdb4d7-1e02-4324-b8b7-862bd68ff95f"/>
  </ds:schemaRefs>
</ds:datastoreItem>
</file>

<file path=customXml/itemProps4.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6</Pages>
  <Words>1701</Words>
  <Characters>9699</Characters>
  <Application>Microsoft Office Word</Application>
  <DocSecurity>0</DocSecurity>
  <Lines>80</Lines>
  <Paragraphs>22</Paragraphs>
  <ScaleCrop>false</ScaleCrop>
  <Company/>
  <LinksUpToDate>false</LinksUpToDate>
  <CharactersWithSpaces>11378</CharactersWithSpaces>
  <SharedDoc>false</SharedDoc>
  <HLinks>
    <vt:vector size="84" baseType="variant">
      <vt:variant>
        <vt:i4>1441884</vt:i4>
      </vt:variant>
      <vt:variant>
        <vt:i4>42</vt:i4>
      </vt:variant>
      <vt:variant>
        <vt:i4>0</vt:i4>
      </vt:variant>
      <vt:variant>
        <vt:i4>5</vt:i4>
      </vt:variant>
      <vt:variant>
        <vt:lpwstr>https://www.dewr.gov.au/international-skills-engagement/resources/factsheet-definition-students-certain-transnational-education-programs</vt:lpwstr>
      </vt:variant>
      <vt:variant>
        <vt:lpwstr/>
      </vt:variant>
      <vt:variant>
        <vt:i4>1835036</vt:i4>
      </vt:variant>
      <vt:variant>
        <vt:i4>39</vt:i4>
      </vt:variant>
      <vt:variant>
        <vt:i4>0</vt:i4>
      </vt:variant>
      <vt:variant>
        <vt:i4>5</vt:i4>
      </vt:variant>
      <vt:variant>
        <vt:lpwstr>https://www.dewr.gov.au/international-skills-engagement/resources/indicative-allocations-vet-new-overseas-student-commencements-2025</vt:lpwstr>
      </vt:variant>
      <vt:variant>
        <vt:lpwstr/>
      </vt:variant>
      <vt:variant>
        <vt:i4>5308492</vt:i4>
      </vt:variant>
      <vt:variant>
        <vt:i4>36</vt:i4>
      </vt:variant>
      <vt:variant>
        <vt:i4>0</vt:i4>
      </vt:variant>
      <vt:variant>
        <vt:i4>5</vt:i4>
      </vt:variant>
      <vt:variant>
        <vt:lpwstr>https://www.education.gov.au/international-education/resources/factsheet-scholarship-holders</vt:lpwstr>
      </vt:variant>
      <vt:variant>
        <vt:lpwstr/>
      </vt:variant>
      <vt:variant>
        <vt:i4>851970</vt:i4>
      </vt:variant>
      <vt:variant>
        <vt:i4>33</vt:i4>
      </vt:variant>
      <vt:variant>
        <vt:i4>0</vt:i4>
      </vt:variant>
      <vt:variant>
        <vt:i4>5</vt:i4>
      </vt:variant>
      <vt:variant>
        <vt:lpwstr>https://www.education.gov.au/international-education/resources/factsheet-definition-students-certain-transnational-education-programs</vt:lpwstr>
      </vt:variant>
      <vt:variant>
        <vt:lpwstr/>
      </vt:variant>
      <vt:variant>
        <vt:i4>3014773</vt:i4>
      </vt:variant>
      <vt:variant>
        <vt:i4>30</vt:i4>
      </vt:variant>
      <vt:variant>
        <vt:i4>0</vt:i4>
      </vt:variant>
      <vt:variant>
        <vt:i4>5</vt:i4>
      </vt:variant>
      <vt:variant>
        <vt:lpwstr>https://www.education.gov.au/international-education/supporting-sustainable-international-education-sector</vt:lpwstr>
      </vt:variant>
      <vt:variant>
        <vt:lpwstr/>
      </vt:variant>
      <vt:variant>
        <vt:i4>6881383</vt:i4>
      </vt:variant>
      <vt:variant>
        <vt:i4>27</vt:i4>
      </vt:variant>
      <vt:variant>
        <vt:i4>0</vt:i4>
      </vt:variant>
      <vt:variant>
        <vt:i4>5</vt:i4>
      </vt:variant>
      <vt:variant>
        <vt:lpwstr>https://immi.homeaffairs.gov.au/news-media/archive/article?itemId=1282</vt:lpwstr>
      </vt:variant>
      <vt:variant>
        <vt:lpwstr/>
      </vt:variant>
      <vt:variant>
        <vt:i4>5242942</vt:i4>
      </vt:variant>
      <vt:variant>
        <vt:i4>24</vt:i4>
      </vt:variant>
      <vt:variant>
        <vt:i4>0</vt:i4>
      </vt:variant>
      <vt:variant>
        <vt:i4>5</vt:i4>
      </vt:variant>
      <vt:variant>
        <vt:lpwstr>mailto:PRISMS@education.gov.au</vt:lpwstr>
      </vt:variant>
      <vt:variant>
        <vt:lpwstr/>
      </vt:variant>
      <vt:variant>
        <vt:i4>851970</vt:i4>
      </vt:variant>
      <vt:variant>
        <vt:i4>18</vt:i4>
      </vt:variant>
      <vt:variant>
        <vt:i4>0</vt:i4>
      </vt:variant>
      <vt:variant>
        <vt:i4>5</vt:i4>
      </vt:variant>
      <vt:variant>
        <vt:lpwstr>https://www.education.gov.au/international-education/resources/factsheet-definition-students-certain-transnational-education-programs</vt:lpwstr>
      </vt:variant>
      <vt:variant>
        <vt:lpwstr/>
      </vt:variant>
      <vt:variant>
        <vt:i4>5308492</vt:i4>
      </vt:variant>
      <vt:variant>
        <vt:i4>15</vt:i4>
      </vt:variant>
      <vt:variant>
        <vt:i4>0</vt:i4>
      </vt:variant>
      <vt:variant>
        <vt:i4>5</vt:i4>
      </vt:variant>
      <vt:variant>
        <vt:lpwstr>https://www.education.gov.au/international-education/resources/factsheet-scholarship-holders</vt:lpwstr>
      </vt:variant>
      <vt:variant>
        <vt:lpwstr/>
      </vt:variant>
      <vt:variant>
        <vt:i4>8192097</vt:i4>
      </vt:variant>
      <vt:variant>
        <vt:i4>12</vt:i4>
      </vt:variant>
      <vt:variant>
        <vt:i4>0</vt:i4>
      </vt:variant>
      <vt:variant>
        <vt:i4>5</vt:i4>
      </vt:variant>
      <vt:variant>
        <vt:lpwstr>https://immi.homeaffairs.gov.au/support-subsite/files/ministerial-direction-111.pdf</vt:lpwstr>
      </vt:variant>
      <vt:variant>
        <vt:lpwstr/>
      </vt:variant>
      <vt:variant>
        <vt:i4>1835036</vt:i4>
      </vt:variant>
      <vt:variant>
        <vt:i4>9</vt:i4>
      </vt:variant>
      <vt:variant>
        <vt:i4>0</vt:i4>
      </vt:variant>
      <vt:variant>
        <vt:i4>5</vt:i4>
      </vt:variant>
      <vt:variant>
        <vt:lpwstr>https://www.dewr.gov.au/international-skills-engagement/resources/indicative-allocations-vet-new-overseas-student-commencements-2025</vt:lpwstr>
      </vt:variant>
      <vt:variant>
        <vt:lpwstr/>
      </vt:variant>
      <vt:variant>
        <vt:i4>7995509</vt:i4>
      </vt:variant>
      <vt:variant>
        <vt:i4>6</vt:i4>
      </vt:variant>
      <vt:variant>
        <vt:i4>0</vt:i4>
      </vt:variant>
      <vt:variant>
        <vt:i4>5</vt:i4>
      </vt:variant>
      <vt:variant>
        <vt:lpwstr>https://www.education.gov.au/international-education/resources/indicative-allocations-higher-education-new-overseas-student-commencements-2025</vt:lpwstr>
      </vt:variant>
      <vt:variant>
        <vt:lpwstr/>
      </vt:variant>
      <vt:variant>
        <vt:i4>8192097</vt:i4>
      </vt:variant>
      <vt:variant>
        <vt:i4>3</vt:i4>
      </vt:variant>
      <vt:variant>
        <vt:i4>0</vt:i4>
      </vt:variant>
      <vt:variant>
        <vt:i4>5</vt:i4>
      </vt:variant>
      <vt:variant>
        <vt:lpwstr>https://immi.homeaffairs.gov.au/support-subsite/files/ministerial-direction-111.pdf</vt:lpwstr>
      </vt:variant>
      <vt:variant>
        <vt:lpwstr/>
      </vt:variant>
      <vt:variant>
        <vt:i4>6881383</vt:i4>
      </vt:variant>
      <vt:variant>
        <vt:i4>0</vt:i4>
      </vt:variant>
      <vt:variant>
        <vt:i4>0</vt:i4>
      </vt:variant>
      <vt:variant>
        <vt:i4>5</vt:i4>
      </vt:variant>
      <vt:variant>
        <vt:lpwstr>https://immi.homeaffairs.gov.au/news-media/archive/article?itemId=1282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Factsheet - Implementing Provider Limits in PRISMS 31 October 2024</dc:title>
  <dc:subject/>
  <dc:creator>PACEY,Robert</dc:creator>
  <cp:keywords/>
  <dc:description/>
  <cp:lastModifiedBy>RAWAT,Jaya</cp:lastModifiedBy>
  <cp:revision>10</cp:revision>
  <cp:lastPrinted>2025-02-14T08:27:00Z</cp:lastPrinted>
  <dcterms:created xsi:type="dcterms:W3CDTF">2025-02-14T07:48:00Z</dcterms:created>
  <dcterms:modified xsi:type="dcterms:W3CDTF">2025-02-14T08:27:00Z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0x01010093162BA753748F4BB53721499FC70481</vt:lpwstr>
  </property>
  <property fmtid="{D5CDD505-2E9C-101B-9397-08002B2CF9AE}" pid="3" name="MediaServiceImageTags">
    <vt:lpwstr/>
  </property>
  <property fmtid="{D5CDD505-2E9C-101B-9397-08002B2CF9AE}" pid="4" name="MSIP_Label_79d889eb-932f-4752-8739-64d25806ef64_Enabled">
    <vt:lpwstr>true</vt:lpwstr>
  </property>
  <property fmtid="{D5CDD505-2E9C-101B-9397-08002B2CF9AE}" pid="5" name="MSIP_Label_79d889eb-932f-4752-8739-64d25806ef64_SetDate">
    <vt:lpwstr>2024-08-26T05:49:19Z</vt:lpwstr>
  </property>
  <property fmtid="{D5CDD505-2E9C-101B-9397-08002B2CF9AE}" pid="6" name="MSIP_Label_79d889eb-932f-4752-8739-64d25806ef64_Method">
    <vt:lpwstr>Privileged</vt:lpwstr>
  </property>
  <property fmtid="{D5CDD505-2E9C-101B-9397-08002B2CF9AE}" pid="7" name="MSIP_Label_79d889eb-932f-4752-8739-64d25806ef64_Name">
    <vt:lpwstr>79d889eb-932f-4752-8739-64d25806ef64</vt:lpwstr>
  </property>
  <property fmtid="{D5CDD505-2E9C-101B-9397-08002B2CF9AE}" pid="8" name="MSIP_Label_79d889eb-932f-4752-8739-64d25806ef64_SiteId">
    <vt:lpwstr>dd0cfd15-4558-4b12-8bad-ea26984fc417</vt:lpwstr>
  </property>
  <property fmtid="{D5CDD505-2E9C-101B-9397-08002B2CF9AE}" pid="9" name="MSIP_Label_79d889eb-932f-4752-8739-64d25806ef64_ActionId">
    <vt:lpwstr>834bea61-1f44-4c5a-a882-1708eb84e11f</vt:lpwstr>
  </property>
  <property fmtid="{D5CDD505-2E9C-101B-9397-08002B2CF9AE}" pid="10" name="MSIP_Label_79d889eb-932f-4752-8739-64d25806ef64_ContentBits">
    <vt:lpwstr>0</vt:lpwstr>
  </property>
</Properties>
</file>