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ACFC5" w14:textId="2224FF7D" w:rsidR="00107DD5" w:rsidRDefault="00221D8F" w:rsidP="00CA4815">
      <w:r w:rsidRPr="00CA4815">
        <w:rPr>
          <w:b/>
          <w:bCs/>
          <w:noProof/>
        </w:rPr>
        <w:drawing>
          <wp:anchor distT="0" distB="0" distL="114300" distR="114300" simplePos="0" relativeHeight="251658240" behindDoc="1" locked="1" layoutInCell="1" allowOverlap="1" wp14:anchorId="3E48CC13" wp14:editId="09C9BF29">
            <wp:simplePos x="0" y="0"/>
            <wp:positionH relativeFrom="column">
              <wp:posOffset>-914400</wp:posOffset>
            </wp:positionH>
            <wp:positionV relativeFrom="paragraph">
              <wp:posOffset>-777875</wp:posOffset>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1BB73B99" wp14:editId="5F761CCB">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Hlk184287420" w:displacedByCustomXml="next"/>
    <w:bookmarkStart w:id="1" w:name="_Toc126923146" w:displacedByCustomXml="next"/>
    <w:bookmarkStart w:id="2" w:name="_Toc126923157" w:displacedByCustomXml="next"/>
    <w:sdt>
      <w:sdtPr>
        <w:alias w:val="Title"/>
        <w:tag w:val=""/>
        <w:id w:val="449749656"/>
        <w:placeholder>
          <w:docPart w:val="1915A4D98D91441583C50FB8E977D9AE"/>
        </w:placeholder>
        <w:dataBinding w:prefixMappings="xmlns:ns0='http://purl.org/dc/elements/1.1/' xmlns:ns1='http://schemas.openxmlformats.org/package/2006/metadata/core-properties' " w:xpath="/ns1:coreProperties[1]/ns0:title[1]" w:storeItemID="{6C3C8BC8-F283-45AE-878A-BAB7291924A1}"/>
        <w:text/>
      </w:sdtPr>
      <w:sdtContent>
        <w:p w14:paraId="0C4EC24B" w14:textId="6C5E4BFF" w:rsidR="007520E5" w:rsidRDefault="00286A70" w:rsidP="00E57B92">
          <w:pPr>
            <w:pStyle w:val="Heading1"/>
          </w:pPr>
          <w:r>
            <w:t>Factsheet – Definition of students of certain transnational education programs</w:t>
          </w:r>
        </w:p>
      </w:sdtContent>
    </w:sdt>
    <w:p w14:paraId="1BD823C1" w14:textId="77777777" w:rsidR="00E45E30" w:rsidRDefault="00E45E30" w:rsidP="00F6598D">
      <w:pPr>
        <w:spacing w:after="60" w:line="278" w:lineRule="auto"/>
        <w:rPr>
          <w:rFonts w:ascii="Calibri" w:eastAsia="Calibri" w:hAnsi="Calibri" w:cs="Calibri"/>
        </w:rPr>
      </w:pPr>
      <w:bookmarkStart w:id="3" w:name="_Hlk184287475"/>
      <w:bookmarkEnd w:id="2"/>
      <w:bookmarkEnd w:id="1"/>
      <w:bookmarkEnd w:id="0"/>
    </w:p>
    <w:p w14:paraId="5BBBF30A" w14:textId="77777777" w:rsidR="00CA07B9" w:rsidRDefault="00CA07B9" w:rsidP="00CA07B9">
      <w:r w:rsidRPr="0023106B">
        <w:t>The Australian Government supports providers to take Australian education and qualifications to the world. High quality transnational education builds important linkages and institutional partnerships, contributes to Australia’s research goals and efforts to support foreign policy priorities and complements Australia’s onshore education offerings</w:t>
      </w:r>
      <w:r>
        <w:t xml:space="preserve">. </w:t>
      </w:r>
    </w:p>
    <w:p w14:paraId="46EC0725" w14:textId="3366AF38" w:rsidR="00E57B92" w:rsidRDefault="00346878" w:rsidP="00E57B92">
      <w:pPr>
        <w:pStyle w:val="Heading3"/>
      </w:pPr>
      <w:bookmarkStart w:id="4" w:name="_Toc126923148"/>
      <w:bookmarkStart w:id="5" w:name="_Toc126923159"/>
      <w:bookmarkStart w:id="6" w:name="_Toc126923318"/>
      <w:r>
        <w:t>Consideration of TNE</w:t>
      </w:r>
      <w:r w:rsidR="0098489E">
        <w:t xml:space="preserve"> </w:t>
      </w:r>
      <w:r w:rsidR="00E57B92">
        <w:t xml:space="preserve">for higher education providers </w:t>
      </w:r>
    </w:p>
    <w:p w14:paraId="7EC7821D" w14:textId="01A0EB4E" w:rsidR="000750FE" w:rsidRDefault="000750FE" w:rsidP="000750FE">
      <w:r w:rsidRPr="00511016">
        <w:t>To recognise transnational education that is high quality and that reinforces the quality, integrity and character of Australia’s education system in the international context, students part of a</w:t>
      </w:r>
      <w:r w:rsidR="003F64F6">
        <w:t>n eligible</w:t>
      </w:r>
      <w:r w:rsidRPr="00511016">
        <w:t xml:space="preserve"> transnational higher education arrangement will not count towards a provider</w:t>
      </w:r>
      <w:r w:rsidR="000F485A">
        <w:t>’s</w:t>
      </w:r>
      <w:r w:rsidRPr="00511016">
        <w:t xml:space="preserve"> </w:t>
      </w:r>
      <w:r w:rsidR="00396018" w:rsidRPr="00511016">
        <w:t xml:space="preserve">total of </w:t>
      </w:r>
      <w:r w:rsidRPr="00511016">
        <w:t>new overseas student commencement</w:t>
      </w:r>
      <w:r w:rsidR="00396018" w:rsidRPr="00511016">
        <w:t>s</w:t>
      </w:r>
      <w:r w:rsidRPr="00511016">
        <w:t xml:space="preserve"> </w:t>
      </w:r>
      <w:r w:rsidR="003015CA">
        <w:t xml:space="preserve">(NOSC) </w:t>
      </w:r>
      <w:r w:rsidR="000137E4">
        <w:t>and will receive ‘Priority 1 – High’ status during student visa application processing.</w:t>
      </w:r>
    </w:p>
    <w:p w14:paraId="52F1E386" w14:textId="39629A22" w:rsidR="000137E4" w:rsidRPr="000750FE" w:rsidRDefault="003015CA" w:rsidP="000750FE">
      <w:r>
        <w:t>Students studying under a TNE program are eligible for exemption from a provider’s NOSC allocation and prioritisation of their student visa application if:</w:t>
      </w:r>
    </w:p>
    <w:p w14:paraId="4F96DD6E" w14:textId="77777777" w:rsidR="00E57B92" w:rsidRDefault="00E57B92" w:rsidP="00E57B92">
      <w:pPr>
        <w:pStyle w:val="ListParagraph"/>
        <w:numPr>
          <w:ilvl w:val="0"/>
          <w:numId w:val="20"/>
        </w:numPr>
      </w:pPr>
      <w:r w:rsidRPr="0027732D">
        <w:t xml:space="preserve">The overseas component of study forms part of the delivery of a regulated Australian higher education award, and/or </w:t>
      </w:r>
    </w:p>
    <w:p w14:paraId="69B9B6B3" w14:textId="77777777" w:rsidR="00E57B92" w:rsidRDefault="00E57B92" w:rsidP="00E57B92">
      <w:pPr>
        <w:pStyle w:val="ListParagraph"/>
        <w:numPr>
          <w:ilvl w:val="0"/>
          <w:numId w:val="20"/>
        </w:numPr>
      </w:pPr>
      <w:r w:rsidRPr="0027732D">
        <w:t xml:space="preserve">The overseas study program is co-delivered by the Australian provider, and the program is registered with the official in-country regulatory authority as an Australian twinning or joint program arrangement, where the student transfers to Australia to gain the Australian award (or vice versa), and </w:t>
      </w:r>
    </w:p>
    <w:p w14:paraId="14A2E6E4" w14:textId="67FF4BA3" w:rsidR="00E57B92" w:rsidRDefault="00E57B92" w:rsidP="00E57B92">
      <w:pPr>
        <w:pStyle w:val="ListParagraph"/>
        <w:numPr>
          <w:ilvl w:val="0"/>
          <w:numId w:val="20"/>
        </w:numPr>
      </w:pPr>
      <w:r w:rsidRPr="0027732D">
        <w:t>No more than 60% of the Australian award’s course duration</w:t>
      </w:r>
      <w:r w:rsidR="007B0D5E">
        <w:t xml:space="preserve"> (in weeks)</w:t>
      </w:r>
      <w:r w:rsidRPr="0027732D">
        <w:t xml:space="preserve"> is to be completed in Australia, and </w:t>
      </w:r>
    </w:p>
    <w:p w14:paraId="488087F4" w14:textId="13B4D24E" w:rsidR="00E57B92" w:rsidRDefault="00E57B92" w:rsidP="00E57B92">
      <w:pPr>
        <w:pStyle w:val="ListParagraph"/>
        <w:numPr>
          <w:ilvl w:val="0"/>
          <w:numId w:val="20"/>
        </w:numPr>
      </w:pPr>
      <w:r w:rsidRPr="0027732D">
        <w:t xml:space="preserve">The arrangement was in place prior to 1 July 2024, or, for arrangements established after 1 July 2024, has been assessed as eligible by the department. </w:t>
      </w:r>
    </w:p>
    <w:p w14:paraId="05EC6E4A" w14:textId="5B99982D" w:rsidR="00E57B92" w:rsidRDefault="00E57B92" w:rsidP="00E57B92">
      <w:pPr>
        <w:spacing w:after="120"/>
      </w:pPr>
      <w:r w:rsidRPr="0027732D">
        <w:t xml:space="preserve">If an arrangement only provides for credit recognition of an overseas qualification, or the program does not lead directly to an Australian higher education qualification, </w:t>
      </w:r>
      <w:r w:rsidR="009A53A8">
        <w:t xml:space="preserve">this falls outside the scope of the TNE programs </w:t>
      </w:r>
      <w:r w:rsidR="006545DE">
        <w:t>as describe</w:t>
      </w:r>
      <w:r w:rsidR="0076653C">
        <w:t>d</w:t>
      </w:r>
      <w:r w:rsidR="006545DE">
        <w:t xml:space="preserve"> above</w:t>
      </w:r>
      <w:r w:rsidR="004D1143">
        <w:t>.</w:t>
      </w:r>
    </w:p>
    <w:p w14:paraId="739856F7" w14:textId="77777777" w:rsidR="00533225" w:rsidRDefault="00533225" w:rsidP="00E57B92">
      <w:pPr>
        <w:spacing w:after="120"/>
      </w:pPr>
    </w:p>
    <w:p w14:paraId="1D7D3433" w14:textId="77777777" w:rsidR="00533225" w:rsidRDefault="00533225" w:rsidP="00E57B92">
      <w:pPr>
        <w:spacing w:after="120"/>
      </w:pPr>
    </w:p>
    <w:p w14:paraId="5A4FCDC5" w14:textId="4EF3EB1F" w:rsidR="00E57B92" w:rsidRDefault="00E57B92" w:rsidP="00E57B92">
      <w:pPr>
        <w:spacing w:after="120"/>
      </w:pPr>
      <w:r>
        <w:lastRenderedPageBreak/>
        <w:t xml:space="preserve">Third party offshore delivery will meet </w:t>
      </w:r>
      <w:r w:rsidR="00344C32">
        <w:t>criteri</w:t>
      </w:r>
      <w:r w:rsidR="0AA2FB74">
        <w:t>on</w:t>
      </w:r>
      <w:r w:rsidR="00344C32">
        <w:t xml:space="preserve"> </w:t>
      </w:r>
      <w:r>
        <w:t>1</w:t>
      </w:r>
      <w:r w:rsidR="000137D2">
        <w:t>, above,</w:t>
      </w:r>
      <w:r>
        <w:t xml:space="preserve"> where the Australian provider remains accountable for course quality, student experience and overall compliance with the Higher Education Standards (HES) Framework (Threshold Standards) 2021. This is to ensure appropriate due diligence and a demonstrable accountability mechanism for compliance with the HES Framework. </w:t>
      </w:r>
    </w:p>
    <w:p w14:paraId="4295E3F2" w14:textId="77777777" w:rsidR="00E57B92" w:rsidRDefault="00E57B92" w:rsidP="00E57B92">
      <w:pPr>
        <w:spacing w:after="120"/>
      </w:pPr>
      <w:r w:rsidRPr="00923E58">
        <w:t xml:space="preserve">A program of successive Australian qualifications (e.g. Bachelors, Masters) may be treated as one program for the purposes of calculating the 60% maximum onshore component if both qualifications are delivered by the same Australian higher education provider and the provider has self-accrediting authority. </w:t>
      </w:r>
    </w:p>
    <w:p w14:paraId="745C4A0D" w14:textId="46235E48" w:rsidR="002F2EC7" w:rsidRDefault="007E759C" w:rsidP="002F2EC7">
      <w:pPr>
        <w:spacing w:after="120"/>
      </w:pPr>
      <w:r>
        <w:t>P</w:t>
      </w:r>
      <w:r w:rsidR="00E57B92" w:rsidRPr="00923E58">
        <w:t xml:space="preserve">roviders </w:t>
      </w:r>
      <w:r w:rsidR="009C7621">
        <w:t>must</w:t>
      </w:r>
      <w:r w:rsidR="00E57B92" w:rsidRPr="00923E58">
        <w:t xml:space="preserve"> ensure the program is listed as an approved course of study as part of their CRICOS registration and ensure they have notified TEQSA of the offshore delivery arrangements.</w:t>
      </w:r>
      <w:bookmarkEnd w:id="3"/>
      <w:bookmarkEnd w:id="4"/>
      <w:bookmarkEnd w:id="5"/>
      <w:bookmarkEnd w:id="6"/>
    </w:p>
    <w:p w14:paraId="2ADF4A99" w14:textId="6618AD15" w:rsidR="00BC7DD7" w:rsidRDefault="00BC7DD7" w:rsidP="002F2EC7">
      <w:pPr>
        <w:spacing w:after="120"/>
      </w:pPr>
      <w:r w:rsidRPr="00BC7DD7">
        <w:t>TEQSA would expect to be informed of such arrangements through registration or a material change notification.</w:t>
      </w:r>
    </w:p>
    <w:p w14:paraId="3DFE5F96" w14:textId="77777777" w:rsidR="00861698" w:rsidRDefault="00861698" w:rsidP="002F2EC7">
      <w:pPr>
        <w:spacing w:after="120"/>
      </w:pPr>
    </w:p>
    <w:p w14:paraId="67F022D1" w14:textId="5AAEA788" w:rsidR="000B4147" w:rsidRPr="00AC5B8F" w:rsidRDefault="00AC5B8F" w:rsidP="002F2EC7">
      <w:pPr>
        <w:spacing w:after="120"/>
        <w:rPr>
          <w:i/>
          <w:iCs/>
        </w:rPr>
      </w:pPr>
      <w:r w:rsidRPr="00AC5B8F">
        <w:rPr>
          <w:i/>
          <w:iCs/>
        </w:rPr>
        <w:t xml:space="preserve">Information on criteria for VET sector transnational education is available on: </w:t>
      </w:r>
      <w:hyperlink r:id="rId14" w:history="1">
        <w:r w:rsidRPr="00AC5B8F">
          <w:rPr>
            <w:rStyle w:val="Hyperlink"/>
            <w:i/>
            <w:iCs/>
          </w:rPr>
          <w:t>www.dewr.gov.au</w:t>
        </w:r>
      </w:hyperlink>
      <w:r w:rsidRPr="00AC5B8F">
        <w:rPr>
          <w:i/>
          <w:iCs/>
        </w:rPr>
        <w:t xml:space="preserve"> </w:t>
      </w:r>
    </w:p>
    <w:p w14:paraId="67C59AFF" w14:textId="77777777" w:rsidR="00B46417" w:rsidRDefault="00B46417" w:rsidP="002F2EC7">
      <w:pPr>
        <w:spacing w:after="120"/>
      </w:pPr>
    </w:p>
    <w:p w14:paraId="57564C4A" w14:textId="77777777" w:rsidR="00B46417" w:rsidRDefault="00B46417" w:rsidP="002F2EC7">
      <w:pPr>
        <w:spacing w:after="120"/>
      </w:pPr>
    </w:p>
    <w:p w14:paraId="7D66C63B" w14:textId="77777777" w:rsidR="00B46417" w:rsidRDefault="00B46417" w:rsidP="002F2EC7">
      <w:pPr>
        <w:spacing w:after="120"/>
      </w:pPr>
    </w:p>
    <w:p w14:paraId="3CB61461" w14:textId="77777777" w:rsidR="00B46417" w:rsidRDefault="00B46417" w:rsidP="002F2EC7">
      <w:pPr>
        <w:spacing w:after="120"/>
      </w:pPr>
    </w:p>
    <w:p w14:paraId="05C81A76" w14:textId="77777777" w:rsidR="00B46417" w:rsidRDefault="00B46417" w:rsidP="002F2EC7">
      <w:pPr>
        <w:spacing w:after="120"/>
      </w:pPr>
    </w:p>
    <w:p w14:paraId="24F22F24" w14:textId="77777777" w:rsidR="00B46417" w:rsidRDefault="00B46417" w:rsidP="002F2EC7">
      <w:pPr>
        <w:spacing w:after="120"/>
      </w:pPr>
    </w:p>
    <w:p w14:paraId="01D3A49B" w14:textId="77777777" w:rsidR="00B46417" w:rsidRDefault="00B46417" w:rsidP="002F2EC7">
      <w:pPr>
        <w:spacing w:after="120"/>
      </w:pPr>
    </w:p>
    <w:p w14:paraId="55B763F0" w14:textId="77777777" w:rsidR="00B46417" w:rsidRDefault="00B46417" w:rsidP="002F2EC7">
      <w:pPr>
        <w:spacing w:after="120"/>
      </w:pPr>
    </w:p>
    <w:p w14:paraId="494261F2" w14:textId="77777777" w:rsidR="00B46417" w:rsidRDefault="00B46417" w:rsidP="002F2EC7">
      <w:pPr>
        <w:spacing w:after="120"/>
      </w:pPr>
    </w:p>
    <w:p w14:paraId="6B68BBD1" w14:textId="77777777" w:rsidR="0047280B" w:rsidRDefault="0047280B" w:rsidP="002F2EC7">
      <w:pPr>
        <w:spacing w:after="120"/>
      </w:pPr>
    </w:p>
    <w:p w14:paraId="35ECF6D9" w14:textId="13DA5E44" w:rsidR="0047280B" w:rsidDel="007209EF" w:rsidRDefault="006115F9">
      <w:pPr>
        <w:spacing w:after="160"/>
      </w:pPr>
      <w:r>
        <w:br w:type="page"/>
      </w:r>
    </w:p>
    <w:p w14:paraId="093E044A" w14:textId="77777777" w:rsidR="0047280B" w:rsidRDefault="0047280B" w:rsidP="002F2EC7">
      <w:pPr>
        <w:spacing w:after="120"/>
      </w:pPr>
    </w:p>
    <w:p w14:paraId="3AE54B4F" w14:textId="77777777" w:rsidR="002F2EC7" w:rsidRPr="002F2EC7" w:rsidRDefault="002F2EC7" w:rsidP="002F2EC7">
      <w:pPr>
        <w:spacing w:after="120"/>
        <w:rPr>
          <w:rFonts w:asciiTheme="majorHAnsi" w:eastAsiaTheme="majorEastAsia" w:hAnsiTheme="majorHAnsi" w:cstheme="majorBidi"/>
          <w:b/>
          <w:color w:val="008599" w:themeColor="accent1"/>
          <w:sz w:val="32"/>
          <w:szCs w:val="24"/>
        </w:rPr>
      </w:pPr>
      <w:r w:rsidRPr="002F2EC7">
        <w:rPr>
          <w:rFonts w:asciiTheme="majorHAnsi" w:eastAsiaTheme="majorEastAsia" w:hAnsiTheme="majorHAnsi" w:cstheme="majorBidi"/>
          <w:b/>
          <w:color w:val="008599" w:themeColor="accent1"/>
          <w:sz w:val="32"/>
          <w:szCs w:val="24"/>
        </w:rPr>
        <w:t xml:space="preserve">Examples </w:t>
      </w:r>
    </w:p>
    <w:p w14:paraId="667128D5" w14:textId="7970BE16" w:rsidR="00F926A7" w:rsidRPr="002C78D5" w:rsidRDefault="002F2EC7" w:rsidP="00F926A7">
      <w:pPr>
        <w:spacing w:after="120"/>
        <w:rPr>
          <w:b/>
        </w:rPr>
      </w:pPr>
      <w:r w:rsidRPr="0008296F">
        <w:rPr>
          <w:b/>
          <w:u w:val="single"/>
        </w:rPr>
        <w:t>Student A</w:t>
      </w:r>
      <w:r w:rsidRPr="0008296F">
        <w:rPr>
          <w:b/>
          <w:bCs/>
        </w:rPr>
        <w:t xml:space="preserve"> </w:t>
      </w:r>
      <w:r w:rsidRPr="002F2EC7">
        <w:t xml:space="preserve">enrols in a three-year Australian-registered degree at an international branch campus of an Australian provider and undertakes two years of study in that country, with the final year in Australia. As no more than 60% of the Australian qualification’s course duration is completed in Australia, </w:t>
      </w:r>
      <w:r w:rsidRPr="0008296F">
        <w:rPr>
          <w:b/>
        </w:rPr>
        <w:t>Student A</w:t>
      </w:r>
      <w:r w:rsidR="001C1593" w:rsidRPr="0008296F">
        <w:rPr>
          <w:b/>
        </w:rPr>
        <w:t xml:space="preserve">’s </w:t>
      </w:r>
      <w:r w:rsidR="007E3D80" w:rsidRPr="002C78D5">
        <w:rPr>
          <w:b/>
        </w:rPr>
        <w:t>program</w:t>
      </w:r>
      <w:r w:rsidR="00F926A7" w:rsidRPr="002C78D5">
        <w:rPr>
          <w:b/>
        </w:rPr>
        <w:t xml:space="preserve"> falls </w:t>
      </w:r>
      <w:r w:rsidR="007E3D80">
        <w:rPr>
          <w:b/>
        </w:rPr>
        <w:t>within</w:t>
      </w:r>
      <w:r w:rsidR="00F926A7" w:rsidRPr="002C78D5">
        <w:rPr>
          <w:b/>
        </w:rPr>
        <w:t xml:space="preserve"> the scope of the TNE programs as described above.</w:t>
      </w:r>
    </w:p>
    <w:p w14:paraId="01BD8F00" w14:textId="77777777" w:rsidR="006A2A76" w:rsidRPr="006A2A76" w:rsidRDefault="006A2A76">
      <w:pPr>
        <w:numPr>
          <w:ilvl w:val="1"/>
          <w:numId w:val="21"/>
        </w:numPr>
        <w:spacing w:after="120"/>
      </w:pPr>
    </w:p>
    <w:p w14:paraId="0BBE5E9D" w14:textId="5943310C" w:rsidR="00917F8A" w:rsidRPr="00917F8A" w:rsidRDefault="002F2EC7">
      <w:pPr>
        <w:numPr>
          <w:ilvl w:val="1"/>
          <w:numId w:val="21"/>
        </w:numPr>
        <w:spacing w:after="120"/>
      </w:pPr>
      <w:r w:rsidRPr="00F601F6">
        <w:rPr>
          <w:b/>
          <w:u w:val="single"/>
        </w:rPr>
        <w:t>Student B</w:t>
      </w:r>
      <w:r w:rsidRPr="00F601F6">
        <w:rPr>
          <w:b/>
          <w:bCs/>
        </w:rPr>
        <w:t xml:space="preserve"> </w:t>
      </w:r>
      <w:r w:rsidRPr="002F2EC7">
        <w:t xml:space="preserve">enrols in an Australian degree program consisting of a three-year Australian AQF bachelor degree and two-year Australian AQF masters by coursework degree. The first two years of their bachelor degree are completed at an overseas campus of an Australian </w:t>
      </w:r>
      <w:r w:rsidR="00952762">
        <w:t>institution with self-</w:t>
      </w:r>
      <w:r w:rsidRPr="002F2EC7">
        <w:t xml:space="preserve">accrediting authority status. The final year of the bachelor’s degree is completed onshore at the Australian institution. The two-year master’s component is completed entirely onshore at the Australian institution. As the whole program of study is Australian-accredited and no more than 60% of the packaged program’s total course duration is completed in Australia, </w:t>
      </w:r>
      <w:r w:rsidRPr="00F601F6">
        <w:rPr>
          <w:b/>
        </w:rPr>
        <w:t xml:space="preserve">Student </w:t>
      </w:r>
      <w:r w:rsidR="00917F8A" w:rsidRPr="00F601F6">
        <w:rPr>
          <w:b/>
          <w:bCs/>
        </w:rPr>
        <w:t>B</w:t>
      </w:r>
      <w:r w:rsidR="001C75CF" w:rsidRPr="00F601F6">
        <w:rPr>
          <w:b/>
          <w:bCs/>
        </w:rPr>
        <w:t>’s</w:t>
      </w:r>
      <w:r w:rsidR="00917F8A" w:rsidRPr="00F601F6">
        <w:rPr>
          <w:b/>
          <w:bCs/>
        </w:rPr>
        <w:t xml:space="preserve"> </w:t>
      </w:r>
      <w:r w:rsidR="0008296F" w:rsidRPr="00F601F6">
        <w:rPr>
          <w:b/>
        </w:rPr>
        <w:t xml:space="preserve">program </w:t>
      </w:r>
      <w:r w:rsidR="007E3D80" w:rsidRPr="00E1273A">
        <w:rPr>
          <w:b/>
        </w:rPr>
        <w:t xml:space="preserve">falls </w:t>
      </w:r>
      <w:r w:rsidR="007E3D80">
        <w:rPr>
          <w:b/>
        </w:rPr>
        <w:t>within</w:t>
      </w:r>
      <w:r w:rsidR="007E3D80" w:rsidRPr="00E1273A">
        <w:rPr>
          <w:b/>
        </w:rPr>
        <w:t xml:space="preserve"> the scope of the TNE programs as described above.</w:t>
      </w:r>
    </w:p>
    <w:p w14:paraId="3682F6CF" w14:textId="77777777" w:rsidR="006A2A76" w:rsidRPr="006A2A76" w:rsidRDefault="006A2A76">
      <w:pPr>
        <w:numPr>
          <w:ilvl w:val="1"/>
          <w:numId w:val="22"/>
        </w:numPr>
        <w:spacing w:after="120"/>
      </w:pPr>
    </w:p>
    <w:p w14:paraId="57A62CBC" w14:textId="1BA8D1BD" w:rsidR="0038333B" w:rsidRPr="0038333B" w:rsidRDefault="002F2EC7">
      <w:pPr>
        <w:numPr>
          <w:ilvl w:val="1"/>
          <w:numId w:val="22"/>
        </w:numPr>
        <w:spacing w:after="120"/>
      </w:pPr>
      <w:r w:rsidRPr="00F601F6">
        <w:rPr>
          <w:b/>
          <w:u w:val="single"/>
        </w:rPr>
        <w:t>Student C</w:t>
      </w:r>
      <w:r w:rsidRPr="00F601F6">
        <w:rPr>
          <w:b/>
          <w:bCs/>
        </w:rPr>
        <w:t xml:space="preserve"> </w:t>
      </w:r>
      <w:r w:rsidRPr="002F2EC7">
        <w:t xml:space="preserve">enrols in a joint or double degree program involving an Australian-accredited bachelor qualification with an Australian institution in partnership with an overseas institution where the first two years are studied offshore and the final two years are completed in Australia. The student is enrolled in the Australian qualification from the beginning of the program. As the whole course of study is Australian-accredited and no more than 60% of the Australian qualification’s course duration is completed in Australia, </w:t>
      </w:r>
      <w:r w:rsidRPr="00F601F6">
        <w:rPr>
          <w:b/>
        </w:rPr>
        <w:t xml:space="preserve">Student </w:t>
      </w:r>
      <w:r w:rsidR="00FD3E17" w:rsidRPr="00F601F6">
        <w:rPr>
          <w:b/>
        </w:rPr>
        <w:t>C’s</w:t>
      </w:r>
      <w:r w:rsidRPr="007E3D80">
        <w:rPr>
          <w:b/>
        </w:rPr>
        <w:t xml:space="preserve"> </w:t>
      </w:r>
      <w:r w:rsidR="0008296F" w:rsidRPr="00F601F6">
        <w:rPr>
          <w:b/>
        </w:rPr>
        <w:t xml:space="preserve">program </w:t>
      </w:r>
      <w:r w:rsidR="007E3D80" w:rsidRPr="00E1273A">
        <w:rPr>
          <w:b/>
        </w:rPr>
        <w:t xml:space="preserve">falls </w:t>
      </w:r>
      <w:r w:rsidR="007E3D80">
        <w:rPr>
          <w:b/>
        </w:rPr>
        <w:t>within</w:t>
      </w:r>
      <w:r w:rsidR="007E3D80" w:rsidRPr="00E1273A">
        <w:rPr>
          <w:b/>
        </w:rPr>
        <w:t xml:space="preserve"> the scope of the TNE programs as described above.</w:t>
      </w:r>
    </w:p>
    <w:p w14:paraId="0D6CA2A8" w14:textId="77777777" w:rsidR="006A2A76" w:rsidRPr="006A2A76" w:rsidRDefault="006A2A76" w:rsidP="002F2EC7">
      <w:pPr>
        <w:numPr>
          <w:ilvl w:val="1"/>
          <w:numId w:val="22"/>
        </w:numPr>
        <w:spacing w:after="120"/>
      </w:pPr>
    </w:p>
    <w:p w14:paraId="7051D975" w14:textId="7F522544" w:rsidR="002F2EC7" w:rsidRPr="002F2EC7" w:rsidRDefault="002F2EC7" w:rsidP="002F2EC7">
      <w:pPr>
        <w:numPr>
          <w:ilvl w:val="1"/>
          <w:numId w:val="22"/>
        </w:numPr>
        <w:spacing w:after="120"/>
      </w:pPr>
      <w:r w:rsidRPr="002F2EC7">
        <w:rPr>
          <w:b/>
          <w:u w:val="single"/>
        </w:rPr>
        <w:t>Student D</w:t>
      </w:r>
      <w:r w:rsidRPr="002F2EC7">
        <w:rPr>
          <w:b/>
          <w:bCs/>
        </w:rPr>
        <w:t xml:space="preserve"> </w:t>
      </w:r>
      <w:r w:rsidRPr="002F2EC7">
        <w:t xml:space="preserve">enrols in a joint or double degree program between an overseas university and an Australian university, approved by the Ministry of Education with oversight of the overseas university. The Australian university contributes to the design and delivery of the overseas university component of the joint degree program (lasting two years), although formal enrolment in the Australian award only begins when the student commences study in Australia (also lasting two years). </w:t>
      </w:r>
      <w:r w:rsidRPr="002F2EC7">
        <w:rPr>
          <w:b/>
          <w:bCs/>
        </w:rPr>
        <w:t>Student D</w:t>
      </w:r>
      <w:r w:rsidR="00F81DEB" w:rsidRPr="00F81DEB">
        <w:rPr>
          <w:b/>
          <w:bCs/>
        </w:rPr>
        <w:t>’s</w:t>
      </w:r>
      <w:r w:rsidRPr="002F2EC7">
        <w:t xml:space="preserve"> </w:t>
      </w:r>
      <w:r w:rsidR="00F601F6" w:rsidRPr="0008296F">
        <w:rPr>
          <w:b/>
        </w:rPr>
        <w:t xml:space="preserve">program of study falls within </w:t>
      </w:r>
      <w:r w:rsidR="00490300" w:rsidRPr="002C78D5">
        <w:rPr>
          <w:b/>
          <w:bCs/>
        </w:rPr>
        <w:t>the scope of the TNE programs as described above</w:t>
      </w:r>
      <w:r w:rsidR="00490300">
        <w:rPr>
          <w:b/>
          <w:bCs/>
        </w:rPr>
        <w:t>.</w:t>
      </w:r>
    </w:p>
    <w:p w14:paraId="169C255D" w14:textId="77777777" w:rsidR="006A2A76" w:rsidRPr="006A2A76" w:rsidRDefault="006A2A76">
      <w:pPr>
        <w:numPr>
          <w:ilvl w:val="1"/>
          <w:numId w:val="22"/>
        </w:numPr>
        <w:spacing w:after="120"/>
      </w:pPr>
    </w:p>
    <w:p w14:paraId="16330B70" w14:textId="1A4650F2" w:rsidR="002F2EC7" w:rsidRPr="002F2EC7" w:rsidRDefault="002F2EC7">
      <w:pPr>
        <w:numPr>
          <w:ilvl w:val="1"/>
          <w:numId w:val="22"/>
        </w:numPr>
        <w:spacing w:after="120"/>
      </w:pPr>
      <w:r w:rsidRPr="00F601F6">
        <w:rPr>
          <w:b/>
          <w:u w:val="single"/>
        </w:rPr>
        <w:t>Student E</w:t>
      </w:r>
      <w:r w:rsidRPr="00F601F6">
        <w:rPr>
          <w:b/>
          <w:bCs/>
        </w:rPr>
        <w:t xml:space="preserve"> </w:t>
      </w:r>
      <w:r w:rsidRPr="002F2EC7">
        <w:t xml:space="preserve">enrols in an articulation arrangement with an overseas institution that leads to a pathway for credit recognition with an Australian provider. As the study with the overseas institution does not lead to an Australian qualification, </w:t>
      </w:r>
      <w:r w:rsidRPr="00F601F6">
        <w:rPr>
          <w:b/>
        </w:rPr>
        <w:t>Student E</w:t>
      </w:r>
      <w:r w:rsidR="00F81DEB" w:rsidRPr="00F601F6">
        <w:rPr>
          <w:b/>
        </w:rPr>
        <w:t xml:space="preserve">’s </w:t>
      </w:r>
      <w:bookmarkStart w:id="7" w:name="_Hlk184906444"/>
      <w:r w:rsidR="00F601F6" w:rsidRPr="0008296F">
        <w:rPr>
          <w:b/>
        </w:rPr>
        <w:t xml:space="preserve">program of study </w:t>
      </w:r>
      <w:r w:rsidR="00F601F6">
        <w:rPr>
          <w:b/>
        </w:rPr>
        <w:t xml:space="preserve">does not </w:t>
      </w:r>
      <w:r w:rsidR="00F601F6" w:rsidRPr="0008296F">
        <w:rPr>
          <w:b/>
        </w:rPr>
        <w:t>fall within the definition of TNE</w:t>
      </w:r>
      <w:bookmarkEnd w:id="7"/>
      <w:r w:rsidR="004C350C">
        <w:rPr>
          <w:b/>
        </w:rPr>
        <w:t xml:space="preserve"> as described above</w:t>
      </w:r>
      <w:r w:rsidR="00F601F6">
        <w:rPr>
          <w:b/>
        </w:rPr>
        <w:t xml:space="preserve">. </w:t>
      </w:r>
    </w:p>
    <w:p w14:paraId="640E790A" w14:textId="77777777" w:rsidR="006A2A76" w:rsidRPr="006A2A76" w:rsidRDefault="006A2A76">
      <w:pPr>
        <w:numPr>
          <w:ilvl w:val="1"/>
          <w:numId w:val="22"/>
        </w:numPr>
        <w:spacing w:after="120"/>
      </w:pPr>
    </w:p>
    <w:p w14:paraId="5F3C2FE3" w14:textId="3B13075E" w:rsidR="002F2EC7" w:rsidRPr="002F2EC7" w:rsidRDefault="002F2EC7">
      <w:pPr>
        <w:numPr>
          <w:ilvl w:val="1"/>
          <w:numId w:val="22"/>
        </w:numPr>
        <w:spacing w:after="120"/>
      </w:pPr>
      <w:r w:rsidRPr="00F601F6">
        <w:rPr>
          <w:b/>
          <w:u w:val="single"/>
        </w:rPr>
        <w:t>Student F</w:t>
      </w:r>
      <w:r w:rsidRPr="00F601F6">
        <w:rPr>
          <w:b/>
          <w:bCs/>
        </w:rPr>
        <w:t xml:space="preserve"> </w:t>
      </w:r>
      <w:r w:rsidRPr="002F2EC7">
        <w:t xml:space="preserve">enrols in a packaged program which involves a combination of foundation course components delivered offshore with a pathway to an Australian qualification. </w:t>
      </w:r>
      <w:r w:rsidR="00A86332" w:rsidRPr="00F601F6">
        <w:rPr>
          <w:b/>
          <w:bCs/>
        </w:rPr>
        <w:t xml:space="preserve">Student F’s </w:t>
      </w:r>
      <w:r w:rsidR="00F601F6" w:rsidRPr="0008296F">
        <w:rPr>
          <w:b/>
        </w:rPr>
        <w:t xml:space="preserve">program of study </w:t>
      </w:r>
      <w:r w:rsidR="00F601F6" w:rsidRPr="00206E98">
        <w:rPr>
          <w:b/>
        </w:rPr>
        <w:t xml:space="preserve">does not fall </w:t>
      </w:r>
      <w:r w:rsidR="00BF5DF8" w:rsidRPr="00206E98">
        <w:rPr>
          <w:b/>
        </w:rPr>
        <w:t xml:space="preserve">within </w:t>
      </w:r>
      <w:r w:rsidR="00BF5DF8" w:rsidRPr="002C78D5">
        <w:rPr>
          <w:b/>
        </w:rPr>
        <w:t>the scope of the TNE programs as described above</w:t>
      </w:r>
      <w:r w:rsidR="00F601F6" w:rsidRPr="00206E98">
        <w:rPr>
          <w:b/>
        </w:rPr>
        <w:t xml:space="preserve">. </w:t>
      </w:r>
    </w:p>
    <w:p w14:paraId="396CE77C" w14:textId="2962322B" w:rsidR="0017134D" w:rsidRDefault="002F2EC7" w:rsidP="002F2EC7">
      <w:pPr>
        <w:spacing w:after="120"/>
      </w:pPr>
      <w:r w:rsidRPr="002F2EC7">
        <w:t>This is not an exhaustive list of all possible transnational education arrangements that could be undertaken by providers, and providers should assess their arrangements</w:t>
      </w:r>
      <w:r w:rsidR="00490300">
        <w:t xml:space="preserve"> </w:t>
      </w:r>
      <w:r w:rsidR="004A6A8A">
        <w:t xml:space="preserve">against </w:t>
      </w:r>
      <w:r w:rsidR="002132BC">
        <w:t xml:space="preserve">the </w:t>
      </w:r>
      <w:r w:rsidR="00490300">
        <w:t>scope of the TNE programs as described above</w:t>
      </w:r>
      <w:r w:rsidR="004A6A8A">
        <w:t xml:space="preserve">. </w:t>
      </w:r>
    </w:p>
    <w:sectPr w:rsidR="0017134D" w:rsidSect="00D86284">
      <w:headerReference w:type="even" r:id="rId15"/>
      <w:headerReference w:type="default" r:id="rId16"/>
      <w:footerReference w:type="even" r:id="rId17"/>
      <w:footerReference w:type="default" r:id="rId18"/>
      <w:headerReference w:type="first" r:id="rId19"/>
      <w:footerReference w:type="first" r:id="rId20"/>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E97A1" w14:textId="77777777" w:rsidR="00E20A46" w:rsidRDefault="00E20A46" w:rsidP="000A6228">
      <w:pPr>
        <w:spacing w:after="0" w:line="240" w:lineRule="auto"/>
      </w:pPr>
      <w:r>
        <w:separator/>
      </w:r>
    </w:p>
  </w:endnote>
  <w:endnote w:type="continuationSeparator" w:id="0">
    <w:p w14:paraId="4C5F954A" w14:textId="77777777" w:rsidR="00E20A46" w:rsidRDefault="00E20A46" w:rsidP="000A6228">
      <w:pPr>
        <w:spacing w:after="0" w:line="240" w:lineRule="auto"/>
      </w:pPr>
      <w:r>
        <w:continuationSeparator/>
      </w:r>
    </w:p>
  </w:endnote>
  <w:endnote w:type="continuationNotice" w:id="1">
    <w:p w14:paraId="31573119" w14:textId="77777777" w:rsidR="00E20A46" w:rsidRDefault="00E20A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BB9A" w14:textId="13800B42" w:rsidR="00E57B92" w:rsidRDefault="00E57B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19632" w14:textId="48DAF89A" w:rsidR="00D86284" w:rsidRDefault="00D86284">
    <w:pPr>
      <w:pStyle w:val="Footer"/>
    </w:pPr>
    <w:r>
      <w:rPr>
        <w:noProof/>
      </w:rPr>
      <w:drawing>
        <wp:anchor distT="0" distB="0" distL="114300" distR="114300" simplePos="0" relativeHeight="251658240" behindDoc="1" locked="1" layoutInCell="1" allowOverlap="1" wp14:anchorId="12B92579" wp14:editId="63DF4B00">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41057" w14:textId="09061186" w:rsidR="00E57B92" w:rsidRDefault="00E57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D88C8" w14:textId="77777777" w:rsidR="00E20A46" w:rsidRDefault="00E20A46" w:rsidP="000A6228">
      <w:pPr>
        <w:spacing w:after="0" w:line="240" w:lineRule="auto"/>
      </w:pPr>
      <w:r>
        <w:separator/>
      </w:r>
    </w:p>
  </w:footnote>
  <w:footnote w:type="continuationSeparator" w:id="0">
    <w:p w14:paraId="10D640D2" w14:textId="77777777" w:rsidR="00E20A46" w:rsidRDefault="00E20A46" w:rsidP="000A6228">
      <w:pPr>
        <w:spacing w:after="0" w:line="240" w:lineRule="auto"/>
      </w:pPr>
      <w:r>
        <w:continuationSeparator/>
      </w:r>
    </w:p>
  </w:footnote>
  <w:footnote w:type="continuationNotice" w:id="1">
    <w:p w14:paraId="2D3E3951" w14:textId="77777777" w:rsidR="00E20A46" w:rsidRDefault="00E20A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F996F" w14:textId="08E66039" w:rsidR="00E57B92" w:rsidRDefault="00E57B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6E25" w14:textId="3A9BDFD2" w:rsidR="00E57B92" w:rsidRDefault="00E57B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6B0DC" w14:textId="78965731" w:rsidR="00E57B92" w:rsidRDefault="00E57B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087F0F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73E717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AD01FBA"/>
    <w:lvl w:ilvl="0">
      <w:start w:val="1"/>
      <w:numFmt w:val="decimal"/>
      <w:lvlText w:val="%1."/>
      <w:lvlJc w:val="left"/>
      <w:pPr>
        <w:ind w:left="644" w:hanging="360"/>
      </w:pPr>
    </w:lvl>
  </w:abstractNum>
  <w:abstractNum w:abstractNumId="5"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6"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7"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8"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10"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B706E26"/>
    <w:multiLevelType w:val="hybridMultilevel"/>
    <w:tmpl w:val="D3F63E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3" w15:restartNumberingAfterBreak="0">
    <w:nsid w:val="0D8E4311"/>
    <w:multiLevelType w:val="hybridMultilevel"/>
    <w:tmpl w:val="FD8EF0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5"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F9C53B9"/>
    <w:multiLevelType w:val="hybridMultilevel"/>
    <w:tmpl w:val="549C4E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8"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C24B06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870803065">
    <w:abstractNumId w:val="15"/>
  </w:num>
  <w:num w:numId="2" w16cid:durableId="1144616732">
    <w:abstractNumId w:val="7"/>
  </w:num>
  <w:num w:numId="3" w16cid:durableId="979309186">
    <w:abstractNumId w:val="6"/>
  </w:num>
  <w:num w:numId="4" w16cid:durableId="144787752">
    <w:abstractNumId w:val="5"/>
  </w:num>
  <w:num w:numId="5" w16cid:durableId="934556078">
    <w:abstractNumId w:val="18"/>
  </w:num>
  <w:num w:numId="6" w16cid:durableId="816344236">
    <w:abstractNumId w:val="4"/>
  </w:num>
  <w:num w:numId="7" w16cid:durableId="1908612059">
    <w:abstractNumId w:val="3"/>
  </w:num>
  <w:num w:numId="8" w16cid:durableId="1618215078">
    <w:abstractNumId w:val="2"/>
  </w:num>
  <w:num w:numId="9" w16cid:durableId="1850677422">
    <w:abstractNumId w:val="17"/>
  </w:num>
  <w:num w:numId="10" w16cid:durableId="1599946406">
    <w:abstractNumId w:val="9"/>
  </w:num>
  <w:num w:numId="11" w16cid:durableId="714038629">
    <w:abstractNumId w:val="22"/>
  </w:num>
  <w:num w:numId="12" w16cid:durableId="1728914001">
    <w:abstractNumId w:val="14"/>
  </w:num>
  <w:num w:numId="13" w16cid:durableId="17856119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12"/>
  </w:num>
  <w:num w:numId="15" w16cid:durableId="268391646">
    <w:abstractNumId w:val="8"/>
  </w:num>
  <w:num w:numId="16" w16cid:durableId="1261833621">
    <w:abstractNumId w:val="23"/>
  </w:num>
  <w:num w:numId="17" w16cid:durableId="2029670193">
    <w:abstractNumId w:val="19"/>
  </w:num>
  <w:num w:numId="18" w16cid:durableId="887570554">
    <w:abstractNumId w:val="10"/>
  </w:num>
  <w:num w:numId="19" w16cid:durableId="147789394">
    <w:abstractNumId w:val="21"/>
  </w:num>
  <w:num w:numId="20" w16cid:durableId="180625659">
    <w:abstractNumId w:val="13"/>
  </w:num>
  <w:num w:numId="21" w16cid:durableId="355428735">
    <w:abstractNumId w:val="0"/>
  </w:num>
  <w:num w:numId="22" w16cid:durableId="1976065466">
    <w:abstractNumId w:val="20"/>
  </w:num>
  <w:num w:numId="23" w16cid:durableId="1538740181">
    <w:abstractNumId w:val="1"/>
  </w:num>
  <w:num w:numId="24" w16cid:durableId="601456238">
    <w:abstractNumId w:val="11"/>
  </w:num>
  <w:num w:numId="25" w16cid:durableId="16831698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B92"/>
    <w:rsid w:val="00003C9D"/>
    <w:rsid w:val="000061B1"/>
    <w:rsid w:val="00007461"/>
    <w:rsid w:val="00012366"/>
    <w:rsid w:val="000137D2"/>
    <w:rsid w:val="000137E4"/>
    <w:rsid w:val="00021FBE"/>
    <w:rsid w:val="0002288E"/>
    <w:rsid w:val="000326D6"/>
    <w:rsid w:val="000329FD"/>
    <w:rsid w:val="000521D7"/>
    <w:rsid w:val="00053ABC"/>
    <w:rsid w:val="0006269B"/>
    <w:rsid w:val="00065178"/>
    <w:rsid w:val="00065B4B"/>
    <w:rsid w:val="000750FE"/>
    <w:rsid w:val="0008296F"/>
    <w:rsid w:val="0009608C"/>
    <w:rsid w:val="000A0B58"/>
    <w:rsid w:val="000A1176"/>
    <w:rsid w:val="000A6228"/>
    <w:rsid w:val="000B4147"/>
    <w:rsid w:val="000B5D40"/>
    <w:rsid w:val="000B7EC6"/>
    <w:rsid w:val="000C4CE2"/>
    <w:rsid w:val="000D0F14"/>
    <w:rsid w:val="000D179F"/>
    <w:rsid w:val="000D453E"/>
    <w:rsid w:val="000E32A3"/>
    <w:rsid w:val="000E3573"/>
    <w:rsid w:val="000E7DF5"/>
    <w:rsid w:val="000F02ED"/>
    <w:rsid w:val="000F485A"/>
    <w:rsid w:val="00107D87"/>
    <w:rsid w:val="00107DD5"/>
    <w:rsid w:val="0011101E"/>
    <w:rsid w:val="00112F79"/>
    <w:rsid w:val="0012343A"/>
    <w:rsid w:val="001239F0"/>
    <w:rsid w:val="00123F67"/>
    <w:rsid w:val="00133B8D"/>
    <w:rsid w:val="00135BC2"/>
    <w:rsid w:val="0013611E"/>
    <w:rsid w:val="00141E67"/>
    <w:rsid w:val="00147D34"/>
    <w:rsid w:val="001515BF"/>
    <w:rsid w:val="00151DC7"/>
    <w:rsid w:val="00157F2A"/>
    <w:rsid w:val="00164244"/>
    <w:rsid w:val="001645EA"/>
    <w:rsid w:val="00171278"/>
    <w:rsid w:val="0017134D"/>
    <w:rsid w:val="00172845"/>
    <w:rsid w:val="001776EB"/>
    <w:rsid w:val="00181D70"/>
    <w:rsid w:val="001824B4"/>
    <w:rsid w:val="00183F73"/>
    <w:rsid w:val="00184DE2"/>
    <w:rsid w:val="0019761A"/>
    <w:rsid w:val="001B3E11"/>
    <w:rsid w:val="001B743F"/>
    <w:rsid w:val="001C1523"/>
    <w:rsid w:val="001C1593"/>
    <w:rsid w:val="001C42CA"/>
    <w:rsid w:val="001C75CF"/>
    <w:rsid w:val="001D30FD"/>
    <w:rsid w:val="001D3775"/>
    <w:rsid w:val="001D3CF8"/>
    <w:rsid w:val="001D4E4D"/>
    <w:rsid w:val="001E19B0"/>
    <w:rsid w:val="001E1BBD"/>
    <w:rsid w:val="001E59D0"/>
    <w:rsid w:val="001E5F5C"/>
    <w:rsid w:val="001F175D"/>
    <w:rsid w:val="001F6E45"/>
    <w:rsid w:val="00206E98"/>
    <w:rsid w:val="002132BC"/>
    <w:rsid w:val="00215A3F"/>
    <w:rsid w:val="00216536"/>
    <w:rsid w:val="00221681"/>
    <w:rsid w:val="00221D8F"/>
    <w:rsid w:val="002247CC"/>
    <w:rsid w:val="00226301"/>
    <w:rsid w:val="00226E99"/>
    <w:rsid w:val="002272DB"/>
    <w:rsid w:val="00233EE0"/>
    <w:rsid w:val="002414AF"/>
    <w:rsid w:val="00244749"/>
    <w:rsid w:val="00252CA7"/>
    <w:rsid w:val="002576C0"/>
    <w:rsid w:val="00265EAA"/>
    <w:rsid w:val="00276047"/>
    <w:rsid w:val="002817F4"/>
    <w:rsid w:val="002830DF"/>
    <w:rsid w:val="0028329F"/>
    <w:rsid w:val="00285CA3"/>
    <w:rsid w:val="00286A70"/>
    <w:rsid w:val="002A4458"/>
    <w:rsid w:val="002B25CF"/>
    <w:rsid w:val="002B5F6B"/>
    <w:rsid w:val="002B7977"/>
    <w:rsid w:val="002C78D5"/>
    <w:rsid w:val="002D589A"/>
    <w:rsid w:val="002D6FF8"/>
    <w:rsid w:val="002E31A1"/>
    <w:rsid w:val="002E491A"/>
    <w:rsid w:val="002F1F44"/>
    <w:rsid w:val="002F2EC7"/>
    <w:rsid w:val="003015CA"/>
    <w:rsid w:val="003102CD"/>
    <w:rsid w:val="003150DF"/>
    <w:rsid w:val="003202C3"/>
    <w:rsid w:val="00321758"/>
    <w:rsid w:val="003220A8"/>
    <w:rsid w:val="00333A53"/>
    <w:rsid w:val="0034320A"/>
    <w:rsid w:val="0034434C"/>
    <w:rsid w:val="00344C32"/>
    <w:rsid w:val="00346878"/>
    <w:rsid w:val="00350317"/>
    <w:rsid w:val="00351042"/>
    <w:rsid w:val="003635A1"/>
    <w:rsid w:val="00373768"/>
    <w:rsid w:val="003748C6"/>
    <w:rsid w:val="00377B7B"/>
    <w:rsid w:val="003832D9"/>
    <w:rsid w:val="0038333B"/>
    <w:rsid w:val="00396018"/>
    <w:rsid w:val="003A01F0"/>
    <w:rsid w:val="003A5699"/>
    <w:rsid w:val="003C23E2"/>
    <w:rsid w:val="003C5E62"/>
    <w:rsid w:val="003D6A7E"/>
    <w:rsid w:val="003F6347"/>
    <w:rsid w:val="003F64F6"/>
    <w:rsid w:val="003F67E4"/>
    <w:rsid w:val="0040155D"/>
    <w:rsid w:val="00403A03"/>
    <w:rsid w:val="0040770A"/>
    <w:rsid w:val="0041713E"/>
    <w:rsid w:val="00421D3F"/>
    <w:rsid w:val="00422E31"/>
    <w:rsid w:val="00423785"/>
    <w:rsid w:val="00425095"/>
    <w:rsid w:val="00425CF7"/>
    <w:rsid w:val="00433B5C"/>
    <w:rsid w:val="00441E9E"/>
    <w:rsid w:val="00452B58"/>
    <w:rsid w:val="00452D26"/>
    <w:rsid w:val="00455892"/>
    <w:rsid w:val="00457CAC"/>
    <w:rsid w:val="004628FB"/>
    <w:rsid w:val="00464B3D"/>
    <w:rsid w:val="00467ECA"/>
    <w:rsid w:val="0047280B"/>
    <w:rsid w:val="0047788D"/>
    <w:rsid w:val="004876B4"/>
    <w:rsid w:val="00490300"/>
    <w:rsid w:val="00497053"/>
    <w:rsid w:val="004A06CD"/>
    <w:rsid w:val="004A29AF"/>
    <w:rsid w:val="004A4B6F"/>
    <w:rsid w:val="004A4CF9"/>
    <w:rsid w:val="004A6A8A"/>
    <w:rsid w:val="004B65A0"/>
    <w:rsid w:val="004B7FA7"/>
    <w:rsid w:val="004C350C"/>
    <w:rsid w:val="004C73F6"/>
    <w:rsid w:val="004D0F49"/>
    <w:rsid w:val="004D1143"/>
    <w:rsid w:val="004D2965"/>
    <w:rsid w:val="004D2D9D"/>
    <w:rsid w:val="004D2DFB"/>
    <w:rsid w:val="004D37EA"/>
    <w:rsid w:val="004D5043"/>
    <w:rsid w:val="004D7C8E"/>
    <w:rsid w:val="004E02C4"/>
    <w:rsid w:val="004E69F7"/>
    <w:rsid w:val="00510D9D"/>
    <w:rsid w:val="00511016"/>
    <w:rsid w:val="00512156"/>
    <w:rsid w:val="00517BC9"/>
    <w:rsid w:val="00526F7D"/>
    <w:rsid w:val="00533225"/>
    <w:rsid w:val="00536456"/>
    <w:rsid w:val="00553818"/>
    <w:rsid w:val="00556E94"/>
    <w:rsid w:val="00574998"/>
    <w:rsid w:val="0058100A"/>
    <w:rsid w:val="0058614D"/>
    <w:rsid w:val="0058640B"/>
    <w:rsid w:val="005872B2"/>
    <w:rsid w:val="00596C9E"/>
    <w:rsid w:val="005A75C9"/>
    <w:rsid w:val="005B187D"/>
    <w:rsid w:val="005B5544"/>
    <w:rsid w:val="005B7156"/>
    <w:rsid w:val="005B72F9"/>
    <w:rsid w:val="005C4184"/>
    <w:rsid w:val="005C5EBB"/>
    <w:rsid w:val="005E24B3"/>
    <w:rsid w:val="005F0C75"/>
    <w:rsid w:val="00610125"/>
    <w:rsid w:val="00610468"/>
    <w:rsid w:val="006115F9"/>
    <w:rsid w:val="0061438F"/>
    <w:rsid w:val="006232DC"/>
    <w:rsid w:val="00623436"/>
    <w:rsid w:val="0063094F"/>
    <w:rsid w:val="006343B2"/>
    <w:rsid w:val="006424A7"/>
    <w:rsid w:val="006521A9"/>
    <w:rsid w:val="006545DE"/>
    <w:rsid w:val="00663DAD"/>
    <w:rsid w:val="00677E89"/>
    <w:rsid w:val="006862AA"/>
    <w:rsid w:val="006A23CE"/>
    <w:rsid w:val="006A2A76"/>
    <w:rsid w:val="006C05EB"/>
    <w:rsid w:val="006C3C99"/>
    <w:rsid w:val="006D530C"/>
    <w:rsid w:val="006D67F3"/>
    <w:rsid w:val="006F1FFF"/>
    <w:rsid w:val="006F6D10"/>
    <w:rsid w:val="007043BF"/>
    <w:rsid w:val="00712B94"/>
    <w:rsid w:val="007209EF"/>
    <w:rsid w:val="007279B7"/>
    <w:rsid w:val="00732614"/>
    <w:rsid w:val="00740860"/>
    <w:rsid w:val="007516B0"/>
    <w:rsid w:val="007520E5"/>
    <w:rsid w:val="0075254E"/>
    <w:rsid w:val="00752C1F"/>
    <w:rsid w:val="007573D3"/>
    <w:rsid w:val="007623B7"/>
    <w:rsid w:val="00765428"/>
    <w:rsid w:val="00766533"/>
    <w:rsid w:val="0076653C"/>
    <w:rsid w:val="00783C6C"/>
    <w:rsid w:val="0079611C"/>
    <w:rsid w:val="00796B5B"/>
    <w:rsid w:val="007A165F"/>
    <w:rsid w:val="007A56C1"/>
    <w:rsid w:val="007B0D5E"/>
    <w:rsid w:val="007B2601"/>
    <w:rsid w:val="007B2CA1"/>
    <w:rsid w:val="007D0ABC"/>
    <w:rsid w:val="007D12EA"/>
    <w:rsid w:val="007E08E1"/>
    <w:rsid w:val="007E3D80"/>
    <w:rsid w:val="007E759C"/>
    <w:rsid w:val="007E7B64"/>
    <w:rsid w:val="007F0EE5"/>
    <w:rsid w:val="007F155E"/>
    <w:rsid w:val="00802F96"/>
    <w:rsid w:val="008042F5"/>
    <w:rsid w:val="00806B89"/>
    <w:rsid w:val="00807D51"/>
    <w:rsid w:val="00825E15"/>
    <w:rsid w:val="0083342F"/>
    <w:rsid w:val="00833F48"/>
    <w:rsid w:val="008350B1"/>
    <w:rsid w:val="00841AD1"/>
    <w:rsid w:val="0084639A"/>
    <w:rsid w:val="008513F9"/>
    <w:rsid w:val="00856834"/>
    <w:rsid w:val="00856F90"/>
    <w:rsid w:val="0086048E"/>
    <w:rsid w:val="00861698"/>
    <w:rsid w:val="00867156"/>
    <w:rsid w:val="00886959"/>
    <w:rsid w:val="008923B7"/>
    <w:rsid w:val="00893A34"/>
    <w:rsid w:val="00893F51"/>
    <w:rsid w:val="008A2071"/>
    <w:rsid w:val="008A36E1"/>
    <w:rsid w:val="008A37A7"/>
    <w:rsid w:val="008A5844"/>
    <w:rsid w:val="008B0736"/>
    <w:rsid w:val="008B473A"/>
    <w:rsid w:val="008B7B61"/>
    <w:rsid w:val="008C5CDF"/>
    <w:rsid w:val="008C643E"/>
    <w:rsid w:val="008D2254"/>
    <w:rsid w:val="008E60DE"/>
    <w:rsid w:val="008E70F5"/>
    <w:rsid w:val="008F25EC"/>
    <w:rsid w:val="008F3E20"/>
    <w:rsid w:val="00902E8E"/>
    <w:rsid w:val="00917978"/>
    <w:rsid w:val="00917F8A"/>
    <w:rsid w:val="00920CA7"/>
    <w:rsid w:val="00921076"/>
    <w:rsid w:val="0092354A"/>
    <w:rsid w:val="009331F6"/>
    <w:rsid w:val="0094525D"/>
    <w:rsid w:val="009465CD"/>
    <w:rsid w:val="00950B06"/>
    <w:rsid w:val="00952240"/>
    <w:rsid w:val="00952762"/>
    <w:rsid w:val="009625B9"/>
    <w:rsid w:val="00964701"/>
    <w:rsid w:val="00970069"/>
    <w:rsid w:val="009721EB"/>
    <w:rsid w:val="009723CD"/>
    <w:rsid w:val="00981C1B"/>
    <w:rsid w:val="00983ACE"/>
    <w:rsid w:val="0098489E"/>
    <w:rsid w:val="00985419"/>
    <w:rsid w:val="009901E0"/>
    <w:rsid w:val="0099240A"/>
    <w:rsid w:val="009A521E"/>
    <w:rsid w:val="009A53A8"/>
    <w:rsid w:val="009B706E"/>
    <w:rsid w:val="009C1C29"/>
    <w:rsid w:val="009C423A"/>
    <w:rsid w:val="009C7621"/>
    <w:rsid w:val="009E79ED"/>
    <w:rsid w:val="009F36EF"/>
    <w:rsid w:val="009F3A7E"/>
    <w:rsid w:val="00A07596"/>
    <w:rsid w:val="00A17A08"/>
    <w:rsid w:val="00A21C46"/>
    <w:rsid w:val="00A22D5F"/>
    <w:rsid w:val="00A23003"/>
    <w:rsid w:val="00A31C3C"/>
    <w:rsid w:val="00A411EC"/>
    <w:rsid w:val="00A47813"/>
    <w:rsid w:val="00A50BE2"/>
    <w:rsid w:val="00A51D54"/>
    <w:rsid w:val="00A60673"/>
    <w:rsid w:val="00A61E39"/>
    <w:rsid w:val="00A650A5"/>
    <w:rsid w:val="00A86332"/>
    <w:rsid w:val="00A87898"/>
    <w:rsid w:val="00A90295"/>
    <w:rsid w:val="00A92FD6"/>
    <w:rsid w:val="00A93FD2"/>
    <w:rsid w:val="00A96F1A"/>
    <w:rsid w:val="00AA0C1D"/>
    <w:rsid w:val="00AC1872"/>
    <w:rsid w:val="00AC1BF7"/>
    <w:rsid w:val="00AC2C2E"/>
    <w:rsid w:val="00AC5500"/>
    <w:rsid w:val="00AC5B8F"/>
    <w:rsid w:val="00AD384A"/>
    <w:rsid w:val="00AD39E0"/>
    <w:rsid w:val="00AD631F"/>
    <w:rsid w:val="00AE21FF"/>
    <w:rsid w:val="00AE3E20"/>
    <w:rsid w:val="00AE76F5"/>
    <w:rsid w:val="00AF1F18"/>
    <w:rsid w:val="00AF4B15"/>
    <w:rsid w:val="00B000D4"/>
    <w:rsid w:val="00B0726E"/>
    <w:rsid w:val="00B10C86"/>
    <w:rsid w:val="00B13058"/>
    <w:rsid w:val="00B16AA8"/>
    <w:rsid w:val="00B219D1"/>
    <w:rsid w:val="00B22535"/>
    <w:rsid w:val="00B31BCE"/>
    <w:rsid w:val="00B412AE"/>
    <w:rsid w:val="00B424AB"/>
    <w:rsid w:val="00B46417"/>
    <w:rsid w:val="00B4644C"/>
    <w:rsid w:val="00B46FC5"/>
    <w:rsid w:val="00B50C96"/>
    <w:rsid w:val="00B5360A"/>
    <w:rsid w:val="00B63528"/>
    <w:rsid w:val="00B64D5F"/>
    <w:rsid w:val="00B81FA4"/>
    <w:rsid w:val="00B8554C"/>
    <w:rsid w:val="00B86D9A"/>
    <w:rsid w:val="00B8794C"/>
    <w:rsid w:val="00B87D59"/>
    <w:rsid w:val="00B95098"/>
    <w:rsid w:val="00B95EF4"/>
    <w:rsid w:val="00B96E0A"/>
    <w:rsid w:val="00B97D51"/>
    <w:rsid w:val="00BA2956"/>
    <w:rsid w:val="00BA458B"/>
    <w:rsid w:val="00BA76D4"/>
    <w:rsid w:val="00BB0D46"/>
    <w:rsid w:val="00BB6509"/>
    <w:rsid w:val="00BC15FF"/>
    <w:rsid w:val="00BC1978"/>
    <w:rsid w:val="00BC248C"/>
    <w:rsid w:val="00BC7DD7"/>
    <w:rsid w:val="00BD1802"/>
    <w:rsid w:val="00BE2C28"/>
    <w:rsid w:val="00BE5F1D"/>
    <w:rsid w:val="00BF3091"/>
    <w:rsid w:val="00BF5DF8"/>
    <w:rsid w:val="00C0197A"/>
    <w:rsid w:val="00C01EC0"/>
    <w:rsid w:val="00C048A9"/>
    <w:rsid w:val="00C0640F"/>
    <w:rsid w:val="00C15645"/>
    <w:rsid w:val="00C21A7D"/>
    <w:rsid w:val="00C244EE"/>
    <w:rsid w:val="00C353A3"/>
    <w:rsid w:val="00C40F73"/>
    <w:rsid w:val="00C426E9"/>
    <w:rsid w:val="00C501AD"/>
    <w:rsid w:val="00C62225"/>
    <w:rsid w:val="00C67FEB"/>
    <w:rsid w:val="00C72224"/>
    <w:rsid w:val="00C75706"/>
    <w:rsid w:val="00C75F26"/>
    <w:rsid w:val="00C8097B"/>
    <w:rsid w:val="00C81454"/>
    <w:rsid w:val="00C8675B"/>
    <w:rsid w:val="00C95765"/>
    <w:rsid w:val="00CA03E9"/>
    <w:rsid w:val="00CA07B9"/>
    <w:rsid w:val="00CA1FD1"/>
    <w:rsid w:val="00CA4815"/>
    <w:rsid w:val="00CB047A"/>
    <w:rsid w:val="00CB6C6E"/>
    <w:rsid w:val="00CC60FA"/>
    <w:rsid w:val="00CE57C9"/>
    <w:rsid w:val="00CF6562"/>
    <w:rsid w:val="00D00E91"/>
    <w:rsid w:val="00D01500"/>
    <w:rsid w:val="00D14607"/>
    <w:rsid w:val="00D32701"/>
    <w:rsid w:val="00D355D9"/>
    <w:rsid w:val="00D36E8B"/>
    <w:rsid w:val="00D40FC8"/>
    <w:rsid w:val="00D5688A"/>
    <w:rsid w:val="00D67553"/>
    <w:rsid w:val="00D70BAC"/>
    <w:rsid w:val="00D73D24"/>
    <w:rsid w:val="00D75745"/>
    <w:rsid w:val="00D75A7D"/>
    <w:rsid w:val="00D85024"/>
    <w:rsid w:val="00D86284"/>
    <w:rsid w:val="00DA4198"/>
    <w:rsid w:val="00DA5E7F"/>
    <w:rsid w:val="00DB14FD"/>
    <w:rsid w:val="00DB30F6"/>
    <w:rsid w:val="00DB67C8"/>
    <w:rsid w:val="00DB7AD1"/>
    <w:rsid w:val="00DC5980"/>
    <w:rsid w:val="00DD2B46"/>
    <w:rsid w:val="00DD463B"/>
    <w:rsid w:val="00DE5999"/>
    <w:rsid w:val="00DF4303"/>
    <w:rsid w:val="00E02A35"/>
    <w:rsid w:val="00E06ED6"/>
    <w:rsid w:val="00E20A46"/>
    <w:rsid w:val="00E26C34"/>
    <w:rsid w:val="00E34284"/>
    <w:rsid w:val="00E45C83"/>
    <w:rsid w:val="00E45E30"/>
    <w:rsid w:val="00E50FDB"/>
    <w:rsid w:val="00E529E5"/>
    <w:rsid w:val="00E57B92"/>
    <w:rsid w:val="00E60FFE"/>
    <w:rsid w:val="00E72E78"/>
    <w:rsid w:val="00E827DA"/>
    <w:rsid w:val="00E836D0"/>
    <w:rsid w:val="00E85D09"/>
    <w:rsid w:val="00E8762F"/>
    <w:rsid w:val="00E95E8A"/>
    <w:rsid w:val="00E97016"/>
    <w:rsid w:val="00E971B7"/>
    <w:rsid w:val="00E97266"/>
    <w:rsid w:val="00EA2AE9"/>
    <w:rsid w:val="00EB23FD"/>
    <w:rsid w:val="00EB3252"/>
    <w:rsid w:val="00EB3F16"/>
    <w:rsid w:val="00EB4C2F"/>
    <w:rsid w:val="00EC5BEB"/>
    <w:rsid w:val="00EC6F2A"/>
    <w:rsid w:val="00ED0DDF"/>
    <w:rsid w:val="00ED28E8"/>
    <w:rsid w:val="00ED5785"/>
    <w:rsid w:val="00ED5D24"/>
    <w:rsid w:val="00EF480F"/>
    <w:rsid w:val="00F012F8"/>
    <w:rsid w:val="00F02C6D"/>
    <w:rsid w:val="00F05724"/>
    <w:rsid w:val="00F1000D"/>
    <w:rsid w:val="00F219BB"/>
    <w:rsid w:val="00F311A4"/>
    <w:rsid w:val="00F3543D"/>
    <w:rsid w:val="00F35B0F"/>
    <w:rsid w:val="00F42D2D"/>
    <w:rsid w:val="00F45E4C"/>
    <w:rsid w:val="00F502D3"/>
    <w:rsid w:val="00F505E1"/>
    <w:rsid w:val="00F559D0"/>
    <w:rsid w:val="00F601F6"/>
    <w:rsid w:val="00F6598D"/>
    <w:rsid w:val="00F75058"/>
    <w:rsid w:val="00F81DEB"/>
    <w:rsid w:val="00F82C2C"/>
    <w:rsid w:val="00F85913"/>
    <w:rsid w:val="00F90E60"/>
    <w:rsid w:val="00F91AF4"/>
    <w:rsid w:val="00F926A7"/>
    <w:rsid w:val="00FA7AE8"/>
    <w:rsid w:val="00FC2C88"/>
    <w:rsid w:val="00FC5707"/>
    <w:rsid w:val="00FC5E52"/>
    <w:rsid w:val="00FC7BD7"/>
    <w:rsid w:val="00FD04EB"/>
    <w:rsid w:val="00FD3E17"/>
    <w:rsid w:val="00FD47C8"/>
    <w:rsid w:val="00FD4D6E"/>
    <w:rsid w:val="00FD5FD9"/>
    <w:rsid w:val="00FD6383"/>
    <w:rsid w:val="00FE0FAF"/>
    <w:rsid w:val="00FE3687"/>
    <w:rsid w:val="00FF5BC8"/>
    <w:rsid w:val="04C9E433"/>
    <w:rsid w:val="0AA2FB74"/>
    <w:rsid w:val="283270C8"/>
    <w:rsid w:val="39BAEA6F"/>
    <w:rsid w:val="3C38DEC7"/>
    <w:rsid w:val="49A4BBF2"/>
    <w:rsid w:val="69FF2683"/>
    <w:rsid w:val="6D6556CA"/>
    <w:rsid w:val="7FA99C3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C7023"/>
  <w15:chartTrackingRefBased/>
  <w15:docId w15:val="{D1E8CCFD-6AB5-4BFF-BEC7-EB5E2DE28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9"/>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StylePr w:type="firstRow">
      <w:pPr>
        <w:jc w:val="left"/>
      </w:p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aliases w:val="Bullets,TOC style,lp1,Bullet OSM,Proposal Bullet List,List Paragraph1,Recommendation,List Paragraph11,List Paragraph111,L,F5 List Paragraph,Dot pt,CV text,Table text,Medium Grid 1 - Accent 21,Numbered Paragraph,List Paragraph2,FooterText"/>
    <w:basedOn w:val="Normal"/>
    <w:link w:val="ListParagraphChar"/>
    <w:uiPriority w:val="34"/>
    <w:qFormat/>
    <w:rsid w:val="00E57B92"/>
    <w:pPr>
      <w:ind w:left="720"/>
      <w:contextualSpacing/>
    </w:pPr>
  </w:style>
  <w:style w:type="character" w:customStyle="1" w:styleId="ListParagraphChar">
    <w:name w:val="List Paragraph Char"/>
    <w:aliases w:val="Bullets Char,TOC style Char,lp1 Char,Bullet OSM Char,Proposal Bullet List Char,List Paragraph1 Char,Recommendation Char,List Paragraph11 Char,List Paragraph111 Char,L Char,F5 List Paragraph Char,Dot pt Char,CV text Char"/>
    <w:basedOn w:val="DefaultParagraphFont"/>
    <w:link w:val="ListParagraph"/>
    <w:uiPriority w:val="34"/>
    <w:qFormat/>
    <w:locked/>
    <w:rsid w:val="00E57B92"/>
  </w:style>
  <w:style w:type="paragraph" w:styleId="Revision">
    <w:name w:val="Revision"/>
    <w:hidden/>
    <w:uiPriority w:val="99"/>
    <w:semiHidden/>
    <w:rsid w:val="0094525D"/>
    <w:pPr>
      <w:spacing w:after="0" w:line="240" w:lineRule="auto"/>
    </w:pPr>
  </w:style>
  <w:style w:type="character" w:styleId="CommentReference">
    <w:name w:val="annotation reference"/>
    <w:basedOn w:val="DefaultParagraphFont"/>
    <w:uiPriority w:val="99"/>
    <w:semiHidden/>
    <w:unhideWhenUsed/>
    <w:rsid w:val="00DF4303"/>
    <w:rPr>
      <w:sz w:val="16"/>
      <w:szCs w:val="16"/>
    </w:rPr>
  </w:style>
  <w:style w:type="paragraph" w:styleId="CommentText">
    <w:name w:val="annotation text"/>
    <w:basedOn w:val="Normal"/>
    <w:link w:val="CommentTextChar"/>
    <w:uiPriority w:val="99"/>
    <w:unhideWhenUsed/>
    <w:rsid w:val="00DF4303"/>
    <w:pPr>
      <w:spacing w:line="240" w:lineRule="auto"/>
    </w:pPr>
    <w:rPr>
      <w:sz w:val="20"/>
      <w:szCs w:val="20"/>
    </w:rPr>
  </w:style>
  <w:style w:type="character" w:customStyle="1" w:styleId="CommentTextChar">
    <w:name w:val="Comment Text Char"/>
    <w:basedOn w:val="DefaultParagraphFont"/>
    <w:link w:val="CommentText"/>
    <w:uiPriority w:val="99"/>
    <w:rsid w:val="00DF4303"/>
    <w:rPr>
      <w:sz w:val="20"/>
      <w:szCs w:val="20"/>
    </w:rPr>
  </w:style>
  <w:style w:type="paragraph" w:styleId="CommentSubject">
    <w:name w:val="annotation subject"/>
    <w:basedOn w:val="CommentText"/>
    <w:next w:val="CommentText"/>
    <w:link w:val="CommentSubjectChar"/>
    <w:uiPriority w:val="99"/>
    <w:semiHidden/>
    <w:unhideWhenUsed/>
    <w:rsid w:val="00DF4303"/>
    <w:rPr>
      <w:b/>
      <w:bCs/>
    </w:rPr>
  </w:style>
  <w:style w:type="character" w:customStyle="1" w:styleId="CommentSubjectChar">
    <w:name w:val="Comment Subject Char"/>
    <w:basedOn w:val="CommentTextChar"/>
    <w:link w:val="CommentSubject"/>
    <w:uiPriority w:val="99"/>
    <w:semiHidden/>
    <w:rsid w:val="00DF43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770782">
      <w:bodyDiv w:val="1"/>
      <w:marLeft w:val="0"/>
      <w:marRight w:val="0"/>
      <w:marTop w:val="0"/>
      <w:marBottom w:val="0"/>
      <w:divBdr>
        <w:top w:val="none" w:sz="0" w:space="0" w:color="auto"/>
        <w:left w:val="none" w:sz="0" w:space="0" w:color="auto"/>
        <w:bottom w:val="none" w:sz="0" w:space="0" w:color="auto"/>
        <w:right w:val="none" w:sz="0" w:space="0" w:color="auto"/>
      </w:divBdr>
    </w:div>
    <w:div w:id="633632987">
      <w:bodyDiv w:val="1"/>
      <w:marLeft w:val="0"/>
      <w:marRight w:val="0"/>
      <w:marTop w:val="0"/>
      <w:marBottom w:val="0"/>
      <w:divBdr>
        <w:top w:val="none" w:sz="0" w:space="0" w:color="auto"/>
        <w:left w:val="none" w:sz="0" w:space="0" w:color="auto"/>
        <w:bottom w:val="none" w:sz="0" w:space="0" w:color="auto"/>
        <w:right w:val="none" w:sz="0" w:space="0" w:color="auto"/>
      </w:divBdr>
    </w:div>
    <w:div w:id="954100313">
      <w:bodyDiv w:val="1"/>
      <w:marLeft w:val="0"/>
      <w:marRight w:val="0"/>
      <w:marTop w:val="0"/>
      <w:marBottom w:val="0"/>
      <w:divBdr>
        <w:top w:val="none" w:sz="0" w:space="0" w:color="auto"/>
        <w:left w:val="none" w:sz="0" w:space="0" w:color="auto"/>
        <w:bottom w:val="none" w:sz="0" w:space="0" w:color="auto"/>
        <w:right w:val="none" w:sz="0" w:space="0" w:color="auto"/>
      </w:divBdr>
    </w:div>
    <w:div w:id="959800210">
      <w:bodyDiv w:val="1"/>
      <w:marLeft w:val="0"/>
      <w:marRight w:val="0"/>
      <w:marTop w:val="0"/>
      <w:marBottom w:val="0"/>
      <w:divBdr>
        <w:top w:val="none" w:sz="0" w:space="0" w:color="auto"/>
        <w:left w:val="none" w:sz="0" w:space="0" w:color="auto"/>
        <w:bottom w:val="none" w:sz="0" w:space="0" w:color="auto"/>
        <w:right w:val="none" w:sz="0" w:space="0" w:color="auto"/>
      </w:divBdr>
    </w:div>
    <w:div w:id="1375884561">
      <w:bodyDiv w:val="1"/>
      <w:marLeft w:val="0"/>
      <w:marRight w:val="0"/>
      <w:marTop w:val="0"/>
      <w:marBottom w:val="0"/>
      <w:divBdr>
        <w:top w:val="none" w:sz="0" w:space="0" w:color="auto"/>
        <w:left w:val="none" w:sz="0" w:space="0" w:color="auto"/>
        <w:bottom w:val="none" w:sz="0" w:space="0" w:color="auto"/>
        <w:right w:val="none" w:sz="0" w:space="0" w:color="auto"/>
      </w:divBdr>
    </w:div>
    <w:div w:id="1673684727">
      <w:bodyDiv w:val="1"/>
      <w:marLeft w:val="0"/>
      <w:marRight w:val="0"/>
      <w:marTop w:val="0"/>
      <w:marBottom w:val="0"/>
      <w:divBdr>
        <w:top w:val="none" w:sz="0" w:space="0" w:color="auto"/>
        <w:left w:val="none" w:sz="0" w:space="0" w:color="auto"/>
        <w:bottom w:val="none" w:sz="0" w:space="0" w:color="auto"/>
        <w:right w:val="none" w:sz="0" w:space="0" w:color="auto"/>
      </w:divBdr>
    </w:div>
    <w:div w:id="1902400253">
      <w:bodyDiv w:val="1"/>
      <w:marLeft w:val="0"/>
      <w:marRight w:val="0"/>
      <w:marTop w:val="0"/>
      <w:marBottom w:val="0"/>
      <w:divBdr>
        <w:top w:val="none" w:sz="0" w:space="0" w:color="auto"/>
        <w:left w:val="none" w:sz="0" w:space="0" w:color="auto"/>
        <w:bottom w:val="none" w:sz="0" w:space="0" w:color="auto"/>
        <w:right w:val="none" w:sz="0" w:space="0" w:color="auto"/>
      </w:divBdr>
      <w:divsChild>
        <w:div w:id="10762797">
          <w:marLeft w:val="0"/>
          <w:marRight w:val="0"/>
          <w:marTop w:val="0"/>
          <w:marBottom w:val="0"/>
          <w:divBdr>
            <w:top w:val="none" w:sz="0" w:space="0" w:color="auto"/>
            <w:left w:val="none" w:sz="0" w:space="0" w:color="auto"/>
            <w:bottom w:val="none" w:sz="0" w:space="0" w:color="auto"/>
            <w:right w:val="none" w:sz="0" w:space="0" w:color="auto"/>
          </w:divBdr>
        </w:div>
        <w:div w:id="545020594">
          <w:marLeft w:val="0"/>
          <w:marRight w:val="0"/>
          <w:marTop w:val="0"/>
          <w:marBottom w:val="0"/>
          <w:divBdr>
            <w:top w:val="none" w:sz="0" w:space="0" w:color="auto"/>
            <w:left w:val="none" w:sz="0" w:space="0" w:color="auto"/>
            <w:bottom w:val="none" w:sz="0" w:space="0" w:color="auto"/>
            <w:right w:val="none" w:sz="0" w:space="0" w:color="auto"/>
          </w:divBdr>
        </w:div>
        <w:div w:id="638730324">
          <w:marLeft w:val="0"/>
          <w:marRight w:val="0"/>
          <w:marTop w:val="0"/>
          <w:marBottom w:val="0"/>
          <w:divBdr>
            <w:top w:val="none" w:sz="0" w:space="0" w:color="auto"/>
            <w:left w:val="none" w:sz="0" w:space="0" w:color="auto"/>
            <w:bottom w:val="none" w:sz="0" w:space="0" w:color="auto"/>
            <w:right w:val="none" w:sz="0" w:space="0" w:color="auto"/>
          </w:divBdr>
        </w:div>
        <w:div w:id="778643947">
          <w:marLeft w:val="0"/>
          <w:marRight w:val="0"/>
          <w:marTop w:val="0"/>
          <w:marBottom w:val="0"/>
          <w:divBdr>
            <w:top w:val="none" w:sz="0" w:space="0" w:color="auto"/>
            <w:left w:val="none" w:sz="0" w:space="0" w:color="auto"/>
            <w:bottom w:val="none" w:sz="0" w:space="0" w:color="auto"/>
            <w:right w:val="none" w:sz="0" w:space="0" w:color="auto"/>
          </w:divBdr>
        </w:div>
        <w:div w:id="1504318785">
          <w:marLeft w:val="0"/>
          <w:marRight w:val="0"/>
          <w:marTop w:val="0"/>
          <w:marBottom w:val="0"/>
          <w:divBdr>
            <w:top w:val="none" w:sz="0" w:space="0" w:color="auto"/>
            <w:left w:val="none" w:sz="0" w:space="0" w:color="auto"/>
            <w:bottom w:val="none" w:sz="0" w:space="0" w:color="auto"/>
            <w:right w:val="none" w:sz="0" w:space="0" w:color="auto"/>
          </w:divBdr>
        </w:div>
        <w:div w:id="1578905198">
          <w:marLeft w:val="0"/>
          <w:marRight w:val="0"/>
          <w:marTop w:val="0"/>
          <w:marBottom w:val="0"/>
          <w:divBdr>
            <w:top w:val="none" w:sz="0" w:space="0" w:color="auto"/>
            <w:left w:val="none" w:sz="0" w:space="0" w:color="auto"/>
            <w:bottom w:val="none" w:sz="0" w:space="0" w:color="auto"/>
            <w:right w:val="none" w:sz="0" w:space="0" w:color="auto"/>
          </w:divBdr>
        </w:div>
        <w:div w:id="1939216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ewr.gov.au" TargetMode="Externa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15A4D98D91441583C50FB8E977D9AE"/>
        <w:category>
          <w:name w:val="General"/>
          <w:gallery w:val="placeholder"/>
        </w:category>
        <w:types>
          <w:type w:val="bbPlcHdr"/>
        </w:types>
        <w:behaviors>
          <w:behavior w:val="content"/>
        </w:behaviors>
        <w:guid w:val="{0D600CB7-9303-43C2-888C-78FF7463A018}"/>
      </w:docPartPr>
      <w:docPartBody>
        <w:p w:rsidR="007A6D07" w:rsidRDefault="00DB67C8">
          <w:pPr>
            <w:pStyle w:val="1915A4D98D91441583C50FB8E977D9AE"/>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7C8"/>
    <w:rsid w:val="00037FE1"/>
    <w:rsid w:val="00055C12"/>
    <w:rsid w:val="00065178"/>
    <w:rsid w:val="00183934"/>
    <w:rsid w:val="001B0CC1"/>
    <w:rsid w:val="001C42CA"/>
    <w:rsid w:val="001D0FA0"/>
    <w:rsid w:val="00215A3F"/>
    <w:rsid w:val="002825E1"/>
    <w:rsid w:val="002977C4"/>
    <w:rsid w:val="002C4464"/>
    <w:rsid w:val="0034320A"/>
    <w:rsid w:val="00377B7B"/>
    <w:rsid w:val="004036C2"/>
    <w:rsid w:val="00455892"/>
    <w:rsid w:val="0046307B"/>
    <w:rsid w:val="00536456"/>
    <w:rsid w:val="005B7156"/>
    <w:rsid w:val="00783C6C"/>
    <w:rsid w:val="007A165F"/>
    <w:rsid w:val="007A6D07"/>
    <w:rsid w:val="007E386D"/>
    <w:rsid w:val="00856834"/>
    <w:rsid w:val="008E3126"/>
    <w:rsid w:val="009723CD"/>
    <w:rsid w:val="009A79B2"/>
    <w:rsid w:val="00A31C3C"/>
    <w:rsid w:val="00A554CE"/>
    <w:rsid w:val="00A93AB1"/>
    <w:rsid w:val="00AB2C60"/>
    <w:rsid w:val="00AC2C2E"/>
    <w:rsid w:val="00B4644C"/>
    <w:rsid w:val="00B5360A"/>
    <w:rsid w:val="00BA2956"/>
    <w:rsid w:val="00BA76D4"/>
    <w:rsid w:val="00BE0C0D"/>
    <w:rsid w:val="00C353A3"/>
    <w:rsid w:val="00C75F26"/>
    <w:rsid w:val="00CA03E9"/>
    <w:rsid w:val="00D14607"/>
    <w:rsid w:val="00D350B2"/>
    <w:rsid w:val="00DB67C8"/>
    <w:rsid w:val="00DF7DC3"/>
    <w:rsid w:val="00E26DDB"/>
    <w:rsid w:val="00E90EE1"/>
    <w:rsid w:val="00E9502B"/>
    <w:rsid w:val="00EB3252"/>
    <w:rsid w:val="00FD04E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67C8"/>
    <w:rPr>
      <w:color w:val="808080"/>
    </w:rPr>
  </w:style>
  <w:style w:type="paragraph" w:customStyle="1" w:styleId="1915A4D98D91441583C50FB8E977D9AE">
    <w:name w:val="1915A4D98D91441583C50FB8E977D9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86032c7-9a6f-4839-a5d7-5733f6c7079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1B3A507B1F1DB46871EAEE681977CF7" ma:contentTypeVersion="17" ma:contentTypeDescription="Create a new document." ma:contentTypeScope="" ma:versionID="408ebde1dba26650ebbb7dc8d7bc6cce">
  <xsd:schema xmlns:xsd="http://www.w3.org/2001/XMLSchema" xmlns:xs="http://www.w3.org/2001/XMLSchema" xmlns:p="http://schemas.microsoft.com/office/2006/metadata/properties" xmlns:ns3="286032c7-9a6f-4839-a5d7-5733f6c7079f" xmlns:ns4="08a33859-986d-42eb-888e-cd492c95040b" targetNamespace="http://schemas.microsoft.com/office/2006/metadata/properties" ma:root="true" ma:fieldsID="1b0927dd5d0d407f381d205cbeef3651" ns3:_="" ns4:_="">
    <xsd:import namespace="286032c7-9a6f-4839-a5d7-5733f6c7079f"/>
    <xsd:import namespace="08a33859-986d-42eb-888e-cd492c9504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032c7-9a6f-4839-a5d7-5733f6c70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a33859-986d-42eb-888e-cd492c9504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B1AD8718-F806-4E10-9764-94446587A29E}">
  <ds:schemaRefs>
    <ds:schemaRef ds:uri="http://schemas.microsoft.com/sharepoint/v3/contenttype/forms"/>
  </ds:schemaRefs>
</ds:datastoreItem>
</file>

<file path=customXml/itemProps3.xml><?xml version="1.0" encoding="utf-8"?>
<ds:datastoreItem xmlns:ds="http://schemas.openxmlformats.org/officeDocument/2006/customXml" ds:itemID="{00A6EA93-3DE5-4AB7-BC56-7B9B9C5073F3}">
  <ds:schemaRefs>
    <ds:schemaRef ds:uri="http://schemas.microsoft.com/office/2006/metadata/properties"/>
    <ds:schemaRef ds:uri="http://schemas.microsoft.com/office/infopath/2007/PartnerControls"/>
    <ds:schemaRef ds:uri="286032c7-9a6f-4839-a5d7-5733f6c7079f"/>
  </ds:schemaRefs>
</ds:datastoreItem>
</file>

<file path=customXml/itemProps4.xml><?xml version="1.0" encoding="utf-8"?>
<ds:datastoreItem xmlns:ds="http://schemas.openxmlformats.org/officeDocument/2006/customXml" ds:itemID="{FBFCE1EA-3F25-4B0E-AD72-E11A54D05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032c7-9a6f-4839-a5d7-5733f6c7079f"/>
    <ds:schemaRef ds:uri="08a33859-986d-42eb-888e-cd492c950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921</Words>
  <Characters>5285</Characters>
  <Application>Microsoft Office Word</Application>
  <DocSecurity>0</DocSecurity>
  <Lines>100</Lines>
  <Paragraphs>23</Paragraphs>
  <ScaleCrop>false</ScaleCrop>
  <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 Definition of students of certain transnational education programs</dc:title>
  <dc:subject/>
  <dc:creator>OLIVER,Damian</dc:creator>
  <cp:keywords/>
  <dc:description/>
  <cp:lastModifiedBy>YUEN,Sebastian</cp:lastModifiedBy>
  <cp:revision>3</cp:revision>
  <dcterms:created xsi:type="dcterms:W3CDTF">2025-11-05T06:01:00Z</dcterms:created>
  <dcterms:modified xsi:type="dcterms:W3CDTF">2025-11-05T06:01:00Z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0x01010011B3A507B1F1DB46871EAEE681977CF7</vt:lpwstr>
  </property>
  <property fmtid="{D5CDD505-2E9C-101B-9397-08002B2CF9AE}" pid="3" name="MSIP_Label_79d889eb-932f-4752-8739-64d25806ef64_Enabled">
    <vt:lpwstr>true</vt:lpwstr>
  </property>
  <property fmtid="{D5CDD505-2E9C-101B-9397-08002B2CF9AE}" pid="4" name="MSIP_Label_79d889eb-932f-4752-8739-64d25806ef64_SetDate">
    <vt:lpwstr>2025-11-05T05:49:37Z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5c569b55-5fee-4b9a-8902-9eda695c4dcc</vt:lpwstr>
  </property>
  <property fmtid="{D5CDD505-2E9C-101B-9397-08002B2CF9AE}" pid="9" name="MSIP_Label_79d889eb-932f-4752-8739-64d25806ef64_ContentBits">
    <vt:lpwstr>0</vt:lpwstr>
  </property>
  <property fmtid="{D5CDD505-2E9C-101B-9397-08002B2CF9AE}" pid="10" name="MSIP_Label_79d889eb-932f-4752-8739-64d25806ef64_Tag">
    <vt:lpwstr>10, 0, 1, 1</vt:lpwstr>
  </property>
</Properties>
</file>